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67723" w14:textId="77777777" w:rsidR="005711E5" w:rsidRPr="00D05066" w:rsidRDefault="005711E5" w:rsidP="00974C9D">
      <w:pPr>
        <w:pStyle w:val="BodyText"/>
        <w:spacing w:line="264" w:lineRule="auto"/>
        <w:rPr>
          <w:b/>
          <w:bCs/>
        </w:rPr>
      </w:pPr>
      <w:r w:rsidRPr="00D05066">
        <w:rPr>
          <w:b/>
          <w:bCs/>
        </w:rPr>
        <w:t>BEFORE THE WASHINGTON</w:t>
      </w:r>
    </w:p>
    <w:p w14:paraId="00354672" w14:textId="77777777" w:rsidR="005711E5" w:rsidRPr="00D05066" w:rsidRDefault="005711E5" w:rsidP="00974C9D">
      <w:pPr>
        <w:pStyle w:val="BodyText"/>
        <w:spacing w:line="264" w:lineRule="auto"/>
        <w:rPr>
          <w:b/>
          <w:bCs/>
        </w:rPr>
      </w:pPr>
      <w:r w:rsidRPr="00D05066">
        <w:rPr>
          <w:b/>
          <w:bCs/>
        </w:rPr>
        <w:t>UTILITIES AND TRANSPORTATION COMMISSION</w:t>
      </w:r>
    </w:p>
    <w:p w14:paraId="16DC36E5" w14:textId="77777777" w:rsidR="00892A0D" w:rsidRPr="00D05066" w:rsidRDefault="00892A0D" w:rsidP="00974C9D">
      <w:pPr>
        <w:pStyle w:val="BodyText"/>
        <w:spacing w:line="264" w:lineRule="auto"/>
      </w:pPr>
    </w:p>
    <w:p w14:paraId="19329A81" w14:textId="77777777" w:rsidR="00813458" w:rsidRPr="00D05066" w:rsidRDefault="00813458" w:rsidP="00974C9D">
      <w:pPr>
        <w:pStyle w:val="BodyText"/>
        <w:spacing w:line="264" w:lineRule="auto"/>
      </w:pPr>
    </w:p>
    <w:tbl>
      <w:tblPr>
        <w:tblStyle w:val="TableGrid"/>
        <w:tblW w:w="8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96"/>
        <w:gridCol w:w="4185"/>
      </w:tblGrid>
      <w:tr w:rsidR="00892A0D" w:rsidRPr="00D05066" w14:paraId="600FCA0C" w14:textId="77777777" w:rsidTr="0056698B">
        <w:trPr>
          <w:trHeight w:val="5833"/>
        </w:trPr>
        <w:tc>
          <w:tcPr>
            <w:tcW w:w="4230" w:type="dxa"/>
          </w:tcPr>
          <w:p w14:paraId="455E0842" w14:textId="77777777" w:rsidR="0057749F" w:rsidRPr="00D05066" w:rsidRDefault="0057749F" w:rsidP="00974C9D">
            <w:pPr>
              <w:tabs>
                <w:tab w:val="left" w:pos="2160"/>
              </w:tabs>
              <w:spacing w:line="264" w:lineRule="auto"/>
              <w:rPr>
                <w:bCs/>
              </w:rPr>
            </w:pPr>
            <w:r w:rsidRPr="00D05066">
              <w:rPr>
                <w:bCs/>
              </w:rPr>
              <w:t>CITY OF WOODINVILLE,</w:t>
            </w:r>
          </w:p>
          <w:p w14:paraId="436F9D41" w14:textId="77777777" w:rsidR="0057749F" w:rsidRPr="00D05066" w:rsidRDefault="0057749F" w:rsidP="00974C9D">
            <w:pPr>
              <w:tabs>
                <w:tab w:val="left" w:pos="2160"/>
              </w:tabs>
              <w:spacing w:line="264" w:lineRule="auto"/>
              <w:rPr>
                <w:bCs/>
              </w:rPr>
            </w:pPr>
          </w:p>
          <w:p w14:paraId="2BF0AB65" w14:textId="77777777" w:rsidR="0057749F" w:rsidRPr="00D05066" w:rsidRDefault="0057749F" w:rsidP="00974C9D">
            <w:pPr>
              <w:tabs>
                <w:tab w:val="left" w:pos="2160"/>
              </w:tabs>
              <w:spacing w:line="264" w:lineRule="auto"/>
              <w:rPr>
                <w:bCs/>
              </w:rPr>
            </w:pPr>
            <w:r w:rsidRPr="00D05066">
              <w:rPr>
                <w:bCs/>
              </w:rPr>
              <w:tab/>
              <w:t>Petitioner,</w:t>
            </w:r>
          </w:p>
          <w:p w14:paraId="4AEC00EE" w14:textId="77777777" w:rsidR="0057749F" w:rsidRPr="00D05066" w:rsidRDefault="0057749F" w:rsidP="00974C9D">
            <w:pPr>
              <w:tabs>
                <w:tab w:val="left" w:pos="2160"/>
              </w:tabs>
              <w:spacing w:line="264" w:lineRule="auto"/>
              <w:rPr>
                <w:bCs/>
              </w:rPr>
            </w:pPr>
          </w:p>
          <w:p w14:paraId="5AEC8FFD" w14:textId="77777777" w:rsidR="0057749F" w:rsidRPr="00D05066" w:rsidRDefault="0057749F" w:rsidP="00974C9D">
            <w:pPr>
              <w:tabs>
                <w:tab w:val="left" w:pos="2160"/>
              </w:tabs>
              <w:spacing w:line="264" w:lineRule="auto"/>
              <w:rPr>
                <w:bCs/>
              </w:rPr>
            </w:pPr>
            <w:r w:rsidRPr="00D05066">
              <w:rPr>
                <w:bCs/>
              </w:rPr>
              <w:t>v.</w:t>
            </w:r>
          </w:p>
          <w:p w14:paraId="405CBB78" w14:textId="77777777" w:rsidR="0057749F" w:rsidRPr="00D05066" w:rsidRDefault="0057749F" w:rsidP="00974C9D">
            <w:pPr>
              <w:tabs>
                <w:tab w:val="left" w:pos="2160"/>
              </w:tabs>
              <w:spacing w:line="264" w:lineRule="auto"/>
              <w:rPr>
                <w:bCs/>
              </w:rPr>
            </w:pPr>
          </w:p>
          <w:p w14:paraId="4090CD46" w14:textId="77777777" w:rsidR="0057749F" w:rsidRPr="00D05066" w:rsidRDefault="0057749F" w:rsidP="00974C9D">
            <w:pPr>
              <w:tabs>
                <w:tab w:val="left" w:pos="2160"/>
              </w:tabs>
              <w:spacing w:line="264" w:lineRule="auto"/>
              <w:rPr>
                <w:bCs/>
              </w:rPr>
            </w:pPr>
            <w:r w:rsidRPr="00D05066">
              <w:rPr>
                <w:bCs/>
              </w:rPr>
              <w:t>EASTSIDE COMMUNITY RAIL, BALLARD TERMINAL RAIL, PORT OF SEATTLE, AND WASHINGTON STATE DEPARTMENT OF TRANSPORTATION,</w:t>
            </w:r>
          </w:p>
          <w:p w14:paraId="0E1FD8BD" w14:textId="77777777" w:rsidR="0057749F" w:rsidRPr="00D05066" w:rsidRDefault="0057749F" w:rsidP="00974C9D">
            <w:pPr>
              <w:tabs>
                <w:tab w:val="left" w:pos="2160"/>
              </w:tabs>
              <w:spacing w:line="264" w:lineRule="auto"/>
              <w:rPr>
                <w:bCs/>
              </w:rPr>
            </w:pPr>
          </w:p>
          <w:p w14:paraId="28AD0C9F" w14:textId="77777777" w:rsidR="00974C9D" w:rsidRDefault="0057749F" w:rsidP="00974C9D">
            <w:pPr>
              <w:tabs>
                <w:tab w:val="left" w:pos="2160"/>
              </w:tabs>
              <w:spacing w:line="264" w:lineRule="auto"/>
              <w:rPr>
                <w:bCs/>
              </w:rPr>
            </w:pPr>
            <w:r w:rsidRPr="00D05066">
              <w:rPr>
                <w:bCs/>
              </w:rPr>
              <w:tab/>
              <w:t>Respondents.</w:t>
            </w:r>
          </w:p>
          <w:p w14:paraId="76CA8A1F" w14:textId="11CA05C8" w:rsidR="000A30D2" w:rsidRPr="00D05066" w:rsidRDefault="002B0C40" w:rsidP="00974C9D">
            <w:pPr>
              <w:tabs>
                <w:tab w:val="left" w:pos="2160"/>
              </w:tabs>
              <w:spacing w:line="264" w:lineRule="auto"/>
              <w:rPr>
                <w:bCs/>
              </w:rPr>
            </w:pPr>
            <w:r w:rsidRPr="00D05066">
              <w:t>. . . . . . . . . . . . . . . .</w:t>
            </w:r>
            <w:r w:rsidR="004B4A82" w:rsidRPr="00D05066">
              <w:t xml:space="preserve"> . . . . . . . . . . . . . . . </w:t>
            </w:r>
          </w:p>
          <w:p w14:paraId="5321C1B2" w14:textId="77777777" w:rsidR="00AC6325" w:rsidRPr="00D05066" w:rsidRDefault="00AC6325" w:rsidP="00974C9D">
            <w:pPr>
              <w:tabs>
                <w:tab w:val="left" w:pos="2160"/>
              </w:tabs>
              <w:spacing w:line="264" w:lineRule="auto"/>
              <w:rPr>
                <w:bCs/>
              </w:rPr>
            </w:pPr>
          </w:p>
          <w:p w14:paraId="51109C02" w14:textId="77777777" w:rsidR="0057749F" w:rsidRPr="00D05066" w:rsidRDefault="0057749F" w:rsidP="00974C9D">
            <w:pPr>
              <w:tabs>
                <w:tab w:val="left" w:pos="2160"/>
              </w:tabs>
              <w:spacing w:line="264" w:lineRule="auto"/>
              <w:rPr>
                <w:bCs/>
              </w:rPr>
            </w:pPr>
            <w:r w:rsidRPr="00D05066">
              <w:rPr>
                <w:bCs/>
              </w:rPr>
              <w:t>CITY OF WOODINVILLE,</w:t>
            </w:r>
          </w:p>
          <w:p w14:paraId="053DEA79" w14:textId="77777777" w:rsidR="0057749F" w:rsidRPr="00D05066" w:rsidRDefault="0057749F" w:rsidP="00974C9D">
            <w:pPr>
              <w:tabs>
                <w:tab w:val="left" w:pos="2160"/>
              </w:tabs>
              <w:spacing w:line="264" w:lineRule="auto"/>
              <w:rPr>
                <w:bCs/>
              </w:rPr>
            </w:pPr>
          </w:p>
          <w:p w14:paraId="3358CD18" w14:textId="77777777" w:rsidR="0057749F" w:rsidRPr="00D05066" w:rsidRDefault="0057749F" w:rsidP="00974C9D">
            <w:pPr>
              <w:tabs>
                <w:tab w:val="left" w:pos="2160"/>
              </w:tabs>
              <w:spacing w:line="264" w:lineRule="auto"/>
              <w:rPr>
                <w:bCs/>
              </w:rPr>
            </w:pPr>
            <w:r w:rsidRPr="00D05066">
              <w:rPr>
                <w:bCs/>
              </w:rPr>
              <w:tab/>
              <w:t>Petitioner,</w:t>
            </w:r>
          </w:p>
          <w:p w14:paraId="70C0E0D7" w14:textId="77777777" w:rsidR="0057749F" w:rsidRPr="00D05066" w:rsidRDefault="0057749F" w:rsidP="00974C9D">
            <w:pPr>
              <w:tabs>
                <w:tab w:val="left" w:pos="2160"/>
              </w:tabs>
              <w:spacing w:line="264" w:lineRule="auto"/>
              <w:rPr>
                <w:bCs/>
              </w:rPr>
            </w:pPr>
          </w:p>
          <w:p w14:paraId="327E911E" w14:textId="77777777" w:rsidR="0057749F" w:rsidRPr="00D05066" w:rsidRDefault="0057749F" w:rsidP="00974C9D">
            <w:pPr>
              <w:tabs>
                <w:tab w:val="left" w:pos="2160"/>
              </w:tabs>
              <w:spacing w:line="264" w:lineRule="auto"/>
              <w:rPr>
                <w:bCs/>
              </w:rPr>
            </w:pPr>
            <w:r w:rsidRPr="00D05066">
              <w:rPr>
                <w:bCs/>
              </w:rPr>
              <w:t>v.</w:t>
            </w:r>
          </w:p>
          <w:p w14:paraId="3C91ECDD" w14:textId="77777777" w:rsidR="0057749F" w:rsidRPr="00D05066" w:rsidRDefault="0057749F" w:rsidP="00974C9D">
            <w:pPr>
              <w:tabs>
                <w:tab w:val="left" w:pos="2160"/>
              </w:tabs>
              <w:spacing w:line="264" w:lineRule="auto"/>
              <w:rPr>
                <w:bCs/>
              </w:rPr>
            </w:pPr>
          </w:p>
          <w:p w14:paraId="4538A045" w14:textId="77777777" w:rsidR="0057749F" w:rsidRPr="00D05066" w:rsidRDefault="0057749F" w:rsidP="00974C9D">
            <w:pPr>
              <w:tabs>
                <w:tab w:val="left" w:pos="2160"/>
              </w:tabs>
              <w:spacing w:line="264" w:lineRule="auto"/>
              <w:rPr>
                <w:bCs/>
              </w:rPr>
            </w:pPr>
            <w:r w:rsidRPr="00D05066">
              <w:rPr>
                <w:bCs/>
              </w:rPr>
              <w:t>EASTSIDE COMMUNITY RAIL, KING COUNTY, BALLARD TERMINAL RAIL, AND WASHINGTON STATE DEPARTMENT OF TRANSPORTATION,</w:t>
            </w:r>
          </w:p>
          <w:p w14:paraId="28694392" w14:textId="77777777" w:rsidR="0057749F" w:rsidRPr="00D05066" w:rsidRDefault="0057749F" w:rsidP="00974C9D">
            <w:pPr>
              <w:tabs>
                <w:tab w:val="left" w:pos="2160"/>
              </w:tabs>
              <w:spacing w:line="264" w:lineRule="auto"/>
              <w:rPr>
                <w:bCs/>
              </w:rPr>
            </w:pPr>
          </w:p>
          <w:p w14:paraId="6951FCF9" w14:textId="77777777" w:rsidR="004C3BD5" w:rsidRPr="00D05066" w:rsidRDefault="0057749F" w:rsidP="00974C9D">
            <w:pPr>
              <w:tabs>
                <w:tab w:val="left" w:pos="2160"/>
              </w:tabs>
              <w:spacing w:line="264" w:lineRule="auto"/>
            </w:pPr>
            <w:r w:rsidRPr="00D05066">
              <w:rPr>
                <w:bCs/>
              </w:rPr>
              <w:tab/>
              <w:t>Respondents.</w:t>
            </w:r>
          </w:p>
          <w:p w14:paraId="0962BA7F" w14:textId="586DA2AD" w:rsidR="00892A0D" w:rsidRPr="00D05066" w:rsidRDefault="00892A0D" w:rsidP="00974C9D">
            <w:pPr>
              <w:pStyle w:val="BodyText"/>
              <w:tabs>
                <w:tab w:val="left" w:pos="2174"/>
              </w:tabs>
              <w:spacing w:line="264" w:lineRule="auto"/>
              <w:jc w:val="left"/>
            </w:pPr>
            <w:r w:rsidRPr="00D05066">
              <w:t>. . . . . . . . . . . . . . . .</w:t>
            </w:r>
            <w:r w:rsidR="004B4A82" w:rsidRPr="00D05066">
              <w:t xml:space="preserve"> . . . . . . . . . . . . . . </w:t>
            </w:r>
            <w:r w:rsidR="004C3BD5" w:rsidRPr="00D05066">
              <w:t xml:space="preserve">. . </w:t>
            </w:r>
            <w:r w:rsidR="0056698B">
              <w:t xml:space="preserve">. </w:t>
            </w:r>
          </w:p>
        </w:tc>
        <w:tc>
          <w:tcPr>
            <w:tcW w:w="296" w:type="dxa"/>
          </w:tcPr>
          <w:p w14:paraId="2B994C0A" w14:textId="77777777" w:rsidR="00892A0D" w:rsidRPr="00D05066" w:rsidRDefault="00892A0D" w:rsidP="00974C9D">
            <w:pPr>
              <w:pStyle w:val="BodyText"/>
              <w:spacing w:line="264" w:lineRule="auto"/>
              <w:jc w:val="left"/>
            </w:pPr>
            <w:r w:rsidRPr="00D05066">
              <w:t>)</w:t>
            </w:r>
          </w:p>
          <w:p w14:paraId="3306F46D" w14:textId="77777777" w:rsidR="00892A0D" w:rsidRPr="00D05066" w:rsidRDefault="00892A0D" w:rsidP="00974C9D">
            <w:pPr>
              <w:pStyle w:val="BodyText"/>
              <w:spacing w:line="264" w:lineRule="auto"/>
              <w:jc w:val="left"/>
            </w:pPr>
            <w:r w:rsidRPr="00D05066">
              <w:t>)</w:t>
            </w:r>
          </w:p>
          <w:p w14:paraId="2CDBB671" w14:textId="77777777" w:rsidR="00892A0D" w:rsidRPr="00D05066" w:rsidRDefault="00892A0D" w:rsidP="00974C9D">
            <w:pPr>
              <w:pStyle w:val="BodyText"/>
              <w:spacing w:line="264" w:lineRule="auto"/>
              <w:jc w:val="left"/>
            </w:pPr>
            <w:r w:rsidRPr="00D05066">
              <w:t>)</w:t>
            </w:r>
          </w:p>
          <w:p w14:paraId="03F2D36A" w14:textId="77777777" w:rsidR="00892A0D" w:rsidRPr="00D05066" w:rsidRDefault="00892A0D" w:rsidP="00974C9D">
            <w:pPr>
              <w:pStyle w:val="BodyText"/>
              <w:spacing w:line="264" w:lineRule="auto"/>
              <w:jc w:val="left"/>
            </w:pPr>
            <w:r w:rsidRPr="00D05066">
              <w:t>)</w:t>
            </w:r>
          </w:p>
          <w:p w14:paraId="15A52C21" w14:textId="77777777" w:rsidR="00892A0D" w:rsidRPr="00D05066" w:rsidRDefault="00892A0D" w:rsidP="00974C9D">
            <w:pPr>
              <w:pStyle w:val="BodyText"/>
              <w:spacing w:line="264" w:lineRule="auto"/>
              <w:jc w:val="left"/>
            </w:pPr>
            <w:r w:rsidRPr="00D05066">
              <w:t>)</w:t>
            </w:r>
          </w:p>
          <w:p w14:paraId="7C9A9E50" w14:textId="77777777" w:rsidR="00892A0D" w:rsidRPr="00D05066" w:rsidRDefault="00892A0D" w:rsidP="00974C9D">
            <w:pPr>
              <w:pStyle w:val="BodyText"/>
              <w:spacing w:line="264" w:lineRule="auto"/>
              <w:jc w:val="left"/>
            </w:pPr>
            <w:r w:rsidRPr="00D05066">
              <w:t>)</w:t>
            </w:r>
          </w:p>
          <w:p w14:paraId="52B86955" w14:textId="77777777" w:rsidR="00892A0D" w:rsidRPr="00D05066" w:rsidRDefault="00892A0D" w:rsidP="00974C9D">
            <w:pPr>
              <w:pStyle w:val="BodyText"/>
              <w:spacing w:line="264" w:lineRule="auto"/>
              <w:jc w:val="left"/>
            </w:pPr>
            <w:r w:rsidRPr="00D05066">
              <w:t>)</w:t>
            </w:r>
          </w:p>
          <w:p w14:paraId="07ADCEE7" w14:textId="77777777" w:rsidR="00892A0D" w:rsidRPr="00D05066" w:rsidRDefault="00892A0D" w:rsidP="00974C9D">
            <w:pPr>
              <w:pStyle w:val="BodyText"/>
              <w:spacing w:line="264" w:lineRule="auto"/>
              <w:jc w:val="left"/>
            </w:pPr>
            <w:r w:rsidRPr="00D05066">
              <w:t>)</w:t>
            </w:r>
          </w:p>
          <w:p w14:paraId="31E73269" w14:textId="77777777" w:rsidR="00892A0D" w:rsidRPr="00D05066" w:rsidRDefault="00892A0D" w:rsidP="00974C9D">
            <w:pPr>
              <w:pStyle w:val="BodyText"/>
              <w:spacing w:line="264" w:lineRule="auto"/>
              <w:jc w:val="left"/>
            </w:pPr>
            <w:r w:rsidRPr="00D05066">
              <w:t>)</w:t>
            </w:r>
          </w:p>
          <w:p w14:paraId="0D85AC5B" w14:textId="77777777" w:rsidR="00892A0D" w:rsidRPr="00D05066" w:rsidRDefault="00892A0D" w:rsidP="00974C9D">
            <w:pPr>
              <w:pStyle w:val="BodyText"/>
              <w:spacing w:line="264" w:lineRule="auto"/>
              <w:jc w:val="left"/>
            </w:pPr>
            <w:r w:rsidRPr="00D05066">
              <w:t>)</w:t>
            </w:r>
          </w:p>
          <w:p w14:paraId="5C31DA1A" w14:textId="77777777" w:rsidR="00892A0D" w:rsidRPr="00D05066" w:rsidRDefault="00892A0D" w:rsidP="00974C9D">
            <w:pPr>
              <w:pStyle w:val="BodyText"/>
              <w:spacing w:line="264" w:lineRule="auto"/>
              <w:jc w:val="left"/>
            </w:pPr>
            <w:r w:rsidRPr="00D05066">
              <w:t>)</w:t>
            </w:r>
          </w:p>
          <w:p w14:paraId="7F88F660" w14:textId="77777777" w:rsidR="000A30D2" w:rsidRPr="00D05066" w:rsidRDefault="002B5FB3" w:rsidP="00974C9D">
            <w:pPr>
              <w:pStyle w:val="BodyText"/>
              <w:spacing w:line="264" w:lineRule="auto"/>
              <w:jc w:val="left"/>
            </w:pPr>
            <w:r w:rsidRPr="00D05066">
              <w:t>)</w:t>
            </w:r>
          </w:p>
          <w:p w14:paraId="4460C666" w14:textId="77777777" w:rsidR="002B5FB3" w:rsidRPr="00D05066" w:rsidRDefault="002B5FB3" w:rsidP="00974C9D">
            <w:pPr>
              <w:pStyle w:val="BodyText"/>
              <w:spacing w:line="264" w:lineRule="auto"/>
              <w:jc w:val="left"/>
            </w:pPr>
            <w:r w:rsidRPr="00D05066">
              <w:t>)</w:t>
            </w:r>
          </w:p>
          <w:p w14:paraId="4FA804E8" w14:textId="77777777" w:rsidR="002B5FB3" w:rsidRPr="00D05066" w:rsidRDefault="002B5FB3" w:rsidP="00974C9D">
            <w:pPr>
              <w:pStyle w:val="BodyText"/>
              <w:spacing w:line="264" w:lineRule="auto"/>
              <w:jc w:val="left"/>
            </w:pPr>
            <w:r w:rsidRPr="00D05066">
              <w:t>)</w:t>
            </w:r>
          </w:p>
          <w:p w14:paraId="7BD1078D" w14:textId="77777777" w:rsidR="002B5FB3" w:rsidRPr="00D05066" w:rsidRDefault="002B5FB3" w:rsidP="00974C9D">
            <w:pPr>
              <w:pStyle w:val="BodyText"/>
              <w:spacing w:line="264" w:lineRule="auto"/>
              <w:jc w:val="left"/>
            </w:pPr>
            <w:r w:rsidRPr="00D05066">
              <w:t>)</w:t>
            </w:r>
          </w:p>
          <w:p w14:paraId="1D1BB32C" w14:textId="77777777" w:rsidR="002B5FB3" w:rsidRPr="00D05066" w:rsidRDefault="002B5FB3" w:rsidP="00974C9D">
            <w:pPr>
              <w:pStyle w:val="BodyText"/>
              <w:spacing w:line="264" w:lineRule="auto"/>
              <w:jc w:val="left"/>
            </w:pPr>
            <w:r w:rsidRPr="00D05066">
              <w:t>)</w:t>
            </w:r>
          </w:p>
          <w:p w14:paraId="4AB557B4" w14:textId="77777777" w:rsidR="002B5FB3" w:rsidRPr="00D05066" w:rsidRDefault="002B5FB3" w:rsidP="00974C9D">
            <w:pPr>
              <w:pStyle w:val="BodyText"/>
              <w:spacing w:line="264" w:lineRule="auto"/>
              <w:jc w:val="left"/>
            </w:pPr>
            <w:r w:rsidRPr="00D05066">
              <w:t>)</w:t>
            </w:r>
          </w:p>
          <w:p w14:paraId="29F2817D" w14:textId="77777777" w:rsidR="002B5FB3" w:rsidRPr="00D05066" w:rsidRDefault="002B5FB3" w:rsidP="00974C9D">
            <w:pPr>
              <w:pStyle w:val="BodyText"/>
              <w:spacing w:line="264" w:lineRule="auto"/>
              <w:jc w:val="left"/>
            </w:pPr>
            <w:r w:rsidRPr="00D05066">
              <w:t>)</w:t>
            </w:r>
          </w:p>
          <w:p w14:paraId="575E5DDE" w14:textId="77777777" w:rsidR="002B5FB3" w:rsidRPr="00D05066" w:rsidRDefault="002B5FB3" w:rsidP="00974C9D">
            <w:pPr>
              <w:pStyle w:val="BodyText"/>
              <w:spacing w:line="264" w:lineRule="auto"/>
              <w:jc w:val="left"/>
            </w:pPr>
            <w:r w:rsidRPr="00D05066">
              <w:t>)</w:t>
            </w:r>
          </w:p>
          <w:p w14:paraId="5A43F619" w14:textId="77777777" w:rsidR="002B5FB3" w:rsidRPr="00D05066" w:rsidRDefault="002B5FB3" w:rsidP="00974C9D">
            <w:pPr>
              <w:pStyle w:val="BodyText"/>
              <w:spacing w:line="264" w:lineRule="auto"/>
              <w:jc w:val="left"/>
            </w:pPr>
            <w:r w:rsidRPr="00D05066">
              <w:t>)</w:t>
            </w:r>
          </w:p>
          <w:p w14:paraId="7C44FEDC" w14:textId="77777777" w:rsidR="002B5FB3" w:rsidRPr="00D05066" w:rsidRDefault="002B5FB3" w:rsidP="00974C9D">
            <w:pPr>
              <w:pStyle w:val="BodyText"/>
              <w:spacing w:line="264" w:lineRule="auto"/>
              <w:jc w:val="left"/>
            </w:pPr>
            <w:r w:rsidRPr="00D05066">
              <w:t>)</w:t>
            </w:r>
          </w:p>
          <w:p w14:paraId="7DF23FB2" w14:textId="77777777" w:rsidR="002B5FB3" w:rsidRPr="00D05066" w:rsidRDefault="002B5FB3" w:rsidP="00974C9D">
            <w:pPr>
              <w:pStyle w:val="BodyText"/>
              <w:spacing w:line="264" w:lineRule="auto"/>
              <w:jc w:val="left"/>
            </w:pPr>
            <w:r w:rsidRPr="00D05066">
              <w:t>)</w:t>
            </w:r>
          </w:p>
          <w:p w14:paraId="51828095" w14:textId="77777777" w:rsidR="004B4A82" w:rsidRPr="00D05066" w:rsidRDefault="004B4A82" w:rsidP="00974C9D">
            <w:pPr>
              <w:pStyle w:val="BodyText"/>
              <w:spacing w:line="264" w:lineRule="auto"/>
              <w:jc w:val="left"/>
            </w:pPr>
            <w:r w:rsidRPr="00D05066">
              <w:t>)</w:t>
            </w:r>
          </w:p>
          <w:p w14:paraId="168BA3C8" w14:textId="77777777" w:rsidR="004C3BD5" w:rsidRPr="00D05066" w:rsidRDefault="004C3BD5" w:rsidP="00974C9D">
            <w:pPr>
              <w:pStyle w:val="BodyText"/>
              <w:spacing w:line="264" w:lineRule="auto"/>
              <w:jc w:val="left"/>
            </w:pPr>
            <w:r w:rsidRPr="00D05066">
              <w:t>)</w:t>
            </w:r>
          </w:p>
          <w:p w14:paraId="0616E65C" w14:textId="77777777" w:rsidR="0057749F" w:rsidRPr="00D05066" w:rsidRDefault="0057749F" w:rsidP="00974C9D">
            <w:pPr>
              <w:pStyle w:val="BodyText"/>
              <w:spacing w:line="264" w:lineRule="auto"/>
              <w:jc w:val="left"/>
            </w:pPr>
            <w:r w:rsidRPr="00D05066">
              <w:t>)</w:t>
            </w:r>
          </w:p>
          <w:p w14:paraId="378FFB77" w14:textId="77777777" w:rsidR="0057749F" w:rsidRPr="00D05066" w:rsidRDefault="0057749F" w:rsidP="00974C9D">
            <w:pPr>
              <w:pStyle w:val="BodyText"/>
              <w:spacing w:line="264" w:lineRule="auto"/>
              <w:jc w:val="left"/>
            </w:pPr>
            <w:r w:rsidRPr="00D05066">
              <w:t>)</w:t>
            </w:r>
          </w:p>
          <w:p w14:paraId="29AEC5DF" w14:textId="77777777" w:rsidR="0057749F" w:rsidRPr="00D05066" w:rsidRDefault="0057749F" w:rsidP="00974C9D">
            <w:pPr>
              <w:pStyle w:val="BodyText"/>
              <w:spacing w:line="264" w:lineRule="auto"/>
              <w:jc w:val="left"/>
            </w:pPr>
            <w:r w:rsidRPr="00D05066">
              <w:t>)</w:t>
            </w:r>
          </w:p>
          <w:p w14:paraId="30E9B3FC" w14:textId="77777777" w:rsidR="0057749F" w:rsidRPr="00D05066" w:rsidRDefault="0057749F" w:rsidP="00974C9D">
            <w:pPr>
              <w:pStyle w:val="BodyText"/>
              <w:spacing w:line="264" w:lineRule="auto"/>
              <w:jc w:val="left"/>
            </w:pPr>
            <w:r w:rsidRPr="00D05066">
              <w:t>)</w:t>
            </w:r>
          </w:p>
          <w:p w14:paraId="10AA9853" w14:textId="77777777" w:rsidR="0057749F" w:rsidRPr="00D05066" w:rsidRDefault="0057749F" w:rsidP="00974C9D">
            <w:pPr>
              <w:pStyle w:val="BodyText"/>
              <w:spacing w:line="264" w:lineRule="auto"/>
              <w:jc w:val="left"/>
            </w:pPr>
            <w:r w:rsidRPr="00D05066">
              <w:t>)</w:t>
            </w:r>
          </w:p>
          <w:p w14:paraId="7BA27074" w14:textId="77777777" w:rsidR="00AC6325" w:rsidRPr="00D05066" w:rsidRDefault="00AC6325" w:rsidP="00974C9D">
            <w:pPr>
              <w:pStyle w:val="BodyText"/>
              <w:spacing w:line="264" w:lineRule="auto"/>
              <w:jc w:val="left"/>
            </w:pPr>
            <w:r w:rsidRPr="00D05066">
              <w:t>)</w:t>
            </w:r>
          </w:p>
        </w:tc>
        <w:tc>
          <w:tcPr>
            <w:tcW w:w="4185" w:type="dxa"/>
          </w:tcPr>
          <w:p w14:paraId="21C11D36" w14:textId="77777777" w:rsidR="00892A0D" w:rsidRPr="00D05066" w:rsidRDefault="00892A0D" w:rsidP="00974C9D">
            <w:pPr>
              <w:pStyle w:val="BodyText"/>
              <w:spacing w:line="264" w:lineRule="auto"/>
              <w:jc w:val="left"/>
            </w:pPr>
            <w:r w:rsidRPr="00D05066">
              <w:t xml:space="preserve">DOCKET </w:t>
            </w:r>
            <w:r w:rsidR="0057749F" w:rsidRPr="00D05066">
              <w:t>TR-143902</w:t>
            </w:r>
          </w:p>
          <w:p w14:paraId="088A58E4" w14:textId="77777777" w:rsidR="00892A0D" w:rsidRPr="00D05066" w:rsidRDefault="00F16302" w:rsidP="00974C9D">
            <w:pPr>
              <w:pStyle w:val="BodyText"/>
              <w:spacing w:line="264" w:lineRule="auto"/>
              <w:jc w:val="left"/>
            </w:pPr>
            <w:r w:rsidRPr="00D05066">
              <w:t>(</w:t>
            </w:r>
            <w:r w:rsidRPr="00D05066">
              <w:rPr>
                <w:i/>
              </w:rPr>
              <w:t>Consolidated</w:t>
            </w:r>
            <w:r w:rsidRPr="00D05066">
              <w:t>)</w:t>
            </w:r>
            <w:r w:rsidRPr="00D05066">
              <w:rPr>
                <w:i/>
              </w:rPr>
              <w:t xml:space="preserve"> </w:t>
            </w:r>
          </w:p>
          <w:p w14:paraId="3E80E61D" w14:textId="77777777" w:rsidR="00892A0D" w:rsidRPr="00D05066" w:rsidRDefault="00892A0D" w:rsidP="00974C9D">
            <w:pPr>
              <w:pStyle w:val="BodyText"/>
              <w:spacing w:line="264" w:lineRule="auto"/>
              <w:jc w:val="left"/>
            </w:pPr>
            <w:bookmarkStart w:id="0" w:name="_GoBack"/>
            <w:bookmarkEnd w:id="0"/>
          </w:p>
          <w:p w14:paraId="7208C4B8" w14:textId="77777777" w:rsidR="00892A0D" w:rsidRPr="00D05066" w:rsidRDefault="00892A0D" w:rsidP="00974C9D">
            <w:pPr>
              <w:pStyle w:val="BodyText"/>
              <w:spacing w:line="264" w:lineRule="auto"/>
              <w:jc w:val="left"/>
            </w:pPr>
            <w:r w:rsidRPr="00D05066">
              <w:t>ORDER 0</w:t>
            </w:r>
            <w:r w:rsidR="00051123" w:rsidRPr="00D05066">
              <w:t>2</w:t>
            </w:r>
          </w:p>
          <w:p w14:paraId="556FAD0C" w14:textId="77777777" w:rsidR="00892A0D" w:rsidRPr="00D05066" w:rsidRDefault="00892A0D" w:rsidP="00974C9D">
            <w:pPr>
              <w:pStyle w:val="BodyText"/>
              <w:spacing w:line="264" w:lineRule="auto"/>
              <w:jc w:val="left"/>
            </w:pPr>
          </w:p>
          <w:p w14:paraId="384E75E8" w14:textId="77777777" w:rsidR="00CC64FE" w:rsidRPr="00D05066" w:rsidRDefault="00CC64FE" w:rsidP="00974C9D">
            <w:pPr>
              <w:pStyle w:val="BodyText"/>
              <w:spacing w:line="264" w:lineRule="auto"/>
              <w:jc w:val="left"/>
            </w:pPr>
          </w:p>
          <w:p w14:paraId="350E293D" w14:textId="77777777" w:rsidR="006D2993" w:rsidRPr="00D05066" w:rsidRDefault="006D2993" w:rsidP="00974C9D">
            <w:pPr>
              <w:spacing w:line="264" w:lineRule="auto"/>
              <w:rPr>
                <w:b/>
              </w:rPr>
            </w:pPr>
          </w:p>
          <w:p w14:paraId="7B50C879" w14:textId="77777777" w:rsidR="00892A0D" w:rsidRPr="00D05066" w:rsidRDefault="00892A0D" w:rsidP="00974C9D">
            <w:pPr>
              <w:pStyle w:val="BodyText"/>
              <w:spacing w:line="264" w:lineRule="auto"/>
              <w:jc w:val="left"/>
            </w:pPr>
          </w:p>
          <w:p w14:paraId="6527B674" w14:textId="77777777" w:rsidR="002B0C40" w:rsidRPr="00D05066" w:rsidRDefault="002B0C40" w:rsidP="00974C9D">
            <w:pPr>
              <w:pStyle w:val="BodyText"/>
              <w:spacing w:line="264" w:lineRule="auto"/>
              <w:jc w:val="left"/>
            </w:pPr>
          </w:p>
          <w:p w14:paraId="3F8F5A94" w14:textId="77777777" w:rsidR="002B0C40" w:rsidRPr="00D05066" w:rsidRDefault="002B0C40" w:rsidP="00974C9D">
            <w:pPr>
              <w:pStyle w:val="BodyText"/>
              <w:spacing w:line="264" w:lineRule="auto"/>
              <w:jc w:val="left"/>
            </w:pPr>
          </w:p>
          <w:p w14:paraId="7992C2D1" w14:textId="77777777" w:rsidR="002B0C40" w:rsidRPr="00D05066" w:rsidRDefault="002B0C40" w:rsidP="00974C9D">
            <w:pPr>
              <w:pStyle w:val="BodyText"/>
              <w:spacing w:line="264" w:lineRule="auto"/>
              <w:jc w:val="left"/>
            </w:pPr>
          </w:p>
          <w:p w14:paraId="0E48D114" w14:textId="77777777" w:rsidR="002B0C40" w:rsidRPr="00D05066" w:rsidRDefault="002B0C40" w:rsidP="00974C9D">
            <w:pPr>
              <w:pStyle w:val="BodyText"/>
              <w:spacing w:line="264" w:lineRule="auto"/>
              <w:jc w:val="left"/>
            </w:pPr>
          </w:p>
          <w:p w14:paraId="1A899734" w14:textId="77777777" w:rsidR="002B0C40" w:rsidRPr="00D05066" w:rsidRDefault="002B0C40" w:rsidP="00974C9D">
            <w:pPr>
              <w:pStyle w:val="BodyText"/>
              <w:spacing w:line="264" w:lineRule="auto"/>
              <w:jc w:val="left"/>
            </w:pPr>
          </w:p>
          <w:p w14:paraId="2B7A5C71" w14:textId="77777777" w:rsidR="0057749F" w:rsidRPr="00D05066" w:rsidRDefault="0057749F" w:rsidP="00974C9D">
            <w:pPr>
              <w:pStyle w:val="BodyText"/>
              <w:spacing w:line="264" w:lineRule="auto"/>
              <w:jc w:val="left"/>
            </w:pPr>
          </w:p>
          <w:p w14:paraId="10391785" w14:textId="77777777" w:rsidR="00AC6325" w:rsidRPr="00D05066" w:rsidRDefault="00AC6325" w:rsidP="00974C9D">
            <w:pPr>
              <w:pStyle w:val="BodyText"/>
              <w:spacing w:line="264" w:lineRule="auto"/>
              <w:jc w:val="left"/>
            </w:pPr>
          </w:p>
          <w:p w14:paraId="2A6BB05E" w14:textId="77777777" w:rsidR="00974C9D" w:rsidRDefault="002B0C40" w:rsidP="00974C9D">
            <w:pPr>
              <w:pStyle w:val="BodyText"/>
              <w:spacing w:line="264" w:lineRule="auto"/>
              <w:jc w:val="left"/>
            </w:pPr>
            <w:r w:rsidRPr="00D05066">
              <w:t xml:space="preserve">Docket </w:t>
            </w:r>
            <w:r w:rsidR="007E680F" w:rsidRPr="00D05066">
              <w:t>TR</w:t>
            </w:r>
            <w:r w:rsidRPr="00D05066">
              <w:t>-143</w:t>
            </w:r>
            <w:r w:rsidR="0057749F" w:rsidRPr="00D05066">
              <w:t>903</w:t>
            </w:r>
          </w:p>
          <w:p w14:paraId="79481331" w14:textId="0059C145" w:rsidR="002B0C40" w:rsidRPr="00D05066" w:rsidRDefault="002B0C40" w:rsidP="00974C9D">
            <w:pPr>
              <w:pStyle w:val="BodyText"/>
              <w:spacing w:line="264" w:lineRule="auto"/>
              <w:jc w:val="left"/>
            </w:pPr>
            <w:r w:rsidRPr="00D05066">
              <w:t>(</w:t>
            </w:r>
            <w:r w:rsidRPr="00D05066">
              <w:rPr>
                <w:i/>
              </w:rPr>
              <w:t>Consolidated</w:t>
            </w:r>
            <w:r w:rsidRPr="00D05066">
              <w:t>)</w:t>
            </w:r>
            <w:r w:rsidRPr="00D05066">
              <w:rPr>
                <w:i/>
              </w:rPr>
              <w:t xml:space="preserve"> </w:t>
            </w:r>
          </w:p>
          <w:p w14:paraId="5D1542C0" w14:textId="77777777" w:rsidR="002B0C40" w:rsidRPr="00D05066" w:rsidRDefault="002B0C40" w:rsidP="00974C9D">
            <w:pPr>
              <w:pStyle w:val="BodyText"/>
              <w:spacing w:line="264" w:lineRule="auto"/>
              <w:jc w:val="left"/>
            </w:pPr>
          </w:p>
          <w:p w14:paraId="13AE94A6" w14:textId="77777777" w:rsidR="002B0C40" w:rsidRPr="00D05066" w:rsidRDefault="002B0C40" w:rsidP="00974C9D">
            <w:pPr>
              <w:pStyle w:val="BodyText"/>
              <w:spacing w:line="264" w:lineRule="auto"/>
              <w:jc w:val="left"/>
            </w:pPr>
            <w:r w:rsidRPr="00D05066">
              <w:t>ORDER 0</w:t>
            </w:r>
            <w:r w:rsidR="00051123" w:rsidRPr="00D05066">
              <w:t>2</w:t>
            </w:r>
          </w:p>
          <w:p w14:paraId="2B895010" w14:textId="77777777" w:rsidR="002B0C40" w:rsidRPr="00D05066" w:rsidRDefault="002B0C40" w:rsidP="00974C9D">
            <w:pPr>
              <w:spacing w:line="264" w:lineRule="auto"/>
            </w:pPr>
          </w:p>
          <w:p w14:paraId="4DD152A6" w14:textId="77777777" w:rsidR="0057749F" w:rsidRPr="00D05066" w:rsidRDefault="0057749F" w:rsidP="00974C9D">
            <w:pPr>
              <w:spacing w:line="264" w:lineRule="auto"/>
            </w:pPr>
          </w:p>
          <w:p w14:paraId="725C862A" w14:textId="77777777" w:rsidR="00051123" w:rsidRPr="00D05066" w:rsidRDefault="00051123" w:rsidP="00974C9D">
            <w:pPr>
              <w:spacing w:line="264" w:lineRule="auto"/>
            </w:pPr>
            <w:r w:rsidRPr="00D05066">
              <w:t xml:space="preserve">ORDER </w:t>
            </w:r>
            <w:r w:rsidR="00613C10" w:rsidRPr="00D05066">
              <w:t>GRANTING</w:t>
            </w:r>
            <w:r w:rsidRPr="00D05066">
              <w:t xml:space="preserve"> </w:t>
            </w:r>
            <w:r w:rsidR="00613C10" w:rsidRPr="00D05066">
              <w:t>MOTION</w:t>
            </w:r>
            <w:r w:rsidRPr="00D05066">
              <w:t xml:space="preserve"> FOR </w:t>
            </w:r>
            <w:r w:rsidR="00613C10" w:rsidRPr="00D05066">
              <w:t xml:space="preserve">PARTIAL </w:t>
            </w:r>
            <w:r w:rsidRPr="00D05066">
              <w:t>SUMMARY DETERMINATION</w:t>
            </w:r>
            <w:r w:rsidR="00211B51" w:rsidRPr="00D05066">
              <w:t>; REQUIRING FILING OF SETTLEMENT DOCUMENTS OR STATUS REPORT</w:t>
            </w:r>
          </w:p>
          <w:p w14:paraId="6293ED9F" w14:textId="77777777" w:rsidR="002B0C40" w:rsidRPr="00D05066" w:rsidRDefault="00211B51" w:rsidP="00974C9D">
            <w:pPr>
              <w:spacing w:line="264" w:lineRule="auto"/>
              <w:ind w:right="162"/>
              <w:rPr>
                <w:b/>
              </w:rPr>
            </w:pPr>
            <w:r w:rsidRPr="00D05066">
              <w:t>(</w:t>
            </w:r>
            <w:r w:rsidRPr="00D05066">
              <w:rPr>
                <w:b/>
              </w:rPr>
              <w:t xml:space="preserve">By </w:t>
            </w:r>
            <w:r w:rsidR="004940D3">
              <w:rPr>
                <w:b/>
              </w:rPr>
              <w:t>December 2</w:t>
            </w:r>
            <w:r w:rsidRPr="00D05066">
              <w:rPr>
                <w:b/>
              </w:rPr>
              <w:t>, 2015)</w:t>
            </w:r>
          </w:p>
        </w:tc>
      </w:tr>
    </w:tbl>
    <w:p w14:paraId="58C70DAB" w14:textId="5F0F95C4" w:rsidR="00AC6325" w:rsidRPr="00D05066" w:rsidRDefault="00AC6325" w:rsidP="00974C9D">
      <w:pPr>
        <w:spacing w:line="288" w:lineRule="auto"/>
      </w:pPr>
    </w:p>
    <w:p w14:paraId="676434C2" w14:textId="3244001A" w:rsidR="00AC6325" w:rsidRPr="00D05066" w:rsidRDefault="00317DB3" w:rsidP="00974C9D">
      <w:pPr>
        <w:spacing w:line="288" w:lineRule="auto"/>
        <w:jc w:val="center"/>
        <w:rPr>
          <w:b/>
        </w:rPr>
      </w:pPr>
      <w:r>
        <w:rPr>
          <w:b/>
        </w:rPr>
        <w:t>BACKGROUND</w:t>
      </w:r>
    </w:p>
    <w:p w14:paraId="0A48D5F0" w14:textId="77777777" w:rsidR="00F7592B" w:rsidRPr="00D05066" w:rsidRDefault="00F7592B" w:rsidP="00974C9D">
      <w:pPr>
        <w:spacing w:line="288" w:lineRule="auto"/>
        <w:jc w:val="center"/>
        <w:rPr>
          <w:b/>
        </w:rPr>
      </w:pPr>
    </w:p>
    <w:p w14:paraId="028DD37A" w14:textId="73F1759D" w:rsidR="00317DB3" w:rsidRDefault="00051123" w:rsidP="0056698B">
      <w:pPr>
        <w:numPr>
          <w:ilvl w:val="0"/>
          <w:numId w:val="2"/>
        </w:numPr>
        <w:spacing w:line="288" w:lineRule="auto"/>
      </w:pPr>
      <w:r w:rsidRPr="00D05066">
        <w:t xml:space="preserve">On November 18, 2014, the City of Woodinville </w:t>
      </w:r>
      <w:r w:rsidR="00613C10" w:rsidRPr="00D05066">
        <w:t xml:space="preserve">(the City) </w:t>
      </w:r>
      <w:r w:rsidRPr="00D05066">
        <w:t xml:space="preserve">filed petitions </w:t>
      </w:r>
      <w:r w:rsidRPr="00D05066">
        <w:rPr>
          <w:bCs/>
        </w:rPr>
        <w:t xml:space="preserve">seeking approval to </w:t>
      </w:r>
      <w:r w:rsidR="00317DB3">
        <w:rPr>
          <w:bCs/>
        </w:rPr>
        <w:t>modify</w:t>
      </w:r>
      <w:r w:rsidR="00317DB3" w:rsidRPr="00D05066">
        <w:t xml:space="preserve"> two at-grade crossings </w:t>
      </w:r>
      <w:r w:rsidR="009A477E">
        <w:t xml:space="preserve">(Petitions) </w:t>
      </w:r>
      <w:r w:rsidR="00317DB3" w:rsidRPr="00D05066">
        <w:t xml:space="preserve">to accommodate the construction of two additional </w:t>
      </w:r>
      <w:r w:rsidR="00317DB3" w:rsidRPr="00D05066">
        <w:lastRenderedPageBreak/>
        <w:t>lanes of traffic on State Route 202.</w:t>
      </w:r>
      <w:r w:rsidR="00317DB3" w:rsidRPr="00D05066">
        <w:rPr>
          <w:rStyle w:val="FootnoteReference"/>
          <w:bCs/>
        </w:rPr>
        <w:footnoteReference w:id="1"/>
      </w:r>
      <w:r w:rsidR="00317DB3" w:rsidRPr="00D05066">
        <w:rPr>
          <w:bCs/>
        </w:rPr>
        <w:t xml:space="preserve"> </w:t>
      </w:r>
      <w:r w:rsidR="00317DB3" w:rsidRPr="00D05066">
        <w:t xml:space="preserve">The </w:t>
      </w:r>
      <w:r w:rsidR="00317DB3">
        <w:t xml:space="preserve">proposed </w:t>
      </w:r>
      <w:r w:rsidR="00317DB3" w:rsidRPr="00D05066">
        <w:t>modifications at both crossings include updated flashers, automatic gates, and signal preemption at nearby parallel intersections, which will prevent traffic from stopping on the tracks.</w:t>
      </w:r>
    </w:p>
    <w:p w14:paraId="1139FA14" w14:textId="77777777" w:rsidR="00974C9D" w:rsidRDefault="00974C9D" w:rsidP="00974C9D">
      <w:pPr>
        <w:spacing w:line="288" w:lineRule="auto"/>
      </w:pPr>
    </w:p>
    <w:p w14:paraId="27441B66" w14:textId="2BB8FDA8" w:rsidR="00AC6325" w:rsidRDefault="00051123" w:rsidP="00974C9D">
      <w:pPr>
        <w:numPr>
          <w:ilvl w:val="0"/>
          <w:numId w:val="2"/>
        </w:numPr>
        <w:spacing w:line="288" w:lineRule="auto"/>
      </w:pPr>
      <w:r w:rsidRPr="00D05066">
        <w:t xml:space="preserve">On December 29, 2014, the Commission received a letter </w:t>
      </w:r>
      <w:r w:rsidR="004940D3">
        <w:t>from</w:t>
      </w:r>
      <w:r w:rsidRPr="00D05066">
        <w:t xml:space="preserve"> Eastside Community Rail and Ballard Terminal Railroad Company </w:t>
      </w:r>
      <w:r w:rsidR="00613C10" w:rsidRPr="00D05066">
        <w:t xml:space="preserve">(the Railroads) </w:t>
      </w:r>
      <w:r w:rsidRPr="00D05066">
        <w:t>opposing the petitions.</w:t>
      </w:r>
    </w:p>
    <w:p w14:paraId="72E7D904" w14:textId="77777777" w:rsidR="00974C9D" w:rsidRPr="00D05066" w:rsidRDefault="00974C9D" w:rsidP="00974C9D">
      <w:pPr>
        <w:spacing w:line="288" w:lineRule="auto"/>
      </w:pPr>
    </w:p>
    <w:p w14:paraId="196B4F5F" w14:textId="3A845D63" w:rsidR="00317DB3" w:rsidRDefault="00051123" w:rsidP="00974C9D">
      <w:pPr>
        <w:numPr>
          <w:ilvl w:val="0"/>
          <w:numId w:val="2"/>
        </w:numPr>
        <w:spacing w:line="288" w:lineRule="auto"/>
      </w:pPr>
      <w:r w:rsidRPr="00D05066">
        <w:rPr>
          <w:bCs/>
        </w:rPr>
        <w:t xml:space="preserve">On March 19, 2015, the Commission convened a prehearing conference in both proceedings, consolidated the dockets, and adopted a procedural schedule. </w:t>
      </w:r>
      <w:r w:rsidR="00317DB3" w:rsidRPr="00D05066">
        <w:rPr>
          <w:bCs/>
        </w:rPr>
        <w:t xml:space="preserve">On April 13, 2015, the parties participated in a settlement conference mediated by Administrative Law Judge Dennis Moss. </w:t>
      </w:r>
      <w:r w:rsidR="00317DB3" w:rsidRPr="00D05066">
        <w:t xml:space="preserve"> </w:t>
      </w:r>
    </w:p>
    <w:p w14:paraId="02FF74FD" w14:textId="77777777" w:rsidR="00974C9D" w:rsidRPr="00D05066" w:rsidRDefault="00974C9D" w:rsidP="00974C9D">
      <w:pPr>
        <w:spacing w:line="288" w:lineRule="auto"/>
      </w:pPr>
    </w:p>
    <w:p w14:paraId="44D09F3E" w14:textId="7C456431" w:rsidR="00317DB3" w:rsidRPr="00974C9D" w:rsidRDefault="00317DB3" w:rsidP="00974C9D">
      <w:pPr>
        <w:numPr>
          <w:ilvl w:val="0"/>
          <w:numId w:val="2"/>
        </w:numPr>
        <w:spacing w:line="288" w:lineRule="auto"/>
      </w:pPr>
      <w:r w:rsidRPr="00D05066">
        <w:t xml:space="preserve">On April 15, 2015, Staff notified the Commission that the parties had made progress toward settlement during the mediated conference and requested the deadlines for filing testimony be suspended to allow additional time for </w:t>
      </w:r>
      <w:r>
        <w:t>negotiations</w:t>
      </w:r>
      <w:r w:rsidRPr="00D05066">
        <w:t xml:space="preserve">. On August 4, 2015, the parties participated in </w:t>
      </w:r>
      <w:r>
        <w:t xml:space="preserve">a </w:t>
      </w:r>
      <w:r w:rsidRPr="00D05066">
        <w:t>second mediated settlement conference with Judge Moss.</w:t>
      </w:r>
      <w:r>
        <w:t xml:space="preserve"> The parties reached agreement on all issues except the question of whether the City or the Railroads would be responsible for the </w:t>
      </w:r>
      <w:r w:rsidRPr="00D05066">
        <w:rPr>
          <w:bCs/>
        </w:rPr>
        <w:t xml:space="preserve">maintenance </w:t>
      </w:r>
      <w:r>
        <w:rPr>
          <w:bCs/>
        </w:rPr>
        <w:t>costs</w:t>
      </w:r>
      <w:r w:rsidRPr="00D05066">
        <w:rPr>
          <w:bCs/>
        </w:rPr>
        <w:t xml:space="preserve"> </w:t>
      </w:r>
      <w:r>
        <w:rPr>
          <w:bCs/>
        </w:rPr>
        <w:t xml:space="preserve">of </w:t>
      </w:r>
      <w:r w:rsidRPr="00D05066">
        <w:rPr>
          <w:bCs/>
        </w:rPr>
        <w:t xml:space="preserve">the </w:t>
      </w:r>
      <w:r>
        <w:rPr>
          <w:bCs/>
        </w:rPr>
        <w:t>warning devices at both crossings.</w:t>
      </w:r>
      <w:r>
        <w:rPr>
          <w:rStyle w:val="FootnoteReference"/>
          <w:bCs/>
        </w:rPr>
        <w:footnoteReference w:id="2"/>
      </w:r>
      <w:r>
        <w:rPr>
          <w:bCs/>
        </w:rPr>
        <w:t xml:space="preserve"> The parties agreed to resolve that issue through a summary determination proceeding. </w:t>
      </w:r>
    </w:p>
    <w:p w14:paraId="0D21A44A" w14:textId="77777777" w:rsidR="00974C9D" w:rsidRPr="00D05066" w:rsidRDefault="00974C9D" w:rsidP="00974C9D">
      <w:pPr>
        <w:spacing w:line="288" w:lineRule="auto"/>
      </w:pPr>
    </w:p>
    <w:p w14:paraId="1279DC0D" w14:textId="7CABBBEB" w:rsidR="00317DB3" w:rsidRPr="00974C9D" w:rsidRDefault="00317DB3" w:rsidP="00974C9D">
      <w:pPr>
        <w:numPr>
          <w:ilvl w:val="0"/>
          <w:numId w:val="2"/>
        </w:numPr>
        <w:spacing w:line="288" w:lineRule="auto"/>
      </w:pPr>
      <w:r w:rsidRPr="00D05066">
        <w:rPr>
          <w:bCs/>
        </w:rPr>
        <w:t xml:space="preserve">On September 4, 2015, the City filed a Motion for Partial Summary Judgment on Remaining Unresolved Issue </w:t>
      </w:r>
      <w:r>
        <w:rPr>
          <w:bCs/>
        </w:rPr>
        <w:t xml:space="preserve">and Brief in Support of Petitioner’s </w:t>
      </w:r>
      <w:r w:rsidRPr="00D05066">
        <w:rPr>
          <w:bCs/>
        </w:rPr>
        <w:t>Motion for Partial Summary Judgment on Remaining Unresolved Issue</w:t>
      </w:r>
      <w:r>
        <w:rPr>
          <w:bCs/>
        </w:rPr>
        <w:t xml:space="preserve"> (City’s Motion and Brief)</w:t>
      </w:r>
      <w:r w:rsidRPr="00D05066">
        <w:rPr>
          <w:bCs/>
        </w:rPr>
        <w:t>.</w:t>
      </w:r>
      <w:r>
        <w:rPr>
          <w:rStyle w:val="FootnoteReference"/>
          <w:bCs/>
        </w:rPr>
        <w:footnoteReference w:id="3"/>
      </w:r>
      <w:r w:rsidRPr="00D05066">
        <w:rPr>
          <w:bCs/>
        </w:rPr>
        <w:t xml:space="preserve"> </w:t>
      </w:r>
    </w:p>
    <w:p w14:paraId="63551ABC" w14:textId="77777777" w:rsidR="00974C9D" w:rsidRPr="00436EF6" w:rsidRDefault="00974C9D" w:rsidP="00974C9D">
      <w:pPr>
        <w:spacing w:line="288" w:lineRule="auto"/>
      </w:pPr>
    </w:p>
    <w:p w14:paraId="67FB9FFC" w14:textId="4864E270" w:rsidR="00317DB3" w:rsidRPr="00974C9D" w:rsidRDefault="00317DB3" w:rsidP="00974C9D">
      <w:pPr>
        <w:numPr>
          <w:ilvl w:val="0"/>
          <w:numId w:val="2"/>
        </w:numPr>
        <w:spacing w:line="288" w:lineRule="auto"/>
      </w:pPr>
      <w:r w:rsidRPr="00436EF6">
        <w:rPr>
          <w:bCs/>
        </w:rPr>
        <w:lastRenderedPageBreak/>
        <w:t>In its Brief, the City argues that maintenance of the new grade crossing arms included in the WSDOT-approved revised channelization plan for Woodinville’s project should be the sole responsibility of the Railroads. The City quotes the Federal Highway Administration Railroad-Highway Grade Crossing Handbook, which provides that “current procedures place maintenance responsibilities for devices located in the railroad right of way with the railroad.”</w:t>
      </w:r>
      <w:r>
        <w:rPr>
          <w:rStyle w:val="FootnoteReference"/>
          <w:bCs/>
        </w:rPr>
        <w:footnoteReference w:id="4"/>
      </w:r>
      <w:r>
        <w:rPr>
          <w:bCs/>
        </w:rPr>
        <w:t xml:space="preserve"> </w:t>
      </w:r>
      <w:r w:rsidRPr="00436EF6">
        <w:rPr>
          <w:bCs/>
        </w:rPr>
        <w:t>The City also argues that railroad responsibility for maintenance of signals following installation of federally-funded rail crossing projects is recognized by BNSF in its Grade Crossing Safety 2014 Publication, which notes that installation costs are split between federal funds and the local jurisdiction, and “the railroad maintains the s</w:t>
      </w:r>
      <w:r>
        <w:rPr>
          <w:bCs/>
        </w:rPr>
        <w:t xml:space="preserve">ignals from that time forward.” </w:t>
      </w:r>
      <w:r w:rsidRPr="00436EF6">
        <w:rPr>
          <w:bCs/>
        </w:rPr>
        <w:t xml:space="preserve">Finally, the City argues that RCW 81.53.295 requires a railroad to pay for maintenance costs when, as here, a project is partially funded by federal funds.  </w:t>
      </w:r>
    </w:p>
    <w:p w14:paraId="614FBE53" w14:textId="77777777" w:rsidR="00974C9D" w:rsidRPr="00D05066" w:rsidRDefault="00974C9D" w:rsidP="00974C9D">
      <w:pPr>
        <w:spacing w:line="288" w:lineRule="auto"/>
      </w:pPr>
    </w:p>
    <w:p w14:paraId="3B356867" w14:textId="3DF22B3F" w:rsidR="00317DB3" w:rsidRDefault="00317DB3" w:rsidP="00974C9D">
      <w:pPr>
        <w:numPr>
          <w:ilvl w:val="0"/>
          <w:numId w:val="2"/>
        </w:numPr>
        <w:spacing w:line="288" w:lineRule="auto"/>
      </w:pPr>
      <w:r>
        <w:t>On September 29, 2015, Staff filed a response to the City’s Motion and Brief (Staff’s Response). Staff supports the City’s request, and argues that the Railroads have a statutory duty to maintain the reconfigured crossing arms at both grade crossings. Staff notes that although the City’s Motion and Brief solely addresses maintenance responsibility for the new crossing arms, the City is also clearly requesting the Commission assign maintenance responsibility for all other active warning devices at both crossings to the Railroads.</w:t>
      </w:r>
    </w:p>
    <w:p w14:paraId="0E71E71B" w14:textId="77777777" w:rsidR="00974C9D" w:rsidRDefault="00974C9D" w:rsidP="00974C9D">
      <w:pPr>
        <w:spacing w:line="288" w:lineRule="auto"/>
      </w:pPr>
    </w:p>
    <w:p w14:paraId="0AF319CD" w14:textId="36F8E7BE" w:rsidR="00317DB3" w:rsidRDefault="00317DB3" w:rsidP="00974C9D">
      <w:pPr>
        <w:numPr>
          <w:ilvl w:val="0"/>
          <w:numId w:val="2"/>
        </w:numPr>
        <w:spacing w:line="288" w:lineRule="auto"/>
      </w:pPr>
      <w:r>
        <w:t>On October 2, 2015, the Railroads filed a brief in response to the City’s Motion and Brief (Railroads’ Response). The Railroads argue that bearing the cost of maintaining the crossing arms represents a substantial financial risk, and request the Commission devise a cost-sharing solution that does not place an undue burden on the Railroads. The Railroads point to crossing agreements with other government agencies, such as King County and the City of Puyallup, where the parties agreed that local government agencies would pay for all maintenance and repair costs for crossing signals. The Railroads also assert that, to their knowledge, the City’s project is not approved or funded by the City, state, or federal sources, and that expanding the bridge will interfere with future railway plans. Finally, the Railroads argue that because they are Class 3 railroads that are not yet operating at a profitable level they need public support, when reasonable.</w:t>
      </w:r>
    </w:p>
    <w:p w14:paraId="05DF2524" w14:textId="77777777" w:rsidR="00974C9D" w:rsidRDefault="00974C9D" w:rsidP="00974C9D">
      <w:pPr>
        <w:spacing w:line="288" w:lineRule="auto"/>
      </w:pPr>
    </w:p>
    <w:p w14:paraId="2B3193E8" w14:textId="14E6C87A" w:rsidR="00317DB3" w:rsidRDefault="00317DB3" w:rsidP="00974C9D">
      <w:pPr>
        <w:numPr>
          <w:ilvl w:val="0"/>
          <w:numId w:val="2"/>
        </w:numPr>
        <w:spacing w:line="288" w:lineRule="auto"/>
      </w:pPr>
      <w:r>
        <w:lastRenderedPageBreak/>
        <w:t>On October 16, 2015, the City filed a reply to the Railroads’ Response (City’s Reply). In its Reply, the City argues that the Railroads failed to cite any legal authority for their position, and failed to dispute the City’s legal analysis.</w:t>
      </w:r>
    </w:p>
    <w:p w14:paraId="74A5B600" w14:textId="77777777" w:rsidR="00974C9D" w:rsidRDefault="00974C9D" w:rsidP="00974C9D">
      <w:pPr>
        <w:spacing w:line="288" w:lineRule="auto"/>
      </w:pPr>
    </w:p>
    <w:p w14:paraId="7ADBEF45" w14:textId="13DA478E" w:rsidR="004059E6" w:rsidRDefault="00317DB3" w:rsidP="00974C9D">
      <w:pPr>
        <w:numPr>
          <w:ilvl w:val="0"/>
          <w:numId w:val="2"/>
        </w:numPr>
        <w:spacing w:line="288" w:lineRule="auto"/>
      </w:pPr>
      <w:r>
        <w:t>On October 16, 2015, King County filed a Brief to Clarify Certain Points of Fact related to the Railroads’ assertion that King County is responsible for maintaining the 190</w:t>
      </w:r>
      <w:r w:rsidRPr="0042044E">
        <w:rPr>
          <w:vertAlign w:val="superscript"/>
        </w:rPr>
        <w:t>th</w:t>
      </w:r>
      <w:r>
        <w:t xml:space="preserve"> and 195</w:t>
      </w:r>
      <w:r w:rsidRPr="00D76501">
        <w:rPr>
          <w:vertAlign w:val="superscript"/>
        </w:rPr>
        <w:t>th</w:t>
      </w:r>
      <w:r>
        <w:t xml:space="preserve"> Street crossings in Woodinville. Rather, the City of Woodinville has been responsible for the maintenance of those crossings since the City became incorporated in 1993. </w:t>
      </w:r>
    </w:p>
    <w:p w14:paraId="37F7CFBA" w14:textId="77777777" w:rsidR="00974C9D" w:rsidRPr="00D05066" w:rsidRDefault="00974C9D" w:rsidP="00974C9D">
      <w:pPr>
        <w:spacing w:line="288" w:lineRule="auto"/>
      </w:pPr>
    </w:p>
    <w:p w14:paraId="242BD0B6" w14:textId="4CA49131" w:rsidR="00DB0F86" w:rsidRDefault="006D3CE7" w:rsidP="00974C9D">
      <w:pPr>
        <w:numPr>
          <w:ilvl w:val="0"/>
          <w:numId w:val="2"/>
        </w:numPr>
        <w:spacing w:line="288" w:lineRule="auto"/>
      </w:pPr>
      <w:r w:rsidRPr="00D05066">
        <w:t xml:space="preserve">Greg A. Rubstello, Ogden Murphy Wallace P.L.L.C., Seattle, </w:t>
      </w:r>
      <w:r w:rsidR="006F30D6">
        <w:t xml:space="preserve">Washington, </w:t>
      </w:r>
      <w:r w:rsidRPr="00D05066">
        <w:t>represents Petitioner City of Woodinville</w:t>
      </w:r>
      <w:r w:rsidR="005B2FB1" w:rsidRPr="00D05066">
        <w:t xml:space="preserve">. </w:t>
      </w:r>
      <w:r w:rsidRPr="00D05066">
        <w:t xml:space="preserve">Doug Engle, Managing Director, Snohomish, </w:t>
      </w:r>
      <w:r w:rsidR="006F30D6">
        <w:t xml:space="preserve">Washington, </w:t>
      </w:r>
      <w:r w:rsidRPr="00D05066">
        <w:t>represents Respo</w:t>
      </w:r>
      <w:r w:rsidR="006F30D6">
        <w:t xml:space="preserve">ndent Eastside Community Rail. </w:t>
      </w:r>
      <w:r w:rsidRPr="00D05066">
        <w:t xml:space="preserve">Byron Cole, CEO, Seattle, </w:t>
      </w:r>
      <w:r w:rsidR="006F30D6">
        <w:t xml:space="preserve">Washington, </w:t>
      </w:r>
      <w:r w:rsidRPr="00D05066">
        <w:t xml:space="preserve">represents Ballad Terminal Railroad. Ahmer Nizam, Manager – Utilities and Railroad, Olympia, </w:t>
      </w:r>
      <w:r w:rsidR="006F30D6">
        <w:t xml:space="preserve">Washington, </w:t>
      </w:r>
      <w:r w:rsidRPr="00D05066">
        <w:t>represents the Washington State Department of Transportation</w:t>
      </w:r>
      <w:r w:rsidR="0038704B">
        <w:t xml:space="preserve"> (WSDOT)</w:t>
      </w:r>
      <w:r w:rsidRPr="00D05066">
        <w:t xml:space="preserve">. Isabel Safora, Deputy General Counsel, Seattle, </w:t>
      </w:r>
      <w:r w:rsidR="006F30D6">
        <w:t xml:space="preserve">Washington, </w:t>
      </w:r>
      <w:r w:rsidRPr="00D05066">
        <w:t xml:space="preserve">represents the Port of Seattle. Andrew Marcuse, Senior Deputy Prosecuting Attorney, Seattle, </w:t>
      </w:r>
      <w:r w:rsidR="006F30D6">
        <w:t xml:space="preserve">Washington, </w:t>
      </w:r>
      <w:r w:rsidRPr="00D05066">
        <w:t xml:space="preserve">represents King County. </w:t>
      </w:r>
      <w:r w:rsidR="00084A5E" w:rsidRPr="00D05066">
        <w:t>Julian Beattie, Assistant Attorney General, Olympia, Washington, represents the Commission’s regulatory staff (Staff).</w:t>
      </w:r>
      <w:r w:rsidR="00084A5E" w:rsidRPr="00D05066">
        <w:rPr>
          <w:rStyle w:val="FootnoteReference"/>
        </w:rPr>
        <w:footnoteReference w:id="5"/>
      </w:r>
      <w:r w:rsidR="00084A5E" w:rsidRPr="00D05066">
        <w:t xml:space="preserve">  </w:t>
      </w:r>
    </w:p>
    <w:p w14:paraId="6062DD97" w14:textId="77777777" w:rsidR="00974C9D" w:rsidRPr="00D05066" w:rsidRDefault="00974C9D" w:rsidP="00974C9D">
      <w:pPr>
        <w:spacing w:line="288" w:lineRule="auto"/>
      </w:pPr>
    </w:p>
    <w:p w14:paraId="3FF2A6E4" w14:textId="4A56A52B" w:rsidR="00211B51" w:rsidRDefault="00211B51" w:rsidP="00974C9D">
      <w:pPr>
        <w:spacing w:line="288" w:lineRule="auto"/>
        <w:jc w:val="center"/>
        <w:rPr>
          <w:b/>
        </w:rPr>
      </w:pPr>
      <w:r w:rsidRPr="00D05066">
        <w:rPr>
          <w:b/>
        </w:rPr>
        <w:t>DISCUSSION AND DECISION</w:t>
      </w:r>
    </w:p>
    <w:p w14:paraId="790B51F6" w14:textId="77777777" w:rsidR="00974C9D" w:rsidRPr="00D05066" w:rsidRDefault="00974C9D" w:rsidP="00974C9D">
      <w:pPr>
        <w:spacing w:line="288" w:lineRule="auto"/>
        <w:jc w:val="center"/>
      </w:pPr>
    </w:p>
    <w:p w14:paraId="5AF94B53" w14:textId="4254476C" w:rsidR="00396123" w:rsidRDefault="009A138C" w:rsidP="00974C9D">
      <w:pPr>
        <w:numPr>
          <w:ilvl w:val="0"/>
          <w:numId w:val="2"/>
        </w:numPr>
        <w:spacing w:line="288" w:lineRule="auto"/>
      </w:pPr>
      <w:r>
        <w:t xml:space="preserve">We grant the City’s </w:t>
      </w:r>
      <w:r w:rsidR="00FE6DA7">
        <w:t>m</w:t>
      </w:r>
      <w:r>
        <w:t xml:space="preserve">otion for </w:t>
      </w:r>
      <w:r w:rsidR="009A477E">
        <w:t xml:space="preserve">partial </w:t>
      </w:r>
      <w:r w:rsidR="00396123">
        <w:t>s</w:t>
      </w:r>
      <w:r>
        <w:t xml:space="preserve">ummary </w:t>
      </w:r>
      <w:r w:rsidR="00396123">
        <w:t>determination</w:t>
      </w:r>
      <w:r>
        <w:t xml:space="preserve"> and find that the Railroads are </w:t>
      </w:r>
      <w:r w:rsidR="00396123">
        <w:t xml:space="preserve">responsible for the cost of maintaining </w:t>
      </w:r>
      <w:r>
        <w:t xml:space="preserve">of all active warning devices at both crossings. </w:t>
      </w:r>
      <w:r w:rsidR="00FE6DA7">
        <w:t>While RCW 81.53.261 does not prohibit interested parties from entering into an agreement for the apportionment of maintenance costs, both parties acknowledge that no such agreement has been reached</w:t>
      </w:r>
      <w:r w:rsidR="001744EA">
        <w:t xml:space="preserve"> here</w:t>
      </w:r>
      <w:r w:rsidR="00FE6DA7">
        <w:t xml:space="preserve">. </w:t>
      </w:r>
      <w:r w:rsidR="00DA5158">
        <w:t>Absent</w:t>
      </w:r>
      <w:r w:rsidR="00FE6DA7">
        <w:t xml:space="preserve"> such an agreement, the Commission does not have the authority to devise and impose a cost-sharing solution, as the Railroads request. </w:t>
      </w:r>
      <w:r w:rsidR="00396123">
        <w:t xml:space="preserve">As noted by the City in its </w:t>
      </w:r>
      <w:r w:rsidR="00FE6DA7">
        <w:t>B</w:t>
      </w:r>
      <w:r w:rsidR="00396123">
        <w:t xml:space="preserve">rief, </w:t>
      </w:r>
      <w:r w:rsidR="00162AB8">
        <w:t xml:space="preserve">RCW 81.53.261 directs the Commission to apportion the costs of installing and maintaining signals and other warning devices </w:t>
      </w:r>
      <w:r w:rsidR="00F53D0D">
        <w:t>in accordance with</w:t>
      </w:r>
      <w:r w:rsidR="00186363">
        <w:t xml:space="preserve"> RCW 81.53.271. </w:t>
      </w:r>
    </w:p>
    <w:p w14:paraId="3644DA38" w14:textId="77777777" w:rsidR="00974C9D" w:rsidRDefault="00974C9D" w:rsidP="00974C9D">
      <w:pPr>
        <w:spacing w:line="288" w:lineRule="auto"/>
      </w:pPr>
    </w:p>
    <w:p w14:paraId="28CB8878" w14:textId="0A7463F9" w:rsidR="00B05E4E" w:rsidRDefault="00186363" w:rsidP="00974C9D">
      <w:pPr>
        <w:numPr>
          <w:ilvl w:val="0"/>
          <w:numId w:val="2"/>
        </w:numPr>
        <w:spacing w:line="288" w:lineRule="auto"/>
      </w:pPr>
      <w:r>
        <w:lastRenderedPageBreak/>
        <w:t xml:space="preserve">RCW 81.53.271, in turn, </w:t>
      </w:r>
      <w:r w:rsidR="00DA5158">
        <w:t xml:space="preserve">refers </w:t>
      </w:r>
      <w:r>
        <w:t xml:space="preserve">to RCW 81.53.295 for the apportionment of installation and maintenance costs where federal-aid funding is available; where no federal-aid funding is available, </w:t>
      </w:r>
      <w:r w:rsidR="00396123">
        <w:t xml:space="preserve">RCW 81.53.271 apportions </w:t>
      </w:r>
      <w:r>
        <w:t>maintenance between the grade crossing protective fund and the railroad. Where, as here, federal-aid funding is available,</w:t>
      </w:r>
      <w:r w:rsidR="00B05E4E">
        <w:rPr>
          <w:rStyle w:val="FootnoteReference"/>
        </w:rPr>
        <w:footnoteReference w:id="6"/>
      </w:r>
      <w:r>
        <w:t xml:space="preserve"> RCW 81.53.295 provides that “[t]he Railroad whose road is crossed by the highway, street, or road, shall thereafter pay the entire cost of maintaining the device.”</w:t>
      </w:r>
      <w:r w:rsidR="00B05E4E">
        <w:t xml:space="preserve"> </w:t>
      </w:r>
      <w:r w:rsidR="00DA5158">
        <w:t>T</w:t>
      </w:r>
      <w:r w:rsidR="00396123">
        <w:t xml:space="preserve">he applicable statutes </w:t>
      </w:r>
      <w:r w:rsidR="00DA5158">
        <w:t xml:space="preserve">do not </w:t>
      </w:r>
      <w:r w:rsidR="00396123">
        <w:t xml:space="preserve">permit the Commission to order a city, town, county, or state to assume responsibility for the cost of maintaining warning devices at railroad crossings. </w:t>
      </w:r>
      <w:r w:rsidR="00FE6DA7">
        <w:t>Accordingly, the Railroads mus</w:t>
      </w:r>
      <w:r w:rsidR="001744EA">
        <w:t>t bear the cost of maintaining all</w:t>
      </w:r>
      <w:r w:rsidR="00FE6DA7">
        <w:t xml:space="preserve"> </w:t>
      </w:r>
      <w:r w:rsidR="001744EA">
        <w:t xml:space="preserve">active </w:t>
      </w:r>
      <w:r w:rsidR="00FE6DA7">
        <w:t>warning devices at both crossings.</w:t>
      </w:r>
    </w:p>
    <w:p w14:paraId="2E2C01D4" w14:textId="77777777" w:rsidR="00974C9D" w:rsidRDefault="00974C9D" w:rsidP="00974C9D">
      <w:pPr>
        <w:spacing w:line="288" w:lineRule="auto"/>
      </w:pPr>
    </w:p>
    <w:p w14:paraId="4F7DACEC" w14:textId="77777777" w:rsidR="00974C9D" w:rsidRDefault="00084335" w:rsidP="00974C9D">
      <w:pPr>
        <w:numPr>
          <w:ilvl w:val="0"/>
          <w:numId w:val="2"/>
        </w:numPr>
        <w:spacing w:line="288" w:lineRule="auto"/>
      </w:pPr>
      <w:r w:rsidRPr="00FA5AEE">
        <w:t>With respect to the agreements reached by the parties during the mediated settlement conferences</w:t>
      </w:r>
      <w:r w:rsidR="00DA5158">
        <w:t>, as discussed above</w:t>
      </w:r>
      <w:r w:rsidRPr="00FA5AEE">
        <w:t xml:space="preserve">, the parties </w:t>
      </w:r>
      <w:r w:rsidR="00DA5158">
        <w:t>should</w:t>
      </w:r>
      <w:r w:rsidR="00DA5158" w:rsidRPr="00FA5AEE">
        <w:t xml:space="preserve"> </w:t>
      </w:r>
      <w:r w:rsidR="00FA5AEE" w:rsidRPr="00FA5AEE">
        <w:t>file a settlement agreement</w:t>
      </w:r>
      <w:r w:rsidR="00DA5158">
        <w:t xml:space="preserve"> or stipulation memorializing the terms of their agreements</w:t>
      </w:r>
      <w:r w:rsidR="00FA5AEE" w:rsidRPr="00FA5AEE">
        <w:t xml:space="preserve"> </w:t>
      </w:r>
      <w:r w:rsidR="00DA5158">
        <w:t>by</w:t>
      </w:r>
      <w:r w:rsidRPr="00FA5AEE">
        <w:t xml:space="preserve"> Wednesday, December 2, 2015. </w:t>
      </w:r>
    </w:p>
    <w:p w14:paraId="233F2ADA" w14:textId="77A0C7CB" w:rsidR="00211B51" w:rsidRPr="00FA5AEE" w:rsidRDefault="00211B51" w:rsidP="00974C9D">
      <w:pPr>
        <w:spacing w:line="288" w:lineRule="auto"/>
      </w:pPr>
    </w:p>
    <w:p w14:paraId="495BBD12" w14:textId="6E1DA8EF" w:rsidR="00211B51" w:rsidRDefault="00211B51" w:rsidP="00974C9D">
      <w:pPr>
        <w:spacing w:line="288" w:lineRule="auto"/>
        <w:jc w:val="center"/>
        <w:rPr>
          <w:b/>
        </w:rPr>
      </w:pPr>
      <w:r w:rsidRPr="00D05066">
        <w:rPr>
          <w:b/>
        </w:rPr>
        <w:t>FINDINGS AND CONCLUSIONS</w:t>
      </w:r>
    </w:p>
    <w:p w14:paraId="02E6D223" w14:textId="77777777" w:rsidR="00974C9D" w:rsidRPr="00D05066" w:rsidRDefault="00974C9D" w:rsidP="00974C9D">
      <w:pPr>
        <w:spacing w:line="288" w:lineRule="auto"/>
        <w:jc w:val="center"/>
        <w:rPr>
          <w:b/>
        </w:rPr>
      </w:pPr>
    </w:p>
    <w:p w14:paraId="5F712724" w14:textId="402EA49B" w:rsidR="00211B51" w:rsidRDefault="00974C9D" w:rsidP="00974C9D">
      <w:pPr>
        <w:numPr>
          <w:ilvl w:val="0"/>
          <w:numId w:val="2"/>
        </w:numPr>
        <w:spacing w:line="288" w:lineRule="auto"/>
        <w:ind w:left="540" w:hanging="1260"/>
      </w:pPr>
      <w:r>
        <w:t>(1)</w:t>
      </w:r>
      <w:r w:rsidR="006F30D6">
        <w:tab/>
      </w:r>
      <w:r w:rsidR="00211B51" w:rsidRPr="00D05066">
        <w:t>The Commission is an agency of the State of Wash</w:t>
      </w:r>
      <w:r w:rsidR="006F30D6">
        <w:t xml:space="preserve">ington vested by statute with </w:t>
      </w:r>
      <w:r w:rsidR="00211B51" w:rsidRPr="00D05066">
        <w:t>the authority to regulate the placement and conditions of operation of at</w:t>
      </w:r>
      <w:r w:rsidR="00DA5158">
        <w:t>-</w:t>
      </w:r>
      <w:r w:rsidR="00211B51" w:rsidRPr="00D05066">
        <w:t xml:space="preserve">grade </w:t>
      </w:r>
      <w:r w:rsidR="00DA5158" w:rsidRPr="00DA5158">
        <w:t xml:space="preserve">crossings </w:t>
      </w:r>
      <w:r w:rsidR="00211B51" w:rsidRPr="00D05066">
        <w:t xml:space="preserve">of railroad tracks </w:t>
      </w:r>
      <w:r w:rsidR="00DA5158">
        <w:t>over</w:t>
      </w:r>
      <w:r w:rsidR="00DA5158" w:rsidRPr="00D05066">
        <w:t xml:space="preserve"> </w:t>
      </w:r>
      <w:r w:rsidR="00211B51" w:rsidRPr="00D05066">
        <w:t>public roadways within the State of Washington</w:t>
      </w:r>
      <w:r w:rsidR="00317DB3">
        <w:t>.</w:t>
      </w:r>
    </w:p>
    <w:p w14:paraId="749B2D0F" w14:textId="77777777" w:rsidR="00974C9D" w:rsidRPr="00D05066" w:rsidRDefault="00974C9D" w:rsidP="00974C9D">
      <w:pPr>
        <w:spacing w:line="288" w:lineRule="auto"/>
        <w:ind w:left="-720"/>
      </w:pPr>
    </w:p>
    <w:p w14:paraId="12F7747C" w14:textId="0CA3EDB9" w:rsidR="00211B51" w:rsidRDefault="006F30D6" w:rsidP="00974C9D">
      <w:pPr>
        <w:numPr>
          <w:ilvl w:val="0"/>
          <w:numId w:val="2"/>
        </w:numPr>
        <w:spacing w:line="288" w:lineRule="auto"/>
        <w:ind w:left="720" w:hanging="1440"/>
      </w:pPr>
      <w:r>
        <w:t>(2)</w:t>
      </w:r>
      <w:r>
        <w:tab/>
      </w:r>
      <w:r w:rsidR="00211B51" w:rsidRPr="00D05066">
        <w:t>The Commission has jurisdiction over the subject matter of</w:t>
      </w:r>
      <w:r w:rsidR="00DA5158">
        <w:t>,</w:t>
      </w:r>
      <w:r w:rsidR="00211B51" w:rsidRPr="00D05066">
        <w:t xml:space="preserve"> and the parties to</w:t>
      </w:r>
      <w:r w:rsidR="00DA5158">
        <w:t>,</w:t>
      </w:r>
      <w:r w:rsidR="00317DB3">
        <w:t xml:space="preserve"> this proceeding.</w:t>
      </w:r>
    </w:p>
    <w:p w14:paraId="07E390ED" w14:textId="77777777" w:rsidR="00974C9D" w:rsidRPr="00D05066" w:rsidRDefault="00974C9D" w:rsidP="00974C9D">
      <w:pPr>
        <w:spacing w:line="288" w:lineRule="auto"/>
      </w:pPr>
    </w:p>
    <w:p w14:paraId="3D6687F8" w14:textId="4E360507" w:rsidR="00C87B4A" w:rsidRDefault="00317DB3" w:rsidP="00974C9D">
      <w:pPr>
        <w:numPr>
          <w:ilvl w:val="0"/>
          <w:numId w:val="2"/>
        </w:numPr>
        <w:spacing w:line="288" w:lineRule="auto"/>
        <w:ind w:left="720" w:hanging="1440"/>
      </w:pPr>
      <w:r>
        <w:t>(3</w:t>
      </w:r>
      <w:r w:rsidR="00C87B4A">
        <w:t>)</w:t>
      </w:r>
      <w:r w:rsidR="00C87B4A">
        <w:tab/>
        <w:t>Th</w:t>
      </w:r>
      <w:r w:rsidR="002D01EF">
        <w:t>rough two mediated settlement conferences, the</w:t>
      </w:r>
      <w:r w:rsidR="00C87B4A">
        <w:t xml:space="preserve"> parties </w:t>
      </w:r>
      <w:r w:rsidR="002D01EF">
        <w:t xml:space="preserve">reached </w:t>
      </w:r>
      <w:r w:rsidR="00C87B4A">
        <w:t>agree</w:t>
      </w:r>
      <w:r w:rsidR="002D01EF">
        <w:t>ment</w:t>
      </w:r>
      <w:r w:rsidR="00C87B4A">
        <w:t xml:space="preserve"> on all issue</w:t>
      </w:r>
      <w:r w:rsidR="00A1234C">
        <w:t>s except the question</w:t>
      </w:r>
      <w:r w:rsidR="001744EA">
        <w:t xml:space="preserve"> of</w:t>
      </w:r>
      <w:r w:rsidR="00C87B4A">
        <w:t xml:space="preserve"> wh</w:t>
      </w:r>
      <w:r w:rsidR="002D01EF">
        <w:t xml:space="preserve">ich party </w:t>
      </w:r>
      <w:r w:rsidR="00C87B4A">
        <w:t>should bear the maintenance costs for the crossing arms at both crossings.</w:t>
      </w:r>
    </w:p>
    <w:p w14:paraId="096BBC55" w14:textId="77777777" w:rsidR="00974C9D" w:rsidRDefault="00974C9D" w:rsidP="00974C9D">
      <w:pPr>
        <w:spacing w:line="288" w:lineRule="auto"/>
      </w:pPr>
    </w:p>
    <w:p w14:paraId="320DA0D8" w14:textId="34954B4D" w:rsidR="002D01EF" w:rsidRDefault="00C87B4A" w:rsidP="00974C9D">
      <w:pPr>
        <w:numPr>
          <w:ilvl w:val="0"/>
          <w:numId w:val="2"/>
        </w:numPr>
        <w:spacing w:line="288" w:lineRule="auto"/>
        <w:ind w:left="720" w:hanging="1440"/>
      </w:pPr>
      <w:r>
        <w:t>(</w:t>
      </w:r>
      <w:r w:rsidR="00317DB3">
        <w:t>4</w:t>
      </w:r>
      <w:r>
        <w:t>)</w:t>
      </w:r>
      <w:r>
        <w:tab/>
      </w:r>
      <w:r w:rsidR="00CD1799">
        <w:t>Pursuant to RCW 81.53.295, t</w:t>
      </w:r>
      <w:r w:rsidR="002D01EF">
        <w:t>he</w:t>
      </w:r>
      <w:r w:rsidR="00CD1799">
        <w:t xml:space="preserve"> Railroads are responsible for the cost of maintaining the active grade crossing protective devices at both crossings. The</w:t>
      </w:r>
      <w:r w:rsidR="002D01EF">
        <w:t xml:space="preserve"> Commission should </w:t>
      </w:r>
      <w:r w:rsidR="00CD1799">
        <w:t xml:space="preserve">therefore </w:t>
      </w:r>
      <w:r w:rsidR="002D01EF">
        <w:t xml:space="preserve">grant the City’s Motion </w:t>
      </w:r>
      <w:r w:rsidR="00F53D0D">
        <w:t>for partial summary determination</w:t>
      </w:r>
      <w:r w:rsidR="00CD1799">
        <w:t>.</w:t>
      </w:r>
    </w:p>
    <w:p w14:paraId="5E76A19C" w14:textId="77777777" w:rsidR="00974C9D" w:rsidRDefault="00974C9D" w:rsidP="00974C9D">
      <w:pPr>
        <w:spacing w:line="288" w:lineRule="auto"/>
      </w:pPr>
    </w:p>
    <w:p w14:paraId="4FE03AB6" w14:textId="2021F20E" w:rsidR="00211B51" w:rsidRDefault="002D01EF" w:rsidP="00974C9D">
      <w:pPr>
        <w:numPr>
          <w:ilvl w:val="0"/>
          <w:numId w:val="2"/>
        </w:numPr>
        <w:spacing w:line="288" w:lineRule="auto"/>
        <w:ind w:left="720" w:hanging="1440"/>
      </w:pPr>
      <w:r>
        <w:lastRenderedPageBreak/>
        <w:t>(</w:t>
      </w:r>
      <w:r w:rsidR="00317DB3">
        <w:t>5</w:t>
      </w:r>
      <w:r w:rsidR="00974C9D">
        <w:t>)</w:t>
      </w:r>
      <w:r>
        <w:tab/>
      </w:r>
      <w:r w:rsidR="00AE2658">
        <w:t xml:space="preserve">With respect to the </w:t>
      </w:r>
      <w:r w:rsidR="002272C1">
        <w:t>remaining issues on which the parties have reached agreement</w:t>
      </w:r>
      <w:r w:rsidR="00AE2658">
        <w:t>, t</w:t>
      </w:r>
      <w:r>
        <w:t xml:space="preserve">he parties should be required to </w:t>
      </w:r>
      <w:r w:rsidRPr="00D05066">
        <w:t xml:space="preserve">file a settlement agreement </w:t>
      </w:r>
      <w:r w:rsidR="00A1234C">
        <w:t xml:space="preserve">or stipulation </w:t>
      </w:r>
      <w:r w:rsidR="00A1234C" w:rsidRPr="00A1234C">
        <w:t xml:space="preserve">memorializing the terms of their agreements </w:t>
      </w:r>
      <w:r w:rsidRPr="00D05066">
        <w:t>by</w:t>
      </w:r>
      <w:r w:rsidR="00F53D0D">
        <w:t xml:space="preserve"> December 2</w:t>
      </w:r>
      <w:r w:rsidRPr="00D05066">
        <w:t>, 2015</w:t>
      </w:r>
      <w:r>
        <w:t>.</w:t>
      </w:r>
    </w:p>
    <w:p w14:paraId="514FB669" w14:textId="77777777" w:rsidR="00974C9D" w:rsidRPr="00D05066" w:rsidRDefault="00974C9D" w:rsidP="00974C9D">
      <w:pPr>
        <w:spacing w:line="288" w:lineRule="auto"/>
      </w:pPr>
    </w:p>
    <w:p w14:paraId="68393374" w14:textId="30166028" w:rsidR="00211B51" w:rsidRDefault="00211B51" w:rsidP="00974C9D">
      <w:pPr>
        <w:spacing w:line="288" w:lineRule="auto"/>
        <w:jc w:val="center"/>
        <w:rPr>
          <w:b/>
        </w:rPr>
      </w:pPr>
      <w:r w:rsidRPr="00D05066">
        <w:rPr>
          <w:b/>
        </w:rPr>
        <w:t>ORDER</w:t>
      </w:r>
    </w:p>
    <w:p w14:paraId="6573AC14" w14:textId="77777777" w:rsidR="00974C9D" w:rsidRPr="00D05066" w:rsidRDefault="00974C9D" w:rsidP="00974C9D">
      <w:pPr>
        <w:spacing w:line="288" w:lineRule="auto"/>
        <w:jc w:val="center"/>
        <w:rPr>
          <w:b/>
        </w:rPr>
      </w:pPr>
    </w:p>
    <w:p w14:paraId="7577D316" w14:textId="219D7B65" w:rsidR="00211B51" w:rsidRDefault="00211B51" w:rsidP="00974C9D">
      <w:pPr>
        <w:spacing w:line="288" w:lineRule="auto"/>
      </w:pPr>
      <w:r w:rsidRPr="00D05066">
        <w:t>THE COMMISSION ORDERS:</w:t>
      </w:r>
    </w:p>
    <w:p w14:paraId="31939C65" w14:textId="77777777" w:rsidR="00974C9D" w:rsidRPr="00D05066" w:rsidRDefault="00974C9D" w:rsidP="00974C9D">
      <w:pPr>
        <w:spacing w:line="288" w:lineRule="auto"/>
      </w:pPr>
    </w:p>
    <w:p w14:paraId="10E9ED0E" w14:textId="06E3AC35" w:rsidR="00211B51" w:rsidRDefault="00211B51" w:rsidP="00974C9D">
      <w:pPr>
        <w:numPr>
          <w:ilvl w:val="0"/>
          <w:numId w:val="2"/>
        </w:numPr>
        <w:spacing w:line="288" w:lineRule="auto"/>
      </w:pPr>
      <w:r w:rsidRPr="00D05066">
        <w:t>(1)</w:t>
      </w:r>
      <w:r w:rsidRPr="00D05066">
        <w:tab/>
        <w:t>The City of Woodinville’s motion for partial summary determination is GRANTED.</w:t>
      </w:r>
    </w:p>
    <w:p w14:paraId="675214BD" w14:textId="77777777" w:rsidR="00974C9D" w:rsidRPr="00D05066" w:rsidRDefault="00974C9D" w:rsidP="00974C9D">
      <w:pPr>
        <w:spacing w:line="288" w:lineRule="auto"/>
      </w:pPr>
    </w:p>
    <w:p w14:paraId="7937E183" w14:textId="5DE5A953" w:rsidR="00211B51" w:rsidRDefault="00211B51" w:rsidP="00974C9D">
      <w:pPr>
        <w:numPr>
          <w:ilvl w:val="0"/>
          <w:numId w:val="2"/>
        </w:numPr>
        <w:spacing w:line="288" w:lineRule="auto"/>
        <w:ind w:left="720" w:hanging="1440"/>
      </w:pPr>
      <w:r w:rsidRPr="00D05066">
        <w:t>(2)</w:t>
      </w:r>
      <w:r w:rsidRPr="00D05066">
        <w:tab/>
        <w:t xml:space="preserve">The parties must file a settlement agreement </w:t>
      </w:r>
      <w:r w:rsidR="00D57ED3">
        <w:t>or stipulation memorializing the terms of their agreements on the issues that are no longer contested</w:t>
      </w:r>
      <w:r w:rsidRPr="00D05066">
        <w:t xml:space="preserve"> by</w:t>
      </w:r>
      <w:r w:rsidR="00AE2658">
        <w:t xml:space="preserve"> December 2,</w:t>
      </w:r>
      <w:r w:rsidRPr="00D05066">
        <w:t xml:space="preserve"> 2015.</w:t>
      </w:r>
    </w:p>
    <w:p w14:paraId="4E9DC518" w14:textId="77777777" w:rsidR="00974C9D" w:rsidRPr="00D05066" w:rsidRDefault="00974C9D" w:rsidP="00974C9D">
      <w:pPr>
        <w:spacing w:line="288" w:lineRule="auto"/>
      </w:pPr>
    </w:p>
    <w:p w14:paraId="6FD35DF7" w14:textId="0C2CFC65" w:rsidR="004059E6" w:rsidRPr="00D05066" w:rsidRDefault="004059E6" w:rsidP="00974C9D">
      <w:pPr>
        <w:spacing w:line="288" w:lineRule="auto"/>
      </w:pPr>
      <w:r w:rsidRPr="00D05066">
        <w:t xml:space="preserve">Dated at Olympia, Washington, and effective </w:t>
      </w:r>
      <w:r w:rsidR="00FE31C5" w:rsidRPr="00D05066">
        <w:t xml:space="preserve">November </w:t>
      </w:r>
      <w:r w:rsidR="00FA5FF7">
        <w:t>1</w:t>
      </w:r>
      <w:r w:rsidR="00317DB3">
        <w:t>6</w:t>
      </w:r>
      <w:r w:rsidR="00A921E1" w:rsidRPr="00D05066">
        <w:t>, 2015</w:t>
      </w:r>
      <w:r w:rsidRPr="00D05066">
        <w:t>.</w:t>
      </w:r>
    </w:p>
    <w:p w14:paraId="1AC8C4D8" w14:textId="77777777" w:rsidR="004059E6" w:rsidRPr="00D05066" w:rsidRDefault="004059E6" w:rsidP="00974C9D">
      <w:pPr>
        <w:pStyle w:val="Header"/>
        <w:tabs>
          <w:tab w:val="clear" w:pos="4320"/>
          <w:tab w:val="clear" w:pos="8640"/>
        </w:tabs>
        <w:spacing w:line="288" w:lineRule="auto"/>
      </w:pPr>
    </w:p>
    <w:p w14:paraId="23344C8A" w14:textId="77777777" w:rsidR="004059E6" w:rsidRPr="00D05066" w:rsidRDefault="004059E6" w:rsidP="00974C9D">
      <w:pPr>
        <w:spacing w:line="288" w:lineRule="auto"/>
        <w:jc w:val="center"/>
      </w:pPr>
      <w:r w:rsidRPr="00D05066">
        <w:t>WASHINGTON UTILITIES AND TRANSPORTATION COMMISSION</w:t>
      </w:r>
    </w:p>
    <w:p w14:paraId="28691B35" w14:textId="77777777" w:rsidR="004059E6" w:rsidRPr="00D05066" w:rsidRDefault="004059E6" w:rsidP="00974C9D">
      <w:pPr>
        <w:spacing w:line="288" w:lineRule="auto"/>
      </w:pPr>
    </w:p>
    <w:p w14:paraId="63458842" w14:textId="77777777" w:rsidR="004059E6" w:rsidRPr="00D05066" w:rsidRDefault="004059E6" w:rsidP="00974C9D">
      <w:pPr>
        <w:spacing w:line="288" w:lineRule="auto"/>
      </w:pPr>
    </w:p>
    <w:p w14:paraId="7D893B2B" w14:textId="77777777" w:rsidR="00024CD1" w:rsidRPr="00D05066" w:rsidRDefault="00024CD1" w:rsidP="00974C9D">
      <w:pPr>
        <w:spacing w:line="288" w:lineRule="auto"/>
      </w:pPr>
    </w:p>
    <w:p w14:paraId="14AFCFBE" w14:textId="77777777" w:rsidR="00024CD1" w:rsidRPr="00D05066" w:rsidRDefault="00832312" w:rsidP="00974C9D">
      <w:pPr>
        <w:spacing w:line="288" w:lineRule="auto"/>
        <w:ind w:left="3600" w:firstLine="720"/>
      </w:pPr>
      <w:r w:rsidRPr="00D05066">
        <w:t>RAYNE PEARSON</w:t>
      </w:r>
    </w:p>
    <w:p w14:paraId="37C16DE3" w14:textId="77777777" w:rsidR="00024CD1" w:rsidRPr="00D05066" w:rsidRDefault="00024CD1" w:rsidP="00974C9D">
      <w:pPr>
        <w:spacing w:line="288" w:lineRule="auto"/>
      </w:pPr>
      <w:r w:rsidRPr="00D05066">
        <w:tab/>
      </w:r>
      <w:r w:rsidRPr="00D05066">
        <w:tab/>
      </w:r>
      <w:r w:rsidRPr="00D05066">
        <w:tab/>
      </w:r>
      <w:r w:rsidRPr="00D05066">
        <w:tab/>
      </w:r>
      <w:r w:rsidRPr="00D05066">
        <w:tab/>
      </w:r>
      <w:r w:rsidRPr="00D05066">
        <w:tab/>
        <w:t>Administrative Law Judge</w:t>
      </w:r>
    </w:p>
    <w:p w14:paraId="20682D1C" w14:textId="77777777" w:rsidR="00211B51" w:rsidRPr="00D05066" w:rsidRDefault="00211B51" w:rsidP="00813458">
      <w:pPr>
        <w:spacing w:line="264" w:lineRule="auto"/>
      </w:pPr>
    </w:p>
    <w:p w14:paraId="12908BEC" w14:textId="77777777" w:rsidR="00974C9D" w:rsidRDefault="00974C9D" w:rsidP="002D01EF">
      <w:pPr>
        <w:spacing w:line="288" w:lineRule="auto"/>
        <w:jc w:val="center"/>
        <w:rPr>
          <w:b/>
        </w:rPr>
      </w:pPr>
      <w:r>
        <w:rPr>
          <w:b/>
        </w:rPr>
        <w:br w:type="page"/>
      </w:r>
    </w:p>
    <w:p w14:paraId="57975174" w14:textId="00428262" w:rsidR="00211B51" w:rsidRPr="00D05066" w:rsidRDefault="00211B51" w:rsidP="002D01EF">
      <w:pPr>
        <w:spacing w:line="288" w:lineRule="auto"/>
        <w:jc w:val="center"/>
      </w:pPr>
      <w:r w:rsidRPr="00D05066">
        <w:rPr>
          <w:b/>
        </w:rPr>
        <w:lastRenderedPageBreak/>
        <w:t>NOTICE TO THE PARTIES</w:t>
      </w:r>
    </w:p>
    <w:p w14:paraId="631CB784" w14:textId="77777777" w:rsidR="00211B51" w:rsidRPr="00D05066" w:rsidRDefault="00211B51" w:rsidP="00211B51">
      <w:pPr>
        <w:spacing w:line="264" w:lineRule="auto"/>
      </w:pPr>
    </w:p>
    <w:p w14:paraId="5FB91DC4" w14:textId="453320E2" w:rsidR="00211B51" w:rsidRPr="00D05066" w:rsidRDefault="00974C9D" w:rsidP="00211B51">
      <w:pPr>
        <w:spacing w:line="264" w:lineRule="auto"/>
      </w:pPr>
      <w:r>
        <w:t xml:space="preserve">This is an initial order. </w:t>
      </w:r>
      <w:r w:rsidR="00211B51" w:rsidRPr="00D05066">
        <w:t>The action proposed in this initi</w:t>
      </w:r>
      <w:r>
        <w:t xml:space="preserve">al order is not yet effective. </w:t>
      </w:r>
      <w:r w:rsidR="00211B51" w:rsidRPr="00D05066">
        <w:t>If you disagree with this initial order and want the Commission to consider your comments, you must take specific action within t</w:t>
      </w:r>
      <w:r>
        <w:t xml:space="preserve">he time limits outlined below. </w:t>
      </w:r>
      <w:r w:rsidR="00211B51" w:rsidRPr="00D05066">
        <w:t>If you agree with this initial order, and you would like the order to become final before the time limits expire, you may send a letter to the Commission, waiving your right to petition for administrative review.</w:t>
      </w:r>
    </w:p>
    <w:p w14:paraId="5BB7C7BC" w14:textId="77777777" w:rsidR="00211B51" w:rsidRPr="00D05066" w:rsidRDefault="00211B51" w:rsidP="00211B51">
      <w:pPr>
        <w:spacing w:line="264" w:lineRule="auto"/>
      </w:pPr>
    </w:p>
    <w:p w14:paraId="347667D7" w14:textId="30582099" w:rsidR="00211B51" w:rsidRPr="00D05066" w:rsidRDefault="00211B51" w:rsidP="00211B51">
      <w:pPr>
        <w:spacing w:line="264" w:lineRule="auto"/>
      </w:pPr>
      <w:r w:rsidRPr="00D05066">
        <w:t>WAC 480-07-825(2) provides that any party to this proceeding has 20 days after the entry of this initial order to file a petition for adm</w:t>
      </w:r>
      <w:r w:rsidR="00974C9D">
        <w:t xml:space="preserve">inistrative review (Petition). </w:t>
      </w:r>
      <w:r w:rsidRPr="00D05066">
        <w:t>Section (3) of the rule identifies what you must include in any Petition as well as other</w:t>
      </w:r>
      <w:r w:rsidR="00974C9D">
        <w:t xml:space="preserve"> requirements for a Petition. </w:t>
      </w:r>
      <w:r w:rsidRPr="00D05066">
        <w:t>WAC 480-07-825(4) states that any party may file an answer (Answer) to a Petition within 10 days after service of the petition.</w:t>
      </w:r>
    </w:p>
    <w:p w14:paraId="3D7A7634" w14:textId="77777777" w:rsidR="00211B51" w:rsidRPr="00D05066" w:rsidRDefault="00211B51" w:rsidP="00211B51">
      <w:pPr>
        <w:spacing w:line="264" w:lineRule="auto"/>
      </w:pPr>
    </w:p>
    <w:p w14:paraId="1E156D3A" w14:textId="2B6EE34C" w:rsidR="00211B51" w:rsidRPr="00D05066" w:rsidRDefault="00211B51" w:rsidP="00211B51">
      <w:pPr>
        <w:spacing w:line="264" w:lineRule="auto"/>
      </w:pPr>
      <w:r w:rsidRPr="00D05066">
        <w:t>WAC 480-07-830 provides that before the Commission enters a final order any party may file a petition to reopen a contested proceeding to permit receipt of evidence essential to a decision, but unavailable and not reasonably discoverable at the time of hearing, or for o</w:t>
      </w:r>
      <w:r w:rsidR="00974C9D">
        <w:t>ther good and sufficient cause.</w:t>
      </w:r>
      <w:r w:rsidRPr="00D05066">
        <w:t xml:space="preserve"> The Commission will not accept answers to a petition to reopen unless the Commission requests answers by written notice.</w:t>
      </w:r>
    </w:p>
    <w:p w14:paraId="370C16B9" w14:textId="77777777" w:rsidR="00211B51" w:rsidRPr="00D05066" w:rsidRDefault="00211B51" w:rsidP="00211B51">
      <w:pPr>
        <w:spacing w:line="264" w:lineRule="auto"/>
      </w:pPr>
    </w:p>
    <w:p w14:paraId="65D08A13" w14:textId="77777777" w:rsidR="00211B51" w:rsidRPr="00D05066" w:rsidRDefault="00211B51" w:rsidP="00211B51">
      <w:pPr>
        <w:spacing w:line="264" w:lineRule="auto"/>
      </w:pPr>
      <w:r w:rsidRPr="00D05066">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0C4DF710" w14:textId="77777777" w:rsidR="00211B51" w:rsidRPr="00D05066" w:rsidRDefault="00211B51" w:rsidP="00211B51">
      <w:pPr>
        <w:spacing w:line="264" w:lineRule="auto"/>
      </w:pPr>
    </w:p>
    <w:p w14:paraId="260BD377" w14:textId="610EAC88" w:rsidR="00211B51" w:rsidRPr="00D05066" w:rsidRDefault="00211B51" w:rsidP="00211B51">
      <w:pPr>
        <w:spacing w:line="264" w:lineRule="auto"/>
      </w:pPr>
      <w:r w:rsidRPr="00D05066">
        <w:t>You must serve on each party of record one copy of any Petition</w:t>
      </w:r>
      <w:r w:rsidRPr="00D05066">
        <w:rPr>
          <w:i/>
        </w:rPr>
        <w:t xml:space="preserve"> </w:t>
      </w:r>
      <w:r w:rsidRPr="00D05066">
        <w:t>or Answer filed with the Commission, including proof of service as required by WAC 48</w:t>
      </w:r>
      <w:r w:rsidR="00974C9D">
        <w:t xml:space="preserve">0-07-150(8) and (9). </w:t>
      </w:r>
      <w:r w:rsidRPr="00D05066">
        <w:t>To file a Petition or Answer with the Commission, you must file an original and three</w:t>
      </w:r>
      <w:r w:rsidRPr="00D05066">
        <w:rPr>
          <w:b/>
        </w:rPr>
        <w:t xml:space="preserve"> </w:t>
      </w:r>
      <w:r w:rsidRPr="00D05066">
        <w:t>copies of your petition or answer by mail delivery to:</w:t>
      </w:r>
    </w:p>
    <w:p w14:paraId="2EBC4DFB" w14:textId="77777777" w:rsidR="00211B51" w:rsidRPr="00D05066" w:rsidRDefault="00211B51" w:rsidP="00211B51">
      <w:pPr>
        <w:spacing w:line="264" w:lineRule="auto"/>
      </w:pPr>
    </w:p>
    <w:p w14:paraId="0908502F" w14:textId="47A1818D" w:rsidR="00211B51" w:rsidRPr="00D05066" w:rsidRDefault="00974C9D" w:rsidP="00211B51">
      <w:pPr>
        <w:spacing w:line="264" w:lineRule="auto"/>
      </w:pPr>
      <w:r>
        <w:t xml:space="preserve">Attn: </w:t>
      </w:r>
      <w:r w:rsidR="00211B51" w:rsidRPr="00D05066">
        <w:t>Steven V. King, Executive Director and Secretary</w:t>
      </w:r>
    </w:p>
    <w:p w14:paraId="1EF8BED1" w14:textId="77777777" w:rsidR="00211B51" w:rsidRPr="00D05066" w:rsidRDefault="00211B51" w:rsidP="00211B51">
      <w:pPr>
        <w:spacing w:line="264" w:lineRule="auto"/>
      </w:pPr>
      <w:r w:rsidRPr="00D05066">
        <w:t xml:space="preserve">Washington Utilities and Transportation Commission </w:t>
      </w:r>
    </w:p>
    <w:p w14:paraId="47BD240E" w14:textId="77777777" w:rsidR="00211B51" w:rsidRPr="00D05066" w:rsidRDefault="00211B51" w:rsidP="00211B51">
      <w:pPr>
        <w:spacing w:line="264" w:lineRule="auto"/>
      </w:pPr>
      <w:r w:rsidRPr="00D05066">
        <w:t>P.O. Box 47250</w:t>
      </w:r>
    </w:p>
    <w:p w14:paraId="3E1CF58B" w14:textId="77777777" w:rsidR="00211B51" w:rsidRPr="00D05066" w:rsidRDefault="00211B51" w:rsidP="00211B51">
      <w:pPr>
        <w:spacing w:line="264" w:lineRule="auto"/>
      </w:pPr>
      <w:r w:rsidRPr="00D05066">
        <w:t>Olympia, Washington  98504-7250</w:t>
      </w:r>
    </w:p>
    <w:p w14:paraId="7804A1C5" w14:textId="77777777" w:rsidR="00024CD1" w:rsidRPr="00D05066" w:rsidRDefault="00024CD1"/>
    <w:sectPr w:rsidR="00024CD1" w:rsidRPr="00D05066" w:rsidSect="004B4A82">
      <w:headerReference w:type="default" r:id="rId11"/>
      <w:headerReference w:type="first" r:id="rId12"/>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C0C2D" w14:textId="77777777" w:rsidR="00B4038F" w:rsidRDefault="00B4038F">
      <w:r>
        <w:separator/>
      </w:r>
    </w:p>
  </w:endnote>
  <w:endnote w:type="continuationSeparator" w:id="0">
    <w:p w14:paraId="6CEE1721" w14:textId="77777777" w:rsidR="00B4038F" w:rsidRDefault="00B4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A36C0" w14:textId="77777777" w:rsidR="00B4038F" w:rsidRDefault="00B4038F">
      <w:r>
        <w:separator/>
      </w:r>
    </w:p>
  </w:footnote>
  <w:footnote w:type="continuationSeparator" w:id="0">
    <w:p w14:paraId="7A50EE76" w14:textId="77777777" w:rsidR="00B4038F" w:rsidRDefault="00B4038F">
      <w:r>
        <w:continuationSeparator/>
      </w:r>
    </w:p>
  </w:footnote>
  <w:footnote w:id="1">
    <w:p w14:paraId="502542B3" w14:textId="77777777" w:rsidR="00317DB3" w:rsidRPr="00AC6325" w:rsidRDefault="00317DB3" w:rsidP="00974C9D">
      <w:pPr>
        <w:pStyle w:val="FootnoteText"/>
        <w:spacing w:after="120"/>
        <w:rPr>
          <w:sz w:val="22"/>
          <w:szCs w:val="22"/>
        </w:rPr>
      </w:pPr>
      <w:r w:rsidRPr="00AC6325">
        <w:rPr>
          <w:rStyle w:val="FootnoteReference"/>
          <w:sz w:val="22"/>
          <w:szCs w:val="22"/>
        </w:rPr>
        <w:footnoteRef/>
      </w:r>
      <w:r w:rsidRPr="00AC6325">
        <w:rPr>
          <w:sz w:val="22"/>
          <w:szCs w:val="22"/>
        </w:rPr>
        <w:t xml:space="preserve"> The petition to </w:t>
      </w:r>
      <w:r w:rsidRPr="00AC6325">
        <w:rPr>
          <w:bCs/>
          <w:sz w:val="22"/>
          <w:szCs w:val="22"/>
        </w:rPr>
        <w:t xml:space="preserve">reconstruct a highway-rail grade crossing, and install an inter-tie between a highway signal and a railroad crossing signal system at State Route 202 in the City of Woodinville, USDOT Crossing No. 091797E was assigned to Docket TR-143902. </w:t>
      </w:r>
      <w:r>
        <w:rPr>
          <w:bCs/>
          <w:sz w:val="22"/>
          <w:szCs w:val="22"/>
        </w:rPr>
        <w:t xml:space="preserve"> </w:t>
      </w:r>
      <w:r w:rsidRPr="00AC6325">
        <w:rPr>
          <w:bCs/>
          <w:sz w:val="22"/>
          <w:szCs w:val="22"/>
        </w:rPr>
        <w:t>The petition to reconstruct a highway-rail grade crossing, and install an inter-tie between a highway signal and a railroad crossing signal system at State Route 202 in the City of Woodinville, USDOT Crossing No. 091797</w:t>
      </w:r>
      <w:r>
        <w:rPr>
          <w:bCs/>
          <w:sz w:val="22"/>
          <w:szCs w:val="22"/>
        </w:rPr>
        <w:t>F</w:t>
      </w:r>
      <w:r w:rsidRPr="00AC6325">
        <w:rPr>
          <w:bCs/>
          <w:sz w:val="22"/>
          <w:szCs w:val="22"/>
        </w:rPr>
        <w:t xml:space="preserve"> was assigned to Docket TR-143903.</w:t>
      </w:r>
    </w:p>
  </w:footnote>
  <w:footnote w:id="2">
    <w:p w14:paraId="3BC9D901" w14:textId="3E5FC84A" w:rsidR="00317DB3" w:rsidRPr="004940D3" w:rsidRDefault="00317DB3" w:rsidP="00974C9D">
      <w:pPr>
        <w:pStyle w:val="FootnoteText"/>
        <w:spacing w:after="120"/>
        <w:rPr>
          <w:sz w:val="22"/>
          <w:szCs w:val="22"/>
        </w:rPr>
      </w:pPr>
      <w:r w:rsidRPr="004940D3">
        <w:rPr>
          <w:rStyle w:val="FootnoteReference"/>
          <w:sz w:val="22"/>
          <w:szCs w:val="22"/>
        </w:rPr>
        <w:footnoteRef/>
      </w:r>
      <w:r w:rsidRPr="004940D3">
        <w:rPr>
          <w:sz w:val="22"/>
          <w:szCs w:val="22"/>
        </w:rPr>
        <w:t xml:space="preserve"> During the conference, the parties agreed to reduce the length of the crossing arms and use asphalt instead of concrete crossing panels for the East crossing. The City agreed to maintain the asphalt for 25 years, and to install concrete panels on the West crossing to match the existing concrete.</w:t>
      </w:r>
    </w:p>
  </w:footnote>
  <w:footnote w:id="3">
    <w:p w14:paraId="4996DBA5" w14:textId="7B939DD0" w:rsidR="00317DB3" w:rsidRPr="00436EF6" w:rsidRDefault="00317DB3" w:rsidP="00974C9D">
      <w:pPr>
        <w:pStyle w:val="FootnoteText"/>
        <w:spacing w:after="120"/>
        <w:rPr>
          <w:sz w:val="22"/>
          <w:szCs w:val="22"/>
        </w:rPr>
      </w:pPr>
      <w:r w:rsidRPr="00436EF6">
        <w:rPr>
          <w:rStyle w:val="FootnoteReference"/>
          <w:sz w:val="22"/>
          <w:szCs w:val="22"/>
        </w:rPr>
        <w:footnoteRef/>
      </w:r>
      <w:r w:rsidRPr="00436EF6">
        <w:rPr>
          <w:sz w:val="22"/>
          <w:szCs w:val="22"/>
        </w:rPr>
        <w:t xml:space="preserve"> Although the City refers in its Motion to “summary judgment,” WAC 480-07-380(2) addresses motions for “summary determination.” Accordingly, the City’s Motion will be hereinafter be referred to as a motion for summary determination</w:t>
      </w:r>
      <w:r>
        <w:rPr>
          <w:sz w:val="22"/>
          <w:szCs w:val="22"/>
        </w:rPr>
        <w:t xml:space="preserve"> consistent with the Commission’s procedural rules.</w:t>
      </w:r>
      <w:r w:rsidRPr="00436EF6">
        <w:rPr>
          <w:sz w:val="22"/>
          <w:szCs w:val="22"/>
        </w:rPr>
        <w:t xml:space="preserve"> </w:t>
      </w:r>
    </w:p>
  </w:footnote>
  <w:footnote w:id="4">
    <w:p w14:paraId="3B753271" w14:textId="77777777" w:rsidR="00317DB3" w:rsidRPr="004940D3" w:rsidRDefault="00317DB3" w:rsidP="00974C9D">
      <w:pPr>
        <w:pStyle w:val="FootnoteText"/>
        <w:spacing w:after="120"/>
        <w:rPr>
          <w:sz w:val="22"/>
          <w:szCs w:val="22"/>
        </w:rPr>
      </w:pPr>
      <w:r w:rsidRPr="004940D3">
        <w:rPr>
          <w:rStyle w:val="FootnoteReference"/>
          <w:sz w:val="22"/>
          <w:szCs w:val="22"/>
        </w:rPr>
        <w:footnoteRef/>
      </w:r>
      <w:r w:rsidRPr="004940D3">
        <w:rPr>
          <w:sz w:val="22"/>
          <w:szCs w:val="22"/>
        </w:rPr>
        <w:t xml:space="preserve"> City’s Brief at 3:1-2, quoting the </w:t>
      </w:r>
      <w:r w:rsidRPr="004940D3">
        <w:rPr>
          <w:bCs/>
          <w:sz w:val="22"/>
          <w:szCs w:val="22"/>
        </w:rPr>
        <w:t>Federal Highway Administration Railroad-Highway Grade Crossing Handbook – Revised Second Edition August 2007</w:t>
      </w:r>
    </w:p>
  </w:footnote>
  <w:footnote w:id="5">
    <w:p w14:paraId="368E4F42" w14:textId="77777777" w:rsidR="00084A5E" w:rsidRPr="00AC6325" w:rsidRDefault="00084A5E" w:rsidP="00974C9D">
      <w:pPr>
        <w:pStyle w:val="FootnoteText"/>
        <w:spacing w:after="120"/>
        <w:rPr>
          <w:sz w:val="22"/>
          <w:szCs w:val="22"/>
        </w:rPr>
      </w:pPr>
      <w:r w:rsidRPr="00AC6325">
        <w:rPr>
          <w:rStyle w:val="FootnoteReference"/>
          <w:sz w:val="22"/>
          <w:szCs w:val="22"/>
        </w:rPr>
        <w:footnoteRef/>
      </w:r>
      <w:r w:rsidRPr="00AC6325">
        <w:rPr>
          <w:sz w:val="22"/>
          <w:szCs w:val="22"/>
        </w:rPr>
        <w:t xml:space="preserve"> In </w:t>
      </w:r>
      <w:r w:rsidRPr="00AC6325">
        <w:rPr>
          <w:iCs/>
          <w:sz w:val="22"/>
          <w:szCs w:val="22"/>
        </w:rPr>
        <w:t xml:space="preserve">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AC6325">
        <w:rPr>
          <w:i/>
          <w:iCs/>
          <w:sz w:val="22"/>
          <w:szCs w:val="22"/>
        </w:rPr>
        <w:t>See</w:t>
      </w:r>
      <w:r w:rsidRPr="00AC6325">
        <w:rPr>
          <w:iCs/>
          <w:sz w:val="22"/>
          <w:szCs w:val="22"/>
        </w:rPr>
        <w:t xml:space="preserve"> RCW 34.05.455.</w:t>
      </w:r>
    </w:p>
  </w:footnote>
  <w:footnote w:id="6">
    <w:p w14:paraId="364F5B42" w14:textId="77777777" w:rsidR="00B05E4E" w:rsidRPr="00B05E4E" w:rsidRDefault="00B05E4E" w:rsidP="00974C9D">
      <w:pPr>
        <w:pStyle w:val="FootnoteText"/>
        <w:spacing w:after="120"/>
        <w:rPr>
          <w:sz w:val="22"/>
          <w:szCs w:val="22"/>
        </w:rPr>
      </w:pPr>
      <w:r w:rsidRPr="00B05E4E">
        <w:rPr>
          <w:rStyle w:val="FootnoteReference"/>
          <w:sz w:val="22"/>
          <w:szCs w:val="22"/>
        </w:rPr>
        <w:footnoteRef/>
      </w:r>
      <w:r w:rsidRPr="00B05E4E">
        <w:rPr>
          <w:sz w:val="22"/>
          <w:szCs w:val="22"/>
        </w:rPr>
        <w:t xml:space="preserve"> In its Response, the Railroads state that “[t]o the best of our knowledge, this project is not approved or funded by the City, state or federal sources.”</w:t>
      </w:r>
      <w:r>
        <w:rPr>
          <w:sz w:val="22"/>
          <w:szCs w:val="22"/>
        </w:rPr>
        <w:t xml:space="preserve"> (Response, p. 3). </w:t>
      </w:r>
      <w:r w:rsidRPr="00B05E4E">
        <w:rPr>
          <w:sz w:val="22"/>
          <w:szCs w:val="22"/>
        </w:rPr>
        <w:t xml:space="preserve">Thomas Hansen’s declaration, however, explains that the project received a federally-funded grant in 2007, administered by WSDOT, which will fund 19.3 percent of the project. </w:t>
      </w:r>
      <w:r w:rsidRPr="00B05E4E">
        <w:rPr>
          <w:i/>
          <w:sz w:val="22"/>
          <w:szCs w:val="22"/>
        </w:rPr>
        <w:t>See</w:t>
      </w:r>
      <w:r w:rsidRPr="00B05E4E">
        <w:rPr>
          <w:sz w:val="22"/>
          <w:szCs w:val="22"/>
        </w:rPr>
        <w:t xml:space="preserve"> Declaration of Thomas Hansen,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9686D" w14:textId="77777777" w:rsidR="002B0C40" w:rsidRDefault="00161DE2" w:rsidP="00AC6325">
    <w:pPr>
      <w:pStyle w:val="Header"/>
      <w:tabs>
        <w:tab w:val="clear" w:pos="4320"/>
        <w:tab w:val="clear" w:pos="8640"/>
      </w:tabs>
      <w:rPr>
        <w:b/>
        <w:bCs/>
        <w:sz w:val="20"/>
      </w:rPr>
    </w:pPr>
    <w:r w:rsidRPr="00073BBD">
      <w:rPr>
        <w:b/>
        <w:bCs/>
        <w:sz w:val="20"/>
      </w:rPr>
      <w:t>DOCKET</w:t>
    </w:r>
    <w:r w:rsidR="00BE0C59">
      <w:rPr>
        <w:b/>
        <w:bCs/>
        <w:sz w:val="20"/>
      </w:rPr>
      <w:t>S</w:t>
    </w:r>
    <w:r w:rsidRPr="00073BBD">
      <w:rPr>
        <w:b/>
        <w:bCs/>
        <w:sz w:val="20"/>
      </w:rPr>
      <w:t xml:space="preserve"> </w:t>
    </w:r>
    <w:r w:rsidR="00BE0C59">
      <w:rPr>
        <w:b/>
        <w:bCs/>
        <w:sz w:val="20"/>
      </w:rPr>
      <w:t>TR</w:t>
    </w:r>
    <w:r w:rsidRPr="00073BBD">
      <w:rPr>
        <w:b/>
        <w:bCs/>
        <w:sz w:val="20"/>
      </w:rPr>
      <w:t>-</w:t>
    </w:r>
    <w:r w:rsidR="005B6172" w:rsidRPr="00073BBD">
      <w:rPr>
        <w:b/>
        <w:bCs/>
        <w:sz w:val="20"/>
      </w:rPr>
      <w:t>143</w:t>
    </w:r>
    <w:r w:rsidR="00BE0C59">
      <w:rPr>
        <w:b/>
        <w:bCs/>
        <w:sz w:val="20"/>
      </w:rPr>
      <w:t>902 and TR-143903</w:t>
    </w:r>
    <w:r w:rsidR="005B6172" w:rsidRPr="00073BBD">
      <w:rPr>
        <w:b/>
        <w:bCs/>
        <w:sz w:val="20"/>
      </w:rPr>
      <w:t xml:space="preserve"> </w:t>
    </w:r>
    <w:r w:rsidR="00AC6325">
      <w:rPr>
        <w:b/>
        <w:bCs/>
        <w:sz w:val="20"/>
      </w:rPr>
      <w:t>(</w:t>
    </w:r>
    <w:r w:rsidR="00BE0C59" w:rsidRPr="00BE0C59">
      <w:rPr>
        <w:b/>
        <w:bCs/>
        <w:i/>
        <w:sz w:val="20"/>
      </w:rPr>
      <w:t>C</w:t>
    </w:r>
    <w:r w:rsidR="002B0C40">
      <w:rPr>
        <w:b/>
        <w:bCs/>
        <w:i/>
        <w:sz w:val="20"/>
      </w:rPr>
      <w:t>onsolidated</w:t>
    </w:r>
    <w:r w:rsidR="002B0C40">
      <w:rPr>
        <w:b/>
        <w:bCs/>
        <w:sz w:val="20"/>
      </w:rPr>
      <w:t>)</w:t>
    </w:r>
    <w:r w:rsidR="002B0C40">
      <w:rPr>
        <w:b/>
        <w:bCs/>
        <w:sz w:val="20"/>
      </w:rPr>
      <w:tab/>
    </w:r>
    <w:r w:rsidR="00AC6325">
      <w:rPr>
        <w:b/>
        <w:bCs/>
        <w:sz w:val="20"/>
      </w:rPr>
      <w:tab/>
    </w:r>
    <w:r w:rsidR="00AC6325">
      <w:rPr>
        <w:b/>
        <w:bCs/>
        <w:sz w:val="20"/>
      </w:rPr>
      <w:tab/>
    </w:r>
    <w:r w:rsidR="00AC6325">
      <w:rPr>
        <w:b/>
        <w:bCs/>
        <w:sz w:val="20"/>
      </w:rPr>
      <w:tab/>
    </w:r>
    <w:r w:rsidR="002B0C40">
      <w:rPr>
        <w:b/>
        <w:bCs/>
        <w:sz w:val="20"/>
      </w:rPr>
      <w:tab/>
    </w:r>
    <w:r w:rsidR="002B0C40" w:rsidRPr="00F523EC">
      <w:rPr>
        <w:b/>
        <w:bCs/>
        <w:sz w:val="20"/>
      </w:rPr>
      <w:t xml:space="preserve">PAGE </w:t>
    </w:r>
    <w:r w:rsidR="002B0C40" w:rsidRPr="00F523EC">
      <w:rPr>
        <w:rStyle w:val="PageNumber"/>
        <w:b/>
        <w:bCs/>
        <w:sz w:val="20"/>
      </w:rPr>
      <w:fldChar w:fldCharType="begin"/>
    </w:r>
    <w:r w:rsidR="002B0C40" w:rsidRPr="00F523EC">
      <w:rPr>
        <w:rStyle w:val="PageNumber"/>
        <w:b/>
        <w:bCs/>
        <w:sz w:val="20"/>
      </w:rPr>
      <w:instrText xml:space="preserve"> PAGE </w:instrText>
    </w:r>
    <w:r w:rsidR="002B0C40" w:rsidRPr="00F523EC">
      <w:rPr>
        <w:rStyle w:val="PageNumber"/>
        <w:b/>
        <w:bCs/>
        <w:sz w:val="20"/>
      </w:rPr>
      <w:fldChar w:fldCharType="separate"/>
    </w:r>
    <w:r w:rsidR="00060EF1">
      <w:rPr>
        <w:rStyle w:val="PageNumber"/>
        <w:b/>
        <w:bCs/>
        <w:noProof/>
        <w:sz w:val="20"/>
      </w:rPr>
      <w:t>7</w:t>
    </w:r>
    <w:r w:rsidR="002B0C40" w:rsidRPr="00F523EC">
      <w:rPr>
        <w:rStyle w:val="PageNumber"/>
        <w:b/>
        <w:bCs/>
        <w:sz w:val="20"/>
      </w:rPr>
      <w:fldChar w:fldCharType="end"/>
    </w:r>
  </w:p>
  <w:p w14:paraId="47A7F15E" w14:textId="64B16FAB" w:rsidR="00161DE2" w:rsidRDefault="00974C9D">
    <w:pPr>
      <w:pStyle w:val="Header"/>
      <w:rPr>
        <w:b/>
        <w:bCs/>
        <w:sz w:val="20"/>
      </w:rPr>
    </w:pPr>
    <w:r>
      <w:rPr>
        <w:b/>
        <w:bCs/>
        <w:sz w:val="20"/>
      </w:rPr>
      <w:t>ORDER 02</w:t>
    </w:r>
  </w:p>
  <w:p w14:paraId="10E37FD7" w14:textId="77777777" w:rsidR="004B4A82" w:rsidRPr="00F523EC" w:rsidRDefault="004B4A82">
    <w:pPr>
      <w:pStyle w:val="Header"/>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305E" w14:textId="696F601C" w:rsidR="00813458" w:rsidRPr="00682294" w:rsidRDefault="00813458" w:rsidP="00682294">
    <w:pPr>
      <w:pStyle w:val="Header"/>
      <w:tabs>
        <w:tab w:val="clear" w:pos="4320"/>
      </w:tabs>
      <w:jc w:val="right"/>
      <w:rPr>
        <w:b/>
        <w:sz w:val="20"/>
      </w:rPr>
    </w:pPr>
    <w:r>
      <w:tab/>
    </w:r>
    <w:r w:rsidR="00682294">
      <w:rPr>
        <w:b/>
        <w:sz w:val="20"/>
      </w:rPr>
      <w:t>[Service date November 16,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21A5E"/>
    <w:rsid w:val="00024CD1"/>
    <w:rsid w:val="000477A6"/>
    <w:rsid w:val="00051123"/>
    <w:rsid w:val="00060EF1"/>
    <w:rsid w:val="00070806"/>
    <w:rsid w:val="00073BBD"/>
    <w:rsid w:val="00073CA1"/>
    <w:rsid w:val="00077947"/>
    <w:rsid w:val="00083556"/>
    <w:rsid w:val="00084335"/>
    <w:rsid w:val="00084A5E"/>
    <w:rsid w:val="000A30D2"/>
    <w:rsid w:val="000A5CAE"/>
    <w:rsid w:val="000A6938"/>
    <w:rsid w:val="000B13ED"/>
    <w:rsid w:val="000C200E"/>
    <w:rsid w:val="000C468E"/>
    <w:rsid w:val="000D5F40"/>
    <w:rsid w:val="000D6A1B"/>
    <w:rsid w:val="000E75B5"/>
    <w:rsid w:val="000F1D22"/>
    <w:rsid w:val="000F45EC"/>
    <w:rsid w:val="00103C1D"/>
    <w:rsid w:val="00106C98"/>
    <w:rsid w:val="0012176E"/>
    <w:rsid w:val="0012336B"/>
    <w:rsid w:val="00133C60"/>
    <w:rsid w:val="001443F2"/>
    <w:rsid w:val="00152449"/>
    <w:rsid w:val="00152F67"/>
    <w:rsid w:val="00155D97"/>
    <w:rsid w:val="00161DE2"/>
    <w:rsid w:val="00162AB8"/>
    <w:rsid w:val="0017428F"/>
    <w:rsid w:val="001744EA"/>
    <w:rsid w:val="00177BFE"/>
    <w:rsid w:val="00183AA5"/>
    <w:rsid w:val="001851E1"/>
    <w:rsid w:val="00186363"/>
    <w:rsid w:val="001A3D52"/>
    <w:rsid w:val="001A3FDD"/>
    <w:rsid w:val="001B4778"/>
    <w:rsid w:val="001C5C92"/>
    <w:rsid w:val="001D59BB"/>
    <w:rsid w:val="001D7740"/>
    <w:rsid w:val="00211B51"/>
    <w:rsid w:val="00221004"/>
    <w:rsid w:val="002272C1"/>
    <w:rsid w:val="002458F0"/>
    <w:rsid w:val="00245E9C"/>
    <w:rsid w:val="0026515A"/>
    <w:rsid w:val="0029658B"/>
    <w:rsid w:val="002B0C40"/>
    <w:rsid w:val="002B5FB3"/>
    <w:rsid w:val="002D01EF"/>
    <w:rsid w:val="002E6EDE"/>
    <w:rsid w:val="00317DB3"/>
    <w:rsid w:val="003241AD"/>
    <w:rsid w:val="00343481"/>
    <w:rsid w:val="00361315"/>
    <w:rsid w:val="00363B8B"/>
    <w:rsid w:val="003707C2"/>
    <w:rsid w:val="003746D5"/>
    <w:rsid w:val="0038704B"/>
    <w:rsid w:val="00396123"/>
    <w:rsid w:val="003E7566"/>
    <w:rsid w:val="003F42AB"/>
    <w:rsid w:val="004059E6"/>
    <w:rsid w:val="00406517"/>
    <w:rsid w:val="0042044E"/>
    <w:rsid w:val="00427395"/>
    <w:rsid w:val="00433907"/>
    <w:rsid w:val="00434B19"/>
    <w:rsid w:val="004351E9"/>
    <w:rsid w:val="00436EF6"/>
    <w:rsid w:val="00451959"/>
    <w:rsid w:val="004715DF"/>
    <w:rsid w:val="00492089"/>
    <w:rsid w:val="004940D3"/>
    <w:rsid w:val="004B0310"/>
    <w:rsid w:val="004B4A82"/>
    <w:rsid w:val="004B7A43"/>
    <w:rsid w:val="004C2BA0"/>
    <w:rsid w:val="004C3BD5"/>
    <w:rsid w:val="004F0ABB"/>
    <w:rsid w:val="0051156F"/>
    <w:rsid w:val="0052470A"/>
    <w:rsid w:val="00533D33"/>
    <w:rsid w:val="00535C63"/>
    <w:rsid w:val="00556D49"/>
    <w:rsid w:val="0056108C"/>
    <w:rsid w:val="0056698B"/>
    <w:rsid w:val="005711E5"/>
    <w:rsid w:val="00576CE9"/>
    <w:rsid w:val="0057749F"/>
    <w:rsid w:val="00585DDF"/>
    <w:rsid w:val="005872A3"/>
    <w:rsid w:val="00590813"/>
    <w:rsid w:val="005B2FB1"/>
    <w:rsid w:val="005B6172"/>
    <w:rsid w:val="005D7471"/>
    <w:rsid w:val="005F50D8"/>
    <w:rsid w:val="00613C10"/>
    <w:rsid w:val="00624601"/>
    <w:rsid w:val="0067482D"/>
    <w:rsid w:val="00676DA3"/>
    <w:rsid w:val="00682294"/>
    <w:rsid w:val="00687C38"/>
    <w:rsid w:val="006B008C"/>
    <w:rsid w:val="006B3662"/>
    <w:rsid w:val="006C3612"/>
    <w:rsid w:val="006C3827"/>
    <w:rsid w:val="006C5D04"/>
    <w:rsid w:val="006D2993"/>
    <w:rsid w:val="006D3CE7"/>
    <w:rsid w:val="006F30D6"/>
    <w:rsid w:val="00712C92"/>
    <w:rsid w:val="0072596C"/>
    <w:rsid w:val="007949C8"/>
    <w:rsid w:val="007A4B4F"/>
    <w:rsid w:val="007C30C1"/>
    <w:rsid w:val="007D7C57"/>
    <w:rsid w:val="007E4CBA"/>
    <w:rsid w:val="007E680F"/>
    <w:rsid w:val="007F4361"/>
    <w:rsid w:val="00813458"/>
    <w:rsid w:val="00823A0A"/>
    <w:rsid w:val="00832312"/>
    <w:rsid w:val="00841C4C"/>
    <w:rsid w:val="00846562"/>
    <w:rsid w:val="00871AF0"/>
    <w:rsid w:val="0087335E"/>
    <w:rsid w:val="00882135"/>
    <w:rsid w:val="00892A0D"/>
    <w:rsid w:val="008A4677"/>
    <w:rsid w:val="008B0AC8"/>
    <w:rsid w:val="008C3602"/>
    <w:rsid w:val="008F2109"/>
    <w:rsid w:val="008F3843"/>
    <w:rsid w:val="00923999"/>
    <w:rsid w:val="0092713B"/>
    <w:rsid w:val="0094467F"/>
    <w:rsid w:val="00965F84"/>
    <w:rsid w:val="00972457"/>
    <w:rsid w:val="00973B3C"/>
    <w:rsid w:val="00974C9D"/>
    <w:rsid w:val="009766F2"/>
    <w:rsid w:val="009A138C"/>
    <w:rsid w:val="009A477E"/>
    <w:rsid w:val="009B0D06"/>
    <w:rsid w:val="009C488E"/>
    <w:rsid w:val="009D1203"/>
    <w:rsid w:val="009E16B2"/>
    <w:rsid w:val="009F53BE"/>
    <w:rsid w:val="00A11DD7"/>
    <w:rsid w:val="00A1234C"/>
    <w:rsid w:val="00A1514B"/>
    <w:rsid w:val="00A237C9"/>
    <w:rsid w:val="00A26FD6"/>
    <w:rsid w:val="00A3253B"/>
    <w:rsid w:val="00A3643E"/>
    <w:rsid w:val="00A56998"/>
    <w:rsid w:val="00A64AED"/>
    <w:rsid w:val="00A76E83"/>
    <w:rsid w:val="00A81DE4"/>
    <w:rsid w:val="00A84830"/>
    <w:rsid w:val="00A8530D"/>
    <w:rsid w:val="00A912B3"/>
    <w:rsid w:val="00A921E1"/>
    <w:rsid w:val="00AB2F87"/>
    <w:rsid w:val="00AC61CE"/>
    <w:rsid w:val="00AC6325"/>
    <w:rsid w:val="00AE1F2C"/>
    <w:rsid w:val="00AE2198"/>
    <w:rsid w:val="00AE2658"/>
    <w:rsid w:val="00AF6C67"/>
    <w:rsid w:val="00B05E4E"/>
    <w:rsid w:val="00B11981"/>
    <w:rsid w:val="00B132CB"/>
    <w:rsid w:val="00B154B4"/>
    <w:rsid w:val="00B231F1"/>
    <w:rsid w:val="00B4038F"/>
    <w:rsid w:val="00B42B7C"/>
    <w:rsid w:val="00BA4E78"/>
    <w:rsid w:val="00BB1CDD"/>
    <w:rsid w:val="00BC1B21"/>
    <w:rsid w:val="00BE0C59"/>
    <w:rsid w:val="00BF481F"/>
    <w:rsid w:val="00BF6F3E"/>
    <w:rsid w:val="00BF7E2F"/>
    <w:rsid w:val="00C27E41"/>
    <w:rsid w:val="00C35593"/>
    <w:rsid w:val="00C6151D"/>
    <w:rsid w:val="00C72686"/>
    <w:rsid w:val="00C77EE8"/>
    <w:rsid w:val="00C81123"/>
    <w:rsid w:val="00C87B4A"/>
    <w:rsid w:val="00CC64FE"/>
    <w:rsid w:val="00CD1799"/>
    <w:rsid w:val="00CD3241"/>
    <w:rsid w:val="00CE551A"/>
    <w:rsid w:val="00D017BB"/>
    <w:rsid w:val="00D04792"/>
    <w:rsid w:val="00D05066"/>
    <w:rsid w:val="00D165D1"/>
    <w:rsid w:val="00D31B32"/>
    <w:rsid w:val="00D361CB"/>
    <w:rsid w:val="00D37875"/>
    <w:rsid w:val="00D45F04"/>
    <w:rsid w:val="00D47014"/>
    <w:rsid w:val="00D55305"/>
    <w:rsid w:val="00D57ED3"/>
    <w:rsid w:val="00D628D2"/>
    <w:rsid w:val="00D633F0"/>
    <w:rsid w:val="00D6460E"/>
    <w:rsid w:val="00D76501"/>
    <w:rsid w:val="00DA5158"/>
    <w:rsid w:val="00DB0F86"/>
    <w:rsid w:val="00DC39A1"/>
    <w:rsid w:val="00DC5382"/>
    <w:rsid w:val="00DD0DE6"/>
    <w:rsid w:val="00DE4CCA"/>
    <w:rsid w:val="00DE59F8"/>
    <w:rsid w:val="00E50DC4"/>
    <w:rsid w:val="00E61EF1"/>
    <w:rsid w:val="00E6570A"/>
    <w:rsid w:val="00E720B0"/>
    <w:rsid w:val="00E74A42"/>
    <w:rsid w:val="00E93208"/>
    <w:rsid w:val="00EA43E3"/>
    <w:rsid w:val="00EC30D8"/>
    <w:rsid w:val="00EE31EA"/>
    <w:rsid w:val="00EE5CE7"/>
    <w:rsid w:val="00EF0E86"/>
    <w:rsid w:val="00EF45DF"/>
    <w:rsid w:val="00EF50B4"/>
    <w:rsid w:val="00F01266"/>
    <w:rsid w:val="00F135C5"/>
    <w:rsid w:val="00F16302"/>
    <w:rsid w:val="00F23A7C"/>
    <w:rsid w:val="00F24673"/>
    <w:rsid w:val="00F342D5"/>
    <w:rsid w:val="00F523EC"/>
    <w:rsid w:val="00F53D0D"/>
    <w:rsid w:val="00F7532D"/>
    <w:rsid w:val="00F7592B"/>
    <w:rsid w:val="00F84BE0"/>
    <w:rsid w:val="00FA0C2C"/>
    <w:rsid w:val="00FA5AEE"/>
    <w:rsid w:val="00FA5FF7"/>
    <w:rsid w:val="00FB3BEE"/>
    <w:rsid w:val="00FC630D"/>
    <w:rsid w:val="00FC687F"/>
    <w:rsid w:val="00FE31C5"/>
    <w:rsid w:val="00FE46D0"/>
    <w:rsid w:val="00FE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DD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Initial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City of Woodinville</CaseCompanyNames>
    <DocketNumber xmlns="dc463f71-b30c-4ab2-9473-d307f9d35888">143902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DA96355AB3CE4BB24C8503C0E6F6FF" ma:contentTypeVersion="175" ma:contentTypeDescription="" ma:contentTypeScope="" ma:versionID="40fc06686d94615064fcc94f3938ed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1E08C-348E-4333-9D62-794189AED032}"/>
</file>

<file path=customXml/itemProps2.xml><?xml version="1.0" encoding="utf-8"?>
<ds:datastoreItem xmlns:ds="http://schemas.openxmlformats.org/officeDocument/2006/customXml" ds:itemID="{9642A564-B147-47A4-99AA-C319F480AF77}"/>
</file>

<file path=customXml/itemProps3.xml><?xml version="1.0" encoding="utf-8"?>
<ds:datastoreItem xmlns:ds="http://schemas.openxmlformats.org/officeDocument/2006/customXml" ds:itemID="{4F7D5A3E-DF29-43B6-B512-C5BE4A714655}"/>
</file>

<file path=customXml/itemProps4.xml><?xml version="1.0" encoding="utf-8"?>
<ds:datastoreItem xmlns:ds="http://schemas.openxmlformats.org/officeDocument/2006/customXml" ds:itemID="{714CCC9A-06DE-461F-957C-133E9141E365}"/>
</file>

<file path=customXml/itemProps5.xml><?xml version="1.0" encoding="utf-8"?>
<ds:datastoreItem xmlns:ds="http://schemas.openxmlformats.org/officeDocument/2006/customXml" ds:itemID="{1DAECD2B-C486-4D41-B642-A312745A76B2}"/>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2015-11-16T18:20:00Z</dcterms:created>
  <dcterms:modified xsi:type="dcterms:W3CDTF">2015-11-16T18:20:00Z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0x0101006E56B4D1795A2E4DB2F0B01679ED314A0056DA96355AB3CE4BB24C8503C0E6F6FF</vt:lpwstr>
  </property>
  <property fmtid="{D5CDD505-2E9C-101B-9397-08002B2CF9AE}" pid="3" name="_docset_NoMedatataSyncRequired">
    <vt:lpwstr>False</vt:lpwstr>
  </property>
</Properties>
</file>