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4E2" w:rsidRPr="00B814E2" w:rsidRDefault="00B814E2" w:rsidP="00F3165E">
      <w:pPr>
        <w:ind w:left="5580"/>
        <w:rPr>
          <w:b/>
        </w:rPr>
      </w:pPr>
      <w:r w:rsidRPr="00B814E2">
        <w:rPr>
          <w:b/>
        </w:rPr>
        <w:t>Docket</w:t>
      </w:r>
      <w:r w:rsidR="00F3165E">
        <w:rPr>
          <w:b/>
        </w:rPr>
        <w:t>s TG-130501/TG-130502</w:t>
      </w:r>
    </w:p>
    <w:p w:rsidR="00B814E2" w:rsidRPr="00B814E2" w:rsidRDefault="0046251D" w:rsidP="00F3165E">
      <w:pPr>
        <w:ind w:left="5580"/>
        <w:rPr>
          <w:b/>
        </w:rPr>
      </w:pPr>
      <w:r>
        <w:rPr>
          <w:b/>
        </w:rPr>
        <w:t xml:space="preserve">Witness:  </w:t>
      </w:r>
      <w:r w:rsidR="00F3165E">
        <w:rPr>
          <w:b/>
        </w:rPr>
        <w:t>Melissa Cheesman</w:t>
      </w:r>
      <w:r w:rsidR="00B814E2" w:rsidRPr="00B814E2">
        <w:rPr>
          <w:b/>
        </w:rPr>
        <w:t xml:space="preserve"> </w:t>
      </w:r>
    </w:p>
    <w:p w:rsidR="00B814E2" w:rsidRPr="00B814E2" w:rsidRDefault="00B814E2" w:rsidP="00B814E2">
      <w:pPr>
        <w:rPr>
          <w:b/>
        </w:rPr>
      </w:pPr>
    </w:p>
    <w:p w:rsidR="00B814E2" w:rsidRPr="00B814E2" w:rsidRDefault="00B814E2" w:rsidP="00B814E2">
      <w:pPr>
        <w:ind w:left="-360" w:right="-252"/>
        <w:jc w:val="center"/>
        <w:rPr>
          <w:b/>
        </w:rPr>
      </w:pPr>
      <w:r w:rsidRPr="00B814E2">
        <w:rPr>
          <w:b/>
        </w:rPr>
        <w:t>BEFORE THE WASHINGTON UTILITIES AND TRANSPORTATION COMMISSION</w:t>
      </w:r>
    </w:p>
    <w:p w:rsidR="00B814E2" w:rsidRPr="00B814E2" w:rsidRDefault="00B814E2" w:rsidP="00B814E2">
      <w:pPr>
        <w:jc w:val="both"/>
        <w:rPr>
          <w:b/>
          <w:bCs/>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B814E2" w:rsidTr="0003445D">
        <w:tc>
          <w:tcPr>
            <w:tcW w:w="4590" w:type="dxa"/>
            <w:tcBorders>
              <w:top w:val="single" w:sz="6" w:space="0" w:color="FFFFFF"/>
              <w:left w:val="single" w:sz="6" w:space="0" w:color="FFFFFF"/>
              <w:bottom w:val="single" w:sz="6" w:space="0" w:color="FFFFFF"/>
              <w:right w:val="single" w:sz="6" w:space="0" w:color="FFFFFF"/>
            </w:tcBorders>
          </w:tcPr>
          <w:p w:rsidR="00F3165E" w:rsidRPr="00F3165E" w:rsidRDefault="00F3165E" w:rsidP="00F3165E">
            <w:pPr>
              <w:rPr>
                <w:b/>
              </w:rPr>
            </w:pPr>
            <w:r w:rsidRPr="00F3165E">
              <w:rPr>
                <w:b/>
              </w:rPr>
              <w:t>WASHINGTON UTILITIES AND TRANSPORTATION COMMISSION,</w:t>
            </w:r>
          </w:p>
          <w:p w:rsidR="00F3165E" w:rsidRPr="00F3165E" w:rsidRDefault="00F3165E" w:rsidP="00F3165E">
            <w:pPr>
              <w:rPr>
                <w:b/>
              </w:rPr>
            </w:pPr>
          </w:p>
          <w:p w:rsidR="00F3165E" w:rsidRPr="00F3165E" w:rsidRDefault="00F3165E" w:rsidP="00F3165E">
            <w:pPr>
              <w:rPr>
                <w:b/>
              </w:rPr>
            </w:pPr>
            <w:r w:rsidRPr="00F3165E">
              <w:rPr>
                <w:b/>
              </w:rPr>
              <w:tab/>
            </w:r>
            <w:r w:rsidRPr="00F3165E">
              <w:rPr>
                <w:b/>
              </w:rPr>
              <w:tab/>
              <w:t>Complainant,</w:t>
            </w:r>
          </w:p>
          <w:p w:rsidR="00F3165E" w:rsidRPr="00F3165E" w:rsidRDefault="00F3165E" w:rsidP="00F3165E">
            <w:pPr>
              <w:rPr>
                <w:b/>
              </w:rPr>
            </w:pPr>
          </w:p>
          <w:p w:rsidR="00F3165E" w:rsidRPr="00F3165E" w:rsidRDefault="00F3165E" w:rsidP="00F3165E">
            <w:pPr>
              <w:rPr>
                <w:b/>
              </w:rPr>
            </w:pPr>
            <w:r w:rsidRPr="00F3165E">
              <w:rPr>
                <w:b/>
              </w:rPr>
              <w:t>v.</w:t>
            </w:r>
          </w:p>
          <w:p w:rsidR="00F3165E" w:rsidRPr="00F3165E" w:rsidRDefault="00F3165E" w:rsidP="00F3165E">
            <w:pPr>
              <w:rPr>
                <w:b/>
              </w:rPr>
            </w:pPr>
          </w:p>
          <w:p w:rsidR="00F3165E" w:rsidRPr="00F3165E" w:rsidRDefault="00F3165E" w:rsidP="00F3165E">
            <w:pPr>
              <w:rPr>
                <w:b/>
              </w:rPr>
            </w:pPr>
            <w:r w:rsidRPr="00F3165E">
              <w:rPr>
                <w:b/>
              </w:rPr>
              <w:t>MURREY’S DISPOSAL COMPANY, INC., G-9,</w:t>
            </w:r>
          </w:p>
          <w:p w:rsidR="00F3165E" w:rsidRPr="00F3165E" w:rsidRDefault="00F3165E" w:rsidP="00F3165E">
            <w:pPr>
              <w:rPr>
                <w:b/>
              </w:rPr>
            </w:pPr>
          </w:p>
          <w:p w:rsidR="00F3165E" w:rsidRPr="00F3165E" w:rsidRDefault="00F3165E" w:rsidP="00F3165E">
            <w:pPr>
              <w:rPr>
                <w:b/>
              </w:rPr>
            </w:pPr>
            <w:r w:rsidRPr="00F3165E">
              <w:rPr>
                <w:b/>
              </w:rPr>
              <w:tab/>
            </w:r>
            <w:r w:rsidRPr="00F3165E">
              <w:rPr>
                <w:b/>
              </w:rPr>
              <w:tab/>
              <w:t>Respondent.</w:t>
            </w:r>
          </w:p>
          <w:p w:rsidR="00B814E2" w:rsidRPr="00F3165E" w:rsidRDefault="00B814E2" w:rsidP="00F24BFC">
            <w:pPr>
              <w:spacing w:after="19"/>
              <w:rPr>
                <w:b/>
                <w:bCs/>
              </w:rPr>
            </w:pPr>
          </w:p>
          <w:p w:rsidR="00F3165E" w:rsidRPr="00F3165E" w:rsidRDefault="00F3165E" w:rsidP="00F24BFC">
            <w:pPr>
              <w:spacing w:after="19"/>
              <w:rPr>
                <w:b/>
                <w:bCs/>
              </w:rPr>
            </w:pPr>
            <w:r w:rsidRPr="00F3165E">
              <w:rPr>
                <w:b/>
                <w:bCs/>
              </w:rPr>
              <w:t>………………………………………………</w:t>
            </w:r>
          </w:p>
          <w:p w:rsidR="00F3165E" w:rsidRPr="00F3165E" w:rsidRDefault="00F3165E" w:rsidP="00F24BFC">
            <w:pPr>
              <w:spacing w:after="19"/>
              <w:rPr>
                <w:b/>
                <w:bCs/>
              </w:rPr>
            </w:pPr>
          </w:p>
          <w:p w:rsidR="00F3165E" w:rsidRPr="00F3165E" w:rsidRDefault="00F3165E" w:rsidP="00F3165E">
            <w:pPr>
              <w:rPr>
                <w:b/>
              </w:rPr>
            </w:pPr>
            <w:r w:rsidRPr="00F3165E">
              <w:rPr>
                <w:b/>
              </w:rPr>
              <w:t>WASHINGTON UTILITIES AND TRANSPORTATION COMMISSION,</w:t>
            </w:r>
          </w:p>
          <w:p w:rsidR="00F3165E" w:rsidRPr="00F3165E" w:rsidRDefault="00F3165E" w:rsidP="00F3165E">
            <w:pPr>
              <w:rPr>
                <w:b/>
              </w:rPr>
            </w:pPr>
          </w:p>
          <w:p w:rsidR="00F3165E" w:rsidRPr="00F3165E" w:rsidRDefault="00F3165E" w:rsidP="00F3165E">
            <w:pPr>
              <w:rPr>
                <w:b/>
              </w:rPr>
            </w:pPr>
            <w:r w:rsidRPr="00F3165E">
              <w:rPr>
                <w:b/>
              </w:rPr>
              <w:tab/>
            </w:r>
            <w:r w:rsidRPr="00F3165E">
              <w:rPr>
                <w:b/>
              </w:rPr>
              <w:tab/>
              <w:t>Complainant,</w:t>
            </w:r>
          </w:p>
          <w:p w:rsidR="00F3165E" w:rsidRPr="00F3165E" w:rsidRDefault="00F3165E" w:rsidP="00F3165E">
            <w:pPr>
              <w:rPr>
                <w:b/>
              </w:rPr>
            </w:pPr>
          </w:p>
          <w:p w:rsidR="00F3165E" w:rsidRPr="00F3165E" w:rsidRDefault="00F3165E" w:rsidP="00F3165E">
            <w:pPr>
              <w:rPr>
                <w:b/>
              </w:rPr>
            </w:pPr>
            <w:r w:rsidRPr="00F3165E">
              <w:rPr>
                <w:b/>
              </w:rPr>
              <w:t>v.</w:t>
            </w:r>
          </w:p>
          <w:p w:rsidR="00F3165E" w:rsidRPr="00F3165E" w:rsidRDefault="00F3165E" w:rsidP="00F3165E">
            <w:pPr>
              <w:rPr>
                <w:b/>
              </w:rPr>
            </w:pPr>
          </w:p>
          <w:p w:rsidR="00F3165E" w:rsidRPr="00F3165E" w:rsidRDefault="00D97C97" w:rsidP="00F3165E">
            <w:pPr>
              <w:rPr>
                <w:b/>
              </w:rPr>
            </w:pPr>
            <w:r w:rsidRPr="00F3165E">
              <w:rPr>
                <w:b/>
              </w:rPr>
              <w:t>AMERICAN</w:t>
            </w:r>
            <w:r w:rsidR="00F3165E" w:rsidRPr="00F3165E">
              <w:rPr>
                <w:b/>
              </w:rPr>
              <w:t xml:space="preserve"> DISPOSAL COMPANY, INC., G-87,</w:t>
            </w:r>
          </w:p>
          <w:p w:rsidR="00F3165E" w:rsidRPr="00F3165E" w:rsidRDefault="00F3165E" w:rsidP="00F3165E">
            <w:pPr>
              <w:rPr>
                <w:b/>
              </w:rPr>
            </w:pPr>
          </w:p>
          <w:p w:rsidR="00F3165E" w:rsidRPr="00F3165E" w:rsidRDefault="00F3165E" w:rsidP="00F3165E">
            <w:pPr>
              <w:rPr>
                <w:b/>
              </w:rPr>
            </w:pPr>
            <w:r w:rsidRPr="00F3165E">
              <w:rPr>
                <w:b/>
              </w:rPr>
              <w:tab/>
            </w:r>
            <w:r w:rsidRPr="00F3165E">
              <w:rPr>
                <w:b/>
              </w:rPr>
              <w:tab/>
              <w:t>Respondent.</w:t>
            </w:r>
          </w:p>
          <w:p w:rsidR="00F3165E" w:rsidRPr="00F3165E" w:rsidRDefault="00F3165E" w:rsidP="00F24BFC">
            <w:pPr>
              <w:spacing w:after="19"/>
              <w:rPr>
                <w:b/>
                <w:bCs/>
              </w:rPr>
            </w:pPr>
          </w:p>
        </w:tc>
        <w:tc>
          <w:tcPr>
            <w:tcW w:w="4590" w:type="dxa"/>
            <w:tcBorders>
              <w:top w:val="single" w:sz="6" w:space="0" w:color="FFFFFF"/>
              <w:left w:val="single" w:sz="7" w:space="0" w:color="000000"/>
              <w:bottom w:val="single" w:sz="6" w:space="0" w:color="FFFFFF"/>
              <w:right w:val="single" w:sz="6" w:space="0" w:color="FFFFFF"/>
            </w:tcBorders>
          </w:tcPr>
          <w:p w:rsidR="00F3165E" w:rsidRDefault="00B814E2" w:rsidP="00F3165E">
            <w:pPr>
              <w:ind w:left="776"/>
              <w:rPr>
                <w:b/>
                <w:bCs/>
              </w:rPr>
            </w:pPr>
            <w:r>
              <w:rPr>
                <w:b/>
                <w:bCs/>
              </w:rPr>
              <w:t>DOCKET</w:t>
            </w:r>
            <w:r w:rsidR="00F3165E">
              <w:rPr>
                <w:b/>
                <w:bCs/>
              </w:rPr>
              <w:t>S TG-130501</w:t>
            </w:r>
          </w:p>
          <w:p w:rsidR="00B814E2" w:rsidRDefault="00F3165E" w:rsidP="00F3165E">
            <w:pPr>
              <w:ind w:left="776"/>
              <w:rPr>
                <w:b/>
                <w:bCs/>
              </w:rPr>
            </w:pPr>
            <w:r>
              <w:rPr>
                <w:b/>
                <w:bCs/>
              </w:rPr>
              <w:t>and TG-13050</w:t>
            </w:r>
            <w:r w:rsidR="000D6481">
              <w:rPr>
                <w:b/>
                <w:bCs/>
              </w:rPr>
              <w:t>2</w:t>
            </w:r>
            <w:r>
              <w:rPr>
                <w:b/>
                <w:bCs/>
              </w:rPr>
              <w:t xml:space="preserve"> (</w:t>
            </w:r>
            <w:r>
              <w:rPr>
                <w:b/>
                <w:bCs/>
                <w:i/>
              </w:rPr>
              <w:t>consolidated</w:t>
            </w:r>
            <w:r>
              <w:rPr>
                <w:b/>
                <w:bCs/>
              </w:rPr>
              <w:t>)</w:t>
            </w:r>
            <w:r w:rsidR="00B814E2">
              <w:rPr>
                <w:b/>
                <w:bCs/>
              </w:rPr>
              <w:t xml:space="preserve"> </w:t>
            </w:r>
          </w:p>
          <w:p w:rsidR="00B814E2" w:rsidRDefault="00B814E2" w:rsidP="00F3165E">
            <w:pPr>
              <w:ind w:left="776"/>
              <w:rPr>
                <w:b/>
                <w:bCs/>
              </w:rPr>
            </w:pPr>
          </w:p>
          <w:p w:rsidR="00B814E2" w:rsidRDefault="00B814E2" w:rsidP="00F24BFC">
            <w:pPr>
              <w:spacing w:after="19"/>
              <w:ind w:left="720"/>
              <w:rPr>
                <w:b/>
                <w:bCs/>
              </w:rPr>
            </w:pPr>
          </w:p>
          <w:p w:rsidR="0003445D" w:rsidRDefault="0003445D" w:rsidP="00F24BFC">
            <w:pPr>
              <w:spacing w:after="19"/>
              <w:ind w:left="720"/>
              <w:rPr>
                <w:b/>
                <w:bCs/>
              </w:rPr>
            </w:pPr>
            <w:r>
              <w:rPr>
                <w:b/>
                <w:bCs/>
              </w:rPr>
              <w:t>STAFF TESTIMONY IN RESPONSE TO BENCH REQUEST NO. 2</w:t>
            </w:r>
          </w:p>
        </w:tc>
      </w:tr>
      <w:tr w:rsidR="0003445D" w:rsidTr="00F24BFC">
        <w:tc>
          <w:tcPr>
            <w:tcW w:w="4590" w:type="dxa"/>
            <w:tcBorders>
              <w:top w:val="single" w:sz="6" w:space="0" w:color="FFFFFF"/>
              <w:left w:val="single" w:sz="6" w:space="0" w:color="FFFFFF"/>
              <w:bottom w:val="single" w:sz="7" w:space="0" w:color="000000"/>
              <w:right w:val="single" w:sz="6" w:space="0" w:color="FFFFFF"/>
            </w:tcBorders>
          </w:tcPr>
          <w:p w:rsidR="0003445D" w:rsidRPr="00F3165E" w:rsidRDefault="0003445D" w:rsidP="00F3165E">
            <w:pPr>
              <w:rPr>
                <w:b/>
              </w:rPr>
            </w:pPr>
          </w:p>
        </w:tc>
        <w:tc>
          <w:tcPr>
            <w:tcW w:w="4590" w:type="dxa"/>
            <w:tcBorders>
              <w:top w:val="single" w:sz="6" w:space="0" w:color="FFFFFF"/>
              <w:left w:val="single" w:sz="7" w:space="0" w:color="000000"/>
              <w:bottom w:val="single" w:sz="6" w:space="0" w:color="FFFFFF"/>
              <w:right w:val="single" w:sz="6" w:space="0" w:color="FFFFFF"/>
            </w:tcBorders>
          </w:tcPr>
          <w:p w:rsidR="0003445D" w:rsidRDefault="0003445D" w:rsidP="00F3165E">
            <w:pPr>
              <w:ind w:left="776"/>
              <w:rPr>
                <w:b/>
                <w:bCs/>
              </w:rPr>
            </w:pPr>
          </w:p>
        </w:tc>
      </w:tr>
    </w:tbl>
    <w:p w:rsidR="00B814E2" w:rsidRDefault="00B814E2" w:rsidP="00B814E2">
      <w:pPr>
        <w:jc w:val="both"/>
      </w:pPr>
    </w:p>
    <w:p w:rsidR="00F3165E" w:rsidRDefault="00F3165E" w:rsidP="00B814E2">
      <w:pPr>
        <w:tabs>
          <w:tab w:val="center" w:pos="4680"/>
        </w:tabs>
        <w:jc w:val="center"/>
        <w:rPr>
          <w:b/>
          <w:bCs/>
        </w:rPr>
      </w:pPr>
    </w:p>
    <w:p w:rsidR="00F3165E" w:rsidRDefault="00F3165E" w:rsidP="00B814E2">
      <w:pPr>
        <w:tabs>
          <w:tab w:val="center" w:pos="4680"/>
        </w:tabs>
        <w:jc w:val="center"/>
        <w:rPr>
          <w:b/>
          <w:bCs/>
        </w:rPr>
      </w:pPr>
    </w:p>
    <w:p w:rsidR="00B814E2" w:rsidRDefault="00B814E2" w:rsidP="00B814E2">
      <w:pPr>
        <w:tabs>
          <w:tab w:val="center" w:pos="4680"/>
        </w:tabs>
        <w:jc w:val="center"/>
        <w:rPr>
          <w:b/>
          <w:bCs/>
        </w:rPr>
      </w:pPr>
      <w:r>
        <w:rPr>
          <w:b/>
          <w:bCs/>
        </w:rPr>
        <w:t>TESTIMONY OF</w:t>
      </w:r>
    </w:p>
    <w:p w:rsidR="00B814E2" w:rsidRDefault="00B814E2" w:rsidP="00B814E2">
      <w:pPr>
        <w:jc w:val="center"/>
        <w:rPr>
          <w:b/>
          <w:bCs/>
        </w:rPr>
      </w:pPr>
    </w:p>
    <w:p w:rsidR="00B814E2" w:rsidRDefault="00F3165E" w:rsidP="00B814E2">
      <w:pPr>
        <w:tabs>
          <w:tab w:val="center" w:pos="4680"/>
        </w:tabs>
        <w:jc w:val="center"/>
        <w:rPr>
          <w:b/>
          <w:bCs/>
        </w:rPr>
      </w:pPr>
      <w:r>
        <w:rPr>
          <w:b/>
          <w:bCs/>
        </w:rPr>
        <w:t>Melissa Cheesman</w:t>
      </w:r>
    </w:p>
    <w:p w:rsidR="00B814E2" w:rsidRDefault="00B814E2" w:rsidP="00B814E2">
      <w:pPr>
        <w:tabs>
          <w:tab w:val="center" w:pos="4680"/>
        </w:tabs>
        <w:jc w:val="center"/>
        <w:rPr>
          <w:b/>
          <w:bCs/>
        </w:rPr>
      </w:pPr>
    </w:p>
    <w:p w:rsidR="00B814E2" w:rsidRDefault="00B814E2" w:rsidP="00B814E2">
      <w:pPr>
        <w:tabs>
          <w:tab w:val="center" w:pos="4680"/>
        </w:tabs>
        <w:jc w:val="center"/>
        <w:rPr>
          <w:b/>
          <w:bCs/>
        </w:rPr>
      </w:pPr>
      <w:r>
        <w:rPr>
          <w:b/>
          <w:bCs/>
        </w:rPr>
        <w:t>STAFF OF</w:t>
      </w:r>
    </w:p>
    <w:p w:rsidR="00B814E2" w:rsidRDefault="00B814E2" w:rsidP="00B814E2">
      <w:pPr>
        <w:tabs>
          <w:tab w:val="center" w:pos="4680"/>
        </w:tabs>
        <w:jc w:val="center"/>
        <w:rPr>
          <w:b/>
          <w:bCs/>
        </w:rPr>
      </w:pPr>
      <w:smartTag w:uri="urn:schemas-microsoft-com:office:smarttags" w:element="place">
        <w:smartTag w:uri="urn:schemas-microsoft-com:office:smarttags" w:element="State">
          <w:r>
            <w:rPr>
              <w:b/>
              <w:bCs/>
            </w:rPr>
            <w:t>WASHINGTON</w:t>
          </w:r>
        </w:smartTag>
      </w:smartTag>
      <w:r>
        <w:rPr>
          <w:b/>
          <w:bCs/>
        </w:rPr>
        <w:t xml:space="preserve"> UTILITIES AND</w:t>
      </w:r>
    </w:p>
    <w:p w:rsidR="00B814E2" w:rsidRDefault="00B814E2" w:rsidP="00B814E2">
      <w:pPr>
        <w:tabs>
          <w:tab w:val="center" w:pos="4680"/>
        </w:tabs>
        <w:jc w:val="center"/>
        <w:rPr>
          <w:b/>
          <w:bCs/>
        </w:rPr>
      </w:pPr>
      <w:r>
        <w:rPr>
          <w:b/>
          <w:bCs/>
        </w:rPr>
        <w:t>TRANSPORTATION COMMISSION</w:t>
      </w:r>
    </w:p>
    <w:p w:rsidR="00B814E2" w:rsidRDefault="00B814E2" w:rsidP="00B814E2">
      <w:pPr>
        <w:rPr>
          <w:b/>
          <w:bCs/>
        </w:rPr>
      </w:pPr>
    </w:p>
    <w:p w:rsidR="00B814E2" w:rsidRDefault="00B814E2" w:rsidP="00B814E2">
      <w:pPr>
        <w:rPr>
          <w:b/>
          <w:bCs/>
        </w:rPr>
      </w:pPr>
    </w:p>
    <w:p w:rsidR="00B814E2" w:rsidRDefault="00D626E6" w:rsidP="00B814E2">
      <w:pPr>
        <w:jc w:val="center"/>
        <w:rPr>
          <w:b/>
          <w:bCs/>
        </w:rPr>
      </w:pPr>
      <w:r>
        <w:rPr>
          <w:b/>
          <w:bCs/>
        </w:rPr>
        <w:t>September 03</w:t>
      </w:r>
      <w:r w:rsidR="00F3165E">
        <w:rPr>
          <w:b/>
          <w:bCs/>
        </w:rPr>
        <w:t>, 2013</w:t>
      </w:r>
    </w:p>
    <w:p w:rsidR="00F3165E" w:rsidRDefault="00F3165E" w:rsidP="00B814E2">
      <w:pPr>
        <w:sectPr w:rsidR="00F3165E" w:rsidSect="0015026F">
          <w:footerReference w:type="default" r:id="rId9"/>
          <w:pgSz w:w="12240" w:h="15840"/>
          <w:pgMar w:top="1440" w:right="1440" w:bottom="1440" w:left="1872" w:header="720" w:footer="720" w:gutter="0"/>
          <w:pgNumType w:fmt="lowerRoman" w:start="1"/>
          <w:cols w:space="720"/>
          <w:docGrid w:linePitch="360"/>
        </w:sectPr>
      </w:pPr>
    </w:p>
    <w:p w:rsidR="00B814E2" w:rsidRDefault="00B814E2" w:rsidP="00B814E2"/>
    <w:p w:rsidR="00B814E2" w:rsidRDefault="00B814E2" w:rsidP="00B814E2">
      <w:pPr>
        <w:jc w:val="center"/>
      </w:pPr>
      <w:r>
        <w:rPr>
          <w:b/>
        </w:rPr>
        <w:t>TABLE OF CONTENTS</w:t>
      </w:r>
    </w:p>
    <w:p w:rsidR="00B814E2" w:rsidRDefault="00B814E2" w:rsidP="00B814E2"/>
    <w:p w:rsidR="00B814E2" w:rsidRDefault="00B814E2" w:rsidP="00B814E2"/>
    <w:p w:rsidR="00B814E2" w:rsidRDefault="00B814E2" w:rsidP="00B814E2">
      <w:pPr>
        <w:tabs>
          <w:tab w:val="left" w:pos="720"/>
          <w:tab w:val="left" w:pos="1440"/>
          <w:tab w:val="left" w:pos="2160"/>
          <w:tab w:val="right" w:leader="dot" w:pos="8820"/>
        </w:tabs>
      </w:pPr>
      <w:r>
        <w:t>I.</w:t>
      </w:r>
      <w:r>
        <w:tab/>
        <w:t xml:space="preserve">INTRODUCTION </w:t>
      </w:r>
      <w:r>
        <w:tab/>
        <w:t>1</w:t>
      </w:r>
    </w:p>
    <w:p w:rsidR="00B814E2" w:rsidRDefault="00B814E2" w:rsidP="00B814E2">
      <w:pPr>
        <w:tabs>
          <w:tab w:val="left" w:pos="720"/>
          <w:tab w:val="left" w:pos="1440"/>
          <w:tab w:val="left" w:pos="2160"/>
          <w:tab w:val="right" w:leader="dot" w:pos="8820"/>
        </w:tabs>
      </w:pPr>
    </w:p>
    <w:p w:rsidR="00B814E2" w:rsidRDefault="00B814E2" w:rsidP="00B814E2">
      <w:pPr>
        <w:tabs>
          <w:tab w:val="left" w:pos="720"/>
          <w:tab w:val="left" w:pos="1440"/>
          <w:tab w:val="left" w:pos="2160"/>
          <w:tab w:val="right" w:leader="dot" w:pos="8820"/>
        </w:tabs>
      </w:pPr>
      <w:r>
        <w:t>II.</w:t>
      </w:r>
      <w:r>
        <w:tab/>
        <w:t xml:space="preserve">SCOPE AND SUMMARY OF TESTIMONY </w:t>
      </w:r>
      <w:r>
        <w:tab/>
      </w:r>
      <w:r w:rsidR="00FE6026">
        <w:t>2</w:t>
      </w:r>
    </w:p>
    <w:p w:rsidR="00B814E2" w:rsidRDefault="00B814E2" w:rsidP="00B814E2">
      <w:pPr>
        <w:tabs>
          <w:tab w:val="left" w:pos="720"/>
          <w:tab w:val="left" w:pos="1440"/>
          <w:tab w:val="left" w:pos="2160"/>
          <w:tab w:val="right" w:leader="dot" w:pos="8820"/>
        </w:tabs>
      </w:pPr>
    </w:p>
    <w:p w:rsidR="00B814E2" w:rsidRDefault="00A82BB3" w:rsidP="00B814E2">
      <w:pPr>
        <w:tabs>
          <w:tab w:val="left" w:pos="720"/>
          <w:tab w:val="left" w:pos="1440"/>
          <w:tab w:val="left" w:pos="2160"/>
          <w:tab w:val="right" w:leader="dot" w:pos="8820"/>
        </w:tabs>
      </w:pPr>
      <w:r>
        <w:t>III.</w:t>
      </w:r>
      <w:r w:rsidR="00FE6026">
        <w:tab/>
        <w:t>ACCOUNTING ISSUES</w:t>
      </w:r>
      <w:r w:rsidR="00FE6026">
        <w:tab/>
        <w:t>3</w:t>
      </w:r>
    </w:p>
    <w:p w:rsidR="00A82BB3" w:rsidRDefault="00A82BB3" w:rsidP="00B814E2">
      <w:pPr>
        <w:tabs>
          <w:tab w:val="left" w:pos="720"/>
          <w:tab w:val="left" w:pos="1440"/>
          <w:tab w:val="left" w:pos="2160"/>
          <w:tab w:val="right" w:leader="dot" w:pos="8820"/>
        </w:tabs>
      </w:pPr>
    </w:p>
    <w:p w:rsidR="00A82BB3" w:rsidRDefault="00A82BB3" w:rsidP="00B814E2">
      <w:pPr>
        <w:tabs>
          <w:tab w:val="left" w:pos="720"/>
          <w:tab w:val="left" w:pos="1440"/>
          <w:tab w:val="left" w:pos="2160"/>
          <w:tab w:val="right" w:leader="dot" w:pos="8820"/>
        </w:tabs>
      </w:pPr>
      <w:r>
        <w:t>IV.</w:t>
      </w:r>
      <w:r w:rsidR="00FE6026">
        <w:tab/>
        <w:t>REVENUE REQUIREMENT</w:t>
      </w:r>
      <w:r w:rsidR="00FE6026">
        <w:tab/>
        <w:t>5</w:t>
      </w:r>
      <w:bookmarkStart w:id="0" w:name="_GoBack"/>
      <w:bookmarkEnd w:id="0"/>
    </w:p>
    <w:p w:rsidR="00A82BB3" w:rsidRDefault="00A82BB3" w:rsidP="00B814E2">
      <w:pPr>
        <w:tabs>
          <w:tab w:val="left" w:pos="720"/>
          <w:tab w:val="left" w:pos="1440"/>
          <w:tab w:val="left" w:pos="2160"/>
          <w:tab w:val="right" w:leader="dot" w:pos="8820"/>
        </w:tabs>
      </w:pPr>
    </w:p>
    <w:p w:rsidR="00A82BB3" w:rsidRDefault="00A82BB3" w:rsidP="00B814E2">
      <w:pPr>
        <w:tabs>
          <w:tab w:val="left" w:pos="720"/>
          <w:tab w:val="left" w:pos="1440"/>
          <w:tab w:val="left" w:pos="2160"/>
          <w:tab w:val="right" w:leader="dot" w:pos="8820"/>
        </w:tabs>
      </w:pPr>
      <w:r>
        <w:t>V.</w:t>
      </w:r>
      <w:r w:rsidR="0059579A">
        <w:tab/>
        <w:t>RATE SPREAD AND RATE DESIGN</w:t>
      </w:r>
      <w:r w:rsidR="0059579A">
        <w:tab/>
        <w:t>9</w:t>
      </w:r>
    </w:p>
    <w:p w:rsidR="00A82BB3" w:rsidRDefault="00A82BB3" w:rsidP="00B814E2">
      <w:pPr>
        <w:tabs>
          <w:tab w:val="left" w:pos="720"/>
          <w:tab w:val="left" w:pos="1440"/>
          <w:tab w:val="left" w:pos="2160"/>
          <w:tab w:val="right" w:leader="dot" w:pos="8820"/>
        </w:tabs>
      </w:pPr>
    </w:p>
    <w:p w:rsidR="00A82BB3" w:rsidRDefault="00A82BB3" w:rsidP="00B814E2">
      <w:pPr>
        <w:tabs>
          <w:tab w:val="left" w:pos="720"/>
          <w:tab w:val="left" w:pos="1440"/>
          <w:tab w:val="left" w:pos="2160"/>
          <w:tab w:val="right" w:leader="dot" w:pos="8820"/>
        </w:tabs>
      </w:pPr>
      <w:r>
        <w:t>VI.</w:t>
      </w:r>
      <w:r w:rsidR="0059579A">
        <w:tab/>
        <w:t>CONCLUSION</w:t>
      </w:r>
      <w:r w:rsidR="0059579A">
        <w:tab/>
        <w:t>9</w:t>
      </w:r>
    </w:p>
    <w:p w:rsidR="00B814E2" w:rsidRDefault="00B814E2" w:rsidP="00B814E2">
      <w:pPr>
        <w:tabs>
          <w:tab w:val="left" w:pos="720"/>
          <w:tab w:val="left" w:pos="1440"/>
          <w:tab w:val="left" w:pos="2160"/>
          <w:tab w:val="right" w:leader="dot" w:pos="8820"/>
        </w:tabs>
      </w:pPr>
    </w:p>
    <w:p w:rsidR="00B814E2" w:rsidRDefault="00B814E2" w:rsidP="00B814E2"/>
    <w:p w:rsidR="00B814E2" w:rsidRDefault="00B814E2" w:rsidP="00B814E2"/>
    <w:p w:rsidR="00B814E2" w:rsidRDefault="00B814E2" w:rsidP="00B814E2">
      <w:pPr>
        <w:sectPr w:rsidR="00B814E2" w:rsidSect="0015026F">
          <w:footerReference w:type="default" r:id="rId10"/>
          <w:pgSz w:w="12240" w:h="15840"/>
          <w:pgMar w:top="1440" w:right="1440" w:bottom="1440" w:left="1872" w:header="720" w:footer="720" w:gutter="0"/>
          <w:pgNumType w:fmt="lowerRoman" w:start="1"/>
          <w:cols w:space="720"/>
          <w:docGrid w:linePitch="360"/>
        </w:sectPr>
      </w:pPr>
    </w:p>
    <w:p w:rsidR="00B814E2" w:rsidRDefault="00B814E2" w:rsidP="00B814E2">
      <w:pPr>
        <w:spacing w:line="480" w:lineRule="auto"/>
        <w:jc w:val="center"/>
        <w:rPr>
          <w:b/>
        </w:rPr>
      </w:pPr>
      <w:r>
        <w:rPr>
          <w:b/>
        </w:rPr>
        <w:lastRenderedPageBreak/>
        <w:t>I.</w:t>
      </w:r>
      <w:r>
        <w:rPr>
          <w:b/>
        </w:rPr>
        <w:tab/>
        <w:t>INTRODUCTION</w:t>
      </w:r>
    </w:p>
    <w:p w:rsidR="00B814E2" w:rsidRDefault="00B814E2" w:rsidP="00B814E2">
      <w:pPr>
        <w:spacing w:line="480" w:lineRule="auto"/>
        <w:rPr>
          <w:b/>
        </w:rPr>
      </w:pPr>
    </w:p>
    <w:p w:rsidR="00B814E2" w:rsidRDefault="00B814E2" w:rsidP="00B814E2">
      <w:pPr>
        <w:spacing w:line="480" w:lineRule="auto"/>
      </w:pPr>
      <w:r>
        <w:rPr>
          <w:b/>
        </w:rPr>
        <w:t>Q.</w:t>
      </w:r>
      <w:r>
        <w:rPr>
          <w:b/>
        </w:rPr>
        <w:tab/>
        <w:t xml:space="preserve">Please state your name and business address.  </w:t>
      </w:r>
    </w:p>
    <w:p w:rsidR="00B814E2" w:rsidRDefault="00B814E2" w:rsidP="00B814E2">
      <w:pPr>
        <w:spacing w:line="480" w:lineRule="auto"/>
        <w:ind w:left="720" w:hanging="720"/>
      </w:pPr>
      <w:r>
        <w:t>A.</w:t>
      </w:r>
      <w:r>
        <w:tab/>
        <w:t xml:space="preserve">I am </w:t>
      </w:r>
      <w:r w:rsidR="00F3165E">
        <w:t>Melissa Cheesman</w:t>
      </w:r>
      <w:r>
        <w:t xml:space="preserve">. My business address is 1300 S. Evergreen Park Drive S.W., P.O. Box 47250, Olympia, WA  98504.  </w:t>
      </w:r>
    </w:p>
    <w:p w:rsidR="00B814E2" w:rsidRDefault="00B814E2" w:rsidP="00B814E2">
      <w:pPr>
        <w:spacing w:line="480" w:lineRule="auto"/>
        <w:ind w:left="720" w:hanging="720"/>
      </w:pPr>
    </w:p>
    <w:p w:rsidR="00B814E2" w:rsidRDefault="00B814E2" w:rsidP="00B814E2">
      <w:pPr>
        <w:spacing w:line="480" w:lineRule="auto"/>
        <w:ind w:left="720" w:hanging="720"/>
      </w:pPr>
      <w:r>
        <w:rPr>
          <w:b/>
        </w:rPr>
        <w:t>Q.</w:t>
      </w:r>
      <w:r>
        <w:rPr>
          <w:b/>
        </w:rPr>
        <w:tab/>
        <w:t xml:space="preserve">By whom are you employed and in what capacity?  </w:t>
      </w:r>
    </w:p>
    <w:p w:rsidR="00B814E2" w:rsidRDefault="00B814E2" w:rsidP="00B814E2">
      <w:pPr>
        <w:spacing w:line="480" w:lineRule="auto"/>
        <w:ind w:left="720" w:hanging="720"/>
      </w:pPr>
      <w:r>
        <w:t>A.</w:t>
      </w:r>
      <w:r>
        <w:tab/>
        <w:t>I am employed by the Washington Utilities and Transportation Commission</w:t>
      </w:r>
      <w:r w:rsidR="00E457AC">
        <w:t xml:space="preserve"> (“</w:t>
      </w:r>
      <w:r w:rsidR="00D473AE">
        <w:t>Commission”)</w:t>
      </w:r>
      <w:r>
        <w:t xml:space="preserve"> as </w:t>
      </w:r>
      <w:r w:rsidR="00AE5636">
        <w:t>a Regulatory Analyst.</w:t>
      </w:r>
      <w:r>
        <w:t xml:space="preserve">  </w:t>
      </w:r>
    </w:p>
    <w:p w:rsidR="00B814E2" w:rsidRDefault="00B814E2" w:rsidP="00B814E2">
      <w:pPr>
        <w:spacing w:line="480" w:lineRule="auto"/>
        <w:ind w:left="720" w:hanging="720"/>
      </w:pPr>
    </w:p>
    <w:p w:rsidR="00B814E2" w:rsidRDefault="00B814E2" w:rsidP="00B814E2">
      <w:pPr>
        <w:spacing w:line="480" w:lineRule="auto"/>
        <w:ind w:left="720" w:hanging="720"/>
      </w:pPr>
      <w:r>
        <w:rPr>
          <w:b/>
        </w:rPr>
        <w:t>Q.</w:t>
      </w:r>
      <w:r>
        <w:rPr>
          <w:b/>
        </w:rPr>
        <w:tab/>
        <w:t xml:space="preserve">How long have you been employed by the Commission?  </w:t>
      </w:r>
      <w:r>
        <w:t xml:space="preserve"> </w:t>
      </w:r>
    </w:p>
    <w:p w:rsidR="00B814E2" w:rsidRDefault="00B814E2" w:rsidP="00B814E2">
      <w:pPr>
        <w:spacing w:line="480" w:lineRule="auto"/>
        <w:ind w:left="720" w:hanging="720"/>
      </w:pPr>
      <w:r>
        <w:t>A.</w:t>
      </w:r>
      <w:r>
        <w:tab/>
      </w:r>
      <w:r w:rsidR="00AE5636">
        <w:t xml:space="preserve">I have been employed by the Commission since </w:t>
      </w:r>
      <w:r w:rsidR="00E743A0">
        <w:t>June, 2012.</w:t>
      </w:r>
    </w:p>
    <w:p w:rsidR="00B814E2" w:rsidRDefault="00B814E2" w:rsidP="00B814E2">
      <w:pPr>
        <w:spacing w:line="480" w:lineRule="auto"/>
        <w:ind w:left="720" w:hanging="720"/>
      </w:pPr>
    </w:p>
    <w:p w:rsidR="00B814E2" w:rsidRDefault="00B814E2" w:rsidP="00B814E2">
      <w:pPr>
        <w:spacing w:line="480" w:lineRule="auto"/>
        <w:ind w:left="720" w:hanging="720"/>
      </w:pPr>
      <w:r>
        <w:rPr>
          <w:b/>
        </w:rPr>
        <w:t xml:space="preserve">Q </w:t>
      </w:r>
      <w:r>
        <w:rPr>
          <w:b/>
        </w:rPr>
        <w:tab/>
        <w:t xml:space="preserve">Would you please state your educational and professional background?  </w:t>
      </w:r>
    </w:p>
    <w:p w:rsidR="00B814E2" w:rsidRDefault="00B814E2" w:rsidP="00B814E2">
      <w:pPr>
        <w:spacing w:line="480" w:lineRule="auto"/>
        <w:ind w:left="720" w:hanging="720"/>
      </w:pPr>
      <w:r>
        <w:t>A.</w:t>
      </w:r>
      <w:r>
        <w:tab/>
      </w:r>
      <w:r w:rsidR="00E743A0">
        <w:t>My highest degree</w:t>
      </w:r>
      <w:r w:rsidR="00A82BB3">
        <w:t xml:space="preserve"> earned</w:t>
      </w:r>
      <w:r w:rsidR="00E743A0">
        <w:t xml:space="preserve"> is a Masters of Professional Accounting (MPAC)</w:t>
      </w:r>
      <w:r w:rsidR="00A82BB3">
        <w:t xml:space="preserve"> from Seattle University</w:t>
      </w:r>
      <w:r w:rsidR="00E743A0">
        <w:t xml:space="preserve">. I have attended the Western NARUC Utility Rate School. I have </w:t>
      </w:r>
      <w:r w:rsidR="00233162">
        <w:t xml:space="preserve">audited </w:t>
      </w:r>
      <w:r w:rsidR="00E743A0">
        <w:t xml:space="preserve">the following </w:t>
      </w:r>
      <w:r w:rsidR="002449A3">
        <w:t xml:space="preserve">general rate case </w:t>
      </w:r>
      <w:r w:rsidR="00E743A0">
        <w:t>dockets (from most current to oldest): TG-131121, TG-130502, TG-130501, TG</w:t>
      </w:r>
      <w:r w:rsidR="002449A3">
        <w:t>-</w:t>
      </w:r>
      <w:r w:rsidR="00E743A0">
        <w:t>121791, TG-121510, and TG-121044.</w:t>
      </w:r>
      <w:r w:rsidR="002449A3" w:rsidRPr="002449A3">
        <w:t xml:space="preserve"> </w:t>
      </w:r>
      <w:r w:rsidR="002449A3">
        <w:t xml:space="preserve">Additionally, I have </w:t>
      </w:r>
      <w:r w:rsidR="00233162">
        <w:t>audited</w:t>
      </w:r>
      <w:r w:rsidR="002449A3">
        <w:t xml:space="preserve"> the following disposal </w:t>
      </w:r>
      <w:r w:rsidR="00233162">
        <w:t xml:space="preserve">fee </w:t>
      </w:r>
      <w:r w:rsidR="002449A3">
        <w:t xml:space="preserve">and utility tax rate cases </w:t>
      </w:r>
      <w:r w:rsidR="002449A3" w:rsidRPr="002449A3">
        <w:t>(from most current to oldest): TG-130060, TG-130054,</w:t>
      </w:r>
      <w:r w:rsidR="002449A3">
        <w:t xml:space="preserve"> and</w:t>
      </w:r>
      <w:r w:rsidR="002449A3" w:rsidRPr="002449A3">
        <w:t xml:space="preserve"> </w:t>
      </w:r>
      <w:r w:rsidR="002449A3">
        <w:t>TG-121767.</w:t>
      </w:r>
    </w:p>
    <w:p w:rsidR="003809EA" w:rsidRDefault="003809EA" w:rsidP="00B814E2">
      <w:pPr>
        <w:spacing w:line="480" w:lineRule="auto"/>
        <w:ind w:left="720" w:hanging="720"/>
      </w:pPr>
    </w:p>
    <w:p w:rsidR="00B814E2" w:rsidRDefault="00B814E2" w:rsidP="000D6481">
      <w:pPr>
        <w:keepNext/>
        <w:spacing w:line="480" w:lineRule="auto"/>
        <w:ind w:left="720" w:hanging="720"/>
        <w:jc w:val="center"/>
      </w:pPr>
      <w:r>
        <w:rPr>
          <w:b/>
        </w:rPr>
        <w:lastRenderedPageBreak/>
        <w:t>II.</w:t>
      </w:r>
      <w:r>
        <w:rPr>
          <w:b/>
        </w:rPr>
        <w:tab/>
        <w:t>SCOPE AND SUMMARY OF TESTIMONY</w:t>
      </w:r>
    </w:p>
    <w:p w:rsidR="00B814E2" w:rsidRDefault="00B814E2" w:rsidP="000D6481">
      <w:pPr>
        <w:keepNext/>
        <w:spacing w:line="480" w:lineRule="auto"/>
        <w:ind w:left="720" w:hanging="720"/>
      </w:pPr>
    </w:p>
    <w:p w:rsidR="00B814E2" w:rsidRDefault="00B814E2" w:rsidP="00B814E2">
      <w:pPr>
        <w:spacing w:line="480" w:lineRule="auto"/>
        <w:ind w:left="720" w:hanging="720"/>
        <w:rPr>
          <w:b/>
        </w:rPr>
      </w:pPr>
      <w:r>
        <w:rPr>
          <w:b/>
        </w:rPr>
        <w:t>Q.</w:t>
      </w:r>
      <w:r>
        <w:rPr>
          <w:b/>
        </w:rPr>
        <w:tab/>
      </w:r>
      <w:r w:rsidR="00561513">
        <w:rPr>
          <w:b/>
        </w:rPr>
        <w:t>Please explain the purpose of your testimony.</w:t>
      </w:r>
    </w:p>
    <w:p w:rsidR="00B814E2" w:rsidRDefault="00B814E2" w:rsidP="00B814E2">
      <w:pPr>
        <w:spacing w:line="480" w:lineRule="auto"/>
        <w:ind w:left="720" w:hanging="720"/>
      </w:pPr>
      <w:r>
        <w:t>A.</w:t>
      </w:r>
      <w:r>
        <w:tab/>
      </w:r>
      <w:r w:rsidR="00B1242F">
        <w:t xml:space="preserve">In Bench Request No. 2, the bench </w:t>
      </w:r>
      <w:r w:rsidR="003809EA">
        <w:t>directed the Companies and S</w:t>
      </w:r>
      <w:r w:rsidR="00B1242F">
        <w:t xml:space="preserve">taff to </w:t>
      </w:r>
      <w:r w:rsidR="00E6756E">
        <w:t>each provide</w:t>
      </w:r>
      <w:r w:rsidR="00B1242F">
        <w:t xml:space="preserve"> written testimony “in support of the Settlement Agreement’s proposals, including the resolution of the accounting issues enumerated within Staff’s Narrative, and the costs and benefits of these proposals.” My testimony responds to this request on the part </w:t>
      </w:r>
      <w:r w:rsidR="003809EA">
        <w:t>of S</w:t>
      </w:r>
      <w:r w:rsidR="00B1242F">
        <w:t>taff.</w:t>
      </w:r>
      <w:r w:rsidR="00393CDC">
        <w:t xml:space="preserve"> I have included a discussion </w:t>
      </w:r>
      <w:r w:rsidR="001713E2">
        <w:t xml:space="preserve">of the accounting issues in Section </w:t>
      </w:r>
      <w:r w:rsidR="0000052E">
        <w:t>III and</w:t>
      </w:r>
      <w:r w:rsidR="001713E2">
        <w:t xml:space="preserve"> </w:t>
      </w:r>
      <w:r w:rsidR="00393CDC">
        <w:t>the</w:t>
      </w:r>
      <w:r w:rsidR="00A23474">
        <w:t xml:space="preserve"> adjustments made to the Companies’ filed case as a part of the Settlement Agreement</w:t>
      </w:r>
      <w:r w:rsidR="00393CDC">
        <w:t xml:space="preserve"> in </w:t>
      </w:r>
      <w:r w:rsidR="001713E2">
        <w:t>S</w:t>
      </w:r>
      <w:r w:rsidR="00393CDC">
        <w:t xml:space="preserve">ection </w:t>
      </w:r>
      <w:r w:rsidR="001713E2">
        <w:t>IV</w:t>
      </w:r>
      <w:r w:rsidR="00393CDC">
        <w:t>.</w:t>
      </w:r>
      <w:r w:rsidR="002C4C8D">
        <w:t xml:space="preserve"> I describe the rate spread and rate design aspects of the settlement in Section </w:t>
      </w:r>
      <w:r w:rsidR="001713E2">
        <w:t>V</w:t>
      </w:r>
      <w:r w:rsidR="002C4C8D">
        <w:t>.</w:t>
      </w:r>
    </w:p>
    <w:p w:rsidR="00D473AE" w:rsidRDefault="00D473AE" w:rsidP="00015E59">
      <w:pPr>
        <w:spacing w:line="480" w:lineRule="auto"/>
      </w:pPr>
    </w:p>
    <w:p w:rsidR="002C0960" w:rsidRPr="002C0960" w:rsidRDefault="002C0960" w:rsidP="00B814E2">
      <w:pPr>
        <w:spacing w:line="480" w:lineRule="auto"/>
        <w:ind w:left="720" w:hanging="720"/>
        <w:rPr>
          <w:b/>
        </w:rPr>
      </w:pPr>
      <w:r w:rsidRPr="002C0960">
        <w:rPr>
          <w:b/>
        </w:rPr>
        <w:t>Q.</w:t>
      </w:r>
      <w:r w:rsidRPr="002C0960">
        <w:rPr>
          <w:b/>
        </w:rPr>
        <w:tab/>
        <w:t>Please summarize the Settlement Agreement.</w:t>
      </w:r>
    </w:p>
    <w:p w:rsidR="00D473AE" w:rsidRDefault="002C0960" w:rsidP="00B814E2">
      <w:pPr>
        <w:spacing w:line="480" w:lineRule="auto"/>
        <w:ind w:left="720" w:hanging="720"/>
      </w:pPr>
      <w:r>
        <w:t>A.</w:t>
      </w:r>
      <w:r>
        <w:tab/>
      </w:r>
      <w:r w:rsidR="00723745">
        <w:t>The Settlement Agreement would increase Murrey’s Disposal Company, Inc. (“Murrey’s”)</w:t>
      </w:r>
      <w:r w:rsidR="00233162">
        <w:t>,</w:t>
      </w:r>
      <w:r w:rsidR="00723745">
        <w:t xml:space="preserve"> and American Disposal Company, Inc. (“American”)</w:t>
      </w:r>
      <w:r w:rsidR="00233162">
        <w:t>,</w:t>
      </w:r>
      <w:r w:rsidR="00723745">
        <w:t xml:space="preserve"> or (“the Companies”)</w:t>
      </w:r>
      <w:r w:rsidR="00233162">
        <w:t>,</w:t>
      </w:r>
      <w:r w:rsidR="00723745">
        <w:t xml:space="preserve"> annual revenue by $1,04</w:t>
      </w:r>
      <w:r w:rsidR="0018158B">
        <w:t>3</w:t>
      </w:r>
      <w:r w:rsidR="00723745">
        <w:t>,</w:t>
      </w:r>
      <w:r w:rsidR="0018158B">
        <w:t>966</w:t>
      </w:r>
      <w:r w:rsidR="00723745">
        <w:t xml:space="preserve"> or </w:t>
      </w:r>
      <w:r w:rsidR="00E457AC">
        <w:t>3.6</w:t>
      </w:r>
      <w:r w:rsidR="00723745">
        <w:t xml:space="preserve"> percent</w:t>
      </w:r>
      <w:r w:rsidR="008701B6">
        <w:t xml:space="preserve"> from current rates</w:t>
      </w:r>
      <w:r w:rsidR="00723745">
        <w:t>. This represents a reduction of</w:t>
      </w:r>
      <w:r w:rsidR="00E457AC">
        <w:t xml:space="preserve"> $1,243,</w:t>
      </w:r>
      <w:r w:rsidR="000F1B77">
        <w:t xml:space="preserve">035 </w:t>
      </w:r>
      <w:r w:rsidR="00E457AC">
        <w:t>from the Companies’ original request</w:t>
      </w:r>
      <w:r w:rsidR="008701B6">
        <w:t xml:space="preserve"> which was for an increase </w:t>
      </w:r>
      <w:r w:rsidR="001634B6">
        <w:t>of $</w:t>
      </w:r>
      <w:r w:rsidR="008701B6">
        <w:t>2,287,001 or 8.0 percent</w:t>
      </w:r>
      <w:r w:rsidR="00E457AC">
        <w:t>. The Settlement Agreement provides for an effective date on the first day of the month after the Commission</w:t>
      </w:r>
      <w:r w:rsidR="00D473AE">
        <w:t>’s order in this docket. In addition, the parties have agreed the Companies can amortize the sale of assets and insurance claims in this test period over three years with the provision that the Companies file a general rate case no later than April 1, 2016</w:t>
      </w:r>
      <w:r w:rsidR="00233162">
        <w:t>,</w:t>
      </w:r>
      <w:r w:rsidR="00D473AE">
        <w:t xml:space="preserve"> with a calendar year 2015 test period.</w:t>
      </w:r>
    </w:p>
    <w:p w:rsidR="00A02C50" w:rsidRDefault="00A02C50" w:rsidP="00B814E2">
      <w:pPr>
        <w:spacing w:line="480" w:lineRule="auto"/>
        <w:ind w:left="720" w:hanging="720"/>
      </w:pPr>
    </w:p>
    <w:p w:rsidR="00A02C50" w:rsidRDefault="00A02C50" w:rsidP="00C923DF">
      <w:pPr>
        <w:spacing w:line="480" w:lineRule="auto"/>
        <w:ind w:left="720" w:hanging="720"/>
        <w:jc w:val="center"/>
        <w:rPr>
          <w:b/>
        </w:rPr>
      </w:pPr>
      <w:r>
        <w:rPr>
          <w:b/>
        </w:rPr>
        <w:t>III</w:t>
      </w:r>
      <w:r w:rsidR="00233162">
        <w:rPr>
          <w:b/>
        </w:rPr>
        <w:t xml:space="preserve">. </w:t>
      </w:r>
      <w:r w:rsidR="00233162">
        <w:rPr>
          <w:b/>
        </w:rPr>
        <w:tab/>
        <w:t>ACCOUNTING</w:t>
      </w:r>
      <w:r>
        <w:rPr>
          <w:b/>
        </w:rPr>
        <w:t xml:space="preserve"> ISSUES</w:t>
      </w:r>
    </w:p>
    <w:p w:rsidR="000D6481" w:rsidRDefault="000D6481" w:rsidP="00C923DF">
      <w:pPr>
        <w:spacing w:line="480" w:lineRule="auto"/>
        <w:ind w:left="720" w:hanging="720"/>
        <w:jc w:val="center"/>
        <w:rPr>
          <w:b/>
        </w:rPr>
      </w:pPr>
    </w:p>
    <w:p w:rsidR="00A02C50" w:rsidRDefault="00A02C50" w:rsidP="00A02C50">
      <w:pPr>
        <w:spacing w:line="480" w:lineRule="auto"/>
        <w:ind w:left="720" w:hanging="720"/>
        <w:rPr>
          <w:b/>
        </w:rPr>
      </w:pPr>
      <w:r>
        <w:rPr>
          <w:b/>
        </w:rPr>
        <w:t>Q.</w:t>
      </w:r>
      <w:r>
        <w:rPr>
          <w:b/>
        </w:rPr>
        <w:tab/>
        <w:t>Bench Request No. 2 asks the parties to address the resolution of the accounting issues listed in Paragraph 6 of Staff’s Narrative in Support of Settlement Agreement.  What was the purpose of this portion of Staff’s Narrative?</w:t>
      </w:r>
    </w:p>
    <w:p w:rsidR="00A02C50" w:rsidRDefault="00A02C50" w:rsidP="00A02C50">
      <w:pPr>
        <w:spacing w:line="480" w:lineRule="auto"/>
        <w:ind w:left="720" w:hanging="720"/>
      </w:pPr>
      <w:r w:rsidRPr="000D6481">
        <w:t>A.</w:t>
      </w:r>
      <w:r>
        <w:rPr>
          <w:b/>
        </w:rPr>
        <w:tab/>
      </w:r>
      <w:r>
        <w:t xml:space="preserve">WAC 480-07-740(2)(a) sets forth the elements to be included in a narrative supporting a settlement agreement. Among those elements is an outline of the underlying dispute. The list of accounting issues in staff’s narrative was a part of Staff’s response to this requirement. Staff has further outlined the accounting issues and their resolution in Section </w:t>
      </w:r>
      <w:r w:rsidR="001713E2">
        <w:t>IV</w:t>
      </w:r>
      <w:r>
        <w:t xml:space="preserve">. </w:t>
      </w:r>
    </w:p>
    <w:p w:rsidR="000D6481" w:rsidRDefault="000D6481" w:rsidP="00A02C50">
      <w:pPr>
        <w:spacing w:line="480" w:lineRule="auto"/>
        <w:ind w:left="720" w:hanging="720"/>
      </w:pPr>
    </w:p>
    <w:p w:rsidR="00A02C50" w:rsidRDefault="00A02C50" w:rsidP="00A02C50">
      <w:pPr>
        <w:spacing w:line="480" w:lineRule="auto"/>
        <w:ind w:left="720" w:hanging="720"/>
        <w:rPr>
          <w:b/>
        </w:rPr>
      </w:pPr>
      <w:r>
        <w:rPr>
          <w:b/>
        </w:rPr>
        <w:t>Q.</w:t>
      </w:r>
      <w:r>
        <w:tab/>
      </w:r>
      <w:r>
        <w:rPr>
          <w:b/>
        </w:rPr>
        <w:t>Please discuss the overall accounting issues addressed in this case and incorporated in the Settlement Agreement.</w:t>
      </w:r>
    </w:p>
    <w:p w:rsidR="00A02C50" w:rsidRDefault="00A02C50" w:rsidP="00A02C50">
      <w:pPr>
        <w:spacing w:line="480" w:lineRule="auto"/>
        <w:ind w:left="720" w:hanging="720"/>
      </w:pPr>
      <w:r w:rsidRPr="000D6481">
        <w:t>A.</w:t>
      </w:r>
      <w:r>
        <w:tab/>
        <w:t>There are several common accounting issues considered in this case including:</w:t>
      </w:r>
    </w:p>
    <w:p w:rsidR="00A02C50" w:rsidRDefault="00A02C50" w:rsidP="00A02C50">
      <w:pPr>
        <w:pStyle w:val="ListParagraph"/>
        <w:numPr>
          <w:ilvl w:val="0"/>
          <w:numId w:val="3"/>
        </w:numPr>
        <w:spacing w:line="480" w:lineRule="auto"/>
      </w:pPr>
      <w:r w:rsidRPr="00DD443A">
        <w:rPr>
          <w:b/>
          <w:u w:val="single"/>
        </w:rPr>
        <w:t>Allocation of Expenses</w:t>
      </w:r>
      <w:r>
        <w:rPr>
          <w:b/>
          <w:u w:val="single"/>
        </w:rPr>
        <w:t xml:space="preserve"> and Investment</w:t>
      </w:r>
      <w:r>
        <w:t xml:space="preserve"> - Staff follows the accounting guidelines that expenses should be directly assigned whenever possible. If costs cannot be directly assigned, they should be allocated based on reasonable cost drivers and supported in the general rate case. There are several layers of allocation. Specifically this </w:t>
      </w:r>
      <w:r w:rsidR="00233162">
        <w:t>includes</w:t>
      </w:r>
      <w:r>
        <w:t xml:space="preserve"> corporate and regional allocations, allocations between other regulated entities</w:t>
      </w:r>
      <w:r w:rsidR="00233162">
        <w:t>,</w:t>
      </w:r>
      <w:r>
        <w:t xml:space="preserve"> </w:t>
      </w:r>
      <w:r w:rsidR="00233162">
        <w:t>and allocations</w:t>
      </w:r>
      <w:r>
        <w:t xml:space="preserve"> between regulated and non-regulated entities. Staff’s investigation found that allocation of salaries, investment, and other expenses needed to be adjusted to reflect a reasonable </w:t>
      </w:r>
      <w:r>
        <w:lastRenderedPageBreak/>
        <w:t>allocation to the regulated results. Allocations were addressed in most of the adjustment</w:t>
      </w:r>
      <w:r w:rsidR="00233162">
        <w:t>s</w:t>
      </w:r>
      <w:r>
        <w:t xml:space="preserve"> made to the revenue requirement in this case. All adjustment</w:t>
      </w:r>
      <w:r w:rsidR="00233162">
        <w:t>s</w:t>
      </w:r>
      <w:r>
        <w:t xml:space="preserve"> except for (a) Self-Insurance Expense,( b) Disposal Fees, and (g) Sale of Assets, </w:t>
      </w:r>
      <w:r w:rsidR="00233162">
        <w:t xml:space="preserve">(in Table 1) </w:t>
      </w:r>
      <w:r>
        <w:t xml:space="preserve">addressed allocation of expense. </w:t>
      </w:r>
    </w:p>
    <w:p w:rsidR="00E60F93" w:rsidRDefault="00A02C50" w:rsidP="00E60F93">
      <w:pPr>
        <w:pStyle w:val="ListParagraph"/>
        <w:numPr>
          <w:ilvl w:val="0"/>
          <w:numId w:val="3"/>
        </w:numPr>
        <w:spacing w:line="480" w:lineRule="auto"/>
      </w:pPr>
      <w:r w:rsidRPr="00552FE3">
        <w:rPr>
          <w:b/>
          <w:u w:val="single"/>
        </w:rPr>
        <w:t>Affiliated Transactions</w:t>
      </w:r>
      <w:r>
        <w:t xml:space="preserve"> - Affiliated transactions were revised in this case to ensure that they are </w:t>
      </w:r>
      <w:r w:rsidR="006E290B">
        <w:t xml:space="preserve">supported </w:t>
      </w:r>
      <w:r>
        <w:t xml:space="preserve">cost based, or lower of cost or market, and </w:t>
      </w:r>
      <w:r w:rsidR="00307988">
        <w:t>ex</w:t>
      </w:r>
      <w:r>
        <w:t xml:space="preserve">clude costs not </w:t>
      </w:r>
      <w:r w:rsidR="00233162">
        <w:t xml:space="preserve">appropriate </w:t>
      </w:r>
      <w:r>
        <w:t>for ratemaking</w:t>
      </w:r>
      <w:r w:rsidR="00E60F93">
        <w:t xml:space="preserve">. </w:t>
      </w:r>
    </w:p>
    <w:p w:rsidR="00E60F93" w:rsidRDefault="00A02C50" w:rsidP="00E60F93">
      <w:pPr>
        <w:pStyle w:val="ListParagraph"/>
        <w:numPr>
          <w:ilvl w:val="0"/>
          <w:numId w:val="3"/>
        </w:numPr>
        <w:spacing w:line="480" w:lineRule="auto"/>
      </w:pPr>
      <w:r w:rsidRPr="00E60F93">
        <w:rPr>
          <w:b/>
          <w:u w:val="single"/>
        </w:rPr>
        <w:t>Unusual</w:t>
      </w:r>
      <w:r w:rsidR="00307988">
        <w:rPr>
          <w:b/>
          <w:u w:val="single"/>
        </w:rPr>
        <w:t xml:space="preserve"> or</w:t>
      </w:r>
      <w:r w:rsidRPr="00E60F93">
        <w:rPr>
          <w:b/>
          <w:u w:val="single"/>
        </w:rPr>
        <w:t xml:space="preserve"> Extraordinary</w:t>
      </w:r>
      <w:r w:rsidR="00307988">
        <w:rPr>
          <w:b/>
          <w:u w:val="single"/>
        </w:rPr>
        <w:t xml:space="preserve"> </w:t>
      </w:r>
      <w:r w:rsidRPr="00E60F93">
        <w:rPr>
          <w:b/>
          <w:u w:val="single"/>
        </w:rPr>
        <w:t>Expense</w:t>
      </w:r>
      <w:r>
        <w:t xml:space="preserve"> – Staff identified two items in this category, Adjustment (a) Self-Insurance Expense and Adjustment (g) Sale of Assets which are contained in Table 1. Staff proposed amortizing the extraordinary insurance over four years and agreed in settlement to normalize the account based on a three-year average which is more indicative of the future than including the extraordinary expense in one year. Staff proposed amortizing the extraordinary loss on the sale of assets over five years and agreed in settlement to amortize the expense over three years.</w:t>
      </w:r>
    </w:p>
    <w:p w:rsidR="00E60F93" w:rsidRDefault="00A02C50" w:rsidP="00E60F93">
      <w:pPr>
        <w:pStyle w:val="ListParagraph"/>
        <w:numPr>
          <w:ilvl w:val="0"/>
          <w:numId w:val="3"/>
        </w:numPr>
        <w:spacing w:line="480" w:lineRule="auto"/>
      </w:pPr>
      <w:r w:rsidRPr="00E60F93">
        <w:rPr>
          <w:b/>
          <w:u w:val="single"/>
        </w:rPr>
        <w:t>Expenses not allowed in the Ratemaking Process</w:t>
      </w:r>
      <w:r w:rsidRPr="00233162">
        <w:rPr>
          <w:b/>
        </w:rPr>
        <w:t xml:space="preserve"> –</w:t>
      </w:r>
      <w:r w:rsidRPr="00F0691E">
        <w:rPr>
          <w:b/>
        </w:rPr>
        <w:t xml:space="preserve"> </w:t>
      </w:r>
      <w:r w:rsidRPr="00233162">
        <w:t>S</w:t>
      </w:r>
      <w:r>
        <w:t xml:space="preserve">taff removed other items that were not </w:t>
      </w:r>
      <w:r w:rsidR="00233162">
        <w:t xml:space="preserve">appropriate </w:t>
      </w:r>
      <w:r>
        <w:t xml:space="preserve">for rate making including: plant not currently used or useful to provide regulated service, lobbying, contributions, certain legal expense, certain entertainment and community </w:t>
      </w:r>
      <w:r w:rsidR="00E60F93">
        <w:t>activities.</w:t>
      </w:r>
    </w:p>
    <w:p w:rsidR="00A02C50" w:rsidRDefault="00E60F93" w:rsidP="00E60F93">
      <w:pPr>
        <w:pStyle w:val="ListParagraph"/>
        <w:numPr>
          <w:ilvl w:val="0"/>
          <w:numId w:val="3"/>
        </w:numPr>
        <w:spacing w:line="480" w:lineRule="auto"/>
      </w:pPr>
      <w:r w:rsidRPr="00E60F93">
        <w:rPr>
          <w:b/>
          <w:u w:val="single"/>
        </w:rPr>
        <w:t xml:space="preserve"> Proper</w:t>
      </w:r>
      <w:r w:rsidR="00A02C50" w:rsidRPr="00E60F93">
        <w:rPr>
          <w:b/>
          <w:u w:val="single"/>
        </w:rPr>
        <w:t xml:space="preserve"> Pro Forma Adjustments</w:t>
      </w:r>
      <w:r w:rsidR="00A02C50">
        <w:t xml:space="preserve"> – Staff agreed in settlement to the Companies</w:t>
      </w:r>
      <w:r w:rsidR="00D4408F">
        <w:t>’</w:t>
      </w:r>
      <w:r w:rsidR="00A02C50">
        <w:t xml:space="preserve"> presentation of the Disposal Fee increase received on March 1, 2013</w:t>
      </w:r>
      <w:r w:rsidR="00307988">
        <w:t>,</w:t>
      </w:r>
      <w:r w:rsidR="00A02C50">
        <w:t xml:space="preserve"> because the rate design eliminated the additional revenue requirement and the difference was immaterial.</w:t>
      </w:r>
    </w:p>
    <w:p w:rsidR="00307988" w:rsidRDefault="00307988" w:rsidP="00307988">
      <w:pPr>
        <w:pStyle w:val="ListParagraph"/>
        <w:spacing w:line="480" w:lineRule="auto"/>
        <w:ind w:left="1080"/>
      </w:pPr>
    </w:p>
    <w:p w:rsidR="005D4963" w:rsidRDefault="001713E2" w:rsidP="000D6481">
      <w:pPr>
        <w:spacing w:line="480" w:lineRule="auto"/>
        <w:ind w:left="720" w:hanging="720"/>
        <w:jc w:val="center"/>
        <w:rPr>
          <w:b/>
        </w:rPr>
      </w:pPr>
      <w:r>
        <w:rPr>
          <w:b/>
        </w:rPr>
        <w:t>IV</w:t>
      </w:r>
      <w:r w:rsidR="005D4963">
        <w:rPr>
          <w:b/>
        </w:rPr>
        <w:t xml:space="preserve">. </w:t>
      </w:r>
      <w:r w:rsidR="00067998">
        <w:rPr>
          <w:b/>
        </w:rPr>
        <w:tab/>
      </w:r>
      <w:r w:rsidR="00D473AE">
        <w:rPr>
          <w:b/>
        </w:rPr>
        <w:t>REVENUE REQUIREMENT</w:t>
      </w:r>
    </w:p>
    <w:p w:rsidR="000D6481" w:rsidRDefault="000D6481" w:rsidP="000D6481">
      <w:pPr>
        <w:spacing w:line="480" w:lineRule="auto"/>
        <w:ind w:left="720" w:hanging="720"/>
        <w:jc w:val="center"/>
        <w:rPr>
          <w:b/>
        </w:rPr>
      </w:pPr>
    </w:p>
    <w:p w:rsidR="00982BA9" w:rsidRDefault="00982BA9" w:rsidP="00EA7BE7">
      <w:pPr>
        <w:spacing w:line="480" w:lineRule="auto"/>
        <w:ind w:left="720" w:hanging="720"/>
        <w:rPr>
          <w:b/>
        </w:rPr>
      </w:pPr>
      <w:r>
        <w:rPr>
          <w:b/>
        </w:rPr>
        <w:t>Q.</w:t>
      </w:r>
      <w:r>
        <w:rPr>
          <w:b/>
        </w:rPr>
        <w:tab/>
        <w:t>Please explain the rate increases proposed in the Settlement Agreement.</w:t>
      </w:r>
    </w:p>
    <w:p w:rsidR="00EA7BE7" w:rsidRDefault="00EA7BE7" w:rsidP="00EA7BE7">
      <w:pPr>
        <w:spacing w:line="480" w:lineRule="auto"/>
        <w:ind w:left="720" w:hanging="720"/>
      </w:pPr>
      <w:r w:rsidRPr="0084034A">
        <w:t>A.</w:t>
      </w:r>
      <w:r w:rsidR="0084034A" w:rsidRPr="0084034A">
        <w:tab/>
      </w:r>
      <w:r w:rsidR="0084034A">
        <w:t xml:space="preserve">After thorough discussions, the parties agreed that the Companies would reduce </w:t>
      </w:r>
      <w:r w:rsidR="00D4408F">
        <w:t xml:space="preserve">their </w:t>
      </w:r>
      <w:r w:rsidR="0084034A">
        <w:t>initial request to reflect a rate increase of $1,04</w:t>
      </w:r>
      <w:r w:rsidR="0018158B">
        <w:t>3,966</w:t>
      </w:r>
      <w:r w:rsidR="0084034A">
        <w:t xml:space="preserve"> or 3.6 percent in annual revenue.</w:t>
      </w:r>
      <w:r w:rsidR="00294D4D">
        <w:t xml:space="preserve"> Each of the parties agreed to concessions on matters and therefore individual adjustments, while they have separate characteristics, should be viewed as part of the overall Settlement Agreement. The following table </w:t>
      </w:r>
      <w:r w:rsidR="008978D5">
        <w:t>provides</w:t>
      </w:r>
      <w:r w:rsidR="00D95ECD">
        <w:t xml:space="preserve"> a summary of adjustments applied to the Companies original requested annual revenue increase $2,287,00</w:t>
      </w:r>
      <w:r w:rsidR="000F1B77">
        <w:t>1</w:t>
      </w:r>
      <w:r w:rsidR="00D95ECD">
        <w:t xml:space="preserve"> resulting in the proposed rate increase of $1,04</w:t>
      </w:r>
      <w:r w:rsidR="0018158B">
        <w:t>3</w:t>
      </w:r>
      <w:r w:rsidR="00D95ECD">
        <w:t>,</w:t>
      </w:r>
      <w:r w:rsidR="0018158B">
        <w:t>966</w:t>
      </w:r>
      <w:r w:rsidR="00D95ECD">
        <w:t xml:space="preserve"> as agreed to by the parties in the Settlement.</w:t>
      </w:r>
      <w:r w:rsidR="0084034A">
        <w:t xml:space="preserve"> </w:t>
      </w:r>
    </w:p>
    <w:p w:rsidR="00E97543" w:rsidRDefault="007971A8" w:rsidP="008701B6">
      <w:pPr>
        <w:spacing w:line="480" w:lineRule="auto"/>
        <w:ind w:left="720" w:hanging="720"/>
      </w:pPr>
      <w:r w:rsidRPr="008B15C6">
        <w:rPr>
          <w:noProof/>
        </w:rPr>
        <w:drawing>
          <wp:inline distT="0" distB="0" distL="0" distR="0" wp14:anchorId="26E1181D" wp14:editId="2466E249">
            <wp:extent cx="5669280" cy="34573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7856" t="19238" r="30100" b="33467"/>
                    <a:stretch/>
                  </pic:blipFill>
                  <pic:spPr bwMode="auto">
                    <a:xfrm>
                      <a:off x="0" y="0"/>
                      <a:ext cx="5669280" cy="3457320"/>
                    </a:xfrm>
                    <a:prstGeom prst="rect">
                      <a:avLst/>
                    </a:prstGeom>
                    <a:ln>
                      <a:noFill/>
                    </a:ln>
                    <a:extLst>
                      <a:ext uri="{53640926-AAD7-44D8-BBD7-CCE9431645EC}">
                        <a14:shadowObscured xmlns:a14="http://schemas.microsoft.com/office/drawing/2010/main"/>
                      </a:ext>
                    </a:extLst>
                  </pic:spPr>
                </pic:pic>
              </a:graphicData>
            </a:graphic>
          </wp:inline>
        </w:drawing>
      </w:r>
    </w:p>
    <w:p w:rsidR="00103B3A" w:rsidRDefault="00103B3A" w:rsidP="00EA7BE7">
      <w:pPr>
        <w:spacing w:line="480" w:lineRule="auto"/>
        <w:ind w:left="720" w:hanging="720"/>
      </w:pPr>
    </w:p>
    <w:p w:rsidR="00AE5636" w:rsidRDefault="00AE5636" w:rsidP="00EA7BE7">
      <w:pPr>
        <w:spacing w:line="480" w:lineRule="auto"/>
        <w:ind w:left="720" w:hanging="720"/>
        <w:rPr>
          <w:b/>
        </w:rPr>
      </w:pPr>
      <w:r>
        <w:rPr>
          <w:b/>
        </w:rPr>
        <w:lastRenderedPageBreak/>
        <w:t>Q.</w:t>
      </w:r>
      <w:r>
        <w:rPr>
          <w:b/>
        </w:rPr>
        <w:tab/>
        <w:t xml:space="preserve">Please provide a brief </w:t>
      </w:r>
      <w:r w:rsidR="00E97543">
        <w:rPr>
          <w:b/>
        </w:rPr>
        <w:t>description</w:t>
      </w:r>
      <w:r>
        <w:rPr>
          <w:b/>
        </w:rPr>
        <w:t xml:space="preserve"> of the table and each adjustment or line item</w:t>
      </w:r>
      <w:r w:rsidR="00393CDC">
        <w:rPr>
          <w:b/>
        </w:rPr>
        <w:t xml:space="preserve"> and the accounting issues that are related</w:t>
      </w:r>
      <w:r>
        <w:rPr>
          <w:b/>
        </w:rPr>
        <w:t>.</w:t>
      </w:r>
    </w:p>
    <w:p w:rsidR="00AE5636" w:rsidRDefault="00AE5636" w:rsidP="00EA7BE7">
      <w:pPr>
        <w:spacing w:line="480" w:lineRule="auto"/>
        <w:ind w:left="720" w:hanging="720"/>
      </w:pPr>
      <w:r>
        <w:t>A.</w:t>
      </w:r>
      <w:r>
        <w:tab/>
        <w:t>Line one</w:t>
      </w:r>
      <w:r w:rsidR="00A26D28">
        <w:t xml:space="preserve"> in Table 1,</w:t>
      </w:r>
      <w:r>
        <w:t xml:space="preserve"> represents the Companies revenue requirement as filed or $2,287,00</w:t>
      </w:r>
      <w:r w:rsidR="000F1B77">
        <w:t>1</w:t>
      </w:r>
      <w:r>
        <w:t xml:space="preserve"> and the related average net investment of $</w:t>
      </w:r>
      <w:r w:rsidRPr="00AE5636">
        <w:t xml:space="preserve"> 10,644,380</w:t>
      </w:r>
      <w:r>
        <w:t xml:space="preserve">. </w:t>
      </w:r>
      <w:r w:rsidR="003809EA">
        <w:t>The f</w:t>
      </w:r>
      <w:r>
        <w:t>ollowing provides a description of each adjustment</w:t>
      </w:r>
      <w:r w:rsidR="00393CDC">
        <w:t xml:space="preserve"> and related accounting issues</w:t>
      </w:r>
      <w:r>
        <w:t>:</w:t>
      </w:r>
    </w:p>
    <w:p w:rsidR="00AE5636" w:rsidRPr="00836805" w:rsidRDefault="00DD443A" w:rsidP="00394C1F">
      <w:pPr>
        <w:pStyle w:val="ListParagraph"/>
        <w:numPr>
          <w:ilvl w:val="0"/>
          <w:numId w:val="2"/>
        </w:numPr>
        <w:spacing w:line="480" w:lineRule="auto"/>
      </w:pPr>
      <w:r>
        <w:rPr>
          <w:b/>
          <w:u w:val="single"/>
        </w:rPr>
        <w:t>Self-</w:t>
      </w:r>
      <w:r w:rsidR="00A23474" w:rsidRPr="0055562D">
        <w:rPr>
          <w:b/>
          <w:u w:val="single"/>
        </w:rPr>
        <w:t>Insurance</w:t>
      </w:r>
      <w:r w:rsidR="00AE5636" w:rsidRPr="0055562D">
        <w:rPr>
          <w:b/>
          <w:u w:val="single"/>
        </w:rPr>
        <w:t xml:space="preserve"> Expense</w:t>
      </w:r>
      <w:r w:rsidR="00AE5636">
        <w:t xml:space="preserve"> – The Companies maintain self</w:t>
      </w:r>
      <w:r w:rsidR="002F76B7">
        <w:t>-</w:t>
      </w:r>
      <w:r w:rsidR="00AE5636">
        <w:t xml:space="preserve">insurance for </w:t>
      </w:r>
      <w:r w:rsidR="002F76B7">
        <w:t xml:space="preserve">liability </w:t>
      </w:r>
      <w:r w:rsidR="00B47A6E">
        <w:t>suits</w:t>
      </w:r>
      <w:r w:rsidR="002F76B7">
        <w:t xml:space="preserve">. The test period in this case includes an </w:t>
      </w:r>
      <w:r w:rsidR="00B47A6E">
        <w:t xml:space="preserve">unusually </w:t>
      </w:r>
      <w:r w:rsidR="000F27D6">
        <w:t xml:space="preserve">large </w:t>
      </w:r>
      <w:r w:rsidR="000A120F">
        <w:t>or extraordinary,</w:t>
      </w:r>
      <w:r w:rsidR="000A120F" w:rsidDel="000A120F">
        <w:t xml:space="preserve"> </w:t>
      </w:r>
      <w:r w:rsidR="000F27D6">
        <w:t>non-</w:t>
      </w:r>
      <w:r w:rsidR="00067998">
        <w:t>recurring</w:t>
      </w:r>
      <w:r w:rsidR="000F27D6">
        <w:t xml:space="preserve"> </w:t>
      </w:r>
      <w:r w:rsidR="00B47A6E">
        <w:t>liability expense</w:t>
      </w:r>
      <w:r w:rsidR="002459C9">
        <w:rPr>
          <w:rStyle w:val="FootnoteReference"/>
        </w:rPr>
        <w:footnoteReference w:id="1"/>
      </w:r>
      <w:r w:rsidR="00B47A6E">
        <w:t>. The Companies</w:t>
      </w:r>
      <w:r w:rsidR="002459C9">
        <w:t>’</w:t>
      </w:r>
      <w:r w:rsidR="00B47A6E">
        <w:t xml:space="preserve"> filed case recover</w:t>
      </w:r>
      <w:r w:rsidR="00067998">
        <w:t>ed</w:t>
      </w:r>
      <w:r w:rsidR="00B47A6E">
        <w:t xml:space="preserve"> this expense in one year. Staff originally proposed amortizing the </w:t>
      </w:r>
      <w:r w:rsidR="00A23474">
        <w:t xml:space="preserve">extraordinary </w:t>
      </w:r>
      <w:r w:rsidR="00B47A6E">
        <w:t xml:space="preserve">expense over four years. As part of the settlement, all parties agreed to normalize the expense </w:t>
      </w:r>
      <w:r w:rsidR="004C1901">
        <w:t xml:space="preserve">account </w:t>
      </w:r>
      <w:r w:rsidR="00B47A6E">
        <w:t>based on a three</w:t>
      </w:r>
      <w:r w:rsidR="00E97543">
        <w:t>-</w:t>
      </w:r>
      <w:r w:rsidR="00B47A6E">
        <w:t xml:space="preserve">year historical average. This adjustment reduces the Companies’ revenue requirement </w:t>
      </w:r>
      <w:r w:rsidR="00B47A6E" w:rsidRPr="00836805">
        <w:t>by $</w:t>
      </w:r>
      <w:r w:rsidR="008D0287">
        <w:t>358,769</w:t>
      </w:r>
      <w:r w:rsidR="00B47A6E" w:rsidRPr="00836805">
        <w:t>.</w:t>
      </w:r>
    </w:p>
    <w:p w:rsidR="009F23B3" w:rsidRDefault="009F23B3" w:rsidP="00394C1F">
      <w:pPr>
        <w:pStyle w:val="ListParagraph"/>
        <w:numPr>
          <w:ilvl w:val="0"/>
          <w:numId w:val="2"/>
        </w:numPr>
        <w:spacing w:line="480" w:lineRule="auto"/>
      </w:pPr>
      <w:r w:rsidRPr="0055562D">
        <w:rPr>
          <w:b/>
          <w:u w:val="single"/>
        </w:rPr>
        <w:t>Disposal Fees</w:t>
      </w:r>
      <w:r>
        <w:t xml:space="preserve"> – </w:t>
      </w:r>
      <w:r w:rsidR="00B90D4C">
        <w:t xml:space="preserve">Effective </w:t>
      </w:r>
      <w:smartTag w:uri="urn:schemas-microsoft-com:office:smarttags" w:element="date">
        <w:smartTagPr>
          <w:attr w:name="ls" w:val="trans"/>
          <w:attr w:name="Month" w:val="3"/>
          <w:attr w:name="Day" w:val="1"/>
          <w:attr w:name="Year" w:val="2013"/>
        </w:smartTagPr>
        <w:r w:rsidR="00B90D4C">
          <w:t>March 1, 2013</w:t>
        </w:r>
      </w:smartTag>
      <w:r w:rsidR="00B90D4C">
        <w:t xml:space="preserve">, </w:t>
      </w:r>
      <w:r w:rsidR="00AE167C">
        <w:t xml:space="preserve">both American and Murrey’s </w:t>
      </w:r>
      <w:r w:rsidR="00B90D4C">
        <w:t>increase</w:t>
      </w:r>
      <w:r w:rsidR="000F27D6">
        <w:t>d rates</w:t>
      </w:r>
      <w:r w:rsidR="00AE167C">
        <w:t xml:space="preserve"> </w:t>
      </w:r>
      <w:r w:rsidR="008D0287">
        <w:t xml:space="preserve">to recover </w:t>
      </w:r>
      <w:r w:rsidR="00B90D4C">
        <w:t>Pierce County disposal fees</w:t>
      </w:r>
      <w:r w:rsidR="00AE167C">
        <w:t xml:space="preserve"> in Dockets TG-130054 and TG-130060, respectively</w:t>
      </w:r>
      <w:r w:rsidR="00B90D4C">
        <w:t xml:space="preserve">. </w:t>
      </w:r>
      <w:r w:rsidR="00AE167C">
        <w:t xml:space="preserve">Instead of preparing a pro forma adjustment reflecting this increase, the Companies adjusted the rate design </w:t>
      </w:r>
      <w:r w:rsidR="002459C9">
        <w:t>and excluded any increase for the disposal fee</w:t>
      </w:r>
      <w:r w:rsidR="004D614E">
        <w:rPr>
          <w:rStyle w:val="FootnoteReference"/>
        </w:rPr>
        <w:footnoteReference w:id="2"/>
      </w:r>
      <w:r w:rsidR="002459C9">
        <w:t xml:space="preserve">. </w:t>
      </w:r>
      <w:r w:rsidR="00067998">
        <w:t xml:space="preserve">This reduction in revenue requirement of $411,217 is necessary to compensate for the Companies’ presentation. </w:t>
      </w:r>
      <w:r w:rsidR="00152D68">
        <w:t xml:space="preserve">After </w:t>
      </w:r>
      <w:r w:rsidR="00EC7879">
        <w:t>applying this</w:t>
      </w:r>
      <w:r w:rsidR="00152D68">
        <w:t xml:space="preserve"> </w:t>
      </w:r>
      <w:r w:rsidR="00A66A1B">
        <w:t>treatment</w:t>
      </w:r>
      <w:r w:rsidR="00152D68">
        <w:t>, no increase in garbage collection service</w:t>
      </w:r>
      <w:r w:rsidR="002459C9">
        <w:t xml:space="preserve"> rates</w:t>
      </w:r>
      <w:r w:rsidR="00152D68">
        <w:t xml:space="preserve"> is warranted.  </w:t>
      </w:r>
    </w:p>
    <w:p w:rsidR="009F23B3" w:rsidRPr="00910176" w:rsidRDefault="009F23B3" w:rsidP="009F23B3">
      <w:pPr>
        <w:pStyle w:val="ListParagraph"/>
        <w:numPr>
          <w:ilvl w:val="0"/>
          <w:numId w:val="2"/>
        </w:numPr>
        <w:spacing w:line="480" w:lineRule="auto"/>
      </w:pPr>
      <w:r w:rsidRPr="0055562D">
        <w:rPr>
          <w:b/>
          <w:u w:val="single"/>
        </w:rPr>
        <w:t>Affiliate Transactions</w:t>
      </w:r>
      <w:r>
        <w:t xml:space="preserve"> – Staff removed inter-company brokerage expense and adjusted the </w:t>
      </w:r>
      <w:r w:rsidR="00067998">
        <w:t xml:space="preserve">recycled materials </w:t>
      </w:r>
      <w:r>
        <w:t xml:space="preserve">processing costs from Tacoma Recycling Co., </w:t>
      </w:r>
      <w:r>
        <w:lastRenderedPageBreak/>
        <w:t xml:space="preserve">Inc. (“Tacoma Recycling”), an affiliate of the Companies. The </w:t>
      </w:r>
      <w:r w:rsidR="00067998">
        <w:t xml:space="preserve">recycled materials </w:t>
      </w:r>
      <w:r>
        <w:t>process</w:t>
      </w:r>
      <w:r w:rsidR="00067998">
        <w:t>ing</w:t>
      </w:r>
      <w:r>
        <w:t xml:space="preserve"> costs are based on actual costs of Tacoma Recycling</w:t>
      </w:r>
      <w:r w:rsidR="008D0246">
        <w:t>,</w:t>
      </w:r>
      <w:r>
        <w:t xml:space="preserve"> however staff reduced those costs for certain</w:t>
      </w:r>
      <w:r w:rsidR="001634B6">
        <w:t xml:space="preserve"> non-reoccurring or extraordinary</w:t>
      </w:r>
      <w:r>
        <w:t xml:space="preserve"> items </w:t>
      </w:r>
      <w:r w:rsidR="00E97543">
        <w:t>considered</w:t>
      </w:r>
      <w:r>
        <w:t xml:space="preserve"> not recoverable</w:t>
      </w:r>
      <w:r w:rsidR="00067998">
        <w:t xml:space="preserve"> from regulated rate payers</w:t>
      </w:r>
      <w:r>
        <w:t>. These adjustments reduce the revenue requirement by $</w:t>
      </w:r>
      <w:r w:rsidR="00910176">
        <w:t>98</w:t>
      </w:r>
      <w:r w:rsidR="00910176" w:rsidRPr="00910176">
        <w:t>,</w:t>
      </w:r>
      <w:r w:rsidR="00EC7879">
        <w:t>408</w:t>
      </w:r>
      <w:r w:rsidR="00EC7879" w:rsidRPr="00910176">
        <w:t xml:space="preserve"> </w:t>
      </w:r>
      <w:r w:rsidRPr="00910176">
        <w:t>and $</w:t>
      </w:r>
      <w:r w:rsidR="00910176" w:rsidRPr="00910176">
        <w:t>14,</w:t>
      </w:r>
      <w:r w:rsidR="00EC7879">
        <w:t>730</w:t>
      </w:r>
      <w:r w:rsidRPr="00910176">
        <w:t>, respectively.</w:t>
      </w:r>
    </w:p>
    <w:p w:rsidR="00152D68" w:rsidRPr="00B777CD" w:rsidRDefault="00152D68" w:rsidP="009F23B3">
      <w:pPr>
        <w:pStyle w:val="ListParagraph"/>
        <w:numPr>
          <w:ilvl w:val="0"/>
          <w:numId w:val="2"/>
        </w:numPr>
        <w:spacing w:line="480" w:lineRule="auto"/>
      </w:pPr>
      <w:r w:rsidRPr="0055562D">
        <w:rPr>
          <w:b/>
          <w:u w:val="single"/>
        </w:rPr>
        <w:t>Corporate and Regional Overhead Allocation</w:t>
      </w:r>
      <w:r>
        <w:t xml:space="preserve"> </w:t>
      </w:r>
      <w:r w:rsidR="00187B69">
        <w:t>–</w:t>
      </w:r>
      <w:r>
        <w:t xml:space="preserve"> </w:t>
      </w:r>
      <w:r w:rsidR="00187B69">
        <w:t xml:space="preserve">Staff adjusted overhead costs to exclude </w:t>
      </w:r>
      <w:r w:rsidR="008C4CDE">
        <w:t xml:space="preserve">cost not recoverable in rates. Examples of these excluded costs are </w:t>
      </w:r>
      <w:r w:rsidR="00187B69">
        <w:t xml:space="preserve">depreciation related to non-regulated </w:t>
      </w:r>
      <w:r w:rsidR="001634B6">
        <w:t>operations, non-reoccurring expenses, lobbying, community activity,</w:t>
      </w:r>
      <w:r w:rsidR="008C4CDE">
        <w:t xml:space="preserve"> and performance bonuses.</w:t>
      </w:r>
      <w:r w:rsidR="00187B69">
        <w:t xml:space="preserve"> This adjustment </w:t>
      </w:r>
      <w:r w:rsidR="0055562D">
        <w:t>lowers</w:t>
      </w:r>
      <w:r w:rsidR="00187B69">
        <w:t xml:space="preserve"> the revenue requirement by $</w:t>
      </w:r>
      <w:r w:rsidR="00910176">
        <w:t>7</w:t>
      </w:r>
      <w:r w:rsidR="0055562D">
        <w:t>4</w:t>
      </w:r>
      <w:r w:rsidR="00910176">
        <w:t>,</w:t>
      </w:r>
      <w:r w:rsidR="0055562D">
        <w:t>033</w:t>
      </w:r>
      <w:r w:rsidR="00187B69" w:rsidRPr="00910176">
        <w:t>.</w:t>
      </w:r>
    </w:p>
    <w:p w:rsidR="00394C1F" w:rsidRDefault="00836805" w:rsidP="00394C1F">
      <w:pPr>
        <w:pStyle w:val="ListParagraph"/>
        <w:numPr>
          <w:ilvl w:val="0"/>
          <w:numId w:val="2"/>
        </w:numPr>
        <w:spacing w:line="480" w:lineRule="auto"/>
      </w:pPr>
      <w:r w:rsidRPr="0055562D">
        <w:rPr>
          <w:b/>
          <w:u w:val="single"/>
        </w:rPr>
        <w:t>Allocation of Investment</w:t>
      </w:r>
      <w:r w:rsidR="00975678" w:rsidRPr="0055562D">
        <w:rPr>
          <w:b/>
          <w:u w:val="single"/>
        </w:rPr>
        <w:t xml:space="preserve">, </w:t>
      </w:r>
      <w:r w:rsidRPr="0055562D">
        <w:rPr>
          <w:b/>
          <w:u w:val="single"/>
        </w:rPr>
        <w:t>Depreciation and Other</w:t>
      </w:r>
      <w:r w:rsidR="00975678" w:rsidRPr="0055562D">
        <w:rPr>
          <w:b/>
          <w:u w:val="single"/>
        </w:rPr>
        <w:t xml:space="preserve"> Related</w:t>
      </w:r>
      <w:r w:rsidRPr="0055562D">
        <w:rPr>
          <w:b/>
          <w:u w:val="single"/>
        </w:rPr>
        <w:t xml:space="preserve"> Expense</w:t>
      </w:r>
      <w:r>
        <w:t xml:space="preserve"> </w:t>
      </w:r>
      <w:r w:rsidR="00BA042A">
        <w:t>–</w:t>
      </w:r>
      <w:r w:rsidR="00B60326">
        <w:t xml:space="preserve"> </w:t>
      </w:r>
      <w:r w:rsidR="00BA042A">
        <w:t xml:space="preserve">The Companies </w:t>
      </w:r>
      <w:r w:rsidR="008C4CDE">
        <w:t xml:space="preserve">own </w:t>
      </w:r>
      <w:r w:rsidR="00C20E0E">
        <w:t>a</w:t>
      </w:r>
      <w:r w:rsidR="00BA042A">
        <w:t xml:space="preserve"> “transfer station”</w:t>
      </w:r>
      <w:r w:rsidR="002459C9">
        <w:t>,</w:t>
      </w:r>
      <w:r w:rsidR="00BA042A">
        <w:t xml:space="preserve"> </w:t>
      </w:r>
      <w:r w:rsidR="00EC7879">
        <w:t>in Fife</w:t>
      </w:r>
      <w:r w:rsidR="002459C9">
        <w:t>,</w:t>
      </w:r>
      <w:r w:rsidR="00EC7879">
        <w:t xml:space="preserve"> that is</w:t>
      </w:r>
      <w:r w:rsidR="002459C9">
        <w:t xml:space="preserve"> also</w:t>
      </w:r>
      <w:r w:rsidR="00EC7879">
        <w:t xml:space="preserve"> used by an </w:t>
      </w:r>
      <w:r w:rsidR="0055562D">
        <w:t>affiliated company</w:t>
      </w:r>
      <w:r w:rsidR="00067998">
        <w:t xml:space="preserve">, DM Disposal, Inc., </w:t>
      </w:r>
      <w:r w:rsidR="00BA042A">
        <w:t xml:space="preserve">that handles non-regulated contracts. </w:t>
      </w:r>
      <w:r w:rsidR="00C20E0E">
        <w:t xml:space="preserve">Instead of each </w:t>
      </w:r>
      <w:r w:rsidR="00152D68">
        <w:t xml:space="preserve">collection </w:t>
      </w:r>
      <w:r w:rsidR="00C20E0E">
        <w:t xml:space="preserve">truck going directly to the </w:t>
      </w:r>
      <w:r w:rsidR="00152D68">
        <w:t>c</w:t>
      </w:r>
      <w:r w:rsidR="00C20E0E" w:rsidRPr="00152D68">
        <w:t>ounty</w:t>
      </w:r>
      <w:r w:rsidR="00C20E0E">
        <w:t xml:space="preserve"> transfer station</w:t>
      </w:r>
      <w:r w:rsidR="00EC7879">
        <w:t xml:space="preserve"> or landfill</w:t>
      </w:r>
      <w:r w:rsidR="00C20E0E">
        <w:t>, the drivers bring their load</w:t>
      </w:r>
      <w:r w:rsidR="00EC7879">
        <w:t>s</w:t>
      </w:r>
      <w:r w:rsidR="00C20E0E">
        <w:t xml:space="preserve"> to the</w:t>
      </w:r>
      <w:r w:rsidR="00EC7879">
        <w:t xml:space="preserve"> closest site at the end of the driver’s route</w:t>
      </w:r>
      <w:r w:rsidR="008C4CDE">
        <w:t xml:space="preserve"> for disposal</w:t>
      </w:r>
      <w:r w:rsidR="00EC7879">
        <w:t xml:space="preserve">. The </w:t>
      </w:r>
      <w:r w:rsidR="00C20E0E">
        <w:t>transfer station</w:t>
      </w:r>
      <w:r w:rsidR="0055562D">
        <w:t xml:space="preserve"> </w:t>
      </w:r>
      <w:r w:rsidR="00EC7879">
        <w:t>in Fife</w:t>
      </w:r>
      <w:r w:rsidR="002B6089">
        <w:t xml:space="preserve">, during the test year, received approximately 43.3 percent of </w:t>
      </w:r>
      <w:r w:rsidR="00175091">
        <w:t xml:space="preserve">its solid waste </w:t>
      </w:r>
      <w:r w:rsidR="002B6089">
        <w:t>from DM Disposal</w:t>
      </w:r>
      <w:r w:rsidR="00067998">
        <w:t>, Inc.</w:t>
      </w:r>
      <w:r w:rsidR="008C4CDE">
        <w:t xml:space="preserve"> </w:t>
      </w:r>
      <w:r w:rsidR="002B6089">
        <w:t>and 56.7 percent from the Companies.</w:t>
      </w:r>
      <w:r w:rsidR="00C20E0E">
        <w:t xml:space="preserve"> Staff adjusted the allocation of the transfer station investment and expense to regulated and non-regulated entities based on actual tonnage. Staff’s adjustment is reflected in the Settlement Agreement. </w:t>
      </w:r>
      <w:r>
        <w:t>In addition, Staff made several adjustments to property records including reconciling asset values to invoice amounts, adjusting plant lives and salvage values</w:t>
      </w:r>
      <w:r>
        <w:rPr>
          <w:rStyle w:val="FootnoteReference"/>
        </w:rPr>
        <w:footnoteReference w:id="3"/>
      </w:r>
      <w:r>
        <w:t xml:space="preserve">, removing assets no </w:t>
      </w:r>
      <w:r>
        <w:lastRenderedPageBreak/>
        <w:t>longer in service</w:t>
      </w:r>
      <w:r w:rsidR="00294CCA">
        <w:t>,</w:t>
      </w:r>
      <w:r>
        <w:t xml:space="preserve"> and rental expense</w:t>
      </w:r>
      <w:r w:rsidR="0055562D">
        <w:t xml:space="preserve"> and property tax</w:t>
      </w:r>
      <w:r>
        <w:t xml:space="preserve"> related to non-regulated operations. After</w:t>
      </w:r>
      <w:r w:rsidR="0055562D">
        <w:t xml:space="preserve"> a</w:t>
      </w:r>
      <w:r>
        <w:t xml:space="preserve"> </w:t>
      </w:r>
      <w:r w:rsidR="0055562D">
        <w:t xml:space="preserve">detailed </w:t>
      </w:r>
      <w:r>
        <w:t xml:space="preserve">review, the parties agreed to an </w:t>
      </w:r>
      <w:r w:rsidR="00975678">
        <w:t xml:space="preserve">overall </w:t>
      </w:r>
      <w:r>
        <w:t>adjustment</w:t>
      </w:r>
      <w:r w:rsidR="00E4324C">
        <w:t xml:space="preserve"> </w:t>
      </w:r>
      <w:r w:rsidR="00975678">
        <w:t xml:space="preserve">which </w:t>
      </w:r>
      <w:r w:rsidR="00E4324C">
        <w:t>reduces the revenue req</w:t>
      </w:r>
      <w:r w:rsidR="00E01BE8">
        <w:t>u</w:t>
      </w:r>
      <w:r w:rsidR="00E4324C">
        <w:t>irement by $</w:t>
      </w:r>
      <w:r w:rsidR="0055562D">
        <w:t>223,995</w:t>
      </w:r>
      <w:r w:rsidR="00E4324C">
        <w:t xml:space="preserve"> and reduces average net investment by $</w:t>
      </w:r>
      <w:r>
        <w:t>1,039,292</w:t>
      </w:r>
      <w:r w:rsidR="00394C1F">
        <w:t>.</w:t>
      </w:r>
    </w:p>
    <w:p w:rsidR="00394C1F" w:rsidRDefault="00207DBA" w:rsidP="00E220EB">
      <w:pPr>
        <w:pStyle w:val="ListParagraph"/>
        <w:numPr>
          <w:ilvl w:val="0"/>
          <w:numId w:val="2"/>
        </w:numPr>
        <w:spacing w:line="480" w:lineRule="auto"/>
      </w:pPr>
      <w:r w:rsidRPr="00AD6AF1">
        <w:rPr>
          <w:b/>
          <w:u w:val="single"/>
        </w:rPr>
        <w:t>Salaries and W</w:t>
      </w:r>
      <w:r w:rsidR="00975678" w:rsidRPr="00AD6AF1">
        <w:rPr>
          <w:b/>
          <w:u w:val="single"/>
        </w:rPr>
        <w:t>ages</w:t>
      </w:r>
      <w:r w:rsidR="00AD6AF1">
        <w:rPr>
          <w:b/>
          <w:u w:val="single"/>
        </w:rPr>
        <w:t xml:space="preserve"> </w:t>
      </w:r>
      <w:r w:rsidR="00394C1F">
        <w:t>–</w:t>
      </w:r>
      <w:r w:rsidR="00AD6AF1">
        <w:t xml:space="preserve"> </w:t>
      </w:r>
      <w:r w:rsidR="0041005F">
        <w:t>This adjustment re-allocates the Division Vice President’s salary</w:t>
      </w:r>
      <w:r w:rsidR="002B6089">
        <w:t xml:space="preserve"> and benefits</w:t>
      </w:r>
      <w:r w:rsidR="0041005F">
        <w:t xml:space="preserve"> between operating units based on revenue and adjusts certain bonuses and accruals for bonuses not paid</w:t>
      </w:r>
      <w:r w:rsidR="00294CCA">
        <w:t>,</w:t>
      </w:r>
      <w:r w:rsidR="0041005F">
        <w:t xml:space="preserve"> offset by the inclusion of a new position, Waste Reduction Specialist for Pierce County. The original filed case include</w:t>
      </w:r>
      <w:r w:rsidR="003809EA">
        <w:t>s</w:t>
      </w:r>
      <w:r w:rsidR="0041005F">
        <w:t xml:space="preserve"> fifty percent of the Division Vice President’s salary which was reduced to twenty-three percent </w:t>
      </w:r>
      <w:r w:rsidR="002459C9">
        <w:t>to reflect an allocation based on</w:t>
      </w:r>
      <w:r w:rsidR="008953E8">
        <w:t xml:space="preserve"> </w:t>
      </w:r>
      <w:r w:rsidR="0041005F">
        <w:t xml:space="preserve">actual </w:t>
      </w:r>
      <w:r w:rsidR="002459C9">
        <w:t xml:space="preserve">respective operating unit </w:t>
      </w:r>
      <w:r w:rsidR="0041005F">
        <w:t>revenue</w:t>
      </w:r>
      <w:r w:rsidR="002459C9">
        <w:t>s</w:t>
      </w:r>
      <w:r w:rsidR="0041005F">
        <w:t xml:space="preserve">. Twenty seven percent of the Waste Reduction Specialist’s wages were included </w:t>
      </w:r>
      <w:r w:rsidR="002B6089">
        <w:t xml:space="preserve">based on </w:t>
      </w:r>
      <w:r w:rsidR="0041005F">
        <w:t xml:space="preserve">the </w:t>
      </w:r>
      <w:r w:rsidR="00067998">
        <w:t xml:space="preserve">employee’s </w:t>
      </w:r>
      <w:r w:rsidR="0041005F">
        <w:t xml:space="preserve">actual activity log kept. </w:t>
      </w:r>
      <w:r w:rsidR="001A53F7">
        <w:t xml:space="preserve">This </w:t>
      </w:r>
      <w:r w:rsidR="0041005F">
        <w:t xml:space="preserve">net </w:t>
      </w:r>
      <w:r w:rsidR="00E220EB">
        <w:t>adjustment reduces the revenue requirement by $</w:t>
      </w:r>
      <w:r w:rsidR="00E220EB" w:rsidRPr="00E220EB">
        <w:t>3</w:t>
      </w:r>
      <w:r w:rsidR="00AD6AF1">
        <w:t>9</w:t>
      </w:r>
      <w:r w:rsidR="00E220EB" w:rsidRPr="00E220EB">
        <w:t>,</w:t>
      </w:r>
      <w:r w:rsidR="00AD6AF1">
        <w:t>283</w:t>
      </w:r>
      <w:r w:rsidR="00E220EB">
        <w:t>.</w:t>
      </w:r>
    </w:p>
    <w:p w:rsidR="009F23B3" w:rsidRDefault="003809EA" w:rsidP="00E220EB">
      <w:pPr>
        <w:pStyle w:val="ListParagraph"/>
        <w:numPr>
          <w:ilvl w:val="0"/>
          <w:numId w:val="2"/>
        </w:numPr>
        <w:spacing w:line="480" w:lineRule="auto"/>
      </w:pPr>
      <w:r>
        <w:rPr>
          <w:b/>
          <w:u w:val="single"/>
        </w:rPr>
        <w:t>Sale of Assets</w:t>
      </w:r>
      <w:r>
        <w:t xml:space="preserve"> – The test period included a loss </w:t>
      </w:r>
      <w:r w:rsidR="009F5FDA">
        <w:t>for the sale of asset</w:t>
      </w:r>
      <w:r w:rsidR="008953E8">
        <w:t>s</w:t>
      </w:r>
      <w:r w:rsidR="009F5FDA">
        <w:t>. Staff originally considered adjusting the test period to reflect a five year amortization of this amount. The Settlement Agreement reflects a three year amortization.</w:t>
      </w:r>
      <w:r w:rsidR="00D02B35">
        <w:t xml:space="preserve"> This adjustment reduces the revenue requirement by $20,400.</w:t>
      </w:r>
    </w:p>
    <w:p w:rsidR="00D02B35" w:rsidRDefault="00D02B35" w:rsidP="00E220EB">
      <w:pPr>
        <w:pStyle w:val="ListParagraph"/>
        <w:numPr>
          <w:ilvl w:val="0"/>
          <w:numId w:val="2"/>
        </w:numPr>
        <w:spacing w:line="480" w:lineRule="auto"/>
      </w:pPr>
      <w:r>
        <w:rPr>
          <w:b/>
          <w:u w:val="single"/>
        </w:rPr>
        <w:t xml:space="preserve">Other Adjustments </w:t>
      </w:r>
      <w:r>
        <w:t xml:space="preserve">– There were several other miscellaneous adjustments to legal fees, safety and training, employee community activities, lobbying expense, contributions, other taxes, meals and entertainment. This net adjustment </w:t>
      </w:r>
      <w:r w:rsidR="002B6089">
        <w:t xml:space="preserve">decreases </w:t>
      </w:r>
      <w:r>
        <w:t xml:space="preserve">the revenue requirement by </w:t>
      </w:r>
      <w:r w:rsidR="0018158B">
        <w:t>$</w:t>
      </w:r>
      <w:r w:rsidR="002B6089">
        <w:t>2,200</w:t>
      </w:r>
      <w:r w:rsidR="0018158B">
        <w:t>.</w:t>
      </w:r>
    </w:p>
    <w:p w:rsidR="00B47A6E" w:rsidRDefault="00067998" w:rsidP="00394C1F">
      <w:pPr>
        <w:spacing w:line="480" w:lineRule="auto"/>
        <w:ind w:left="720"/>
      </w:pPr>
      <w:r>
        <w:t xml:space="preserve">Line 12 </w:t>
      </w:r>
      <w:r w:rsidR="00103B3A">
        <w:t>entitled “Total Adjustments”</w:t>
      </w:r>
      <w:r w:rsidR="007B0607">
        <w:t xml:space="preserve">, </w:t>
      </w:r>
      <w:r w:rsidR="00103B3A">
        <w:t>represents the overall reduction to the revenue requirement of $1,243,03</w:t>
      </w:r>
      <w:r w:rsidR="002B6089">
        <w:t>5</w:t>
      </w:r>
      <w:r w:rsidR="00103B3A">
        <w:t xml:space="preserve"> and rate base reduction of $1,039,292 from the </w:t>
      </w:r>
      <w:r w:rsidR="00103B3A">
        <w:lastRenderedPageBreak/>
        <w:t>Companies original filing</w:t>
      </w:r>
      <w:r w:rsidR="00E4324C">
        <w:t>.</w:t>
      </w:r>
      <w:r w:rsidR="00103B3A">
        <w:t xml:space="preserve"> </w:t>
      </w:r>
      <w:r>
        <w:t>L</w:t>
      </w:r>
      <w:r w:rsidR="00103B3A">
        <w:t>ine</w:t>
      </w:r>
      <w:r w:rsidR="00A213D0">
        <w:t xml:space="preserve"> 13</w:t>
      </w:r>
      <w:r w:rsidR="00103B3A">
        <w:t xml:space="preserve"> reflects the revenue requirement deficiency of $1,043,9</w:t>
      </w:r>
      <w:r w:rsidR="002B6089">
        <w:t>66</w:t>
      </w:r>
      <w:r w:rsidR="00103B3A">
        <w:t xml:space="preserve"> to be collected in rate increases.</w:t>
      </w:r>
    </w:p>
    <w:p w:rsidR="00103B3A" w:rsidRPr="00AE5636" w:rsidRDefault="00103B3A" w:rsidP="00394C1F">
      <w:pPr>
        <w:spacing w:line="480" w:lineRule="auto"/>
        <w:ind w:left="720"/>
      </w:pPr>
    </w:p>
    <w:p w:rsidR="005D4963" w:rsidRDefault="001713E2" w:rsidP="000D6481">
      <w:pPr>
        <w:spacing w:line="480" w:lineRule="auto"/>
        <w:ind w:left="720" w:hanging="720"/>
        <w:jc w:val="center"/>
        <w:rPr>
          <w:b/>
        </w:rPr>
      </w:pPr>
      <w:r>
        <w:rPr>
          <w:b/>
        </w:rPr>
        <w:t>V</w:t>
      </w:r>
      <w:r w:rsidR="000D6481">
        <w:rPr>
          <w:b/>
        </w:rPr>
        <w:t>.</w:t>
      </w:r>
      <w:r w:rsidR="000D6481">
        <w:rPr>
          <w:b/>
        </w:rPr>
        <w:tab/>
      </w:r>
      <w:r w:rsidR="005D4963">
        <w:rPr>
          <w:b/>
        </w:rPr>
        <w:t>RATE SPREAD AND RATE DESIGN</w:t>
      </w:r>
    </w:p>
    <w:p w:rsidR="000D6481" w:rsidRDefault="000D6481" w:rsidP="000D6481">
      <w:pPr>
        <w:spacing w:line="480" w:lineRule="auto"/>
        <w:ind w:left="720" w:hanging="720"/>
        <w:jc w:val="center"/>
        <w:rPr>
          <w:b/>
        </w:rPr>
      </w:pPr>
    </w:p>
    <w:p w:rsidR="00982BA9" w:rsidRDefault="00982BA9" w:rsidP="00B814E2">
      <w:pPr>
        <w:spacing w:line="480" w:lineRule="auto"/>
        <w:ind w:left="720" w:hanging="720"/>
        <w:rPr>
          <w:b/>
        </w:rPr>
      </w:pPr>
      <w:r>
        <w:rPr>
          <w:b/>
        </w:rPr>
        <w:t>Q.</w:t>
      </w:r>
      <w:r>
        <w:rPr>
          <w:b/>
        </w:rPr>
        <w:tab/>
        <w:t>Please explain the rate spread and rate design proposed in the Settlement Agreement.</w:t>
      </w:r>
    </w:p>
    <w:p w:rsidR="00EA7BE7" w:rsidRPr="00103B3A" w:rsidRDefault="00EA7BE7" w:rsidP="00B814E2">
      <w:pPr>
        <w:spacing w:line="480" w:lineRule="auto"/>
        <w:ind w:left="720" w:hanging="720"/>
      </w:pPr>
      <w:r w:rsidRPr="000D6481">
        <w:t>A.</w:t>
      </w:r>
      <w:r w:rsidR="00103B3A">
        <w:rPr>
          <w:b/>
        </w:rPr>
        <w:tab/>
      </w:r>
      <w:r w:rsidR="00D01622">
        <w:t>As stated above, there is no increase needed for garbage collection rates.</w:t>
      </w:r>
      <w:r w:rsidR="00D01622">
        <w:rPr>
          <w:rStyle w:val="FootnoteReference"/>
        </w:rPr>
        <w:footnoteReference w:id="4"/>
      </w:r>
      <w:r w:rsidR="00D01622">
        <w:t xml:space="preserve">   For recycling service</w:t>
      </w:r>
      <w:r w:rsidR="00067998">
        <w:t>,</w:t>
      </w:r>
      <w:r w:rsidR="00D01622">
        <w:t xml:space="preserve"> the rate spread applies an equal percentage of </w:t>
      </w:r>
      <w:r w:rsidR="00966573">
        <w:t>20</w:t>
      </w:r>
      <w:r w:rsidR="00D01622">
        <w:t xml:space="preserve">.98 percent.  An equal percentage of 10.51 percent reflects the rate spread used for yard waste services. </w:t>
      </w:r>
      <w:r w:rsidR="00103B3A">
        <w:t xml:space="preserve">Attachment B of the Settlement Agreement provides detail of the proposed tariff schedule increases.  </w:t>
      </w:r>
    </w:p>
    <w:p w:rsidR="00CA701F" w:rsidRDefault="00CA701F" w:rsidP="00CA701F">
      <w:pPr>
        <w:spacing w:line="480" w:lineRule="auto"/>
        <w:ind w:left="360"/>
      </w:pPr>
    </w:p>
    <w:p w:rsidR="007916BF" w:rsidRDefault="00D0793A" w:rsidP="007916BF">
      <w:pPr>
        <w:spacing w:line="480" w:lineRule="auto"/>
        <w:ind w:left="360"/>
        <w:jc w:val="center"/>
        <w:rPr>
          <w:b/>
        </w:rPr>
      </w:pPr>
      <w:r>
        <w:rPr>
          <w:b/>
        </w:rPr>
        <w:t xml:space="preserve">VI. </w:t>
      </w:r>
      <w:r>
        <w:rPr>
          <w:b/>
        </w:rPr>
        <w:tab/>
      </w:r>
      <w:r w:rsidR="000D6481">
        <w:rPr>
          <w:b/>
        </w:rPr>
        <w:t>CONCLUSION</w:t>
      </w:r>
    </w:p>
    <w:p w:rsidR="00CA701F" w:rsidRPr="007916BF" w:rsidRDefault="00CA701F" w:rsidP="007916BF">
      <w:pPr>
        <w:spacing w:line="480" w:lineRule="auto"/>
        <w:ind w:left="360"/>
        <w:jc w:val="center"/>
        <w:rPr>
          <w:b/>
        </w:rPr>
      </w:pPr>
    </w:p>
    <w:p w:rsidR="007916BF" w:rsidRPr="007916BF" w:rsidRDefault="007916BF" w:rsidP="007916BF">
      <w:pPr>
        <w:spacing w:line="480" w:lineRule="auto"/>
        <w:ind w:left="720" w:hanging="720"/>
        <w:rPr>
          <w:b/>
        </w:rPr>
      </w:pPr>
      <w:r w:rsidRPr="007916BF">
        <w:rPr>
          <w:b/>
        </w:rPr>
        <w:t>Q.</w:t>
      </w:r>
      <w:r w:rsidRPr="007916BF">
        <w:rPr>
          <w:b/>
        </w:rPr>
        <w:tab/>
      </w:r>
      <w:r>
        <w:rPr>
          <w:b/>
        </w:rPr>
        <w:t>Please explain why S</w:t>
      </w:r>
      <w:r w:rsidRPr="007916BF">
        <w:rPr>
          <w:b/>
        </w:rPr>
        <w:t>taff supports the Settlement Agreement and recommends its approval by the Commission</w:t>
      </w:r>
    </w:p>
    <w:p w:rsidR="007916BF" w:rsidRPr="007916BF" w:rsidRDefault="007916BF" w:rsidP="007916BF">
      <w:pPr>
        <w:spacing w:line="480" w:lineRule="auto"/>
        <w:ind w:left="720" w:hanging="720"/>
      </w:pPr>
      <w:r w:rsidRPr="007916BF">
        <w:t>A</w:t>
      </w:r>
      <w:r w:rsidRPr="007916BF">
        <w:rPr>
          <w:b/>
        </w:rPr>
        <w:t>.</w:t>
      </w:r>
      <w:r>
        <w:rPr>
          <w:b/>
        </w:rPr>
        <w:tab/>
      </w:r>
      <w:r w:rsidR="00CA701F">
        <w:t>Staff believes the Settlement,</w:t>
      </w:r>
      <w:r>
        <w:t xml:space="preserve"> if accepted by the </w:t>
      </w:r>
      <w:r w:rsidR="00CA701F">
        <w:t>Commission,</w:t>
      </w:r>
      <w:r>
        <w:t xml:space="preserve"> would result in rates that are fair, </w:t>
      </w:r>
      <w:r w:rsidR="00715DEB">
        <w:t>just, reasonable</w:t>
      </w:r>
      <w:r w:rsidR="00290A30">
        <w:t>, and sufficient</w:t>
      </w:r>
      <w:r>
        <w:t>. Moreover, the Settlement will not be us</w:t>
      </w:r>
      <w:r w:rsidR="00CA701F">
        <w:t xml:space="preserve">ed to resolve issues in </w:t>
      </w:r>
      <w:r w:rsidR="00FB5282">
        <w:t xml:space="preserve">any </w:t>
      </w:r>
      <w:r w:rsidR="00CA701F">
        <w:t xml:space="preserve">future </w:t>
      </w:r>
      <w:r>
        <w:t>proceeding</w:t>
      </w:r>
      <w:r w:rsidR="00FB5282">
        <w:t>,</w:t>
      </w:r>
      <w:r>
        <w:t xml:space="preserve"> except </w:t>
      </w:r>
      <w:r w:rsidR="00FB5282">
        <w:t>as set forth</w:t>
      </w:r>
      <w:r>
        <w:t xml:space="preserve"> in paragraph twelve of the </w:t>
      </w:r>
      <w:r w:rsidR="00CA701F">
        <w:t>Settlement for the amortization of certain costs and the requirement to file a general rate case.</w:t>
      </w:r>
    </w:p>
    <w:p w:rsidR="007916BF" w:rsidRDefault="007916BF" w:rsidP="007916BF">
      <w:pPr>
        <w:spacing w:line="480" w:lineRule="auto"/>
        <w:ind w:left="360"/>
      </w:pPr>
    </w:p>
    <w:p w:rsidR="00B814E2" w:rsidRDefault="00B814E2" w:rsidP="00B814E2">
      <w:pPr>
        <w:spacing w:line="480" w:lineRule="auto"/>
        <w:ind w:left="720" w:hanging="720"/>
        <w:rPr>
          <w:b/>
        </w:rPr>
      </w:pPr>
      <w:r>
        <w:rPr>
          <w:b/>
        </w:rPr>
        <w:t>Q.</w:t>
      </w:r>
      <w:r>
        <w:rPr>
          <w:b/>
        </w:rPr>
        <w:tab/>
        <w:t xml:space="preserve">Does this conclude your testimony?  </w:t>
      </w:r>
    </w:p>
    <w:p w:rsidR="00B814E2" w:rsidRPr="00B814E2" w:rsidRDefault="00B814E2" w:rsidP="00B814E2">
      <w:pPr>
        <w:spacing w:line="480" w:lineRule="auto"/>
        <w:ind w:left="720" w:hanging="720"/>
      </w:pPr>
      <w:r>
        <w:t>A.</w:t>
      </w:r>
      <w:r>
        <w:tab/>
        <w:t xml:space="preserve">Yes. </w:t>
      </w:r>
    </w:p>
    <w:sectPr w:rsidR="00B814E2" w:rsidRPr="00B814E2" w:rsidSect="0015026F">
      <w:footerReference w:type="default" r:id="rId12"/>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263" w:rsidRDefault="00B76263" w:rsidP="0015026F">
      <w:r>
        <w:separator/>
      </w:r>
    </w:p>
  </w:endnote>
  <w:endnote w:type="continuationSeparator" w:id="0">
    <w:p w:rsidR="00B76263" w:rsidRDefault="00B76263" w:rsidP="00150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6D6" w:rsidRPr="0015026F" w:rsidRDefault="00D646D6" w:rsidP="0015026F">
    <w:pPr>
      <w:pStyle w:val="Footer"/>
      <w:tabs>
        <w:tab w:val="clear" w:pos="9360"/>
        <w:tab w:val="right" w:pos="8910"/>
      </w:tabs>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6D6" w:rsidRPr="0015026F" w:rsidRDefault="00D646D6" w:rsidP="0015026F">
    <w:pPr>
      <w:pStyle w:val="Footer"/>
      <w:tabs>
        <w:tab w:val="clear" w:pos="9360"/>
        <w:tab w:val="right" w:pos="8910"/>
      </w:tabs>
      <w:rPr>
        <w:sz w:val="20"/>
        <w:szCs w:val="20"/>
      </w:rPr>
    </w:pPr>
  </w:p>
  <w:p w:rsidR="000D6481" w:rsidRDefault="00D646D6" w:rsidP="0015026F">
    <w:pPr>
      <w:pStyle w:val="Footer"/>
      <w:tabs>
        <w:tab w:val="clear" w:pos="9360"/>
        <w:tab w:val="right" w:pos="8910"/>
      </w:tabs>
      <w:rPr>
        <w:sz w:val="20"/>
        <w:szCs w:val="20"/>
      </w:rPr>
    </w:pPr>
    <w:r>
      <w:rPr>
        <w:sz w:val="20"/>
        <w:szCs w:val="20"/>
      </w:rPr>
      <w:t>TESTIMONY OF MELISSA CHEESMAN</w:t>
    </w:r>
    <w:r w:rsidR="000D6481">
      <w:rPr>
        <w:sz w:val="20"/>
        <w:szCs w:val="20"/>
      </w:rPr>
      <w:tab/>
    </w:r>
  </w:p>
  <w:p w:rsidR="00D646D6" w:rsidRPr="0015026F" w:rsidRDefault="00D646D6" w:rsidP="0015026F">
    <w:pPr>
      <w:pStyle w:val="Footer"/>
      <w:tabs>
        <w:tab w:val="clear" w:pos="9360"/>
        <w:tab w:val="right" w:pos="8910"/>
      </w:tabs>
      <w:rPr>
        <w:sz w:val="20"/>
        <w:szCs w:val="20"/>
      </w:rPr>
    </w:pPr>
    <w:r w:rsidRPr="0015026F">
      <w:rPr>
        <w:sz w:val="20"/>
        <w:szCs w:val="20"/>
      </w:rPr>
      <w:t>Docket</w:t>
    </w:r>
    <w:r>
      <w:rPr>
        <w:sz w:val="20"/>
        <w:szCs w:val="20"/>
      </w:rPr>
      <w:t>s</w:t>
    </w:r>
    <w:r w:rsidRPr="0015026F">
      <w:rPr>
        <w:sz w:val="20"/>
        <w:szCs w:val="20"/>
      </w:rPr>
      <w:t xml:space="preserve"> </w:t>
    </w:r>
    <w:r>
      <w:rPr>
        <w:sz w:val="20"/>
        <w:szCs w:val="20"/>
      </w:rPr>
      <w:t>TG-130501 and TG-130502</w:t>
    </w:r>
    <w:r w:rsidRPr="0015026F">
      <w:rPr>
        <w:sz w:val="20"/>
        <w:szCs w:val="20"/>
      </w:rPr>
      <w:t xml:space="preserve"> </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FE6026">
      <w:rPr>
        <w:noProof/>
        <w:sz w:val="20"/>
        <w:szCs w:val="20"/>
      </w:rPr>
      <w:t>i</w:t>
    </w:r>
    <w:r w:rsidRPr="0015026F">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6D6" w:rsidRPr="0015026F" w:rsidRDefault="00D646D6" w:rsidP="0015026F">
    <w:pPr>
      <w:pStyle w:val="Footer"/>
      <w:tabs>
        <w:tab w:val="clear" w:pos="9360"/>
        <w:tab w:val="right" w:pos="8910"/>
      </w:tabs>
      <w:rPr>
        <w:sz w:val="20"/>
        <w:szCs w:val="20"/>
      </w:rPr>
    </w:pPr>
  </w:p>
  <w:p w:rsidR="000D6481" w:rsidRDefault="00D646D6" w:rsidP="0015026F">
    <w:pPr>
      <w:pStyle w:val="Footer"/>
      <w:tabs>
        <w:tab w:val="clear" w:pos="9360"/>
        <w:tab w:val="right" w:pos="8910"/>
      </w:tabs>
      <w:rPr>
        <w:sz w:val="20"/>
        <w:szCs w:val="20"/>
      </w:rPr>
    </w:pPr>
    <w:r w:rsidRPr="0015026F">
      <w:rPr>
        <w:sz w:val="20"/>
        <w:szCs w:val="20"/>
      </w:rPr>
      <w:t xml:space="preserve">TESTIMONY OF </w:t>
    </w:r>
    <w:r>
      <w:rPr>
        <w:sz w:val="20"/>
        <w:szCs w:val="20"/>
      </w:rPr>
      <w:t>MELISSA CHEESMAN</w:t>
    </w:r>
  </w:p>
  <w:p w:rsidR="00D646D6" w:rsidRPr="0015026F" w:rsidRDefault="00D646D6" w:rsidP="0015026F">
    <w:pPr>
      <w:pStyle w:val="Footer"/>
      <w:tabs>
        <w:tab w:val="clear" w:pos="9360"/>
        <w:tab w:val="right" w:pos="8910"/>
      </w:tabs>
      <w:rPr>
        <w:sz w:val="20"/>
        <w:szCs w:val="20"/>
      </w:rPr>
    </w:pPr>
    <w:r w:rsidRPr="0015026F">
      <w:rPr>
        <w:sz w:val="20"/>
        <w:szCs w:val="20"/>
      </w:rPr>
      <w:t>Docket</w:t>
    </w:r>
    <w:r>
      <w:rPr>
        <w:sz w:val="20"/>
        <w:szCs w:val="20"/>
      </w:rPr>
      <w:t>s</w:t>
    </w:r>
    <w:r w:rsidRPr="0015026F">
      <w:rPr>
        <w:sz w:val="20"/>
        <w:szCs w:val="20"/>
      </w:rPr>
      <w:t xml:space="preserve"> </w:t>
    </w:r>
    <w:r>
      <w:rPr>
        <w:sz w:val="20"/>
        <w:szCs w:val="20"/>
      </w:rPr>
      <w:t>TG-130501 and TG-130502</w:t>
    </w:r>
    <w:r w:rsidRPr="0015026F">
      <w:rPr>
        <w:sz w:val="20"/>
        <w:szCs w:val="20"/>
      </w:rPr>
      <w:t xml:space="preserve"> </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FE6026">
      <w:rPr>
        <w:noProof/>
        <w:sz w:val="20"/>
        <w:szCs w:val="20"/>
      </w:rPr>
      <w:t>9</w:t>
    </w:r>
    <w:r w:rsidRPr="0015026F">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263" w:rsidRDefault="00B76263" w:rsidP="0015026F">
      <w:r>
        <w:separator/>
      </w:r>
    </w:p>
  </w:footnote>
  <w:footnote w:type="continuationSeparator" w:id="0">
    <w:p w:rsidR="00B76263" w:rsidRDefault="00B76263" w:rsidP="0015026F">
      <w:r>
        <w:continuationSeparator/>
      </w:r>
    </w:p>
  </w:footnote>
  <w:footnote w:id="1">
    <w:p w:rsidR="00D646D6" w:rsidRDefault="00D646D6">
      <w:pPr>
        <w:pStyle w:val="FootnoteText"/>
      </w:pPr>
      <w:r>
        <w:rPr>
          <w:rStyle w:val="FootnoteReference"/>
        </w:rPr>
        <w:footnoteRef/>
      </w:r>
      <w:r>
        <w:t xml:space="preserve"> The expense is related to </w:t>
      </w:r>
      <w:r w:rsidRPr="002459C9">
        <w:t xml:space="preserve">prior year </w:t>
      </w:r>
      <w:r>
        <w:t xml:space="preserve">liability </w:t>
      </w:r>
      <w:r w:rsidRPr="002459C9">
        <w:t>claims paid during the test year</w:t>
      </w:r>
      <w:r>
        <w:t>.</w:t>
      </w:r>
    </w:p>
  </w:footnote>
  <w:footnote w:id="2">
    <w:p w:rsidR="00D646D6" w:rsidRDefault="00D646D6" w:rsidP="004D614E">
      <w:pPr>
        <w:pStyle w:val="FootnoteText"/>
      </w:pPr>
      <w:r>
        <w:rPr>
          <w:rStyle w:val="FootnoteReference"/>
        </w:rPr>
        <w:footnoteRef/>
      </w:r>
      <w:r>
        <w:t xml:space="preserve"> The Companies’ method first reduced </w:t>
      </w:r>
      <w:r w:rsidRPr="002459C9">
        <w:t xml:space="preserve">the current tariff rate by the disposal </w:t>
      </w:r>
      <w:r>
        <w:t>fee increase and then increased</w:t>
      </w:r>
      <w:r w:rsidRPr="002459C9">
        <w:t xml:space="preserve"> the reduced rates by the percentage of additional annual revenue prescribe</w:t>
      </w:r>
      <w:r>
        <w:t>d</w:t>
      </w:r>
      <w:r w:rsidRPr="002459C9">
        <w:t xml:space="preserve"> by the garbage Lurtio-Gallagher, divided by the test year revenue for garbage services.</w:t>
      </w:r>
    </w:p>
    <w:p w:rsidR="00D646D6" w:rsidRDefault="00D646D6">
      <w:pPr>
        <w:pStyle w:val="FootnoteText"/>
      </w:pPr>
    </w:p>
  </w:footnote>
  <w:footnote w:id="3">
    <w:p w:rsidR="00D646D6" w:rsidRDefault="00D646D6" w:rsidP="00836805">
      <w:pPr>
        <w:pStyle w:val="FootnoteText"/>
      </w:pPr>
      <w:r>
        <w:rPr>
          <w:rStyle w:val="FootnoteReference"/>
        </w:rPr>
        <w:footnoteRef/>
      </w:r>
      <w:r>
        <w:t xml:space="preserve"> Based on Governmental Accounting Standards Board’s (GASB) Statement No. 34 and Uniform System of Accounts for Class A and B Solid Waste Collection Companies</w:t>
      </w:r>
    </w:p>
  </w:footnote>
  <w:footnote w:id="4">
    <w:p w:rsidR="00D646D6" w:rsidRDefault="00D646D6">
      <w:pPr>
        <w:pStyle w:val="FootnoteText"/>
      </w:pPr>
      <w:r>
        <w:rPr>
          <w:rStyle w:val="FootnoteReference"/>
        </w:rPr>
        <w:footnoteRef/>
      </w:r>
      <w:r>
        <w:t xml:space="preserve"> New rates went into effect March 1, 2013 to reflect disposal fee increases for both American and Murrey’s in Dockets TG-130054 and TG-130060, respectively.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A0D9C"/>
    <w:multiLevelType w:val="hybridMultilevel"/>
    <w:tmpl w:val="8C9005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FF21B5F"/>
    <w:multiLevelType w:val="hybridMultilevel"/>
    <w:tmpl w:val="616264C8"/>
    <w:lvl w:ilvl="0" w:tplc="04090011">
      <w:start w:val="1"/>
      <w:numFmt w:val="decimal"/>
      <w:lvlText w:val="%1)"/>
      <w:lvlJc w:val="left"/>
      <w:pPr>
        <w:ind w:left="1080" w:hanging="360"/>
      </w:pPr>
    </w:lvl>
    <w:lvl w:ilvl="1" w:tplc="B3D6BB6C">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4E2"/>
    <w:rsid w:val="0000052E"/>
    <w:rsid w:val="00015E59"/>
    <w:rsid w:val="0003445D"/>
    <w:rsid w:val="00067998"/>
    <w:rsid w:val="00075264"/>
    <w:rsid w:val="000934E0"/>
    <w:rsid w:val="000A120F"/>
    <w:rsid w:val="000A5B48"/>
    <w:rsid w:val="000D6481"/>
    <w:rsid w:val="000F1B77"/>
    <w:rsid w:val="000F27D6"/>
    <w:rsid w:val="00103B3A"/>
    <w:rsid w:val="0015026F"/>
    <w:rsid w:val="00152D68"/>
    <w:rsid w:val="001634B6"/>
    <w:rsid w:val="001713E2"/>
    <w:rsid w:val="00175091"/>
    <w:rsid w:val="0018158B"/>
    <w:rsid w:val="00187B69"/>
    <w:rsid w:val="0019556B"/>
    <w:rsid w:val="001A53F7"/>
    <w:rsid w:val="001F1830"/>
    <w:rsid w:val="00207DBA"/>
    <w:rsid w:val="00233162"/>
    <w:rsid w:val="00237C3C"/>
    <w:rsid w:val="002449A3"/>
    <w:rsid w:val="002459C9"/>
    <w:rsid w:val="00290A30"/>
    <w:rsid w:val="00294CCA"/>
    <w:rsid w:val="00294D4D"/>
    <w:rsid w:val="002B6089"/>
    <w:rsid w:val="002C0960"/>
    <w:rsid w:val="002C4C8D"/>
    <w:rsid w:val="002D04CB"/>
    <w:rsid w:val="002F76B7"/>
    <w:rsid w:val="00307988"/>
    <w:rsid w:val="00366392"/>
    <w:rsid w:val="00376F41"/>
    <w:rsid w:val="00377EE4"/>
    <w:rsid w:val="003809EA"/>
    <w:rsid w:val="00393CDC"/>
    <w:rsid w:val="00394C1F"/>
    <w:rsid w:val="0041005F"/>
    <w:rsid w:val="0042543A"/>
    <w:rsid w:val="00430935"/>
    <w:rsid w:val="0046251D"/>
    <w:rsid w:val="0047767D"/>
    <w:rsid w:val="004C1901"/>
    <w:rsid w:val="004D614E"/>
    <w:rsid w:val="00552FE3"/>
    <w:rsid w:val="0055562D"/>
    <w:rsid w:val="00561513"/>
    <w:rsid w:val="0059579A"/>
    <w:rsid w:val="005A7DED"/>
    <w:rsid w:val="005B5E8F"/>
    <w:rsid w:val="005D4963"/>
    <w:rsid w:val="005F1E7A"/>
    <w:rsid w:val="006301C8"/>
    <w:rsid w:val="00634C91"/>
    <w:rsid w:val="006809D8"/>
    <w:rsid w:val="006C1FF9"/>
    <w:rsid w:val="006D6EB0"/>
    <w:rsid w:val="006E290B"/>
    <w:rsid w:val="006F2B50"/>
    <w:rsid w:val="00713113"/>
    <w:rsid w:val="00715DEB"/>
    <w:rsid w:val="00723745"/>
    <w:rsid w:val="007466ED"/>
    <w:rsid w:val="00760C1D"/>
    <w:rsid w:val="007916BF"/>
    <w:rsid w:val="007971A8"/>
    <w:rsid w:val="007B0607"/>
    <w:rsid w:val="007D2CBF"/>
    <w:rsid w:val="007E03CC"/>
    <w:rsid w:val="007F4645"/>
    <w:rsid w:val="008220D2"/>
    <w:rsid w:val="00836805"/>
    <w:rsid w:val="0084034A"/>
    <w:rsid w:val="00842D6C"/>
    <w:rsid w:val="008701B6"/>
    <w:rsid w:val="008953E8"/>
    <w:rsid w:val="008978D5"/>
    <w:rsid w:val="008A0D88"/>
    <w:rsid w:val="008C4CDE"/>
    <w:rsid w:val="008D0246"/>
    <w:rsid w:val="008D0287"/>
    <w:rsid w:val="00910176"/>
    <w:rsid w:val="009366BB"/>
    <w:rsid w:val="00966573"/>
    <w:rsid w:val="00975678"/>
    <w:rsid w:val="00982BA9"/>
    <w:rsid w:val="009F23B3"/>
    <w:rsid w:val="009F5FDA"/>
    <w:rsid w:val="00A02C50"/>
    <w:rsid w:val="00A11623"/>
    <w:rsid w:val="00A213D0"/>
    <w:rsid w:val="00A23474"/>
    <w:rsid w:val="00A26D28"/>
    <w:rsid w:val="00A42B83"/>
    <w:rsid w:val="00A66A1B"/>
    <w:rsid w:val="00A8036A"/>
    <w:rsid w:val="00A82BB3"/>
    <w:rsid w:val="00A83557"/>
    <w:rsid w:val="00AA6856"/>
    <w:rsid w:val="00AB106C"/>
    <w:rsid w:val="00AD6AF1"/>
    <w:rsid w:val="00AE167C"/>
    <w:rsid w:val="00AE5636"/>
    <w:rsid w:val="00B1242F"/>
    <w:rsid w:val="00B33694"/>
    <w:rsid w:val="00B47A6E"/>
    <w:rsid w:val="00B60326"/>
    <w:rsid w:val="00B76263"/>
    <w:rsid w:val="00B777CD"/>
    <w:rsid w:val="00B814E2"/>
    <w:rsid w:val="00B82539"/>
    <w:rsid w:val="00B904F3"/>
    <w:rsid w:val="00B90D4C"/>
    <w:rsid w:val="00BA042A"/>
    <w:rsid w:val="00BD324D"/>
    <w:rsid w:val="00C00375"/>
    <w:rsid w:val="00C0665B"/>
    <w:rsid w:val="00C20E0E"/>
    <w:rsid w:val="00C658D7"/>
    <w:rsid w:val="00C923DF"/>
    <w:rsid w:val="00CA701F"/>
    <w:rsid w:val="00D01622"/>
    <w:rsid w:val="00D02B35"/>
    <w:rsid w:val="00D05641"/>
    <w:rsid w:val="00D0793A"/>
    <w:rsid w:val="00D11144"/>
    <w:rsid w:val="00D4408F"/>
    <w:rsid w:val="00D473AE"/>
    <w:rsid w:val="00D626E6"/>
    <w:rsid w:val="00D646D6"/>
    <w:rsid w:val="00D67488"/>
    <w:rsid w:val="00D71899"/>
    <w:rsid w:val="00D95ECD"/>
    <w:rsid w:val="00D97C97"/>
    <w:rsid w:val="00DD443A"/>
    <w:rsid w:val="00E01BE8"/>
    <w:rsid w:val="00E220EB"/>
    <w:rsid w:val="00E4324C"/>
    <w:rsid w:val="00E457AC"/>
    <w:rsid w:val="00E50BE2"/>
    <w:rsid w:val="00E60F93"/>
    <w:rsid w:val="00E6756E"/>
    <w:rsid w:val="00E743A0"/>
    <w:rsid w:val="00E97543"/>
    <w:rsid w:val="00E97599"/>
    <w:rsid w:val="00EA7BE7"/>
    <w:rsid w:val="00EC7879"/>
    <w:rsid w:val="00F058F5"/>
    <w:rsid w:val="00F0691E"/>
    <w:rsid w:val="00F116DE"/>
    <w:rsid w:val="00F149C4"/>
    <w:rsid w:val="00F24BFC"/>
    <w:rsid w:val="00F3165E"/>
    <w:rsid w:val="00F41E94"/>
    <w:rsid w:val="00F45689"/>
    <w:rsid w:val="00FB5282"/>
    <w:rsid w:val="00FE6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BalloonText">
    <w:name w:val="Balloon Text"/>
    <w:basedOn w:val="Normal"/>
    <w:link w:val="BalloonTextChar"/>
    <w:uiPriority w:val="99"/>
    <w:semiHidden/>
    <w:unhideWhenUsed/>
    <w:rsid w:val="002C0960"/>
    <w:rPr>
      <w:rFonts w:ascii="Tahoma" w:hAnsi="Tahoma" w:cs="Tahoma"/>
      <w:sz w:val="16"/>
      <w:szCs w:val="16"/>
    </w:rPr>
  </w:style>
  <w:style w:type="character" w:customStyle="1" w:styleId="BalloonTextChar">
    <w:name w:val="Balloon Text Char"/>
    <w:basedOn w:val="DefaultParagraphFont"/>
    <w:link w:val="BalloonText"/>
    <w:uiPriority w:val="99"/>
    <w:semiHidden/>
    <w:rsid w:val="002C0960"/>
    <w:rPr>
      <w:rFonts w:ascii="Tahoma" w:hAnsi="Tahoma" w:cs="Tahoma"/>
      <w:sz w:val="16"/>
      <w:szCs w:val="16"/>
    </w:rPr>
  </w:style>
  <w:style w:type="paragraph" w:styleId="FootnoteText">
    <w:name w:val="footnote text"/>
    <w:basedOn w:val="Normal"/>
    <w:link w:val="FootnoteTextChar"/>
    <w:uiPriority w:val="99"/>
    <w:semiHidden/>
    <w:unhideWhenUsed/>
    <w:rsid w:val="00394C1F"/>
    <w:rPr>
      <w:sz w:val="20"/>
      <w:szCs w:val="20"/>
    </w:rPr>
  </w:style>
  <w:style w:type="character" w:customStyle="1" w:styleId="FootnoteTextChar">
    <w:name w:val="Footnote Text Char"/>
    <w:basedOn w:val="DefaultParagraphFont"/>
    <w:link w:val="FootnoteText"/>
    <w:uiPriority w:val="99"/>
    <w:semiHidden/>
    <w:rsid w:val="00394C1F"/>
    <w:rPr>
      <w:sz w:val="20"/>
      <w:szCs w:val="20"/>
    </w:rPr>
  </w:style>
  <w:style w:type="character" w:styleId="FootnoteReference">
    <w:name w:val="footnote reference"/>
    <w:basedOn w:val="DefaultParagraphFont"/>
    <w:uiPriority w:val="99"/>
    <w:semiHidden/>
    <w:unhideWhenUsed/>
    <w:rsid w:val="00394C1F"/>
    <w:rPr>
      <w:vertAlign w:val="superscript"/>
    </w:rPr>
  </w:style>
  <w:style w:type="character" w:styleId="CommentReference">
    <w:name w:val="annotation reference"/>
    <w:basedOn w:val="DefaultParagraphFont"/>
    <w:uiPriority w:val="99"/>
    <w:semiHidden/>
    <w:unhideWhenUsed/>
    <w:rsid w:val="007F4645"/>
    <w:rPr>
      <w:sz w:val="16"/>
      <w:szCs w:val="16"/>
    </w:rPr>
  </w:style>
  <w:style w:type="paragraph" w:styleId="CommentText">
    <w:name w:val="annotation text"/>
    <w:basedOn w:val="Normal"/>
    <w:link w:val="CommentTextChar"/>
    <w:uiPriority w:val="99"/>
    <w:semiHidden/>
    <w:unhideWhenUsed/>
    <w:rsid w:val="007F4645"/>
    <w:rPr>
      <w:sz w:val="20"/>
      <w:szCs w:val="20"/>
    </w:rPr>
  </w:style>
  <w:style w:type="character" w:customStyle="1" w:styleId="CommentTextChar">
    <w:name w:val="Comment Text Char"/>
    <w:basedOn w:val="DefaultParagraphFont"/>
    <w:link w:val="CommentText"/>
    <w:uiPriority w:val="99"/>
    <w:semiHidden/>
    <w:rsid w:val="007F4645"/>
    <w:rPr>
      <w:sz w:val="20"/>
      <w:szCs w:val="20"/>
    </w:rPr>
  </w:style>
  <w:style w:type="paragraph" w:styleId="CommentSubject">
    <w:name w:val="annotation subject"/>
    <w:basedOn w:val="CommentText"/>
    <w:next w:val="CommentText"/>
    <w:link w:val="CommentSubjectChar"/>
    <w:uiPriority w:val="99"/>
    <w:semiHidden/>
    <w:unhideWhenUsed/>
    <w:rsid w:val="007F4645"/>
    <w:rPr>
      <w:b/>
      <w:bCs/>
    </w:rPr>
  </w:style>
  <w:style w:type="character" w:customStyle="1" w:styleId="CommentSubjectChar">
    <w:name w:val="Comment Subject Char"/>
    <w:basedOn w:val="CommentTextChar"/>
    <w:link w:val="CommentSubject"/>
    <w:uiPriority w:val="99"/>
    <w:semiHidden/>
    <w:rsid w:val="007F464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BalloonText">
    <w:name w:val="Balloon Text"/>
    <w:basedOn w:val="Normal"/>
    <w:link w:val="BalloonTextChar"/>
    <w:uiPriority w:val="99"/>
    <w:semiHidden/>
    <w:unhideWhenUsed/>
    <w:rsid w:val="002C0960"/>
    <w:rPr>
      <w:rFonts w:ascii="Tahoma" w:hAnsi="Tahoma" w:cs="Tahoma"/>
      <w:sz w:val="16"/>
      <w:szCs w:val="16"/>
    </w:rPr>
  </w:style>
  <w:style w:type="character" w:customStyle="1" w:styleId="BalloonTextChar">
    <w:name w:val="Balloon Text Char"/>
    <w:basedOn w:val="DefaultParagraphFont"/>
    <w:link w:val="BalloonText"/>
    <w:uiPriority w:val="99"/>
    <w:semiHidden/>
    <w:rsid w:val="002C0960"/>
    <w:rPr>
      <w:rFonts w:ascii="Tahoma" w:hAnsi="Tahoma" w:cs="Tahoma"/>
      <w:sz w:val="16"/>
      <w:szCs w:val="16"/>
    </w:rPr>
  </w:style>
  <w:style w:type="paragraph" w:styleId="FootnoteText">
    <w:name w:val="footnote text"/>
    <w:basedOn w:val="Normal"/>
    <w:link w:val="FootnoteTextChar"/>
    <w:uiPriority w:val="99"/>
    <w:semiHidden/>
    <w:unhideWhenUsed/>
    <w:rsid w:val="00394C1F"/>
    <w:rPr>
      <w:sz w:val="20"/>
      <w:szCs w:val="20"/>
    </w:rPr>
  </w:style>
  <w:style w:type="character" w:customStyle="1" w:styleId="FootnoteTextChar">
    <w:name w:val="Footnote Text Char"/>
    <w:basedOn w:val="DefaultParagraphFont"/>
    <w:link w:val="FootnoteText"/>
    <w:uiPriority w:val="99"/>
    <w:semiHidden/>
    <w:rsid w:val="00394C1F"/>
    <w:rPr>
      <w:sz w:val="20"/>
      <w:szCs w:val="20"/>
    </w:rPr>
  </w:style>
  <w:style w:type="character" w:styleId="FootnoteReference">
    <w:name w:val="footnote reference"/>
    <w:basedOn w:val="DefaultParagraphFont"/>
    <w:uiPriority w:val="99"/>
    <w:semiHidden/>
    <w:unhideWhenUsed/>
    <w:rsid w:val="00394C1F"/>
    <w:rPr>
      <w:vertAlign w:val="superscript"/>
    </w:rPr>
  </w:style>
  <w:style w:type="character" w:styleId="CommentReference">
    <w:name w:val="annotation reference"/>
    <w:basedOn w:val="DefaultParagraphFont"/>
    <w:uiPriority w:val="99"/>
    <w:semiHidden/>
    <w:unhideWhenUsed/>
    <w:rsid w:val="007F4645"/>
    <w:rPr>
      <w:sz w:val="16"/>
      <w:szCs w:val="16"/>
    </w:rPr>
  </w:style>
  <w:style w:type="paragraph" w:styleId="CommentText">
    <w:name w:val="annotation text"/>
    <w:basedOn w:val="Normal"/>
    <w:link w:val="CommentTextChar"/>
    <w:uiPriority w:val="99"/>
    <w:semiHidden/>
    <w:unhideWhenUsed/>
    <w:rsid w:val="007F4645"/>
    <w:rPr>
      <w:sz w:val="20"/>
      <w:szCs w:val="20"/>
    </w:rPr>
  </w:style>
  <w:style w:type="character" w:customStyle="1" w:styleId="CommentTextChar">
    <w:name w:val="Comment Text Char"/>
    <w:basedOn w:val="DefaultParagraphFont"/>
    <w:link w:val="CommentText"/>
    <w:uiPriority w:val="99"/>
    <w:semiHidden/>
    <w:rsid w:val="007F4645"/>
    <w:rPr>
      <w:sz w:val="20"/>
      <w:szCs w:val="20"/>
    </w:rPr>
  </w:style>
  <w:style w:type="paragraph" w:styleId="CommentSubject">
    <w:name w:val="annotation subject"/>
    <w:basedOn w:val="CommentText"/>
    <w:next w:val="CommentText"/>
    <w:link w:val="CommentSubjectChar"/>
    <w:uiPriority w:val="99"/>
    <w:semiHidden/>
    <w:unhideWhenUsed/>
    <w:rsid w:val="007F4645"/>
    <w:rPr>
      <w:b/>
      <w:bCs/>
    </w:rPr>
  </w:style>
  <w:style w:type="character" w:customStyle="1" w:styleId="CommentSubjectChar">
    <w:name w:val="Comment Subject Char"/>
    <w:basedOn w:val="CommentTextChar"/>
    <w:link w:val="CommentSubject"/>
    <w:uiPriority w:val="99"/>
    <w:semiHidden/>
    <w:rsid w:val="007F46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0C5FCD69797B34196212A33158BC689" ma:contentTypeVersion="135" ma:contentTypeDescription="" ma:contentTypeScope="" ma:versionID="e42a1cce35431ebe4556cfcea8d03cd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2013-04-08T07:00:00+00:00</OpenedDate>
    <Date1 xmlns="dc463f71-b30c-4ab2-9473-d307f9d35888">2013-09-03T07:00:00+00:00</Date1>
    <IsDocumentOrder xmlns="dc463f71-b30c-4ab2-9473-d307f9d35888" xsi:nil="true"/>
    <IsHighlyConfidential xmlns="dc463f71-b30c-4ab2-9473-d307f9d35888">false</IsHighlyConfidential>
    <CaseCompanyNames xmlns="dc463f71-b30c-4ab2-9473-d307f9d35888">MURREY'S DISPOSAL COMPANY, INC.</CaseCompanyNames>
    <DocketNumber xmlns="dc463f71-b30c-4ab2-9473-d307f9d35888">130501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C708062-C157-48E4-A216-2B4270CC2036}"/>
</file>

<file path=customXml/itemProps2.xml><?xml version="1.0" encoding="utf-8"?>
<ds:datastoreItem xmlns:ds="http://schemas.openxmlformats.org/officeDocument/2006/customXml" ds:itemID="{7A0CB975-CB51-4D85-88AB-1A4CB6261C4F}"/>
</file>

<file path=customXml/itemProps3.xml><?xml version="1.0" encoding="utf-8"?>
<ds:datastoreItem xmlns:ds="http://schemas.openxmlformats.org/officeDocument/2006/customXml" ds:itemID="{71AB4290-B270-48BD-99AF-5B1BC418FEB5}"/>
</file>

<file path=customXml/itemProps4.xml><?xml version="1.0" encoding="utf-8"?>
<ds:datastoreItem xmlns:ds="http://schemas.openxmlformats.org/officeDocument/2006/customXml" ds:itemID="{9565957A-FB5C-4AFE-8637-3D0870E9D883}"/>
</file>

<file path=customXml/itemProps5.xml><?xml version="1.0" encoding="utf-8"?>
<ds:datastoreItem xmlns:ds="http://schemas.openxmlformats.org/officeDocument/2006/customXml" ds:itemID="{D0FC7B20-B78C-4FEA-B1DE-7A6CC61D5FAD}"/>
</file>

<file path=docProps/app.xml><?xml version="1.0" encoding="utf-8"?>
<Properties xmlns="http://schemas.openxmlformats.org/officeDocument/2006/extended-properties" xmlns:vt="http://schemas.openxmlformats.org/officeDocument/2006/docPropsVTypes">
  <Template>Normal</Template>
  <TotalTime>8</TotalTime>
  <Pages>12</Pages>
  <Words>1966</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Gross</dc:creator>
  <cp:lastModifiedBy>Krista Gross (UTC)</cp:lastModifiedBy>
  <cp:revision>6</cp:revision>
  <cp:lastPrinted>2013-09-03T22:13:00Z</cp:lastPrinted>
  <dcterms:created xsi:type="dcterms:W3CDTF">2013-09-03T22:06:00Z</dcterms:created>
  <dcterms:modified xsi:type="dcterms:W3CDTF">2013-09-03T22:13:00Z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0x0101006E56B4D1795A2E4DB2F0B01679ED314A0060C5FCD69797B34196212A33158BC689</vt:lpwstr>
  </property>
  <property fmtid="{D5CDD505-2E9C-101B-9397-08002B2CF9AE}" pid="3" name="_docset_NoMedatataSyncRequired">
    <vt:lpwstr>False</vt:lpwstr>
  </property>
</Properties>
</file>