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B2379">
      <w:pPr>
        <w:jc w:val="center"/>
        <w:rPr>
          <w:szCs w:val="22"/>
        </w:rPr>
      </w:pPr>
      <w:r>
        <w:rPr>
          <w:szCs w:val="22"/>
        </w:rPr>
        <w:t>Harold LeMay Enterprises, Inc.</w:t>
      </w:r>
    </w:p>
    <w:p w:rsidR="00000000" w:rsidRDefault="00CB2379">
      <w:pPr>
        <w:jc w:val="center"/>
        <w:rPr>
          <w:szCs w:val="22"/>
        </w:rPr>
      </w:pPr>
      <w:r>
        <w:rPr>
          <w:szCs w:val="22"/>
        </w:rPr>
        <w:t>d/b/a/ Rural Garbage Service</w:t>
      </w:r>
    </w:p>
    <w:p w:rsidR="00000000" w:rsidRDefault="00CB2379">
      <w:pPr>
        <w:jc w:val="center"/>
        <w:rPr>
          <w:szCs w:val="22"/>
        </w:rPr>
      </w:pPr>
      <w:r>
        <w:rPr>
          <w:szCs w:val="22"/>
        </w:rPr>
        <w:t>2910 Hogum Bay Road NE</w:t>
      </w:r>
    </w:p>
    <w:p w:rsidR="00000000" w:rsidRDefault="00CB2379">
      <w:pPr>
        <w:jc w:val="center"/>
        <w:rPr>
          <w:szCs w:val="22"/>
        </w:rPr>
      </w:pPr>
      <w:r>
        <w:rPr>
          <w:szCs w:val="22"/>
        </w:rPr>
        <w:t>Olympia, WA  98516</w:t>
      </w:r>
    </w:p>
    <w:p w:rsidR="00000000" w:rsidRDefault="00CB2379">
      <w:pPr>
        <w:jc w:val="center"/>
        <w:rPr>
          <w:szCs w:val="22"/>
        </w:rPr>
      </w:pPr>
    </w:p>
    <w:p w:rsidR="00000000" w:rsidRDefault="00CB2379">
      <w:pPr>
        <w:pStyle w:val="Date"/>
        <w:rPr>
          <w:szCs w:val="22"/>
        </w:rPr>
      </w:pPr>
      <w:r>
        <w:rPr>
          <w:szCs w:val="22"/>
        </w:rPr>
        <w:t>October 18, 2010</w:t>
      </w:r>
    </w:p>
    <w:p w:rsidR="00000000" w:rsidRDefault="00CB2379">
      <w:pPr>
        <w:rPr>
          <w:szCs w:val="22"/>
        </w:rPr>
      </w:pPr>
    </w:p>
    <w:p w:rsidR="00000000" w:rsidRDefault="00CB2379">
      <w:pPr>
        <w:tabs>
          <w:tab w:val="right" w:pos="9648"/>
        </w:tabs>
        <w:rPr>
          <w:szCs w:val="22"/>
        </w:rPr>
      </w:pPr>
    </w:p>
    <w:p w:rsidR="00000000" w:rsidRDefault="00CB2379">
      <w:pPr>
        <w:rPr>
          <w:szCs w:val="22"/>
          <w:u w:val="single"/>
        </w:rPr>
      </w:pPr>
      <w:r>
        <w:rPr>
          <w:szCs w:val="22"/>
          <w:u w:val="single"/>
        </w:rPr>
        <w:t>VIA EMAIL to WUTC RECORDS CENTER/</w:t>
      </w:r>
    </w:p>
    <w:p w:rsidR="00000000" w:rsidRDefault="00CB2379">
      <w:pPr>
        <w:rPr>
          <w:szCs w:val="22"/>
          <w:u w:val="single"/>
        </w:rPr>
      </w:pPr>
      <w:r>
        <w:rPr>
          <w:szCs w:val="22"/>
          <w:u w:val="single"/>
        </w:rPr>
        <w:t>ORIGINAL VIA FIRST CLASS MAIL</w:t>
      </w:r>
    </w:p>
    <w:p w:rsidR="00000000" w:rsidRDefault="00CB2379">
      <w:pPr>
        <w:rPr>
          <w:szCs w:val="22"/>
        </w:rPr>
      </w:pPr>
    </w:p>
    <w:p w:rsidR="00000000" w:rsidRDefault="00CB2379">
      <w:pPr>
        <w:rPr>
          <w:szCs w:val="22"/>
        </w:rPr>
      </w:pPr>
      <w:r>
        <w:rPr>
          <w:szCs w:val="22"/>
        </w:rPr>
        <w:t>David Danner, Executive Director and Secretary</w:t>
      </w:r>
    </w:p>
    <w:p w:rsidR="00000000" w:rsidRDefault="00CB2379">
      <w:pPr>
        <w:rPr>
          <w:szCs w:val="22"/>
        </w:rPr>
      </w:pPr>
      <w:r>
        <w:rPr>
          <w:szCs w:val="22"/>
        </w:rPr>
        <w:t>Washington Utilities a</w:t>
      </w:r>
      <w:r>
        <w:rPr>
          <w:szCs w:val="22"/>
        </w:rPr>
        <w:t>nd Transportation Commission</w:t>
      </w:r>
    </w:p>
    <w:p w:rsidR="00000000" w:rsidRDefault="00CB2379">
      <w:pPr>
        <w:rPr>
          <w:szCs w:val="22"/>
        </w:rPr>
      </w:pPr>
      <w:r>
        <w:rPr>
          <w:szCs w:val="22"/>
        </w:rPr>
        <w:t>Attention:  Records Center</w:t>
      </w:r>
    </w:p>
    <w:p w:rsidR="00000000" w:rsidRDefault="00CB2379">
      <w:pPr>
        <w:rPr>
          <w:szCs w:val="22"/>
        </w:rPr>
      </w:pPr>
      <w:r>
        <w:rPr>
          <w:szCs w:val="22"/>
        </w:rPr>
        <w:t>P.O. Box 47250</w:t>
      </w:r>
    </w:p>
    <w:p w:rsidR="00000000" w:rsidRDefault="00CB2379">
      <w:pPr>
        <w:rPr>
          <w:szCs w:val="22"/>
        </w:rPr>
      </w:pPr>
      <w:r>
        <w:rPr>
          <w:szCs w:val="22"/>
        </w:rPr>
        <w:t>1300 S. Evergreen Park Dr. SW</w:t>
      </w:r>
    </w:p>
    <w:p w:rsidR="00000000" w:rsidRDefault="00CB2379">
      <w:pPr>
        <w:rPr>
          <w:szCs w:val="22"/>
        </w:rPr>
      </w:pPr>
      <w:r>
        <w:rPr>
          <w:szCs w:val="22"/>
        </w:rPr>
        <w:t>Olympia, WA 98504-7250</w:t>
      </w:r>
    </w:p>
    <w:p w:rsidR="00000000" w:rsidRDefault="00CB2379">
      <w:pPr>
        <w:rPr>
          <w:szCs w:val="22"/>
        </w:rPr>
      </w:pPr>
    </w:p>
    <w:p w:rsidR="00000000" w:rsidRDefault="00CB2379">
      <w:pPr>
        <w:ind w:left="720" w:hanging="720"/>
        <w:rPr>
          <w:rStyle w:val="ReLine"/>
          <w:szCs w:val="22"/>
        </w:rPr>
      </w:pPr>
      <w:r>
        <w:rPr>
          <w:rStyle w:val="ReLine"/>
          <w:szCs w:val="22"/>
        </w:rPr>
        <w:t>Re:</w:t>
      </w:r>
      <w:r>
        <w:rPr>
          <w:rStyle w:val="ReLine"/>
          <w:szCs w:val="22"/>
        </w:rPr>
        <w:tab/>
        <w:t>Harold LeMay Enterprises, Inc. G-98 d/b/a Rural Garbage Service; Docket TG-091774 - Order No. 4 – Tariff Page Compliance Filing</w:t>
      </w:r>
    </w:p>
    <w:p w:rsidR="00000000" w:rsidRDefault="00CB2379">
      <w:pPr>
        <w:rPr>
          <w:szCs w:val="22"/>
        </w:rPr>
      </w:pPr>
    </w:p>
    <w:p w:rsidR="00000000" w:rsidRDefault="00CB2379">
      <w:pPr>
        <w:spacing w:after="240"/>
        <w:rPr>
          <w:szCs w:val="22"/>
        </w:rPr>
      </w:pPr>
      <w:r>
        <w:rPr>
          <w:szCs w:val="22"/>
        </w:rPr>
        <w:t>Dear Mr. Danner:</w:t>
      </w:r>
    </w:p>
    <w:p w:rsidR="00000000" w:rsidRDefault="00CB2379">
      <w:pPr>
        <w:pStyle w:val="BodyText"/>
        <w:rPr>
          <w:szCs w:val="22"/>
        </w:rPr>
      </w:pPr>
      <w:r>
        <w:rPr>
          <w:szCs w:val="22"/>
        </w:rPr>
        <w:t>Pursuant to Order No. 4 issued in the above docket, enclosed are the appropriate tariff pages required for the compliance filing pursuant to the above Order, which paragraph 31 of that Order authorizes.  Please also be reminded that on S</w:t>
      </w:r>
      <w:r>
        <w:rPr>
          <w:szCs w:val="22"/>
        </w:rPr>
        <w:t>eptember 3, 2010 all required customer notices were mailed and the enclosed tariff pages reflect an intended effective date of November 1, 2010 which is the date the Respondent now intends to implement the new approved rate levels.</w:t>
      </w:r>
    </w:p>
    <w:p w:rsidR="00000000" w:rsidRDefault="00CB2379">
      <w:pPr>
        <w:pStyle w:val="BodyText"/>
        <w:rPr>
          <w:szCs w:val="22"/>
        </w:rPr>
      </w:pPr>
      <w:r>
        <w:rPr>
          <w:szCs w:val="22"/>
        </w:rPr>
        <w:t>Finally, note we use Oct</w:t>
      </w:r>
      <w:r>
        <w:rPr>
          <w:szCs w:val="22"/>
        </w:rPr>
        <w:t>ober 18, 2010 as the “filed” date in projecting that as the date the original tariff pages will be received by the Records Center.</w:t>
      </w:r>
    </w:p>
    <w:p w:rsidR="00000000" w:rsidRDefault="00CB2379">
      <w:pPr>
        <w:pStyle w:val="BodyText"/>
        <w:rPr>
          <w:szCs w:val="22"/>
        </w:rPr>
      </w:pPr>
      <w:r>
        <w:rPr>
          <w:szCs w:val="22"/>
        </w:rPr>
        <w:t>Please contact the undersigned with any further questions on this matter.</w:t>
      </w:r>
    </w:p>
    <w:p w:rsidR="00000000" w:rsidRDefault="00CB2379">
      <w:pPr>
        <w:rPr>
          <w:szCs w:val="22"/>
        </w:rPr>
      </w:pPr>
      <w:r>
        <w:rPr>
          <w:szCs w:val="22"/>
        </w:rPr>
        <w:t>Yours truly,</w:t>
      </w:r>
    </w:p>
    <w:p w:rsidR="00000000" w:rsidRDefault="00CB2379">
      <w:pPr>
        <w:rPr>
          <w:szCs w:val="22"/>
        </w:rPr>
      </w:pPr>
    </w:p>
    <w:p w:rsidR="00000000" w:rsidRDefault="00CB2379">
      <w:pPr>
        <w:rPr>
          <w:szCs w:val="22"/>
        </w:rPr>
      </w:pPr>
    </w:p>
    <w:p w:rsidR="00000000" w:rsidRDefault="00CB2379">
      <w:pPr>
        <w:rPr>
          <w:sz w:val="21"/>
          <w:szCs w:val="21"/>
        </w:rPr>
      </w:pPr>
      <w:r>
        <w:rPr>
          <w:sz w:val="21"/>
          <w:szCs w:val="21"/>
        </w:rPr>
        <w:t>Irmgard R Wilcox</w:t>
      </w:r>
    </w:p>
    <w:p w:rsidR="00000000" w:rsidRDefault="00CB2379">
      <w:pPr>
        <w:rPr>
          <w:sz w:val="21"/>
          <w:szCs w:val="21"/>
        </w:rPr>
      </w:pPr>
      <w:r>
        <w:rPr>
          <w:sz w:val="21"/>
          <w:szCs w:val="21"/>
        </w:rPr>
        <w:t>Controller</w:t>
      </w:r>
    </w:p>
    <w:p w:rsidR="00000000" w:rsidRDefault="00CB2379">
      <w:pPr>
        <w:rPr>
          <w:sz w:val="21"/>
          <w:szCs w:val="21"/>
        </w:rPr>
      </w:pPr>
    </w:p>
    <w:p w:rsidR="00000000" w:rsidRDefault="00CB2379">
      <w:pPr>
        <w:rPr>
          <w:sz w:val="21"/>
          <w:szCs w:val="21"/>
        </w:rPr>
      </w:pPr>
      <w:r>
        <w:rPr>
          <w:sz w:val="21"/>
          <w:szCs w:val="21"/>
        </w:rPr>
        <w:t>Encl.</w:t>
      </w:r>
    </w:p>
    <w:p w:rsidR="00000000" w:rsidRDefault="00CB2379">
      <w:pPr>
        <w:rPr>
          <w:sz w:val="21"/>
          <w:szCs w:val="21"/>
        </w:rPr>
      </w:pPr>
    </w:p>
    <w:p w:rsidR="00000000" w:rsidRDefault="00CB2379">
      <w:pPr>
        <w:rPr>
          <w:sz w:val="21"/>
          <w:szCs w:val="21"/>
        </w:rPr>
      </w:pPr>
      <w:r>
        <w:rPr>
          <w:sz w:val="21"/>
          <w:szCs w:val="21"/>
        </w:rPr>
        <w:t>cc:</w:t>
      </w:r>
      <w:r>
        <w:rPr>
          <w:sz w:val="21"/>
          <w:szCs w:val="21"/>
        </w:rPr>
        <w:tab/>
        <w:t>Robert Cedarbaum (w/encl.)</w:t>
      </w:r>
    </w:p>
    <w:p w:rsidR="00000000" w:rsidRDefault="00CB2379">
      <w:pPr>
        <w:rPr>
          <w:sz w:val="21"/>
          <w:szCs w:val="21"/>
        </w:rPr>
      </w:pPr>
      <w:r>
        <w:rPr>
          <w:sz w:val="21"/>
          <w:szCs w:val="21"/>
        </w:rPr>
        <w:tab/>
        <w:t>James K. Sells (w/encl.)</w:t>
      </w:r>
    </w:p>
    <w:p w:rsidR="00000000" w:rsidRDefault="00CB2379">
      <w:pPr>
        <w:rPr>
          <w:sz w:val="21"/>
          <w:szCs w:val="21"/>
        </w:rPr>
      </w:pPr>
      <w:r>
        <w:rPr>
          <w:sz w:val="21"/>
          <w:szCs w:val="21"/>
        </w:rPr>
        <w:tab/>
        <w:t>David W. Wiley (w/o encl.)</w:t>
      </w:r>
    </w:p>
    <w:p w:rsidR="00000000" w:rsidRDefault="00CB2379">
      <w:pPr>
        <w:rPr>
          <w:sz w:val="21"/>
          <w:szCs w:val="21"/>
        </w:rPr>
      </w:pPr>
    </w:p>
    <w:p w:rsidR="00000000" w:rsidRDefault="00CB2379">
      <w:pPr>
        <w:rPr>
          <w:sz w:val="21"/>
          <w:szCs w:val="21"/>
        </w:rPr>
      </w:pPr>
    </w:p>
    <w:p w:rsidR="00CB2379" w:rsidRDefault="00CB2379">
      <w:pPr>
        <w:jc w:val="center"/>
        <w:rPr>
          <w:sz w:val="21"/>
          <w:szCs w:val="21"/>
        </w:rPr>
      </w:pPr>
      <w:r>
        <w:rPr>
          <w:sz w:val="21"/>
          <w:szCs w:val="21"/>
        </w:rPr>
        <w:t>Phone: (360) 832-8749, Cell: (253) 377-4208, Fax: (360) 486-8600</w:t>
      </w:r>
    </w:p>
    <w:sectPr w:rsidR="00CB2379">
      <w:headerReference w:type="default" r:id="rId7"/>
      <w:footerReference w:type="default" r:id="rId8"/>
      <w:footerReference w:type="first" r:id="rId9"/>
      <w:pgSz w:w="12240" w:h="15840" w:code="1"/>
      <w:pgMar w:top="720" w:right="1080" w:bottom="900" w:left="1080" w:header="720" w:footer="216" w:gutter="0"/>
      <w:paperSrc w:first="260" w:other="26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379" w:rsidRDefault="00CB2379">
      <w:r>
        <w:separator/>
      </w:r>
    </w:p>
  </w:endnote>
  <w:endnote w:type="continuationSeparator" w:id="0">
    <w:p w:rsidR="00CB2379" w:rsidRDefault="00CB23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B2379">
    <w:pPr>
      <w:pStyle w:val="Footer"/>
      <w:spacing w:line="160" w:lineRule="exact"/>
      <w:rPr>
        <w:szCs w:val="18"/>
      </w:rPr>
    </w:pPr>
  </w:p>
  <w:p w:rsidR="00000000" w:rsidRDefault="00CB2379">
    <w:pPr>
      <w:pStyle w:val="Footer"/>
      <w:spacing w:line="160" w:lineRule="exact"/>
      <w:rPr>
        <w:szCs w:val="18"/>
      </w:rPr>
    </w:pPr>
    <w:fldSimple w:instr=" DOCPROPERTY &quot;SWDocID&quot;  \* MERGEFORMAT ">
      <w:r w:rsidR="0039390E" w:rsidRPr="0039390E">
        <w:rPr>
          <w:sz w:val="16"/>
          <w:szCs w:val="18"/>
        </w:rPr>
        <w:t xml:space="preserve"> 2953771.1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B2379">
    <w:pPr>
      <w:pStyle w:val="Footer"/>
      <w:spacing w:line="16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379" w:rsidRDefault="00CB2379">
      <w:r>
        <w:separator/>
      </w:r>
    </w:p>
  </w:footnote>
  <w:footnote w:type="continuationSeparator" w:id="0">
    <w:p w:rsidR="00CB2379" w:rsidRDefault="00CB2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B2379"/>
  <w:p w:rsidR="00000000" w:rsidRDefault="00CB2379">
    <w:r>
      <w:t>David Danner, Executive Secretary</w:t>
    </w:r>
  </w:p>
  <w:p w:rsidR="00000000" w:rsidRDefault="00CB2379">
    <w:r>
      <w:t>Washington Utilities and Transportation Commission</w:t>
    </w:r>
  </w:p>
  <w:p w:rsidR="00000000" w:rsidRDefault="00CB2379">
    <w:r>
      <w:t>Attn.:</w:t>
    </w:r>
    <w:r>
      <w:t xml:space="preserve">  </w:t>
    </w:r>
    <w:r>
      <w:rPr>
        <w:szCs w:val="22"/>
      </w:rPr>
      <w:t>Tina Leipski, Permit Section</w:t>
    </w:r>
  </w:p>
  <w:p w:rsidR="00000000" w:rsidRDefault="00CB2379">
    <w:pPr>
      <w:pStyle w:val="Header"/>
      <w:tabs>
        <w:tab w:val="clear" w:pos="4320"/>
        <w:tab w:val="clear" w:pos="8640"/>
      </w:tabs>
    </w:pPr>
    <w:fldSimple w:instr=" STYLEREF  Date  \* MERGEFORMAT ">
      <w:r w:rsidR="0039390E">
        <w:rPr>
          <w:noProof/>
        </w:rPr>
        <w:t>October 18, 2010</w:t>
      </w:r>
    </w:fldSimple>
  </w:p>
  <w:p w:rsidR="00000000" w:rsidRDefault="00CB2379">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000000" w:rsidRDefault="00CB2379">
    <w:pPr>
      <w:pStyle w:val="Header"/>
    </w:pPr>
  </w:p>
  <w:p w:rsidR="00000000" w:rsidRDefault="00CB2379">
    <w:pPr>
      <w:pStyle w:val="Header"/>
    </w:pPr>
  </w:p>
  <w:p w:rsidR="00000000" w:rsidRDefault="00CB23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6B55CC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4C125B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Heading2"/>
      <w:lvlText w:val="%2."/>
      <w:lvlJc w:val="left"/>
      <w:pPr>
        <w:ind w:left="1440" w:hanging="720"/>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7">
      <w:start w:val="1"/>
      <w:numFmt w:val="none"/>
      <w:pStyle w:val="Heading8"/>
      <w:suff w:val="nothing"/>
      <w:lvlText w:val="  "/>
      <w:lvlJc w:val="left"/>
      <w:pPr>
        <w:ind w:left="0" w:firstLine="0"/>
      </w:pPr>
      <w:rPr>
        <w:rFonts w:ascii="Palatino Linotype" w:hAnsi="Palatino Linotype"/>
        <w:b w:val="0"/>
        <w:i/>
        <w:caps w:val="0"/>
        <w:strike w:val="0"/>
        <w:dstrike w:val="0"/>
        <w:outline w:val="0"/>
        <w:shadow w:val="0"/>
        <w:emboss w:val="0"/>
        <w:imprint w:val="0"/>
        <w:vanish w:val="0"/>
        <w:color w:val="auto"/>
        <w:sz w:val="22"/>
        <w:u w:val="none"/>
        <w:effect w:val="none"/>
        <w:vertAlign w:val="baseline"/>
      </w:rPr>
    </w:lvl>
    <w:lvl w:ilvl="8">
      <w:start w:val="1"/>
      <w:numFmt w:val="none"/>
      <w:pStyle w:val="Heading9"/>
      <w:suff w:val="nothing"/>
      <w:lvlText w:val="  "/>
      <w:lvlJc w:val="left"/>
      <w:pPr>
        <w:ind w:left="0" w:firstLine="0"/>
      </w:pPr>
      <w:rPr>
        <w:rFonts w:ascii="Palatino Linotype" w:hAnsi="Palatino Linotype"/>
        <w:b/>
        <w:i/>
        <w:caps w:val="0"/>
        <w:strike w:val="0"/>
        <w:dstrike w:val="0"/>
        <w:outline w:val="0"/>
        <w:shadow w:val="0"/>
        <w:emboss w:val="0"/>
        <w:imprint w:val="0"/>
        <w:vanish w:val="0"/>
        <w:color w:val="auto"/>
        <w:sz w:val="22"/>
        <w:u w:val="none"/>
        <w:effect w:val="none"/>
        <w:vertAlign w:val="baseline"/>
      </w:rPr>
    </w:lvl>
  </w:abstractNum>
  <w:abstractNum w:abstractNumId="14">
    <w:nsid w:val="787E450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cVars>
    <w:docVar w:name="SWActiveDesign" w:val="Heading"/>
    <w:docVar w:name="SWAllDesigns" w:val="Heading|"/>
    <w:docVar w:name="SWAllLineBreaks" w:val="Heading~~0|0|0|0|0|0|0|0|0|@@"/>
    <w:docVar w:name="SWDocIDLayout" w:val="10000"/>
    <w:docVar w:name="SWDocIDLocation" w:val="1"/>
  </w:docVars>
  <w:rsids>
    <w:rsidRoot w:val="0039390E"/>
    <w:rsid w:val="0039390E"/>
    <w:rsid w:val="00CB23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qFormat/>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qFormat/>
    <w:pPr>
      <w:widowControl w:val="0"/>
      <w:numPr>
        <w:ilvl w:val="4"/>
        <w:numId w:val="45"/>
      </w:numPr>
      <w:tabs>
        <w:tab w:val="num" w:pos="1000"/>
      </w:tabs>
      <w:spacing w:after="240"/>
      <w:outlineLvl w:val="4"/>
    </w:pPr>
    <w:rPr>
      <w:bCs/>
      <w:iCs/>
      <w:szCs w:val="26"/>
    </w:rPr>
  </w:style>
  <w:style w:type="paragraph" w:styleId="Heading6">
    <w:name w:val="heading 6"/>
    <w:basedOn w:val="Normal"/>
    <w:next w:val="Normal"/>
    <w:qFormat/>
    <w:pPr>
      <w:widowControl w:val="0"/>
      <w:numPr>
        <w:ilvl w:val="5"/>
        <w:numId w:val="45"/>
      </w:numPr>
      <w:tabs>
        <w:tab w:val="num" w:pos="1160"/>
      </w:tabs>
      <w:spacing w:after="240"/>
      <w:outlineLvl w:val="5"/>
    </w:pPr>
    <w:rPr>
      <w:bCs/>
      <w:szCs w:val="22"/>
    </w:rPr>
  </w:style>
  <w:style w:type="paragraph" w:styleId="Heading7">
    <w:name w:val="heading 7"/>
    <w:basedOn w:val="Normal"/>
    <w:next w:val="Normal"/>
    <w:qFormat/>
    <w:pPr>
      <w:numPr>
        <w:ilvl w:val="6"/>
        <w:numId w:val="45"/>
      </w:numPr>
      <w:spacing w:before="240" w:after="60"/>
      <w:outlineLvl w:val="6"/>
    </w:pPr>
    <w:rPr>
      <w:rFonts w:cs="Arial"/>
      <w:szCs w:val="24"/>
    </w:rPr>
  </w:style>
  <w:style w:type="paragraph" w:styleId="Heading8">
    <w:name w:val="heading 8"/>
    <w:basedOn w:val="Normal"/>
    <w:next w:val="Normal"/>
    <w:qFormat/>
    <w:pPr>
      <w:numPr>
        <w:ilvl w:val="7"/>
        <w:numId w:val="45"/>
      </w:numPr>
      <w:spacing w:before="240" w:after="60"/>
      <w:outlineLvl w:val="7"/>
    </w:pPr>
    <w:rPr>
      <w:rFonts w:cs="Arial"/>
      <w:i/>
      <w:iCs/>
      <w:szCs w:val="24"/>
    </w:rPr>
  </w:style>
  <w:style w:type="paragraph" w:styleId="Heading9">
    <w:name w:val="heading 9"/>
    <w:basedOn w:val="Normal"/>
    <w:next w:val="Normal"/>
    <w:qFormat/>
    <w:pPr>
      <w:numPr>
        <w:ilvl w:val="8"/>
        <w:numId w:val="45"/>
      </w:numPr>
      <w:spacing w:before="240" w:after="60"/>
      <w:outlineLvl w:val="8"/>
    </w:pPr>
    <w:rPr>
      <w:rFonts w:cs="Arial"/>
      <w:b/>
      <w:i/>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pPr>
    <w:rPr>
      <w:szCs w:val="24"/>
    </w:rPr>
  </w:style>
  <w:style w:type="paragraph" w:styleId="Title">
    <w:name w:val="Title"/>
    <w:basedOn w:val="Normal"/>
    <w:next w:val="Normal"/>
    <w:qFormat/>
    <w:pPr>
      <w:keepNext/>
      <w:keepLines/>
      <w:widowControl w:val="0"/>
      <w:jc w:val="center"/>
      <w:outlineLvl w:val="0"/>
    </w:pPr>
    <w:rPr>
      <w:b/>
      <w:kern w:val="28"/>
    </w:rPr>
  </w:style>
  <w:style w:type="paragraph" w:styleId="BodyText2">
    <w:name w:val="Body Text 2"/>
    <w:basedOn w:val="Normal"/>
    <w:semiHidden/>
    <w:pPr>
      <w:spacing w:line="480" w:lineRule="auto"/>
      <w:ind w:firstLine="720"/>
    </w:pPr>
    <w:rPr>
      <w:szCs w:val="24"/>
    </w:rPr>
  </w:style>
  <w:style w:type="paragraph" w:styleId="BodyText3">
    <w:name w:val="Body Text 3"/>
    <w:basedOn w:val="BlockText"/>
    <w:semiHidden/>
    <w:pPr>
      <w:spacing w:after="0" w:line="360" w:lineRule="auto"/>
    </w:pPr>
  </w:style>
  <w:style w:type="paragraph" w:styleId="BlockText">
    <w:name w:val="Block Text"/>
    <w:basedOn w:val="Normal"/>
    <w:semiHidden/>
    <w:pPr>
      <w:spacing w:after="120"/>
      <w:ind w:left="1440" w:right="1440"/>
    </w:pPr>
  </w:style>
  <w:style w:type="paragraph" w:styleId="FootnoteText">
    <w:name w:val="footnote text"/>
    <w:basedOn w:val="BodyText"/>
    <w:semiHidden/>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customStyle="1" w:styleId="TextAfterQuote">
    <w:name w:val="TextAfterQuote"/>
    <w:basedOn w:val="Normal"/>
    <w:next w:val="BodyText"/>
    <w:pPr>
      <w:spacing w:after="240"/>
    </w:pPr>
    <w:rPr>
      <w:szCs w:val="24"/>
    </w:rPr>
  </w:style>
  <w:style w:type="paragraph" w:styleId="EnvelopeAddress">
    <w:name w:val="envelope address"/>
    <w:basedOn w:val="Normal"/>
    <w:semiHidden/>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ld">
    <w:name w:val="Bold"/>
    <w:basedOn w:val="DefaultParagraphFont"/>
    <w:semiHidden/>
    <w:rPr>
      <w:b/>
    </w:rPr>
  </w:style>
  <w:style w:type="character" w:customStyle="1" w:styleId="BoldandUnderline">
    <w:name w:val="Bold and Underline"/>
    <w:basedOn w:val="DefaultParagraphFont"/>
    <w:semiHidden/>
    <w:rPr>
      <w:b/>
      <w:u w:val="single"/>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semiHidden/>
    <w:pPr>
      <w:numPr>
        <w:numId w:val="32"/>
      </w:numPr>
    </w:p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qFormat/>
    <w:rPr>
      <w:i/>
      <w:iCs/>
    </w:rPr>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rFonts w:ascii="Arial" w:hAnsi="Arial" w:cs="Arial"/>
      <w:szCs w:val="24"/>
    </w:rPr>
  </w:style>
  <w:style w:type="paragraph" w:customStyle="1" w:styleId="QuoteDbl">
    <w:name w:val="QuoteDbl"/>
    <w:basedOn w:val="Normal"/>
    <w:next w:val="TextAfterQuote"/>
    <w:pPr>
      <w:spacing w:after="240"/>
      <w:ind w:left="1440" w:right="1440"/>
    </w:pPr>
    <w:rPr>
      <w:szCs w:val="24"/>
    </w:rPr>
  </w:style>
  <w:style w:type="paragraph" w:styleId="Date">
    <w:name w:val="Date"/>
    <w:basedOn w:val="Normal"/>
    <w:next w:val="Normal"/>
    <w:semiHidden/>
  </w:style>
  <w:style w:type="paragraph" w:customStyle="1" w:styleId="BCC">
    <w:name w:val="BCC"/>
    <w:basedOn w:val="Normal"/>
    <w:next w:val="Normal"/>
    <w:semiHidden/>
    <w:pPr>
      <w:pageBreakBefore/>
      <w:ind w:left="720" w:hanging="720"/>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nova\Templates\wkg-r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2010-10-18T07:00:00+00:00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091774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B97343971775488E4B9D0C005F1918" ma:contentTypeVersion="131" ma:contentTypeDescription="" ma:contentTypeScope="" ma:versionID="4dc325bc7efe266e2fc9ac2ecf0934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D42B5-F971-4644-B6CF-3A9E393A98E3}"/>
</file>

<file path=customXml/itemProps2.xml><?xml version="1.0" encoding="utf-8"?>
<ds:datastoreItem xmlns:ds="http://schemas.openxmlformats.org/officeDocument/2006/customXml" ds:itemID="{B3012D71-C548-4301-AD98-C7A2CB3EC27D}"/>
</file>

<file path=customXml/itemProps3.xml><?xml version="1.0" encoding="utf-8"?>
<ds:datastoreItem xmlns:ds="http://schemas.openxmlformats.org/officeDocument/2006/customXml" ds:itemID="{94CECB1C-7D7F-4A99-93D6-0F3FBCD15DBE}"/>
</file>

<file path=customXml/itemProps4.xml><?xml version="1.0" encoding="utf-8"?>
<ds:datastoreItem xmlns:ds="http://schemas.openxmlformats.org/officeDocument/2006/customXml" ds:itemID="{6916C851-49FE-4E28-82A9-41FFCC38C4D1}"/>
</file>

<file path=docProps/app.xml><?xml version="1.0" encoding="utf-8"?>
<Properties xmlns="http://schemas.openxmlformats.org/officeDocument/2006/extended-properties" xmlns:vt="http://schemas.openxmlformats.org/officeDocument/2006/docPropsVTypes">
  <Template>wkg-rltr.dot</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vt:lpstr>
    </vt:vector>
  </TitlesOfParts>
  <Company>Williams, Kastner &amp; Gibbs LLP</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subject/>
  <dc:creator>DWiley</dc:creator>
  <cp:keywords/>
  <dc:description/>
  <cp:lastModifiedBy> Joni Higgins, Customer Service Specialist 2</cp:lastModifiedBy>
  <cp:revision>2</cp:revision>
  <cp:lastPrinted>2010-10-18T21:02:00Z</cp:lastPrinted>
  <dcterms:created xsi:type="dcterms:W3CDTF">2010-10-18T21:02:00Z</dcterms:created>
  <dcterms:modified xsi:type="dcterms:W3CDTF">2010-10-18T21:02:00Z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2953771.1</vt:lpwstr>
  </property>
  <property fmtid="{D5CDD505-2E9C-101B-9397-08002B2CF9AE}" pid="3" name="ContentTypeId">
    <vt:lpwstr>0x0101006E56B4D1795A2E4DB2F0B01679ED314A0059B97343971775488E4B9D0C005F1918</vt:lpwstr>
  </property>
  <property fmtid="{D5CDD505-2E9C-101B-9397-08002B2CF9AE}" pid="4" name="_docset_NoMedatataSyncRequired">
    <vt:lpwstr>False</vt:lpwstr>
  </property>
</Properties>
</file>