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E1E9" w14:textId="77777777" w:rsidR="00245AF9" w:rsidRPr="00E65580" w:rsidRDefault="00245AF9" w:rsidP="00BD1AD3"/>
    <w:p w14:paraId="60D26B65" w14:textId="6E259634" w:rsidR="000B50AF" w:rsidRPr="00E65580" w:rsidRDefault="003C1164" w:rsidP="00BD1AD3">
      <w:r>
        <w:t>March 31</w:t>
      </w:r>
      <w:r w:rsidR="00311A32">
        <w:t>, 2017</w:t>
      </w:r>
    </w:p>
    <w:p w14:paraId="036EFADB" w14:textId="77777777" w:rsidR="000B50AF" w:rsidRPr="00E65580" w:rsidRDefault="000B50AF" w:rsidP="00BD1AD3"/>
    <w:p w14:paraId="539A4C05" w14:textId="77777777" w:rsidR="000B50AF" w:rsidRPr="00E65580" w:rsidRDefault="000B50AF" w:rsidP="00BD1AD3"/>
    <w:p w14:paraId="616338F3" w14:textId="77777777" w:rsidR="000B50AF" w:rsidRPr="00E65580" w:rsidRDefault="000B50AF" w:rsidP="00BD1AD3">
      <w:r w:rsidRPr="00E65580">
        <w:t>Steven V. King, Executive Director and Secretary</w:t>
      </w:r>
    </w:p>
    <w:p w14:paraId="368CBA03" w14:textId="77777777" w:rsidR="000B50AF" w:rsidRPr="00E65580" w:rsidRDefault="000B50AF" w:rsidP="00BD1AD3">
      <w:r w:rsidRPr="00E65580">
        <w:t>Washington Utilities and Transportation Commission</w:t>
      </w:r>
    </w:p>
    <w:p w14:paraId="4FC8E8F8" w14:textId="77777777" w:rsidR="000B50AF" w:rsidRPr="00E65580" w:rsidRDefault="000B50AF" w:rsidP="00BD1AD3">
      <w:r w:rsidRPr="00E65580">
        <w:t>1300 S. Evergreen Park Dr. SW</w:t>
      </w:r>
    </w:p>
    <w:p w14:paraId="699E50CD" w14:textId="374C5A21" w:rsidR="000B50AF" w:rsidRPr="00E65580" w:rsidRDefault="009A40FD" w:rsidP="00BD1AD3">
      <w:r>
        <w:t>P.</w:t>
      </w:r>
      <w:r w:rsidR="000B50AF" w:rsidRPr="00E65580">
        <w:t xml:space="preserve">O. Box 47250 </w:t>
      </w:r>
    </w:p>
    <w:p w14:paraId="735F816B" w14:textId="4C05A009" w:rsidR="000B50AF" w:rsidRPr="00E65580" w:rsidRDefault="000B50AF" w:rsidP="00246BA8">
      <w:pPr>
        <w:spacing w:after="240"/>
      </w:pPr>
      <w:r w:rsidRPr="00E65580">
        <w:t>Olympia, Washington  98504-7250</w:t>
      </w:r>
    </w:p>
    <w:p w14:paraId="31F4CC99" w14:textId="6A68705C" w:rsidR="000B50AF" w:rsidRPr="00E65580" w:rsidRDefault="000B50AF" w:rsidP="00BD1AD3">
      <w:pPr>
        <w:ind w:left="720" w:hanging="720"/>
      </w:pPr>
      <w:r w:rsidRPr="00E65580">
        <w:t xml:space="preserve">RE: </w:t>
      </w:r>
      <w:r w:rsidRPr="00E65580">
        <w:tab/>
      </w:r>
      <w:r w:rsidRPr="00E65580">
        <w:rPr>
          <w:i/>
        </w:rPr>
        <w:t xml:space="preserve">Washington Utilities and Transportation Commission v. </w:t>
      </w:r>
      <w:r w:rsidR="003C1164">
        <w:rPr>
          <w:i/>
        </w:rPr>
        <w:t>Gigantic Moving &amp; Storage LLC d/b/a Gigantic Moving &amp; Storage</w:t>
      </w:r>
    </w:p>
    <w:p w14:paraId="1759E49F" w14:textId="2623014C" w:rsidR="000B50AF" w:rsidRPr="00E65580" w:rsidRDefault="002721D3" w:rsidP="00BD1AD3">
      <w:pPr>
        <w:ind w:left="720"/>
      </w:pPr>
      <w:r w:rsidRPr="00E65580">
        <w:t>Commission Staff’s Response to Application for Mitigation of Penalties</w:t>
      </w:r>
    </w:p>
    <w:p w14:paraId="364976EC" w14:textId="5EC20D0D" w:rsidR="000B50AF" w:rsidRPr="00E65580" w:rsidRDefault="000B50AF" w:rsidP="00246BA8">
      <w:pPr>
        <w:spacing w:after="240"/>
        <w:ind w:left="720"/>
      </w:pPr>
      <w:r w:rsidRPr="00E65580">
        <w:t>Docket T</w:t>
      </w:r>
      <w:r w:rsidR="003C1164">
        <w:t>V-170124</w:t>
      </w:r>
    </w:p>
    <w:p w14:paraId="08C7C3A6" w14:textId="2A3E4447" w:rsidR="000B50AF" w:rsidRPr="00E65580" w:rsidRDefault="000B50AF" w:rsidP="00246BA8">
      <w:pPr>
        <w:spacing w:after="240"/>
      </w:pPr>
      <w:r w:rsidRPr="00E65580">
        <w:t>Dear Mr. King:</w:t>
      </w:r>
    </w:p>
    <w:p w14:paraId="0D6650B6" w14:textId="3EA77F90" w:rsidR="00966182" w:rsidRPr="00E65580" w:rsidRDefault="000B50AF" w:rsidP="00246BA8">
      <w:pPr>
        <w:spacing w:after="240"/>
      </w:pPr>
      <w:r w:rsidRPr="00246BA8">
        <w:t xml:space="preserve">On </w:t>
      </w:r>
      <w:r w:rsidR="003C1164">
        <w:t>March</w:t>
      </w:r>
      <w:r w:rsidR="00EB0DD5" w:rsidRPr="00246BA8">
        <w:t xml:space="preserve"> 8</w:t>
      </w:r>
      <w:r w:rsidR="00311A32" w:rsidRPr="00246BA8">
        <w:t>, 2017</w:t>
      </w:r>
      <w:r w:rsidR="0035014E" w:rsidRPr="00246BA8">
        <w:t>, the</w:t>
      </w:r>
      <w:r w:rsidRPr="00246BA8">
        <w:t xml:space="preserve"> Washington Utilities </w:t>
      </w:r>
      <w:r w:rsidR="00AB7979" w:rsidRPr="00246BA8">
        <w:t>and Transportation Commission (C</w:t>
      </w:r>
      <w:r w:rsidRPr="00246BA8">
        <w:t>ommission) issued Penalty Assessment T</w:t>
      </w:r>
      <w:r w:rsidR="003C1164">
        <w:t>V</w:t>
      </w:r>
      <w:r w:rsidRPr="00E65580">
        <w:t>-</w:t>
      </w:r>
      <w:r w:rsidR="003C1164">
        <w:t>170124</w:t>
      </w:r>
      <w:r w:rsidRPr="00E65580">
        <w:t xml:space="preserve"> against </w:t>
      </w:r>
      <w:r w:rsidR="003C1164">
        <w:t>Gigantic Moving &amp; Storage LLC d/b/a Gigantic Moving &amp; Storage</w:t>
      </w:r>
      <w:r w:rsidR="00674499" w:rsidRPr="00E65580">
        <w:t xml:space="preserve"> </w:t>
      </w:r>
      <w:r w:rsidR="006C0239" w:rsidRPr="00E65580">
        <w:t>(</w:t>
      </w:r>
      <w:r w:rsidR="00126F07">
        <w:t>Gigantic Moving or C</w:t>
      </w:r>
      <w:r w:rsidR="007C6395">
        <w:t>ompany</w:t>
      </w:r>
      <w:r w:rsidR="006C0239" w:rsidRPr="00E65580">
        <w:t xml:space="preserve">) in the amount of </w:t>
      </w:r>
      <w:r w:rsidR="003C1164">
        <w:t>$8,3</w:t>
      </w:r>
      <w:r w:rsidR="00674499" w:rsidRPr="00E65580">
        <w:t>00</w:t>
      </w:r>
      <w:r w:rsidR="0035187E" w:rsidRPr="00E65580">
        <w:t xml:space="preserve"> </w:t>
      </w:r>
      <w:r w:rsidR="00EB0DD5">
        <w:t xml:space="preserve">for </w:t>
      </w:r>
      <w:r w:rsidR="003C1164">
        <w:t>ninety-six</w:t>
      </w:r>
      <w:r w:rsidR="00DA21B3" w:rsidRPr="00E65580">
        <w:t xml:space="preserve"> </w:t>
      </w:r>
      <w:r w:rsidR="00555804" w:rsidRPr="00E65580">
        <w:t xml:space="preserve">critical </w:t>
      </w:r>
      <w:r w:rsidR="002B6420" w:rsidRPr="00E65580">
        <w:t>v</w:t>
      </w:r>
      <w:r w:rsidR="00245AF9" w:rsidRPr="00E65580">
        <w:t>iolation</w:t>
      </w:r>
      <w:r w:rsidR="00EC14C3" w:rsidRPr="00E65580">
        <w:t>s of</w:t>
      </w:r>
      <w:r w:rsidR="00EB0DD5">
        <w:t xml:space="preserve"> Washington Administrative Code (</w:t>
      </w:r>
      <w:r w:rsidR="00EC14C3" w:rsidRPr="00E65580">
        <w:t>WAC</w:t>
      </w:r>
      <w:r w:rsidR="00EB0DD5">
        <w:t>)</w:t>
      </w:r>
      <w:r w:rsidR="00EC14C3" w:rsidRPr="00E65580">
        <w:t xml:space="preserve"> </w:t>
      </w:r>
      <w:r w:rsidR="003C1164">
        <w:t xml:space="preserve">480-15-555 Criminal Background Checks for Prospective Employees, and WAC </w:t>
      </w:r>
      <w:r w:rsidR="003C1164" w:rsidRPr="00E74D29">
        <w:t>480-</w:t>
      </w:r>
      <w:r w:rsidR="003C1164">
        <w:t>15</w:t>
      </w:r>
      <w:r w:rsidR="003C1164" w:rsidRPr="00E74D29">
        <w:t>-</w:t>
      </w:r>
      <w:r w:rsidR="003C1164">
        <w:t xml:space="preserve">570 Driver Safety Requirements, which requires household goods carriers to comply with </w:t>
      </w:r>
      <w:bookmarkStart w:id="0" w:name="_Hlk473274178"/>
      <w:r w:rsidR="003C1164">
        <w:t>Title 49 Code of Federal Regulations (CFR) Part 391 – Qualifications of Drivers, and CFR Part 395 – Hours of Service of Drivers</w:t>
      </w:r>
      <w:bookmarkEnd w:id="0"/>
      <w:r w:rsidR="0035187E" w:rsidRPr="00E65580">
        <w:rPr>
          <w:bCs/>
        </w:rPr>
        <w:t>, as follows:</w:t>
      </w:r>
    </w:p>
    <w:p w14:paraId="4A9888F8" w14:textId="77777777" w:rsidR="007D1C53" w:rsidRPr="00EF4C8D" w:rsidRDefault="007D1C53" w:rsidP="007D1C5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bookmarkStart w:id="1" w:name="_Hlk472514048"/>
      <w:bookmarkStart w:id="2" w:name="_Hlk472512478"/>
      <w:r>
        <w:rPr>
          <w:b/>
        </w:rPr>
        <w:t>Seventy-eight</w:t>
      </w:r>
      <w:r w:rsidRPr="00963B84">
        <w:rPr>
          <w:b/>
        </w:rPr>
        <w:t xml:space="preserve"> violations</w:t>
      </w:r>
      <w:r>
        <w:rPr>
          <w:b/>
        </w:rPr>
        <w:t xml:space="preserve"> of CFR</w:t>
      </w:r>
      <w:r w:rsidRPr="00963B84">
        <w:rPr>
          <w:b/>
        </w:rPr>
        <w:t xml:space="preserve"> 391.45(a) – Using a driver not medically examined and</w:t>
      </w:r>
      <w:r w:rsidRPr="00EF4C8D">
        <w:rPr>
          <w:b/>
        </w:rPr>
        <w:t xml:space="preserve"> certified. </w:t>
      </w:r>
      <w:r w:rsidRPr="00EF4C8D">
        <w:t>Gigantic Moving allowed employees Johnson Rilometo, Juan Rocha, Jose Bahena, Scott Gockerell, an</w:t>
      </w:r>
      <w:r>
        <w:t>d Matthew Zuraff to drive on 78</w:t>
      </w:r>
      <w:r w:rsidRPr="00EF4C8D">
        <w:t xml:space="preserve"> occasions </w:t>
      </w:r>
      <w:r>
        <w:t>during the month of</w:t>
      </w:r>
      <w:r w:rsidRPr="00EF4C8D">
        <w:t xml:space="preserve"> August 2016 without having been medically examined and certified.</w:t>
      </w:r>
    </w:p>
    <w:p w14:paraId="58CB70CD" w14:textId="77777777" w:rsidR="007D1C53" w:rsidRPr="00EF4C8D" w:rsidRDefault="007D1C53" w:rsidP="007D1C5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 w:rsidRPr="00EF4C8D">
        <w:rPr>
          <w:b/>
        </w:rPr>
        <w:t>One violation of CFR 391.51(a) – Failing to maintain a driver qualification file for each driver it employs.</w:t>
      </w:r>
      <w:r w:rsidRPr="00EF4C8D">
        <w:t xml:space="preserve"> Gigantic Moving failed to maintain a driver qualification file for its driver Jose Bahena.</w:t>
      </w:r>
    </w:p>
    <w:p w14:paraId="0FB35918" w14:textId="77777777" w:rsidR="007D1C53" w:rsidRPr="00EF4C8D" w:rsidRDefault="007D1C53" w:rsidP="007D1C5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 w:rsidRPr="00EF4C8D">
        <w:rPr>
          <w:b/>
        </w:rPr>
        <w:t>One violation of CFR 395.3(b)(2) – Requiring or permitting</w:t>
      </w:r>
      <w:r>
        <w:rPr>
          <w:b/>
        </w:rPr>
        <w:t xml:space="preserve"> a</w:t>
      </w:r>
      <w:r w:rsidRPr="00EF4C8D">
        <w:rPr>
          <w:b/>
        </w:rPr>
        <w:t xml:space="preserve"> driver to drive after having been on duty more than 70 hours in 8 consecutive days.</w:t>
      </w:r>
      <w:r w:rsidRPr="00EF4C8D">
        <w:t xml:space="preserve"> Gigantic Moving allowed Juan Rocha to operate a commercial motor vehicle after being on duty for more than 70 hours.</w:t>
      </w:r>
      <w:r>
        <w:t xml:space="preserve"> Mr. Rocha</w:t>
      </w:r>
      <w:r w:rsidRPr="00EF4C8D">
        <w:t xml:space="preserve"> exceeded the 70 hour limit on August 15, 2016</w:t>
      </w:r>
      <w:r>
        <w:t xml:space="preserve"> at 1:30pm</w:t>
      </w:r>
      <w:r w:rsidRPr="00EF4C8D">
        <w:t>.</w:t>
      </w:r>
    </w:p>
    <w:bookmarkEnd w:id="1"/>
    <w:p w14:paraId="6E6DA16B" w14:textId="77777777" w:rsidR="007D1C53" w:rsidRPr="00B922B6" w:rsidRDefault="007D1C53" w:rsidP="007D1C5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 w:rsidRPr="00B922B6">
        <w:rPr>
          <w:b/>
        </w:rPr>
        <w:lastRenderedPageBreak/>
        <w:t xml:space="preserve">Ten violations of CFR 395.8(a) – Failing to require driver to make a record of duty status. </w:t>
      </w:r>
      <w:r w:rsidRPr="00B922B6">
        <w:t>Gigantic Moving allowed employees Jo</w:t>
      </w:r>
      <w:r>
        <w:t>hnson Rilometo, Juan Rocha, Scott Gockerell, and Matthew Zuraff to drive without making a record of duty status while not under short haul exemption on 10 separate occasions during the six months prior to the compliance review.</w:t>
      </w:r>
    </w:p>
    <w:p w14:paraId="7ED66C72" w14:textId="77777777" w:rsidR="007D1C53" w:rsidRPr="00AB6B86" w:rsidRDefault="007D1C53" w:rsidP="007D1C5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 w:rsidRPr="00EF4C8D">
        <w:rPr>
          <w:b/>
        </w:rPr>
        <w:t>Five violations of C</w:t>
      </w:r>
      <w:r w:rsidRPr="0014132E">
        <w:rPr>
          <w:b/>
        </w:rPr>
        <w:t>FR 395.8(k)(1) – Failing to preserve driver’s record of duty status for 6 months.</w:t>
      </w:r>
      <w:r w:rsidRPr="0014132E">
        <w:t xml:space="preserve"> Gigantic Moving failed to retain</w:t>
      </w:r>
      <w:r>
        <w:t xml:space="preserve"> its</w:t>
      </w:r>
      <w:r w:rsidRPr="0014132E">
        <w:t xml:space="preserve"> driver</w:t>
      </w:r>
      <w:r>
        <w:t>s</w:t>
      </w:r>
      <w:r w:rsidRPr="0014132E">
        <w:t xml:space="preserve">’ record of duty status documents to identify when employees Johnson Rilometo, Juan Rocha, Jose Bahena, </w:t>
      </w:r>
      <w:r w:rsidRPr="00AB6B86">
        <w:t>Scott Gockerell, and Matthew Zuraff were operating a commercial motor vehicle.</w:t>
      </w:r>
    </w:p>
    <w:p w14:paraId="0C985980" w14:textId="17E48BB1" w:rsidR="005162EF" w:rsidRPr="00E65580" w:rsidRDefault="007D1C53" w:rsidP="007D1C5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 w:rsidRPr="00AB6B86">
        <w:rPr>
          <w:b/>
        </w:rPr>
        <w:t xml:space="preserve">One violation of WAC 480-15-555 – Failing to conduct or retain paperwork containing criminal background check for a household goods carrier in the state of Washington as required. </w:t>
      </w:r>
      <w:r w:rsidRPr="00AB6B86">
        <w:t>Gigantic Moving failed to retain a copy of the criminal background check for em</w:t>
      </w:r>
      <w:r>
        <w:t>ployee Jose Bahena. Mr. Bahena’s background check on file is dated December 16, 2016, however Mr. Bahena had been employed during the entire six months prior to the compliance review.</w:t>
      </w:r>
      <w:bookmarkEnd w:id="2"/>
      <w:r w:rsidR="00C561A8" w:rsidRPr="00E65580">
        <w:t xml:space="preserve"> </w:t>
      </w:r>
    </w:p>
    <w:p w14:paraId="511FE560" w14:textId="595D2131" w:rsidR="006A2F95" w:rsidRPr="00BD72A4" w:rsidRDefault="006A2F95" w:rsidP="006A2F95">
      <w:pPr>
        <w:spacing w:after="240"/>
      </w:pPr>
      <w:r w:rsidRPr="006A2F95">
        <w:rPr>
          <w:bCs/>
        </w:rPr>
        <w:t>Revised</w:t>
      </w:r>
      <w:r w:rsidRPr="00BD72A4">
        <w:t xml:space="preserve"> Code of Washington (RCW) 8l.04.405 allows penalties of one hundred dollars</w:t>
      </w:r>
      <w:r w:rsidR="007D1C53">
        <w:t xml:space="preserve"> for each violation of </w:t>
      </w:r>
      <w:r w:rsidRPr="00BD72A4">
        <w:t xml:space="preserve">CFR Part 391 and </w:t>
      </w:r>
      <w:r w:rsidR="007D1C53">
        <w:t xml:space="preserve">CFR </w:t>
      </w:r>
      <w:r w:rsidRPr="00BD72A4">
        <w:t>Part 395</w:t>
      </w:r>
      <w:r w:rsidR="007D1C53">
        <w:t>, as well as for each violation of WAC 480-15-555</w:t>
      </w:r>
      <w:r w:rsidRPr="00BD72A4">
        <w:t xml:space="preserve">. In the case of an ongoing violation, every day's continuance is considered a separate and distinct violation. </w:t>
      </w:r>
    </w:p>
    <w:p w14:paraId="05A9ACD7" w14:textId="5B6491E2" w:rsidR="007B57D8" w:rsidRPr="007C6395" w:rsidRDefault="009420CA" w:rsidP="00246BA8">
      <w:pPr>
        <w:spacing w:after="240"/>
        <w:rPr>
          <w:highlight w:val="yellow"/>
        </w:rPr>
      </w:pPr>
      <w:r w:rsidRPr="009420CA">
        <w:t>On March 27</w:t>
      </w:r>
      <w:r w:rsidR="00A749C9" w:rsidRPr="009420CA">
        <w:t>,</w:t>
      </w:r>
      <w:r w:rsidRPr="009420CA">
        <w:t xml:space="preserve"> 2017</w:t>
      </w:r>
      <w:r w:rsidR="00126F07">
        <w:t>,</w:t>
      </w:r>
      <w:r w:rsidR="00A749C9" w:rsidRPr="009420CA">
        <w:t xml:space="preserve"> </w:t>
      </w:r>
      <w:r w:rsidRPr="009420CA">
        <w:t>G</w:t>
      </w:r>
      <w:r w:rsidR="00126F07">
        <w:t>igantic Moving</w:t>
      </w:r>
      <w:r w:rsidR="00A749C9" w:rsidRPr="009420CA">
        <w:t xml:space="preserve"> filed with the Commission its application for mitigation of penalties. </w:t>
      </w:r>
      <w:r w:rsidRPr="009420CA">
        <w:t>Timothy Roberts, director</w:t>
      </w:r>
      <w:r w:rsidR="00126F07">
        <w:t xml:space="preserve"> of Gigantic Mov</w:t>
      </w:r>
      <w:r w:rsidR="00126F07" w:rsidRPr="00AF4DCE">
        <w:t>ing</w:t>
      </w:r>
      <w:r w:rsidR="00C17FE6" w:rsidRPr="00AF4DCE">
        <w:t>, admits the violations, provides</w:t>
      </w:r>
      <w:r w:rsidR="00AF4DCE" w:rsidRPr="00AF4DCE">
        <w:t xml:space="preserve"> minimal</w:t>
      </w:r>
      <w:r w:rsidR="00C17FE6" w:rsidRPr="00AF4DCE">
        <w:t xml:space="preserve"> explanation of the correc</w:t>
      </w:r>
      <w:r w:rsidR="00A41356">
        <w:t>tive action steps taken by the C</w:t>
      </w:r>
      <w:r w:rsidR="00C17FE6" w:rsidRPr="00AF4DCE">
        <w:t>ompany, and asks that the penalties be reduced for</w:t>
      </w:r>
      <w:r w:rsidR="00292A40" w:rsidRPr="00AF4DCE">
        <w:t xml:space="preserve"> </w:t>
      </w:r>
      <w:r w:rsidR="00C17FE6" w:rsidRPr="00AF4DCE">
        <w:t>reasons set out in his response</w:t>
      </w:r>
      <w:r w:rsidR="00AF4DCE" w:rsidRPr="00AF4DCE">
        <w:t>.</w:t>
      </w:r>
      <w:r w:rsidR="00AF4DCE">
        <w:rPr>
          <w:highlight w:val="yellow"/>
        </w:rPr>
        <w:t xml:space="preserve"> </w:t>
      </w:r>
    </w:p>
    <w:p w14:paraId="5603350D" w14:textId="3ECB8469" w:rsidR="00131099" w:rsidRPr="00F263C4" w:rsidRDefault="00AF4DCE" w:rsidP="00F263C4">
      <w:pPr>
        <w:spacing w:after="240"/>
      </w:pPr>
      <w:r w:rsidRPr="00AF4DCE">
        <w:t>Gigantic Moving</w:t>
      </w:r>
      <w:r w:rsidR="00131099" w:rsidRPr="00AF4DCE">
        <w:t xml:space="preserve"> </w:t>
      </w:r>
      <w:r w:rsidR="000B50AF" w:rsidRPr="00AF4DCE">
        <w:t>operates as</w:t>
      </w:r>
      <w:r w:rsidR="00DC014D" w:rsidRPr="00AF4DCE">
        <w:t xml:space="preserve"> </w:t>
      </w:r>
      <w:r w:rsidR="000B50AF" w:rsidRPr="00AF4DCE">
        <w:t xml:space="preserve">a </w:t>
      </w:r>
      <w:r w:rsidRPr="00AF4DCE">
        <w:t>household goods</w:t>
      </w:r>
      <w:r w:rsidR="00662563" w:rsidRPr="00AF4DCE">
        <w:t xml:space="preserve"> </w:t>
      </w:r>
      <w:r w:rsidR="00516521" w:rsidRPr="00AF4DCE">
        <w:t>carrier u</w:t>
      </w:r>
      <w:r w:rsidRPr="00AF4DCE">
        <w:t>nder permit number THG-65593</w:t>
      </w:r>
      <w:r w:rsidR="00DC014D" w:rsidRPr="00AF4DCE">
        <w:t>.</w:t>
      </w:r>
      <w:r w:rsidR="0035014E" w:rsidRPr="00AF4DCE">
        <w:t xml:space="preserve"> </w:t>
      </w:r>
      <w:r w:rsidR="002C0657" w:rsidRPr="00AF4DCE">
        <w:t>In its appli</w:t>
      </w:r>
      <w:r w:rsidRPr="00AF4DCE">
        <w:t>cation for household goods moving</w:t>
      </w:r>
      <w:r w:rsidR="002C0657" w:rsidRPr="00AF4DCE">
        <w:t xml:space="preserve"> author</w:t>
      </w:r>
      <w:r w:rsidR="00CF0FD7" w:rsidRPr="00AF4DCE">
        <w:t xml:space="preserve">ity filed </w:t>
      </w:r>
      <w:r w:rsidRPr="00AF4DCE">
        <w:t>with the Commission in September 2014</w:t>
      </w:r>
      <w:r w:rsidR="002C0657" w:rsidRPr="00AF4DCE">
        <w:t xml:space="preserve">, </w:t>
      </w:r>
      <w:r w:rsidRPr="00AF4DCE">
        <w:t>Neil Boden, director and part-owner of Gigantic Moving</w:t>
      </w:r>
      <w:r w:rsidR="00292A40" w:rsidRPr="00AF4DCE">
        <w:t>,</w:t>
      </w:r>
      <w:r w:rsidRPr="00AF4DCE">
        <w:t xml:space="preserve"> acknowledged the C</w:t>
      </w:r>
      <w:r w:rsidR="004F0B44" w:rsidRPr="00AF4DCE">
        <w:t>ompany’s</w:t>
      </w:r>
      <w:r w:rsidR="002C0657" w:rsidRPr="00AF4DCE">
        <w:t xml:space="preserve"> responsibility to understand and comply with applicable motor carrier safety rules</w:t>
      </w:r>
      <w:r w:rsidR="00CF0FD7" w:rsidRPr="00AF4DCE">
        <w:t xml:space="preserve"> and regulations</w:t>
      </w:r>
      <w:r>
        <w:t>. On November 12, 2014</w:t>
      </w:r>
      <w:r w:rsidR="00F263C4">
        <w:t>, Timothy Roberts, Chip Bratcher, and Neil Boden attended household goods t</w:t>
      </w:r>
      <w:r w:rsidR="00640CE3">
        <w:t>raining provided by Commission S</w:t>
      </w:r>
      <w:r w:rsidR="00F263C4">
        <w:t>taff</w:t>
      </w:r>
      <w:r w:rsidR="003819C4">
        <w:t xml:space="preserve"> (Staff)</w:t>
      </w:r>
      <w:r w:rsidR="00FA1297">
        <w:t>,</w:t>
      </w:r>
      <w:r w:rsidR="00F263C4">
        <w:t xml:space="preserve"> and each attendee acknowledged that tr</w:t>
      </w:r>
      <w:r w:rsidR="00F263C4" w:rsidRPr="00F263C4">
        <w:t>a</w:t>
      </w:r>
      <w:r w:rsidR="00FA1297">
        <w:t>ining was received regarding</w:t>
      </w:r>
      <w:r w:rsidR="00F263C4" w:rsidRPr="00F263C4">
        <w:t xml:space="preserve"> motor carrier safety regulations. </w:t>
      </w:r>
    </w:p>
    <w:p w14:paraId="310F87A7" w14:textId="75660BF8" w:rsidR="00B74F35" w:rsidRPr="000707D4" w:rsidRDefault="002C0657" w:rsidP="000707D4">
      <w:pPr>
        <w:spacing w:after="240"/>
      </w:pPr>
      <w:r w:rsidRPr="00F263C4">
        <w:t>On</w:t>
      </w:r>
      <w:r w:rsidR="00F263C4" w:rsidRPr="00F263C4">
        <w:t xml:space="preserve"> January 25, 2017</w:t>
      </w:r>
      <w:r w:rsidR="00BA7F02" w:rsidRPr="00F263C4">
        <w:t>,</w:t>
      </w:r>
      <w:r w:rsidRPr="00F263C4">
        <w:t xml:space="preserve"> Commission</w:t>
      </w:r>
      <w:r w:rsidR="009E4818" w:rsidRPr="00F263C4">
        <w:t xml:space="preserve"> </w:t>
      </w:r>
      <w:r w:rsidR="002712B3" w:rsidRPr="00F263C4">
        <w:t>Motor Carrier Safety In</w:t>
      </w:r>
      <w:r w:rsidR="009E4818" w:rsidRPr="00F263C4">
        <w:t xml:space="preserve">vestigator </w:t>
      </w:r>
      <w:r w:rsidR="00661B87" w:rsidRPr="00F263C4">
        <w:t>Wayne Gilbert</w:t>
      </w:r>
      <w:r w:rsidR="00CF0FD7" w:rsidRPr="00F263C4">
        <w:t xml:space="preserve"> </w:t>
      </w:r>
      <w:r w:rsidR="002712B3" w:rsidRPr="00F263C4">
        <w:t>conducted a compliance review in</w:t>
      </w:r>
      <w:r w:rsidR="00064ADC" w:rsidRPr="00F263C4">
        <w:t>vestigation</w:t>
      </w:r>
      <w:r w:rsidR="00AC48BF" w:rsidRPr="00F263C4">
        <w:t xml:space="preserve">, an </w:t>
      </w:r>
      <w:r w:rsidR="00456D30" w:rsidRPr="00F263C4">
        <w:t>in-depth examination of the motor carri</w:t>
      </w:r>
      <w:r w:rsidR="007C34FC" w:rsidRPr="00F263C4">
        <w:t>er's compliance with regulations</w:t>
      </w:r>
      <w:r w:rsidR="00EA3495" w:rsidRPr="00F263C4">
        <w:t xml:space="preserve"> that the FMCSA has identified as “acute” or “critical</w:t>
      </w:r>
      <w:r w:rsidR="008121A7" w:rsidRPr="00F263C4">
        <w:t>.</w:t>
      </w:r>
      <w:r w:rsidR="00EA3495" w:rsidRPr="00F263C4">
        <w:t>”</w:t>
      </w:r>
      <w:r w:rsidR="00EA3495" w:rsidRPr="00F263C4">
        <w:rPr>
          <w:rStyle w:val="FootnoteReference"/>
          <w:sz w:val="24"/>
        </w:rPr>
        <w:footnoteReference w:id="1"/>
      </w:r>
      <w:r w:rsidR="00EA3495" w:rsidRPr="00F263C4">
        <w:t xml:space="preserve"> Acute regul</w:t>
      </w:r>
      <w:r w:rsidR="0035014E" w:rsidRPr="00F263C4">
        <w:t>ations are identified where non-</w:t>
      </w:r>
      <w:r w:rsidR="00EA3495" w:rsidRPr="00F263C4">
        <w:t xml:space="preserve">compliance </w:t>
      </w:r>
      <w:r w:rsidR="00456D30" w:rsidRPr="00F263C4">
        <w:t xml:space="preserve">is so severe as to require immediate corrective action regardless of the overall safety posture of the motor carrier. Violations of critical regulations are generally indicative of breakdowns in a carrier's management controls. Non-compliance with acute regulations and patterns of non-compliance with critical regulations are quantitatively linked to </w:t>
      </w:r>
      <w:r w:rsidR="00456D30" w:rsidRPr="00F263C4">
        <w:lastRenderedPageBreak/>
        <w:t>inadequate</w:t>
      </w:r>
      <w:r w:rsidR="00EA3495" w:rsidRPr="00F263C4">
        <w:t xml:space="preserve"> safety management controls and unusually higher than average accident rates.</w:t>
      </w:r>
      <w:r w:rsidR="00EA3495" w:rsidRPr="00F263C4">
        <w:rPr>
          <w:rStyle w:val="FootnoteReference"/>
          <w:sz w:val="24"/>
        </w:rPr>
        <w:footnoteReference w:id="2"/>
      </w:r>
      <w:r w:rsidR="00661B87" w:rsidRPr="00F263C4">
        <w:t xml:space="preserve"> Mr. Gilbert</w:t>
      </w:r>
      <w:r w:rsidR="00EA3495" w:rsidRPr="00F263C4">
        <w:t xml:space="preserve"> docume</w:t>
      </w:r>
      <w:r w:rsidR="00EA3495" w:rsidRPr="000707D4">
        <w:t xml:space="preserve">nted </w:t>
      </w:r>
      <w:r w:rsidR="000707D4" w:rsidRPr="000707D4">
        <w:t>96</w:t>
      </w:r>
      <w:r w:rsidRPr="000707D4">
        <w:t xml:space="preserve"> violations of</w:t>
      </w:r>
      <w:r w:rsidR="00EA3495" w:rsidRPr="000707D4">
        <w:t xml:space="preserve"> critical regulations,</w:t>
      </w:r>
      <w:r w:rsidR="00661B87" w:rsidRPr="000707D4">
        <w:t xml:space="preserve"> </w:t>
      </w:r>
      <w:r w:rsidR="000707D4" w:rsidRPr="000707D4">
        <w:t xml:space="preserve">all of which were first-time violations, resulting in a </w:t>
      </w:r>
      <w:r w:rsidR="00661B87" w:rsidRPr="000707D4">
        <w:t>conditional</w:t>
      </w:r>
      <w:r w:rsidR="00CF0FD7" w:rsidRPr="000707D4">
        <w:t xml:space="preserve"> </w:t>
      </w:r>
      <w:r w:rsidR="00EA3495" w:rsidRPr="000707D4">
        <w:t>safety rating.</w:t>
      </w:r>
    </w:p>
    <w:p w14:paraId="44204289" w14:textId="67467CD4" w:rsidR="005C43E3" w:rsidRPr="00CA5C4D" w:rsidRDefault="00AB7979" w:rsidP="00246BA8">
      <w:pPr>
        <w:spacing w:after="240"/>
      </w:pPr>
      <w:r w:rsidRPr="000707D4">
        <w:t>The C</w:t>
      </w:r>
      <w:r w:rsidR="00B74F35" w:rsidRPr="000707D4">
        <w:t>ommission’s Enforce</w:t>
      </w:r>
      <w:r w:rsidRPr="000707D4">
        <w:t>ment Policy provides that some C</w:t>
      </w:r>
      <w:r w:rsidR="00B74F35" w:rsidRPr="000707D4">
        <w:t>ommission requirements are so essenti</w:t>
      </w:r>
      <w:r w:rsidRPr="000707D4">
        <w:t>al to safe operations that the C</w:t>
      </w:r>
      <w:r w:rsidR="00B74F35" w:rsidRPr="000707D4">
        <w:t>ommission may issue penalties for a first-time violation,</w:t>
      </w:r>
      <w:r w:rsidR="00640CE3">
        <w:t xml:space="preserve"> even if S</w:t>
      </w:r>
      <w:r w:rsidR="00B74F35" w:rsidRPr="000707D4">
        <w:t>taff has not previously provided technical assistance on specific issues.</w:t>
      </w:r>
      <w:r w:rsidR="00661B87" w:rsidRPr="000707D4">
        <w:t xml:space="preserve"> The Commission will assess penalties for any repeat violations of critical regulations, including for each </w:t>
      </w:r>
      <w:r w:rsidR="00661B87" w:rsidRPr="00CA5C4D">
        <w:t>occurrence of a repeat violation.</w:t>
      </w:r>
      <w:r w:rsidR="00B74F35" w:rsidRPr="00CA5C4D">
        <w:rPr>
          <w:rStyle w:val="FootnoteReference"/>
          <w:sz w:val="24"/>
        </w:rPr>
        <w:footnoteReference w:id="3"/>
      </w:r>
    </w:p>
    <w:p w14:paraId="50391947" w14:textId="0C697128" w:rsidR="00661B87" w:rsidRPr="00432EC3" w:rsidRDefault="00AB7979" w:rsidP="00CA5C4D">
      <w:pPr>
        <w:spacing w:after="240"/>
      </w:pPr>
      <w:r w:rsidRPr="00CA5C4D">
        <w:t>In t</w:t>
      </w:r>
      <w:r w:rsidR="00661B87" w:rsidRPr="00CA5C4D">
        <w:t>h</w:t>
      </w:r>
      <w:r w:rsidR="00F51C08" w:rsidRPr="00CA5C4D">
        <w:t>e mitigation request, Timothy Roberts</w:t>
      </w:r>
      <w:r w:rsidR="00D0272A" w:rsidRPr="00CA5C4D">
        <w:t xml:space="preserve"> </w:t>
      </w:r>
      <w:r w:rsidR="002715FF" w:rsidRPr="00CA5C4D">
        <w:t>admitted the vi</w:t>
      </w:r>
      <w:r w:rsidR="00661B87" w:rsidRPr="00CA5C4D">
        <w:t xml:space="preserve">olations, </w:t>
      </w:r>
      <w:r w:rsidR="00F51C08" w:rsidRPr="00CA5C4D">
        <w:t>states that the</w:t>
      </w:r>
      <w:r w:rsidR="00A41356" w:rsidRPr="00CA5C4D">
        <w:t xml:space="preserve"> proposed penalty would drastically affect the financial well-being of the Company, </w:t>
      </w:r>
      <w:r w:rsidR="00CA5C4D" w:rsidRPr="00CA5C4D">
        <w:t>a</w:t>
      </w:r>
      <w:r w:rsidR="003819C4">
        <w:t>nd</w:t>
      </w:r>
      <w:r w:rsidR="00CA5C4D" w:rsidRPr="00CA5C4D">
        <w:t xml:space="preserve"> addresses o</w:t>
      </w:r>
      <w:r w:rsidR="003819C4">
        <w:t>nly o</w:t>
      </w:r>
      <w:r w:rsidR="00CA5C4D" w:rsidRPr="00CA5C4D">
        <w:t>ne violation.</w:t>
      </w:r>
      <w:r w:rsidR="00A41356" w:rsidRPr="00CA5C4D">
        <w:t xml:space="preserve"> Staff found the C</w:t>
      </w:r>
      <w:r w:rsidR="00661B87" w:rsidRPr="00CA5C4D">
        <w:t>om</w:t>
      </w:r>
      <w:r w:rsidR="00CA5C4D" w:rsidRPr="00CA5C4D">
        <w:t>pany’s response to be inadequate</w:t>
      </w:r>
      <w:r w:rsidR="00661B87" w:rsidRPr="00CA5C4D">
        <w:t>, and provides its response below:</w:t>
      </w:r>
    </w:p>
    <w:p w14:paraId="7618CEF8" w14:textId="25D0DF01" w:rsidR="00CA5C4D" w:rsidRDefault="00432EC3" w:rsidP="00246BA8">
      <w:pPr>
        <w:pStyle w:val="ListParagraph"/>
        <w:numPr>
          <w:ilvl w:val="0"/>
          <w:numId w:val="13"/>
        </w:numPr>
        <w:spacing w:after="240"/>
      </w:pPr>
      <w:r>
        <w:rPr>
          <w:b/>
        </w:rPr>
        <w:t>Mitigation Request:</w:t>
      </w:r>
      <w:r w:rsidR="007C6395">
        <w:rPr>
          <w:b/>
        </w:rPr>
        <w:t xml:space="preserve"> CFR</w:t>
      </w:r>
      <w:r>
        <w:rPr>
          <w:b/>
        </w:rPr>
        <w:t xml:space="preserve"> </w:t>
      </w:r>
      <w:r w:rsidR="007C6395" w:rsidRPr="00963B84">
        <w:rPr>
          <w:b/>
        </w:rPr>
        <w:t>391.45(a) – Using a driver not medically examined and</w:t>
      </w:r>
      <w:r w:rsidR="007C6395" w:rsidRPr="00EF4C8D">
        <w:rPr>
          <w:b/>
        </w:rPr>
        <w:t xml:space="preserve"> certified. </w:t>
      </w:r>
      <w:r w:rsidR="007C6395" w:rsidRPr="00EF4C8D">
        <w:t>Gigantic Moving</w:t>
      </w:r>
      <w:r w:rsidR="002C620C">
        <w:t xml:space="preserve"> </w:t>
      </w:r>
      <w:r w:rsidR="002F03DE">
        <w:t xml:space="preserve">states that </w:t>
      </w:r>
      <w:r w:rsidR="008E7F84">
        <w:t>it was unaware of</w:t>
      </w:r>
      <w:r w:rsidR="00CA5C4D">
        <w:t xml:space="preserve"> the medical examination requirements and </w:t>
      </w:r>
      <w:r w:rsidR="00921301">
        <w:t xml:space="preserve">that the violations were unintentional. The Company states </w:t>
      </w:r>
      <w:r w:rsidR="00087ECD">
        <w:t>that all of its drivers have obtained</w:t>
      </w:r>
      <w:r w:rsidR="00921301">
        <w:t xml:space="preserve"> valid medical certificates, and a </w:t>
      </w:r>
      <w:r w:rsidR="008E7F84">
        <w:t xml:space="preserve">new system has been established </w:t>
      </w:r>
      <w:r w:rsidR="00921301">
        <w:t xml:space="preserve">to ensure future compliance. Gigantic Moving </w:t>
      </w:r>
      <w:r w:rsidR="00087ECD">
        <w:t>asks that the Commission penalize per violation type instead of per occurrence for the seventy-eight violations of CFR 391.45(a).</w:t>
      </w:r>
    </w:p>
    <w:p w14:paraId="50C5A2A4" w14:textId="77777777" w:rsidR="00BD1AD3" w:rsidRPr="00E65580" w:rsidRDefault="00BD1AD3" w:rsidP="00BD1AD3">
      <w:pPr>
        <w:pStyle w:val="ListParagraph"/>
      </w:pPr>
    </w:p>
    <w:p w14:paraId="7A5B1C2C" w14:textId="5856DB39" w:rsidR="00360924" w:rsidRDefault="00F74B20" w:rsidP="000B20F1">
      <w:pPr>
        <w:pStyle w:val="ListParagraph"/>
        <w:spacing w:after="240"/>
      </w:pPr>
      <w:r w:rsidRPr="004D36E9">
        <w:rPr>
          <w:b/>
        </w:rPr>
        <w:t>Staff response:</w:t>
      </w:r>
      <w:r w:rsidR="00087ECD">
        <w:t xml:space="preserve"> </w:t>
      </w:r>
      <w:r w:rsidR="00360924">
        <w:t xml:space="preserve">Gigantic Moving corrected this violation before </w:t>
      </w:r>
      <w:r w:rsidR="002839C4">
        <w:t xml:space="preserve">the </w:t>
      </w:r>
      <w:r w:rsidR="002839C4" w:rsidRPr="00F263C4">
        <w:t>Commission Motor Carrier Safety Investigator</w:t>
      </w:r>
      <w:r w:rsidR="00360924">
        <w:t xml:space="preserve"> conducted the closing interview with the Company on</w:t>
      </w:r>
      <w:r w:rsidR="008E7F84">
        <w:t xml:space="preserve"> February 23, 2017</w:t>
      </w:r>
      <w:r w:rsidR="000B20F1">
        <w:t>. The Company asks that the Commission penalize per violation type for the 78 o</w:t>
      </w:r>
      <w:r w:rsidR="002839C4">
        <w:t xml:space="preserve">ccurrences of CFR 391.45(a), </w:t>
      </w:r>
      <w:r w:rsidR="00661127">
        <w:t>but</w:t>
      </w:r>
      <w:r w:rsidR="000B20F1">
        <w:t xml:space="preserve"> the </w:t>
      </w:r>
      <w:r w:rsidR="00932DB0" w:rsidRPr="00E74D29">
        <w:t>Commission’s Enforcement P</w:t>
      </w:r>
      <w:r w:rsidR="000B20F1">
        <w:t>olicy provides that some</w:t>
      </w:r>
      <w:r w:rsidR="00932DB0" w:rsidRPr="00E74D29">
        <w:t xml:space="preserve"> requirements are so fundamental to safe operations that the Commission will issue mandatory penalties for each occurrence of a first-time violation.</w:t>
      </w:r>
      <w:r w:rsidR="00932DB0">
        <w:t xml:space="preserve"> </w:t>
      </w:r>
      <w:r w:rsidR="002839C4">
        <w:t>Each time Gigantic Moving allowed an employee</w:t>
      </w:r>
      <w:r w:rsidR="009A6A43">
        <w:t xml:space="preserve"> to drive without having been medically examined and certified</w:t>
      </w:r>
      <w:r w:rsidR="002839C4">
        <w:t>, the Company was potentially putting both their passengers and the</w:t>
      </w:r>
      <w:r w:rsidR="00661127">
        <w:t xml:space="preserve"> traveling public at risk</w:t>
      </w:r>
      <w:r w:rsidR="00C709C1">
        <w:t>. Due to the expedient correction of this violation, and the Company’s desire to maintain compliance with this critical regul</w:t>
      </w:r>
      <w:r w:rsidR="00640CE3">
        <w:t>ation, S</w:t>
      </w:r>
      <w:r w:rsidR="00C709C1">
        <w:t>taff recommends a r</w:t>
      </w:r>
      <w:r w:rsidR="0030044B">
        <w:t>eduction of</w:t>
      </w:r>
      <w:bookmarkStart w:id="3" w:name="_GoBack"/>
      <w:bookmarkEnd w:id="3"/>
      <w:r w:rsidR="00C709C1">
        <w:t xml:space="preserve"> this penalty.</w:t>
      </w:r>
    </w:p>
    <w:p w14:paraId="4F2148A0" w14:textId="71292D80" w:rsidR="00D3220C" w:rsidRPr="00246BA8" w:rsidRDefault="0063135F" w:rsidP="002F03DE">
      <w:pPr>
        <w:spacing w:after="240"/>
        <w:ind w:left="720"/>
      </w:pPr>
      <w:r w:rsidRPr="003A48D2">
        <w:t>T</w:t>
      </w:r>
      <w:r w:rsidR="003A48D2" w:rsidRPr="003A48D2">
        <w:t>he assessed penalty is $7,8</w:t>
      </w:r>
      <w:r w:rsidR="003A48D2" w:rsidRPr="00CB751F">
        <w:t>00 for seventy-eight</w:t>
      </w:r>
      <w:r w:rsidR="00804378" w:rsidRPr="00CB751F">
        <w:t xml:space="preserve"> occurrences of this violation. Staff recommend</w:t>
      </w:r>
      <w:r w:rsidR="00BD1AD3" w:rsidRPr="00CB751F">
        <w:t xml:space="preserve">s </w:t>
      </w:r>
      <w:r w:rsidR="004D36E9" w:rsidRPr="00CB751F">
        <w:t>the penalty be reduced</w:t>
      </w:r>
      <w:r w:rsidR="000B20F1" w:rsidRPr="00CB751F">
        <w:t xml:space="preserve"> $4,3</w:t>
      </w:r>
      <w:r w:rsidR="004D36E9" w:rsidRPr="00CB751F">
        <w:t>00, for a total of $</w:t>
      </w:r>
      <w:r w:rsidR="000B20F1" w:rsidRPr="00CB751F">
        <w:t>3,</w:t>
      </w:r>
      <w:r w:rsidR="004D36E9" w:rsidRPr="00CB751F">
        <w:t>5</w:t>
      </w:r>
      <w:r w:rsidR="00BD1AD3" w:rsidRPr="00CB751F">
        <w:t>00</w:t>
      </w:r>
      <w:r w:rsidR="00804378" w:rsidRPr="00CB751F">
        <w:t>.</w:t>
      </w:r>
    </w:p>
    <w:p w14:paraId="40D9BB1B" w14:textId="39F8492B" w:rsidR="00F65A9C" w:rsidRDefault="00D3220C" w:rsidP="00BD1AD3">
      <w:pPr>
        <w:pStyle w:val="ListParagraph"/>
        <w:numPr>
          <w:ilvl w:val="0"/>
          <w:numId w:val="13"/>
        </w:numPr>
        <w:spacing w:after="240"/>
      </w:pPr>
      <w:r w:rsidRPr="00F65A9C">
        <w:rPr>
          <w:b/>
        </w:rPr>
        <w:t xml:space="preserve">Mitigation Request: CFR </w:t>
      </w:r>
      <w:r w:rsidR="00432EC3" w:rsidRPr="00F65A9C">
        <w:rPr>
          <w:b/>
        </w:rPr>
        <w:t>391.51(a) – Failing to maintain a driver qualification file for each driver it employs.</w:t>
      </w:r>
      <w:r w:rsidR="00432EC3" w:rsidRPr="00F65A9C">
        <w:t xml:space="preserve"> </w:t>
      </w:r>
      <w:r w:rsidR="00F65A9C" w:rsidRPr="00F65A9C">
        <w:t>Gigantic Moving</w:t>
      </w:r>
      <w:r w:rsidR="00120C4D" w:rsidRPr="00F65A9C">
        <w:t>’</w:t>
      </w:r>
      <w:r w:rsidR="00F65A9C" w:rsidRPr="00F65A9C">
        <w:t>s</w:t>
      </w:r>
      <w:r w:rsidR="00120C4D" w:rsidRPr="00F65A9C">
        <w:t xml:space="preserve"> request for mitigation </w:t>
      </w:r>
      <w:r w:rsidR="00583A71" w:rsidRPr="00F65A9C">
        <w:t>did not address this</w:t>
      </w:r>
      <w:r w:rsidR="00120C4D" w:rsidRPr="00F65A9C">
        <w:t xml:space="preserve"> violation. </w:t>
      </w:r>
      <w:r w:rsidR="00A41356" w:rsidRPr="00F65A9C">
        <w:t>In the C</w:t>
      </w:r>
      <w:r w:rsidR="004D36E9" w:rsidRPr="00F65A9C">
        <w:t>ompany’s 15-day response letter to</w:t>
      </w:r>
      <w:r w:rsidR="00F65A9C">
        <w:t xml:space="preserve"> the Commission, Gigantic Moving</w:t>
      </w:r>
      <w:r w:rsidR="004D36E9" w:rsidRPr="00F65A9C">
        <w:t xml:space="preserve"> </w:t>
      </w:r>
      <w:r w:rsidR="004D36E9" w:rsidRPr="00F65A9C">
        <w:lastRenderedPageBreak/>
        <w:t>states</w:t>
      </w:r>
      <w:r w:rsidR="00F65A9C">
        <w:t xml:space="preserve"> that it has a new procedure in place to complete a new employee’s driver qualification file prior to allowing that employee to operate a commercial motor vehicle.</w:t>
      </w:r>
    </w:p>
    <w:p w14:paraId="29EB9F98" w14:textId="509F1617" w:rsidR="00B40AE0" w:rsidRPr="00F65A9C" w:rsidRDefault="00D3220C" w:rsidP="00246BA8">
      <w:pPr>
        <w:spacing w:after="240"/>
        <w:ind w:left="720"/>
      </w:pPr>
      <w:r w:rsidRPr="00F65A9C">
        <w:rPr>
          <w:b/>
        </w:rPr>
        <w:t>Staff response:</w:t>
      </w:r>
      <w:r w:rsidR="004673C1" w:rsidRPr="00F65A9C">
        <w:t xml:space="preserve"> </w:t>
      </w:r>
      <w:r w:rsidR="00583A71" w:rsidRPr="00F65A9C">
        <w:t xml:space="preserve">The </w:t>
      </w:r>
      <w:r w:rsidR="00A41356" w:rsidRPr="00F65A9C">
        <w:t>C</w:t>
      </w:r>
      <w:r w:rsidR="00583A71" w:rsidRPr="00F65A9C">
        <w:t>ompany failed to provide an example of a driver qualification fil</w:t>
      </w:r>
      <w:r w:rsidR="00A41356" w:rsidRPr="00F65A9C">
        <w:t>e, a list of the documents the C</w:t>
      </w:r>
      <w:r w:rsidR="00583A71" w:rsidRPr="00F65A9C">
        <w:t>ompany keeps in such a file, or any supporting evidence or documentation with respe</w:t>
      </w:r>
      <w:r w:rsidR="00212D1C" w:rsidRPr="00F65A9C">
        <w:t>ct to steps taken to correct this</w:t>
      </w:r>
      <w:r w:rsidR="00583A71" w:rsidRPr="00F65A9C">
        <w:t xml:space="preserve"> violation.</w:t>
      </w:r>
    </w:p>
    <w:p w14:paraId="2C6F6F13" w14:textId="10E9E9C3" w:rsidR="00064ADC" w:rsidRPr="00DA36C1" w:rsidRDefault="00ED138B" w:rsidP="00246BA8">
      <w:pPr>
        <w:spacing w:after="240"/>
        <w:ind w:left="720"/>
      </w:pPr>
      <w:r w:rsidRPr="00F65A9C">
        <w:t xml:space="preserve">The </w:t>
      </w:r>
      <w:r w:rsidRPr="00DA36C1">
        <w:t>assessed penalty is $100 for one violation of this type. Staff recommends no mitigation of this penalty.</w:t>
      </w:r>
    </w:p>
    <w:p w14:paraId="11226D8B" w14:textId="49DFC28C" w:rsidR="00432EC3" w:rsidRPr="001C7559" w:rsidRDefault="00432EC3" w:rsidP="00432EC3">
      <w:pPr>
        <w:pStyle w:val="ListParagraph"/>
        <w:numPr>
          <w:ilvl w:val="0"/>
          <w:numId w:val="13"/>
        </w:numPr>
        <w:spacing w:after="240"/>
      </w:pPr>
      <w:r w:rsidRPr="00DA36C1">
        <w:rPr>
          <w:b/>
        </w:rPr>
        <w:t xml:space="preserve">Mitigation Request: </w:t>
      </w:r>
      <w:r w:rsidR="00632A53" w:rsidRPr="00DA36C1">
        <w:rPr>
          <w:b/>
        </w:rPr>
        <w:t>CFR 395.3(b)(2) – Requiring or permitting a driver to drive after h</w:t>
      </w:r>
      <w:r w:rsidR="00632A53" w:rsidRPr="001C7559">
        <w:rPr>
          <w:b/>
        </w:rPr>
        <w:t>aving been on duty more than 70 hours in 8 consecutive days.</w:t>
      </w:r>
      <w:r w:rsidR="00F65A9C" w:rsidRPr="001C7559">
        <w:t xml:space="preserve"> Gigantic Moving did not address this violation.</w:t>
      </w:r>
      <w:r w:rsidR="00DA36C1" w:rsidRPr="001C7559">
        <w:t xml:space="preserve"> </w:t>
      </w:r>
    </w:p>
    <w:p w14:paraId="5B558031" w14:textId="1E66E0B7" w:rsidR="00432EC3" w:rsidRPr="001C7559" w:rsidRDefault="00432EC3" w:rsidP="00B76E9D">
      <w:pPr>
        <w:spacing w:after="240"/>
        <w:ind w:left="720"/>
        <w:rPr>
          <w:b/>
        </w:rPr>
      </w:pPr>
      <w:r w:rsidRPr="001C7559">
        <w:rPr>
          <w:b/>
        </w:rPr>
        <w:t>Staff response:</w:t>
      </w:r>
      <w:r w:rsidR="00212D1C" w:rsidRPr="001C7559">
        <w:rPr>
          <w:b/>
        </w:rPr>
        <w:t xml:space="preserve"> </w:t>
      </w:r>
      <w:r w:rsidR="00DA36C1" w:rsidRPr="001C7559">
        <w:t xml:space="preserve">The Company </w:t>
      </w:r>
      <w:r w:rsidR="00212D1C" w:rsidRPr="001C7559">
        <w:t>failed to provide</w:t>
      </w:r>
      <w:r w:rsidR="00DA36C1" w:rsidRPr="001C7559">
        <w:t xml:space="preserve"> any</w:t>
      </w:r>
      <w:r w:rsidR="00212D1C" w:rsidRPr="001C7559">
        <w:t xml:space="preserve"> </w:t>
      </w:r>
      <w:r w:rsidR="001C7559" w:rsidRPr="001C7559">
        <w:t>information relevant to</w:t>
      </w:r>
      <w:r w:rsidR="00B76E9D" w:rsidRPr="001C7559">
        <w:t xml:space="preserve"> steps it has taken to </w:t>
      </w:r>
      <w:r w:rsidR="0085010F">
        <w:t xml:space="preserve">comply with this </w:t>
      </w:r>
      <w:r w:rsidR="001C7559">
        <w:t>fundamental safety requirement</w:t>
      </w:r>
      <w:r w:rsidR="001C7559" w:rsidRPr="001C7559">
        <w:t>.</w:t>
      </w:r>
      <w:r w:rsidR="00F620CD">
        <w:t xml:space="preserve"> Allowing a driver to drive after having been on duty for more than 70 hours in 8 consecutive days puts the traveling public at </w:t>
      </w:r>
      <w:r w:rsidR="00D3745D">
        <w:t>risk, and presents</w:t>
      </w:r>
      <w:r w:rsidR="003E034B">
        <w:t xml:space="preserve"> serious safety concerns.</w:t>
      </w:r>
    </w:p>
    <w:p w14:paraId="3F0FE8E8" w14:textId="6A3B2857" w:rsidR="00432EC3" w:rsidRPr="001C7559" w:rsidRDefault="00212D1C" w:rsidP="00212D1C">
      <w:pPr>
        <w:spacing w:after="240"/>
        <w:ind w:left="720"/>
      </w:pPr>
      <w:r w:rsidRPr="001C7559">
        <w:t>The assessed pe</w:t>
      </w:r>
      <w:r w:rsidR="001C7559" w:rsidRPr="001C7559">
        <w:t>nalty is $100 for one occurrence of this violation</w:t>
      </w:r>
      <w:r w:rsidRPr="001C7559">
        <w:t>. Staff recommends no mitigation of this penalty.</w:t>
      </w:r>
    </w:p>
    <w:p w14:paraId="02D433A0" w14:textId="2C6DC757" w:rsidR="00432EC3" w:rsidRPr="00405E06" w:rsidRDefault="00432EC3" w:rsidP="00432EC3">
      <w:pPr>
        <w:pStyle w:val="ListParagraph"/>
        <w:numPr>
          <w:ilvl w:val="0"/>
          <w:numId w:val="13"/>
        </w:numPr>
        <w:spacing w:after="240"/>
      </w:pPr>
      <w:r w:rsidRPr="001C7559">
        <w:rPr>
          <w:b/>
        </w:rPr>
        <w:t>Mitigation Request: CFR 395.8(a) – Failing to require driver to make a record of duty status.</w:t>
      </w:r>
      <w:r w:rsidRPr="001C7559">
        <w:t xml:space="preserve"> </w:t>
      </w:r>
      <w:r w:rsidR="00DA36C1" w:rsidRPr="001C7559">
        <w:t xml:space="preserve">Gigantic Moving’s request for mitigation did not address this violation. In the Company’s 15-day response letter to the Commission, Gigantic Moving states that it has obtained a new system that records when an employee is operating a commercial </w:t>
      </w:r>
      <w:r w:rsidR="00DA36C1" w:rsidRPr="00405E06">
        <w:t>motor vehicle to identify which driver is driving for the day.</w:t>
      </w:r>
    </w:p>
    <w:p w14:paraId="21CD2877" w14:textId="605E0344" w:rsidR="00432EC3" w:rsidRPr="00405E06" w:rsidRDefault="00432EC3" w:rsidP="00432EC3">
      <w:pPr>
        <w:spacing w:after="240"/>
        <w:ind w:left="720"/>
        <w:rPr>
          <w:b/>
        </w:rPr>
      </w:pPr>
      <w:r w:rsidRPr="00405E06">
        <w:rPr>
          <w:b/>
        </w:rPr>
        <w:t>Staff response:</w:t>
      </w:r>
      <w:r w:rsidR="004D1436" w:rsidRPr="00405E06">
        <w:t xml:space="preserve"> </w:t>
      </w:r>
      <w:r w:rsidR="0085010F" w:rsidRPr="00405E06">
        <w:t>Gigantic Moving states that i</w:t>
      </w:r>
      <w:r w:rsidR="00405E06">
        <w:t>t has obtained a new system to ensure compliance</w:t>
      </w:r>
      <w:r w:rsidR="0085010F" w:rsidRPr="00405E06">
        <w:t xml:space="preserve"> with motor carrier safety regulations, but failed to provide any</w:t>
      </w:r>
      <w:r w:rsidR="003617CA">
        <w:t xml:space="preserve"> supporting evidence or</w:t>
      </w:r>
      <w:r w:rsidR="0085010F" w:rsidRPr="00405E06">
        <w:t xml:space="preserve"> information relevant to the data </w:t>
      </w:r>
      <w:r w:rsidR="00405E06" w:rsidRPr="00405E06">
        <w:t>captured and reported through this</w:t>
      </w:r>
      <w:r w:rsidR="0085010F" w:rsidRPr="00405E06">
        <w:t xml:space="preserve"> new system.</w:t>
      </w:r>
    </w:p>
    <w:p w14:paraId="6DC0CF60" w14:textId="422B607B" w:rsidR="00432EC3" w:rsidRDefault="00405E06" w:rsidP="00405E06">
      <w:pPr>
        <w:spacing w:after="240"/>
        <w:ind w:left="720"/>
      </w:pPr>
      <w:r w:rsidRPr="00F65A9C">
        <w:t xml:space="preserve">The </w:t>
      </w:r>
      <w:r w:rsidRPr="00DA36C1">
        <w:t>assessed penalty is $100 for one violation of this type. Staff recommends no mitigation of this penalty.</w:t>
      </w:r>
    </w:p>
    <w:p w14:paraId="1DCF31A5" w14:textId="7F7B5F20" w:rsidR="003819C4" w:rsidRPr="00932DB0" w:rsidRDefault="003819C4" w:rsidP="003819C4">
      <w:pPr>
        <w:pStyle w:val="ListParagraph"/>
        <w:numPr>
          <w:ilvl w:val="0"/>
          <w:numId w:val="13"/>
        </w:numPr>
        <w:spacing w:after="240"/>
      </w:pPr>
      <w:r w:rsidRPr="003819C4">
        <w:rPr>
          <w:b/>
        </w:rPr>
        <w:t xml:space="preserve">Mitigation Request: </w:t>
      </w:r>
      <w:r w:rsidRPr="00EF4C8D">
        <w:rPr>
          <w:b/>
        </w:rPr>
        <w:t>C</w:t>
      </w:r>
      <w:r w:rsidRPr="0014132E">
        <w:rPr>
          <w:b/>
        </w:rPr>
        <w:t>FR 395.8(k)(1) – Failing to preserve driver’s record of duty s</w:t>
      </w:r>
      <w:r w:rsidRPr="00932DB0">
        <w:rPr>
          <w:b/>
        </w:rPr>
        <w:t>tatus for 6 months.</w:t>
      </w:r>
      <w:r w:rsidRPr="00932DB0">
        <w:t xml:space="preserve"> </w:t>
      </w:r>
      <w:r w:rsidR="003A48D2" w:rsidRPr="00932DB0">
        <w:t>Gigantic Moving did not address this violation.</w:t>
      </w:r>
    </w:p>
    <w:p w14:paraId="41C0FC6E" w14:textId="54E7C183" w:rsidR="00D3745D" w:rsidRDefault="003819C4" w:rsidP="003819C4">
      <w:pPr>
        <w:spacing w:after="240"/>
        <w:ind w:left="720"/>
      </w:pPr>
      <w:r w:rsidRPr="00932DB0">
        <w:rPr>
          <w:b/>
        </w:rPr>
        <w:t>Staff response:</w:t>
      </w:r>
      <w:r w:rsidR="000B4264" w:rsidRPr="00932DB0">
        <w:t xml:space="preserve"> </w:t>
      </w:r>
      <w:r w:rsidR="00D3745D" w:rsidRPr="00932DB0">
        <w:t>The Company failed to provide</w:t>
      </w:r>
      <w:r w:rsidR="00D3745D" w:rsidRPr="00932DB0">
        <w:t xml:space="preserve"> any information pertaining to a modified policy </w:t>
      </w:r>
      <w:r w:rsidR="00932DB0" w:rsidRPr="00932DB0">
        <w:t>or practice that would promote future compliance with this safety requirement.</w:t>
      </w:r>
    </w:p>
    <w:p w14:paraId="142F81FF" w14:textId="5F387073" w:rsidR="003819C4" w:rsidRPr="003819C4" w:rsidRDefault="003A48D2" w:rsidP="003A48D2">
      <w:pPr>
        <w:spacing w:after="240"/>
        <w:ind w:left="720"/>
      </w:pPr>
      <w:r w:rsidRPr="00F65A9C">
        <w:t xml:space="preserve">The </w:t>
      </w:r>
      <w:r w:rsidRPr="00DA36C1">
        <w:t>assessed penalty is $100 for one violation of this type. Staff recommends no mitigation of this penalty.</w:t>
      </w:r>
    </w:p>
    <w:p w14:paraId="3E12BEC3" w14:textId="250A92A4" w:rsidR="003819C4" w:rsidRPr="00B67EFF" w:rsidRDefault="003819C4" w:rsidP="00B67EFF">
      <w:pPr>
        <w:pStyle w:val="ListParagraph"/>
        <w:numPr>
          <w:ilvl w:val="0"/>
          <w:numId w:val="13"/>
        </w:numPr>
        <w:spacing w:after="240"/>
        <w:rPr>
          <w:b/>
        </w:rPr>
      </w:pPr>
      <w:r w:rsidRPr="00B67EFF">
        <w:rPr>
          <w:b/>
        </w:rPr>
        <w:lastRenderedPageBreak/>
        <w:t xml:space="preserve">Mitigation Request: WAC 480-15-555 – Failing to conduct or retain paperwork containing criminal background check for a household goods carrier in the state of Washington as required. </w:t>
      </w:r>
      <w:r w:rsidR="003A48D2" w:rsidRPr="001C7559">
        <w:t>Gigantic Moving did not address this violation.</w:t>
      </w:r>
    </w:p>
    <w:p w14:paraId="0E369BAA" w14:textId="315B302F" w:rsidR="003819C4" w:rsidRDefault="003819C4" w:rsidP="003819C4">
      <w:pPr>
        <w:spacing w:after="240"/>
        <w:ind w:left="720"/>
      </w:pPr>
      <w:r w:rsidRPr="00F620CD">
        <w:rPr>
          <w:b/>
        </w:rPr>
        <w:t>Staff response:</w:t>
      </w:r>
      <w:r w:rsidRPr="00F620CD">
        <w:t xml:space="preserve"> </w:t>
      </w:r>
      <w:r w:rsidR="003617CA" w:rsidRPr="00F620CD">
        <w:t>The C</w:t>
      </w:r>
      <w:r w:rsidR="003617CA" w:rsidRPr="001C7559">
        <w:t xml:space="preserve">ompany </w:t>
      </w:r>
      <w:r w:rsidR="00F620CD">
        <w:t>failed to document</w:t>
      </w:r>
      <w:r w:rsidR="003617CA" w:rsidRPr="001C7559">
        <w:t xml:space="preserve"> any</w:t>
      </w:r>
      <w:r w:rsidR="00F620CD">
        <w:t xml:space="preserve"> new procedures or requirements that it has established</w:t>
      </w:r>
      <w:r w:rsidR="003617CA" w:rsidRPr="001C7559">
        <w:t xml:space="preserve"> to </w:t>
      </w:r>
      <w:r w:rsidR="003617CA">
        <w:t xml:space="preserve">comply </w:t>
      </w:r>
      <w:r w:rsidR="00F620CD">
        <w:t xml:space="preserve">with this </w:t>
      </w:r>
      <w:r w:rsidR="003617CA">
        <w:t>fundamental safety requirement</w:t>
      </w:r>
      <w:r w:rsidR="003617CA" w:rsidRPr="001C7559">
        <w:t>.</w:t>
      </w:r>
      <w:r w:rsidR="00F620CD">
        <w:t xml:space="preserve"> An employee with an unknown criminal history raises serious concerns about the security of the customer’s belongings, as well as their personal safety.</w:t>
      </w:r>
    </w:p>
    <w:p w14:paraId="4A0EF1B4" w14:textId="70DD2D0A" w:rsidR="003819C4" w:rsidRPr="00246BA8" w:rsidRDefault="003A48D2" w:rsidP="000B4264">
      <w:pPr>
        <w:spacing w:after="240"/>
        <w:ind w:left="720"/>
      </w:pPr>
      <w:r w:rsidRPr="001C7559">
        <w:t>The assessed penalty is $100 for one occurrence of this violation. Staff recommends no mitigation of this penalty.</w:t>
      </w:r>
    </w:p>
    <w:p w14:paraId="68F52441" w14:textId="55F035D8" w:rsidR="00F8486F" w:rsidRPr="00E65580" w:rsidRDefault="003819C4" w:rsidP="00246BA8">
      <w:pPr>
        <w:spacing w:after="240"/>
      </w:pPr>
      <w:r>
        <w:t>Gigantic Moving</w:t>
      </w:r>
      <w:r w:rsidR="00432EC3">
        <w:t xml:space="preserve"> is a</w:t>
      </w:r>
      <w:r w:rsidR="00400676" w:rsidRPr="00400676">
        <w:t xml:space="preserve"> </w:t>
      </w:r>
      <w:r w:rsidR="002D1439" w:rsidRPr="00400676">
        <w:t>small</w:t>
      </w:r>
      <w:r w:rsidR="004C3BD1" w:rsidRPr="00400676">
        <w:t xml:space="preserve"> </w:t>
      </w:r>
      <w:r w:rsidR="00882A9B" w:rsidRPr="00400676">
        <w:t xml:space="preserve">company </w:t>
      </w:r>
      <w:r w:rsidR="00400676" w:rsidRPr="00400676">
        <w:t xml:space="preserve">that currently </w:t>
      </w:r>
      <w:r w:rsidR="00400676" w:rsidRPr="00CB751F">
        <w:t>operates</w:t>
      </w:r>
      <w:r w:rsidR="00F8486F" w:rsidRPr="00CB751F">
        <w:t xml:space="preserve"> </w:t>
      </w:r>
      <w:r w:rsidRPr="00CB751F">
        <w:t>three</w:t>
      </w:r>
      <w:r w:rsidR="00400676" w:rsidRPr="00CB751F">
        <w:t xml:space="preserve"> commercial </w:t>
      </w:r>
      <w:r w:rsidR="00432EC3" w:rsidRPr="00CB751F">
        <w:t xml:space="preserve">motor </w:t>
      </w:r>
      <w:r w:rsidR="00400676" w:rsidRPr="00CB751F">
        <w:t>vehicle</w:t>
      </w:r>
      <w:r w:rsidR="00432EC3" w:rsidRPr="00CB751F">
        <w:t>s</w:t>
      </w:r>
      <w:r w:rsidR="00E252B7" w:rsidRPr="00CB751F">
        <w:t xml:space="preserve"> and </w:t>
      </w:r>
      <w:r w:rsidR="00400676" w:rsidRPr="00CB751F">
        <w:t>employs</w:t>
      </w:r>
      <w:r w:rsidR="00882A9B" w:rsidRPr="00CB751F">
        <w:t xml:space="preserve"> </w:t>
      </w:r>
      <w:r w:rsidRPr="00CB751F">
        <w:t>four</w:t>
      </w:r>
      <w:r w:rsidR="00400676" w:rsidRPr="00CB751F">
        <w:t xml:space="preserve"> driver</w:t>
      </w:r>
      <w:r w:rsidR="00432EC3" w:rsidRPr="00CB751F">
        <w:t>s</w:t>
      </w:r>
      <w:r w:rsidR="004C3BD1" w:rsidRPr="00CB751F">
        <w:t xml:space="preserve">. </w:t>
      </w:r>
      <w:r w:rsidR="00A41356" w:rsidRPr="00CB751F">
        <w:t>The C</w:t>
      </w:r>
      <w:r w:rsidR="00E252B7" w:rsidRPr="00CB751F">
        <w:t xml:space="preserve">ompany reported </w:t>
      </w:r>
      <w:r w:rsidRPr="00CB751F">
        <w:t>$975,790 in gross revenue and 20,000</w:t>
      </w:r>
      <w:r w:rsidR="00882A9B" w:rsidRPr="00CB751F">
        <w:t xml:space="preserve"> miles traveled in 201</w:t>
      </w:r>
      <w:r w:rsidRPr="00CB751F">
        <w:t>6</w:t>
      </w:r>
      <w:r w:rsidR="00882A9B" w:rsidRPr="00CB751F">
        <w:t>.</w:t>
      </w:r>
      <w:r w:rsidR="002D1439" w:rsidRPr="00CB751F">
        <w:t xml:space="preserve"> </w:t>
      </w:r>
      <w:r w:rsidR="00C679D6" w:rsidRPr="00CB751F">
        <w:t>Staff r</w:t>
      </w:r>
      <w:r w:rsidR="002D1439" w:rsidRPr="00CB751F">
        <w:t>ecom</w:t>
      </w:r>
      <w:r w:rsidR="00432EC3" w:rsidRPr="00CB751F">
        <w:t>mends that the penalty of $</w:t>
      </w:r>
      <w:r w:rsidRPr="00CB751F">
        <w:t>8,300 be reduced to $4</w:t>
      </w:r>
      <w:r w:rsidR="00432EC3" w:rsidRPr="00CB751F">
        <w:t>,0</w:t>
      </w:r>
      <w:r w:rsidR="00400676" w:rsidRPr="00CB751F">
        <w:t>00</w:t>
      </w:r>
      <w:r w:rsidR="00C679D6" w:rsidRPr="00CB751F">
        <w:t>.</w:t>
      </w:r>
    </w:p>
    <w:p w14:paraId="7BE8728B" w14:textId="28B7380A" w:rsidR="00F8486F" w:rsidRPr="00E65580" w:rsidRDefault="000B50AF" w:rsidP="00BD1AD3">
      <w:pPr>
        <w:pStyle w:val="BodyText"/>
        <w:widowControl/>
      </w:pPr>
      <w:r w:rsidRPr="00E65580">
        <w:t xml:space="preserve">If you have any questions, please contact </w:t>
      </w:r>
      <w:r w:rsidR="00535796" w:rsidRPr="00E65580">
        <w:t>Jason Hoxit</w:t>
      </w:r>
      <w:r w:rsidRPr="00E65580">
        <w:t>, Compliance Investigator, Tra</w:t>
      </w:r>
      <w:r w:rsidR="00535796" w:rsidRPr="00E65580">
        <w:t>nsportation Safety, at 360-664-1320</w:t>
      </w:r>
      <w:r w:rsidRPr="00E65580">
        <w:t xml:space="preserve">, or by e-mail at </w:t>
      </w:r>
      <w:hyperlink r:id="rId12" w:history="1"/>
      <w:r w:rsidR="00535796" w:rsidRPr="00E65580">
        <w:t>JHoxit@utc.wa.gov.</w:t>
      </w:r>
    </w:p>
    <w:p w14:paraId="0396E7CE" w14:textId="1F7F2813" w:rsidR="000B50AF" w:rsidRPr="00E65580" w:rsidRDefault="000B50AF" w:rsidP="00BD1AD3">
      <w:pPr>
        <w:pStyle w:val="BodyText"/>
        <w:widowControl/>
      </w:pPr>
      <w:r w:rsidRPr="00E65580">
        <w:t xml:space="preserve"> </w:t>
      </w:r>
    </w:p>
    <w:p w14:paraId="4F477B10" w14:textId="77777777" w:rsidR="000B50AF" w:rsidRPr="00E65580" w:rsidRDefault="000B50AF" w:rsidP="00BD1AD3"/>
    <w:p w14:paraId="0448FB9E" w14:textId="77777777" w:rsidR="000B50AF" w:rsidRPr="00E65580" w:rsidRDefault="000B50AF" w:rsidP="00BD1AD3">
      <w:r w:rsidRPr="00E65580">
        <w:t>Sincerely,</w:t>
      </w:r>
    </w:p>
    <w:p w14:paraId="7EE997F7" w14:textId="77777777" w:rsidR="000B50AF" w:rsidRPr="00E65580" w:rsidRDefault="000B50AF" w:rsidP="00BD1AD3"/>
    <w:p w14:paraId="6277C814" w14:textId="77777777" w:rsidR="000B50AF" w:rsidRPr="00E65580" w:rsidRDefault="000B50AF" w:rsidP="00BD1AD3"/>
    <w:p w14:paraId="28439018" w14:textId="77777777" w:rsidR="000B50AF" w:rsidRPr="00E65580" w:rsidRDefault="000B50AF" w:rsidP="00BD1AD3"/>
    <w:p w14:paraId="42FBA09E" w14:textId="77777777" w:rsidR="000B50AF" w:rsidRPr="00E65580" w:rsidRDefault="000B50AF" w:rsidP="00BD1AD3">
      <w:r w:rsidRPr="00E65580">
        <w:t>David Pratt</w:t>
      </w:r>
    </w:p>
    <w:p w14:paraId="0363663C" w14:textId="3512F6DD" w:rsidR="004273E3" w:rsidRPr="00E65580" w:rsidRDefault="000B50AF" w:rsidP="00BD1AD3">
      <w:r w:rsidRPr="00E65580">
        <w:t>Assistant Director, Transportation Safety</w:t>
      </w:r>
    </w:p>
    <w:sectPr w:rsidR="004273E3" w:rsidRPr="00E65580" w:rsidSect="004F11FD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8A98" w14:textId="77777777" w:rsidR="005C42C5" w:rsidRDefault="005C42C5" w:rsidP="00AB61BF">
      <w:r>
        <w:separator/>
      </w:r>
    </w:p>
  </w:endnote>
  <w:endnote w:type="continuationSeparator" w:id="0">
    <w:p w14:paraId="13A6D9D4" w14:textId="77777777" w:rsidR="005C42C5" w:rsidRDefault="005C42C5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C8EA" w14:textId="77777777" w:rsidR="004847F9" w:rsidRPr="00417016" w:rsidRDefault="004847F9" w:rsidP="004847F9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tab/>
    </w:r>
    <w:r>
      <w:rPr>
        <w:rFonts w:ascii="Arial" w:hAnsi="Arial" w:cs="Arial"/>
        <w:color w:val="008000"/>
        <w:sz w:val="18"/>
      </w:rPr>
      <w:t>Respect. Professionalism. Integrity. Accountability.</w:t>
    </w:r>
  </w:p>
  <w:p w14:paraId="11A7CAF6" w14:textId="4D791718" w:rsidR="004847F9" w:rsidRDefault="004847F9" w:rsidP="004847F9">
    <w:pPr>
      <w:pStyle w:val="Footer"/>
      <w:tabs>
        <w:tab w:val="clear" w:pos="4680"/>
        <w:tab w:val="clear" w:pos="9360"/>
        <w:tab w:val="left" w:pos="34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E8BC4" w14:textId="77777777" w:rsidR="005C42C5" w:rsidRDefault="005C42C5" w:rsidP="00AB61BF">
      <w:r>
        <w:separator/>
      </w:r>
    </w:p>
  </w:footnote>
  <w:footnote w:type="continuationSeparator" w:id="0">
    <w:p w14:paraId="0BB41073" w14:textId="77777777" w:rsidR="005C42C5" w:rsidRDefault="005C42C5" w:rsidP="00AB61BF">
      <w:r>
        <w:continuationSeparator/>
      </w:r>
    </w:p>
  </w:footnote>
  <w:footnote w:id="1">
    <w:p w14:paraId="6FFAB0F0" w14:textId="5BC0F105" w:rsidR="00EA3495" w:rsidRDefault="00EA3495" w:rsidP="002715FF">
      <w:pPr>
        <w:pStyle w:val="FootnoteText"/>
        <w:tabs>
          <w:tab w:val="left" w:pos="5544"/>
        </w:tabs>
      </w:pPr>
      <w:r>
        <w:rPr>
          <w:rStyle w:val="FootnoteReference"/>
        </w:rPr>
        <w:footnoteRef/>
      </w:r>
      <w:r>
        <w:t xml:space="preserve"> </w:t>
      </w:r>
      <w:r w:rsidRPr="007466D4">
        <w:rPr>
          <w:bCs/>
          <w:iCs/>
        </w:rPr>
        <w:t xml:space="preserve">Code of Federal Regulations, </w:t>
      </w:r>
      <w:r w:rsidRPr="002715FF">
        <w:rPr>
          <w:bCs/>
          <w:iCs/>
        </w:rPr>
        <w:t>Appendix B to Part 385—Explanation of safety rating process</w:t>
      </w:r>
    </w:p>
  </w:footnote>
  <w:footnote w:id="2">
    <w:p w14:paraId="4F05C8A6" w14:textId="2BE1A83B" w:rsidR="00EA3495" w:rsidRDefault="00EA34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3495">
        <w:rPr>
          <w:i/>
        </w:rPr>
        <w:t>Id.</w:t>
      </w:r>
    </w:p>
  </w:footnote>
  <w:footnote w:id="3">
    <w:p w14:paraId="0C44C610" w14:textId="7444D286" w:rsidR="00B74F35" w:rsidRDefault="00B74F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66D4">
        <w:rPr>
          <w:bCs/>
          <w:iCs/>
        </w:rPr>
        <w:t>Docket A-120061 – Enforcement Policy of the Washington Utilities &amp; Transportation Commission – Section 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99D9" w14:textId="69893947" w:rsidR="00245AF9" w:rsidRPr="00987B4C" w:rsidRDefault="00245AF9">
    <w:pPr>
      <w:pStyle w:val="Header"/>
    </w:pPr>
    <w:r w:rsidRPr="00987B4C">
      <w:t>Steven King</w:t>
    </w:r>
  </w:p>
  <w:p w14:paraId="50675540" w14:textId="42A29933" w:rsidR="00245AF9" w:rsidRPr="00987B4C" w:rsidRDefault="003C1164">
    <w:pPr>
      <w:pStyle w:val="Header"/>
    </w:pPr>
    <w:r>
      <w:t>March 31</w:t>
    </w:r>
    <w:r w:rsidR="00311A32">
      <w:t>, 2017</w:t>
    </w:r>
  </w:p>
  <w:p w14:paraId="1FF9850D" w14:textId="1BC347FE" w:rsidR="00982D29" w:rsidRDefault="00245AF9">
    <w:pPr>
      <w:pStyle w:val="Header"/>
      <w:rPr>
        <w:noProof/>
      </w:rPr>
    </w:pPr>
    <w:r w:rsidRPr="00987B4C">
      <w:t xml:space="preserve">Page </w:t>
    </w:r>
    <w:r w:rsidR="005C43E3" w:rsidRPr="00987B4C">
      <w:fldChar w:fldCharType="begin"/>
    </w:r>
    <w:r w:rsidR="005C43E3" w:rsidRPr="00987B4C">
      <w:instrText xml:space="preserve"> PAGE   \* MERGEFORMAT </w:instrText>
    </w:r>
    <w:r w:rsidR="005C43E3" w:rsidRPr="00987B4C">
      <w:fldChar w:fldCharType="separate"/>
    </w:r>
    <w:r w:rsidR="0030044B">
      <w:rPr>
        <w:noProof/>
      </w:rPr>
      <w:t>5</w:t>
    </w:r>
    <w:r w:rsidR="005C43E3" w:rsidRPr="00987B4C">
      <w:rPr>
        <w:noProof/>
      </w:rPr>
      <w:fldChar w:fldCharType="end"/>
    </w:r>
  </w:p>
  <w:p w14:paraId="623EB605" w14:textId="77777777" w:rsidR="00311A32" w:rsidRPr="002647F3" w:rsidRDefault="00311A32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5A698" w14:textId="77777777" w:rsidR="004847F9" w:rsidRDefault="004847F9" w:rsidP="004847F9">
    <w:pPr>
      <w:jc w:val="center"/>
    </w:pPr>
    <w:r>
      <w:rPr>
        <w:noProof/>
      </w:rPr>
      <w:drawing>
        <wp:inline distT="0" distB="0" distL="0" distR="0" wp14:anchorId="5FF82C16" wp14:editId="4EC02AE6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D4F774" w14:textId="77777777" w:rsidR="004847F9" w:rsidRDefault="004847F9" w:rsidP="004847F9">
    <w:pPr>
      <w:rPr>
        <w:sz w:val="14"/>
      </w:rPr>
    </w:pPr>
  </w:p>
  <w:p w14:paraId="3F25D5A3" w14:textId="77777777" w:rsidR="004847F9" w:rsidRDefault="004847F9" w:rsidP="004847F9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2981A669" w14:textId="77777777" w:rsidR="004847F9" w:rsidRDefault="004847F9" w:rsidP="004847F9">
    <w:pPr>
      <w:jc w:val="center"/>
      <w:rPr>
        <w:color w:val="008000"/>
        <w:sz w:val="8"/>
      </w:rPr>
    </w:pPr>
  </w:p>
  <w:p w14:paraId="6DD9CC9A" w14:textId="77777777" w:rsidR="004847F9" w:rsidRDefault="004847F9" w:rsidP="004847F9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78B3491" w14:textId="77777777" w:rsidR="004847F9" w:rsidRDefault="004847F9" w:rsidP="004847F9">
    <w:pPr>
      <w:jc w:val="center"/>
      <w:rPr>
        <w:i/>
        <w:color w:val="008000"/>
        <w:sz w:val="8"/>
      </w:rPr>
    </w:pPr>
  </w:p>
  <w:p w14:paraId="126C8C00" w14:textId="77777777" w:rsidR="004847F9" w:rsidRDefault="004847F9" w:rsidP="004847F9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9438FFF" w14:textId="77777777" w:rsidR="004847F9" w:rsidRPr="00A603E7" w:rsidRDefault="004847F9" w:rsidP="004847F9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52F95807" w14:textId="77777777" w:rsidR="004847F9" w:rsidRDefault="00484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58"/>
    <w:multiLevelType w:val="hybridMultilevel"/>
    <w:tmpl w:val="3B74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3D0"/>
    <w:multiLevelType w:val="hybridMultilevel"/>
    <w:tmpl w:val="B536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D3E8D"/>
    <w:multiLevelType w:val="hybridMultilevel"/>
    <w:tmpl w:val="AACCE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B43B6"/>
    <w:multiLevelType w:val="hybridMultilevel"/>
    <w:tmpl w:val="13AC10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890755D"/>
    <w:multiLevelType w:val="hybridMultilevel"/>
    <w:tmpl w:val="A0960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11E8A"/>
    <w:multiLevelType w:val="hybridMultilevel"/>
    <w:tmpl w:val="77A4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A4F90"/>
    <w:multiLevelType w:val="hybridMultilevel"/>
    <w:tmpl w:val="AAA64F96"/>
    <w:lvl w:ilvl="0" w:tplc="C650877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8F4517"/>
    <w:multiLevelType w:val="hybridMultilevel"/>
    <w:tmpl w:val="AE84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24EFA"/>
    <w:multiLevelType w:val="hybridMultilevel"/>
    <w:tmpl w:val="3B8A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25A40"/>
    <w:multiLevelType w:val="hybridMultilevel"/>
    <w:tmpl w:val="3B325E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2CA1AD5"/>
    <w:multiLevelType w:val="hybridMultilevel"/>
    <w:tmpl w:val="233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73AA4"/>
    <w:multiLevelType w:val="hybridMultilevel"/>
    <w:tmpl w:val="D51E9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D6713"/>
    <w:multiLevelType w:val="hybridMultilevel"/>
    <w:tmpl w:val="4694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4C8D"/>
    <w:rsid w:val="00021EC2"/>
    <w:rsid w:val="00035109"/>
    <w:rsid w:val="00040682"/>
    <w:rsid w:val="000527DD"/>
    <w:rsid w:val="00055875"/>
    <w:rsid w:val="000637E3"/>
    <w:rsid w:val="00063930"/>
    <w:rsid w:val="00064ADC"/>
    <w:rsid w:val="00064F4B"/>
    <w:rsid w:val="000707D4"/>
    <w:rsid w:val="00086389"/>
    <w:rsid w:val="000876F5"/>
    <w:rsid w:val="00087ECD"/>
    <w:rsid w:val="000954B8"/>
    <w:rsid w:val="00096996"/>
    <w:rsid w:val="0009784F"/>
    <w:rsid w:val="000A639A"/>
    <w:rsid w:val="000B20F1"/>
    <w:rsid w:val="000B3BFA"/>
    <w:rsid w:val="000B4264"/>
    <w:rsid w:val="000B50AF"/>
    <w:rsid w:val="000B778A"/>
    <w:rsid w:val="000C0F24"/>
    <w:rsid w:val="000C58B3"/>
    <w:rsid w:val="000C5D14"/>
    <w:rsid w:val="000C76D7"/>
    <w:rsid w:val="000D3D22"/>
    <w:rsid w:val="000D603A"/>
    <w:rsid w:val="000E11BD"/>
    <w:rsid w:val="000E1C73"/>
    <w:rsid w:val="000E1E5B"/>
    <w:rsid w:val="000E4875"/>
    <w:rsid w:val="000E7251"/>
    <w:rsid w:val="000F02C6"/>
    <w:rsid w:val="000F797D"/>
    <w:rsid w:val="00111248"/>
    <w:rsid w:val="00117D9F"/>
    <w:rsid w:val="00120217"/>
    <w:rsid w:val="00120C4D"/>
    <w:rsid w:val="00121610"/>
    <w:rsid w:val="00126F07"/>
    <w:rsid w:val="0013094C"/>
    <w:rsid w:val="00131099"/>
    <w:rsid w:val="00131730"/>
    <w:rsid w:val="001341EA"/>
    <w:rsid w:val="00134E6B"/>
    <w:rsid w:val="0013536A"/>
    <w:rsid w:val="001353BD"/>
    <w:rsid w:val="00136FC8"/>
    <w:rsid w:val="0014327C"/>
    <w:rsid w:val="00145982"/>
    <w:rsid w:val="0014617A"/>
    <w:rsid w:val="00147032"/>
    <w:rsid w:val="00147DB5"/>
    <w:rsid w:val="0015306D"/>
    <w:rsid w:val="001614C8"/>
    <w:rsid w:val="001804DD"/>
    <w:rsid w:val="0018490A"/>
    <w:rsid w:val="001866B3"/>
    <w:rsid w:val="0019312D"/>
    <w:rsid w:val="0019417F"/>
    <w:rsid w:val="001A38CA"/>
    <w:rsid w:val="001B14D3"/>
    <w:rsid w:val="001C449E"/>
    <w:rsid w:val="001C6369"/>
    <w:rsid w:val="001C7559"/>
    <w:rsid w:val="001D1800"/>
    <w:rsid w:val="001D74ED"/>
    <w:rsid w:val="001E6629"/>
    <w:rsid w:val="001E77EB"/>
    <w:rsid w:val="001F31D2"/>
    <w:rsid w:val="00200F18"/>
    <w:rsid w:val="00205A8A"/>
    <w:rsid w:val="00212D1C"/>
    <w:rsid w:val="00213ED3"/>
    <w:rsid w:val="00216F02"/>
    <w:rsid w:val="0022412A"/>
    <w:rsid w:val="00224307"/>
    <w:rsid w:val="0022699B"/>
    <w:rsid w:val="00233D33"/>
    <w:rsid w:val="00234A85"/>
    <w:rsid w:val="00235C74"/>
    <w:rsid w:val="0023773E"/>
    <w:rsid w:val="00237F30"/>
    <w:rsid w:val="00245AF9"/>
    <w:rsid w:val="00246BA8"/>
    <w:rsid w:val="00250E07"/>
    <w:rsid w:val="00257F34"/>
    <w:rsid w:val="002628CB"/>
    <w:rsid w:val="002640EA"/>
    <w:rsid w:val="002647F3"/>
    <w:rsid w:val="0026627F"/>
    <w:rsid w:val="002712B3"/>
    <w:rsid w:val="002715FF"/>
    <w:rsid w:val="002721D3"/>
    <w:rsid w:val="00273D2C"/>
    <w:rsid w:val="00274B55"/>
    <w:rsid w:val="0027539A"/>
    <w:rsid w:val="00275591"/>
    <w:rsid w:val="00276CAD"/>
    <w:rsid w:val="002834FA"/>
    <w:rsid w:val="002839C4"/>
    <w:rsid w:val="00287B70"/>
    <w:rsid w:val="00292A40"/>
    <w:rsid w:val="002A39BD"/>
    <w:rsid w:val="002B24E4"/>
    <w:rsid w:val="002B6420"/>
    <w:rsid w:val="002B6E16"/>
    <w:rsid w:val="002C0657"/>
    <w:rsid w:val="002C620C"/>
    <w:rsid w:val="002C67BA"/>
    <w:rsid w:val="002D1439"/>
    <w:rsid w:val="002D2453"/>
    <w:rsid w:val="002D6081"/>
    <w:rsid w:val="002F03DE"/>
    <w:rsid w:val="0030044B"/>
    <w:rsid w:val="0030584B"/>
    <w:rsid w:val="00311A32"/>
    <w:rsid w:val="003225B5"/>
    <w:rsid w:val="00330C44"/>
    <w:rsid w:val="00343C1F"/>
    <w:rsid w:val="0035014E"/>
    <w:rsid w:val="0035187E"/>
    <w:rsid w:val="00353540"/>
    <w:rsid w:val="00354277"/>
    <w:rsid w:val="00355572"/>
    <w:rsid w:val="0035627B"/>
    <w:rsid w:val="00360924"/>
    <w:rsid w:val="003617CA"/>
    <w:rsid w:val="0036446F"/>
    <w:rsid w:val="00364DA6"/>
    <w:rsid w:val="003669F5"/>
    <w:rsid w:val="003819C4"/>
    <w:rsid w:val="0038696B"/>
    <w:rsid w:val="003A48D2"/>
    <w:rsid w:val="003A6262"/>
    <w:rsid w:val="003B477D"/>
    <w:rsid w:val="003B74A9"/>
    <w:rsid w:val="003B78E8"/>
    <w:rsid w:val="003C1164"/>
    <w:rsid w:val="003C5AEE"/>
    <w:rsid w:val="003E034B"/>
    <w:rsid w:val="003E2E17"/>
    <w:rsid w:val="003E3CF5"/>
    <w:rsid w:val="003E50A3"/>
    <w:rsid w:val="003E63F7"/>
    <w:rsid w:val="003F7B40"/>
    <w:rsid w:val="00400676"/>
    <w:rsid w:val="00401576"/>
    <w:rsid w:val="00405161"/>
    <w:rsid w:val="00405E06"/>
    <w:rsid w:val="00405FF7"/>
    <w:rsid w:val="004060AA"/>
    <w:rsid w:val="004100F7"/>
    <w:rsid w:val="00414D74"/>
    <w:rsid w:val="00417016"/>
    <w:rsid w:val="004255B9"/>
    <w:rsid w:val="004273E3"/>
    <w:rsid w:val="00430622"/>
    <w:rsid w:val="00432EC3"/>
    <w:rsid w:val="00433DFE"/>
    <w:rsid w:val="004436A8"/>
    <w:rsid w:val="00444A09"/>
    <w:rsid w:val="0045135A"/>
    <w:rsid w:val="00456BD7"/>
    <w:rsid w:val="00456D30"/>
    <w:rsid w:val="00456EDF"/>
    <w:rsid w:val="004621D8"/>
    <w:rsid w:val="004645CB"/>
    <w:rsid w:val="00465E32"/>
    <w:rsid w:val="004673C1"/>
    <w:rsid w:val="00470F05"/>
    <w:rsid w:val="0048076E"/>
    <w:rsid w:val="004847F9"/>
    <w:rsid w:val="00487655"/>
    <w:rsid w:val="004943B3"/>
    <w:rsid w:val="0049612C"/>
    <w:rsid w:val="00497AE6"/>
    <w:rsid w:val="004A04C0"/>
    <w:rsid w:val="004A143B"/>
    <w:rsid w:val="004A1551"/>
    <w:rsid w:val="004A1B53"/>
    <w:rsid w:val="004A20AB"/>
    <w:rsid w:val="004A59E3"/>
    <w:rsid w:val="004B3992"/>
    <w:rsid w:val="004C18D8"/>
    <w:rsid w:val="004C1A29"/>
    <w:rsid w:val="004C3BD1"/>
    <w:rsid w:val="004D1436"/>
    <w:rsid w:val="004D36E9"/>
    <w:rsid w:val="004D6B37"/>
    <w:rsid w:val="004F0B44"/>
    <w:rsid w:val="004F11FD"/>
    <w:rsid w:val="004F68C9"/>
    <w:rsid w:val="004F75F4"/>
    <w:rsid w:val="0050319D"/>
    <w:rsid w:val="005162EF"/>
    <w:rsid w:val="00516521"/>
    <w:rsid w:val="00517073"/>
    <w:rsid w:val="005270C4"/>
    <w:rsid w:val="00531C07"/>
    <w:rsid w:val="00533DD6"/>
    <w:rsid w:val="00534FE3"/>
    <w:rsid w:val="00535796"/>
    <w:rsid w:val="00535863"/>
    <w:rsid w:val="00540372"/>
    <w:rsid w:val="005431AE"/>
    <w:rsid w:val="0054755F"/>
    <w:rsid w:val="00554DF4"/>
    <w:rsid w:val="00555804"/>
    <w:rsid w:val="0056452A"/>
    <w:rsid w:val="00572F1D"/>
    <w:rsid w:val="00572FF2"/>
    <w:rsid w:val="005737E3"/>
    <w:rsid w:val="00575A54"/>
    <w:rsid w:val="005763F7"/>
    <w:rsid w:val="0058130D"/>
    <w:rsid w:val="00583A71"/>
    <w:rsid w:val="00595A18"/>
    <w:rsid w:val="005A0A5D"/>
    <w:rsid w:val="005A6A11"/>
    <w:rsid w:val="005B3230"/>
    <w:rsid w:val="005B4E86"/>
    <w:rsid w:val="005C3742"/>
    <w:rsid w:val="005C42C5"/>
    <w:rsid w:val="005C43E3"/>
    <w:rsid w:val="005C789C"/>
    <w:rsid w:val="005D33BE"/>
    <w:rsid w:val="005D7FF2"/>
    <w:rsid w:val="005E0D87"/>
    <w:rsid w:val="005E2C56"/>
    <w:rsid w:val="005E4873"/>
    <w:rsid w:val="005F2A13"/>
    <w:rsid w:val="005F32B2"/>
    <w:rsid w:val="005F3414"/>
    <w:rsid w:val="006032AE"/>
    <w:rsid w:val="00603E96"/>
    <w:rsid w:val="00604A73"/>
    <w:rsid w:val="006267CA"/>
    <w:rsid w:val="0063135F"/>
    <w:rsid w:val="00632A53"/>
    <w:rsid w:val="00637DAF"/>
    <w:rsid w:val="00640CE3"/>
    <w:rsid w:val="00640D77"/>
    <w:rsid w:val="0064615A"/>
    <w:rsid w:val="0065636B"/>
    <w:rsid w:val="006563B8"/>
    <w:rsid w:val="00657EB7"/>
    <w:rsid w:val="00660A2B"/>
    <w:rsid w:val="00661127"/>
    <w:rsid w:val="0066178D"/>
    <w:rsid w:val="00661B87"/>
    <w:rsid w:val="00662563"/>
    <w:rsid w:val="006659CD"/>
    <w:rsid w:val="0067173B"/>
    <w:rsid w:val="00674499"/>
    <w:rsid w:val="00674EAC"/>
    <w:rsid w:val="00690AE6"/>
    <w:rsid w:val="00694401"/>
    <w:rsid w:val="00694800"/>
    <w:rsid w:val="006956BB"/>
    <w:rsid w:val="00695FC5"/>
    <w:rsid w:val="00697458"/>
    <w:rsid w:val="006A2F95"/>
    <w:rsid w:val="006A3731"/>
    <w:rsid w:val="006A69FE"/>
    <w:rsid w:val="006B1CF0"/>
    <w:rsid w:val="006B35DA"/>
    <w:rsid w:val="006B702A"/>
    <w:rsid w:val="006C0239"/>
    <w:rsid w:val="006C600E"/>
    <w:rsid w:val="006D1375"/>
    <w:rsid w:val="006D3634"/>
    <w:rsid w:val="006D5484"/>
    <w:rsid w:val="006D733D"/>
    <w:rsid w:val="006E4C7A"/>
    <w:rsid w:val="006E57A7"/>
    <w:rsid w:val="006F408A"/>
    <w:rsid w:val="006F76FD"/>
    <w:rsid w:val="006F79FF"/>
    <w:rsid w:val="00701C06"/>
    <w:rsid w:val="00702900"/>
    <w:rsid w:val="007034AF"/>
    <w:rsid w:val="0070773A"/>
    <w:rsid w:val="00715F88"/>
    <w:rsid w:val="00716032"/>
    <w:rsid w:val="007172B1"/>
    <w:rsid w:val="007305EA"/>
    <w:rsid w:val="00732F07"/>
    <w:rsid w:val="007352B5"/>
    <w:rsid w:val="00741F6B"/>
    <w:rsid w:val="00743E7A"/>
    <w:rsid w:val="00745630"/>
    <w:rsid w:val="00745F8A"/>
    <w:rsid w:val="007466D4"/>
    <w:rsid w:val="00755695"/>
    <w:rsid w:val="007556E3"/>
    <w:rsid w:val="007571E6"/>
    <w:rsid w:val="00763902"/>
    <w:rsid w:val="00780553"/>
    <w:rsid w:val="007A2CAE"/>
    <w:rsid w:val="007A4CBE"/>
    <w:rsid w:val="007B57D8"/>
    <w:rsid w:val="007C34FC"/>
    <w:rsid w:val="007C5E20"/>
    <w:rsid w:val="007C6395"/>
    <w:rsid w:val="007C6AC7"/>
    <w:rsid w:val="007C7D9F"/>
    <w:rsid w:val="007D1C53"/>
    <w:rsid w:val="007E3551"/>
    <w:rsid w:val="007E5EDA"/>
    <w:rsid w:val="007F6D68"/>
    <w:rsid w:val="0080300E"/>
    <w:rsid w:val="00804378"/>
    <w:rsid w:val="008121A7"/>
    <w:rsid w:val="008230E3"/>
    <w:rsid w:val="00826FEA"/>
    <w:rsid w:val="0083782A"/>
    <w:rsid w:val="00840B2D"/>
    <w:rsid w:val="0085010F"/>
    <w:rsid w:val="00856CAA"/>
    <w:rsid w:val="00857494"/>
    <w:rsid w:val="008669BE"/>
    <w:rsid w:val="0087041B"/>
    <w:rsid w:val="00880B33"/>
    <w:rsid w:val="00882A9B"/>
    <w:rsid w:val="00893825"/>
    <w:rsid w:val="00896D5C"/>
    <w:rsid w:val="008A04E8"/>
    <w:rsid w:val="008C283E"/>
    <w:rsid w:val="008C5ACD"/>
    <w:rsid w:val="008D33E2"/>
    <w:rsid w:val="008D4F02"/>
    <w:rsid w:val="008E22DB"/>
    <w:rsid w:val="008E7D29"/>
    <w:rsid w:val="008E7F84"/>
    <w:rsid w:val="008F1B59"/>
    <w:rsid w:val="008F6354"/>
    <w:rsid w:val="00916B67"/>
    <w:rsid w:val="00921301"/>
    <w:rsid w:val="0092207D"/>
    <w:rsid w:val="00922785"/>
    <w:rsid w:val="009246E4"/>
    <w:rsid w:val="00932768"/>
    <w:rsid w:val="00932DB0"/>
    <w:rsid w:val="009420CA"/>
    <w:rsid w:val="0094456E"/>
    <w:rsid w:val="00944B34"/>
    <w:rsid w:val="00966182"/>
    <w:rsid w:val="009711AB"/>
    <w:rsid w:val="0097341B"/>
    <w:rsid w:val="00974BF6"/>
    <w:rsid w:val="009765B2"/>
    <w:rsid w:val="00982D29"/>
    <w:rsid w:val="0098326B"/>
    <w:rsid w:val="00987B4C"/>
    <w:rsid w:val="00995243"/>
    <w:rsid w:val="009A0759"/>
    <w:rsid w:val="009A40FD"/>
    <w:rsid w:val="009A6A43"/>
    <w:rsid w:val="009C0629"/>
    <w:rsid w:val="009D0F33"/>
    <w:rsid w:val="009D14CC"/>
    <w:rsid w:val="009E46D7"/>
    <w:rsid w:val="009E4818"/>
    <w:rsid w:val="009F0A9E"/>
    <w:rsid w:val="009F496B"/>
    <w:rsid w:val="009F69BF"/>
    <w:rsid w:val="009F6D8C"/>
    <w:rsid w:val="00A00984"/>
    <w:rsid w:val="00A04586"/>
    <w:rsid w:val="00A11437"/>
    <w:rsid w:val="00A11808"/>
    <w:rsid w:val="00A22724"/>
    <w:rsid w:val="00A23455"/>
    <w:rsid w:val="00A37B18"/>
    <w:rsid w:val="00A37F05"/>
    <w:rsid w:val="00A41356"/>
    <w:rsid w:val="00A47619"/>
    <w:rsid w:val="00A538E2"/>
    <w:rsid w:val="00A60745"/>
    <w:rsid w:val="00A62D29"/>
    <w:rsid w:val="00A7180B"/>
    <w:rsid w:val="00A749C9"/>
    <w:rsid w:val="00A940E9"/>
    <w:rsid w:val="00A964FC"/>
    <w:rsid w:val="00A96DE4"/>
    <w:rsid w:val="00A9786F"/>
    <w:rsid w:val="00A97EF6"/>
    <w:rsid w:val="00AA4E90"/>
    <w:rsid w:val="00AA5851"/>
    <w:rsid w:val="00AA7C8D"/>
    <w:rsid w:val="00AB4CAA"/>
    <w:rsid w:val="00AB61BF"/>
    <w:rsid w:val="00AB7979"/>
    <w:rsid w:val="00AC48BF"/>
    <w:rsid w:val="00AD04FD"/>
    <w:rsid w:val="00AD10E7"/>
    <w:rsid w:val="00AD48B2"/>
    <w:rsid w:val="00AD69DD"/>
    <w:rsid w:val="00AE15E3"/>
    <w:rsid w:val="00AF4DCE"/>
    <w:rsid w:val="00B0438D"/>
    <w:rsid w:val="00B077A1"/>
    <w:rsid w:val="00B147A9"/>
    <w:rsid w:val="00B26E41"/>
    <w:rsid w:val="00B2703B"/>
    <w:rsid w:val="00B27BD0"/>
    <w:rsid w:val="00B3248B"/>
    <w:rsid w:val="00B34EDB"/>
    <w:rsid w:val="00B40AE0"/>
    <w:rsid w:val="00B52988"/>
    <w:rsid w:val="00B54BA4"/>
    <w:rsid w:val="00B6047C"/>
    <w:rsid w:val="00B639B4"/>
    <w:rsid w:val="00B66FF1"/>
    <w:rsid w:val="00B67EFF"/>
    <w:rsid w:val="00B706C6"/>
    <w:rsid w:val="00B722A9"/>
    <w:rsid w:val="00B74F35"/>
    <w:rsid w:val="00B76E9D"/>
    <w:rsid w:val="00B853C1"/>
    <w:rsid w:val="00B87A4A"/>
    <w:rsid w:val="00B92B3A"/>
    <w:rsid w:val="00B92E80"/>
    <w:rsid w:val="00B9571C"/>
    <w:rsid w:val="00B96651"/>
    <w:rsid w:val="00BA381D"/>
    <w:rsid w:val="00BA5720"/>
    <w:rsid w:val="00BA7782"/>
    <w:rsid w:val="00BA7F02"/>
    <w:rsid w:val="00BB0A02"/>
    <w:rsid w:val="00BB64B6"/>
    <w:rsid w:val="00BC2647"/>
    <w:rsid w:val="00BC4229"/>
    <w:rsid w:val="00BC4721"/>
    <w:rsid w:val="00BD11FB"/>
    <w:rsid w:val="00BD1AD3"/>
    <w:rsid w:val="00BD23F4"/>
    <w:rsid w:val="00BD578E"/>
    <w:rsid w:val="00BE1DCA"/>
    <w:rsid w:val="00BE3E85"/>
    <w:rsid w:val="00BF1089"/>
    <w:rsid w:val="00BF2685"/>
    <w:rsid w:val="00BF411F"/>
    <w:rsid w:val="00BF5304"/>
    <w:rsid w:val="00BF7611"/>
    <w:rsid w:val="00C00362"/>
    <w:rsid w:val="00C04E81"/>
    <w:rsid w:val="00C1387D"/>
    <w:rsid w:val="00C13BAF"/>
    <w:rsid w:val="00C14192"/>
    <w:rsid w:val="00C150EA"/>
    <w:rsid w:val="00C17FE6"/>
    <w:rsid w:val="00C27B37"/>
    <w:rsid w:val="00C27CEE"/>
    <w:rsid w:val="00C31482"/>
    <w:rsid w:val="00C36B9D"/>
    <w:rsid w:val="00C379FD"/>
    <w:rsid w:val="00C443C0"/>
    <w:rsid w:val="00C44A12"/>
    <w:rsid w:val="00C52104"/>
    <w:rsid w:val="00C561A8"/>
    <w:rsid w:val="00C679D6"/>
    <w:rsid w:val="00C709C1"/>
    <w:rsid w:val="00C73FCA"/>
    <w:rsid w:val="00C905EF"/>
    <w:rsid w:val="00C959D1"/>
    <w:rsid w:val="00C95D2B"/>
    <w:rsid w:val="00C9626E"/>
    <w:rsid w:val="00C97594"/>
    <w:rsid w:val="00CA017A"/>
    <w:rsid w:val="00CA0B37"/>
    <w:rsid w:val="00CA5C4D"/>
    <w:rsid w:val="00CB751F"/>
    <w:rsid w:val="00CD0182"/>
    <w:rsid w:val="00CE37D5"/>
    <w:rsid w:val="00CF0FD7"/>
    <w:rsid w:val="00CF33A3"/>
    <w:rsid w:val="00CF7C80"/>
    <w:rsid w:val="00D01D42"/>
    <w:rsid w:val="00D0272A"/>
    <w:rsid w:val="00D02E3E"/>
    <w:rsid w:val="00D07E7B"/>
    <w:rsid w:val="00D3220C"/>
    <w:rsid w:val="00D32561"/>
    <w:rsid w:val="00D3745D"/>
    <w:rsid w:val="00D473CE"/>
    <w:rsid w:val="00D53B59"/>
    <w:rsid w:val="00D57864"/>
    <w:rsid w:val="00D75EF6"/>
    <w:rsid w:val="00D85376"/>
    <w:rsid w:val="00D9038D"/>
    <w:rsid w:val="00D91265"/>
    <w:rsid w:val="00DA21B3"/>
    <w:rsid w:val="00DA36C1"/>
    <w:rsid w:val="00DB7A1B"/>
    <w:rsid w:val="00DC014D"/>
    <w:rsid w:val="00DC2E69"/>
    <w:rsid w:val="00DF1994"/>
    <w:rsid w:val="00DF2D4A"/>
    <w:rsid w:val="00DF3C61"/>
    <w:rsid w:val="00DF64A3"/>
    <w:rsid w:val="00DF711D"/>
    <w:rsid w:val="00DF7ABB"/>
    <w:rsid w:val="00E142E7"/>
    <w:rsid w:val="00E2047D"/>
    <w:rsid w:val="00E228DB"/>
    <w:rsid w:val="00E250E8"/>
    <w:rsid w:val="00E252B7"/>
    <w:rsid w:val="00E4706D"/>
    <w:rsid w:val="00E52825"/>
    <w:rsid w:val="00E52F87"/>
    <w:rsid w:val="00E6506C"/>
    <w:rsid w:val="00E65580"/>
    <w:rsid w:val="00E71259"/>
    <w:rsid w:val="00E7387A"/>
    <w:rsid w:val="00E77528"/>
    <w:rsid w:val="00E823B7"/>
    <w:rsid w:val="00E95575"/>
    <w:rsid w:val="00EA03FE"/>
    <w:rsid w:val="00EA200D"/>
    <w:rsid w:val="00EA2DF6"/>
    <w:rsid w:val="00EA3495"/>
    <w:rsid w:val="00EA385B"/>
    <w:rsid w:val="00EA7B9D"/>
    <w:rsid w:val="00EB0DD5"/>
    <w:rsid w:val="00EB4C3C"/>
    <w:rsid w:val="00EC14C3"/>
    <w:rsid w:val="00EC5D40"/>
    <w:rsid w:val="00ED138B"/>
    <w:rsid w:val="00ED1C3A"/>
    <w:rsid w:val="00EE231D"/>
    <w:rsid w:val="00EE5575"/>
    <w:rsid w:val="00EF79E8"/>
    <w:rsid w:val="00F0157C"/>
    <w:rsid w:val="00F174C8"/>
    <w:rsid w:val="00F20DAD"/>
    <w:rsid w:val="00F263C4"/>
    <w:rsid w:val="00F315C9"/>
    <w:rsid w:val="00F32A6D"/>
    <w:rsid w:val="00F32ADC"/>
    <w:rsid w:val="00F40076"/>
    <w:rsid w:val="00F47C73"/>
    <w:rsid w:val="00F507CC"/>
    <w:rsid w:val="00F51C08"/>
    <w:rsid w:val="00F620CD"/>
    <w:rsid w:val="00F62232"/>
    <w:rsid w:val="00F65A9C"/>
    <w:rsid w:val="00F65ABE"/>
    <w:rsid w:val="00F74B20"/>
    <w:rsid w:val="00F8486F"/>
    <w:rsid w:val="00F84BFD"/>
    <w:rsid w:val="00F852CB"/>
    <w:rsid w:val="00F9296D"/>
    <w:rsid w:val="00FA1297"/>
    <w:rsid w:val="00FA2D09"/>
    <w:rsid w:val="00FA561C"/>
    <w:rsid w:val="00FA5B6E"/>
    <w:rsid w:val="00FB12F8"/>
    <w:rsid w:val="00FB147C"/>
    <w:rsid w:val="00FB2D38"/>
    <w:rsid w:val="00FB6945"/>
    <w:rsid w:val="00FC33B9"/>
    <w:rsid w:val="00FD04EB"/>
    <w:rsid w:val="00FE2FFC"/>
    <w:rsid w:val="00FE68D7"/>
    <w:rsid w:val="00FE6E9E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A30A07E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6D30"/>
    <w:pPr>
      <w:keepNext/>
      <w:autoSpaceDE w:val="0"/>
      <w:autoSpaceDN w:val="0"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49612C"/>
    <w:rPr>
      <w:strike w:val="0"/>
      <w:dstrike w:val="0"/>
      <w:sz w:val="20"/>
      <w:vertAlign w:val="superscript"/>
    </w:rPr>
  </w:style>
  <w:style w:type="paragraph" w:styleId="BodyText">
    <w:name w:val="Body Text"/>
    <w:basedOn w:val="Normal"/>
    <w:link w:val="BodyTextChar"/>
    <w:rsid w:val="000B50AF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B50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9612C"/>
    <w:pPr>
      <w:widowControl w:val="0"/>
      <w:autoSpaceDE w:val="0"/>
      <w:autoSpaceDN w:val="0"/>
      <w:adjustRightInd w:val="0"/>
    </w:pPr>
    <w:rPr>
      <w:sz w:val="20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612C"/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30"/>
    <w:rPr>
      <w:rFonts w:ascii="Calibri Light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7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FF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7E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7E"/>
    <w:rPr>
      <w:rFonts w:ascii="Calibri" w:eastAsia="Calibri" w:hAnsi="Calibri" w:cs="Times New Roman"/>
      <w:b/>
      <w:bCs/>
      <w:sz w:val="20"/>
      <w:szCs w:val="20"/>
    </w:rPr>
  </w:style>
  <w:style w:type="paragraph" w:styleId="ListBullet">
    <w:name w:val="List Bullet"/>
    <w:basedOn w:val="ListParagraph"/>
    <w:rsid w:val="00B077A1"/>
    <w:pPr>
      <w:numPr>
        <w:numId w:val="12"/>
      </w:numPr>
      <w:spacing w:after="240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0BB987D2182E438773B78864438CB0" ma:contentTypeVersion="104" ma:contentTypeDescription="" ma:contentTypeScope="" ma:versionID="6d12d3f8eb856c0f589ba4eaa81e66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2017-02-28T08:00:00+00:00</OpenedDate>
    <Date1 xmlns="dc463f71-b30c-4ab2-9473-d307f9d35888">2017-03-31T19:26:20+00:00</Date1>
    <IsDocumentOrder xmlns="dc463f71-b30c-4ab2-9473-d307f9d35888" xsi:nil="true"/>
    <IsHighlyConfidential xmlns="dc463f71-b30c-4ab2-9473-d307f9d35888">false</IsHighlyConfidential>
    <CaseCompanyNames xmlns="dc463f71-b30c-4ab2-9473-d307f9d35888">Gigantic Moving &amp; Storage LLC</CaseCompanyNames>
    <DocketNumber xmlns="dc463f71-b30c-4ab2-9473-d307f9d35888">170124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DD45D-76B7-4728-B122-AF2A02D3E1C2}"/>
</file>

<file path=customXml/itemProps3.xml><?xml version="1.0" encoding="utf-8"?>
<ds:datastoreItem xmlns:ds="http://schemas.openxmlformats.org/officeDocument/2006/customXml" ds:itemID="{72B0F4DC-EA30-4903-B2A9-B773710F973A}"/>
</file>

<file path=customXml/itemProps4.xml><?xml version="1.0" encoding="utf-8"?>
<ds:datastoreItem xmlns:ds="http://schemas.openxmlformats.org/officeDocument/2006/customXml" ds:itemID="{D4D21186-BB63-4DE9-8AF1-40396A9E1C44}">
  <ds:schemaRefs>
    <ds:schemaRef ds:uri="http://schemas.microsoft.com/office/2006/metadata/properties"/>
    <ds:schemaRef ds:uri="dc463f71-b30c-4ab2-9473-d307f9d35888"/>
  </ds:schemaRefs>
</ds:datastoreItem>
</file>

<file path=customXml/itemProps5.xml><?xml version="1.0" encoding="utf-8"?>
<ds:datastoreItem xmlns:ds="http://schemas.openxmlformats.org/officeDocument/2006/customXml" ds:itemID="{57AE4246-32E9-41FA-8904-062CCD5B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Hoxit, Jason (UTC)</cp:lastModifiedBy>
  <cp:revision>18</cp:revision>
  <cp:lastPrinted>2017-03-31T18:11:00Z</cp:lastPrinted>
  <dcterms:created xsi:type="dcterms:W3CDTF">2017-03-30T17:47:00Z</dcterms:created>
  <dcterms:modified xsi:type="dcterms:W3CDTF">2017-03-31T18:25:00Z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0x0101006E56B4D1795A2E4DB2F0B01679ED314A00AD0BB987D2182E438773B78864438CB0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