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4A5" w:rsidRPr="00764AB9" w:rsidRDefault="00DE7789">
      <w:pPr>
        <w:rPr>
          <w:sz w:val="22"/>
          <w:szCs w:val="22"/>
        </w:rPr>
      </w:pPr>
      <w:r>
        <w:rPr>
          <w:noProof/>
        </w:rPr>
        <w:drawing>
          <wp:inline distT="0" distB="0" distL="0" distR="0">
            <wp:extent cx="2673985" cy="9975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3985" cy="997585"/>
                    </a:xfrm>
                    <a:prstGeom prst="rect">
                      <a:avLst/>
                    </a:prstGeom>
                    <a:noFill/>
                    <a:ln>
                      <a:noFill/>
                    </a:ln>
                  </pic:spPr>
                </pic:pic>
              </a:graphicData>
            </a:graphic>
          </wp:inline>
        </w:drawing>
      </w:r>
    </w:p>
    <w:p w:rsidR="00D27DDA" w:rsidRPr="00764AB9" w:rsidRDefault="00D27DDA">
      <w:pPr>
        <w:rPr>
          <w:i/>
          <w:sz w:val="22"/>
          <w:szCs w:val="22"/>
        </w:rPr>
      </w:pPr>
    </w:p>
    <w:p w:rsidR="00706324" w:rsidRPr="00764AB9" w:rsidRDefault="00706324" w:rsidP="00164E1D">
      <w:pPr>
        <w:rPr>
          <w:color w:val="000000"/>
          <w:sz w:val="22"/>
          <w:szCs w:val="22"/>
        </w:rPr>
      </w:pPr>
    </w:p>
    <w:p w:rsidR="00C707C4" w:rsidRDefault="00C707C4">
      <w:pPr>
        <w:ind w:left="4320"/>
        <w:rPr>
          <w:color w:val="000000"/>
          <w:sz w:val="22"/>
          <w:szCs w:val="22"/>
        </w:rPr>
      </w:pPr>
    </w:p>
    <w:p w:rsidR="008228C7" w:rsidRPr="006A193B" w:rsidRDefault="00EF6A0F">
      <w:pPr>
        <w:ind w:left="4320"/>
        <w:rPr>
          <w:color w:val="000000"/>
          <w:sz w:val="24"/>
          <w:szCs w:val="24"/>
        </w:rPr>
      </w:pPr>
      <w:r>
        <w:rPr>
          <w:color w:val="000000"/>
          <w:sz w:val="24"/>
          <w:szCs w:val="24"/>
        </w:rPr>
        <w:t>December</w:t>
      </w:r>
      <w:r w:rsidR="005C4F90" w:rsidRPr="006A193B">
        <w:rPr>
          <w:color w:val="000000"/>
          <w:sz w:val="24"/>
          <w:szCs w:val="24"/>
        </w:rPr>
        <w:t xml:space="preserve"> </w:t>
      </w:r>
      <w:r>
        <w:rPr>
          <w:color w:val="000000"/>
          <w:sz w:val="24"/>
          <w:szCs w:val="24"/>
        </w:rPr>
        <w:t>6</w:t>
      </w:r>
      <w:r w:rsidR="005C4F90" w:rsidRPr="006A193B">
        <w:rPr>
          <w:color w:val="000000"/>
          <w:sz w:val="24"/>
          <w:szCs w:val="24"/>
        </w:rPr>
        <w:t>,</w:t>
      </w:r>
      <w:r w:rsidR="00635CAA" w:rsidRPr="006A193B">
        <w:rPr>
          <w:color w:val="000000"/>
          <w:sz w:val="24"/>
          <w:szCs w:val="24"/>
        </w:rPr>
        <w:t xml:space="preserve"> 201</w:t>
      </w:r>
      <w:r w:rsidR="00E256BA" w:rsidRPr="006A193B">
        <w:rPr>
          <w:color w:val="000000"/>
          <w:sz w:val="24"/>
          <w:szCs w:val="24"/>
        </w:rPr>
        <w:t>6</w:t>
      </w:r>
    </w:p>
    <w:p w:rsidR="00281808" w:rsidRPr="006A193B" w:rsidRDefault="00281808">
      <w:pPr>
        <w:ind w:left="4320"/>
        <w:rPr>
          <w:color w:val="000000"/>
          <w:sz w:val="24"/>
          <w:szCs w:val="24"/>
        </w:rPr>
      </w:pPr>
    </w:p>
    <w:p w:rsidR="005104A5" w:rsidRPr="006A193B" w:rsidRDefault="005104A5">
      <w:pPr>
        <w:ind w:left="4320"/>
        <w:rPr>
          <w:color w:val="000000"/>
          <w:sz w:val="24"/>
          <w:szCs w:val="24"/>
        </w:rPr>
      </w:pPr>
    </w:p>
    <w:p w:rsidR="00F664A9" w:rsidRPr="006A193B" w:rsidRDefault="00F664A9">
      <w:pPr>
        <w:ind w:left="4320"/>
        <w:rPr>
          <w:color w:val="000000"/>
          <w:sz w:val="24"/>
          <w:szCs w:val="24"/>
        </w:rPr>
      </w:pPr>
    </w:p>
    <w:p w:rsidR="006A193B" w:rsidRDefault="00DA25DD">
      <w:pPr>
        <w:rPr>
          <w:color w:val="000000"/>
          <w:sz w:val="24"/>
          <w:szCs w:val="24"/>
        </w:rPr>
      </w:pPr>
      <w:r w:rsidRPr="006A193B">
        <w:rPr>
          <w:color w:val="000000"/>
          <w:sz w:val="24"/>
          <w:szCs w:val="24"/>
        </w:rPr>
        <w:t>Mr</w:t>
      </w:r>
      <w:r w:rsidR="008228C7" w:rsidRPr="006A193B">
        <w:rPr>
          <w:color w:val="000000"/>
          <w:sz w:val="24"/>
          <w:szCs w:val="24"/>
        </w:rPr>
        <w:t xml:space="preserve">. </w:t>
      </w:r>
      <w:r w:rsidR="004E22AA" w:rsidRPr="006A193B">
        <w:rPr>
          <w:color w:val="000000"/>
          <w:sz w:val="24"/>
          <w:szCs w:val="24"/>
        </w:rPr>
        <w:t xml:space="preserve">Steven </w:t>
      </w:r>
      <w:r w:rsidR="00211249" w:rsidRPr="006A193B">
        <w:rPr>
          <w:color w:val="000000"/>
          <w:sz w:val="24"/>
          <w:szCs w:val="24"/>
        </w:rPr>
        <w:t xml:space="preserve">V. </w:t>
      </w:r>
      <w:r w:rsidR="004E22AA" w:rsidRPr="006A193B">
        <w:rPr>
          <w:color w:val="000000"/>
          <w:sz w:val="24"/>
          <w:szCs w:val="24"/>
        </w:rPr>
        <w:t>King</w:t>
      </w:r>
    </w:p>
    <w:p w:rsidR="008228C7" w:rsidRPr="006A193B" w:rsidRDefault="007F6110">
      <w:pPr>
        <w:rPr>
          <w:color w:val="000000"/>
          <w:sz w:val="24"/>
          <w:szCs w:val="24"/>
        </w:rPr>
      </w:pPr>
      <w:r w:rsidRPr="006A193B">
        <w:rPr>
          <w:color w:val="000000"/>
          <w:sz w:val="24"/>
          <w:szCs w:val="24"/>
        </w:rPr>
        <w:t>Executive Director</w:t>
      </w:r>
      <w:r w:rsidR="00C27F21" w:rsidRPr="006A193B">
        <w:rPr>
          <w:color w:val="000000"/>
          <w:sz w:val="24"/>
          <w:szCs w:val="24"/>
        </w:rPr>
        <w:t xml:space="preserve"> and Secretary</w:t>
      </w:r>
    </w:p>
    <w:p w:rsidR="008228C7" w:rsidRPr="006A193B" w:rsidRDefault="008228C7">
      <w:pPr>
        <w:rPr>
          <w:color w:val="000000"/>
          <w:sz w:val="24"/>
          <w:szCs w:val="24"/>
        </w:rPr>
      </w:pPr>
      <w:r w:rsidRPr="006A193B">
        <w:rPr>
          <w:color w:val="000000"/>
          <w:sz w:val="24"/>
          <w:szCs w:val="24"/>
        </w:rPr>
        <w:t>Washington Utilities and Transportation Commission</w:t>
      </w:r>
    </w:p>
    <w:p w:rsidR="008228C7" w:rsidRPr="006A193B" w:rsidRDefault="008228C7">
      <w:pPr>
        <w:rPr>
          <w:color w:val="000000"/>
          <w:sz w:val="24"/>
          <w:szCs w:val="24"/>
        </w:rPr>
      </w:pPr>
      <w:r w:rsidRPr="006A193B">
        <w:rPr>
          <w:color w:val="000000"/>
          <w:sz w:val="24"/>
          <w:szCs w:val="24"/>
        </w:rPr>
        <w:t>P.O. Box 47250</w:t>
      </w:r>
    </w:p>
    <w:p w:rsidR="008228C7" w:rsidRPr="006A193B" w:rsidRDefault="008228C7">
      <w:pPr>
        <w:rPr>
          <w:color w:val="000000"/>
          <w:sz w:val="24"/>
          <w:szCs w:val="24"/>
        </w:rPr>
      </w:pPr>
      <w:r w:rsidRPr="006A193B">
        <w:rPr>
          <w:color w:val="000000"/>
          <w:sz w:val="24"/>
          <w:szCs w:val="24"/>
        </w:rPr>
        <w:t>Olympia, WA  98504-7250</w:t>
      </w:r>
    </w:p>
    <w:p w:rsidR="00281808" w:rsidRPr="006A193B" w:rsidRDefault="00281808">
      <w:pPr>
        <w:rPr>
          <w:color w:val="000000"/>
          <w:sz w:val="24"/>
          <w:szCs w:val="24"/>
        </w:rPr>
      </w:pPr>
    </w:p>
    <w:p w:rsidR="00281808" w:rsidRPr="006A193B" w:rsidRDefault="008228C7">
      <w:pPr>
        <w:rPr>
          <w:color w:val="000000"/>
          <w:sz w:val="24"/>
          <w:szCs w:val="24"/>
        </w:rPr>
      </w:pPr>
      <w:r w:rsidRPr="006A193B">
        <w:rPr>
          <w:b/>
          <w:color w:val="000000"/>
          <w:sz w:val="24"/>
          <w:szCs w:val="24"/>
        </w:rPr>
        <w:t>Re:</w:t>
      </w:r>
      <w:r w:rsidRPr="006A193B">
        <w:rPr>
          <w:b/>
          <w:color w:val="000000"/>
          <w:sz w:val="24"/>
          <w:szCs w:val="24"/>
        </w:rPr>
        <w:tab/>
      </w:r>
      <w:r w:rsidRPr="006A193B">
        <w:rPr>
          <w:b/>
          <w:color w:val="000000"/>
          <w:sz w:val="24"/>
          <w:szCs w:val="24"/>
          <w:u w:val="single"/>
        </w:rPr>
        <w:t>Advice No. 20</w:t>
      </w:r>
      <w:r w:rsidR="00D46BF3" w:rsidRPr="006A193B">
        <w:rPr>
          <w:b/>
          <w:color w:val="000000"/>
          <w:sz w:val="24"/>
          <w:szCs w:val="24"/>
          <w:u w:val="single"/>
        </w:rPr>
        <w:t>1</w:t>
      </w:r>
      <w:r w:rsidR="00E256BA" w:rsidRPr="006A193B">
        <w:rPr>
          <w:b/>
          <w:color w:val="000000"/>
          <w:sz w:val="24"/>
          <w:szCs w:val="24"/>
          <w:u w:val="single"/>
        </w:rPr>
        <w:t>6</w:t>
      </w:r>
      <w:r w:rsidRPr="006A193B">
        <w:rPr>
          <w:b/>
          <w:color w:val="000000"/>
          <w:sz w:val="24"/>
          <w:szCs w:val="24"/>
          <w:u w:val="single"/>
        </w:rPr>
        <w:t>-</w:t>
      </w:r>
      <w:r w:rsidR="00D9094D">
        <w:rPr>
          <w:b/>
          <w:color w:val="000000"/>
          <w:sz w:val="24"/>
          <w:szCs w:val="24"/>
          <w:u w:val="single"/>
        </w:rPr>
        <w:t>36</w:t>
      </w:r>
      <w:r w:rsidRPr="006A193B">
        <w:rPr>
          <w:b/>
          <w:color w:val="000000"/>
          <w:sz w:val="24"/>
          <w:szCs w:val="24"/>
          <w:u w:val="single"/>
        </w:rPr>
        <w:t xml:space="preserve"> (</w:t>
      </w:r>
      <w:r w:rsidR="008C68E5">
        <w:rPr>
          <w:b/>
          <w:color w:val="000000"/>
          <w:sz w:val="24"/>
          <w:szCs w:val="24"/>
          <w:u w:val="single"/>
        </w:rPr>
        <w:t>Line Extension Policy</w:t>
      </w:r>
      <w:r w:rsidRPr="006A193B">
        <w:rPr>
          <w:b/>
          <w:color w:val="000000"/>
          <w:sz w:val="24"/>
          <w:szCs w:val="24"/>
          <w:u w:val="single"/>
        </w:rPr>
        <w:t>)</w:t>
      </w:r>
      <w:r w:rsidR="00C27F21" w:rsidRPr="006A193B">
        <w:rPr>
          <w:b/>
          <w:color w:val="000000"/>
          <w:sz w:val="24"/>
          <w:szCs w:val="24"/>
          <w:u w:val="single"/>
        </w:rPr>
        <w:t xml:space="preserve"> Natural Gas Tariff Filing</w:t>
      </w:r>
      <w:r w:rsidRPr="006A193B">
        <w:rPr>
          <w:b/>
          <w:color w:val="000000"/>
          <w:sz w:val="24"/>
          <w:szCs w:val="24"/>
          <w:u w:val="single"/>
        </w:rPr>
        <w:t xml:space="preserve"> – Filed Electronically</w:t>
      </w:r>
    </w:p>
    <w:p w:rsidR="00281808" w:rsidRPr="006A193B" w:rsidRDefault="00281808">
      <w:pPr>
        <w:rPr>
          <w:color w:val="000000"/>
          <w:sz w:val="24"/>
          <w:szCs w:val="24"/>
        </w:rPr>
      </w:pPr>
    </w:p>
    <w:p w:rsidR="008228C7" w:rsidRPr="006A193B" w:rsidRDefault="00DA25DD">
      <w:pPr>
        <w:pStyle w:val="BodyText"/>
        <w:rPr>
          <w:color w:val="000000"/>
          <w:sz w:val="24"/>
          <w:szCs w:val="24"/>
        </w:rPr>
      </w:pPr>
      <w:r w:rsidRPr="006A193B">
        <w:rPr>
          <w:color w:val="000000"/>
          <w:sz w:val="24"/>
          <w:szCs w:val="24"/>
        </w:rPr>
        <w:t xml:space="preserve">Dear Mr. </w:t>
      </w:r>
      <w:r w:rsidR="004E22AA" w:rsidRPr="006A193B">
        <w:rPr>
          <w:color w:val="000000"/>
          <w:sz w:val="24"/>
          <w:szCs w:val="24"/>
        </w:rPr>
        <w:t>King</w:t>
      </w:r>
      <w:r w:rsidR="008228C7" w:rsidRPr="006A193B">
        <w:rPr>
          <w:color w:val="000000"/>
          <w:sz w:val="24"/>
          <w:szCs w:val="24"/>
        </w:rPr>
        <w:t>:</w:t>
      </w:r>
    </w:p>
    <w:p w:rsidR="008228C7" w:rsidRPr="006A193B" w:rsidRDefault="008228C7">
      <w:pPr>
        <w:rPr>
          <w:b/>
          <w:color w:val="000000"/>
          <w:sz w:val="24"/>
          <w:szCs w:val="24"/>
        </w:rPr>
      </w:pPr>
    </w:p>
    <w:p w:rsidR="00A332E0" w:rsidRPr="00A332E0" w:rsidRDefault="00A332E0" w:rsidP="00A332E0">
      <w:pPr>
        <w:rPr>
          <w:color w:val="000000"/>
          <w:sz w:val="24"/>
          <w:szCs w:val="24"/>
        </w:rPr>
      </w:pPr>
      <w:r w:rsidRPr="00A332E0">
        <w:rPr>
          <w:color w:val="000000"/>
          <w:sz w:val="24"/>
          <w:szCs w:val="24"/>
        </w:rPr>
        <w:t>Pursuant to RCW 80.28.060 and Chapter 480-80 WAC, please find the following proposed revisions to the WN U-2, tariff for natural gas service of Puget Sound Energy (“PSE”):</w:t>
      </w:r>
    </w:p>
    <w:p w:rsidR="00D46BF3" w:rsidRPr="006A193B" w:rsidRDefault="00D46BF3">
      <w:pPr>
        <w:pStyle w:val="BodyText"/>
        <w:rPr>
          <w:color w:val="000000"/>
          <w:sz w:val="24"/>
          <w:szCs w:val="24"/>
        </w:rPr>
      </w:pPr>
    </w:p>
    <w:p w:rsidR="008228C7" w:rsidRDefault="008228C7" w:rsidP="00816621">
      <w:pPr>
        <w:pStyle w:val="BodyText2"/>
        <w:ind w:firstLine="360"/>
        <w:rPr>
          <w:b w:val="0"/>
          <w:color w:val="000000"/>
          <w:sz w:val="24"/>
          <w:szCs w:val="24"/>
          <w:u w:val="single"/>
        </w:rPr>
      </w:pPr>
      <w:r w:rsidRPr="006A193B">
        <w:rPr>
          <w:b w:val="0"/>
          <w:color w:val="000000"/>
          <w:sz w:val="24"/>
          <w:szCs w:val="24"/>
          <w:u w:val="single"/>
        </w:rPr>
        <w:t>WN U-2   (Natural Gas Tariff)</w:t>
      </w:r>
    </w:p>
    <w:p w:rsidR="006859D1" w:rsidRPr="00AF5AD1" w:rsidRDefault="00D9094D" w:rsidP="006859D1">
      <w:pPr>
        <w:pStyle w:val="BodyText2"/>
        <w:ind w:firstLine="360"/>
        <w:rPr>
          <w:b w:val="0"/>
          <w:color w:val="000000"/>
          <w:sz w:val="24"/>
          <w:szCs w:val="24"/>
        </w:rPr>
      </w:pPr>
      <w:r>
        <w:rPr>
          <w:b w:val="0"/>
          <w:color w:val="000000"/>
          <w:sz w:val="24"/>
          <w:szCs w:val="24"/>
        </w:rPr>
        <w:t>1</w:t>
      </w:r>
      <w:r w:rsidR="006859D1">
        <w:rPr>
          <w:b w:val="0"/>
          <w:color w:val="000000"/>
          <w:sz w:val="24"/>
          <w:szCs w:val="24"/>
        </w:rPr>
        <w:t>5</w:t>
      </w:r>
      <w:r w:rsidR="006859D1" w:rsidRPr="006859D1">
        <w:rPr>
          <w:b w:val="0"/>
          <w:color w:val="000000"/>
          <w:sz w:val="24"/>
          <w:szCs w:val="24"/>
          <w:vertAlign w:val="superscript"/>
        </w:rPr>
        <w:t>th</w:t>
      </w:r>
      <w:r w:rsidR="006859D1">
        <w:rPr>
          <w:b w:val="0"/>
          <w:color w:val="000000"/>
          <w:sz w:val="24"/>
          <w:szCs w:val="24"/>
        </w:rPr>
        <w:t xml:space="preserve"> </w:t>
      </w:r>
      <w:r w:rsidR="006859D1" w:rsidRPr="00AF5AD1">
        <w:rPr>
          <w:b w:val="0"/>
          <w:color w:val="000000"/>
          <w:sz w:val="24"/>
          <w:szCs w:val="24"/>
        </w:rPr>
        <w:t xml:space="preserve">Revision of Sheet No. 2 </w:t>
      </w:r>
      <w:r w:rsidR="006859D1">
        <w:rPr>
          <w:b w:val="0"/>
          <w:color w:val="000000"/>
          <w:sz w:val="24"/>
          <w:szCs w:val="24"/>
        </w:rPr>
        <w:t>–</w:t>
      </w:r>
      <w:r w:rsidR="006859D1" w:rsidRPr="00AF5AD1">
        <w:rPr>
          <w:b w:val="0"/>
          <w:color w:val="000000"/>
          <w:sz w:val="24"/>
          <w:szCs w:val="24"/>
        </w:rPr>
        <w:t xml:space="preserve"> N</w:t>
      </w:r>
      <w:r w:rsidR="006859D1">
        <w:rPr>
          <w:b w:val="0"/>
          <w:color w:val="000000"/>
          <w:sz w:val="24"/>
          <w:szCs w:val="24"/>
        </w:rPr>
        <w:t>atural Gas Tariff Index</w:t>
      </w:r>
    </w:p>
    <w:p w:rsidR="00AF5AD1" w:rsidRPr="00AF5AD1" w:rsidRDefault="00AF5AD1" w:rsidP="00AF5AD1">
      <w:pPr>
        <w:pStyle w:val="BodyText2"/>
        <w:ind w:firstLine="360"/>
        <w:rPr>
          <w:b w:val="0"/>
          <w:color w:val="000000"/>
          <w:sz w:val="24"/>
          <w:szCs w:val="24"/>
        </w:rPr>
      </w:pPr>
      <w:r w:rsidRPr="00AF5AD1">
        <w:rPr>
          <w:b w:val="0"/>
          <w:color w:val="000000"/>
          <w:sz w:val="24"/>
          <w:szCs w:val="24"/>
        </w:rPr>
        <w:t>3</w:t>
      </w:r>
      <w:r w:rsidRPr="00AF5AD1">
        <w:rPr>
          <w:b w:val="0"/>
          <w:color w:val="000000"/>
          <w:sz w:val="24"/>
          <w:szCs w:val="24"/>
          <w:vertAlign w:val="superscript"/>
        </w:rPr>
        <w:t>rd</w:t>
      </w:r>
      <w:r w:rsidRPr="00AF5AD1">
        <w:rPr>
          <w:b w:val="0"/>
          <w:color w:val="000000"/>
          <w:sz w:val="24"/>
          <w:szCs w:val="24"/>
        </w:rPr>
        <w:t xml:space="preserve"> Revision of Sheet No. 2-A </w:t>
      </w:r>
      <w:r>
        <w:rPr>
          <w:b w:val="0"/>
          <w:color w:val="000000"/>
          <w:sz w:val="24"/>
          <w:szCs w:val="24"/>
        </w:rPr>
        <w:t>–</w:t>
      </w:r>
      <w:r w:rsidRPr="00AF5AD1">
        <w:rPr>
          <w:b w:val="0"/>
          <w:color w:val="000000"/>
          <w:sz w:val="24"/>
          <w:szCs w:val="24"/>
        </w:rPr>
        <w:t xml:space="preserve"> N</w:t>
      </w:r>
      <w:r>
        <w:rPr>
          <w:b w:val="0"/>
          <w:color w:val="000000"/>
          <w:sz w:val="24"/>
          <w:szCs w:val="24"/>
        </w:rPr>
        <w:t xml:space="preserve">atural Gas Tariff Index </w:t>
      </w:r>
      <w:r w:rsidRPr="00AF5AD1">
        <w:rPr>
          <w:b w:val="0"/>
          <w:color w:val="000000"/>
          <w:sz w:val="24"/>
          <w:szCs w:val="24"/>
        </w:rPr>
        <w:t>(C</w:t>
      </w:r>
      <w:bookmarkStart w:id="0" w:name="_GoBack"/>
      <w:r w:rsidRPr="00AF5AD1">
        <w:rPr>
          <w:b w:val="0"/>
          <w:color w:val="000000"/>
          <w:sz w:val="24"/>
          <w:szCs w:val="24"/>
        </w:rPr>
        <w:t>o</w:t>
      </w:r>
      <w:bookmarkEnd w:id="0"/>
      <w:r w:rsidRPr="00AF5AD1">
        <w:rPr>
          <w:b w:val="0"/>
          <w:color w:val="000000"/>
          <w:sz w:val="24"/>
          <w:szCs w:val="24"/>
        </w:rPr>
        <w:t>ntinued)</w:t>
      </w:r>
    </w:p>
    <w:p w:rsidR="006859D1" w:rsidRPr="00AF5AD1" w:rsidRDefault="00D9094D" w:rsidP="006859D1">
      <w:pPr>
        <w:pStyle w:val="BodyText2"/>
        <w:ind w:firstLine="360"/>
        <w:rPr>
          <w:b w:val="0"/>
          <w:color w:val="000000"/>
          <w:sz w:val="24"/>
          <w:szCs w:val="24"/>
        </w:rPr>
      </w:pPr>
      <w:r>
        <w:rPr>
          <w:b w:val="0"/>
          <w:color w:val="000000"/>
          <w:sz w:val="24"/>
          <w:szCs w:val="24"/>
        </w:rPr>
        <w:t>62</w:t>
      </w:r>
      <w:r w:rsidR="006859D1" w:rsidRPr="006859D1">
        <w:rPr>
          <w:b w:val="0"/>
          <w:color w:val="000000"/>
          <w:sz w:val="24"/>
          <w:szCs w:val="24"/>
          <w:vertAlign w:val="superscript"/>
        </w:rPr>
        <w:t>th</w:t>
      </w:r>
      <w:r w:rsidR="006859D1">
        <w:rPr>
          <w:b w:val="0"/>
          <w:color w:val="000000"/>
          <w:sz w:val="24"/>
          <w:szCs w:val="24"/>
        </w:rPr>
        <w:t xml:space="preserve"> </w:t>
      </w:r>
      <w:r w:rsidR="006859D1" w:rsidRPr="00AF5AD1">
        <w:rPr>
          <w:b w:val="0"/>
          <w:color w:val="000000"/>
          <w:sz w:val="24"/>
          <w:szCs w:val="24"/>
        </w:rPr>
        <w:t xml:space="preserve">Revision of Sheet No. </w:t>
      </w:r>
      <w:r w:rsidR="006859D1">
        <w:rPr>
          <w:b w:val="0"/>
          <w:color w:val="000000"/>
          <w:sz w:val="24"/>
          <w:szCs w:val="24"/>
        </w:rPr>
        <w:t>3</w:t>
      </w:r>
      <w:r w:rsidR="006859D1" w:rsidRPr="00AF5AD1">
        <w:rPr>
          <w:b w:val="0"/>
          <w:color w:val="000000"/>
          <w:sz w:val="24"/>
          <w:szCs w:val="24"/>
        </w:rPr>
        <w:t xml:space="preserve"> </w:t>
      </w:r>
      <w:r w:rsidR="006859D1">
        <w:rPr>
          <w:b w:val="0"/>
          <w:color w:val="000000"/>
          <w:sz w:val="24"/>
          <w:szCs w:val="24"/>
        </w:rPr>
        <w:t>–</w:t>
      </w:r>
      <w:r w:rsidR="006859D1" w:rsidRPr="00AF5AD1">
        <w:rPr>
          <w:b w:val="0"/>
          <w:color w:val="000000"/>
          <w:sz w:val="24"/>
          <w:szCs w:val="24"/>
        </w:rPr>
        <w:t xml:space="preserve"> N</w:t>
      </w:r>
      <w:r w:rsidR="006859D1">
        <w:rPr>
          <w:b w:val="0"/>
          <w:color w:val="000000"/>
          <w:sz w:val="24"/>
          <w:szCs w:val="24"/>
        </w:rPr>
        <w:t xml:space="preserve">atural Gas Tariff Index </w:t>
      </w:r>
      <w:r w:rsidR="006859D1" w:rsidRPr="00AF5AD1">
        <w:rPr>
          <w:b w:val="0"/>
          <w:color w:val="000000"/>
          <w:sz w:val="24"/>
          <w:szCs w:val="24"/>
        </w:rPr>
        <w:t>(Continued)</w:t>
      </w:r>
    </w:p>
    <w:p w:rsidR="006859D1" w:rsidRPr="00AF5AD1" w:rsidRDefault="006859D1" w:rsidP="006859D1">
      <w:pPr>
        <w:pStyle w:val="BodyText2"/>
        <w:ind w:firstLine="360"/>
        <w:rPr>
          <w:b w:val="0"/>
          <w:color w:val="000000"/>
          <w:sz w:val="24"/>
          <w:szCs w:val="24"/>
        </w:rPr>
      </w:pPr>
      <w:r w:rsidRPr="00AF5AD1">
        <w:rPr>
          <w:b w:val="0"/>
          <w:color w:val="000000"/>
          <w:sz w:val="24"/>
          <w:szCs w:val="24"/>
        </w:rPr>
        <w:t>3</w:t>
      </w:r>
      <w:r>
        <w:rPr>
          <w:b w:val="0"/>
          <w:color w:val="000000"/>
          <w:sz w:val="24"/>
          <w:szCs w:val="24"/>
        </w:rPr>
        <w:t>4</w:t>
      </w:r>
      <w:r w:rsidRPr="006859D1">
        <w:rPr>
          <w:b w:val="0"/>
          <w:color w:val="000000"/>
          <w:sz w:val="24"/>
          <w:szCs w:val="24"/>
          <w:vertAlign w:val="superscript"/>
        </w:rPr>
        <w:t>th</w:t>
      </w:r>
      <w:r>
        <w:rPr>
          <w:b w:val="0"/>
          <w:color w:val="000000"/>
          <w:sz w:val="24"/>
          <w:szCs w:val="24"/>
        </w:rPr>
        <w:t xml:space="preserve"> </w:t>
      </w:r>
      <w:r w:rsidRPr="00AF5AD1">
        <w:rPr>
          <w:b w:val="0"/>
          <w:color w:val="000000"/>
          <w:sz w:val="24"/>
          <w:szCs w:val="24"/>
        </w:rPr>
        <w:t xml:space="preserve">Revision of Sheet No. </w:t>
      </w:r>
      <w:r>
        <w:rPr>
          <w:b w:val="0"/>
          <w:color w:val="000000"/>
          <w:sz w:val="24"/>
          <w:szCs w:val="24"/>
        </w:rPr>
        <w:t>4</w:t>
      </w:r>
      <w:r w:rsidRPr="00AF5AD1">
        <w:rPr>
          <w:b w:val="0"/>
          <w:color w:val="000000"/>
          <w:sz w:val="24"/>
          <w:szCs w:val="24"/>
        </w:rPr>
        <w:t xml:space="preserve"> </w:t>
      </w:r>
      <w:r>
        <w:rPr>
          <w:b w:val="0"/>
          <w:color w:val="000000"/>
          <w:sz w:val="24"/>
          <w:szCs w:val="24"/>
        </w:rPr>
        <w:t>–</w:t>
      </w:r>
      <w:r w:rsidRPr="00AF5AD1">
        <w:rPr>
          <w:b w:val="0"/>
          <w:color w:val="000000"/>
          <w:sz w:val="24"/>
          <w:szCs w:val="24"/>
        </w:rPr>
        <w:t xml:space="preserve"> N</w:t>
      </w:r>
      <w:r>
        <w:rPr>
          <w:b w:val="0"/>
          <w:color w:val="000000"/>
          <w:sz w:val="24"/>
          <w:szCs w:val="24"/>
        </w:rPr>
        <w:t xml:space="preserve">atural Gas Tariff Index </w:t>
      </w:r>
      <w:r w:rsidRPr="00AF5AD1">
        <w:rPr>
          <w:b w:val="0"/>
          <w:color w:val="000000"/>
          <w:sz w:val="24"/>
          <w:szCs w:val="24"/>
        </w:rPr>
        <w:t>(Continued)</w:t>
      </w:r>
    </w:p>
    <w:p w:rsidR="00D46BF3" w:rsidRPr="000D5534" w:rsidRDefault="00267ED0" w:rsidP="00816621">
      <w:pPr>
        <w:tabs>
          <w:tab w:val="left" w:pos="3780"/>
        </w:tabs>
        <w:ind w:firstLine="360"/>
        <w:rPr>
          <w:color w:val="000000"/>
          <w:sz w:val="22"/>
          <w:szCs w:val="22"/>
        </w:rPr>
      </w:pPr>
      <w:r w:rsidRPr="000D5534">
        <w:rPr>
          <w:color w:val="000000"/>
          <w:sz w:val="22"/>
          <w:szCs w:val="22"/>
        </w:rPr>
        <w:t xml:space="preserve">Original of </w:t>
      </w:r>
      <w:r w:rsidR="008228C7" w:rsidRPr="000D5534">
        <w:rPr>
          <w:color w:val="000000"/>
          <w:sz w:val="22"/>
          <w:szCs w:val="22"/>
        </w:rPr>
        <w:t>Sheet No. 1</w:t>
      </w:r>
      <w:r w:rsidRPr="000D5534">
        <w:rPr>
          <w:color w:val="000000"/>
          <w:sz w:val="22"/>
          <w:szCs w:val="22"/>
        </w:rPr>
        <w:t>6</w:t>
      </w:r>
      <w:r w:rsidR="00CB4BDE" w:rsidRPr="000D5534">
        <w:rPr>
          <w:color w:val="000000"/>
          <w:sz w:val="22"/>
          <w:szCs w:val="22"/>
        </w:rPr>
        <w:t xml:space="preserve"> </w:t>
      </w:r>
      <w:r w:rsidR="008228C7" w:rsidRPr="000D5534">
        <w:rPr>
          <w:color w:val="000000"/>
          <w:sz w:val="22"/>
          <w:szCs w:val="22"/>
        </w:rPr>
        <w:t xml:space="preserve">– </w:t>
      </w:r>
      <w:r w:rsidRPr="000D5534">
        <w:rPr>
          <w:color w:val="000000"/>
          <w:sz w:val="22"/>
          <w:szCs w:val="22"/>
        </w:rPr>
        <w:t>Rule No. 6: Extension of Distribution Facilities</w:t>
      </w:r>
    </w:p>
    <w:p w:rsidR="00267ED0" w:rsidRPr="000D5534" w:rsidRDefault="00267ED0" w:rsidP="00816621">
      <w:pPr>
        <w:tabs>
          <w:tab w:val="left" w:pos="3780"/>
        </w:tabs>
        <w:ind w:firstLine="360"/>
        <w:rPr>
          <w:color w:val="000000"/>
          <w:sz w:val="22"/>
          <w:szCs w:val="22"/>
        </w:rPr>
      </w:pPr>
      <w:r w:rsidRPr="000D5534">
        <w:rPr>
          <w:color w:val="000000"/>
          <w:sz w:val="22"/>
          <w:szCs w:val="22"/>
        </w:rPr>
        <w:t>Original of Sheet No. 16-A – Rule No. 6: Extension of Distribution Facilities</w:t>
      </w:r>
      <w:r w:rsidR="00B03E9B">
        <w:rPr>
          <w:color w:val="000000"/>
          <w:sz w:val="22"/>
          <w:szCs w:val="22"/>
        </w:rPr>
        <w:t xml:space="preserve"> (Continued)</w:t>
      </w:r>
    </w:p>
    <w:p w:rsidR="00267ED0" w:rsidRPr="000D5534" w:rsidRDefault="00267ED0" w:rsidP="00816621">
      <w:pPr>
        <w:tabs>
          <w:tab w:val="left" w:pos="3780"/>
        </w:tabs>
        <w:ind w:firstLine="360"/>
        <w:rPr>
          <w:color w:val="000000"/>
          <w:sz w:val="22"/>
          <w:szCs w:val="22"/>
        </w:rPr>
      </w:pPr>
      <w:r w:rsidRPr="000D5534">
        <w:rPr>
          <w:color w:val="000000"/>
          <w:sz w:val="22"/>
          <w:szCs w:val="22"/>
        </w:rPr>
        <w:t>Original of Sheet No. 16-B – Rule No. 6: Extension of Distribution Facilities</w:t>
      </w:r>
      <w:r w:rsidR="00B03E9B">
        <w:rPr>
          <w:color w:val="000000"/>
          <w:sz w:val="22"/>
          <w:szCs w:val="22"/>
        </w:rPr>
        <w:t xml:space="preserve"> (Continued)</w:t>
      </w:r>
    </w:p>
    <w:p w:rsidR="00267ED0" w:rsidRPr="000D5534" w:rsidRDefault="00267ED0" w:rsidP="00816621">
      <w:pPr>
        <w:tabs>
          <w:tab w:val="left" w:pos="3780"/>
        </w:tabs>
        <w:ind w:firstLine="360"/>
        <w:rPr>
          <w:color w:val="000000"/>
          <w:sz w:val="22"/>
          <w:szCs w:val="22"/>
        </w:rPr>
      </w:pPr>
      <w:r w:rsidRPr="000D5534">
        <w:rPr>
          <w:color w:val="000000"/>
          <w:sz w:val="22"/>
          <w:szCs w:val="22"/>
        </w:rPr>
        <w:t>Original of Sheet No. 16-C – Rule No. 6: Extension of Distribution Facilities</w:t>
      </w:r>
      <w:r w:rsidR="00B03E9B">
        <w:rPr>
          <w:color w:val="000000"/>
          <w:sz w:val="22"/>
          <w:szCs w:val="22"/>
        </w:rPr>
        <w:t xml:space="preserve"> (Continued)</w:t>
      </w:r>
    </w:p>
    <w:p w:rsidR="00267ED0" w:rsidRPr="000D5534" w:rsidRDefault="00267ED0" w:rsidP="00816621">
      <w:pPr>
        <w:tabs>
          <w:tab w:val="left" w:pos="3780"/>
        </w:tabs>
        <w:ind w:firstLine="360"/>
        <w:rPr>
          <w:color w:val="000000"/>
          <w:sz w:val="22"/>
          <w:szCs w:val="22"/>
        </w:rPr>
      </w:pPr>
      <w:r w:rsidRPr="000D5534">
        <w:rPr>
          <w:color w:val="000000"/>
          <w:sz w:val="22"/>
          <w:szCs w:val="22"/>
        </w:rPr>
        <w:t>Original of Sheet No. 16-D – Rule No. 6: Extension of Distribution Facilities</w:t>
      </w:r>
      <w:r w:rsidR="00B03E9B">
        <w:rPr>
          <w:color w:val="000000"/>
          <w:sz w:val="22"/>
          <w:szCs w:val="22"/>
        </w:rPr>
        <w:t xml:space="preserve"> (Continued)</w:t>
      </w:r>
    </w:p>
    <w:p w:rsidR="00D40AE6" w:rsidRPr="000D5534" w:rsidRDefault="00267ED0" w:rsidP="00816621">
      <w:pPr>
        <w:tabs>
          <w:tab w:val="left" w:pos="3780"/>
        </w:tabs>
        <w:ind w:right="-126" w:firstLine="360"/>
        <w:rPr>
          <w:color w:val="000000"/>
          <w:sz w:val="22"/>
          <w:szCs w:val="22"/>
        </w:rPr>
      </w:pPr>
      <w:r w:rsidRPr="000D5534">
        <w:rPr>
          <w:sz w:val="22"/>
          <w:szCs w:val="22"/>
        </w:rPr>
        <w:t>9</w:t>
      </w:r>
      <w:r w:rsidRPr="000D5534">
        <w:rPr>
          <w:sz w:val="22"/>
          <w:szCs w:val="22"/>
          <w:vertAlign w:val="superscript"/>
        </w:rPr>
        <w:t>th</w:t>
      </w:r>
      <w:r w:rsidRPr="000D5534">
        <w:rPr>
          <w:sz w:val="22"/>
          <w:szCs w:val="22"/>
        </w:rPr>
        <w:t xml:space="preserve"> </w:t>
      </w:r>
      <w:r w:rsidR="00D40AE6" w:rsidRPr="000D5534">
        <w:rPr>
          <w:sz w:val="22"/>
          <w:szCs w:val="22"/>
        </w:rPr>
        <w:t>Revision of Sheet No. 1</w:t>
      </w:r>
      <w:r w:rsidRPr="000D5534">
        <w:rPr>
          <w:sz w:val="22"/>
          <w:szCs w:val="22"/>
        </w:rPr>
        <w:t>8</w:t>
      </w:r>
      <w:r w:rsidR="00D40AE6" w:rsidRPr="000D5534">
        <w:rPr>
          <w:sz w:val="22"/>
          <w:szCs w:val="22"/>
        </w:rPr>
        <w:t xml:space="preserve"> – </w:t>
      </w:r>
      <w:r w:rsidR="000D5534" w:rsidRPr="000D5534">
        <w:rPr>
          <w:color w:val="000000"/>
          <w:sz w:val="22"/>
          <w:szCs w:val="22"/>
        </w:rPr>
        <w:t xml:space="preserve">Rule No. 7: </w:t>
      </w:r>
      <w:r w:rsidRPr="000D5534">
        <w:rPr>
          <w:color w:val="000000"/>
          <w:sz w:val="22"/>
          <w:szCs w:val="22"/>
        </w:rPr>
        <w:t>Extension of Distribution Facilities–Other Than Kittitas County</w:t>
      </w:r>
    </w:p>
    <w:p w:rsidR="000D5534" w:rsidRPr="000D5534" w:rsidRDefault="000D5534" w:rsidP="00816621">
      <w:pPr>
        <w:tabs>
          <w:tab w:val="left" w:pos="3780"/>
        </w:tabs>
        <w:ind w:right="-126" w:firstLine="360"/>
        <w:rPr>
          <w:sz w:val="22"/>
          <w:szCs w:val="22"/>
        </w:rPr>
      </w:pPr>
      <w:r w:rsidRPr="000D5534">
        <w:rPr>
          <w:sz w:val="22"/>
          <w:szCs w:val="22"/>
        </w:rPr>
        <w:t>3</w:t>
      </w:r>
      <w:r w:rsidRPr="000D5534">
        <w:rPr>
          <w:sz w:val="22"/>
          <w:szCs w:val="22"/>
          <w:vertAlign w:val="superscript"/>
        </w:rPr>
        <w:t>rd</w:t>
      </w:r>
      <w:r w:rsidRPr="000D5534">
        <w:rPr>
          <w:sz w:val="22"/>
          <w:szCs w:val="22"/>
        </w:rPr>
        <w:t xml:space="preserve"> Revision of Sheet No. 19-G – </w:t>
      </w:r>
      <w:r w:rsidRPr="000D5534">
        <w:rPr>
          <w:color w:val="000000"/>
          <w:sz w:val="22"/>
          <w:szCs w:val="22"/>
        </w:rPr>
        <w:t>Rule No. 7A:</w:t>
      </w:r>
      <w:r>
        <w:rPr>
          <w:color w:val="000000"/>
          <w:sz w:val="22"/>
          <w:szCs w:val="22"/>
        </w:rPr>
        <w:t xml:space="preserve"> </w:t>
      </w:r>
      <w:r w:rsidRPr="000D5534">
        <w:rPr>
          <w:color w:val="000000"/>
          <w:sz w:val="22"/>
          <w:szCs w:val="22"/>
        </w:rPr>
        <w:t>Extension of Distribution Facilities–Kittitas County</w:t>
      </w:r>
    </w:p>
    <w:p w:rsidR="00220611" w:rsidRPr="000D5534" w:rsidRDefault="00220611" w:rsidP="00220611">
      <w:pPr>
        <w:tabs>
          <w:tab w:val="left" w:pos="3780"/>
        </w:tabs>
        <w:ind w:firstLine="360"/>
        <w:rPr>
          <w:color w:val="000000"/>
          <w:sz w:val="22"/>
          <w:szCs w:val="22"/>
        </w:rPr>
      </w:pPr>
      <w:r>
        <w:rPr>
          <w:sz w:val="22"/>
          <w:szCs w:val="22"/>
        </w:rPr>
        <w:t>1</w:t>
      </w:r>
      <w:r w:rsidRPr="000D5534">
        <w:rPr>
          <w:sz w:val="22"/>
          <w:szCs w:val="22"/>
        </w:rPr>
        <w:t>3</w:t>
      </w:r>
      <w:r w:rsidRPr="000D5534">
        <w:rPr>
          <w:sz w:val="22"/>
          <w:szCs w:val="22"/>
          <w:vertAlign w:val="superscript"/>
        </w:rPr>
        <w:t>rd</w:t>
      </w:r>
      <w:r w:rsidRPr="000D5534">
        <w:rPr>
          <w:sz w:val="22"/>
          <w:szCs w:val="22"/>
        </w:rPr>
        <w:t xml:space="preserve"> Revision of Sheet No. </w:t>
      </w:r>
      <w:r>
        <w:rPr>
          <w:sz w:val="22"/>
          <w:szCs w:val="22"/>
        </w:rPr>
        <w:t>21</w:t>
      </w:r>
      <w:r w:rsidRPr="000D5534">
        <w:rPr>
          <w:sz w:val="22"/>
          <w:szCs w:val="22"/>
        </w:rPr>
        <w:t xml:space="preserve"> – </w:t>
      </w:r>
      <w:r w:rsidRPr="000D5534">
        <w:rPr>
          <w:color w:val="000000"/>
          <w:sz w:val="22"/>
          <w:szCs w:val="22"/>
        </w:rPr>
        <w:t>Rule No.</w:t>
      </w:r>
      <w:r w:rsidRPr="00220611">
        <w:rPr>
          <w:sz w:val="22"/>
          <w:szCs w:val="22"/>
        </w:rPr>
        <w:t>9:  Bills and Payment for Service</w:t>
      </w:r>
      <w:r>
        <w:rPr>
          <w:sz w:val="22"/>
          <w:szCs w:val="22"/>
        </w:rPr>
        <w:t xml:space="preserve"> </w:t>
      </w:r>
      <w:r>
        <w:rPr>
          <w:color w:val="000000"/>
          <w:sz w:val="22"/>
          <w:szCs w:val="22"/>
        </w:rPr>
        <w:t>(Continued)</w:t>
      </w:r>
    </w:p>
    <w:p w:rsidR="00220611" w:rsidRPr="000D5534" w:rsidRDefault="00220611" w:rsidP="00220611">
      <w:pPr>
        <w:tabs>
          <w:tab w:val="left" w:pos="3780"/>
        </w:tabs>
        <w:ind w:firstLine="360"/>
        <w:rPr>
          <w:color w:val="000000"/>
          <w:sz w:val="22"/>
          <w:szCs w:val="22"/>
        </w:rPr>
      </w:pPr>
      <w:r>
        <w:rPr>
          <w:sz w:val="22"/>
          <w:szCs w:val="22"/>
        </w:rPr>
        <w:t>5</w:t>
      </w:r>
      <w:r w:rsidRPr="000D5534">
        <w:rPr>
          <w:sz w:val="22"/>
          <w:szCs w:val="22"/>
          <w:vertAlign w:val="superscript"/>
        </w:rPr>
        <w:t>rd</w:t>
      </w:r>
      <w:r w:rsidRPr="000D5534">
        <w:rPr>
          <w:sz w:val="22"/>
          <w:szCs w:val="22"/>
        </w:rPr>
        <w:t xml:space="preserve"> Revision of Sheet No. </w:t>
      </w:r>
      <w:r>
        <w:rPr>
          <w:sz w:val="22"/>
          <w:szCs w:val="22"/>
        </w:rPr>
        <w:t>21-B</w:t>
      </w:r>
      <w:r w:rsidRPr="000D5534">
        <w:rPr>
          <w:sz w:val="22"/>
          <w:szCs w:val="22"/>
        </w:rPr>
        <w:t xml:space="preserve"> – </w:t>
      </w:r>
      <w:r w:rsidRPr="000D5534">
        <w:rPr>
          <w:color w:val="000000"/>
          <w:sz w:val="22"/>
          <w:szCs w:val="22"/>
        </w:rPr>
        <w:t>Rule No.</w:t>
      </w:r>
      <w:r w:rsidRPr="00220611">
        <w:rPr>
          <w:sz w:val="22"/>
          <w:szCs w:val="22"/>
        </w:rPr>
        <w:t>9:  Bills and Payment for Service</w:t>
      </w:r>
      <w:r>
        <w:rPr>
          <w:sz w:val="22"/>
          <w:szCs w:val="22"/>
        </w:rPr>
        <w:t xml:space="preserve"> </w:t>
      </w:r>
      <w:r>
        <w:rPr>
          <w:color w:val="000000"/>
          <w:sz w:val="22"/>
          <w:szCs w:val="22"/>
        </w:rPr>
        <w:t>(Continued)</w:t>
      </w:r>
    </w:p>
    <w:p w:rsidR="00267ED0" w:rsidRPr="000D5534" w:rsidRDefault="00631C5A" w:rsidP="00816621">
      <w:pPr>
        <w:tabs>
          <w:tab w:val="left" w:pos="3780"/>
        </w:tabs>
        <w:ind w:right="-126" w:firstLine="360"/>
        <w:rPr>
          <w:sz w:val="22"/>
          <w:szCs w:val="22"/>
        </w:rPr>
      </w:pPr>
      <w:r>
        <w:rPr>
          <w:sz w:val="22"/>
          <w:szCs w:val="22"/>
        </w:rPr>
        <w:t>8</w:t>
      </w:r>
      <w:r w:rsidR="00220611" w:rsidRPr="00220611">
        <w:rPr>
          <w:sz w:val="22"/>
          <w:szCs w:val="22"/>
          <w:vertAlign w:val="superscript"/>
        </w:rPr>
        <w:t>th</w:t>
      </w:r>
      <w:r w:rsidR="00267ED0" w:rsidRPr="000D5534">
        <w:rPr>
          <w:sz w:val="22"/>
          <w:szCs w:val="22"/>
        </w:rPr>
        <w:t xml:space="preserve"> Revision of Sheet No. </w:t>
      </w:r>
      <w:r w:rsidR="00220611">
        <w:rPr>
          <w:sz w:val="22"/>
          <w:szCs w:val="22"/>
        </w:rPr>
        <w:t>42</w:t>
      </w:r>
      <w:r w:rsidR="00267ED0" w:rsidRPr="000D5534">
        <w:rPr>
          <w:sz w:val="22"/>
          <w:szCs w:val="22"/>
        </w:rPr>
        <w:t xml:space="preserve"> – </w:t>
      </w:r>
      <w:r w:rsidR="000D5534" w:rsidRPr="000D5534">
        <w:rPr>
          <w:color w:val="000000"/>
          <w:sz w:val="22"/>
          <w:szCs w:val="22"/>
        </w:rPr>
        <w:t>Rule No. 28:</w:t>
      </w:r>
      <w:r w:rsidR="000D5534">
        <w:rPr>
          <w:color w:val="000000"/>
          <w:sz w:val="22"/>
          <w:szCs w:val="22"/>
        </w:rPr>
        <w:t xml:space="preserve"> </w:t>
      </w:r>
      <w:r w:rsidR="000D5534" w:rsidRPr="000D5534">
        <w:rPr>
          <w:color w:val="000000"/>
          <w:sz w:val="22"/>
          <w:szCs w:val="22"/>
        </w:rPr>
        <w:t>Income Tax Rider – Contributions in Aid of Construction</w:t>
      </w:r>
    </w:p>
    <w:p w:rsidR="006714CA" w:rsidRPr="000D5534" w:rsidRDefault="00267ED0" w:rsidP="00816621">
      <w:pPr>
        <w:tabs>
          <w:tab w:val="left" w:pos="3780"/>
        </w:tabs>
        <w:ind w:firstLine="360"/>
        <w:rPr>
          <w:color w:val="000000"/>
          <w:sz w:val="22"/>
          <w:szCs w:val="22"/>
        </w:rPr>
      </w:pPr>
      <w:r w:rsidRPr="000D5534">
        <w:rPr>
          <w:color w:val="000000"/>
          <w:sz w:val="22"/>
          <w:szCs w:val="22"/>
        </w:rPr>
        <w:t>7</w:t>
      </w:r>
      <w:r w:rsidR="006714CA" w:rsidRPr="000D5534">
        <w:rPr>
          <w:color w:val="000000"/>
          <w:sz w:val="22"/>
          <w:szCs w:val="22"/>
          <w:vertAlign w:val="superscript"/>
        </w:rPr>
        <w:t>th</w:t>
      </w:r>
      <w:r w:rsidR="006714CA" w:rsidRPr="000D5534">
        <w:rPr>
          <w:color w:val="000000"/>
          <w:sz w:val="22"/>
          <w:szCs w:val="22"/>
        </w:rPr>
        <w:t xml:space="preserve"> Revision of Sheet No. 10</w:t>
      </w:r>
      <w:r w:rsidRPr="000D5534">
        <w:rPr>
          <w:color w:val="000000"/>
          <w:sz w:val="22"/>
          <w:szCs w:val="22"/>
        </w:rPr>
        <w:t>7</w:t>
      </w:r>
      <w:r w:rsidR="006714CA" w:rsidRPr="000D5534">
        <w:rPr>
          <w:color w:val="000000"/>
          <w:sz w:val="22"/>
          <w:szCs w:val="22"/>
        </w:rPr>
        <w:t xml:space="preserve"> – </w:t>
      </w:r>
      <w:r w:rsidR="000D5534">
        <w:rPr>
          <w:color w:val="000000"/>
          <w:sz w:val="22"/>
          <w:szCs w:val="22"/>
        </w:rPr>
        <w:t xml:space="preserve">Schedule No. 7: </w:t>
      </w:r>
      <w:r w:rsidRPr="000D5534">
        <w:rPr>
          <w:color w:val="000000"/>
          <w:sz w:val="22"/>
          <w:szCs w:val="22"/>
        </w:rPr>
        <w:t>Facilities Extension Standards</w:t>
      </w:r>
    </w:p>
    <w:p w:rsidR="00810E68" w:rsidRPr="000D5534" w:rsidRDefault="00810E68" w:rsidP="00810E68">
      <w:pPr>
        <w:tabs>
          <w:tab w:val="left" w:pos="3780"/>
        </w:tabs>
        <w:ind w:right="-126" w:firstLine="360"/>
        <w:rPr>
          <w:sz w:val="22"/>
          <w:szCs w:val="22"/>
        </w:rPr>
      </w:pPr>
      <w:r>
        <w:rPr>
          <w:sz w:val="22"/>
          <w:szCs w:val="22"/>
        </w:rPr>
        <w:t>1</w:t>
      </w:r>
      <w:r w:rsidRPr="00C60F72">
        <w:rPr>
          <w:sz w:val="22"/>
          <w:szCs w:val="22"/>
          <w:vertAlign w:val="superscript"/>
        </w:rPr>
        <w:t>st</w:t>
      </w:r>
      <w:r>
        <w:rPr>
          <w:sz w:val="22"/>
          <w:szCs w:val="22"/>
        </w:rPr>
        <w:t xml:space="preserve"> </w:t>
      </w:r>
      <w:r w:rsidRPr="000D5534">
        <w:rPr>
          <w:sz w:val="22"/>
          <w:szCs w:val="22"/>
        </w:rPr>
        <w:t xml:space="preserve">Revision of Sheet No. </w:t>
      </w:r>
      <w:r>
        <w:rPr>
          <w:sz w:val="22"/>
          <w:szCs w:val="22"/>
        </w:rPr>
        <w:t>154</w:t>
      </w:r>
      <w:r w:rsidRPr="000D5534">
        <w:rPr>
          <w:sz w:val="22"/>
          <w:szCs w:val="22"/>
        </w:rPr>
        <w:t xml:space="preserve"> – </w:t>
      </w:r>
      <w:r>
        <w:rPr>
          <w:sz w:val="22"/>
          <w:szCs w:val="22"/>
        </w:rPr>
        <w:t xml:space="preserve">Schedule No. 54: </w:t>
      </w:r>
      <w:r>
        <w:rPr>
          <w:snapToGrid w:val="0"/>
          <w:sz w:val="24"/>
          <w:szCs w:val="24"/>
        </w:rPr>
        <w:t>Optional Gas Compression Service</w:t>
      </w:r>
    </w:p>
    <w:p w:rsidR="006714CA" w:rsidRDefault="006714CA" w:rsidP="00816621">
      <w:pPr>
        <w:tabs>
          <w:tab w:val="left" w:pos="3780"/>
        </w:tabs>
        <w:ind w:right="-126" w:firstLine="360"/>
        <w:rPr>
          <w:color w:val="000000"/>
          <w:sz w:val="22"/>
          <w:szCs w:val="22"/>
        </w:rPr>
      </w:pPr>
      <w:r w:rsidRPr="000D5534">
        <w:rPr>
          <w:sz w:val="22"/>
          <w:szCs w:val="22"/>
        </w:rPr>
        <w:t>3</w:t>
      </w:r>
      <w:r w:rsidRPr="000D5534">
        <w:rPr>
          <w:sz w:val="22"/>
          <w:szCs w:val="22"/>
          <w:vertAlign w:val="superscript"/>
        </w:rPr>
        <w:t>rd</w:t>
      </w:r>
      <w:r w:rsidRPr="000D5534">
        <w:rPr>
          <w:sz w:val="22"/>
          <w:szCs w:val="22"/>
        </w:rPr>
        <w:t xml:space="preserve"> Revision of Sheet No. 110</w:t>
      </w:r>
      <w:r w:rsidR="00267ED0" w:rsidRPr="000D5534">
        <w:rPr>
          <w:sz w:val="22"/>
          <w:szCs w:val="22"/>
        </w:rPr>
        <w:t>7</w:t>
      </w:r>
      <w:r w:rsidRPr="000D5534">
        <w:rPr>
          <w:sz w:val="22"/>
          <w:szCs w:val="22"/>
        </w:rPr>
        <w:t xml:space="preserve"> – </w:t>
      </w:r>
      <w:r w:rsidR="000D5534">
        <w:rPr>
          <w:sz w:val="22"/>
          <w:szCs w:val="22"/>
        </w:rPr>
        <w:t xml:space="preserve">Schedule No. 107: </w:t>
      </w:r>
      <w:r w:rsidR="00267ED0" w:rsidRPr="000D5534">
        <w:rPr>
          <w:sz w:val="22"/>
          <w:szCs w:val="22"/>
        </w:rPr>
        <w:t xml:space="preserve">New Customer Rate </w:t>
      </w:r>
      <w:r w:rsidR="00267ED0" w:rsidRPr="000D5534">
        <w:rPr>
          <w:color w:val="000000"/>
          <w:sz w:val="22"/>
          <w:szCs w:val="22"/>
        </w:rPr>
        <w:t>Facilities Extensions</w:t>
      </w:r>
    </w:p>
    <w:p w:rsidR="00E14880" w:rsidRDefault="00E14880" w:rsidP="00E14880">
      <w:pPr>
        <w:rPr>
          <w:snapToGrid w:val="0"/>
          <w:sz w:val="24"/>
          <w:szCs w:val="24"/>
        </w:rPr>
      </w:pPr>
    </w:p>
    <w:p w:rsidR="008D2060" w:rsidRDefault="00852454" w:rsidP="009A08B2">
      <w:pPr>
        <w:rPr>
          <w:snapToGrid w:val="0"/>
          <w:sz w:val="24"/>
          <w:szCs w:val="24"/>
        </w:rPr>
      </w:pPr>
      <w:r w:rsidRPr="006A193B">
        <w:rPr>
          <w:color w:val="000000"/>
          <w:sz w:val="24"/>
          <w:szCs w:val="24"/>
        </w:rPr>
        <w:t xml:space="preserve">The </w:t>
      </w:r>
      <w:r>
        <w:rPr>
          <w:color w:val="000000"/>
          <w:sz w:val="24"/>
          <w:szCs w:val="24"/>
        </w:rPr>
        <w:t xml:space="preserve">purpose of this filing is to propose </w:t>
      </w:r>
      <w:r w:rsidR="00132BB6">
        <w:rPr>
          <w:color w:val="000000"/>
          <w:sz w:val="24"/>
          <w:szCs w:val="24"/>
        </w:rPr>
        <w:t xml:space="preserve">PSE’s new line extension policy, </w:t>
      </w:r>
      <w:r w:rsidR="00132BB6" w:rsidRPr="002F36CC">
        <w:rPr>
          <w:color w:val="000000"/>
          <w:sz w:val="24"/>
          <w:szCs w:val="24"/>
        </w:rPr>
        <w:t>Rule No. 6: Extension of Distribution Facilities</w:t>
      </w:r>
      <w:r w:rsidR="00132BB6">
        <w:rPr>
          <w:color w:val="000000"/>
          <w:sz w:val="24"/>
          <w:szCs w:val="24"/>
        </w:rPr>
        <w:t xml:space="preserve"> (“Rule No. 6”), to </w:t>
      </w:r>
      <w:r>
        <w:rPr>
          <w:color w:val="000000"/>
          <w:sz w:val="24"/>
          <w:szCs w:val="24"/>
        </w:rPr>
        <w:t>replace</w:t>
      </w:r>
      <w:r w:rsidR="00132BB6">
        <w:rPr>
          <w:color w:val="000000"/>
          <w:sz w:val="24"/>
          <w:szCs w:val="24"/>
        </w:rPr>
        <w:t xml:space="preserve"> the </w:t>
      </w:r>
      <w:r>
        <w:rPr>
          <w:color w:val="000000"/>
          <w:sz w:val="24"/>
          <w:szCs w:val="24"/>
        </w:rPr>
        <w:t>existing line extension policy</w:t>
      </w:r>
      <w:r w:rsidR="00FD7347">
        <w:rPr>
          <w:color w:val="000000"/>
          <w:sz w:val="24"/>
          <w:szCs w:val="24"/>
        </w:rPr>
        <w:t xml:space="preserve"> and housekeeping changes to incorporate the reference of Rule No. 6 into applicable tariff sheets</w:t>
      </w:r>
      <w:r>
        <w:rPr>
          <w:color w:val="000000"/>
          <w:sz w:val="24"/>
          <w:szCs w:val="24"/>
        </w:rPr>
        <w:t xml:space="preserve">.  </w:t>
      </w:r>
      <w:r w:rsidR="00E14880" w:rsidRPr="0056142F">
        <w:rPr>
          <w:snapToGrid w:val="0"/>
          <w:sz w:val="24"/>
          <w:szCs w:val="24"/>
        </w:rPr>
        <w:t xml:space="preserve">These revised sheets set forth </w:t>
      </w:r>
      <w:r>
        <w:rPr>
          <w:snapToGrid w:val="0"/>
          <w:sz w:val="24"/>
          <w:szCs w:val="24"/>
        </w:rPr>
        <w:t xml:space="preserve">the </w:t>
      </w:r>
      <w:r w:rsidR="00132BB6">
        <w:rPr>
          <w:snapToGrid w:val="0"/>
          <w:sz w:val="24"/>
          <w:szCs w:val="24"/>
        </w:rPr>
        <w:t>new</w:t>
      </w:r>
      <w:r w:rsidR="005524AC">
        <w:rPr>
          <w:snapToGrid w:val="0"/>
          <w:sz w:val="24"/>
          <w:szCs w:val="24"/>
        </w:rPr>
        <w:t xml:space="preserve"> </w:t>
      </w:r>
      <w:r>
        <w:rPr>
          <w:snapToGrid w:val="0"/>
          <w:sz w:val="24"/>
          <w:szCs w:val="24"/>
        </w:rPr>
        <w:t>Rule No. 6</w:t>
      </w:r>
      <w:r w:rsidR="00E14880">
        <w:rPr>
          <w:snapToGrid w:val="0"/>
          <w:sz w:val="24"/>
          <w:szCs w:val="24"/>
        </w:rPr>
        <w:t xml:space="preserve"> and the </w:t>
      </w:r>
      <w:r w:rsidR="00E14880" w:rsidRPr="0056142F">
        <w:rPr>
          <w:snapToGrid w:val="0"/>
          <w:sz w:val="24"/>
          <w:szCs w:val="24"/>
        </w:rPr>
        <w:t xml:space="preserve">proposed </w:t>
      </w:r>
      <w:r w:rsidR="00E14880">
        <w:rPr>
          <w:snapToGrid w:val="0"/>
          <w:sz w:val="24"/>
          <w:szCs w:val="24"/>
        </w:rPr>
        <w:t>changes</w:t>
      </w:r>
      <w:r w:rsidR="00E14880" w:rsidRPr="0056142F">
        <w:rPr>
          <w:snapToGrid w:val="0"/>
          <w:sz w:val="24"/>
          <w:szCs w:val="24"/>
        </w:rPr>
        <w:t xml:space="preserve"> to </w:t>
      </w:r>
      <w:r>
        <w:rPr>
          <w:snapToGrid w:val="0"/>
          <w:sz w:val="24"/>
          <w:szCs w:val="24"/>
        </w:rPr>
        <w:t>close the existing line extension policy to new natural gas line extension customers.</w:t>
      </w:r>
    </w:p>
    <w:p w:rsidR="009A08B2" w:rsidRDefault="00B8371A" w:rsidP="009A08B2">
      <w:pPr>
        <w:rPr>
          <w:snapToGrid w:val="0"/>
          <w:sz w:val="24"/>
          <w:szCs w:val="24"/>
        </w:rPr>
      </w:pPr>
      <w:r>
        <w:rPr>
          <w:snapToGrid w:val="0"/>
          <w:sz w:val="24"/>
          <w:szCs w:val="24"/>
        </w:rPr>
        <w:t xml:space="preserve"> </w:t>
      </w:r>
    </w:p>
    <w:p w:rsidR="006A6BFE" w:rsidRDefault="009A08B2" w:rsidP="009A08B2">
      <w:pPr>
        <w:rPr>
          <w:color w:val="000000"/>
          <w:sz w:val="24"/>
          <w:szCs w:val="24"/>
        </w:rPr>
      </w:pPr>
      <w:r>
        <w:rPr>
          <w:color w:val="000000"/>
          <w:sz w:val="24"/>
          <w:szCs w:val="24"/>
        </w:rPr>
        <w:lastRenderedPageBreak/>
        <w:t xml:space="preserve">Rule No. 6 incorporates the concept of Perpetual Net Present Value in the margin allowance determination and other concepts </w:t>
      </w:r>
      <w:r w:rsidR="00EF6A0F">
        <w:rPr>
          <w:color w:val="000000"/>
          <w:sz w:val="24"/>
          <w:szCs w:val="24"/>
        </w:rPr>
        <w:t xml:space="preserve">that </w:t>
      </w:r>
      <w:r>
        <w:rPr>
          <w:color w:val="000000"/>
          <w:sz w:val="24"/>
          <w:szCs w:val="24"/>
        </w:rPr>
        <w:t xml:space="preserve">have been approved by the </w:t>
      </w:r>
      <w:r w:rsidR="00CE7A0A">
        <w:rPr>
          <w:color w:val="000000"/>
          <w:sz w:val="24"/>
          <w:szCs w:val="24"/>
        </w:rPr>
        <w:t>Commission</w:t>
      </w:r>
      <w:r>
        <w:rPr>
          <w:color w:val="000000"/>
          <w:sz w:val="24"/>
          <w:szCs w:val="24"/>
        </w:rPr>
        <w:t xml:space="preserve"> in Docket Nos. UG-152394 and UG-160967 for the natural gas line extension filings of Avista Corporation and Cascade Natural Gas Corporation, re</w:t>
      </w:r>
      <w:r w:rsidR="00EF6A0F">
        <w:rPr>
          <w:color w:val="000000"/>
          <w:sz w:val="24"/>
          <w:szCs w:val="24"/>
        </w:rPr>
        <w:t>spe</w:t>
      </w:r>
      <w:r>
        <w:rPr>
          <w:color w:val="000000"/>
          <w:sz w:val="24"/>
          <w:szCs w:val="24"/>
        </w:rPr>
        <w:t>ctively.</w:t>
      </w:r>
      <w:r w:rsidR="00132BB6">
        <w:rPr>
          <w:color w:val="000000"/>
          <w:sz w:val="24"/>
          <w:szCs w:val="24"/>
        </w:rPr>
        <w:t xml:space="preserve">  </w:t>
      </w:r>
      <w:r w:rsidR="009B5BC8">
        <w:rPr>
          <w:color w:val="000000"/>
          <w:sz w:val="24"/>
          <w:szCs w:val="24"/>
        </w:rPr>
        <w:t>PSE’s Rule No. 6 m</w:t>
      </w:r>
      <w:r w:rsidR="00731E0D" w:rsidRPr="00731E0D">
        <w:rPr>
          <w:color w:val="000000"/>
          <w:sz w:val="24"/>
          <w:szCs w:val="24"/>
        </w:rPr>
        <w:t xml:space="preserve">argin </w:t>
      </w:r>
      <w:r w:rsidR="009B5BC8">
        <w:rPr>
          <w:color w:val="000000"/>
          <w:sz w:val="24"/>
          <w:szCs w:val="24"/>
        </w:rPr>
        <w:t>a</w:t>
      </w:r>
      <w:r w:rsidR="00731E0D" w:rsidRPr="00731E0D">
        <w:rPr>
          <w:color w:val="000000"/>
          <w:sz w:val="24"/>
          <w:szCs w:val="24"/>
        </w:rPr>
        <w:t xml:space="preserve">llowance amounts are </w:t>
      </w:r>
      <w:r w:rsidR="009B5BC8">
        <w:rPr>
          <w:color w:val="000000"/>
          <w:sz w:val="24"/>
          <w:szCs w:val="24"/>
        </w:rPr>
        <w:t xml:space="preserve">calculated </w:t>
      </w:r>
      <w:r w:rsidR="00E23682">
        <w:rPr>
          <w:color w:val="000000"/>
          <w:sz w:val="24"/>
          <w:szCs w:val="24"/>
        </w:rPr>
        <w:t>from</w:t>
      </w:r>
      <w:r w:rsidR="00731E0D" w:rsidRPr="00731E0D">
        <w:rPr>
          <w:color w:val="000000"/>
          <w:sz w:val="24"/>
          <w:szCs w:val="24"/>
        </w:rPr>
        <w:t xml:space="preserve"> </w:t>
      </w:r>
      <w:r w:rsidR="009F2A6B">
        <w:rPr>
          <w:color w:val="000000"/>
          <w:sz w:val="24"/>
          <w:szCs w:val="24"/>
        </w:rPr>
        <w:t xml:space="preserve">the </w:t>
      </w:r>
      <w:r w:rsidR="006A6BFE">
        <w:rPr>
          <w:color w:val="000000"/>
          <w:sz w:val="24"/>
          <w:szCs w:val="24"/>
        </w:rPr>
        <w:t>following f</w:t>
      </w:r>
      <w:r w:rsidR="009F2A6B" w:rsidRPr="009F2A6B">
        <w:rPr>
          <w:color w:val="000000"/>
          <w:sz w:val="24"/>
          <w:szCs w:val="24"/>
        </w:rPr>
        <w:t>igures that are established by the Commission</w:t>
      </w:r>
      <w:r w:rsidR="006A6BFE">
        <w:rPr>
          <w:color w:val="000000"/>
          <w:sz w:val="24"/>
          <w:szCs w:val="24"/>
        </w:rPr>
        <w:t xml:space="preserve"> in a genera</w:t>
      </w:r>
      <w:r w:rsidR="00EF6A0F">
        <w:rPr>
          <w:color w:val="000000"/>
          <w:sz w:val="24"/>
          <w:szCs w:val="24"/>
        </w:rPr>
        <w:t>l</w:t>
      </w:r>
      <w:r w:rsidR="006A6BFE">
        <w:rPr>
          <w:color w:val="000000"/>
          <w:sz w:val="24"/>
          <w:szCs w:val="24"/>
        </w:rPr>
        <w:t xml:space="preserve"> rate case or </w:t>
      </w:r>
      <w:r w:rsidR="00A84366">
        <w:rPr>
          <w:color w:val="000000"/>
          <w:sz w:val="24"/>
          <w:szCs w:val="24"/>
        </w:rPr>
        <w:t xml:space="preserve">various </w:t>
      </w:r>
      <w:r w:rsidR="006A6BFE">
        <w:rPr>
          <w:color w:val="000000"/>
          <w:sz w:val="24"/>
          <w:szCs w:val="24"/>
        </w:rPr>
        <w:t>tariff filings</w:t>
      </w:r>
      <w:r w:rsidR="00EF6A0F">
        <w:rPr>
          <w:color w:val="000000"/>
          <w:sz w:val="24"/>
          <w:szCs w:val="24"/>
        </w:rPr>
        <w:t>:</w:t>
      </w:r>
    </w:p>
    <w:p w:rsidR="006A6BFE" w:rsidRDefault="00A84366" w:rsidP="006A6BFE">
      <w:pPr>
        <w:pStyle w:val="ListParagraph"/>
        <w:numPr>
          <w:ilvl w:val="0"/>
          <w:numId w:val="1"/>
        </w:numPr>
        <w:rPr>
          <w:color w:val="000000"/>
          <w:sz w:val="24"/>
          <w:szCs w:val="24"/>
        </w:rPr>
      </w:pPr>
      <w:r>
        <w:rPr>
          <w:color w:val="000000"/>
          <w:sz w:val="24"/>
          <w:szCs w:val="24"/>
        </w:rPr>
        <w:t>Annual distribution</w:t>
      </w:r>
      <w:r w:rsidR="006A6BFE">
        <w:rPr>
          <w:color w:val="000000"/>
          <w:sz w:val="24"/>
          <w:szCs w:val="24"/>
        </w:rPr>
        <w:t xml:space="preserve"> margin</w:t>
      </w:r>
      <w:r>
        <w:rPr>
          <w:color w:val="000000"/>
          <w:sz w:val="24"/>
          <w:szCs w:val="24"/>
        </w:rPr>
        <w:t xml:space="preserve"> for each of the rate schedule</w:t>
      </w:r>
      <w:r w:rsidR="00E23682">
        <w:rPr>
          <w:color w:val="000000"/>
          <w:sz w:val="24"/>
          <w:szCs w:val="24"/>
        </w:rPr>
        <w:t>s</w:t>
      </w:r>
      <w:r>
        <w:rPr>
          <w:color w:val="000000"/>
          <w:sz w:val="24"/>
          <w:szCs w:val="24"/>
        </w:rPr>
        <w:t xml:space="preserve"> is </w:t>
      </w:r>
      <w:r w:rsidR="00E23682">
        <w:rPr>
          <w:color w:val="000000"/>
          <w:sz w:val="24"/>
          <w:szCs w:val="24"/>
        </w:rPr>
        <w:t xml:space="preserve">the </w:t>
      </w:r>
      <w:r>
        <w:rPr>
          <w:color w:val="000000"/>
          <w:sz w:val="24"/>
          <w:szCs w:val="24"/>
        </w:rPr>
        <w:t>sum of the annual basi</w:t>
      </w:r>
      <w:r w:rsidR="00EF6A0F">
        <w:rPr>
          <w:color w:val="000000"/>
          <w:sz w:val="24"/>
          <w:szCs w:val="24"/>
        </w:rPr>
        <w:t>c</w:t>
      </w:r>
      <w:r>
        <w:rPr>
          <w:color w:val="000000"/>
          <w:sz w:val="24"/>
          <w:szCs w:val="24"/>
        </w:rPr>
        <w:t xml:space="preserve"> charges </w:t>
      </w:r>
      <w:r w:rsidRPr="009F2A6B">
        <w:rPr>
          <w:color w:val="000000"/>
          <w:sz w:val="24"/>
          <w:szCs w:val="24"/>
        </w:rPr>
        <w:t>plus the Schedule No. 142</w:t>
      </w:r>
      <w:r>
        <w:rPr>
          <w:color w:val="000000"/>
          <w:sz w:val="24"/>
          <w:szCs w:val="24"/>
        </w:rPr>
        <w:t xml:space="preserve">: </w:t>
      </w:r>
      <w:r w:rsidRPr="009F2A6B">
        <w:rPr>
          <w:color w:val="000000"/>
          <w:sz w:val="24"/>
          <w:szCs w:val="24"/>
        </w:rPr>
        <w:t>Revenue Decoupling Adjustment Mechanism</w:t>
      </w:r>
      <w:r w:rsidR="00B03E9B">
        <w:rPr>
          <w:color w:val="000000"/>
          <w:sz w:val="24"/>
          <w:szCs w:val="24"/>
        </w:rPr>
        <w:t xml:space="preserve"> (Schedule No. 142)</w:t>
      </w:r>
      <w:r>
        <w:rPr>
          <w:color w:val="000000"/>
          <w:sz w:val="24"/>
          <w:szCs w:val="24"/>
        </w:rPr>
        <w:t xml:space="preserve"> </w:t>
      </w:r>
      <w:r w:rsidRPr="009F2A6B">
        <w:rPr>
          <w:color w:val="000000"/>
          <w:sz w:val="24"/>
          <w:szCs w:val="24"/>
        </w:rPr>
        <w:t>decoupled revenue as or as calculated in the same manner for rate schedules that not are not subject to Schedule No. 142.</w:t>
      </w:r>
    </w:p>
    <w:p w:rsidR="00731E0D" w:rsidRPr="00A84366" w:rsidRDefault="006A6BFE" w:rsidP="009F2A6B">
      <w:pPr>
        <w:pStyle w:val="ListParagraph"/>
        <w:numPr>
          <w:ilvl w:val="0"/>
          <w:numId w:val="1"/>
        </w:numPr>
        <w:rPr>
          <w:color w:val="000000"/>
          <w:sz w:val="24"/>
          <w:szCs w:val="24"/>
        </w:rPr>
      </w:pPr>
      <w:r w:rsidRPr="00A84366">
        <w:rPr>
          <w:color w:val="000000"/>
          <w:sz w:val="24"/>
          <w:szCs w:val="24"/>
        </w:rPr>
        <w:t>Required rate of return</w:t>
      </w:r>
      <w:r w:rsidR="00A84366" w:rsidRPr="00A84366">
        <w:rPr>
          <w:color w:val="000000"/>
          <w:sz w:val="24"/>
          <w:szCs w:val="24"/>
        </w:rPr>
        <w:t xml:space="preserve"> is based upon </w:t>
      </w:r>
      <w:r w:rsidR="00A84366">
        <w:rPr>
          <w:color w:val="000000"/>
          <w:sz w:val="24"/>
          <w:szCs w:val="24"/>
        </w:rPr>
        <w:t xml:space="preserve">PSE’s </w:t>
      </w:r>
      <w:r w:rsidR="00731E0D" w:rsidRPr="00A84366">
        <w:rPr>
          <w:color w:val="000000"/>
          <w:sz w:val="24"/>
          <w:szCs w:val="24"/>
        </w:rPr>
        <w:t>authorized after</w:t>
      </w:r>
      <w:r w:rsidR="003370D1">
        <w:rPr>
          <w:color w:val="000000"/>
          <w:sz w:val="24"/>
          <w:szCs w:val="24"/>
        </w:rPr>
        <w:t>-</w:t>
      </w:r>
      <w:r w:rsidR="00731E0D" w:rsidRPr="00A84366">
        <w:rPr>
          <w:color w:val="000000"/>
          <w:sz w:val="24"/>
          <w:szCs w:val="24"/>
        </w:rPr>
        <w:t>tax rate of return of 6.69% and the revenue conversion factor of 0.621335 as approved by the Commission in Docket Nos. UE</w:t>
      </w:r>
      <w:r w:rsidR="00CE7A0A">
        <w:rPr>
          <w:color w:val="000000"/>
          <w:sz w:val="24"/>
          <w:szCs w:val="24"/>
        </w:rPr>
        <w:noBreakHyphen/>
      </w:r>
      <w:r w:rsidR="00731E0D" w:rsidRPr="00A84366">
        <w:rPr>
          <w:color w:val="000000"/>
          <w:sz w:val="24"/>
          <w:szCs w:val="24"/>
        </w:rPr>
        <w:t>130137 and UG</w:t>
      </w:r>
      <w:r w:rsidR="00CE7A0A">
        <w:rPr>
          <w:color w:val="000000"/>
          <w:sz w:val="24"/>
          <w:szCs w:val="24"/>
        </w:rPr>
        <w:noBreakHyphen/>
      </w:r>
      <w:r w:rsidR="00731E0D" w:rsidRPr="00A84366">
        <w:rPr>
          <w:color w:val="000000"/>
          <w:sz w:val="24"/>
          <w:szCs w:val="24"/>
        </w:rPr>
        <w:t>130138 (</w:t>
      </w:r>
      <w:r w:rsidR="00731E0D" w:rsidRPr="00CE7A0A">
        <w:rPr>
          <w:i/>
          <w:color w:val="000000"/>
          <w:sz w:val="24"/>
          <w:szCs w:val="24"/>
        </w:rPr>
        <w:t>consolidated</w:t>
      </w:r>
      <w:r w:rsidR="00731E0D" w:rsidRPr="00A84366">
        <w:rPr>
          <w:color w:val="000000"/>
          <w:sz w:val="24"/>
          <w:szCs w:val="24"/>
        </w:rPr>
        <w:t>) and UE</w:t>
      </w:r>
      <w:r w:rsidR="003370D1">
        <w:rPr>
          <w:color w:val="000000"/>
          <w:sz w:val="24"/>
          <w:szCs w:val="24"/>
        </w:rPr>
        <w:t>-</w:t>
      </w:r>
      <w:r w:rsidR="00731E0D" w:rsidRPr="00A84366">
        <w:rPr>
          <w:color w:val="000000"/>
          <w:sz w:val="24"/>
          <w:szCs w:val="24"/>
        </w:rPr>
        <w:t>121697 and UG</w:t>
      </w:r>
      <w:r w:rsidR="003370D1">
        <w:rPr>
          <w:color w:val="000000"/>
          <w:sz w:val="24"/>
          <w:szCs w:val="24"/>
        </w:rPr>
        <w:t>-</w:t>
      </w:r>
      <w:r w:rsidR="00731E0D" w:rsidRPr="00A84366">
        <w:rPr>
          <w:color w:val="000000"/>
          <w:sz w:val="24"/>
          <w:szCs w:val="24"/>
        </w:rPr>
        <w:t>121705 (</w:t>
      </w:r>
      <w:r w:rsidR="00731E0D" w:rsidRPr="00CE7A0A">
        <w:rPr>
          <w:i/>
          <w:color w:val="000000"/>
          <w:sz w:val="24"/>
          <w:szCs w:val="24"/>
        </w:rPr>
        <w:t>consolidated</w:t>
      </w:r>
      <w:r w:rsidR="00731E0D" w:rsidRPr="00A84366">
        <w:rPr>
          <w:color w:val="000000"/>
          <w:sz w:val="24"/>
          <w:szCs w:val="24"/>
        </w:rPr>
        <w:t>).</w:t>
      </w:r>
    </w:p>
    <w:p w:rsidR="009A08B2" w:rsidRDefault="009A08B2" w:rsidP="009A08B2">
      <w:pPr>
        <w:rPr>
          <w:color w:val="000000"/>
          <w:sz w:val="24"/>
          <w:szCs w:val="24"/>
        </w:rPr>
      </w:pPr>
    </w:p>
    <w:p w:rsidR="00132BB6" w:rsidRDefault="009A08B2" w:rsidP="00E14880">
      <w:pPr>
        <w:rPr>
          <w:snapToGrid w:val="0"/>
          <w:sz w:val="24"/>
          <w:szCs w:val="24"/>
        </w:rPr>
      </w:pPr>
      <w:r>
        <w:rPr>
          <w:snapToGrid w:val="0"/>
          <w:sz w:val="24"/>
          <w:szCs w:val="24"/>
        </w:rPr>
        <w:t>PSE’s current</w:t>
      </w:r>
      <w:r w:rsidR="003370D1">
        <w:rPr>
          <w:snapToGrid w:val="0"/>
          <w:sz w:val="24"/>
          <w:szCs w:val="24"/>
        </w:rPr>
        <w:t xml:space="preserve"> natural gas</w:t>
      </w:r>
      <w:r>
        <w:rPr>
          <w:snapToGrid w:val="0"/>
          <w:sz w:val="24"/>
          <w:szCs w:val="24"/>
        </w:rPr>
        <w:t xml:space="preserve"> line extension policy </w:t>
      </w:r>
      <w:r w:rsidR="005524AC">
        <w:rPr>
          <w:snapToGrid w:val="0"/>
          <w:sz w:val="24"/>
          <w:szCs w:val="24"/>
        </w:rPr>
        <w:t>comprise</w:t>
      </w:r>
      <w:r>
        <w:rPr>
          <w:snapToGrid w:val="0"/>
          <w:sz w:val="24"/>
          <w:szCs w:val="24"/>
        </w:rPr>
        <w:t>s the following four tariff rules/schedule</w:t>
      </w:r>
      <w:r w:rsidR="003370D1">
        <w:rPr>
          <w:snapToGrid w:val="0"/>
          <w:sz w:val="24"/>
          <w:szCs w:val="24"/>
        </w:rPr>
        <w:t>s</w:t>
      </w:r>
      <w:r>
        <w:rPr>
          <w:snapToGrid w:val="0"/>
          <w:sz w:val="24"/>
          <w:szCs w:val="24"/>
        </w:rPr>
        <w:t xml:space="preserve">: </w:t>
      </w:r>
      <w:r w:rsidR="005524AC" w:rsidRPr="005524AC">
        <w:rPr>
          <w:snapToGrid w:val="0"/>
          <w:sz w:val="24"/>
          <w:szCs w:val="24"/>
        </w:rPr>
        <w:t>Rule No. 7: Extension of Distribution Facilities–Other Than Kittitas County</w:t>
      </w:r>
      <w:r w:rsidR="00132BB6">
        <w:rPr>
          <w:snapToGrid w:val="0"/>
          <w:sz w:val="24"/>
          <w:szCs w:val="24"/>
        </w:rPr>
        <w:t xml:space="preserve"> (“Rule No. 7”)</w:t>
      </w:r>
      <w:r w:rsidR="005524AC">
        <w:rPr>
          <w:snapToGrid w:val="0"/>
          <w:sz w:val="24"/>
          <w:szCs w:val="24"/>
        </w:rPr>
        <w:t xml:space="preserve">, </w:t>
      </w:r>
      <w:r w:rsidR="005524AC" w:rsidRPr="005524AC">
        <w:rPr>
          <w:snapToGrid w:val="0"/>
          <w:sz w:val="24"/>
          <w:szCs w:val="24"/>
        </w:rPr>
        <w:t>Rule No. 7A: Extension of Distribution Facilities–Kittitas County</w:t>
      </w:r>
      <w:r w:rsidR="00132BB6">
        <w:rPr>
          <w:snapToGrid w:val="0"/>
          <w:sz w:val="24"/>
          <w:szCs w:val="24"/>
        </w:rPr>
        <w:t xml:space="preserve"> (“Rule No. 7”)</w:t>
      </w:r>
      <w:r w:rsidR="005524AC">
        <w:rPr>
          <w:snapToGrid w:val="0"/>
          <w:sz w:val="24"/>
          <w:szCs w:val="24"/>
        </w:rPr>
        <w:t xml:space="preserve">, </w:t>
      </w:r>
      <w:r w:rsidR="005524AC" w:rsidRPr="005524AC">
        <w:rPr>
          <w:snapToGrid w:val="0"/>
          <w:sz w:val="24"/>
          <w:szCs w:val="24"/>
        </w:rPr>
        <w:t>Schedule No. 7: Facilities Extension Standards</w:t>
      </w:r>
      <w:r w:rsidR="00132BB6">
        <w:rPr>
          <w:snapToGrid w:val="0"/>
          <w:sz w:val="24"/>
          <w:szCs w:val="24"/>
        </w:rPr>
        <w:t xml:space="preserve"> (“Schedule No. 7”)</w:t>
      </w:r>
      <w:r w:rsidR="005524AC">
        <w:rPr>
          <w:snapToGrid w:val="0"/>
          <w:sz w:val="24"/>
          <w:szCs w:val="24"/>
        </w:rPr>
        <w:t xml:space="preserve">, </w:t>
      </w:r>
      <w:r>
        <w:rPr>
          <w:snapToGrid w:val="0"/>
          <w:sz w:val="24"/>
          <w:szCs w:val="24"/>
        </w:rPr>
        <w:t xml:space="preserve">and </w:t>
      </w:r>
      <w:r w:rsidR="005524AC" w:rsidRPr="005524AC">
        <w:rPr>
          <w:snapToGrid w:val="0"/>
          <w:sz w:val="24"/>
          <w:szCs w:val="24"/>
        </w:rPr>
        <w:t>Schedule No. 107: New Customer Rate Facilities Extensions</w:t>
      </w:r>
      <w:r w:rsidR="00132BB6">
        <w:rPr>
          <w:snapToGrid w:val="0"/>
          <w:sz w:val="24"/>
          <w:szCs w:val="24"/>
        </w:rPr>
        <w:t xml:space="preserve"> (“Schedule No. 107”)</w:t>
      </w:r>
      <w:r>
        <w:rPr>
          <w:snapToGrid w:val="0"/>
          <w:sz w:val="24"/>
          <w:szCs w:val="24"/>
        </w:rPr>
        <w:t xml:space="preserve">.  </w:t>
      </w:r>
      <w:r w:rsidR="00132BB6" w:rsidRPr="00132BB6">
        <w:rPr>
          <w:snapToGrid w:val="0"/>
          <w:sz w:val="24"/>
          <w:szCs w:val="24"/>
        </w:rPr>
        <w:t xml:space="preserve">As proposed, effective on February 1, 2017, these rules and schedules would be closed for new line extension customers.  However, of </w:t>
      </w:r>
      <w:r w:rsidR="00E23682">
        <w:rPr>
          <w:snapToGrid w:val="0"/>
          <w:sz w:val="24"/>
          <w:szCs w:val="24"/>
        </w:rPr>
        <w:t xml:space="preserve">the customer-requested new distribution facilities </w:t>
      </w:r>
      <w:r w:rsidR="00132BB6" w:rsidRPr="00132BB6">
        <w:rPr>
          <w:snapToGrid w:val="0"/>
          <w:sz w:val="24"/>
          <w:szCs w:val="24"/>
        </w:rPr>
        <w:t>provided under the existing line extension policy, there would be no change to PSE and</w:t>
      </w:r>
      <w:r w:rsidR="003370D1">
        <w:rPr>
          <w:snapToGrid w:val="0"/>
          <w:sz w:val="24"/>
          <w:szCs w:val="24"/>
        </w:rPr>
        <w:t xml:space="preserve"> its</w:t>
      </w:r>
      <w:r w:rsidR="00132BB6" w:rsidRPr="00132BB6">
        <w:rPr>
          <w:snapToGrid w:val="0"/>
          <w:sz w:val="24"/>
          <w:szCs w:val="24"/>
        </w:rPr>
        <w:t xml:space="preserve"> customer obligations.  For example, PSE will continue the review of </w:t>
      </w:r>
      <w:r w:rsidR="00AE0208">
        <w:rPr>
          <w:snapToGrid w:val="0"/>
          <w:sz w:val="24"/>
          <w:szCs w:val="24"/>
        </w:rPr>
        <w:t>c</w:t>
      </w:r>
      <w:r w:rsidR="00132BB6" w:rsidRPr="00132BB6">
        <w:rPr>
          <w:snapToGrid w:val="0"/>
          <w:sz w:val="24"/>
          <w:szCs w:val="24"/>
        </w:rPr>
        <w:t xml:space="preserve">ustomer </w:t>
      </w:r>
      <w:r w:rsidR="00AE0208">
        <w:rPr>
          <w:snapToGrid w:val="0"/>
          <w:sz w:val="24"/>
          <w:szCs w:val="24"/>
        </w:rPr>
        <w:t>a</w:t>
      </w:r>
      <w:r w:rsidR="00132BB6" w:rsidRPr="00132BB6">
        <w:rPr>
          <w:snapToGrid w:val="0"/>
          <w:sz w:val="24"/>
          <w:szCs w:val="24"/>
        </w:rPr>
        <w:t>dvance</w:t>
      </w:r>
      <w:r w:rsidR="00E23682">
        <w:rPr>
          <w:snapToGrid w:val="0"/>
          <w:sz w:val="24"/>
          <w:szCs w:val="24"/>
        </w:rPr>
        <w:t>s</w:t>
      </w:r>
      <w:r w:rsidR="00132BB6" w:rsidRPr="00132BB6">
        <w:rPr>
          <w:snapToGrid w:val="0"/>
          <w:sz w:val="24"/>
          <w:szCs w:val="24"/>
        </w:rPr>
        <w:t xml:space="preserve"> and customers </w:t>
      </w:r>
      <w:r w:rsidR="00DD3707">
        <w:rPr>
          <w:snapToGrid w:val="0"/>
          <w:sz w:val="24"/>
          <w:szCs w:val="24"/>
        </w:rPr>
        <w:t xml:space="preserve">who </w:t>
      </w:r>
      <w:r w:rsidR="00B928C0">
        <w:rPr>
          <w:snapToGrid w:val="0"/>
          <w:sz w:val="24"/>
          <w:szCs w:val="24"/>
        </w:rPr>
        <w:t>have</w:t>
      </w:r>
      <w:r w:rsidR="000F33D2">
        <w:rPr>
          <w:snapToGrid w:val="0"/>
          <w:sz w:val="24"/>
          <w:szCs w:val="24"/>
        </w:rPr>
        <w:t xml:space="preserve"> </w:t>
      </w:r>
      <w:r w:rsidR="00DD3707">
        <w:rPr>
          <w:snapToGrid w:val="0"/>
          <w:sz w:val="24"/>
          <w:szCs w:val="24"/>
        </w:rPr>
        <w:t>chose</w:t>
      </w:r>
      <w:r w:rsidR="000F33D2">
        <w:rPr>
          <w:snapToGrid w:val="0"/>
          <w:sz w:val="24"/>
          <w:szCs w:val="24"/>
        </w:rPr>
        <w:t>n</w:t>
      </w:r>
      <w:r w:rsidR="00DD3707">
        <w:rPr>
          <w:snapToGrid w:val="0"/>
          <w:sz w:val="24"/>
          <w:szCs w:val="24"/>
        </w:rPr>
        <w:t xml:space="preserve"> to pay for their </w:t>
      </w:r>
      <w:r w:rsidR="000F33D2">
        <w:rPr>
          <w:snapToGrid w:val="0"/>
          <w:sz w:val="24"/>
          <w:szCs w:val="24"/>
        </w:rPr>
        <w:t xml:space="preserve">share of the </w:t>
      </w:r>
      <w:r w:rsidR="000F33D2">
        <w:rPr>
          <w:snapToGrid w:val="0"/>
          <w:sz w:val="24"/>
          <w:szCs w:val="24"/>
        </w:rPr>
        <w:t xml:space="preserve">line extension </w:t>
      </w:r>
      <w:r w:rsidR="00DD3707">
        <w:rPr>
          <w:snapToGrid w:val="0"/>
          <w:sz w:val="24"/>
          <w:szCs w:val="24"/>
        </w:rPr>
        <w:t xml:space="preserve">costs </w:t>
      </w:r>
      <w:r w:rsidR="000F33D2">
        <w:rPr>
          <w:snapToGrid w:val="0"/>
          <w:sz w:val="24"/>
          <w:szCs w:val="24"/>
        </w:rPr>
        <w:t xml:space="preserve">via Schedule No. 107 </w:t>
      </w:r>
      <w:r w:rsidR="00132BB6" w:rsidRPr="00132BB6">
        <w:rPr>
          <w:snapToGrid w:val="0"/>
          <w:sz w:val="24"/>
          <w:szCs w:val="24"/>
        </w:rPr>
        <w:t xml:space="preserve">will continue paying the </w:t>
      </w:r>
      <w:r w:rsidR="00AE0208">
        <w:rPr>
          <w:snapToGrid w:val="0"/>
          <w:sz w:val="24"/>
          <w:szCs w:val="24"/>
        </w:rPr>
        <w:t>n</w:t>
      </w:r>
      <w:r w:rsidR="00132BB6" w:rsidRPr="00132BB6">
        <w:rPr>
          <w:snapToGrid w:val="0"/>
          <w:sz w:val="24"/>
          <w:szCs w:val="24"/>
        </w:rPr>
        <w:t xml:space="preserve">ew </w:t>
      </w:r>
      <w:r w:rsidR="00AE0208">
        <w:rPr>
          <w:snapToGrid w:val="0"/>
          <w:sz w:val="24"/>
          <w:szCs w:val="24"/>
        </w:rPr>
        <w:t>c</w:t>
      </w:r>
      <w:r w:rsidR="00132BB6" w:rsidRPr="00132BB6">
        <w:rPr>
          <w:snapToGrid w:val="0"/>
          <w:sz w:val="24"/>
          <w:szCs w:val="24"/>
        </w:rPr>
        <w:t xml:space="preserve">ustomer </w:t>
      </w:r>
      <w:r w:rsidR="00AE0208">
        <w:rPr>
          <w:snapToGrid w:val="0"/>
          <w:sz w:val="24"/>
          <w:szCs w:val="24"/>
        </w:rPr>
        <w:t>r</w:t>
      </w:r>
      <w:r w:rsidR="00132BB6" w:rsidRPr="00132BB6">
        <w:rPr>
          <w:snapToGrid w:val="0"/>
          <w:sz w:val="24"/>
          <w:szCs w:val="24"/>
        </w:rPr>
        <w:t>ate as outlined in Rule Nos. 7 and 7A and Schedule Nos. 7 and 107.</w:t>
      </w:r>
    </w:p>
    <w:p w:rsidR="00132BB6" w:rsidRDefault="00132BB6" w:rsidP="00E14880">
      <w:pPr>
        <w:rPr>
          <w:snapToGrid w:val="0"/>
          <w:sz w:val="24"/>
          <w:szCs w:val="24"/>
        </w:rPr>
      </w:pPr>
    </w:p>
    <w:p w:rsidR="006859D1" w:rsidRDefault="006859D1" w:rsidP="006859D1">
      <w:pPr>
        <w:rPr>
          <w:snapToGrid w:val="0"/>
          <w:sz w:val="24"/>
          <w:szCs w:val="24"/>
        </w:rPr>
      </w:pPr>
      <w:r>
        <w:rPr>
          <w:snapToGrid w:val="0"/>
          <w:sz w:val="24"/>
          <w:szCs w:val="24"/>
        </w:rPr>
        <w:t>Housekeeping changes include the revised natural gas tariff index sheets to reflect the close of existing line extension tariff schedules to new customers</w:t>
      </w:r>
      <w:r w:rsidR="004D17F0">
        <w:rPr>
          <w:snapToGrid w:val="0"/>
          <w:sz w:val="24"/>
          <w:szCs w:val="24"/>
        </w:rPr>
        <w:t xml:space="preserve"> and the addition of the new line extension policy, Rule No. 6.  </w:t>
      </w:r>
      <w:r w:rsidR="00C60F72">
        <w:rPr>
          <w:snapToGrid w:val="0"/>
          <w:sz w:val="24"/>
          <w:szCs w:val="24"/>
        </w:rPr>
        <w:t xml:space="preserve">The proposed </w:t>
      </w:r>
      <w:r w:rsidR="00DD3707">
        <w:rPr>
          <w:snapToGrid w:val="0"/>
          <w:sz w:val="24"/>
          <w:szCs w:val="24"/>
        </w:rPr>
        <w:t xml:space="preserve">revisions to the </w:t>
      </w:r>
      <w:r w:rsidR="00C60F72">
        <w:rPr>
          <w:snapToGrid w:val="0"/>
          <w:sz w:val="24"/>
          <w:szCs w:val="24"/>
        </w:rPr>
        <w:t xml:space="preserve">tariff sheets for </w:t>
      </w:r>
      <w:r w:rsidR="00C60F72" w:rsidRPr="000D5534">
        <w:rPr>
          <w:color w:val="000000"/>
          <w:sz w:val="22"/>
          <w:szCs w:val="22"/>
        </w:rPr>
        <w:t>Rule No.</w:t>
      </w:r>
      <w:r w:rsidR="00C60F72" w:rsidRPr="00220611">
        <w:rPr>
          <w:sz w:val="22"/>
          <w:szCs w:val="22"/>
        </w:rPr>
        <w:t>9:  Bills and Payment for Service</w:t>
      </w:r>
      <w:r w:rsidR="00C60F72">
        <w:rPr>
          <w:sz w:val="22"/>
          <w:szCs w:val="22"/>
        </w:rPr>
        <w:t>,</w:t>
      </w:r>
      <w:r w:rsidR="00C60F72">
        <w:rPr>
          <w:snapToGrid w:val="0"/>
          <w:sz w:val="24"/>
          <w:szCs w:val="24"/>
        </w:rPr>
        <w:t xml:space="preserve"> </w:t>
      </w:r>
      <w:r w:rsidR="00C60F72" w:rsidRPr="005524AC">
        <w:rPr>
          <w:snapToGrid w:val="0"/>
          <w:sz w:val="24"/>
          <w:szCs w:val="24"/>
        </w:rPr>
        <w:t>Rule No. 28: Income Tax Rider – Contributions in Aid of Construction</w:t>
      </w:r>
      <w:r w:rsidR="00C60F72">
        <w:rPr>
          <w:snapToGrid w:val="0"/>
          <w:sz w:val="24"/>
          <w:szCs w:val="24"/>
        </w:rPr>
        <w:t xml:space="preserve"> (“Rule No. 28”), and Schedule No. 54: Optional Gas Compression Service include the </w:t>
      </w:r>
      <w:r w:rsidR="00FD7347">
        <w:rPr>
          <w:snapToGrid w:val="0"/>
          <w:sz w:val="24"/>
          <w:szCs w:val="24"/>
        </w:rPr>
        <w:t xml:space="preserve">changes </w:t>
      </w:r>
      <w:r w:rsidR="00C60F72">
        <w:rPr>
          <w:snapToGrid w:val="0"/>
          <w:sz w:val="24"/>
          <w:szCs w:val="24"/>
        </w:rPr>
        <w:t xml:space="preserve">required </w:t>
      </w:r>
      <w:r w:rsidR="00FD7347">
        <w:rPr>
          <w:snapToGrid w:val="0"/>
          <w:sz w:val="24"/>
          <w:szCs w:val="24"/>
        </w:rPr>
        <w:t xml:space="preserve">because </w:t>
      </w:r>
      <w:r w:rsidR="00C60F72">
        <w:rPr>
          <w:snapToGrid w:val="0"/>
          <w:sz w:val="24"/>
          <w:szCs w:val="24"/>
        </w:rPr>
        <w:t>of the a</w:t>
      </w:r>
      <w:r w:rsidR="004D17F0">
        <w:rPr>
          <w:snapToGrid w:val="0"/>
          <w:sz w:val="24"/>
          <w:szCs w:val="24"/>
        </w:rPr>
        <w:t xml:space="preserve">doption </w:t>
      </w:r>
      <w:r w:rsidR="00C60F72">
        <w:rPr>
          <w:snapToGrid w:val="0"/>
          <w:sz w:val="24"/>
          <w:szCs w:val="24"/>
        </w:rPr>
        <w:t xml:space="preserve">of </w:t>
      </w:r>
      <w:r w:rsidR="00FD7347">
        <w:rPr>
          <w:snapToGrid w:val="0"/>
          <w:sz w:val="24"/>
          <w:szCs w:val="24"/>
        </w:rPr>
        <w:t>Rule No. 6</w:t>
      </w:r>
      <w:r w:rsidR="00C60F72">
        <w:rPr>
          <w:snapToGrid w:val="0"/>
          <w:sz w:val="24"/>
          <w:szCs w:val="24"/>
        </w:rPr>
        <w:t xml:space="preserve">.  </w:t>
      </w:r>
      <w:r w:rsidR="00D34D92">
        <w:rPr>
          <w:snapToGrid w:val="0"/>
          <w:sz w:val="24"/>
          <w:szCs w:val="24"/>
        </w:rPr>
        <w:t xml:space="preserve">A </w:t>
      </w:r>
      <w:r w:rsidR="008D2060">
        <w:rPr>
          <w:snapToGrid w:val="0"/>
          <w:sz w:val="24"/>
          <w:szCs w:val="24"/>
        </w:rPr>
        <w:t>reference to Rule No. 6</w:t>
      </w:r>
      <w:r w:rsidR="00D34D92">
        <w:rPr>
          <w:snapToGrid w:val="0"/>
          <w:sz w:val="24"/>
          <w:szCs w:val="24"/>
        </w:rPr>
        <w:t xml:space="preserve"> is added to the applicable tariff sheets where the line extension </w:t>
      </w:r>
      <w:r w:rsidR="00C60F72">
        <w:rPr>
          <w:snapToGrid w:val="0"/>
          <w:sz w:val="24"/>
          <w:szCs w:val="24"/>
        </w:rPr>
        <w:t>policy</w:t>
      </w:r>
      <w:r w:rsidR="00D34D92">
        <w:rPr>
          <w:snapToGrid w:val="0"/>
          <w:sz w:val="24"/>
          <w:szCs w:val="24"/>
        </w:rPr>
        <w:t xml:space="preserve"> is referred</w:t>
      </w:r>
      <w:r w:rsidR="00161528">
        <w:rPr>
          <w:snapToGrid w:val="0"/>
          <w:sz w:val="24"/>
          <w:szCs w:val="24"/>
        </w:rPr>
        <w:t xml:space="preserve">.  There is no </w:t>
      </w:r>
      <w:r w:rsidR="007A06D5">
        <w:rPr>
          <w:snapToGrid w:val="0"/>
          <w:sz w:val="24"/>
          <w:szCs w:val="24"/>
        </w:rPr>
        <w:t xml:space="preserve">rate or other language change </w:t>
      </w:r>
      <w:r w:rsidR="00C60F72">
        <w:rPr>
          <w:snapToGrid w:val="0"/>
          <w:sz w:val="24"/>
          <w:szCs w:val="24"/>
        </w:rPr>
        <w:t>of the</w:t>
      </w:r>
      <w:r w:rsidR="007A06D5">
        <w:rPr>
          <w:snapToGrid w:val="0"/>
          <w:sz w:val="24"/>
          <w:szCs w:val="24"/>
        </w:rPr>
        <w:t>se</w:t>
      </w:r>
      <w:r w:rsidR="00C60F72">
        <w:rPr>
          <w:snapToGrid w:val="0"/>
          <w:sz w:val="24"/>
          <w:szCs w:val="24"/>
        </w:rPr>
        <w:t xml:space="preserve"> tariff sheets</w:t>
      </w:r>
      <w:r w:rsidR="00161528">
        <w:rPr>
          <w:snapToGrid w:val="0"/>
          <w:sz w:val="24"/>
          <w:szCs w:val="24"/>
        </w:rPr>
        <w:t>.</w:t>
      </w:r>
    </w:p>
    <w:p w:rsidR="00DD3707" w:rsidRDefault="00DD3707" w:rsidP="00970E1B">
      <w:pPr>
        <w:rPr>
          <w:snapToGrid w:val="0"/>
          <w:sz w:val="24"/>
          <w:szCs w:val="24"/>
        </w:rPr>
      </w:pPr>
    </w:p>
    <w:p w:rsidR="00970E1B" w:rsidRPr="00597968" w:rsidRDefault="00970E1B" w:rsidP="00970E1B">
      <w:pPr>
        <w:rPr>
          <w:snapToGrid w:val="0"/>
          <w:sz w:val="24"/>
          <w:szCs w:val="24"/>
        </w:rPr>
      </w:pPr>
      <w:r w:rsidRPr="00597968">
        <w:rPr>
          <w:snapToGrid w:val="0"/>
          <w:sz w:val="24"/>
          <w:szCs w:val="24"/>
        </w:rPr>
        <w:t>In order to provide certainty and advance notice to the building industry</w:t>
      </w:r>
      <w:r w:rsidR="00161528">
        <w:rPr>
          <w:snapToGrid w:val="0"/>
          <w:sz w:val="24"/>
          <w:szCs w:val="24"/>
        </w:rPr>
        <w:t xml:space="preserve">, </w:t>
      </w:r>
      <w:r w:rsidR="000623F1">
        <w:rPr>
          <w:snapToGrid w:val="0"/>
          <w:sz w:val="24"/>
          <w:szCs w:val="24"/>
        </w:rPr>
        <w:t>potential line extension customers</w:t>
      </w:r>
      <w:r w:rsidR="00161528">
        <w:rPr>
          <w:snapToGrid w:val="0"/>
          <w:sz w:val="24"/>
          <w:szCs w:val="24"/>
        </w:rPr>
        <w:t xml:space="preserve"> and other stakeholders</w:t>
      </w:r>
      <w:r>
        <w:rPr>
          <w:snapToGrid w:val="0"/>
          <w:sz w:val="24"/>
          <w:szCs w:val="24"/>
        </w:rPr>
        <w:t>,</w:t>
      </w:r>
      <w:r w:rsidRPr="00597968">
        <w:rPr>
          <w:snapToGrid w:val="0"/>
          <w:sz w:val="24"/>
          <w:szCs w:val="24"/>
        </w:rPr>
        <w:t xml:space="preserve"> this filing reflects </w:t>
      </w:r>
      <w:r w:rsidR="00A23BDB">
        <w:rPr>
          <w:snapToGrid w:val="0"/>
          <w:sz w:val="24"/>
          <w:szCs w:val="24"/>
        </w:rPr>
        <w:t xml:space="preserve">revisions </w:t>
      </w:r>
      <w:r w:rsidRPr="00597968">
        <w:rPr>
          <w:snapToGrid w:val="0"/>
          <w:sz w:val="24"/>
          <w:szCs w:val="24"/>
        </w:rPr>
        <w:t xml:space="preserve">proposed </w:t>
      </w:r>
      <w:r>
        <w:rPr>
          <w:snapToGrid w:val="0"/>
          <w:sz w:val="24"/>
          <w:szCs w:val="24"/>
        </w:rPr>
        <w:t xml:space="preserve">to be </w:t>
      </w:r>
      <w:r w:rsidRPr="00597968">
        <w:rPr>
          <w:snapToGrid w:val="0"/>
          <w:sz w:val="24"/>
          <w:szCs w:val="24"/>
        </w:rPr>
        <w:t xml:space="preserve">effective </w:t>
      </w:r>
      <w:r>
        <w:rPr>
          <w:snapToGrid w:val="0"/>
          <w:sz w:val="24"/>
          <w:szCs w:val="24"/>
        </w:rPr>
        <w:t>on</w:t>
      </w:r>
      <w:r w:rsidRPr="00597968">
        <w:rPr>
          <w:snapToGrid w:val="0"/>
          <w:sz w:val="24"/>
          <w:szCs w:val="24"/>
        </w:rPr>
        <w:t xml:space="preserve"> </w:t>
      </w:r>
      <w:r>
        <w:rPr>
          <w:snapToGrid w:val="0"/>
          <w:sz w:val="24"/>
          <w:szCs w:val="24"/>
        </w:rPr>
        <w:t xml:space="preserve">February </w:t>
      </w:r>
      <w:r w:rsidRPr="00597968">
        <w:rPr>
          <w:snapToGrid w:val="0"/>
          <w:sz w:val="24"/>
          <w:szCs w:val="24"/>
        </w:rPr>
        <w:t>1, 201</w:t>
      </w:r>
      <w:r>
        <w:rPr>
          <w:snapToGrid w:val="0"/>
          <w:sz w:val="24"/>
          <w:szCs w:val="24"/>
        </w:rPr>
        <w:t>7</w:t>
      </w:r>
      <w:r w:rsidRPr="00597968">
        <w:rPr>
          <w:snapToGrid w:val="0"/>
          <w:sz w:val="24"/>
          <w:szCs w:val="24"/>
        </w:rPr>
        <w:t>, thereby giving</w:t>
      </w:r>
      <w:r>
        <w:rPr>
          <w:snapToGrid w:val="0"/>
          <w:sz w:val="24"/>
          <w:szCs w:val="24"/>
        </w:rPr>
        <w:t xml:space="preserve"> approximately</w:t>
      </w:r>
      <w:r w:rsidRPr="00597968">
        <w:rPr>
          <w:snapToGrid w:val="0"/>
          <w:sz w:val="24"/>
          <w:szCs w:val="24"/>
        </w:rPr>
        <w:t xml:space="preserve"> two months advance notice.</w:t>
      </w:r>
      <w:r>
        <w:rPr>
          <w:snapToGrid w:val="0"/>
          <w:sz w:val="24"/>
          <w:szCs w:val="24"/>
        </w:rPr>
        <w:t xml:space="preserve">  PSE has plans to continue discussions with members of the building industry </w:t>
      </w:r>
      <w:r w:rsidR="000623F1">
        <w:rPr>
          <w:snapToGrid w:val="0"/>
          <w:sz w:val="24"/>
          <w:szCs w:val="24"/>
        </w:rPr>
        <w:t xml:space="preserve">and other energy solution providers </w:t>
      </w:r>
      <w:r>
        <w:rPr>
          <w:snapToGrid w:val="0"/>
          <w:sz w:val="24"/>
          <w:szCs w:val="24"/>
        </w:rPr>
        <w:t xml:space="preserve">to make them aware of this filing and the proposed new </w:t>
      </w:r>
      <w:r w:rsidR="000623F1">
        <w:rPr>
          <w:snapToGrid w:val="0"/>
          <w:sz w:val="24"/>
          <w:szCs w:val="24"/>
        </w:rPr>
        <w:t>line extension policy of Rule No. 6</w:t>
      </w:r>
      <w:r>
        <w:rPr>
          <w:snapToGrid w:val="0"/>
          <w:sz w:val="24"/>
          <w:szCs w:val="24"/>
        </w:rPr>
        <w:t>.</w:t>
      </w:r>
    </w:p>
    <w:p w:rsidR="00970E1B" w:rsidRDefault="00970E1B" w:rsidP="00A332E0">
      <w:pPr>
        <w:rPr>
          <w:sz w:val="24"/>
          <w:szCs w:val="24"/>
        </w:rPr>
      </w:pPr>
    </w:p>
    <w:p w:rsidR="00A332E0" w:rsidRPr="0056142F" w:rsidRDefault="00A332E0" w:rsidP="00A332E0">
      <w:pPr>
        <w:rPr>
          <w:snapToGrid w:val="0"/>
          <w:sz w:val="24"/>
          <w:szCs w:val="24"/>
        </w:rPr>
      </w:pPr>
      <w:r w:rsidRPr="0056142F">
        <w:rPr>
          <w:sz w:val="24"/>
          <w:szCs w:val="24"/>
        </w:rPr>
        <w:t xml:space="preserve">The tariff sheets described herein reflect an issue date of </w:t>
      </w:r>
      <w:r w:rsidR="003370D1">
        <w:rPr>
          <w:sz w:val="24"/>
          <w:szCs w:val="24"/>
        </w:rPr>
        <w:t>December</w:t>
      </w:r>
      <w:r w:rsidR="000623F1">
        <w:rPr>
          <w:sz w:val="24"/>
          <w:szCs w:val="24"/>
        </w:rPr>
        <w:t xml:space="preserve"> </w:t>
      </w:r>
      <w:r w:rsidR="00CE7A0A">
        <w:rPr>
          <w:sz w:val="24"/>
          <w:szCs w:val="24"/>
        </w:rPr>
        <w:t>6</w:t>
      </w:r>
      <w:r w:rsidRPr="0056142F">
        <w:rPr>
          <w:sz w:val="24"/>
          <w:szCs w:val="24"/>
        </w:rPr>
        <w:t>, 20</w:t>
      </w:r>
      <w:r>
        <w:rPr>
          <w:sz w:val="24"/>
          <w:szCs w:val="24"/>
        </w:rPr>
        <w:t>1</w:t>
      </w:r>
      <w:r w:rsidR="000623F1">
        <w:rPr>
          <w:sz w:val="24"/>
          <w:szCs w:val="24"/>
        </w:rPr>
        <w:t>6</w:t>
      </w:r>
      <w:r w:rsidRPr="0056142F">
        <w:rPr>
          <w:sz w:val="24"/>
          <w:szCs w:val="24"/>
        </w:rPr>
        <w:t xml:space="preserve">, and an effective date of </w:t>
      </w:r>
      <w:r w:rsidR="003370D1">
        <w:rPr>
          <w:sz w:val="24"/>
          <w:szCs w:val="24"/>
        </w:rPr>
        <w:t>January</w:t>
      </w:r>
      <w:r w:rsidR="000623F1">
        <w:rPr>
          <w:sz w:val="24"/>
          <w:szCs w:val="24"/>
        </w:rPr>
        <w:t xml:space="preserve"> </w:t>
      </w:r>
      <w:r w:rsidR="00CE7A0A">
        <w:rPr>
          <w:sz w:val="24"/>
          <w:szCs w:val="24"/>
        </w:rPr>
        <w:t>6</w:t>
      </w:r>
      <w:r w:rsidR="000623F1">
        <w:rPr>
          <w:sz w:val="24"/>
          <w:szCs w:val="24"/>
        </w:rPr>
        <w:t>,</w:t>
      </w:r>
      <w:r w:rsidRPr="0056142F">
        <w:rPr>
          <w:sz w:val="24"/>
          <w:szCs w:val="24"/>
        </w:rPr>
        <w:t xml:space="preserve"> 20</w:t>
      </w:r>
      <w:r>
        <w:rPr>
          <w:sz w:val="24"/>
          <w:szCs w:val="24"/>
        </w:rPr>
        <w:t>1</w:t>
      </w:r>
      <w:r w:rsidR="003370D1">
        <w:rPr>
          <w:sz w:val="24"/>
          <w:szCs w:val="24"/>
        </w:rPr>
        <w:t>7</w:t>
      </w:r>
      <w:r w:rsidRPr="0056142F">
        <w:rPr>
          <w:sz w:val="24"/>
          <w:szCs w:val="24"/>
        </w:rPr>
        <w:t>.  T</w:t>
      </w:r>
      <w:r w:rsidRPr="0056142F">
        <w:rPr>
          <w:snapToGrid w:val="0"/>
          <w:sz w:val="24"/>
          <w:szCs w:val="24"/>
        </w:rPr>
        <w:t xml:space="preserve">he proposed </w:t>
      </w:r>
      <w:r w:rsidR="000623F1">
        <w:rPr>
          <w:snapToGrid w:val="0"/>
          <w:sz w:val="24"/>
          <w:szCs w:val="24"/>
        </w:rPr>
        <w:t>tariff revisions to PSE’s natural gas line extension policy</w:t>
      </w:r>
      <w:r w:rsidRPr="0056142F">
        <w:rPr>
          <w:snapToGrid w:val="0"/>
          <w:sz w:val="24"/>
          <w:szCs w:val="24"/>
        </w:rPr>
        <w:t xml:space="preserve">, however, will become effective on </w:t>
      </w:r>
      <w:r w:rsidR="000623F1">
        <w:rPr>
          <w:snapToGrid w:val="0"/>
          <w:sz w:val="24"/>
          <w:szCs w:val="24"/>
        </w:rPr>
        <w:t xml:space="preserve">February </w:t>
      </w:r>
      <w:r w:rsidRPr="0056142F">
        <w:rPr>
          <w:snapToGrid w:val="0"/>
          <w:sz w:val="24"/>
          <w:szCs w:val="24"/>
        </w:rPr>
        <w:t>1, 201</w:t>
      </w:r>
      <w:r w:rsidR="000623F1">
        <w:rPr>
          <w:snapToGrid w:val="0"/>
          <w:sz w:val="24"/>
          <w:szCs w:val="24"/>
        </w:rPr>
        <w:t>7</w:t>
      </w:r>
      <w:r w:rsidRPr="0056142F">
        <w:rPr>
          <w:snapToGrid w:val="0"/>
          <w:sz w:val="24"/>
          <w:szCs w:val="24"/>
        </w:rPr>
        <w:t xml:space="preserve">. </w:t>
      </w:r>
    </w:p>
    <w:p w:rsidR="00A332E0" w:rsidRPr="0056142F" w:rsidRDefault="00A332E0" w:rsidP="00A332E0">
      <w:pPr>
        <w:rPr>
          <w:snapToGrid w:val="0"/>
          <w:sz w:val="24"/>
          <w:szCs w:val="24"/>
        </w:rPr>
      </w:pPr>
    </w:p>
    <w:p w:rsidR="00A332E0" w:rsidRPr="00A332E0" w:rsidRDefault="00A332E0" w:rsidP="00A332E0">
      <w:pPr>
        <w:pStyle w:val="BodyText2"/>
        <w:rPr>
          <w:b w:val="0"/>
          <w:sz w:val="24"/>
          <w:szCs w:val="24"/>
        </w:rPr>
      </w:pPr>
      <w:r w:rsidRPr="00A332E0">
        <w:rPr>
          <w:b w:val="0"/>
          <w:sz w:val="24"/>
          <w:szCs w:val="24"/>
        </w:rPr>
        <w:t>These tariff changes do not increase recurring charges or restrict access to services.  PSE provides cost quotes to</w:t>
      </w:r>
      <w:r w:rsidR="000623F1">
        <w:rPr>
          <w:b w:val="0"/>
          <w:sz w:val="24"/>
          <w:szCs w:val="24"/>
        </w:rPr>
        <w:t xml:space="preserve"> individual </w:t>
      </w:r>
      <w:r w:rsidRPr="00A332E0">
        <w:rPr>
          <w:b w:val="0"/>
          <w:sz w:val="24"/>
          <w:szCs w:val="24"/>
        </w:rPr>
        <w:t>customers who request facility extension or modification prior to construction.  Posting of the proposed tariff change</w:t>
      </w:r>
      <w:r w:rsidR="000623F1">
        <w:rPr>
          <w:b w:val="0"/>
          <w:sz w:val="24"/>
          <w:szCs w:val="24"/>
        </w:rPr>
        <w:t>s</w:t>
      </w:r>
      <w:r w:rsidRPr="00A332E0">
        <w:rPr>
          <w:b w:val="0"/>
          <w:sz w:val="24"/>
          <w:szCs w:val="24"/>
        </w:rPr>
        <w:t xml:space="preserve"> as required by WAC 480-90-193 is being made by posting the proposed tariff sheets on the PSE web site immediately prior to, or coincident with, the date of this transmittal letter.  Notice of proposed tariff change</w:t>
      </w:r>
      <w:r w:rsidR="00E23682">
        <w:rPr>
          <w:b w:val="0"/>
          <w:sz w:val="24"/>
          <w:szCs w:val="24"/>
        </w:rPr>
        <w:t>s</w:t>
      </w:r>
      <w:r w:rsidRPr="00A332E0">
        <w:rPr>
          <w:b w:val="0"/>
          <w:sz w:val="24"/>
          <w:szCs w:val="24"/>
        </w:rPr>
        <w:t xml:space="preserve">, as required by law and the Commission’s rules and </w:t>
      </w:r>
      <w:r w:rsidRPr="00A332E0">
        <w:rPr>
          <w:b w:val="0"/>
          <w:sz w:val="24"/>
          <w:szCs w:val="24"/>
        </w:rPr>
        <w:lastRenderedPageBreak/>
        <w:t>regulations (including WAC 480-90-195(3)), is being given to the public immediately prior to, or coincident with, the date of this transmittal letter through web, telephone and mail access in accordance with WAC 480-90-193.</w:t>
      </w:r>
    </w:p>
    <w:p w:rsidR="00A332E0" w:rsidRPr="00A332E0" w:rsidRDefault="00A332E0" w:rsidP="00A332E0">
      <w:pPr>
        <w:pStyle w:val="BodyText2"/>
        <w:rPr>
          <w:b w:val="0"/>
          <w:sz w:val="24"/>
          <w:szCs w:val="24"/>
        </w:rPr>
      </w:pPr>
    </w:p>
    <w:p w:rsidR="00A332E0" w:rsidRPr="00087B60" w:rsidRDefault="00A332E0" w:rsidP="00A332E0">
      <w:pPr>
        <w:rPr>
          <w:sz w:val="24"/>
          <w:szCs w:val="24"/>
        </w:rPr>
      </w:pPr>
      <w:r w:rsidRPr="00087B60">
        <w:rPr>
          <w:sz w:val="24"/>
          <w:szCs w:val="24"/>
        </w:rPr>
        <w:t xml:space="preserve">Please contact </w:t>
      </w:r>
      <w:r w:rsidR="00EF6A0F">
        <w:rPr>
          <w:sz w:val="24"/>
          <w:szCs w:val="24"/>
        </w:rPr>
        <w:t>Mei Cass</w:t>
      </w:r>
      <w:r w:rsidR="00240B3A" w:rsidRPr="00087B60">
        <w:rPr>
          <w:sz w:val="24"/>
          <w:szCs w:val="24"/>
        </w:rPr>
        <w:t xml:space="preserve"> at (425) </w:t>
      </w:r>
      <w:r w:rsidR="00CE7A0A">
        <w:rPr>
          <w:sz w:val="24"/>
          <w:szCs w:val="24"/>
        </w:rPr>
        <w:t>462-3800</w:t>
      </w:r>
      <w:r w:rsidRPr="00087B60">
        <w:rPr>
          <w:sz w:val="24"/>
          <w:szCs w:val="24"/>
        </w:rPr>
        <w:t xml:space="preserve"> for additional information about this filing.  If you have any other questions please contact me at (425) 456</w:t>
      </w:r>
      <w:r>
        <w:rPr>
          <w:sz w:val="24"/>
          <w:szCs w:val="24"/>
        </w:rPr>
        <w:noBreakHyphen/>
      </w:r>
      <w:r w:rsidRPr="00087B60">
        <w:rPr>
          <w:sz w:val="24"/>
          <w:szCs w:val="24"/>
        </w:rPr>
        <w:t>2110.</w:t>
      </w:r>
    </w:p>
    <w:p w:rsidR="00A332E0" w:rsidRPr="00087B60" w:rsidRDefault="00A332E0" w:rsidP="00A332E0">
      <w:pPr>
        <w:pStyle w:val="BodyText"/>
        <w:rPr>
          <w:szCs w:val="24"/>
        </w:rPr>
      </w:pPr>
      <w:r w:rsidRPr="00087B60">
        <w:rPr>
          <w:szCs w:val="24"/>
        </w:rPr>
        <w:t xml:space="preserve"> </w:t>
      </w:r>
    </w:p>
    <w:p w:rsidR="00A332E0" w:rsidRPr="00087B60" w:rsidRDefault="00A332E0" w:rsidP="00A332E0">
      <w:pPr>
        <w:rPr>
          <w:sz w:val="24"/>
          <w:szCs w:val="24"/>
        </w:rPr>
      </w:pPr>
    </w:p>
    <w:p w:rsidR="00A332E0" w:rsidRPr="00087B60" w:rsidRDefault="00A332E0" w:rsidP="00A332E0">
      <w:pPr>
        <w:rPr>
          <w:sz w:val="24"/>
          <w:szCs w:val="24"/>
        </w:rPr>
      </w:pPr>
      <w:r w:rsidRPr="00087B60">
        <w:rPr>
          <w:sz w:val="24"/>
          <w:szCs w:val="24"/>
        </w:rPr>
        <w:tab/>
      </w:r>
      <w:r w:rsidRPr="00087B60">
        <w:rPr>
          <w:sz w:val="24"/>
          <w:szCs w:val="24"/>
        </w:rPr>
        <w:tab/>
      </w:r>
      <w:r w:rsidRPr="00087B60">
        <w:rPr>
          <w:sz w:val="24"/>
          <w:szCs w:val="24"/>
        </w:rPr>
        <w:tab/>
      </w:r>
      <w:r w:rsidRPr="00087B60">
        <w:rPr>
          <w:sz w:val="24"/>
          <w:szCs w:val="24"/>
        </w:rPr>
        <w:tab/>
      </w:r>
      <w:r w:rsidRPr="00087B60">
        <w:rPr>
          <w:sz w:val="24"/>
          <w:szCs w:val="24"/>
        </w:rPr>
        <w:tab/>
      </w:r>
      <w:r w:rsidRPr="00087B60">
        <w:rPr>
          <w:sz w:val="24"/>
          <w:szCs w:val="24"/>
        </w:rPr>
        <w:tab/>
        <w:t>Sincerely,</w:t>
      </w:r>
    </w:p>
    <w:p w:rsidR="00A332E0" w:rsidRPr="00087B60" w:rsidRDefault="00A332E0" w:rsidP="00A332E0">
      <w:pPr>
        <w:rPr>
          <w:sz w:val="24"/>
          <w:szCs w:val="24"/>
        </w:rPr>
      </w:pPr>
    </w:p>
    <w:p w:rsidR="00A332E0" w:rsidRPr="00087B60" w:rsidRDefault="00A332E0" w:rsidP="00A332E0">
      <w:pPr>
        <w:rPr>
          <w:sz w:val="24"/>
          <w:szCs w:val="24"/>
        </w:rPr>
      </w:pPr>
    </w:p>
    <w:p w:rsidR="00A332E0" w:rsidRPr="00087B60" w:rsidRDefault="00A332E0" w:rsidP="00A332E0">
      <w:pPr>
        <w:rPr>
          <w:sz w:val="24"/>
          <w:szCs w:val="24"/>
        </w:rPr>
      </w:pPr>
    </w:p>
    <w:p w:rsidR="00A332E0" w:rsidRPr="00087B60" w:rsidRDefault="00A332E0" w:rsidP="00A332E0">
      <w:pPr>
        <w:rPr>
          <w:sz w:val="24"/>
          <w:szCs w:val="24"/>
        </w:rPr>
      </w:pPr>
      <w:r w:rsidRPr="00087B60">
        <w:rPr>
          <w:sz w:val="24"/>
          <w:szCs w:val="24"/>
        </w:rPr>
        <w:tab/>
      </w:r>
      <w:r w:rsidRPr="00087B60">
        <w:rPr>
          <w:sz w:val="24"/>
          <w:szCs w:val="24"/>
        </w:rPr>
        <w:tab/>
      </w:r>
      <w:r w:rsidRPr="00087B60">
        <w:rPr>
          <w:sz w:val="24"/>
          <w:szCs w:val="24"/>
        </w:rPr>
        <w:tab/>
      </w:r>
      <w:r w:rsidRPr="00087B60">
        <w:rPr>
          <w:sz w:val="24"/>
          <w:szCs w:val="24"/>
        </w:rPr>
        <w:tab/>
      </w:r>
      <w:r w:rsidRPr="00087B60">
        <w:rPr>
          <w:sz w:val="24"/>
          <w:szCs w:val="24"/>
        </w:rPr>
        <w:tab/>
      </w:r>
      <w:r w:rsidRPr="00087B60">
        <w:rPr>
          <w:sz w:val="24"/>
          <w:szCs w:val="24"/>
        </w:rPr>
        <w:tab/>
        <w:t>Ken Johnson</w:t>
      </w:r>
    </w:p>
    <w:p w:rsidR="00A332E0" w:rsidRPr="00087B60" w:rsidRDefault="00A332E0" w:rsidP="00A332E0">
      <w:pPr>
        <w:rPr>
          <w:sz w:val="24"/>
          <w:szCs w:val="24"/>
        </w:rPr>
      </w:pPr>
      <w:r w:rsidRPr="00087B60">
        <w:rPr>
          <w:sz w:val="24"/>
          <w:szCs w:val="24"/>
        </w:rPr>
        <w:tab/>
      </w:r>
      <w:r w:rsidRPr="00087B60">
        <w:rPr>
          <w:sz w:val="24"/>
          <w:szCs w:val="24"/>
        </w:rPr>
        <w:tab/>
      </w:r>
      <w:r w:rsidRPr="00087B60">
        <w:rPr>
          <w:sz w:val="24"/>
          <w:szCs w:val="24"/>
        </w:rPr>
        <w:tab/>
      </w:r>
      <w:r w:rsidRPr="00087B60">
        <w:rPr>
          <w:sz w:val="24"/>
          <w:szCs w:val="24"/>
        </w:rPr>
        <w:tab/>
      </w:r>
      <w:r w:rsidRPr="00087B60">
        <w:rPr>
          <w:sz w:val="24"/>
          <w:szCs w:val="24"/>
        </w:rPr>
        <w:tab/>
      </w:r>
      <w:r w:rsidRPr="00087B60">
        <w:rPr>
          <w:sz w:val="24"/>
          <w:szCs w:val="24"/>
        </w:rPr>
        <w:tab/>
        <w:t>Director, State Regulatory Affairs</w:t>
      </w:r>
    </w:p>
    <w:p w:rsidR="00A332E0" w:rsidRPr="00087B60" w:rsidRDefault="00A332E0" w:rsidP="00A332E0">
      <w:pPr>
        <w:rPr>
          <w:sz w:val="24"/>
          <w:szCs w:val="24"/>
        </w:rPr>
      </w:pPr>
    </w:p>
    <w:p w:rsidR="00A332E0" w:rsidRPr="00087B60" w:rsidRDefault="00A332E0" w:rsidP="00A332E0">
      <w:pPr>
        <w:rPr>
          <w:sz w:val="24"/>
          <w:szCs w:val="24"/>
        </w:rPr>
      </w:pPr>
    </w:p>
    <w:p w:rsidR="00A332E0" w:rsidRPr="00087B60" w:rsidRDefault="00A332E0" w:rsidP="00A332E0">
      <w:pPr>
        <w:rPr>
          <w:sz w:val="24"/>
          <w:szCs w:val="24"/>
        </w:rPr>
      </w:pPr>
    </w:p>
    <w:p w:rsidR="00A332E0" w:rsidRPr="00087B60" w:rsidRDefault="00A332E0" w:rsidP="00A332E0">
      <w:pPr>
        <w:rPr>
          <w:sz w:val="24"/>
          <w:szCs w:val="24"/>
        </w:rPr>
      </w:pPr>
      <w:r w:rsidRPr="00087B60">
        <w:rPr>
          <w:sz w:val="24"/>
          <w:szCs w:val="24"/>
        </w:rPr>
        <w:t>Enclosure</w:t>
      </w:r>
      <w:r w:rsidR="00810E68">
        <w:rPr>
          <w:sz w:val="24"/>
          <w:szCs w:val="24"/>
        </w:rPr>
        <w:t>s</w:t>
      </w:r>
    </w:p>
    <w:p w:rsidR="00A332E0" w:rsidRPr="00087B60" w:rsidRDefault="00A332E0" w:rsidP="00A332E0">
      <w:pPr>
        <w:rPr>
          <w:sz w:val="24"/>
          <w:szCs w:val="24"/>
        </w:rPr>
      </w:pPr>
      <w:r w:rsidRPr="00087B60">
        <w:rPr>
          <w:sz w:val="24"/>
          <w:szCs w:val="24"/>
        </w:rPr>
        <w:t xml:space="preserve">cc: </w:t>
      </w:r>
      <w:r w:rsidRPr="00087B60">
        <w:rPr>
          <w:sz w:val="24"/>
          <w:szCs w:val="24"/>
        </w:rPr>
        <w:tab/>
        <w:t>Sheree Carson, Perkins Coie</w:t>
      </w:r>
    </w:p>
    <w:p w:rsidR="00A332E0" w:rsidRPr="00087B60" w:rsidRDefault="00A332E0" w:rsidP="00A332E0">
      <w:pPr>
        <w:rPr>
          <w:sz w:val="24"/>
          <w:szCs w:val="24"/>
        </w:rPr>
      </w:pPr>
      <w:r w:rsidRPr="00087B60">
        <w:rPr>
          <w:sz w:val="24"/>
          <w:szCs w:val="24"/>
        </w:rPr>
        <w:tab/>
      </w:r>
      <w:r w:rsidRPr="006A193B">
        <w:rPr>
          <w:sz w:val="24"/>
          <w:szCs w:val="24"/>
        </w:rPr>
        <w:t>Lisa Gafken</w:t>
      </w:r>
      <w:r w:rsidRPr="00087B60">
        <w:rPr>
          <w:sz w:val="24"/>
          <w:szCs w:val="24"/>
        </w:rPr>
        <w:t>, Public Counsel</w:t>
      </w:r>
    </w:p>
    <w:sectPr w:rsidR="00A332E0" w:rsidRPr="00087B60" w:rsidSect="00281808">
      <w:headerReference w:type="default" r:id="rId10"/>
      <w:headerReference w:type="first" r:id="rId11"/>
      <w:footerReference w:type="first" r:id="rId12"/>
      <w:pgSz w:w="12240" w:h="15840" w:code="1"/>
      <w:pgMar w:top="720" w:right="1008" w:bottom="864"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0A1" w:rsidRDefault="008620A1">
      <w:r>
        <w:separator/>
      </w:r>
    </w:p>
  </w:endnote>
  <w:endnote w:type="continuationSeparator" w:id="0">
    <w:p w:rsidR="008620A1" w:rsidRDefault="0086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B8B" w:rsidRDefault="007C3B8B">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0A1" w:rsidRDefault="008620A1">
      <w:r>
        <w:separator/>
      </w:r>
    </w:p>
  </w:footnote>
  <w:footnote w:type="continuationSeparator" w:id="0">
    <w:p w:rsidR="008620A1" w:rsidRDefault="00862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B8B" w:rsidRDefault="007C3B8B">
    <w:pPr>
      <w:pStyle w:val="Header"/>
      <w:rPr>
        <w:sz w:val="22"/>
        <w:szCs w:val="22"/>
      </w:rPr>
    </w:pPr>
  </w:p>
  <w:p w:rsidR="007C3B8B" w:rsidRPr="00CB41DA" w:rsidRDefault="007C3B8B">
    <w:pPr>
      <w:pStyle w:val="Header"/>
      <w:rPr>
        <w:rStyle w:val="PageNumber"/>
        <w:sz w:val="22"/>
        <w:szCs w:val="22"/>
      </w:rPr>
    </w:pPr>
    <w:r w:rsidRPr="00CB41DA">
      <w:rPr>
        <w:sz w:val="22"/>
        <w:szCs w:val="22"/>
      </w:rPr>
      <w:t xml:space="preserve">Mr. </w:t>
    </w:r>
    <w:r>
      <w:rPr>
        <w:sz w:val="22"/>
        <w:szCs w:val="22"/>
      </w:rPr>
      <w:t>Steven V. King</w:t>
    </w:r>
    <w:r w:rsidRPr="00CB41DA">
      <w:rPr>
        <w:sz w:val="22"/>
        <w:szCs w:val="22"/>
      </w:rPr>
      <w:tab/>
      <w:t xml:space="preserve">Page </w:t>
    </w:r>
    <w:r w:rsidRPr="00CB41DA">
      <w:rPr>
        <w:rStyle w:val="PageNumber"/>
        <w:sz w:val="22"/>
        <w:szCs w:val="22"/>
      </w:rPr>
      <w:fldChar w:fldCharType="begin"/>
    </w:r>
    <w:r w:rsidRPr="00CB41DA">
      <w:rPr>
        <w:rStyle w:val="PageNumber"/>
        <w:sz w:val="22"/>
        <w:szCs w:val="22"/>
      </w:rPr>
      <w:instrText xml:space="preserve"> PAGE </w:instrText>
    </w:r>
    <w:r w:rsidRPr="00CB41DA">
      <w:rPr>
        <w:rStyle w:val="PageNumber"/>
        <w:sz w:val="22"/>
        <w:szCs w:val="22"/>
      </w:rPr>
      <w:fldChar w:fldCharType="separate"/>
    </w:r>
    <w:r w:rsidR="00633613">
      <w:rPr>
        <w:rStyle w:val="PageNumber"/>
        <w:noProof/>
        <w:sz w:val="22"/>
        <w:szCs w:val="22"/>
      </w:rPr>
      <w:t>3</w:t>
    </w:r>
    <w:r w:rsidRPr="00CB41DA">
      <w:rPr>
        <w:rStyle w:val="PageNumber"/>
        <w:sz w:val="22"/>
        <w:szCs w:val="22"/>
      </w:rPr>
      <w:fldChar w:fldCharType="end"/>
    </w:r>
    <w:r w:rsidRPr="00CB41DA">
      <w:rPr>
        <w:rStyle w:val="PageNumber"/>
        <w:sz w:val="22"/>
        <w:szCs w:val="22"/>
      </w:rPr>
      <w:t xml:space="preserve"> of </w:t>
    </w:r>
    <w:r w:rsidRPr="00CB41DA">
      <w:rPr>
        <w:rStyle w:val="PageNumber"/>
        <w:sz w:val="22"/>
      </w:rPr>
      <w:fldChar w:fldCharType="begin"/>
    </w:r>
    <w:r w:rsidRPr="00CB41DA">
      <w:rPr>
        <w:rStyle w:val="PageNumber"/>
        <w:sz w:val="22"/>
      </w:rPr>
      <w:instrText xml:space="preserve"> NUMPAGES </w:instrText>
    </w:r>
    <w:r w:rsidRPr="00CB41DA">
      <w:rPr>
        <w:rStyle w:val="PageNumber"/>
        <w:sz w:val="22"/>
      </w:rPr>
      <w:fldChar w:fldCharType="separate"/>
    </w:r>
    <w:r w:rsidR="00633613">
      <w:rPr>
        <w:rStyle w:val="PageNumber"/>
        <w:noProof/>
        <w:sz w:val="22"/>
      </w:rPr>
      <w:t>3</w:t>
    </w:r>
    <w:r w:rsidRPr="00CB41DA">
      <w:rPr>
        <w:rStyle w:val="PageNumber"/>
        <w:sz w:val="22"/>
      </w:rPr>
      <w:fldChar w:fldCharType="end"/>
    </w:r>
    <w:r w:rsidRPr="00CB41DA">
      <w:rPr>
        <w:rStyle w:val="PageNumber"/>
        <w:sz w:val="22"/>
        <w:szCs w:val="22"/>
      </w:rPr>
      <w:tab/>
    </w:r>
    <w:r w:rsidR="00EF6A0F">
      <w:rPr>
        <w:rStyle w:val="PageNumber"/>
        <w:sz w:val="22"/>
        <w:szCs w:val="22"/>
      </w:rPr>
      <w:t>December</w:t>
    </w:r>
    <w:r w:rsidR="00E14880">
      <w:rPr>
        <w:rStyle w:val="PageNumber"/>
        <w:sz w:val="22"/>
        <w:szCs w:val="22"/>
      </w:rPr>
      <w:t xml:space="preserve"> </w:t>
    </w:r>
    <w:r w:rsidR="00EF6A0F">
      <w:rPr>
        <w:rStyle w:val="PageNumber"/>
        <w:sz w:val="22"/>
        <w:szCs w:val="22"/>
      </w:rPr>
      <w:t>6</w:t>
    </w:r>
    <w:r w:rsidRPr="006A30AA">
      <w:rPr>
        <w:rStyle w:val="PageNumber"/>
        <w:sz w:val="22"/>
        <w:szCs w:val="22"/>
      </w:rPr>
      <w:t>, 201</w:t>
    </w:r>
    <w:r w:rsidR="009A78E9">
      <w:rPr>
        <w:rStyle w:val="PageNumber"/>
        <w:sz w:val="22"/>
        <w:szCs w:val="22"/>
      </w:rPr>
      <w:t>6</w:t>
    </w:r>
  </w:p>
  <w:p w:rsidR="007C3B8B" w:rsidRPr="00CB41DA" w:rsidRDefault="007C3B8B">
    <w:pPr>
      <w:pStyle w:val="Header"/>
      <w:rPr>
        <w:rStyle w:val="PageNumber"/>
        <w:sz w:val="22"/>
        <w:szCs w:val="22"/>
      </w:rPr>
    </w:pPr>
    <w:r>
      <w:rPr>
        <w:rStyle w:val="PageNumber"/>
        <w:sz w:val="22"/>
        <w:szCs w:val="22"/>
      </w:rPr>
      <w:t>Advice No. 201</w:t>
    </w:r>
    <w:r w:rsidR="009A78E9">
      <w:rPr>
        <w:rStyle w:val="PageNumber"/>
        <w:sz w:val="22"/>
        <w:szCs w:val="22"/>
      </w:rPr>
      <w:t>6</w:t>
    </w:r>
    <w:r w:rsidRPr="006A30AA">
      <w:rPr>
        <w:rStyle w:val="PageNumber"/>
        <w:sz w:val="22"/>
        <w:szCs w:val="22"/>
      </w:rPr>
      <w:t>-</w:t>
    </w:r>
    <w:r w:rsidR="00810E68">
      <w:rPr>
        <w:rStyle w:val="PageNumber"/>
        <w:sz w:val="22"/>
        <w:szCs w:val="22"/>
      </w:rPr>
      <w:t>36</w:t>
    </w:r>
  </w:p>
  <w:p w:rsidR="007C3B8B" w:rsidRDefault="007C3B8B">
    <w:pPr>
      <w:pStyle w:val="Header"/>
    </w:pPr>
  </w:p>
  <w:p w:rsidR="007C3B8B" w:rsidRDefault="007C3B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B8B" w:rsidRDefault="007C3B8B">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63EDD"/>
    <w:multiLevelType w:val="hybridMultilevel"/>
    <w:tmpl w:val="7CEE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4BF"/>
    <w:rsid w:val="00000976"/>
    <w:rsid w:val="00003E60"/>
    <w:rsid w:val="0000581B"/>
    <w:rsid w:val="000141CF"/>
    <w:rsid w:val="00014CB4"/>
    <w:rsid w:val="00022FD3"/>
    <w:rsid w:val="0002650A"/>
    <w:rsid w:val="000341A7"/>
    <w:rsid w:val="00047663"/>
    <w:rsid w:val="000623F1"/>
    <w:rsid w:val="000643CE"/>
    <w:rsid w:val="00067648"/>
    <w:rsid w:val="0007245A"/>
    <w:rsid w:val="000730F6"/>
    <w:rsid w:val="000743F0"/>
    <w:rsid w:val="00076CB5"/>
    <w:rsid w:val="00077CA6"/>
    <w:rsid w:val="0008398A"/>
    <w:rsid w:val="00084ACE"/>
    <w:rsid w:val="00084B08"/>
    <w:rsid w:val="00093BD9"/>
    <w:rsid w:val="00093F3E"/>
    <w:rsid w:val="00095198"/>
    <w:rsid w:val="000A1D8F"/>
    <w:rsid w:val="000C1EA4"/>
    <w:rsid w:val="000C6CB0"/>
    <w:rsid w:val="000D19A8"/>
    <w:rsid w:val="000D5534"/>
    <w:rsid w:val="000E145D"/>
    <w:rsid w:val="000E1B26"/>
    <w:rsid w:val="000F33D2"/>
    <w:rsid w:val="00104101"/>
    <w:rsid w:val="00113220"/>
    <w:rsid w:val="00113D51"/>
    <w:rsid w:val="001170D5"/>
    <w:rsid w:val="0011738E"/>
    <w:rsid w:val="00117CA0"/>
    <w:rsid w:val="0012323C"/>
    <w:rsid w:val="00125B93"/>
    <w:rsid w:val="001266BC"/>
    <w:rsid w:val="00130E70"/>
    <w:rsid w:val="00132BB6"/>
    <w:rsid w:val="00136990"/>
    <w:rsid w:val="00146152"/>
    <w:rsid w:val="001509ED"/>
    <w:rsid w:val="00151391"/>
    <w:rsid w:val="001600FF"/>
    <w:rsid w:val="00161528"/>
    <w:rsid w:val="00164AFC"/>
    <w:rsid w:val="00164D0E"/>
    <w:rsid w:val="00164E1D"/>
    <w:rsid w:val="001656D9"/>
    <w:rsid w:val="0016749B"/>
    <w:rsid w:val="00187CE1"/>
    <w:rsid w:val="0019040D"/>
    <w:rsid w:val="00194251"/>
    <w:rsid w:val="001967CD"/>
    <w:rsid w:val="001A1351"/>
    <w:rsid w:val="001A2D37"/>
    <w:rsid w:val="001B501A"/>
    <w:rsid w:val="001C134C"/>
    <w:rsid w:val="001C7B7A"/>
    <w:rsid w:val="001D3B27"/>
    <w:rsid w:val="001D7D16"/>
    <w:rsid w:val="001E38D0"/>
    <w:rsid w:val="001E65C1"/>
    <w:rsid w:val="001F4FD7"/>
    <w:rsid w:val="001F77C7"/>
    <w:rsid w:val="00211249"/>
    <w:rsid w:val="002170E2"/>
    <w:rsid w:val="002176F0"/>
    <w:rsid w:val="00220611"/>
    <w:rsid w:val="00240B3A"/>
    <w:rsid w:val="0024259F"/>
    <w:rsid w:val="00251A7C"/>
    <w:rsid w:val="00252A2D"/>
    <w:rsid w:val="00256BA9"/>
    <w:rsid w:val="00256DFD"/>
    <w:rsid w:val="002646A5"/>
    <w:rsid w:val="00267ED0"/>
    <w:rsid w:val="00270438"/>
    <w:rsid w:val="00270BB5"/>
    <w:rsid w:val="0027422B"/>
    <w:rsid w:val="00275CE1"/>
    <w:rsid w:val="00281808"/>
    <w:rsid w:val="00283D26"/>
    <w:rsid w:val="00283F2C"/>
    <w:rsid w:val="00284306"/>
    <w:rsid w:val="002950FA"/>
    <w:rsid w:val="00295F02"/>
    <w:rsid w:val="00296900"/>
    <w:rsid w:val="002A3409"/>
    <w:rsid w:val="002E3F09"/>
    <w:rsid w:val="002E429B"/>
    <w:rsid w:val="002F07EA"/>
    <w:rsid w:val="002F36CC"/>
    <w:rsid w:val="00301C15"/>
    <w:rsid w:val="003028C6"/>
    <w:rsid w:val="00303614"/>
    <w:rsid w:val="00304D59"/>
    <w:rsid w:val="003067E7"/>
    <w:rsid w:val="003134EF"/>
    <w:rsid w:val="00315955"/>
    <w:rsid w:val="003254DA"/>
    <w:rsid w:val="003324FB"/>
    <w:rsid w:val="003344D9"/>
    <w:rsid w:val="0033481E"/>
    <w:rsid w:val="0033595C"/>
    <w:rsid w:val="00336CA6"/>
    <w:rsid w:val="003370D1"/>
    <w:rsid w:val="00340064"/>
    <w:rsid w:val="00344922"/>
    <w:rsid w:val="003504AD"/>
    <w:rsid w:val="003570D1"/>
    <w:rsid w:val="00360AAB"/>
    <w:rsid w:val="0037146E"/>
    <w:rsid w:val="003726E9"/>
    <w:rsid w:val="0037461A"/>
    <w:rsid w:val="00377F87"/>
    <w:rsid w:val="00380974"/>
    <w:rsid w:val="00381721"/>
    <w:rsid w:val="003836A7"/>
    <w:rsid w:val="0039103C"/>
    <w:rsid w:val="00394CC1"/>
    <w:rsid w:val="0039537A"/>
    <w:rsid w:val="003A095E"/>
    <w:rsid w:val="003A3391"/>
    <w:rsid w:val="003A404E"/>
    <w:rsid w:val="003A4E55"/>
    <w:rsid w:val="003A6A57"/>
    <w:rsid w:val="003B0C26"/>
    <w:rsid w:val="003B120B"/>
    <w:rsid w:val="003B62A4"/>
    <w:rsid w:val="003C2CA3"/>
    <w:rsid w:val="003C7A60"/>
    <w:rsid w:val="003D0142"/>
    <w:rsid w:val="003D3C5A"/>
    <w:rsid w:val="003D41D9"/>
    <w:rsid w:val="003D5942"/>
    <w:rsid w:val="003E1C13"/>
    <w:rsid w:val="003F1EEF"/>
    <w:rsid w:val="004041E9"/>
    <w:rsid w:val="0041117A"/>
    <w:rsid w:val="00411F11"/>
    <w:rsid w:val="00416711"/>
    <w:rsid w:val="00421A5D"/>
    <w:rsid w:val="00431593"/>
    <w:rsid w:val="00432F9A"/>
    <w:rsid w:val="00433B1D"/>
    <w:rsid w:val="0044388C"/>
    <w:rsid w:val="004464FA"/>
    <w:rsid w:val="0045276A"/>
    <w:rsid w:val="004573F2"/>
    <w:rsid w:val="004621F3"/>
    <w:rsid w:val="00464087"/>
    <w:rsid w:val="00471412"/>
    <w:rsid w:val="0048183D"/>
    <w:rsid w:val="00485BAF"/>
    <w:rsid w:val="004867DD"/>
    <w:rsid w:val="0049076A"/>
    <w:rsid w:val="00490936"/>
    <w:rsid w:val="00493F0E"/>
    <w:rsid w:val="004954B2"/>
    <w:rsid w:val="004A4169"/>
    <w:rsid w:val="004A4C0F"/>
    <w:rsid w:val="004B1CDC"/>
    <w:rsid w:val="004B5135"/>
    <w:rsid w:val="004B68A1"/>
    <w:rsid w:val="004B723E"/>
    <w:rsid w:val="004C1E9E"/>
    <w:rsid w:val="004C4395"/>
    <w:rsid w:val="004D17F0"/>
    <w:rsid w:val="004D6444"/>
    <w:rsid w:val="004E22AA"/>
    <w:rsid w:val="004E700F"/>
    <w:rsid w:val="004F0673"/>
    <w:rsid w:val="004F44E4"/>
    <w:rsid w:val="00504D22"/>
    <w:rsid w:val="0050578C"/>
    <w:rsid w:val="00506159"/>
    <w:rsid w:val="005104A5"/>
    <w:rsid w:val="005172B8"/>
    <w:rsid w:val="00525580"/>
    <w:rsid w:val="00530F57"/>
    <w:rsid w:val="005354D3"/>
    <w:rsid w:val="0054080D"/>
    <w:rsid w:val="00540FCD"/>
    <w:rsid w:val="00541109"/>
    <w:rsid w:val="005456A4"/>
    <w:rsid w:val="005524AC"/>
    <w:rsid w:val="005564BF"/>
    <w:rsid w:val="00567D66"/>
    <w:rsid w:val="005723C5"/>
    <w:rsid w:val="00581B1F"/>
    <w:rsid w:val="0058666F"/>
    <w:rsid w:val="005945F7"/>
    <w:rsid w:val="0059737B"/>
    <w:rsid w:val="005B23B0"/>
    <w:rsid w:val="005B60E3"/>
    <w:rsid w:val="005C4F90"/>
    <w:rsid w:val="005C7852"/>
    <w:rsid w:val="005C7C4E"/>
    <w:rsid w:val="005D3DE4"/>
    <w:rsid w:val="005E4FDA"/>
    <w:rsid w:val="005F0A1F"/>
    <w:rsid w:val="005F32C9"/>
    <w:rsid w:val="005F56A9"/>
    <w:rsid w:val="005F5CA8"/>
    <w:rsid w:val="00601212"/>
    <w:rsid w:val="006026F1"/>
    <w:rsid w:val="00602931"/>
    <w:rsid w:val="006113DE"/>
    <w:rsid w:val="0062788B"/>
    <w:rsid w:val="00631C5A"/>
    <w:rsid w:val="00633613"/>
    <w:rsid w:val="00635CAA"/>
    <w:rsid w:val="00642BBF"/>
    <w:rsid w:val="00644A41"/>
    <w:rsid w:val="006463D4"/>
    <w:rsid w:val="00655757"/>
    <w:rsid w:val="006572B0"/>
    <w:rsid w:val="00657387"/>
    <w:rsid w:val="0067145A"/>
    <w:rsid w:val="006714CA"/>
    <w:rsid w:val="00673B57"/>
    <w:rsid w:val="00675BF5"/>
    <w:rsid w:val="00677AE9"/>
    <w:rsid w:val="00682911"/>
    <w:rsid w:val="00684B04"/>
    <w:rsid w:val="006859D1"/>
    <w:rsid w:val="006A007B"/>
    <w:rsid w:val="006A193B"/>
    <w:rsid w:val="006A1E56"/>
    <w:rsid w:val="006A30AA"/>
    <w:rsid w:val="006A3116"/>
    <w:rsid w:val="006A5E12"/>
    <w:rsid w:val="006A6BFE"/>
    <w:rsid w:val="006B69E3"/>
    <w:rsid w:val="006C251F"/>
    <w:rsid w:val="006D062B"/>
    <w:rsid w:val="006D6045"/>
    <w:rsid w:val="006D7D3D"/>
    <w:rsid w:val="006E417E"/>
    <w:rsid w:val="006F0281"/>
    <w:rsid w:val="006F0B78"/>
    <w:rsid w:val="006F44DB"/>
    <w:rsid w:val="006F761D"/>
    <w:rsid w:val="00701EC4"/>
    <w:rsid w:val="00706324"/>
    <w:rsid w:val="00707F16"/>
    <w:rsid w:val="00711961"/>
    <w:rsid w:val="00730C5D"/>
    <w:rsid w:val="00731911"/>
    <w:rsid w:val="00731E0D"/>
    <w:rsid w:val="00735FEF"/>
    <w:rsid w:val="007410F0"/>
    <w:rsid w:val="00741F05"/>
    <w:rsid w:val="0075308F"/>
    <w:rsid w:val="00757B65"/>
    <w:rsid w:val="00757FAF"/>
    <w:rsid w:val="00764AB9"/>
    <w:rsid w:val="00771B54"/>
    <w:rsid w:val="00773419"/>
    <w:rsid w:val="00774401"/>
    <w:rsid w:val="007747BB"/>
    <w:rsid w:val="00781170"/>
    <w:rsid w:val="00790C04"/>
    <w:rsid w:val="00795781"/>
    <w:rsid w:val="007A06D5"/>
    <w:rsid w:val="007A67D1"/>
    <w:rsid w:val="007A6E35"/>
    <w:rsid w:val="007B6EC1"/>
    <w:rsid w:val="007C11D0"/>
    <w:rsid w:val="007C16E7"/>
    <w:rsid w:val="007C3331"/>
    <w:rsid w:val="007C3B8B"/>
    <w:rsid w:val="007C6354"/>
    <w:rsid w:val="007D1470"/>
    <w:rsid w:val="007D18B7"/>
    <w:rsid w:val="007D5ACC"/>
    <w:rsid w:val="007E3B61"/>
    <w:rsid w:val="007F0E01"/>
    <w:rsid w:val="007F5041"/>
    <w:rsid w:val="007F6110"/>
    <w:rsid w:val="007F7D5A"/>
    <w:rsid w:val="008011F7"/>
    <w:rsid w:val="0080583D"/>
    <w:rsid w:val="00810E68"/>
    <w:rsid w:val="00816621"/>
    <w:rsid w:val="00820187"/>
    <w:rsid w:val="008228C7"/>
    <w:rsid w:val="00823C8A"/>
    <w:rsid w:val="00827C8F"/>
    <w:rsid w:val="008322E8"/>
    <w:rsid w:val="008349E3"/>
    <w:rsid w:val="0084096E"/>
    <w:rsid w:val="00844460"/>
    <w:rsid w:val="00845BBE"/>
    <w:rsid w:val="00852454"/>
    <w:rsid w:val="00852C8D"/>
    <w:rsid w:val="008620A1"/>
    <w:rsid w:val="0086381B"/>
    <w:rsid w:val="008747E2"/>
    <w:rsid w:val="0088066C"/>
    <w:rsid w:val="00880ADD"/>
    <w:rsid w:val="0088334C"/>
    <w:rsid w:val="00887500"/>
    <w:rsid w:val="00892C9E"/>
    <w:rsid w:val="008979BA"/>
    <w:rsid w:val="008B255F"/>
    <w:rsid w:val="008B5C9B"/>
    <w:rsid w:val="008C1441"/>
    <w:rsid w:val="008C33E4"/>
    <w:rsid w:val="008C68E5"/>
    <w:rsid w:val="008C7CA2"/>
    <w:rsid w:val="008D2060"/>
    <w:rsid w:val="008E3B3E"/>
    <w:rsid w:val="008E62BC"/>
    <w:rsid w:val="008E68DE"/>
    <w:rsid w:val="00901F1E"/>
    <w:rsid w:val="00906274"/>
    <w:rsid w:val="0090750B"/>
    <w:rsid w:val="00907924"/>
    <w:rsid w:val="00920E3A"/>
    <w:rsid w:val="009272A8"/>
    <w:rsid w:val="009309EE"/>
    <w:rsid w:val="0095238A"/>
    <w:rsid w:val="0096234B"/>
    <w:rsid w:val="0096479E"/>
    <w:rsid w:val="00965F09"/>
    <w:rsid w:val="009704C6"/>
    <w:rsid w:val="00970E1B"/>
    <w:rsid w:val="00981AC9"/>
    <w:rsid w:val="009835A7"/>
    <w:rsid w:val="009A08B2"/>
    <w:rsid w:val="009A3E4C"/>
    <w:rsid w:val="009A78E9"/>
    <w:rsid w:val="009B5BC8"/>
    <w:rsid w:val="009C1352"/>
    <w:rsid w:val="009C50F8"/>
    <w:rsid w:val="009D057A"/>
    <w:rsid w:val="009D56D7"/>
    <w:rsid w:val="009D5BB0"/>
    <w:rsid w:val="009E128A"/>
    <w:rsid w:val="009E38D5"/>
    <w:rsid w:val="009F04E6"/>
    <w:rsid w:val="009F29EE"/>
    <w:rsid w:val="009F2A6B"/>
    <w:rsid w:val="009F3F20"/>
    <w:rsid w:val="009F6833"/>
    <w:rsid w:val="00A1662F"/>
    <w:rsid w:val="00A2275F"/>
    <w:rsid w:val="00A23BDB"/>
    <w:rsid w:val="00A244CC"/>
    <w:rsid w:val="00A30EC8"/>
    <w:rsid w:val="00A332E0"/>
    <w:rsid w:val="00A3783D"/>
    <w:rsid w:val="00A40320"/>
    <w:rsid w:val="00A5551E"/>
    <w:rsid w:val="00A55D47"/>
    <w:rsid w:val="00A5613B"/>
    <w:rsid w:val="00A62694"/>
    <w:rsid w:val="00A66008"/>
    <w:rsid w:val="00A73C34"/>
    <w:rsid w:val="00A7592E"/>
    <w:rsid w:val="00A84366"/>
    <w:rsid w:val="00A86816"/>
    <w:rsid w:val="00A8757E"/>
    <w:rsid w:val="00A90A97"/>
    <w:rsid w:val="00A9319D"/>
    <w:rsid w:val="00AA3B72"/>
    <w:rsid w:val="00AA678C"/>
    <w:rsid w:val="00AB1B60"/>
    <w:rsid w:val="00AB5352"/>
    <w:rsid w:val="00AB7033"/>
    <w:rsid w:val="00AC16A4"/>
    <w:rsid w:val="00AC39E9"/>
    <w:rsid w:val="00AC71A1"/>
    <w:rsid w:val="00AE0208"/>
    <w:rsid w:val="00AE0F12"/>
    <w:rsid w:val="00AE4C04"/>
    <w:rsid w:val="00AF3BDA"/>
    <w:rsid w:val="00AF573B"/>
    <w:rsid w:val="00AF57CC"/>
    <w:rsid w:val="00AF5AD1"/>
    <w:rsid w:val="00B02D62"/>
    <w:rsid w:val="00B03E9B"/>
    <w:rsid w:val="00B03EF6"/>
    <w:rsid w:val="00B20AAD"/>
    <w:rsid w:val="00B221DA"/>
    <w:rsid w:val="00B24CE1"/>
    <w:rsid w:val="00B26A1C"/>
    <w:rsid w:val="00B35DDB"/>
    <w:rsid w:val="00B360AB"/>
    <w:rsid w:val="00B368F8"/>
    <w:rsid w:val="00B42FF7"/>
    <w:rsid w:val="00B4434D"/>
    <w:rsid w:val="00B53203"/>
    <w:rsid w:val="00B553F3"/>
    <w:rsid w:val="00B55955"/>
    <w:rsid w:val="00B630D9"/>
    <w:rsid w:val="00B65052"/>
    <w:rsid w:val="00B658CB"/>
    <w:rsid w:val="00B65F2A"/>
    <w:rsid w:val="00B673AA"/>
    <w:rsid w:val="00B70FB1"/>
    <w:rsid w:val="00B8371A"/>
    <w:rsid w:val="00B87147"/>
    <w:rsid w:val="00B928C0"/>
    <w:rsid w:val="00B92F88"/>
    <w:rsid w:val="00B93370"/>
    <w:rsid w:val="00B951DD"/>
    <w:rsid w:val="00B97CFB"/>
    <w:rsid w:val="00B97E42"/>
    <w:rsid w:val="00BA095D"/>
    <w:rsid w:val="00BB0422"/>
    <w:rsid w:val="00BB24A0"/>
    <w:rsid w:val="00BB6F4A"/>
    <w:rsid w:val="00BD52C7"/>
    <w:rsid w:val="00BD76B8"/>
    <w:rsid w:val="00BE42FA"/>
    <w:rsid w:val="00BE52DD"/>
    <w:rsid w:val="00BF3BC9"/>
    <w:rsid w:val="00BF5091"/>
    <w:rsid w:val="00BF6158"/>
    <w:rsid w:val="00C21532"/>
    <w:rsid w:val="00C27F21"/>
    <w:rsid w:val="00C33B3C"/>
    <w:rsid w:val="00C46528"/>
    <w:rsid w:val="00C46B8C"/>
    <w:rsid w:val="00C54434"/>
    <w:rsid w:val="00C55DCD"/>
    <w:rsid w:val="00C56692"/>
    <w:rsid w:val="00C60F72"/>
    <w:rsid w:val="00C62852"/>
    <w:rsid w:val="00C62F0C"/>
    <w:rsid w:val="00C707C4"/>
    <w:rsid w:val="00C70B01"/>
    <w:rsid w:val="00C744BA"/>
    <w:rsid w:val="00C748C1"/>
    <w:rsid w:val="00C801AB"/>
    <w:rsid w:val="00C84B6C"/>
    <w:rsid w:val="00C85AA9"/>
    <w:rsid w:val="00C87558"/>
    <w:rsid w:val="00C91D33"/>
    <w:rsid w:val="00C93870"/>
    <w:rsid w:val="00C94780"/>
    <w:rsid w:val="00CA1BE8"/>
    <w:rsid w:val="00CA775A"/>
    <w:rsid w:val="00CA784D"/>
    <w:rsid w:val="00CA7E04"/>
    <w:rsid w:val="00CB41DA"/>
    <w:rsid w:val="00CB4BDE"/>
    <w:rsid w:val="00CB7CDB"/>
    <w:rsid w:val="00CC0E45"/>
    <w:rsid w:val="00CC350C"/>
    <w:rsid w:val="00CC46D9"/>
    <w:rsid w:val="00CC526A"/>
    <w:rsid w:val="00CC5808"/>
    <w:rsid w:val="00CC5D13"/>
    <w:rsid w:val="00CE127D"/>
    <w:rsid w:val="00CE5A06"/>
    <w:rsid w:val="00CE67A3"/>
    <w:rsid w:val="00CE7A0A"/>
    <w:rsid w:val="00CF59AA"/>
    <w:rsid w:val="00CF6A6D"/>
    <w:rsid w:val="00D016F2"/>
    <w:rsid w:val="00D01CB7"/>
    <w:rsid w:val="00D04827"/>
    <w:rsid w:val="00D067A4"/>
    <w:rsid w:val="00D127C9"/>
    <w:rsid w:val="00D2210A"/>
    <w:rsid w:val="00D27DDA"/>
    <w:rsid w:val="00D30183"/>
    <w:rsid w:val="00D306BA"/>
    <w:rsid w:val="00D34D92"/>
    <w:rsid w:val="00D3764B"/>
    <w:rsid w:val="00D40AE6"/>
    <w:rsid w:val="00D4211E"/>
    <w:rsid w:val="00D4268A"/>
    <w:rsid w:val="00D46BF3"/>
    <w:rsid w:val="00D50E03"/>
    <w:rsid w:val="00D53589"/>
    <w:rsid w:val="00D5654C"/>
    <w:rsid w:val="00D57450"/>
    <w:rsid w:val="00D61637"/>
    <w:rsid w:val="00D63A9E"/>
    <w:rsid w:val="00D713EB"/>
    <w:rsid w:val="00D73A0D"/>
    <w:rsid w:val="00D8014F"/>
    <w:rsid w:val="00D82B82"/>
    <w:rsid w:val="00D85B3B"/>
    <w:rsid w:val="00D879F4"/>
    <w:rsid w:val="00D9094D"/>
    <w:rsid w:val="00DA25DD"/>
    <w:rsid w:val="00DA5FAC"/>
    <w:rsid w:val="00DB3815"/>
    <w:rsid w:val="00DC001C"/>
    <w:rsid w:val="00DD0A7A"/>
    <w:rsid w:val="00DD3707"/>
    <w:rsid w:val="00DE7789"/>
    <w:rsid w:val="00DF4551"/>
    <w:rsid w:val="00E019B0"/>
    <w:rsid w:val="00E01F4D"/>
    <w:rsid w:val="00E022FE"/>
    <w:rsid w:val="00E14880"/>
    <w:rsid w:val="00E151E7"/>
    <w:rsid w:val="00E17B08"/>
    <w:rsid w:val="00E2299A"/>
    <w:rsid w:val="00E23682"/>
    <w:rsid w:val="00E256BA"/>
    <w:rsid w:val="00E31767"/>
    <w:rsid w:val="00E355DF"/>
    <w:rsid w:val="00E444DE"/>
    <w:rsid w:val="00E44B09"/>
    <w:rsid w:val="00E67576"/>
    <w:rsid w:val="00E67BE4"/>
    <w:rsid w:val="00E72690"/>
    <w:rsid w:val="00E75F34"/>
    <w:rsid w:val="00E75FB8"/>
    <w:rsid w:val="00E8321F"/>
    <w:rsid w:val="00E90F58"/>
    <w:rsid w:val="00E94F47"/>
    <w:rsid w:val="00EA51D8"/>
    <w:rsid w:val="00EB5B4E"/>
    <w:rsid w:val="00EB7650"/>
    <w:rsid w:val="00EC37D1"/>
    <w:rsid w:val="00EC4141"/>
    <w:rsid w:val="00EC4CCB"/>
    <w:rsid w:val="00ED01F0"/>
    <w:rsid w:val="00ED2A53"/>
    <w:rsid w:val="00ED3B12"/>
    <w:rsid w:val="00ED5593"/>
    <w:rsid w:val="00EE5ED5"/>
    <w:rsid w:val="00EF15FF"/>
    <w:rsid w:val="00EF38D4"/>
    <w:rsid w:val="00EF534D"/>
    <w:rsid w:val="00EF6A0F"/>
    <w:rsid w:val="00F01ED5"/>
    <w:rsid w:val="00F020B9"/>
    <w:rsid w:val="00F04771"/>
    <w:rsid w:val="00F134E9"/>
    <w:rsid w:val="00F3065A"/>
    <w:rsid w:val="00F37F2C"/>
    <w:rsid w:val="00F42D0C"/>
    <w:rsid w:val="00F47111"/>
    <w:rsid w:val="00F50F0B"/>
    <w:rsid w:val="00F56678"/>
    <w:rsid w:val="00F605B7"/>
    <w:rsid w:val="00F664A9"/>
    <w:rsid w:val="00F704EF"/>
    <w:rsid w:val="00F748D7"/>
    <w:rsid w:val="00F754E6"/>
    <w:rsid w:val="00F7577C"/>
    <w:rsid w:val="00F83F18"/>
    <w:rsid w:val="00F8692E"/>
    <w:rsid w:val="00F86D18"/>
    <w:rsid w:val="00F87B2B"/>
    <w:rsid w:val="00F955B5"/>
    <w:rsid w:val="00F96662"/>
    <w:rsid w:val="00FA7B5B"/>
    <w:rsid w:val="00FB1B5B"/>
    <w:rsid w:val="00FB1CAE"/>
    <w:rsid w:val="00FB5919"/>
    <w:rsid w:val="00FC030C"/>
    <w:rsid w:val="00FC1C26"/>
    <w:rsid w:val="00FC2D9A"/>
    <w:rsid w:val="00FC3CF5"/>
    <w:rsid w:val="00FC64DE"/>
    <w:rsid w:val="00FD1135"/>
    <w:rsid w:val="00FD1D25"/>
    <w:rsid w:val="00FD2CA7"/>
    <w:rsid w:val="00FD4421"/>
    <w:rsid w:val="00FD7347"/>
    <w:rsid w:val="00FE31DC"/>
    <w:rsid w:val="00FE5AF4"/>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right"/>
      <w:outlineLvl w:val="0"/>
    </w:pPr>
    <w:rPr>
      <w:b/>
      <w:sz w:val="24"/>
    </w:rPr>
  </w:style>
  <w:style w:type="paragraph" w:styleId="Heading2">
    <w:name w:val="heading 2"/>
    <w:basedOn w:val="Normal"/>
    <w:next w:val="Normal"/>
    <w:qFormat/>
    <w:pPr>
      <w:keepNext/>
      <w:outlineLvl w:val="1"/>
    </w:pPr>
    <w:rPr>
      <w:b/>
      <w:i/>
      <w:sz w:val="22"/>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b/>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rPr>
      <w:b/>
      <w:sz w:val="22"/>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BB0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68A1"/>
  </w:style>
  <w:style w:type="character" w:styleId="Hyperlink">
    <w:name w:val="Hyperlink"/>
    <w:basedOn w:val="DefaultParagraphFont"/>
    <w:rsid w:val="00A332E0"/>
    <w:rPr>
      <w:color w:val="0000FF" w:themeColor="hyperlink"/>
      <w:u w:val="single"/>
    </w:rPr>
  </w:style>
  <w:style w:type="paragraph" w:styleId="EndnoteText">
    <w:name w:val="endnote text"/>
    <w:basedOn w:val="Normal"/>
    <w:link w:val="EndnoteTextChar"/>
    <w:rsid w:val="008D2060"/>
  </w:style>
  <w:style w:type="character" w:customStyle="1" w:styleId="EndnoteTextChar">
    <w:name w:val="Endnote Text Char"/>
    <w:basedOn w:val="DefaultParagraphFont"/>
    <w:link w:val="EndnoteText"/>
    <w:rsid w:val="008D2060"/>
  </w:style>
  <w:style w:type="character" w:styleId="EndnoteReference">
    <w:name w:val="endnote reference"/>
    <w:basedOn w:val="DefaultParagraphFont"/>
    <w:rsid w:val="008D2060"/>
    <w:rPr>
      <w:vertAlign w:val="superscript"/>
    </w:rPr>
  </w:style>
  <w:style w:type="paragraph" w:styleId="ListParagraph">
    <w:name w:val="List Paragraph"/>
    <w:basedOn w:val="Normal"/>
    <w:uiPriority w:val="34"/>
    <w:qFormat/>
    <w:rsid w:val="009F2A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right"/>
      <w:outlineLvl w:val="0"/>
    </w:pPr>
    <w:rPr>
      <w:b/>
      <w:sz w:val="24"/>
    </w:rPr>
  </w:style>
  <w:style w:type="paragraph" w:styleId="Heading2">
    <w:name w:val="heading 2"/>
    <w:basedOn w:val="Normal"/>
    <w:next w:val="Normal"/>
    <w:qFormat/>
    <w:pPr>
      <w:keepNext/>
      <w:outlineLvl w:val="1"/>
    </w:pPr>
    <w:rPr>
      <w:b/>
      <w:i/>
      <w:sz w:val="22"/>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b/>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rPr>
      <w:b/>
      <w:sz w:val="22"/>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BB0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68A1"/>
  </w:style>
  <w:style w:type="character" w:styleId="Hyperlink">
    <w:name w:val="Hyperlink"/>
    <w:basedOn w:val="DefaultParagraphFont"/>
    <w:rsid w:val="00A332E0"/>
    <w:rPr>
      <w:color w:val="0000FF" w:themeColor="hyperlink"/>
      <w:u w:val="single"/>
    </w:rPr>
  </w:style>
  <w:style w:type="paragraph" w:styleId="EndnoteText">
    <w:name w:val="endnote text"/>
    <w:basedOn w:val="Normal"/>
    <w:link w:val="EndnoteTextChar"/>
    <w:rsid w:val="008D2060"/>
  </w:style>
  <w:style w:type="character" w:customStyle="1" w:styleId="EndnoteTextChar">
    <w:name w:val="Endnote Text Char"/>
    <w:basedOn w:val="DefaultParagraphFont"/>
    <w:link w:val="EndnoteText"/>
    <w:rsid w:val="008D2060"/>
  </w:style>
  <w:style w:type="character" w:styleId="EndnoteReference">
    <w:name w:val="endnote reference"/>
    <w:basedOn w:val="DefaultParagraphFont"/>
    <w:rsid w:val="008D2060"/>
    <w:rPr>
      <w:vertAlign w:val="superscript"/>
    </w:rPr>
  </w:style>
  <w:style w:type="paragraph" w:styleId="ListParagraph">
    <w:name w:val="List Paragraph"/>
    <w:basedOn w:val="Normal"/>
    <w:uiPriority w:val="34"/>
    <w:qFormat/>
    <w:rsid w:val="009F2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89262">
      <w:bodyDiv w:val="1"/>
      <w:marLeft w:val="0"/>
      <w:marRight w:val="0"/>
      <w:marTop w:val="0"/>
      <w:marBottom w:val="0"/>
      <w:divBdr>
        <w:top w:val="none" w:sz="0" w:space="0" w:color="auto"/>
        <w:left w:val="none" w:sz="0" w:space="0" w:color="auto"/>
        <w:bottom w:val="none" w:sz="0" w:space="0" w:color="auto"/>
        <w:right w:val="none" w:sz="0" w:space="0" w:color="auto"/>
      </w:divBdr>
    </w:div>
    <w:div w:id="183240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A7340429A6024299A2398E16D4B8E2" ma:contentTypeVersion="104" ma:contentTypeDescription="" ma:contentTypeScope="" ma:versionID="85d25aff20fa928c93ad6321029d70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2016-12-06T08:00:00+00:00</OpenedDate>
    <Date1 xmlns="dc463f71-b30c-4ab2-9473-d307f9d35888">2016-12-06T08:00:00+00:00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161268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DE33EB5-D0DE-4612-9A44-7E5042082278}">
  <ds:schemaRefs>
    <ds:schemaRef ds:uri="http://schemas.openxmlformats.org/officeDocument/2006/bibliography"/>
  </ds:schemaRefs>
</ds:datastoreItem>
</file>

<file path=customXml/itemProps2.xml><?xml version="1.0" encoding="utf-8"?>
<ds:datastoreItem xmlns:ds="http://schemas.openxmlformats.org/officeDocument/2006/customXml" ds:itemID="{6800C26D-3610-42D5-8151-AB780C291E05}"/>
</file>

<file path=customXml/itemProps3.xml><?xml version="1.0" encoding="utf-8"?>
<ds:datastoreItem xmlns:ds="http://schemas.openxmlformats.org/officeDocument/2006/customXml" ds:itemID="{D4E2C69A-3025-42C2-B8B7-57EE3194A5C6}"/>
</file>

<file path=customXml/itemProps4.xml><?xml version="1.0" encoding="utf-8"?>
<ds:datastoreItem xmlns:ds="http://schemas.openxmlformats.org/officeDocument/2006/customXml" ds:itemID="{45045D91-62F8-4342-89D5-77546B44804F}"/>
</file>

<file path=customXml/itemProps5.xml><?xml version="1.0" encoding="utf-8"?>
<ds:datastoreItem xmlns:ds="http://schemas.openxmlformats.org/officeDocument/2006/customXml" ds:itemID="{B7C4E35E-0D0B-4377-A074-1CE086570E34}"/>
</file>

<file path=docProps/app.xml><?xml version="1.0" encoding="utf-8"?>
<Properties xmlns="http://schemas.openxmlformats.org/officeDocument/2006/extended-properties" xmlns:vt="http://schemas.openxmlformats.org/officeDocument/2006/docPropsVTypes">
  <Template>Normal.dotm</Template>
  <TotalTime>528</TotalTime>
  <Pages>3</Pages>
  <Words>1071</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DATE:		OCTOBER 1, 1999</vt:lpstr>
    </vt:vector>
  </TitlesOfParts>
  <Company>WNG</Company>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OCTOBER 1, 1999</dc:title>
  <dc:creator>PSE</dc:creator>
  <cp:lastModifiedBy>Mei Cass</cp:lastModifiedBy>
  <cp:revision>11</cp:revision>
  <cp:lastPrinted>2016-12-06T15:51:00Z</cp:lastPrinted>
  <dcterms:created xsi:type="dcterms:W3CDTF">2016-12-02T00:03:00Z</dcterms:created>
  <dcterms:modified xsi:type="dcterms:W3CDTF">2016-12-06T19:25:00Z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0x0101006E56B4D1795A2E4DB2F0B01679ED314A0087A7340429A6024299A2398E16D4B8E2</vt:lpwstr>
  </property>
  <property fmtid="{D5CDD505-2E9C-101B-9397-08002B2CF9AE}" pid="4" name="_docset_NoMedatataSyncRequired">
    <vt:lpwstr>False</vt:lpwstr>
  </property>
</Properties>
</file>