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6" w:tblpY="1066"/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8C0D1D" w:rsidTr="008C0D1D">
        <w:trPr>
          <w:cantSplit/>
          <w:trHeight w:hRule="exact" w:val="1982"/>
        </w:trPr>
        <w:tc>
          <w:tcPr>
            <w:tcW w:w="5256" w:type="dxa"/>
          </w:tcPr>
          <w:p w:rsidR="008C0D1D" w:rsidRDefault="008C0D1D" w:rsidP="008C0D1D">
            <w:pPr>
              <w:pStyle w:val="Header"/>
              <w:ind w:left="-3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0288" behindDoc="0" locked="0" layoutInCell="1" allowOverlap="1" wp14:anchorId="49538075" wp14:editId="2373E15F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85725</wp:posOffset>
                  </wp:positionV>
                  <wp:extent cx="2679700" cy="933450"/>
                  <wp:effectExtent l="19050" t="0" r="6350" b="0"/>
                  <wp:wrapTopAndBottom/>
                  <wp:docPr id="1" name="Picture 1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</w:tcPr>
          <w:p w:rsidR="008C0D1D" w:rsidRDefault="008C0D1D" w:rsidP="008C0D1D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8C0D1D" w:rsidRDefault="008C0D1D" w:rsidP="008C0D1D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8C0D1D" w:rsidRDefault="008C0D1D" w:rsidP="008C0D1D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8C0D1D" w:rsidRDefault="008C0D1D" w:rsidP="008C0D1D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33029D" w:rsidRDefault="0033029D" w:rsidP="008C0D1D">
      <w:pPr>
        <w:rPr>
          <w:rFonts w:asciiTheme="minorHAnsi" w:hAnsiTheme="minorHAnsi"/>
          <w:sz w:val="24"/>
          <w:szCs w:val="24"/>
          <w:u w:val="single"/>
        </w:rPr>
      </w:pPr>
    </w:p>
    <w:p w:rsidR="0033029D" w:rsidRDefault="0033029D" w:rsidP="008C0D1D">
      <w:pPr>
        <w:rPr>
          <w:rFonts w:asciiTheme="minorHAnsi" w:hAnsiTheme="minorHAnsi"/>
          <w:sz w:val="24"/>
          <w:szCs w:val="24"/>
          <w:u w:val="single"/>
        </w:rPr>
      </w:pPr>
    </w:p>
    <w:p w:rsidR="00563BEC" w:rsidRDefault="00563BEC" w:rsidP="008C0D1D">
      <w:pPr>
        <w:rPr>
          <w:rFonts w:asciiTheme="minorHAnsi" w:hAnsiTheme="minorHAnsi"/>
          <w:sz w:val="24"/>
          <w:szCs w:val="24"/>
          <w:u w:val="single"/>
        </w:rPr>
      </w:pPr>
    </w:p>
    <w:p w:rsidR="008C0D1D" w:rsidRPr="009C2AAA" w:rsidRDefault="008C0D1D" w:rsidP="008C0D1D">
      <w:pPr>
        <w:rPr>
          <w:rFonts w:asciiTheme="minorHAnsi" w:hAnsiTheme="minorHAnsi"/>
          <w:sz w:val="24"/>
          <w:szCs w:val="24"/>
          <w:u w:val="single"/>
        </w:rPr>
      </w:pPr>
      <w:r w:rsidRPr="009C2AAA">
        <w:rPr>
          <w:rFonts w:asciiTheme="minorHAnsi" w:hAnsiTheme="minorHAnsi"/>
          <w:sz w:val="24"/>
          <w:szCs w:val="24"/>
          <w:u w:val="single"/>
        </w:rPr>
        <w:t>VIA ELECTRONIC MAIL</w:t>
      </w:r>
    </w:p>
    <w:p w:rsidR="008C0D1D" w:rsidRPr="009C2AAA" w:rsidRDefault="002A7986" w:rsidP="008C0D1D">
      <w:pPr>
        <w:rPr>
          <w:rFonts w:asciiTheme="minorHAnsi" w:hAnsiTheme="minorHAnsi"/>
          <w:sz w:val="24"/>
          <w:szCs w:val="24"/>
        </w:rPr>
      </w:pPr>
      <w:hyperlink r:id="rId10" w:history="1">
        <w:r w:rsidR="008C0D1D" w:rsidRPr="009C2AAA">
          <w:rPr>
            <w:rStyle w:val="Hyperlink"/>
            <w:rFonts w:asciiTheme="minorHAnsi" w:hAnsiTheme="minorHAnsi"/>
            <w:sz w:val="24"/>
            <w:szCs w:val="24"/>
          </w:rPr>
          <w:t>records@utc.wa.gov</w:t>
        </w:r>
      </w:hyperlink>
    </w:p>
    <w:p w:rsid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FA5951" w:rsidRDefault="00FA5951" w:rsidP="008C0D1D">
      <w:pPr>
        <w:rPr>
          <w:rFonts w:asciiTheme="minorHAnsi" w:hAnsiTheme="minorHAnsi"/>
          <w:sz w:val="24"/>
          <w:szCs w:val="24"/>
        </w:rPr>
      </w:pPr>
    </w:p>
    <w:p w:rsidR="00563BEC" w:rsidRDefault="00563BEC" w:rsidP="008C0D1D">
      <w:pPr>
        <w:rPr>
          <w:rFonts w:asciiTheme="minorHAnsi" w:hAnsiTheme="minorHAnsi"/>
          <w:sz w:val="24"/>
          <w:szCs w:val="24"/>
        </w:rPr>
      </w:pPr>
    </w:p>
    <w:p w:rsidR="008C0D1D" w:rsidRPr="009C2AAA" w:rsidRDefault="00123803" w:rsidP="008C0D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3</w:t>
      </w:r>
      <w:r w:rsidR="002A7986">
        <w:rPr>
          <w:rFonts w:asciiTheme="minorHAnsi" w:hAnsiTheme="minorHAnsi"/>
          <w:sz w:val="24"/>
          <w:szCs w:val="24"/>
        </w:rPr>
        <w:t>0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, 2016</w:t>
      </w:r>
    </w:p>
    <w:p w:rsid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8C0D1D" w:rsidRPr="009C2AAA" w:rsidRDefault="008C0D1D" w:rsidP="008C0D1D">
      <w:pPr>
        <w:rPr>
          <w:rFonts w:asciiTheme="minorHAnsi" w:hAnsiTheme="minorHAnsi"/>
          <w:sz w:val="24"/>
          <w:szCs w:val="24"/>
        </w:rPr>
      </w:pPr>
      <w:r w:rsidRPr="009C2AAA">
        <w:rPr>
          <w:rFonts w:asciiTheme="minorHAnsi" w:hAnsiTheme="minorHAnsi"/>
          <w:sz w:val="24"/>
          <w:szCs w:val="24"/>
        </w:rPr>
        <w:t>Records Center</w:t>
      </w:r>
    </w:p>
    <w:p w:rsidR="008C0D1D" w:rsidRPr="009C2AAA" w:rsidRDefault="008C0D1D" w:rsidP="008C0D1D">
      <w:pPr>
        <w:rPr>
          <w:rFonts w:asciiTheme="minorHAnsi" w:hAnsiTheme="minorHAnsi"/>
          <w:sz w:val="24"/>
          <w:szCs w:val="24"/>
        </w:rPr>
      </w:pPr>
      <w:r w:rsidRPr="009C2AAA">
        <w:rPr>
          <w:rFonts w:asciiTheme="minorHAnsi" w:hAnsiTheme="minorHAnsi"/>
          <w:sz w:val="24"/>
          <w:szCs w:val="24"/>
        </w:rPr>
        <w:t>Washington Utilities and Transportation Commission</w:t>
      </w:r>
    </w:p>
    <w:p w:rsidR="008C0D1D" w:rsidRPr="009C2AAA" w:rsidRDefault="008C0D1D" w:rsidP="008C0D1D">
      <w:pPr>
        <w:rPr>
          <w:rFonts w:asciiTheme="minorHAnsi" w:hAnsiTheme="minorHAnsi"/>
          <w:sz w:val="24"/>
          <w:szCs w:val="24"/>
        </w:rPr>
      </w:pPr>
      <w:r w:rsidRPr="009C2AAA">
        <w:rPr>
          <w:rFonts w:asciiTheme="minorHAnsi" w:hAnsiTheme="minorHAnsi"/>
          <w:sz w:val="24"/>
          <w:szCs w:val="24"/>
        </w:rPr>
        <w:t>1300 S. Evergreen Park Drive SW</w:t>
      </w:r>
    </w:p>
    <w:p w:rsidR="008C0D1D" w:rsidRPr="009C2AAA" w:rsidRDefault="008C0D1D" w:rsidP="008C0D1D">
      <w:pPr>
        <w:rPr>
          <w:rFonts w:asciiTheme="minorHAnsi" w:hAnsiTheme="minorHAnsi"/>
          <w:sz w:val="24"/>
          <w:szCs w:val="24"/>
        </w:rPr>
      </w:pPr>
      <w:r w:rsidRPr="009C2AAA">
        <w:rPr>
          <w:rFonts w:asciiTheme="minorHAnsi" w:hAnsiTheme="minorHAnsi"/>
          <w:sz w:val="24"/>
          <w:szCs w:val="24"/>
        </w:rPr>
        <w:t>Olympia, WA  98504</w:t>
      </w:r>
    </w:p>
    <w:p w:rsidR="008C0D1D" w:rsidRDefault="008C0D1D" w:rsidP="008C0D1D">
      <w:pPr>
        <w:rPr>
          <w:rFonts w:asciiTheme="minorHAnsi" w:hAnsiTheme="minorHAnsi"/>
          <w:sz w:val="24"/>
          <w:szCs w:val="24"/>
        </w:rPr>
      </w:pPr>
    </w:p>
    <w:p w:rsidR="0028034B" w:rsidRPr="00AC311A" w:rsidRDefault="008C0D1D" w:rsidP="00123803">
      <w:pPr>
        <w:rPr>
          <w:rFonts w:asciiTheme="minorHAnsi" w:hAnsiTheme="minorHAnsi"/>
          <w:b/>
          <w:sz w:val="24"/>
          <w:szCs w:val="24"/>
        </w:rPr>
      </w:pPr>
      <w:r w:rsidRPr="00AC311A">
        <w:rPr>
          <w:rFonts w:asciiTheme="minorHAnsi" w:hAnsiTheme="minorHAnsi"/>
          <w:b/>
          <w:sz w:val="24"/>
          <w:szCs w:val="24"/>
        </w:rPr>
        <w:t xml:space="preserve">Re:  </w:t>
      </w:r>
      <w:r w:rsidR="00C8501C" w:rsidRPr="00AC311A">
        <w:rPr>
          <w:rFonts w:asciiTheme="minorHAnsi" w:hAnsiTheme="minorHAnsi"/>
          <w:b/>
          <w:sz w:val="24"/>
          <w:szCs w:val="24"/>
        </w:rPr>
        <w:t xml:space="preserve"> </w:t>
      </w:r>
      <w:r w:rsidR="00AC311A" w:rsidRPr="00AC311A">
        <w:rPr>
          <w:rFonts w:asciiTheme="minorHAnsi" w:hAnsiTheme="minorHAnsi"/>
          <w:b/>
          <w:sz w:val="24"/>
          <w:szCs w:val="24"/>
        </w:rPr>
        <w:tab/>
      </w:r>
      <w:r w:rsidR="00C8501C" w:rsidRPr="00AC311A">
        <w:rPr>
          <w:rFonts w:asciiTheme="minorHAnsi" w:hAnsiTheme="minorHAnsi"/>
          <w:b/>
          <w:sz w:val="24"/>
          <w:szCs w:val="24"/>
        </w:rPr>
        <w:t>Advice No. CNG</w:t>
      </w:r>
      <w:r w:rsidR="0028034B" w:rsidRPr="00AC311A">
        <w:rPr>
          <w:rFonts w:asciiTheme="minorHAnsi" w:hAnsiTheme="minorHAnsi"/>
          <w:b/>
          <w:sz w:val="24"/>
          <w:szCs w:val="24"/>
        </w:rPr>
        <w:t>/</w:t>
      </w:r>
      <w:r w:rsidR="005B5D07" w:rsidRPr="00AC311A">
        <w:rPr>
          <w:rFonts w:asciiTheme="minorHAnsi" w:hAnsiTheme="minorHAnsi"/>
          <w:b/>
          <w:sz w:val="24"/>
          <w:szCs w:val="24"/>
        </w:rPr>
        <w:t>W16-</w:t>
      </w:r>
      <w:r w:rsidR="00123803">
        <w:rPr>
          <w:rFonts w:asciiTheme="minorHAnsi" w:hAnsiTheme="minorHAnsi"/>
          <w:b/>
          <w:sz w:val="24"/>
          <w:szCs w:val="24"/>
        </w:rPr>
        <w:t>09-02, Housekeeping</w:t>
      </w:r>
    </w:p>
    <w:p w:rsidR="0033029D" w:rsidRDefault="0033029D" w:rsidP="008C0D1D">
      <w:pPr>
        <w:rPr>
          <w:rFonts w:asciiTheme="minorHAnsi" w:hAnsiTheme="minorHAnsi"/>
          <w:sz w:val="24"/>
          <w:szCs w:val="24"/>
        </w:rPr>
      </w:pPr>
    </w:p>
    <w:p w:rsidR="00146482" w:rsidRDefault="00B02FC1" w:rsidP="00B02FC1">
      <w:pPr>
        <w:rPr>
          <w:rFonts w:asciiTheme="minorHAnsi" w:hAnsiTheme="minorHAnsi"/>
          <w:sz w:val="24"/>
          <w:szCs w:val="24"/>
        </w:rPr>
      </w:pPr>
      <w:r w:rsidRPr="004277F1">
        <w:rPr>
          <w:rFonts w:asciiTheme="minorHAnsi" w:hAnsiTheme="minorHAnsi"/>
          <w:sz w:val="24"/>
          <w:szCs w:val="24"/>
        </w:rPr>
        <w:t>Casc</w:t>
      </w:r>
      <w:r>
        <w:rPr>
          <w:rFonts w:asciiTheme="minorHAnsi" w:hAnsiTheme="minorHAnsi"/>
          <w:sz w:val="24"/>
          <w:szCs w:val="24"/>
        </w:rPr>
        <w:t>ade Natural Gas Corporation’s (</w:t>
      </w:r>
      <w:r w:rsidRPr="004277F1">
        <w:rPr>
          <w:rFonts w:asciiTheme="minorHAnsi" w:hAnsiTheme="minorHAnsi"/>
          <w:sz w:val="24"/>
          <w:szCs w:val="24"/>
        </w:rPr>
        <w:t>Cascade</w:t>
      </w:r>
      <w:r>
        <w:rPr>
          <w:rFonts w:asciiTheme="minorHAnsi" w:hAnsiTheme="minorHAnsi"/>
          <w:sz w:val="24"/>
          <w:szCs w:val="24"/>
        </w:rPr>
        <w:t xml:space="preserve"> or </w:t>
      </w:r>
      <w:r w:rsidRPr="004277F1">
        <w:rPr>
          <w:rFonts w:asciiTheme="minorHAnsi" w:hAnsiTheme="minorHAnsi"/>
          <w:sz w:val="24"/>
          <w:szCs w:val="24"/>
        </w:rPr>
        <w:t xml:space="preserve">Company) </w:t>
      </w:r>
      <w:r w:rsidR="00123803">
        <w:rPr>
          <w:rFonts w:asciiTheme="minorHAnsi" w:hAnsiTheme="minorHAnsi"/>
          <w:sz w:val="24"/>
          <w:szCs w:val="24"/>
        </w:rPr>
        <w:t xml:space="preserve">files the following revisions to its Tariff WN U-3, stated to become effective </w:t>
      </w:r>
      <w:r w:rsidR="00123803">
        <w:rPr>
          <w:rFonts w:asciiTheme="minorHAnsi" w:hAnsiTheme="minorHAnsi"/>
          <w:sz w:val="24"/>
          <w:szCs w:val="24"/>
          <w:u w:val="single"/>
        </w:rPr>
        <w:t xml:space="preserve">November </w:t>
      </w:r>
      <w:r w:rsidR="00123803" w:rsidRPr="00302CF2">
        <w:rPr>
          <w:rFonts w:asciiTheme="minorHAnsi" w:hAnsiTheme="minorHAnsi"/>
          <w:sz w:val="24"/>
          <w:szCs w:val="24"/>
          <w:u w:val="single"/>
        </w:rPr>
        <w:t>1, 2016</w:t>
      </w:r>
    </w:p>
    <w:p w:rsidR="00123803" w:rsidRDefault="00123803" w:rsidP="007E785F">
      <w:pPr>
        <w:ind w:left="720"/>
        <w:rPr>
          <w:rFonts w:asciiTheme="minorHAnsi" w:hAnsiTheme="minorHAnsi"/>
          <w:sz w:val="24"/>
          <w:szCs w:val="24"/>
        </w:rPr>
      </w:pPr>
    </w:p>
    <w:p w:rsidR="00587006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Fifty-Fourth Revision Sheet No. 502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Fifty-Ninth Revision Sheet No.</w:t>
      </w:r>
      <w:r w:rsidRPr="001238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503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Forty-Third Revision Sheet No.504</w:t>
      </w:r>
      <w:proofErr w:type="gramEnd"/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Forty-Second Revision Sheet No.</w:t>
      </w:r>
      <w:r w:rsidRPr="001238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505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Fifty-Ninth Revision Sheet No. 511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Thirty-Ninth Revision Sheet No.</w:t>
      </w:r>
      <w:r w:rsidRPr="001238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512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Fifty-Third Revision Sheet No. 570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Forty-Ninth Revision Sheet No.</w:t>
      </w:r>
      <w:r w:rsidRPr="001238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577</w:t>
      </w:r>
    </w:p>
    <w:p w:rsidR="00123803" w:rsidRDefault="00123803" w:rsidP="0012380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Thirty-Sixth Revision Sheet No. 595</w:t>
      </w:r>
    </w:p>
    <w:p w:rsidR="00123803" w:rsidRDefault="00123803" w:rsidP="00B02FC1">
      <w:pPr>
        <w:rPr>
          <w:rFonts w:asciiTheme="minorHAnsi" w:hAnsiTheme="minorHAnsi"/>
          <w:sz w:val="24"/>
          <w:szCs w:val="24"/>
        </w:rPr>
      </w:pPr>
    </w:p>
    <w:p w:rsidR="00123803" w:rsidRDefault="00123803" w:rsidP="008C0D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changes made herein are housekeeping in nature and have no impact on overall rates.  Earlier this year, the Company filed Advice No. CNG/W16-08-01, a compliance filing adopting the changes approved by the Commission in the Company’s general rate case docketed </w:t>
      </w:r>
      <w:r w:rsidR="00FE0321">
        <w:rPr>
          <w:rFonts w:asciiTheme="minorHAnsi" w:hAnsiTheme="minorHAnsi"/>
          <w:sz w:val="24"/>
          <w:szCs w:val="24"/>
        </w:rPr>
        <w:t>as</w:t>
      </w:r>
      <w:r>
        <w:rPr>
          <w:rFonts w:asciiTheme="minorHAnsi" w:hAnsiTheme="minorHAnsi"/>
          <w:sz w:val="24"/>
          <w:szCs w:val="24"/>
        </w:rPr>
        <w:t xml:space="preserve"> UG-152286.  In accordance with the terms of the rate case settlement, the rate case changes were filed </w:t>
      </w:r>
      <w:r w:rsidR="00FE0321">
        <w:rPr>
          <w:rFonts w:asciiTheme="minorHAnsi" w:hAnsiTheme="minorHAnsi"/>
          <w:sz w:val="24"/>
          <w:szCs w:val="24"/>
        </w:rPr>
        <w:t xml:space="preserve">with </w:t>
      </w:r>
      <w:r>
        <w:rPr>
          <w:rFonts w:asciiTheme="minorHAnsi" w:hAnsiTheme="minorHAnsi"/>
          <w:sz w:val="24"/>
          <w:szCs w:val="24"/>
        </w:rPr>
        <w:t xml:space="preserve">a September 1, 2016, effective date to ensure </w:t>
      </w:r>
      <w:r w:rsidR="00FE0321">
        <w:rPr>
          <w:rFonts w:asciiTheme="minorHAnsi" w:hAnsiTheme="minorHAnsi"/>
          <w:sz w:val="24"/>
          <w:szCs w:val="24"/>
        </w:rPr>
        <w:t>they would</w:t>
      </w:r>
      <w:r>
        <w:rPr>
          <w:rFonts w:asciiTheme="minorHAnsi" w:hAnsiTheme="minorHAnsi"/>
          <w:sz w:val="24"/>
          <w:szCs w:val="24"/>
        </w:rPr>
        <w:t xml:space="preserve"> become effective concurrently with the changes to gas prices made in the </w:t>
      </w:r>
      <w:r w:rsidR="00804FBE">
        <w:rPr>
          <w:rFonts w:asciiTheme="minorHAnsi" w:hAnsiTheme="minorHAnsi"/>
          <w:sz w:val="24"/>
          <w:szCs w:val="24"/>
        </w:rPr>
        <w:t>Purchased Gas Adjustment (</w:t>
      </w:r>
      <w:r>
        <w:rPr>
          <w:rFonts w:asciiTheme="minorHAnsi" w:hAnsiTheme="minorHAnsi"/>
          <w:sz w:val="24"/>
          <w:szCs w:val="24"/>
        </w:rPr>
        <w:t>PGA</w:t>
      </w:r>
      <w:r w:rsidR="00804FBE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filing.  </w:t>
      </w:r>
      <w:r w:rsidR="00804FBE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he </w:t>
      </w:r>
      <w:r w:rsidR="00804FBE">
        <w:rPr>
          <w:rFonts w:asciiTheme="minorHAnsi" w:hAnsiTheme="minorHAnsi"/>
          <w:sz w:val="24"/>
          <w:szCs w:val="24"/>
        </w:rPr>
        <w:t xml:space="preserve">rate case </w:t>
      </w:r>
      <w:r>
        <w:rPr>
          <w:rFonts w:asciiTheme="minorHAnsi" w:hAnsiTheme="minorHAnsi"/>
          <w:sz w:val="24"/>
          <w:szCs w:val="24"/>
        </w:rPr>
        <w:t xml:space="preserve">compliance filing could not include information that was not </w:t>
      </w:r>
      <w:r w:rsidR="00FE0321">
        <w:rPr>
          <w:rFonts w:asciiTheme="minorHAnsi" w:hAnsiTheme="minorHAnsi"/>
          <w:sz w:val="24"/>
          <w:szCs w:val="24"/>
        </w:rPr>
        <w:t>part of</w:t>
      </w:r>
      <w:r>
        <w:rPr>
          <w:rFonts w:asciiTheme="minorHAnsi" w:hAnsiTheme="minorHAnsi"/>
          <w:sz w:val="24"/>
          <w:szCs w:val="24"/>
        </w:rPr>
        <w:t xml:space="preserve"> the general rate case</w:t>
      </w:r>
      <w:r w:rsidR="00FE0321">
        <w:rPr>
          <w:rFonts w:asciiTheme="minorHAnsi" w:hAnsiTheme="minorHAnsi"/>
          <w:sz w:val="24"/>
          <w:szCs w:val="24"/>
        </w:rPr>
        <w:t xml:space="preserve">, </w:t>
      </w:r>
      <w:r w:rsidR="00804FBE">
        <w:rPr>
          <w:rFonts w:asciiTheme="minorHAnsi" w:hAnsiTheme="minorHAnsi"/>
          <w:sz w:val="24"/>
          <w:szCs w:val="24"/>
        </w:rPr>
        <w:t>and because of the concurrent timing of the two filings, the PGA could not revise tariff sheets included in the rate case compliance filing.</w:t>
      </w:r>
      <w:r w:rsidR="00374F96">
        <w:rPr>
          <w:rFonts w:asciiTheme="minorHAnsi" w:hAnsiTheme="minorHAnsi"/>
          <w:sz w:val="24"/>
          <w:szCs w:val="24"/>
        </w:rPr>
        <w:t xml:space="preserve"> </w:t>
      </w:r>
      <w:r w:rsidR="00804FBE">
        <w:rPr>
          <w:rFonts w:asciiTheme="minorHAnsi" w:hAnsiTheme="minorHAnsi"/>
          <w:sz w:val="24"/>
          <w:szCs w:val="24"/>
        </w:rPr>
        <w:t xml:space="preserve">The Company handled this by applying the change to gas prices through a Schedule 595 </w:t>
      </w:r>
      <w:r w:rsidR="00FE0321">
        <w:rPr>
          <w:rFonts w:asciiTheme="minorHAnsi" w:hAnsiTheme="minorHAnsi"/>
          <w:sz w:val="24"/>
          <w:szCs w:val="24"/>
        </w:rPr>
        <w:t>adjustment to the commodity rate</w:t>
      </w:r>
      <w:r w:rsidR="00804FBE">
        <w:rPr>
          <w:rFonts w:asciiTheme="minorHAnsi" w:hAnsiTheme="minorHAnsi"/>
          <w:sz w:val="24"/>
          <w:szCs w:val="24"/>
        </w:rPr>
        <w:t xml:space="preserve">s as stated </w:t>
      </w:r>
      <w:r w:rsidR="00804FBE">
        <w:rPr>
          <w:rFonts w:asciiTheme="minorHAnsi" w:hAnsiTheme="minorHAnsi"/>
          <w:sz w:val="24"/>
          <w:szCs w:val="24"/>
        </w:rPr>
        <w:lastRenderedPageBreak/>
        <w:t>in each rate schedule</w:t>
      </w:r>
      <w:r w:rsidR="00FE0321">
        <w:rPr>
          <w:rFonts w:asciiTheme="minorHAnsi" w:hAnsiTheme="minorHAnsi"/>
          <w:sz w:val="24"/>
          <w:szCs w:val="24"/>
        </w:rPr>
        <w:t xml:space="preserve">.  The Company now removes the adjustment </w:t>
      </w:r>
      <w:r>
        <w:rPr>
          <w:rFonts w:asciiTheme="minorHAnsi" w:hAnsiTheme="minorHAnsi"/>
          <w:sz w:val="24"/>
          <w:szCs w:val="24"/>
        </w:rPr>
        <w:t xml:space="preserve">to the Weighted Average Cost of Gas (WACOG) </w:t>
      </w:r>
      <w:r w:rsidR="00FE0321">
        <w:rPr>
          <w:rFonts w:asciiTheme="minorHAnsi" w:hAnsiTheme="minorHAnsi"/>
          <w:sz w:val="24"/>
          <w:szCs w:val="24"/>
        </w:rPr>
        <w:t>as stated in</w:t>
      </w:r>
      <w:r w:rsidR="003E69DE">
        <w:rPr>
          <w:rFonts w:asciiTheme="minorHAnsi" w:hAnsiTheme="minorHAnsi"/>
          <w:sz w:val="24"/>
          <w:szCs w:val="24"/>
        </w:rPr>
        <w:t xml:space="preserve"> Schedule 595, Temporary Technical Adjustment</w:t>
      </w:r>
      <w:r w:rsidR="00FE0321">
        <w:rPr>
          <w:rFonts w:asciiTheme="minorHAnsi" w:hAnsiTheme="minorHAnsi"/>
          <w:sz w:val="24"/>
          <w:szCs w:val="24"/>
        </w:rPr>
        <w:t>, and a</w:t>
      </w:r>
      <w:r w:rsidR="00804FBE">
        <w:rPr>
          <w:rFonts w:asciiTheme="minorHAnsi" w:hAnsiTheme="minorHAnsi"/>
          <w:sz w:val="24"/>
          <w:szCs w:val="24"/>
        </w:rPr>
        <w:t>dds</w:t>
      </w:r>
      <w:r w:rsidR="00FE0321">
        <w:rPr>
          <w:rFonts w:asciiTheme="minorHAnsi" w:hAnsiTheme="minorHAnsi"/>
          <w:sz w:val="24"/>
          <w:szCs w:val="24"/>
        </w:rPr>
        <w:t xml:space="preserve"> it </w:t>
      </w:r>
      <w:r w:rsidR="00804FBE">
        <w:rPr>
          <w:rFonts w:asciiTheme="minorHAnsi" w:hAnsiTheme="minorHAnsi"/>
          <w:sz w:val="24"/>
          <w:szCs w:val="24"/>
        </w:rPr>
        <w:t xml:space="preserve">directly </w:t>
      </w:r>
      <w:r w:rsidR="00FE0321">
        <w:rPr>
          <w:rFonts w:asciiTheme="minorHAnsi" w:hAnsiTheme="minorHAnsi"/>
          <w:sz w:val="24"/>
          <w:szCs w:val="24"/>
        </w:rPr>
        <w:t xml:space="preserve">to the commodity rate as stated in each rate schedule.  The billing rates are the same as those approved both in the general rate case and the PGE filing. </w:t>
      </w:r>
      <w:r w:rsidR="003E69DE">
        <w:rPr>
          <w:rFonts w:asciiTheme="minorHAnsi" w:hAnsiTheme="minorHAnsi"/>
          <w:sz w:val="24"/>
          <w:szCs w:val="24"/>
        </w:rPr>
        <w:t xml:space="preserve">  </w:t>
      </w:r>
    </w:p>
    <w:p w:rsidR="00123803" w:rsidRDefault="00123803" w:rsidP="008C0D1D">
      <w:pPr>
        <w:rPr>
          <w:rFonts w:asciiTheme="minorHAnsi" w:hAnsiTheme="minorHAnsi"/>
          <w:sz w:val="24"/>
          <w:szCs w:val="24"/>
        </w:rPr>
      </w:pPr>
    </w:p>
    <w:p w:rsidR="0006788E" w:rsidRPr="009C2AAA" w:rsidRDefault="0006788E" w:rsidP="00F83817">
      <w:pPr>
        <w:rPr>
          <w:rFonts w:asciiTheme="minorHAnsi" w:eastAsia="Calibri" w:hAnsiTheme="minorHAnsi"/>
          <w:sz w:val="24"/>
          <w:szCs w:val="24"/>
        </w:rPr>
      </w:pPr>
      <w:r w:rsidRPr="009C2AAA">
        <w:rPr>
          <w:rFonts w:asciiTheme="minorHAnsi" w:eastAsia="Calibri" w:hAnsiTheme="minorHAnsi"/>
          <w:sz w:val="24"/>
          <w:szCs w:val="24"/>
        </w:rPr>
        <w:t xml:space="preserve">If you have any questions regarding this report, please contact </w:t>
      </w:r>
      <w:r w:rsidR="00FE0321">
        <w:rPr>
          <w:rFonts w:asciiTheme="minorHAnsi" w:eastAsia="Calibri" w:hAnsiTheme="minorHAnsi"/>
          <w:sz w:val="24"/>
          <w:szCs w:val="24"/>
        </w:rPr>
        <w:t>Maryalice Rosales</w:t>
      </w:r>
      <w:r w:rsidRPr="009C2AAA">
        <w:rPr>
          <w:rFonts w:asciiTheme="minorHAnsi" w:eastAsia="Calibri" w:hAnsiTheme="minorHAnsi"/>
          <w:sz w:val="24"/>
          <w:szCs w:val="24"/>
        </w:rPr>
        <w:t xml:space="preserve"> at (509) 734-</w:t>
      </w:r>
      <w:r w:rsidR="00D90737">
        <w:rPr>
          <w:rFonts w:asciiTheme="minorHAnsi" w:eastAsia="Calibri" w:hAnsiTheme="minorHAnsi"/>
          <w:sz w:val="24"/>
          <w:szCs w:val="24"/>
        </w:rPr>
        <w:t>4</w:t>
      </w:r>
      <w:r w:rsidR="00FE0321">
        <w:rPr>
          <w:rFonts w:asciiTheme="minorHAnsi" w:eastAsia="Calibri" w:hAnsiTheme="minorHAnsi"/>
          <w:sz w:val="24"/>
          <w:szCs w:val="24"/>
        </w:rPr>
        <w:t>548</w:t>
      </w:r>
      <w:r w:rsidRPr="009C2AAA">
        <w:rPr>
          <w:rFonts w:asciiTheme="minorHAnsi" w:eastAsia="Calibri" w:hAnsiTheme="minorHAnsi"/>
          <w:sz w:val="24"/>
          <w:szCs w:val="24"/>
        </w:rPr>
        <w:t>.</w:t>
      </w:r>
    </w:p>
    <w:p w:rsidR="0006788E" w:rsidRPr="009C2AAA" w:rsidRDefault="0006788E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142338" w:rsidRPr="009C2AAA" w:rsidRDefault="00142338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9C2AAA">
        <w:rPr>
          <w:rFonts w:asciiTheme="minorHAnsi" w:eastAsia="Calibri" w:hAnsiTheme="minorHAnsi"/>
          <w:sz w:val="24"/>
          <w:szCs w:val="24"/>
        </w:rPr>
        <w:t>Sincerely,</w:t>
      </w:r>
      <w:r w:rsidR="001F2747" w:rsidRPr="009C2AAA">
        <w:rPr>
          <w:rFonts w:asciiTheme="minorHAnsi" w:eastAsia="Calibri" w:hAnsiTheme="minorHAnsi"/>
          <w:sz w:val="24"/>
          <w:szCs w:val="24"/>
        </w:rPr>
        <w:tab/>
      </w:r>
    </w:p>
    <w:p w:rsidR="00142338" w:rsidRPr="009C2AAA" w:rsidRDefault="00142338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8A0B19" w:rsidRDefault="008A0B19" w:rsidP="006E4E4B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AC311A" w:rsidRPr="009C2AAA" w:rsidRDefault="00AC311A" w:rsidP="006E4E4B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p w:rsidR="00142338" w:rsidRPr="009C2AAA" w:rsidRDefault="0075226E" w:rsidP="0014233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9C2AAA">
        <w:rPr>
          <w:rFonts w:asciiTheme="minorHAnsi" w:eastAsia="Calibri" w:hAnsiTheme="minorHAnsi"/>
          <w:sz w:val="24"/>
          <w:szCs w:val="24"/>
        </w:rPr>
        <w:t>Michael Parvinen</w:t>
      </w:r>
    </w:p>
    <w:p w:rsidR="00436CAD" w:rsidRDefault="0075226E" w:rsidP="0033300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  <w:r w:rsidRPr="009C2AAA">
        <w:rPr>
          <w:rFonts w:asciiTheme="minorHAnsi" w:eastAsia="Calibri" w:hAnsiTheme="minorHAnsi"/>
          <w:sz w:val="24"/>
          <w:szCs w:val="24"/>
        </w:rPr>
        <w:t>Director, Regulatory Affairs</w:t>
      </w:r>
    </w:p>
    <w:p w:rsidR="00CC5594" w:rsidRDefault="00CC5594" w:rsidP="00333008">
      <w:pPr>
        <w:tabs>
          <w:tab w:val="left" w:pos="450"/>
        </w:tabs>
        <w:rPr>
          <w:rFonts w:asciiTheme="minorHAnsi" w:eastAsia="Calibri" w:hAnsiTheme="minorHAnsi"/>
          <w:sz w:val="24"/>
          <w:szCs w:val="24"/>
        </w:rPr>
      </w:pPr>
    </w:p>
    <w:sectPr w:rsidR="00CC5594" w:rsidSect="00E90BAB">
      <w:headerReference w:type="default" r:id="rId11"/>
      <w:footerReference w:type="default" r:id="rId12"/>
      <w:footerReference w:type="first" r:id="rId13"/>
      <w:pgSz w:w="12240" w:h="15840" w:code="1"/>
      <w:pgMar w:top="1260" w:right="1440" w:bottom="1008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1D" w:rsidRDefault="008C0D1D">
    <w:pPr>
      <w:pStyle w:val="Footer"/>
    </w:pPr>
  </w:p>
  <w:p w:rsidR="008C0D1D" w:rsidRDefault="008C0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5B" w:rsidRDefault="007B495B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6482CA0" wp14:editId="29E4CD6B">
          <wp:simplePos x="0" y="0"/>
          <wp:positionH relativeFrom="column">
            <wp:posOffset>1901825</wp:posOffset>
          </wp:positionH>
          <wp:positionV relativeFrom="paragraph">
            <wp:posOffset>24130</wp:posOffset>
          </wp:positionV>
          <wp:extent cx="2441575" cy="243840"/>
          <wp:effectExtent l="0" t="0" r="0" b="3810"/>
          <wp:wrapNone/>
          <wp:docPr id="3" name="Picture 3" descr="CNG-C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G-C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57"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CA" w:rsidRPr="00473FCA" w:rsidRDefault="00030FF1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CNG/C16-</w:t>
    </w:r>
    <w:r w:rsidR="00FE0321">
      <w:rPr>
        <w:rFonts w:asciiTheme="minorHAnsi" w:hAnsiTheme="minorHAnsi"/>
        <w:sz w:val="24"/>
        <w:szCs w:val="24"/>
      </w:rPr>
      <w:t>09-02</w:t>
    </w:r>
  </w:p>
  <w:p w:rsidR="00473FCA" w:rsidRPr="00473FCA" w:rsidRDefault="00FE0321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September 30, 2016</w:t>
    </w:r>
  </w:p>
  <w:p w:rsidR="00473FCA" w:rsidRPr="00473FCA" w:rsidRDefault="00473FCA">
    <w:pPr>
      <w:pStyle w:val="Header"/>
      <w:rPr>
        <w:rFonts w:asciiTheme="minorHAnsi" w:hAnsiTheme="minorHAnsi"/>
        <w:noProof/>
        <w:sz w:val="24"/>
        <w:szCs w:val="24"/>
      </w:rPr>
    </w:pPr>
    <w:r w:rsidRPr="00473FCA">
      <w:rPr>
        <w:rFonts w:asciiTheme="minorHAnsi" w:hAnsiTheme="minorHAnsi"/>
        <w:sz w:val="24"/>
        <w:szCs w:val="24"/>
      </w:rPr>
      <w:t xml:space="preserve">Page </w:t>
    </w:r>
    <w:r w:rsidRPr="00473FCA">
      <w:rPr>
        <w:rFonts w:asciiTheme="minorHAnsi" w:hAnsiTheme="minorHAnsi"/>
        <w:sz w:val="24"/>
        <w:szCs w:val="24"/>
      </w:rPr>
      <w:fldChar w:fldCharType="begin"/>
    </w:r>
    <w:r w:rsidRPr="00473FCA">
      <w:rPr>
        <w:rFonts w:asciiTheme="minorHAnsi" w:hAnsiTheme="minorHAnsi"/>
        <w:sz w:val="24"/>
        <w:szCs w:val="24"/>
      </w:rPr>
      <w:instrText xml:space="preserve"> PAGE   \* MERGEFORMAT </w:instrText>
    </w:r>
    <w:r w:rsidRPr="00473FCA">
      <w:rPr>
        <w:rFonts w:asciiTheme="minorHAnsi" w:hAnsiTheme="minorHAnsi"/>
        <w:sz w:val="24"/>
        <w:szCs w:val="24"/>
      </w:rPr>
      <w:fldChar w:fldCharType="separate"/>
    </w:r>
    <w:r w:rsidR="002A7986">
      <w:rPr>
        <w:rFonts w:asciiTheme="minorHAnsi" w:hAnsiTheme="minorHAnsi"/>
        <w:noProof/>
        <w:sz w:val="24"/>
        <w:szCs w:val="24"/>
      </w:rPr>
      <w:t>2</w:t>
    </w:r>
    <w:r w:rsidRPr="00473FCA">
      <w:rPr>
        <w:rFonts w:asciiTheme="minorHAnsi" w:hAnsiTheme="minorHAnsi"/>
        <w:noProof/>
        <w:sz w:val="24"/>
        <w:szCs w:val="24"/>
      </w:rPr>
      <w:fldChar w:fldCharType="end"/>
    </w:r>
  </w:p>
  <w:p w:rsidR="00473FCA" w:rsidRDefault="00473FCA">
    <w:pPr>
      <w:pStyle w:val="Header"/>
      <w:rPr>
        <w:noProof/>
      </w:rPr>
    </w:pPr>
  </w:p>
  <w:p w:rsidR="00473FCA" w:rsidRDefault="00473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5F"/>
    <w:multiLevelType w:val="hybridMultilevel"/>
    <w:tmpl w:val="D710F964"/>
    <w:lvl w:ilvl="0" w:tplc="F6BE9D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7E7D"/>
    <w:multiLevelType w:val="hybridMultilevel"/>
    <w:tmpl w:val="B4FC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2F7C"/>
    <w:multiLevelType w:val="hybridMultilevel"/>
    <w:tmpl w:val="F47E2218"/>
    <w:lvl w:ilvl="0" w:tplc="1B5CF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2DDF"/>
    <w:multiLevelType w:val="hybridMultilevel"/>
    <w:tmpl w:val="E1784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12F5"/>
    <w:rsid w:val="00001A93"/>
    <w:rsid w:val="00020A73"/>
    <w:rsid w:val="00030FF1"/>
    <w:rsid w:val="000357AB"/>
    <w:rsid w:val="0006788E"/>
    <w:rsid w:val="0009107B"/>
    <w:rsid w:val="00095DE4"/>
    <w:rsid w:val="000A798E"/>
    <w:rsid w:val="000B1B36"/>
    <w:rsid w:val="000C677F"/>
    <w:rsid w:val="000D0622"/>
    <w:rsid w:val="0011684B"/>
    <w:rsid w:val="00123803"/>
    <w:rsid w:val="001306BF"/>
    <w:rsid w:val="00142338"/>
    <w:rsid w:val="00146482"/>
    <w:rsid w:val="001747CA"/>
    <w:rsid w:val="00184034"/>
    <w:rsid w:val="001857D8"/>
    <w:rsid w:val="001A6090"/>
    <w:rsid w:val="001C0532"/>
    <w:rsid w:val="001C2949"/>
    <w:rsid w:val="001D4C42"/>
    <w:rsid w:val="001E3D37"/>
    <w:rsid w:val="001E76D8"/>
    <w:rsid w:val="001F2747"/>
    <w:rsid w:val="001F4634"/>
    <w:rsid w:val="002142C6"/>
    <w:rsid w:val="002170CC"/>
    <w:rsid w:val="0022142B"/>
    <w:rsid w:val="00224BAF"/>
    <w:rsid w:val="00225962"/>
    <w:rsid w:val="00241C69"/>
    <w:rsid w:val="00261259"/>
    <w:rsid w:val="002745E2"/>
    <w:rsid w:val="0028034B"/>
    <w:rsid w:val="00281273"/>
    <w:rsid w:val="002850C2"/>
    <w:rsid w:val="00290B62"/>
    <w:rsid w:val="00296C59"/>
    <w:rsid w:val="002A7986"/>
    <w:rsid w:val="002B12F4"/>
    <w:rsid w:val="002B2D6A"/>
    <w:rsid w:val="002B733B"/>
    <w:rsid w:val="002C0ED0"/>
    <w:rsid w:val="002C5834"/>
    <w:rsid w:val="002D098F"/>
    <w:rsid w:val="002F336B"/>
    <w:rsid w:val="002F47FD"/>
    <w:rsid w:val="002F745F"/>
    <w:rsid w:val="002F7B46"/>
    <w:rsid w:val="00301CFD"/>
    <w:rsid w:val="00302CF2"/>
    <w:rsid w:val="00320A33"/>
    <w:rsid w:val="00322787"/>
    <w:rsid w:val="00327305"/>
    <w:rsid w:val="0033029D"/>
    <w:rsid w:val="00333008"/>
    <w:rsid w:val="003533B3"/>
    <w:rsid w:val="00366891"/>
    <w:rsid w:val="00374F96"/>
    <w:rsid w:val="00394493"/>
    <w:rsid w:val="00397FF1"/>
    <w:rsid w:val="003A452B"/>
    <w:rsid w:val="003B3C99"/>
    <w:rsid w:val="003D6932"/>
    <w:rsid w:val="003E3A49"/>
    <w:rsid w:val="003E69DE"/>
    <w:rsid w:val="003F25D1"/>
    <w:rsid w:val="004000F2"/>
    <w:rsid w:val="004016C0"/>
    <w:rsid w:val="00412F14"/>
    <w:rsid w:val="00415473"/>
    <w:rsid w:val="00436CAD"/>
    <w:rsid w:val="00441C07"/>
    <w:rsid w:val="00456801"/>
    <w:rsid w:val="00457F63"/>
    <w:rsid w:val="00460398"/>
    <w:rsid w:val="00473FCA"/>
    <w:rsid w:val="00482484"/>
    <w:rsid w:val="00497470"/>
    <w:rsid w:val="004C7AFE"/>
    <w:rsid w:val="004D254F"/>
    <w:rsid w:val="004E2439"/>
    <w:rsid w:val="00501589"/>
    <w:rsid w:val="00503C10"/>
    <w:rsid w:val="00505720"/>
    <w:rsid w:val="005263D6"/>
    <w:rsid w:val="0053562D"/>
    <w:rsid w:val="005370B6"/>
    <w:rsid w:val="0055766E"/>
    <w:rsid w:val="00563BEC"/>
    <w:rsid w:val="00587006"/>
    <w:rsid w:val="005B1BE9"/>
    <w:rsid w:val="005B44E0"/>
    <w:rsid w:val="005B5D07"/>
    <w:rsid w:val="005C5895"/>
    <w:rsid w:val="005C76D1"/>
    <w:rsid w:val="005D348C"/>
    <w:rsid w:val="005D3761"/>
    <w:rsid w:val="005E36F7"/>
    <w:rsid w:val="005F1FCF"/>
    <w:rsid w:val="005F31EA"/>
    <w:rsid w:val="006058C1"/>
    <w:rsid w:val="00612162"/>
    <w:rsid w:val="00627A7E"/>
    <w:rsid w:val="0063319A"/>
    <w:rsid w:val="00643504"/>
    <w:rsid w:val="006518A4"/>
    <w:rsid w:val="0065505C"/>
    <w:rsid w:val="006649F6"/>
    <w:rsid w:val="00672B57"/>
    <w:rsid w:val="00674C5D"/>
    <w:rsid w:val="006808BE"/>
    <w:rsid w:val="00697A05"/>
    <w:rsid w:val="006C75DD"/>
    <w:rsid w:val="006E4E4B"/>
    <w:rsid w:val="006E537D"/>
    <w:rsid w:val="006F1A4E"/>
    <w:rsid w:val="00713353"/>
    <w:rsid w:val="00715A87"/>
    <w:rsid w:val="0072158F"/>
    <w:rsid w:val="00723CC0"/>
    <w:rsid w:val="0075226E"/>
    <w:rsid w:val="00776E7C"/>
    <w:rsid w:val="00777453"/>
    <w:rsid w:val="007975E0"/>
    <w:rsid w:val="007B495B"/>
    <w:rsid w:val="007B648C"/>
    <w:rsid w:val="007D6517"/>
    <w:rsid w:val="007E785F"/>
    <w:rsid w:val="00800ECE"/>
    <w:rsid w:val="00804FBE"/>
    <w:rsid w:val="00825528"/>
    <w:rsid w:val="00834408"/>
    <w:rsid w:val="00860AE1"/>
    <w:rsid w:val="00871453"/>
    <w:rsid w:val="00873474"/>
    <w:rsid w:val="00880238"/>
    <w:rsid w:val="00884C0C"/>
    <w:rsid w:val="00895742"/>
    <w:rsid w:val="008A0B19"/>
    <w:rsid w:val="008B35BE"/>
    <w:rsid w:val="008B7DE1"/>
    <w:rsid w:val="008C0D1D"/>
    <w:rsid w:val="008D4958"/>
    <w:rsid w:val="008E3406"/>
    <w:rsid w:val="008F769B"/>
    <w:rsid w:val="00904B3A"/>
    <w:rsid w:val="00916E3A"/>
    <w:rsid w:val="00940F09"/>
    <w:rsid w:val="00952ADB"/>
    <w:rsid w:val="00964C01"/>
    <w:rsid w:val="00974BF1"/>
    <w:rsid w:val="009752C0"/>
    <w:rsid w:val="0097583D"/>
    <w:rsid w:val="009865C1"/>
    <w:rsid w:val="009965AE"/>
    <w:rsid w:val="009A2265"/>
    <w:rsid w:val="009B5735"/>
    <w:rsid w:val="009C2AAA"/>
    <w:rsid w:val="009D460E"/>
    <w:rsid w:val="009E65D4"/>
    <w:rsid w:val="009F2CE9"/>
    <w:rsid w:val="00A109B2"/>
    <w:rsid w:val="00A57E1D"/>
    <w:rsid w:val="00A607C0"/>
    <w:rsid w:val="00A63BFD"/>
    <w:rsid w:val="00A663BB"/>
    <w:rsid w:val="00A66D5C"/>
    <w:rsid w:val="00A80CD6"/>
    <w:rsid w:val="00A877AE"/>
    <w:rsid w:val="00AA1588"/>
    <w:rsid w:val="00AA1F94"/>
    <w:rsid w:val="00AA6585"/>
    <w:rsid w:val="00AB5BD4"/>
    <w:rsid w:val="00AC009A"/>
    <w:rsid w:val="00AC311A"/>
    <w:rsid w:val="00AD1400"/>
    <w:rsid w:val="00AE066F"/>
    <w:rsid w:val="00B01693"/>
    <w:rsid w:val="00B02662"/>
    <w:rsid w:val="00B02FC1"/>
    <w:rsid w:val="00B15BF6"/>
    <w:rsid w:val="00B30269"/>
    <w:rsid w:val="00B5582E"/>
    <w:rsid w:val="00B625FC"/>
    <w:rsid w:val="00B638D8"/>
    <w:rsid w:val="00B75D9A"/>
    <w:rsid w:val="00B800F2"/>
    <w:rsid w:val="00B833D1"/>
    <w:rsid w:val="00BB4199"/>
    <w:rsid w:val="00BB47DE"/>
    <w:rsid w:val="00BB6A57"/>
    <w:rsid w:val="00C02DF4"/>
    <w:rsid w:val="00C46A29"/>
    <w:rsid w:val="00C74467"/>
    <w:rsid w:val="00C8501C"/>
    <w:rsid w:val="00C97D2B"/>
    <w:rsid w:val="00CC5594"/>
    <w:rsid w:val="00CC62E7"/>
    <w:rsid w:val="00CD126D"/>
    <w:rsid w:val="00CE0380"/>
    <w:rsid w:val="00D07E55"/>
    <w:rsid w:val="00D12589"/>
    <w:rsid w:val="00D250EE"/>
    <w:rsid w:val="00D46A46"/>
    <w:rsid w:val="00D46C5E"/>
    <w:rsid w:val="00D53F89"/>
    <w:rsid w:val="00D61689"/>
    <w:rsid w:val="00D64067"/>
    <w:rsid w:val="00D84ABF"/>
    <w:rsid w:val="00D87378"/>
    <w:rsid w:val="00D90737"/>
    <w:rsid w:val="00D9259A"/>
    <w:rsid w:val="00DA4C1C"/>
    <w:rsid w:val="00DB5F7D"/>
    <w:rsid w:val="00DC7968"/>
    <w:rsid w:val="00DF2B45"/>
    <w:rsid w:val="00E0715E"/>
    <w:rsid w:val="00E072DD"/>
    <w:rsid w:val="00E21A27"/>
    <w:rsid w:val="00E371C5"/>
    <w:rsid w:val="00E42F4D"/>
    <w:rsid w:val="00E4410C"/>
    <w:rsid w:val="00E50840"/>
    <w:rsid w:val="00E6396C"/>
    <w:rsid w:val="00E67BA4"/>
    <w:rsid w:val="00E90BAB"/>
    <w:rsid w:val="00E938C3"/>
    <w:rsid w:val="00EB30D4"/>
    <w:rsid w:val="00EB5565"/>
    <w:rsid w:val="00EC4B5A"/>
    <w:rsid w:val="00ED53C4"/>
    <w:rsid w:val="00EE2A65"/>
    <w:rsid w:val="00EF66E5"/>
    <w:rsid w:val="00F21D78"/>
    <w:rsid w:val="00F3166D"/>
    <w:rsid w:val="00F641BA"/>
    <w:rsid w:val="00F83817"/>
    <w:rsid w:val="00F924CC"/>
    <w:rsid w:val="00F9369C"/>
    <w:rsid w:val="00F9645E"/>
    <w:rsid w:val="00FA5951"/>
    <w:rsid w:val="00FB04AA"/>
    <w:rsid w:val="00FB1F8A"/>
    <w:rsid w:val="00FB4661"/>
    <w:rsid w:val="00FD014B"/>
    <w:rsid w:val="00FE0321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paragraph" w:styleId="Heading1">
    <w:name w:val="heading 1"/>
    <w:basedOn w:val="Normal"/>
    <w:next w:val="Normal"/>
    <w:link w:val="Heading1Char"/>
    <w:qFormat/>
    <w:rsid w:val="00A109B2"/>
    <w:pPr>
      <w:keepNext/>
      <w:pBdr>
        <w:right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46"/>
  </w:style>
  <w:style w:type="character" w:styleId="FootnoteReference">
    <w:name w:val="footnote reference"/>
    <w:basedOn w:val="DefaultParagraphFont"/>
    <w:uiPriority w:val="99"/>
    <w:semiHidden/>
    <w:unhideWhenUsed/>
    <w:rsid w:val="002F7B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109B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paragraph" w:styleId="Heading1">
    <w:name w:val="heading 1"/>
    <w:basedOn w:val="Normal"/>
    <w:next w:val="Normal"/>
    <w:link w:val="Heading1Char"/>
    <w:qFormat/>
    <w:rsid w:val="00A109B2"/>
    <w:pPr>
      <w:keepNext/>
      <w:pBdr>
        <w:right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5FC"/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D1D"/>
  </w:style>
  <w:style w:type="character" w:styleId="Hyperlink">
    <w:name w:val="Hyperlink"/>
    <w:basedOn w:val="DefaultParagraphFont"/>
    <w:uiPriority w:val="99"/>
    <w:unhideWhenUsed/>
    <w:rsid w:val="008C0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46"/>
  </w:style>
  <w:style w:type="character" w:styleId="FootnoteReference">
    <w:name w:val="footnote reference"/>
    <w:basedOn w:val="DefaultParagraphFont"/>
    <w:uiPriority w:val="99"/>
    <w:semiHidden/>
    <w:unhideWhenUsed/>
    <w:rsid w:val="002F7B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109B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ords@utc.wa.gov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7046CB79ED74EAD702583F136AA0B" ma:contentTypeVersion="96" ma:contentTypeDescription="" ma:contentTypeScope="" ma:versionID="ba8df79337a91ad63ee44f3a3edd81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738F2B-4424-4E46-B695-B75D1860A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D3D61-7B23-4391-9A70-22F81970F566}"/>
</file>

<file path=customXml/itemProps3.xml><?xml version="1.0" encoding="utf-8"?>
<ds:datastoreItem xmlns:ds="http://schemas.openxmlformats.org/officeDocument/2006/customXml" ds:itemID="{8F1F2CBD-3666-4409-90CF-A4AF07279407}"/>
</file>

<file path=customXml/itemProps4.xml><?xml version="1.0" encoding="utf-8"?>
<ds:datastoreItem xmlns:ds="http://schemas.openxmlformats.org/officeDocument/2006/customXml" ds:itemID="{C75D1FCC-DCA1-4443-BB73-F3EEC67E9C0E}"/>
</file>

<file path=customXml/itemProps5.xml><?xml version="1.0" encoding="utf-8"?>
<ds:datastoreItem xmlns:ds="http://schemas.openxmlformats.org/officeDocument/2006/customXml" ds:itemID="{16C4F429-F4EC-4318-A243-B828063C2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2297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6</cp:revision>
  <cp:lastPrinted>2016-02-29T23:01:00Z</cp:lastPrinted>
  <dcterms:created xsi:type="dcterms:W3CDTF">2016-09-30T16:50:00Z</dcterms:created>
  <dcterms:modified xsi:type="dcterms:W3CDTF">2016-09-30T20:56:00Z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0x0101006E56B4D1795A2E4DB2F0B01679ED314A00F097046CB79ED74EAD702583F136AA0B</vt:lpwstr>
  </property>
  <property fmtid="{D5CDD505-2E9C-101B-9397-08002B2CF9AE}" pid="3" name="_docset_NoMedatataSyncRequired">
    <vt:lpwstr>False</vt:lpwstr>
  </property>
</Properties>
</file>