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186D82" w:rsidRDefault="00186D82" w:rsidP="002121E7">
      <w:pPr>
        <w:ind w:left="3600" w:firstLine="720"/>
        <w:rPr>
          <w:sz w:val="24"/>
          <w:szCs w:val="24"/>
        </w:rPr>
      </w:pPr>
    </w:p>
    <w:p w:rsidR="00186D82" w:rsidRDefault="00186D82" w:rsidP="002121E7">
      <w:pPr>
        <w:ind w:left="3600" w:firstLine="720"/>
        <w:rPr>
          <w:sz w:val="24"/>
          <w:szCs w:val="24"/>
        </w:rPr>
      </w:pPr>
    </w:p>
    <w:p w:rsidR="00F5635C" w:rsidRPr="0012097E" w:rsidRDefault="00551B0B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July 1</w:t>
      </w:r>
      <w:r w:rsidR="00EA11B3">
        <w:rPr>
          <w:sz w:val="24"/>
          <w:szCs w:val="24"/>
        </w:rPr>
        <w:t>5</w:t>
      </w:r>
      <w:r w:rsidR="00F5635C" w:rsidRPr="0012097E">
        <w:rPr>
          <w:sz w:val="24"/>
          <w:szCs w:val="24"/>
        </w:rPr>
        <w:t>, 201</w:t>
      </w:r>
      <w:r w:rsidR="00F224F7">
        <w:rPr>
          <w:sz w:val="24"/>
          <w:szCs w:val="24"/>
        </w:rPr>
        <w:t>6</w:t>
      </w:r>
    </w:p>
    <w:p w:rsidR="00F5635C" w:rsidRPr="00C022E2" w:rsidRDefault="00F5635C" w:rsidP="00E128E5">
      <w:pPr>
        <w:rPr>
          <w:sz w:val="24"/>
          <w:szCs w:val="24"/>
        </w:rPr>
      </w:pPr>
    </w:p>
    <w:p w:rsidR="00BD4874" w:rsidRDefault="00BD4874" w:rsidP="00E128E5">
      <w:pPr>
        <w:rPr>
          <w:sz w:val="24"/>
        </w:rPr>
      </w:pPr>
    </w:p>
    <w:p w:rsidR="00BD4874" w:rsidRDefault="00BD4874" w:rsidP="00E128E5">
      <w:pPr>
        <w:rPr>
          <w:sz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126E7F" w:rsidRPr="00835A32" w:rsidRDefault="00126E7F">
      <w:pPr>
        <w:rPr>
          <w:sz w:val="22"/>
        </w:rPr>
      </w:pPr>
    </w:p>
    <w:p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>Advice No. 201</w:t>
      </w:r>
      <w:r w:rsidR="00F224F7">
        <w:rPr>
          <w:b/>
          <w:sz w:val="24"/>
          <w:szCs w:val="24"/>
        </w:rPr>
        <w:t>6</w:t>
      </w:r>
      <w:r w:rsidRPr="0012097E">
        <w:rPr>
          <w:b/>
          <w:sz w:val="24"/>
          <w:szCs w:val="24"/>
        </w:rPr>
        <w:t>-</w:t>
      </w:r>
      <w:r w:rsidR="00551B0B">
        <w:rPr>
          <w:b/>
          <w:sz w:val="24"/>
          <w:szCs w:val="24"/>
        </w:rPr>
        <w:t>18</w:t>
      </w:r>
    </w:p>
    <w:p w:rsidR="00F5635C" w:rsidRDefault="00F5635C" w:rsidP="00A33AF7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 (“PSE”) hereby submits proposed revisi</w:t>
      </w:r>
      <w:r w:rsidR="00FE2068">
        <w:rPr>
          <w:color w:val="000000"/>
          <w:sz w:val="24"/>
          <w:szCs w:val="24"/>
        </w:rPr>
        <w:t>ons</w:t>
      </w:r>
      <w:r w:rsidR="004E3D1F">
        <w:rPr>
          <w:color w:val="000000"/>
          <w:sz w:val="24"/>
          <w:szCs w:val="24"/>
        </w:rPr>
        <w:t xml:space="preserve"> to </w:t>
      </w:r>
      <w:r w:rsidR="00FE2068">
        <w:rPr>
          <w:color w:val="000000"/>
          <w:sz w:val="24"/>
          <w:szCs w:val="24"/>
        </w:rPr>
        <w:t xml:space="preserve">its electric Schedule </w:t>
      </w:r>
      <w:r w:rsidR="00186D82">
        <w:rPr>
          <w:color w:val="000000"/>
          <w:sz w:val="24"/>
          <w:szCs w:val="24"/>
        </w:rPr>
        <w:t xml:space="preserve">No. </w:t>
      </w:r>
      <w:r w:rsidR="00FE2068">
        <w:rPr>
          <w:color w:val="000000"/>
          <w:sz w:val="24"/>
          <w:szCs w:val="24"/>
        </w:rPr>
        <w:t>1</w:t>
      </w:r>
      <w:r w:rsidR="004E3D1F">
        <w:rPr>
          <w:color w:val="000000"/>
          <w:sz w:val="24"/>
          <w:szCs w:val="24"/>
        </w:rPr>
        <w:t>35</w:t>
      </w:r>
      <w:r w:rsidR="00FE2068">
        <w:rPr>
          <w:color w:val="000000"/>
          <w:sz w:val="24"/>
          <w:szCs w:val="24"/>
        </w:rPr>
        <w:t xml:space="preserve">, </w:t>
      </w:r>
      <w:r w:rsidR="004E3D1F">
        <w:rPr>
          <w:color w:val="000000"/>
          <w:sz w:val="24"/>
          <w:szCs w:val="24"/>
        </w:rPr>
        <w:t>Green Energy Option-Purchase Rider</w:t>
      </w:r>
      <w:r w:rsidR="00186D82">
        <w:rPr>
          <w:color w:val="000000"/>
          <w:sz w:val="24"/>
          <w:szCs w:val="24"/>
        </w:rPr>
        <w:t xml:space="preserve"> and electric Schedule No. 136 Large Volume Green Energy-Purchase Rider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 xml:space="preserve">ursuant to RCW 80.28.060 and Chapter 480-80 WAC, proposes revisions </w:t>
      </w:r>
      <w:r w:rsidR="00F134A5">
        <w:rPr>
          <w:snapToGrid w:val="0"/>
          <w:sz w:val="24"/>
          <w:szCs w:val="24"/>
        </w:rPr>
        <w:t>to</w:t>
      </w:r>
      <w:r w:rsidRPr="0012097E">
        <w:rPr>
          <w:snapToGrid w:val="0"/>
          <w:sz w:val="24"/>
          <w:szCs w:val="24"/>
        </w:rPr>
        <w:t xml:space="preserve"> the following </w:t>
      </w:r>
      <w:r w:rsidR="009A78AD">
        <w:rPr>
          <w:snapToGrid w:val="0"/>
          <w:sz w:val="24"/>
          <w:szCs w:val="24"/>
        </w:rPr>
        <w:t>electric tariff sheets:</w:t>
      </w:r>
    </w:p>
    <w:p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:rsidR="00F5635C" w:rsidRDefault="00F5635C" w:rsidP="00FE2068">
      <w:pPr>
        <w:ind w:left="720" w:hanging="450"/>
        <w:outlineLvl w:val="0"/>
        <w:rPr>
          <w:sz w:val="24"/>
          <w:szCs w:val="24"/>
        </w:rPr>
      </w:pPr>
      <w:r w:rsidRPr="00AD5167">
        <w:rPr>
          <w:sz w:val="24"/>
          <w:szCs w:val="24"/>
          <w:u w:val="single"/>
        </w:rPr>
        <w:t>WN U-60, Tariff G - (Electric Tariff)</w:t>
      </w:r>
      <w:r w:rsidRPr="00AD5167">
        <w:rPr>
          <w:sz w:val="24"/>
          <w:szCs w:val="24"/>
        </w:rPr>
        <w:t>:</w:t>
      </w:r>
    </w:p>
    <w:p w:rsidR="004E3D1F" w:rsidRDefault="004E3D1F" w:rsidP="00B0580A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3rd</w:t>
      </w:r>
      <w:r w:rsidR="0080754A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Revision of Sheet No. </w:t>
      </w:r>
      <w:r>
        <w:rPr>
          <w:sz w:val="24"/>
          <w:szCs w:val="24"/>
        </w:rPr>
        <w:t>135</w:t>
      </w:r>
      <w:r w:rsidR="00B0580A">
        <w:rPr>
          <w:sz w:val="24"/>
          <w:szCs w:val="24"/>
        </w:rPr>
        <w:t xml:space="preserve">   </w:t>
      </w:r>
      <w:r w:rsidR="00B0580A" w:rsidRPr="00AD5167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Green Energy Option-Purchase Rider</w:t>
      </w:r>
      <w:r>
        <w:rPr>
          <w:sz w:val="24"/>
          <w:szCs w:val="24"/>
        </w:rPr>
        <w:t xml:space="preserve"> </w:t>
      </w:r>
    </w:p>
    <w:p w:rsidR="00B0580A" w:rsidRDefault="004E3D1F" w:rsidP="00B0580A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2nd</w:t>
      </w:r>
      <w:r w:rsidR="0080754A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Revision of Sheet No. </w:t>
      </w:r>
      <w:r>
        <w:rPr>
          <w:sz w:val="24"/>
          <w:szCs w:val="24"/>
        </w:rPr>
        <w:t>135</w:t>
      </w:r>
      <w:r w:rsidR="00B0580A">
        <w:rPr>
          <w:sz w:val="24"/>
          <w:szCs w:val="24"/>
        </w:rPr>
        <w:t xml:space="preserve">-A - </w:t>
      </w:r>
      <w:r>
        <w:rPr>
          <w:color w:val="000000"/>
          <w:sz w:val="24"/>
          <w:szCs w:val="24"/>
        </w:rPr>
        <w:t>Green Energy Option-Purchase Rider</w:t>
      </w:r>
      <w:r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>(Continued)</w:t>
      </w:r>
    </w:p>
    <w:p w:rsidR="007113F3" w:rsidRDefault="007113F3" w:rsidP="007113F3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Original Sheet No. 135-B              - </w:t>
      </w:r>
      <w:r>
        <w:rPr>
          <w:color w:val="000000"/>
          <w:sz w:val="24"/>
          <w:szCs w:val="24"/>
        </w:rPr>
        <w:t>Green Energy Option-Purchase Rider</w:t>
      </w:r>
      <w:r>
        <w:rPr>
          <w:sz w:val="24"/>
          <w:szCs w:val="24"/>
        </w:rPr>
        <w:t xml:space="preserve"> (Continued)</w:t>
      </w:r>
    </w:p>
    <w:p w:rsidR="007533D9" w:rsidRDefault="007533D9" w:rsidP="007533D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2nd Revision of Sheet No. 136    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</w:t>
      </w:r>
    </w:p>
    <w:p w:rsidR="007533D9" w:rsidRDefault="007533D9" w:rsidP="007533D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2nd Revision of Sheet No. 136-</w:t>
      </w:r>
      <w:proofErr w:type="gramStart"/>
      <w:r>
        <w:rPr>
          <w:sz w:val="24"/>
          <w:szCs w:val="24"/>
        </w:rPr>
        <w:t>A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(Continued)</w:t>
      </w:r>
    </w:p>
    <w:p w:rsidR="007113F3" w:rsidRDefault="007113F3" w:rsidP="007113F3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1st Revision of Sheet No. 136-B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(Continued)</w:t>
      </w:r>
    </w:p>
    <w:p w:rsidR="007113F3" w:rsidRDefault="007113F3" w:rsidP="007113F3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136-C</w:t>
      </w:r>
      <w:r>
        <w:rPr>
          <w:sz w:val="24"/>
          <w:szCs w:val="24"/>
        </w:rPr>
        <w:tab/>
        <w:t xml:space="preserve">            -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(Continued)</w:t>
      </w:r>
    </w:p>
    <w:p w:rsidR="004E3D1F" w:rsidRDefault="004E3D1F" w:rsidP="002A6D0C">
      <w:pPr>
        <w:pStyle w:val="BodyText"/>
        <w:tabs>
          <w:tab w:val="left" w:pos="5310"/>
        </w:tabs>
        <w:rPr>
          <w:sz w:val="24"/>
          <w:szCs w:val="24"/>
        </w:rPr>
      </w:pPr>
    </w:p>
    <w:p w:rsidR="00F134A5" w:rsidRDefault="00C529B8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134A5">
        <w:rPr>
          <w:sz w:val="24"/>
          <w:szCs w:val="24"/>
        </w:rPr>
        <w:t xml:space="preserve">primary </w:t>
      </w:r>
      <w:r w:rsidR="007533D9" w:rsidRPr="00C529B8">
        <w:rPr>
          <w:sz w:val="24"/>
          <w:szCs w:val="24"/>
        </w:rPr>
        <w:t xml:space="preserve">purpose of this filing </w:t>
      </w:r>
      <w:r w:rsidR="007511C9">
        <w:rPr>
          <w:sz w:val="24"/>
          <w:szCs w:val="24"/>
        </w:rPr>
        <w:t>is</w:t>
      </w:r>
      <w:r w:rsidR="00F5635C" w:rsidRPr="00C529B8">
        <w:rPr>
          <w:sz w:val="24"/>
          <w:szCs w:val="24"/>
        </w:rPr>
        <w:t xml:space="preserve"> </w:t>
      </w:r>
      <w:r w:rsidR="00F134A5">
        <w:rPr>
          <w:sz w:val="24"/>
          <w:szCs w:val="24"/>
        </w:rPr>
        <w:t>to</w:t>
      </w:r>
      <w:r w:rsidR="007511C9">
        <w:rPr>
          <w:sz w:val="24"/>
          <w:szCs w:val="24"/>
        </w:rPr>
        <w:t>,</w:t>
      </w:r>
      <w:r w:rsidR="00F134A5">
        <w:rPr>
          <w:sz w:val="24"/>
          <w:szCs w:val="24"/>
        </w:rPr>
        <w:t xml:space="preserve"> 1) </w:t>
      </w:r>
      <w:r w:rsidR="007533D9">
        <w:rPr>
          <w:sz w:val="24"/>
          <w:szCs w:val="24"/>
        </w:rPr>
        <w:t xml:space="preserve">reduce </w:t>
      </w:r>
      <w:r w:rsidR="00F24D22">
        <w:rPr>
          <w:sz w:val="24"/>
          <w:szCs w:val="24"/>
        </w:rPr>
        <w:t xml:space="preserve">both Schedule 135 and 136 </w:t>
      </w:r>
      <w:r w:rsidR="00186D82">
        <w:rPr>
          <w:sz w:val="24"/>
          <w:szCs w:val="24"/>
        </w:rPr>
        <w:t xml:space="preserve">rates </w:t>
      </w:r>
      <w:r w:rsidR="007533D9">
        <w:rPr>
          <w:sz w:val="24"/>
          <w:szCs w:val="24"/>
        </w:rPr>
        <w:t xml:space="preserve">for customers participating in the green power program, </w:t>
      </w:r>
      <w:r w:rsidR="00F134A5">
        <w:rPr>
          <w:sz w:val="24"/>
          <w:szCs w:val="24"/>
        </w:rPr>
        <w:t xml:space="preserve">and 2) </w:t>
      </w:r>
      <w:r w:rsidR="00070468">
        <w:rPr>
          <w:sz w:val="24"/>
          <w:szCs w:val="24"/>
        </w:rPr>
        <w:t>create</w:t>
      </w:r>
      <w:r w:rsidR="007511C9">
        <w:rPr>
          <w:sz w:val="24"/>
          <w:szCs w:val="24"/>
        </w:rPr>
        <w:t xml:space="preserve"> </w:t>
      </w:r>
      <w:r w:rsidR="00F134A5">
        <w:rPr>
          <w:sz w:val="24"/>
          <w:szCs w:val="24"/>
        </w:rPr>
        <w:t xml:space="preserve">a </w:t>
      </w:r>
      <w:r w:rsidR="00450568">
        <w:rPr>
          <w:sz w:val="24"/>
          <w:szCs w:val="24"/>
        </w:rPr>
        <w:t xml:space="preserve">voluntary </w:t>
      </w:r>
      <w:r w:rsidR="007533D9">
        <w:rPr>
          <w:sz w:val="24"/>
          <w:szCs w:val="24"/>
        </w:rPr>
        <w:t>solar</w:t>
      </w:r>
      <w:r w:rsidR="00070468">
        <w:rPr>
          <w:sz w:val="24"/>
          <w:szCs w:val="24"/>
        </w:rPr>
        <w:t xml:space="preserve">–only </w:t>
      </w:r>
      <w:r w:rsidR="00450568">
        <w:rPr>
          <w:sz w:val="24"/>
          <w:szCs w:val="24"/>
        </w:rPr>
        <w:t xml:space="preserve">green energy </w:t>
      </w:r>
      <w:r w:rsidR="00070468">
        <w:rPr>
          <w:sz w:val="24"/>
          <w:szCs w:val="24"/>
        </w:rPr>
        <w:t xml:space="preserve">resource </w:t>
      </w:r>
      <w:r w:rsidR="007511C9">
        <w:rPr>
          <w:sz w:val="24"/>
          <w:szCs w:val="24"/>
        </w:rPr>
        <w:t xml:space="preserve">available </w:t>
      </w:r>
      <w:r w:rsidR="007533D9">
        <w:rPr>
          <w:sz w:val="24"/>
          <w:szCs w:val="24"/>
        </w:rPr>
        <w:t xml:space="preserve">under Schedule 135.  This filing also includes minor </w:t>
      </w:r>
      <w:r w:rsidR="0045145A">
        <w:rPr>
          <w:sz w:val="24"/>
          <w:szCs w:val="24"/>
        </w:rPr>
        <w:t xml:space="preserve">language </w:t>
      </w:r>
      <w:r w:rsidR="007533D9">
        <w:rPr>
          <w:sz w:val="24"/>
          <w:szCs w:val="24"/>
        </w:rPr>
        <w:t>revisions</w:t>
      </w:r>
      <w:r w:rsidR="0045145A">
        <w:rPr>
          <w:sz w:val="24"/>
          <w:szCs w:val="24"/>
        </w:rPr>
        <w:t xml:space="preserve"> regarding the program </w:t>
      </w:r>
      <w:r w:rsidR="00C13DCA">
        <w:rPr>
          <w:sz w:val="24"/>
          <w:szCs w:val="24"/>
        </w:rPr>
        <w:t>in general</w:t>
      </w:r>
      <w:r w:rsidR="0045145A">
        <w:rPr>
          <w:sz w:val="24"/>
          <w:szCs w:val="24"/>
        </w:rPr>
        <w:t>.</w:t>
      </w:r>
      <w:r w:rsidR="007533D9">
        <w:rPr>
          <w:sz w:val="24"/>
          <w:szCs w:val="24"/>
        </w:rPr>
        <w:t xml:space="preserve"> </w:t>
      </w:r>
    </w:p>
    <w:p w:rsidR="00070468" w:rsidRDefault="00070468" w:rsidP="002A6D0C">
      <w:pPr>
        <w:pStyle w:val="BodyText"/>
        <w:tabs>
          <w:tab w:val="left" w:pos="5310"/>
        </w:tabs>
        <w:rPr>
          <w:sz w:val="24"/>
          <w:szCs w:val="24"/>
        </w:rPr>
      </w:pPr>
    </w:p>
    <w:p w:rsidR="00932B2E" w:rsidRDefault="00070468" w:rsidP="00932B2E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Currently, </w:t>
      </w:r>
      <w:r w:rsidR="00932B2E">
        <w:rPr>
          <w:sz w:val="24"/>
          <w:szCs w:val="24"/>
        </w:rPr>
        <w:t xml:space="preserve">Schedule 135 </w:t>
      </w:r>
      <w:r>
        <w:rPr>
          <w:sz w:val="24"/>
          <w:szCs w:val="24"/>
        </w:rPr>
        <w:t>offers green po</w:t>
      </w:r>
      <w:r w:rsidR="00DB026A">
        <w:rPr>
          <w:sz w:val="24"/>
          <w:szCs w:val="24"/>
        </w:rPr>
        <w:t>w</w:t>
      </w:r>
      <w:r>
        <w:rPr>
          <w:sz w:val="24"/>
          <w:szCs w:val="24"/>
        </w:rPr>
        <w:t xml:space="preserve">er </w:t>
      </w:r>
      <w:r w:rsidR="00932B2E">
        <w:rPr>
          <w:sz w:val="24"/>
          <w:szCs w:val="24"/>
        </w:rPr>
        <w:t xml:space="preserve">at $2.00 per </w:t>
      </w:r>
      <w:r>
        <w:rPr>
          <w:sz w:val="24"/>
          <w:szCs w:val="24"/>
        </w:rPr>
        <w:t xml:space="preserve">160 kWh </w:t>
      </w:r>
      <w:r w:rsidR="00932B2E">
        <w:rPr>
          <w:sz w:val="24"/>
          <w:szCs w:val="24"/>
        </w:rPr>
        <w:t>block</w:t>
      </w:r>
      <w:r>
        <w:rPr>
          <w:sz w:val="24"/>
          <w:szCs w:val="24"/>
        </w:rPr>
        <w:t>, or $0.0125 per kWh.</w:t>
      </w:r>
      <w:r w:rsidR="00932B2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 this filing, </w:t>
      </w:r>
      <w:r w:rsidR="00596457">
        <w:rPr>
          <w:sz w:val="24"/>
          <w:szCs w:val="24"/>
        </w:rPr>
        <w:t xml:space="preserve">PSE proposes to increase the block size from 160 to 200 kWh for </w:t>
      </w:r>
      <w:r w:rsidR="007511C9">
        <w:rPr>
          <w:sz w:val="24"/>
          <w:szCs w:val="24"/>
        </w:rPr>
        <w:t>c</w:t>
      </w:r>
      <w:r w:rsidR="00596457">
        <w:rPr>
          <w:sz w:val="24"/>
          <w:szCs w:val="24"/>
        </w:rPr>
        <w:t xml:space="preserve">ustomers who purchase </w:t>
      </w:r>
      <w:r w:rsidR="007511C9">
        <w:rPr>
          <w:sz w:val="24"/>
          <w:szCs w:val="24"/>
        </w:rPr>
        <w:t xml:space="preserve">green power </w:t>
      </w:r>
      <w:r w:rsidR="00E31719">
        <w:rPr>
          <w:sz w:val="24"/>
          <w:szCs w:val="24"/>
        </w:rPr>
        <w:t xml:space="preserve">on a </w:t>
      </w:r>
      <w:r w:rsidR="00596457">
        <w:rPr>
          <w:sz w:val="24"/>
          <w:szCs w:val="24"/>
        </w:rPr>
        <w:t>block</w:t>
      </w:r>
      <w:r w:rsidR="00E31719">
        <w:rPr>
          <w:sz w:val="24"/>
          <w:szCs w:val="24"/>
        </w:rPr>
        <w:t xml:space="preserve"> basis</w:t>
      </w:r>
      <w:r w:rsidR="00596457">
        <w:rPr>
          <w:sz w:val="24"/>
          <w:szCs w:val="24"/>
        </w:rPr>
        <w:t xml:space="preserve">, and reduce the kWh rate from $0.0125 to $0.0100 for customers who purchase </w:t>
      </w:r>
      <w:r w:rsidR="00307BE3">
        <w:rPr>
          <w:sz w:val="24"/>
          <w:szCs w:val="24"/>
        </w:rPr>
        <w:t xml:space="preserve">green power </w:t>
      </w:r>
      <w:r w:rsidR="00E31719">
        <w:rPr>
          <w:sz w:val="24"/>
          <w:szCs w:val="24"/>
        </w:rPr>
        <w:t xml:space="preserve">on a </w:t>
      </w:r>
      <w:r w:rsidR="00596457">
        <w:rPr>
          <w:sz w:val="24"/>
          <w:szCs w:val="24"/>
        </w:rPr>
        <w:t>kWh usage</w:t>
      </w:r>
      <w:r w:rsidR="00E31719">
        <w:rPr>
          <w:sz w:val="24"/>
          <w:szCs w:val="24"/>
        </w:rPr>
        <w:t xml:space="preserve"> basis</w:t>
      </w:r>
      <w:r w:rsidR="00596457">
        <w:rPr>
          <w:sz w:val="24"/>
          <w:szCs w:val="24"/>
        </w:rPr>
        <w:t>.</w:t>
      </w:r>
      <w:r w:rsidR="00932B2E">
        <w:rPr>
          <w:sz w:val="24"/>
          <w:szCs w:val="24"/>
        </w:rPr>
        <w:t xml:space="preserve">  </w:t>
      </w:r>
      <w:r>
        <w:rPr>
          <w:sz w:val="24"/>
          <w:szCs w:val="24"/>
        </w:rPr>
        <w:t>Currently</w:t>
      </w:r>
      <w:r w:rsidR="00932B2E">
        <w:rPr>
          <w:sz w:val="24"/>
          <w:szCs w:val="24"/>
        </w:rPr>
        <w:t xml:space="preserve">, Schedule 136 offers green power at $0.006 </w:t>
      </w:r>
      <w:r>
        <w:rPr>
          <w:sz w:val="24"/>
          <w:szCs w:val="24"/>
        </w:rPr>
        <w:t>per kWh.  In this filing, PSE</w:t>
      </w:r>
      <w:r w:rsidR="00724F8B">
        <w:rPr>
          <w:sz w:val="24"/>
          <w:szCs w:val="24"/>
        </w:rPr>
        <w:t xml:space="preserve"> proposes to reduce the kWh rate from $0.006 to $0.0035.  </w:t>
      </w:r>
    </w:p>
    <w:p w:rsidR="00C13DCA" w:rsidRPr="007533D9" w:rsidRDefault="00724F8B" w:rsidP="00932B2E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C13DCA">
        <w:rPr>
          <w:sz w:val="24"/>
          <w:szCs w:val="24"/>
        </w:rPr>
        <w:t xml:space="preserve">hese rate reductions </w:t>
      </w:r>
      <w:r w:rsidR="00DA58E7">
        <w:rPr>
          <w:sz w:val="24"/>
          <w:szCs w:val="24"/>
        </w:rPr>
        <w:t xml:space="preserve">represent </w:t>
      </w:r>
      <w:r w:rsidR="00C13DCA">
        <w:rPr>
          <w:sz w:val="24"/>
          <w:szCs w:val="24"/>
        </w:rPr>
        <w:t>lower administrative costs due to increased customer participation</w:t>
      </w:r>
      <w:r w:rsidR="00186D82">
        <w:rPr>
          <w:sz w:val="24"/>
          <w:szCs w:val="24"/>
        </w:rPr>
        <w:t>,</w:t>
      </w:r>
      <w:r w:rsidR="00C13DCA">
        <w:rPr>
          <w:sz w:val="24"/>
          <w:szCs w:val="24"/>
        </w:rPr>
        <w:t xml:space="preserve"> and </w:t>
      </w:r>
      <w:r w:rsidR="00C13DCA" w:rsidRPr="007533D9">
        <w:rPr>
          <w:sz w:val="24"/>
          <w:szCs w:val="24"/>
        </w:rPr>
        <w:t>Renewable Energy Credit (REC) prices</w:t>
      </w:r>
      <w:r w:rsidR="00C13DCA">
        <w:rPr>
          <w:sz w:val="24"/>
          <w:szCs w:val="24"/>
        </w:rPr>
        <w:t xml:space="preserve"> </w:t>
      </w:r>
      <w:r w:rsidR="0066434E">
        <w:rPr>
          <w:sz w:val="24"/>
          <w:szCs w:val="24"/>
        </w:rPr>
        <w:t xml:space="preserve">that have climbed less </w:t>
      </w:r>
      <w:r w:rsidR="00C13DCA" w:rsidRPr="007533D9">
        <w:rPr>
          <w:sz w:val="24"/>
          <w:szCs w:val="24"/>
        </w:rPr>
        <w:t xml:space="preserve">steeply </w:t>
      </w:r>
      <w:r w:rsidR="0066434E">
        <w:rPr>
          <w:sz w:val="24"/>
          <w:szCs w:val="24"/>
        </w:rPr>
        <w:t>than</w:t>
      </w:r>
      <w:r w:rsidR="0066434E" w:rsidRPr="007533D9">
        <w:rPr>
          <w:sz w:val="24"/>
          <w:szCs w:val="24"/>
        </w:rPr>
        <w:t xml:space="preserve"> </w:t>
      </w:r>
      <w:r w:rsidR="00C13DCA" w:rsidRPr="007533D9">
        <w:rPr>
          <w:sz w:val="24"/>
          <w:szCs w:val="24"/>
        </w:rPr>
        <w:t>models predicted</w:t>
      </w:r>
      <w:r w:rsidR="008E7BA0">
        <w:rPr>
          <w:sz w:val="24"/>
          <w:szCs w:val="24"/>
        </w:rPr>
        <w:t>, especially for wind</w:t>
      </w:r>
      <w:r w:rsidR="00C13DCA">
        <w:rPr>
          <w:sz w:val="24"/>
          <w:szCs w:val="24"/>
        </w:rPr>
        <w:t>.  T</w:t>
      </w:r>
      <w:r w:rsidR="00C13DCA" w:rsidRPr="007533D9">
        <w:rPr>
          <w:sz w:val="24"/>
          <w:szCs w:val="24"/>
        </w:rPr>
        <w:t>he proposed rates better reflect current program expenses</w:t>
      </w:r>
      <w:r w:rsidR="00B2584E">
        <w:rPr>
          <w:sz w:val="24"/>
          <w:szCs w:val="24"/>
        </w:rPr>
        <w:t xml:space="preserve">, </w:t>
      </w:r>
      <w:r w:rsidR="00FB5B4B">
        <w:rPr>
          <w:sz w:val="24"/>
          <w:szCs w:val="24"/>
        </w:rPr>
        <w:t xml:space="preserve">and </w:t>
      </w:r>
      <w:r w:rsidR="00B2584E">
        <w:rPr>
          <w:sz w:val="24"/>
          <w:szCs w:val="24"/>
        </w:rPr>
        <w:t xml:space="preserve">will manage </w:t>
      </w:r>
      <w:r w:rsidR="00FB5B4B">
        <w:rPr>
          <w:sz w:val="24"/>
          <w:szCs w:val="24"/>
        </w:rPr>
        <w:t xml:space="preserve">program </w:t>
      </w:r>
      <w:r w:rsidR="008E7BA0">
        <w:rPr>
          <w:sz w:val="24"/>
          <w:szCs w:val="24"/>
        </w:rPr>
        <w:t>r</w:t>
      </w:r>
      <w:r w:rsidR="00B2584E" w:rsidRPr="007533D9">
        <w:rPr>
          <w:sz w:val="24"/>
          <w:szCs w:val="24"/>
        </w:rPr>
        <w:t>eserves</w:t>
      </w:r>
      <w:r w:rsidR="00B2584E">
        <w:rPr>
          <w:sz w:val="24"/>
          <w:szCs w:val="24"/>
        </w:rPr>
        <w:t xml:space="preserve"> </w:t>
      </w:r>
      <w:r w:rsidR="007113F3">
        <w:rPr>
          <w:sz w:val="24"/>
          <w:szCs w:val="24"/>
        </w:rPr>
        <w:t>and</w:t>
      </w:r>
      <w:r w:rsidR="00B2584E">
        <w:rPr>
          <w:sz w:val="24"/>
          <w:szCs w:val="24"/>
        </w:rPr>
        <w:t xml:space="preserve"> </w:t>
      </w:r>
      <w:r w:rsidR="000646D8">
        <w:rPr>
          <w:sz w:val="24"/>
          <w:szCs w:val="24"/>
        </w:rPr>
        <w:t>allow</w:t>
      </w:r>
      <w:r w:rsidR="00C13DCA" w:rsidRPr="007533D9">
        <w:rPr>
          <w:sz w:val="24"/>
          <w:szCs w:val="24"/>
        </w:rPr>
        <w:t xml:space="preserve"> for fluctuations in REC pricing</w:t>
      </w:r>
      <w:r w:rsidR="0066434E">
        <w:rPr>
          <w:sz w:val="24"/>
          <w:szCs w:val="24"/>
        </w:rPr>
        <w:t xml:space="preserve"> while still offering customers price predictability</w:t>
      </w:r>
      <w:r w:rsidR="00C13DCA" w:rsidRPr="007533D9">
        <w:rPr>
          <w:sz w:val="24"/>
          <w:szCs w:val="24"/>
        </w:rPr>
        <w:t>.</w:t>
      </w:r>
    </w:p>
    <w:p w:rsidR="00596457" w:rsidRDefault="00596457" w:rsidP="00F134A5">
      <w:pPr>
        <w:rPr>
          <w:sz w:val="24"/>
          <w:szCs w:val="24"/>
        </w:rPr>
      </w:pPr>
    </w:p>
    <w:p w:rsidR="00070468" w:rsidRDefault="000646D8" w:rsidP="00A22323">
      <w:pPr>
        <w:rPr>
          <w:sz w:val="24"/>
          <w:szCs w:val="24"/>
        </w:rPr>
      </w:pPr>
      <w:r>
        <w:rPr>
          <w:sz w:val="24"/>
          <w:szCs w:val="24"/>
        </w:rPr>
        <w:t>PSE also proposes</w:t>
      </w:r>
      <w:r w:rsidR="00E31719">
        <w:rPr>
          <w:sz w:val="24"/>
          <w:szCs w:val="24"/>
        </w:rPr>
        <w:t xml:space="preserve"> </w:t>
      </w:r>
      <w:r w:rsidR="0048293D">
        <w:rPr>
          <w:sz w:val="24"/>
          <w:szCs w:val="24"/>
        </w:rPr>
        <w:t xml:space="preserve">to </w:t>
      </w:r>
      <w:r w:rsidR="00DA7578">
        <w:rPr>
          <w:sz w:val="24"/>
          <w:szCs w:val="24"/>
        </w:rPr>
        <w:t xml:space="preserve">add a </w:t>
      </w:r>
      <w:r w:rsidR="00450568">
        <w:rPr>
          <w:sz w:val="24"/>
          <w:szCs w:val="24"/>
        </w:rPr>
        <w:t xml:space="preserve">voluntary </w:t>
      </w:r>
      <w:r w:rsidR="0048293D">
        <w:rPr>
          <w:sz w:val="24"/>
          <w:szCs w:val="24"/>
        </w:rPr>
        <w:t>single</w:t>
      </w:r>
      <w:r w:rsidR="00186D82">
        <w:rPr>
          <w:sz w:val="24"/>
          <w:szCs w:val="24"/>
        </w:rPr>
        <w:t>-</w:t>
      </w:r>
      <w:r w:rsidR="0048293D">
        <w:rPr>
          <w:sz w:val="24"/>
          <w:szCs w:val="24"/>
        </w:rPr>
        <w:t xml:space="preserve">source </w:t>
      </w:r>
      <w:r w:rsidR="00E31719">
        <w:rPr>
          <w:sz w:val="24"/>
          <w:szCs w:val="24"/>
        </w:rPr>
        <w:t xml:space="preserve">solar </w:t>
      </w:r>
      <w:r w:rsidR="00DA7578">
        <w:rPr>
          <w:sz w:val="24"/>
          <w:szCs w:val="24"/>
        </w:rPr>
        <w:t>option to</w:t>
      </w:r>
      <w:r w:rsidR="00E31719">
        <w:rPr>
          <w:sz w:val="24"/>
          <w:szCs w:val="24"/>
        </w:rPr>
        <w:t xml:space="preserve"> </w:t>
      </w:r>
      <w:r w:rsidR="00086887">
        <w:rPr>
          <w:sz w:val="24"/>
          <w:szCs w:val="24"/>
        </w:rPr>
        <w:t xml:space="preserve">Schedule 135 </w:t>
      </w:r>
      <w:r w:rsidR="008E7BA0">
        <w:rPr>
          <w:sz w:val="24"/>
          <w:szCs w:val="24"/>
        </w:rPr>
        <w:t xml:space="preserve">for customers to purchase on a block basis.  The proposed rate is </w:t>
      </w:r>
      <w:r w:rsidR="00E31719">
        <w:rPr>
          <w:sz w:val="24"/>
          <w:szCs w:val="24"/>
        </w:rPr>
        <w:t xml:space="preserve">$5.00 </w:t>
      </w:r>
      <w:r w:rsidR="008E7BA0">
        <w:rPr>
          <w:sz w:val="24"/>
          <w:szCs w:val="24"/>
        </w:rPr>
        <w:t xml:space="preserve">per </w:t>
      </w:r>
      <w:r w:rsidR="002B227C">
        <w:rPr>
          <w:sz w:val="24"/>
          <w:szCs w:val="24"/>
        </w:rPr>
        <w:t xml:space="preserve">150 kWh </w:t>
      </w:r>
      <w:r w:rsidR="00B2584E">
        <w:rPr>
          <w:sz w:val="24"/>
          <w:szCs w:val="24"/>
        </w:rPr>
        <w:t>block</w:t>
      </w:r>
      <w:r w:rsidR="00E31719">
        <w:rPr>
          <w:sz w:val="24"/>
          <w:szCs w:val="24"/>
        </w:rPr>
        <w:t>.</w:t>
      </w:r>
      <w:r w:rsidR="0048293D">
        <w:rPr>
          <w:sz w:val="24"/>
          <w:szCs w:val="24"/>
        </w:rPr>
        <w:t xml:space="preserve">  PSE will </w:t>
      </w:r>
      <w:r w:rsidR="002B227C">
        <w:rPr>
          <w:sz w:val="24"/>
          <w:szCs w:val="24"/>
        </w:rPr>
        <w:t xml:space="preserve">secure solar resources in accordance with </w:t>
      </w:r>
      <w:r w:rsidR="002B227C" w:rsidRPr="002B227C">
        <w:rPr>
          <w:sz w:val="24"/>
          <w:szCs w:val="24"/>
        </w:rPr>
        <w:t>RCW 19.29A.090</w:t>
      </w:r>
      <w:r w:rsidR="002B227C">
        <w:rPr>
          <w:sz w:val="24"/>
          <w:szCs w:val="24"/>
        </w:rPr>
        <w:t xml:space="preserve">, which may include </w:t>
      </w:r>
      <w:r w:rsidR="0048293D">
        <w:rPr>
          <w:sz w:val="24"/>
          <w:szCs w:val="24"/>
        </w:rPr>
        <w:t>contract</w:t>
      </w:r>
      <w:r w:rsidR="002B227C">
        <w:rPr>
          <w:sz w:val="24"/>
          <w:szCs w:val="24"/>
        </w:rPr>
        <w:t>ing</w:t>
      </w:r>
      <w:r w:rsidR="0048293D">
        <w:rPr>
          <w:sz w:val="24"/>
          <w:szCs w:val="24"/>
        </w:rPr>
        <w:t xml:space="preserve"> with new solar projects that are </w:t>
      </w:r>
      <w:r w:rsidR="00F24D22">
        <w:rPr>
          <w:sz w:val="24"/>
          <w:szCs w:val="24"/>
        </w:rPr>
        <w:t>“</w:t>
      </w:r>
      <w:r w:rsidR="0048293D">
        <w:rPr>
          <w:sz w:val="24"/>
          <w:szCs w:val="24"/>
        </w:rPr>
        <w:t>qualifying facilities</w:t>
      </w:r>
      <w:r w:rsidR="00F24D22">
        <w:rPr>
          <w:sz w:val="24"/>
          <w:szCs w:val="24"/>
        </w:rPr>
        <w:t>”</w:t>
      </w:r>
      <w:r w:rsidR="0048293D">
        <w:rPr>
          <w:sz w:val="24"/>
          <w:szCs w:val="24"/>
        </w:rPr>
        <w:t xml:space="preserve"> through electric Schedule 91 (Cogeneration and Small Power Production) and a REC purchase agreement.</w:t>
      </w:r>
      <w:r w:rsidR="00DA7578">
        <w:rPr>
          <w:sz w:val="24"/>
          <w:szCs w:val="24"/>
        </w:rPr>
        <w:t xml:space="preserve"> </w:t>
      </w:r>
      <w:r w:rsidR="000B6F6C">
        <w:rPr>
          <w:sz w:val="24"/>
          <w:szCs w:val="24"/>
        </w:rPr>
        <w:t xml:space="preserve">PSE is finalizing its arrangements to secure these resources and service under this </w:t>
      </w:r>
      <w:r w:rsidR="00450568">
        <w:rPr>
          <w:sz w:val="24"/>
          <w:szCs w:val="24"/>
        </w:rPr>
        <w:t>option will be available on or b</w:t>
      </w:r>
      <w:r w:rsidR="00357378">
        <w:rPr>
          <w:sz w:val="24"/>
          <w:szCs w:val="24"/>
        </w:rPr>
        <w:t>y</w:t>
      </w:r>
      <w:r w:rsidR="00450568">
        <w:rPr>
          <w:sz w:val="24"/>
          <w:szCs w:val="24"/>
        </w:rPr>
        <w:t xml:space="preserve"> March 1, 2017.</w:t>
      </w:r>
    </w:p>
    <w:p w:rsidR="007113F3" w:rsidRDefault="007113F3" w:rsidP="00A2232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610"/>
        <w:gridCol w:w="2880"/>
      </w:tblGrid>
      <w:tr w:rsidR="003156A8" w:rsidRPr="009C53FB" w:rsidTr="009C53FB">
        <w:tc>
          <w:tcPr>
            <w:tcW w:w="3888" w:type="dxa"/>
          </w:tcPr>
          <w:p w:rsidR="003156A8" w:rsidRPr="009C53FB" w:rsidRDefault="009C53FB" w:rsidP="00315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Tariff </w:t>
            </w:r>
            <w:r w:rsidR="003156A8" w:rsidRPr="009C53FB"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2610" w:type="dxa"/>
          </w:tcPr>
          <w:p w:rsidR="003156A8" w:rsidRPr="009C53FB" w:rsidRDefault="003156A8" w:rsidP="003156A8">
            <w:pPr>
              <w:jc w:val="center"/>
              <w:rPr>
                <w:b/>
                <w:sz w:val="24"/>
                <w:szCs w:val="24"/>
              </w:rPr>
            </w:pPr>
            <w:r w:rsidRPr="009C53FB">
              <w:rPr>
                <w:b/>
                <w:sz w:val="24"/>
                <w:szCs w:val="24"/>
              </w:rPr>
              <w:t>Current</w:t>
            </w:r>
          </w:p>
        </w:tc>
        <w:tc>
          <w:tcPr>
            <w:tcW w:w="2880" w:type="dxa"/>
          </w:tcPr>
          <w:p w:rsidR="003156A8" w:rsidRPr="009C53FB" w:rsidRDefault="003156A8" w:rsidP="003156A8">
            <w:pPr>
              <w:jc w:val="center"/>
              <w:rPr>
                <w:b/>
                <w:sz w:val="24"/>
                <w:szCs w:val="24"/>
              </w:rPr>
            </w:pPr>
            <w:r w:rsidRPr="009C53FB">
              <w:rPr>
                <w:b/>
                <w:sz w:val="24"/>
                <w:szCs w:val="24"/>
              </w:rPr>
              <w:t>Proposed</w:t>
            </w:r>
          </w:p>
        </w:tc>
      </w:tr>
      <w:tr w:rsidR="003156A8" w:rsidTr="009C53FB">
        <w:tc>
          <w:tcPr>
            <w:tcW w:w="3888" w:type="dxa"/>
          </w:tcPr>
          <w:p w:rsidR="003156A8" w:rsidRDefault="003156A8" w:rsidP="0031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135 – block purchases </w:t>
            </w:r>
          </w:p>
        </w:tc>
        <w:tc>
          <w:tcPr>
            <w:tcW w:w="2610" w:type="dxa"/>
          </w:tcPr>
          <w:p w:rsidR="003156A8" w:rsidRDefault="003156A8" w:rsidP="00B2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Block </w:t>
            </w:r>
            <w:r w:rsidR="00B258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ize – 160 kWh</w:t>
            </w:r>
          </w:p>
        </w:tc>
        <w:tc>
          <w:tcPr>
            <w:tcW w:w="2880" w:type="dxa"/>
          </w:tcPr>
          <w:p w:rsidR="003156A8" w:rsidRDefault="003156A8" w:rsidP="00B2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Block </w:t>
            </w:r>
            <w:r w:rsidR="00B258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ize – 200 kWh</w:t>
            </w:r>
          </w:p>
        </w:tc>
      </w:tr>
      <w:tr w:rsidR="003156A8" w:rsidTr="009C53FB">
        <w:tc>
          <w:tcPr>
            <w:tcW w:w="3888" w:type="dxa"/>
          </w:tcPr>
          <w:p w:rsidR="003156A8" w:rsidRDefault="003156A8" w:rsidP="0031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135 – kWh purchases </w:t>
            </w:r>
          </w:p>
        </w:tc>
        <w:tc>
          <w:tcPr>
            <w:tcW w:w="2610" w:type="dxa"/>
          </w:tcPr>
          <w:p w:rsidR="003156A8" w:rsidRDefault="003156A8" w:rsidP="00A2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kWh rate </w:t>
            </w:r>
            <w:r w:rsidR="00DB02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$0.0125 </w:t>
            </w:r>
          </w:p>
        </w:tc>
        <w:tc>
          <w:tcPr>
            <w:tcW w:w="2880" w:type="dxa"/>
          </w:tcPr>
          <w:p w:rsidR="003156A8" w:rsidRDefault="003156A8" w:rsidP="00A2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kWh rate </w:t>
            </w:r>
            <w:r w:rsidR="00DB02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$0.0100 </w:t>
            </w:r>
          </w:p>
        </w:tc>
      </w:tr>
      <w:tr w:rsidR="00DA58E7" w:rsidTr="00DA58E7">
        <w:tc>
          <w:tcPr>
            <w:tcW w:w="3888" w:type="dxa"/>
          </w:tcPr>
          <w:p w:rsidR="00DA58E7" w:rsidRDefault="00DA58E7" w:rsidP="00B3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135 – solar-only purchases</w:t>
            </w:r>
          </w:p>
        </w:tc>
        <w:tc>
          <w:tcPr>
            <w:tcW w:w="2610" w:type="dxa"/>
          </w:tcPr>
          <w:p w:rsidR="00DA58E7" w:rsidRDefault="00DA58E7" w:rsidP="00B3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</w:t>
            </w:r>
          </w:p>
        </w:tc>
        <w:tc>
          <w:tcPr>
            <w:tcW w:w="2880" w:type="dxa"/>
          </w:tcPr>
          <w:p w:rsidR="00DA58E7" w:rsidRDefault="00DA58E7" w:rsidP="00DA5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kWh block at $5.00</w:t>
            </w:r>
          </w:p>
        </w:tc>
      </w:tr>
      <w:tr w:rsidR="003156A8" w:rsidTr="009C53FB">
        <w:tc>
          <w:tcPr>
            <w:tcW w:w="3888" w:type="dxa"/>
          </w:tcPr>
          <w:p w:rsidR="003156A8" w:rsidRDefault="003156A8" w:rsidP="009C5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136</w:t>
            </w:r>
            <w:r w:rsidR="009C53FB">
              <w:rPr>
                <w:sz w:val="24"/>
                <w:szCs w:val="24"/>
              </w:rPr>
              <w:t xml:space="preserve"> </w:t>
            </w:r>
            <w:r w:rsidR="00DB026A">
              <w:rPr>
                <w:sz w:val="24"/>
                <w:szCs w:val="24"/>
              </w:rPr>
              <w:t>–</w:t>
            </w:r>
            <w:r w:rsidR="009C53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 purchases</w:t>
            </w:r>
          </w:p>
        </w:tc>
        <w:tc>
          <w:tcPr>
            <w:tcW w:w="2610" w:type="dxa"/>
          </w:tcPr>
          <w:p w:rsidR="003156A8" w:rsidRDefault="003156A8" w:rsidP="00A2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kWh rate </w:t>
            </w:r>
            <w:r w:rsidR="00DB02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$0.006</w:t>
            </w:r>
          </w:p>
        </w:tc>
        <w:tc>
          <w:tcPr>
            <w:tcW w:w="2880" w:type="dxa"/>
          </w:tcPr>
          <w:p w:rsidR="003156A8" w:rsidRDefault="003156A8" w:rsidP="000A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kWh rate </w:t>
            </w:r>
            <w:r w:rsidR="00DB02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$0.0035</w:t>
            </w:r>
          </w:p>
        </w:tc>
      </w:tr>
    </w:tbl>
    <w:p w:rsidR="00070468" w:rsidRDefault="00070468" w:rsidP="00A22323">
      <w:pPr>
        <w:rPr>
          <w:sz w:val="24"/>
          <w:szCs w:val="24"/>
        </w:rPr>
      </w:pPr>
    </w:p>
    <w:p w:rsidR="00F24D22" w:rsidRDefault="00F24D22" w:rsidP="00F24D22">
      <w:pPr>
        <w:pStyle w:val="BodyText"/>
        <w:rPr>
          <w:sz w:val="24"/>
        </w:rPr>
      </w:pPr>
      <w:r w:rsidRPr="00886577">
        <w:rPr>
          <w:sz w:val="24"/>
        </w:rPr>
        <w:t xml:space="preserve">The tariff sheets described herein reflect </w:t>
      </w:r>
      <w:r>
        <w:rPr>
          <w:sz w:val="24"/>
        </w:rPr>
        <w:t xml:space="preserve">an </w:t>
      </w:r>
      <w:r w:rsidRPr="00886577">
        <w:rPr>
          <w:sz w:val="24"/>
        </w:rPr>
        <w:t xml:space="preserve">issue date of </w:t>
      </w:r>
      <w:r w:rsidR="00450568">
        <w:rPr>
          <w:sz w:val="24"/>
        </w:rPr>
        <w:t>July 1</w:t>
      </w:r>
      <w:r w:rsidR="00EA11B3">
        <w:rPr>
          <w:sz w:val="24"/>
        </w:rPr>
        <w:t>5</w:t>
      </w:r>
      <w:bookmarkStart w:id="0" w:name="_GoBack"/>
      <w:bookmarkEnd w:id="0"/>
      <w:r>
        <w:rPr>
          <w:sz w:val="24"/>
        </w:rPr>
        <w:t>, 2016</w:t>
      </w:r>
      <w:r w:rsidRPr="00886577">
        <w:rPr>
          <w:sz w:val="24"/>
        </w:rPr>
        <w:t xml:space="preserve">, and </w:t>
      </w:r>
      <w:r>
        <w:rPr>
          <w:sz w:val="24"/>
        </w:rPr>
        <w:t xml:space="preserve">an </w:t>
      </w:r>
      <w:r w:rsidRPr="00886577">
        <w:rPr>
          <w:sz w:val="24"/>
        </w:rPr>
        <w:t xml:space="preserve">effective date of </w:t>
      </w:r>
      <w:r w:rsidR="00450568">
        <w:rPr>
          <w:sz w:val="24"/>
        </w:rPr>
        <w:t>September 23</w:t>
      </w:r>
      <w:r w:rsidRPr="00886577">
        <w:rPr>
          <w:sz w:val="24"/>
        </w:rPr>
        <w:t>, 20</w:t>
      </w:r>
      <w:r>
        <w:rPr>
          <w:sz w:val="24"/>
        </w:rPr>
        <w:t>16.  Posting</w:t>
      </w:r>
      <w:r w:rsidRPr="00886577">
        <w:rPr>
          <w:sz w:val="24"/>
        </w:rPr>
        <w:t xml:space="preserve"> of proposed tariff change</w:t>
      </w:r>
      <w:r>
        <w:rPr>
          <w:sz w:val="24"/>
        </w:rPr>
        <w:t>s, as required by WAC 480-90-193, is being made</w:t>
      </w:r>
      <w:r w:rsidRPr="00886577">
        <w:rPr>
          <w:sz w:val="24"/>
        </w:rPr>
        <w:t xml:space="preserve"> </w:t>
      </w:r>
      <w:r>
        <w:rPr>
          <w:sz w:val="24"/>
        </w:rPr>
        <w:t>by posting the proposed tariff sheets on the PSE web site immediately prior to or coincident with the date of this transmittal letter</w:t>
      </w:r>
      <w:r w:rsidRPr="00886577">
        <w:rPr>
          <w:sz w:val="24"/>
        </w:rPr>
        <w:t xml:space="preserve"> in accordance with WAC </w:t>
      </w:r>
      <w:r>
        <w:rPr>
          <w:sz w:val="24"/>
        </w:rPr>
        <w:t>480-90</w:t>
      </w:r>
      <w:r w:rsidRPr="00886577">
        <w:rPr>
          <w:sz w:val="24"/>
        </w:rPr>
        <w:t>-193(1).</w:t>
      </w:r>
    </w:p>
    <w:p w:rsidR="00F24D22" w:rsidRPr="00E93EF3" w:rsidRDefault="00F24D22" w:rsidP="00F24D22">
      <w:pPr>
        <w:pStyle w:val="BodyText"/>
        <w:rPr>
          <w:sz w:val="24"/>
          <w:szCs w:val="24"/>
        </w:rPr>
      </w:pPr>
    </w:p>
    <w:p w:rsidR="00F24D22" w:rsidRPr="00737AF4" w:rsidRDefault="00F24D22" w:rsidP="00F24D22">
      <w:pPr>
        <w:pStyle w:val="BodyText"/>
        <w:rPr>
          <w:sz w:val="24"/>
          <w:szCs w:val="24"/>
        </w:rPr>
      </w:pPr>
      <w:r w:rsidRPr="00E93EF3">
        <w:rPr>
          <w:sz w:val="24"/>
          <w:szCs w:val="24"/>
        </w:rPr>
        <w:t>This tariff change does not increase recurring charges or restrict access to services.  Therefore, notice of proposed tariff change, as required by law and the Commission’s rules and r</w:t>
      </w:r>
      <w:r>
        <w:rPr>
          <w:sz w:val="24"/>
          <w:szCs w:val="24"/>
        </w:rPr>
        <w:t>egulations (including WAC 480-90</w:t>
      </w:r>
      <w:r w:rsidRPr="00E93EF3">
        <w:rPr>
          <w:sz w:val="24"/>
          <w:szCs w:val="24"/>
        </w:rPr>
        <w:t>-195(3)), is being given to the public immediately prior to, or coincident with, the date of this transmittal letter through web, telephone and mail acces</w:t>
      </w:r>
      <w:r>
        <w:rPr>
          <w:sz w:val="24"/>
          <w:szCs w:val="24"/>
        </w:rPr>
        <w:t>s in accordance with WAC 480</w:t>
      </w:r>
      <w:r>
        <w:rPr>
          <w:sz w:val="24"/>
          <w:szCs w:val="24"/>
        </w:rPr>
        <w:noBreakHyphen/>
        <w:t>90</w:t>
      </w:r>
      <w:r w:rsidRPr="00E93EF3">
        <w:rPr>
          <w:sz w:val="24"/>
          <w:szCs w:val="24"/>
        </w:rPr>
        <w:noBreakHyphen/>
        <w:t xml:space="preserve">193.  </w:t>
      </w:r>
    </w:p>
    <w:p w:rsidR="00F24D22" w:rsidRDefault="00F24D22" w:rsidP="00F24D22">
      <w:pPr>
        <w:pStyle w:val="BodyText"/>
        <w:rPr>
          <w:sz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3E6D0D">
        <w:rPr>
          <w:sz w:val="24"/>
          <w:szCs w:val="24"/>
        </w:rPr>
        <w:t>Julie Waltari at (425) 456-2945</w:t>
      </w:r>
      <w:r w:rsidRPr="0012097E">
        <w:rPr>
          <w:sz w:val="24"/>
          <w:szCs w:val="24"/>
        </w:rPr>
        <w:t xml:space="preserve"> </w:t>
      </w:r>
      <w:r w:rsidR="001526D7">
        <w:rPr>
          <w:sz w:val="24"/>
          <w:szCs w:val="24"/>
        </w:rPr>
        <w:t xml:space="preserve">or </w:t>
      </w:r>
      <w:r w:rsidR="001526D7" w:rsidRPr="001526D7">
        <w:rPr>
          <w:sz w:val="24"/>
          <w:szCs w:val="24"/>
        </w:rPr>
        <w:t>julie.waltari@pse.com</w:t>
      </w:r>
      <w:r w:rsidR="001526D7">
        <w:rPr>
          <w:sz w:val="24"/>
          <w:szCs w:val="24"/>
        </w:rPr>
        <w:t xml:space="preserve"> </w:t>
      </w:r>
      <w:r w:rsidRPr="0012097E">
        <w:rPr>
          <w:sz w:val="24"/>
          <w:szCs w:val="24"/>
        </w:rPr>
        <w:t>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 w:rsidP="009B2E13">
      <w:pPr>
        <w:tabs>
          <w:tab w:val="left" w:pos="5655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  <w:r w:rsidR="009B2E13">
        <w:rPr>
          <w:sz w:val="24"/>
          <w:szCs w:val="24"/>
        </w:rPr>
        <w:tab/>
      </w:r>
    </w:p>
    <w:p w:rsidR="00F5635C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6744F3" w:rsidRPr="0012097E" w:rsidRDefault="006744F3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6744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DA58E7" w:rsidRDefault="00DA58E7">
      <w:pPr>
        <w:rPr>
          <w:sz w:val="24"/>
          <w:szCs w:val="24"/>
        </w:rPr>
      </w:pPr>
    </w:p>
    <w:p w:rsidR="00855194" w:rsidRDefault="00F5635C" w:rsidP="006744F3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 xml:space="preserve">Simon J. </w:t>
      </w:r>
      <w:proofErr w:type="spellStart"/>
      <w:r w:rsidRPr="0012097E">
        <w:rPr>
          <w:sz w:val="24"/>
          <w:szCs w:val="24"/>
        </w:rPr>
        <w:t>ffitch</w:t>
      </w:r>
      <w:proofErr w:type="spellEnd"/>
      <w:r w:rsidRPr="0012097E">
        <w:rPr>
          <w:sz w:val="24"/>
          <w:szCs w:val="24"/>
        </w:rPr>
        <w:t>, Public Counsel</w:t>
      </w:r>
    </w:p>
    <w:p w:rsidR="00F5635C" w:rsidRPr="0012097E" w:rsidRDefault="00F5635C" w:rsidP="001526D7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5" w:rsidRDefault="00B32125">
      <w:r>
        <w:separator/>
      </w:r>
    </w:p>
  </w:endnote>
  <w:endnote w:type="continuationSeparator" w:id="0">
    <w:p w:rsidR="00B32125" w:rsidRDefault="00B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5" w:rsidRDefault="00B32125">
      <w:r>
        <w:separator/>
      </w:r>
    </w:p>
  </w:footnote>
  <w:footnote w:type="continuationSeparator" w:id="0">
    <w:p w:rsidR="00B32125" w:rsidRDefault="00B3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25" w:rsidRDefault="00B32125" w:rsidP="00073F06">
    <w:pPr>
      <w:pStyle w:val="Header"/>
      <w:rPr>
        <w:sz w:val="24"/>
      </w:rPr>
    </w:pPr>
    <w:r>
      <w:rPr>
        <w:sz w:val="24"/>
      </w:rPr>
      <w:t>Mr. Steven V. King</w:t>
    </w:r>
    <w:r>
      <w:rPr>
        <w:sz w:val="24"/>
      </w:rPr>
      <w:tab/>
    </w:r>
    <w:r>
      <w:rPr>
        <w:sz w:val="24"/>
      </w:rPr>
      <w:tab/>
    </w:r>
  </w:p>
  <w:p w:rsidR="00B32125" w:rsidRDefault="00551B0B">
    <w:pPr>
      <w:pStyle w:val="Header"/>
      <w:rPr>
        <w:sz w:val="24"/>
      </w:rPr>
    </w:pPr>
    <w:r>
      <w:rPr>
        <w:sz w:val="24"/>
      </w:rPr>
      <w:t>July 1</w:t>
    </w:r>
    <w:r w:rsidR="00EA11B3">
      <w:rPr>
        <w:sz w:val="24"/>
      </w:rPr>
      <w:t>5</w:t>
    </w:r>
    <w:r w:rsidR="00B32125">
      <w:rPr>
        <w:sz w:val="24"/>
      </w:rPr>
      <w:t>, 2016</w:t>
    </w:r>
  </w:p>
  <w:p w:rsidR="00B32125" w:rsidRDefault="00B32125">
    <w:pPr>
      <w:pStyle w:val="Header"/>
      <w:rPr>
        <w:sz w:val="24"/>
      </w:rPr>
    </w:pPr>
    <w:r>
      <w:rPr>
        <w:sz w:val="24"/>
      </w:rPr>
      <w:t>Advice No. 2016-</w:t>
    </w:r>
    <w:r w:rsidR="00551B0B">
      <w:rPr>
        <w:sz w:val="24"/>
      </w:rPr>
      <w:t>18</w:t>
    </w:r>
  </w:p>
  <w:p w:rsidR="00B32125" w:rsidRPr="00073F06" w:rsidRDefault="00B32125" w:rsidP="006744F3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EA11B3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>
      <w:rPr>
        <w:rStyle w:val="PageNumber"/>
        <w:sz w:val="24"/>
        <w:szCs w:val="24"/>
      </w:rPr>
      <w:t>2</w:t>
    </w:r>
  </w:p>
  <w:p w:rsidR="00B32125" w:rsidRDefault="00B32125">
    <w:pPr>
      <w:pStyle w:val="Header"/>
      <w:rPr>
        <w:sz w:val="24"/>
      </w:rPr>
    </w:pPr>
  </w:p>
  <w:p w:rsidR="00B32125" w:rsidRDefault="00B32125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19D"/>
    <w:multiLevelType w:val="hybridMultilevel"/>
    <w:tmpl w:val="3ECEDA5C"/>
    <w:lvl w:ilvl="0" w:tplc="008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07AE2"/>
    <w:rsid w:val="00013157"/>
    <w:rsid w:val="0002700C"/>
    <w:rsid w:val="00027F12"/>
    <w:rsid w:val="00044DA1"/>
    <w:rsid w:val="00051FF0"/>
    <w:rsid w:val="000533B2"/>
    <w:rsid w:val="00053C76"/>
    <w:rsid w:val="000646D8"/>
    <w:rsid w:val="00070468"/>
    <w:rsid w:val="00073F06"/>
    <w:rsid w:val="000818BB"/>
    <w:rsid w:val="00086887"/>
    <w:rsid w:val="00087E05"/>
    <w:rsid w:val="000A1468"/>
    <w:rsid w:val="000A40B4"/>
    <w:rsid w:val="000B1D99"/>
    <w:rsid w:val="000B1FA5"/>
    <w:rsid w:val="000B4062"/>
    <w:rsid w:val="000B6F6C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26E7F"/>
    <w:rsid w:val="00134BE6"/>
    <w:rsid w:val="00135DD5"/>
    <w:rsid w:val="001526D7"/>
    <w:rsid w:val="00154738"/>
    <w:rsid w:val="00160521"/>
    <w:rsid w:val="0018583E"/>
    <w:rsid w:val="00186B29"/>
    <w:rsid w:val="00186D82"/>
    <w:rsid w:val="00196249"/>
    <w:rsid w:val="001A1544"/>
    <w:rsid w:val="001A27F4"/>
    <w:rsid w:val="001C0048"/>
    <w:rsid w:val="001C0BB2"/>
    <w:rsid w:val="001D1C6D"/>
    <w:rsid w:val="001E6E64"/>
    <w:rsid w:val="00205572"/>
    <w:rsid w:val="002121E7"/>
    <w:rsid w:val="00213BA0"/>
    <w:rsid w:val="002230F9"/>
    <w:rsid w:val="00223358"/>
    <w:rsid w:val="00226F07"/>
    <w:rsid w:val="002277D3"/>
    <w:rsid w:val="0023693B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B227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07BE3"/>
    <w:rsid w:val="003156A8"/>
    <w:rsid w:val="00322724"/>
    <w:rsid w:val="00323AB9"/>
    <w:rsid w:val="0033336D"/>
    <w:rsid w:val="00346F50"/>
    <w:rsid w:val="00353927"/>
    <w:rsid w:val="003550DE"/>
    <w:rsid w:val="0035606B"/>
    <w:rsid w:val="00356672"/>
    <w:rsid w:val="00357378"/>
    <w:rsid w:val="003638E3"/>
    <w:rsid w:val="00366CA3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C314E"/>
    <w:rsid w:val="003D1CB3"/>
    <w:rsid w:val="003D26F3"/>
    <w:rsid w:val="003E32BC"/>
    <w:rsid w:val="003E6D0D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568"/>
    <w:rsid w:val="00450A76"/>
    <w:rsid w:val="0045145A"/>
    <w:rsid w:val="0045485E"/>
    <w:rsid w:val="004573C9"/>
    <w:rsid w:val="00457F69"/>
    <w:rsid w:val="00462E47"/>
    <w:rsid w:val="0047763A"/>
    <w:rsid w:val="0048293D"/>
    <w:rsid w:val="004848F2"/>
    <w:rsid w:val="004B2C59"/>
    <w:rsid w:val="004B5910"/>
    <w:rsid w:val="004B6520"/>
    <w:rsid w:val="004C2E35"/>
    <w:rsid w:val="004C7D2B"/>
    <w:rsid w:val="004D57A3"/>
    <w:rsid w:val="004E2810"/>
    <w:rsid w:val="004E3D1F"/>
    <w:rsid w:val="004E712A"/>
    <w:rsid w:val="004E7188"/>
    <w:rsid w:val="004F04D5"/>
    <w:rsid w:val="0051569F"/>
    <w:rsid w:val="00517235"/>
    <w:rsid w:val="005462A8"/>
    <w:rsid w:val="00551B0B"/>
    <w:rsid w:val="005640EE"/>
    <w:rsid w:val="005717B1"/>
    <w:rsid w:val="00577DF4"/>
    <w:rsid w:val="00590DD6"/>
    <w:rsid w:val="00596457"/>
    <w:rsid w:val="005B60FC"/>
    <w:rsid w:val="005F24CB"/>
    <w:rsid w:val="006017CE"/>
    <w:rsid w:val="00605033"/>
    <w:rsid w:val="00614E92"/>
    <w:rsid w:val="00615A90"/>
    <w:rsid w:val="006358C7"/>
    <w:rsid w:val="00635B0D"/>
    <w:rsid w:val="006366FB"/>
    <w:rsid w:val="00662A15"/>
    <w:rsid w:val="0066434E"/>
    <w:rsid w:val="006744F3"/>
    <w:rsid w:val="00681840"/>
    <w:rsid w:val="0068359A"/>
    <w:rsid w:val="00685322"/>
    <w:rsid w:val="006914F0"/>
    <w:rsid w:val="0069794B"/>
    <w:rsid w:val="006A3969"/>
    <w:rsid w:val="006A6341"/>
    <w:rsid w:val="006B3B55"/>
    <w:rsid w:val="006D29A6"/>
    <w:rsid w:val="006D41C8"/>
    <w:rsid w:val="006E232A"/>
    <w:rsid w:val="006E61A4"/>
    <w:rsid w:val="006E7C87"/>
    <w:rsid w:val="006F2FC3"/>
    <w:rsid w:val="00704400"/>
    <w:rsid w:val="007113F3"/>
    <w:rsid w:val="007125C2"/>
    <w:rsid w:val="007176B0"/>
    <w:rsid w:val="00722E4C"/>
    <w:rsid w:val="00723C62"/>
    <w:rsid w:val="00724F8B"/>
    <w:rsid w:val="007270C1"/>
    <w:rsid w:val="00727C74"/>
    <w:rsid w:val="00737978"/>
    <w:rsid w:val="00741DAE"/>
    <w:rsid w:val="00742F65"/>
    <w:rsid w:val="00751045"/>
    <w:rsid w:val="007511C9"/>
    <w:rsid w:val="007520BC"/>
    <w:rsid w:val="007533D9"/>
    <w:rsid w:val="00754A2C"/>
    <w:rsid w:val="00754FDA"/>
    <w:rsid w:val="00755B99"/>
    <w:rsid w:val="00764529"/>
    <w:rsid w:val="007654BC"/>
    <w:rsid w:val="00770CF9"/>
    <w:rsid w:val="00774FD3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5B11"/>
    <w:rsid w:val="0080754A"/>
    <w:rsid w:val="00811104"/>
    <w:rsid w:val="0082302C"/>
    <w:rsid w:val="0083138D"/>
    <w:rsid w:val="00831D71"/>
    <w:rsid w:val="00835A32"/>
    <w:rsid w:val="008379F5"/>
    <w:rsid w:val="00855194"/>
    <w:rsid w:val="00855202"/>
    <w:rsid w:val="008651BD"/>
    <w:rsid w:val="00870F32"/>
    <w:rsid w:val="00874638"/>
    <w:rsid w:val="00884E37"/>
    <w:rsid w:val="0088796C"/>
    <w:rsid w:val="0089008C"/>
    <w:rsid w:val="00891CA1"/>
    <w:rsid w:val="0089225B"/>
    <w:rsid w:val="00897DDA"/>
    <w:rsid w:val="008A1A8B"/>
    <w:rsid w:val="008B4905"/>
    <w:rsid w:val="008B75EA"/>
    <w:rsid w:val="008C1B34"/>
    <w:rsid w:val="008C3190"/>
    <w:rsid w:val="008C47D5"/>
    <w:rsid w:val="008C5DDC"/>
    <w:rsid w:val="008D0015"/>
    <w:rsid w:val="008D09E0"/>
    <w:rsid w:val="008E4266"/>
    <w:rsid w:val="008E5360"/>
    <w:rsid w:val="008E7BA0"/>
    <w:rsid w:val="008F390D"/>
    <w:rsid w:val="009008DD"/>
    <w:rsid w:val="00903E97"/>
    <w:rsid w:val="00910736"/>
    <w:rsid w:val="00911428"/>
    <w:rsid w:val="00912BAA"/>
    <w:rsid w:val="0091480C"/>
    <w:rsid w:val="009254DA"/>
    <w:rsid w:val="00932B2E"/>
    <w:rsid w:val="00935263"/>
    <w:rsid w:val="0094183F"/>
    <w:rsid w:val="00947F8C"/>
    <w:rsid w:val="00954B99"/>
    <w:rsid w:val="00954E9B"/>
    <w:rsid w:val="009600C1"/>
    <w:rsid w:val="0096105C"/>
    <w:rsid w:val="00961FAE"/>
    <w:rsid w:val="00963AE8"/>
    <w:rsid w:val="00967CDF"/>
    <w:rsid w:val="00976A44"/>
    <w:rsid w:val="00990A35"/>
    <w:rsid w:val="00997A26"/>
    <w:rsid w:val="009A3632"/>
    <w:rsid w:val="009A6C2F"/>
    <w:rsid w:val="009A783F"/>
    <w:rsid w:val="009A78AD"/>
    <w:rsid w:val="009B2645"/>
    <w:rsid w:val="009B2E13"/>
    <w:rsid w:val="009C53FB"/>
    <w:rsid w:val="009C5843"/>
    <w:rsid w:val="009E0C73"/>
    <w:rsid w:val="009E0E46"/>
    <w:rsid w:val="009E593E"/>
    <w:rsid w:val="009F2DA5"/>
    <w:rsid w:val="009F35DE"/>
    <w:rsid w:val="009F5172"/>
    <w:rsid w:val="00A04AC8"/>
    <w:rsid w:val="00A17F8E"/>
    <w:rsid w:val="00A200AE"/>
    <w:rsid w:val="00A20261"/>
    <w:rsid w:val="00A220B3"/>
    <w:rsid w:val="00A2228D"/>
    <w:rsid w:val="00A22323"/>
    <w:rsid w:val="00A33AF7"/>
    <w:rsid w:val="00A35A3F"/>
    <w:rsid w:val="00A378DE"/>
    <w:rsid w:val="00A429E9"/>
    <w:rsid w:val="00A42A96"/>
    <w:rsid w:val="00A44455"/>
    <w:rsid w:val="00A56908"/>
    <w:rsid w:val="00A70281"/>
    <w:rsid w:val="00A71394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02261"/>
    <w:rsid w:val="00B0580A"/>
    <w:rsid w:val="00B12562"/>
    <w:rsid w:val="00B23125"/>
    <w:rsid w:val="00B23850"/>
    <w:rsid w:val="00B2584E"/>
    <w:rsid w:val="00B27DFA"/>
    <w:rsid w:val="00B32125"/>
    <w:rsid w:val="00B336D1"/>
    <w:rsid w:val="00B359CE"/>
    <w:rsid w:val="00B40339"/>
    <w:rsid w:val="00B40DB5"/>
    <w:rsid w:val="00B50343"/>
    <w:rsid w:val="00B70C20"/>
    <w:rsid w:val="00B72BA2"/>
    <w:rsid w:val="00B72DB8"/>
    <w:rsid w:val="00B75ACB"/>
    <w:rsid w:val="00B76AF1"/>
    <w:rsid w:val="00B84DB4"/>
    <w:rsid w:val="00B91279"/>
    <w:rsid w:val="00B917D6"/>
    <w:rsid w:val="00B92CA3"/>
    <w:rsid w:val="00BA7CB3"/>
    <w:rsid w:val="00BB2475"/>
    <w:rsid w:val="00BB6EC5"/>
    <w:rsid w:val="00BC0F87"/>
    <w:rsid w:val="00BC4FD0"/>
    <w:rsid w:val="00BC5704"/>
    <w:rsid w:val="00BD1F02"/>
    <w:rsid w:val="00BD4874"/>
    <w:rsid w:val="00BD7050"/>
    <w:rsid w:val="00BE2A70"/>
    <w:rsid w:val="00BE2F8D"/>
    <w:rsid w:val="00BE6A1F"/>
    <w:rsid w:val="00BE717C"/>
    <w:rsid w:val="00BF5479"/>
    <w:rsid w:val="00C022E2"/>
    <w:rsid w:val="00C06BE4"/>
    <w:rsid w:val="00C13DCA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2976"/>
    <w:rsid w:val="00D56E05"/>
    <w:rsid w:val="00D678E8"/>
    <w:rsid w:val="00D840A8"/>
    <w:rsid w:val="00D90661"/>
    <w:rsid w:val="00D92DF5"/>
    <w:rsid w:val="00D93763"/>
    <w:rsid w:val="00D955D3"/>
    <w:rsid w:val="00DA24B4"/>
    <w:rsid w:val="00DA2B48"/>
    <w:rsid w:val="00DA58E7"/>
    <w:rsid w:val="00DA7578"/>
    <w:rsid w:val="00DB026A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3597"/>
    <w:rsid w:val="00E128E5"/>
    <w:rsid w:val="00E26AFD"/>
    <w:rsid w:val="00E31719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11B3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F0563"/>
    <w:rsid w:val="00F006C8"/>
    <w:rsid w:val="00F04CB8"/>
    <w:rsid w:val="00F134A5"/>
    <w:rsid w:val="00F13D46"/>
    <w:rsid w:val="00F2031B"/>
    <w:rsid w:val="00F205B0"/>
    <w:rsid w:val="00F224F7"/>
    <w:rsid w:val="00F24D22"/>
    <w:rsid w:val="00F32AC4"/>
    <w:rsid w:val="00F55391"/>
    <w:rsid w:val="00F5635C"/>
    <w:rsid w:val="00F57EDA"/>
    <w:rsid w:val="00F63153"/>
    <w:rsid w:val="00F63A00"/>
    <w:rsid w:val="00F73140"/>
    <w:rsid w:val="00F7705F"/>
    <w:rsid w:val="00F8147F"/>
    <w:rsid w:val="00FA219A"/>
    <w:rsid w:val="00FA425D"/>
    <w:rsid w:val="00FB5B4B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B2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link w:val="BodyText2Char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  <w:style w:type="character" w:customStyle="1" w:styleId="HeaderChar">
    <w:name w:val="Header Char"/>
    <w:basedOn w:val="DefaultParagraphFont"/>
    <w:link w:val="Header"/>
    <w:rsid w:val="006744F3"/>
  </w:style>
  <w:style w:type="character" w:styleId="Hyperlink">
    <w:name w:val="Hyperlink"/>
    <w:basedOn w:val="DefaultParagraphFont"/>
    <w:rsid w:val="001526D7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F24D22"/>
    <w:rPr>
      <w:sz w:val="24"/>
    </w:rPr>
  </w:style>
  <w:style w:type="table" w:styleId="TableGrid">
    <w:name w:val="Table Grid"/>
    <w:basedOn w:val="TableNormal"/>
    <w:rsid w:val="0031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2B2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B2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link w:val="BodyText2Char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  <w:style w:type="character" w:customStyle="1" w:styleId="HeaderChar">
    <w:name w:val="Header Char"/>
    <w:basedOn w:val="DefaultParagraphFont"/>
    <w:link w:val="Header"/>
    <w:rsid w:val="006744F3"/>
  </w:style>
  <w:style w:type="character" w:styleId="Hyperlink">
    <w:name w:val="Hyperlink"/>
    <w:basedOn w:val="DefaultParagraphFont"/>
    <w:rsid w:val="001526D7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F24D22"/>
    <w:rPr>
      <w:sz w:val="24"/>
    </w:rPr>
  </w:style>
  <w:style w:type="table" w:styleId="TableGrid">
    <w:name w:val="Table Grid"/>
    <w:basedOn w:val="TableNormal"/>
    <w:rsid w:val="0031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2B2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A0AA65-4763-4685-A802-03472359D70A}"/>
</file>

<file path=customXml/itemProps2.xml><?xml version="1.0" encoding="utf-8"?>
<ds:datastoreItem xmlns:ds="http://schemas.openxmlformats.org/officeDocument/2006/customXml" ds:itemID="{CE4FC359-C16D-4680-995A-F84C5ACAEE04}"/>
</file>

<file path=customXml/itemProps3.xml><?xml version="1.0" encoding="utf-8"?>
<ds:datastoreItem xmlns:ds="http://schemas.openxmlformats.org/officeDocument/2006/customXml" ds:itemID="{1BDFBDE6-4325-4FDC-BFC2-8048B03A29F1}"/>
</file>

<file path=customXml/itemProps4.xml><?xml version="1.0" encoding="utf-8"?>
<ds:datastoreItem xmlns:ds="http://schemas.openxmlformats.org/officeDocument/2006/customXml" ds:itemID="{B05E279A-F337-4508-AD6A-B412D35AB7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2016-07-14T18:22:00Z</cp:lastPrinted>
  <dcterms:created xsi:type="dcterms:W3CDTF">2016-07-14T18:31:00Z</dcterms:created>
  <dcterms:modified xsi:type="dcterms:W3CDTF">2016-07-14T18:31:00Z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