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BA035" w14:textId="15F7FC5C" w:rsidR="00D81F4F" w:rsidRPr="00FA2797" w:rsidRDefault="00FA2797" w:rsidP="00FA2797">
      <w:pPr>
        <w:spacing w:before="100" w:beforeAutospacing="1" w:after="100" w:afterAutospacing="1" w:line="240" w:lineRule="auto"/>
        <w:jc w:val="center"/>
        <w:rPr>
          <w:rFonts w:ascii="Times New Roman" w:hAnsi="Times New Roman" w:cs="Times New Roman"/>
          <w:b/>
          <w:sz w:val="24"/>
          <w:szCs w:val="24"/>
        </w:rPr>
      </w:pPr>
      <w:bookmarkStart w:id="0" w:name="_GoBack"/>
      <w:bookmarkEnd w:id="0"/>
      <w:r w:rsidRPr="00FA2797">
        <w:rPr>
          <w:rFonts w:ascii="Times New Roman" w:hAnsi="Times New Roman" w:cs="Times New Roman"/>
          <w:b/>
          <w:sz w:val="24"/>
          <w:szCs w:val="24"/>
        </w:rPr>
        <w:t xml:space="preserve">ATTACHMENT </w:t>
      </w:r>
    </w:p>
    <w:p w14:paraId="49BBA036" w14:textId="0F0F4943" w:rsidR="003112E5" w:rsidRDefault="003112E5" w:rsidP="003112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Avista Demand Side Management Program Cost Recovery</w:t>
      </w:r>
      <w:r w:rsidR="0046222E">
        <w:rPr>
          <w:rFonts w:ascii="Times New Roman" w:hAnsi="Times New Roman" w:cs="Times New Roman"/>
          <w:b/>
          <w:sz w:val="24"/>
          <w:szCs w:val="24"/>
        </w:rPr>
        <w:t xml:space="preserve"> </w:t>
      </w:r>
    </w:p>
    <w:p w14:paraId="49BBA037" w14:textId="77777777" w:rsidR="003112E5" w:rsidRDefault="003112E5" w:rsidP="003112E5">
      <w:pPr>
        <w:spacing w:after="0" w:line="240" w:lineRule="auto"/>
        <w:jc w:val="center"/>
        <w:rPr>
          <w:rFonts w:ascii="Times New Roman" w:hAnsi="Times New Roman" w:cs="Times New Roman"/>
          <w:b/>
          <w:sz w:val="24"/>
          <w:szCs w:val="24"/>
        </w:rPr>
      </w:pPr>
    </w:p>
    <w:p w14:paraId="49BBA038" w14:textId="77777777" w:rsidR="00957866" w:rsidRPr="00D81F4F" w:rsidRDefault="00957866" w:rsidP="00957866">
      <w:pPr>
        <w:spacing w:after="0" w:line="240" w:lineRule="auto"/>
        <w:jc w:val="center"/>
        <w:rPr>
          <w:rFonts w:ascii="Times New Roman" w:hAnsi="Times New Roman" w:cs="Times New Roman"/>
          <w:b/>
          <w:sz w:val="24"/>
          <w:szCs w:val="24"/>
        </w:rPr>
      </w:pPr>
      <w:r w:rsidRPr="00D81F4F">
        <w:rPr>
          <w:rFonts w:ascii="Times New Roman" w:hAnsi="Times New Roman" w:cs="Times New Roman"/>
          <w:b/>
          <w:sz w:val="24"/>
          <w:szCs w:val="24"/>
        </w:rPr>
        <w:t>Finding of Staff On-Site Audit</w:t>
      </w:r>
    </w:p>
    <w:p w14:paraId="49BBA039" w14:textId="77777777" w:rsidR="00957866" w:rsidRDefault="00957866" w:rsidP="00D81F4F">
      <w:pPr>
        <w:spacing w:after="0" w:line="240" w:lineRule="auto"/>
        <w:jc w:val="center"/>
        <w:rPr>
          <w:rFonts w:ascii="Times New Roman" w:hAnsi="Times New Roman" w:cs="Times New Roman"/>
          <w:b/>
          <w:sz w:val="24"/>
          <w:szCs w:val="24"/>
        </w:rPr>
      </w:pPr>
    </w:p>
    <w:p w14:paraId="49BBA03A" w14:textId="77777777" w:rsidR="00D81F4F" w:rsidRPr="00D81F4F" w:rsidRDefault="00D81F4F" w:rsidP="00D81F4F">
      <w:pPr>
        <w:spacing w:after="0" w:line="240" w:lineRule="auto"/>
        <w:rPr>
          <w:rFonts w:ascii="Times New Roman" w:hAnsi="Times New Roman" w:cs="Times New Roman"/>
          <w:color w:val="FF0000"/>
          <w:sz w:val="24"/>
          <w:szCs w:val="24"/>
        </w:rPr>
      </w:pPr>
    </w:p>
    <w:p w14:paraId="49BBA03B" w14:textId="77777777" w:rsidR="00D81F4F" w:rsidRDefault="00D81F4F" w:rsidP="00D81F4F">
      <w:pPr>
        <w:spacing w:after="0" w:line="240" w:lineRule="auto"/>
        <w:rPr>
          <w:rFonts w:ascii="Times New Roman" w:hAnsi="Times New Roman" w:cs="Times New Roman"/>
          <w:sz w:val="24"/>
          <w:szCs w:val="24"/>
        </w:rPr>
      </w:pPr>
      <w:r w:rsidRPr="00D81F4F">
        <w:rPr>
          <w:rFonts w:ascii="Times New Roman" w:hAnsi="Times New Roman" w:cs="Times New Roman"/>
          <w:sz w:val="24"/>
          <w:szCs w:val="24"/>
        </w:rPr>
        <w:t>On June 17, 2016, staff traveled to Spokane to perform an on-site audit of Avista’s conservation incentive and non-incentive expenditures</w:t>
      </w:r>
      <w:r w:rsidR="003112E5">
        <w:rPr>
          <w:rFonts w:ascii="Times New Roman" w:hAnsi="Times New Roman" w:cs="Times New Roman"/>
          <w:sz w:val="24"/>
          <w:szCs w:val="24"/>
        </w:rPr>
        <w:t xml:space="preserve"> between April 2015 and March 2016</w:t>
      </w:r>
      <w:r w:rsidRPr="00D81F4F">
        <w:rPr>
          <w:rFonts w:ascii="Times New Roman" w:hAnsi="Times New Roman" w:cs="Times New Roman"/>
          <w:sz w:val="24"/>
          <w:szCs w:val="24"/>
        </w:rPr>
        <w:t>. Prior to the on-site audit, staff reviewed monthly details in all program expenditure categories, from which staff selected line items to comprehensively review on site. Because the company did not provide non-incentive expenditure breakdown prior to the site visit, staff requested supporting details after the site visit. The audit consisted of review and verification of:</w:t>
      </w:r>
    </w:p>
    <w:p w14:paraId="49BBA03C" w14:textId="77777777" w:rsidR="00D81F4F" w:rsidRPr="00D81F4F" w:rsidRDefault="00D81F4F" w:rsidP="00D81F4F">
      <w:pPr>
        <w:spacing w:after="0" w:line="240" w:lineRule="auto"/>
        <w:rPr>
          <w:rFonts w:ascii="Times New Roman" w:hAnsi="Times New Roman" w:cs="Times New Roman"/>
          <w:sz w:val="24"/>
          <w:szCs w:val="24"/>
        </w:rPr>
      </w:pPr>
    </w:p>
    <w:p w14:paraId="49BBA03D" w14:textId="77777777" w:rsidR="00D81F4F" w:rsidRPr="00D81F4F" w:rsidRDefault="00D81F4F" w:rsidP="00D81F4F">
      <w:pPr>
        <w:pStyle w:val="ListParagraph"/>
        <w:numPr>
          <w:ilvl w:val="0"/>
          <w:numId w:val="1"/>
        </w:numPr>
        <w:rPr>
          <w:rFonts w:ascii="Times New Roman" w:hAnsi="Times New Roman" w:cs="Times New Roman"/>
          <w:sz w:val="24"/>
          <w:szCs w:val="24"/>
        </w:rPr>
      </w:pPr>
      <w:r w:rsidRPr="00D81F4F">
        <w:rPr>
          <w:rFonts w:ascii="Times New Roman" w:hAnsi="Times New Roman" w:cs="Times New Roman"/>
          <w:sz w:val="24"/>
          <w:szCs w:val="24"/>
        </w:rPr>
        <w:t>Invoice dollar match to line-item expenditures.</w:t>
      </w:r>
    </w:p>
    <w:p w14:paraId="49BBA03E" w14:textId="77777777" w:rsidR="00D81F4F" w:rsidRPr="00D81F4F" w:rsidRDefault="00D81F4F" w:rsidP="00D81F4F">
      <w:pPr>
        <w:pStyle w:val="ListParagraph"/>
        <w:numPr>
          <w:ilvl w:val="0"/>
          <w:numId w:val="1"/>
        </w:numPr>
        <w:rPr>
          <w:rFonts w:ascii="Times New Roman" w:hAnsi="Times New Roman" w:cs="Times New Roman"/>
          <w:sz w:val="24"/>
          <w:szCs w:val="24"/>
        </w:rPr>
      </w:pPr>
      <w:r w:rsidRPr="00D81F4F">
        <w:rPr>
          <w:rFonts w:ascii="Times New Roman" w:hAnsi="Times New Roman" w:cs="Times New Roman"/>
          <w:sz w:val="24"/>
          <w:szCs w:val="24"/>
        </w:rPr>
        <w:t>Existence of proper supporting documentation for expenditures.</w:t>
      </w:r>
    </w:p>
    <w:p w14:paraId="49BBA03F" w14:textId="77777777" w:rsidR="00D81F4F" w:rsidRPr="00D81F4F" w:rsidRDefault="00D81F4F" w:rsidP="00D81F4F">
      <w:pPr>
        <w:pStyle w:val="ListParagraph"/>
        <w:numPr>
          <w:ilvl w:val="0"/>
          <w:numId w:val="1"/>
        </w:numPr>
        <w:rPr>
          <w:rFonts w:ascii="Times New Roman" w:hAnsi="Times New Roman" w:cs="Times New Roman"/>
          <w:sz w:val="24"/>
          <w:szCs w:val="24"/>
        </w:rPr>
      </w:pPr>
      <w:r w:rsidRPr="00D81F4F">
        <w:rPr>
          <w:rFonts w:ascii="Times New Roman" w:hAnsi="Times New Roman" w:cs="Times New Roman"/>
          <w:sz w:val="24"/>
          <w:szCs w:val="24"/>
        </w:rPr>
        <w:t>Appropriate Washington allocation of expenditures.</w:t>
      </w:r>
    </w:p>
    <w:p w14:paraId="49BBA040" w14:textId="77777777" w:rsidR="00D81F4F" w:rsidRPr="00D81F4F" w:rsidRDefault="00D81F4F" w:rsidP="00D81F4F">
      <w:pPr>
        <w:pStyle w:val="ListParagraph"/>
        <w:numPr>
          <w:ilvl w:val="0"/>
          <w:numId w:val="1"/>
        </w:numPr>
        <w:rPr>
          <w:rFonts w:ascii="Times New Roman" w:hAnsi="Times New Roman" w:cs="Times New Roman"/>
          <w:sz w:val="24"/>
          <w:szCs w:val="24"/>
        </w:rPr>
      </w:pPr>
      <w:r w:rsidRPr="00D81F4F">
        <w:rPr>
          <w:rFonts w:ascii="Times New Roman" w:hAnsi="Times New Roman" w:cs="Times New Roman"/>
          <w:sz w:val="24"/>
          <w:szCs w:val="24"/>
        </w:rPr>
        <w:t>Overall appropriateness of expenditure.</w:t>
      </w:r>
    </w:p>
    <w:p w14:paraId="49BBA041" w14:textId="77777777" w:rsidR="00D81F4F" w:rsidRPr="00D81F4F" w:rsidRDefault="00D81F4F" w:rsidP="00D81F4F">
      <w:pPr>
        <w:pStyle w:val="ListParagraph"/>
        <w:numPr>
          <w:ilvl w:val="0"/>
          <w:numId w:val="1"/>
        </w:numPr>
        <w:rPr>
          <w:rFonts w:ascii="Times New Roman" w:hAnsi="Times New Roman" w:cs="Times New Roman"/>
          <w:sz w:val="24"/>
          <w:szCs w:val="24"/>
        </w:rPr>
      </w:pPr>
      <w:r w:rsidRPr="00D81F4F">
        <w:rPr>
          <w:rFonts w:ascii="Times New Roman" w:hAnsi="Times New Roman" w:cs="Times New Roman"/>
          <w:sz w:val="24"/>
          <w:szCs w:val="24"/>
        </w:rPr>
        <w:t>Presence of proper internal control mechanisms.</w:t>
      </w:r>
    </w:p>
    <w:p w14:paraId="49BBA042" w14:textId="77777777" w:rsidR="00D81F4F" w:rsidRDefault="00D81F4F" w:rsidP="00D81F4F">
      <w:pPr>
        <w:spacing w:after="0" w:line="240" w:lineRule="auto"/>
        <w:rPr>
          <w:rFonts w:ascii="Times New Roman" w:hAnsi="Times New Roman" w:cs="Times New Roman"/>
          <w:sz w:val="24"/>
          <w:szCs w:val="24"/>
        </w:rPr>
      </w:pPr>
    </w:p>
    <w:p w14:paraId="49BBA043" w14:textId="77777777" w:rsidR="00D81F4F" w:rsidRPr="00D81F4F" w:rsidRDefault="00D81F4F" w:rsidP="00D81F4F">
      <w:pPr>
        <w:spacing w:after="0" w:line="240" w:lineRule="auto"/>
        <w:rPr>
          <w:rFonts w:ascii="Times New Roman" w:hAnsi="Times New Roman" w:cs="Times New Roman"/>
          <w:sz w:val="24"/>
          <w:szCs w:val="24"/>
        </w:rPr>
      </w:pPr>
      <w:r w:rsidRPr="00D81F4F">
        <w:rPr>
          <w:rFonts w:ascii="Times New Roman" w:hAnsi="Times New Roman" w:cs="Times New Roman"/>
          <w:sz w:val="24"/>
          <w:szCs w:val="24"/>
        </w:rPr>
        <w:t xml:space="preserve">All of the materials requested were available for review and well organized. Avista’s staff were available for questions throughout the on-site audit, and Avista responded in a timely manner to follow-up data requests from staff. In general, all line item expenditures were supported by invoice, and supporting documentation was provided for all invoices. Reviewed expenditures were found to be reasonable, appropriately allocated to Washington, and reviewed and authorized by the appropriate Avista staff person. </w:t>
      </w:r>
    </w:p>
    <w:p w14:paraId="49BBA044" w14:textId="77777777" w:rsidR="00D81F4F" w:rsidRDefault="00D81F4F" w:rsidP="00D81F4F">
      <w:pPr>
        <w:spacing w:after="0" w:line="240" w:lineRule="auto"/>
        <w:rPr>
          <w:rFonts w:ascii="Times New Roman" w:hAnsi="Times New Roman" w:cs="Times New Roman"/>
          <w:sz w:val="24"/>
          <w:szCs w:val="24"/>
        </w:rPr>
      </w:pPr>
    </w:p>
    <w:p w14:paraId="49BBA045" w14:textId="77777777" w:rsidR="00D81F4F" w:rsidRDefault="00D81F4F" w:rsidP="00D81F4F">
      <w:pPr>
        <w:spacing w:after="0" w:line="240" w:lineRule="auto"/>
        <w:rPr>
          <w:rFonts w:ascii="Times New Roman" w:hAnsi="Times New Roman" w:cs="Times New Roman"/>
          <w:sz w:val="24"/>
          <w:szCs w:val="24"/>
        </w:rPr>
      </w:pPr>
      <w:r w:rsidRPr="00D81F4F">
        <w:rPr>
          <w:rFonts w:ascii="Times New Roman" w:hAnsi="Times New Roman" w:cs="Times New Roman"/>
          <w:sz w:val="24"/>
          <w:szCs w:val="24"/>
        </w:rPr>
        <w:t>Over the course of this audit, staff found the following minor issues associated with record keeping and some small program adjustments.</w:t>
      </w:r>
    </w:p>
    <w:p w14:paraId="49BBA046" w14:textId="77777777" w:rsidR="00D81F4F" w:rsidRPr="00D81F4F" w:rsidRDefault="00D81F4F" w:rsidP="00D81F4F">
      <w:pPr>
        <w:spacing w:after="0" w:line="240" w:lineRule="auto"/>
        <w:rPr>
          <w:rFonts w:ascii="Times New Roman" w:hAnsi="Times New Roman" w:cs="Times New Roman"/>
          <w:sz w:val="24"/>
          <w:szCs w:val="24"/>
        </w:rPr>
      </w:pPr>
    </w:p>
    <w:p w14:paraId="49BBA047" w14:textId="77777777" w:rsidR="00D81F4F" w:rsidRPr="00D81F4F" w:rsidRDefault="00D81F4F" w:rsidP="00D81F4F">
      <w:pPr>
        <w:pStyle w:val="ListParagraph"/>
        <w:numPr>
          <w:ilvl w:val="0"/>
          <w:numId w:val="2"/>
        </w:numPr>
        <w:rPr>
          <w:rFonts w:ascii="Times New Roman" w:hAnsi="Times New Roman" w:cs="Times New Roman"/>
          <w:sz w:val="24"/>
          <w:szCs w:val="24"/>
        </w:rPr>
      </w:pPr>
      <w:r w:rsidRPr="00D81F4F">
        <w:rPr>
          <w:rFonts w:ascii="Times New Roman" w:hAnsi="Times New Roman" w:cs="Times New Roman"/>
          <w:sz w:val="24"/>
          <w:szCs w:val="24"/>
        </w:rPr>
        <w:t>Record Keeping and Information Linkage</w:t>
      </w:r>
    </w:p>
    <w:p w14:paraId="49BBA048" w14:textId="77777777" w:rsidR="00D81F4F" w:rsidRDefault="00D81F4F" w:rsidP="00D81F4F">
      <w:pPr>
        <w:spacing w:after="0" w:line="240" w:lineRule="auto"/>
        <w:ind w:left="720"/>
        <w:rPr>
          <w:rFonts w:ascii="Times New Roman" w:hAnsi="Times New Roman" w:cs="Times New Roman"/>
          <w:sz w:val="24"/>
          <w:szCs w:val="24"/>
        </w:rPr>
      </w:pPr>
    </w:p>
    <w:p w14:paraId="49BBA049" w14:textId="77777777" w:rsidR="00D81F4F" w:rsidRPr="00D81F4F" w:rsidRDefault="00D81F4F" w:rsidP="00D81F4F">
      <w:pPr>
        <w:spacing w:after="0" w:line="240" w:lineRule="auto"/>
        <w:ind w:left="720"/>
        <w:rPr>
          <w:rFonts w:ascii="Times New Roman" w:hAnsi="Times New Roman" w:cs="Times New Roman"/>
          <w:sz w:val="24"/>
          <w:szCs w:val="24"/>
        </w:rPr>
      </w:pPr>
      <w:r w:rsidRPr="00D81F4F">
        <w:rPr>
          <w:rFonts w:ascii="Times New Roman" w:hAnsi="Times New Roman" w:cs="Times New Roman"/>
          <w:sz w:val="24"/>
          <w:szCs w:val="24"/>
        </w:rPr>
        <w:t xml:space="preserve">Avista staff made great efforts to provide staff with requested supporting documents. However, the information request and collection took multiple rounds of communication. Avista switched to the new Customer Care and Billing (CC&amp;B) System in February 2015, which contains a DSM module. However, the DSM module does not contain all information related to residential and low-income DSM incentives. For example, once residential DSM rebates are approved in CC&amp;B, they are batch processed by the Financial Department and accounts payables are created. However, the payment and rebate redemption status does not flow back to CC&amp;B. To track a particular rebate, company staff had to go through a manual query process. When staff requested support documents for a particular batch of rebates, the process to find out the corresponding rebate details in CC&amp;B would have been prohibitively time-consuming. As a result, staff only sampled a few rebate items for residential and low-income customers. </w:t>
      </w:r>
    </w:p>
    <w:p w14:paraId="49BBA04A" w14:textId="77777777" w:rsidR="00D81F4F" w:rsidRPr="00D81F4F" w:rsidRDefault="00D81F4F" w:rsidP="00D81F4F">
      <w:pPr>
        <w:spacing w:after="0" w:line="240" w:lineRule="auto"/>
        <w:ind w:left="720"/>
        <w:rPr>
          <w:rFonts w:ascii="Times New Roman" w:hAnsi="Times New Roman" w:cs="Times New Roman"/>
          <w:sz w:val="24"/>
          <w:szCs w:val="24"/>
        </w:rPr>
      </w:pPr>
    </w:p>
    <w:p w14:paraId="49BBA04B" w14:textId="77777777" w:rsidR="00D81F4F" w:rsidRPr="00D81F4F" w:rsidRDefault="00D81F4F" w:rsidP="00D81F4F">
      <w:pPr>
        <w:spacing w:after="0" w:line="240" w:lineRule="auto"/>
        <w:ind w:left="720"/>
        <w:rPr>
          <w:rFonts w:ascii="Times New Roman" w:hAnsi="Times New Roman" w:cs="Times New Roman"/>
          <w:sz w:val="24"/>
          <w:szCs w:val="24"/>
        </w:rPr>
      </w:pPr>
      <w:r w:rsidRPr="00D81F4F">
        <w:rPr>
          <w:rFonts w:ascii="Times New Roman" w:hAnsi="Times New Roman" w:cs="Times New Roman"/>
          <w:sz w:val="24"/>
          <w:szCs w:val="24"/>
        </w:rPr>
        <w:lastRenderedPageBreak/>
        <w:t xml:space="preserve">Though staff recognizes the company’s system limitation, staff encourages the company, particularly its DSM group, to explore ways for better record keeping and linkage. Ideally, all details of a residential rebate, from its creation to redemption (item description, customer information, approval status, payment method and rebate redemption), should be stored in one system and readily available upon inquiry. </w:t>
      </w:r>
    </w:p>
    <w:p w14:paraId="49BBA04C" w14:textId="77777777" w:rsidR="00D81F4F" w:rsidRPr="00D81F4F" w:rsidRDefault="00D81F4F" w:rsidP="00D81F4F">
      <w:pPr>
        <w:pStyle w:val="ListParagraph"/>
        <w:rPr>
          <w:rFonts w:ascii="Times New Roman" w:hAnsi="Times New Roman" w:cs="Times New Roman"/>
          <w:sz w:val="24"/>
          <w:szCs w:val="24"/>
        </w:rPr>
      </w:pPr>
    </w:p>
    <w:p w14:paraId="49BBA04D" w14:textId="77777777" w:rsidR="00D81F4F" w:rsidRPr="00D81F4F" w:rsidRDefault="00D81F4F" w:rsidP="00D81F4F">
      <w:pPr>
        <w:pStyle w:val="ListParagraph"/>
        <w:numPr>
          <w:ilvl w:val="0"/>
          <w:numId w:val="2"/>
        </w:numPr>
        <w:rPr>
          <w:rFonts w:ascii="Times New Roman" w:hAnsi="Times New Roman" w:cs="Times New Roman"/>
          <w:sz w:val="24"/>
          <w:szCs w:val="24"/>
        </w:rPr>
      </w:pPr>
      <w:r w:rsidRPr="00D81F4F">
        <w:rPr>
          <w:rFonts w:ascii="Times New Roman" w:hAnsi="Times New Roman" w:cs="Times New Roman"/>
          <w:sz w:val="24"/>
          <w:szCs w:val="24"/>
        </w:rPr>
        <w:t>Avista Boiler Project</w:t>
      </w:r>
    </w:p>
    <w:p w14:paraId="49BBA04E" w14:textId="77777777" w:rsidR="00D81F4F" w:rsidRPr="00D81F4F" w:rsidRDefault="00D81F4F" w:rsidP="00D81F4F">
      <w:pPr>
        <w:pStyle w:val="ListParagraph"/>
        <w:rPr>
          <w:rFonts w:ascii="Times New Roman" w:hAnsi="Times New Roman" w:cs="Times New Roman"/>
          <w:sz w:val="24"/>
          <w:szCs w:val="24"/>
        </w:rPr>
      </w:pPr>
    </w:p>
    <w:p w14:paraId="49BBA04F" w14:textId="77777777" w:rsidR="00D81F4F" w:rsidRPr="00D81F4F" w:rsidRDefault="00D81F4F" w:rsidP="00D81F4F">
      <w:pPr>
        <w:pStyle w:val="ListParagraph"/>
        <w:rPr>
          <w:rFonts w:ascii="Times New Roman" w:hAnsi="Times New Roman" w:cs="Times New Roman"/>
          <w:sz w:val="24"/>
          <w:szCs w:val="24"/>
        </w:rPr>
      </w:pPr>
      <w:r w:rsidRPr="00D81F4F">
        <w:rPr>
          <w:rFonts w:ascii="Times New Roman" w:hAnsi="Times New Roman" w:cs="Times New Roman"/>
          <w:sz w:val="24"/>
          <w:szCs w:val="24"/>
        </w:rPr>
        <w:t xml:space="preserve">In 2015, Avista provided a $26,156 site-specific natural gas incentive for its own boiler replacement. The project has a simple payback period of 53.1 years after incentives, whereas the estimated measurement life for the boiler is 16 years. This is similar to staff’s finding of one non-residential site-specific incentive offered in 2014, a 20-year life project with a 44.5-year payback period. Staff believes such offers are pure free riders in the DSM program. They do very little to contribute to active conservation efforts and are not a good use of rate payers’ dollars. Effective January 7, 2016, Avista revised its natural gas DSM tariff language to limit incentives to projects with a simple payback period of 15 years or less. Staff believes the program change, albeit quite late, will address this issue going forward. </w:t>
      </w:r>
    </w:p>
    <w:p w14:paraId="49BBA050" w14:textId="77777777" w:rsidR="00D81F4F" w:rsidRPr="00D81F4F" w:rsidRDefault="00D81F4F" w:rsidP="00D81F4F">
      <w:pPr>
        <w:pStyle w:val="ListParagraph"/>
        <w:rPr>
          <w:rFonts w:ascii="Times New Roman" w:hAnsi="Times New Roman" w:cs="Times New Roman"/>
          <w:sz w:val="24"/>
          <w:szCs w:val="24"/>
        </w:rPr>
      </w:pPr>
    </w:p>
    <w:p w14:paraId="49BBA051" w14:textId="77777777" w:rsidR="00D81F4F" w:rsidRPr="00D81F4F" w:rsidRDefault="00D81F4F" w:rsidP="00D81F4F">
      <w:pPr>
        <w:pStyle w:val="ListParagraph"/>
        <w:numPr>
          <w:ilvl w:val="0"/>
          <w:numId w:val="2"/>
        </w:numPr>
        <w:rPr>
          <w:rFonts w:ascii="Times New Roman" w:hAnsi="Times New Roman" w:cs="Times New Roman"/>
          <w:sz w:val="24"/>
          <w:szCs w:val="24"/>
        </w:rPr>
      </w:pPr>
      <w:r w:rsidRPr="00D81F4F">
        <w:rPr>
          <w:rFonts w:ascii="Times New Roman" w:hAnsi="Times New Roman" w:cs="Times New Roman"/>
          <w:sz w:val="24"/>
          <w:szCs w:val="24"/>
        </w:rPr>
        <w:t xml:space="preserve">Variable Frequency Drives </w:t>
      </w:r>
    </w:p>
    <w:p w14:paraId="49BBA052" w14:textId="77777777" w:rsidR="00D81F4F" w:rsidRPr="00D81F4F" w:rsidRDefault="00D81F4F" w:rsidP="00D81F4F">
      <w:pPr>
        <w:spacing w:after="0" w:line="240" w:lineRule="auto"/>
        <w:ind w:left="720"/>
        <w:rPr>
          <w:rFonts w:ascii="Times New Roman" w:hAnsi="Times New Roman" w:cs="Times New Roman"/>
          <w:sz w:val="24"/>
          <w:szCs w:val="24"/>
        </w:rPr>
      </w:pPr>
    </w:p>
    <w:p w14:paraId="49BBA053" w14:textId="77777777" w:rsidR="00D81F4F" w:rsidRPr="00D81F4F" w:rsidRDefault="00D81F4F" w:rsidP="00D81F4F">
      <w:pPr>
        <w:spacing w:after="0" w:line="240" w:lineRule="auto"/>
        <w:ind w:left="720"/>
        <w:rPr>
          <w:rFonts w:ascii="Times New Roman" w:hAnsi="Times New Roman" w:cs="Times New Roman"/>
          <w:sz w:val="24"/>
          <w:szCs w:val="24"/>
        </w:rPr>
      </w:pPr>
      <w:r w:rsidRPr="00D81F4F">
        <w:rPr>
          <w:rFonts w:ascii="Times New Roman" w:hAnsi="Times New Roman" w:cs="Times New Roman"/>
          <w:sz w:val="24"/>
          <w:szCs w:val="24"/>
        </w:rPr>
        <w:t>Avista’s third-party DSM impact evaluation reveals a problem related to HVAC variable frequency drives (VFD):</w:t>
      </w:r>
      <w:r w:rsidRPr="00D81F4F">
        <w:rPr>
          <w:rStyle w:val="FootnoteReference"/>
          <w:rFonts w:ascii="Times New Roman" w:hAnsi="Times New Roman" w:cs="Times New Roman"/>
          <w:sz w:val="24"/>
          <w:szCs w:val="24"/>
        </w:rPr>
        <w:footnoteReference w:id="1"/>
      </w:r>
      <w:r w:rsidRPr="00D81F4F">
        <w:rPr>
          <w:rFonts w:ascii="Times New Roman" w:hAnsi="Times New Roman" w:cs="Times New Roman"/>
          <w:sz w:val="24"/>
          <w:szCs w:val="24"/>
        </w:rPr>
        <w:t xml:space="preserve"> </w:t>
      </w:r>
    </w:p>
    <w:p w14:paraId="49BBA054" w14:textId="77777777" w:rsidR="00D81F4F" w:rsidRPr="00D81F4F" w:rsidRDefault="00D81F4F" w:rsidP="00D81F4F">
      <w:pPr>
        <w:spacing w:after="0" w:line="240" w:lineRule="auto"/>
        <w:ind w:left="720"/>
        <w:rPr>
          <w:rFonts w:ascii="Times New Roman" w:hAnsi="Times New Roman" w:cs="Times New Roman"/>
          <w:sz w:val="24"/>
          <w:szCs w:val="24"/>
        </w:rPr>
      </w:pPr>
    </w:p>
    <w:p w14:paraId="49BBA055" w14:textId="77777777" w:rsidR="00D81F4F" w:rsidRPr="00A91A30" w:rsidRDefault="00D81F4F" w:rsidP="00D81F4F">
      <w:pPr>
        <w:autoSpaceDE w:val="0"/>
        <w:autoSpaceDN w:val="0"/>
        <w:adjustRightInd w:val="0"/>
        <w:spacing w:after="0" w:line="240" w:lineRule="auto"/>
        <w:ind w:left="1440"/>
        <w:rPr>
          <w:rFonts w:ascii="Times New Roman" w:hAnsi="Times New Roman" w:cs="Times New Roman"/>
        </w:rPr>
      </w:pPr>
      <w:r w:rsidRPr="00A91A30">
        <w:rPr>
          <w:rFonts w:ascii="Times New Roman" w:hAnsi="Times New Roman" w:cs="Times New Roman"/>
        </w:rPr>
        <w:t>The evaluation sample included four prescriptive HVAC Motor Control projects. Of these, a project for two VFDs was found to have a 50% project-level realization rate because the two VFDs were found to be serving a pair of motors operating in “Duty / Standby” configuration where only one of the two operates at a time. A second project for a single VFD was found to be installed in a non-typical VFD application (workshop dust collection system) and only being used as a soft-starter, with the motor continuing to operate at 100% speed during occupied hours and then switched off at night. Thus, this project was found to have zero energy savings.</w:t>
      </w:r>
    </w:p>
    <w:p w14:paraId="49BBA056" w14:textId="77777777" w:rsidR="00D81F4F" w:rsidRPr="00A91A30" w:rsidRDefault="00D81F4F" w:rsidP="00D81F4F">
      <w:pPr>
        <w:spacing w:after="0" w:line="240" w:lineRule="auto"/>
        <w:ind w:left="2160"/>
        <w:rPr>
          <w:rFonts w:ascii="Times New Roman" w:hAnsi="Times New Roman" w:cs="Times New Roman"/>
        </w:rPr>
      </w:pPr>
      <w:r w:rsidRPr="00A91A30">
        <w:rPr>
          <w:rFonts w:ascii="Times New Roman" w:hAnsi="Times New Roman" w:cs="Times New Roman"/>
        </w:rPr>
        <w:t>…</w:t>
      </w:r>
    </w:p>
    <w:p w14:paraId="49BBA057" w14:textId="77777777" w:rsidR="00D81F4F" w:rsidRPr="003F2156" w:rsidRDefault="00D81F4F" w:rsidP="00D81F4F">
      <w:pPr>
        <w:autoSpaceDE w:val="0"/>
        <w:autoSpaceDN w:val="0"/>
        <w:adjustRightInd w:val="0"/>
        <w:spacing w:after="0" w:line="240" w:lineRule="auto"/>
        <w:ind w:left="1440"/>
        <w:rPr>
          <w:rFonts w:ascii="Times New Roman" w:hAnsi="Times New Roman" w:cs="Times New Roman"/>
          <w:sz w:val="24"/>
          <w:szCs w:val="24"/>
        </w:rPr>
      </w:pPr>
      <w:r w:rsidRPr="00A91A30">
        <w:rPr>
          <w:rFonts w:ascii="Times New Roman" w:hAnsi="Times New Roman" w:cs="Times New Roman"/>
        </w:rPr>
        <w:t>To improve the realization rate, Avista should consider adding additional review processes to the program to check motor eligibility more stringently. More emphasis should be placed on verifying each motor’s application, confirming the VFD is controlling the speed of the motor in a variable manner relative to load conditions, and checking that VFDs are not serving standby motors.</w:t>
      </w:r>
    </w:p>
    <w:p w14:paraId="49BBA058" w14:textId="77777777" w:rsidR="00D81F4F" w:rsidRPr="00D81F4F" w:rsidRDefault="00D81F4F" w:rsidP="00D81F4F">
      <w:pPr>
        <w:spacing w:after="0" w:line="240" w:lineRule="auto"/>
        <w:rPr>
          <w:rFonts w:ascii="Times New Roman" w:hAnsi="Times New Roman" w:cs="Times New Roman"/>
          <w:sz w:val="24"/>
          <w:szCs w:val="24"/>
        </w:rPr>
      </w:pPr>
    </w:p>
    <w:p w14:paraId="49BBA059" w14:textId="77777777" w:rsidR="00D81F4F" w:rsidRPr="00D81F4F" w:rsidRDefault="00D81F4F" w:rsidP="00D81F4F">
      <w:pPr>
        <w:spacing w:after="0" w:line="240" w:lineRule="auto"/>
        <w:ind w:left="720"/>
        <w:rPr>
          <w:rFonts w:ascii="Times New Roman" w:hAnsi="Times New Roman" w:cs="Times New Roman"/>
          <w:sz w:val="24"/>
          <w:szCs w:val="24"/>
        </w:rPr>
      </w:pPr>
      <w:r w:rsidRPr="00D81F4F">
        <w:rPr>
          <w:rFonts w:ascii="Times New Roman" w:hAnsi="Times New Roman" w:cs="Times New Roman"/>
          <w:sz w:val="24"/>
          <w:szCs w:val="24"/>
        </w:rPr>
        <w:t xml:space="preserve">Company DSM staff promised process changes after the evaluator’s recommendation. For the prescriptive VFDs, the company will: </w:t>
      </w:r>
    </w:p>
    <w:p w14:paraId="49BBA05A" w14:textId="77777777" w:rsidR="00D81F4F" w:rsidRPr="00D81F4F" w:rsidRDefault="00D81F4F" w:rsidP="00D81F4F">
      <w:pPr>
        <w:spacing w:after="0" w:line="240" w:lineRule="auto"/>
        <w:ind w:left="360"/>
        <w:rPr>
          <w:rFonts w:ascii="Times New Roman" w:hAnsi="Times New Roman" w:cs="Times New Roman"/>
          <w:sz w:val="24"/>
          <w:szCs w:val="24"/>
        </w:rPr>
      </w:pPr>
      <w:r w:rsidRPr="00D81F4F">
        <w:rPr>
          <w:rFonts w:ascii="Times New Roman" w:hAnsi="Times New Roman" w:cs="Times New Roman"/>
          <w:sz w:val="24"/>
          <w:szCs w:val="24"/>
        </w:rPr>
        <w:tab/>
        <w:t xml:space="preserve"> </w:t>
      </w:r>
    </w:p>
    <w:p w14:paraId="49BBA05B" w14:textId="77777777" w:rsidR="00D81F4F" w:rsidRPr="00D81F4F" w:rsidRDefault="00D81F4F" w:rsidP="00D81F4F">
      <w:pPr>
        <w:pStyle w:val="ListParagraph"/>
        <w:numPr>
          <w:ilvl w:val="0"/>
          <w:numId w:val="3"/>
        </w:numPr>
        <w:ind w:left="1080"/>
        <w:contextualSpacing w:val="0"/>
        <w:rPr>
          <w:rFonts w:ascii="Times New Roman" w:hAnsi="Times New Roman" w:cs="Times New Roman"/>
          <w:sz w:val="24"/>
          <w:szCs w:val="24"/>
        </w:rPr>
      </w:pPr>
      <w:r w:rsidRPr="00D81F4F">
        <w:rPr>
          <w:rFonts w:ascii="Times New Roman" w:hAnsi="Times New Roman" w:cs="Times New Roman"/>
          <w:sz w:val="24"/>
          <w:szCs w:val="24"/>
        </w:rPr>
        <w:t>Change the form to add two more check boxes:</w:t>
      </w:r>
    </w:p>
    <w:p w14:paraId="49BBA05C" w14:textId="77777777" w:rsidR="00D81F4F" w:rsidRPr="00D81F4F" w:rsidRDefault="00D81F4F" w:rsidP="00D81F4F">
      <w:pPr>
        <w:pStyle w:val="ListParagraph"/>
        <w:numPr>
          <w:ilvl w:val="1"/>
          <w:numId w:val="3"/>
        </w:numPr>
        <w:ind w:left="1800"/>
        <w:contextualSpacing w:val="0"/>
        <w:rPr>
          <w:rFonts w:ascii="Times New Roman" w:hAnsi="Times New Roman" w:cs="Times New Roman"/>
          <w:sz w:val="24"/>
          <w:szCs w:val="24"/>
        </w:rPr>
      </w:pPr>
      <w:r w:rsidRPr="00D81F4F">
        <w:rPr>
          <w:rFonts w:ascii="Times New Roman" w:hAnsi="Times New Roman" w:cs="Times New Roman"/>
          <w:sz w:val="24"/>
          <w:szCs w:val="24"/>
        </w:rPr>
        <w:t xml:space="preserve">Verbiage to indicate the VFD is for control and not for a soft-start. </w:t>
      </w:r>
    </w:p>
    <w:p w14:paraId="49BBA05D" w14:textId="77777777" w:rsidR="00D81F4F" w:rsidRPr="00D81F4F" w:rsidRDefault="00D81F4F" w:rsidP="00D81F4F">
      <w:pPr>
        <w:pStyle w:val="ListParagraph"/>
        <w:numPr>
          <w:ilvl w:val="1"/>
          <w:numId w:val="3"/>
        </w:numPr>
        <w:ind w:left="1800"/>
        <w:contextualSpacing w:val="0"/>
        <w:rPr>
          <w:rFonts w:ascii="Times New Roman" w:hAnsi="Times New Roman" w:cs="Times New Roman"/>
          <w:sz w:val="24"/>
          <w:szCs w:val="24"/>
        </w:rPr>
      </w:pPr>
      <w:r w:rsidRPr="00D81F4F">
        <w:rPr>
          <w:rFonts w:ascii="Times New Roman" w:hAnsi="Times New Roman" w:cs="Times New Roman"/>
          <w:sz w:val="24"/>
          <w:szCs w:val="24"/>
        </w:rPr>
        <w:t xml:space="preserve">Verbiage to indicate no two VFDs are on the same fluid flow system. </w:t>
      </w:r>
    </w:p>
    <w:p w14:paraId="49BBA05E" w14:textId="77777777" w:rsidR="00D81F4F" w:rsidRPr="00D81F4F" w:rsidRDefault="00D81F4F" w:rsidP="00D81F4F">
      <w:pPr>
        <w:pStyle w:val="ListParagraph"/>
        <w:numPr>
          <w:ilvl w:val="0"/>
          <w:numId w:val="3"/>
        </w:numPr>
        <w:ind w:left="1080"/>
        <w:contextualSpacing w:val="0"/>
        <w:rPr>
          <w:rFonts w:ascii="Times New Roman" w:hAnsi="Times New Roman" w:cs="Times New Roman"/>
          <w:sz w:val="24"/>
          <w:szCs w:val="24"/>
        </w:rPr>
      </w:pPr>
      <w:r w:rsidRPr="00D81F4F">
        <w:rPr>
          <w:rFonts w:ascii="Times New Roman" w:hAnsi="Times New Roman" w:cs="Times New Roman"/>
          <w:sz w:val="24"/>
          <w:szCs w:val="24"/>
        </w:rPr>
        <w:t>Educate the account executives and engineers on the controls and uses of VFD’s so they are sure what they see in the field matches the customer’s documentation.</w:t>
      </w:r>
    </w:p>
    <w:p w14:paraId="49BBA05F" w14:textId="77777777" w:rsidR="00D81F4F" w:rsidRPr="00D81F4F" w:rsidRDefault="00D81F4F" w:rsidP="00D81F4F">
      <w:pPr>
        <w:pStyle w:val="ListParagraph"/>
        <w:numPr>
          <w:ilvl w:val="0"/>
          <w:numId w:val="3"/>
        </w:numPr>
        <w:ind w:left="1080"/>
        <w:contextualSpacing w:val="0"/>
        <w:rPr>
          <w:rFonts w:ascii="Times New Roman" w:hAnsi="Times New Roman" w:cs="Times New Roman"/>
          <w:sz w:val="24"/>
          <w:szCs w:val="24"/>
        </w:rPr>
      </w:pPr>
      <w:r w:rsidRPr="00D81F4F">
        <w:rPr>
          <w:rFonts w:ascii="Times New Roman" w:hAnsi="Times New Roman" w:cs="Times New Roman"/>
          <w:sz w:val="24"/>
          <w:szCs w:val="24"/>
        </w:rPr>
        <w:t xml:space="preserve">Continue to perform the installation verification checking the above specifications prior to handing out the check. </w:t>
      </w:r>
    </w:p>
    <w:p w14:paraId="49BBA060" w14:textId="77777777" w:rsidR="00D81F4F" w:rsidRPr="00D81F4F" w:rsidRDefault="00D81F4F" w:rsidP="00D81F4F">
      <w:pPr>
        <w:spacing w:after="0" w:line="240" w:lineRule="auto"/>
        <w:ind w:left="720"/>
        <w:rPr>
          <w:rFonts w:ascii="Times New Roman" w:hAnsi="Times New Roman" w:cs="Times New Roman"/>
          <w:sz w:val="24"/>
          <w:szCs w:val="24"/>
        </w:rPr>
      </w:pPr>
    </w:p>
    <w:p w14:paraId="49BBA061" w14:textId="77777777" w:rsidR="00D81F4F" w:rsidRPr="00D81F4F" w:rsidRDefault="00D81F4F" w:rsidP="00D81F4F">
      <w:pPr>
        <w:spacing w:after="0" w:line="240" w:lineRule="auto"/>
        <w:ind w:left="720"/>
        <w:rPr>
          <w:rFonts w:ascii="Times New Roman" w:hAnsi="Times New Roman" w:cs="Times New Roman"/>
          <w:sz w:val="24"/>
          <w:szCs w:val="24"/>
        </w:rPr>
      </w:pPr>
      <w:r w:rsidRPr="00D81F4F">
        <w:rPr>
          <w:rFonts w:ascii="Times New Roman" w:hAnsi="Times New Roman" w:cs="Times New Roman"/>
          <w:sz w:val="24"/>
          <w:szCs w:val="24"/>
        </w:rPr>
        <w:t xml:space="preserve">Staff believes these future actions will sufficiently prevent similar problems with regard to VFDs. </w:t>
      </w:r>
    </w:p>
    <w:p w14:paraId="49BBA062" w14:textId="77777777" w:rsidR="00D81F4F" w:rsidRPr="00D81F4F" w:rsidRDefault="00D81F4F" w:rsidP="00D81F4F">
      <w:pPr>
        <w:spacing w:after="0" w:line="240" w:lineRule="auto"/>
        <w:ind w:left="360"/>
        <w:rPr>
          <w:rFonts w:ascii="Times New Roman" w:hAnsi="Times New Roman" w:cs="Times New Roman"/>
          <w:sz w:val="24"/>
          <w:szCs w:val="24"/>
        </w:rPr>
      </w:pPr>
      <w:r w:rsidRPr="00D81F4F">
        <w:rPr>
          <w:rFonts w:ascii="Times New Roman" w:hAnsi="Times New Roman" w:cs="Times New Roman"/>
          <w:sz w:val="24"/>
          <w:szCs w:val="24"/>
        </w:rPr>
        <w:tab/>
      </w:r>
      <w:r w:rsidRPr="00D81F4F">
        <w:rPr>
          <w:rFonts w:ascii="Times New Roman" w:hAnsi="Times New Roman" w:cs="Times New Roman"/>
          <w:sz w:val="24"/>
          <w:szCs w:val="24"/>
        </w:rPr>
        <w:tab/>
      </w:r>
    </w:p>
    <w:p w14:paraId="49BBA063" w14:textId="77777777" w:rsidR="00D81F4F" w:rsidRPr="00D81F4F" w:rsidRDefault="00D81F4F" w:rsidP="00D81F4F">
      <w:pPr>
        <w:pStyle w:val="ListParagraph"/>
        <w:numPr>
          <w:ilvl w:val="0"/>
          <w:numId w:val="2"/>
        </w:numPr>
        <w:rPr>
          <w:rFonts w:ascii="Times New Roman" w:hAnsi="Times New Roman" w:cs="Times New Roman"/>
          <w:sz w:val="24"/>
          <w:szCs w:val="24"/>
        </w:rPr>
      </w:pPr>
      <w:r w:rsidRPr="00D81F4F">
        <w:rPr>
          <w:rFonts w:ascii="Times New Roman" w:hAnsi="Times New Roman" w:cs="Times New Roman"/>
          <w:sz w:val="24"/>
          <w:szCs w:val="24"/>
        </w:rPr>
        <w:t xml:space="preserve">Electric System Quote for All Natural Gas New Apartment Complex  </w:t>
      </w:r>
    </w:p>
    <w:p w14:paraId="49BBA064" w14:textId="77777777" w:rsidR="00D81F4F" w:rsidRPr="00D81F4F" w:rsidRDefault="00D81F4F" w:rsidP="00D81F4F">
      <w:pPr>
        <w:spacing w:after="0" w:line="240" w:lineRule="auto"/>
        <w:ind w:left="720"/>
        <w:rPr>
          <w:rFonts w:ascii="Times New Roman" w:hAnsi="Times New Roman" w:cs="Times New Roman"/>
          <w:sz w:val="24"/>
          <w:szCs w:val="24"/>
        </w:rPr>
      </w:pPr>
    </w:p>
    <w:p w14:paraId="49BBA065" w14:textId="77777777" w:rsidR="00D81F4F" w:rsidRPr="00D81F4F" w:rsidRDefault="00D81F4F" w:rsidP="00D81F4F">
      <w:pPr>
        <w:spacing w:after="0" w:line="240" w:lineRule="auto"/>
        <w:ind w:left="720"/>
        <w:rPr>
          <w:rFonts w:ascii="Times New Roman" w:hAnsi="Times New Roman" w:cs="Times New Roman"/>
          <w:sz w:val="24"/>
          <w:szCs w:val="24"/>
        </w:rPr>
      </w:pPr>
      <w:r w:rsidRPr="00D81F4F">
        <w:rPr>
          <w:rFonts w:ascii="Times New Roman" w:hAnsi="Times New Roman" w:cs="Times New Roman"/>
          <w:sz w:val="24"/>
          <w:szCs w:val="24"/>
        </w:rPr>
        <w:t>Under its Market Transformation program, Avista offered an electric DSM incentive of $52,500 to a newly constructed apartment complex for installing a system using all natural gas. In determining the incremental cost of the measure,</w:t>
      </w:r>
      <w:r w:rsidRPr="00D81F4F">
        <w:rPr>
          <w:rStyle w:val="FootnoteReference"/>
          <w:rFonts w:ascii="Times New Roman" w:hAnsi="Times New Roman" w:cs="Times New Roman"/>
          <w:sz w:val="24"/>
          <w:szCs w:val="24"/>
        </w:rPr>
        <w:footnoteReference w:id="2"/>
      </w:r>
      <w:r w:rsidRPr="00D81F4F">
        <w:rPr>
          <w:rFonts w:ascii="Times New Roman" w:hAnsi="Times New Roman" w:cs="Times New Roman"/>
          <w:sz w:val="24"/>
          <w:szCs w:val="24"/>
        </w:rPr>
        <w:t xml:space="preserve"> Avista compares the cost of installing a natural gas system to an electric system. The company obtained a quote for an electric system for $4,337 that consists of only prices for wall cadets. Staff believes the estimate is low because it does not include the cost for range vent, dryer vent and incremental cost of electric wiring. However, staff recognizes that even if all these additional items are included, the initial cost of an electric system is still much less than that of a natural gas system, which is invoiced at $77,123. Because the incentive payment is capped at $3,500 per apartment unit, a fine-tuned electric quote will not likely change the incentive amount. In the future, staff would like the company to pay more attention to detail in calculating incremental cost and make sure the quote for the alternative system/product is comparable in scope. </w:t>
      </w:r>
    </w:p>
    <w:p w14:paraId="49BBA066" w14:textId="77777777" w:rsidR="00D81F4F" w:rsidRPr="00D81F4F" w:rsidRDefault="00D81F4F" w:rsidP="00D81F4F">
      <w:pPr>
        <w:spacing w:after="0" w:line="240" w:lineRule="auto"/>
        <w:ind w:left="360"/>
        <w:rPr>
          <w:rFonts w:ascii="Times New Roman" w:hAnsi="Times New Roman" w:cs="Times New Roman"/>
          <w:sz w:val="24"/>
          <w:szCs w:val="24"/>
        </w:rPr>
      </w:pPr>
    </w:p>
    <w:p w14:paraId="49BBA067" w14:textId="69647CC3" w:rsidR="00D81F4F" w:rsidRPr="00D81F4F" w:rsidRDefault="003F2156" w:rsidP="00D81F4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Failure to Update</w:t>
      </w:r>
      <w:r w:rsidR="00D81F4F" w:rsidRPr="00D81F4F">
        <w:rPr>
          <w:rFonts w:ascii="Times New Roman" w:hAnsi="Times New Roman" w:cs="Times New Roman"/>
          <w:sz w:val="24"/>
          <w:szCs w:val="24"/>
        </w:rPr>
        <w:t xml:space="preserve"> Technical Review Top Sheet</w:t>
      </w:r>
    </w:p>
    <w:p w14:paraId="49BBA068" w14:textId="77777777" w:rsidR="00D81F4F" w:rsidRPr="00D81F4F" w:rsidRDefault="00D81F4F" w:rsidP="00D81F4F">
      <w:pPr>
        <w:spacing w:after="0" w:line="240" w:lineRule="auto"/>
        <w:ind w:left="720"/>
        <w:rPr>
          <w:rFonts w:ascii="Times New Roman" w:hAnsi="Times New Roman" w:cs="Times New Roman"/>
          <w:sz w:val="24"/>
          <w:szCs w:val="24"/>
        </w:rPr>
      </w:pPr>
    </w:p>
    <w:p w14:paraId="49BBA069" w14:textId="77777777" w:rsidR="00D81F4F" w:rsidRPr="00D81F4F" w:rsidRDefault="00D81F4F" w:rsidP="00D81F4F">
      <w:pPr>
        <w:spacing w:after="0" w:line="240" w:lineRule="auto"/>
        <w:ind w:left="720"/>
        <w:rPr>
          <w:rFonts w:ascii="Times New Roman" w:hAnsi="Times New Roman" w:cs="Times New Roman"/>
          <w:sz w:val="24"/>
          <w:szCs w:val="24"/>
        </w:rPr>
      </w:pPr>
      <w:r w:rsidRPr="00D81F4F">
        <w:rPr>
          <w:rFonts w:ascii="Times New Roman" w:hAnsi="Times New Roman" w:cs="Times New Roman"/>
          <w:sz w:val="24"/>
          <w:szCs w:val="24"/>
        </w:rPr>
        <w:t xml:space="preserve">For site-specific non-residential DSM projects, Avista’s protocol requires its DSM engineers to fill out a Technical Review Top Sheet. It is a project check list to ensure all elements are covered in an engineer review. Staff found the top sheet was incomplete for one project. The company explained that the project went through three iterations. The first iteration did not have an incentive associated, so only the first page of the top sheet was required. The customer later updated the cost information. The engineer reviewed and approved the incentive, but did not update the top sheet. Staff believes the company engineers should endeavor to follow Avista’s internal review protocol and update the top sheet as project information changes. Otherwise, the top sheet will not serve its intended purpose. </w:t>
      </w:r>
    </w:p>
    <w:p w14:paraId="49BBA06A" w14:textId="77777777" w:rsidR="00D81F4F" w:rsidRPr="00D81F4F" w:rsidRDefault="00D81F4F" w:rsidP="00D81F4F">
      <w:pPr>
        <w:spacing w:after="0" w:line="240" w:lineRule="auto"/>
        <w:ind w:left="360"/>
        <w:rPr>
          <w:rFonts w:ascii="Times New Roman" w:hAnsi="Times New Roman" w:cs="Times New Roman"/>
          <w:sz w:val="24"/>
          <w:szCs w:val="24"/>
        </w:rPr>
      </w:pPr>
    </w:p>
    <w:p w14:paraId="49BBA06D" w14:textId="3BBAA86F" w:rsidR="00D81F4F" w:rsidRPr="00D81F4F" w:rsidRDefault="00D81F4F" w:rsidP="00D81F4F">
      <w:pPr>
        <w:spacing w:after="0" w:line="240" w:lineRule="auto"/>
        <w:rPr>
          <w:rFonts w:ascii="Times New Roman" w:hAnsi="Times New Roman" w:cs="Times New Roman"/>
        </w:rPr>
      </w:pPr>
      <w:r w:rsidRPr="00D81F4F">
        <w:rPr>
          <w:rFonts w:ascii="Times New Roman" w:hAnsi="Times New Roman" w:cs="Times New Roman"/>
          <w:sz w:val="24"/>
          <w:szCs w:val="24"/>
        </w:rPr>
        <w:t xml:space="preserve">Overall, staff’s audit uncovered no serious issues with the company’s DSM expenditures. Staff believes that none of these issues warrant a disallowance of expenditures presented for recovery in this filing. </w:t>
      </w:r>
    </w:p>
    <w:sectPr w:rsidR="00D81F4F" w:rsidRPr="00D81F4F" w:rsidSect="00FA2797">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BA070" w14:textId="77777777" w:rsidR="005E2276" w:rsidRDefault="005E2276" w:rsidP="00D81F4F">
      <w:pPr>
        <w:spacing w:after="0" w:line="240" w:lineRule="auto"/>
      </w:pPr>
      <w:r>
        <w:separator/>
      </w:r>
    </w:p>
  </w:endnote>
  <w:endnote w:type="continuationSeparator" w:id="0">
    <w:p w14:paraId="49BBA071" w14:textId="77777777" w:rsidR="005E2276" w:rsidRDefault="005E2276" w:rsidP="00D81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BA06E" w14:textId="77777777" w:rsidR="005E2276" w:rsidRDefault="005E2276" w:rsidP="00D81F4F">
      <w:pPr>
        <w:spacing w:after="0" w:line="240" w:lineRule="auto"/>
      </w:pPr>
      <w:r>
        <w:separator/>
      </w:r>
    </w:p>
  </w:footnote>
  <w:footnote w:type="continuationSeparator" w:id="0">
    <w:p w14:paraId="49BBA06F" w14:textId="77777777" w:rsidR="005E2276" w:rsidRDefault="005E2276" w:rsidP="00D81F4F">
      <w:pPr>
        <w:spacing w:after="0" w:line="240" w:lineRule="auto"/>
      </w:pPr>
      <w:r>
        <w:continuationSeparator/>
      </w:r>
    </w:p>
  </w:footnote>
  <w:footnote w:id="1">
    <w:p w14:paraId="49BBA075" w14:textId="77777777" w:rsidR="00D81F4F" w:rsidRPr="005F5880" w:rsidRDefault="00D81F4F" w:rsidP="00D81F4F">
      <w:pPr>
        <w:pStyle w:val="FootnoteText"/>
        <w:rPr>
          <w:rFonts w:ascii="Times New Roman" w:hAnsi="Times New Roman" w:cs="Times New Roman"/>
        </w:rPr>
      </w:pPr>
      <w:r w:rsidRPr="005F5880">
        <w:rPr>
          <w:rStyle w:val="FootnoteReference"/>
          <w:rFonts w:ascii="Times New Roman" w:hAnsi="Times New Roman" w:cs="Times New Roman"/>
        </w:rPr>
        <w:footnoteRef/>
      </w:r>
      <w:r w:rsidRPr="005F5880">
        <w:rPr>
          <w:rFonts w:ascii="Times New Roman" w:hAnsi="Times New Roman" w:cs="Times New Roman"/>
        </w:rPr>
        <w:t xml:space="preserve"> Docket UE-132045, 2015 </w:t>
      </w:r>
      <w:r>
        <w:rPr>
          <w:rFonts w:ascii="Times New Roman" w:hAnsi="Times New Roman" w:cs="Times New Roman"/>
        </w:rPr>
        <w:t xml:space="preserve">Annual </w:t>
      </w:r>
      <w:r w:rsidRPr="005F5880">
        <w:rPr>
          <w:rFonts w:ascii="Times New Roman" w:hAnsi="Times New Roman" w:cs="Times New Roman"/>
        </w:rPr>
        <w:t xml:space="preserve">Conservation Report, Appendix B Impact Evaluation of Washington Electric 2014-2015 Energy Efficiency Programs (filed June 1, 2016), p.58. </w:t>
      </w:r>
    </w:p>
  </w:footnote>
  <w:footnote w:id="2">
    <w:p w14:paraId="49BBA076" w14:textId="77777777" w:rsidR="00D81F4F" w:rsidRPr="00E154BB" w:rsidRDefault="00D81F4F" w:rsidP="00D81F4F">
      <w:pPr>
        <w:pStyle w:val="FootnoteText"/>
        <w:rPr>
          <w:rFonts w:ascii="Times New Roman" w:hAnsi="Times New Roman" w:cs="Times New Roman"/>
        </w:rPr>
      </w:pPr>
      <w:r w:rsidRPr="00E154BB">
        <w:rPr>
          <w:rStyle w:val="FootnoteReference"/>
          <w:rFonts w:ascii="Times New Roman" w:hAnsi="Times New Roman" w:cs="Times New Roman"/>
        </w:rPr>
        <w:footnoteRef/>
      </w:r>
      <w:r w:rsidRPr="00E154BB">
        <w:rPr>
          <w:rFonts w:ascii="Times New Roman" w:hAnsi="Times New Roman" w:cs="Times New Roman"/>
        </w:rPr>
        <w:t xml:space="preserve"> Incremental cost is the basis to calculate simple payback period, which is a criterion whether a project can receive DSM incentives.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BA072" w14:textId="77777777" w:rsidR="00D81F4F" w:rsidRPr="005E0D8D" w:rsidRDefault="00D81F4F" w:rsidP="00D81F4F">
    <w:pPr>
      <w:spacing w:after="0" w:line="240" w:lineRule="auto"/>
      <w:rPr>
        <w:rFonts w:ascii="Times New Roman" w:hAnsi="Times New Roman" w:cs="Times New Roman"/>
        <w:sz w:val="20"/>
        <w:szCs w:val="20"/>
      </w:rPr>
    </w:pPr>
    <w:r>
      <w:rPr>
        <w:rFonts w:ascii="Times New Roman" w:hAnsi="Times New Roman" w:cs="Times New Roman"/>
        <w:sz w:val="20"/>
        <w:szCs w:val="20"/>
      </w:rPr>
      <w:t>UE-160756</w:t>
    </w:r>
    <w:r w:rsidRPr="005E0D8D">
      <w:rPr>
        <w:rFonts w:ascii="Times New Roman" w:hAnsi="Times New Roman" w:cs="Times New Roman"/>
        <w:sz w:val="20"/>
        <w:szCs w:val="20"/>
      </w:rPr>
      <w:t xml:space="preserve"> and UG-</w:t>
    </w:r>
    <w:r>
      <w:rPr>
        <w:rFonts w:ascii="Times New Roman" w:hAnsi="Times New Roman" w:cs="Times New Roman"/>
        <w:sz w:val="20"/>
        <w:szCs w:val="20"/>
      </w:rPr>
      <w:t>160758</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Attachment</w:t>
    </w:r>
  </w:p>
  <w:p w14:paraId="49BBA073" w14:textId="77777777" w:rsidR="00D81F4F" w:rsidRPr="005E0D8D" w:rsidRDefault="00D81F4F" w:rsidP="00D81F4F">
    <w:pPr>
      <w:tabs>
        <w:tab w:val="left" w:pos="5736"/>
      </w:tabs>
      <w:spacing w:after="0" w:line="240" w:lineRule="auto"/>
      <w:rPr>
        <w:rFonts w:ascii="Times New Roman" w:hAnsi="Times New Roman" w:cs="Times New Roman"/>
        <w:sz w:val="20"/>
        <w:szCs w:val="20"/>
      </w:rPr>
    </w:pPr>
    <w:r>
      <w:rPr>
        <w:rFonts w:ascii="Times New Roman" w:hAnsi="Times New Roman" w:cs="Times New Roman"/>
        <w:sz w:val="20"/>
        <w:szCs w:val="20"/>
      </w:rPr>
      <w:t>July 21, 2016</w:t>
    </w:r>
    <w:r>
      <w:rPr>
        <w:rFonts w:ascii="Times New Roman" w:hAnsi="Times New Roman" w:cs="Times New Roman"/>
        <w:sz w:val="20"/>
        <w:szCs w:val="20"/>
      </w:rPr>
      <w:tab/>
    </w:r>
  </w:p>
  <w:p w14:paraId="49BBA074" w14:textId="77777777" w:rsidR="00D81F4F" w:rsidRDefault="00D81F4F" w:rsidP="00D81F4F">
    <w:pPr>
      <w:spacing w:after="0" w:line="240" w:lineRule="auto"/>
      <w:rPr>
        <w:rFonts w:ascii="Times New Roman" w:hAnsi="Times New Roman" w:cs="Times New Roman"/>
        <w:sz w:val="20"/>
        <w:szCs w:val="20"/>
      </w:rPr>
    </w:pPr>
    <w:r w:rsidRPr="005E0D8D">
      <w:rPr>
        <w:rFonts w:ascii="Times New Roman" w:hAnsi="Times New Roman" w:cs="Times New Roman"/>
        <w:sz w:val="20"/>
        <w:szCs w:val="20"/>
      </w:rPr>
      <w:t xml:space="preserve">Page </w:t>
    </w:r>
    <w:r w:rsidRPr="005E0D8D">
      <w:rPr>
        <w:rFonts w:ascii="Times New Roman" w:hAnsi="Times New Roman" w:cs="Times New Roman"/>
        <w:sz w:val="20"/>
        <w:szCs w:val="20"/>
      </w:rPr>
      <w:fldChar w:fldCharType="begin"/>
    </w:r>
    <w:r w:rsidRPr="005E0D8D">
      <w:rPr>
        <w:rFonts w:ascii="Times New Roman" w:hAnsi="Times New Roman" w:cs="Times New Roman"/>
        <w:sz w:val="20"/>
        <w:szCs w:val="20"/>
      </w:rPr>
      <w:instrText xml:space="preserve">PAGE </w:instrText>
    </w:r>
    <w:r w:rsidRPr="005E0D8D">
      <w:rPr>
        <w:rFonts w:ascii="Times New Roman" w:hAnsi="Times New Roman" w:cs="Times New Roman"/>
        <w:sz w:val="20"/>
        <w:szCs w:val="20"/>
      </w:rPr>
      <w:fldChar w:fldCharType="separate"/>
    </w:r>
    <w:r w:rsidR="00427530">
      <w:rPr>
        <w:rFonts w:ascii="Times New Roman" w:hAnsi="Times New Roman" w:cs="Times New Roman"/>
        <w:noProof/>
        <w:sz w:val="20"/>
        <w:szCs w:val="20"/>
      </w:rPr>
      <w:t>2</w:t>
    </w:r>
    <w:r w:rsidRPr="005E0D8D">
      <w:rPr>
        <w:rFonts w:ascii="Times New Roman" w:hAnsi="Times New Roman" w:cs="Times New Roman"/>
        <w:sz w:val="20"/>
        <w:szCs w:val="20"/>
      </w:rPr>
      <w:fldChar w:fldCharType="end"/>
    </w:r>
  </w:p>
  <w:p w14:paraId="704F3D51" w14:textId="77777777" w:rsidR="00FA2797" w:rsidRDefault="00FA2797" w:rsidP="00D81F4F">
    <w:pPr>
      <w:spacing w:after="0" w:line="240" w:lineRule="auto"/>
      <w:rPr>
        <w:rFonts w:ascii="Times New Roman" w:hAnsi="Times New Roman" w:cs="Times New Roman"/>
        <w:sz w:val="20"/>
        <w:szCs w:val="20"/>
      </w:rPr>
    </w:pPr>
  </w:p>
  <w:p w14:paraId="2AF02FDB" w14:textId="77777777" w:rsidR="00FA2797" w:rsidRPr="00D81F4F" w:rsidRDefault="00FA2797" w:rsidP="00D81F4F">
    <w:pPr>
      <w:spacing w:after="0" w:line="240" w:lineRule="auto"/>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5252B"/>
    <w:multiLevelType w:val="hybridMultilevel"/>
    <w:tmpl w:val="B0E83B3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A7601B"/>
    <w:multiLevelType w:val="hybridMultilevel"/>
    <w:tmpl w:val="75C6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373170"/>
    <w:multiLevelType w:val="hybridMultilevel"/>
    <w:tmpl w:val="3FAE4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F4F"/>
    <w:rsid w:val="00154191"/>
    <w:rsid w:val="003112E5"/>
    <w:rsid w:val="003C58CA"/>
    <w:rsid w:val="003F2156"/>
    <w:rsid w:val="00427530"/>
    <w:rsid w:val="0046222E"/>
    <w:rsid w:val="005E2276"/>
    <w:rsid w:val="00957866"/>
    <w:rsid w:val="00A91A30"/>
    <w:rsid w:val="00C75AD3"/>
    <w:rsid w:val="00D81F4F"/>
    <w:rsid w:val="00E238D6"/>
    <w:rsid w:val="00FA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A035"/>
  <w15:chartTrackingRefBased/>
  <w15:docId w15:val="{E7036659-F381-47AF-9C1E-A877A06C4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F4F"/>
  </w:style>
  <w:style w:type="paragraph" w:styleId="Footer">
    <w:name w:val="footer"/>
    <w:basedOn w:val="Normal"/>
    <w:link w:val="FooterChar"/>
    <w:uiPriority w:val="99"/>
    <w:unhideWhenUsed/>
    <w:rsid w:val="00D81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F4F"/>
  </w:style>
  <w:style w:type="paragraph" w:styleId="FootnoteText">
    <w:name w:val="footnote text"/>
    <w:basedOn w:val="Normal"/>
    <w:link w:val="FootnoteTextChar"/>
    <w:unhideWhenUsed/>
    <w:rsid w:val="00D81F4F"/>
    <w:pPr>
      <w:spacing w:after="0" w:line="240" w:lineRule="auto"/>
    </w:pPr>
    <w:rPr>
      <w:sz w:val="20"/>
      <w:szCs w:val="20"/>
    </w:rPr>
  </w:style>
  <w:style w:type="character" w:customStyle="1" w:styleId="FootnoteTextChar">
    <w:name w:val="Footnote Text Char"/>
    <w:basedOn w:val="DefaultParagraphFont"/>
    <w:link w:val="FootnoteText"/>
    <w:rsid w:val="00D81F4F"/>
    <w:rPr>
      <w:sz w:val="20"/>
      <w:szCs w:val="20"/>
    </w:rPr>
  </w:style>
  <w:style w:type="character" w:styleId="FootnoteReference">
    <w:name w:val="footnote reference"/>
    <w:basedOn w:val="DefaultParagraphFont"/>
    <w:unhideWhenUsed/>
    <w:rsid w:val="00D81F4F"/>
    <w:rPr>
      <w:vertAlign w:val="superscript"/>
    </w:rPr>
  </w:style>
  <w:style w:type="paragraph" w:styleId="ListParagraph">
    <w:name w:val="List Paragraph"/>
    <w:basedOn w:val="Normal"/>
    <w:uiPriority w:val="34"/>
    <w:qFormat/>
    <w:rsid w:val="00D81F4F"/>
    <w:pPr>
      <w:spacing w:after="0" w:line="240" w:lineRule="auto"/>
      <w:ind w:left="720"/>
      <w:contextualSpacing/>
    </w:pPr>
  </w:style>
  <w:style w:type="paragraph" w:styleId="BalloonText">
    <w:name w:val="Balloon Text"/>
    <w:basedOn w:val="Normal"/>
    <w:link w:val="BalloonTextChar"/>
    <w:uiPriority w:val="99"/>
    <w:semiHidden/>
    <w:unhideWhenUsed/>
    <w:rsid w:val="003F2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1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2016-05-31T07:00:00+00:00</OpenedDate>
    <Date1 xmlns="dc463f71-b30c-4ab2-9473-d307f9d35888">2016-07-21T07:00:00+00:00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160758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CC34E3AECA2948B201715B0CA28FBB" ma:contentTypeVersion="104" ma:contentTypeDescription="" ma:contentTypeScope="" ma:versionID="473cc342c801b87cb6bbb5d5badc2a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D63565A-4D45-4D76-8C0E-180E6B675604}"/>
</file>

<file path=customXml/itemProps2.xml><?xml version="1.0" encoding="utf-8"?>
<ds:datastoreItem xmlns:ds="http://schemas.openxmlformats.org/officeDocument/2006/customXml" ds:itemID="{E0286DB3-C468-47E0-981E-3602C9358125}"/>
</file>

<file path=customXml/itemProps3.xml><?xml version="1.0" encoding="utf-8"?>
<ds:datastoreItem xmlns:ds="http://schemas.openxmlformats.org/officeDocument/2006/customXml" ds:itemID="{AFF6EC48-BE8B-4E06-A92D-9CE8FA2DBE98}"/>
</file>

<file path=customXml/itemProps4.xml><?xml version="1.0" encoding="utf-8"?>
<ds:datastoreItem xmlns:ds="http://schemas.openxmlformats.org/officeDocument/2006/customXml" ds:itemID="{36ECF5FD-458C-4042-A223-3654BF1CC58D}"/>
</file>

<file path=customXml/itemProps5.xml><?xml version="1.0" encoding="utf-8"?>
<ds:datastoreItem xmlns:ds="http://schemas.openxmlformats.org/officeDocument/2006/customXml" ds:itemID="{FC11D562-4713-4B0D-BFDB-7FBDD02BC897}"/>
</file>

<file path=docProps/app.xml><?xml version="1.0" encoding="utf-8"?>
<Properties xmlns="http://schemas.openxmlformats.org/officeDocument/2006/extended-properties" xmlns:vt="http://schemas.openxmlformats.org/officeDocument/2006/docPropsVTypes">
  <Template>Normal.dotm</Template>
  <TotalTime>0</TotalTime>
  <Pages>3</Pages>
  <Words>1225</Words>
  <Characters>6742</Characters>
  <Application>Microsoft Office Word</Application>
  <DocSecurity>0</DocSecurity>
  <Lines>204</Lines>
  <Paragraphs>82</Paragraphs>
  <ScaleCrop>false</ScaleCrop>
  <HeadingPairs>
    <vt:vector size="2" baseType="variant">
      <vt:variant>
        <vt:lpstr>Title</vt:lpstr>
      </vt:variant>
      <vt:variant>
        <vt:i4>1</vt:i4>
      </vt:variant>
    </vt:vector>
  </HeadingPairs>
  <TitlesOfParts>
    <vt:vector size="1" baseType="lpstr">
      <vt:lpstr>UE-160756 UG-160758 Staff Memo Attachment_Audit Findings</vt:lpstr>
    </vt:vector>
  </TitlesOfParts>
  <Company/>
  <LinksUpToDate>false</LinksUpToDate>
  <CharactersWithSpaces>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UE-160756 UG-160758 Staff Memo Attachment_Audit Findings</dc:title>
  <dc:subject/>
  <dc:creator>Liu, Jing (UTC)</dc:creator>
  <cp:keywords/>
  <dc:description/>
  <cp:lastModifiedBy>Wyse, Lisa (UTC)</cp:lastModifiedBy>
  <cp:revision>2</cp:revision>
  <dcterms:created xsi:type="dcterms:W3CDTF">2016-07-19T17:31:00Z</dcterms:created>
  <dcterms:modified xsi:type="dcterms:W3CDTF">2016-07-19T17:31:00Z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0x0101006E56B4D1795A2E4DB2F0B01679ED314A0006CC34E3AECA2948B201715B0CA28FBB</vt:lpwstr>
  </property>
  <property fmtid="{D5CDD505-2E9C-101B-9397-08002B2CF9AE}" pid="3" name="_docset_NoMedatataSyncRequired">
    <vt:lpwstr>False</vt:lpwstr>
  </property>
</Properties>
</file>