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D03A30" w14:textId="43779C8E" w:rsidR="00C011AB" w:rsidRPr="00AC1871" w:rsidRDefault="00C011AB" w:rsidP="00AC1871">
      <w:pPr>
        <w:pStyle w:val="BodyText"/>
        <w:spacing w:line="264" w:lineRule="auto"/>
        <w:rPr>
          <w:b/>
          <w:bCs/>
        </w:rPr>
      </w:pPr>
      <w:r w:rsidRPr="00AC1871">
        <w:rPr>
          <w:b/>
          <w:bCs/>
        </w:rPr>
        <w:t xml:space="preserve">BEFORE THE WASHINGTON </w:t>
      </w:r>
    </w:p>
    <w:p w14:paraId="1C550DB2" w14:textId="77777777" w:rsidR="00C011AB" w:rsidRPr="00AC1871" w:rsidRDefault="00C011AB" w:rsidP="00AC1871">
      <w:pPr>
        <w:pStyle w:val="BodyText"/>
        <w:spacing w:line="264" w:lineRule="auto"/>
        <w:rPr>
          <w:b/>
          <w:bCs/>
        </w:rPr>
      </w:pPr>
      <w:r w:rsidRPr="00AC1871">
        <w:rPr>
          <w:b/>
          <w:bCs/>
        </w:rPr>
        <w:t>UTILITIES AND TRANSPORTATION COMMISSION</w:t>
      </w:r>
    </w:p>
    <w:p w14:paraId="05FB195E" w14:textId="77777777" w:rsidR="001C14F7" w:rsidRPr="00AC1871" w:rsidRDefault="001C14F7" w:rsidP="00AC1871">
      <w:pPr>
        <w:pStyle w:val="BodyText"/>
        <w:spacing w:line="264" w:lineRule="auto"/>
      </w:pPr>
    </w:p>
    <w:tbl>
      <w:tblPr>
        <w:tblW w:w="0" w:type="auto"/>
        <w:tblLook w:val="0000" w:firstRow="0" w:lastRow="0" w:firstColumn="0" w:lastColumn="0" w:noHBand="0" w:noVBand="0"/>
      </w:tblPr>
      <w:tblGrid>
        <w:gridCol w:w="4248"/>
        <w:gridCol w:w="360"/>
        <w:gridCol w:w="3888"/>
      </w:tblGrid>
      <w:tr w:rsidR="00B859B1" w:rsidRPr="00AC1871" w14:paraId="21BE2873" w14:textId="77777777">
        <w:tc>
          <w:tcPr>
            <w:tcW w:w="4248" w:type="dxa"/>
          </w:tcPr>
          <w:p w14:paraId="0D08EB5E" w14:textId="77777777" w:rsidR="00B859B1" w:rsidRPr="00AC1871" w:rsidRDefault="00B859B1" w:rsidP="00AC1871">
            <w:pPr>
              <w:spacing w:line="264" w:lineRule="auto"/>
            </w:pPr>
            <w:r w:rsidRPr="00AC1871">
              <w:t>In the Matter of Determining the Proper Carrier Classification of, and Complaint</w:t>
            </w:r>
          </w:p>
          <w:p w14:paraId="2A3A1BD0" w14:textId="77777777" w:rsidR="00B859B1" w:rsidRPr="00AC1871" w:rsidRDefault="00B859B1" w:rsidP="00AC1871">
            <w:pPr>
              <w:spacing w:line="264" w:lineRule="auto"/>
            </w:pPr>
            <w:r w:rsidRPr="00AC1871">
              <w:t>for Penalties against:</w:t>
            </w:r>
          </w:p>
          <w:p w14:paraId="1249C9EA" w14:textId="77777777" w:rsidR="00B859B1" w:rsidRPr="00AC1871" w:rsidRDefault="00B859B1" w:rsidP="00AC1871">
            <w:pPr>
              <w:spacing w:line="264" w:lineRule="auto"/>
            </w:pPr>
          </w:p>
          <w:p w14:paraId="33D3D732" w14:textId="77777777" w:rsidR="00365FCC" w:rsidRPr="00AC1871" w:rsidRDefault="00365FCC" w:rsidP="00AC1871">
            <w:pPr>
              <w:keepLines/>
              <w:spacing w:line="264" w:lineRule="auto"/>
              <w:rPr>
                <w:caps/>
              </w:rPr>
            </w:pPr>
            <w:r w:rsidRPr="00AC1871">
              <w:rPr>
                <w:caps/>
              </w:rPr>
              <w:t xml:space="preserve">dexter Petrie </w:t>
            </w:r>
            <w:r w:rsidRPr="00AC1871">
              <w:t>and</w:t>
            </w:r>
            <w:r w:rsidRPr="00AC1871">
              <w:rPr>
                <w:caps/>
              </w:rPr>
              <w:t xml:space="preserve"> Dexter Wendler </w:t>
            </w:r>
            <w:r w:rsidRPr="00AC1871">
              <w:t>d/b/a</w:t>
            </w:r>
            <w:r w:rsidRPr="00AC1871">
              <w:rPr>
                <w:caps/>
              </w:rPr>
              <w:t xml:space="preserve"> Budget Family Moving</w:t>
            </w:r>
          </w:p>
          <w:p w14:paraId="60F3740D" w14:textId="588DAB10" w:rsidR="00B859B1" w:rsidRPr="00AC1871" w:rsidRDefault="00B859B1" w:rsidP="00AC1871">
            <w:pPr>
              <w:keepLines/>
              <w:spacing w:line="264" w:lineRule="auto"/>
            </w:pPr>
            <w:r w:rsidRPr="00AC1871">
              <w:t xml:space="preserve">. . . . . . . . . . . . . . . . . . . . . . . . . . . . . . . . </w:t>
            </w:r>
            <w:r w:rsidR="005B726B" w:rsidRPr="00AC1871">
              <w:t xml:space="preserve">. . </w:t>
            </w:r>
          </w:p>
        </w:tc>
        <w:tc>
          <w:tcPr>
            <w:tcW w:w="360" w:type="dxa"/>
          </w:tcPr>
          <w:p w14:paraId="76B7FD39" w14:textId="77777777" w:rsidR="00B859B1" w:rsidRPr="00AC1871" w:rsidRDefault="00B859B1" w:rsidP="00AC1871">
            <w:pPr>
              <w:keepLines/>
              <w:spacing w:line="264" w:lineRule="auto"/>
            </w:pPr>
            <w:r w:rsidRPr="00AC1871">
              <w:t>)</w:t>
            </w:r>
          </w:p>
          <w:p w14:paraId="0B7A6022" w14:textId="77777777" w:rsidR="00B859B1" w:rsidRPr="00AC1871" w:rsidRDefault="00B859B1" w:rsidP="00AC1871">
            <w:pPr>
              <w:keepLines/>
              <w:spacing w:line="264" w:lineRule="auto"/>
            </w:pPr>
            <w:r w:rsidRPr="00AC1871">
              <w:t>)</w:t>
            </w:r>
          </w:p>
          <w:p w14:paraId="70C6A588" w14:textId="77777777" w:rsidR="00B859B1" w:rsidRPr="00AC1871" w:rsidRDefault="00B859B1" w:rsidP="00AC1871">
            <w:pPr>
              <w:keepLines/>
              <w:spacing w:line="264" w:lineRule="auto"/>
            </w:pPr>
            <w:r w:rsidRPr="00AC1871">
              <w:t>)</w:t>
            </w:r>
          </w:p>
          <w:p w14:paraId="0FC9408E" w14:textId="77777777" w:rsidR="00B859B1" w:rsidRPr="00AC1871" w:rsidRDefault="00B859B1" w:rsidP="00AC1871">
            <w:pPr>
              <w:keepLines/>
              <w:spacing w:line="264" w:lineRule="auto"/>
            </w:pPr>
            <w:r w:rsidRPr="00AC1871">
              <w:t>)</w:t>
            </w:r>
          </w:p>
          <w:p w14:paraId="36BE3BA9" w14:textId="77777777" w:rsidR="00B859B1" w:rsidRPr="00AC1871" w:rsidRDefault="00B859B1" w:rsidP="00AC1871">
            <w:pPr>
              <w:keepLines/>
              <w:spacing w:line="264" w:lineRule="auto"/>
            </w:pPr>
            <w:r w:rsidRPr="00AC1871">
              <w:t>)</w:t>
            </w:r>
          </w:p>
          <w:p w14:paraId="3B03A573" w14:textId="77777777" w:rsidR="00B859B1" w:rsidRPr="00AC1871" w:rsidRDefault="00B859B1" w:rsidP="00AC1871">
            <w:pPr>
              <w:keepLines/>
              <w:spacing w:line="264" w:lineRule="auto"/>
            </w:pPr>
            <w:r w:rsidRPr="00AC1871">
              <w:t>)</w:t>
            </w:r>
          </w:p>
          <w:p w14:paraId="15EF0B91" w14:textId="77777777" w:rsidR="00B859B1" w:rsidRPr="00AC1871" w:rsidRDefault="00B859B1" w:rsidP="00AC1871">
            <w:pPr>
              <w:keepLines/>
              <w:spacing w:line="264" w:lineRule="auto"/>
            </w:pPr>
            <w:r w:rsidRPr="00AC1871">
              <w:t>)</w:t>
            </w:r>
          </w:p>
          <w:p w14:paraId="7A6CB1B6" w14:textId="52CB33C3" w:rsidR="00B859B1" w:rsidRPr="00AC1871" w:rsidRDefault="00B859B1" w:rsidP="00AC1871">
            <w:pPr>
              <w:keepLines/>
              <w:spacing w:line="264" w:lineRule="auto"/>
            </w:pPr>
            <w:r w:rsidRPr="00AC1871">
              <w:t>)</w:t>
            </w:r>
          </w:p>
        </w:tc>
        <w:tc>
          <w:tcPr>
            <w:tcW w:w="3888" w:type="dxa"/>
          </w:tcPr>
          <w:p w14:paraId="36EA7A12" w14:textId="77777777" w:rsidR="00B859B1" w:rsidRPr="00AC1871" w:rsidRDefault="00B859B1" w:rsidP="00AC1871">
            <w:pPr>
              <w:spacing w:line="264" w:lineRule="auto"/>
            </w:pPr>
            <w:r w:rsidRPr="00AC1871">
              <w:t>DOCKET TV-1</w:t>
            </w:r>
            <w:r w:rsidR="00365FCC" w:rsidRPr="00AC1871">
              <w:t>51655</w:t>
            </w:r>
          </w:p>
          <w:p w14:paraId="5C59CE31" w14:textId="77777777" w:rsidR="00B859B1" w:rsidRPr="00AC1871" w:rsidRDefault="00B859B1" w:rsidP="00AC1871">
            <w:pPr>
              <w:spacing w:line="264" w:lineRule="auto"/>
            </w:pPr>
          </w:p>
          <w:p w14:paraId="7C481CD7" w14:textId="77777777" w:rsidR="00B859B1" w:rsidRPr="00AC1871" w:rsidRDefault="00B859B1" w:rsidP="00AC1871">
            <w:pPr>
              <w:spacing w:line="264" w:lineRule="auto"/>
            </w:pPr>
            <w:r w:rsidRPr="00AC1871">
              <w:t>ORDER 02</w:t>
            </w:r>
          </w:p>
          <w:p w14:paraId="75876BA6" w14:textId="77777777" w:rsidR="00B859B1" w:rsidRPr="00AC1871" w:rsidRDefault="00B859B1" w:rsidP="00AC1871">
            <w:pPr>
              <w:spacing w:line="264" w:lineRule="auto"/>
            </w:pPr>
          </w:p>
          <w:p w14:paraId="6739AFC5" w14:textId="77777777" w:rsidR="00B859B1" w:rsidRPr="00AC1871" w:rsidRDefault="00B859B1" w:rsidP="00AC1871">
            <w:pPr>
              <w:pStyle w:val="Header"/>
              <w:tabs>
                <w:tab w:val="clear" w:pos="4320"/>
                <w:tab w:val="clear" w:pos="8640"/>
              </w:tabs>
              <w:spacing w:line="264" w:lineRule="auto"/>
            </w:pPr>
            <w:r w:rsidRPr="00AC1871">
              <w:t>PREHEARING CONFERENCE ORDER; NOTICE OF HEARING</w:t>
            </w:r>
          </w:p>
          <w:p w14:paraId="7ACCE6C6" w14:textId="7EBE1D74" w:rsidR="00B859B1" w:rsidRPr="00AC1871" w:rsidRDefault="00B859B1" w:rsidP="00AC1871">
            <w:pPr>
              <w:spacing w:line="264" w:lineRule="auto"/>
              <w:rPr>
                <w:b/>
                <w:bCs/>
              </w:rPr>
            </w:pPr>
            <w:r w:rsidRPr="00AC1871">
              <w:rPr>
                <w:b/>
              </w:rPr>
              <w:t>(Set for</w:t>
            </w:r>
            <w:r w:rsidR="004E18E1" w:rsidRPr="00AC1871">
              <w:rPr>
                <w:b/>
              </w:rPr>
              <w:t xml:space="preserve"> </w:t>
            </w:r>
            <w:r w:rsidR="001B359C" w:rsidRPr="00AC1871">
              <w:rPr>
                <w:b/>
              </w:rPr>
              <w:t xml:space="preserve">Tuesday, November 10, 2015, </w:t>
            </w:r>
            <w:r w:rsidRPr="00AC1871">
              <w:rPr>
                <w:b/>
              </w:rPr>
              <w:t>at</w:t>
            </w:r>
            <w:r w:rsidR="004E18E1" w:rsidRPr="00AC1871">
              <w:rPr>
                <w:b/>
              </w:rPr>
              <w:t xml:space="preserve"> </w:t>
            </w:r>
            <w:r w:rsidRPr="00AC1871">
              <w:rPr>
                <w:b/>
              </w:rPr>
              <w:t>9:30 a.m.)</w:t>
            </w:r>
          </w:p>
        </w:tc>
      </w:tr>
    </w:tbl>
    <w:p w14:paraId="4DE85BE1" w14:textId="77777777" w:rsidR="005B726B" w:rsidRDefault="005B726B" w:rsidP="00AC1871">
      <w:pPr>
        <w:spacing w:line="264" w:lineRule="auto"/>
      </w:pPr>
    </w:p>
    <w:p w14:paraId="002477CA" w14:textId="77777777" w:rsidR="00AC1871" w:rsidRPr="00AC1871" w:rsidRDefault="00AC1871" w:rsidP="00AC1871">
      <w:pPr>
        <w:spacing w:line="264" w:lineRule="auto"/>
      </w:pPr>
    </w:p>
    <w:p w14:paraId="17229A9F" w14:textId="2409D7A3" w:rsidR="008E1F69" w:rsidRPr="00AC1871" w:rsidRDefault="00C011AB" w:rsidP="00AC1871">
      <w:pPr>
        <w:numPr>
          <w:ilvl w:val="0"/>
          <w:numId w:val="3"/>
        </w:numPr>
        <w:spacing w:line="264" w:lineRule="auto"/>
        <w:ind w:hanging="720"/>
      </w:pPr>
      <w:r w:rsidRPr="00AC1871">
        <w:rPr>
          <w:b/>
          <w:bCs/>
        </w:rPr>
        <w:t>NATURE OF PROCEEDING.</w:t>
      </w:r>
      <w:r w:rsidR="007B4E97" w:rsidRPr="00AC1871">
        <w:t xml:space="preserve"> </w:t>
      </w:r>
      <w:r w:rsidR="008E1F69" w:rsidRPr="00AC1871">
        <w:t xml:space="preserve">The Washington Utilities and Transportation Commission (Commission) initiated this special proceeding to determine whether </w:t>
      </w:r>
      <w:r w:rsidR="00365FCC" w:rsidRPr="00AC1871">
        <w:t xml:space="preserve">Budget Family Moving (Budget Family </w:t>
      </w:r>
      <w:r w:rsidR="00743404" w:rsidRPr="00AC1871">
        <w:t xml:space="preserve">Moving </w:t>
      </w:r>
      <w:r w:rsidR="00365FCC" w:rsidRPr="00AC1871">
        <w:t>or Company</w:t>
      </w:r>
      <w:r w:rsidR="008E1F69" w:rsidRPr="00AC1871">
        <w:t>) has engaged, and continues to engage, in business as a common carrier for transportation of household goods for compensation within the state of Washington without possessing the permit required for such operations.</w:t>
      </w:r>
    </w:p>
    <w:p w14:paraId="25928D3F" w14:textId="77777777" w:rsidR="008E1F69" w:rsidRPr="00AC1871" w:rsidRDefault="008E1F69" w:rsidP="00AC1871">
      <w:pPr>
        <w:spacing w:line="264" w:lineRule="auto"/>
      </w:pPr>
    </w:p>
    <w:p w14:paraId="0241684E" w14:textId="138B2FA8" w:rsidR="00CA181E" w:rsidRPr="00AC1871" w:rsidRDefault="008E1F69" w:rsidP="00AC1871">
      <w:pPr>
        <w:numPr>
          <w:ilvl w:val="0"/>
          <w:numId w:val="3"/>
        </w:numPr>
        <w:spacing w:line="264" w:lineRule="auto"/>
        <w:ind w:hanging="720"/>
      </w:pPr>
      <w:r w:rsidRPr="00AC1871">
        <w:rPr>
          <w:b/>
        </w:rPr>
        <w:t>PROCEDURAL HISTORY.</w:t>
      </w:r>
      <w:r w:rsidRPr="00AC1871">
        <w:t xml:space="preserve"> On </w:t>
      </w:r>
      <w:r w:rsidR="00365FCC" w:rsidRPr="00AC1871">
        <w:t>September 19, 2015</w:t>
      </w:r>
      <w:r w:rsidRPr="00AC1871">
        <w:t xml:space="preserve">, the Commission entered Order 01, Order Instituting Special Proceeding; Complaint Seeking to Impose Penalties; Notice of Mandatory Appearance at Hearing, </w:t>
      </w:r>
      <w:r w:rsidR="00365FCC" w:rsidRPr="00AC1871">
        <w:t>pursuant to RCW 81.04.510, initiating this docket on its own motion</w:t>
      </w:r>
      <w:r w:rsidR="007B4E97" w:rsidRPr="00AC1871">
        <w:t xml:space="preserve">. </w:t>
      </w:r>
      <w:r w:rsidRPr="00AC1871">
        <w:t>The Commission arranged for Order 01 to be personally served upon the Company.</w:t>
      </w:r>
    </w:p>
    <w:p w14:paraId="224B3794" w14:textId="77777777" w:rsidR="00CA181E" w:rsidRPr="00AC1871" w:rsidRDefault="00CA181E" w:rsidP="00AC1871">
      <w:pPr>
        <w:spacing w:line="264" w:lineRule="auto"/>
      </w:pPr>
    </w:p>
    <w:p w14:paraId="3A9FE7EF" w14:textId="1CBC342E" w:rsidR="00C011AB" w:rsidRPr="00AC1871" w:rsidRDefault="008E1F69" w:rsidP="00AC1871">
      <w:pPr>
        <w:numPr>
          <w:ilvl w:val="0"/>
          <w:numId w:val="3"/>
        </w:numPr>
        <w:spacing w:line="264" w:lineRule="auto"/>
        <w:ind w:hanging="720"/>
        <w:rPr>
          <w:b/>
          <w:bCs/>
        </w:rPr>
      </w:pPr>
      <w:r w:rsidRPr="00AC1871">
        <w:rPr>
          <w:b/>
          <w:bCs/>
        </w:rPr>
        <w:t>INITIAL HEARING</w:t>
      </w:r>
      <w:r w:rsidR="00C011AB" w:rsidRPr="00AC1871">
        <w:rPr>
          <w:b/>
          <w:bCs/>
        </w:rPr>
        <w:t>.</w:t>
      </w:r>
      <w:r w:rsidR="00C011AB" w:rsidRPr="00AC1871">
        <w:t xml:space="preserve"> The Commission convened a</w:t>
      </w:r>
      <w:r w:rsidR="00B859B1" w:rsidRPr="00AC1871">
        <w:t>n initial</w:t>
      </w:r>
      <w:r w:rsidR="00C011AB" w:rsidRPr="00AC1871">
        <w:t xml:space="preserve"> hearing in this docket at </w:t>
      </w:r>
      <w:r w:rsidR="00C011AB" w:rsidRPr="00AC1871">
        <w:rPr>
          <w:bCs/>
        </w:rPr>
        <w:t>Olympia</w:t>
      </w:r>
      <w:r w:rsidR="00C011AB" w:rsidRPr="00AC1871">
        <w:t>, Washington on</w:t>
      </w:r>
      <w:r w:rsidR="00B859B1" w:rsidRPr="00AC1871">
        <w:t xml:space="preserve"> </w:t>
      </w:r>
      <w:r w:rsidR="00365FCC" w:rsidRPr="00AC1871">
        <w:t>October 15, 2015</w:t>
      </w:r>
      <w:r w:rsidR="00C011AB" w:rsidRPr="00AC1871">
        <w:rPr>
          <w:b/>
          <w:bCs/>
        </w:rPr>
        <w:t>,</w:t>
      </w:r>
      <w:r w:rsidR="00C011AB" w:rsidRPr="00AC1871">
        <w:t xml:space="preserve"> before Administrative Law Judge</w:t>
      </w:r>
      <w:r w:rsidR="00C370BA" w:rsidRPr="00AC1871">
        <w:t xml:space="preserve"> </w:t>
      </w:r>
      <w:r w:rsidR="00365FCC" w:rsidRPr="00AC1871">
        <w:t>Rayne Pearson</w:t>
      </w:r>
      <w:r w:rsidR="00C011AB" w:rsidRPr="00AC1871">
        <w:t>.</w:t>
      </w:r>
      <w:r w:rsidR="004E18E1" w:rsidRPr="00AC1871">
        <w:t xml:space="preserve"> The parties utilized this time as a prehearing conference.</w:t>
      </w:r>
    </w:p>
    <w:p w14:paraId="23918B07" w14:textId="77777777" w:rsidR="00C011AB" w:rsidRPr="00AC1871" w:rsidRDefault="00C011AB" w:rsidP="00AC1871">
      <w:pPr>
        <w:spacing w:line="264" w:lineRule="auto"/>
      </w:pPr>
    </w:p>
    <w:p w14:paraId="218F3ECC" w14:textId="4346F55C" w:rsidR="00C011AB" w:rsidRPr="00AC1871" w:rsidRDefault="00C011AB" w:rsidP="00AC1871">
      <w:pPr>
        <w:numPr>
          <w:ilvl w:val="0"/>
          <w:numId w:val="3"/>
        </w:numPr>
        <w:spacing w:line="264" w:lineRule="auto"/>
        <w:ind w:hanging="720"/>
      </w:pPr>
      <w:r w:rsidRPr="00AC1871">
        <w:rPr>
          <w:b/>
          <w:bCs/>
        </w:rPr>
        <w:t>APPEARANCES.</w:t>
      </w:r>
      <w:r w:rsidRPr="00AC1871">
        <w:t xml:space="preserve"> </w:t>
      </w:r>
      <w:r w:rsidR="00365FCC" w:rsidRPr="00AC1871">
        <w:t>Megan Banks</w:t>
      </w:r>
      <w:r w:rsidR="00B859B1" w:rsidRPr="00AC1871">
        <w:t>, Compliance Investigator</w:t>
      </w:r>
      <w:r w:rsidRPr="00AC1871">
        <w:t xml:space="preserve">, Olympia, </w:t>
      </w:r>
      <w:r w:rsidR="00CF22E5" w:rsidRPr="00AC1871">
        <w:t>W</w:t>
      </w:r>
      <w:r w:rsidR="009278BE" w:rsidRPr="00AC1871">
        <w:t>ashington</w:t>
      </w:r>
      <w:r w:rsidRPr="00AC1871">
        <w:t xml:space="preserve">, </w:t>
      </w:r>
      <w:r w:rsidR="003555A4" w:rsidRPr="00AC1871">
        <w:t xml:space="preserve">participated in the hearing on behalf of </w:t>
      </w:r>
      <w:r w:rsidRPr="00AC1871">
        <w:t>the Commission staff (Commission Staff or Staff).</w:t>
      </w:r>
      <w:r w:rsidR="00365FCC" w:rsidRPr="00AC1871">
        <w:rPr>
          <w:rStyle w:val="FootnoteReference"/>
        </w:rPr>
        <w:footnoteReference w:id="1"/>
      </w:r>
      <w:r w:rsidR="005B726B" w:rsidRPr="00AC1871">
        <w:t xml:space="preserve"> </w:t>
      </w:r>
      <w:r w:rsidR="00365FCC" w:rsidRPr="00AC1871">
        <w:t>Dexter Petrie</w:t>
      </w:r>
      <w:r w:rsidR="00B859B1" w:rsidRPr="00AC1871">
        <w:t xml:space="preserve"> represents </w:t>
      </w:r>
      <w:r w:rsidR="00365FCC" w:rsidRPr="00AC1871">
        <w:t>Budget Family</w:t>
      </w:r>
      <w:r w:rsidR="00743404" w:rsidRPr="00AC1871">
        <w:t xml:space="preserve"> Moving</w:t>
      </w:r>
      <w:r w:rsidR="00B859B1" w:rsidRPr="00AC1871">
        <w:t xml:space="preserve">. </w:t>
      </w:r>
      <w:r w:rsidRPr="00AC1871">
        <w:t xml:space="preserve">Contact information for the parties’ </w:t>
      </w:r>
      <w:r w:rsidR="00F72BFA" w:rsidRPr="00AC1871">
        <w:t xml:space="preserve">designated </w:t>
      </w:r>
      <w:r w:rsidRPr="00AC1871">
        <w:t>representatives is attach</w:t>
      </w:r>
      <w:r w:rsidR="00B859B1" w:rsidRPr="00AC1871">
        <w:t>ed as Appendix A to this order.</w:t>
      </w:r>
    </w:p>
    <w:p w14:paraId="0A6F6E18" w14:textId="77777777" w:rsidR="00B859B1" w:rsidRPr="00AC1871" w:rsidRDefault="00B859B1" w:rsidP="00AC1871">
      <w:pPr>
        <w:pStyle w:val="ListParagraph"/>
        <w:spacing w:line="264" w:lineRule="auto"/>
        <w:rPr>
          <w:rFonts w:ascii="Times New Roman" w:hAnsi="Times New Roman"/>
        </w:rPr>
      </w:pPr>
    </w:p>
    <w:p w14:paraId="6FDF3EAC" w14:textId="5E7CEDD0" w:rsidR="009B45C9" w:rsidRPr="00AC1871" w:rsidRDefault="00B859B1" w:rsidP="00AC1871">
      <w:pPr>
        <w:numPr>
          <w:ilvl w:val="0"/>
          <w:numId w:val="3"/>
        </w:numPr>
        <w:spacing w:line="264" w:lineRule="auto"/>
        <w:ind w:hanging="720"/>
      </w:pPr>
      <w:r w:rsidRPr="00AC1871">
        <w:rPr>
          <w:b/>
        </w:rPr>
        <w:lastRenderedPageBreak/>
        <w:t xml:space="preserve">CLASSIFICATION OF </w:t>
      </w:r>
      <w:r w:rsidR="00706309" w:rsidRPr="00AC1871">
        <w:rPr>
          <w:b/>
        </w:rPr>
        <w:t>BUDGET FAMILY</w:t>
      </w:r>
      <w:r w:rsidR="00743404" w:rsidRPr="00AC1871">
        <w:rPr>
          <w:b/>
        </w:rPr>
        <w:t xml:space="preserve"> MOVING</w:t>
      </w:r>
      <w:r w:rsidR="007B4E97" w:rsidRPr="00AC1871">
        <w:rPr>
          <w:b/>
        </w:rPr>
        <w:t xml:space="preserve">. </w:t>
      </w:r>
      <w:r w:rsidRPr="00AC1871">
        <w:t xml:space="preserve">Mr. </w:t>
      </w:r>
      <w:r w:rsidR="00365FCC" w:rsidRPr="00AC1871">
        <w:t>Petrie</w:t>
      </w:r>
      <w:r w:rsidR="009B45C9" w:rsidRPr="00AC1871">
        <w:t xml:space="preserve"> took the </w:t>
      </w:r>
      <w:r w:rsidR="003555A4" w:rsidRPr="00AC1871">
        <w:t xml:space="preserve">position that </w:t>
      </w:r>
      <w:r w:rsidR="00365FCC" w:rsidRPr="00AC1871">
        <w:t xml:space="preserve">he </w:t>
      </w:r>
      <w:r w:rsidR="00706309" w:rsidRPr="00AC1871">
        <w:t xml:space="preserve">is not involved in </w:t>
      </w:r>
      <w:r w:rsidR="00365FCC" w:rsidRPr="00AC1871">
        <w:t xml:space="preserve">Budget Family </w:t>
      </w:r>
      <w:r w:rsidR="00743404" w:rsidRPr="00AC1871">
        <w:t xml:space="preserve">Moving </w:t>
      </w:r>
      <w:r w:rsidR="00365FCC" w:rsidRPr="00AC1871">
        <w:t xml:space="preserve">and should not be included in the proceeding. </w:t>
      </w:r>
      <w:r w:rsidR="007576E4" w:rsidRPr="00AC1871">
        <w:t xml:space="preserve">Mr. Petrie contended that his father, Dexter Wendler, was the sole owner </w:t>
      </w:r>
      <w:r w:rsidR="001B359C" w:rsidRPr="00AC1871">
        <w:t xml:space="preserve">and operator </w:t>
      </w:r>
      <w:r w:rsidR="007576E4" w:rsidRPr="00AC1871">
        <w:t>of the Company.</w:t>
      </w:r>
    </w:p>
    <w:p w14:paraId="62742FEA" w14:textId="77777777" w:rsidR="009B45C9" w:rsidRPr="00AC1871" w:rsidRDefault="009B45C9" w:rsidP="00AC1871">
      <w:pPr>
        <w:pStyle w:val="ListParagraph"/>
        <w:spacing w:line="264" w:lineRule="auto"/>
        <w:rPr>
          <w:rFonts w:ascii="Times New Roman" w:hAnsi="Times New Roman"/>
        </w:rPr>
      </w:pPr>
    </w:p>
    <w:p w14:paraId="1E5EFF59" w14:textId="77777777" w:rsidR="00B859B1" w:rsidRPr="00AC1871" w:rsidRDefault="007576E4" w:rsidP="00AC1871">
      <w:pPr>
        <w:numPr>
          <w:ilvl w:val="0"/>
          <w:numId w:val="3"/>
        </w:numPr>
        <w:spacing w:line="264" w:lineRule="auto"/>
        <w:ind w:hanging="720"/>
      </w:pPr>
      <w:r w:rsidRPr="00AC1871">
        <w:t>Commission staf</w:t>
      </w:r>
      <w:r w:rsidR="00706309" w:rsidRPr="00AC1871">
        <w:t xml:space="preserve">f contends that Mr. Petrie is a principal </w:t>
      </w:r>
      <w:r w:rsidRPr="00AC1871">
        <w:t xml:space="preserve">of the Company. </w:t>
      </w:r>
      <w:r w:rsidR="009B45C9" w:rsidRPr="00AC1871">
        <w:t>In light of these disagreements, the parties agreed that a hearing was necessary.</w:t>
      </w:r>
    </w:p>
    <w:p w14:paraId="3D76BCEB" w14:textId="77777777" w:rsidR="00C011AB" w:rsidRPr="00AC1871" w:rsidRDefault="00C011AB" w:rsidP="00AC1871">
      <w:pPr>
        <w:spacing w:line="264" w:lineRule="auto"/>
      </w:pPr>
    </w:p>
    <w:p w14:paraId="0F3A5712" w14:textId="1F197817" w:rsidR="00B859B1" w:rsidRPr="00AC1871" w:rsidRDefault="00C011AB" w:rsidP="00AC1871">
      <w:pPr>
        <w:numPr>
          <w:ilvl w:val="0"/>
          <w:numId w:val="3"/>
        </w:numPr>
        <w:spacing w:line="264" w:lineRule="auto"/>
        <w:ind w:hanging="720"/>
        <w:rPr>
          <w:color w:val="000000"/>
        </w:rPr>
      </w:pPr>
      <w:r w:rsidRPr="00AC1871">
        <w:rPr>
          <w:b/>
          <w:bCs/>
        </w:rPr>
        <w:t>PROCEDURAL SCHEDULE</w:t>
      </w:r>
      <w:r w:rsidR="007B4E97" w:rsidRPr="00AC1871">
        <w:rPr>
          <w:b/>
          <w:bCs/>
        </w:rPr>
        <w:t xml:space="preserve">. </w:t>
      </w:r>
      <w:r w:rsidR="006B343C" w:rsidRPr="00AC1871">
        <w:t xml:space="preserve">The parties agreed </w:t>
      </w:r>
      <w:r w:rsidR="00B859B1" w:rsidRPr="00AC1871">
        <w:t>to the following procedural schedule:</w:t>
      </w:r>
    </w:p>
    <w:p w14:paraId="4C2AFCE5" w14:textId="77777777" w:rsidR="00B859B1" w:rsidRPr="00AC1871" w:rsidRDefault="00B859B1" w:rsidP="00AC1871">
      <w:pPr>
        <w:pStyle w:val="ListParagraph"/>
        <w:spacing w:line="264" w:lineRule="auto"/>
        <w:ind w:left="0"/>
        <w:rPr>
          <w:rFonts w:ascii="Times New Roman" w:hAnsi="Times New Roman"/>
        </w:rPr>
      </w:pPr>
    </w:p>
    <w:p w14:paraId="17AC6124" w14:textId="77777777" w:rsidR="005B726B" w:rsidRPr="00AC1871" w:rsidRDefault="00B859B1" w:rsidP="00AC1871">
      <w:pPr>
        <w:pStyle w:val="ListParagraph"/>
        <w:spacing w:line="264" w:lineRule="auto"/>
        <w:rPr>
          <w:rFonts w:ascii="Times New Roman" w:hAnsi="Times New Roman"/>
          <w:b/>
        </w:rPr>
      </w:pPr>
      <w:r w:rsidRPr="00AC1871">
        <w:rPr>
          <w:rFonts w:ascii="Times New Roman" w:hAnsi="Times New Roman"/>
        </w:rPr>
        <w:t>Filing Deadline for Witness</w:t>
      </w:r>
      <w:r w:rsidR="001B359C" w:rsidRPr="00AC1871">
        <w:rPr>
          <w:rFonts w:ascii="Times New Roman" w:hAnsi="Times New Roman"/>
        </w:rPr>
        <w:tab/>
      </w:r>
      <w:r w:rsidR="001B359C" w:rsidRPr="00AC1871">
        <w:rPr>
          <w:rFonts w:ascii="Times New Roman" w:hAnsi="Times New Roman"/>
        </w:rPr>
        <w:tab/>
      </w:r>
      <w:r w:rsidR="001B359C" w:rsidRPr="00AC1871">
        <w:rPr>
          <w:rFonts w:ascii="Times New Roman" w:hAnsi="Times New Roman"/>
        </w:rPr>
        <w:tab/>
        <w:t>Tuesday</w:t>
      </w:r>
      <w:r w:rsidRPr="00AC1871">
        <w:rPr>
          <w:rFonts w:ascii="Times New Roman" w:hAnsi="Times New Roman"/>
        </w:rPr>
        <w:t xml:space="preserve">, </w:t>
      </w:r>
      <w:r w:rsidR="001B359C" w:rsidRPr="00AC1871">
        <w:rPr>
          <w:rFonts w:ascii="Times New Roman" w:hAnsi="Times New Roman"/>
          <w:b/>
        </w:rPr>
        <w:t>November 3, 2015</w:t>
      </w:r>
    </w:p>
    <w:p w14:paraId="08338D08" w14:textId="4767F5CB" w:rsidR="001E1088" w:rsidRPr="00AC1871" w:rsidRDefault="001B359C" w:rsidP="00AC1871">
      <w:pPr>
        <w:pStyle w:val="ListParagraph"/>
        <w:spacing w:line="264" w:lineRule="auto"/>
        <w:rPr>
          <w:rFonts w:ascii="Times New Roman" w:hAnsi="Times New Roman"/>
        </w:rPr>
      </w:pPr>
      <w:r w:rsidRPr="00AC1871">
        <w:rPr>
          <w:rFonts w:ascii="Times New Roman" w:hAnsi="Times New Roman"/>
        </w:rPr>
        <w:t>&amp; Exhibit Lists</w:t>
      </w:r>
      <w:r w:rsidRPr="00AC1871">
        <w:rPr>
          <w:rFonts w:ascii="Times New Roman" w:hAnsi="Times New Roman"/>
        </w:rPr>
        <w:tab/>
      </w:r>
    </w:p>
    <w:p w14:paraId="79422D0D" w14:textId="77777777" w:rsidR="001B359C" w:rsidRPr="00AC1871" w:rsidRDefault="001B359C" w:rsidP="00AC1871">
      <w:pPr>
        <w:pStyle w:val="ListParagraph"/>
        <w:spacing w:line="264" w:lineRule="auto"/>
        <w:ind w:left="0" w:firstLine="720"/>
        <w:rPr>
          <w:rFonts w:ascii="Times New Roman" w:hAnsi="Times New Roman"/>
        </w:rPr>
      </w:pPr>
    </w:p>
    <w:p w14:paraId="3CB62587" w14:textId="6E0E3841" w:rsidR="00C011AB" w:rsidRPr="00AC1871" w:rsidRDefault="00B859B1" w:rsidP="00AC1871">
      <w:pPr>
        <w:spacing w:line="264" w:lineRule="auto"/>
        <w:ind w:firstLine="720"/>
        <w:rPr>
          <w:color w:val="000000"/>
        </w:rPr>
      </w:pPr>
      <w:r w:rsidRPr="00AC1871">
        <w:t>Evidentiary Hearing</w:t>
      </w:r>
      <w:r w:rsidR="00C55B00" w:rsidRPr="00AC1871">
        <w:t xml:space="preserve"> </w:t>
      </w:r>
      <w:r w:rsidR="001B359C" w:rsidRPr="00AC1871">
        <w:tab/>
      </w:r>
      <w:r w:rsidR="001B359C" w:rsidRPr="00AC1871">
        <w:tab/>
      </w:r>
      <w:r w:rsidR="001B359C" w:rsidRPr="00AC1871">
        <w:tab/>
      </w:r>
      <w:r w:rsidR="001B359C" w:rsidRPr="00AC1871">
        <w:tab/>
        <w:t xml:space="preserve">Tuesday, </w:t>
      </w:r>
      <w:r w:rsidR="001B359C" w:rsidRPr="00AC1871">
        <w:rPr>
          <w:b/>
        </w:rPr>
        <w:t>November 10, 2015</w:t>
      </w:r>
    </w:p>
    <w:p w14:paraId="32CA79AB" w14:textId="77777777" w:rsidR="00C723C7" w:rsidRPr="00AC1871" w:rsidRDefault="00C723C7" w:rsidP="00AC1871">
      <w:pPr>
        <w:spacing w:line="264" w:lineRule="auto"/>
        <w:rPr>
          <w:color w:val="000000"/>
        </w:rPr>
      </w:pPr>
    </w:p>
    <w:p w14:paraId="1CAA75DB" w14:textId="788238C7" w:rsidR="009B6D84" w:rsidRPr="00AC1871" w:rsidRDefault="001E1088" w:rsidP="00AC1871">
      <w:pPr>
        <w:numPr>
          <w:ilvl w:val="0"/>
          <w:numId w:val="3"/>
        </w:numPr>
        <w:spacing w:line="264" w:lineRule="auto"/>
        <w:ind w:hanging="720"/>
        <w:rPr>
          <w:color w:val="000000"/>
        </w:rPr>
      </w:pPr>
      <w:r w:rsidRPr="00AC1871">
        <w:rPr>
          <w:color w:val="000000"/>
        </w:rPr>
        <w:t>Witness lists must contain the name, address, and telephone number of each witness, along with a short summary of the person’s anticipated testimony (</w:t>
      </w:r>
      <w:r w:rsidRPr="00AC1871">
        <w:rPr>
          <w:i/>
          <w:color w:val="000000"/>
        </w:rPr>
        <w:t>i.e.</w:t>
      </w:r>
      <w:r w:rsidRPr="00AC1871">
        <w:rPr>
          <w:color w:val="000000"/>
        </w:rPr>
        <w:t xml:space="preserve">, Mr. Smith will describe his job </w:t>
      </w:r>
      <w:r w:rsidR="00895BED" w:rsidRPr="00AC1871">
        <w:rPr>
          <w:color w:val="000000"/>
        </w:rPr>
        <w:t>duties and testify about the dates he filed the insurance application on behalf of the company</w:t>
      </w:r>
      <w:r w:rsidRPr="00AC1871">
        <w:rPr>
          <w:color w:val="000000"/>
        </w:rPr>
        <w:t xml:space="preserve">). Exhibit lists must contain a concise description of the document to be presented at </w:t>
      </w:r>
      <w:r w:rsidR="003555A4" w:rsidRPr="00AC1871">
        <w:rPr>
          <w:color w:val="000000"/>
        </w:rPr>
        <w:t xml:space="preserve">the </w:t>
      </w:r>
      <w:r w:rsidRPr="00AC1871">
        <w:rPr>
          <w:color w:val="000000"/>
        </w:rPr>
        <w:t>hearing</w:t>
      </w:r>
      <w:r w:rsidR="00895BED" w:rsidRPr="00AC1871">
        <w:rPr>
          <w:color w:val="000000"/>
        </w:rPr>
        <w:t xml:space="preserve"> and be accompanied by a copy of each exhibit. Parties should bring the original </w:t>
      </w:r>
      <w:r w:rsidR="009725FE" w:rsidRPr="00AC1871">
        <w:rPr>
          <w:color w:val="000000"/>
        </w:rPr>
        <w:t xml:space="preserve">and two copies of all </w:t>
      </w:r>
      <w:r w:rsidR="00895BED" w:rsidRPr="00AC1871">
        <w:rPr>
          <w:color w:val="000000"/>
        </w:rPr>
        <w:t>exhibits with them to the hearing.</w:t>
      </w:r>
    </w:p>
    <w:p w14:paraId="52781924" w14:textId="77777777" w:rsidR="009B6D84" w:rsidRPr="00AC1871" w:rsidRDefault="009B6D84" w:rsidP="00AC1871">
      <w:pPr>
        <w:spacing w:line="264" w:lineRule="auto"/>
        <w:rPr>
          <w:color w:val="000000"/>
        </w:rPr>
      </w:pPr>
    </w:p>
    <w:p w14:paraId="646957F6" w14:textId="22FF3411" w:rsidR="00C55B00" w:rsidRPr="00AC1871" w:rsidRDefault="00C55B00" w:rsidP="00AC1871">
      <w:pPr>
        <w:numPr>
          <w:ilvl w:val="0"/>
          <w:numId w:val="3"/>
        </w:numPr>
        <w:spacing w:line="264" w:lineRule="auto"/>
        <w:ind w:hanging="720"/>
        <w:rPr>
          <w:color w:val="000000"/>
        </w:rPr>
      </w:pPr>
      <w:r w:rsidRPr="00AC1871">
        <w:rPr>
          <w:b/>
          <w:bCs/>
        </w:rPr>
        <w:t>NOTICE OF HEARING</w:t>
      </w:r>
      <w:r w:rsidR="00C370BA" w:rsidRPr="00AC1871">
        <w:rPr>
          <w:b/>
          <w:bCs/>
        </w:rPr>
        <w:t xml:space="preserve">. </w:t>
      </w:r>
      <w:r w:rsidR="00C370BA" w:rsidRPr="00AC1871">
        <w:rPr>
          <w:bCs/>
        </w:rPr>
        <w:t xml:space="preserve">The Commission will hold an evidentiary hearing in this matter </w:t>
      </w:r>
      <w:r w:rsidR="00B859B1" w:rsidRPr="00AC1871">
        <w:rPr>
          <w:bCs/>
        </w:rPr>
        <w:t xml:space="preserve">on </w:t>
      </w:r>
      <w:r w:rsidR="001B359C" w:rsidRPr="00AC1871">
        <w:rPr>
          <w:b/>
          <w:bCs/>
        </w:rPr>
        <w:t>November 10, 2015</w:t>
      </w:r>
      <w:r w:rsidR="00C370BA" w:rsidRPr="00AC1871">
        <w:rPr>
          <w:b/>
          <w:bCs/>
        </w:rPr>
        <w:t>, at 9:30 a.m.,</w:t>
      </w:r>
      <w:r w:rsidR="00C370BA" w:rsidRPr="00AC1871">
        <w:rPr>
          <w:bCs/>
        </w:rPr>
        <w:t xml:space="preserve"> in the Commission’s Hearing Room, Second Floor, Richard Hemstad Building, 1300 S. Evergreen Park Drive S.W., Olympia, Washington.</w:t>
      </w:r>
    </w:p>
    <w:p w14:paraId="3860690F" w14:textId="77777777" w:rsidR="00D91720" w:rsidRPr="00AC1871" w:rsidRDefault="00D91720" w:rsidP="00AC1871">
      <w:pPr>
        <w:spacing w:line="264" w:lineRule="auto"/>
        <w:rPr>
          <w:color w:val="000000"/>
        </w:rPr>
      </w:pPr>
    </w:p>
    <w:p w14:paraId="65AB457B" w14:textId="337D2454" w:rsidR="00C011AB" w:rsidRPr="00AC1871" w:rsidRDefault="00C011AB" w:rsidP="00AC1871">
      <w:pPr>
        <w:numPr>
          <w:ilvl w:val="0"/>
          <w:numId w:val="3"/>
        </w:numPr>
        <w:spacing w:line="264" w:lineRule="auto"/>
        <w:ind w:hanging="720"/>
      </w:pPr>
      <w:r w:rsidRPr="00AC1871">
        <w:rPr>
          <w:b/>
          <w:bCs/>
        </w:rPr>
        <w:t>DOCUMENT PREPARATION AND FILING REQUIREMENTS</w:t>
      </w:r>
      <w:r w:rsidR="007B4E97" w:rsidRPr="00AC1871">
        <w:rPr>
          <w:b/>
          <w:bCs/>
        </w:rPr>
        <w:t xml:space="preserve">. </w:t>
      </w:r>
      <w:r w:rsidRPr="00AC1871">
        <w:t xml:space="preserve">Parties must file an original plus </w:t>
      </w:r>
      <w:r w:rsidR="009B6D84" w:rsidRPr="00AC1871">
        <w:t>two</w:t>
      </w:r>
      <w:r w:rsidR="00C370BA" w:rsidRPr="00AC1871">
        <w:t xml:space="preserve"> (</w:t>
      </w:r>
      <w:r w:rsidR="009B6D84" w:rsidRPr="00AC1871">
        <w:t>2</w:t>
      </w:r>
      <w:r w:rsidR="00C370BA" w:rsidRPr="00AC1871">
        <w:t>)</w:t>
      </w:r>
      <w:r w:rsidRPr="00AC1871">
        <w:t xml:space="preserve"> copies of all </w:t>
      </w:r>
      <w:r w:rsidR="001E1088" w:rsidRPr="00AC1871">
        <w:t>witness lists, exhibit lists, and the actual exhibits</w:t>
      </w:r>
      <w:r w:rsidR="007B4E97" w:rsidRPr="00AC1871">
        <w:t xml:space="preserve">. </w:t>
      </w:r>
      <w:r w:rsidR="00AD4ACB" w:rsidRPr="00AC1871">
        <w:t>T</w:t>
      </w:r>
      <w:r w:rsidRPr="00AC1871">
        <w:t xml:space="preserve">hese materials </w:t>
      </w:r>
      <w:r w:rsidR="00AD4ACB" w:rsidRPr="00AC1871">
        <w:t>must</w:t>
      </w:r>
      <w:r w:rsidRPr="00AC1871">
        <w:t xml:space="preserve"> conform </w:t>
      </w:r>
      <w:r w:rsidR="00345CB8" w:rsidRPr="00AC1871">
        <w:t>to</w:t>
      </w:r>
      <w:r w:rsidRPr="00AC1871">
        <w:t xml:space="preserve"> the format and publication guidelines in WAC 480-07-395 and </w:t>
      </w:r>
      <w:r w:rsidR="006B343C" w:rsidRPr="00AC1871">
        <w:t xml:space="preserve">WAC </w:t>
      </w:r>
      <w:r w:rsidRPr="00AC1871">
        <w:t>480-07-460</w:t>
      </w:r>
      <w:r w:rsidR="006B343C" w:rsidRPr="00AC1871">
        <w:t>.</w:t>
      </w:r>
      <w:r w:rsidRPr="00AC1871">
        <w:t xml:space="preserve"> </w:t>
      </w:r>
      <w:r w:rsidR="006B343C" w:rsidRPr="00AC1871">
        <w:t>The Commission prefers that materials be</w:t>
      </w:r>
      <w:r w:rsidRPr="00AC1871">
        <w:t xml:space="preserve"> three-hole punched with </w:t>
      </w:r>
      <w:r w:rsidRPr="00AC1871">
        <w:rPr>
          <w:i/>
          <w:iCs/>
        </w:rPr>
        <w:t>oversized</w:t>
      </w:r>
      <w:r w:rsidRPr="00AC1871">
        <w:t xml:space="preserve"> holes to allow easy handling. The Commission may require a party to refile any document that fails </w:t>
      </w:r>
      <w:r w:rsidR="00F33C7B" w:rsidRPr="00AC1871">
        <w:t>to conform to these standards.</w:t>
      </w:r>
    </w:p>
    <w:p w14:paraId="76956223" w14:textId="77777777" w:rsidR="00C011AB" w:rsidRPr="00AC1871" w:rsidRDefault="00C011AB" w:rsidP="00AC1871">
      <w:pPr>
        <w:spacing w:line="264" w:lineRule="auto"/>
      </w:pPr>
    </w:p>
    <w:p w14:paraId="26CB5696" w14:textId="4D80F4F2" w:rsidR="00C011AB" w:rsidRPr="00AC1871" w:rsidRDefault="00C011AB" w:rsidP="00AC1871">
      <w:pPr>
        <w:numPr>
          <w:ilvl w:val="0"/>
          <w:numId w:val="3"/>
        </w:numPr>
        <w:spacing w:line="264" w:lineRule="auto"/>
        <w:ind w:hanging="720"/>
      </w:pPr>
      <w:r w:rsidRPr="00AC1871">
        <w:t xml:space="preserve">All filings must be mailed </w:t>
      </w:r>
      <w:r w:rsidR="006B343C" w:rsidRPr="00AC1871">
        <w:t xml:space="preserve">or delivered </w:t>
      </w:r>
      <w:r w:rsidRPr="00AC1871">
        <w:t xml:space="preserve">to the </w:t>
      </w:r>
      <w:r w:rsidR="006B343C" w:rsidRPr="00AC1871">
        <w:t xml:space="preserve">Executive </w:t>
      </w:r>
      <w:r w:rsidR="006B7E83" w:rsidRPr="00AC1871">
        <w:t xml:space="preserve">Director and </w:t>
      </w:r>
      <w:r w:rsidRPr="00AC1871">
        <w:t>Secretary, Washington Utilities and Transportation Commission, P.O. Box 47250, 1300 S. Evergreen Park Drive, S.W. Olympia, Washington 98504-7250</w:t>
      </w:r>
      <w:r w:rsidR="007B4E97" w:rsidRPr="00AC1871">
        <w:t xml:space="preserve">. </w:t>
      </w:r>
      <w:r w:rsidRPr="00AC1871">
        <w:t>Both the post office box and street address are required to expedite deliveries by the U.S. Postal Service.</w:t>
      </w:r>
    </w:p>
    <w:p w14:paraId="61C59268" w14:textId="338FAC00" w:rsidR="00C011AB" w:rsidRPr="00AC1871" w:rsidRDefault="00706309" w:rsidP="00AC1871">
      <w:pPr>
        <w:numPr>
          <w:ilvl w:val="0"/>
          <w:numId w:val="3"/>
        </w:numPr>
        <w:spacing w:line="264" w:lineRule="auto"/>
        <w:ind w:hanging="720"/>
      </w:pPr>
      <w:r w:rsidRPr="00AC1871">
        <w:rPr>
          <w:bCs/>
        </w:rPr>
        <w:t>An electronic copy of all filings must be provided through the Commission’s Web Portal (www.utc.wa.gov/e-fi</w:t>
      </w:r>
      <w:r w:rsidR="005B726B" w:rsidRPr="00AC1871">
        <w:rPr>
          <w:bCs/>
        </w:rPr>
        <w:t xml:space="preserve">ling) or by e-mail delivery to </w:t>
      </w:r>
      <w:hyperlink r:id="rId11" w:history="1">
        <w:r w:rsidRPr="00AC1871">
          <w:rPr>
            <w:rStyle w:val="Hyperlink"/>
            <w:bCs/>
          </w:rPr>
          <w:t>records@utc.wa.gov</w:t>
        </w:r>
      </w:hyperlink>
      <w:r w:rsidRPr="00AC1871">
        <w:rPr>
          <w:bCs/>
        </w:rPr>
        <w:t xml:space="preserve">. </w:t>
      </w:r>
      <w:r w:rsidRPr="00AC1871">
        <w:t>Alternatively, parties may furnish an electronic copy by delivering with each filing a CD or flash drive including the filed document(s). Parties must furnish electronic copies in MS Word 6.0 (or later) supplemented by a separate file in .pdf (Adobe Acrobat) format. Parties must follow WAC 480-07-140(5) in organizing and identifying electronic files</w:t>
      </w:r>
      <w:r w:rsidR="00C011AB" w:rsidRPr="00AC1871">
        <w:t>.</w:t>
      </w:r>
    </w:p>
    <w:p w14:paraId="738E786B" w14:textId="77777777" w:rsidR="00C011AB" w:rsidRPr="00AC1871" w:rsidRDefault="00C011AB" w:rsidP="00AC1871">
      <w:pPr>
        <w:pStyle w:val="Header"/>
        <w:tabs>
          <w:tab w:val="clear" w:pos="4320"/>
          <w:tab w:val="clear" w:pos="8640"/>
        </w:tabs>
        <w:spacing w:line="264" w:lineRule="auto"/>
      </w:pPr>
    </w:p>
    <w:p w14:paraId="3BAE9C81" w14:textId="78BE613F" w:rsidR="00C011AB" w:rsidRPr="00AC1871" w:rsidRDefault="00C011AB" w:rsidP="00AC1871">
      <w:pPr>
        <w:numPr>
          <w:ilvl w:val="0"/>
          <w:numId w:val="3"/>
        </w:numPr>
        <w:spacing w:line="264" w:lineRule="auto"/>
        <w:ind w:hanging="720"/>
      </w:pPr>
      <w:r w:rsidRPr="00AC1871">
        <w:rPr>
          <w:b/>
          <w:bCs/>
        </w:rPr>
        <w:t xml:space="preserve">ELECTRONIC </w:t>
      </w:r>
      <w:r w:rsidR="003C5C70" w:rsidRPr="00AC1871">
        <w:rPr>
          <w:b/>
          <w:bCs/>
        </w:rPr>
        <w:t>SUBMISSION OF DOCUMENTS</w:t>
      </w:r>
      <w:r w:rsidR="007B4E97" w:rsidRPr="00AC1871">
        <w:rPr>
          <w:b/>
          <w:bCs/>
        </w:rPr>
        <w:t xml:space="preserve">. </w:t>
      </w:r>
      <w:r w:rsidR="00BD1EB2" w:rsidRPr="00AC1871">
        <w:t xml:space="preserve">Parties may submit documents electronically to the Commission on the filing deadline to expedite the filing process, but must file an original, plus </w:t>
      </w:r>
      <w:r w:rsidR="009B6D84" w:rsidRPr="00AC1871">
        <w:t>two</w:t>
      </w:r>
      <w:r w:rsidR="00C370BA" w:rsidRPr="00AC1871">
        <w:t xml:space="preserve"> (</w:t>
      </w:r>
      <w:r w:rsidR="009B6D84" w:rsidRPr="00AC1871">
        <w:t>2</w:t>
      </w:r>
      <w:r w:rsidR="00C370BA" w:rsidRPr="00AC1871">
        <w:t>)</w:t>
      </w:r>
      <w:r w:rsidR="00BD1EB2" w:rsidRPr="00AC1871">
        <w:t xml:space="preserve"> paper copies, of the documents with the Commission by 12:00 noon on the first business day following the filing deadline established in the procedural schedule. WAC 480-07-145(6). Parties may submit documents electronically through the Commission’s Web Portal </w:t>
      </w:r>
      <w:r w:rsidR="006B7E83" w:rsidRPr="00AC1871">
        <w:t>(</w:t>
      </w:r>
      <w:hyperlink r:id="rId12" w:history="1">
        <w:r w:rsidR="006B7E83" w:rsidRPr="00AC1871">
          <w:rPr>
            <w:rStyle w:val="Hyperlink"/>
          </w:rPr>
          <w:t>www.utc.wa.gov/efiling</w:t>
        </w:r>
      </w:hyperlink>
      <w:r w:rsidR="006B7E83" w:rsidRPr="00AC1871">
        <w:t xml:space="preserve">) or by e-mail to </w:t>
      </w:r>
      <w:hyperlink r:id="rId13" w:history="1">
        <w:r w:rsidR="006B7E83" w:rsidRPr="00AC1871">
          <w:rPr>
            <w:rStyle w:val="Hyperlink"/>
          </w:rPr>
          <w:t>records@utc.wa.gov</w:t>
        </w:r>
      </w:hyperlink>
      <w:r w:rsidR="006B7E83" w:rsidRPr="00AC1871">
        <w:t>.</w:t>
      </w:r>
      <w:r w:rsidR="00C723C7" w:rsidRPr="00AC1871">
        <w:rPr>
          <w:b/>
          <w:bCs/>
        </w:rPr>
        <w:t xml:space="preserve"> </w:t>
      </w:r>
      <w:r w:rsidR="00C723C7" w:rsidRPr="00AC1871">
        <w:rPr>
          <w:bCs/>
        </w:rPr>
        <w:t xml:space="preserve">Finally, to perfect filing, parties must </w:t>
      </w:r>
      <w:r w:rsidR="006B7E83" w:rsidRPr="00AC1871">
        <w:rPr>
          <w:bCs/>
        </w:rPr>
        <w:t xml:space="preserve">simultaneously </w:t>
      </w:r>
      <w:r w:rsidR="00C723C7" w:rsidRPr="00AC1871">
        <w:rPr>
          <w:bCs/>
        </w:rPr>
        <w:t xml:space="preserve">provide </w:t>
      </w:r>
      <w:r w:rsidR="006B7E83" w:rsidRPr="00AC1871">
        <w:rPr>
          <w:bCs/>
        </w:rPr>
        <w:t xml:space="preserve">e-mail </w:t>
      </w:r>
      <w:r w:rsidR="00C723C7" w:rsidRPr="00AC1871">
        <w:rPr>
          <w:bCs/>
        </w:rPr>
        <w:t xml:space="preserve">courtesy copies of filings to the </w:t>
      </w:r>
      <w:r w:rsidR="009725FE" w:rsidRPr="00AC1871">
        <w:rPr>
          <w:bCs/>
        </w:rPr>
        <w:t>A</w:t>
      </w:r>
      <w:r w:rsidR="00C723C7" w:rsidRPr="00AC1871">
        <w:rPr>
          <w:bCs/>
        </w:rPr>
        <w:t xml:space="preserve">dministrative </w:t>
      </w:r>
      <w:r w:rsidR="009725FE" w:rsidRPr="00AC1871">
        <w:rPr>
          <w:bCs/>
        </w:rPr>
        <w:t>L</w:t>
      </w:r>
      <w:r w:rsidR="00C723C7" w:rsidRPr="00AC1871">
        <w:rPr>
          <w:bCs/>
        </w:rPr>
        <w:t xml:space="preserve">aw </w:t>
      </w:r>
      <w:r w:rsidR="001B359C" w:rsidRPr="00AC1871">
        <w:rPr>
          <w:bCs/>
        </w:rPr>
        <w:t>Judge</w:t>
      </w:r>
      <w:r w:rsidR="00C723C7" w:rsidRPr="00AC1871">
        <w:rPr>
          <w:bCs/>
        </w:rPr>
        <w:t xml:space="preserve"> </w:t>
      </w:r>
      <w:r w:rsidR="009E3B30" w:rsidRPr="00AC1871">
        <w:rPr>
          <w:bCs/>
        </w:rPr>
        <w:t xml:space="preserve">at </w:t>
      </w:r>
      <w:hyperlink r:id="rId14" w:history="1">
        <w:r w:rsidR="001B359C" w:rsidRPr="00AC1871">
          <w:rPr>
            <w:rStyle w:val="Hyperlink"/>
            <w:bCs/>
          </w:rPr>
          <w:t>rpearson@utc.wa.gov</w:t>
        </w:r>
      </w:hyperlink>
      <w:r w:rsidR="009E3B30" w:rsidRPr="00AC1871">
        <w:rPr>
          <w:bCs/>
        </w:rPr>
        <w:t xml:space="preserve"> </w:t>
      </w:r>
      <w:r w:rsidR="00C723C7" w:rsidRPr="00AC1871">
        <w:rPr>
          <w:bCs/>
        </w:rPr>
        <w:t xml:space="preserve">and </w:t>
      </w:r>
      <w:r w:rsidR="006B7E83" w:rsidRPr="00AC1871">
        <w:rPr>
          <w:bCs/>
        </w:rPr>
        <w:t xml:space="preserve">to </w:t>
      </w:r>
      <w:r w:rsidR="00C723C7" w:rsidRPr="00AC1871">
        <w:rPr>
          <w:bCs/>
        </w:rPr>
        <w:t>the parties to the proceeding.</w:t>
      </w:r>
    </w:p>
    <w:p w14:paraId="34B6CF9D" w14:textId="77777777" w:rsidR="00C011AB" w:rsidRPr="00AC1871" w:rsidRDefault="00C011AB" w:rsidP="00AC1871">
      <w:pPr>
        <w:spacing w:line="264" w:lineRule="auto"/>
      </w:pPr>
    </w:p>
    <w:p w14:paraId="64479033" w14:textId="0FD6BA96" w:rsidR="00C011AB" w:rsidRPr="00AC1871" w:rsidRDefault="00C011AB" w:rsidP="00AC1871">
      <w:pPr>
        <w:numPr>
          <w:ilvl w:val="0"/>
          <w:numId w:val="3"/>
        </w:numPr>
        <w:spacing w:line="264" w:lineRule="auto"/>
        <w:ind w:hanging="720"/>
      </w:pPr>
      <w:r w:rsidRPr="00AC1871">
        <w:rPr>
          <w:b/>
          <w:bCs/>
        </w:rPr>
        <w:t>ALTERNATE DISPUTE RESOLUTION</w:t>
      </w:r>
      <w:r w:rsidR="007B4E97" w:rsidRPr="00AC1871">
        <w:t xml:space="preserve">. </w:t>
      </w:r>
      <w:r w:rsidRPr="00AC1871">
        <w:t>The Commission supports the informal settlement of matters before it. Parties are encouraged to consider means of resolving disputes informally. The Commission does have limited ability to provide dispute resolution services; if you wish to explore those services, please call the Director, Administrative Law Division, at 360-664-1</w:t>
      </w:r>
      <w:r w:rsidR="000A4BE8" w:rsidRPr="00AC1871">
        <w:t>355</w:t>
      </w:r>
      <w:r w:rsidRPr="00AC1871">
        <w:t>.</w:t>
      </w:r>
    </w:p>
    <w:p w14:paraId="2873F063" w14:textId="77777777" w:rsidR="00C011AB" w:rsidRPr="00AC1871" w:rsidRDefault="00C011AB" w:rsidP="00AC1871">
      <w:pPr>
        <w:pStyle w:val="Header"/>
        <w:tabs>
          <w:tab w:val="clear" w:pos="4320"/>
          <w:tab w:val="clear" w:pos="8640"/>
        </w:tabs>
        <w:spacing w:line="264" w:lineRule="auto"/>
      </w:pPr>
    </w:p>
    <w:p w14:paraId="02D9C31C" w14:textId="0C7FD665" w:rsidR="00C011AB" w:rsidRPr="00AC1871" w:rsidRDefault="00C011AB" w:rsidP="00AC1871">
      <w:pPr>
        <w:numPr>
          <w:ilvl w:val="0"/>
          <w:numId w:val="3"/>
        </w:numPr>
        <w:spacing w:line="264" w:lineRule="auto"/>
        <w:ind w:hanging="720"/>
      </w:pPr>
      <w:r w:rsidRPr="00AC1871">
        <w:rPr>
          <w:b/>
        </w:rPr>
        <w:t xml:space="preserve">NOTICE TO PARTIES: </w:t>
      </w:r>
      <w:r w:rsidR="001907EC" w:rsidRPr="00AC1871">
        <w:rPr>
          <w:b/>
        </w:rPr>
        <w:t xml:space="preserve">A party who objects </w:t>
      </w:r>
      <w:r w:rsidRPr="00AC1871">
        <w:rPr>
          <w:b/>
        </w:rPr>
        <w:t xml:space="preserve">to </w:t>
      </w:r>
      <w:r w:rsidR="001907EC" w:rsidRPr="00AC1871">
        <w:rPr>
          <w:b/>
        </w:rPr>
        <w:t>any portion</w:t>
      </w:r>
      <w:r w:rsidRPr="00AC1871">
        <w:rPr>
          <w:b/>
        </w:rPr>
        <w:t xml:space="preserve"> of this Order must file</w:t>
      </w:r>
      <w:r w:rsidR="001907EC" w:rsidRPr="00AC1871">
        <w:rPr>
          <w:b/>
        </w:rPr>
        <w:t xml:space="preserve"> a written objection</w:t>
      </w:r>
      <w:r w:rsidRPr="00AC1871">
        <w:rPr>
          <w:b/>
        </w:rPr>
        <w:t xml:space="preserve"> within ten (10) </w:t>
      </w:r>
      <w:r w:rsidR="001907EC" w:rsidRPr="00AC1871">
        <w:rPr>
          <w:b/>
        </w:rPr>
        <w:t xml:space="preserve">calendar </w:t>
      </w:r>
      <w:r w:rsidRPr="00AC1871">
        <w:rPr>
          <w:b/>
        </w:rPr>
        <w:t xml:space="preserve">days after the service date of this Order, pursuant to WAC 480-07-430 and WAC 480-07-810. </w:t>
      </w:r>
      <w:r w:rsidR="001907EC" w:rsidRPr="00AC1871">
        <w:rPr>
          <w:b/>
        </w:rPr>
        <w:t xml:space="preserve">The service date appears on the first page of the order in the upper right-hand corner. </w:t>
      </w:r>
      <w:r w:rsidRPr="00AC1871">
        <w:rPr>
          <w:b/>
        </w:rPr>
        <w:t>Absent such objection, this Order will control further proceedings in this matter, subject to Commission review.</w:t>
      </w:r>
    </w:p>
    <w:p w14:paraId="771EC509" w14:textId="77777777" w:rsidR="00C011AB" w:rsidRPr="00AC1871" w:rsidRDefault="00C011AB" w:rsidP="00AC1871">
      <w:pPr>
        <w:spacing w:line="264" w:lineRule="auto"/>
        <w:ind w:left="-1080"/>
      </w:pPr>
    </w:p>
    <w:p w14:paraId="7279EF7E" w14:textId="31666C5D" w:rsidR="00C011AB" w:rsidRPr="00AC1871" w:rsidRDefault="00C011AB" w:rsidP="00AC1871">
      <w:pPr>
        <w:spacing w:line="264" w:lineRule="auto"/>
      </w:pPr>
      <w:r w:rsidRPr="00AC1871">
        <w:t xml:space="preserve">Dated at Olympia, Washington, and effective </w:t>
      </w:r>
      <w:r w:rsidR="007576E4" w:rsidRPr="00AC1871">
        <w:t>October 1</w:t>
      </w:r>
      <w:r w:rsidR="00A033D5">
        <w:t>9</w:t>
      </w:r>
      <w:bookmarkStart w:id="0" w:name="_GoBack"/>
      <w:bookmarkEnd w:id="0"/>
      <w:r w:rsidR="007576E4" w:rsidRPr="00AC1871">
        <w:t>, 2015</w:t>
      </w:r>
      <w:r w:rsidR="00F82DD9" w:rsidRPr="00AC1871">
        <w:t>.</w:t>
      </w:r>
    </w:p>
    <w:p w14:paraId="4AE5A40B" w14:textId="77777777" w:rsidR="00C011AB" w:rsidRPr="00AC1871" w:rsidRDefault="00C011AB" w:rsidP="00AC1871">
      <w:pPr>
        <w:pStyle w:val="Header"/>
        <w:tabs>
          <w:tab w:val="clear" w:pos="4320"/>
          <w:tab w:val="clear" w:pos="8640"/>
        </w:tabs>
        <w:spacing w:line="264" w:lineRule="auto"/>
      </w:pPr>
    </w:p>
    <w:p w14:paraId="66D309CB" w14:textId="15B97A8D" w:rsidR="00C011AB" w:rsidRPr="00AC1871" w:rsidRDefault="005B726B" w:rsidP="00AC1871">
      <w:pPr>
        <w:spacing w:line="264" w:lineRule="auto"/>
        <w:ind w:firstLine="720"/>
      </w:pPr>
      <w:r w:rsidRPr="00AC1871">
        <w:t>WASHINGTON</w:t>
      </w:r>
      <w:r w:rsidR="001C14F7" w:rsidRPr="00AC1871">
        <w:t xml:space="preserve"> </w:t>
      </w:r>
      <w:r w:rsidR="00C011AB" w:rsidRPr="00AC1871">
        <w:t>UTILITIES AND TRANSPORTATION COMMISSION</w:t>
      </w:r>
    </w:p>
    <w:p w14:paraId="492B9BBE" w14:textId="77777777" w:rsidR="00C011AB" w:rsidRPr="00AC1871" w:rsidRDefault="00C011AB" w:rsidP="00AC1871">
      <w:pPr>
        <w:pStyle w:val="Header"/>
        <w:tabs>
          <w:tab w:val="clear" w:pos="4320"/>
          <w:tab w:val="clear" w:pos="8640"/>
        </w:tabs>
        <w:spacing w:line="264" w:lineRule="auto"/>
      </w:pPr>
    </w:p>
    <w:p w14:paraId="2902B08D" w14:textId="77777777" w:rsidR="00F33C7B" w:rsidRPr="00AC1871" w:rsidRDefault="00F33C7B" w:rsidP="00AC1871">
      <w:pPr>
        <w:pStyle w:val="Header"/>
        <w:tabs>
          <w:tab w:val="clear" w:pos="4320"/>
          <w:tab w:val="clear" w:pos="8640"/>
        </w:tabs>
        <w:spacing w:line="264" w:lineRule="auto"/>
      </w:pPr>
    </w:p>
    <w:p w14:paraId="673BD39B" w14:textId="77777777" w:rsidR="00C011AB" w:rsidRDefault="00C011AB" w:rsidP="00AC1871">
      <w:pPr>
        <w:spacing w:line="264" w:lineRule="auto"/>
      </w:pPr>
    </w:p>
    <w:p w14:paraId="12142E78" w14:textId="77777777" w:rsidR="00AC1871" w:rsidRPr="00AC1871" w:rsidRDefault="00AC1871" w:rsidP="00AC1871">
      <w:pPr>
        <w:spacing w:line="264" w:lineRule="auto"/>
      </w:pPr>
    </w:p>
    <w:p w14:paraId="7D31DEF6" w14:textId="77777777" w:rsidR="00C011AB" w:rsidRPr="00AC1871" w:rsidRDefault="007576E4" w:rsidP="00AC1871">
      <w:pPr>
        <w:spacing w:line="264" w:lineRule="auto"/>
        <w:ind w:left="5040"/>
        <w:rPr>
          <w:bCs/>
        </w:rPr>
      </w:pPr>
      <w:r w:rsidRPr="00AC1871">
        <w:rPr>
          <w:bCs/>
        </w:rPr>
        <w:t>RAYNE PEARSON</w:t>
      </w:r>
    </w:p>
    <w:p w14:paraId="7D4374A8" w14:textId="6C84E402" w:rsidR="00C011AB" w:rsidRPr="00706309" w:rsidRDefault="00C011AB" w:rsidP="00AC1871">
      <w:pPr>
        <w:spacing w:line="264" w:lineRule="auto"/>
      </w:pPr>
      <w:r w:rsidRPr="00AC1871">
        <w:tab/>
      </w:r>
      <w:r w:rsidRPr="00AC1871">
        <w:tab/>
      </w:r>
      <w:r w:rsidRPr="00AC1871">
        <w:tab/>
      </w:r>
      <w:r w:rsidRPr="00AC1871">
        <w:tab/>
      </w:r>
      <w:r w:rsidRPr="00AC1871">
        <w:tab/>
      </w:r>
      <w:r w:rsidRPr="00AC1871">
        <w:tab/>
      </w:r>
      <w:r w:rsidR="005B726B" w:rsidRPr="00AC1871">
        <w:tab/>
      </w:r>
      <w:r w:rsidRPr="00AC1871">
        <w:t>Administrative Law Judge</w:t>
      </w:r>
      <w:r w:rsidRPr="00706309">
        <w:br w:type="page"/>
      </w:r>
    </w:p>
    <w:tbl>
      <w:tblPr>
        <w:tblW w:w="9809" w:type="dxa"/>
        <w:tblInd w:w="-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6"/>
        <w:gridCol w:w="2834"/>
        <w:gridCol w:w="1669"/>
        <w:gridCol w:w="1710"/>
        <w:gridCol w:w="2250"/>
      </w:tblGrid>
      <w:tr w:rsidR="00C011AB" w:rsidRPr="00C61316" w14:paraId="532B5457" w14:textId="77777777" w:rsidTr="008C65E4">
        <w:trPr>
          <w:cantSplit/>
        </w:trPr>
        <w:tc>
          <w:tcPr>
            <w:tcW w:w="9809" w:type="dxa"/>
            <w:gridSpan w:val="5"/>
            <w:tcBorders>
              <w:top w:val="thinThickSmallGap" w:sz="24" w:space="0" w:color="auto"/>
              <w:left w:val="thinThickSmallGap" w:sz="24" w:space="0" w:color="auto"/>
              <w:bottom w:val="thinThickSmallGap" w:sz="24" w:space="0" w:color="auto"/>
              <w:right w:val="thinThickSmallGap" w:sz="24" w:space="0" w:color="auto"/>
            </w:tcBorders>
          </w:tcPr>
          <w:p w14:paraId="1FDF4373" w14:textId="77777777" w:rsidR="00C011AB" w:rsidRPr="00C61316" w:rsidRDefault="00C011AB">
            <w:pPr>
              <w:pStyle w:val="Heading3"/>
              <w:rPr>
                <w:rFonts w:ascii="Times New Roman" w:hAnsi="Times New Roman"/>
                <w:sz w:val="26"/>
                <w:szCs w:val="26"/>
              </w:rPr>
            </w:pPr>
            <w:r w:rsidRPr="00C61316">
              <w:rPr>
                <w:rFonts w:ascii="Times New Roman" w:hAnsi="Times New Roman"/>
                <w:sz w:val="26"/>
                <w:szCs w:val="26"/>
              </w:rPr>
              <w:lastRenderedPageBreak/>
              <w:t>APPENDIX A</w:t>
            </w:r>
          </w:p>
        </w:tc>
      </w:tr>
      <w:tr w:rsidR="00C011AB" w:rsidRPr="00C61316" w14:paraId="248648FE" w14:textId="77777777" w:rsidTr="008C65E4">
        <w:trPr>
          <w:cantSplit/>
        </w:trPr>
        <w:tc>
          <w:tcPr>
            <w:tcW w:w="9809" w:type="dxa"/>
            <w:gridSpan w:val="5"/>
            <w:tcBorders>
              <w:top w:val="thinThickSmallGap" w:sz="24" w:space="0" w:color="auto"/>
              <w:left w:val="thinThickSmallGap" w:sz="24" w:space="0" w:color="auto"/>
              <w:bottom w:val="thinThickThinSmallGap" w:sz="24" w:space="0" w:color="auto"/>
              <w:right w:val="thinThickSmallGap" w:sz="24" w:space="0" w:color="auto"/>
            </w:tcBorders>
          </w:tcPr>
          <w:p w14:paraId="404F64F9" w14:textId="77777777" w:rsidR="00C011AB" w:rsidRPr="00C61316" w:rsidRDefault="00C011AB">
            <w:pPr>
              <w:pStyle w:val="Heading3"/>
              <w:rPr>
                <w:rFonts w:ascii="Times New Roman" w:hAnsi="Times New Roman"/>
                <w:sz w:val="26"/>
                <w:szCs w:val="26"/>
              </w:rPr>
            </w:pPr>
            <w:r w:rsidRPr="00C61316">
              <w:rPr>
                <w:rFonts w:ascii="Times New Roman" w:hAnsi="Times New Roman"/>
                <w:sz w:val="26"/>
                <w:szCs w:val="26"/>
              </w:rPr>
              <w:t>PARTIES’ REPRESENTATIVES</w:t>
            </w:r>
          </w:p>
          <w:p w14:paraId="40E1765B" w14:textId="77777777" w:rsidR="00C011AB" w:rsidRPr="00C61316" w:rsidRDefault="00C011AB" w:rsidP="009C406C">
            <w:pPr>
              <w:spacing w:line="288" w:lineRule="auto"/>
              <w:jc w:val="center"/>
              <w:rPr>
                <w:b/>
                <w:sz w:val="26"/>
                <w:szCs w:val="26"/>
              </w:rPr>
            </w:pPr>
            <w:r w:rsidRPr="00C61316">
              <w:rPr>
                <w:b/>
                <w:sz w:val="26"/>
                <w:szCs w:val="26"/>
              </w:rPr>
              <w:t xml:space="preserve">DOCKET </w:t>
            </w:r>
            <w:r w:rsidR="00B859B1">
              <w:rPr>
                <w:b/>
                <w:sz w:val="26"/>
                <w:szCs w:val="26"/>
              </w:rPr>
              <w:t>TV-1</w:t>
            </w:r>
            <w:r w:rsidR="009C406C">
              <w:rPr>
                <w:b/>
                <w:sz w:val="26"/>
                <w:szCs w:val="26"/>
              </w:rPr>
              <w:t>51655</w:t>
            </w:r>
          </w:p>
        </w:tc>
      </w:tr>
      <w:tr w:rsidR="00CA181E" w:rsidRPr="00C61316" w14:paraId="7FEB63CA" w14:textId="77777777" w:rsidTr="008C65E4">
        <w:tc>
          <w:tcPr>
            <w:tcW w:w="1346" w:type="dxa"/>
            <w:tcBorders>
              <w:top w:val="thinThickSmallGap" w:sz="24" w:space="0" w:color="auto"/>
              <w:left w:val="thinThickSmallGap" w:sz="24" w:space="0" w:color="auto"/>
            </w:tcBorders>
            <w:shd w:val="pct12" w:color="auto" w:fill="auto"/>
          </w:tcPr>
          <w:p w14:paraId="4EAAFA23" w14:textId="77777777" w:rsidR="00C011AB" w:rsidRPr="00C61316" w:rsidRDefault="00C011AB">
            <w:pPr>
              <w:pStyle w:val="Heading4"/>
              <w:rPr>
                <w:rFonts w:ascii="Times New Roman" w:hAnsi="Times New Roman"/>
                <w:sz w:val="26"/>
                <w:szCs w:val="26"/>
              </w:rPr>
            </w:pPr>
            <w:r w:rsidRPr="00C61316">
              <w:rPr>
                <w:rFonts w:ascii="Times New Roman" w:hAnsi="Times New Roman"/>
                <w:sz w:val="26"/>
                <w:szCs w:val="26"/>
              </w:rPr>
              <w:t>PARTY</w:t>
            </w:r>
          </w:p>
        </w:tc>
        <w:tc>
          <w:tcPr>
            <w:tcW w:w="2834" w:type="dxa"/>
            <w:tcBorders>
              <w:top w:val="thinThickThinSmallGap" w:sz="24" w:space="0" w:color="auto"/>
            </w:tcBorders>
            <w:shd w:val="pct12" w:color="auto" w:fill="auto"/>
          </w:tcPr>
          <w:p w14:paraId="104ADD98" w14:textId="77777777" w:rsidR="00C011AB" w:rsidRPr="00C61316" w:rsidRDefault="00C011AB">
            <w:pPr>
              <w:spacing w:line="288" w:lineRule="auto"/>
              <w:rPr>
                <w:b/>
                <w:sz w:val="26"/>
                <w:szCs w:val="26"/>
              </w:rPr>
            </w:pPr>
            <w:r w:rsidRPr="00C61316">
              <w:rPr>
                <w:b/>
                <w:sz w:val="26"/>
                <w:szCs w:val="26"/>
              </w:rPr>
              <w:t>REPRESENTATIVE</w:t>
            </w:r>
          </w:p>
        </w:tc>
        <w:tc>
          <w:tcPr>
            <w:tcW w:w="1669" w:type="dxa"/>
            <w:tcBorders>
              <w:top w:val="thinThickThinSmallGap" w:sz="24" w:space="0" w:color="auto"/>
            </w:tcBorders>
            <w:shd w:val="pct12" w:color="auto" w:fill="auto"/>
          </w:tcPr>
          <w:p w14:paraId="2323D1A2" w14:textId="77777777" w:rsidR="00C011AB" w:rsidRPr="00C61316" w:rsidRDefault="00C011AB">
            <w:pPr>
              <w:spacing w:line="288" w:lineRule="auto"/>
              <w:rPr>
                <w:b/>
                <w:sz w:val="26"/>
                <w:szCs w:val="26"/>
              </w:rPr>
            </w:pPr>
            <w:r w:rsidRPr="00C61316">
              <w:rPr>
                <w:b/>
                <w:sz w:val="26"/>
                <w:szCs w:val="26"/>
              </w:rPr>
              <w:t>PHONE</w:t>
            </w:r>
          </w:p>
        </w:tc>
        <w:tc>
          <w:tcPr>
            <w:tcW w:w="1710" w:type="dxa"/>
            <w:tcBorders>
              <w:top w:val="thinThickThinSmallGap" w:sz="24" w:space="0" w:color="auto"/>
            </w:tcBorders>
            <w:shd w:val="pct12" w:color="auto" w:fill="auto"/>
          </w:tcPr>
          <w:p w14:paraId="302DFD48" w14:textId="77777777" w:rsidR="00C011AB" w:rsidRPr="00C61316" w:rsidRDefault="00C011AB">
            <w:pPr>
              <w:spacing w:line="288" w:lineRule="auto"/>
              <w:rPr>
                <w:b/>
                <w:sz w:val="26"/>
                <w:szCs w:val="26"/>
              </w:rPr>
            </w:pPr>
            <w:r w:rsidRPr="00C61316">
              <w:rPr>
                <w:b/>
                <w:sz w:val="26"/>
                <w:szCs w:val="26"/>
              </w:rPr>
              <w:t>FACSIMILE</w:t>
            </w:r>
          </w:p>
        </w:tc>
        <w:tc>
          <w:tcPr>
            <w:tcW w:w="2250" w:type="dxa"/>
            <w:tcBorders>
              <w:top w:val="thinThickThinSmallGap" w:sz="24" w:space="0" w:color="auto"/>
              <w:right w:val="thinThickSmallGap" w:sz="24" w:space="0" w:color="auto"/>
            </w:tcBorders>
            <w:shd w:val="pct12" w:color="auto" w:fill="auto"/>
          </w:tcPr>
          <w:p w14:paraId="6F5A8D4B" w14:textId="77777777" w:rsidR="00C011AB" w:rsidRPr="00C61316" w:rsidRDefault="00C011AB">
            <w:pPr>
              <w:spacing w:line="288" w:lineRule="auto"/>
              <w:rPr>
                <w:b/>
                <w:sz w:val="26"/>
                <w:szCs w:val="26"/>
              </w:rPr>
            </w:pPr>
            <w:r w:rsidRPr="00C61316">
              <w:rPr>
                <w:b/>
                <w:sz w:val="26"/>
                <w:szCs w:val="26"/>
              </w:rPr>
              <w:t>E-MAIL</w:t>
            </w:r>
          </w:p>
        </w:tc>
      </w:tr>
      <w:tr w:rsidR="00CA181E" w:rsidRPr="00C61316" w14:paraId="1CD08B76" w14:textId="77777777" w:rsidTr="008C65E4">
        <w:tc>
          <w:tcPr>
            <w:tcW w:w="1346" w:type="dxa"/>
            <w:tcBorders>
              <w:left w:val="thinThickSmallGap" w:sz="24" w:space="0" w:color="auto"/>
            </w:tcBorders>
          </w:tcPr>
          <w:p w14:paraId="04602BCE" w14:textId="77777777" w:rsidR="00C011AB" w:rsidRPr="00CA181E" w:rsidRDefault="007576E4">
            <w:pPr>
              <w:rPr>
                <w:sz w:val="22"/>
                <w:szCs w:val="22"/>
              </w:rPr>
            </w:pPr>
            <w:r>
              <w:rPr>
                <w:sz w:val="22"/>
                <w:szCs w:val="22"/>
              </w:rPr>
              <w:t>Budget Family Moving</w:t>
            </w:r>
          </w:p>
        </w:tc>
        <w:tc>
          <w:tcPr>
            <w:tcW w:w="2834" w:type="dxa"/>
          </w:tcPr>
          <w:p w14:paraId="787D3534" w14:textId="77777777" w:rsidR="0014245E" w:rsidRDefault="007576E4">
            <w:pPr>
              <w:rPr>
                <w:bCs/>
                <w:sz w:val="22"/>
                <w:szCs w:val="22"/>
              </w:rPr>
            </w:pPr>
            <w:r>
              <w:rPr>
                <w:bCs/>
                <w:sz w:val="22"/>
                <w:szCs w:val="22"/>
              </w:rPr>
              <w:t>Dexter Petrie</w:t>
            </w:r>
          </w:p>
          <w:p w14:paraId="766F1502" w14:textId="77777777" w:rsidR="007576E4" w:rsidRDefault="007576E4">
            <w:pPr>
              <w:rPr>
                <w:bCs/>
                <w:sz w:val="22"/>
                <w:szCs w:val="22"/>
              </w:rPr>
            </w:pPr>
            <w:r>
              <w:rPr>
                <w:bCs/>
                <w:sz w:val="22"/>
                <w:szCs w:val="22"/>
              </w:rPr>
              <w:t>Budget Family Moving</w:t>
            </w:r>
          </w:p>
          <w:p w14:paraId="1E85D727" w14:textId="77777777" w:rsidR="0014245E" w:rsidRDefault="007576E4">
            <w:pPr>
              <w:rPr>
                <w:bCs/>
                <w:sz w:val="22"/>
                <w:szCs w:val="22"/>
              </w:rPr>
            </w:pPr>
            <w:r>
              <w:rPr>
                <w:bCs/>
                <w:sz w:val="22"/>
                <w:szCs w:val="22"/>
              </w:rPr>
              <w:t>1212 N. Woodlawn St.</w:t>
            </w:r>
          </w:p>
          <w:p w14:paraId="0F9BBC87" w14:textId="77777777" w:rsidR="007576E4" w:rsidRDefault="007576E4">
            <w:pPr>
              <w:rPr>
                <w:bCs/>
                <w:sz w:val="22"/>
                <w:szCs w:val="22"/>
              </w:rPr>
            </w:pPr>
            <w:r>
              <w:rPr>
                <w:bCs/>
                <w:sz w:val="22"/>
                <w:szCs w:val="22"/>
              </w:rPr>
              <w:t>Tacoma, WA 98406</w:t>
            </w:r>
          </w:p>
          <w:p w14:paraId="649C33D9" w14:textId="77777777" w:rsidR="0014245E" w:rsidRDefault="0014245E">
            <w:pPr>
              <w:rPr>
                <w:bCs/>
                <w:sz w:val="22"/>
                <w:szCs w:val="22"/>
              </w:rPr>
            </w:pPr>
          </w:p>
          <w:p w14:paraId="577DFD7F" w14:textId="77777777" w:rsidR="00CA181E" w:rsidRPr="00CA181E" w:rsidRDefault="00CA181E" w:rsidP="0014245E">
            <w:pPr>
              <w:rPr>
                <w:bCs/>
                <w:sz w:val="22"/>
                <w:szCs w:val="22"/>
              </w:rPr>
            </w:pPr>
          </w:p>
        </w:tc>
        <w:tc>
          <w:tcPr>
            <w:tcW w:w="1669" w:type="dxa"/>
          </w:tcPr>
          <w:p w14:paraId="1772E009" w14:textId="77777777" w:rsidR="00C011AB" w:rsidRPr="007576E4" w:rsidRDefault="007576E4" w:rsidP="007576E4">
            <w:pPr>
              <w:rPr>
                <w:bCs/>
                <w:sz w:val="22"/>
                <w:szCs w:val="22"/>
              </w:rPr>
            </w:pPr>
            <w:r w:rsidRPr="007576E4">
              <w:rPr>
                <w:bCs/>
                <w:sz w:val="22"/>
                <w:szCs w:val="22"/>
              </w:rPr>
              <w:t xml:space="preserve">(253) </w:t>
            </w:r>
            <w:r w:rsidRPr="007576E4">
              <w:rPr>
                <w:sz w:val="22"/>
                <w:szCs w:val="22"/>
              </w:rPr>
              <w:t>571-5773</w:t>
            </w:r>
          </w:p>
        </w:tc>
        <w:tc>
          <w:tcPr>
            <w:tcW w:w="1710" w:type="dxa"/>
          </w:tcPr>
          <w:p w14:paraId="2D096627" w14:textId="77777777" w:rsidR="00CA181E" w:rsidRPr="00CA181E" w:rsidRDefault="00CA181E" w:rsidP="00CA181E">
            <w:pPr>
              <w:rPr>
                <w:bCs/>
                <w:sz w:val="22"/>
                <w:szCs w:val="22"/>
              </w:rPr>
            </w:pPr>
          </w:p>
        </w:tc>
        <w:tc>
          <w:tcPr>
            <w:tcW w:w="2250" w:type="dxa"/>
            <w:tcBorders>
              <w:right w:val="thinThickSmallGap" w:sz="24" w:space="0" w:color="auto"/>
            </w:tcBorders>
          </w:tcPr>
          <w:p w14:paraId="5CA0B870" w14:textId="77777777" w:rsidR="00CA181E" w:rsidRPr="00CA181E" w:rsidRDefault="00CA181E" w:rsidP="0014245E">
            <w:pPr>
              <w:rPr>
                <w:sz w:val="22"/>
                <w:szCs w:val="22"/>
              </w:rPr>
            </w:pPr>
          </w:p>
        </w:tc>
      </w:tr>
      <w:tr w:rsidR="00CA181E" w:rsidRPr="00C61316" w14:paraId="4DE9D999" w14:textId="77777777" w:rsidTr="008C65E4">
        <w:tc>
          <w:tcPr>
            <w:tcW w:w="1346" w:type="dxa"/>
            <w:tcBorders>
              <w:left w:val="thinThickSmallGap" w:sz="24" w:space="0" w:color="auto"/>
              <w:bottom w:val="thickThinSmallGap" w:sz="24" w:space="0" w:color="auto"/>
            </w:tcBorders>
          </w:tcPr>
          <w:p w14:paraId="0783017E" w14:textId="77777777" w:rsidR="00CA181E" w:rsidRDefault="00CA181E" w:rsidP="00CA181E">
            <w:pPr>
              <w:rPr>
                <w:sz w:val="22"/>
                <w:szCs w:val="22"/>
              </w:rPr>
            </w:pPr>
            <w:r>
              <w:rPr>
                <w:sz w:val="22"/>
                <w:szCs w:val="22"/>
              </w:rPr>
              <w:t>Commission</w:t>
            </w:r>
          </w:p>
          <w:p w14:paraId="47DCE729" w14:textId="77777777" w:rsidR="00CA181E" w:rsidRPr="00CA181E" w:rsidRDefault="00CA181E" w:rsidP="00CA181E">
            <w:pPr>
              <w:rPr>
                <w:sz w:val="22"/>
                <w:szCs w:val="22"/>
              </w:rPr>
            </w:pPr>
            <w:r>
              <w:rPr>
                <w:sz w:val="22"/>
                <w:szCs w:val="22"/>
              </w:rPr>
              <w:t>Staff</w:t>
            </w:r>
          </w:p>
        </w:tc>
        <w:tc>
          <w:tcPr>
            <w:tcW w:w="2834" w:type="dxa"/>
            <w:tcBorders>
              <w:bottom w:val="thickThinSmallGap" w:sz="24" w:space="0" w:color="auto"/>
            </w:tcBorders>
          </w:tcPr>
          <w:p w14:paraId="009CE611" w14:textId="7FBEEA51" w:rsidR="001C14F7" w:rsidRDefault="008C65E4" w:rsidP="00CA181E">
            <w:pPr>
              <w:rPr>
                <w:sz w:val="22"/>
                <w:szCs w:val="22"/>
              </w:rPr>
            </w:pPr>
            <w:r>
              <w:rPr>
                <w:sz w:val="22"/>
                <w:szCs w:val="22"/>
              </w:rPr>
              <w:t>Jennifer Cameron-Rulkowski</w:t>
            </w:r>
          </w:p>
          <w:p w14:paraId="1E32C94F" w14:textId="77777777" w:rsidR="001C14F7" w:rsidRDefault="001C14F7" w:rsidP="00CA181E">
            <w:pPr>
              <w:rPr>
                <w:sz w:val="22"/>
                <w:szCs w:val="22"/>
              </w:rPr>
            </w:pPr>
            <w:r>
              <w:rPr>
                <w:sz w:val="22"/>
                <w:szCs w:val="22"/>
              </w:rPr>
              <w:t>Assistant Attorney General</w:t>
            </w:r>
          </w:p>
          <w:p w14:paraId="1D6198D8" w14:textId="1F50AB19" w:rsidR="00CA181E" w:rsidRDefault="0014245E" w:rsidP="00CA181E">
            <w:pPr>
              <w:rPr>
                <w:sz w:val="22"/>
                <w:szCs w:val="22"/>
              </w:rPr>
            </w:pPr>
            <w:r>
              <w:rPr>
                <w:sz w:val="22"/>
                <w:szCs w:val="22"/>
              </w:rPr>
              <w:t>1</w:t>
            </w:r>
            <w:r w:rsidR="001C14F7">
              <w:rPr>
                <w:sz w:val="22"/>
                <w:szCs w:val="22"/>
              </w:rPr>
              <w:t>4</w:t>
            </w:r>
            <w:r w:rsidR="00CA181E">
              <w:rPr>
                <w:sz w:val="22"/>
                <w:szCs w:val="22"/>
              </w:rPr>
              <w:t>00 S. Evergreen Park Dr</w:t>
            </w:r>
            <w:r w:rsidR="00FA08A0">
              <w:rPr>
                <w:sz w:val="22"/>
                <w:szCs w:val="22"/>
              </w:rPr>
              <w:t>.</w:t>
            </w:r>
            <w:r w:rsidR="00CA181E">
              <w:rPr>
                <w:sz w:val="22"/>
                <w:szCs w:val="22"/>
              </w:rPr>
              <w:t xml:space="preserve"> SW</w:t>
            </w:r>
          </w:p>
          <w:p w14:paraId="44315DD7" w14:textId="77777777" w:rsidR="00CA181E" w:rsidRDefault="0014245E" w:rsidP="00CA181E">
            <w:pPr>
              <w:rPr>
                <w:sz w:val="22"/>
                <w:szCs w:val="22"/>
              </w:rPr>
            </w:pPr>
            <w:r>
              <w:rPr>
                <w:sz w:val="22"/>
                <w:szCs w:val="22"/>
              </w:rPr>
              <w:t>P.O. Box 4</w:t>
            </w:r>
            <w:r w:rsidR="001C14F7">
              <w:rPr>
                <w:sz w:val="22"/>
                <w:szCs w:val="22"/>
              </w:rPr>
              <w:t>0128</w:t>
            </w:r>
          </w:p>
          <w:p w14:paraId="34E9C840" w14:textId="77777777" w:rsidR="00CA181E" w:rsidRDefault="0014245E" w:rsidP="00CA181E">
            <w:pPr>
              <w:rPr>
                <w:sz w:val="22"/>
                <w:szCs w:val="22"/>
              </w:rPr>
            </w:pPr>
            <w:r>
              <w:rPr>
                <w:sz w:val="22"/>
                <w:szCs w:val="22"/>
              </w:rPr>
              <w:t>Olympia, WA  98504-</w:t>
            </w:r>
            <w:r w:rsidR="001C14F7">
              <w:rPr>
                <w:sz w:val="22"/>
                <w:szCs w:val="22"/>
              </w:rPr>
              <w:t>0128</w:t>
            </w:r>
          </w:p>
          <w:p w14:paraId="07B417D2" w14:textId="77777777" w:rsidR="00CA181E" w:rsidRPr="00CA181E" w:rsidRDefault="00CA181E" w:rsidP="00CA181E">
            <w:pPr>
              <w:rPr>
                <w:sz w:val="22"/>
                <w:szCs w:val="22"/>
              </w:rPr>
            </w:pPr>
          </w:p>
        </w:tc>
        <w:tc>
          <w:tcPr>
            <w:tcW w:w="1669" w:type="dxa"/>
            <w:tcBorders>
              <w:bottom w:val="thickThinSmallGap" w:sz="24" w:space="0" w:color="auto"/>
            </w:tcBorders>
          </w:tcPr>
          <w:p w14:paraId="23027B3A" w14:textId="5E5CC73B" w:rsidR="0014245E" w:rsidRPr="00CA181E" w:rsidRDefault="00CA181E" w:rsidP="0014245E">
            <w:pPr>
              <w:rPr>
                <w:sz w:val="22"/>
                <w:szCs w:val="22"/>
              </w:rPr>
            </w:pPr>
            <w:r>
              <w:rPr>
                <w:sz w:val="22"/>
                <w:szCs w:val="22"/>
              </w:rPr>
              <w:t>(360) 664-</w:t>
            </w:r>
            <w:r w:rsidR="008C65E4">
              <w:rPr>
                <w:sz w:val="22"/>
                <w:szCs w:val="22"/>
              </w:rPr>
              <w:t>1186</w:t>
            </w:r>
          </w:p>
          <w:p w14:paraId="313E32CB" w14:textId="77777777" w:rsidR="00CA181E" w:rsidRPr="00CA181E" w:rsidRDefault="00CA181E" w:rsidP="00CA181E">
            <w:pPr>
              <w:rPr>
                <w:sz w:val="22"/>
                <w:szCs w:val="22"/>
              </w:rPr>
            </w:pPr>
          </w:p>
        </w:tc>
        <w:tc>
          <w:tcPr>
            <w:tcW w:w="1710" w:type="dxa"/>
            <w:tcBorders>
              <w:bottom w:val="thickThinSmallGap" w:sz="24" w:space="0" w:color="auto"/>
            </w:tcBorders>
          </w:tcPr>
          <w:p w14:paraId="4626BE34" w14:textId="36248AAD" w:rsidR="00CA181E" w:rsidRPr="00CA181E" w:rsidRDefault="00CA181E" w:rsidP="008C65E4">
            <w:pPr>
              <w:rPr>
                <w:sz w:val="22"/>
                <w:szCs w:val="22"/>
              </w:rPr>
            </w:pPr>
            <w:r>
              <w:rPr>
                <w:sz w:val="22"/>
                <w:szCs w:val="22"/>
              </w:rPr>
              <w:t>(360)</w:t>
            </w:r>
            <w:r w:rsidR="0014245E">
              <w:rPr>
                <w:sz w:val="22"/>
                <w:szCs w:val="22"/>
              </w:rPr>
              <w:t xml:space="preserve"> </w:t>
            </w:r>
            <w:r w:rsidR="00C528A0">
              <w:rPr>
                <w:sz w:val="22"/>
                <w:szCs w:val="22"/>
              </w:rPr>
              <w:t>586-1150</w:t>
            </w:r>
          </w:p>
        </w:tc>
        <w:tc>
          <w:tcPr>
            <w:tcW w:w="2250" w:type="dxa"/>
            <w:tcBorders>
              <w:bottom w:val="thickThinSmallGap" w:sz="24" w:space="0" w:color="auto"/>
              <w:right w:val="thinThickSmallGap" w:sz="24" w:space="0" w:color="auto"/>
            </w:tcBorders>
          </w:tcPr>
          <w:p w14:paraId="715E68DD" w14:textId="3A935CF2" w:rsidR="001C14F7" w:rsidRPr="00CA181E" w:rsidRDefault="008C65E4" w:rsidP="008C65E4">
            <w:pPr>
              <w:rPr>
                <w:sz w:val="22"/>
                <w:szCs w:val="22"/>
              </w:rPr>
            </w:pPr>
            <w:r>
              <w:rPr>
                <w:sz w:val="22"/>
                <w:szCs w:val="22"/>
              </w:rPr>
              <w:t>Jcameron@utc.wa.gov</w:t>
            </w:r>
          </w:p>
        </w:tc>
      </w:tr>
    </w:tbl>
    <w:p w14:paraId="1F4DB167" w14:textId="77777777" w:rsidR="00C011AB" w:rsidRPr="00C61316" w:rsidRDefault="00C011AB">
      <w:pPr>
        <w:spacing w:line="288" w:lineRule="auto"/>
        <w:rPr>
          <w:sz w:val="26"/>
          <w:szCs w:val="26"/>
        </w:rPr>
      </w:pPr>
    </w:p>
    <w:sectPr w:rsidR="00C011AB" w:rsidRPr="00C61316" w:rsidSect="005B726B">
      <w:headerReference w:type="default" r:id="rId15"/>
      <w:headerReference w:type="first" r:id="rId16"/>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D0A173" w14:textId="77777777" w:rsidR="00FC3488" w:rsidRDefault="00FC3488">
      <w:r>
        <w:separator/>
      </w:r>
    </w:p>
  </w:endnote>
  <w:endnote w:type="continuationSeparator" w:id="0">
    <w:p w14:paraId="74132BAC" w14:textId="77777777" w:rsidR="00FC3488" w:rsidRDefault="00FC3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93736C" w14:textId="77777777" w:rsidR="00FC3488" w:rsidRDefault="00FC3488">
      <w:r>
        <w:separator/>
      </w:r>
    </w:p>
  </w:footnote>
  <w:footnote w:type="continuationSeparator" w:id="0">
    <w:p w14:paraId="480C4F36" w14:textId="77777777" w:rsidR="00FC3488" w:rsidRDefault="00FC3488">
      <w:r>
        <w:continuationSeparator/>
      </w:r>
    </w:p>
  </w:footnote>
  <w:footnote w:id="1">
    <w:p w14:paraId="5B680A08" w14:textId="3AD38F05" w:rsidR="00365FCC" w:rsidRPr="00E6209E" w:rsidRDefault="00365FCC" w:rsidP="005B726B">
      <w:pPr>
        <w:spacing w:after="120"/>
        <w:rPr>
          <w:sz w:val="22"/>
          <w:szCs w:val="22"/>
        </w:rPr>
      </w:pPr>
      <w:r w:rsidRPr="00CA6819">
        <w:rPr>
          <w:rStyle w:val="FootnoteReference"/>
          <w:sz w:val="22"/>
          <w:szCs w:val="22"/>
        </w:rPr>
        <w:footnoteRef/>
      </w:r>
      <w:r w:rsidRPr="00CA6819">
        <w:rPr>
          <w:sz w:val="22"/>
          <w:szCs w:val="22"/>
        </w:rPr>
        <w:t xml:space="preserve"> </w:t>
      </w:r>
      <w:r w:rsidRPr="005E666A">
        <w:rPr>
          <w:sz w:val="22"/>
          <w:szCs w:val="22"/>
        </w:rPr>
        <w:t xml:space="preserve">In formal proceedings, such as this, the Commission’s regulatory staff participates like any other party, while the </w:t>
      </w:r>
      <w:r w:rsidR="00743404">
        <w:rPr>
          <w:sz w:val="22"/>
          <w:szCs w:val="22"/>
        </w:rPr>
        <w:t xml:space="preserve">Administrative Law Judge or the </w:t>
      </w:r>
      <w:r w:rsidRPr="005E666A">
        <w:rPr>
          <w:sz w:val="22"/>
          <w:szCs w:val="22"/>
        </w:rPr>
        <w:t>Commissioners make the decision. To assure fairness, the Commissioners</w:t>
      </w:r>
      <w:r w:rsidR="00743404">
        <w:rPr>
          <w:sz w:val="22"/>
          <w:szCs w:val="22"/>
        </w:rPr>
        <w:t xml:space="preserve"> and</w:t>
      </w:r>
      <w:r w:rsidRPr="005E666A">
        <w:rPr>
          <w:sz w:val="22"/>
          <w:szCs w:val="22"/>
        </w:rPr>
        <w:t xml:space="preserve"> the presiding administrative law judge do not discuss the merits of the proceeding with regulatory staff or any other party without giving notice </w:t>
      </w:r>
      <w:r w:rsidRPr="00E6209E">
        <w:rPr>
          <w:sz w:val="22"/>
          <w:szCs w:val="22"/>
        </w:rPr>
        <w:t>and opportunity for all parties to participate</w:t>
      </w:r>
      <w:r w:rsidR="007B4E97">
        <w:rPr>
          <w:sz w:val="22"/>
          <w:szCs w:val="22"/>
        </w:rPr>
        <w:t xml:space="preserve">. </w:t>
      </w:r>
      <w:r w:rsidRPr="00E6209E">
        <w:rPr>
          <w:i/>
          <w:sz w:val="22"/>
          <w:szCs w:val="22"/>
        </w:rPr>
        <w:t xml:space="preserve">See </w:t>
      </w:r>
      <w:r w:rsidRPr="001B359C">
        <w:rPr>
          <w:sz w:val="22"/>
          <w:szCs w:val="22"/>
        </w:rPr>
        <w:t>RCW 34.05.455.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7EB0F" w14:textId="77777777" w:rsidR="0081656F" w:rsidRPr="00C61316" w:rsidRDefault="0081656F" w:rsidP="005B726B">
    <w:pPr>
      <w:pStyle w:val="Header"/>
      <w:rPr>
        <w:rStyle w:val="PageNumber"/>
        <w:b/>
        <w:bCs/>
        <w:sz w:val="20"/>
      </w:rPr>
    </w:pPr>
    <w:r w:rsidRPr="00C61316">
      <w:rPr>
        <w:b/>
        <w:bCs/>
        <w:sz w:val="20"/>
      </w:rPr>
      <w:t xml:space="preserve">DOCKET </w:t>
    </w:r>
    <w:r w:rsidR="00365FCC">
      <w:rPr>
        <w:b/>
        <w:bCs/>
        <w:sz w:val="20"/>
      </w:rPr>
      <w:t>TV-151655</w:t>
    </w:r>
    <w:r w:rsidRPr="00C61316">
      <w:rPr>
        <w:b/>
        <w:bCs/>
        <w:sz w:val="20"/>
      </w:rPr>
      <w:tab/>
    </w:r>
    <w:r w:rsidRPr="00C61316">
      <w:rPr>
        <w:b/>
        <w:bCs/>
        <w:sz w:val="20"/>
      </w:rPr>
      <w:tab/>
      <w:t xml:space="preserve">PAGE </w:t>
    </w:r>
    <w:r w:rsidRPr="00C61316">
      <w:rPr>
        <w:rStyle w:val="PageNumber"/>
        <w:b/>
        <w:bCs/>
        <w:sz w:val="20"/>
      </w:rPr>
      <w:fldChar w:fldCharType="begin"/>
    </w:r>
    <w:r w:rsidRPr="00C61316">
      <w:rPr>
        <w:rStyle w:val="PageNumber"/>
        <w:b/>
        <w:bCs/>
        <w:sz w:val="20"/>
      </w:rPr>
      <w:instrText xml:space="preserve"> PAGE </w:instrText>
    </w:r>
    <w:r w:rsidRPr="00C61316">
      <w:rPr>
        <w:rStyle w:val="PageNumber"/>
        <w:b/>
        <w:bCs/>
        <w:sz w:val="20"/>
      </w:rPr>
      <w:fldChar w:fldCharType="separate"/>
    </w:r>
    <w:r w:rsidR="00A033D5">
      <w:rPr>
        <w:rStyle w:val="PageNumber"/>
        <w:b/>
        <w:bCs/>
        <w:noProof/>
        <w:sz w:val="20"/>
      </w:rPr>
      <w:t>4</w:t>
    </w:r>
    <w:r w:rsidRPr="00C61316">
      <w:rPr>
        <w:rStyle w:val="PageNumber"/>
        <w:b/>
        <w:bCs/>
        <w:sz w:val="20"/>
      </w:rPr>
      <w:fldChar w:fldCharType="end"/>
    </w:r>
  </w:p>
  <w:p w14:paraId="2D61627D" w14:textId="77777777" w:rsidR="0081656F" w:rsidRPr="00C61316" w:rsidRDefault="0081656F">
    <w:pPr>
      <w:pStyle w:val="Header"/>
      <w:tabs>
        <w:tab w:val="clear" w:pos="8640"/>
        <w:tab w:val="right" w:pos="8100"/>
      </w:tabs>
      <w:rPr>
        <w:rStyle w:val="PageNumber"/>
        <w:b/>
        <w:bCs/>
        <w:sz w:val="20"/>
      </w:rPr>
    </w:pPr>
    <w:r w:rsidRPr="00C61316">
      <w:rPr>
        <w:rStyle w:val="PageNumber"/>
        <w:b/>
        <w:bCs/>
        <w:sz w:val="20"/>
      </w:rPr>
      <w:t xml:space="preserve">ORDER </w:t>
    </w:r>
    <w:r>
      <w:rPr>
        <w:rStyle w:val="PageNumber"/>
        <w:b/>
        <w:bCs/>
        <w:sz w:val="20"/>
      </w:rPr>
      <w:t>0</w:t>
    </w:r>
    <w:r w:rsidR="00640C2A">
      <w:rPr>
        <w:rStyle w:val="PageNumber"/>
        <w:b/>
        <w:bCs/>
        <w:sz w:val="20"/>
      </w:rPr>
      <w:t>2</w:t>
    </w:r>
  </w:p>
  <w:p w14:paraId="0C0C1D32" w14:textId="77777777" w:rsidR="0081656F" w:rsidRPr="00C61316" w:rsidRDefault="0081656F">
    <w:pPr>
      <w:pStyle w:val="Header"/>
      <w:tabs>
        <w:tab w:val="clear" w:pos="8640"/>
        <w:tab w:val="right" w:pos="8100"/>
      </w:tabs>
      <w:rPr>
        <w:b/>
        <w:bCs/>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E3679" w14:textId="51894FC6" w:rsidR="00D013BF" w:rsidRPr="0088721D" w:rsidRDefault="00D013BF" w:rsidP="00D013BF">
    <w:pPr>
      <w:pStyle w:val="Header"/>
      <w:tabs>
        <w:tab w:val="clear" w:pos="4320"/>
      </w:tabs>
      <w:rPr>
        <w:b/>
        <w:sz w:val="20"/>
        <w:szCs w:val="20"/>
      </w:rPr>
    </w:pPr>
    <w:r>
      <w:tab/>
    </w:r>
    <w:r w:rsidR="0088721D" w:rsidRPr="0088721D">
      <w:rPr>
        <w:b/>
        <w:sz w:val="20"/>
      </w:rPr>
      <w:t>[Service date October 19,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5315A1B"/>
    <w:multiLevelType w:val="hybridMultilevel"/>
    <w:tmpl w:val="31643A42"/>
    <w:lvl w:ilvl="0" w:tplc="B8CA9774">
      <w:start w:val="1"/>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C231520"/>
    <w:multiLevelType w:val="hybridMultilevel"/>
    <w:tmpl w:val="E7C03D66"/>
    <w:lvl w:ilvl="0" w:tplc="DA0C92AE">
      <w:start w:val="1"/>
      <w:numFmt w:val="decimal"/>
      <w:lvlText w:val="%1"/>
      <w:lvlJc w:val="left"/>
      <w:pPr>
        <w:tabs>
          <w:tab w:val="num" w:pos="0"/>
        </w:tabs>
        <w:ind w:left="0" w:hanging="720"/>
      </w:pPr>
      <w:rPr>
        <w:rFonts w:hint="default"/>
        <w:b w:val="0"/>
        <w:i/>
        <w:sz w:val="20"/>
        <w:szCs w:val="20"/>
      </w:rPr>
    </w:lvl>
    <w:lvl w:ilvl="1" w:tplc="02746488">
      <w:start w:val="1"/>
      <w:numFmt w:val="decimal"/>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720"/>
    <w:rsid w:val="000238B3"/>
    <w:rsid w:val="00042AF2"/>
    <w:rsid w:val="0006534C"/>
    <w:rsid w:val="00073085"/>
    <w:rsid w:val="000A253A"/>
    <w:rsid w:val="000A4BE8"/>
    <w:rsid w:val="000D39AA"/>
    <w:rsid w:val="00113DAD"/>
    <w:rsid w:val="001350C5"/>
    <w:rsid w:val="0014245E"/>
    <w:rsid w:val="00163E7C"/>
    <w:rsid w:val="00167903"/>
    <w:rsid w:val="00173F52"/>
    <w:rsid w:val="00174DCC"/>
    <w:rsid w:val="00185315"/>
    <w:rsid w:val="001907EC"/>
    <w:rsid w:val="001B359C"/>
    <w:rsid w:val="001C14F7"/>
    <w:rsid w:val="001E1088"/>
    <w:rsid w:val="002E1E12"/>
    <w:rsid w:val="0032034A"/>
    <w:rsid w:val="00342629"/>
    <w:rsid w:val="00345CB8"/>
    <w:rsid w:val="003555A4"/>
    <w:rsid w:val="00357BDA"/>
    <w:rsid w:val="00365FCC"/>
    <w:rsid w:val="003A707A"/>
    <w:rsid w:val="003C5C70"/>
    <w:rsid w:val="003D2792"/>
    <w:rsid w:val="004365EF"/>
    <w:rsid w:val="004436BC"/>
    <w:rsid w:val="00471F57"/>
    <w:rsid w:val="004A7BC0"/>
    <w:rsid w:val="004C1808"/>
    <w:rsid w:val="004E18E1"/>
    <w:rsid w:val="0055421A"/>
    <w:rsid w:val="005A6D01"/>
    <w:rsid w:val="005B726B"/>
    <w:rsid w:val="005C71FB"/>
    <w:rsid w:val="005D5176"/>
    <w:rsid w:val="00604A8A"/>
    <w:rsid w:val="00640C2A"/>
    <w:rsid w:val="006832D1"/>
    <w:rsid w:val="006B343C"/>
    <w:rsid w:val="006B7E83"/>
    <w:rsid w:val="006E281E"/>
    <w:rsid w:val="00706309"/>
    <w:rsid w:val="00743404"/>
    <w:rsid w:val="007576E4"/>
    <w:rsid w:val="00791555"/>
    <w:rsid w:val="007A5BB0"/>
    <w:rsid w:val="007B24D2"/>
    <w:rsid w:val="007B4E97"/>
    <w:rsid w:val="008133D2"/>
    <w:rsid w:val="0081656F"/>
    <w:rsid w:val="00841E80"/>
    <w:rsid w:val="00874D2B"/>
    <w:rsid w:val="0088721D"/>
    <w:rsid w:val="00895BED"/>
    <w:rsid w:val="008C65E4"/>
    <w:rsid w:val="008E1F69"/>
    <w:rsid w:val="009242D3"/>
    <w:rsid w:val="009278BE"/>
    <w:rsid w:val="009725FE"/>
    <w:rsid w:val="009A7662"/>
    <w:rsid w:val="009B45C9"/>
    <w:rsid w:val="009B6D84"/>
    <w:rsid w:val="009C406C"/>
    <w:rsid w:val="009C686D"/>
    <w:rsid w:val="009E3B30"/>
    <w:rsid w:val="00A00F04"/>
    <w:rsid w:val="00A033D5"/>
    <w:rsid w:val="00A477FE"/>
    <w:rsid w:val="00A5726D"/>
    <w:rsid w:val="00A705AC"/>
    <w:rsid w:val="00AA702D"/>
    <w:rsid w:val="00AC1871"/>
    <w:rsid w:val="00AD4ACB"/>
    <w:rsid w:val="00B217C3"/>
    <w:rsid w:val="00B23B29"/>
    <w:rsid w:val="00B47A77"/>
    <w:rsid w:val="00B62034"/>
    <w:rsid w:val="00B859B1"/>
    <w:rsid w:val="00B866F9"/>
    <w:rsid w:val="00B91FB5"/>
    <w:rsid w:val="00BD1EB2"/>
    <w:rsid w:val="00C011AB"/>
    <w:rsid w:val="00C15767"/>
    <w:rsid w:val="00C26280"/>
    <w:rsid w:val="00C370BA"/>
    <w:rsid w:val="00C528A0"/>
    <w:rsid w:val="00C55B00"/>
    <w:rsid w:val="00C61316"/>
    <w:rsid w:val="00C723C7"/>
    <w:rsid w:val="00C7528B"/>
    <w:rsid w:val="00CA181E"/>
    <w:rsid w:val="00CC464B"/>
    <w:rsid w:val="00CE6CF6"/>
    <w:rsid w:val="00CF22E5"/>
    <w:rsid w:val="00D013BF"/>
    <w:rsid w:val="00D6401D"/>
    <w:rsid w:val="00D91720"/>
    <w:rsid w:val="00DB401D"/>
    <w:rsid w:val="00DB6F21"/>
    <w:rsid w:val="00DD04DD"/>
    <w:rsid w:val="00DD44FF"/>
    <w:rsid w:val="00E84B87"/>
    <w:rsid w:val="00E8667A"/>
    <w:rsid w:val="00E944C4"/>
    <w:rsid w:val="00EC4921"/>
    <w:rsid w:val="00F13DBB"/>
    <w:rsid w:val="00F22CB8"/>
    <w:rsid w:val="00F33C7B"/>
    <w:rsid w:val="00F442EE"/>
    <w:rsid w:val="00F5333A"/>
    <w:rsid w:val="00F566DB"/>
    <w:rsid w:val="00F72BFA"/>
    <w:rsid w:val="00F82DD9"/>
    <w:rsid w:val="00F869C9"/>
    <w:rsid w:val="00F97803"/>
    <w:rsid w:val="00FA08A0"/>
    <w:rsid w:val="00FA7A86"/>
    <w:rsid w:val="00FB573B"/>
    <w:rsid w:val="00FC3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A9B54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jc w:val="center"/>
      <w:outlineLvl w:val="2"/>
    </w:pPr>
    <w:rPr>
      <w:rFonts w:ascii="Palatino Linotype" w:hAnsi="Palatino Linotype"/>
      <w:b/>
      <w:bCs/>
    </w:rPr>
  </w:style>
  <w:style w:type="paragraph" w:styleId="Heading4">
    <w:name w:val="heading 4"/>
    <w:basedOn w:val="Normal"/>
    <w:next w:val="Normal"/>
    <w:qFormat/>
    <w:pPr>
      <w:keepNext/>
      <w:jc w:val="center"/>
      <w:outlineLvl w:val="3"/>
    </w:pPr>
    <w:rPr>
      <w:rFonts w:ascii="Palatino Linotype" w:hAnsi="Palatino Linotype"/>
      <w:b/>
      <w:bCs/>
      <w:sz w:val="28"/>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link w:val="FootnoteTextChar"/>
    <w:semiHidden/>
    <w:rPr>
      <w:sz w:val="20"/>
      <w:szCs w:val="20"/>
    </w:rPr>
  </w:style>
  <w:style w:type="character" w:styleId="FootnoteReference">
    <w:name w:val="footnote reference"/>
    <w:rPr>
      <w:vertAlign w:val="superscript"/>
    </w:rPr>
  </w:style>
  <w:style w:type="paragraph" w:styleId="Title">
    <w:name w:val="Title"/>
    <w:basedOn w:val="Normal"/>
    <w:qFormat/>
    <w:pPr>
      <w:widowControl w:val="0"/>
      <w:autoSpaceDE w:val="0"/>
      <w:autoSpaceDN w:val="0"/>
      <w:adjustRightInd w:val="0"/>
      <w:jc w:val="center"/>
    </w:pPr>
    <w:rPr>
      <w:b/>
      <w:bCs/>
      <w:sz w:val="28"/>
      <w:szCs w:val="32"/>
    </w:rPr>
  </w:style>
  <w:style w:type="character" w:styleId="Hyperlink">
    <w:name w:val="Hyperlink"/>
    <w:rPr>
      <w:color w:val="0000FF"/>
      <w:u w:val="single"/>
    </w:rPr>
  </w:style>
  <w:style w:type="paragraph" w:styleId="ListParagraph">
    <w:name w:val="List Paragraph"/>
    <w:basedOn w:val="Normal"/>
    <w:uiPriority w:val="34"/>
    <w:qFormat/>
    <w:rsid w:val="00CA181E"/>
    <w:pPr>
      <w:ind w:left="720"/>
    </w:pPr>
    <w:rPr>
      <w:rFonts w:ascii="Palatino Linotype" w:hAnsi="Palatino Linotype"/>
    </w:rPr>
  </w:style>
  <w:style w:type="character" w:customStyle="1" w:styleId="HeaderChar">
    <w:name w:val="Header Char"/>
    <w:link w:val="Header"/>
    <w:uiPriority w:val="99"/>
    <w:rsid w:val="00D013BF"/>
    <w:rPr>
      <w:sz w:val="24"/>
      <w:szCs w:val="24"/>
    </w:rPr>
  </w:style>
  <w:style w:type="character" w:styleId="CommentReference">
    <w:name w:val="annotation reference"/>
    <w:rsid w:val="00F33C7B"/>
    <w:rPr>
      <w:sz w:val="16"/>
      <w:szCs w:val="16"/>
    </w:rPr>
  </w:style>
  <w:style w:type="paragraph" w:styleId="CommentText">
    <w:name w:val="annotation text"/>
    <w:basedOn w:val="Normal"/>
    <w:link w:val="CommentTextChar"/>
    <w:rsid w:val="00F33C7B"/>
    <w:rPr>
      <w:sz w:val="20"/>
      <w:szCs w:val="20"/>
    </w:rPr>
  </w:style>
  <w:style w:type="character" w:customStyle="1" w:styleId="CommentTextChar">
    <w:name w:val="Comment Text Char"/>
    <w:basedOn w:val="DefaultParagraphFont"/>
    <w:link w:val="CommentText"/>
    <w:rsid w:val="00F33C7B"/>
  </w:style>
  <w:style w:type="paragraph" w:styleId="CommentSubject">
    <w:name w:val="annotation subject"/>
    <w:basedOn w:val="CommentText"/>
    <w:next w:val="CommentText"/>
    <w:link w:val="CommentSubjectChar"/>
    <w:rsid w:val="00F33C7B"/>
    <w:rPr>
      <w:b/>
      <w:bCs/>
    </w:rPr>
  </w:style>
  <w:style w:type="character" w:customStyle="1" w:styleId="CommentSubjectChar">
    <w:name w:val="Comment Subject Char"/>
    <w:link w:val="CommentSubject"/>
    <w:rsid w:val="00F33C7B"/>
    <w:rPr>
      <w:b/>
      <w:bCs/>
    </w:rPr>
  </w:style>
  <w:style w:type="paragraph" w:styleId="BalloonText">
    <w:name w:val="Balloon Text"/>
    <w:basedOn w:val="Normal"/>
    <w:link w:val="BalloonTextChar"/>
    <w:rsid w:val="00F33C7B"/>
    <w:rPr>
      <w:rFonts w:ascii="Tahoma" w:hAnsi="Tahoma" w:cs="Tahoma"/>
      <w:sz w:val="16"/>
      <w:szCs w:val="16"/>
    </w:rPr>
  </w:style>
  <w:style w:type="character" w:customStyle="1" w:styleId="BalloonTextChar">
    <w:name w:val="Balloon Text Char"/>
    <w:link w:val="BalloonText"/>
    <w:rsid w:val="00F33C7B"/>
    <w:rPr>
      <w:rFonts w:ascii="Tahoma" w:hAnsi="Tahoma" w:cs="Tahoma"/>
      <w:sz w:val="16"/>
      <w:szCs w:val="16"/>
    </w:rPr>
  </w:style>
  <w:style w:type="character" w:customStyle="1" w:styleId="FootnoteTextChar">
    <w:name w:val="Footnote Text Char"/>
    <w:basedOn w:val="DefaultParagraphFont"/>
    <w:link w:val="FootnoteText"/>
    <w:semiHidden/>
    <w:rsid w:val="00365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ords@utc.wa.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tc.wa.gov/efilin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ords@utc.wa.gov"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pearson@utc.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Prehearing Conference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207</IndustryCode>
    <CaseStatus xmlns="dc463f71-b30c-4ab2-9473-d307f9d35888">Closed</CaseStatus>
    <OpenedDate xmlns="dc463f71-b30c-4ab2-9473-d307f9d35888">2015-08-11T07:00:00+00:00</OpenedDate>
    <Date1 xmlns="dc463f71-b30c-4ab2-9473-d307f9d35888">2015-10-19T07:00:00+00:00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151655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1176983AF38FC4D98CD2393B9208210" ma:contentTypeVersion="119" ma:contentTypeDescription="" ma:contentTypeScope="" ma:versionID="4fc2a7700a41ad4a71035273880242f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AE904F-0AC1-4AD8-8D3A-85E849420DD3}"/>
</file>

<file path=customXml/itemProps2.xml><?xml version="1.0" encoding="utf-8"?>
<ds:datastoreItem xmlns:ds="http://schemas.openxmlformats.org/officeDocument/2006/customXml" ds:itemID="{0A73E0DB-90D4-415F-BDD1-F2D6E87E9BA9}"/>
</file>

<file path=customXml/itemProps3.xml><?xml version="1.0" encoding="utf-8"?>
<ds:datastoreItem xmlns:ds="http://schemas.openxmlformats.org/officeDocument/2006/customXml" ds:itemID="{BAD8D30A-AC12-42EE-85C9-A5E207B3EFA1}"/>
</file>

<file path=customXml/itemProps4.xml><?xml version="1.0" encoding="utf-8"?>
<ds:datastoreItem xmlns:ds="http://schemas.openxmlformats.org/officeDocument/2006/customXml" ds:itemID="{AD8C8C46-87D3-4261-9B40-85E3125313DC}"/>
</file>

<file path=customXml/itemProps5.xml><?xml version="1.0" encoding="utf-8"?>
<ds:datastoreItem xmlns:ds="http://schemas.openxmlformats.org/officeDocument/2006/customXml" ds:itemID="{DE3DA9C2-D41A-4E2C-9127-262D00142327}"/>
</file>

<file path=docProps/app.xml><?xml version="1.0" encoding="utf-8"?>
<Properties xmlns="http://schemas.openxmlformats.org/officeDocument/2006/extended-properties" xmlns:vt="http://schemas.openxmlformats.org/officeDocument/2006/docPropsVTypes">
  <Template>Normal</Template>
  <TotalTime>0</TotalTime>
  <Pages>4</Pages>
  <Words>993</Words>
  <Characters>5693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6673</CharactersWithSpaces>
  <SharedDoc>false</SharedDoc>
  <HLinks>
    <vt:vector size="30" baseType="variant">
      <vt:variant>
        <vt:i4>786558</vt:i4>
      </vt:variant>
      <vt:variant>
        <vt:i4>12</vt:i4>
      </vt:variant>
      <vt:variant>
        <vt:i4>0</vt:i4>
      </vt:variant>
      <vt:variant>
        <vt:i4>5</vt:i4>
      </vt:variant>
      <vt:variant>
        <vt:lpwstr>mailto:bcedarba@utc.wa.gov</vt:lpwstr>
      </vt:variant>
      <vt:variant>
        <vt:lpwstr/>
      </vt:variant>
      <vt:variant>
        <vt:i4>1835051</vt:i4>
      </vt:variant>
      <vt:variant>
        <vt:i4>9</vt:i4>
      </vt:variant>
      <vt:variant>
        <vt:i4>0</vt:i4>
      </vt:variant>
      <vt:variant>
        <vt:i4>5</vt:i4>
      </vt:variant>
      <vt:variant>
        <vt:lpwstr>mailto:armoving@hotmail.com</vt:lpwstr>
      </vt:variant>
      <vt:variant>
        <vt:lpwstr/>
      </vt:variant>
      <vt:variant>
        <vt:i4>7602192</vt:i4>
      </vt:variant>
      <vt:variant>
        <vt:i4>6</vt:i4>
      </vt:variant>
      <vt:variant>
        <vt:i4>0</vt:i4>
      </vt:variant>
      <vt:variant>
        <vt:i4>5</vt:i4>
      </vt:variant>
      <vt:variant>
        <vt:lpwstr>mailto:gkopta@utc.wa.gov</vt:lpwstr>
      </vt:variant>
      <vt:variant>
        <vt:lpwstr/>
      </vt:variant>
      <vt:variant>
        <vt:i4>5374008</vt:i4>
      </vt:variant>
      <vt:variant>
        <vt:i4>3</vt:i4>
      </vt:variant>
      <vt:variant>
        <vt:i4>0</vt:i4>
      </vt:variant>
      <vt:variant>
        <vt:i4>5</vt:i4>
      </vt:variant>
      <vt:variant>
        <vt:lpwstr>mailto:records@utc.wa.gov</vt:lpwstr>
      </vt:variant>
      <vt:variant>
        <vt:lpwstr/>
      </vt:variant>
      <vt:variant>
        <vt:i4>4194335</vt:i4>
      </vt:variant>
      <vt:variant>
        <vt:i4>0</vt:i4>
      </vt:variant>
      <vt:variant>
        <vt:i4>0</vt:i4>
      </vt:variant>
      <vt:variant>
        <vt:i4>5</vt:i4>
      </vt:variant>
      <vt:variant>
        <vt:lpwstr>http://www.utc.wa.gov/efiling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2015-10-19T21:42:00Z</dcterms:created>
  <dcterms:modified xsi:type="dcterms:W3CDTF">2015-10-19T21:42:00Z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0x0101006E56B4D1795A2E4DB2F0B01679ED314A00D1176983AF38FC4D98CD2393B9208210</vt:lpwstr>
  </property>
  <property fmtid="{D5CDD505-2E9C-101B-9397-08002B2CF9AE}" pid="3" name="_docset_NoMedatataSyncRequired">
    <vt:lpwstr>False</vt:lpwstr>
  </property>
</Properties>
</file>