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0D58B0" w:rsidRDefault="000D58B0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0D58B0" w:rsidRPr="00D029F1" w:rsidRDefault="008C59C0" w:rsidP="000D58B0">
      <w:pPr>
        <w:pStyle w:val="Heading1"/>
        <w:ind w:left="2880" w:hanging="288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September 30, 201</w:t>
      </w:r>
      <w:r w:rsidR="00BA07C7">
        <w:rPr>
          <w:rFonts w:ascii="Times New Roman" w:hAnsi="Times New Roman"/>
          <w:szCs w:val="24"/>
        </w:rPr>
        <w:t>5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3F739E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0D58B0" w:rsidRPr="000D58B0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Executive Director</w:t>
      </w:r>
      <w:r w:rsidR="003F739E">
        <w:rPr>
          <w:sz w:val="24"/>
          <w:szCs w:val="24"/>
        </w:rPr>
        <w:t xml:space="preserve"> and Secretary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Washington Utilities &amp; Transportation Commission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8C59C0" w:rsidP="00FA1E8C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C82CA3">
            <wp:simplePos x="0" y="0"/>
            <wp:positionH relativeFrom="column">
              <wp:posOffset>2787650</wp:posOffset>
            </wp:positionH>
            <wp:positionV relativeFrom="paragraph">
              <wp:posOffset>8561070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8C">
        <w:rPr>
          <w:sz w:val="24"/>
          <w:szCs w:val="24"/>
        </w:rPr>
        <w:t>Re:</w:t>
      </w:r>
      <w:r w:rsidR="00FA1E8C">
        <w:rPr>
          <w:sz w:val="24"/>
          <w:szCs w:val="24"/>
        </w:rPr>
        <w:tab/>
        <w:t xml:space="preserve">Pipeline Replacement Cost Recovery Mechanism </w:t>
      </w:r>
      <w:r w:rsidR="006D7F77" w:rsidRPr="00976291">
        <w:rPr>
          <w:b/>
          <w:sz w:val="24"/>
          <w:szCs w:val="24"/>
        </w:rPr>
        <w:t>update</w:t>
      </w:r>
      <w:r w:rsidR="006D7F77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>in Accordance with Commission Policy Statement in Docket UG-120715</w:t>
      </w:r>
      <w:r w:rsidR="00976291">
        <w:rPr>
          <w:sz w:val="24"/>
          <w:szCs w:val="24"/>
        </w:rPr>
        <w:t xml:space="preserve">.  </w:t>
      </w:r>
      <w:proofErr w:type="gramStart"/>
      <w:r w:rsidR="00976291">
        <w:rPr>
          <w:sz w:val="24"/>
          <w:szCs w:val="24"/>
        </w:rPr>
        <w:t>Original filing under Advice No.</w:t>
      </w:r>
      <w:proofErr w:type="gramEnd"/>
      <w:r w:rsidR="00976291">
        <w:rPr>
          <w:sz w:val="24"/>
          <w:szCs w:val="24"/>
        </w:rPr>
        <w:t xml:space="preserve"> CNG/W1</w:t>
      </w:r>
      <w:r w:rsidR="00BA07C7">
        <w:rPr>
          <w:sz w:val="24"/>
          <w:szCs w:val="24"/>
        </w:rPr>
        <w:t>5</w:t>
      </w:r>
      <w:r w:rsidR="00976291">
        <w:rPr>
          <w:sz w:val="24"/>
          <w:szCs w:val="24"/>
        </w:rPr>
        <w:t>-05-01</w:t>
      </w:r>
      <w:r>
        <w:rPr>
          <w:sz w:val="24"/>
          <w:szCs w:val="24"/>
        </w:rPr>
        <w:t>, Docket UG-1</w:t>
      </w:r>
      <w:r w:rsidR="00BA07C7">
        <w:rPr>
          <w:sz w:val="24"/>
          <w:szCs w:val="24"/>
        </w:rPr>
        <w:t>51155</w:t>
      </w:r>
      <w:r w:rsidR="00976291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0D58B0" w:rsidRPr="000D58B0">
        <w:rPr>
          <w:sz w:val="24"/>
          <w:szCs w:val="24"/>
        </w:rPr>
        <w:t>: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In </w:t>
      </w:r>
      <w:r w:rsidR="00FA1E8C">
        <w:rPr>
          <w:sz w:val="24"/>
          <w:szCs w:val="24"/>
        </w:rPr>
        <w:t xml:space="preserve">accordance with the Commission’s policy statement in Docket UG-120715 Cascade hereby submits its </w:t>
      </w:r>
      <w:r w:rsidR="006D7F77">
        <w:rPr>
          <w:sz w:val="24"/>
          <w:szCs w:val="24"/>
        </w:rPr>
        <w:t xml:space="preserve">update to the Cost Recovery Mechanism with actual costs as of </w:t>
      </w:r>
      <w:r w:rsidR="00385EEE">
        <w:rPr>
          <w:sz w:val="24"/>
          <w:szCs w:val="24"/>
        </w:rPr>
        <w:t>August</w:t>
      </w:r>
      <w:r w:rsidR="006D7F77">
        <w:rPr>
          <w:sz w:val="24"/>
          <w:szCs w:val="24"/>
        </w:rPr>
        <w:t xml:space="preserve"> 31, 201</w:t>
      </w:r>
      <w:r w:rsidR="00BA07C7">
        <w:rPr>
          <w:sz w:val="24"/>
          <w:szCs w:val="24"/>
        </w:rPr>
        <w:t>5</w:t>
      </w:r>
      <w:r w:rsidR="00E93FD0">
        <w:rPr>
          <w:sz w:val="24"/>
          <w:szCs w:val="24"/>
        </w:rPr>
        <w:t>,</w:t>
      </w:r>
      <w:r w:rsidR="006D7F77">
        <w:rPr>
          <w:sz w:val="24"/>
          <w:szCs w:val="24"/>
        </w:rPr>
        <w:t xml:space="preserve"> and estimated costs through October 31, 201</w:t>
      </w:r>
      <w:r w:rsidR="00BA07C7">
        <w:rPr>
          <w:sz w:val="24"/>
          <w:szCs w:val="24"/>
        </w:rPr>
        <w:t>5</w:t>
      </w:r>
      <w:bookmarkStart w:id="0" w:name="_GoBack"/>
      <w:bookmarkEnd w:id="0"/>
      <w:r w:rsidR="00FA1E8C">
        <w:rPr>
          <w:sz w:val="24"/>
          <w:szCs w:val="24"/>
        </w:rPr>
        <w:t>.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E24E15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Cascade will be </w:t>
      </w:r>
      <w:r w:rsidR="00E93FD0">
        <w:rPr>
          <w:sz w:val="24"/>
          <w:szCs w:val="24"/>
        </w:rPr>
        <w:t xml:space="preserve">providing its final </w:t>
      </w:r>
      <w:r>
        <w:rPr>
          <w:sz w:val="24"/>
          <w:szCs w:val="24"/>
        </w:rPr>
        <w:t>updat</w:t>
      </w:r>
      <w:r w:rsidR="00E93FD0">
        <w:rPr>
          <w:sz w:val="24"/>
          <w:szCs w:val="24"/>
        </w:rPr>
        <w:t>e once September actual costs are known</w:t>
      </w:r>
      <w:r>
        <w:rPr>
          <w:sz w:val="24"/>
          <w:szCs w:val="24"/>
        </w:rPr>
        <w:t xml:space="preserve"> per the policy statement.</w:t>
      </w:r>
      <w:r w:rsidR="000D58B0" w:rsidRPr="000D58B0">
        <w:rPr>
          <w:sz w:val="24"/>
          <w:szCs w:val="24"/>
        </w:rPr>
        <w:t xml:space="preserve"> </w:t>
      </w:r>
      <w:r w:rsidR="00E93FD0">
        <w:rPr>
          <w:sz w:val="24"/>
          <w:szCs w:val="24"/>
        </w:rPr>
        <w:t>Cascade will also replace the originally filed tariff based on the data in the final update.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If there are any questions regarding this </w:t>
      </w:r>
      <w:r w:rsidR="00E93FD0">
        <w:rPr>
          <w:sz w:val="24"/>
          <w:szCs w:val="24"/>
        </w:rPr>
        <w:t>update</w:t>
      </w:r>
      <w:r w:rsidRPr="000D58B0">
        <w:rPr>
          <w:sz w:val="24"/>
          <w:szCs w:val="24"/>
        </w:rPr>
        <w:t xml:space="preserve"> please contact me at (509) 734-4593.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Sincerely,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Michael Parvinen</w:t>
      </w:r>
    </w:p>
    <w:p w:rsidR="000D58B0" w:rsidRDefault="00FA1E8C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D58B0" w:rsidRPr="000D58B0">
        <w:rPr>
          <w:sz w:val="24"/>
          <w:szCs w:val="24"/>
        </w:rPr>
        <w:t>, Regulatory Affairs</w:t>
      </w: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rFonts w:ascii="CG Times" w:hAnsi="CG Times"/>
          <w:sz w:val="24"/>
        </w:rPr>
      </w:pPr>
    </w:p>
    <w:p w:rsidR="00FB4661" w:rsidRDefault="008C59C0" w:rsidP="008C59C0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5723259" wp14:editId="19025767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3810"/>
            <wp:wrapNone/>
            <wp:docPr id="3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inline distT="0" distB="0" distL="0" distR="0" wp14:anchorId="413BF6B1">
            <wp:extent cx="2447925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661" w:rsidSect="000D58B0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59" w:rsidRDefault="00261259" w:rsidP="00261259">
      <w:r>
        <w:separator/>
      </w:r>
    </w:p>
  </w:endnote>
  <w:endnote w:type="continuationSeparator" w:id="0">
    <w:p w:rsidR="00261259" w:rsidRDefault="0026125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59" w:rsidRDefault="00261259" w:rsidP="00261259">
      <w:r>
        <w:separator/>
      </w:r>
    </w:p>
  </w:footnote>
  <w:footnote w:type="continuationSeparator" w:id="0">
    <w:p w:rsidR="00261259" w:rsidRDefault="0026125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:rsidTr="00FB4661">
      <w:trPr>
        <w:cantSplit/>
        <w:trHeight w:hRule="exact" w:val="1982"/>
        <w:jc w:val="center"/>
      </w:trPr>
      <w:tc>
        <w:tcPr>
          <w:tcW w:w="5256" w:type="dxa"/>
        </w:tcPr>
        <w:p w:rsidR="00261259" w:rsidRDefault="008C59C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40C82CA5">
                <wp:simplePos x="0" y="0"/>
                <wp:positionH relativeFrom="column">
                  <wp:posOffset>451485</wp:posOffset>
                </wp:positionH>
                <wp:positionV relativeFrom="paragraph">
                  <wp:posOffset>154940</wp:posOffset>
                </wp:positionV>
                <wp:extent cx="2679700" cy="935355"/>
                <wp:effectExtent l="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7" w:type="dxa"/>
        </w:tcPr>
        <w:p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261259" w:rsidRDefault="00261259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D58B0"/>
    <w:rsid w:val="00224337"/>
    <w:rsid w:val="00261259"/>
    <w:rsid w:val="0034484F"/>
    <w:rsid w:val="00385EEE"/>
    <w:rsid w:val="003F739E"/>
    <w:rsid w:val="006D7F77"/>
    <w:rsid w:val="007003A7"/>
    <w:rsid w:val="00704721"/>
    <w:rsid w:val="007470E8"/>
    <w:rsid w:val="008C59C0"/>
    <w:rsid w:val="00976291"/>
    <w:rsid w:val="00B15BF6"/>
    <w:rsid w:val="00BA07C7"/>
    <w:rsid w:val="00D029F1"/>
    <w:rsid w:val="00D9346C"/>
    <w:rsid w:val="00E24E15"/>
    <w:rsid w:val="00E93FD0"/>
    <w:rsid w:val="00EF2BA2"/>
    <w:rsid w:val="00FA1E8C"/>
    <w:rsid w:val="00FB2C24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2015-05-29T07:00:00+00:00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FF62A26C6DB044AD96927F5678FBB9" ma:contentTypeVersion="119" ma:contentTypeDescription="" ma:contentTypeScope="" ma:versionID="8bd990422a45317b31f5cc8c9151f3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81C49-855C-41B5-B574-964B2243AB4E}"/>
</file>

<file path=customXml/itemProps2.xml><?xml version="1.0" encoding="utf-8"?>
<ds:datastoreItem xmlns:ds="http://schemas.openxmlformats.org/officeDocument/2006/customXml" ds:itemID="{330C1968-676A-487E-9CED-A00A8FFD04B4}"/>
</file>

<file path=customXml/itemProps3.xml><?xml version="1.0" encoding="utf-8"?>
<ds:datastoreItem xmlns:ds="http://schemas.openxmlformats.org/officeDocument/2006/customXml" ds:itemID="{E33BA8CD-4616-4732-B908-A65B66473428}"/>
</file>

<file path=customXml/itemProps4.xml><?xml version="1.0" encoding="utf-8"?>
<ds:datastoreItem xmlns:ds="http://schemas.openxmlformats.org/officeDocument/2006/customXml" ds:itemID="{5775FD31-DD1E-419C-87D1-D7370A556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960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5</cp:revision>
  <cp:lastPrinted>2013-09-26T20:24:00Z</cp:lastPrinted>
  <dcterms:created xsi:type="dcterms:W3CDTF">2014-09-30T15:32:00Z</dcterms:created>
  <dcterms:modified xsi:type="dcterms:W3CDTF">2015-09-30T22:30:00Z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0x0101006E56B4D1795A2E4DB2F0B01679ED314A0046FF62A26C6DB044AD96927F5678FBB9</vt:lpwstr>
  </property>
  <property fmtid="{D5CDD505-2E9C-101B-9397-08002B2CF9AE}" pid="3" name="_docset_NoMedatataSyncRequired">
    <vt:lpwstr>False</vt:lpwstr>
  </property>
</Properties>
</file>