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FE6" w:rsidRPr="00483634" w:rsidRDefault="00345FE6" w:rsidP="00812D77">
      <w:pPr>
        <w:spacing w:line="480" w:lineRule="auto"/>
        <w:jc w:val="center"/>
      </w:pPr>
      <w:bookmarkStart w:id="0" w:name="_GoBack"/>
      <w:bookmarkEnd w:id="0"/>
    </w:p>
    <w:p w:rsidR="00345FE6" w:rsidRPr="00483634" w:rsidRDefault="00345FE6" w:rsidP="00812D77">
      <w:pPr>
        <w:spacing w:line="480" w:lineRule="auto"/>
        <w:jc w:val="center"/>
      </w:pPr>
    </w:p>
    <w:p w:rsidR="00345FE6" w:rsidRPr="00483634" w:rsidRDefault="00345FE6" w:rsidP="00812D77">
      <w:pPr>
        <w:spacing w:line="480" w:lineRule="auto"/>
        <w:jc w:val="center"/>
      </w:pPr>
    </w:p>
    <w:p w:rsidR="00345FE6" w:rsidRPr="00483634" w:rsidRDefault="00345FE6" w:rsidP="00812D77">
      <w:pPr>
        <w:spacing w:line="480" w:lineRule="auto"/>
        <w:jc w:val="center"/>
      </w:pPr>
    </w:p>
    <w:p w:rsidR="00345FE6" w:rsidRPr="00483634" w:rsidRDefault="00345FE6" w:rsidP="00812D77">
      <w:pPr>
        <w:spacing w:line="480" w:lineRule="auto"/>
        <w:jc w:val="center"/>
      </w:pPr>
    </w:p>
    <w:p w:rsidR="00345FE6" w:rsidRPr="00483634" w:rsidRDefault="00345FE6" w:rsidP="00812D77">
      <w:pPr>
        <w:spacing w:line="480" w:lineRule="auto"/>
        <w:jc w:val="center"/>
      </w:pPr>
    </w:p>
    <w:p w:rsidR="00345FE6" w:rsidRPr="00483634" w:rsidRDefault="00345FE6" w:rsidP="00812D77">
      <w:pPr>
        <w:spacing w:line="480" w:lineRule="auto"/>
        <w:jc w:val="center"/>
      </w:pPr>
    </w:p>
    <w:p w:rsidR="00345FE6" w:rsidRPr="00483634" w:rsidRDefault="00345FE6">
      <w:pPr>
        <w:spacing w:line="480" w:lineRule="auto"/>
        <w:jc w:val="center"/>
      </w:pPr>
      <w:r w:rsidRPr="00483634">
        <w:t>BEFORE THE WASHINGTON UTILITIES AND TRANSPORTATION COMMISSION</w:t>
      </w:r>
    </w:p>
    <w:p w:rsidR="00345FE6" w:rsidRPr="00483634" w:rsidRDefault="00345FE6" w:rsidP="00812D77">
      <w:pPr>
        <w:spacing w:line="480" w:lineRule="auto"/>
        <w:jc w:val="center"/>
      </w:pPr>
    </w:p>
    <w:p w:rsidR="00345FE6" w:rsidRPr="00483634" w:rsidRDefault="00345FE6" w:rsidP="00812D77">
      <w:pPr>
        <w:spacing w:line="480" w:lineRule="auto"/>
        <w:jc w:val="center"/>
      </w:pPr>
      <w:r w:rsidRPr="00483634">
        <w:t>DOCKET NO. UE-</w:t>
      </w:r>
      <w:r w:rsidR="00B10A41" w:rsidRPr="00483634">
        <w:t>1</w:t>
      </w:r>
      <w:r w:rsidR="00A5148E">
        <w:t>5</w:t>
      </w:r>
      <w:r w:rsidRPr="00483634">
        <w:t>____</w:t>
      </w:r>
    </w:p>
    <w:p w:rsidR="00345FE6" w:rsidRPr="00483634" w:rsidRDefault="00345FE6" w:rsidP="00812D77">
      <w:pPr>
        <w:spacing w:line="480" w:lineRule="auto"/>
        <w:jc w:val="center"/>
      </w:pPr>
    </w:p>
    <w:p w:rsidR="00345FE6" w:rsidRPr="00483634" w:rsidRDefault="00345FE6" w:rsidP="00812D77">
      <w:pPr>
        <w:spacing w:line="480" w:lineRule="auto"/>
        <w:jc w:val="center"/>
      </w:pPr>
      <w:r w:rsidRPr="00483634">
        <w:t xml:space="preserve">DIRECT TESTIMONY OF </w:t>
      </w:r>
    </w:p>
    <w:p w:rsidR="00345FE6" w:rsidRPr="00483634" w:rsidRDefault="00345FE6" w:rsidP="00812D77">
      <w:pPr>
        <w:spacing w:line="480" w:lineRule="auto"/>
        <w:jc w:val="center"/>
      </w:pPr>
      <w:r w:rsidRPr="00483634">
        <w:t>WILLIAM G. JOHNSON</w:t>
      </w:r>
    </w:p>
    <w:p w:rsidR="00345FE6" w:rsidRPr="00483634" w:rsidRDefault="00345FE6" w:rsidP="00812D77">
      <w:pPr>
        <w:spacing w:line="480" w:lineRule="auto"/>
        <w:jc w:val="center"/>
      </w:pPr>
      <w:r w:rsidRPr="00483634">
        <w:t>REPRESENTING AVISTA CORPORATION</w:t>
      </w:r>
    </w:p>
    <w:p w:rsidR="00345FE6" w:rsidRPr="00483634" w:rsidRDefault="00345FE6" w:rsidP="00812D77">
      <w:pPr>
        <w:spacing w:line="480" w:lineRule="auto"/>
        <w:jc w:val="center"/>
      </w:pPr>
    </w:p>
    <w:p w:rsidR="00345FE6" w:rsidRPr="00483634" w:rsidRDefault="00345FE6">
      <w:pPr>
        <w:tabs>
          <w:tab w:val="left" w:pos="1260"/>
        </w:tabs>
        <w:spacing w:line="480" w:lineRule="auto"/>
        <w:ind w:firstLine="720"/>
        <w:jc w:val="both"/>
      </w:pPr>
    </w:p>
    <w:p w:rsidR="00345FE6" w:rsidRPr="00483634" w:rsidRDefault="00345FE6">
      <w:pPr>
        <w:tabs>
          <w:tab w:val="left" w:pos="1260"/>
        </w:tabs>
        <w:spacing w:line="480" w:lineRule="auto"/>
        <w:ind w:firstLine="720"/>
        <w:jc w:val="both"/>
        <w:sectPr w:rsidR="00345FE6" w:rsidRPr="00483634" w:rsidSect="007879C7">
          <w:headerReference w:type="default" r:id="rId8"/>
          <w:footerReference w:type="default" r:id="rId9"/>
          <w:footerReference w:type="first" r:id="rId10"/>
          <w:type w:val="continuous"/>
          <w:pgSz w:w="12240" w:h="15840" w:code="1"/>
          <w:pgMar w:top="1440" w:right="1296"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345FE6" w:rsidRPr="00483634" w:rsidRDefault="00345FE6">
      <w:pPr>
        <w:pStyle w:val="TestBody"/>
        <w:spacing w:line="480" w:lineRule="auto"/>
        <w:ind w:left="0" w:firstLine="0"/>
        <w:jc w:val="center"/>
        <w:rPr>
          <w:rFonts w:ascii="Times New Roman" w:hAnsi="Times New Roman" w:cs="Times New Roman"/>
          <w:b/>
          <w:bCs/>
          <w:u w:val="single"/>
        </w:rPr>
      </w:pPr>
      <w:r w:rsidRPr="00483634">
        <w:rPr>
          <w:rFonts w:ascii="Times New Roman" w:hAnsi="Times New Roman" w:cs="Times New Roman"/>
          <w:b/>
          <w:bCs/>
          <w:u w:val="single"/>
        </w:rPr>
        <w:lastRenderedPageBreak/>
        <w:t>I.  INTRODUCTION</w:t>
      </w:r>
    </w:p>
    <w:p w:rsidR="00345FE6" w:rsidRPr="00483634" w:rsidRDefault="00345FE6">
      <w:pPr>
        <w:pStyle w:val="TestBody"/>
        <w:spacing w:line="480" w:lineRule="auto"/>
        <w:ind w:left="0" w:firstLine="720"/>
        <w:rPr>
          <w:rFonts w:ascii="Times New Roman" w:hAnsi="Times New Roman" w:cs="Times New Roman"/>
          <w:b/>
          <w:bCs/>
        </w:rPr>
      </w:pPr>
      <w:r w:rsidRPr="00483634">
        <w:rPr>
          <w:rFonts w:ascii="Times New Roman" w:hAnsi="Times New Roman" w:cs="Times New Roman"/>
          <w:b/>
          <w:bCs/>
        </w:rPr>
        <w:t>Q.</w:t>
      </w:r>
      <w:r w:rsidRPr="00483634">
        <w:rPr>
          <w:rFonts w:ascii="Times New Roman" w:hAnsi="Times New Roman" w:cs="Times New Roman"/>
          <w:b/>
          <w:bCs/>
        </w:rPr>
        <w:tab/>
        <w:t>Please state your name, business address, and present position with Avista Corporation.</w:t>
      </w:r>
    </w:p>
    <w:p w:rsidR="00345FE6" w:rsidRPr="00483634" w:rsidRDefault="00345FE6">
      <w:pPr>
        <w:pStyle w:val="TestBody"/>
        <w:spacing w:line="480" w:lineRule="auto"/>
        <w:ind w:left="0" w:firstLine="720"/>
        <w:rPr>
          <w:rFonts w:ascii="Times New Roman" w:hAnsi="Times New Roman" w:cs="Times New Roman"/>
        </w:rPr>
      </w:pPr>
      <w:r w:rsidRPr="00483634">
        <w:rPr>
          <w:rFonts w:ascii="Times New Roman" w:hAnsi="Times New Roman" w:cs="Times New Roman"/>
        </w:rPr>
        <w:t>A.</w:t>
      </w:r>
      <w:r w:rsidRPr="00483634">
        <w:rPr>
          <w:rFonts w:ascii="Times New Roman" w:hAnsi="Times New Roman" w:cs="Times New Roman"/>
        </w:rPr>
        <w:tab/>
        <w:t xml:space="preserve">My name is William G. Johnson.  My business address is 1411 East Mission Avenue, Spokane, Washington, and I am employed by the Company as a </w:t>
      </w:r>
      <w:r w:rsidR="005F71FA" w:rsidRPr="00483634">
        <w:rPr>
          <w:rFonts w:ascii="Times New Roman" w:hAnsi="Times New Roman" w:cs="Times New Roman"/>
        </w:rPr>
        <w:t xml:space="preserve">Wholesale </w:t>
      </w:r>
      <w:r w:rsidR="00350CC6" w:rsidRPr="00483634">
        <w:rPr>
          <w:rFonts w:ascii="Times New Roman" w:hAnsi="Times New Roman" w:cs="Times New Roman"/>
        </w:rPr>
        <w:t>Marketing</w:t>
      </w:r>
      <w:r w:rsidR="005F71FA" w:rsidRPr="00483634">
        <w:rPr>
          <w:rFonts w:ascii="Times New Roman" w:hAnsi="Times New Roman" w:cs="Times New Roman"/>
        </w:rPr>
        <w:t xml:space="preserve"> Manager</w:t>
      </w:r>
      <w:r w:rsidRPr="00483634">
        <w:rPr>
          <w:rFonts w:ascii="Times New Roman" w:hAnsi="Times New Roman" w:cs="Times New Roman"/>
        </w:rPr>
        <w:t xml:space="preserve"> in the Energy Resources Department.</w:t>
      </w:r>
    </w:p>
    <w:p w:rsidR="00345FE6" w:rsidRPr="00483634" w:rsidRDefault="00345FE6">
      <w:pPr>
        <w:pStyle w:val="TestBody"/>
        <w:spacing w:line="480" w:lineRule="auto"/>
        <w:ind w:left="0" w:firstLine="720"/>
        <w:rPr>
          <w:rFonts w:ascii="Times New Roman" w:hAnsi="Times New Roman" w:cs="Times New Roman"/>
          <w:b/>
          <w:bCs/>
        </w:rPr>
      </w:pPr>
      <w:r w:rsidRPr="00483634">
        <w:rPr>
          <w:rFonts w:ascii="Times New Roman" w:hAnsi="Times New Roman" w:cs="Times New Roman"/>
          <w:b/>
          <w:bCs/>
        </w:rPr>
        <w:t>Q.</w:t>
      </w:r>
      <w:r w:rsidRPr="00483634">
        <w:rPr>
          <w:rFonts w:ascii="Times New Roman" w:hAnsi="Times New Roman" w:cs="Times New Roman"/>
          <w:b/>
          <w:bCs/>
        </w:rPr>
        <w:tab/>
        <w:t>What is your educational background?</w:t>
      </w:r>
    </w:p>
    <w:p w:rsidR="00345FE6" w:rsidRPr="00483634" w:rsidRDefault="00345FE6">
      <w:pPr>
        <w:pStyle w:val="TestBody"/>
        <w:spacing w:line="480" w:lineRule="auto"/>
        <w:ind w:left="0" w:firstLine="720"/>
        <w:rPr>
          <w:rFonts w:ascii="Times New Roman" w:hAnsi="Times New Roman" w:cs="Times New Roman"/>
        </w:rPr>
      </w:pPr>
      <w:r w:rsidRPr="00483634">
        <w:rPr>
          <w:rFonts w:ascii="Times New Roman" w:hAnsi="Times New Roman" w:cs="Times New Roman"/>
        </w:rPr>
        <w:t>A.</w:t>
      </w:r>
      <w:r w:rsidRPr="00483634">
        <w:rPr>
          <w:rFonts w:ascii="Times New Roman" w:hAnsi="Times New Roman" w:cs="Times New Roman"/>
        </w:rPr>
        <w:tab/>
        <w:t>I am a 1981 graduate of the University of Montana with a Bachelor of Arts Degree in Political Science/Economics.  I obtained a Master of Arts Degree in Economics from the University of Montana in 1985.</w:t>
      </w:r>
    </w:p>
    <w:p w:rsidR="00345FE6" w:rsidRPr="00483634" w:rsidRDefault="00345FE6">
      <w:pPr>
        <w:pStyle w:val="TestBody"/>
        <w:spacing w:line="480" w:lineRule="auto"/>
        <w:ind w:left="0" w:firstLine="720"/>
        <w:rPr>
          <w:rFonts w:ascii="Times New Roman" w:hAnsi="Times New Roman" w:cs="Times New Roman"/>
          <w:b/>
          <w:bCs/>
        </w:rPr>
      </w:pPr>
      <w:r w:rsidRPr="00483634">
        <w:rPr>
          <w:rFonts w:ascii="Times New Roman" w:hAnsi="Times New Roman" w:cs="Times New Roman"/>
          <w:b/>
          <w:bCs/>
        </w:rPr>
        <w:t>Q.</w:t>
      </w:r>
      <w:r w:rsidRPr="00483634">
        <w:rPr>
          <w:rFonts w:ascii="Times New Roman" w:hAnsi="Times New Roman" w:cs="Times New Roman"/>
          <w:b/>
          <w:bCs/>
        </w:rPr>
        <w:tab/>
        <w:t xml:space="preserve">How long have you been employed by the Company and what are your duties </w:t>
      </w:r>
      <w:r w:rsidR="00E271D9" w:rsidRPr="00483634">
        <w:rPr>
          <w:rFonts w:ascii="Times New Roman" w:hAnsi="Times New Roman" w:cs="Times New Roman"/>
          <w:b/>
          <w:bCs/>
        </w:rPr>
        <w:t xml:space="preserve">as a Wholesale </w:t>
      </w:r>
      <w:r w:rsidR="00B8020C" w:rsidRPr="00483634">
        <w:rPr>
          <w:rFonts w:ascii="Times New Roman" w:hAnsi="Times New Roman" w:cs="Times New Roman"/>
          <w:b/>
          <w:bCs/>
        </w:rPr>
        <w:t>Marketing</w:t>
      </w:r>
      <w:r w:rsidR="00E271D9" w:rsidRPr="00483634">
        <w:rPr>
          <w:rFonts w:ascii="Times New Roman" w:hAnsi="Times New Roman" w:cs="Times New Roman"/>
          <w:b/>
          <w:bCs/>
        </w:rPr>
        <w:t xml:space="preserve"> Manager</w:t>
      </w:r>
      <w:r w:rsidRPr="00483634">
        <w:rPr>
          <w:rFonts w:ascii="Times New Roman" w:hAnsi="Times New Roman" w:cs="Times New Roman"/>
          <w:b/>
          <w:bCs/>
        </w:rPr>
        <w:t>?</w:t>
      </w:r>
    </w:p>
    <w:p w:rsidR="00345FE6" w:rsidRPr="00483634" w:rsidRDefault="00345FE6">
      <w:pPr>
        <w:pStyle w:val="TestBody"/>
        <w:spacing w:line="480" w:lineRule="auto"/>
        <w:ind w:left="0" w:firstLine="720"/>
        <w:rPr>
          <w:rFonts w:ascii="Times New Roman" w:hAnsi="Times New Roman" w:cs="Times New Roman"/>
        </w:rPr>
      </w:pPr>
      <w:r w:rsidRPr="00483634">
        <w:rPr>
          <w:rFonts w:ascii="Times New Roman" w:hAnsi="Times New Roman" w:cs="Times New Roman"/>
        </w:rPr>
        <w:t>A.</w:t>
      </w:r>
      <w:r w:rsidRPr="00483634">
        <w:rPr>
          <w:rFonts w:ascii="Times New Roman" w:hAnsi="Times New Roman" w:cs="Times New Roman"/>
        </w:rPr>
        <w:tab/>
        <w:t>I started working for Avista in April 1990 as a Demand Side Resource Analyst.  I joined the Energy Resources Department as a Power Contracts Analyst in June 1996</w:t>
      </w:r>
      <w:r w:rsidR="00B972DE" w:rsidRPr="00483634">
        <w:rPr>
          <w:rFonts w:ascii="Times New Roman" w:hAnsi="Times New Roman" w:cs="Times New Roman"/>
        </w:rPr>
        <w:t>.   My primary res</w:t>
      </w:r>
      <w:r w:rsidR="009500FF" w:rsidRPr="00483634">
        <w:rPr>
          <w:rFonts w:ascii="Times New Roman" w:hAnsi="Times New Roman" w:cs="Times New Roman"/>
        </w:rPr>
        <w:t xml:space="preserve">ponsibilities involve </w:t>
      </w:r>
      <w:r w:rsidR="00B972DE" w:rsidRPr="00483634">
        <w:rPr>
          <w:rFonts w:ascii="Times New Roman" w:hAnsi="Times New Roman" w:cs="Times New Roman"/>
        </w:rPr>
        <w:t xml:space="preserve">power contract </w:t>
      </w:r>
      <w:r w:rsidR="009500FF" w:rsidRPr="00483634">
        <w:rPr>
          <w:rFonts w:ascii="Times New Roman" w:hAnsi="Times New Roman" w:cs="Times New Roman"/>
        </w:rPr>
        <w:t xml:space="preserve">origination and </w:t>
      </w:r>
      <w:r w:rsidR="005E78EC" w:rsidRPr="00483634">
        <w:rPr>
          <w:rFonts w:ascii="Times New Roman" w:hAnsi="Times New Roman" w:cs="Times New Roman"/>
        </w:rPr>
        <w:t>manageme</w:t>
      </w:r>
      <w:r w:rsidR="009500FF" w:rsidRPr="00483634">
        <w:rPr>
          <w:rFonts w:ascii="Times New Roman" w:hAnsi="Times New Roman" w:cs="Times New Roman"/>
        </w:rPr>
        <w:t>nt and power supply regulatory issues</w:t>
      </w:r>
      <w:r w:rsidR="00B972DE" w:rsidRPr="00483634">
        <w:rPr>
          <w:rFonts w:ascii="Times New Roman" w:hAnsi="Times New Roman" w:cs="Times New Roman"/>
        </w:rPr>
        <w:t>.</w:t>
      </w:r>
    </w:p>
    <w:p w:rsidR="005E78EC" w:rsidRPr="00483634" w:rsidRDefault="005E78EC" w:rsidP="005E78EC">
      <w:pPr>
        <w:pStyle w:val="Heading2"/>
      </w:pPr>
      <w:r w:rsidRPr="00483634">
        <w:t>Q.</w:t>
      </w:r>
      <w:r w:rsidRPr="00483634">
        <w:tab/>
        <w:t>What is the scope of your testimony in this proceeding?</w:t>
      </w:r>
    </w:p>
    <w:p w:rsidR="00460BEB" w:rsidRPr="00483634" w:rsidRDefault="005E78EC" w:rsidP="00460BEB">
      <w:pPr>
        <w:tabs>
          <w:tab w:val="left" w:pos="1260"/>
        </w:tabs>
        <w:spacing w:line="480" w:lineRule="auto"/>
        <w:ind w:firstLine="720"/>
        <w:jc w:val="both"/>
      </w:pPr>
      <w:r w:rsidRPr="00483634">
        <w:t>A.</w:t>
      </w:r>
      <w:r w:rsidRPr="00483634">
        <w:tab/>
        <w:t xml:space="preserve">My testimony will provide an overview of the history of the </w:t>
      </w:r>
      <w:r w:rsidR="00584A4F">
        <w:t>Energy Recovery Mechanism (“</w:t>
      </w:r>
      <w:r w:rsidRPr="00483634">
        <w:t>ERM</w:t>
      </w:r>
      <w:r w:rsidR="00584A4F">
        <w:t>”)</w:t>
      </w:r>
      <w:r w:rsidRPr="00483634">
        <w:t xml:space="preserve"> and provide a summary of the factors contributing to the power cost deferrals during the </w:t>
      </w:r>
      <w:r w:rsidR="008E15BF">
        <w:t>201</w:t>
      </w:r>
      <w:r w:rsidR="00A5148E">
        <w:t>4</w:t>
      </w:r>
      <w:r w:rsidR="008E15BF" w:rsidRPr="00483634">
        <w:t xml:space="preserve"> </w:t>
      </w:r>
      <w:r w:rsidRPr="00483634">
        <w:t>calendar year review period.  I provide an overview of the documentation the Company has provided in workpapers, which the Company had agreed to provide in the ERM Settlement Stipulation approved and adopted in Docket No. UE-030751.  My testimony will also briefly describe how the power cost deferrals are calculated</w:t>
      </w:r>
      <w:r w:rsidR="00460BEB" w:rsidRPr="00483634">
        <w:t>.</w:t>
      </w:r>
    </w:p>
    <w:p w:rsidR="005E78EC" w:rsidRPr="001821FC" w:rsidRDefault="005E78EC" w:rsidP="00812D77">
      <w:pPr>
        <w:pStyle w:val="TestBody"/>
        <w:spacing w:line="480" w:lineRule="auto"/>
        <w:ind w:left="0" w:firstLine="720"/>
        <w:rPr>
          <w:rFonts w:ascii="Times New Roman" w:hAnsi="Times New Roman" w:cs="Times New Roman"/>
          <w:b/>
          <w:bCs/>
        </w:rPr>
      </w:pPr>
      <w:r w:rsidRPr="001821FC">
        <w:rPr>
          <w:rFonts w:ascii="Times New Roman" w:hAnsi="Times New Roman" w:cs="Times New Roman"/>
          <w:b/>
          <w:bCs/>
        </w:rPr>
        <w:lastRenderedPageBreak/>
        <w:t>Q.</w:t>
      </w:r>
      <w:r w:rsidRPr="001821FC">
        <w:rPr>
          <w:rFonts w:ascii="Times New Roman" w:hAnsi="Times New Roman" w:cs="Times New Roman"/>
          <w:b/>
          <w:bCs/>
        </w:rPr>
        <w:tab/>
        <w:t>Are other witnesses sponsoring testimony on behalf of Avista?</w:t>
      </w:r>
    </w:p>
    <w:p w:rsidR="00345FE6" w:rsidRPr="001821FC" w:rsidRDefault="005E78EC" w:rsidP="005E78EC">
      <w:pPr>
        <w:pStyle w:val="TestBody"/>
        <w:spacing w:line="480" w:lineRule="auto"/>
        <w:ind w:left="0" w:firstLine="720"/>
        <w:rPr>
          <w:rFonts w:ascii="Times New Roman" w:hAnsi="Times New Roman" w:cs="Times New Roman"/>
          <w:b/>
          <w:bCs/>
        </w:rPr>
      </w:pPr>
      <w:r w:rsidRPr="001821FC">
        <w:rPr>
          <w:rFonts w:ascii="Times New Roman" w:hAnsi="Times New Roman" w:cs="Times New Roman"/>
        </w:rPr>
        <w:t>A.</w:t>
      </w:r>
      <w:r w:rsidRPr="001821FC">
        <w:rPr>
          <w:rFonts w:ascii="Times New Roman" w:hAnsi="Times New Roman" w:cs="Times New Roman"/>
        </w:rPr>
        <w:tab/>
        <w:t xml:space="preserve">Yes.  </w:t>
      </w:r>
      <w:r w:rsidR="007879C7">
        <w:rPr>
          <w:rFonts w:ascii="Times New Roman" w:hAnsi="Times New Roman" w:cs="Times New Roman"/>
        </w:rPr>
        <w:t xml:space="preserve">Company witness </w:t>
      </w:r>
      <w:r w:rsidRPr="001821FC">
        <w:rPr>
          <w:rFonts w:ascii="Times New Roman" w:hAnsi="Times New Roman" w:cs="Times New Roman"/>
        </w:rPr>
        <w:t>M</w:t>
      </w:r>
      <w:r w:rsidR="00F63785">
        <w:rPr>
          <w:rFonts w:ascii="Times New Roman" w:hAnsi="Times New Roman" w:cs="Times New Roman"/>
        </w:rPr>
        <w:t>r</w:t>
      </w:r>
      <w:r w:rsidRPr="001821FC">
        <w:rPr>
          <w:rFonts w:ascii="Times New Roman" w:hAnsi="Times New Roman" w:cs="Times New Roman"/>
        </w:rPr>
        <w:t xml:space="preserve">. </w:t>
      </w:r>
      <w:r w:rsidR="00F63785">
        <w:rPr>
          <w:rFonts w:ascii="Times New Roman" w:hAnsi="Times New Roman" w:cs="Times New Roman"/>
        </w:rPr>
        <w:t>Ehrbar</w:t>
      </w:r>
      <w:r w:rsidRPr="001821FC">
        <w:rPr>
          <w:rFonts w:ascii="Times New Roman" w:hAnsi="Times New Roman" w:cs="Times New Roman"/>
        </w:rPr>
        <w:t xml:space="preserve"> provide</w:t>
      </w:r>
      <w:r w:rsidR="00684B12" w:rsidRPr="001821FC">
        <w:rPr>
          <w:rFonts w:ascii="Times New Roman" w:hAnsi="Times New Roman" w:cs="Times New Roman"/>
        </w:rPr>
        <w:t>s</w:t>
      </w:r>
      <w:r w:rsidRPr="001821FC">
        <w:rPr>
          <w:rFonts w:ascii="Times New Roman" w:hAnsi="Times New Roman" w:cs="Times New Roman"/>
        </w:rPr>
        <w:t xml:space="preserve"> testimony concerning the monthly deferr</w:t>
      </w:r>
      <w:r w:rsidR="002C64C6" w:rsidRPr="001821FC">
        <w:rPr>
          <w:rFonts w:ascii="Times New Roman" w:hAnsi="Times New Roman" w:cs="Times New Roman"/>
        </w:rPr>
        <w:t>al entries</w:t>
      </w:r>
      <w:r w:rsidR="00470E81" w:rsidRPr="001821FC">
        <w:rPr>
          <w:rFonts w:ascii="Times New Roman" w:hAnsi="Times New Roman" w:cs="Times New Roman"/>
        </w:rPr>
        <w:t xml:space="preserve"> and</w:t>
      </w:r>
      <w:r w:rsidR="002C64C6" w:rsidRPr="001821FC">
        <w:rPr>
          <w:rFonts w:ascii="Times New Roman" w:hAnsi="Times New Roman" w:cs="Times New Roman"/>
        </w:rPr>
        <w:t xml:space="preserve"> the </w:t>
      </w:r>
      <w:r w:rsidR="00593EDC" w:rsidRPr="001821FC">
        <w:rPr>
          <w:rFonts w:ascii="Times New Roman" w:hAnsi="Times New Roman" w:cs="Times New Roman"/>
        </w:rPr>
        <w:t>deferral balance</w:t>
      </w:r>
      <w:r w:rsidR="00470E81" w:rsidRPr="001821FC">
        <w:rPr>
          <w:rFonts w:ascii="Times New Roman" w:hAnsi="Times New Roman" w:cs="Times New Roman"/>
        </w:rPr>
        <w:t>.</w:t>
      </w:r>
      <w:r w:rsidR="001F3BB1" w:rsidRPr="001821FC">
        <w:rPr>
          <w:rFonts w:ascii="Times New Roman" w:hAnsi="Times New Roman" w:cs="Times New Roman"/>
        </w:rPr>
        <w:t xml:space="preserve">  </w:t>
      </w:r>
    </w:p>
    <w:p w:rsidR="00345FE6" w:rsidRPr="001821FC" w:rsidRDefault="00345FE6">
      <w:pPr>
        <w:pStyle w:val="TestBody"/>
        <w:spacing w:line="480" w:lineRule="auto"/>
        <w:ind w:left="0" w:firstLine="720"/>
        <w:rPr>
          <w:rFonts w:ascii="Times New Roman" w:hAnsi="Times New Roman" w:cs="Times New Roman"/>
          <w:b/>
          <w:bCs/>
        </w:rPr>
      </w:pPr>
      <w:r w:rsidRPr="001821FC">
        <w:rPr>
          <w:rFonts w:ascii="Times New Roman" w:hAnsi="Times New Roman" w:cs="Times New Roman"/>
          <w:b/>
          <w:bCs/>
        </w:rPr>
        <w:t>Q.</w:t>
      </w:r>
      <w:r w:rsidRPr="001821FC">
        <w:rPr>
          <w:rFonts w:ascii="Times New Roman" w:hAnsi="Times New Roman" w:cs="Times New Roman"/>
          <w:b/>
          <w:bCs/>
        </w:rPr>
        <w:tab/>
        <w:t>Are you sponsoring any exhibits to be introduced in this proceeding?</w:t>
      </w:r>
    </w:p>
    <w:p w:rsidR="009B1355" w:rsidRDefault="00345FE6">
      <w:pPr>
        <w:pStyle w:val="TestBody"/>
        <w:spacing w:line="480" w:lineRule="auto"/>
        <w:ind w:left="0" w:firstLine="720"/>
        <w:rPr>
          <w:rFonts w:ascii="Times New Roman" w:hAnsi="Times New Roman" w:cs="Times New Roman"/>
        </w:rPr>
      </w:pPr>
      <w:r w:rsidRPr="001821FC">
        <w:rPr>
          <w:rFonts w:ascii="Times New Roman" w:hAnsi="Times New Roman" w:cs="Times New Roman"/>
        </w:rPr>
        <w:t>A.</w:t>
      </w:r>
      <w:r w:rsidRPr="001821FC">
        <w:rPr>
          <w:rFonts w:ascii="Times New Roman" w:hAnsi="Times New Roman" w:cs="Times New Roman"/>
        </w:rPr>
        <w:tab/>
        <w:t xml:space="preserve">Yes.  I am sponsoring Exhibit No.___ (WGJ-2), which includes </w:t>
      </w:r>
      <w:r w:rsidR="00D84C39" w:rsidRPr="001821FC">
        <w:rPr>
          <w:rFonts w:ascii="Times New Roman" w:hAnsi="Times New Roman" w:cs="Times New Roman"/>
        </w:rPr>
        <w:t xml:space="preserve">four </w:t>
      </w:r>
      <w:r w:rsidRPr="001821FC">
        <w:rPr>
          <w:rFonts w:ascii="Times New Roman" w:hAnsi="Times New Roman" w:cs="Times New Roman"/>
        </w:rPr>
        <w:t xml:space="preserve">pages from December </w:t>
      </w:r>
      <w:r w:rsidR="00A5148E">
        <w:rPr>
          <w:rFonts w:ascii="Times New Roman" w:hAnsi="Times New Roman" w:cs="Times New Roman"/>
        </w:rPr>
        <w:t>2014</w:t>
      </w:r>
      <w:r w:rsidR="006452F8">
        <w:rPr>
          <w:rFonts w:ascii="Times New Roman" w:hAnsi="Times New Roman" w:cs="Times New Roman"/>
        </w:rPr>
        <w:t>’s Monthly Power Cost Deferral Report provided to the Commission.  These pages show the deferral calculations for the period January 201</w:t>
      </w:r>
      <w:r w:rsidR="00A5148E">
        <w:rPr>
          <w:rFonts w:ascii="Times New Roman" w:hAnsi="Times New Roman" w:cs="Times New Roman"/>
        </w:rPr>
        <w:t>4</w:t>
      </w:r>
      <w:r w:rsidR="006452F8">
        <w:rPr>
          <w:rFonts w:ascii="Times New Roman" w:hAnsi="Times New Roman" w:cs="Times New Roman"/>
        </w:rPr>
        <w:t xml:space="preserve"> through December 201</w:t>
      </w:r>
      <w:r w:rsidR="00A5148E">
        <w:rPr>
          <w:rFonts w:ascii="Times New Roman" w:hAnsi="Times New Roman" w:cs="Times New Roman"/>
        </w:rPr>
        <w:t>4</w:t>
      </w:r>
      <w:r w:rsidR="006452F8">
        <w:rPr>
          <w:rFonts w:ascii="Times New Roman" w:hAnsi="Times New Roman" w:cs="Times New Roman"/>
        </w:rPr>
        <w:t>.  Page 1 of Exhibit No.___(WGJ-2) shows the calculation of the deferral, pages 2 through 3 show the actual expenses and revenues, and page 4 shows the retail revenue adjustment.  Detailed workpapers, which are described later in my testimony, have been provided in electronic format to the Commission, and other parties, coincident to this filing.</w:t>
      </w:r>
    </w:p>
    <w:p w:rsidR="005E0BBC" w:rsidRPr="001821FC" w:rsidRDefault="005E0BBC">
      <w:pPr>
        <w:pStyle w:val="TestBody"/>
        <w:spacing w:line="480" w:lineRule="auto"/>
        <w:ind w:left="0" w:firstLine="720"/>
        <w:rPr>
          <w:rFonts w:ascii="Times New Roman" w:hAnsi="Times New Roman" w:cs="Times New Roman"/>
        </w:rPr>
      </w:pPr>
    </w:p>
    <w:p w:rsidR="009B1355" w:rsidRPr="00483634" w:rsidRDefault="009B1355" w:rsidP="00E8128D">
      <w:pPr>
        <w:pStyle w:val="Heading3"/>
        <w:tabs>
          <w:tab w:val="clear" w:pos="1260"/>
        </w:tabs>
        <w:ind w:firstLine="0"/>
        <w:rPr>
          <w:u w:val="single"/>
        </w:rPr>
      </w:pPr>
      <w:r w:rsidRPr="00483634">
        <w:rPr>
          <w:u w:val="single"/>
        </w:rPr>
        <w:t>II. OVERVIEW</w:t>
      </w:r>
      <w:r w:rsidR="006C7686" w:rsidRPr="00483634">
        <w:rPr>
          <w:u w:val="single"/>
        </w:rPr>
        <w:t xml:space="preserve"> AND HISTORY OF ERM</w:t>
      </w:r>
    </w:p>
    <w:p w:rsidR="009B1355" w:rsidRPr="00483634" w:rsidRDefault="009B1355" w:rsidP="00812D77">
      <w:pPr>
        <w:pStyle w:val="TestBody"/>
        <w:spacing w:line="480" w:lineRule="auto"/>
        <w:ind w:left="0" w:firstLine="720"/>
        <w:rPr>
          <w:rFonts w:ascii="Times New Roman" w:hAnsi="Times New Roman" w:cs="Times New Roman"/>
          <w:b/>
          <w:bCs/>
        </w:rPr>
      </w:pPr>
      <w:r w:rsidRPr="00483634">
        <w:rPr>
          <w:rFonts w:ascii="Times New Roman" w:hAnsi="Times New Roman" w:cs="Times New Roman"/>
          <w:b/>
          <w:bCs/>
        </w:rPr>
        <w:t>Q.</w:t>
      </w:r>
      <w:r w:rsidRPr="00483634">
        <w:rPr>
          <w:rFonts w:ascii="Times New Roman" w:hAnsi="Times New Roman" w:cs="Times New Roman"/>
          <w:b/>
          <w:bCs/>
        </w:rPr>
        <w:tab/>
        <w:t>Would you please explain the history of the ERM and the annual filing requirement?</w:t>
      </w:r>
    </w:p>
    <w:p w:rsidR="009B1355" w:rsidRPr="00483634" w:rsidRDefault="009B1355" w:rsidP="009B1355">
      <w:pPr>
        <w:pStyle w:val="BodyText2"/>
        <w:widowControl w:val="0"/>
        <w:tabs>
          <w:tab w:val="left" w:pos="0"/>
        </w:tabs>
        <w:autoSpaceDE/>
        <w:autoSpaceDN/>
        <w:ind w:firstLine="720"/>
        <w:outlineLvl w:val="0"/>
      </w:pPr>
      <w:r w:rsidRPr="00483634">
        <w:t>A.</w:t>
      </w:r>
      <w:r w:rsidRPr="00483634">
        <w:tab/>
        <w:t xml:space="preserve">Yes.  The ERM was approved by the Commission’s Fifth Supplemental Order in Docket No. UE-011595, dated June 18, 2002, and was implemented on July 1, 2002.  That Order approved and adopted a Settlement Stipulation (UE-011595 Stipulation) that explained the mechanism and reporting requirements. </w:t>
      </w:r>
      <w:r w:rsidR="00767B7B">
        <w:t xml:space="preserve"> </w:t>
      </w:r>
      <w:r w:rsidRPr="00483634">
        <w:t>Pursuant to the UE-011595 Stipulation, the Company is</w:t>
      </w:r>
      <w:r w:rsidR="00E66D11">
        <w:t xml:space="preserve"> required</w:t>
      </w:r>
      <w:r w:rsidRPr="00483634">
        <w:t xml:space="preserve"> to make an annual filing on or before April 1</w:t>
      </w:r>
      <w:r w:rsidRPr="00483634">
        <w:rPr>
          <w:vertAlign w:val="superscript"/>
        </w:rPr>
        <w:t>st</w:t>
      </w:r>
      <w:r w:rsidRPr="00483634">
        <w:t xml:space="preserve"> of each year.  This filing provide</w:t>
      </w:r>
      <w:r w:rsidR="00460BEB" w:rsidRPr="00483634">
        <w:t>s</w:t>
      </w:r>
      <w:r w:rsidRPr="00483634">
        <w:t xml:space="preserve"> an opportunity for the Commission Staff, and interested parties, to review the prudence of the ERM deferral entries for the prior calendar year.  Interested parties are to be provided a 90-day review period, ending June 30</w:t>
      </w:r>
      <w:r w:rsidRPr="00483634">
        <w:rPr>
          <w:vertAlign w:val="superscript"/>
        </w:rPr>
        <w:t>th</w:t>
      </w:r>
      <w:r w:rsidRPr="00483634">
        <w:t xml:space="preserve"> of each year, to review the deferral information. </w:t>
      </w:r>
      <w:r w:rsidR="00470E81">
        <w:t xml:space="preserve"> </w:t>
      </w:r>
      <w:r w:rsidRPr="00483634">
        <w:t>The 90-day review period may be extended by agreement of the parties participating in the review, or by Commission order.</w:t>
      </w:r>
    </w:p>
    <w:p w:rsidR="005E0BBC" w:rsidRDefault="009B1355" w:rsidP="007879C7">
      <w:pPr>
        <w:pStyle w:val="BodyText2"/>
        <w:widowControl w:val="0"/>
        <w:autoSpaceDE/>
        <w:autoSpaceDN/>
        <w:ind w:firstLine="720"/>
        <w:outlineLvl w:val="0"/>
      </w:pPr>
      <w:r w:rsidRPr="00483634">
        <w:t xml:space="preserve">Avista’s first Annual ERM Filing covered the six-month period of July 1, 2002 through December 31, 2002. </w:t>
      </w:r>
      <w:r w:rsidR="00140D98" w:rsidRPr="00483634">
        <w:t xml:space="preserve">Avista has made ERM annual review filings for each subsequent calendar year period.  </w:t>
      </w:r>
      <w:r w:rsidR="005F2459" w:rsidRPr="00CE2E7A">
        <w:t xml:space="preserve">The annual ERM filing covering the </w:t>
      </w:r>
      <w:r w:rsidR="001F3BB1" w:rsidRPr="00CE2E7A">
        <w:t>20</w:t>
      </w:r>
      <w:r w:rsidR="00182264">
        <w:t>1</w:t>
      </w:r>
      <w:r w:rsidR="00A5148E">
        <w:t>3</w:t>
      </w:r>
      <w:r w:rsidR="001F3BB1" w:rsidRPr="00CE2E7A">
        <w:t xml:space="preserve"> </w:t>
      </w:r>
      <w:r w:rsidR="005F2459" w:rsidRPr="00CE2E7A">
        <w:t xml:space="preserve">calendar year was </w:t>
      </w:r>
      <w:r w:rsidR="005F2459">
        <w:t>filed</w:t>
      </w:r>
      <w:r w:rsidR="005F2459" w:rsidRPr="00CE2E7A">
        <w:t xml:space="preserve"> </w:t>
      </w:r>
      <w:r w:rsidR="005F2459" w:rsidRPr="00A6733C">
        <w:t xml:space="preserve">March </w:t>
      </w:r>
      <w:r w:rsidR="00A6733C" w:rsidRPr="00A6733C">
        <w:t>28</w:t>
      </w:r>
      <w:r w:rsidR="005F2459" w:rsidRPr="00A6733C">
        <w:t xml:space="preserve">, </w:t>
      </w:r>
      <w:r w:rsidR="00A6733C" w:rsidRPr="00A6733C">
        <w:t>201</w:t>
      </w:r>
      <w:r w:rsidR="00A5148E">
        <w:t>4</w:t>
      </w:r>
      <w:r w:rsidR="00A6733C">
        <w:t xml:space="preserve"> </w:t>
      </w:r>
      <w:r w:rsidR="005F2459" w:rsidRPr="00CE2E7A">
        <w:t>in Docket No. UE-</w:t>
      </w:r>
      <w:r w:rsidR="00053B95">
        <w:t>140540</w:t>
      </w:r>
      <w:r w:rsidR="005F2459" w:rsidRPr="00CE2E7A">
        <w:t>.</w:t>
      </w:r>
      <w:r w:rsidR="005F2459">
        <w:t xml:space="preserve"> </w:t>
      </w:r>
      <w:r w:rsidRPr="00483634">
        <w:t xml:space="preserve"> </w:t>
      </w:r>
      <w:r w:rsidR="00684B12" w:rsidRPr="00CE2E7A">
        <w:t xml:space="preserve">Order </w:t>
      </w:r>
      <w:r w:rsidR="00744298">
        <w:t xml:space="preserve">No. </w:t>
      </w:r>
      <w:r w:rsidR="00684B12" w:rsidRPr="00053B95">
        <w:t>01</w:t>
      </w:r>
      <w:r w:rsidR="00684B12" w:rsidRPr="00CE2E7A">
        <w:t xml:space="preserve"> was issued in that docket on </w:t>
      </w:r>
      <w:r w:rsidR="00053B95" w:rsidRPr="00053B95">
        <w:t>July 1</w:t>
      </w:r>
      <w:r w:rsidR="00053B95">
        <w:t>0</w:t>
      </w:r>
      <w:r w:rsidR="00684B12" w:rsidRPr="00A6733C">
        <w:t xml:space="preserve">, </w:t>
      </w:r>
      <w:r w:rsidR="00A6733C" w:rsidRPr="00A6733C">
        <w:t>201</w:t>
      </w:r>
      <w:r w:rsidR="00A5148E">
        <w:t>4</w:t>
      </w:r>
      <w:r w:rsidR="00684B12" w:rsidRPr="00CE2E7A">
        <w:t xml:space="preserve">, and the Commission found that the power cost deferrals for </w:t>
      </w:r>
      <w:r w:rsidR="001F3BB1" w:rsidRPr="00CE2E7A">
        <w:t>20</w:t>
      </w:r>
      <w:r w:rsidR="001F3BB1">
        <w:t>1</w:t>
      </w:r>
      <w:r w:rsidR="00A5148E">
        <w:t>3</w:t>
      </w:r>
      <w:r w:rsidR="001F3BB1" w:rsidRPr="00CE2E7A">
        <w:t xml:space="preserve"> </w:t>
      </w:r>
      <w:r w:rsidR="00684B12" w:rsidRPr="00CE2E7A">
        <w:t xml:space="preserve">were </w:t>
      </w:r>
      <w:r w:rsidR="00684B12">
        <w:t>properly calculated and recorded</w:t>
      </w:r>
      <w:r w:rsidR="00684B12" w:rsidRPr="00C85B93">
        <w:t>.</w:t>
      </w:r>
    </w:p>
    <w:p w:rsidR="00E8128D" w:rsidRDefault="00E8128D" w:rsidP="007879C7">
      <w:pPr>
        <w:pStyle w:val="BodyText2"/>
        <w:widowControl w:val="0"/>
        <w:autoSpaceDE/>
        <w:autoSpaceDN/>
        <w:ind w:firstLine="720"/>
        <w:outlineLvl w:val="0"/>
      </w:pPr>
    </w:p>
    <w:p w:rsidR="00775622" w:rsidRDefault="009D1C4E" w:rsidP="00E8128D">
      <w:pPr>
        <w:pStyle w:val="BodyText2"/>
        <w:widowControl w:val="0"/>
        <w:autoSpaceDE/>
        <w:autoSpaceDN/>
        <w:jc w:val="center"/>
        <w:outlineLvl w:val="0"/>
        <w:rPr>
          <w:b/>
          <w:bCs/>
          <w:u w:val="single"/>
        </w:rPr>
      </w:pPr>
      <w:r>
        <w:rPr>
          <w:b/>
          <w:bCs/>
          <w:u w:val="single"/>
        </w:rPr>
        <w:t xml:space="preserve">III.  </w:t>
      </w:r>
      <w:r w:rsidR="009B1355" w:rsidRPr="00483634">
        <w:rPr>
          <w:b/>
          <w:bCs/>
          <w:u w:val="single"/>
        </w:rPr>
        <w:t>SUMMARY OF DEFERRED POWER SUPPLY COSTS</w:t>
      </w:r>
    </w:p>
    <w:p w:rsidR="00775622" w:rsidRDefault="00460BEB">
      <w:pPr>
        <w:pStyle w:val="BodyText2"/>
        <w:widowControl w:val="0"/>
        <w:autoSpaceDE/>
        <w:autoSpaceDN/>
        <w:ind w:firstLine="720"/>
        <w:outlineLvl w:val="0"/>
        <w:rPr>
          <w:b/>
          <w:bCs/>
        </w:rPr>
      </w:pPr>
      <w:r w:rsidRPr="00483634">
        <w:rPr>
          <w:b/>
          <w:bCs/>
        </w:rPr>
        <w:t>Q.</w:t>
      </w:r>
      <w:r w:rsidRPr="00483634">
        <w:rPr>
          <w:b/>
          <w:bCs/>
        </w:rPr>
        <w:tab/>
        <w:t xml:space="preserve">What were the changes in power costs, the amounts deferred, and the amounts absorbed by the Company during </w:t>
      </w:r>
      <w:r w:rsidR="008E15BF" w:rsidRPr="00483634">
        <w:rPr>
          <w:b/>
          <w:bCs/>
        </w:rPr>
        <w:t>20</w:t>
      </w:r>
      <w:r w:rsidR="008E15BF">
        <w:rPr>
          <w:b/>
          <w:bCs/>
        </w:rPr>
        <w:t>1</w:t>
      </w:r>
      <w:r w:rsidR="00A5148E">
        <w:rPr>
          <w:b/>
          <w:bCs/>
        </w:rPr>
        <w:t>4</w:t>
      </w:r>
      <w:r w:rsidRPr="00483634">
        <w:rPr>
          <w:b/>
          <w:bCs/>
        </w:rPr>
        <w:t>?</w:t>
      </w:r>
    </w:p>
    <w:p w:rsidR="00F57405" w:rsidRDefault="00460BEB" w:rsidP="00EA3C67">
      <w:pPr>
        <w:pStyle w:val="TestBody"/>
        <w:spacing w:line="480" w:lineRule="auto"/>
        <w:ind w:left="0" w:firstLine="720"/>
        <w:rPr>
          <w:rFonts w:ascii="Times New Roman" w:hAnsi="Times New Roman" w:cs="Times New Roman"/>
        </w:rPr>
      </w:pPr>
      <w:r w:rsidRPr="00483634">
        <w:rPr>
          <w:rFonts w:ascii="Times New Roman" w:hAnsi="Times New Roman"/>
        </w:rPr>
        <w:t>A.</w:t>
      </w:r>
      <w:r w:rsidRPr="00483634">
        <w:rPr>
          <w:rFonts w:ascii="Times New Roman" w:hAnsi="Times New Roman"/>
        </w:rPr>
        <w:tab/>
        <w:t xml:space="preserve">During </w:t>
      </w:r>
      <w:r w:rsidR="008E15BF">
        <w:rPr>
          <w:rFonts w:ascii="Times New Roman" w:hAnsi="Times New Roman"/>
        </w:rPr>
        <w:t>201</w:t>
      </w:r>
      <w:r w:rsidR="00A5148E">
        <w:rPr>
          <w:rFonts w:ascii="Times New Roman" w:hAnsi="Times New Roman"/>
        </w:rPr>
        <w:t>4</w:t>
      </w:r>
      <w:r w:rsidR="008E15BF" w:rsidRPr="00483634">
        <w:rPr>
          <w:rFonts w:ascii="Times New Roman" w:hAnsi="Times New Roman"/>
        </w:rPr>
        <w:t xml:space="preserve"> </w:t>
      </w:r>
      <w:r w:rsidRPr="00483634">
        <w:rPr>
          <w:rFonts w:ascii="Times New Roman" w:hAnsi="Times New Roman"/>
        </w:rPr>
        <w:t xml:space="preserve">actual net power costs were </w:t>
      </w:r>
      <w:r w:rsidR="00A5148E">
        <w:rPr>
          <w:rFonts w:ascii="Times New Roman" w:hAnsi="Times New Roman"/>
        </w:rPr>
        <w:t>lower</w:t>
      </w:r>
      <w:r w:rsidR="008E15BF" w:rsidRPr="00483634">
        <w:rPr>
          <w:rFonts w:ascii="Times New Roman" w:hAnsi="Times New Roman"/>
        </w:rPr>
        <w:t xml:space="preserve"> </w:t>
      </w:r>
      <w:r w:rsidRPr="00483634">
        <w:rPr>
          <w:rFonts w:ascii="Times New Roman" w:hAnsi="Times New Roman"/>
        </w:rPr>
        <w:t>than the authorized net power costs for the Washington jurisdiction by $</w:t>
      </w:r>
      <w:r w:rsidR="00A5148E">
        <w:rPr>
          <w:rFonts w:ascii="Times New Roman" w:hAnsi="Times New Roman"/>
        </w:rPr>
        <w:t>9</w:t>
      </w:r>
      <w:r w:rsidR="001F3BB1">
        <w:rPr>
          <w:rFonts w:ascii="Times New Roman" w:hAnsi="Times New Roman"/>
        </w:rPr>
        <w:t>,</w:t>
      </w:r>
      <w:r w:rsidR="00A5148E">
        <w:rPr>
          <w:rFonts w:ascii="Times New Roman" w:hAnsi="Times New Roman"/>
        </w:rPr>
        <w:t>526</w:t>
      </w:r>
      <w:r w:rsidR="008E15BF">
        <w:rPr>
          <w:rFonts w:ascii="Times New Roman" w:hAnsi="Times New Roman"/>
        </w:rPr>
        <w:t>,</w:t>
      </w:r>
      <w:r w:rsidR="00A5148E">
        <w:rPr>
          <w:rFonts w:ascii="Times New Roman" w:hAnsi="Times New Roman"/>
        </w:rPr>
        <w:t>6</w:t>
      </w:r>
      <w:r w:rsidR="008F4156">
        <w:rPr>
          <w:rFonts w:ascii="Times New Roman" w:hAnsi="Times New Roman"/>
        </w:rPr>
        <w:t>40</w:t>
      </w:r>
      <w:r w:rsidRPr="00483634">
        <w:rPr>
          <w:rFonts w:ascii="Times New Roman" w:hAnsi="Times New Roman"/>
        </w:rPr>
        <w:t xml:space="preserve">. </w:t>
      </w:r>
      <w:r w:rsidR="005F5129" w:rsidRPr="00483634">
        <w:rPr>
          <w:rFonts w:ascii="Times New Roman" w:hAnsi="Times New Roman"/>
        </w:rPr>
        <w:t xml:space="preserve"> </w:t>
      </w:r>
      <w:r w:rsidRPr="00483634">
        <w:rPr>
          <w:rFonts w:ascii="Times New Roman" w:hAnsi="Times New Roman"/>
        </w:rPr>
        <w:t xml:space="preserve">Under the ERM, the first $4.0 million of net power supply costs above or below the authorized level is absorbed by the Company.  </w:t>
      </w:r>
      <w:r w:rsidR="00117002" w:rsidRPr="00117002">
        <w:rPr>
          <w:rFonts w:ascii="Times New Roman" w:hAnsi="Times New Roman"/>
        </w:rPr>
        <w:t xml:space="preserve">When actual costs exceed authorized costs by more than $4 million (surcharge direction), 50% of the next $6 million of difference in costs is absorbed by the Company, and 50% is deferred for future recovery from customers.  When actual costs are less than authorized costs (rebate direction), 25% of the next $6 million of difference above the $4 </w:t>
      </w:r>
      <w:r w:rsidR="00117002" w:rsidRPr="00F57405">
        <w:rPr>
          <w:rFonts w:ascii="Times New Roman" w:hAnsi="Times New Roman" w:cs="Times New Roman"/>
        </w:rPr>
        <w:t xml:space="preserve">million deadband is absorbed by the Company, and 75% is deferred for rebate to customers.  If the difference in costs exceeds $10 million, either in the surcharge or rebate direction, 10% of the amount above $10 million is absorbed by the Company, and 90% is deferred.  </w:t>
      </w:r>
      <w:r w:rsidR="00EA3C67" w:rsidRPr="00F57405">
        <w:rPr>
          <w:rFonts w:ascii="Times New Roman" w:hAnsi="Times New Roman" w:cs="Times New Roman"/>
        </w:rPr>
        <w:t xml:space="preserve">The deferral </w:t>
      </w:r>
      <w:r w:rsidR="00744298">
        <w:rPr>
          <w:rFonts w:ascii="Times New Roman" w:hAnsi="Times New Roman" w:cs="Times New Roman"/>
        </w:rPr>
        <w:t xml:space="preserve">in the rebate direction </w:t>
      </w:r>
      <w:r w:rsidR="00EA3C67" w:rsidRPr="00F57405">
        <w:rPr>
          <w:rFonts w:ascii="Times New Roman" w:hAnsi="Times New Roman" w:cs="Times New Roman"/>
        </w:rPr>
        <w:t xml:space="preserve">for </w:t>
      </w:r>
      <w:r w:rsidR="00633BFD" w:rsidRPr="00F57405">
        <w:rPr>
          <w:rFonts w:ascii="Times New Roman" w:hAnsi="Times New Roman" w:cs="Times New Roman"/>
        </w:rPr>
        <w:t>201</w:t>
      </w:r>
      <w:r w:rsidR="00A5148E">
        <w:rPr>
          <w:rFonts w:ascii="Times New Roman" w:hAnsi="Times New Roman" w:cs="Times New Roman"/>
        </w:rPr>
        <w:t>4</w:t>
      </w:r>
      <w:r w:rsidR="00633BFD" w:rsidRPr="00F57405">
        <w:rPr>
          <w:rFonts w:ascii="Times New Roman" w:hAnsi="Times New Roman" w:cs="Times New Roman"/>
        </w:rPr>
        <w:t xml:space="preserve"> </w:t>
      </w:r>
      <w:r w:rsidR="00EA3C67" w:rsidRPr="00F57405">
        <w:rPr>
          <w:rFonts w:ascii="Times New Roman" w:hAnsi="Times New Roman" w:cs="Times New Roman"/>
        </w:rPr>
        <w:t>amounted to $</w:t>
      </w:r>
      <w:r w:rsidR="00A5148E">
        <w:rPr>
          <w:rFonts w:ascii="Times New Roman" w:hAnsi="Times New Roman" w:cs="Times New Roman"/>
        </w:rPr>
        <w:t>4</w:t>
      </w:r>
      <w:r w:rsidR="001F3BB1" w:rsidRPr="00F57405">
        <w:rPr>
          <w:rFonts w:ascii="Times New Roman" w:hAnsi="Times New Roman" w:cs="Times New Roman"/>
        </w:rPr>
        <w:t>,</w:t>
      </w:r>
      <w:r w:rsidR="00A5148E">
        <w:rPr>
          <w:rFonts w:ascii="Times New Roman" w:hAnsi="Times New Roman" w:cs="Times New Roman"/>
        </w:rPr>
        <w:t>224,011</w:t>
      </w:r>
      <w:r w:rsidR="00F57405">
        <w:rPr>
          <w:rFonts w:ascii="Times New Roman" w:hAnsi="Times New Roman" w:cs="Times New Roman"/>
        </w:rPr>
        <w:t>, which consists of the following items:</w:t>
      </w:r>
    </w:p>
    <w:p w:rsidR="00F57405" w:rsidRDefault="00A5148E" w:rsidP="00D363DE">
      <w:pPr>
        <w:pStyle w:val="TestBody"/>
        <w:numPr>
          <w:ilvl w:val="0"/>
          <w:numId w:val="18"/>
        </w:numPr>
        <w:spacing w:line="480" w:lineRule="auto"/>
        <w:ind w:left="1440" w:hanging="720"/>
        <w:rPr>
          <w:rFonts w:ascii="Times New Roman" w:hAnsi="Times New Roman" w:cs="Times New Roman"/>
        </w:rPr>
      </w:pPr>
      <w:r>
        <w:rPr>
          <w:rFonts w:ascii="Times New Roman" w:hAnsi="Times New Roman" w:cs="Times New Roman"/>
        </w:rPr>
        <w:t>Rebate</w:t>
      </w:r>
      <w:r w:rsidR="00F57405">
        <w:rPr>
          <w:rFonts w:ascii="Times New Roman" w:hAnsi="Times New Roman" w:cs="Times New Roman"/>
        </w:rPr>
        <w:t xml:space="preserve"> of $</w:t>
      </w:r>
      <w:r>
        <w:rPr>
          <w:rFonts w:ascii="Times New Roman" w:hAnsi="Times New Roman" w:cs="Times New Roman"/>
        </w:rPr>
        <w:t>4,144,9</w:t>
      </w:r>
      <w:r w:rsidR="008F4156">
        <w:rPr>
          <w:rFonts w:ascii="Times New Roman" w:hAnsi="Times New Roman" w:cs="Times New Roman"/>
        </w:rPr>
        <w:t>80</w:t>
      </w:r>
      <w:r w:rsidR="00F57405">
        <w:rPr>
          <w:rFonts w:ascii="Times New Roman" w:hAnsi="Times New Roman" w:cs="Times New Roman"/>
        </w:rPr>
        <w:t xml:space="preserve"> related to </w:t>
      </w:r>
      <w:r>
        <w:rPr>
          <w:rFonts w:ascii="Times New Roman" w:hAnsi="Times New Roman" w:cs="Times New Roman"/>
        </w:rPr>
        <w:t>75</w:t>
      </w:r>
      <w:r w:rsidR="00EA3C67" w:rsidRPr="00F57405">
        <w:rPr>
          <w:rFonts w:ascii="Times New Roman" w:hAnsi="Times New Roman" w:cs="Times New Roman"/>
        </w:rPr>
        <w:t xml:space="preserve">% of the </w:t>
      </w:r>
      <w:r w:rsidR="00F57405">
        <w:rPr>
          <w:rFonts w:ascii="Times New Roman" w:hAnsi="Times New Roman" w:cs="Times New Roman"/>
        </w:rPr>
        <w:t xml:space="preserve">net power costs residing in the </w:t>
      </w:r>
      <w:r w:rsidR="00EA3C67" w:rsidRPr="00F57405">
        <w:rPr>
          <w:rFonts w:ascii="Times New Roman" w:hAnsi="Times New Roman" w:cs="Times New Roman"/>
        </w:rPr>
        <w:t>$4.0 million to $10.0 million sharing band</w:t>
      </w:r>
      <w:r w:rsidR="00661B74">
        <w:rPr>
          <w:rFonts w:ascii="Times New Roman" w:hAnsi="Times New Roman" w:cs="Times New Roman"/>
        </w:rPr>
        <w:t xml:space="preserve"> ($5,526,6</w:t>
      </w:r>
      <w:r w:rsidR="008F4156">
        <w:rPr>
          <w:rFonts w:ascii="Times New Roman" w:hAnsi="Times New Roman" w:cs="Times New Roman"/>
        </w:rPr>
        <w:t>40</w:t>
      </w:r>
      <w:r w:rsidR="00661B74">
        <w:rPr>
          <w:rFonts w:ascii="Times New Roman" w:hAnsi="Times New Roman" w:cs="Times New Roman"/>
        </w:rPr>
        <w:t xml:space="preserve"> * 75</w:t>
      </w:r>
      <w:r w:rsidR="00F57405">
        <w:rPr>
          <w:rFonts w:ascii="Times New Roman" w:hAnsi="Times New Roman" w:cs="Times New Roman"/>
        </w:rPr>
        <w:t xml:space="preserve">% = </w:t>
      </w:r>
      <w:r w:rsidR="00EA3C67" w:rsidRPr="00F57405">
        <w:rPr>
          <w:rFonts w:ascii="Times New Roman" w:hAnsi="Times New Roman" w:cs="Times New Roman"/>
        </w:rPr>
        <w:t>$</w:t>
      </w:r>
      <w:r w:rsidR="00661B74">
        <w:rPr>
          <w:rFonts w:ascii="Times New Roman" w:hAnsi="Times New Roman" w:cs="Times New Roman"/>
        </w:rPr>
        <w:t>4,144,9</w:t>
      </w:r>
      <w:r w:rsidR="008F4156">
        <w:rPr>
          <w:rFonts w:ascii="Times New Roman" w:hAnsi="Times New Roman" w:cs="Times New Roman"/>
        </w:rPr>
        <w:t>80</w:t>
      </w:r>
      <w:r w:rsidR="00F57405">
        <w:rPr>
          <w:rFonts w:ascii="Times New Roman" w:hAnsi="Times New Roman" w:cs="Times New Roman"/>
        </w:rPr>
        <w:t>).</w:t>
      </w:r>
    </w:p>
    <w:p w:rsidR="00EA3C67" w:rsidRDefault="00D363DE" w:rsidP="00D363DE">
      <w:pPr>
        <w:pStyle w:val="TestBody"/>
        <w:numPr>
          <w:ilvl w:val="0"/>
          <w:numId w:val="18"/>
        </w:numPr>
        <w:spacing w:line="480" w:lineRule="auto"/>
        <w:ind w:left="1440" w:hanging="720"/>
      </w:pPr>
      <w:r>
        <w:rPr>
          <w:rFonts w:ascii="Times New Roman" w:hAnsi="Times New Roman" w:cs="Times New Roman"/>
        </w:rPr>
        <w:t xml:space="preserve">Rebate of </w:t>
      </w:r>
      <w:r w:rsidR="00E412C9" w:rsidRPr="00F57405">
        <w:rPr>
          <w:rFonts w:ascii="Times New Roman" w:hAnsi="Times New Roman" w:cs="Times New Roman"/>
        </w:rPr>
        <w:t>$</w:t>
      </w:r>
      <w:r w:rsidR="00661B74">
        <w:rPr>
          <w:rFonts w:ascii="Times New Roman" w:hAnsi="Times New Roman" w:cs="Times New Roman"/>
        </w:rPr>
        <w:t>79,03</w:t>
      </w:r>
      <w:r w:rsidR="008A4A51">
        <w:rPr>
          <w:rFonts w:ascii="Times New Roman" w:hAnsi="Times New Roman" w:cs="Times New Roman"/>
        </w:rPr>
        <w:t>1</w:t>
      </w:r>
      <w:r w:rsidR="00E412C9" w:rsidRPr="00F57405">
        <w:rPr>
          <w:rFonts w:ascii="Times New Roman" w:hAnsi="Times New Roman" w:cs="Times New Roman"/>
        </w:rPr>
        <w:t xml:space="preserve"> </w:t>
      </w:r>
      <w:r>
        <w:rPr>
          <w:rFonts w:ascii="Times New Roman" w:hAnsi="Times New Roman" w:cs="Times New Roman"/>
        </w:rPr>
        <w:t xml:space="preserve">related to </w:t>
      </w:r>
      <w:r w:rsidR="00E412C9" w:rsidRPr="00F57405">
        <w:rPr>
          <w:rFonts w:ascii="Times New Roman" w:hAnsi="Times New Roman" w:cs="Times New Roman"/>
        </w:rPr>
        <w:t>interest.</w:t>
      </w:r>
    </w:p>
    <w:p w:rsidR="009B1355" w:rsidRPr="00483634" w:rsidRDefault="001821FC" w:rsidP="00EA3C67">
      <w:pPr>
        <w:pStyle w:val="TestBody"/>
        <w:spacing w:line="480" w:lineRule="auto"/>
        <w:ind w:left="0" w:firstLine="720"/>
        <w:rPr>
          <w:rFonts w:ascii="Times New Roman" w:hAnsi="Times New Roman" w:cs="Times New Roman"/>
          <w:b/>
          <w:bCs/>
        </w:rPr>
      </w:pPr>
      <w:r w:rsidRPr="001821FC">
        <w:rPr>
          <w:rFonts w:ascii="Times New Roman" w:hAnsi="Times New Roman"/>
          <w:b/>
        </w:rPr>
        <w:t>Q.</w:t>
      </w:r>
      <w:r w:rsidR="00EA3C67" w:rsidRPr="001821FC" w:rsidDel="00EA3C67">
        <w:rPr>
          <w:rFonts w:ascii="Times New Roman" w:hAnsi="Times New Roman"/>
          <w:b/>
        </w:rPr>
        <w:t xml:space="preserve"> </w:t>
      </w:r>
      <w:r>
        <w:rPr>
          <w:rFonts w:ascii="Times New Roman" w:hAnsi="Times New Roman"/>
          <w:b/>
        </w:rPr>
        <w:tab/>
      </w:r>
      <w:r w:rsidR="005F5129" w:rsidRPr="001821FC">
        <w:rPr>
          <w:rFonts w:ascii="Times New Roman" w:hAnsi="Times New Roman" w:cs="Times New Roman"/>
          <w:b/>
          <w:bCs/>
        </w:rPr>
        <w:t>P</w:t>
      </w:r>
      <w:r w:rsidR="009B1355" w:rsidRPr="001821FC">
        <w:rPr>
          <w:rFonts w:ascii="Times New Roman" w:hAnsi="Times New Roman" w:cs="Times New Roman"/>
          <w:b/>
          <w:bCs/>
        </w:rPr>
        <w:t>lease</w:t>
      </w:r>
      <w:r w:rsidR="009B1355" w:rsidRPr="00483634">
        <w:rPr>
          <w:rFonts w:ascii="Times New Roman" w:hAnsi="Times New Roman" w:cs="Times New Roman"/>
          <w:b/>
          <w:bCs/>
        </w:rPr>
        <w:t xml:space="preserve"> summarize why </w:t>
      </w:r>
      <w:r w:rsidR="00182264">
        <w:rPr>
          <w:rFonts w:ascii="Times New Roman" w:hAnsi="Times New Roman" w:cs="Times New Roman"/>
          <w:b/>
          <w:bCs/>
        </w:rPr>
        <w:t xml:space="preserve">actual </w:t>
      </w:r>
      <w:r w:rsidR="009B1355" w:rsidRPr="00483634">
        <w:rPr>
          <w:rFonts w:ascii="Times New Roman" w:hAnsi="Times New Roman" w:cs="Times New Roman"/>
          <w:b/>
          <w:bCs/>
        </w:rPr>
        <w:t xml:space="preserve">power supply </w:t>
      </w:r>
      <w:r w:rsidR="00CE643A" w:rsidRPr="00483634">
        <w:rPr>
          <w:rFonts w:ascii="Times New Roman" w:hAnsi="Times New Roman" w:cs="Times New Roman"/>
          <w:b/>
          <w:bCs/>
        </w:rPr>
        <w:t xml:space="preserve">expense was </w:t>
      </w:r>
      <w:r w:rsidR="00182264">
        <w:rPr>
          <w:rFonts w:ascii="Times New Roman" w:hAnsi="Times New Roman" w:cs="Times New Roman"/>
          <w:b/>
          <w:bCs/>
        </w:rPr>
        <w:t>lower</w:t>
      </w:r>
      <w:r w:rsidR="00F57405" w:rsidRPr="00483634">
        <w:rPr>
          <w:rFonts w:ascii="Times New Roman" w:hAnsi="Times New Roman" w:cs="Times New Roman"/>
          <w:b/>
          <w:bCs/>
        </w:rPr>
        <w:t xml:space="preserve"> </w:t>
      </w:r>
      <w:r w:rsidR="009B1355" w:rsidRPr="00483634">
        <w:rPr>
          <w:rFonts w:ascii="Times New Roman" w:hAnsi="Times New Roman" w:cs="Times New Roman"/>
          <w:b/>
          <w:bCs/>
        </w:rPr>
        <w:t>than the authorized level during the review period?</w:t>
      </w:r>
    </w:p>
    <w:p w:rsidR="00815C6F" w:rsidRDefault="00CE643A" w:rsidP="00744298">
      <w:pPr>
        <w:pStyle w:val="TestBody"/>
        <w:spacing w:line="480" w:lineRule="auto"/>
        <w:ind w:left="0" w:firstLine="720"/>
        <w:rPr>
          <w:rFonts w:ascii="Times New Roman" w:hAnsi="Times New Roman" w:cs="Times New Roman"/>
        </w:rPr>
      </w:pPr>
      <w:r w:rsidRPr="00483634">
        <w:rPr>
          <w:rFonts w:ascii="Times New Roman" w:hAnsi="Times New Roman" w:cs="Times New Roman"/>
        </w:rPr>
        <w:t>A.</w:t>
      </w:r>
      <w:r w:rsidRPr="00483634">
        <w:rPr>
          <w:rFonts w:ascii="Times New Roman" w:hAnsi="Times New Roman" w:cs="Times New Roman"/>
        </w:rPr>
        <w:tab/>
      </w:r>
      <w:r w:rsidR="00C556DE" w:rsidRPr="00483634">
        <w:rPr>
          <w:rFonts w:ascii="Times New Roman" w:hAnsi="Times New Roman" w:cs="Times New Roman"/>
        </w:rPr>
        <w:t xml:space="preserve">In summarizing </w:t>
      </w:r>
      <w:r w:rsidR="00337789">
        <w:rPr>
          <w:rFonts w:ascii="Times New Roman" w:hAnsi="Times New Roman" w:cs="Times New Roman"/>
        </w:rPr>
        <w:t>201</w:t>
      </w:r>
      <w:r w:rsidR="00661B74">
        <w:rPr>
          <w:rFonts w:ascii="Times New Roman" w:hAnsi="Times New Roman" w:cs="Times New Roman"/>
        </w:rPr>
        <w:t>4</w:t>
      </w:r>
      <w:r w:rsidR="00C556DE" w:rsidRPr="00483634">
        <w:rPr>
          <w:rFonts w:ascii="Times New Roman" w:hAnsi="Times New Roman" w:cs="Times New Roman"/>
        </w:rPr>
        <w:t xml:space="preserve">, </w:t>
      </w:r>
      <w:r w:rsidR="00661B74">
        <w:rPr>
          <w:rFonts w:ascii="Times New Roman" w:hAnsi="Times New Roman" w:cs="Times New Roman"/>
        </w:rPr>
        <w:t>de</w:t>
      </w:r>
      <w:r w:rsidR="00337789">
        <w:rPr>
          <w:rFonts w:ascii="Times New Roman" w:hAnsi="Times New Roman" w:cs="Times New Roman"/>
        </w:rPr>
        <w:t>creased</w:t>
      </w:r>
      <w:r w:rsidR="00337789" w:rsidRPr="00F16DCD">
        <w:rPr>
          <w:rFonts w:ascii="Times New Roman" w:hAnsi="Times New Roman" w:cs="Times New Roman"/>
        </w:rPr>
        <w:t xml:space="preserve"> </w:t>
      </w:r>
      <w:r w:rsidR="007B37DC" w:rsidRPr="00F16DCD">
        <w:rPr>
          <w:rFonts w:ascii="Times New Roman" w:hAnsi="Times New Roman" w:cs="Times New Roman"/>
        </w:rPr>
        <w:t>power supply ex</w:t>
      </w:r>
      <w:r w:rsidR="0049239B">
        <w:rPr>
          <w:rFonts w:ascii="Times New Roman" w:hAnsi="Times New Roman" w:cs="Times New Roman"/>
        </w:rPr>
        <w:t xml:space="preserve">penses resulted primarily from </w:t>
      </w:r>
      <w:r w:rsidR="00661B74">
        <w:rPr>
          <w:rFonts w:ascii="Times New Roman" w:hAnsi="Times New Roman" w:cs="Times New Roman"/>
        </w:rPr>
        <w:t>higher</w:t>
      </w:r>
      <w:r w:rsidR="00337789" w:rsidRPr="00F16DCD">
        <w:rPr>
          <w:rFonts w:ascii="Times New Roman" w:hAnsi="Times New Roman" w:cs="Times New Roman"/>
        </w:rPr>
        <w:t xml:space="preserve"> </w:t>
      </w:r>
      <w:r w:rsidR="00AE73A3" w:rsidRPr="00F16DCD">
        <w:rPr>
          <w:rFonts w:ascii="Times New Roman" w:hAnsi="Times New Roman" w:cs="Times New Roman"/>
        </w:rPr>
        <w:t>hydro generatio</w:t>
      </w:r>
      <w:r w:rsidR="007B37DC" w:rsidRPr="00F16DCD">
        <w:rPr>
          <w:rFonts w:ascii="Times New Roman" w:hAnsi="Times New Roman" w:cs="Times New Roman"/>
        </w:rPr>
        <w:t>n</w:t>
      </w:r>
      <w:r w:rsidR="00D75CA4">
        <w:rPr>
          <w:rFonts w:ascii="Times New Roman" w:hAnsi="Times New Roman" w:cs="Times New Roman"/>
        </w:rPr>
        <w:t xml:space="preserve">, favorable operating margins at the Company’s </w:t>
      </w:r>
      <w:r w:rsidR="00744298">
        <w:rPr>
          <w:rFonts w:ascii="Times New Roman" w:hAnsi="Times New Roman" w:cs="Times New Roman"/>
        </w:rPr>
        <w:t xml:space="preserve">natural </w:t>
      </w:r>
      <w:r w:rsidR="00D75CA4">
        <w:rPr>
          <w:rFonts w:ascii="Times New Roman" w:hAnsi="Times New Roman" w:cs="Times New Roman"/>
        </w:rPr>
        <w:t xml:space="preserve">gas-fired </w:t>
      </w:r>
      <w:r w:rsidR="00744298">
        <w:rPr>
          <w:rFonts w:ascii="Times New Roman" w:hAnsi="Times New Roman" w:cs="Times New Roman"/>
        </w:rPr>
        <w:t>generation facilities</w:t>
      </w:r>
      <w:r w:rsidR="00D75CA4">
        <w:rPr>
          <w:rFonts w:ascii="Times New Roman" w:hAnsi="Times New Roman" w:cs="Times New Roman"/>
        </w:rPr>
        <w:t xml:space="preserve">, and lower fuel cost at the Kettle Falls wood-fired plant. </w:t>
      </w:r>
      <w:r w:rsidR="00043FF7" w:rsidRPr="00F16DCD">
        <w:rPr>
          <w:rFonts w:ascii="Times New Roman" w:hAnsi="Times New Roman" w:cs="Times New Roman"/>
        </w:rPr>
        <w:t xml:space="preserve"> For the year</w:t>
      </w:r>
      <w:r w:rsidR="00013D58" w:rsidRPr="00F16DCD">
        <w:rPr>
          <w:rFonts w:ascii="Times New Roman" w:hAnsi="Times New Roman" w:cs="Times New Roman"/>
        </w:rPr>
        <w:t>,</w:t>
      </w:r>
      <w:r w:rsidR="00043FF7" w:rsidRPr="00F16DCD">
        <w:rPr>
          <w:rFonts w:ascii="Times New Roman" w:hAnsi="Times New Roman" w:cs="Times New Roman"/>
        </w:rPr>
        <w:t xml:space="preserve"> hydro generation was </w:t>
      </w:r>
      <w:r w:rsidR="00661B74">
        <w:rPr>
          <w:rFonts w:ascii="Times New Roman" w:hAnsi="Times New Roman" w:cs="Times New Roman"/>
        </w:rPr>
        <w:t>48.7</w:t>
      </w:r>
      <w:r w:rsidR="00043FF7" w:rsidRPr="00F16DCD">
        <w:rPr>
          <w:rFonts w:ascii="Times New Roman" w:hAnsi="Times New Roman" w:cs="Times New Roman"/>
        </w:rPr>
        <w:t xml:space="preserve"> aMW </w:t>
      </w:r>
      <w:r w:rsidR="00661B74">
        <w:rPr>
          <w:rFonts w:ascii="Times New Roman" w:hAnsi="Times New Roman" w:cs="Times New Roman"/>
        </w:rPr>
        <w:t>above</w:t>
      </w:r>
      <w:r w:rsidR="00337789" w:rsidRPr="00F16DCD">
        <w:rPr>
          <w:rFonts w:ascii="Times New Roman" w:hAnsi="Times New Roman" w:cs="Times New Roman"/>
        </w:rPr>
        <w:t xml:space="preserve"> </w:t>
      </w:r>
      <w:r w:rsidR="00043FF7" w:rsidRPr="00F16DCD">
        <w:rPr>
          <w:rFonts w:ascii="Times New Roman" w:hAnsi="Times New Roman" w:cs="Times New Roman"/>
        </w:rPr>
        <w:t>the authorized level</w:t>
      </w:r>
      <w:r w:rsidR="00D363DE">
        <w:rPr>
          <w:rFonts w:ascii="Times New Roman" w:hAnsi="Times New Roman" w:cs="Times New Roman"/>
        </w:rPr>
        <w:t>.</w:t>
      </w:r>
      <w:r w:rsidR="00013D58" w:rsidRPr="00F16DCD">
        <w:rPr>
          <w:rFonts w:ascii="Times New Roman" w:hAnsi="Times New Roman" w:cs="Times New Roman"/>
        </w:rPr>
        <w:t xml:space="preserve">  </w:t>
      </w:r>
    </w:p>
    <w:p w:rsidR="00B961CE" w:rsidRDefault="00D363DE" w:rsidP="00B961CE">
      <w:pPr>
        <w:pStyle w:val="TestBody"/>
        <w:spacing w:line="480" w:lineRule="auto"/>
        <w:ind w:left="0" w:firstLine="720"/>
        <w:rPr>
          <w:rFonts w:ascii="Times New Roman" w:hAnsi="Times New Roman" w:cs="Times New Roman"/>
        </w:rPr>
      </w:pPr>
      <w:r>
        <w:rPr>
          <w:rStyle w:val="LineNumber"/>
        </w:rPr>
        <w:t xml:space="preserve">Table </w:t>
      </w:r>
      <w:r w:rsidR="007879C7">
        <w:rPr>
          <w:rStyle w:val="LineNumber"/>
        </w:rPr>
        <w:t xml:space="preserve">No. </w:t>
      </w:r>
      <w:r>
        <w:rPr>
          <w:rStyle w:val="LineNumber"/>
        </w:rPr>
        <w:t>1</w:t>
      </w:r>
      <w:r w:rsidR="00B961CE" w:rsidRPr="00483634">
        <w:rPr>
          <w:rStyle w:val="LineNumber"/>
        </w:rPr>
        <w:t xml:space="preserve"> below shows the primary factors impacting power supply expense during </w:t>
      </w:r>
      <w:r w:rsidR="00916199">
        <w:rPr>
          <w:rStyle w:val="LineNumber"/>
        </w:rPr>
        <w:t>2014</w:t>
      </w:r>
      <w:r>
        <w:rPr>
          <w:rStyle w:val="LineNumber"/>
        </w:rPr>
        <w:t>:</w:t>
      </w:r>
      <w:r w:rsidR="00B961CE">
        <w:rPr>
          <w:rStyle w:val="LineNumber"/>
        </w:rPr>
        <w:t xml:space="preserve"> </w:t>
      </w:r>
    </w:p>
    <w:p w:rsidR="00D363DE" w:rsidRDefault="00D363DE" w:rsidP="005C3D7B">
      <w:pPr>
        <w:pStyle w:val="TestBody"/>
        <w:spacing w:line="480" w:lineRule="auto"/>
        <w:ind w:left="0" w:firstLine="720"/>
        <w:rPr>
          <w:rFonts w:ascii="Times New Roman" w:hAnsi="Times New Roman" w:cs="Times New Roman"/>
        </w:rPr>
      </w:pPr>
      <w:r w:rsidRPr="00D363DE">
        <w:rPr>
          <w:rFonts w:ascii="Times New Roman" w:hAnsi="Times New Roman" w:cs="Times New Roman"/>
          <w:b/>
          <w:u w:val="single"/>
        </w:rPr>
        <w:t xml:space="preserve">Table </w:t>
      </w:r>
      <w:r w:rsidR="007879C7">
        <w:rPr>
          <w:rFonts w:ascii="Times New Roman" w:hAnsi="Times New Roman" w:cs="Times New Roman"/>
          <w:b/>
          <w:u w:val="single"/>
        </w:rPr>
        <w:t xml:space="preserve">No. </w:t>
      </w:r>
      <w:r w:rsidRPr="00D363DE">
        <w:rPr>
          <w:rFonts w:ascii="Times New Roman" w:hAnsi="Times New Roman" w:cs="Times New Roman"/>
          <w:b/>
          <w:u w:val="single"/>
        </w:rPr>
        <w:t>1:</w:t>
      </w:r>
      <w:r w:rsidR="005C3D7B">
        <w:rPr>
          <w:rFonts w:ascii="Times New Roman" w:hAnsi="Times New Roman" w:cs="Times New Roman"/>
        </w:rPr>
        <w:t xml:space="preserve"> </w:t>
      </w:r>
    </w:p>
    <w:p w:rsidR="00563A9D" w:rsidRDefault="00584A4F" w:rsidP="005C3D7B">
      <w:pPr>
        <w:pStyle w:val="TestBody"/>
        <w:spacing w:line="480" w:lineRule="auto"/>
        <w:ind w:left="630" w:firstLine="0"/>
        <w:jc w:val="left"/>
        <w:rPr>
          <w:rStyle w:val="LineNumber"/>
        </w:rPr>
      </w:pPr>
      <w:r>
        <w:rPr>
          <w:rFonts w:ascii="Times New Roman" w:hAnsi="Times New Roman" w:cs="Times New Roman"/>
          <w:noProof/>
        </w:rPr>
        <w:drawing>
          <wp:anchor distT="0" distB="0" distL="114300" distR="114300" simplePos="0" relativeHeight="251665408" behindDoc="1" locked="0" layoutInCell="1" allowOverlap="1">
            <wp:simplePos x="0" y="0"/>
            <wp:positionH relativeFrom="column">
              <wp:posOffset>421005</wp:posOffset>
            </wp:positionH>
            <wp:positionV relativeFrom="paragraph">
              <wp:posOffset>123825</wp:posOffset>
            </wp:positionV>
            <wp:extent cx="5191125" cy="2400300"/>
            <wp:effectExtent l="19050" t="0" r="9525" b="0"/>
            <wp:wrapTight wrapText="bothSides">
              <wp:wrapPolygon edited="0">
                <wp:start x="-79" y="0"/>
                <wp:lineTo x="-79" y="21257"/>
                <wp:lineTo x="21640" y="21257"/>
                <wp:lineTo x="21640" y="0"/>
                <wp:lineTo x="-7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191125" cy="2400300"/>
                    </a:xfrm>
                    <a:prstGeom prst="rect">
                      <a:avLst/>
                    </a:prstGeom>
                    <a:noFill/>
                    <a:ln w="9525">
                      <a:noFill/>
                      <a:miter lim="800000"/>
                      <a:headEnd/>
                      <a:tailEnd/>
                    </a:ln>
                  </pic:spPr>
                </pic:pic>
              </a:graphicData>
            </a:graphic>
          </wp:anchor>
        </w:drawing>
      </w:r>
    </w:p>
    <w:p w:rsidR="002C665C" w:rsidRDefault="002C665C" w:rsidP="00D75CA4">
      <w:pPr>
        <w:pStyle w:val="TestBody"/>
        <w:spacing w:line="480" w:lineRule="auto"/>
        <w:ind w:left="0" w:firstLine="0"/>
        <w:jc w:val="left"/>
        <w:rPr>
          <w:rStyle w:val="LineNumber"/>
        </w:rPr>
      </w:pPr>
    </w:p>
    <w:p w:rsidR="002C665C" w:rsidRDefault="002C665C" w:rsidP="00D75CA4">
      <w:pPr>
        <w:pStyle w:val="TestBody"/>
        <w:spacing w:line="480" w:lineRule="auto"/>
        <w:ind w:left="0" w:firstLine="0"/>
        <w:jc w:val="left"/>
        <w:rPr>
          <w:rStyle w:val="LineNumber"/>
        </w:rPr>
      </w:pPr>
    </w:p>
    <w:p w:rsidR="002C665C" w:rsidRDefault="002C665C" w:rsidP="00D75CA4">
      <w:pPr>
        <w:pStyle w:val="TestBody"/>
        <w:spacing w:line="480" w:lineRule="auto"/>
        <w:ind w:left="0" w:firstLine="0"/>
        <w:jc w:val="left"/>
        <w:rPr>
          <w:rStyle w:val="LineNumber"/>
        </w:rPr>
      </w:pPr>
    </w:p>
    <w:p w:rsidR="002C665C" w:rsidRDefault="002C665C" w:rsidP="00D75CA4">
      <w:pPr>
        <w:pStyle w:val="TestBody"/>
        <w:spacing w:line="480" w:lineRule="auto"/>
        <w:ind w:left="0" w:firstLine="0"/>
        <w:jc w:val="left"/>
        <w:rPr>
          <w:rStyle w:val="LineNumber"/>
        </w:rPr>
      </w:pPr>
    </w:p>
    <w:p w:rsidR="002C665C" w:rsidRDefault="002C665C" w:rsidP="00D75CA4">
      <w:pPr>
        <w:pStyle w:val="TestBody"/>
        <w:spacing w:line="480" w:lineRule="auto"/>
        <w:ind w:left="0" w:firstLine="0"/>
        <w:jc w:val="left"/>
        <w:rPr>
          <w:rStyle w:val="LineNumber"/>
        </w:rPr>
      </w:pPr>
    </w:p>
    <w:p w:rsidR="00584A4F" w:rsidRDefault="00584A4F">
      <w:pPr>
        <w:autoSpaceDE/>
        <w:autoSpaceDN/>
        <w:spacing w:after="200" w:line="276" w:lineRule="auto"/>
        <w:rPr>
          <w:rStyle w:val="LineNumber"/>
        </w:rPr>
      </w:pPr>
    </w:p>
    <w:p w:rsidR="00584A4F" w:rsidRDefault="00584A4F">
      <w:pPr>
        <w:autoSpaceDE/>
        <w:autoSpaceDN/>
        <w:spacing w:after="200" w:line="276" w:lineRule="auto"/>
        <w:rPr>
          <w:rStyle w:val="LineNumber"/>
        </w:rPr>
      </w:pPr>
      <w:r>
        <w:rPr>
          <w:rStyle w:val="LineNumber"/>
        </w:rPr>
        <w:br w:type="page"/>
      </w:r>
    </w:p>
    <w:p w:rsidR="00563A9D" w:rsidRPr="00D75CA4" w:rsidRDefault="00D363DE" w:rsidP="00D75CA4">
      <w:pPr>
        <w:pStyle w:val="TestBody"/>
        <w:spacing w:line="480" w:lineRule="auto"/>
        <w:ind w:left="0" w:firstLine="720"/>
        <w:jc w:val="left"/>
        <w:rPr>
          <w:rFonts w:ascii="Times New Roman" w:hAnsi="Times New Roman" w:cs="Times New Roman"/>
        </w:rPr>
      </w:pPr>
      <w:r>
        <w:rPr>
          <w:rStyle w:val="LineNumber"/>
        </w:rPr>
        <w:t xml:space="preserve">Table </w:t>
      </w:r>
      <w:r w:rsidR="007879C7">
        <w:rPr>
          <w:rStyle w:val="LineNumber"/>
        </w:rPr>
        <w:t xml:space="preserve">No. </w:t>
      </w:r>
      <w:r>
        <w:rPr>
          <w:rStyle w:val="LineNumber"/>
        </w:rPr>
        <w:t>2</w:t>
      </w:r>
      <w:r w:rsidRPr="00F16DCD">
        <w:rPr>
          <w:rFonts w:ascii="Times New Roman" w:hAnsi="Times New Roman" w:cs="Times New Roman"/>
        </w:rPr>
        <w:t xml:space="preserve"> below shows the change in generation and </w:t>
      </w:r>
      <w:r>
        <w:rPr>
          <w:rFonts w:ascii="Times New Roman" w:hAnsi="Times New Roman" w:cs="Times New Roman"/>
        </w:rPr>
        <w:t>system</w:t>
      </w:r>
      <w:r w:rsidRPr="00F16DCD">
        <w:rPr>
          <w:rFonts w:ascii="Times New Roman" w:hAnsi="Times New Roman" w:cs="Times New Roman"/>
        </w:rPr>
        <w:t xml:space="preserve"> loads in 201</w:t>
      </w:r>
      <w:r w:rsidR="00182264">
        <w:rPr>
          <w:rFonts w:ascii="Times New Roman" w:hAnsi="Times New Roman" w:cs="Times New Roman"/>
        </w:rPr>
        <w:t>4</w:t>
      </w:r>
      <w:r w:rsidRPr="00F16DCD">
        <w:rPr>
          <w:rFonts w:ascii="Times New Roman" w:hAnsi="Times New Roman" w:cs="Times New Roman"/>
        </w:rPr>
        <w:t xml:space="preserve"> from the authorized level included in base rates</w:t>
      </w:r>
      <w:r>
        <w:rPr>
          <w:rFonts w:ascii="Times New Roman" w:hAnsi="Times New Roman" w:cs="Times New Roman"/>
        </w:rPr>
        <w:t>:</w:t>
      </w:r>
    </w:p>
    <w:p w:rsidR="00D363DE" w:rsidRDefault="007879C7" w:rsidP="007879C7">
      <w:pPr>
        <w:pStyle w:val="TestBody"/>
        <w:spacing w:line="480" w:lineRule="auto"/>
        <w:ind w:left="0" w:firstLine="720"/>
        <w:jc w:val="left"/>
        <w:rPr>
          <w:rFonts w:ascii="Times New Roman" w:hAnsi="Times New Roman" w:cs="Times New Roman"/>
        </w:rPr>
      </w:pPr>
      <w:r w:rsidRPr="00D363DE">
        <w:rPr>
          <w:rFonts w:ascii="Times New Roman" w:hAnsi="Times New Roman" w:cs="Times New Roman"/>
          <w:b/>
          <w:u w:val="single"/>
        </w:rPr>
        <w:t>Table</w:t>
      </w:r>
      <w:r>
        <w:rPr>
          <w:rFonts w:ascii="Times New Roman" w:hAnsi="Times New Roman" w:cs="Times New Roman"/>
          <w:b/>
          <w:u w:val="single"/>
        </w:rPr>
        <w:t xml:space="preserve"> No. 2:</w:t>
      </w:r>
    </w:p>
    <w:p w:rsidR="00563A9D" w:rsidRPr="00D75CA4" w:rsidRDefault="00584A4F" w:rsidP="00D75CA4">
      <w:pPr>
        <w:pStyle w:val="TestBody"/>
        <w:spacing w:line="480" w:lineRule="auto"/>
        <w:ind w:left="0" w:firstLine="720"/>
        <w:jc w:val="left"/>
        <w:rPr>
          <w:rStyle w:val="LineNumber"/>
        </w:rPr>
      </w:pPr>
      <w:r w:rsidRPr="00584A4F">
        <w:rPr>
          <w:noProof/>
        </w:rPr>
        <w:drawing>
          <wp:anchor distT="0" distB="0" distL="114300" distR="114300" simplePos="0" relativeHeight="251666432" behindDoc="1" locked="0" layoutInCell="1" allowOverlap="1">
            <wp:simplePos x="0" y="0"/>
            <wp:positionH relativeFrom="column">
              <wp:posOffset>478155</wp:posOffset>
            </wp:positionH>
            <wp:positionV relativeFrom="paragraph">
              <wp:posOffset>-3810</wp:posOffset>
            </wp:positionV>
            <wp:extent cx="4514850" cy="230505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514850" cy="2305050"/>
                    </a:xfrm>
                    <a:prstGeom prst="rect">
                      <a:avLst/>
                    </a:prstGeom>
                    <a:noFill/>
                    <a:ln w="9525">
                      <a:noFill/>
                      <a:miter lim="800000"/>
                      <a:headEnd/>
                      <a:tailEnd/>
                    </a:ln>
                  </pic:spPr>
                </pic:pic>
              </a:graphicData>
            </a:graphic>
          </wp:anchor>
        </w:drawing>
      </w:r>
    </w:p>
    <w:p w:rsidR="002C665C" w:rsidRDefault="002C665C" w:rsidP="009B1355">
      <w:pPr>
        <w:pStyle w:val="TestBody"/>
        <w:spacing w:line="480" w:lineRule="auto"/>
        <w:ind w:left="0" w:firstLine="720"/>
        <w:jc w:val="center"/>
        <w:rPr>
          <w:rFonts w:ascii="Times New Roman" w:hAnsi="Times New Roman" w:cs="Times New Roman"/>
          <w:b/>
          <w:bCs/>
          <w:u w:val="single"/>
        </w:rPr>
      </w:pPr>
    </w:p>
    <w:p w:rsidR="002C665C" w:rsidRDefault="002C665C" w:rsidP="009B1355">
      <w:pPr>
        <w:pStyle w:val="TestBody"/>
        <w:spacing w:line="480" w:lineRule="auto"/>
        <w:ind w:left="0" w:firstLine="720"/>
        <w:jc w:val="center"/>
        <w:rPr>
          <w:rFonts w:ascii="Times New Roman" w:hAnsi="Times New Roman" w:cs="Times New Roman"/>
          <w:b/>
          <w:bCs/>
          <w:u w:val="single"/>
        </w:rPr>
      </w:pPr>
    </w:p>
    <w:p w:rsidR="002C665C" w:rsidRDefault="002C665C" w:rsidP="009B1355">
      <w:pPr>
        <w:pStyle w:val="TestBody"/>
        <w:spacing w:line="480" w:lineRule="auto"/>
        <w:ind w:left="0" w:firstLine="720"/>
        <w:jc w:val="center"/>
        <w:rPr>
          <w:rFonts w:ascii="Times New Roman" w:hAnsi="Times New Roman" w:cs="Times New Roman"/>
          <w:b/>
          <w:bCs/>
          <w:u w:val="single"/>
        </w:rPr>
      </w:pPr>
    </w:p>
    <w:p w:rsidR="002C665C" w:rsidRDefault="002C665C" w:rsidP="009B1355">
      <w:pPr>
        <w:pStyle w:val="TestBody"/>
        <w:spacing w:line="480" w:lineRule="auto"/>
        <w:ind w:left="0" w:firstLine="720"/>
        <w:jc w:val="center"/>
        <w:rPr>
          <w:rFonts w:ascii="Times New Roman" w:hAnsi="Times New Roman" w:cs="Times New Roman"/>
          <w:b/>
          <w:bCs/>
          <w:u w:val="single"/>
        </w:rPr>
      </w:pPr>
    </w:p>
    <w:p w:rsidR="002C665C" w:rsidRDefault="002C665C" w:rsidP="009B1355">
      <w:pPr>
        <w:pStyle w:val="TestBody"/>
        <w:spacing w:line="480" w:lineRule="auto"/>
        <w:ind w:left="0" w:firstLine="720"/>
        <w:jc w:val="center"/>
        <w:rPr>
          <w:rFonts w:ascii="Times New Roman" w:hAnsi="Times New Roman" w:cs="Times New Roman"/>
          <w:b/>
          <w:bCs/>
          <w:u w:val="single"/>
        </w:rPr>
      </w:pPr>
    </w:p>
    <w:p w:rsidR="002C665C" w:rsidRDefault="002C665C" w:rsidP="009B1355">
      <w:pPr>
        <w:pStyle w:val="TestBody"/>
        <w:spacing w:line="480" w:lineRule="auto"/>
        <w:ind w:left="0" w:firstLine="720"/>
        <w:jc w:val="center"/>
        <w:rPr>
          <w:rFonts w:ascii="Times New Roman" w:hAnsi="Times New Roman" w:cs="Times New Roman"/>
          <w:b/>
          <w:bCs/>
          <w:u w:val="single"/>
        </w:rPr>
      </w:pPr>
    </w:p>
    <w:p w:rsidR="002C665C" w:rsidRDefault="002C665C" w:rsidP="009B1355">
      <w:pPr>
        <w:pStyle w:val="TestBody"/>
        <w:spacing w:line="480" w:lineRule="auto"/>
        <w:ind w:left="0" w:firstLine="720"/>
        <w:jc w:val="center"/>
        <w:rPr>
          <w:rFonts w:ascii="Times New Roman" w:hAnsi="Times New Roman" w:cs="Times New Roman"/>
          <w:b/>
          <w:bCs/>
          <w:u w:val="single"/>
        </w:rPr>
      </w:pPr>
    </w:p>
    <w:p w:rsidR="009B1355" w:rsidRPr="00483634" w:rsidRDefault="009B1355" w:rsidP="00E8128D">
      <w:pPr>
        <w:pStyle w:val="TestBody"/>
        <w:spacing w:line="480" w:lineRule="auto"/>
        <w:ind w:left="0" w:firstLine="0"/>
        <w:jc w:val="center"/>
        <w:rPr>
          <w:rFonts w:ascii="Times New Roman" w:hAnsi="Times New Roman" w:cs="Times New Roman"/>
          <w:b/>
          <w:bCs/>
          <w:u w:val="single"/>
        </w:rPr>
      </w:pPr>
      <w:r w:rsidRPr="00483634">
        <w:rPr>
          <w:rFonts w:ascii="Times New Roman" w:hAnsi="Times New Roman" w:cs="Times New Roman"/>
          <w:b/>
          <w:bCs/>
          <w:u w:val="single"/>
        </w:rPr>
        <w:t xml:space="preserve">IV.  NEW LONG-TERM CONTRACTS ENTERED INTO IN </w:t>
      </w:r>
      <w:r w:rsidR="00527D7D">
        <w:rPr>
          <w:rFonts w:ascii="Times New Roman" w:hAnsi="Times New Roman" w:cs="Times New Roman"/>
          <w:b/>
          <w:bCs/>
          <w:u w:val="single"/>
        </w:rPr>
        <w:t>201</w:t>
      </w:r>
      <w:r w:rsidR="00E849F6">
        <w:rPr>
          <w:rFonts w:ascii="Times New Roman" w:hAnsi="Times New Roman" w:cs="Times New Roman"/>
          <w:b/>
          <w:bCs/>
          <w:u w:val="single"/>
        </w:rPr>
        <w:t>4</w:t>
      </w:r>
    </w:p>
    <w:p w:rsidR="009B1355" w:rsidRPr="00483634" w:rsidRDefault="009B1355" w:rsidP="007F082D">
      <w:pPr>
        <w:pStyle w:val="TestBody"/>
        <w:numPr>
          <w:ilvl w:val="0"/>
          <w:numId w:val="16"/>
        </w:numPr>
        <w:tabs>
          <w:tab w:val="clear" w:pos="720"/>
          <w:tab w:val="num" w:pos="0"/>
        </w:tabs>
        <w:spacing w:line="480" w:lineRule="auto"/>
        <w:ind w:left="0" w:firstLine="720"/>
        <w:rPr>
          <w:rFonts w:ascii="Times New Roman" w:hAnsi="Times New Roman" w:cs="Times New Roman"/>
        </w:rPr>
      </w:pPr>
      <w:r w:rsidRPr="00483634">
        <w:rPr>
          <w:rFonts w:ascii="Times New Roman" w:hAnsi="Times New Roman" w:cs="Times New Roman"/>
          <w:b/>
          <w:bCs/>
        </w:rPr>
        <w:t xml:space="preserve">Please provide a brief description of new long-term contracts that the Company entered into in </w:t>
      </w:r>
      <w:r w:rsidR="00916199">
        <w:rPr>
          <w:rFonts w:ascii="Times New Roman" w:hAnsi="Times New Roman" w:cs="Times New Roman"/>
          <w:b/>
          <w:bCs/>
        </w:rPr>
        <w:t>2014</w:t>
      </w:r>
      <w:r w:rsidRPr="00483634">
        <w:rPr>
          <w:rFonts w:ascii="Times New Roman" w:hAnsi="Times New Roman" w:cs="Times New Roman"/>
          <w:b/>
          <w:bCs/>
        </w:rPr>
        <w:t xml:space="preserve">. </w:t>
      </w:r>
    </w:p>
    <w:p w:rsidR="00DC1869" w:rsidRPr="00483634" w:rsidRDefault="00384DDC" w:rsidP="00320A57">
      <w:pPr>
        <w:pStyle w:val="TestBody"/>
        <w:tabs>
          <w:tab w:val="num" w:pos="0"/>
        </w:tabs>
        <w:spacing w:line="480" w:lineRule="auto"/>
        <w:ind w:left="0" w:firstLine="720"/>
        <w:rPr>
          <w:rFonts w:ascii="Times New Roman" w:hAnsi="Times New Roman" w:cs="Times New Roman"/>
        </w:rPr>
      </w:pPr>
      <w:r w:rsidRPr="00483634">
        <w:rPr>
          <w:rFonts w:ascii="Times New Roman" w:hAnsi="Times New Roman" w:cs="Times New Roman"/>
        </w:rPr>
        <w:t>A.</w:t>
      </w:r>
      <w:r w:rsidRPr="00483634">
        <w:rPr>
          <w:rFonts w:ascii="Times New Roman" w:hAnsi="Times New Roman" w:cs="Times New Roman"/>
        </w:rPr>
        <w:tab/>
      </w:r>
      <w:r w:rsidR="009B1355" w:rsidRPr="00483634">
        <w:rPr>
          <w:rFonts w:ascii="Times New Roman" w:hAnsi="Times New Roman" w:cs="Times New Roman"/>
        </w:rPr>
        <w:t xml:space="preserve">The Company entered </w:t>
      </w:r>
      <w:r w:rsidR="009B1355" w:rsidRPr="00AF6DF7">
        <w:rPr>
          <w:rFonts w:ascii="Times New Roman" w:hAnsi="Times New Roman" w:cs="Times New Roman"/>
        </w:rPr>
        <w:t xml:space="preserve">into </w:t>
      </w:r>
      <w:r w:rsidR="00916199">
        <w:rPr>
          <w:rFonts w:ascii="Times New Roman" w:hAnsi="Times New Roman" w:cs="Times New Roman"/>
        </w:rPr>
        <w:t>two</w:t>
      </w:r>
      <w:r w:rsidR="003D4909" w:rsidRPr="00AF6DF7">
        <w:rPr>
          <w:rFonts w:ascii="Times New Roman" w:hAnsi="Times New Roman" w:cs="Times New Roman"/>
        </w:rPr>
        <w:t xml:space="preserve"> </w:t>
      </w:r>
      <w:r w:rsidR="009B1355" w:rsidRPr="00AF6DF7">
        <w:rPr>
          <w:rFonts w:ascii="Times New Roman" w:hAnsi="Times New Roman" w:cs="Times New Roman"/>
        </w:rPr>
        <w:t xml:space="preserve">long-term </w:t>
      </w:r>
      <w:r w:rsidR="00916199">
        <w:rPr>
          <w:rFonts w:ascii="Times New Roman" w:hAnsi="Times New Roman" w:cs="Times New Roman"/>
        </w:rPr>
        <w:t xml:space="preserve">power purchase </w:t>
      </w:r>
      <w:r w:rsidR="009B1355" w:rsidRPr="00AF6DF7">
        <w:rPr>
          <w:rFonts w:ascii="Times New Roman" w:hAnsi="Times New Roman" w:cs="Times New Roman"/>
        </w:rPr>
        <w:t>contract</w:t>
      </w:r>
      <w:r w:rsidR="00584A4F">
        <w:rPr>
          <w:rFonts w:ascii="Times New Roman" w:hAnsi="Times New Roman" w:cs="Times New Roman"/>
        </w:rPr>
        <w:t>s</w:t>
      </w:r>
      <w:r w:rsidR="009B1355" w:rsidRPr="00AF6DF7">
        <w:rPr>
          <w:rFonts w:ascii="Times New Roman" w:hAnsi="Times New Roman" w:cs="Times New Roman"/>
        </w:rPr>
        <w:t xml:space="preserve"> </w:t>
      </w:r>
      <w:r w:rsidR="00182264">
        <w:rPr>
          <w:rFonts w:ascii="Times New Roman" w:hAnsi="Times New Roman" w:cs="Times New Roman"/>
        </w:rPr>
        <w:t>and two</w:t>
      </w:r>
      <w:r w:rsidR="00916199">
        <w:rPr>
          <w:rFonts w:ascii="Times New Roman" w:hAnsi="Times New Roman" w:cs="Times New Roman"/>
        </w:rPr>
        <w:t xml:space="preserve"> long-term ancillary product sale contracts </w:t>
      </w:r>
      <w:r w:rsidR="009D1C4E">
        <w:rPr>
          <w:rFonts w:ascii="Times New Roman" w:hAnsi="Times New Roman" w:cs="Times New Roman"/>
        </w:rPr>
        <w:t xml:space="preserve">in </w:t>
      </w:r>
      <w:r w:rsidR="00916199">
        <w:rPr>
          <w:rFonts w:ascii="Times New Roman" w:hAnsi="Times New Roman" w:cs="Times New Roman"/>
        </w:rPr>
        <w:t>2014</w:t>
      </w:r>
      <w:r w:rsidR="009B1355" w:rsidRPr="00AF6DF7">
        <w:rPr>
          <w:rFonts w:ascii="Times New Roman" w:hAnsi="Times New Roman" w:cs="Times New Roman"/>
        </w:rPr>
        <w:t xml:space="preserve">.  </w:t>
      </w:r>
      <w:r w:rsidR="00916199">
        <w:rPr>
          <w:rFonts w:ascii="Times New Roman" w:hAnsi="Times New Roman" w:cs="Times New Roman"/>
        </w:rPr>
        <w:t>The power purchase contracts included a  purchase of a four percent share o</w:t>
      </w:r>
      <w:r w:rsidR="00182264">
        <w:rPr>
          <w:rFonts w:ascii="Times New Roman" w:hAnsi="Times New Roman" w:cs="Times New Roman"/>
        </w:rPr>
        <w:t xml:space="preserve">f the output of the Rocky Reach and </w:t>
      </w:r>
      <w:r w:rsidR="00916199">
        <w:rPr>
          <w:rFonts w:ascii="Times New Roman" w:hAnsi="Times New Roman" w:cs="Times New Roman"/>
        </w:rPr>
        <w:t>Rock Island dam</w:t>
      </w:r>
      <w:r w:rsidR="00182264">
        <w:rPr>
          <w:rFonts w:ascii="Times New Roman" w:hAnsi="Times New Roman" w:cs="Times New Roman"/>
        </w:rPr>
        <w:t xml:space="preserve">s </w:t>
      </w:r>
      <w:r w:rsidR="00584A4F">
        <w:rPr>
          <w:rFonts w:ascii="Times New Roman" w:hAnsi="Times New Roman" w:cs="Times New Roman"/>
        </w:rPr>
        <w:t xml:space="preserve">for 2015, </w:t>
      </w:r>
      <w:r w:rsidR="00D34828">
        <w:rPr>
          <w:rFonts w:ascii="Times New Roman" w:hAnsi="Times New Roman" w:cs="Times New Roman"/>
        </w:rPr>
        <w:t xml:space="preserve">and an approximately </w:t>
      </w:r>
      <w:r w:rsidR="00E849F6">
        <w:rPr>
          <w:rFonts w:ascii="Times New Roman" w:hAnsi="Times New Roman" w:cs="Times New Roman"/>
        </w:rPr>
        <w:t>37.5 m</w:t>
      </w:r>
      <w:r w:rsidR="00D34828">
        <w:rPr>
          <w:rFonts w:ascii="Times New Roman" w:hAnsi="Times New Roman" w:cs="Times New Roman"/>
        </w:rPr>
        <w:t xml:space="preserve">onth purchase agreement for the output from the City of Spokane’s Waste-to-Energy plant.  The sale contracts included </w:t>
      </w:r>
      <w:r w:rsidR="00137560">
        <w:rPr>
          <w:rFonts w:ascii="Times New Roman" w:hAnsi="Times New Roman" w:cs="Times New Roman"/>
        </w:rPr>
        <w:t>two dynamic capacity (load and generation regulation services) sales to Pend Oreille County PUD and Sovereign Power (Kaiser Aluminum rolling mill).</w:t>
      </w:r>
      <w:r w:rsidR="003D4909">
        <w:rPr>
          <w:rFonts w:ascii="Times New Roman" w:hAnsi="Times New Roman" w:cs="Times New Roman"/>
        </w:rPr>
        <w:t xml:space="preserve"> </w:t>
      </w:r>
    </w:p>
    <w:p w:rsidR="009B1355" w:rsidRPr="00483634" w:rsidRDefault="009B1355" w:rsidP="009B1355">
      <w:pPr>
        <w:pStyle w:val="TestBody"/>
        <w:tabs>
          <w:tab w:val="num" w:pos="0"/>
        </w:tabs>
        <w:spacing w:line="480" w:lineRule="auto"/>
        <w:ind w:left="0" w:firstLine="720"/>
        <w:rPr>
          <w:rFonts w:ascii="Times New Roman" w:hAnsi="Times New Roman" w:cs="Times New Roman"/>
          <w:b/>
        </w:rPr>
      </w:pPr>
      <w:r w:rsidRPr="00483634">
        <w:rPr>
          <w:rFonts w:ascii="Times New Roman" w:hAnsi="Times New Roman" w:cs="Times New Roman"/>
          <w:b/>
        </w:rPr>
        <w:t>Q.</w:t>
      </w:r>
      <w:r w:rsidRPr="00483634">
        <w:rPr>
          <w:rFonts w:ascii="Times New Roman" w:hAnsi="Times New Roman" w:cs="Times New Roman"/>
          <w:b/>
        </w:rPr>
        <w:tab/>
        <w:t xml:space="preserve">Are any </w:t>
      </w:r>
      <w:r w:rsidR="00576699">
        <w:rPr>
          <w:rFonts w:ascii="Times New Roman" w:hAnsi="Times New Roman" w:cs="Times New Roman"/>
          <w:b/>
        </w:rPr>
        <w:t>long-term</w:t>
      </w:r>
      <w:r w:rsidRPr="00483634">
        <w:rPr>
          <w:rFonts w:ascii="Times New Roman" w:hAnsi="Times New Roman" w:cs="Times New Roman"/>
          <w:b/>
        </w:rPr>
        <w:t xml:space="preserve"> contracts subject to the limitation for inclusion in the </w:t>
      </w:r>
      <w:r w:rsidR="00584A4F">
        <w:rPr>
          <w:rFonts w:ascii="Times New Roman" w:hAnsi="Times New Roman" w:cs="Times New Roman"/>
          <w:b/>
        </w:rPr>
        <w:t>ERM</w:t>
      </w:r>
      <w:r w:rsidRPr="00483634">
        <w:rPr>
          <w:rFonts w:ascii="Times New Roman" w:hAnsi="Times New Roman" w:cs="Times New Roman"/>
          <w:b/>
        </w:rPr>
        <w:t>?</w:t>
      </w:r>
    </w:p>
    <w:p w:rsidR="009B1355" w:rsidRDefault="009B1355" w:rsidP="009B1355">
      <w:pPr>
        <w:pStyle w:val="TestBody"/>
        <w:tabs>
          <w:tab w:val="num" w:pos="0"/>
        </w:tabs>
        <w:spacing w:line="480" w:lineRule="auto"/>
        <w:ind w:left="0" w:firstLine="720"/>
        <w:rPr>
          <w:rFonts w:ascii="Times New Roman" w:hAnsi="Times New Roman" w:cs="Times New Roman"/>
        </w:rPr>
      </w:pPr>
      <w:r w:rsidRPr="00483634">
        <w:rPr>
          <w:rFonts w:ascii="Times New Roman" w:hAnsi="Times New Roman" w:cs="Times New Roman"/>
        </w:rPr>
        <w:t>A.</w:t>
      </w:r>
      <w:r w:rsidRPr="00483634">
        <w:rPr>
          <w:rFonts w:ascii="Times New Roman" w:hAnsi="Times New Roman" w:cs="Times New Roman"/>
        </w:rPr>
        <w:tab/>
        <w:t xml:space="preserve">No.  The </w:t>
      </w:r>
      <w:r w:rsidR="004678EE" w:rsidRPr="00483634">
        <w:rPr>
          <w:rFonts w:ascii="Times New Roman" w:hAnsi="Times New Roman"/>
          <w:bCs/>
        </w:rPr>
        <w:t>2006 Settlement Agreement in Docket No. UE-060181 regarding the continuation of the Company’s Energy Recovery Mechanism (ERM</w:t>
      </w:r>
      <w:r w:rsidR="00384DDC" w:rsidRPr="00483634">
        <w:rPr>
          <w:rFonts w:ascii="Times New Roman" w:hAnsi="Times New Roman"/>
          <w:bCs/>
        </w:rPr>
        <w:t>)</w:t>
      </w:r>
      <w:r w:rsidR="00384DDC" w:rsidRPr="00483634">
        <w:rPr>
          <w:rFonts w:ascii="Times New Roman" w:hAnsi="Times New Roman" w:cs="Times New Roman"/>
        </w:rPr>
        <w:t xml:space="preserve"> </w:t>
      </w:r>
      <w:r w:rsidRPr="00483634">
        <w:rPr>
          <w:rFonts w:ascii="Times New Roman" w:hAnsi="Times New Roman" w:cs="Times New Roman"/>
        </w:rPr>
        <w:t xml:space="preserve">included limitations on cost recovery for new or renewed contracts that are greater than 50 MW and have more than a </w:t>
      </w:r>
      <w:r w:rsidR="009D1C4E" w:rsidRPr="00483634">
        <w:rPr>
          <w:rFonts w:ascii="Times New Roman" w:hAnsi="Times New Roman" w:cs="Times New Roman"/>
        </w:rPr>
        <w:t>two</w:t>
      </w:r>
      <w:r w:rsidR="009D1C4E">
        <w:rPr>
          <w:rFonts w:ascii="Times New Roman" w:hAnsi="Times New Roman" w:cs="Times New Roman"/>
        </w:rPr>
        <w:t>-</w:t>
      </w:r>
      <w:r w:rsidRPr="00483634">
        <w:rPr>
          <w:rFonts w:ascii="Times New Roman" w:hAnsi="Times New Roman" w:cs="Times New Roman"/>
        </w:rPr>
        <w:t xml:space="preserve">year term.  </w:t>
      </w:r>
      <w:r w:rsidR="00DC1869" w:rsidRPr="00483634">
        <w:rPr>
          <w:rFonts w:ascii="Times New Roman" w:hAnsi="Times New Roman" w:cs="Times New Roman"/>
        </w:rPr>
        <w:t xml:space="preserve">No long-term contracts entered into in prior years that were in effect during the </w:t>
      </w:r>
      <w:r w:rsidR="00916199">
        <w:rPr>
          <w:rFonts w:ascii="Times New Roman" w:hAnsi="Times New Roman" w:cs="Times New Roman"/>
        </w:rPr>
        <w:t>2014</w:t>
      </w:r>
      <w:r w:rsidR="003D4909" w:rsidRPr="00483634">
        <w:rPr>
          <w:rFonts w:ascii="Times New Roman" w:hAnsi="Times New Roman" w:cs="Times New Roman"/>
        </w:rPr>
        <w:t xml:space="preserve"> </w:t>
      </w:r>
      <w:r w:rsidR="00DC1869" w:rsidRPr="00483634">
        <w:rPr>
          <w:rFonts w:ascii="Times New Roman" w:hAnsi="Times New Roman" w:cs="Times New Roman"/>
        </w:rPr>
        <w:t xml:space="preserve">review period </w:t>
      </w:r>
      <w:r w:rsidR="00DD0DE6" w:rsidRPr="00483634">
        <w:rPr>
          <w:rFonts w:ascii="Times New Roman" w:hAnsi="Times New Roman" w:cs="Times New Roman"/>
        </w:rPr>
        <w:t>a</w:t>
      </w:r>
      <w:r w:rsidR="00DC1869" w:rsidRPr="00483634">
        <w:rPr>
          <w:rFonts w:ascii="Times New Roman" w:hAnsi="Times New Roman" w:cs="Times New Roman"/>
        </w:rPr>
        <w:t>re subject to limitations on cost recovery.</w:t>
      </w:r>
    </w:p>
    <w:p w:rsidR="002C665C" w:rsidRDefault="002C665C" w:rsidP="00BE69ED">
      <w:pPr>
        <w:pStyle w:val="TestBody"/>
        <w:spacing w:line="480" w:lineRule="auto"/>
        <w:ind w:left="0" w:firstLine="720"/>
        <w:jc w:val="center"/>
        <w:rPr>
          <w:rFonts w:ascii="Times New Roman" w:hAnsi="Times New Roman" w:cs="Times New Roman"/>
          <w:b/>
          <w:bCs/>
          <w:u w:val="single"/>
        </w:rPr>
      </w:pPr>
    </w:p>
    <w:p w:rsidR="00BE69ED" w:rsidRPr="00483634" w:rsidRDefault="00BE69ED" w:rsidP="00E8128D">
      <w:pPr>
        <w:pStyle w:val="TestBody"/>
        <w:spacing w:line="480" w:lineRule="auto"/>
        <w:ind w:left="0" w:firstLine="0"/>
        <w:jc w:val="center"/>
        <w:rPr>
          <w:rFonts w:ascii="Times New Roman" w:hAnsi="Times New Roman" w:cs="Times New Roman"/>
          <w:b/>
          <w:bCs/>
          <w:u w:val="single"/>
        </w:rPr>
      </w:pPr>
      <w:r w:rsidRPr="00483634">
        <w:rPr>
          <w:rFonts w:ascii="Times New Roman" w:hAnsi="Times New Roman" w:cs="Times New Roman"/>
          <w:b/>
          <w:bCs/>
          <w:u w:val="single"/>
        </w:rPr>
        <w:t>V.  THERMAL RESOURCE AVAILABILITY</w:t>
      </w:r>
    </w:p>
    <w:p w:rsidR="00BE69ED" w:rsidRPr="00483634" w:rsidRDefault="004678EE" w:rsidP="007F082D">
      <w:pPr>
        <w:pStyle w:val="TestBody"/>
        <w:numPr>
          <w:ilvl w:val="0"/>
          <w:numId w:val="12"/>
        </w:numPr>
        <w:tabs>
          <w:tab w:val="clear" w:pos="720"/>
          <w:tab w:val="num" w:pos="0"/>
        </w:tabs>
        <w:spacing w:line="480" w:lineRule="auto"/>
        <w:ind w:left="0" w:firstLine="720"/>
        <w:rPr>
          <w:rFonts w:ascii="Times New Roman" w:hAnsi="Times New Roman" w:cs="Times New Roman"/>
          <w:b/>
          <w:bCs/>
        </w:rPr>
      </w:pPr>
      <w:r w:rsidRPr="00483634">
        <w:rPr>
          <w:rFonts w:ascii="Times New Roman" w:hAnsi="Times New Roman" w:cs="Times New Roman"/>
          <w:b/>
          <w:bCs/>
        </w:rPr>
        <w:t xml:space="preserve">Please </w:t>
      </w:r>
      <w:r w:rsidR="004F77E9">
        <w:rPr>
          <w:rFonts w:ascii="Times New Roman" w:hAnsi="Times New Roman" w:cs="Times New Roman"/>
          <w:b/>
          <w:bCs/>
        </w:rPr>
        <w:t>describe</w:t>
      </w:r>
      <w:r w:rsidR="00BE69ED" w:rsidRPr="00483634">
        <w:rPr>
          <w:rFonts w:ascii="Times New Roman" w:hAnsi="Times New Roman" w:cs="Times New Roman"/>
          <w:b/>
          <w:bCs/>
        </w:rPr>
        <w:t xml:space="preserve"> </w:t>
      </w:r>
      <w:r w:rsidR="004F77E9">
        <w:rPr>
          <w:rFonts w:ascii="Times New Roman" w:hAnsi="Times New Roman" w:cs="Times New Roman"/>
          <w:b/>
          <w:bCs/>
        </w:rPr>
        <w:t xml:space="preserve">the </w:t>
      </w:r>
      <w:r w:rsidR="00BE69ED" w:rsidRPr="00483634">
        <w:rPr>
          <w:rFonts w:ascii="Times New Roman" w:hAnsi="Times New Roman" w:cs="Times New Roman"/>
          <w:b/>
          <w:bCs/>
        </w:rPr>
        <w:t xml:space="preserve">availability factor </w:t>
      </w:r>
      <w:r w:rsidR="004F77E9">
        <w:rPr>
          <w:rFonts w:ascii="Times New Roman" w:hAnsi="Times New Roman" w:cs="Times New Roman"/>
          <w:b/>
          <w:bCs/>
        </w:rPr>
        <w:t xml:space="preserve">requirement and actual availability factors </w:t>
      </w:r>
      <w:r w:rsidR="00BE69ED" w:rsidRPr="00483634">
        <w:rPr>
          <w:rFonts w:ascii="Times New Roman" w:hAnsi="Times New Roman" w:cs="Times New Roman"/>
          <w:b/>
          <w:bCs/>
        </w:rPr>
        <w:t>for the Company’s major thermal plants, spe</w:t>
      </w:r>
      <w:r w:rsidR="00132FA2" w:rsidRPr="00483634">
        <w:rPr>
          <w:rFonts w:ascii="Times New Roman" w:hAnsi="Times New Roman" w:cs="Times New Roman"/>
          <w:b/>
          <w:bCs/>
        </w:rPr>
        <w:t>ci</w:t>
      </w:r>
      <w:r w:rsidR="00BE69ED" w:rsidRPr="00483634">
        <w:rPr>
          <w:rFonts w:ascii="Times New Roman" w:hAnsi="Times New Roman" w:cs="Times New Roman"/>
          <w:b/>
          <w:bCs/>
        </w:rPr>
        <w:t>fically Kettle Falls</w:t>
      </w:r>
      <w:r w:rsidRPr="00483634">
        <w:rPr>
          <w:rFonts w:ascii="Times New Roman" w:hAnsi="Times New Roman" w:cs="Times New Roman"/>
          <w:b/>
          <w:bCs/>
        </w:rPr>
        <w:t>, Colstrip and Coyote Spring 2.</w:t>
      </w:r>
    </w:p>
    <w:p w:rsidR="005E6E7F" w:rsidRDefault="00BE69ED" w:rsidP="002F28A3">
      <w:pPr>
        <w:pStyle w:val="TestBody"/>
        <w:tabs>
          <w:tab w:val="num" w:pos="0"/>
        </w:tabs>
        <w:spacing w:line="480" w:lineRule="auto"/>
        <w:ind w:left="0" w:firstLine="720"/>
        <w:rPr>
          <w:rFonts w:ascii="Times New Roman" w:hAnsi="Times New Roman" w:cs="Times New Roman"/>
          <w:bCs/>
        </w:rPr>
      </w:pPr>
      <w:r w:rsidRPr="00483634">
        <w:rPr>
          <w:rFonts w:ascii="Times New Roman" w:hAnsi="Times New Roman"/>
          <w:bCs/>
        </w:rPr>
        <w:t>A.</w:t>
      </w:r>
      <w:r w:rsidRPr="00483634">
        <w:rPr>
          <w:rFonts w:ascii="Times New Roman" w:hAnsi="Times New Roman"/>
          <w:bCs/>
        </w:rPr>
        <w:tab/>
      </w:r>
      <w:r w:rsidR="004678EE" w:rsidRPr="00483634">
        <w:rPr>
          <w:rFonts w:ascii="Times New Roman" w:hAnsi="Times New Roman"/>
          <w:bCs/>
        </w:rPr>
        <w:t>T</w:t>
      </w:r>
      <w:r w:rsidRPr="00483634">
        <w:rPr>
          <w:rFonts w:ascii="Times New Roman" w:hAnsi="Times New Roman"/>
          <w:bCs/>
        </w:rPr>
        <w:t>he 2006 Settlemen</w:t>
      </w:r>
      <w:r w:rsidR="004678EE" w:rsidRPr="00483634">
        <w:rPr>
          <w:rFonts w:ascii="Times New Roman" w:hAnsi="Times New Roman"/>
          <w:bCs/>
        </w:rPr>
        <w:t>t Agr</w:t>
      </w:r>
      <w:r w:rsidR="00132FA2" w:rsidRPr="00483634">
        <w:rPr>
          <w:rFonts w:ascii="Times New Roman" w:hAnsi="Times New Roman"/>
          <w:bCs/>
        </w:rPr>
        <w:t>eement in Docke</w:t>
      </w:r>
      <w:r w:rsidRPr="00483634">
        <w:rPr>
          <w:rFonts w:ascii="Times New Roman" w:hAnsi="Times New Roman"/>
          <w:bCs/>
        </w:rPr>
        <w:t>t N</w:t>
      </w:r>
      <w:r w:rsidR="00132FA2" w:rsidRPr="00483634">
        <w:rPr>
          <w:rFonts w:ascii="Times New Roman" w:hAnsi="Times New Roman"/>
          <w:bCs/>
        </w:rPr>
        <w:t xml:space="preserve">o. UE-060181 </w:t>
      </w:r>
      <w:r w:rsidR="00584A4F">
        <w:rPr>
          <w:rFonts w:ascii="Times New Roman" w:hAnsi="Times New Roman"/>
          <w:bCs/>
        </w:rPr>
        <w:t xml:space="preserve">related to the ERM </w:t>
      </w:r>
      <w:r w:rsidR="004678EE" w:rsidRPr="00483634">
        <w:rPr>
          <w:rFonts w:ascii="Times New Roman" w:hAnsi="Times New Roman"/>
          <w:bCs/>
        </w:rPr>
        <w:t>included</w:t>
      </w:r>
      <w:r w:rsidR="00584A4F">
        <w:rPr>
          <w:rFonts w:ascii="Times New Roman" w:hAnsi="Times New Roman"/>
          <w:bCs/>
        </w:rPr>
        <w:t xml:space="preserve"> a</w:t>
      </w:r>
      <w:r w:rsidR="004678EE" w:rsidRPr="00483634">
        <w:rPr>
          <w:rFonts w:ascii="Times New Roman" w:hAnsi="Times New Roman"/>
          <w:bCs/>
        </w:rPr>
        <w:t xml:space="preserve"> </w:t>
      </w:r>
      <w:r w:rsidR="00132FA2" w:rsidRPr="00483634">
        <w:rPr>
          <w:rFonts w:ascii="Times New Roman" w:hAnsi="Times New Roman"/>
          <w:bCs/>
        </w:rPr>
        <w:t>potential limitation of the recovery of fixed costs associated with Kettle Falls, Colstrip and Coyote Springs 2 generating plants when the plants fail to meet a 70% availability factor during the ERM review period</w:t>
      </w:r>
      <w:r w:rsidR="00B36CAF">
        <w:rPr>
          <w:rFonts w:ascii="Times New Roman" w:hAnsi="Times New Roman"/>
          <w:bCs/>
        </w:rPr>
        <w:t>.</w:t>
      </w:r>
      <w:r w:rsidR="002F28A3">
        <w:rPr>
          <w:rFonts w:ascii="Times New Roman" w:hAnsi="Times New Roman" w:cs="Times New Roman"/>
        </w:rPr>
        <w:t xml:space="preserve">  </w:t>
      </w:r>
      <w:r w:rsidR="00A43051" w:rsidRPr="00483634">
        <w:rPr>
          <w:rFonts w:ascii="Times New Roman" w:hAnsi="Times New Roman" w:cs="Times New Roman"/>
          <w:bCs/>
        </w:rPr>
        <w:t>A</w:t>
      </w:r>
      <w:r w:rsidR="007C3E11" w:rsidRPr="00483634">
        <w:rPr>
          <w:rFonts w:ascii="Times New Roman" w:hAnsi="Times New Roman" w:cs="Times New Roman"/>
          <w:bCs/>
        </w:rPr>
        <w:t xml:space="preserve">vailability factors </w:t>
      </w:r>
      <w:r w:rsidR="00A43051" w:rsidRPr="00483634">
        <w:rPr>
          <w:rFonts w:ascii="Times New Roman" w:hAnsi="Times New Roman" w:cs="Times New Roman"/>
          <w:bCs/>
        </w:rPr>
        <w:t xml:space="preserve">for the </w:t>
      </w:r>
      <w:r w:rsidR="00374895" w:rsidRPr="00483634">
        <w:rPr>
          <w:rFonts w:ascii="Times New Roman" w:hAnsi="Times New Roman" w:cs="Times New Roman"/>
          <w:bCs/>
        </w:rPr>
        <w:t>Company’s</w:t>
      </w:r>
      <w:r w:rsidR="00A43051" w:rsidRPr="00483634">
        <w:rPr>
          <w:rFonts w:ascii="Times New Roman" w:hAnsi="Times New Roman" w:cs="Times New Roman"/>
          <w:bCs/>
        </w:rPr>
        <w:t xml:space="preserve"> thermal plants during </w:t>
      </w:r>
      <w:r w:rsidR="00137560">
        <w:rPr>
          <w:rFonts w:ascii="Times New Roman" w:hAnsi="Times New Roman" w:cs="Times New Roman"/>
          <w:bCs/>
        </w:rPr>
        <w:t>2014</w:t>
      </w:r>
      <w:r w:rsidR="00FD0416" w:rsidRPr="00483634">
        <w:rPr>
          <w:rFonts w:ascii="Times New Roman" w:hAnsi="Times New Roman" w:cs="Times New Roman"/>
          <w:bCs/>
        </w:rPr>
        <w:t xml:space="preserve"> </w:t>
      </w:r>
      <w:r w:rsidR="00045E15">
        <w:rPr>
          <w:rFonts w:ascii="Times New Roman" w:hAnsi="Times New Roman" w:cs="Times New Roman"/>
          <w:bCs/>
        </w:rPr>
        <w:t>are</w:t>
      </w:r>
      <w:r w:rsidR="00A43051" w:rsidRPr="00483634">
        <w:rPr>
          <w:rFonts w:ascii="Times New Roman" w:hAnsi="Times New Roman" w:cs="Times New Roman"/>
          <w:bCs/>
        </w:rPr>
        <w:t xml:space="preserve"> shown </w:t>
      </w:r>
      <w:r w:rsidR="00045E15">
        <w:rPr>
          <w:rFonts w:ascii="Times New Roman" w:hAnsi="Times New Roman" w:cs="Times New Roman"/>
          <w:bCs/>
        </w:rPr>
        <w:t xml:space="preserve">in </w:t>
      </w:r>
      <w:r w:rsidR="007879C7">
        <w:rPr>
          <w:rFonts w:ascii="Times New Roman" w:hAnsi="Times New Roman" w:cs="Times New Roman"/>
          <w:bCs/>
        </w:rPr>
        <w:t>Table No. 3</w:t>
      </w:r>
      <w:r w:rsidR="00045E15">
        <w:rPr>
          <w:rFonts w:ascii="Times New Roman" w:hAnsi="Times New Roman" w:cs="Times New Roman"/>
          <w:bCs/>
        </w:rPr>
        <w:t xml:space="preserve"> </w:t>
      </w:r>
      <w:r w:rsidR="00A43051" w:rsidRPr="00483634">
        <w:rPr>
          <w:rFonts w:ascii="Times New Roman" w:hAnsi="Times New Roman" w:cs="Times New Roman"/>
          <w:bCs/>
        </w:rPr>
        <w:t>below</w:t>
      </w:r>
      <w:r w:rsidR="005E6E7F" w:rsidRPr="00483634">
        <w:rPr>
          <w:rFonts w:ascii="Times New Roman" w:hAnsi="Times New Roman" w:cs="Times New Roman"/>
          <w:bCs/>
        </w:rPr>
        <w:t>:</w:t>
      </w:r>
    </w:p>
    <w:p w:rsidR="007879C7" w:rsidRPr="007879C7" w:rsidRDefault="007879C7" w:rsidP="002F28A3">
      <w:pPr>
        <w:pStyle w:val="TestBody"/>
        <w:tabs>
          <w:tab w:val="num" w:pos="0"/>
        </w:tabs>
        <w:spacing w:line="480" w:lineRule="auto"/>
        <w:ind w:left="0" w:firstLine="720"/>
        <w:rPr>
          <w:rFonts w:ascii="Times New Roman" w:hAnsi="Times New Roman" w:cs="Times New Roman"/>
          <w:b/>
          <w:u w:val="single"/>
        </w:rPr>
      </w:pPr>
      <w:r w:rsidRPr="007879C7">
        <w:rPr>
          <w:rFonts w:ascii="Times New Roman" w:hAnsi="Times New Roman" w:cs="Times New Roman"/>
          <w:b/>
          <w:u w:val="single"/>
        </w:rPr>
        <w:t>Table No. 3:</w:t>
      </w:r>
    </w:p>
    <w:p w:rsidR="00537D4E" w:rsidRDefault="00584A4F" w:rsidP="00527D7D">
      <w:pPr>
        <w:pStyle w:val="TestBody"/>
        <w:tabs>
          <w:tab w:val="num" w:pos="0"/>
        </w:tabs>
        <w:spacing w:line="480" w:lineRule="auto"/>
        <w:ind w:left="0" w:firstLine="0"/>
        <w:jc w:val="center"/>
        <w:rPr>
          <w:rFonts w:ascii="Times New Roman" w:hAnsi="Times New Roman" w:cs="Times New Roman"/>
          <w:bCs/>
        </w:rPr>
      </w:pPr>
      <w:r w:rsidRPr="00584A4F">
        <w:rPr>
          <w:noProof/>
        </w:rPr>
        <w:drawing>
          <wp:anchor distT="0" distB="0" distL="114300" distR="114300" simplePos="0" relativeHeight="251667456" behindDoc="1" locked="0" layoutInCell="1" allowOverlap="1">
            <wp:simplePos x="0" y="0"/>
            <wp:positionH relativeFrom="column">
              <wp:posOffset>935355</wp:posOffset>
            </wp:positionH>
            <wp:positionV relativeFrom="paragraph">
              <wp:posOffset>2540</wp:posOffset>
            </wp:positionV>
            <wp:extent cx="3905250" cy="1476375"/>
            <wp:effectExtent l="1905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3905250" cy="1476375"/>
                    </a:xfrm>
                    <a:prstGeom prst="rect">
                      <a:avLst/>
                    </a:prstGeom>
                    <a:noFill/>
                    <a:ln w="9525">
                      <a:noFill/>
                      <a:miter lim="800000"/>
                      <a:headEnd/>
                      <a:tailEnd/>
                    </a:ln>
                  </pic:spPr>
                </pic:pic>
              </a:graphicData>
            </a:graphic>
          </wp:anchor>
        </w:drawing>
      </w:r>
    </w:p>
    <w:p w:rsidR="005E0BBC" w:rsidRPr="001821FC" w:rsidRDefault="005E0BBC" w:rsidP="00137560">
      <w:pPr>
        <w:pStyle w:val="TestBody"/>
        <w:tabs>
          <w:tab w:val="num" w:pos="0"/>
        </w:tabs>
        <w:spacing w:line="480" w:lineRule="auto"/>
        <w:ind w:left="0" w:firstLine="0"/>
        <w:rPr>
          <w:rFonts w:ascii="Times New Roman" w:hAnsi="Times New Roman" w:cs="Times New Roman"/>
          <w:bCs/>
        </w:rPr>
      </w:pPr>
    </w:p>
    <w:p w:rsidR="00793FD8" w:rsidRDefault="00793FD8" w:rsidP="009B1355">
      <w:pPr>
        <w:pStyle w:val="TestBody"/>
        <w:spacing w:line="480" w:lineRule="auto"/>
        <w:ind w:left="0" w:firstLine="720"/>
        <w:jc w:val="center"/>
        <w:rPr>
          <w:rFonts w:ascii="Times New Roman" w:hAnsi="Times New Roman" w:cs="Times New Roman"/>
          <w:b/>
          <w:bCs/>
          <w:u w:val="single"/>
        </w:rPr>
      </w:pPr>
    </w:p>
    <w:p w:rsidR="002C665C" w:rsidRDefault="002C665C" w:rsidP="009B1355">
      <w:pPr>
        <w:pStyle w:val="TestBody"/>
        <w:spacing w:line="480" w:lineRule="auto"/>
        <w:ind w:left="0" w:firstLine="720"/>
        <w:jc w:val="center"/>
        <w:rPr>
          <w:rFonts w:ascii="Times New Roman" w:hAnsi="Times New Roman" w:cs="Times New Roman"/>
          <w:b/>
          <w:bCs/>
          <w:u w:val="single"/>
        </w:rPr>
      </w:pPr>
    </w:p>
    <w:p w:rsidR="00584A4F" w:rsidRDefault="00584A4F">
      <w:pPr>
        <w:autoSpaceDE/>
        <w:autoSpaceDN/>
        <w:spacing w:after="200" w:line="276" w:lineRule="auto"/>
        <w:rPr>
          <w:b/>
          <w:bCs/>
          <w:u w:val="single"/>
        </w:rPr>
      </w:pPr>
      <w:r>
        <w:rPr>
          <w:b/>
          <w:bCs/>
          <w:u w:val="single"/>
        </w:rPr>
        <w:br w:type="page"/>
      </w:r>
    </w:p>
    <w:p w:rsidR="009B1355" w:rsidRPr="00483634" w:rsidRDefault="009B1355" w:rsidP="004C3248">
      <w:pPr>
        <w:pStyle w:val="TestBody"/>
        <w:spacing w:line="480" w:lineRule="auto"/>
        <w:ind w:left="0" w:firstLine="0"/>
        <w:jc w:val="center"/>
        <w:rPr>
          <w:rFonts w:ascii="Times New Roman" w:hAnsi="Times New Roman" w:cs="Times New Roman"/>
          <w:b/>
          <w:bCs/>
          <w:u w:val="single"/>
        </w:rPr>
      </w:pPr>
      <w:r w:rsidRPr="00483634">
        <w:rPr>
          <w:rFonts w:ascii="Times New Roman" w:hAnsi="Times New Roman" w:cs="Times New Roman"/>
          <w:b/>
          <w:bCs/>
          <w:u w:val="single"/>
        </w:rPr>
        <w:t>V</w:t>
      </w:r>
      <w:r w:rsidR="00BE69ED" w:rsidRPr="00483634">
        <w:rPr>
          <w:rFonts w:ascii="Times New Roman" w:hAnsi="Times New Roman" w:cs="Times New Roman"/>
          <w:b/>
          <w:bCs/>
          <w:u w:val="single"/>
        </w:rPr>
        <w:t>I</w:t>
      </w:r>
      <w:r w:rsidR="00384DDC" w:rsidRPr="00483634">
        <w:rPr>
          <w:rFonts w:ascii="Times New Roman" w:hAnsi="Times New Roman" w:cs="Times New Roman"/>
          <w:b/>
          <w:bCs/>
          <w:u w:val="single"/>
        </w:rPr>
        <w:t xml:space="preserve">. </w:t>
      </w:r>
      <w:r w:rsidR="005E0BBC">
        <w:rPr>
          <w:rFonts w:ascii="Times New Roman" w:hAnsi="Times New Roman" w:cs="Times New Roman"/>
          <w:b/>
          <w:bCs/>
          <w:u w:val="single"/>
        </w:rPr>
        <w:t xml:space="preserve"> </w:t>
      </w:r>
      <w:r w:rsidR="00384DDC" w:rsidRPr="00483634">
        <w:rPr>
          <w:rFonts w:ascii="Times New Roman" w:hAnsi="Times New Roman" w:cs="Times New Roman"/>
          <w:b/>
          <w:bCs/>
          <w:u w:val="single"/>
        </w:rPr>
        <w:t>SUPPORTING</w:t>
      </w:r>
      <w:r w:rsidRPr="00483634">
        <w:rPr>
          <w:rFonts w:ascii="Times New Roman" w:hAnsi="Times New Roman" w:cs="Times New Roman"/>
          <w:b/>
          <w:bCs/>
          <w:u w:val="single"/>
        </w:rPr>
        <w:t xml:space="preserve"> DOCUMENTATION</w:t>
      </w:r>
    </w:p>
    <w:p w:rsidR="009B1355" w:rsidRPr="00483634" w:rsidRDefault="009B1355" w:rsidP="007F082D">
      <w:pPr>
        <w:pStyle w:val="TestBody"/>
        <w:numPr>
          <w:ilvl w:val="0"/>
          <w:numId w:val="15"/>
        </w:numPr>
        <w:tabs>
          <w:tab w:val="clear" w:pos="720"/>
          <w:tab w:val="num" w:pos="0"/>
        </w:tabs>
        <w:spacing w:line="480" w:lineRule="auto"/>
        <w:ind w:left="0" w:firstLine="720"/>
        <w:rPr>
          <w:rFonts w:ascii="Times New Roman" w:hAnsi="Times New Roman" w:cs="Times New Roman"/>
          <w:b/>
          <w:bCs/>
        </w:rPr>
      </w:pPr>
      <w:r w:rsidRPr="00483634">
        <w:rPr>
          <w:rFonts w:ascii="Times New Roman" w:hAnsi="Times New Roman" w:cs="Times New Roman"/>
          <w:b/>
          <w:bCs/>
        </w:rPr>
        <w:t>Please provide a brief overview of the documentation provided by the Company in this filing.</w:t>
      </w:r>
    </w:p>
    <w:p w:rsidR="009B1355" w:rsidRPr="00483634" w:rsidRDefault="009B1355" w:rsidP="009B1355">
      <w:pPr>
        <w:pStyle w:val="BodyText"/>
        <w:spacing w:line="480" w:lineRule="auto"/>
        <w:ind w:firstLine="720"/>
        <w:jc w:val="both"/>
        <w:rPr>
          <w:b w:val="0"/>
          <w:bCs w:val="0"/>
        </w:rPr>
      </w:pPr>
      <w:r w:rsidRPr="00483634">
        <w:rPr>
          <w:b w:val="0"/>
          <w:bCs w:val="0"/>
        </w:rPr>
        <w:t>A.</w:t>
      </w:r>
      <w:r w:rsidRPr="00483634">
        <w:rPr>
          <w:b w:val="0"/>
          <w:bCs w:val="0"/>
        </w:rPr>
        <w:tab/>
        <w:t xml:space="preserve">The Company maintains a number of documents that record relevant factors considered at the time of a transaction.   The following is a list of documents that are maintained and that have been provided </w:t>
      </w:r>
      <w:r w:rsidR="007879C7">
        <w:rPr>
          <w:b w:val="0"/>
          <w:bCs w:val="0"/>
        </w:rPr>
        <w:t>in electronic format</w:t>
      </w:r>
      <w:r w:rsidR="009D1C4E">
        <w:rPr>
          <w:b w:val="0"/>
          <w:bCs w:val="0"/>
        </w:rPr>
        <w:t xml:space="preserve"> with </w:t>
      </w:r>
      <w:r w:rsidRPr="00483634">
        <w:rPr>
          <w:b w:val="0"/>
          <w:bCs w:val="0"/>
        </w:rPr>
        <w:t>this filing:</w:t>
      </w:r>
    </w:p>
    <w:p w:rsidR="009B1355" w:rsidRPr="00483634" w:rsidRDefault="00507D8F" w:rsidP="007879C7">
      <w:pPr>
        <w:pStyle w:val="Header"/>
        <w:numPr>
          <w:ilvl w:val="0"/>
          <w:numId w:val="19"/>
        </w:numPr>
        <w:tabs>
          <w:tab w:val="clear" w:pos="4320"/>
          <w:tab w:val="clear" w:pos="8640"/>
        </w:tabs>
        <w:spacing w:before="120" w:after="120" w:line="480" w:lineRule="auto"/>
        <w:jc w:val="both"/>
        <w:rPr>
          <w:u w:val="single"/>
        </w:rPr>
      </w:pPr>
      <w:r>
        <w:rPr>
          <w:u w:val="single"/>
        </w:rPr>
        <w:t xml:space="preserve">Natural </w:t>
      </w:r>
      <w:r w:rsidR="009B1355" w:rsidRPr="00483634">
        <w:rPr>
          <w:u w:val="single"/>
        </w:rPr>
        <w:t>Gas/Electric Transaction Record:</w:t>
      </w:r>
      <w:r w:rsidR="009B1355" w:rsidRPr="00483634">
        <w:t xml:space="preserve">  These documents record the key details of the price, terms and conditions of a transaction.  As part of </w:t>
      </w:r>
      <w:r w:rsidR="00483634">
        <w:t xml:space="preserve">Avista’s workpapers accompanying </w:t>
      </w:r>
      <w:r w:rsidR="009B1355" w:rsidRPr="00483634">
        <w:t xml:space="preserve">this filing the Company has provided two confidential worksheets showing each </w:t>
      </w:r>
      <w:r>
        <w:t xml:space="preserve">natural </w:t>
      </w:r>
      <w:r w:rsidR="009B1355" w:rsidRPr="00483634">
        <w:t xml:space="preserve">gas and electric term (one month or longer) transaction during </w:t>
      </w:r>
      <w:r w:rsidR="00137560">
        <w:t>2014</w:t>
      </w:r>
      <w:r w:rsidR="009B1355" w:rsidRPr="00483634">
        <w:t>, including all key transaction details such as trade date, delivery period, pr</w:t>
      </w:r>
      <w:r w:rsidR="008A397B">
        <w:t>ice, volume and counter-party.</w:t>
      </w:r>
      <w:r w:rsidR="009B1355" w:rsidRPr="00483634">
        <w:t xml:space="preserve">  Additional information can be provided, upon request, for any of these transactions.</w:t>
      </w:r>
    </w:p>
    <w:p w:rsidR="009B1355" w:rsidRDefault="00140D98" w:rsidP="007879C7">
      <w:pPr>
        <w:pStyle w:val="Header"/>
        <w:numPr>
          <w:ilvl w:val="0"/>
          <w:numId w:val="19"/>
        </w:numPr>
        <w:spacing w:before="120" w:after="120" w:line="480" w:lineRule="auto"/>
        <w:jc w:val="both"/>
      </w:pPr>
      <w:r w:rsidRPr="00483634">
        <w:rPr>
          <w:u w:val="single"/>
        </w:rPr>
        <w:t>Position Reports:</w:t>
      </w:r>
      <w:r w:rsidRPr="00483634">
        <w:t xml:space="preserve">  These daily reports provide a summary of transactions and plant generation and the Company’s net average system position in future periods.  The Daily Position Reports also contain forward electric and natural gas prices.</w:t>
      </w:r>
    </w:p>
    <w:p w:rsidR="002C665C" w:rsidRDefault="002C665C">
      <w:pPr>
        <w:pStyle w:val="TestBody"/>
        <w:spacing w:line="480" w:lineRule="auto"/>
        <w:ind w:left="0" w:firstLine="720"/>
        <w:jc w:val="center"/>
        <w:rPr>
          <w:rFonts w:ascii="Times New Roman" w:hAnsi="Times New Roman" w:cs="Times New Roman"/>
          <w:b/>
          <w:bCs/>
          <w:u w:val="single"/>
        </w:rPr>
      </w:pPr>
    </w:p>
    <w:p w:rsidR="00345FE6" w:rsidRPr="00483634" w:rsidRDefault="006C7686" w:rsidP="00CE67B7">
      <w:pPr>
        <w:pStyle w:val="TestBody"/>
        <w:spacing w:line="480" w:lineRule="auto"/>
        <w:ind w:left="0" w:firstLine="0"/>
        <w:jc w:val="center"/>
        <w:rPr>
          <w:rFonts w:ascii="Times New Roman" w:hAnsi="Times New Roman" w:cs="Times New Roman"/>
          <w:b/>
          <w:bCs/>
          <w:u w:val="single"/>
        </w:rPr>
      </w:pPr>
      <w:r w:rsidRPr="00483634">
        <w:rPr>
          <w:rFonts w:ascii="Times New Roman" w:hAnsi="Times New Roman" w:cs="Times New Roman"/>
          <w:b/>
          <w:bCs/>
          <w:u w:val="single"/>
        </w:rPr>
        <w:t>V</w:t>
      </w:r>
      <w:r w:rsidR="00345FE6" w:rsidRPr="00483634">
        <w:rPr>
          <w:rFonts w:ascii="Times New Roman" w:hAnsi="Times New Roman" w:cs="Times New Roman"/>
          <w:b/>
          <w:bCs/>
          <w:u w:val="single"/>
        </w:rPr>
        <w:t>II.  OVERVIEW OF DEFERRAL CALCULATIONS</w:t>
      </w:r>
    </w:p>
    <w:p w:rsidR="00345FE6" w:rsidRPr="00483634" w:rsidRDefault="00345FE6" w:rsidP="00E271D9">
      <w:pPr>
        <w:pStyle w:val="TestBody"/>
        <w:numPr>
          <w:ilvl w:val="0"/>
          <w:numId w:val="2"/>
        </w:numPr>
        <w:tabs>
          <w:tab w:val="clear" w:pos="1080"/>
          <w:tab w:val="left" w:pos="0"/>
          <w:tab w:val="num" w:pos="1440"/>
        </w:tabs>
        <w:spacing w:line="480" w:lineRule="auto"/>
        <w:ind w:left="0" w:firstLine="720"/>
        <w:rPr>
          <w:rFonts w:ascii="Times New Roman" w:hAnsi="Times New Roman" w:cs="Times New Roman"/>
          <w:b/>
          <w:bCs/>
        </w:rPr>
      </w:pPr>
      <w:r w:rsidRPr="00483634">
        <w:rPr>
          <w:rFonts w:ascii="Times New Roman" w:hAnsi="Times New Roman" w:cs="Times New Roman"/>
          <w:b/>
          <w:bCs/>
        </w:rPr>
        <w:t>Please provide an overview of the deferral calculation methodology.</w:t>
      </w:r>
    </w:p>
    <w:p w:rsidR="00345FE6" w:rsidRPr="00483634" w:rsidRDefault="00345FE6" w:rsidP="00E271D9">
      <w:pPr>
        <w:pStyle w:val="TestBody"/>
        <w:numPr>
          <w:ilvl w:val="0"/>
          <w:numId w:val="3"/>
        </w:numPr>
        <w:tabs>
          <w:tab w:val="clear" w:pos="2160"/>
          <w:tab w:val="num" w:pos="0"/>
        </w:tabs>
        <w:spacing w:line="480" w:lineRule="auto"/>
        <w:ind w:left="0" w:firstLine="720"/>
        <w:rPr>
          <w:rFonts w:ascii="Times New Roman" w:hAnsi="Times New Roman" w:cs="Times New Roman"/>
        </w:rPr>
      </w:pPr>
      <w:r w:rsidRPr="00483634">
        <w:rPr>
          <w:rFonts w:ascii="Times New Roman" w:hAnsi="Times New Roman" w:cs="Times New Roman"/>
        </w:rPr>
        <w:t xml:space="preserve">Energy cost deferrals under the ERM are calculated each month by subtracting base net power supply expense from actual net power supply expense to determine the change in net power supply expense. The base levels </w:t>
      </w:r>
      <w:r w:rsidR="0084148F">
        <w:rPr>
          <w:rFonts w:ascii="Times New Roman" w:hAnsi="Times New Roman" w:cs="Times New Roman"/>
        </w:rPr>
        <w:t xml:space="preserve">for </w:t>
      </w:r>
      <w:r w:rsidR="00137560">
        <w:rPr>
          <w:rFonts w:ascii="Times New Roman" w:hAnsi="Times New Roman" w:cs="Times New Roman"/>
        </w:rPr>
        <w:t>2014</w:t>
      </w:r>
      <w:r w:rsidR="00FD0416">
        <w:rPr>
          <w:rFonts w:ascii="Times New Roman" w:hAnsi="Times New Roman" w:cs="Times New Roman"/>
        </w:rPr>
        <w:t xml:space="preserve"> </w:t>
      </w:r>
      <w:r w:rsidRPr="00483634">
        <w:rPr>
          <w:rFonts w:ascii="Times New Roman" w:hAnsi="Times New Roman" w:cs="Times New Roman"/>
        </w:rPr>
        <w:t>result from the power supply revenues and expenses approved by the Co</w:t>
      </w:r>
      <w:r w:rsidR="003A58A4" w:rsidRPr="00483634">
        <w:rPr>
          <w:rFonts w:ascii="Times New Roman" w:hAnsi="Times New Roman" w:cs="Times New Roman"/>
        </w:rPr>
        <w:t>mmission in Docket No. UE-</w:t>
      </w:r>
      <w:r w:rsidR="00FD0416">
        <w:rPr>
          <w:rFonts w:ascii="Times New Roman" w:hAnsi="Times New Roman" w:cs="Times New Roman"/>
        </w:rPr>
        <w:t>120436</w:t>
      </w:r>
      <w:r w:rsidR="00584ED7" w:rsidRPr="00483634">
        <w:rPr>
          <w:rFonts w:ascii="Times New Roman" w:hAnsi="Times New Roman" w:cs="Times New Roman"/>
        </w:rPr>
        <w:t xml:space="preserve">.  </w:t>
      </w:r>
      <w:r w:rsidRPr="00483634">
        <w:rPr>
          <w:rFonts w:ascii="Times New Roman" w:hAnsi="Times New Roman" w:cs="Times New Roman"/>
        </w:rPr>
        <w:t xml:space="preserve">The methodology compares the actual and base amounts each month in FERC accounts 555 (Purchased Power), 501 (Thermal Fuel), 547 (Fuel) and 447 (Sales for Resale) to compute the change in power supply expense. </w:t>
      </w:r>
      <w:r w:rsidR="00B36CAF">
        <w:rPr>
          <w:rFonts w:ascii="Times New Roman" w:hAnsi="Times New Roman" w:cs="Times New Roman"/>
        </w:rPr>
        <w:t xml:space="preserve"> </w:t>
      </w:r>
      <w:r w:rsidRPr="00483634">
        <w:rPr>
          <w:rFonts w:ascii="Times New Roman" w:hAnsi="Times New Roman" w:cs="Times New Roman"/>
        </w:rPr>
        <w:t>These four FERC accounts comprise the Company’s major power supply cost</w:t>
      </w:r>
      <w:r w:rsidR="0093650C">
        <w:rPr>
          <w:rFonts w:ascii="Times New Roman" w:hAnsi="Times New Roman" w:cs="Times New Roman"/>
        </w:rPr>
        <w:t>/revenue</w:t>
      </w:r>
      <w:r w:rsidRPr="00483634">
        <w:rPr>
          <w:rFonts w:ascii="Times New Roman" w:hAnsi="Times New Roman" w:cs="Times New Roman"/>
        </w:rPr>
        <w:t xml:space="preserve"> accounts.  </w:t>
      </w:r>
      <w:r w:rsidR="005F357F" w:rsidRPr="00483634">
        <w:rPr>
          <w:rFonts w:ascii="Times New Roman" w:hAnsi="Times New Roman" w:cs="Times New Roman"/>
        </w:rPr>
        <w:t>T</w:t>
      </w:r>
      <w:r w:rsidR="005F71FA" w:rsidRPr="00483634">
        <w:rPr>
          <w:rFonts w:ascii="Times New Roman" w:hAnsi="Times New Roman" w:cs="Times New Roman"/>
        </w:rPr>
        <w:t>he ERM also includes changes in Accounts 565 (transmission expense), 456 (</w:t>
      </w:r>
      <w:r w:rsidR="007F082D" w:rsidRPr="00483634">
        <w:rPr>
          <w:rFonts w:ascii="Times New Roman" w:hAnsi="Times New Roman" w:cs="Times New Roman"/>
        </w:rPr>
        <w:t xml:space="preserve">third-party </w:t>
      </w:r>
      <w:r w:rsidR="005F71FA" w:rsidRPr="00483634">
        <w:rPr>
          <w:rFonts w:ascii="Times New Roman" w:hAnsi="Times New Roman" w:cs="Times New Roman"/>
        </w:rPr>
        <w:t>transmission revenue)</w:t>
      </w:r>
      <w:r w:rsidR="00B36CAF">
        <w:rPr>
          <w:rFonts w:ascii="Times New Roman" w:hAnsi="Times New Roman" w:cs="Times New Roman"/>
        </w:rPr>
        <w:t>,</w:t>
      </w:r>
      <w:r w:rsidR="005F71FA" w:rsidRPr="00483634">
        <w:rPr>
          <w:rFonts w:ascii="Times New Roman" w:hAnsi="Times New Roman" w:cs="Times New Roman"/>
        </w:rPr>
        <w:t xml:space="preserve"> and broker fees.</w:t>
      </w:r>
    </w:p>
    <w:p w:rsidR="00345FE6" w:rsidRPr="00483634" w:rsidRDefault="00345FE6">
      <w:pPr>
        <w:pStyle w:val="TestBody"/>
        <w:spacing w:line="480" w:lineRule="auto"/>
        <w:ind w:left="0" w:firstLine="720"/>
        <w:rPr>
          <w:rFonts w:ascii="Times New Roman" w:hAnsi="Times New Roman" w:cs="Times New Roman"/>
        </w:rPr>
      </w:pPr>
      <w:r w:rsidRPr="00483634">
        <w:rPr>
          <w:rFonts w:ascii="Times New Roman" w:hAnsi="Times New Roman" w:cs="Times New Roman"/>
        </w:rPr>
        <w:t xml:space="preserve">In addition, actual expense for generating plant fuel not burned is included as the net of natural gas sale revenue under Account 456 (revenue) and purchase expense under Account 557 (expense) to incorporate the total net change in thermal fuel expense.  </w:t>
      </w:r>
      <w:r w:rsidR="00BD1E73">
        <w:rPr>
          <w:rFonts w:ascii="Times New Roman" w:hAnsi="Times New Roman" w:cs="Times New Roman"/>
        </w:rPr>
        <w:t xml:space="preserve">The </w:t>
      </w:r>
      <w:r w:rsidR="0093650C">
        <w:rPr>
          <w:rFonts w:ascii="Times New Roman" w:hAnsi="Times New Roman" w:cs="Times New Roman"/>
        </w:rPr>
        <w:t xml:space="preserve">change in revenue (from the authorized amount) related to the sale of </w:t>
      </w:r>
      <w:r w:rsidR="00BD1E73">
        <w:rPr>
          <w:rFonts w:ascii="Times New Roman" w:hAnsi="Times New Roman" w:cs="Times New Roman"/>
        </w:rPr>
        <w:t>renewable energy credits</w:t>
      </w:r>
      <w:r w:rsidR="0093650C">
        <w:rPr>
          <w:rFonts w:ascii="Times New Roman" w:hAnsi="Times New Roman" w:cs="Times New Roman"/>
        </w:rPr>
        <w:t>, net of the change in REC purchase expense,</w:t>
      </w:r>
      <w:r w:rsidR="00BD1E73">
        <w:rPr>
          <w:rFonts w:ascii="Times New Roman" w:hAnsi="Times New Roman" w:cs="Times New Roman"/>
        </w:rPr>
        <w:t xml:space="preserve"> </w:t>
      </w:r>
      <w:r w:rsidR="0093650C">
        <w:rPr>
          <w:rFonts w:ascii="Times New Roman" w:hAnsi="Times New Roman" w:cs="Times New Roman"/>
        </w:rPr>
        <w:t xml:space="preserve">is </w:t>
      </w:r>
      <w:r w:rsidR="00BD1E73">
        <w:rPr>
          <w:rFonts w:ascii="Times New Roman" w:hAnsi="Times New Roman" w:cs="Times New Roman"/>
        </w:rPr>
        <w:t>tracked in a separate deferral that is not subject to the ERM’s sharing bands.</w:t>
      </w:r>
      <w:r w:rsidR="00584A4F">
        <w:rPr>
          <w:rStyle w:val="FootnoteReference"/>
          <w:rFonts w:ascii="Times New Roman" w:hAnsi="Times New Roman"/>
        </w:rPr>
        <w:footnoteReference w:id="1"/>
      </w:r>
    </w:p>
    <w:p w:rsidR="007879C7" w:rsidRDefault="00345FE6">
      <w:pPr>
        <w:pStyle w:val="TestBody"/>
        <w:spacing w:line="480" w:lineRule="auto"/>
        <w:ind w:left="0" w:firstLine="720"/>
        <w:rPr>
          <w:rFonts w:ascii="Times New Roman" w:hAnsi="Times New Roman" w:cs="Times New Roman"/>
        </w:rPr>
      </w:pPr>
      <w:r w:rsidRPr="00EE5F1A">
        <w:rPr>
          <w:rFonts w:ascii="Times New Roman" w:hAnsi="Times New Roman" w:cs="Times New Roman"/>
        </w:rPr>
        <w:t xml:space="preserve">The total change in net expense </w:t>
      </w:r>
      <w:r w:rsidR="0093650C" w:rsidRPr="00EE5F1A">
        <w:rPr>
          <w:rFonts w:ascii="Times New Roman" w:hAnsi="Times New Roman" w:cs="Times New Roman"/>
        </w:rPr>
        <w:t xml:space="preserve">under the ERM </w:t>
      </w:r>
      <w:r w:rsidRPr="00EE5F1A">
        <w:rPr>
          <w:rFonts w:ascii="Times New Roman" w:hAnsi="Times New Roman" w:cs="Times New Roman"/>
        </w:rPr>
        <w:t>is multiplied by Washington</w:t>
      </w:r>
      <w:r w:rsidR="00436651" w:rsidRPr="00EE5F1A">
        <w:rPr>
          <w:rFonts w:ascii="Times New Roman" w:hAnsi="Times New Roman" w:cs="Times New Roman"/>
        </w:rPr>
        <w:t>’s share of the</w:t>
      </w:r>
      <w:r w:rsidRPr="00EE5F1A">
        <w:rPr>
          <w:rFonts w:ascii="Times New Roman" w:hAnsi="Times New Roman" w:cs="Times New Roman"/>
        </w:rPr>
        <w:t xml:space="preserve"> </w:t>
      </w:r>
      <w:r w:rsidR="00E849F6" w:rsidRPr="00EE5F1A">
        <w:rPr>
          <w:rFonts w:ascii="Times New Roman" w:hAnsi="Times New Roman" w:cs="Times New Roman"/>
        </w:rPr>
        <w:t>Production/Transmission Ratio (PT Ratio)</w:t>
      </w:r>
      <w:r w:rsidR="00EE5F1A">
        <w:rPr>
          <w:rFonts w:ascii="Times New Roman" w:hAnsi="Times New Roman" w:cs="Times New Roman"/>
        </w:rPr>
        <w:t xml:space="preserve"> approved in association with base net power supply expense.</w:t>
      </w:r>
      <w:r w:rsidRPr="00483634">
        <w:rPr>
          <w:rFonts w:ascii="Times New Roman" w:hAnsi="Times New Roman" w:cs="Times New Roman"/>
        </w:rPr>
        <w:t xml:space="preserve">  The total power cost change is accumulated </w:t>
      </w:r>
      <w:r w:rsidR="0093650C">
        <w:rPr>
          <w:rFonts w:ascii="Times New Roman" w:hAnsi="Times New Roman" w:cs="Times New Roman"/>
        </w:rPr>
        <w:t xml:space="preserve">during the calendar year </w:t>
      </w:r>
      <w:r w:rsidRPr="00483634">
        <w:rPr>
          <w:rFonts w:ascii="Times New Roman" w:hAnsi="Times New Roman" w:cs="Times New Roman"/>
        </w:rPr>
        <w:t xml:space="preserve">until the deadband </w:t>
      </w:r>
      <w:r w:rsidR="00FE7BB0" w:rsidRPr="00483634">
        <w:rPr>
          <w:rFonts w:ascii="Times New Roman" w:hAnsi="Times New Roman" w:cs="Times New Roman"/>
        </w:rPr>
        <w:t xml:space="preserve">of $4.0 million </w:t>
      </w:r>
      <w:r w:rsidRPr="00483634">
        <w:rPr>
          <w:rFonts w:ascii="Times New Roman" w:hAnsi="Times New Roman" w:cs="Times New Roman"/>
        </w:rPr>
        <w:t>is reached.  Fifty percent of power cost increases</w:t>
      </w:r>
      <w:r w:rsidR="00C909D7" w:rsidRPr="00483634">
        <w:rPr>
          <w:rFonts w:ascii="Times New Roman" w:hAnsi="Times New Roman" w:cs="Times New Roman"/>
        </w:rPr>
        <w:t>,</w:t>
      </w:r>
      <w:r w:rsidRPr="00483634">
        <w:rPr>
          <w:rFonts w:ascii="Times New Roman" w:hAnsi="Times New Roman" w:cs="Times New Roman"/>
        </w:rPr>
        <w:t xml:space="preserve"> or </w:t>
      </w:r>
      <w:r w:rsidR="00FF7F35" w:rsidRPr="00483634">
        <w:rPr>
          <w:rFonts w:ascii="Times New Roman" w:hAnsi="Times New Roman" w:cs="Times New Roman"/>
        </w:rPr>
        <w:t xml:space="preserve">75 percent of the </w:t>
      </w:r>
      <w:r w:rsidRPr="00483634">
        <w:rPr>
          <w:rFonts w:ascii="Times New Roman" w:hAnsi="Times New Roman" w:cs="Times New Roman"/>
        </w:rPr>
        <w:t>decreases</w:t>
      </w:r>
      <w:r w:rsidR="00C909D7" w:rsidRPr="00483634">
        <w:rPr>
          <w:rFonts w:ascii="Times New Roman" w:hAnsi="Times New Roman" w:cs="Times New Roman"/>
        </w:rPr>
        <w:t>,</w:t>
      </w:r>
      <w:r w:rsidRPr="00483634">
        <w:rPr>
          <w:rFonts w:ascii="Times New Roman" w:hAnsi="Times New Roman" w:cs="Times New Roman"/>
        </w:rPr>
        <w:t xml:space="preserve"> between $4.0 million and $10.0 million</w:t>
      </w:r>
      <w:r w:rsidR="00B36CAF">
        <w:rPr>
          <w:rFonts w:ascii="Times New Roman" w:hAnsi="Times New Roman" w:cs="Times New Roman"/>
        </w:rPr>
        <w:t>,</w:t>
      </w:r>
      <w:r w:rsidRPr="00483634">
        <w:rPr>
          <w:rFonts w:ascii="Times New Roman" w:hAnsi="Times New Roman" w:cs="Times New Roman"/>
        </w:rPr>
        <w:t xml:space="preserve"> and ninety percent of the power cost increases or decreases in excess of $10.0 million are recorded as the power cost deferrals and added to the power cost deferral-balancing accoun</w:t>
      </w:r>
      <w:r w:rsidR="0093650C">
        <w:rPr>
          <w:rFonts w:ascii="Times New Roman" w:hAnsi="Times New Roman" w:cs="Times New Roman"/>
        </w:rPr>
        <w:t xml:space="preserve">t, as illustrated in </w:t>
      </w:r>
      <w:r w:rsidR="007879C7">
        <w:rPr>
          <w:rFonts w:ascii="Times New Roman" w:hAnsi="Times New Roman" w:cs="Times New Roman"/>
        </w:rPr>
        <w:t>Table No. 4</w:t>
      </w:r>
      <w:r w:rsidR="0093650C">
        <w:rPr>
          <w:rFonts w:ascii="Times New Roman" w:hAnsi="Times New Roman" w:cs="Times New Roman"/>
        </w:rPr>
        <w:t xml:space="preserve"> below</w:t>
      </w:r>
      <w:r w:rsidR="007879C7">
        <w:rPr>
          <w:rFonts w:ascii="Times New Roman" w:hAnsi="Times New Roman" w:cs="Times New Roman"/>
        </w:rPr>
        <w:t>:</w:t>
      </w:r>
    </w:p>
    <w:p w:rsidR="00584A4F" w:rsidRDefault="00584A4F" w:rsidP="00547852">
      <w:pPr>
        <w:pStyle w:val="TestBody"/>
        <w:spacing w:line="480" w:lineRule="auto"/>
        <w:ind w:left="0" w:firstLine="0"/>
        <w:rPr>
          <w:rFonts w:ascii="Times New Roman" w:hAnsi="Times New Roman" w:cs="Times New Roman"/>
          <w:b/>
          <w:u w:val="single"/>
        </w:rPr>
      </w:pPr>
    </w:p>
    <w:p w:rsidR="007879C7" w:rsidRDefault="007879C7" w:rsidP="00905921">
      <w:pPr>
        <w:pStyle w:val="TestBody"/>
        <w:spacing w:line="480" w:lineRule="auto"/>
        <w:ind w:left="630" w:firstLine="0"/>
        <w:jc w:val="left"/>
        <w:rPr>
          <w:rFonts w:ascii="Times New Roman" w:hAnsi="Times New Roman" w:cs="Times New Roman"/>
        </w:rPr>
      </w:pPr>
      <w:r w:rsidRPr="007879C7">
        <w:rPr>
          <w:rFonts w:ascii="Times New Roman" w:hAnsi="Times New Roman" w:cs="Times New Roman"/>
          <w:b/>
          <w:u w:val="single"/>
        </w:rPr>
        <w:t>Table No. 4</w:t>
      </w:r>
      <w:r>
        <w:rPr>
          <w:rFonts w:ascii="Times New Roman" w:hAnsi="Times New Roman" w:cs="Times New Roman"/>
          <w:b/>
          <w:u w:val="single"/>
        </w:rPr>
        <w:t>:</w:t>
      </w:r>
      <w:r w:rsidR="007F2342">
        <w:rPr>
          <w:rFonts w:ascii="Times New Roman" w:hAnsi="Times New Roman" w:cs="Times New Roman"/>
        </w:rPr>
        <w:t xml:space="preserve"> </w:t>
      </w:r>
    </w:p>
    <w:p w:rsidR="007F2342" w:rsidRDefault="007F2342" w:rsidP="007F2342">
      <w:pPr>
        <w:pStyle w:val="TestBody"/>
        <w:spacing w:line="480" w:lineRule="auto"/>
        <w:ind w:left="270" w:hanging="180"/>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68480" behindDoc="1" locked="0" layoutInCell="1" allowOverlap="1">
            <wp:simplePos x="0" y="0"/>
            <wp:positionH relativeFrom="column">
              <wp:posOffset>382905</wp:posOffset>
            </wp:positionH>
            <wp:positionV relativeFrom="paragraph">
              <wp:posOffset>1905</wp:posOffset>
            </wp:positionV>
            <wp:extent cx="5391150" cy="126682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391150" cy="1266825"/>
                    </a:xfrm>
                    <a:prstGeom prst="rect">
                      <a:avLst/>
                    </a:prstGeom>
                    <a:noFill/>
                    <a:ln w="9525">
                      <a:noFill/>
                      <a:miter lim="800000"/>
                      <a:headEnd/>
                      <a:tailEnd/>
                    </a:ln>
                  </pic:spPr>
                </pic:pic>
              </a:graphicData>
            </a:graphic>
          </wp:anchor>
        </w:drawing>
      </w:r>
    </w:p>
    <w:p w:rsidR="007F2342" w:rsidRDefault="007F2342">
      <w:pPr>
        <w:pStyle w:val="TestBody"/>
        <w:spacing w:line="480" w:lineRule="auto"/>
        <w:ind w:left="0" w:firstLine="720"/>
        <w:rPr>
          <w:rFonts w:ascii="Times New Roman" w:hAnsi="Times New Roman" w:cs="Times New Roman"/>
          <w:b/>
          <w:bCs/>
        </w:rPr>
      </w:pPr>
    </w:p>
    <w:p w:rsidR="007F2342" w:rsidRDefault="007F2342">
      <w:pPr>
        <w:pStyle w:val="TestBody"/>
        <w:spacing w:line="480" w:lineRule="auto"/>
        <w:ind w:left="0" w:firstLine="720"/>
        <w:rPr>
          <w:rFonts w:ascii="Times New Roman" w:hAnsi="Times New Roman" w:cs="Times New Roman"/>
          <w:b/>
          <w:bCs/>
        </w:rPr>
      </w:pPr>
    </w:p>
    <w:p w:rsidR="007F2342" w:rsidRDefault="007F2342">
      <w:pPr>
        <w:pStyle w:val="TestBody"/>
        <w:spacing w:line="480" w:lineRule="auto"/>
        <w:ind w:left="0" w:firstLine="720"/>
        <w:rPr>
          <w:rFonts w:ascii="Times New Roman" w:hAnsi="Times New Roman" w:cs="Times New Roman"/>
          <w:b/>
          <w:bCs/>
        </w:rPr>
      </w:pPr>
    </w:p>
    <w:p w:rsidR="00345FE6" w:rsidRPr="00483634" w:rsidRDefault="00345FE6">
      <w:pPr>
        <w:pStyle w:val="TestBody"/>
        <w:spacing w:line="480" w:lineRule="auto"/>
        <w:ind w:left="0" w:firstLine="720"/>
        <w:rPr>
          <w:rFonts w:ascii="Times New Roman" w:hAnsi="Times New Roman" w:cs="Times New Roman"/>
          <w:b/>
          <w:bCs/>
        </w:rPr>
      </w:pPr>
      <w:r w:rsidRPr="00483634">
        <w:rPr>
          <w:rFonts w:ascii="Times New Roman" w:hAnsi="Times New Roman" w:cs="Times New Roman"/>
          <w:b/>
          <w:bCs/>
        </w:rPr>
        <w:t>Q.</w:t>
      </w:r>
      <w:r w:rsidRPr="00483634">
        <w:rPr>
          <w:rFonts w:ascii="Times New Roman" w:hAnsi="Times New Roman" w:cs="Times New Roman"/>
          <w:b/>
          <w:bCs/>
        </w:rPr>
        <w:tab/>
        <w:t>Please explain how the retail revenue adjustment is determined in the ERM.</w:t>
      </w:r>
    </w:p>
    <w:p w:rsidR="00345FE6" w:rsidRPr="00483634" w:rsidRDefault="00345FE6">
      <w:pPr>
        <w:pStyle w:val="TestBody"/>
        <w:spacing w:line="480" w:lineRule="auto"/>
        <w:ind w:left="0" w:firstLine="720"/>
        <w:rPr>
          <w:rFonts w:ascii="Times New Roman" w:hAnsi="Times New Roman" w:cs="Times New Roman"/>
        </w:rPr>
      </w:pPr>
      <w:r w:rsidRPr="00483634">
        <w:rPr>
          <w:rFonts w:ascii="Times New Roman" w:hAnsi="Times New Roman" w:cs="Times New Roman"/>
        </w:rPr>
        <w:t>A.</w:t>
      </w:r>
      <w:r w:rsidRPr="00483634">
        <w:rPr>
          <w:rFonts w:ascii="Times New Roman" w:hAnsi="Times New Roman" w:cs="Times New Roman"/>
        </w:rPr>
        <w:tab/>
        <w:t xml:space="preserve">The ERM includes a retail revenue adjustment to reflect the change in power production </w:t>
      </w:r>
      <w:r w:rsidR="00B972DE" w:rsidRPr="00483634">
        <w:rPr>
          <w:rFonts w:ascii="Times New Roman" w:hAnsi="Times New Roman" w:cs="Times New Roman"/>
        </w:rPr>
        <w:t xml:space="preserve">and transmission </w:t>
      </w:r>
      <w:r w:rsidR="004C1C60">
        <w:rPr>
          <w:rFonts w:ascii="Times New Roman" w:hAnsi="Times New Roman" w:cs="Times New Roman"/>
        </w:rPr>
        <w:t>costs</w:t>
      </w:r>
      <w:r w:rsidRPr="00483634">
        <w:rPr>
          <w:rFonts w:ascii="Times New Roman" w:hAnsi="Times New Roman" w:cs="Times New Roman"/>
        </w:rPr>
        <w:t xml:space="preserve"> recovered through base retail revenues, related to changes in re</w:t>
      </w:r>
      <w:r w:rsidR="00FE7BB0" w:rsidRPr="00483634">
        <w:rPr>
          <w:rFonts w:ascii="Times New Roman" w:hAnsi="Times New Roman" w:cs="Times New Roman"/>
        </w:rPr>
        <w:t xml:space="preserve">tail load.  The </w:t>
      </w:r>
      <w:r w:rsidRPr="00483634">
        <w:rPr>
          <w:rFonts w:ascii="Times New Roman" w:hAnsi="Times New Roman" w:cs="Times New Roman"/>
        </w:rPr>
        <w:t xml:space="preserve">retail revenue adjustment calculation is based on the </w:t>
      </w:r>
      <w:r w:rsidR="00E33D25">
        <w:rPr>
          <w:rFonts w:ascii="Times New Roman" w:hAnsi="Times New Roman" w:cs="Times New Roman"/>
        </w:rPr>
        <w:t>energy-</w:t>
      </w:r>
      <w:r w:rsidR="003D4909">
        <w:rPr>
          <w:rFonts w:ascii="Times New Roman" w:hAnsi="Times New Roman" w:cs="Times New Roman"/>
        </w:rPr>
        <w:t xml:space="preserve">classified portion of the </w:t>
      </w:r>
      <w:r w:rsidRPr="00483634">
        <w:rPr>
          <w:rFonts w:ascii="Times New Roman" w:hAnsi="Times New Roman" w:cs="Times New Roman"/>
        </w:rPr>
        <w:t xml:space="preserve">average cost </w:t>
      </w:r>
      <w:r w:rsidR="00976627" w:rsidRPr="00483634">
        <w:rPr>
          <w:rFonts w:ascii="Times New Roman" w:hAnsi="Times New Roman" w:cs="Times New Roman"/>
        </w:rPr>
        <w:t xml:space="preserve">(fixed and variable) </w:t>
      </w:r>
      <w:r w:rsidRPr="00483634">
        <w:rPr>
          <w:rFonts w:ascii="Times New Roman" w:hAnsi="Times New Roman" w:cs="Times New Roman"/>
        </w:rPr>
        <w:t xml:space="preserve">of production </w:t>
      </w:r>
      <w:r w:rsidR="00976627" w:rsidRPr="00483634">
        <w:rPr>
          <w:rFonts w:ascii="Times New Roman" w:hAnsi="Times New Roman" w:cs="Times New Roman"/>
        </w:rPr>
        <w:t xml:space="preserve">and transmission </w:t>
      </w:r>
      <w:r w:rsidRPr="00483634">
        <w:rPr>
          <w:rFonts w:ascii="Times New Roman" w:hAnsi="Times New Roman" w:cs="Times New Roman"/>
        </w:rPr>
        <w:t>included in the Company’s general rate case.  Th</w:t>
      </w:r>
      <w:r w:rsidR="003D4909">
        <w:rPr>
          <w:rFonts w:ascii="Times New Roman" w:hAnsi="Times New Roman" w:cs="Times New Roman"/>
        </w:rPr>
        <w:t>e ret</w:t>
      </w:r>
      <w:r w:rsidR="00ED29A9">
        <w:rPr>
          <w:rFonts w:ascii="Times New Roman" w:hAnsi="Times New Roman" w:cs="Times New Roman"/>
        </w:rPr>
        <w:t>ai</w:t>
      </w:r>
      <w:r w:rsidR="0026238C">
        <w:rPr>
          <w:rFonts w:ascii="Times New Roman" w:hAnsi="Times New Roman" w:cs="Times New Roman"/>
        </w:rPr>
        <w:t>l revenue credit in 2014</w:t>
      </w:r>
      <w:r w:rsidR="003D4909">
        <w:rPr>
          <w:rFonts w:ascii="Times New Roman" w:hAnsi="Times New Roman" w:cs="Times New Roman"/>
        </w:rPr>
        <w:t xml:space="preserve"> was</w:t>
      </w:r>
      <w:r w:rsidR="00ED29A9">
        <w:rPr>
          <w:rFonts w:ascii="Times New Roman" w:hAnsi="Times New Roman" w:cs="Times New Roman"/>
        </w:rPr>
        <w:t xml:space="preserve"> </w:t>
      </w:r>
      <w:r w:rsidRPr="00483634">
        <w:rPr>
          <w:rFonts w:ascii="Times New Roman" w:hAnsi="Times New Roman" w:cs="Times New Roman"/>
        </w:rPr>
        <w:t>$</w:t>
      </w:r>
      <w:r w:rsidR="004C1C60">
        <w:rPr>
          <w:rFonts w:ascii="Times New Roman" w:hAnsi="Times New Roman" w:cs="Times New Roman"/>
        </w:rPr>
        <w:t>0</w:t>
      </w:r>
      <w:r w:rsidRPr="00483634">
        <w:rPr>
          <w:rFonts w:ascii="Times New Roman" w:hAnsi="Times New Roman" w:cs="Times New Roman"/>
        </w:rPr>
        <w:t>.</w:t>
      </w:r>
      <w:r w:rsidR="00167BC6" w:rsidRPr="00483634">
        <w:rPr>
          <w:rFonts w:ascii="Times New Roman" w:hAnsi="Times New Roman" w:cs="Times New Roman"/>
        </w:rPr>
        <w:t>0</w:t>
      </w:r>
      <w:r w:rsidR="00167BC6">
        <w:rPr>
          <w:rFonts w:ascii="Times New Roman" w:hAnsi="Times New Roman" w:cs="Times New Roman"/>
        </w:rPr>
        <w:t>3215</w:t>
      </w:r>
      <w:r w:rsidR="00167BC6" w:rsidRPr="00483634">
        <w:rPr>
          <w:rFonts w:ascii="Times New Roman" w:hAnsi="Times New Roman" w:cs="Times New Roman"/>
        </w:rPr>
        <w:t xml:space="preserve"> </w:t>
      </w:r>
      <w:r w:rsidRPr="00483634">
        <w:rPr>
          <w:rFonts w:ascii="Times New Roman" w:hAnsi="Times New Roman" w:cs="Times New Roman"/>
        </w:rPr>
        <w:t>per kilowatt-hour.</w:t>
      </w:r>
    </w:p>
    <w:p w:rsidR="00345FE6" w:rsidRPr="00483634" w:rsidRDefault="00345FE6">
      <w:pPr>
        <w:pStyle w:val="TestBody"/>
        <w:spacing w:line="480" w:lineRule="auto"/>
        <w:ind w:left="0" w:firstLine="720"/>
        <w:rPr>
          <w:rFonts w:ascii="Times New Roman" w:hAnsi="Times New Roman" w:cs="Times New Roman"/>
        </w:rPr>
      </w:pPr>
      <w:r w:rsidRPr="00483634">
        <w:rPr>
          <w:rFonts w:ascii="Times New Roman" w:hAnsi="Times New Roman" w:cs="Times New Roman"/>
        </w:rPr>
        <w:t>The monthly retail revenue adjustment in the ERM is computed by multiplying $</w:t>
      </w:r>
      <w:r w:rsidR="004C1C60">
        <w:rPr>
          <w:rFonts w:ascii="Times New Roman" w:hAnsi="Times New Roman" w:cs="Times New Roman"/>
        </w:rPr>
        <w:t>0</w:t>
      </w:r>
      <w:r w:rsidRPr="00483634">
        <w:rPr>
          <w:rFonts w:ascii="Times New Roman" w:hAnsi="Times New Roman" w:cs="Times New Roman"/>
        </w:rPr>
        <w:t>.</w:t>
      </w:r>
      <w:r w:rsidR="00167BC6" w:rsidRPr="00483634">
        <w:rPr>
          <w:rFonts w:ascii="Times New Roman" w:hAnsi="Times New Roman" w:cs="Times New Roman"/>
        </w:rPr>
        <w:t>0</w:t>
      </w:r>
      <w:r w:rsidR="00167BC6">
        <w:rPr>
          <w:rFonts w:ascii="Times New Roman" w:hAnsi="Times New Roman" w:cs="Times New Roman"/>
        </w:rPr>
        <w:t>3215</w:t>
      </w:r>
      <w:r w:rsidR="00167BC6" w:rsidRPr="00483634">
        <w:rPr>
          <w:rFonts w:ascii="Times New Roman" w:hAnsi="Times New Roman" w:cs="Times New Roman"/>
        </w:rPr>
        <w:t xml:space="preserve"> </w:t>
      </w:r>
      <w:r w:rsidRPr="00483634">
        <w:rPr>
          <w:rFonts w:ascii="Times New Roman" w:hAnsi="Times New Roman" w:cs="Times New Roman"/>
        </w:rPr>
        <w:t>per kilowatt-hour times the difference between actual and authorized monthly retail kilowatt-hour sales.  If actual kilowatt-hour sales are greater than base, the retail revenue adjustment will result in a credit to the ERM deferral (reduces power supply costs).  If actual kilowatt-hour sales are less than base, the retail revenue adjustment will result in a debit to the ERM deferral (increases power supply costs).</w:t>
      </w:r>
      <w:r w:rsidR="00015038">
        <w:rPr>
          <w:rStyle w:val="FootnoteReference"/>
          <w:rFonts w:ascii="Times New Roman" w:hAnsi="Times New Roman"/>
        </w:rPr>
        <w:footnoteReference w:id="2"/>
      </w:r>
    </w:p>
    <w:p w:rsidR="00345FE6" w:rsidRPr="00483634" w:rsidRDefault="00345FE6">
      <w:pPr>
        <w:pStyle w:val="TestBody"/>
        <w:spacing w:line="480" w:lineRule="auto"/>
        <w:ind w:left="0" w:firstLine="720"/>
        <w:rPr>
          <w:rFonts w:ascii="Times New Roman" w:hAnsi="Times New Roman" w:cs="Times New Roman"/>
          <w:b/>
          <w:bCs/>
        </w:rPr>
      </w:pPr>
      <w:r w:rsidRPr="00483634">
        <w:rPr>
          <w:rFonts w:ascii="Times New Roman" w:hAnsi="Times New Roman" w:cs="Times New Roman"/>
          <w:b/>
          <w:bCs/>
        </w:rPr>
        <w:t>Q.</w:t>
      </w:r>
      <w:r w:rsidRPr="00483634">
        <w:rPr>
          <w:rFonts w:ascii="Times New Roman" w:hAnsi="Times New Roman" w:cs="Times New Roman"/>
          <w:b/>
          <w:bCs/>
        </w:rPr>
        <w:tab/>
        <w:t>What ERM calculations are provided to the Commission and other parties?</w:t>
      </w:r>
    </w:p>
    <w:p w:rsidR="00345FE6" w:rsidRPr="00483634" w:rsidRDefault="00345FE6">
      <w:pPr>
        <w:pStyle w:val="TestBody"/>
        <w:tabs>
          <w:tab w:val="num" w:pos="720"/>
        </w:tabs>
        <w:spacing w:line="480" w:lineRule="auto"/>
        <w:ind w:left="0" w:firstLine="720"/>
        <w:rPr>
          <w:rFonts w:ascii="Times New Roman" w:hAnsi="Times New Roman" w:cs="Times New Roman"/>
        </w:rPr>
      </w:pPr>
      <w:r w:rsidRPr="00483634">
        <w:rPr>
          <w:rFonts w:ascii="Times New Roman" w:hAnsi="Times New Roman" w:cs="Times New Roman"/>
        </w:rPr>
        <w:t>A.</w:t>
      </w:r>
      <w:r w:rsidRPr="00483634">
        <w:rPr>
          <w:rFonts w:ascii="Times New Roman" w:hAnsi="Times New Roman" w:cs="Times New Roman"/>
        </w:rPr>
        <w:tab/>
        <w:t xml:space="preserve">The Company provides to the </w:t>
      </w:r>
      <w:r w:rsidR="0093650C">
        <w:rPr>
          <w:rFonts w:ascii="Times New Roman" w:hAnsi="Times New Roman" w:cs="Times New Roman"/>
        </w:rPr>
        <w:t xml:space="preserve">Commission and other </w:t>
      </w:r>
      <w:r w:rsidRPr="00483634">
        <w:rPr>
          <w:rFonts w:ascii="Times New Roman" w:hAnsi="Times New Roman" w:cs="Times New Roman"/>
        </w:rPr>
        <w:t>parties a monthly power cost deferral report showing</w:t>
      </w:r>
      <w:r w:rsidR="0093650C">
        <w:rPr>
          <w:rFonts w:ascii="Times New Roman" w:hAnsi="Times New Roman" w:cs="Times New Roman"/>
        </w:rPr>
        <w:t>,</w:t>
      </w:r>
      <w:r w:rsidRPr="00483634">
        <w:rPr>
          <w:rFonts w:ascii="Times New Roman" w:hAnsi="Times New Roman" w:cs="Times New Roman"/>
        </w:rPr>
        <w:t xml:space="preserve"> among other things, the calculation of the monthly deferral amount, the actual power supply expenses and revenues for the month</w:t>
      </w:r>
      <w:r w:rsidR="00930C5F" w:rsidRPr="00483634">
        <w:rPr>
          <w:rFonts w:ascii="Times New Roman" w:hAnsi="Times New Roman" w:cs="Times New Roman"/>
        </w:rPr>
        <w:t>,</w:t>
      </w:r>
      <w:r w:rsidRPr="00483634">
        <w:rPr>
          <w:rFonts w:ascii="Times New Roman" w:hAnsi="Times New Roman" w:cs="Times New Roman"/>
        </w:rPr>
        <w:t xml:space="preserve"> and the retail revenue adjustment.  These pages from the December </w:t>
      </w:r>
      <w:r w:rsidR="0026238C">
        <w:rPr>
          <w:rFonts w:ascii="Times New Roman" w:hAnsi="Times New Roman" w:cs="Times New Roman"/>
        </w:rPr>
        <w:t>2014</w:t>
      </w:r>
      <w:r w:rsidR="00C82D38" w:rsidRPr="00483634">
        <w:rPr>
          <w:rFonts w:ascii="Times New Roman" w:hAnsi="Times New Roman" w:cs="Times New Roman"/>
        </w:rPr>
        <w:t xml:space="preserve"> </w:t>
      </w:r>
      <w:r w:rsidRPr="00483634">
        <w:rPr>
          <w:rFonts w:ascii="Times New Roman" w:hAnsi="Times New Roman" w:cs="Times New Roman"/>
        </w:rPr>
        <w:t xml:space="preserve">deferral report are included as Exhibit No.____ (WGJ-2).  The December </w:t>
      </w:r>
      <w:r w:rsidR="0026238C">
        <w:rPr>
          <w:rFonts w:ascii="Times New Roman" w:hAnsi="Times New Roman" w:cs="Times New Roman"/>
        </w:rPr>
        <w:t>2014</w:t>
      </w:r>
      <w:r w:rsidR="00167BC6" w:rsidRPr="00483634">
        <w:rPr>
          <w:rFonts w:ascii="Times New Roman" w:hAnsi="Times New Roman" w:cs="Times New Roman"/>
        </w:rPr>
        <w:t xml:space="preserve"> </w:t>
      </w:r>
      <w:r w:rsidRPr="00483634">
        <w:rPr>
          <w:rFonts w:ascii="Times New Roman" w:hAnsi="Times New Roman" w:cs="Times New Roman"/>
        </w:rPr>
        <w:t xml:space="preserve">deferral report pages show all of the months, January through December of </w:t>
      </w:r>
      <w:r w:rsidR="0026238C">
        <w:rPr>
          <w:rFonts w:ascii="Times New Roman" w:hAnsi="Times New Roman" w:cs="Times New Roman"/>
        </w:rPr>
        <w:t>2014</w:t>
      </w:r>
      <w:r w:rsidRPr="00483634">
        <w:rPr>
          <w:rFonts w:ascii="Times New Roman" w:hAnsi="Times New Roman" w:cs="Times New Roman"/>
        </w:rPr>
        <w:t>.</w:t>
      </w:r>
      <w:r w:rsidR="005C669B">
        <w:rPr>
          <w:rFonts w:ascii="Times New Roman" w:hAnsi="Times New Roman" w:cs="Times New Roman"/>
        </w:rPr>
        <w:t xml:space="preserve">  </w:t>
      </w:r>
    </w:p>
    <w:p w:rsidR="00345FE6" w:rsidRPr="00483634" w:rsidRDefault="00345FE6" w:rsidP="00345FE6">
      <w:pPr>
        <w:pStyle w:val="TestBody"/>
        <w:numPr>
          <w:ilvl w:val="0"/>
          <w:numId w:val="4"/>
        </w:numPr>
        <w:tabs>
          <w:tab w:val="clear" w:pos="1440"/>
          <w:tab w:val="num" w:pos="0"/>
        </w:tabs>
        <w:spacing w:line="480" w:lineRule="auto"/>
        <w:ind w:left="0" w:firstLine="720"/>
        <w:rPr>
          <w:rFonts w:ascii="Times New Roman" w:hAnsi="Times New Roman" w:cs="Times New Roman"/>
          <w:b/>
          <w:bCs/>
        </w:rPr>
      </w:pPr>
      <w:r w:rsidRPr="00483634">
        <w:rPr>
          <w:rFonts w:ascii="Times New Roman" w:hAnsi="Times New Roman" w:cs="Times New Roman"/>
          <w:b/>
          <w:bCs/>
        </w:rPr>
        <w:t xml:space="preserve">Please explain the </w:t>
      </w:r>
      <w:r w:rsidR="00167BC6">
        <w:rPr>
          <w:rFonts w:ascii="Times New Roman" w:hAnsi="Times New Roman" w:cs="Times New Roman"/>
          <w:b/>
          <w:bCs/>
        </w:rPr>
        <w:t>SMUD adjustment</w:t>
      </w:r>
      <w:r w:rsidR="00507D8F">
        <w:rPr>
          <w:rFonts w:ascii="Times New Roman" w:hAnsi="Times New Roman" w:cs="Times New Roman"/>
          <w:b/>
          <w:bCs/>
        </w:rPr>
        <w:t xml:space="preserve"> included in</w:t>
      </w:r>
      <w:r w:rsidRPr="00483634">
        <w:rPr>
          <w:rFonts w:ascii="Times New Roman" w:hAnsi="Times New Roman" w:cs="Times New Roman"/>
          <w:b/>
          <w:bCs/>
        </w:rPr>
        <w:t xml:space="preserve"> the monthly ERM deferral calculation.</w:t>
      </w:r>
    </w:p>
    <w:p w:rsidR="00563A9D" w:rsidRPr="00483634" w:rsidRDefault="00345FE6" w:rsidP="0026238C">
      <w:pPr>
        <w:pStyle w:val="TestBody"/>
        <w:spacing w:line="480" w:lineRule="auto"/>
        <w:ind w:left="0" w:firstLine="720"/>
        <w:rPr>
          <w:rFonts w:ascii="Times New Roman" w:hAnsi="Times New Roman" w:cs="Times New Roman"/>
        </w:rPr>
      </w:pPr>
      <w:r w:rsidRPr="00483634">
        <w:rPr>
          <w:rFonts w:ascii="Times New Roman" w:hAnsi="Times New Roman" w:cs="Times New Roman"/>
        </w:rPr>
        <w:t>A.</w:t>
      </w:r>
      <w:r w:rsidRPr="00483634">
        <w:rPr>
          <w:rFonts w:ascii="Times New Roman" w:hAnsi="Times New Roman" w:cs="Times New Roman"/>
        </w:rPr>
        <w:tab/>
      </w:r>
      <w:r w:rsidR="00167BC6" w:rsidRPr="005E0BBC">
        <w:rPr>
          <w:rFonts w:ascii="Times New Roman" w:hAnsi="Times New Roman" w:cs="Times New Roman"/>
        </w:rPr>
        <w:t>On lines 3 and 13 on page 1</w:t>
      </w:r>
      <w:r w:rsidR="00167BC6" w:rsidRPr="00483634">
        <w:rPr>
          <w:rFonts w:ascii="Times New Roman" w:hAnsi="Times New Roman" w:cs="Times New Roman"/>
        </w:rPr>
        <w:t xml:space="preserve"> of Exhibit No. _____ (WGJ-2)</w:t>
      </w:r>
      <w:r w:rsidR="00E33D25">
        <w:rPr>
          <w:rFonts w:ascii="Times New Roman" w:hAnsi="Times New Roman" w:cs="Times New Roman"/>
        </w:rPr>
        <w:t>,</w:t>
      </w:r>
      <w:r w:rsidR="00167BC6">
        <w:rPr>
          <w:rFonts w:ascii="Times New Roman" w:hAnsi="Times New Roman" w:cs="Times New Roman"/>
        </w:rPr>
        <w:t xml:space="preserve"> the revenue from SMUD REC sales is removed from both the actual and authorized SMUD sales revenues.  This is done because the SMUD sale is a bundle</w:t>
      </w:r>
      <w:r w:rsidR="00C82D38">
        <w:rPr>
          <w:rFonts w:ascii="Times New Roman" w:hAnsi="Times New Roman" w:cs="Times New Roman"/>
        </w:rPr>
        <w:t>d</w:t>
      </w:r>
      <w:r w:rsidR="00167BC6">
        <w:rPr>
          <w:rFonts w:ascii="Times New Roman" w:hAnsi="Times New Roman" w:cs="Times New Roman"/>
        </w:rPr>
        <w:t xml:space="preserve"> energy and REC sale that is included in Account 447</w:t>
      </w:r>
      <w:r w:rsidR="005E0BBC">
        <w:rPr>
          <w:rFonts w:ascii="Times New Roman" w:hAnsi="Times New Roman" w:cs="Times New Roman"/>
        </w:rPr>
        <w:t>.  The</w:t>
      </w:r>
      <w:r w:rsidR="000216AF">
        <w:rPr>
          <w:rFonts w:ascii="Times New Roman" w:hAnsi="Times New Roman" w:cs="Times New Roman"/>
        </w:rPr>
        <w:t xml:space="preserve"> REC revenue is removed from Account 447 so that is can be separately tracked in the REC revenue deferral that is not subject to any sharing bands. </w:t>
      </w:r>
    </w:p>
    <w:p w:rsidR="00345FE6" w:rsidRPr="00483634" w:rsidRDefault="00345FE6">
      <w:pPr>
        <w:pStyle w:val="TestBody"/>
        <w:spacing w:line="480" w:lineRule="auto"/>
        <w:ind w:left="0" w:firstLine="720"/>
        <w:rPr>
          <w:rFonts w:ascii="Times New Roman" w:hAnsi="Times New Roman" w:cs="Times New Roman"/>
          <w:b/>
          <w:bCs/>
        </w:rPr>
      </w:pPr>
      <w:r w:rsidRPr="00483634">
        <w:rPr>
          <w:rFonts w:ascii="Times New Roman" w:hAnsi="Times New Roman" w:cs="Times New Roman"/>
          <w:b/>
          <w:bCs/>
        </w:rPr>
        <w:t>Q.</w:t>
      </w:r>
      <w:r w:rsidRPr="00483634">
        <w:rPr>
          <w:rFonts w:ascii="Times New Roman" w:hAnsi="Times New Roman" w:cs="Times New Roman"/>
          <w:b/>
          <w:bCs/>
        </w:rPr>
        <w:tab/>
        <w:t>Does that conclude your pre-filed direct testimony?</w:t>
      </w:r>
    </w:p>
    <w:p w:rsidR="00345FE6" w:rsidRDefault="001D153D" w:rsidP="001D153D">
      <w:pPr>
        <w:pStyle w:val="BodyText2"/>
        <w:tabs>
          <w:tab w:val="left" w:pos="1260"/>
        </w:tabs>
        <w:ind w:firstLine="720"/>
        <w:jc w:val="left"/>
      </w:pPr>
      <w:r>
        <w:t>A.</w:t>
      </w:r>
      <w:r>
        <w:tab/>
        <w:t>Yes.</w:t>
      </w:r>
    </w:p>
    <w:sectPr w:rsidR="00345FE6" w:rsidSect="007879C7">
      <w:pgSz w:w="12240" w:h="15840" w:code="1"/>
      <w:pgMar w:top="1440" w:right="1296" w:bottom="1440" w:left="1872" w:header="720" w:footer="330" w:gutter="0"/>
      <w:lnNumType w:countBy="1" w:distance="43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A4F" w:rsidRDefault="00584A4F">
      <w:r>
        <w:separator/>
      </w:r>
    </w:p>
  </w:endnote>
  <w:endnote w:type="continuationSeparator" w:id="0">
    <w:p w:rsidR="00584A4F" w:rsidRDefault="0058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A4F" w:rsidRDefault="00584A4F" w:rsidP="00894BB5">
    <w:pPr>
      <w:pStyle w:val="Footer"/>
      <w:tabs>
        <w:tab w:val="clear" w:pos="4320"/>
        <w:tab w:val="clear" w:pos="8640"/>
        <w:tab w:val="left" w:pos="180"/>
        <w:tab w:val="right" w:pos="9360"/>
      </w:tabs>
    </w:pPr>
  </w:p>
  <w:p w:rsidR="00584A4F" w:rsidRPr="001821FC" w:rsidRDefault="00584A4F" w:rsidP="00894BB5">
    <w:pPr>
      <w:pStyle w:val="Footer"/>
      <w:tabs>
        <w:tab w:val="clear" w:pos="4320"/>
        <w:tab w:val="clear" w:pos="8640"/>
        <w:tab w:val="left" w:pos="180"/>
        <w:tab w:val="right" w:pos="9360"/>
      </w:tabs>
    </w:pPr>
    <w:r w:rsidRPr="001821FC">
      <w:t>Direct Testimony of William G. Johnson</w:t>
    </w:r>
    <w:r w:rsidRPr="001821FC">
      <w:tab/>
    </w:r>
  </w:p>
  <w:p w:rsidR="00584A4F" w:rsidRPr="001821FC" w:rsidRDefault="00584A4F" w:rsidP="00894BB5">
    <w:pPr>
      <w:pStyle w:val="Footer"/>
      <w:tabs>
        <w:tab w:val="clear" w:pos="4320"/>
        <w:tab w:val="clear" w:pos="8640"/>
        <w:tab w:val="left" w:pos="180"/>
        <w:tab w:val="right" w:pos="9360"/>
      </w:tabs>
    </w:pPr>
    <w:r w:rsidRPr="001821FC">
      <w:t>Avista Corporation</w:t>
    </w:r>
  </w:p>
  <w:p w:rsidR="00584A4F" w:rsidRPr="001821FC" w:rsidRDefault="00584A4F" w:rsidP="00894BB5">
    <w:pPr>
      <w:pStyle w:val="Footer"/>
      <w:tabs>
        <w:tab w:val="clear" w:pos="4320"/>
        <w:tab w:val="clear" w:pos="8640"/>
        <w:tab w:val="left" w:pos="180"/>
        <w:tab w:val="right" w:pos="9360"/>
      </w:tabs>
      <w:rPr>
        <w:lang w:val="fr-FR"/>
      </w:rPr>
    </w:pPr>
    <w:r w:rsidRPr="001821FC">
      <w:t>Docket No. UE-1</w:t>
    </w:r>
    <w:r>
      <w:t>5</w:t>
    </w:r>
    <w:r w:rsidRPr="001821FC">
      <w:t>____</w:t>
    </w:r>
    <w:r w:rsidRPr="001821FC">
      <w:tab/>
      <w:t xml:space="preserve">Page </w:t>
    </w:r>
    <w:r w:rsidR="00145043" w:rsidRPr="001821FC">
      <w:rPr>
        <w:rStyle w:val="PageNumber"/>
      </w:rPr>
      <w:fldChar w:fldCharType="begin"/>
    </w:r>
    <w:r w:rsidRPr="001821FC">
      <w:rPr>
        <w:rStyle w:val="PageNumber"/>
      </w:rPr>
      <w:instrText xml:space="preserve"> PAGE </w:instrText>
    </w:r>
    <w:r w:rsidR="00145043" w:rsidRPr="001821FC">
      <w:rPr>
        <w:rStyle w:val="PageNumber"/>
      </w:rPr>
      <w:fldChar w:fldCharType="separate"/>
    </w:r>
    <w:r w:rsidR="002A1A77">
      <w:rPr>
        <w:rStyle w:val="PageNumber"/>
        <w:noProof/>
      </w:rPr>
      <w:t>10</w:t>
    </w:r>
    <w:r w:rsidR="00145043" w:rsidRPr="001821FC">
      <w:rPr>
        <w:rStyle w:val="PageNumber"/>
      </w:rPr>
      <w:fldChar w:fldCharType="end"/>
    </w:r>
  </w:p>
  <w:p w:rsidR="00584A4F" w:rsidRDefault="00584A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A4F" w:rsidRDefault="00584A4F">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A4F" w:rsidRDefault="00584A4F">
      <w:r>
        <w:separator/>
      </w:r>
    </w:p>
  </w:footnote>
  <w:footnote w:type="continuationSeparator" w:id="0">
    <w:p w:rsidR="00584A4F" w:rsidRDefault="00584A4F">
      <w:r>
        <w:continuationSeparator/>
      </w:r>
    </w:p>
  </w:footnote>
  <w:footnote w:id="1">
    <w:p w:rsidR="00584A4F" w:rsidRDefault="00584A4F" w:rsidP="00584A4F">
      <w:pPr>
        <w:pStyle w:val="FootnoteText"/>
        <w:jc w:val="both"/>
      </w:pPr>
      <w:r>
        <w:rPr>
          <w:rStyle w:val="FootnoteReference"/>
        </w:rPr>
        <w:footnoteRef/>
      </w:r>
      <w:r>
        <w:t xml:space="preserve"> Starting in January 2015, per Section 5.2 of the Settlement Stipulation approved in Docket UE-140188, “</w:t>
      </w:r>
      <w:r w:rsidRPr="00584A4F">
        <w:t>the Parties agree that the costs associated with RECs purchased to comply with the Washington Energy Independence Act will be excluded from the REC tracking mechanism, and will be included in the determination of base power supply costs in a general rate case.  Any differences in costs from that included in base power supply costs will be tracked through the ERM, and subject to the existing dead band and sharing bands</w:t>
      </w:r>
      <w:r>
        <w:t>”</w:t>
      </w:r>
      <w:r w:rsidRPr="00584A4F">
        <w:t>.</w:t>
      </w:r>
    </w:p>
  </w:footnote>
  <w:footnote w:id="2">
    <w:p w:rsidR="00584A4F" w:rsidRDefault="00584A4F" w:rsidP="00E33D25">
      <w:pPr>
        <w:pStyle w:val="FootnoteText"/>
        <w:jc w:val="both"/>
      </w:pPr>
      <w:r>
        <w:rPr>
          <w:rStyle w:val="FootnoteReference"/>
        </w:rPr>
        <w:footnoteRef/>
      </w:r>
      <w:r>
        <w:t xml:space="preserve"> The Retail Revenue Credit rate changed to $32.15/MWh beginning January 1, 2013, which represents the </w:t>
      </w:r>
      <w:r w:rsidRPr="00015038">
        <w:t>energy</w:t>
      </w:r>
      <w:r>
        <w:t>-classified portion of the fixed and variable production and transmission revenue requirement, as established in the Company’s cost of service study from its last general rate case.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A4F" w:rsidRDefault="00584A4F" w:rsidP="00A6692F">
    <w:pPr>
      <w:pStyle w:val="Header"/>
      <w:jc w:val="right"/>
    </w:pPr>
    <w:r>
      <w:t>Exhibit No. ___(WGJ-1T)</w:t>
    </w:r>
  </w:p>
  <w:p w:rsidR="00584A4F" w:rsidRDefault="00584A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659"/>
    <w:multiLevelType w:val="singleLevel"/>
    <w:tmpl w:val="31E6C7FA"/>
    <w:lvl w:ilvl="0">
      <w:start w:val="1"/>
      <w:numFmt w:val="upperLetter"/>
      <w:lvlText w:val="%1."/>
      <w:lvlJc w:val="left"/>
      <w:pPr>
        <w:tabs>
          <w:tab w:val="num" w:pos="2160"/>
        </w:tabs>
        <w:ind w:left="2160" w:hanging="720"/>
      </w:pPr>
      <w:rPr>
        <w:rFonts w:cs="Times New Roman" w:hint="default"/>
      </w:rPr>
    </w:lvl>
  </w:abstractNum>
  <w:abstractNum w:abstractNumId="1">
    <w:nsid w:val="07A9108C"/>
    <w:multiLevelType w:val="hybridMultilevel"/>
    <w:tmpl w:val="CA86005C"/>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3B7E3F"/>
    <w:multiLevelType w:val="hybridMultilevel"/>
    <w:tmpl w:val="CEBA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D1FA3"/>
    <w:multiLevelType w:val="hybridMultilevel"/>
    <w:tmpl w:val="70F606F2"/>
    <w:lvl w:ilvl="0" w:tplc="A79C90EE">
      <w:start w:val="1"/>
      <w:numFmt w:val="upperLetter"/>
      <w:lvlText w:val="%1."/>
      <w:lvlJc w:val="left"/>
      <w:pPr>
        <w:tabs>
          <w:tab w:val="num" w:pos="1260"/>
        </w:tabs>
        <w:ind w:left="1260" w:hanging="54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289341E0"/>
    <w:multiLevelType w:val="hybridMultilevel"/>
    <w:tmpl w:val="60D8C1DA"/>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18455C9"/>
    <w:multiLevelType w:val="singleLevel"/>
    <w:tmpl w:val="AFD4E826"/>
    <w:lvl w:ilvl="0">
      <w:start w:val="17"/>
      <w:numFmt w:val="upperLetter"/>
      <w:lvlText w:val="%1."/>
      <w:lvlJc w:val="left"/>
      <w:pPr>
        <w:tabs>
          <w:tab w:val="num" w:pos="1440"/>
        </w:tabs>
        <w:ind w:left="1440" w:hanging="720"/>
      </w:pPr>
      <w:rPr>
        <w:rFonts w:cs="Times New Roman" w:hint="default"/>
      </w:rPr>
    </w:lvl>
  </w:abstractNum>
  <w:abstractNum w:abstractNumId="6">
    <w:nsid w:val="37AF0368"/>
    <w:multiLevelType w:val="singleLevel"/>
    <w:tmpl w:val="99CC9422"/>
    <w:lvl w:ilvl="0">
      <w:start w:val="17"/>
      <w:numFmt w:val="upperLetter"/>
      <w:lvlText w:val="%1."/>
      <w:lvlJc w:val="left"/>
      <w:pPr>
        <w:tabs>
          <w:tab w:val="num" w:pos="1440"/>
        </w:tabs>
        <w:ind w:left="1440" w:hanging="720"/>
      </w:pPr>
      <w:rPr>
        <w:rFonts w:cs="Times New Roman" w:hint="default"/>
      </w:rPr>
    </w:lvl>
  </w:abstractNum>
  <w:abstractNum w:abstractNumId="7">
    <w:nsid w:val="3B7B2B6D"/>
    <w:multiLevelType w:val="hybridMultilevel"/>
    <w:tmpl w:val="AE58D734"/>
    <w:lvl w:ilvl="0" w:tplc="3DE265CC">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9">
    <w:nsid w:val="48164804"/>
    <w:multiLevelType w:val="singleLevel"/>
    <w:tmpl w:val="298677E4"/>
    <w:lvl w:ilvl="0">
      <w:start w:val="17"/>
      <w:numFmt w:val="upperLetter"/>
      <w:lvlText w:val="%1."/>
      <w:lvlJc w:val="left"/>
      <w:pPr>
        <w:tabs>
          <w:tab w:val="num" w:pos="1080"/>
        </w:tabs>
        <w:ind w:left="1080" w:hanging="360"/>
      </w:pPr>
      <w:rPr>
        <w:rFonts w:cs="Times New Roman" w:hint="default"/>
      </w:rPr>
    </w:lvl>
  </w:abstractNum>
  <w:abstractNum w:abstractNumId="10">
    <w:nsid w:val="49E174C3"/>
    <w:multiLevelType w:val="hybridMultilevel"/>
    <w:tmpl w:val="15F6CB5A"/>
    <w:lvl w:ilvl="0" w:tplc="4A3E9E08">
      <w:start w:val="17"/>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8AB7295"/>
    <w:multiLevelType w:val="singleLevel"/>
    <w:tmpl w:val="269EF7BC"/>
    <w:lvl w:ilvl="0">
      <w:start w:val="17"/>
      <w:numFmt w:val="upperLetter"/>
      <w:lvlText w:val="%1."/>
      <w:lvlJc w:val="left"/>
      <w:pPr>
        <w:tabs>
          <w:tab w:val="num" w:pos="1440"/>
        </w:tabs>
        <w:ind w:left="1440" w:hanging="720"/>
      </w:pPr>
      <w:rPr>
        <w:rFonts w:cs="Times New Roman" w:hint="default"/>
      </w:rPr>
    </w:lvl>
  </w:abstractNum>
  <w:abstractNum w:abstractNumId="12">
    <w:nsid w:val="64073250"/>
    <w:multiLevelType w:val="hybridMultilevel"/>
    <w:tmpl w:val="9A7E50D2"/>
    <w:lvl w:ilvl="0" w:tplc="9BE2BD66">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6D4D6D3D"/>
    <w:multiLevelType w:val="hybridMultilevel"/>
    <w:tmpl w:val="78EED6F0"/>
    <w:lvl w:ilvl="0" w:tplc="44C259D4">
      <w:start w:val="17"/>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21F56B9"/>
    <w:multiLevelType w:val="hybridMultilevel"/>
    <w:tmpl w:val="F72A9FA2"/>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3607276"/>
    <w:multiLevelType w:val="hybridMultilevel"/>
    <w:tmpl w:val="C34E21F4"/>
    <w:lvl w:ilvl="0" w:tplc="6D42F88C">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5592CCA"/>
    <w:multiLevelType w:val="hybridMultilevel"/>
    <w:tmpl w:val="202ED454"/>
    <w:lvl w:ilvl="0" w:tplc="F7704AF6">
      <w:start w:val="3"/>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7F5B1D8B"/>
    <w:multiLevelType w:val="singleLevel"/>
    <w:tmpl w:val="0420AA5C"/>
    <w:lvl w:ilvl="0">
      <w:start w:val="17"/>
      <w:numFmt w:val="upperLetter"/>
      <w:lvlText w:val="%1."/>
      <w:lvlJc w:val="left"/>
      <w:pPr>
        <w:tabs>
          <w:tab w:val="num" w:pos="1080"/>
        </w:tabs>
        <w:ind w:left="1080" w:hanging="360"/>
      </w:pPr>
      <w:rPr>
        <w:rFonts w:cs="Times New Roman" w:hint="default"/>
      </w:rPr>
    </w:lvl>
  </w:abstractNum>
  <w:abstractNum w:abstractNumId="18">
    <w:nsid w:val="7F8C6D46"/>
    <w:multiLevelType w:val="hybridMultilevel"/>
    <w:tmpl w:val="BB182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9"/>
  </w:num>
  <w:num w:numId="3">
    <w:abstractNumId w:val="0"/>
  </w:num>
  <w:num w:numId="4">
    <w:abstractNumId w:val="6"/>
  </w:num>
  <w:num w:numId="5">
    <w:abstractNumId w:val="5"/>
  </w:num>
  <w:num w:numId="6">
    <w:abstractNumId w:val="7"/>
  </w:num>
  <w:num w:numId="7">
    <w:abstractNumId w:val="17"/>
  </w:num>
  <w:num w:numId="8">
    <w:abstractNumId w:val="11"/>
  </w:num>
  <w:num w:numId="9">
    <w:abstractNumId w:val="12"/>
  </w:num>
  <w:num w:numId="10">
    <w:abstractNumId w:val="3"/>
  </w:num>
  <w:num w:numId="11">
    <w:abstractNumId w:val="13"/>
  </w:num>
  <w:num w:numId="12">
    <w:abstractNumId w:val="4"/>
  </w:num>
  <w:num w:numId="13">
    <w:abstractNumId w:val="16"/>
  </w:num>
  <w:num w:numId="14">
    <w:abstractNumId w:val="1"/>
  </w:num>
  <w:num w:numId="15">
    <w:abstractNumId w:val="14"/>
  </w:num>
  <w:num w:numId="16">
    <w:abstractNumId w:val="10"/>
  </w:num>
  <w:num w:numId="17">
    <w:abstractNumId w:val="18"/>
  </w:num>
  <w:num w:numId="18">
    <w:abstractNumId w:val="15"/>
  </w:num>
  <w:num w:numId="1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F71FA"/>
    <w:rsid w:val="00013D58"/>
    <w:rsid w:val="00015038"/>
    <w:rsid w:val="000216AF"/>
    <w:rsid w:val="00037026"/>
    <w:rsid w:val="00043FF7"/>
    <w:rsid w:val="00045E15"/>
    <w:rsid w:val="00053AC9"/>
    <w:rsid w:val="00053B95"/>
    <w:rsid w:val="00063644"/>
    <w:rsid w:val="00064D17"/>
    <w:rsid w:val="00072C5F"/>
    <w:rsid w:val="00082C80"/>
    <w:rsid w:val="00083A51"/>
    <w:rsid w:val="00094C37"/>
    <w:rsid w:val="000A10A7"/>
    <w:rsid w:val="000E635E"/>
    <w:rsid w:val="0010602B"/>
    <w:rsid w:val="00117002"/>
    <w:rsid w:val="00122F9B"/>
    <w:rsid w:val="00132FA2"/>
    <w:rsid w:val="00137560"/>
    <w:rsid w:val="00140D98"/>
    <w:rsid w:val="00145043"/>
    <w:rsid w:val="00167BC6"/>
    <w:rsid w:val="001814C4"/>
    <w:rsid w:val="001821FC"/>
    <w:rsid w:val="00182264"/>
    <w:rsid w:val="001D153D"/>
    <w:rsid w:val="001E5179"/>
    <w:rsid w:val="001F3BB1"/>
    <w:rsid w:val="002249B0"/>
    <w:rsid w:val="002314D1"/>
    <w:rsid w:val="00233970"/>
    <w:rsid w:val="00234725"/>
    <w:rsid w:val="002520CD"/>
    <w:rsid w:val="0026238C"/>
    <w:rsid w:val="00265ED5"/>
    <w:rsid w:val="00266B48"/>
    <w:rsid w:val="00281C26"/>
    <w:rsid w:val="00292507"/>
    <w:rsid w:val="002A1A77"/>
    <w:rsid w:val="002C011F"/>
    <w:rsid w:val="002C193B"/>
    <w:rsid w:val="002C64C6"/>
    <w:rsid w:val="002C665C"/>
    <w:rsid w:val="002F28A3"/>
    <w:rsid w:val="002F6248"/>
    <w:rsid w:val="002F67BC"/>
    <w:rsid w:val="00320A57"/>
    <w:rsid w:val="00337789"/>
    <w:rsid w:val="00345FE6"/>
    <w:rsid w:val="00350CC6"/>
    <w:rsid w:val="00362D4D"/>
    <w:rsid w:val="00374895"/>
    <w:rsid w:val="00384DDC"/>
    <w:rsid w:val="003A58A4"/>
    <w:rsid w:val="003B5A6D"/>
    <w:rsid w:val="003B63E7"/>
    <w:rsid w:val="003B680A"/>
    <w:rsid w:val="003C27F6"/>
    <w:rsid w:val="003C6AB2"/>
    <w:rsid w:val="003D02AB"/>
    <w:rsid w:val="003D4909"/>
    <w:rsid w:val="003F3442"/>
    <w:rsid w:val="003F6391"/>
    <w:rsid w:val="00415069"/>
    <w:rsid w:val="00421B6B"/>
    <w:rsid w:val="00424B1C"/>
    <w:rsid w:val="00434A07"/>
    <w:rsid w:val="00436651"/>
    <w:rsid w:val="004573D0"/>
    <w:rsid w:val="00460BEB"/>
    <w:rsid w:val="00466BEA"/>
    <w:rsid w:val="004678EE"/>
    <w:rsid w:val="00470E81"/>
    <w:rsid w:val="004744F0"/>
    <w:rsid w:val="00483634"/>
    <w:rsid w:val="0049239B"/>
    <w:rsid w:val="00496469"/>
    <w:rsid w:val="004A3620"/>
    <w:rsid w:val="004A6FB9"/>
    <w:rsid w:val="004B6321"/>
    <w:rsid w:val="004C1C60"/>
    <w:rsid w:val="004C3248"/>
    <w:rsid w:val="004C3269"/>
    <w:rsid w:val="004C53C6"/>
    <w:rsid w:val="004C7178"/>
    <w:rsid w:val="004C7BC5"/>
    <w:rsid w:val="004D45D0"/>
    <w:rsid w:val="004E2A31"/>
    <w:rsid w:val="004F19E7"/>
    <w:rsid w:val="004F6BE1"/>
    <w:rsid w:val="004F6D3F"/>
    <w:rsid w:val="004F77E9"/>
    <w:rsid w:val="00507D8F"/>
    <w:rsid w:val="00513DDC"/>
    <w:rsid w:val="00515144"/>
    <w:rsid w:val="00527D7D"/>
    <w:rsid w:val="005358F8"/>
    <w:rsid w:val="00537D4E"/>
    <w:rsid w:val="00547852"/>
    <w:rsid w:val="0055744A"/>
    <w:rsid w:val="005632E7"/>
    <w:rsid w:val="00563A9D"/>
    <w:rsid w:val="00576699"/>
    <w:rsid w:val="00584A4F"/>
    <w:rsid w:val="00584ADA"/>
    <w:rsid w:val="00584ED7"/>
    <w:rsid w:val="00593EDC"/>
    <w:rsid w:val="00596AF5"/>
    <w:rsid w:val="005B579D"/>
    <w:rsid w:val="005B6AF7"/>
    <w:rsid w:val="005C3D7B"/>
    <w:rsid w:val="005C669B"/>
    <w:rsid w:val="005D3975"/>
    <w:rsid w:val="005D4F18"/>
    <w:rsid w:val="005D5A9E"/>
    <w:rsid w:val="005E0BBC"/>
    <w:rsid w:val="005E6E7F"/>
    <w:rsid w:val="005E78EC"/>
    <w:rsid w:val="005F115A"/>
    <w:rsid w:val="005F2459"/>
    <w:rsid w:val="005F357F"/>
    <w:rsid w:val="005F5129"/>
    <w:rsid w:val="005F71FA"/>
    <w:rsid w:val="006130D8"/>
    <w:rsid w:val="0061745C"/>
    <w:rsid w:val="00633BFD"/>
    <w:rsid w:val="006346FF"/>
    <w:rsid w:val="006452F8"/>
    <w:rsid w:val="00650A64"/>
    <w:rsid w:val="0065436B"/>
    <w:rsid w:val="00660B6E"/>
    <w:rsid w:val="00661B74"/>
    <w:rsid w:val="006726A6"/>
    <w:rsid w:val="00680A97"/>
    <w:rsid w:val="00684B12"/>
    <w:rsid w:val="00686402"/>
    <w:rsid w:val="006A04CD"/>
    <w:rsid w:val="006B492E"/>
    <w:rsid w:val="006C7686"/>
    <w:rsid w:val="006E0060"/>
    <w:rsid w:val="006E039F"/>
    <w:rsid w:val="006E28FD"/>
    <w:rsid w:val="006E70F7"/>
    <w:rsid w:val="00713C80"/>
    <w:rsid w:val="007176E9"/>
    <w:rsid w:val="0072310D"/>
    <w:rsid w:val="00723153"/>
    <w:rsid w:val="007420E9"/>
    <w:rsid w:val="00744298"/>
    <w:rsid w:val="007628AA"/>
    <w:rsid w:val="00767B7B"/>
    <w:rsid w:val="007710CA"/>
    <w:rsid w:val="00775622"/>
    <w:rsid w:val="00775F11"/>
    <w:rsid w:val="00781587"/>
    <w:rsid w:val="0078287B"/>
    <w:rsid w:val="00782B86"/>
    <w:rsid w:val="007879C7"/>
    <w:rsid w:val="007904E5"/>
    <w:rsid w:val="00793FD8"/>
    <w:rsid w:val="007A1824"/>
    <w:rsid w:val="007A45CE"/>
    <w:rsid w:val="007A70FF"/>
    <w:rsid w:val="007B37DC"/>
    <w:rsid w:val="007B5FA2"/>
    <w:rsid w:val="007C3E11"/>
    <w:rsid w:val="007D5F4B"/>
    <w:rsid w:val="007E4F2E"/>
    <w:rsid w:val="007F082D"/>
    <w:rsid w:val="007F2342"/>
    <w:rsid w:val="008116EE"/>
    <w:rsid w:val="00812D77"/>
    <w:rsid w:val="00815C6F"/>
    <w:rsid w:val="0084148F"/>
    <w:rsid w:val="008538B4"/>
    <w:rsid w:val="00864AEC"/>
    <w:rsid w:val="00876770"/>
    <w:rsid w:val="0089108A"/>
    <w:rsid w:val="00894BB5"/>
    <w:rsid w:val="008A2C1E"/>
    <w:rsid w:val="008A397B"/>
    <w:rsid w:val="008A4A51"/>
    <w:rsid w:val="008A5EFA"/>
    <w:rsid w:val="008B2B6C"/>
    <w:rsid w:val="008B3A28"/>
    <w:rsid w:val="008C7E64"/>
    <w:rsid w:val="008E02D4"/>
    <w:rsid w:val="008E15BF"/>
    <w:rsid w:val="008F4156"/>
    <w:rsid w:val="00905921"/>
    <w:rsid w:val="009142FE"/>
    <w:rsid w:val="00916199"/>
    <w:rsid w:val="0093068A"/>
    <w:rsid w:val="00930C5F"/>
    <w:rsid w:val="00935C08"/>
    <w:rsid w:val="0093650C"/>
    <w:rsid w:val="009500FF"/>
    <w:rsid w:val="009618DA"/>
    <w:rsid w:val="009717A5"/>
    <w:rsid w:val="00975040"/>
    <w:rsid w:val="00976627"/>
    <w:rsid w:val="009768C0"/>
    <w:rsid w:val="00990E22"/>
    <w:rsid w:val="009A019A"/>
    <w:rsid w:val="009B1355"/>
    <w:rsid w:val="009B6333"/>
    <w:rsid w:val="009B6705"/>
    <w:rsid w:val="009C24C4"/>
    <w:rsid w:val="009C7888"/>
    <w:rsid w:val="009D1C4E"/>
    <w:rsid w:val="009D6814"/>
    <w:rsid w:val="009E30F9"/>
    <w:rsid w:val="009F554A"/>
    <w:rsid w:val="00A3136B"/>
    <w:rsid w:val="00A31935"/>
    <w:rsid w:val="00A36440"/>
    <w:rsid w:val="00A43051"/>
    <w:rsid w:val="00A5148E"/>
    <w:rsid w:val="00A538C3"/>
    <w:rsid w:val="00A6692F"/>
    <w:rsid w:val="00A6733C"/>
    <w:rsid w:val="00A75B67"/>
    <w:rsid w:val="00A844F8"/>
    <w:rsid w:val="00AC036F"/>
    <w:rsid w:val="00AC2965"/>
    <w:rsid w:val="00AE6130"/>
    <w:rsid w:val="00AE73A3"/>
    <w:rsid w:val="00AF1404"/>
    <w:rsid w:val="00AF6B25"/>
    <w:rsid w:val="00AF6DF7"/>
    <w:rsid w:val="00AF70D7"/>
    <w:rsid w:val="00B10A41"/>
    <w:rsid w:val="00B1588D"/>
    <w:rsid w:val="00B36CAF"/>
    <w:rsid w:val="00B36DB2"/>
    <w:rsid w:val="00B476A7"/>
    <w:rsid w:val="00B555CD"/>
    <w:rsid w:val="00B61802"/>
    <w:rsid w:val="00B746CE"/>
    <w:rsid w:val="00B8020C"/>
    <w:rsid w:val="00B831D8"/>
    <w:rsid w:val="00B961CE"/>
    <w:rsid w:val="00B972DE"/>
    <w:rsid w:val="00BA3EAA"/>
    <w:rsid w:val="00BA66A2"/>
    <w:rsid w:val="00BD1E73"/>
    <w:rsid w:val="00BE3274"/>
    <w:rsid w:val="00BE69ED"/>
    <w:rsid w:val="00BF3A1B"/>
    <w:rsid w:val="00BF5D16"/>
    <w:rsid w:val="00C22362"/>
    <w:rsid w:val="00C25BFD"/>
    <w:rsid w:val="00C556DE"/>
    <w:rsid w:val="00C80CEE"/>
    <w:rsid w:val="00C82D38"/>
    <w:rsid w:val="00C85B93"/>
    <w:rsid w:val="00C9088A"/>
    <w:rsid w:val="00C909D7"/>
    <w:rsid w:val="00C936D6"/>
    <w:rsid w:val="00CC307F"/>
    <w:rsid w:val="00CD163D"/>
    <w:rsid w:val="00CD172A"/>
    <w:rsid w:val="00CE643A"/>
    <w:rsid w:val="00CE67B7"/>
    <w:rsid w:val="00D03C70"/>
    <w:rsid w:val="00D34828"/>
    <w:rsid w:val="00D363DE"/>
    <w:rsid w:val="00D4019E"/>
    <w:rsid w:val="00D54FDE"/>
    <w:rsid w:val="00D70FC7"/>
    <w:rsid w:val="00D75CA4"/>
    <w:rsid w:val="00D84C39"/>
    <w:rsid w:val="00D858F8"/>
    <w:rsid w:val="00DB098E"/>
    <w:rsid w:val="00DB13EE"/>
    <w:rsid w:val="00DB451E"/>
    <w:rsid w:val="00DB73AA"/>
    <w:rsid w:val="00DC1869"/>
    <w:rsid w:val="00DC6138"/>
    <w:rsid w:val="00DD0DE6"/>
    <w:rsid w:val="00DD6CA6"/>
    <w:rsid w:val="00DF2407"/>
    <w:rsid w:val="00DF2F5D"/>
    <w:rsid w:val="00DF522F"/>
    <w:rsid w:val="00DF75F5"/>
    <w:rsid w:val="00E07FFD"/>
    <w:rsid w:val="00E11430"/>
    <w:rsid w:val="00E271D9"/>
    <w:rsid w:val="00E33D25"/>
    <w:rsid w:val="00E412C9"/>
    <w:rsid w:val="00E51376"/>
    <w:rsid w:val="00E628F1"/>
    <w:rsid w:val="00E66D11"/>
    <w:rsid w:val="00E779A3"/>
    <w:rsid w:val="00E8128D"/>
    <w:rsid w:val="00E849F6"/>
    <w:rsid w:val="00EA3C67"/>
    <w:rsid w:val="00EB045C"/>
    <w:rsid w:val="00EC1186"/>
    <w:rsid w:val="00EC2859"/>
    <w:rsid w:val="00ED29A9"/>
    <w:rsid w:val="00EE14D4"/>
    <w:rsid w:val="00EE3EF2"/>
    <w:rsid w:val="00EE5F1A"/>
    <w:rsid w:val="00EF2F52"/>
    <w:rsid w:val="00EF6DF2"/>
    <w:rsid w:val="00F05366"/>
    <w:rsid w:val="00F16DCD"/>
    <w:rsid w:val="00F21A0A"/>
    <w:rsid w:val="00F2351C"/>
    <w:rsid w:val="00F2495E"/>
    <w:rsid w:val="00F26413"/>
    <w:rsid w:val="00F57405"/>
    <w:rsid w:val="00F6348D"/>
    <w:rsid w:val="00F63785"/>
    <w:rsid w:val="00F74F71"/>
    <w:rsid w:val="00FA564E"/>
    <w:rsid w:val="00FB08EB"/>
    <w:rsid w:val="00FB67D3"/>
    <w:rsid w:val="00FD0416"/>
    <w:rsid w:val="00FE045F"/>
    <w:rsid w:val="00FE0B1F"/>
    <w:rsid w:val="00FE7BB0"/>
    <w:rsid w:val="00FF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B6B67A5-5BBF-4469-A64A-D9CE17F4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CA6"/>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DD6CA6"/>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link w:val="Heading2Char"/>
    <w:uiPriority w:val="99"/>
    <w:qFormat/>
    <w:rsid w:val="00DD6CA6"/>
    <w:pPr>
      <w:keepNext/>
      <w:tabs>
        <w:tab w:val="left" w:pos="1260"/>
      </w:tabs>
      <w:spacing w:line="480" w:lineRule="auto"/>
      <w:ind w:firstLine="720"/>
      <w:jc w:val="both"/>
      <w:outlineLvl w:val="1"/>
    </w:pPr>
    <w:rPr>
      <w:b/>
      <w:bCs/>
    </w:rPr>
  </w:style>
  <w:style w:type="paragraph" w:styleId="Heading3">
    <w:name w:val="heading 3"/>
    <w:basedOn w:val="Normal"/>
    <w:next w:val="Normal"/>
    <w:link w:val="Heading3Char"/>
    <w:uiPriority w:val="99"/>
    <w:qFormat/>
    <w:rsid w:val="00DD6CA6"/>
    <w:pPr>
      <w:keepNext/>
      <w:tabs>
        <w:tab w:val="left" w:pos="1260"/>
      </w:tabs>
      <w:spacing w:line="480" w:lineRule="auto"/>
      <w:ind w:firstLine="720"/>
      <w:jc w:val="center"/>
      <w:outlineLvl w:val="2"/>
    </w:pPr>
    <w:rPr>
      <w:b/>
      <w:bCs/>
    </w:rPr>
  </w:style>
  <w:style w:type="paragraph" w:styleId="Heading4">
    <w:name w:val="heading 4"/>
    <w:basedOn w:val="Normal"/>
    <w:next w:val="Normal"/>
    <w:link w:val="Heading4Char"/>
    <w:uiPriority w:val="99"/>
    <w:qFormat/>
    <w:rsid w:val="00DD6CA6"/>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uiPriority w:val="99"/>
    <w:qFormat/>
    <w:rsid w:val="00DD6CA6"/>
    <w:pPr>
      <w:keepNext/>
      <w:spacing w:line="480" w:lineRule="auto"/>
      <w:jc w:val="center"/>
      <w:outlineLvl w:val="4"/>
    </w:pPr>
    <w:rPr>
      <w:b/>
      <w:bCs/>
    </w:rPr>
  </w:style>
  <w:style w:type="paragraph" w:styleId="Heading6">
    <w:name w:val="heading 6"/>
    <w:basedOn w:val="Normal"/>
    <w:next w:val="Normal"/>
    <w:link w:val="Heading6Char"/>
    <w:uiPriority w:val="99"/>
    <w:qFormat/>
    <w:rsid w:val="00DD6CA6"/>
    <w:pPr>
      <w:keepNext/>
      <w:tabs>
        <w:tab w:val="left" w:pos="1260"/>
      </w:tabs>
      <w:spacing w:line="480" w:lineRule="auto"/>
      <w:jc w:val="center"/>
      <w:outlineLvl w:val="5"/>
    </w:pPr>
    <w:rPr>
      <w:b/>
      <w:bCs/>
      <w:sz w:val="20"/>
      <w:szCs w:val="20"/>
    </w:rPr>
  </w:style>
  <w:style w:type="paragraph" w:styleId="Heading7">
    <w:name w:val="heading 7"/>
    <w:basedOn w:val="Normal"/>
    <w:next w:val="Normal"/>
    <w:link w:val="Heading7Char"/>
    <w:uiPriority w:val="99"/>
    <w:qFormat/>
    <w:rsid w:val="00DD6CA6"/>
    <w:pPr>
      <w:keepNext/>
      <w:tabs>
        <w:tab w:val="left" w:pos="1260"/>
      </w:tabs>
      <w:jc w:val="right"/>
      <w:outlineLvl w:val="6"/>
    </w:pPr>
    <w:rPr>
      <w:sz w:val="20"/>
      <w:szCs w:val="20"/>
    </w:rPr>
  </w:style>
  <w:style w:type="paragraph" w:styleId="Heading8">
    <w:name w:val="heading 8"/>
    <w:basedOn w:val="Normal"/>
    <w:next w:val="Normal"/>
    <w:link w:val="Heading8Char"/>
    <w:uiPriority w:val="99"/>
    <w:qFormat/>
    <w:rsid w:val="00DD6CA6"/>
    <w:pPr>
      <w:keepNext/>
      <w:tabs>
        <w:tab w:val="left" w:pos="1260"/>
      </w:tabs>
      <w:spacing w:line="480" w:lineRule="auto"/>
      <w:jc w:val="both"/>
      <w:outlineLvl w:val="7"/>
    </w:pPr>
    <w:rPr>
      <w:b/>
      <w:bCs/>
      <w:u w:val="single"/>
      <w:lang w:val="fr-FR"/>
    </w:rPr>
  </w:style>
  <w:style w:type="paragraph" w:styleId="Heading9">
    <w:name w:val="heading 9"/>
    <w:basedOn w:val="Normal"/>
    <w:next w:val="Normal"/>
    <w:link w:val="Heading9Char"/>
    <w:uiPriority w:val="99"/>
    <w:qFormat/>
    <w:rsid w:val="00DD6CA6"/>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D6C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DD6C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DD6CA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DD6CA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DD6CA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locked/>
    <w:rsid w:val="00DD6CA6"/>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locked/>
    <w:rsid w:val="00DD6CA6"/>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locked/>
    <w:rsid w:val="00DD6CA6"/>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locked/>
    <w:rsid w:val="00DD6CA6"/>
    <w:rPr>
      <w:rFonts w:asciiTheme="majorHAnsi" w:eastAsiaTheme="majorEastAsia" w:hAnsiTheme="majorHAnsi" w:cstheme="majorBidi"/>
    </w:rPr>
  </w:style>
  <w:style w:type="paragraph" w:styleId="Header">
    <w:name w:val="header"/>
    <w:basedOn w:val="Normal"/>
    <w:link w:val="HeaderChar"/>
    <w:rsid w:val="00DD6CA6"/>
    <w:pPr>
      <w:tabs>
        <w:tab w:val="center" w:pos="4320"/>
        <w:tab w:val="right" w:pos="8640"/>
      </w:tabs>
    </w:pPr>
  </w:style>
  <w:style w:type="character" w:customStyle="1" w:styleId="HeaderChar">
    <w:name w:val="Header Char"/>
    <w:basedOn w:val="DefaultParagraphFont"/>
    <w:link w:val="Header"/>
    <w:semiHidden/>
    <w:locked/>
    <w:rsid w:val="00DD6CA6"/>
    <w:rPr>
      <w:rFonts w:cs="Times New Roman"/>
      <w:sz w:val="24"/>
      <w:szCs w:val="24"/>
    </w:rPr>
  </w:style>
  <w:style w:type="paragraph" w:styleId="Footer">
    <w:name w:val="footer"/>
    <w:basedOn w:val="Normal"/>
    <w:link w:val="FooterChar"/>
    <w:uiPriority w:val="99"/>
    <w:rsid w:val="00DD6CA6"/>
    <w:pPr>
      <w:tabs>
        <w:tab w:val="center" w:pos="4320"/>
        <w:tab w:val="right" w:pos="8640"/>
      </w:tabs>
    </w:pPr>
  </w:style>
  <w:style w:type="character" w:customStyle="1" w:styleId="FooterChar">
    <w:name w:val="Footer Char"/>
    <w:basedOn w:val="DefaultParagraphFont"/>
    <w:link w:val="Footer"/>
    <w:uiPriority w:val="99"/>
    <w:semiHidden/>
    <w:locked/>
    <w:rsid w:val="00DD6CA6"/>
    <w:rPr>
      <w:rFonts w:cs="Times New Roman"/>
      <w:sz w:val="24"/>
      <w:szCs w:val="24"/>
    </w:rPr>
  </w:style>
  <w:style w:type="character" w:styleId="PageNumber">
    <w:name w:val="page number"/>
    <w:basedOn w:val="DefaultParagraphFont"/>
    <w:uiPriority w:val="99"/>
    <w:rsid w:val="00DD6CA6"/>
    <w:rPr>
      <w:rFonts w:ascii="Times New Roman" w:hAnsi="Times New Roman" w:cs="Times New Roman"/>
      <w:sz w:val="24"/>
      <w:szCs w:val="24"/>
    </w:rPr>
  </w:style>
  <w:style w:type="character" w:styleId="LineNumber">
    <w:name w:val="line number"/>
    <w:basedOn w:val="DefaultParagraphFont"/>
    <w:uiPriority w:val="99"/>
    <w:rsid w:val="00DD6CA6"/>
    <w:rPr>
      <w:rFonts w:ascii="Times New Roman" w:hAnsi="Times New Roman" w:cs="Times New Roman"/>
      <w:sz w:val="24"/>
      <w:szCs w:val="24"/>
    </w:rPr>
  </w:style>
  <w:style w:type="paragraph" w:styleId="BodyText2">
    <w:name w:val="Body Text 2"/>
    <w:basedOn w:val="Normal"/>
    <w:link w:val="BodyText2Char"/>
    <w:uiPriority w:val="99"/>
    <w:rsid w:val="00DD6CA6"/>
    <w:pPr>
      <w:spacing w:line="480" w:lineRule="auto"/>
      <w:jc w:val="both"/>
    </w:pPr>
  </w:style>
  <w:style w:type="character" w:customStyle="1" w:styleId="BodyText2Char">
    <w:name w:val="Body Text 2 Char"/>
    <w:basedOn w:val="DefaultParagraphFont"/>
    <w:link w:val="BodyText2"/>
    <w:uiPriority w:val="99"/>
    <w:semiHidden/>
    <w:locked/>
    <w:rsid w:val="00DD6CA6"/>
    <w:rPr>
      <w:rFonts w:cs="Times New Roman"/>
      <w:sz w:val="24"/>
      <w:szCs w:val="24"/>
    </w:rPr>
  </w:style>
  <w:style w:type="paragraph" w:styleId="BodyTextIndent2">
    <w:name w:val="Body Text Indent 2"/>
    <w:basedOn w:val="Normal"/>
    <w:link w:val="BodyTextIndent2Char"/>
    <w:uiPriority w:val="99"/>
    <w:rsid w:val="00DD6CA6"/>
    <w:pPr>
      <w:tabs>
        <w:tab w:val="left" w:pos="1260"/>
      </w:tabs>
      <w:spacing w:line="480" w:lineRule="auto"/>
      <w:ind w:left="540" w:hanging="540"/>
      <w:jc w:val="both"/>
    </w:pPr>
  </w:style>
  <w:style w:type="character" w:customStyle="1" w:styleId="BodyTextIndent2Char">
    <w:name w:val="Body Text Indent 2 Char"/>
    <w:basedOn w:val="DefaultParagraphFont"/>
    <w:link w:val="BodyTextIndent2"/>
    <w:uiPriority w:val="99"/>
    <w:semiHidden/>
    <w:locked/>
    <w:rsid w:val="00DD6CA6"/>
    <w:rPr>
      <w:rFonts w:cs="Times New Roman"/>
      <w:sz w:val="24"/>
      <w:szCs w:val="24"/>
    </w:rPr>
  </w:style>
  <w:style w:type="paragraph" w:styleId="BodyTextIndent3">
    <w:name w:val="Body Text Indent 3"/>
    <w:basedOn w:val="Normal"/>
    <w:link w:val="BodyTextIndent3Char"/>
    <w:uiPriority w:val="99"/>
    <w:rsid w:val="00DD6CA6"/>
    <w:pPr>
      <w:tabs>
        <w:tab w:val="left" w:pos="1260"/>
      </w:tabs>
      <w:spacing w:line="480" w:lineRule="auto"/>
      <w:ind w:firstLine="720"/>
      <w:jc w:val="both"/>
    </w:pPr>
    <w:rPr>
      <w:b/>
      <w:bCs/>
    </w:rPr>
  </w:style>
  <w:style w:type="character" w:customStyle="1" w:styleId="BodyTextIndent3Char">
    <w:name w:val="Body Text Indent 3 Char"/>
    <w:basedOn w:val="DefaultParagraphFont"/>
    <w:link w:val="BodyTextIndent3"/>
    <w:uiPriority w:val="99"/>
    <w:semiHidden/>
    <w:locked/>
    <w:rsid w:val="00DD6CA6"/>
    <w:rPr>
      <w:rFonts w:cs="Times New Roman"/>
      <w:sz w:val="16"/>
      <w:szCs w:val="16"/>
    </w:rPr>
  </w:style>
  <w:style w:type="paragraph" w:styleId="FootnoteText">
    <w:name w:val="footnote text"/>
    <w:basedOn w:val="Normal"/>
    <w:link w:val="FootnoteTextChar"/>
    <w:uiPriority w:val="99"/>
    <w:rsid w:val="00DD6CA6"/>
    <w:rPr>
      <w:sz w:val="20"/>
      <w:szCs w:val="20"/>
    </w:rPr>
  </w:style>
  <w:style w:type="character" w:customStyle="1" w:styleId="FootnoteTextChar">
    <w:name w:val="Footnote Text Char"/>
    <w:basedOn w:val="DefaultParagraphFont"/>
    <w:link w:val="FootnoteText"/>
    <w:uiPriority w:val="99"/>
    <w:semiHidden/>
    <w:locked/>
    <w:rsid w:val="00DD6CA6"/>
    <w:rPr>
      <w:rFonts w:cs="Times New Roman"/>
      <w:sz w:val="20"/>
      <w:szCs w:val="20"/>
    </w:rPr>
  </w:style>
  <w:style w:type="character" w:styleId="FootnoteReference">
    <w:name w:val="footnote reference"/>
    <w:basedOn w:val="DefaultParagraphFont"/>
    <w:uiPriority w:val="99"/>
    <w:rsid w:val="00DD6CA6"/>
    <w:rPr>
      <w:rFonts w:cs="Times New Roman"/>
      <w:vertAlign w:val="superscript"/>
    </w:rPr>
  </w:style>
  <w:style w:type="paragraph" w:styleId="BodyText">
    <w:name w:val="Body Text"/>
    <w:basedOn w:val="Normal"/>
    <w:link w:val="BodyTextChar"/>
    <w:uiPriority w:val="99"/>
    <w:rsid w:val="00DD6CA6"/>
    <w:pPr>
      <w:spacing w:line="360" w:lineRule="auto"/>
      <w:jc w:val="center"/>
    </w:pPr>
    <w:rPr>
      <w:b/>
      <w:bCs/>
    </w:rPr>
  </w:style>
  <w:style w:type="character" w:customStyle="1" w:styleId="BodyTextChar">
    <w:name w:val="Body Text Char"/>
    <w:basedOn w:val="DefaultParagraphFont"/>
    <w:link w:val="BodyText"/>
    <w:uiPriority w:val="99"/>
    <w:semiHidden/>
    <w:locked/>
    <w:rsid w:val="00DD6CA6"/>
    <w:rPr>
      <w:rFonts w:cs="Times New Roman"/>
      <w:sz w:val="24"/>
      <w:szCs w:val="24"/>
    </w:rPr>
  </w:style>
  <w:style w:type="paragraph" w:styleId="DocumentMap">
    <w:name w:val="Document Map"/>
    <w:basedOn w:val="Normal"/>
    <w:link w:val="DocumentMapChar"/>
    <w:uiPriority w:val="99"/>
    <w:rsid w:val="00DD6CA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DD6CA6"/>
    <w:rPr>
      <w:rFonts w:ascii="Tahoma" w:hAnsi="Tahoma" w:cs="Tahoma"/>
      <w:sz w:val="16"/>
      <w:szCs w:val="16"/>
    </w:rPr>
  </w:style>
  <w:style w:type="paragraph" w:customStyle="1" w:styleId="TestBody">
    <w:name w:val="Test Body"/>
    <w:uiPriority w:val="99"/>
    <w:rsid w:val="00DD6CA6"/>
    <w:pPr>
      <w:autoSpaceDE w:val="0"/>
      <w:autoSpaceDN w:val="0"/>
      <w:spacing w:after="0" w:line="480" w:lineRule="atLeast"/>
      <w:ind w:left="720" w:firstLine="1440"/>
      <w:jc w:val="both"/>
    </w:pPr>
    <w:rPr>
      <w:rFonts w:ascii="Palatino" w:hAnsi="Palatino" w:cs="Palatino"/>
      <w:sz w:val="24"/>
      <w:szCs w:val="24"/>
    </w:rPr>
  </w:style>
  <w:style w:type="paragraph" w:customStyle="1" w:styleId="AnswerBullets">
    <w:name w:val="Answer_Bullets"/>
    <w:basedOn w:val="Normal"/>
    <w:uiPriority w:val="99"/>
    <w:rsid w:val="00DD6CA6"/>
    <w:pPr>
      <w:numPr>
        <w:numId w:val="1"/>
      </w:numPr>
    </w:pPr>
  </w:style>
  <w:style w:type="paragraph" w:styleId="BalloonText">
    <w:name w:val="Balloon Text"/>
    <w:basedOn w:val="Normal"/>
    <w:link w:val="BalloonTextChar"/>
    <w:uiPriority w:val="99"/>
    <w:semiHidden/>
    <w:unhideWhenUsed/>
    <w:rsid w:val="006346FF"/>
    <w:rPr>
      <w:rFonts w:ascii="Tahoma" w:hAnsi="Tahoma" w:cs="Tahoma"/>
      <w:sz w:val="16"/>
      <w:szCs w:val="16"/>
    </w:rPr>
  </w:style>
  <w:style w:type="character" w:customStyle="1" w:styleId="BalloonTextChar">
    <w:name w:val="Balloon Text Char"/>
    <w:basedOn w:val="DefaultParagraphFont"/>
    <w:link w:val="BalloonText"/>
    <w:uiPriority w:val="99"/>
    <w:semiHidden/>
    <w:rsid w:val="006346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522397">
      <w:bodyDiv w:val="1"/>
      <w:marLeft w:val="0"/>
      <w:marRight w:val="0"/>
      <w:marTop w:val="0"/>
      <w:marBottom w:val="0"/>
      <w:divBdr>
        <w:top w:val="none" w:sz="0" w:space="0" w:color="auto"/>
        <w:left w:val="none" w:sz="0" w:space="0" w:color="auto"/>
        <w:bottom w:val="none" w:sz="0" w:space="0" w:color="auto"/>
        <w:right w:val="none" w:sz="0" w:space="0" w:color="auto"/>
      </w:divBdr>
    </w:div>
    <w:div w:id="11765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2015-03-31T07:00:00+00:00</OpenedDate>
    <Date1 xmlns="dc463f71-b30c-4ab2-9473-d307f9d35888">2015-03-31T07:00:00+00:00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150520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3349ED99AEA84F95503F108E8F45F0" ma:contentTypeVersion="119" ma:contentTypeDescription="" ma:contentTypeScope="" ma:versionID="2f70d3bc30184424e24f80807feff9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471A2-30AC-46AC-BF59-0F4AE4038483}"/>
</file>

<file path=customXml/itemProps2.xml><?xml version="1.0" encoding="utf-8"?>
<ds:datastoreItem xmlns:ds="http://schemas.openxmlformats.org/officeDocument/2006/customXml" ds:itemID="{F2FBDBA4-88DB-4700-9B31-6FB53B0B541C}"/>
</file>

<file path=customXml/itemProps3.xml><?xml version="1.0" encoding="utf-8"?>
<ds:datastoreItem xmlns:ds="http://schemas.openxmlformats.org/officeDocument/2006/customXml" ds:itemID="{A5EFECD3-1C43-43B2-B96F-88BFB421ABC0}"/>
</file>

<file path=customXml/itemProps4.xml><?xml version="1.0" encoding="utf-8"?>
<ds:datastoreItem xmlns:ds="http://schemas.openxmlformats.org/officeDocument/2006/customXml" ds:itemID="{381F3426-C64A-446A-AE6D-C80DF5072258}"/>
</file>

<file path=customXml/itemProps5.xml><?xml version="1.0" encoding="utf-8"?>
<ds:datastoreItem xmlns:ds="http://schemas.openxmlformats.org/officeDocument/2006/customXml" ds:itemID="{D06D2421-5865-47EF-A18E-AD7225FE8B80}"/>
</file>

<file path=docProps/app.xml><?xml version="1.0" encoding="utf-8"?>
<Properties xmlns="http://schemas.openxmlformats.org/officeDocument/2006/extended-properties" xmlns:vt="http://schemas.openxmlformats.org/officeDocument/2006/docPropsVTypes">
  <Template>Normal.dotm</Template>
  <TotalTime>0</TotalTime>
  <Pages>11</Pages>
  <Words>1960</Words>
  <Characters>11172</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Crawford, Denise (UTC)</cp:lastModifiedBy>
  <cp:revision>2</cp:revision>
  <cp:lastPrinted>2015-03-18T17:06:00Z</cp:lastPrinted>
  <dcterms:created xsi:type="dcterms:W3CDTF">2015-04-02T18:02:00Z</dcterms:created>
  <dcterms:modified xsi:type="dcterms:W3CDTF">2015-04-02T18:02:00Z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0x0101006E56B4D1795A2E4DB2F0B01679ED314A003F3349ED99AEA84F95503F108E8F45F0</vt:lpwstr>
  </property>
  <property fmtid="{D5CDD505-2E9C-101B-9397-08002B2CF9AE}" pid="3" name="_docset_NoMedatataSyncRequired">
    <vt:lpwstr>False</vt:lpwstr>
  </property>
</Properties>
</file>