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F7" w:rsidRPr="00087CF7" w:rsidRDefault="00EC7AC3"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19A51B2F" wp14:editId="6E10A5D3">
                <wp:simplePos x="0" y="0"/>
                <wp:positionH relativeFrom="column">
                  <wp:posOffset>6081395</wp:posOffset>
                </wp:positionH>
                <wp:positionV relativeFrom="paragraph">
                  <wp:posOffset>58893</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855500">
                            <w:pPr>
                              <w:rPr>
                                <w:rFonts w:ascii="Arial" w:hAnsi="Arial" w:cs="Arial"/>
                                <w:sz w:val="20"/>
                              </w:rPr>
                            </w:pPr>
                            <w:r>
                              <w:rPr>
                                <w:rFonts w:ascii="Arial" w:hAnsi="Arial" w:cs="Arial"/>
                                <w:sz w:val="20"/>
                              </w:rPr>
                              <w:t>(N)(D)</w:t>
                            </w:r>
                          </w:p>
                          <w:p w:rsidR="00855500" w:rsidRDefault="00855500">
                            <w:pPr>
                              <w:rPr>
                                <w:rFonts w:ascii="Arial" w:hAnsi="Arial" w:cs="Arial"/>
                                <w:sz w:val="20"/>
                              </w:rPr>
                            </w:pPr>
                            <w:bookmarkStart w:id="0" w:name="_GoBack"/>
                          </w:p>
                          <w:bookmarkEnd w:id="0"/>
                          <w:p w:rsidR="00855500" w:rsidRDefault="00855500">
                            <w:pPr>
                              <w:rPr>
                                <w:rFonts w:ascii="Arial" w:hAnsi="Arial" w:cs="Arial"/>
                                <w:sz w:val="20"/>
                              </w:rPr>
                            </w:pPr>
                            <w:r>
                              <w:rPr>
                                <w:rFonts w:ascii="Arial" w:hAnsi="Arial" w:cs="Arial"/>
                                <w:sz w:val="20"/>
                              </w:rPr>
                              <w:t>(N)(D)</w:t>
                            </w: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r>
                              <w:rPr>
                                <w:rFonts w:ascii="Arial" w:hAnsi="Arial" w:cs="Arial"/>
                                <w:sz w:val="20"/>
                              </w:rPr>
                              <w:t>(N)(D)</w:t>
                            </w:r>
                          </w:p>
                          <w:p w:rsidR="00554EB1" w:rsidRDefault="00554EB1">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AD2ABC" w:rsidRPr="00EC7AC3" w:rsidRDefault="00AD2ABC" w:rsidP="00AD2ABC">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8.85pt;margin-top:4.6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855500">
                      <w:pPr>
                        <w:rPr>
                          <w:rFonts w:ascii="Arial" w:hAnsi="Arial" w:cs="Arial"/>
                          <w:sz w:val="20"/>
                        </w:rPr>
                      </w:pPr>
                      <w:r>
                        <w:rPr>
                          <w:rFonts w:ascii="Arial" w:hAnsi="Arial" w:cs="Arial"/>
                          <w:sz w:val="20"/>
                        </w:rPr>
                        <w:t>(N)(D)</w:t>
                      </w:r>
                    </w:p>
                    <w:p w:rsidR="00855500" w:rsidRDefault="00855500">
                      <w:pPr>
                        <w:rPr>
                          <w:rFonts w:ascii="Arial" w:hAnsi="Arial" w:cs="Arial"/>
                          <w:sz w:val="20"/>
                        </w:rPr>
                      </w:pPr>
                    </w:p>
                    <w:p w:rsidR="00855500" w:rsidRDefault="00855500">
                      <w:pPr>
                        <w:rPr>
                          <w:rFonts w:ascii="Arial" w:hAnsi="Arial" w:cs="Arial"/>
                          <w:sz w:val="20"/>
                        </w:rPr>
                      </w:pPr>
                      <w:r>
                        <w:rPr>
                          <w:rFonts w:ascii="Arial" w:hAnsi="Arial" w:cs="Arial"/>
                          <w:sz w:val="20"/>
                        </w:rPr>
                        <w:t>(N)(D)</w:t>
                      </w: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p>
                    <w:p w:rsidR="00855500" w:rsidRDefault="00855500">
                      <w:pPr>
                        <w:rPr>
                          <w:rFonts w:ascii="Arial" w:hAnsi="Arial" w:cs="Arial"/>
                          <w:sz w:val="20"/>
                        </w:rPr>
                      </w:pPr>
                      <w:r>
                        <w:rPr>
                          <w:rFonts w:ascii="Arial" w:hAnsi="Arial" w:cs="Arial"/>
                          <w:sz w:val="20"/>
                        </w:rPr>
                        <w:t>(N)(D)</w:t>
                      </w:r>
                    </w:p>
                    <w:p w:rsidR="00554EB1" w:rsidRDefault="00554EB1">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AD2ABC" w:rsidRPr="00EC7AC3" w:rsidRDefault="00AD2ABC" w:rsidP="00AD2ABC">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r>
      <w:proofErr w:type="gramStart"/>
      <w:r w:rsidRPr="00087CF7">
        <w:rPr>
          <w:rFonts w:ascii="Arial" w:hAnsi="Arial" w:cs="Arial"/>
          <w:sz w:val="20"/>
        </w:rPr>
        <w:t>In all territory served by Company in the State of Washington.</w:t>
      </w:r>
      <w:proofErr w:type="gramEnd"/>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mercury vapor or high-pressure sodium luminaires which may be served by secondary voltage circuits from Company's existing overhead distribution system.  Luminaires shall be mounted on Company-owned wood poles and served in accordance with Company's specifications as to equipment and installation.</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 xml:space="preserve">All Monthly Billings shall be adjusted in accordance with Schedule </w:t>
      </w:r>
      <w:r w:rsidR="00BB5397">
        <w:rPr>
          <w:rFonts w:ascii="Arial" w:hAnsi="Arial" w:cs="Arial"/>
          <w:sz w:val="20"/>
        </w:rPr>
        <w:t>80</w:t>
      </w:r>
      <w:r w:rsidRPr="00087CF7">
        <w:rPr>
          <w:rFonts w:ascii="Arial" w:hAnsi="Arial" w:cs="Arial"/>
          <w:sz w:val="20"/>
        </w:rPr>
        <w:t>.</w:t>
      </w:r>
    </w:p>
    <w:p w:rsidR="00BB5397" w:rsidRPr="00087CF7" w:rsidRDefault="00087CF7" w:rsidP="00BB5397">
      <w:pPr>
        <w:tabs>
          <w:tab w:val="left" w:pos="2700"/>
          <w:tab w:val="center" w:pos="3330"/>
          <w:tab w:val="center" w:pos="4950"/>
          <w:tab w:val="center" w:pos="5400"/>
          <w:tab w:val="center" w:pos="5940"/>
          <w:tab w:val="center" w:pos="6930"/>
        </w:tabs>
        <w:ind w:right="-108"/>
        <w:rPr>
          <w:rFonts w:ascii="Arial" w:hAnsi="Arial" w:cs="Arial"/>
          <w:sz w:val="20"/>
        </w:rPr>
      </w:pPr>
      <w:r w:rsidRPr="00087CF7">
        <w:rPr>
          <w:rFonts w:ascii="Arial" w:hAnsi="Arial" w:cs="Arial"/>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980"/>
        <w:gridCol w:w="1980"/>
        <w:gridCol w:w="1620"/>
        <w:gridCol w:w="1368"/>
      </w:tblGrid>
      <w:tr w:rsidR="00BB5397" w:rsidTr="000E51A8">
        <w:tc>
          <w:tcPr>
            <w:tcW w:w="2628" w:type="dxa"/>
            <w:vAlign w:val="center"/>
          </w:tcPr>
          <w:p w:rsidR="00BB5397" w:rsidRPr="00AD0918" w:rsidRDefault="00BB5397" w:rsidP="00AD0918">
            <w:pPr>
              <w:tabs>
                <w:tab w:val="left" w:pos="2700"/>
                <w:tab w:val="center" w:pos="3330"/>
                <w:tab w:val="center" w:pos="4950"/>
                <w:tab w:val="center" w:pos="5400"/>
                <w:tab w:val="center" w:pos="5940"/>
                <w:tab w:val="center" w:pos="6930"/>
              </w:tabs>
              <w:ind w:right="-108"/>
              <w:jc w:val="center"/>
              <w:rPr>
                <w:rFonts w:ascii="Arial" w:hAnsi="Arial" w:cs="Arial"/>
                <w:b/>
                <w:sz w:val="20"/>
              </w:rPr>
            </w:pPr>
            <w:r w:rsidRPr="00AD0918">
              <w:rPr>
                <w:rFonts w:ascii="Arial" w:hAnsi="Arial" w:cs="Arial"/>
                <w:b/>
                <w:sz w:val="20"/>
              </w:rPr>
              <w:t>Mercury Vapor Lamp Charges</w:t>
            </w:r>
          </w:p>
        </w:tc>
        <w:tc>
          <w:tcPr>
            <w:tcW w:w="1980" w:type="dxa"/>
            <w:tcBorders>
              <w:bottom w:val="single" w:sz="4" w:space="0" w:color="auto"/>
            </w:tcBorders>
            <w:vAlign w:val="center"/>
          </w:tcPr>
          <w:p w:rsidR="00BB5397" w:rsidRPr="00AD0918" w:rsidRDefault="00BB5397" w:rsidP="00AD0918">
            <w:pPr>
              <w:tabs>
                <w:tab w:val="left" w:pos="2700"/>
                <w:tab w:val="center" w:pos="3330"/>
                <w:tab w:val="center" w:pos="4950"/>
                <w:tab w:val="center" w:pos="5400"/>
                <w:tab w:val="center" w:pos="5940"/>
                <w:tab w:val="center" w:pos="6930"/>
              </w:tabs>
              <w:ind w:right="-108"/>
              <w:jc w:val="center"/>
              <w:rPr>
                <w:rFonts w:ascii="Arial" w:hAnsi="Arial" w:cs="Arial"/>
                <w:b/>
                <w:sz w:val="20"/>
              </w:rPr>
            </w:pPr>
            <w:r w:rsidRPr="00AD0918">
              <w:rPr>
                <w:rFonts w:ascii="Arial" w:hAnsi="Arial" w:cs="Arial"/>
                <w:b/>
                <w:sz w:val="20"/>
              </w:rPr>
              <w:t>Distribution</w:t>
            </w:r>
          </w:p>
        </w:tc>
        <w:tc>
          <w:tcPr>
            <w:tcW w:w="1980" w:type="dxa"/>
            <w:tcBorders>
              <w:bottom w:val="single" w:sz="4" w:space="0" w:color="auto"/>
            </w:tcBorders>
            <w:vAlign w:val="center"/>
          </w:tcPr>
          <w:p w:rsidR="00BB5397" w:rsidRPr="00AD0918" w:rsidRDefault="00BB5397" w:rsidP="00AD0918">
            <w:pPr>
              <w:tabs>
                <w:tab w:val="left" w:pos="2700"/>
                <w:tab w:val="center" w:pos="3330"/>
                <w:tab w:val="center" w:pos="4950"/>
                <w:tab w:val="center" w:pos="5400"/>
                <w:tab w:val="center" w:pos="5940"/>
                <w:tab w:val="center" w:pos="6930"/>
              </w:tabs>
              <w:ind w:right="-108"/>
              <w:jc w:val="center"/>
              <w:rPr>
                <w:rFonts w:ascii="Arial" w:hAnsi="Arial" w:cs="Arial"/>
                <w:b/>
                <w:sz w:val="20"/>
              </w:rPr>
            </w:pPr>
            <w:r w:rsidRPr="00AD0918">
              <w:rPr>
                <w:rFonts w:ascii="Arial" w:hAnsi="Arial" w:cs="Arial"/>
                <w:b/>
                <w:sz w:val="20"/>
              </w:rPr>
              <w:t>Transmission</w:t>
            </w:r>
          </w:p>
        </w:tc>
        <w:tc>
          <w:tcPr>
            <w:tcW w:w="1620" w:type="dxa"/>
            <w:tcBorders>
              <w:bottom w:val="single" w:sz="4" w:space="0" w:color="auto"/>
            </w:tcBorders>
            <w:vAlign w:val="center"/>
          </w:tcPr>
          <w:p w:rsidR="00BB5397" w:rsidRPr="00AD0918" w:rsidRDefault="00BB5397" w:rsidP="00AD0918">
            <w:pPr>
              <w:tabs>
                <w:tab w:val="left" w:pos="2700"/>
                <w:tab w:val="center" w:pos="3330"/>
                <w:tab w:val="center" w:pos="4950"/>
                <w:tab w:val="center" w:pos="5400"/>
                <w:tab w:val="center" w:pos="5940"/>
                <w:tab w:val="center" w:pos="6930"/>
              </w:tabs>
              <w:ind w:right="-108"/>
              <w:jc w:val="center"/>
              <w:rPr>
                <w:rFonts w:ascii="Arial" w:hAnsi="Arial" w:cs="Arial"/>
                <w:b/>
                <w:sz w:val="20"/>
              </w:rPr>
            </w:pPr>
            <w:r w:rsidRPr="00AD0918">
              <w:rPr>
                <w:rFonts w:ascii="Arial" w:hAnsi="Arial" w:cs="Arial"/>
                <w:b/>
                <w:sz w:val="20"/>
              </w:rPr>
              <w:t>Total Generation</w:t>
            </w:r>
          </w:p>
        </w:tc>
        <w:tc>
          <w:tcPr>
            <w:tcW w:w="1368" w:type="dxa"/>
            <w:tcBorders>
              <w:bottom w:val="single" w:sz="4" w:space="0" w:color="auto"/>
            </w:tcBorders>
            <w:vAlign w:val="center"/>
          </w:tcPr>
          <w:p w:rsidR="00BB5397" w:rsidRPr="00AD0918" w:rsidRDefault="00855500" w:rsidP="00AD0918">
            <w:pPr>
              <w:tabs>
                <w:tab w:val="left" w:pos="2700"/>
                <w:tab w:val="center" w:pos="3330"/>
                <w:tab w:val="center" w:pos="4950"/>
                <w:tab w:val="center" w:pos="5400"/>
                <w:tab w:val="center" w:pos="5940"/>
                <w:tab w:val="center" w:pos="6930"/>
              </w:tabs>
              <w:ind w:right="-108"/>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611D90F8" wp14:editId="464F6979">
                      <wp:simplePos x="0" y="0"/>
                      <wp:positionH relativeFrom="column">
                        <wp:posOffset>1116965</wp:posOffset>
                      </wp:positionH>
                      <wp:positionV relativeFrom="paragraph">
                        <wp:posOffset>88265</wp:posOffset>
                      </wp:positionV>
                      <wp:extent cx="0" cy="1233170"/>
                      <wp:effectExtent l="0" t="0" r="19050" b="24130"/>
                      <wp:wrapNone/>
                      <wp:docPr id="6" name="Straight Connector 6"/>
                      <wp:cNvGraphicFramePr/>
                      <a:graphic xmlns:a="http://schemas.openxmlformats.org/drawingml/2006/main">
                        <a:graphicData uri="http://schemas.microsoft.com/office/word/2010/wordprocessingShape">
                          <wps:wsp>
                            <wps:cNvCnPr/>
                            <wps:spPr>
                              <a:xfrm>
                                <a:off x="0" y="0"/>
                                <a:ext cx="0" cy="1233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6.95pt" to="87.9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" strokecolor="black [3213]"/>
                  </w:pict>
                </mc:Fallback>
              </mc:AlternateContent>
            </w:r>
            <w:r w:rsidR="00BB5397" w:rsidRPr="00AD0918">
              <w:rPr>
                <w:rFonts w:ascii="Arial" w:hAnsi="Arial" w:cs="Arial"/>
                <w:b/>
                <w:sz w:val="20"/>
              </w:rPr>
              <w:t>Total</w:t>
            </w:r>
          </w:p>
        </w:tc>
      </w:tr>
      <w:tr w:rsidR="00BB5397" w:rsidTr="000E51A8">
        <w:trPr>
          <w:trHeight w:val="288"/>
        </w:trPr>
        <w:tc>
          <w:tcPr>
            <w:tcW w:w="2628"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7,000 Lumens</w:t>
            </w:r>
          </w:p>
        </w:tc>
        <w:tc>
          <w:tcPr>
            <w:tcW w:w="1980" w:type="dxa"/>
            <w:tcBorders>
              <w:top w:val="single" w:sz="4" w:space="0" w:color="auto"/>
            </w:tcBorders>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$6.5</w:t>
            </w:r>
            <w:r w:rsidR="008A7688">
              <w:rPr>
                <w:rFonts w:ascii="Arial" w:hAnsi="Arial" w:cs="Arial"/>
                <w:sz w:val="20"/>
              </w:rPr>
              <w:t>1</w:t>
            </w:r>
          </w:p>
        </w:tc>
        <w:tc>
          <w:tcPr>
            <w:tcW w:w="1980" w:type="dxa"/>
            <w:tcBorders>
              <w:top w:val="single" w:sz="4" w:space="0" w:color="auto"/>
            </w:tcBorders>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$0.92</w:t>
            </w:r>
          </w:p>
        </w:tc>
        <w:tc>
          <w:tcPr>
            <w:tcW w:w="1620" w:type="dxa"/>
            <w:tcBorders>
              <w:top w:val="single" w:sz="4" w:space="0" w:color="auto"/>
            </w:tcBorders>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$3.65</w:t>
            </w:r>
          </w:p>
        </w:tc>
        <w:tc>
          <w:tcPr>
            <w:tcW w:w="1368" w:type="dxa"/>
            <w:tcBorders>
              <w:top w:val="single" w:sz="4" w:space="0" w:color="auto"/>
            </w:tcBorders>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$11.0</w:t>
            </w:r>
            <w:r w:rsidR="008A7688">
              <w:rPr>
                <w:rFonts w:ascii="Arial" w:hAnsi="Arial" w:cs="Arial"/>
                <w:sz w:val="20"/>
              </w:rPr>
              <w:t>8</w:t>
            </w:r>
          </w:p>
        </w:tc>
      </w:tr>
      <w:tr w:rsidR="00BB5397" w:rsidTr="000E51A8">
        <w:trPr>
          <w:trHeight w:val="288"/>
        </w:trPr>
        <w:tc>
          <w:tcPr>
            <w:tcW w:w="2628" w:type="dxa"/>
            <w:vAlign w:val="center"/>
          </w:tcPr>
          <w:p w:rsidR="00BB5397"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21,000 Lumens</w:t>
            </w:r>
          </w:p>
        </w:tc>
        <w:tc>
          <w:tcPr>
            <w:tcW w:w="198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$12.3</w:t>
            </w:r>
            <w:r w:rsidR="008A7688">
              <w:rPr>
                <w:rFonts w:ascii="Arial" w:hAnsi="Arial" w:cs="Arial"/>
                <w:sz w:val="20"/>
              </w:rPr>
              <w:t>9</w:t>
            </w:r>
          </w:p>
        </w:tc>
        <w:tc>
          <w:tcPr>
            <w:tcW w:w="198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$1.75</w:t>
            </w:r>
          </w:p>
        </w:tc>
        <w:tc>
          <w:tcPr>
            <w:tcW w:w="162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$6.9</w:t>
            </w:r>
            <w:r w:rsidR="008A7688">
              <w:rPr>
                <w:rFonts w:ascii="Arial" w:hAnsi="Arial" w:cs="Arial"/>
                <w:sz w:val="20"/>
              </w:rPr>
              <w:t>5</w:t>
            </w:r>
          </w:p>
        </w:tc>
        <w:tc>
          <w:tcPr>
            <w:tcW w:w="1368"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$21.0</w:t>
            </w:r>
            <w:r w:rsidR="008A7688">
              <w:rPr>
                <w:rFonts w:ascii="Arial" w:hAnsi="Arial" w:cs="Arial"/>
                <w:sz w:val="20"/>
              </w:rPr>
              <w:t>9</w:t>
            </w:r>
          </w:p>
        </w:tc>
      </w:tr>
      <w:tr w:rsidR="00BB5397" w:rsidTr="000E51A8">
        <w:trPr>
          <w:trHeight w:val="288"/>
        </w:trPr>
        <w:tc>
          <w:tcPr>
            <w:tcW w:w="2628" w:type="dxa"/>
            <w:vAlign w:val="center"/>
          </w:tcPr>
          <w:p w:rsidR="00BB5397"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55,000 Lumens</w:t>
            </w:r>
          </w:p>
        </w:tc>
        <w:tc>
          <w:tcPr>
            <w:tcW w:w="198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$25.6</w:t>
            </w:r>
            <w:r w:rsidR="008A7688">
              <w:rPr>
                <w:rFonts w:ascii="Arial" w:hAnsi="Arial" w:cs="Arial"/>
                <w:sz w:val="20"/>
              </w:rPr>
              <w:t>3</w:t>
            </w:r>
          </w:p>
        </w:tc>
        <w:tc>
          <w:tcPr>
            <w:tcW w:w="198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$3.62</w:t>
            </w:r>
          </w:p>
        </w:tc>
        <w:tc>
          <w:tcPr>
            <w:tcW w:w="162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$14.3</w:t>
            </w:r>
            <w:r w:rsidR="008A7688">
              <w:rPr>
                <w:rFonts w:ascii="Arial" w:hAnsi="Arial" w:cs="Arial"/>
                <w:sz w:val="20"/>
              </w:rPr>
              <w:t>8</w:t>
            </w:r>
          </w:p>
        </w:tc>
        <w:tc>
          <w:tcPr>
            <w:tcW w:w="1368"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$43.6</w:t>
            </w:r>
            <w:r w:rsidR="008A7688">
              <w:rPr>
                <w:rFonts w:ascii="Arial" w:hAnsi="Arial" w:cs="Arial"/>
                <w:sz w:val="20"/>
              </w:rPr>
              <w:t>3</w:t>
            </w:r>
          </w:p>
        </w:tc>
      </w:tr>
      <w:tr w:rsidR="00BB5397" w:rsidTr="000E51A8">
        <w:trPr>
          <w:trHeight w:val="288"/>
        </w:trPr>
        <w:tc>
          <w:tcPr>
            <w:tcW w:w="4608" w:type="dxa"/>
            <w:gridSpan w:val="2"/>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b/>
                <w:sz w:val="20"/>
              </w:rPr>
            </w:pPr>
            <w:r w:rsidRPr="00AD0918">
              <w:rPr>
                <w:rFonts w:ascii="Arial" w:hAnsi="Arial" w:cs="Arial"/>
                <w:b/>
                <w:sz w:val="20"/>
              </w:rPr>
              <w:t>High Pressure Sodium Vapor Lamp Charges</w:t>
            </w:r>
          </w:p>
        </w:tc>
        <w:tc>
          <w:tcPr>
            <w:tcW w:w="1980"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b/>
                <w:sz w:val="20"/>
              </w:rPr>
            </w:pPr>
          </w:p>
        </w:tc>
        <w:tc>
          <w:tcPr>
            <w:tcW w:w="1620"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b/>
                <w:sz w:val="20"/>
              </w:rPr>
            </w:pPr>
          </w:p>
        </w:tc>
        <w:tc>
          <w:tcPr>
            <w:tcW w:w="1368"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b/>
                <w:sz w:val="20"/>
              </w:rPr>
            </w:pPr>
          </w:p>
        </w:tc>
      </w:tr>
      <w:tr w:rsidR="00BB5397" w:rsidTr="000E51A8">
        <w:trPr>
          <w:trHeight w:val="288"/>
        </w:trPr>
        <w:tc>
          <w:tcPr>
            <w:tcW w:w="2628"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sidRPr="00AD0918">
              <w:rPr>
                <w:rFonts w:ascii="Arial" w:hAnsi="Arial" w:cs="Arial"/>
                <w:sz w:val="20"/>
              </w:rPr>
              <w:t>5,800 Lumens</w:t>
            </w:r>
          </w:p>
        </w:tc>
        <w:tc>
          <w:tcPr>
            <w:tcW w:w="198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$7.40</w:t>
            </w:r>
          </w:p>
        </w:tc>
        <w:tc>
          <w:tcPr>
            <w:tcW w:w="198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$1.04</w:t>
            </w:r>
          </w:p>
        </w:tc>
        <w:tc>
          <w:tcPr>
            <w:tcW w:w="162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$4.1</w:t>
            </w:r>
            <w:r w:rsidR="008A7688">
              <w:rPr>
                <w:rFonts w:ascii="Arial" w:hAnsi="Arial" w:cs="Arial"/>
                <w:sz w:val="20"/>
              </w:rPr>
              <w:t>6</w:t>
            </w:r>
          </w:p>
        </w:tc>
        <w:tc>
          <w:tcPr>
            <w:tcW w:w="1368"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$12.</w:t>
            </w:r>
            <w:r w:rsidR="008A7688">
              <w:rPr>
                <w:rFonts w:ascii="Arial" w:hAnsi="Arial" w:cs="Arial"/>
                <w:sz w:val="20"/>
              </w:rPr>
              <w:t>60</w:t>
            </w:r>
          </w:p>
        </w:tc>
      </w:tr>
      <w:tr w:rsidR="00BB5397" w:rsidTr="000E51A8">
        <w:trPr>
          <w:trHeight w:val="288"/>
        </w:trPr>
        <w:tc>
          <w:tcPr>
            <w:tcW w:w="2628" w:type="dxa"/>
            <w:vAlign w:val="center"/>
          </w:tcPr>
          <w:p w:rsidR="00BB5397" w:rsidRPr="00AD0918" w:rsidRDefault="00BB5397"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22,000 Lumens</w:t>
            </w:r>
          </w:p>
        </w:tc>
        <w:tc>
          <w:tcPr>
            <w:tcW w:w="198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$10.87</w:t>
            </w:r>
          </w:p>
        </w:tc>
        <w:tc>
          <w:tcPr>
            <w:tcW w:w="198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$1.5</w:t>
            </w:r>
            <w:r w:rsidR="008A7688">
              <w:rPr>
                <w:rFonts w:ascii="Arial" w:hAnsi="Arial" w:cs="Arial"/>
                <w:sz w:val="20"/>
              </w:rPr>
              <w:t>4</w:t>
            </w:r>
          </w:p>
        </w:tc>
        <w:tc>
          <w:tcPr>
            <w:tcW w:w="162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$6.10</w:t>
            </w:r>
          </w:p>
        </w:tc>
        <w:tc>
          <w:tcPr>
            <w:tcW w:w="1368"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$18.</w:t>
            </w:r>
            <w:r w:rsidR="008A7688">
              <w:rPr>
                <w:rFonts w:ascii="Arial" w:hAnsi="Arial" w:cs="Arial"/>
                <w:sz w:val="20"/>
              </w:rPr>
              <w:t>51</w:t>
            </w:r>
          </w:p>
        </w:tc>
      </w:tr>
      <w:tr w:rsidR="00BB5397" w:rsidTr="000E51A8">
        <w:trPr>
          <w:trHeight w:val="288"/>
        </w:trPr>
        <w:tc>
          <w:tcPr>
            <w:tcW w:w="2628" w:type="dxa"/>
            <w:vAlign w:val="center"/>
          </w:tcPr>
          <w:p w:rsidR="00BB5397"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50,000 Lumens</w:t>
            </w:r>
          </w:p>
        </w:tc>
        <w:tc>
          <w:tcPr>
            <w:tcW w:w="198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$17.5</w:t>
            </w:r>
            <w:r w:rsidR="008A7688">
              <w:rPr>
                <w:rFonts w:ascii="Arial" w:hAnsi="Arial" w:cs="Arial"/>
                <w:sz w:val="20"/>
              </w:rPr>
              <w:t>3</w:t>
            </w:r>
          </w:p>
        </w:tc>
        <w:tc>
          <w:tcPr>
            <w:tcW w:w="1980"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$2.4</w:t>
            </w:r>
            <w:r w:rsidR="008A7688">
              <w:rPr>
                <w:rFonts w:ascii="Arial" w:hAnsi="Arial" w:cs="Arial"/>
                <w:sz w:val="20"/>
              </w:rPr>
              <w:t>8</w:t>
            </w:r>
          </w:p>
        </w:tc>
        <w:tc>
          <w:tcPr>
            <w:tcW w:w="1620" w:type="dxa"/>
            <w:vAlign w:val="center"/>
          </w:tcPr>
          <w:p w:rsidR="00BB5397" w:rsidRPr="00AD0918" w:rsidRDefault="005F609A" w:rsidP="00BB5397">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$9.84</w:t>
            </w:r>
          </w:p>
        </w:tc>
        <w:tc>
          <w:tcPr>
            <w:tcW w:w="1368" w:type="dxa"/>
            <w:vAlign w:val="center"/>
          </w:tcPr>
          <w:p w:rsidR="00BB5397" w:rsidRPr="00AD0918" w:rsidRDefault="005F609A" w:rsidP="008A7688">
            <w:pPr>
              <w:tabs>
                <w:tab w:val="left" w:pos="2700"/>
                <w:tab w:val="center" w:pos="3330"/>
                <w:tab w:val="center" w:pos="4950"/>
                <w:tab w:val="center" w:pos="5400"/>
                <w:tab w:val="center" w:pos="5940"/>
                <w:tab w:val="center" w:pos="6930"/>
              </w:tabs>
              <w:ind w:right="-108"/>
              <w:jc w:val="center"/>
              <w:rPr>
                <w:rFonts w:ascii="Arial" w:hAnsi="Arial" w:cs="Arial"/>
                <w:sz w:val="20"/>
              </w:rPr>
            </w:pPr>
            <w:r>
              <w:rPr>
                <w:rFonts w:ascii="Arial" w:hAnsi="Arial" w:cs="Arial"/>
                <w:sz w:val="20"/>
              </w:rPr>
              <w:t>$29.</w:t>
            </w:r>
            <w:r w:rsidR="008A7688">
              <w:rPr>
                <w:rFonts w:ascii="Arial" w:hAnsi="Arial" w:cs="Arial"/>
                <w:sz w:val="20"/>
              </w:rPr>
              <w:t>85</w:t>
            </w:r>
          </w:p>
        </w:tc>
      </w:tr>
    </w:tbl>
    <w:p w:rsidR="00087CF7" w:rsidRPr="00DE66AA" w:rsidRDefault="00087CF7" w:rsidP="00AD0918">
      <w:pPr>
        <w:tabs>
          <w:tab w:val="left" w:pos="2700"/>
          <w:tab w:val="center" w:pos="3330"/>
          <w:tab w:val="center" w:pos="4950"/>
          <w:tab w:val="center" w:pos="5400"/>
          <w:tab w:val="center" w:pos="5940"/>
          <w:tab w:val="center" w:pos="6930"/>
        </w:tabs>
        <w:ind w:right="-108"/>
        <w:rPr>
          <w:rFonts w:ascii="Arial" w:hAnsi="Arial" w:cs="Arial"/>
          <w:sz w:val="16"/>
          <w:szCs w:val="16"/>
        </w:rPr>
      </w:pPr>
      <w:r w:rsidRPr="00087CF7">
        <w:rPr>
          <w:rFonts w:ascii="Arial" w:hAnsi="Arial" w:cs="Arial"/>
          <w:sz w:val="20"/>
        </w:rPr>
        <w:t xml:space="preserve">  </w:t>
      </w:r>
      <w:r w:rsidRPr="00087CF7">
        <w:rPr>
          <w:rFonts w:ascii="Arial" w:hAnsi="Arial" w:cs="Arial"/>
          <w:sz w:val="20"/>
        </w:rPr>
        <w:tab/>
      </w:r>
    </w:p>
    <w:p w:rsidR="00087CF7" w:rsidRPr="00087CF7" w:rsidRDefault="00087CF7" w:rsidP="00087CF7">
      <w:pPr>
        <w:rPr>
          <w:rFonts w:ascii="Arial" w:hAnsi="Arial" w:cs="Arial"/>
          <w:sz w:val="20"/>
        </w:rPr>
      </w:pPr>
      <w:r w:rsidRPr="00087CF7">
        <w:rPr>
          <w:rFonts w:ascii="Arial" w:hAnsi="Arial" w:cs="Arial"/>
          <w:sz w:val="20"/>
        </w:rPr>
        <w:tab/>
        <w:t>Pole Charge:</w:t>
      </w:r>
    </w:p>
    <w:p w:rsidR="00087CF7" w:rsidRPr="00087CF7" w:rsidRDefault="00087CF7" w:rsidP="00087CF7">
      <w:pPr>
        <w:ind w:left="1440"/>
        <w:rPr>
          <w:rFonts w:ascii="Arial" w:hAnsi="Arial" w:cs="Arial"/>
          <w:sz w:val="20"/>
        </w:rPr>
      </w:pPr>
      <w:r w:rsidRPr="00087CF7">
        <w:rPr>
          <w:rFonts w:ascii="Arial" w:hAnsi="Arial" w:cs="Arial"/>
          <w:sz w:val="20"/>
        </w:rPr>
        <w:t>A monthly charge of $1.00 per pole shall be made for each additional pole required in excess of the number of luminaires installed.</w:t>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default" r:id="rId10"/>
      <w:footerReference w:type="default" r:id="rId11"/>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BB5397">
      <w:rPr>
        <w:rFonts w:ascii="Arial" w:hAnsi="Arial" w:cs="Arial"/>
        <w:sz w:val="20"/>
      </w:rPr>
      <w:t>May 1</w:t>
    </w:r>
    <w:r w:rsidR="00554EB1">
      <w:rPr>
        <w:rFonts w:ascii="Arial" w:hAnsi="Arial" w:cs="Arial"/>
        <w:sz w:val="20"/>
      </w:rPr>
      <w:t>, 2014</w:t>
    </w:r>
    <w:r>
      <w:rPr>
        <w:rFonts w:ascii="Arial" w:hAnsi="Arial" w:cs="Arial"/>
        <w:sz w:val="20"/>
      </w:rPr>
      <w:tab/>
    </w:r>
    <w:r>
      <w:rPr>
        <w:rFonts w:ascii="Arial" w:hAnsi="Arial" w:cs="Arial"/>
        <w:b/>
        <w:sz w:val="20"/>
      </w:rPr>
      <w:t>Effective:</w:t>
    </w:r>
    <w:r>
      <w:rPr>
        <w:rFonts w:ascii="Arial" w:hAnsi="Arial" w:cs="Arial"/>
        <w:sz w:val="20"/>
      </w:rPr>
      <w:t xml:space="preserve"> </w:t>
    </w:r>
    <w:r w:rsidR="00BB5397">
      <w:rPr>
        <w:rFonts w:ascii="Arial" w:hAnsi="Arial" w:cs="Arial"/>
        <w:sz w:val="20"/>
      </w:rPr>
      <w:t>May 31</w:t>
    </w:r>
    <w:r w:rsidR="00554EB1">
      <w:rPr>
        <w:rFonts w:ascii="Arial" w:hAnsi="Arial" w:cs="Arial"/>
        <w:sz w:val="20"/>
      </w:rPr>
      <w:t>, 2014</w:t>
    </w:r>
  </w:p>
  <w:p w:rsidR="00087CF7" w:rsidRDefault="00087CF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Pr>
        <w:rFonts w:ascii="Arial" w:hAnsi="Arial" w:cs="Arial"/>
        <w:sz w:val="20"/>
      </w:rPr>
      <w:t xml:space="preserve"> </w:t>
    </w:r>
    <w:r w:rsidR="00BB5397">
      <w:rPr>
        <w:rFonts w:ascii="Arial" w:hAnsi="Arial" w:cs="Arial"/>
        <w:sz w:val="20"/>
      </w:rPr>
      <w:t>UE-</w:t>
    </w:r>
  </w:p>
  <w:p w:rsidR="00BB5397" w:rsidRDefault="00BB5397" w:rsidP="00BB5397">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2A45FBAC" wp14:editId="59D4B7DF">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BB5397" w:rsidRDefault="00BB5397" w:rsidP="00BB5397">
    <w:pPr>
      <w:pStyle w:val="Footer"/>
      <w:tabs>
        <w:tab w:val="clear" w:pos="4680"/>
        <w:tab w:val="clear" w:pos="9360"/>
        <w:tab w:val="left" w:pos="1365"/>
        <w:tab w:val="right" w:pos="9216"/>
      </w:tabs>
      <w:ind w:left="1170" w:hanging="360"/>
      <w:rPr>
        <w:rFonts w:ascii="Arial" w:hAnsi="Arial" w:cs="Arial"/>
        <w:b/>
        <w:sz w:val="20"/>
      </w:rPr>
    </w:pPr>
  </w:p>
  <w:p w:rsidR="00BB5397" w:rsidRDefault="00BB5397" w:rsidP="00BB5397">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45418AEE" wp14:editId="7E7B9656">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66436530" wp14:editId="428DDDB2">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CD5C9B" w:rsidP="00A91A21">
    <w:pPr>
      <w:tabs>
        <w:tab w:val="left" w:pos="7200"/>
      </w:tabs>
      <w:ind w:right="2160"/>
      <w:jc w:val="right"/>
      <w:rPr>
        <w:rFonts w:ascii="Arial" w:hAnsi="Arial" w:cs="Arial"/>
        <w:sz w:val="20"/>
      </w:rPr>
    </w:pPr>
    <w:r>
      <w:rPr>
        <w:rFonts w:ascii="Arial" w:hAnsi="Arial" w:cs="Arial"/>
        <w:sz w:val="20"/>
      </w:rPr>
      <w:t xml:space="preserve">Third </w:t>
    </w:r>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r w:rsidR="00CD5C9B">
      <w:rPr>
        <w:rFonts w:ascii="Arial" w:hAnsi="Arial" w:cs="Arial"/>
        <w:sz w:val="20"/>
      </w:rPr>
      <w:t>Second</w:t>
    </w:r>
    <w:r w:rsidR="00CD5C9B" w:rsidDel="00CD5C9B">
      <w:rPr>
        <w:rFonts w:ascii="Arial" w:hAnsi="Arial" w:cs="Arial"/>
        <w:sz w:val="20"/>
      </w:rPr>
      <w:t xml:space="preserve"> </w:t>
    </w:r>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40D2"/>
    <w:rsid w:val="000A0FF1"/>
    <w:rsid w:val="000B36F4"/>
    <w:rsid w:val="000E3B96"/>
    <w:rsid w:val="000E51A8"/>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534D32"/>
    <w:rsid w:val="00546A05"/>
    <w:rsid w:val="00554EB1"/>
    <w:rsid w:val="00555712"/>
    <w:rsid w:val="00564506"/>
    <w:rsid w:val="00577682"/>
    <w:rsid w:val="00580EC3"/>
    <w:rsid w:val="005A1156"/>
    <w:rsid w:val="005B0070"/>
    <w:rsid w:val="005E29DE"/>
    <w:rsid w:val="005F609A"/>
    <w:rsid w:val="005F64B9"/>
    <w:rsid w:val="005F7880"/>
    <w:rsid w:val="006638F3"/>
    <w:rsid w:val="0068713C"/>
    <w:rsid w:val="006A266F"/>
    <w:rsid w:val="006E1287"/>
    <w:rsid w:val="00710518"/>
    <w:rsid w:val="007504BF"/>
    <w:rsid w:val="0077488B"/>
    <w:rsid w:val="00782828"/>
    <w:rsid w:val="007D4076"/>
    <w:rsid w:val="007E0BC7"/>
    <w:rsid w:val="007F06C3"/>
    <w:rsid w:val="007F142A"/>
    <w:rsid w:val="007F6029"/>
    <w:rsid w:val="00813698"/>
    <w:rsid w:val="00823ACF"/>
    <w:rsid w:val="008474F2"/>
    <w:rsid w:val="00855500"/>
    <w:rsid w:val="008766A2"/>
    <w:rsid w:val="00876B56"/>
    <w:rsid w:val="00886645"/>
    <w:rsid w:val="008A7688"/>
    <w:rsid w:val="008A77C7"/>
    <w:rsid w:val="008D784A"/>
    <w:rsid w:val="008E7364"/>
    <w:rsid w:val="00914370"/>
    <w:rsid w:val="00920A5D"/>
    <w:rsid w:val="009E0C82"/>
    <w:rsid w:val="00A261ED"/>
    <w:rsid w:val="00A91A21"/>
    <w:rsid w:val="00AA6EAF"/>
    <w:rsid w:val="00AD0918"/>
    <w:rsid w:val="00AD2ABC"/>
    <w:rsid w:val="00AD4335"/>
    <w:rsid w:val="00AE07BB"/>
    <w:rsid w:val="00AE1E9E"/>
    <w:rsid w:val="00AE7611"/>
    <w:rsid w:val="00AF0EAC"/>
    <w:rsid w:val="00B20EEB"/>
    <w:rsid w:val="00B43CBE"/>
    <w:rsid w:val="00B54432"/>
    <w:rsid w:val="00B62CA7"/>
    <w:rsid w:val="00B86CD1"/>
    <w:rsid w:val="00BA088F"/>
    <w:rsid w:val="00BB5397"/>
    <w:rsid w:val="00C0493E"/>
    <w:rsid w:val="00C1014E"/>
    <w:rsid w:val="00C210FD"/>
    <w:rsid w:val="00C406F2"/>
    <w:rsid w:val="00C43A0B"/>
    <w:rsid w:val="00C60F7D"/>
    <w:rsid w:val="00C91131"/>
    <w:rsid w:val="00CD01ED"/>
    <w:rsid w:val="00CD5C9B"/>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50525"/>
    <w:rsid w:val="00F528E2"/>
    <w:rsid w:val="00F66F8A"/>
    <w:rsid w:val="00F74FE8"/>
    <w:rsid w:val="00F97517"/>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table" w:styleId="TableGrid">
    <w:name w:val="Table Grid"/>
    <w:basedOn w:val="TableNormal"/>
    <w:uiPriority w:val="59"/>
    <w:rsid w:val="00BB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table" w:styleId="TableGrid">
    <w:name w:val="Table Grid"/>
    <w:basedOn w:val="TableNormal"/>
    <w:uiPriority w:val="59"/>
    <w:rsid w:val="00BB5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3CE02C8-819C-4BE8-A45E-2CCAAE10A668}"/>
</file>

<file path=customXml/itemProps2.xml><?xml version="1.0" encoding="utf-8"?>
<ds:datastoreItem xmlns:ds="http://schemas.openxmlformats.org/officeDocument/2006/customXml" ds:itemID="{009CD990-8869-4CD1-B4DC-68D9A1FCD8F5}"/>
</file>

<file path=customXml/itemProps3.xml><?xml version="1.0" encoding="utf-8"?>
<ds:datastoreItem xmlns:ds="http://schemas.openxmlformats.org/officeDocument/2006/customXml" ds:itemID="{98EF1E2A-79EE-44E2-A812-BC3C882B5909}"/>
</file>

<file path=customXml/itemProps4.xml><?xml version="1.0" encoding="utf-8"?>
<ds:datastoreItem xmlns:ds="http://schemas.openxmlformats.org/officeDocument/2006/customXml" ds:itemID="{32129A49-965D-408D-9932-B7CF14359905}"/>
</file>

<file path=customXml/itemProps5.xml><?xml version="1.0" encoding="utf-8"?>
<ds:datastoreItem xmlns:ds="http://schemas.openxmlformats.org/officeDocument/2006/customXml" ds:itemID="{02AAF171-EAD3-45BC-AA11-196D018F2D45}"/>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6</cp:revision>
  <cp:lastPrinted>2011-04-06T22:22:00Z</cp:lastPrinted>
  <dcterms:created xsi:type="dcterms:W3CDTF">2014-04-24T21:27:00Z</dcterms:created>
  <dcterms:modified xsi:type="dcterms:W3CDTF">2014-04-28T22:15:00Z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