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15C" w:rsidRPr="00F91408" w:rsidRDefault="00D0215C" w:rsidP="00D0215C">
      <w:pPr>
        <w:rPr>
          <w:rFonts w:ascii="Times New Roman" w:hAnsi="Times New Roman"/>
          <w:szCs w:val="24"/>
        </w:rPr>
      </w:pPr>
      <w:bookmarkStart w:id="0" w:name="_GoBack"/>
      <w:bookmarkEnd w:id="0"/>
      <w:r w:rsidRPr="00F91408">
        <w:rPr>
          <w:rFonts w:ascii="Times New Roman" w:hAnsi="Times New Roman"/>
          <w:noProof/>
          <w:szCs w:val="24"/>
        </w:rPr>
        <w:drawing>
          <wp:anchor distT="0" distB="0" distL="114300" distR="114300" simplePos="0" relativeHeight="251660288" behindDoc="1" locked="0" layoutInCell="1" allowOverlap="1" wp14:anchorId="3EEDBC1A" wp14:editId="4156031E">
            <wp:simplePos x="0" y="0"/>
            <wp:positionH relativeFrom="column">
              <wp:posOffset>-457200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8" cstate="print"/>
                    <a:srcRect/>
                    <a:stretch>
                      <a:fillRect/>
                    </a:stretch>
                  </pic:blipFill>
                  <pic:spPr bwMode="auto">
                    <a:xfrm>
                      <a:off x="0" y="0"/>
                      <a:ext cx="6578600" cy="381000"/>
                    </a:xfrm>
                    <a:prstGeom prst="rect">
                      <a:avLst/>
                    </a:prstGeom>
                    <a:noFill/>
                  </pic:spPr>
                </pic:pic>
              </a:graphicData>
            </a:graphic>
          </wp:anchor>
        </w:drawing>
      </w:r>
    </w:p>
    <w:p w:rsidR="00D0215C" w:rsidRPr="00F91408" w:rsidRDefault="00D0215C" w:rsidP="00D0215C">
      <w:pPr>
        <w:rPr>
          <w:rFonts w:ascii="Times New Roman" w:hAnsi="Times New Roman"/>
          <w:szCs w:val="24"/>
        </w:rPr>
      </w:pPr>
    </w:p>
    <w:p w:rsidR="00D0215C" w:rsidRPr="00F91408" w:rsidRDefault="00C3300D" w:rsidP="00D0215C">
      <w:pPr>
        <w:rPr>
          <w:rFonts w:ascii="Times New Roman" w:hAnsi="Times New Roman"/>
          <w:szCs w:val="24"/>
        </w:rPr>
      </w:pPr>
      <w:r>
        <w:rPr>
          <w:rFonts w:ascii="Times New Roman" w:hAnsi="Times New Roman"/>
          <w:szCs w:val="24"/>
        </w:rPr>
        <w:t>May 22, 2014</w:t>
      </w:r>
    </w:p>
    <w:p w:rsidR="00D0215C" w:rsidRPr="00F91408" w:rsidRDefault="00D0215C" w:rsidP="00D0215C">
      <w:pPr>
        <w:rPr>
          <w:rFonts w:ascii="Times New Roman" w:hAnsi="Times New Roman"/>
          <w:szCs w:val="24"/>
        </w:rPr>
      </w:pPr>
    </w:p>
    <w:p w:rsidR="00D0215C" w:rsidRPr="00F91408" w:rsidRDefault="00D0215C" w:rsidP="00D0215C">
      <w:pPr>
        <w:rPr>
          <w:rFonts w:ascii="Times New Roman" w:hAnsi="Times New Roman"/>
          <w:szCs w:val="24"/>
        </w:rPr>
      </w:pPr>
      <w:r w:rsidRPr="00F91408">
        <w:rPr>
          <w:rFonts w:ascii="Times New Roman" w:hAnsi="Times New Roman"/>
          <w:b/>
          <w:i/>
          <w:szCs w:val="24"/>
        </w:rPr>
        <w:t>VIA ELECTRONIC FILING</w:t>
      </w:r>
      <w:r w:rsidRPr="00F91408">
        <w:rPr>
          <w:rFonts w:ascii="Times New Roman" w:hAnsi="Times New Roman"/>
          <w:b/>
          <w:i/>
          <w:szCs w:val="24"/>
        </w:rPr>
        <w:br/>
      </w:r>
    </w:p>
    <w:p w:rsidR="00FE43B6" w:rsidRPr="0066295E" w:rsidRDefault="00FE43B6" w:rsidP="00FE43B6">
      <w:pPr>
        <w:pStyle w:val="NoSpacing"/>
        <w:rPr>
          <w:rFonts w:ascii="Times New Roman" w:hAnsi="Times New Roman" w:cs="Times New Roman"/>
          <w:sz w:val="24"/>
          <w:szCs w:val="24"/>
        </w:rPr>
      </w:pPr>
      <w:r w:rsidRPr="0066295E">
        <w:rPr>
          <w:rFonts w:ascii="Times New Roman" w:hAnsi="Times New Roman" w:cs="Times New Roman"/>
          <w:sz w:val="24"/>
          <w:szCs w:val="24"/>
        </w:rPr>
        <w:t>Washington Utilities and Transportation Commission</w:t>
      </w:r>
    </w:p>
    <w:p w:rsidR="00FE43B6" w:rsidRPr="0066295E" w:rsidRDefault="00FE43B6" w:rsidP="00FE43B6">
      <w:pPr>
        <w:pStyle w:val="NoSpacing"/>
        <w:rPr>
          <w:rFonts w:ascii="Times New Roman" w:hAnsi="Times New Roman" w:cs="Times New Roman"/>
          <w:sz w:val="24"/>
          <w:szCs w:val="24"/>
        </w:rPr>
      </w:pPr>
      <w:r w:rsidRPr="0066295E">
        <w:rPr>
          <w:rFonts w:ascii="Times New Roman" w:hAnsi="Times New Roman" w:cs="Times New Roman"/>
          <w:sz w:val="24"/>
          <w:szCs w:val="24"/>
        </w:rPr>
        <w:t>1300 S. Evergreen Park Drive, S.W.</w:t>
      </w:r>
    </w:p>
    <w:p w:rsidR="00FE43B6" w:rsidRPr="0066295E" w:rsidRDefault="00FE43B6" w:rsidP="00FE43B6">
      <w:pPr>
        <w:pStyle w:val="NoSpacing"/>
        <w:rPr>
          <w:rFonts w:ascii="Times New Roman" w:hAnsi="Times New Roman" w:cs="Times New Roman"/>
          <w:sz w:val="24"/>
          <w:szCs w:val="24"/>
        </w:rPr>
      </w:pPr>
      <w:r w:rsidRPr="0066295E">
        <w:rPr>
          <w:rFonts w:ascii="Times New Roman" w:hAnsi="Times New Roman" w:cs="Times New Roman"/>
          <w:sz w:val="24"/>
          <w:szCs w:val="24"/>
        </w:rPr>
        <w:t>P.O. Box 47250</w:t>
      </w:r>
    </w:p>
    <w:p w:rsidR="00FE43B6" w:rsidRPr="0066295E" w:rsidRDefault="00FE43B6" w:rsidP="00FE43B6">
      <w:pPr>
        <w:pStyle w:val="NoSpacing"/>
        <w:rPr>
          <w:rFonts w:ascii="Times New Roman" w:hAnsi="Times New Roman" w:cs="Times New Roman"/>
          <w:sz w:val="24"/>
          <w:szCs w:val="24"/>
        </w:rPr>
      </w:pPr>
      <w:r w:rsidRPr="0066295E">
        <w:rPr>
          <w:rFonts w:ascii="Times New Roman" w:hAnsi="Times New Roman" w:cs="Times New Roman"/>
          <w:sz w:val="24"/>
          <w:szCs w:val="24"/>
        </w:rPr>
        <w:t>Olympia, Washington 98504-7250</w:t>
      </w:r>
    </w:p>
    <w:p w:rsidR="00FE43B6" w:rsidRPr="0066295E" w:rsidRDefault="00FE43B6" w:rsidP="00FE43B6">
      <w:pPr>
        <w:pStyle w:val="NoSpacing"/>
        <w:rPr>
          <w:rFonts w:ascii="Times New Roman" w:hAnsi="Times New Roman" w:cs="Times New Roman"/>
          <w:sz w:val="24"/>
          <w:szCs w:val="24"/>
        </w:rPr>
      </w:pPr>
    </w:p>
    <w:p w:rsidR="00FE43B6" w:rsidRPr="0066295E" w:rsidRDefault="00FE43B6" w:rsidP="00FE43B6">
      <w:pPr>
        <w:pStyle w:val="NoSpacing"/>
        <w:rPr>
          <w:rFonts w:ascii="Times New Roman" w:hAnsi="Times New Roman" w:cs="Times New Roman"/>
          <w:sz w:val="24"/>
          <w:szCs w:val="24"/>
        </w:rPr>
      </w:pPr>
      <w:r w:rsidRPr="0066295E">
        <w:rPr>
          <w:rFonts w:ascii="Times New Roman" w:hAnsi="Times New Roman" w:cs="Times New Roman"/>
          <w:sz w:val="24"/>
          <w:szCs w:val="24"/>
        </w:rPr>
        <w:t>Attn:</w:t>
      </w:r>
      <w:r w:rsidRPr="0066295E">
        <w:rPr>
          <w:rFonts w:ascii="Times New Roman" w:hAnsi="Times New Roman" w:cs="Times New Roman"/>
          <w:sz w:val="24"/>
          <w:szCs w:val="24"/>
        </w:rPr>
        <w:tab/>
      </w:r>
      <w:r>
        <w:rPr>
          <w:rFonts w:ascii="Times New Roman" w:hAnsi="Times New Roman" w:cs="Times New Roman"/>
          <w:sz w:val="24"/>
          <w:szCs w:val="24"/>
        </w:rPr>
        <w:t>Steven V. King</w:t>
      </w:r>
    </w:p>
    <w:p w:rsidR="00FE43B6" w:rsidRPr="0066295E" w:rsidRDefault="00FE43B6" w:rsidP="00FE43B6">
      <w:pPr>
        <w:pStyle w:val="NoSpacing"/>
        <w:rPr>
          <w:rFonts w:ascii="Times New Roman" w:hAnsi="Times New Roman" w:cs="Times New Roman"/>
          <w:sz w:val="24"/>
          <w:szCs w:val="24"/>
        </w:rPr>
      </w:pPr>
      <w:r w:rsidRPr="0066295E">
        <w:rPr>
          <w:rFonts w:ascii="Times New Roman" w:hAnsi="Times New Roman" w:cs="Times New Roman"/>
          <w:sz w:val="24"/>
          <w:szCs w:val="24"/>
        </w:rPr>
        <w:tab/>
        <w:t>Executive Director and Secretary</w:t>
      </w:r>
    </w:p>
    <w:p w:rsidR="00D0215C" w:rsidRPr="00F91408" w:rsidRDefault="00D0215C" w:rsidP="00D0215C">
      <w:pPr>
        <w:rPr>
          <w:rFonts w:ascii="Times New Roman" w:hAnsi="Times New Roman"/>
          <w:szCs w:val="24"/>
        </w:rPr>
      </w:pPr>
    </w:p>
    <w:p w:rsidR="00D07712" w:rsidRPr="00D07712" w:rsidRDefault="00D07712" w:rsidP="00D07712">
      <w:pPr>
        <w:rPr>
          <w:rFonts w:ascii="Times New Roman" w:eastAsiaTheme="minorHAnsi" w:hAnsi="Times New Roman"/>
          <w:szCs w:val="24"/>
        </w:rPr>
      </w:pPr>
      <w:r w:rsidRPr="00D07712">
        <w:rPr>
          <w:rFonts w:ascii="Times New Roman" w:eastAsiaTheme="minorHAnsi" w:hAnsi="Times New Roman"/>
          <w:b/>
          <w:szCs w:val="24"/>
        </w:rPr>
        <w:t>RE:</w:t>
      </w:r>
      <w:r w:rsidRPr="00D07712">
        <w:rPr>
          <w:rFonts w:ascii="Times New Roman" w:eastAsiaTheme="minorHAnsi" w:hAnsi="Times New Roman"/>
          <w:szCs w:val="24"/>
        </w:rPr>
        <w:tab/>
      </w:r>
      <w:r w:rsidRPr="00D07712">
        <w:rPr>
          <w:rFonts w:ascii="Times New Roman" w:eastAsiaTheme="minorHAnsi" w:hAnsi="Times New Roman"/>
          <w:b/>
          <w:szCs w:val="24"/>
        </w:rPr>
        <w:t>Docket No. U-</w:t>
      </w:r>
      <w:r w:rsidR="00C3300D">
        <w:rPr>
          <w:rFonts w:ascii="Times New Roman" w:eastAsiaTheme="minorHAnsi" w:hAnsi="Times New Roman"/>
          <w:b/>
          <w:szCs w:val="24"/>
        </w:rPr>
        <w:t>140632</w:t>
      </w:r>
      <w:r w:rsidRPr="00D07712">
        <w:rPr>
          <w:rFonts w:ascii="Times New Roman" w:eastAsiaTheme="minorHAnsi" w:hAnsi="Times New Roman"/>
          <w:b/>
          <w:szCs w:val="24"/>
        </w:rPr>
        <w:t xml:space="preserve"> – Comments</w:t>
      </w:r>
      <w:r w:rsidR="006D122F">
        <w:rPr>
          <w:rFonts w:ascii="Times New Roman" w:eastAsiaTheme="minorHAnsi" w:hAnsi="Times New Roman"/>
          <w:b/>
          <w:szCs w:val="24"/>
        </w:rPr>
        <w:t xml:space="preserve"> of Pacific Power &amp; Light Company</w:t>
      </w:r>
    </w:p>
    <w:p w:rsidR="00C3300D" w:rsidRPr="00D07712" w:rsidRDefault="00C3300D" w:rsidP="00D07712">
      <w:pPr>
        <w:rPr>
          <w:rFonts w:ascii="Times New Roman" w:eastAsiaTheme="minorHAnsi" w:hAnsi="Times New Roman"/>
          <w:szCs w:val="24"/>
        </w:rPr>
      </w:pPr>
    </w:p>
    <w:p w:rsidR="00D07712" w:rsidRPr="00D07712" w:rsidRDefault="00D07712" w:rsidP="00D07712">
      <w:pPr>
        <w:rPr>
          <w:rFonts w:ascii="Times New Roman" w:eastAsiaTheme="minorHAnsi" w:hAnsi="Times New Roman"/>
          <w:szCs w:val="24"/>
        </w:rPr>
      </w:pPr>
      <w:r w:rsidRPr="00D07712">
        <w:rPr>
          <w:rFonts w:ascii="Times New Roman" w:eastAsiaTheme="minorHAnsi" w:hAnsi="Times New Roman"/>
          <w:szCs w:val="24"/>
        </w:rPr>
        <w:t>Pacific Power &amp; Light Company (Pacifi</w:t>
      </w:r>
      <w:r w:rsidR="00C3300D">
        <w:rPr>
          <w:rFonts w:ascii="Times New Roman" w:eastAsiaTheme="minorHAnsi" w:hAnsi="Times New Roman"/>
          <w:szCs w:val="24"/>
        </w:rPr>
        <w:t>c Power</w:t>
      </w:r>
      <w:r w:rsidRPr="00D07712">
        <w:rPr>
          <w:rFonts w:ascii="Times New Roman" w:eastAsiaTheme="minorHAnsi" w:hAnsi="Times New Roman"/>
          <w:szCs w:val="24"/>
        </w:rPr>
        <w:t xml:space="preserve"> or Company) submits the following comments in accordance with the Washington Utilities and Transportation Commission’s (Commission) </w:t>
      </w:r>
      <w:r>
        <w:rPr>
          <w:rFonts w:ascii="Times New Roman" w:eastAsiaTheme="minorHAnsi" w:hAnsi="Times New Roman"/>
          <w:szCs w:val="24"/>
        </w:rPr>
        <w:t xml:space="preserve">Notice of Recessed Open Meeting and </w:t>
      </w:r>
      <w:r w:rsidR="00C3300D">
        <w:rPr>
          <w:rFonts w:ascii="Times New Roman" w:eastAsiaTheme="minorHAnsi" w:hAnsi="Times New Roman"/>
          <w:szCs w:val="24"/>
        </w:rPr>
        <w:t>Notice of Opportunity to File</w:t>
      </w:r>
      <w:r w:rsidRPr="00D07712">
        <w:rPr>
          <w:rFonts w:ascii="Times New Roman" w:eastAsiaTheme="minorHAnsi" w:hAnsi="Times New Roman"/>
          <w:szCs w:val="24"/>
        </w:rPr>
        <w:t xml:space="preserve"> Written Comments (Notice) issued in Docket U-</w:t>
      </w:r>
      <w:r w:rsidR="00C3300D">
        <w:rPr>
          <w:rFonts w:ascii="Times New Roman" w:eastAsiaTheme="minorHAnsi" w:hAnsi="Times New Roman"/>
          <w:szCs w:val="24"/>
        </w:rPr>
        <w:t>140632</w:t>
      </w:r>
      <w:r>
        <w:rPr>
          <w:rFonts w:ascii="Times New Roman" w:eastAsiaTheme="minorHAnsi" w:hAnsi="Times New Roman"/>
          <w:szCs w:val="24"/>
        </w:rPr>
        <w:t xml:space="preserve"> on </w:t>
      </w:r>
      <w:r w:rsidR="00C3300D">
        <w:rPr>
          <w:rFonts w:ascii="Times New Roman" w:eastAsiaTheme="minorHAnsi" w:hAnsi="Times New Roman"/>
          <w:szCs w:val="24"/>
        </w:rPr>
        <w:t>April 23, 2014</w:t>
      </w:r>
      <w:r w:rsidRPr="00D07712">
        <w:rPr>
          <w:rFonts w:ascii="Times New Roman" w:eastAsiaTheme="minorHAnsi" w:hAnsi="Times New Roman"/>
          <w:szCs w:val="24"/>
        </w:rPr>
        <w:t xml:space="preserve">.  </w:t>
      </w:r>
    </w:p>
    <w:p w:rsidR="00D07712" w:rsidRPr="00D07712" w:rsidRDefault="00D07712" w:rsidP="00D07712">
      <w:pPr>
        <w:rPr>
          <w:rFonts w:ascii="Times New Roman" w:eastAsiaTheme="minorHAnsi" w:hAnsi="Times New Roman"/>
          <w:szCs w:val="24"/>
        </w:rPr>
      </w:pPr>
    </w:p>
    <w:p w:rsidR="006356C9" w:rsidRDefault="00D07712" w:rsidP="00D07712">
      <w:pPr>
        <w:rPr>
          <w:rFonts w:ascii="Times New Roman" w:eastAsiaTheme="minorHAnsi" w:hAnsi="Times New Roman"/>
          <w:szCs w:val="24"/>
        </w:rPr>
      </w:pPr>
      <w:r w:rsidRPr="00D07712">
        <w:rPr>
          <w:rFonts w:ascii="Times New Roman" w:eastAsiaTheme="minorHAnsi" w:hAnsi="Times New Roman"/>
          <w:szCs w:val="24"/>
        </w:rPr>
        <w:t>In the Notice, the Commis</w:t>
      </w:r>
      <w:r w:rsidR="00C3300D">
        <w:rPr>
          <w:rFonts w:ascii="Times New Roman" w:eastAsiaTheme="minorHAnsi" w:hAnsi="Times New Roman"/>
          <w:szCs w:val="24"/>
        </w:rPr>
        <w:t>sion requested written comments t</w:t>
      </w:r>
      <w:r w:rsidR="008279A6">
        <w:rPr>
          <w:rFonts w:ascii="Times New Roman" w:eastAsiaTheme="minorHAnsi" w:hAnsi="Times New Roman"/>
          <w:szCs w:val="24"/>
        </w:rPr>
        <w:t xml:space="preserve">o address specific questions regarding the Company’s </w:t>
      </w:r>
      <w:r w:rsidR="00C3300D">
        <w:rPr>
          <w:rFonts w:ascii="Times New Roman" w:eastAsiaTheme="minorHAnsi" w:hAnsi="Times New Roman"/>
          <w:szCs w:val="24"/>
        </w:rPr>
        <w:t>low-income assistance programs</w:t>
      </w:r>
      <w:r w:rsidR="006356C9">
        <w:rPr>
          <w:rFonts w:ascii="Times New Roman" w:eastAsiaTheme="minorHAnsi" w:hAnsi="Times New Roman"/>
          <w:szCs w:val="24"/>
        </w:rPr>
        <w:t>.</w:t>
      </w:r>
      <w:r w:rsidRPr="00D07712">
        <w:rPr>
          <w:rFonts w:ascii="Times New Roman" w:eastAsiaTheme="minorHAnsi" w:hAnsi="Times New Roman"/>
          <w:szCs w:val="24"/>
        </w:rPr>
        <w:t xml:space="preserve"> The Company address</w:t>
      </w:r>
      <w:r w:rsidR="00AC000E">
        <w:rPr>
          <w:rFonts w:ascii="Times New Roman" w:eastAsiaTheme="minorHAnsi" w:hAnsi="Times New Roman"/>
          <w:szCs w:val="24"/>
        </w:rPr>
        <w:t>es</w:t>
      </w:r>
      <w:r w:rsidRPr="00D07712">
        <w:rPr>
          <w:rFonts w:ascii="Times New Roman" w:eastAsiaTheme="minorHAnsi" w:hAnsi="Times New Roman"/>
          <w:szCs w:val="24"/>
        </w:rPr>
        <w:t xml:space="preserve"> each of these questions in detail below.</w:t>
      </w:r>
    </w:p>
    <w:p w:rsidR="00D07712" w:rsidRPr="00D07712" w:rsidRDefault="00D07712" w:rsidP="00D07712">
      <w:pPr>
        <w:rPr>
          <w:rFonts w:ascii="Times New Roman" w:eastAsiaTheme="minorHAnsi" w:hAnsi="Times New Roman"/>
          <w:szCs w:val="24"/>
        </w:rPr>
      </w:pPr>
    </w:p>
    <w:p w:rsidR="00D07712" w:rsidRDefault="008279A6" w:rsidP="008E0CDC">
      <w:pPr>
        <w:pStyle w:val="ListParagraph"/>
        <w:numPr>
          <w:ilvl w:val="0"/>
          <w:numId w:val="4"/>
        </w:numPr>
        <w:rPr>
          <w:rFonts w:ascii="Times New Roman" w:eastAsiaTheme="minorHAnsi" w:hAnsi="Times New Roman"/>
          <w:b/>
          <w:szCs w:val="24"/>
        </w:rPr>
      </w:pPr>
      <w:r>
        <w:rPr>
          <w:rFonts w:ascii="Times New Roman" w:eastAsiaTheme="minorHAnsi" w:hAnsi="Times New Roman"/>
          <w:b/>
          <w:szCs w:val="24"/>
        </w:rPr>
        <w:t xml:space="preserve">A brief description of the </w:t>
      </w:r>
      <w:r w:rsidR="00CD4B8A">
        <w:rPr>
          <w:rFonts w:ascii="Times New Roman" w:eastAsiaTheme="minorHAnsi" w:hAnsi="Times New Roman"/>
          <w:b/>
          <w:szCs w:val="24"/>
        </w:rPr>
        <w:t>c</w:t>
      </w:r>
      <w:r>
        <w:rPr>
          <w:rFonts w:ascii="Times New Roman" w:eastAsiaTheme="minorHAnsi" w:hAnsi="Times New Roman"/>
          <w:b/>
          <w:szCs w:val="24"/>
        </w:rPr>
        <w:t>ompany’s low-income assistance program.</w:t>
      </w:r>
    </w:p>
    <w:p w:rsidR="000129F4" w:rsidRPr="000129F4" w:rsidRDefault="000129F4" w:rsidP="000129F4">
      <w:pPr>
        <w:rPr>
          <w:rFonts w:ascii="Times New Roman" w:eastAsiaTheme="minorHAnsi" w:hAnsi="Times New Roman"/>
          <w:szCs w:val="24"/>
        </w:rPr>
      </w:pPr>
    </w:p>
    <w:p w:rsidR="008279A6" w:rsidRPr="00DA2879" w:rsidRDefault="008279A6" w:rsidP="00DA2879">
      <w:pPr>
        <w:rPr>
          <w:rFonts w:ascii="Times New Roman" w:eastAsiaTheme="minorHAnsi" w:hAnsi="Times New Roman"/>
          <w:szCs w:val="24"/>
        </w:rPr>
      </w:pPr>
      <w:r w:rsidRPr="00DA2879">
        <w:rPr>
          <w:rFonts w:ascii="Times New Roman" w:eastAsiaTheme="minorHAnsi" w:hAnsi="Times New Roman"/>
          <w:szCs w:val="24"/>
        </w:rPr>
        <w:t>Pacific Power’s Low Income Bill Assistance Program (LIBA) is a bill discount program administered through Schedule 17, with funding obtained through the Schedule 91 Surcharge.  LIBA has been in place since February 2001.</w:t>
      </w:r>
    </w:p>
    <w:p w:rsidR="008279A6" w:rsidRDefault="008279A6" w:rsidP="008279A6">
      <w:pPr>
        <w:pStyle w:val="ListParagraph"/>
        <w:rPr>
          <w:rFonts w:ascii="Times New Roman" w:eastAsiaTheme="minorHAnsi" w:hAnsi="Times New Roman"/>
          <w:szCs w:val="24"/>
        </w:rPr>
      </w:pPr>
    </w:p>
    <w:p w:rsidR="008279A6" w:rsidRPr="00DA2879" w:rsidRDefault="008279A6" w:rsidP="00DA2879">
      <w:pPr>
        <w:rPr>
          <w:rFonts w:ascii="Times New Roman" w:eastAsiaTheme="minorHAnsi" w:hAnsi="Times New Roman"/>
          <w:szCs w:val="24"/>
        </w:rPr>
      </w:pPr>
      <w:r w:rsidRPr="00DA2879">
        <w:rPr>
          <w:rFonts w:ascii="Times New Roman" w:eastAsiaTheme="minorHAnsi" w:hAnsi="Times New Roman"/>
          <w:szCs w:val="24"/>
        </w:rPr>
        <w:t>The LIBA program is designed to improve payment patterns of low-income residential customers through a discount on winter (November – April) bills.  The discount is designed to reflect the</w:t>
      </w:r>
      <w:r w:rsidR="00DA2879">
        <w:rPr>
          <w:rFonts w:ascii="Times New Roman" w:eastAsiaTheme="minorHAnsi" w:hAnsi="Times New Roman"/>
          <w:szCs w:val="24"/>
        </w:rPr>
        <w:t xml:space="preserve"> energy burdens borne by income-</w:t>
      </w:r>
      <w:r w:rsidRPr="00DA2879">
        <w:rPr>
          <w:rFonts w:ascii="Times New Roman" w:eastAsiaTheme="minorHAnsi" w:hAnsi="Times New Roman"/>
          <w:szCs w:val="24"/>
        </w:rPr>
        <w:t>eligible households through a three</w:t>
      </w:r>
      <w:r w:rsidR="0060693A">
        <w:rPr>
          <w:rFonts w:ascii="Times New Roman" w:eastAsiaTheme="minorHAnsi" w:hAnsi="Times New Roman"/>
          <w:szCs w:val="24"/>
        </w:rPr>
        <w:t>-</w:t>
      </w:r>
      <w:r w:rsidRPr="00DA2879">
        <w:rPr>
          <w:rFonts w:ascii="Times New Roman" w:eastAsiaTheme="minorHAnsi" w:hAnsi="Times New Roman"/>
          <w:szCs w:val="24"/>
        </w:rPr>
        <w:t>tier credit with the poorest customers receiving the largest discounts.</w:t>
      </w:r>
    </w:p>
    <w:p w:rsidR="008279A6" w:rsidRDefault="008279A6" w:rsidP="008279A6">
      <w:pPr>
        <w:pStyle w:val="ListParagraph"/>
        <w:rPr>
          <w:rFonts w:ascii="Times New Roman" w:eastAsiaTheme="minorHAnsi" w:hAnsi="Times New Roman"/>
          <w:szCs w:val="24"/>
        </w:rPr>
      </w:pPr>
    </w:p>
    <w:p w:rsidR="008279A6" w:rsidRPr="00431303" w:rsidRDefault="008279A6" w:rsidP="00431303">
      <w:pPr>
        <w:rPr>
          <w:rFonts w:ascii="Times New Roman" w:eastAsiaTheme="minorHAnsi" w:hAnsi="Times New Roman"/>
          <w:szCs w:val="24"/>
        </w:rPr>
      </w:pPr>
      <w:r w:rsidRPr="00431303">
        <w:rPr>
          <w:rFonts w:ascii="Times New Roman" w:eastAsiaTheme="minorHAnsi" w:hAnsi="Times New Roman"/>
          <w:szCs w:val="24"/>
        </w:rPr>
        <w:t>Current credits are as follows:</w:t>
      </w:r>
    </w:p>
    <w:p w:rsidR="008279A6" w:rsidRPr="008279A6" w:rsidRDefault="008279A6" w:rsidP="008279A6">
      <w:pPr>
        <w:pStyle w:val="ListParagraph"/>
        <w:ind w:left="4680" w:hanging="4320"/>
        <w:rPr>
          <w:rFonts w:ascii="Times New Roman" w:eastAsiaTheme="minorHAnsi" w:hAnsi="Times New Roman"/>
          <w:szCs w:val="24"/>
        </w:rPr>
      </w:pPr>
      <w:r w:rsidRPr="008279A6">
        <w:rPr>
          <w:rFonts w:ascii="Times New Roman" w:eastAsiaTheme="minorHAnsi" w:hAnsi="Times New Roman"/>
          <w:szCs w:val="24"/>
        </w:rPr>
        <w:t>0-75% of Federal Poverty Guidelines</w:t>
      </w:r>
      <w:r w:rsidRPr="008279A6">
        <w:rPr>
          <w:rFonts w:ascii="Times New Roman" w:eastAsiaTheme="minorHAnsi" w:hAnsi="Times New Roman"/>
          <w:szCs w:val="24"/>
        </w:rPr>
        <w:tab/>
        <w:t xml:space="preserve">6.396 cents credit on kWh </w:t>
      </w:r>
      <w:r w:rsidR="00DA2879">
        <w:rPr>
          <w:rFonts w:ascii="Times New Roman" w:eastAsiaTheme="minorHAnsi" w:hAnsi="Times New Roman"/>
          <w:szCs w:val="24"/>
        </w:rPr>
        <w:t xml:space="preserve">use </w:t>
      </w:r>
      <w:r w:rsidRPr="008279A6">
        <w:rPr>
          <w:rFonts w:ascii="Times New Roman" w:eastAsiaTheme="minorHAnsi" w:hAnsi="Times New Roman"/>
          <w:szCs w:val="24"/>
        </w:rPr>
        <w:t>greater than 600</w:t>
      </w:r>
    </w:p>
    <w:p w:rsidR="008279A6" w:rsidRPr="008279A6" w:rsidRDefault="008279A6" w:rsidP="008279A6">
      <w:pPr>
        <w:pStyle w:val="ListParagraph"/>
        <w:ind w:left="4680" w:hanging="4320"/>
        <w:rPr>
          <w:rFonts w:ascii="Times New Roman" w:eastAsiaTheme="minorHAnsi" w:hAnsi="Times New Roman"/>
          <w:szCs w:val="24"/>
        </w:rPr>
      </w:pPr>
      <w:r w:rsidRPr="008279A6">
        <w:rPr>
          <w:rFonts w:ascii="Times New Roman" w:eastAsiaTheme="minorHAnsi" w:hAnsi="Times New Roman"/>
          <w:szCs w:val="24"/>
        </w:rPr>
        <w:t>76-100% of Federal Poverty Guidelines</w:t>
      </w:r>
      <w:r w:rsidRPr="008279A6">
        <w:rPr>
          <w:rFonts w:ascii="Times New Roman" w:eastAsiaTheme="minorHAnsi" w:hAnsi="Times New Roman"/>
          <w:szCs w:val="24"/>
        </w:rPr>
        <w:tab/>
        <w:t xml:space="preserve">4.303 cents credit on kWh </w:t>
      </w:r>
      <w:r w:rsidR="00DA2879">
        <w:rPr>
          <w:rFonts w:ascii="Times New Roman" w:eastAsiaTheme="minorHAnsi" w:hAnsi="Times New Roman"/>
          <w:szCs w:val="24"/>
        </w:rPr>
        <w:t xml:space="preserve">use </w:t>
      </w:r>
      <w:r w:rsidRPr="008279A6">
        <w:rPr>
          <w:rFonts w:ascii="Times New Roman" w:eastAsiaTheme="minorHAnsi" w:hAnsi="Times New Roman"/>
          <w:szCs w:val="24"/>
        </w:rPr>
        <w:t>greater than 600</w:t>
      </w:r>
    </w:p>
    <w:p w:rsidR="008279A6" w:rsidRPr="008279A6" w:rsidRDefault="008279A6" w:rsidP="008279A6">
      <w:pPr>
        <w:pStyle w:val="ListParagraph"/>
        <w:ind w:left="4680" w:hanging="4320"/>
        <w:rPr>
          <w:rFonts w:ascii="Times New Roman" w:eastAsiaTheme="minorHAnsi" w:hAnsi="Times New Roman"/>
          <w:szCs w:val="24"/>
        </w:rPr>
      </w:pPr>
      <w:r w:rsidRPr="008279A6">
        <w:rPr>
          <w:rFonts w:ascii="Times New Roman" w:eastAsiaTheme="minorHAnsi" w:hAnsi="Times New Roman"/>
          <w:szCs w:val="24"/>
        </w:rPr>
        <w:t>101-150% of Federal Poverty Guidelines</w:t>
      </w:r>
      <w:r w:rsidRPr="008279A6">
        <w:rPr>
          <w:rFonts w:ascii="Times New Roman" w:eastAsiaTheme="minorHAnsi" w:hAnsi="Times New Roman"/>
          <w:szCs w:val="24"/>
        </w:rPr>
        <w:tab/>
        <w:t xml:space="preserve">2.689 cents credit on kWh </w:t>
      </w:r>
      <w:r w:rsidR="00DA2879">
        <w:rPr>
          <w:rFonts w:ascii="Times New Roman" w:eastAsiaTheme="minorHAnsi" w:hAnsi="Times New Roman"/>
          <w:szCs w:val="24"/>
        </w:rPr>
        <w:t xml:space="preserve">use </w:t>
      </w:r>
      <w:r w:rsidRPr="008279A6">
        <w:rPr>
          <w:rFonts w:ascii="Times New Roman" w:eastAsiaTheme="minorHAnsi" w:hAnsi="Times New Roman"/>
          <w:szCs w:val="24"/>
        </w:rPr>
        <w:t>greater than 600</w:t>
      </w:r>
    </w:p>
    <w:p w:rsidR="006D122F" w:rsidRDefault="006D122F" w:rsidP="008279A6">
      <w:pPr>
        <w:pStyle w:val="ListParagraph"/>
        <w:rPr>
          <w:rFonts w:ascii="Times New Roman" w:eastAsiaTheme="minorHAnsi" w:hAnsi="Times New Roman"/>
          <w:szCs w:val="24"/>
        </w:rPr>
      </w:pPr>
    </w:p>
    <w:p w:rsidR="008279A6" w:rsidRPr="00DA2879" w:rsidRDefault="008279A6" w:rsidP="00DA2879">
      <w:pPr>
        <w:rPr>
          <w:rFonts w:ascii="Times New Roman" w:eastAsiaTheme="minorHAnsi" w:hAnsi="Times New Roman"/>
          <w:szCs w:val="24"/>
        </w:rPr>
      </w:pPr>
      <w:r w:rsidRPr="00DA2879">
        <w:rPr>
          <w:rFonts w:ascii="Times New Roman" w:eastAsiaTheme="minorHAnsi" w:hAnsi="Times New Roman"/>
          <w:szCs w:val="24"/>
        </w:rPr>
        <w:t xml:space="preserve">A maximum of 4,720 customers may enroll in the program annually.  Income eligibility is </w:t>
      </w:r>
      <w:r w:rsidR="00DA2879">
        <w:rPr>
          <w:rFonts w:ascii="Times New Roman" w:eastAsiaTheme="minorHAnsi" w:hAnsi="Times New Roman"/>
          <w:szCs w:val="24"/>
        </w:rPr>
        <w:t>verified</w:t>
      </w:r>
      <w:r w:rsidR="00DA2879" w:rsidRPr="00DA2879">
        <w:rPr>
          <w:rFonts w:ascii="Times New Roman" w:eastAsiaTheme="minorHAnsi" w:hAnsi="Times New Roman"/>
          <w:szCs w:val="24"/>
        </w:rPr>
        <w:t xml:space="preserve"> </w:t>
      </w:r>
      <w:r w:rsidRPr="00DA2879">
        <w:rPr>
          <w:rFonts w:ascii="Times New Roman" w:eastAsiaTheme="minorHAnsi" w:hAnsi="Times New Roman"/>
          <w:szCs w:val="24"/>
        </w:rPr>
        <w:t xml:space="preserve">by three local agencies including Blue Mountain Action Council in Walla </w:t>
      </w:r>
      <w:r w:rsidRPr="00DA2879">
        <w:rPr>
          <w:rFonts w:ascii="Times New Roman" w:eastAsiaTheme="minorHAnsi" w:hAnsi="Times New Roman"/>
          <w:szCs w:val="24"/>
        </w:rPr>
        <w:lastRenderedPageBreak/>
        <w:t>Walla, Opportunities Industrialization Center in Yakima and Yakima Farm Workers Clinic located in Toppenish.  These agencies also administer the federally</w:t>
      </w:r>
      <w:r w:rsidR="00DA2879">
        <w:rPr>
          <w:rFonts w:ascii="Times New Roman" w:eastAsiaTheme="minorHAnsi" w:hAnsi="Times New Roman"/>
          <w:szCs w:val="24"/>
        </w:rPr>
        <w:t>-</w:t>
      </w:r>
      <w:r w:rsidRPr="00DA2879">
        <w:rPr>
          <w:rFonts w:ascii="Times New Roman" w:eastAsiaTheme="minorHAnsi" w:hAnsi="Times New Roman"/>
          <w:szCs w:val="24"/>
        </w:rPr>
        <w:t xml:space="preserve">funded Low Income Home Energy Assistance Program (LIHEAP), and the Low Income Weatherization Program with funding from Pacific Power through Schedule 114 </w:t>
      </w:r>
      <w:r w:rsidR="00DA2879">
        <w:rPr>
          <w:rFonts w:ascii="Times New Roman" w:eastAsiaTheme="minorHAnsi" w:hAnsi="Times New Roman"/>
          <w:szCs w:val="24"/>
        </w:rPr>
        <w:t xml:space="preserve">and </w:t>
      </w:r>
      <w:r w:rsidRPr="00DA2879">
        <w:rPr>
          <w:rFonts w:ascii="Times New Roman" w:eastAsiaTheme="minorHAnsi" w:hAnsi="Times New Roman"/>
          <w:szCs w:val="24"/>
        </w:rPr>
        <w:t>state and federal grants.</w:t>
      </w:r>
    </w:p>
    <w:p w:rsidR="008279A6" w:rsidRDefault="008279A6" w:rsidP="008279A6">
      <w:pPr>
        <w:pStyle w:val="ListParagraph"/>
        <w:rPr>
          <w:rFonts w:ascii="Times New Roman" w:eastAsiaTheme="minorHAnsi" w:hAnsi="Times New Roman"/>
          <w:szCs w:val="24"/>
        </w:rPr>
      </w:pPr>
    </w:p>
    <w:p w:rsidR="000129F4" w:rsidRPr="00DA2879" w:rsidRDefault="008279A6" w:rsidP="00DA2879">
      <w:pPr>
        <w:rPr>
          <w:rFonts w:ascii="Times New Roman" w:eastAsiaTheme="minorHAnsi" w:hAnsi="Times New Roman"/>
          <w:szCs w:val="24"/>
        </w:rPr>
      </w:pPr>
      <w:r w:rsidRPr="00DA2879">
        <w:rPr>
          <w:rFonts w:ascii="Times New Roman" w:eastAsiaTheme="minorHAnsi" w:hAnsi="Times New Roman"/>
          <w:szCs w:val="24"/>
        </w:rPr>
        <w:t>A settlement stipulation in Docket UE-111190 was approved</w:t>
      </w:r>
      <w:r w:rsidR="0060693A">
        <w:rPr>
          <w:rFonts w:ascii="Times New Roman" w:eastAsiaTheme="minorHAnsi" w:hAnsi="Times New Roman"/>
          <w:szCs w:val="24"/>
        </w:rPr>
        <w:t xml:space="preserve"> by the Commission</w:t>
      </w:r>
      <w:r w:rsidRPr="00DA2879">
        <w:rPr>
          <w:rFonts w:ascii="Times New Roman" w:eastAsiaTheme="minorHAnsi" w:hAnsi="Times New Roman"/>
          <w:szCs w:val="24"/>
        </w:rPr>
        <w:t xml:space="preserve"> in February 2012 </w:t>
      </w:r>
      <w:r w:rsidR="00DA2879">
        <w:rPr>
          <w:rFonts w:ascii="Times New Roman" w:eastAsiaTheme="minorHAnsi" w:hAnsi="Times New Roman"/>
          <w:szCs w:val="24"/>
        </w:rPr>
        <w:t xml:space="preserve">that </w:t>
      </w:r>
      <w:r w:rsidR="00545F63">
        <w:rPr>
          <w:rFonts w:ascii="Times New Roman" w:eastAsiaTheme="minorHAnsi" w:hAnsi="Times New Roman"/>
          <w:szCs w:val="24"/>
        </w:rPr>
        <w:t>addressed</w:t>
      </w:r>
      <w:r w:rsidR="00DA2879">
        <w:rPr>
          <w:rFonts w:ascii="Times New Roman" w:eastAsiaTheme="minorHAnsi" w:hAnsi="Times New Roman"/>
          <w:szCs w:val="24"/>
        </w:rPr>
        <w:t xml:space="preserve"> certain aspects of the Company’s LIBA program for the </w:t>
      </w:r>
      <w:r w:rsidRPr="00DA2879">
        <w:rPr>
          <w:rFonts w:ascii="Times New Roman" w:eastAsiaTheme="minorHAnsi" w:hAnsi="Times New Roman"/>
          <w:szCs w:val="24"/>
        </w:rPr>
        <w:t xml:space="preserve">five program years ending April 30, 2017.  </w:t>
      </w:r>
      <w:r w:rsidR="00DA2879">
        <w:rPr>
          <w:rFonts w:ascii="Times New Roman" w:eastAsiaTheme="minorHAnsi" w:hAnsi="Times New Roman"/>
          <w:szCs w:val="24"/>
        </w:rPr>
        <w:t>The stipulation</w:t>
      </w:r>
      <w:r w:rsidR="00DA2879" w:rsidRPr="00DA2879">
        <w:rPr>
          <w:rFonts w:ascii="Times New Roman" w:eastAsiaTheme="minorHAnsi" w:hAnsi="Times New Roman"/>
          <w:szCs w:val="24"/>
        </w:rPr>
        <w:t xml:space="preserve"> </w:t>
      </w:r>
      <w:r w:rsidRPr="00DA2879">
        <w:rPr>
          <w:rFonts w:ascii="Times New Roman" w:eastAsiaTheme="minorHAnsi" w:hAnsi="Times New Roman"/>
          <w:szCs w:val="24"/>
        </w:rPr>
        <w:t>allows for a</w:t>
      </w:r>
      <w:r w:rsidR="00545F63">
        <w:rPr>
          <w:rFonts w:ascii="Times New Roman" w:eastAsiaTheme="minorHAnsi" w:hAnsi="Times New Roman"/>
          <w:szCs w:val="24"/>
        </w:rPr>
        <w:t>n escalating</w:t>
      </w:r>
      <w:r w:rsidRPr="00DA2879">
        <w:rPr>
          <w:rFonts w:ascii="Times New Roman" w:eastAsiaTheme="minorHAnsi" w:hAnsi="Times New Roman"/>
          <w:szCs w:val="24"/>
        </w:rPr>
        <w:t xml:space="preserve"> percentage of customers to enroll for a two year</w:t>
      </w:r>
      <w:r w:rsidR="00545F63">
        <w:rPr>
          <w:rFonts w:ascii="Times New Roman" w:eastAsiaTheme="minorHAnsi" w:hAnsi="Times New Roman"/>
          <w:szCs w:val="24"/>
        </w:rPr>
        <w:t>, rather than one year,</w:t>
      </w:r>
      <w:r w:rsidRPr="00DA2879">
        <w:rPr>
          <w:rFonts w:ascii="Times New Roman" w:eastAsiaTheme="minorHAnsi" w:hAnsi="Times New Roman"/>
          <w:szCs w:val="24"/>
        </w:rPr>
        <w:t xml:space="preserve"> period so that 25</w:t>
      </w:r>
      <w:r w:rsidR="00545F63">
        <w:rPr>
          <w:rFonts w:ascii="Times New Roman" w:eastAsiaTheme="minorHAnsi" w:hAnsi="Times New Roman"/>
          <w:szCs w:val="24"/>
        </w:rPr>
        <w:t xml:space="preserve"> percent</w:t>
      </w:r>
      <w:r w:rsidRPr="00DA2879">
        <w:rPr>
          <w:rFonts w:ascii="Times New Roman" w:eastAsiaTheme="minorHAnsi" w:hAnsi="Times New Roman"/>
          <w:szCs w:val="24"/>
        </w:rPr>
        <w:t xml:space="preserve"> of </w:t>
      </w:r>
      <w:r w:rsidR="00545F63">
        <w:rPr>
          <w:rFonts w:ascii="Times New Roman" w:eastAsiaTheme="minorHAnsi" w:hAnsi="Times New Roman"/>
          <w:szCs w:val="24"/>
        </w:rPr>
        <w:t>participants</w:t>
      </w:r>
      <w:r w:rsidR="00545F63" w:rsidRPr="00DA2879">
        <w:rPr>
          <w:rFonts w:ascii="Times New Roman" w:eastAsiaTheme="minorHAnsi" w:hAnsi="Times New Roman"/>
          <w:szCs w:val="24"/>
        </w:rPr>
        <w:t xml:space="preserve"> </w:t>
      </w:r>
      <w:r w:rsidRPr="00DA2879">
        <w:rPr>
          <w:rFonts w:ascii="Times New Roman" w:eastAsiaTheme="minorHAnsi" w:hAnsi="Times New Roman"/>
          <w:szCs w:val="24"/>
        </w:rPr>
        <w:t>will be in place for two years</w:t>
      </w:r>
      <w:r w:rsidR="00545F63">
        <w:rPr>
          <w:rFonts w:ascii="Times New Roman" w:eastAsiaTheme="minorHAnsi" w:hAnsi="Times New Roman"/>
          <w:szCs w:val="24"/>
        </w:rPr>
        <w:t xml:space="preserve"> by 2015, increasing to up to 40 percent of participants by 2016</w:t>
      </w:r>
      <w:r w:rsidRPr="00DA2879">
        <w:rPr>
          <w:rFonts w:ascii="Times New Roman" w:eastAsiaTheme="minorHAnsi" w:hAnsi="Times New Roman"/>
          <w:szCs w:val="24"/>
        </w:rPr>
        <w:t xml:space="preserve">.  The stipulation also </w:t>
      </w:r>
      <w:r w:rsidR="00545F63">
        <w:rPr>
          <w:rFonts w:ascii="Times New Roman" w:eastAsiaTheme="minorHAnsi" w:hAnsi="Times New Roman"/>
          <w:szCs w:val="24"/>
        </w:rPr>
        <w:t xml:space="preserve">increased </w:t>
      </w:r>
      <w:r w:rsidRPr="00DA2879">
        <w:rPr>
          <w:rFonts w:ascii="Times New Roman" w:eastAsiaTheme="minorHAnsi" w:hAnsi="Times New Roman"/>
          <w:szCs w:val="24"/>
        </w:rPr>
        <w:t>agency administrative reimbursements for these services</w:t>
      </w:r>
      <w:r w:rsidR="00545F63">
        <w:rPr>
          <w:rFonts w:ascii="Times New Roman" w:eastAsiaTheme="minorHAnsi" w:hAnsi="Times New Roman"/>
          <w:szCs w:val="24"/>
        </w:rPr>
        <w:t xml:space="preserve"> to $65.00, increasing by $2.50 annually through 2016 to a total of $75.00 per certification.  </w:t>
      </w:r>
      <w:r w:rsidRPr="00DA2879">
        <w:rPr>
          <w:rFonts w:ascii="Times New Roman" w:eastAsiaTheme="minorHAnsi" w:hAnsi="Times New Roman"/>
          <w:szCs w:val="24"/>
        </w:rPr>
        <w:t>An increase in the recipient’s benefit was also established with a 10</w:t>
      </w:r>
      <w:r w:rsidR="00545F63">
        <w:rPr>
          <w:rFonts w:ascii="Times New Roman" w:eastAsiaTheme="minorHAnsi" w:hAnsi="Times New Roman"/>
          <w:szCs w:val="24"/>
        </w:rPr>
        <w:t xml:space="preserve"> percent</w:t>
      </w:r>
      <w:r w:rsidRPr="00DA2879">
        <w:rPr>
          <w:rFonts w:ascii="Times New Roman" w:eastAsiaTheme="minorHAnsi" w:hAnsi="Times New Roman"/>
          <w:szCs w:val="24"/>
        </w:rPr>
        <w:t xml:space="preserve"> increase applied following the approval of the stipulation, and additional increases to the average benefit of two times the percentage increase of future residential general rate increases through 2016.</w:t>
      </w:r>
    </w:p>
    <w:p w:rsidR="00C706F9" w:rsidRPr="00DA2879" w:rsidRDefault="00C706F9" w:rsidP="00DA2879">
      <w:pPr>
        <w:rPr>
          <w:rFonts w:ascii="Times New Roman" w:eastAsiaTheme="minorHAnsi" w:hAnsi="Times New Roman"/>
          <w:b/>
          <w:szCs w:val="24"/>
        </w:rPr>
      </w:pPr>
    </w:p>
    <w:p w:rsidR="000129F4" w:rsidRPr="00C706F9" w:rsidRDefault="008279A6" w:rsidP="00C706F9">
      <w:pPr>
        <w:pStyle w:val="ListParagraph"/>
        <w:numPr>
          <w:ilvl w:val="0"/>
          <w:numId w:val="4"/>
        </w:numPr>
        <w:rPr>
          <w:rFonts w:ascii="Times New Roman" w:eastAsiaTheme="minorHAnsi" w:hAnsi="Times New Roman"/>
          <w:b/>
          <w:szCs w:val="24"/>
        </w:rPr>
      </w:pPr>
      <w:r>
        <w:rPr>
          <w:rFonts w:ascii="Times New Roman" w:eastAsiaTheme="minorHAnsi" w:hAnsi="Times New Roman"/>
          <w:b/>
          <w:szCs w:val="24"/>
        </w:rPr>
        <w:t>A description of how the company measures the success of its low-income program.</w:t>
      </w:r>
    </w:p>
    <w:p w:rsidR="000129F4" w:rsidRDefault="000129F4" w:rsidP="000129F4">
      <w:pPr>
        <w:rPr>
          <w:rFonts w:ascii="Times New Roman" w:eastAsiaTheme="minorHAnsi" w:hAnsi="Times New Roman"/>
          <w:szCs w:val="24"/>
        </w:rPr>
      </w:pPr>
    </w:p>
    <w:p w:rsidR="008279A6" w:rsidRPr="008279A6" w:rsidRDefault="008279A6" w:rsidP="00DA2879">
      <w:pPr>
        <w:rPr>
          <w:rFonts w:ascii="Times New Roman" w:eastAsiaTheme="minorHAnsi" w:hAnsi="Times New Roman"/>
          <w:szCs w:val="24"/>
        </w:rPr>
      </w:pPr>
      <w:r w:rsidRPr="008279A6">
        <w:rPr>
          <w:rFonts w:ascii="Times New Roman" w:eastAsiaTheme="minorHAnsi" w:hAnsi="Times New Roman"/>
          <w:szCs w:val="24"/>
        </w:rPr>
        <w:t xml:space="preserve">Pacific Power tracks the number of households participating in LIBA by credit tier monthly.  The annual enrollment cap was met each year through the 2012/2013 program year. </w:t>
      </w:r>
      <w:r w:rsidR="00DA2879">
        <w:rPr>
          <w:rFonts w:ascii="Times New Roman" w:eastAsiaTheme="minorHAnsi" w:hAnsi="Times New Roman"/>
          <w:szCs w:val="24"/>
        </w:rPr>
        <w:t xml:space="preserve"> </w:t>
      </w:r>
      <w:r w:rsidRPr="008279A6">
        <w:rPr>
          <w:rFonts w:ascii="Times New Roman" w:eastAsiaTheme="minorHAnsi" w:hAnsi="Times New Roman"/>
          <w:szCs w:val="24"/>
        </w:rPr>
        <w:t xml:space="preserve">The enrollment in the 2013/2014 program year was down to 85% of the annual cap with 4,053 enrollments completed by </w:t>
      </w:r>
      <w:r w:rsidR="0060693A">
        <w:rPr>
          <w:rFonts w:ascii="Times New Roman" w:eastAsiaTheme="minorHAnsi" w:hAnsi="Times New Roman"/>
          <w:szCs w:val="24"/>
        </w:rPr>
        <w:t>the Company’s</w:t>
      </w:r>
      <w:r w:rsidR="0060693A" w:rsidRPr="008279A6">
        <w:rPr>
          <w:rFonts w:ascii="Times New Roman" w:eastAsiaTheme="minorHAnsi" w:hAnsi="Times New Roman"/>
          <w:szCs w:val="24"/>
        </w:rPr>
        <w:t xml:space="preserve"> </w:t>
      </w:r>
      <w:r w:rsidRPr="008279A6">
        <w:rPr>
          <w:rFonts w:ascii="Times New Roman" w:eastAsiaTheme="minorHAnsi" w:hAnsi="Times New Roman"/>
          <w:szCs w:val="24"/>
        </w:rPr>
        <w:t xml:space="preserve">partnering agencies.  </w:t>
      </w:r>
      <w:r w:rsidR="0060693A">
        <w:rPr>
          <w:rFonts w:ascii="Times New Roman" w:eastAsiaTheme="minorHAnsi" w:hAnsi="Times New Roman"/>
          <w:szCs w:val="24"/>
        </w:rPr>
        <w:t>The Company</w:t>
      </w:r>
      <w:r w:rsidR="0060693A" w:rsidRPr="008279A6">
        <w:rPr>
          <w:rFonts w:ascii="Times New Roman" w:eastAsiaTheme="minorHAnsi" w:hAnsi="Times New Roman"/>
          <w:szCs w:val="24"/>
        </w:rPr>
        <w:t xml:space="preserve"> </w:t>
      </w:r>
      <w:r w:rsidRPr="008279A6">
        <w:rPr>
          <w:rFonts w:ascii="Times New Roman" w:eastAsiaTheme="minorHAnsi" w:hAnsi="Times New Roman"/>
          <w:szCs w:val="24"/>
        </w:rPr>
        <w:t xml:space="preserve">will work with agencies to bring enrollments back up to 4,720 in the upcoming program year.  </w:t>
      </w:r>
    </w:p>
    <w:p w:rsidR="008279A6" w:rsidRPr="008279A6" w:rsidRDefault="008279A6" w:rsidP="008279A6">
      <w:pPr>
        <w:rPr>
          <w:rFonts w:ascii="Times New Roman" w:eastAsiaTheme="minorHAnsi" w:hAnsi="Times New Roman"/>
          <w:szCs w:val="24"/>
        </w:rPr>
      </w:pPr>
      <w:r w:rsidRPr="008279A6">
        <w:rPr>
          <w:rFonts w:ascii="Times New Roman" w:eastAsiaTheme="minorHAnsi" w:hAnsi="Times New Roman"/>
          <w:szCs w:val="24"/>
        </w:rPr>
        <w:tab/>
      </w:r>
    </w:p>
    <w:p w:rsidR="00252E1D" w:rsidRDefault="008279A6" w:rsidP="00DA2879">
      <w:pPr>
        <w:rPr>
          <w:rFonts w:ascii="Times New Roman" w:eastAsiaTheme="minorHAnsi" w:hAnsi="Times New Roman"/>
          <w:szCs w:val="24"/>
        </w:rPr>
      </w:pPr>
      <w:r w:rsidRPr="008279A6">
        <w:rPr>
          <w:rFonts w:ascii="Times New Roman" w:eastAsiaTheme="minorHAnsi" w:hAnsi="Times New Roman"/>
          <w:szCs w:val="24"/>
        </w:rPr>
        <w:t xml:space="preserve">The account balance is reviewed monthly by tracking the collection rate, credits granted and the administrative costs.  Pacific Power believes it is important to keep administrative costs low so that as much funding as possible is available to benefit eligible customers.  In calendar year 2013, credits applied to participant billings </w:t>
      </w:r>
      <w:r w:rsidR="005F0246">
        <w:rPr>
          <w:rFonts w:ascii="Times New Roman" w:eastAsiaTheme="minorHAnsi" w:hAnsi="Times New Roman"/>
          <w:szCs w:val="24"/>
        </w:rPr>
        <w:t xml:space="preserve">made up </w:t>
      </w:r>
      <w:r w:rsidRPr="008279A6">
        <w:rPr>
          <w:rFonts w:ascii="Times New Roman" w:eastAsiaTheme="minorHAnsi" w:hAnsi="Times New Roman"/>
          <w:szCs w:val="24"/>
        </w:rPr>
        <w:t>81.1</w:t>
      </w:r>
      <w:r w:rsidR="005F0246">
        <w:rPr>
          <w:rFonts w:ascii="Times New Roman" w:eastAsiaTheme="minorHAnsi" w:hAnsi="Times New Roman"/>
          <w:szCs w:val="24"/>
        </w:rPr>
        <w:t xml:space="preserve"> </w:t>
      </w:r>
      <w:r w:rsidR="00DA2879">
        <w:rPr>
          <w:rFonts w:ascii="Times New Roman" w:eastAsiaTheme="minorHAnsi" w:hAnsi="Times New Roman"/>
          <w:szCs w:val="24"/>
        </w:rPr>
        <w:t>percent</w:t>
      </w:r>
      <w:r w:rsidRPr="008279A6">
        <w:rPr>
          <w:rFonts w:ascii="Times New Roman" w:eastAsiaTheme="minorHAnsi" w:hAnsi="Times New Roman"/>
          <w:szCs w:val="24"/>
        </w:rPr>
        <w:t xml:space="preserve"> of expenses</w:t>
      </w:r>
      <w:r w:rsidR="00DA2879">
        <w:rPr>
          <w:rFonts w:ascii="Times New Roman" w:eastAsiaTheme="minorHAnsi" w:hAnsi="Times New Roman"/>
          <w:szCs w:val="24"/>
        </w:rPr>
        <w:t xml:space="preserve">; administrative costs </w:t>
      </w:r>
      <w:r w:rsidR="005F0246">
        <w:rPr>
          <w:rFonts w:ascii="Times New Roman" w:eastAsiaTheme="minorHAnsi" w:hAnsi="Times New Roman"/>
          <w:szCs w:val="24"/>
        </w:rPr>
        <w:t xml:space="preserve">made up </w:t>
      </w:r>
      <w:r w:rsidR="00DA2879">
        <w:rPr>
          <w:rFonts w:ascii="Times New Roman" w:eastAsiaTheme="minorHAnsi" w:hAnsi="Times New Roman"/>
          <w:szCs w:val="24"/>
        </w:rPr>
        <w:t>the remaining</w:t>
      </w:r>
      <w:r w:rsidRPr="008279A6">
        <w:rPr>
          <w:rFonts w:ascii="Times New Roman" w:eastAsiaTheme="minorHAnsi" w:hAnsi="Times New Roman"/>
          <w:szCs w:val="24"/>
        </w:rPr>
        <w:t xml:space="preserve"> 18.9</w:t>
      </w:r>
      <w:r w:rsidR="00DA2879">
        <w:rPr>
          <w:rFonts w:ascii="Times New Roman" w:eastAsiaTheme="minorHAnsi" w:hAnsi="Times New Roman"/>
          <w:szCs w:val="24"/>
        </w:rPr>
        <w:t xml:space="preserve"> percent, with the majority of the 18.9 percent comprised of agency costs and only 0.6 percent attributable to the Company’s administrative costs.  </w:t>
      </w:r>
      <w:r w:rsidR="00252E1D">
        <w:rPr>
          <w:rFonts w:ascii="Times New Roman" w:eastAsiaTheme="minorHAnsi" w:hAnsi="Times New Roman"/>
          <w:szCs w:val="24"/>
        </w:rPr>
        <w:br w:type="page"/>
      </w:r>
    </w:p>
    <w:p w:rsidR="000129F4" w:rsidRDefault="000129F4" w:rsidP="00DA2879">
      <w:pPr>
        <w:rPr>
          <w:rFonts w:ascii="Times New Roman" w:eastAsiaTheme="minorHAnsi" w:hAnsi="Times New Roman"/>
          <w:szCs w:val="24"/>
        </w:rPr>
      </w:pPr>
    </w:p>
    <w:p w:rsidR="00252E1D" w:rsidRDefault="00252E1D" w:rsidP="00DA2879">
      <w:pPr>
        <w:rPr>
          <w:rFonts w:ascii="Times New Roman" w:eastAsiaTheme="minorHAnsi" w:hAnsi="Times New Roman"/>
          <w:szCs w:val="24"/>
        </w:rPr>
      </w:pPr>
    </w:p>
    <w:p w:rsidR="000129F4" w:rsidRDefault="0033223F" w:rsidP="000129F4">
      <w:pPr>
        <w:pStyle w:val="ListParagraph"/>
        <w:numPr>
          <w:ilvl w:val="0"/>
          <w:numId w:val="4"/>
        </w:numPr>
        <w:rPr>
          <w:rFonts w:ascii="Times New Roman" w:eastAsiaTheme="minorHAnsi" w:hAnsi="Times New Roman"/>
          <w:b/>
          <w:szCs w:val="24"/>
        </w:rPr>
      </w:pPr>
      <w:r>
        <w:rPr>
          <w:rFonts w:ascii="Times New Roman" w:eastAsiaTheme="minorHAnsi" w:hAnsi="Times New Roman"/>
          <w:b/>
          <w:szCs w:val="24"/>
        </w:rPr>
        <w:t>The total number of residential customers in the company’s service territory, an estimate of the total number of low-income customers in the company’s service territory, and the number of customers participating in the company’s low-income assistance program for each of the last five program years.</w:t>
      </w:r>
      <w:r w:rsidR="008E0CDC">
        <w:rPr>
          <w:rFonts w:ascii="Times New Roman" w:eastAsiaTheme="minorHAnsi" w:hAnsi="Times New Roman"/>
          <w:b/>
          <w:szCs w:val="24"/>
        </w:rPr>
        <w:t xml:space="preserve"> </w:t>
      </w:r>
    </w:p>
    <w:p w:rsidR="00D41BA6" w:rsidRDefault="00D41BA6" w:rsidP="00D41BA6">
      <w:pPr>
        <w:pStyle w:val="ListParagraph"/>
        <w:rPr>
          <w:rFonts w:ascii="Times New Roman" w:eastAsiaTheme="minorHAnsi" w:hAnsi="Times New Roman"/>
          <w:b/>
          <w:szCs w:val="24"/>
        </w:rPr>
      </w:pPr>
    </w:p>
    <w:tbl>
      <w:tblPr>
        <w:tblStyle w:val="TableGrid"/>
        <w:tblW w:w="0" w:type="auto"/>
        <w:jc w:val="center"/>
        <w:tblLook w:val="04A0" w:firstRow="1" w:lastRow="0" w:firstColumn="1" w:lastColumn="0" w:noHBand="0" w:noVBand="1"/>
      </w:tblPr>
      <w:tblGrid>
        <w:gridCol w:w="1638"/>
        <w:gridCol w:w="1800"/>
        <w:gridCol w:w="1890"/>
        <w:gridCol w:w="1620"/>
      </w:tblGrid>
      <w:tr w:rsidR="00D41BA6" w:rsidTr="00D41BA6">
        <w:trPr>
          <w:jc w:val="center"/>
        </w:trPr>
        <w:tc>
          <w:tcPr>
            <w:tcW w:w="1638" w:type="dxa"/>
            <w:shd w:val="clear" w:color="auto" w:fill="BFBFBF" w:themeFill="background1" w:themeFillShade="BF"/>
          </w:tcPr>
          <w:p w:rsidR="00D41BA6" w:rsidRDefault="00D41BA6" w:rsidP="00D41BA6">
            <w:pPr>
              <w:jc w:val="center"/>
              <w:rPr>
                <w:rFonts w:ascii="Times New Roman" w:eastAsiaTheme="minorHAnsi" w:hAnsi="Times New Roman"/>
                <w:szCs w:val="24"/>
              </w:rPr>
            </w:pPr>
            <w:r w:rsidRPr="00D41BA6">
              <w:rPr>
                <w:rFonts w:ascii="Times New Roman" w:eastAsiaTheme="minorHAnsi" w:hAnsi="Times New Roman"/>
                <w:szCs w:val="24"/>
              </w:rPr>
              <w:t xml:space="preserve">Program </w:t>
            </w:r>
          </w:p>
          <w:p w:rsidR="00D41BA6" w:rsidRPr="00D41BA6" w:rsidRDefault="00D41BA6" w:rsidP="00D41BA6">
            <w:pPr>
              <w:jc w:val="center"/>
              <w:rPr>
                <w:rFonts w:ascii="Times New Roman" w:eastAsiaTheme="minorHAnsi" w:hAnsi="Times New Roman"/>
                <w:szCs w:val="24"/>
              </w:rPr>
            </w:pPr>
            <w:r w:rsidRPr="00D41BA6">
              <w:rPr>
                <w:rFonts w:ascii="Times New Roman" w:eastAsiaTheme="minorHAnsi" w:hAnsi="Times New Roman"/>
                <w:szCs w:val="24"/>
              </w:rPr>
              <w:t>Year</w:t>
            </w:r>
          </w:p>
        </w:tc>
        <w:tc>
          <w:tcPr>
            <w:tcW w:w="1800" w:type="dxa"/>
            <w:shd w:val="clear" w:color="auto" w:fill="BFBFBF" w:themeFill="background1" w:themeFillShade="BF"/>
          </w:tcPr>
          <w:p w:rsidR="00D41BA6" w:rsidRDefault="00D41BA6" w:rsidP="00D41BA6">
            <w:pPr>
              <w:jc w:val="center"/>
              <w:rPr>
                <w:rFonts w:ascii="Times New Roman" w:eastAsiaTheme="minorHAnsi" w:hAnsi="Times New Roman"/>
                <w:szCs w:val="24"/>
              </w:rPr>
            </w:pPr>
            <w:r>
              <w:rPr>
                <w:rFonts w:ascii="Times New Roman" w:eastAsiaTheme="minorHAnsi" w:hAnsi="Times New Roman"/>
                <w:szCs w:val="24"/>
              </w:rPr>
              <w:t>Residential</w:t>
            </w:r>
          </w:p>
          <w:p w:rsidR="00D41BA6" w:rsidRPr="00D41BA6" w:rsidRDefault="00D41BA6" w:rsidP="00D41BA6">
            <w:pPr>
              <w:jc w:val="center"/>
              <w:rPr>
                <w:rFonts w:ascii="Times New Roman" w:eastAsiaTheme="minorHAnsi" w:hAnsi="Times New Roman"/>
                <w:szCs w:val="24"/>
              </w:rPr>
            </w:pPr>
            <w:r>
              <w:rPr>
                <w:rFonts w:ascii="Times New Roman" w:eastAsiaTheme="minorHAnsi" w:hAnsi="Times New Roman"/>
                <w:szCs w:val="24"/>
              </w:rPr>
              <w:t>Customers</w:t>
            </w:r>
            <w:r w:rsidRPr="00D41BA6">
              <w:rPr>
                <w:rFonts w:ascii="Times New Roman" w:eastAsiaTheme="minorHAnsi" w:hAnsi="Times New Roman"/>
                <w:szCs w:val="24"/>
                <w:vertAlign w:val="superscript"/>
              </w:rPr>
              <w:t>1</w:t>
            </w:r>
          </w:p>
        </w:tc>
        <w:tc>
          <w:tcPr>
            <w:tcW w:w="1890" w:type="dxa"/>
            <w:shd w:val="clear" w:color="auto" w:fill="BFBFBF" w:themeFill="background1" w:themeFillShade="BF"/>
          </w:tcPr>
          <w:p w:rsidR="00D41BA6" w:rsidRDefault="00D41BA6" w:rsidP="00D41BA6">
            <w:pPr>
              <w:jc w:val="center"/>
              <w:rPr>
                <w:rFonts w:ascii="Times New Roman" w:eastAsiaTheme="minorHAnsi" w:hAnsi="Times New Roman"/>
                <w:szCs w:val="24"/>
              </w:rPr>
            </w:pPr>
            <w:r>
              <w:rPr>
                <w:rFonts w:ascii="Times New Roman" w:eastAsiaTheme="minorHAnsi" w:hAnsi="Times New Roman"/>
                <w:szCs w:val="24"/>
              </w:rPr>
              <w:t>Low-Income</w:t>
            </w:r>
          </w:p>
          <w:p w:rsidR="00D41BA6" w:rsidRPr="00D41BA6" w:rsidRDefault="00D41BA6" w:rsidP="00D41BA6">
            <w:pPr>
              <w:jc w:val="center"/>
              <w:rPr>
                <w:rFonts w:ascii="Times New Roman" w:eastAsiaTheme="minorHAnsi" w:hAnsi="Times New Roman"/>
                <w:szCs w:val="24"/>
              </w:rPr>
            </w:pPr>
            <w:r>
              <w:rPr>
                <w:rFonts w:ascii="Times New Roman" w:eastAsiaTheme="minorHAnsi" w:hAnsi="Times New Roman"/>
                <w:szCs w:val="24"/>
              </w:rPr>
              <w:t>Customers</w:t>
            </w:r>
            <w:r w:rsidRPr="00D41BA6">
              <w:rPr>
                <w:rFonts w:ascii="Times New Roman" w:eastAsiaTheme="minorHAnsi" w:hAnsi="Times New Roman"/>
                <w:szCs w:val="24"/>
                <w:vertAlign w:val="superscript"/>
              </w:rPr>
              <w:t>2</w:t>
            </w:r>
          </w:p>
        </w:tc>
        <w:tc>
          <w:tcPr>
            <w:tcW w:w="1620" w:type="dxa"/>
            <w:shd w:val="clear" w:color="auto" w:fill="BFBFBF" w:themeFill="background1" w:themeFillShade="BF"/>
          </w:tcPr>
          <w:p w:rsidR="00D41BA6" w:rsidRDefault="00D41BA6" w:rsidP="00D41BA6">
            <w:pPr>
              <w:jc w:val="center"/>
              <w:rPr>
                <w:rFonts w:ascii="Times New Roman" w:eastAsiaTheme="minorHAnsi" w:hAnsi="Times New Roman"/>
                <w:szCs w:val="24"/>
              </w:rPr>
            </w:pPr>
            <w:r>
              <w:rPr>
                <w:rFonts w:ascii="Times New Roman" w:eastAsiaTheme="minorHAnsi" w:hAnsi="Times New Roman"/>
                <w:szCs w:val="24"/>
              </w:rPr>
              <w:t>LIBA</w:t>
            </w:r>
          </w:p>
          <w:p w:rsidR="00D41BA6" w:rsidRPr="00D41BA6" w:rsidRDefault="00D41BA6" w:rsidP="00D41BA6">
            <w:pPr>
              <w:jc w:val="center"/>
              <w:rPr>
                <w:rFonts w:ascii="Times New Roman" w:eastAsiaTheme="minorHAnsi" w:hAnsi="Times New Roman"/>
                <w:szCs w:val="24"/>
              </w:rPr>
            </w:pPr>
            <w:r>
              <w:rPr>
                <w:rFonts w:ascii="Times New Roman" w:eastAsiaTheme="minorHAnsi" w:hAnsi="Times New Roman"/>
                <w:szCs w:val="24"/>
              </w:rPr>
              <w:t>Participants</w:t>
            </w:r>
            <w:r w:rsidRPr="00D41BA6">
              <w:rPr>
                <w:rFonts w:ascii="Times New Roman" w:eastAsiaTheme="minorHAnsi" w:hAnsi="Times New Roman"/>
                <w:szCs w:val="24"/>
                <w:vertAlign w:val="superscript"/>
              </w:rPr>
              <w:t>3</w:t>
            </w:r>
          </w:p>
        </w:tc>
      </w:tr>
      <w:tr w:rsidR="00D41BA6" w:rsidTr="00D41BA6">
        <w:trPr>
          <w:jc w:val="center"/>
        </w:trPr>
        <w:tc>
          <w:tcPr>
            <w:tcW w:w="1638" w:type="dxa"/>
            <w:shd w:val="clear" w:color="auto" w:fill="BFBFBF" w:themeFill="background1" w:themeFillShade="BF"/>
          </w:tcPr>
          <w:p w:rsidR="00D41BA6" w:rsidRPr="00D41BA6" w:rsidRDefault="00D41BA6" w:rsidP="00D41BA6">
            <w:pPr>
              <w:jc w:val="center"/>
              <w:rPr>
                <w:rFonts w:ascii="Times New Roman" w:eastAsiaTheme="minorHAnsi" w:hAnsi="Times New Roman"/>
                <w:szCs w:val="24"/>
              </w:rPr>
            </w:pPr>
            <w:r>
              <w:rPr>
                <w:rFonts w:ascii="Times New Roman" w:eastAsiaTheme="minorHAnsi" w:hAnsi="Times New Roman"/>
                <w:szCs w:val="24"/>
              </w:rPr>
              <w:t>2009/10</w:t>
            </w:r>
          </w:p>
        </w:tc>
        <w:tc>
          <w:tcPr>
            <w:tcW w:w="1800" w:type="dxa"/>
          </w:tcPr>
          <w:p w:rsidR="00D41BA6" w:rsidRPr="00D41BA6" w:rsidRDefault="00D41BA6" w:rsidP="00D41BA6">
            <w:pPr>
              <w:jc w:val="center"/>
              <w:rPr>
                <w:rFonts w:ascii="Times New Roman" w:eastAsiaTheme="minorHAnsi" w:hAnsi="Times New Roman"/>
                <w:szCs w:val="24"/>
              </w:rPr>
            </w:pPr>
            <w:r>
              <w:rPr>
                <w:rFonts w:ascii="Times New Roman" w:eastAsiaTheme="minorHAnsi" w:hAnsi="Times New Roman"/>
                <w:szCs w:val="24"/>
              </w:rPr>
              <w:t>104,993</w:t>
            </w:r>
          </w:p>
        </w:tc>
        <w:tc>
          <w:tcPr>
            <w:tcW w:w="1890" w:type="dxa"/>
          </w:tcPr>
          <w:p w:rsidR="00D41BA6" w:rsidRPr="00D41BA6" w:rsidRDefault="00D41BA6" w:rsidP="00D41BA6">
            <w:pPr>
              <w:jc w:val="center"/>
              <w:rPr>
                <w:rFonts w:ascii="Times New Roman" w:eastAsiaTheme="minorHAnsi" w:hAnsi="Times New Roman"/>
                <w:szCs w:val="24"/>
              </w:rPr>
            </w:pPr>
            <w:r>
              <w:rPr>
                <w:rFonts w:ascii="Times New Roman" w:eastAsiaTheme="minorHAnsi" w:hAnsi="Times New Roman"/>
                <w:szCs w:val="24"/>
              </w:rPr>
              <w:t>7,974</w:t>
            </w:r>
          </w:p>
        </w:tc>
        <w:tc>
          <w:tcPr>
            <w:tcW w:w="1620" w:type="dxa"/>
          </w:tcPr>
          <w:p w:rsidR="00D41BA6" w:rsidRPr="00D41BA6" w:rsidRDefault="00D41BA6" w:rsidP="00D41BA6">
            <w:pPr>
              <w:jc w:val="center"/>
              <w:rPr>
                <w:rFonts w:ascii="Times New Roman" w:eastAsiaTheme="minorHAnsi" w:hAnsi="Times New Roman"/>
                <w:szCs w:val="24"/>
              </w:rPr>
            </w:pPr>
            <w:r>
              <w:rPr>
                <w:rFonts w:ascii="Times New Roman" w:eastAsiaTheme="minorHAnsi" w:hAnsi="Times New Roman"/>
                <w:szCs w:val="24"/>
              </w:rPr>
              <w:t>4,720</w:t>
            </w:r>
          </w:p>
        </w:tc>
      </w:tr>
      <w:tr w:rsidR="00D41BA6" w:rsidTr="00D41BA6">
        <w:trPr>
          <w:jc w:val="center"/>
        </w:trPr>
        <w:tc>
          <w:tcPr>
            <w:tcW w:w="1638" w:type="dxa"/>
            <w:shd w:val="clear" w:color="auto" w:fill="BFBFBF" w:themeFill="background1" w:themeFillShade="BF"/>
          </w:tcPr>
          <w:p w:rsidR="00D41BA6" w:rsidRPr="00D41BA6" w:rsidRDefault="00D41BA6" w:rsidP="00D41BA6">
            <w:pPr>
              <w:jc w:val="center"/>
              <w:rPr>
                <w:rFonts w:ascii="Times New Roman" w:eastAsiaTheme="minorHAnsi" w:hAnsi="Times New Roman"/>
                <w:szCs w:val="24"/>
              </w:rPr>
            </w:pPr>
            <w:r>
              <w:rPr>
                <w:rFonts w:ascii="Times New Roman" w:eastAsiaTheme="minorHAnsi" w:hAnsi="Times New Roman"/>
                <w:szCs w:val="24"/>
              </w:rPr>
              <w:t>2010/11</w:t>
            </w:r>
          </w:p>
        </w:tc>
        <w:tc>
          <w:tcPr>
            <w:tcW w:w="1800" w:type="dxa"/>
          </w:tcPr>
          <w:p w:rsidR="00D41BA6" w:rsidRPr="00D41BA6" w:rsidRDefault="00D41BA6" w:rsidP="00D41BA6">
            <w:pPr>
              <w:jc w:val="center"/>
              <w:rPr>
                <w:rFonts w:ascii="Times New Roman" w:eastAsiaTheme="minorHAnsi" w:hAnsi="Times New Roman"/>
                <w:szCs w:val="24"/>
              </w:rPr>
            </w:pPr>
            <w:r>
              <w:rPr>
                <w:rFonts w:ascii="Times New Roman" w:eastAsiaTheme="minorHAnsi" w:hAnsi="Times New Roman"/>
                <w:szCs w:val="24"/>
              </w:rPr>
              <w:t>105,408</w:t>
            </w:r>
          </w:p>
        </w:tc>
        <w:tc>
          <w:tcPr>
            <w:tcW w:w="1890" w:type="dxa"/>
          </w:tcPr>
          <w:p w:rsidR="00D41BA6" w:rsidRPr="00D41BA6" w:rsidRDefault="00D41BA6" w:rsidP="00D41BA6">
            <w:pPr>
              <w:jc w:val="center"/>
              <w:rPr>
                <w:rFonts w:ascii="Times New Roman" w:eastAsiaTheme="minorHAnsi" w:hAnsi="Times New Roman"/>
                <w:szCs w:val="24"/>
              </w:rPr>
            </w:pPr>
            <w:r>
              <w:rPr>
                <w:rFonts w:ascii="Times New Roman" w:eastAsiaTheme="minorHAnsi" w:hAnsi="Times New Roman"/>
                <w:szCs w:val="24"/>
              </w:rPr>
              <w:t>8,982</w:t>
            </w:r>
          </w:p>
        </w:tc>
        <w:tc>
          <w:tcPr>
            <w:tcW w:w="1620" w:type="dxa"/>
          </w:tcPr>
          <w:p w:rsidR="00D41BA6" w:rsidRPr="00D41BA6" w:rsidRDefault="00D41BA6" w:rsidP="00D41BA6">
            <w:pPr>
              <w:jc w:val="center"/>
              <w:rPr>
                <w:rFonts w:ascii="Times New Roman" w:eastAsiaTheme="minorHAnsi" w:hAnsi="Times New Roman"/>
                <w:szCs w:val="24"/>
              </w:rPr>
            </w:pPr>
            <w:r>
              <w:rPr>
                <w:rFonts w:ascii="Times New Roman" w:eastAsiaTheme="minorHAnsi" w:hAnsi="Times New Roman"/>
                <w:szCs w:val="24"/>
              </w:rPr>
              <w:t>4,720</w:t>
            </w:r>
          </w:p>
        </w:tc>
      </w:tr>
      <w:tr w:rsidR="00D41BA6" w:rsidTr="00D41BA6">
        <w:trPr>
          <w:jc w:val="center"/>
        </w:trPr>
        <w:tc>
          <w:tcPr>
            <w:tcW w:w="1638" w:type="dxa"/>
            <w:shd w:val="clear" w:color="auto" w:fill="BFBFBF" w:themeFill="background1" w:themeFillShade="BF"/>
          </w:tcPr>
          <w:p w:rsidR="00D41BA6" w:rsidRPr="00D41BA6" w:rsidRDefault="00D41BA6" w:rsidP="00D41BA6">
            <w:pPr>
              <w:jc w:val="center"/>
              <w:rPr>
                <w:rFonts w:ascii="Times New Roman" w:eastAsiaTheme="minorHAnsi" w:hAnsi="Times New Roman"/>
                <w:szCs w:val="24"/>
              </w:rPr>
            </w:pPr>
            <w:r>
              <w:rPr>
                <w:rFonts w:ascii="Times New Roman" w:eastAsiaTheme="minorHAnsi" w:hAnsi="Times New Roman"/>
                <w:szCs w:val="24"/>
              </w:rPr>
              <w:t>2011/12</w:t>
            </w:r>
          </w:p>
        </w:tc>
        <w:tc>
          <w:tcPr>
            <w:tcW w:w="1800" w:type="dxa"/>
          </w:tcPr>
          <w:p w:rsidR="00D41BA6" w:rsidRPr="00D41BA6" w:rsidRDefault="00D41BA6" w:rsidP="00D41BA6">
            <w:pPr>
              <w:jc w:val="center"/>
              <w:rPr>
                <w:rFonts w:ascii="Times New Roman" w:eastAsiaTheme="minorHAnsi" w:hAnsi="Times New Roman"/>
                <w:szCs w:val="24"/>
              </w:rPr>
            </w:pPr>
            <w:r>
              <w:rPr>
                <w:rFonts w:ascii="Times New Roman" w:eastAsiaTheme="minorHAnsi" w:hAnsi="Times New Roman"/>
                <w:szCs w:val="24"/>
              </w:rPr>
              <w:t>105,511</w:t>
            </w:r>
          </w:p>
        </w:tc>
        <w:tc>
          <w:tcPr>
            <w:tcW w:w="1890" w:type="dxa"/>
          </w:tcPr>
          <w:p w:rsidR="00D41BA6" w:rsidRPr="00D41BA6" w:rsidRDefault="00D41BA6" w:rsidP="00D41BA6">
            <w:pPr>
              <w:jc w:val="center"/>
              <w:rPr>
                <w:rFonts w:ascii="Times New Roman" w:eastAsiaTheme="minorHAnsi" w:hAnsi="Times New Roman"/>
                <w:szCs w:val="24"/>
              </w:rPr>
            </w:pPr>
            <w:r>
              <w:rPr>
                <w:rFonts w:ascii="Times New Roman" w:eastAsiaTheme="minorHAnsi" w:hAnsi="Times New Roman"/>
                <w:szCs w:val="24"/>
              </w:rPr>
              <w:t>8,944</w:t>
            </w:r>
          </w:p>
        </w:tc>
        <w:tc>
          <w:tcPr>
            <w:tcW w:w="1620" w:type="dxa"/>
          </w:tcPr>
          <w:p w:rsidR="00D41BA6" w:rsidRPr="00D41BA6" w:rsidRDefault="00D41BA6" w:rsidP="00D41BA6">
            <w:pPr>
              <w:jc w:val="center"/>
              <w:rPr>
                <w:rFonts w:ascii="Times New Roman" w:eastAsiaTheme="minorHAnsi" w:hAnsi="Times New Roman"/>
                <w:szCs w:val="24"/>
              </w:rPr>
            </w:pPr>
            <w:r>
              <w:rPr>
                <w:rFonts w:ascii="Times New Roman" w:eastAsiaTheme="minorHAnsi" w:hAnsi="Times New Roman"/>
                <w:szCs w:val="24"/>
              </w:rPr>
              <w:t>4,720</w:t>
            </w:r>
          </w:p>
        </w:tc>
      </w:tr>
      <w:tr w:rsidR="00D41BA6" w:rsidTr="00D41BA6">
        <w:trPr>
          <w:jc w:val="center"/>
        </w:trPr>
        <w:tc>
          <w:tcPr>
            <w:tcW w:w="1638" w:type="dxa"/>
            <w:shd w:val="clear" w:color="auto" w:fill="BFBFBF" w:themeFill="background1" w:themeFillShade="BF"/>
          </w:tcPr>
          <w:p w:rsidR="00D41BA6" w:rsidRPr="00D41BA6" w:rsidRDefault="00D41BA6" w:rsidP="00D41BA6">
            <w:pPr>
              <w:jc w:val="center"/>
              <w:rPr>
                <w:rFonts w:ascii="Times New Roman" w:eastAsiaTheme="minorHAnsi" w:hAnsi="Times New Roman"/>
                <w:szCs w:val="24"/>
              </w:rPr>
            </w:pPr>
            <w:r>
              <w:rPr>
                <w:rFonts w:ascii="Times New Roman" w:eastAsiaTheme="minorHAnsi" w:hAnsi="Times New Roman"/>
                <w:szCs w:val="24"/>
              </w:rPr>
              <w:t>2012/13</w:t>
            </w:r>
          </w:p>
        </w:tc>
        <w:tc>
          <w:tcPr>
            <w:tcW w:w="1800" w:type="dxa"/>
          </w:tcPr>
          <w:p w:rsidR="00D41BA6" w:rsidRPr="00D41BA6" w:rsidRDefault="00D41BA6" w:rsidP="00D41BA6">
            <w:pPr>
              <w:jc w:val="center"/>
              <w:rPr>
                <w:rFonts w:ascii="Times New Roman" w:eastAsiaTheme="minorHAnsi" w:hAnsi="Times New Roman"/>
                <w:szCs w:val="24"/>
              </w:rPr>
            </w:pPr>
            <w:r>
              <w:rPr>
                <w:rFonts w:ascii="Times New Roman" w:eastAsiaTheme="minorHAnsi" w:hAnsi="Times New Roman"/>
                <w:szCs w:val="24"/>
              </w:rPr>
              <w:t>105,788</w:t>
            </w:r>
          </w:p>
        </w:tc>
        <w:tc>
          <w:tcPr>
            <w:tcW w:w="1890" w:type="dxa"/>
          </w:tcPr>
          <w:p w:rsidR="00D41BA6" w:rsidRPr="00D41BA6" w:rsidRDefault="00D41BA6" w:rsidP="00D41BA6">
            <w:pPr>
              <w:jc w:val="center"/>
              <w:rPr>
                <w:rFonts w:ascii="Times New Roman" w:eastAsiaTheme="minorHAnsi" w:hAnsi="Times New Roman"/>
                <w:szCs w:val="24"/>
              </w:rPr>
            </w:pPr>
            <w:r>
              <w:rPr>
                <w:rFonts w:ascii="Times New Roman" w:eastAsiaTheme="minorHAnsi" w:hAnsi="Times New Roman"/>
                <w:szCs w:val="24"/>
              </w:rPr>
              <w:t>7,939</w:t>
            </w:r>
          </w:p>
        </w:tc>
        <w:tc>
          <w:tcPr>
            <w:tcW w:w="1620" w:type="dxa"/>
          </w:tcPr>
          <w:p w:rsidR="00D41BA6" w:rsidRPr="00D41BA6" w:rsidRDefault="00D41BA6" w:rsidP="00D41BA6">
            <w:pPr>
              <w:jc w:val="center"/>
              <w:rPr>
                <w:rFonts w:ascii="Times New Roman" w:eastAsiaTheme="minorHAnsi" w:hAnsi="Times New Roman"/>
                <w:szCs w:val="24"/>
              </w:rPr>
            </w:pPr>
            <w:r>
              <w:rPr>
                <w:rFonts w:ascii="Times New Roman" w:eastAsiaTheme="minorHAnsi" w:hAnsi="Times New Roman"/>
                <w:szCs w:val="24"/>
              </w:rPr>
              <w:t>4,720</w:t>
            </w:r>
          </w:p>
        </w:tc>
      </w:tr>
      <w:tr w:rsidR="00D41BA6" w:rsidTr="00D41BA6">
        <w:trPr>
          <w:jc w:val="center"/>
        </w:trPr>
        <w:tc>
          <w:tcPr>
            <w:tcW w:w="1638" w:type="dxa"/>
            <w:shd w:val="clear" w:color="auto" w:fill="BFBFBF" w:themeFill="background1" w:themeFillShade="BF"/>
          </w:tcPr>
          <w:p w:rsidR="00D41BA6" w:rsidRPr="00D41BA6" w:rsidRDefault="00D41BA6" w:rsidP="00D41BA6">
            <w:pPr>
              <w:jc w:val="center"/>
              <w:rPr>
                <w:rFonts w:ascii="Times New Roman" w:eastAsiaTheme="minorHAnsi" w:hAnsi="Times New Roman"/>
                <w:szCs w:val="24"/>
              </w:rPr>
            </w:pPr>
            <w:r>
              <w:rPr>
                <w:rFonts w:ascii="Times New Roman" w:eastAsiaTheme="minorHAnsi" w:hAnsi="Times New Roman"/>
                <w:szCs w:val="24"/>
              </w:rPr>
              <w:t>2013/14</w:t>
            </w:r>
          </w:p>
        </w:tc>
        <w:tc>
          <w:tcPr>
            <w:tcW w:w="1800" w:type="dxa"/>
          </w:tcPr>
          <w:p w:rsidR="00D41BA6" w:rsidRPr="00D41BA6" w:rsidRDefault="00D41BA6" w:rsidP="00D41BA6">
            <w:pPr>
              <w:jc w:val="center"/>
              <w:rPr>
                <w:rFonts w:ascii="Times New Roman" w:eastAsiaTheme="minorHAnsi" w:hAnsi="Times New Roman"/>
                <w:szCs w:val="24"/>
              </w:rPr>
            </w:pPr>
            <w:r>
              <w:rPr>
                <w:rFonts w:ascii="Times New Roman" w:eastAsiaTheme="minorHAnsi" w:hAnsi="Times New Roman"/>
                <w:szCs w:val="24"/>
              </w:rPr>
              <w:t>105,916</w:t>
            </w:r>
          </w:p>
        </w:tc>
        <w:tc>
          <w:tcPr>
            <w:tcW w:w="1890" w:type="dxa"/>
          </w:tcPr>
          <w:p w:rsidR="00D41BA6" w:rsidRPr="00D41BA6" w:rsidRDefault="00D41BA6" w:rsidP="00D41BA6">
            <w:pPr>
              <w:jc w:val="center"/>
              <w:rPr>
                <w:rFonts w:ascii="Times New Roman" w:eastAsiaTheme="minorHAnsi" w:hAnsi="Times New Roman"/>
                <w:szCs w:val="24"/>
              </w:rPr>
            </w:pPr>
            <w:r>
              <w:rPr>
                <w:rFonts w:ascii="Times New Roman" w:eastAsiaTheme="minorHAnsi" w:hAnsi="Times New Roman"/>
                <w:szCs w:val="24"/>
              </w:rPr>
              <w:t>7,467</w:t>
            </w:r>
          </w:p>
        </w:tc>
        <w:tc>
          <w:tcPr>
            <w:tcW w:w="1620" w:type="dxa"/>
          </w:tcPr>
          <w:p w:rsidR="00D41BA6" w:rsidRPr="00D41BA6" w:rsidRDefault="00D41BA6" w:rsidP="00D41BA6">
            <w:pPr>
              <w:jc w:val="center"/>
              <w:rPr>
                <w:rFonts w:ascii="Times New Roman" w:eastAsiaTheme="minorHAnsi" w:hAnsi="Times New Roman"/>
                <w:szCs w:val="24"/>
              </w:rPr>
            </w:pPr>
            <w:r>
              <w:rPr>
                <w:rFonts w:ascii="Times New Roman" w:eastAsiaTheme="minorHAnsi" w:hAnsi="Times New Roman"/>
                <w:szCs w:val="24"/>
              </w:rPr>
              <w:t>4,053</w:t>
            </w:r>
          </w:p>
        </w:tc>
      </w:tr>
    </w:tbl>
    <w:p w:rsidR="008E0CDC" w:rsidRDefault="008E0CDC" w:rsidP="008E0CDC">
      <w:pPr>
        <w:rPr>
          <w:rFonts w:ascii="Times New Roman" w:eastAsiaTheme="minorHAnsi" w:hAnsi="Times New Roman"/>
          <w:b/>
          <w:szCs w:val="24"/>
        </w:rPr>
      </w:pPr>
    </w:p>
    <w:p w:rsidR="00FF0151" w:rsidRPr="00D07712" w:rsidRDefault="00FF0151" w:rsidP="00FF0151">
      <w:pPr>
        <w:jc w:val="center"/>
        <w:rPr>
          <w:rFonts w:ascii="Times New Roman" w:eastAsiaTheme="minorHAnsi" w:hAnsi="Times New Roman"/>
          <w:szCs w:val="24"/>
        </w:rPr>
      </w:pPr>
    </w:p>
    <w:p w:rsidR="0033223F" w:rsidRPr="0033223F" w:rsidRDefault="0033223F" w:rsidP="0033223F">
      <w:pPr>
        <w:pStyle w:val="ListParagraph"/>
        <w:numPr>
          <w:ilvl w:val="0"/>
          <w:numId w:val="6"/>
        </w:numPr>
        <w:rPr>
          <w:rFonts w:ascii="Times New Roman" w:hAnsi="Times New Roman"/>
          <w:sz w:val="20"/>
        </w:rPr>
      </w:pPr>
      <w:r w:rsidRPr="0033223F">
        <w:rPr>
          <w:rFonts w:ascii="Times New Roman" w:hAnsi="Times New Roman"/>
          <w:sz w:val="20"/>
        </w:rPr>
        <w:t>Number of residential customers in January of the program year, for example the number of customers in January 2010 is provided for the 2009/2010 LIBA program year.</w:t>
      </w:r>
    </w:p>
    <w:p w:rsidR="0033223F" w:rsidRPr="0033223F" w:rsidRDefault="0033223F" w:rsidP="0033223F">
      <w:pPr>
        <w:pStyle w:val="ListParagraph"/>
        <w:rPr>
          <w:rFonts w:ascii="Times New Roman" w:hAnsi="Times New Roman"/>
          <w:sz w:val="20"/>
        </w:rPr>
      </w:pPr>
    </w:p>
    <w:p w:rsidR="0033223F" w:rsidRPr="0033223F" w:rsidRDefault="0033223F" w:rsidP="0033223F">
      <w:pPr>
        <w:pStyle w:val="ListParagraph"/>
        <w:numPr>
          <w:ilvl w:val="0"/>
          <w:numId w:val="6"/>
        </w:numPr>
        <w:rPr>
          <w:rFonts w:ascii="Times New Roman" w:hAnsi="Times New Roman"/>
          <w:sz w:val="20"/>
        </w:rPr>
      </w:pPr>
      <w:r w:rsidRPr="0033223F">
        <w:rPr>
          <w:rFonts w:ascii="Times New Roman" w:hAnsi="Times New Roman"/>
          <w:sz w:val="20"/>
        </w:rPr>
        <w:t xml:space="preserve">Number of low-Income customers in January in the program year.  These are customers that received an energy assistance payment and/or participated in the LIBA program within the past 12 months.  Pacific Power does not request income information from customers, so can </w:t>
      </w:r>
      <w:r w:rsidR="00252E1D">
        <w:rPr>
          <w:rFonts w:ascii="Times New Roman" w:hAnsi="Times New Roman"/>
          <w:sz w:val="20"/>
        </w:rPr>
        <w:t xml:space="preserve">identify </w:t>
      </w:r>
      <w:r w:rsidRPr="0033223F">
        <w:rPr>
          <w:rFonts w:ascii="Times New Roman" w:hAnsi="Times New Roman"/>
          <w:sz w:val="20"/>
        </w:rPr>
        <w:t>only those receiving benefits from programs with income requirements.</w:t>
      </w:r>
    </w:p>
    <w:p w:rsidR="0033223F" w:rsidRPr="0033223F" w:rsidRDefault="0033223F" w:rsidP="0033223F">
      <w:pPr>
        <w:pStyle w:val="ListParagraph"/>
        <w:rPr>
          <w:rFonts w:ascii="Times New Roman" w:hAnsi="Times New Roman"/>
          <w:sz w:val="20"/>
        </w:rPr>
      </w:pPr>
    </w:p>
    <w:p w:rsidR="00D07712" w:rsidRPr="0033223F" w:rsidRDefault="0033223F" w:rsidP="0033223F">
      <w:pPr>
        <w:pStyle w:val="ListParagraph"/>
        <w:numPr>
          <w:ilvl w:val="0"/>
          <w:numId w:val="6"/>
        </w:numPr>
        <w:rPr>
          <w:rFonts w:ascii="Times New Roman" w:hAnsi="Times New Roman"/>
          <w:sz w:val="20"/>
        </w:rPr>
      </w:pPr>
      <w:r w:rsidRPr="0033223F">
        <w:rPr>
          <w:rFonts w:ascii="Times New Roman" w:hAnsi="Times New Roman"/>
          <w:sz w:val="20"/>
        </w:rPr>
        <w:t xml:space="preserve">Number of LIBA program participants enrolled by agencies during the program year.   The annual enrollment cap is 4,720.  All enrolled in the first </w:t>
      </w:r>
      <w:r w:rsidR="00252E1D">
        <w:rPr>
          <w:rFonts w:ascii="Times New Roman" w:hAnsi="Times New Roman"/>
          <w:sz w:val="20"/>
        </w:rPr>
        <w:t>three</w:t>
      </w:r>
      <w:r w:rsidR="00252E1D" w:rsidRPr="0033223F">
        <w:rPr>
          <w:rFonts w:ascii="Times New Roman" w:hAnsi="Times New Roman"/>
          <w:sz w:val="20"/>
        </w:rPr>
        <w:t xml:space="preserve"> </w:t>
      </w:r>
      <w:r w:rsidRPr="0033223F">
        <w:rPr>
          <w:rFonts w:ascii="Times New Roman" w:hAnsi="Times New Roman"/>
          <w:sz w:val="20"/>
        </w:rPr>
        <w:t xml:space="preserve">program years shown were eligible to participate for one year. In 2012/13 of the 4,720 enrolled, 4,247 were eligible for </w:t>
      </w:r>
      <w:r w:rsidR="00252E1D">
        <w:rPr>
          <w:rFonts w:ascii="Times New Roman" w:hAnsi="Times New Roman"/>
          <w:sz w:val="20"/>
        </w:rPr>
        <w:t>one</w:t>
      </w:r>
      <w:r w:rsidRPr="0033223F">
        <w:rPr>
          <w:rFonts w:ascii="Times New Roman" w:hAnsi="Times New Roman"/>
          <w:sz w:val="20"/>
        </w:rPr>
        <w:t xml:space="preserve"> year and 473 (10% of cap) for </w:t>
      </w:r>
      <w:r w:rsidR="00252E1D">
        <w:rPr>
          <w:rFonts w:ascii="Times New Roman" w:hAnsi="Times New Roman"/>
          <w:sz w:val="20"/>
        </w:rPr>
        <w:t>two</w:t>
      </w:r>
      <w:r w:rsidRPr="0033223F">
        <w:rPr>
          <w:rFonts w:ascii="Times New Roman" w:hAnsi="Times New Roman"/>
          <w:sz w:val="20"/>
        </w:rPr>
        <w:t xml:space="preserve"> years.  In 2013/14 a total of 4,053 customers were enrolled with 3,345 enrolled for </w:t>
      </w:r>
      <w:r w:rsidR="00252E1D">
        <w:rPr>
          <w:rFonts w:ascii="Times New Roman" w:hAnsi="Times New Roman"/>
          <w:sz w:val="20"/>
        </w:rPr>
        <w:t>one</w:t>
      </w:r>
      <w:r w:rsidRPr="0033223F">
        <w:rPr>
          <w:rFonts w:ascii="Times New Roman" w:hAnsi="Times New Roman"/>
          <w:sz w:val="20"/>
        </w:rPr>
        <w:t xml:space="preserve"> year and 708 (15% of cap) for </w:t>
      </w:r>
      <w:r w:rsidR="00252E1D">
        <w:rPr>
          <w:rFonts w:ascii="Times New Roman" w:hAnsi="Times New Roman"/>
          <w:sz w:val="20"/>
        </w:rPr>
        <w:t>two</w:t>
      </w:r>
      <w:r w:rsidRPr="0033223F">
        <w:rPr>
          <w:rFonts w:ascii="Times New Roman" w:hAnsi="Times New Roman"/>
          <w:sz w:val="20"/>
        </w:rPr>
        <w:t xml:space="preserve"> years.</w:t>
      </w:r>
    </w:p>
    <w:p w:rsidR="0033223F" w:rsidRDefault="0033223F" w:rsidP="00D07712">
      <w:pPr>
        <w:rPr>
          <w:rFonts w:ascii="Times New Roman" w:eastAsiaTheme="minorHAnsi" w:hAnsi="Times New Roman"/>
          <w:szCs w:val="24"/>
        </w:rPr>
      </w:pPr>
    </w:p>
    <w:p w:rsidR="0033223F" w:rsidRDefault="0033223F" w:rsidP="0033223F">
      <w:pPr>
        <w:pStyle w:val="ListParagraph"/>
        <w:numPr>
          <w:ilvl w:val="0"/>
          <w:numId w:val="4"/>
        </w:numPr>
        <w:rPr>
          <w:rFonts w:ascii="Times New Roman" w:eastAsiaTheme="minorHAnsi" w:hAnsi="Times New Roman"/>
          <w:b/>
          <w:szCs w:val="24"/>
        </w:rPr>
      </w:pPr>
      <w:r>
        <w:rPr>
          <w:rFonts w:ascii="Times New Roman" w:eastAsiaTheme="minorHAnsi" w:hAnsi="Times New Roman"/>
          <w:b/>
          <w:szCs w:val="24"/>
        </w:rPr>
        <w:t xml:space="preserve">The number of customers who receive low-income assistance two or more years in a row, and the distribution of the number of years that assistance was received by those customers in each of the last five program years. </w:t>
      </w:r>
    </w:p>
    <w:p w:rsidR="0033223F" w:rsidRDefault="0033223F" w:rsidP="00D07712">
      <w:pPr>
        <w:rPr>
          <w:rFonts w:ascii="Times New Roman" w:eastAsiaTheme="minorHAnsi" w:hAnsi="Times New Roman"/>
          <w:szCs w:val="24"/>
        </w:rPr>
      </w:pPr>
    </w:p>
    <w:p w:rsidR="0033223F" w:rsidRDefault="0033223F" w:rsidP="00DA2879">
      <w:pPr>
        <w:rPr>
          <w:rFonts w:ascii="Times New Roman" w:eastAsiaTheme="minorHAnsi" w:hAnsi="Times New Roman"/>
          <w:szCs w:val="24"/>
        </w:rPr>
      </w:pPr>
      <w:r w:rsidRPr="0033223F">
        <w:rPr>
          <w:rFonts w:ascii="Times New Roman" w:eastAsiaTheme="minorHAnsi" w:hAnsi="Times New Roman"/>
          <w:szCs w:val="24"/>
        </w:rPr>
        <w:t>Pacific Power’s LIBA program provides a discount on winter bills; it does not provide energy assistance payments.  The information on customers receiving energy assistance in consecutive years is provided below in two ways, for customers participating in LIBA and for all energy assistance recipients.</w:t>
      </w:r>
      <w:r w:rsidR="005F0246">
        <w:rPr>
          <w:rFonts w:ascii="Times New Roman" w:eastAsiaTheme="minorHAnsi" w:hAnsi="Times New Roman"/>
          <w:szCs w:val="24"/>
        </w:rPr>
        <w:t xml:space="preserve"> </w:t>
      </w:r>
      <w:r w:rsidRPr="0033223F">
        <w:rPr>
          <w:rFonts w:ascii="Times New Roman" w:eastAsiaTheme="minorHAnsi" w:hAnsi="Times New Roman"/>
          <w:szCs w:val="24"/>
        </w:rPr>
        <w:t xml:space="preserve"> Energy assistance includes monies provided through a variety of funding sources including LIHEAP, the Project HELP program that assists households through donated monies</w:t>
      </w:r>
      <w:r w:rsidR="005F0246">
        <w:rPr>
          <w:rFonts w:ascii="Times New Roman" w:eastAsiaTheme="minorHAnsi" w:hAnsi="Times New Roman"/>
          <w:szCs w:val="24"/>
        </w:rPr>
        <w:t>,</w:t>
      </w:r>
      <w:r w:rsidRPr="0033223F">
        <w:rPr>
          <w:rFonts w:ascii="Times New Roman" w:eastAsiaTheme="minorHAnsi" w:hAnsi="Times New Roman"/>
          <w:szCs w:val="24"/>
        </w:rPr>
        <w:t xml:space="preserve"> and through a variety of other organizations.</w:t>
      </w:r>
    </w:p>
    <w:p w:rsidR="0033223F" w:rsidRDefault="0033223F" w:rsidP="00D07712">
      <w:pPr>
        <w:rPr>
          <w:rFonts w:ascii="Times New Roman" w:eastAsiaTheme="minorHAnsi" w:hAnsi="Times New Roman"/>
          <w:szCs w:val="24"/>
        </w:rPr>
      </w:pPr>
    </w:p>
    <w:p w:rsidR="0033223F" w:rsidRPr="0033223F" w:rsidRDefault="0033223F" w:rsidP="00DA2879">
      <w:pPr>
        <w:rPr>
          <w:rFonts w:ascii="Times New Roman" w:eastAsiaTheme="minorHAnsi" w:hAnsi="Times New Roman"/>
          <w:szCs w:val="24"/>
          <w:u w:val="single"/>
        </w:rPr>
      </w:pPr>
      <w:r w:rsidRPr="0033223F">
        <w:rPr>
          <w:rFonts w:ascii="Times New Roman" w:eastAsiaTheme="minorHAnsi" w:hAnsi="Times New Roman"/>
          <w:szCs w:val="24"/>
          <w:u w:val="single"/>
        </w:rPr>
        <w:t>LIBA participants receiving energy assistance in consecutive years</w:t>
      </w:r>
    </w:p>
    <w:p w:rsidR="00DA2879" w:rsidRDefault="00DA2879" w:rsidP="00DA2879">
      <w:pPr>
        <w:rPr>
          <w:rFonts w:ascii="Times New Roman" w:eastAsiaTheme="minorHAnsi" w:hAnsi="Times New Roman"/>
          <w:szCs w:val="24"/>
        </w:rPr>
      </w:pPr>
    </w:p>
    <w:p w:rsidR="0033223F" w:rsidRDefault="0033223F" w:rsidP="00DA2879">
      <w:pPr>
        <w:rPr>
          <w:rFonts w:ascii="Times New Roman" w:eastAsiaTheme="minorHAnsi" w:hAnsi="Times New Roman"/>
          <w:szCs w:val="24"/>
        </w:rPr>
      </w:pPr>
      <w:r w:rsidRPr="0033223F">
        <w:rPr>
          <w:rFonts w:ascii="Times New Roman" w:eastAsiaTheme="minorHAnsi" w:hAnsi="Times New Roman"/>
          <w:szCs w:val="24"/>
        </w:rPr>
        <w:t>A total of 7,551 customers participating in Pacific Power’s LIBA program from November 1, 2009</w:t>
      </w:r>
      <w:r w:rsidR="00252E1D">
        <w:rPr>
          <w:rFonts w:ascii="Times New Roman" w:eastAsiaTheme="minorHAnsi" w:hAnsi="Times New Roman"/>
          <w:szCs w:val="24"/>
        </w:rPr>
        <w:t>,</w:t>
      </w:r>
      <w:r w:rsidRPr="0033223F">
        <w:rPr>
          <w:rFonts w:ascii="Times New Roman" w:eastAsiaTheme="minorHAnsi" w:hAnsi="Times New Roman"/>
          <w:szCs w:val="24"/>
        </w:rPr>
        <w:t xml:space="preserve"> through April 30, 2014</w:t>
      </w:r>
      <w:r w:rsidR="00252E1D">
        <w:rPr>
          <w:rFonts w:ascii="Times New Roman" w:eastAsiaTheme="minorHAnsi" w:hAnsi="Times New Roman"/>
          <w:szCs w:val="24"/>
        </w:rPr>
        <w:t>,</w:t>
      </w:r>
      <w:r w:rsidRPr="0033223F">
        <w:rPr>
          <w:rFonts w:ascii="Times New Roman" w:eastAsiaTheme="minorHAnsi" w:hAnsi="Times New Roman"/>
          <w:szCs w:val="24"/>
        </w:rPr>
        <w:t xml:space="preserve"> received energy assistance payments </w:t>
      </w:r>
      <w:r w:rsidR="005F0246">
        <w:rPr>
          <w:rFonts w:ascii="Times New Roman" w:eastAsiaTheme="minorHAnsi" w:hAnsi="Times New Roman"/>
          <w:szCs w:val="24"/>
        </w:rPr>
        <w:t>two</w:t>
      </w:r>
      <w:r w:rsidRPr="0033223F">
        <w:rPr>
          <w:rFonts w:ascii="Times New Roman" w:eastAsiaTheme="minorHAnsi" w:hAnsi="Times New Roman"/>
          <w:szCs w:val="24"/>
        </w:rPr>
        <w:t xml:space="preserve"> consecutive years or more over the past </w:t>
      </w:r>
      <w:r w:rsidR="005F0246">
        <w:rPr>
          <w:rFonts w:ascii="Times New Roman" w:eastAsiaTheme="minorHAnsi" w:hAnsi="Times New Roman"/>
          <w:szCs w:val="24"/>
        </w:rPr>
        <w:t>five</w:t>
      </w:r>
      <w:r w:rsidRPr="0033223F">
        <w:rPr>
          <w:rFonts w:ascii="Times New Roman" w:eastAsiaTheme="minorHAnsi" w:hAnsi="Times New Roman"/>
          <w:szCs w:val="24"/>
        </w:rPr>
        <w:t xml:space="preserve"> years during the </w:t>
      </w:r>
      <w:r w:rsidR="00C91399">
        <w:rPr>
          <w:rFonts w:ascii="Times New Roman" w:eastAsiaTheme="minorHAnsi" w:hAnsi="Times New Roman"/>
          <w:szCs w:val="24"/>
        </w:rPr>
        <w:t>months</w:t>
      </w:r>
      <w:r w:rsidR="00C91399" w:rsidRPr="0033223F">
        <w:rPr>
          <w:rFonts w:ascii="Times New Roman" w:eastAsiaTheme="minorHAnsi" w:hAnsi="Times New Roman"/>
          <w:szCs w:val="24"/>
        </w:rPr>
        <w:t xml:space="preserve"> </w:t>
      </w:r>
      <w:r w:rsidRPr="0033223F">
        <w:rPr>
          <w:rFonts w:ascii="Times New Roman" w:eastAsiaTheme="minorHAnsi" w:hAnsi="Times New Roman"/>
          <w:szCs w:val="24"/>
        </w:rPr>
        <w:t xml:space="preserve">in which credits </w:t>
      </w:r>
      <w:r w:rsidRPr="0033223F">
        <w:rPr>
          <w:rFonts w:ascii="Times New Roman" w:eastAsiaTheme="minorHAnsi" w:hAnsi="Times New Roman"/>
          <w:szCs w:val="24"/>
        </w:rPr>
        <w:lastRenderedPageBreak/>
        <w:t xml:space="preserve">were provided through LIBA (November through April).  The table below shows the number of customers receiving assistance consecutively for </w:t>
      </w:r>
      <w:r w:rsidR="005F0246">
        <w:rPr>
          <w:rFonts w:ascii="Times New Roman" w:eastAsiaTheme="minorHAnsi" w:hAnsi="Times New Roman"/>
          <w:szCs w:val="24"/>
        </w:rPr>
        <w:t>two</w:t>
      </w:r>
      <w:r w:rsidRPr="0033223F">
        <w:rPr>
          <w:rFonts w:ascii="Times New Roman" w:eastAsiaTheme="minorHAnsi" w:hAnsi="Times New Roman"/>
          <w:szCs w:val="24"/>
        </w:rPr>
        <w:t xml:space="preserve"> years, </w:t>
      </w:r>
      <w:r w:rsidR="005F0246">
        <w:rPr>
          <w:rFonts w:ascii="Times New Roman" w:eastAsiaTheme="minorHAnsi" w:hAnsi="Times New Roman"/>
          <w:szCs w:val="24"/>
        </w:rPr>
        <w:t>three</w:t>
      </w:r>
      <w:r w:rsidRPr="0033223F">
        <w:rPr>
          <w:rFonts w:ascii="Times New Roman" w:eastAsiaTheme="minorHAnsi" w:hAnsi="Times New Roman"/>
          <w:szCs w:val="24"/>
        </w:rPr>
        <w:t xml:space="preserve"> years, </w:t>
      </w:r>
      <w:r w:rsidR="005F0246">
        <w:rPr>
          <w:rFonts w:ascii="Times New Roman" w:eastAsiaTheme="minorHAnsi" w:hAnsi="Times New Roman"/>
          <w:szCs w:val="24"/>
        </w:rPr>
        <w:t>four</w:t>
      </w:r>
      <w:r w:rsidRPr="0033223F">
        <w:rPr>
          <w:rFonts w:ascii="Times New Roman" w:eastAsiaTheme="minorHAnsi" w:hAnsi="Times New Roman"/>
          <w:szCs w:val="24"/>
        </w:rPr>
        <w:t xml:space="preserve"> years and </w:t>
      </w:r>
      <w:r w:rsidR="005F0246">
        <w:rPr>
          <w:rFonts w:ascii="Times New Roman" w:eastAsiaTheme="minorHAnsi" w:hAnsi="Times New Roman"/>
          <w:szCs w:val="24"/>
        </w:rPr>
        <w:t>five</w:t>
      </w:r>
      <w:r w:rsidRPr="0033223F">
        <w:rPr>
          <w:rFonts w:ascii="Times New Roman" w:eastAsiaTheme="minorHAnsi" w:hAnsi="Times New Roman"/>
          <w:szCs w:val="24"/>
        </w:rPr>
        <w:t xml:space="preserve"> years.  </w:t>
      </w:r>
    </w:p>
    <w:p w:rsidR="005F0246" w:rsidRPr="0033223F" w:rsidRDefault="005F0246" w:rsidP="00DA2879">
      <w:pPr>
        <w:rPr>
          <w:rFonts w:ascii="Times New Roman" w:eastAsiaTheme="minorHAnsi" w:hAnsi="Times New Roman"/>
          <w:szCs w:val="24"/>
        </w:rPr>
      </w:pPr>
    </w:p>
    <w:tbl>
      <w:tblPr>
        <w:tblW w:w="3971" w:type="dxa"/>
        <w:jc w:val="center"/>
        <w:tblInd w:w="468" w:type="dxa"/>
        <w:tblLook w:val="04A0" w:firstRow="1" w:lastRow="0" w:firstColumn="1" w:lastColumn="0" w:noHBand="0" w:noVBand="1"/>
      </w:tblPr>
      <w:tblGrid>
        <w:gridCol w:w="1001"/>
        <w:gridCol w:w="990"/>
        <w:gridCol w:w="990"/>
        <w:gridCol w:w="990"/>
      </w:tblGrid>
      <w:tr w:rsidR="0033223F" w:rsidRPr="00053D01" w:rsidTr="00113BCF">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33223F" w:rsidRPr="002642A0" w:rsidRDefault="0033223F" w:rsidP="00113BCF">
            <w:pPr>
              <w:jc w:val="center"/>
              <w:rPr>
                <w:rFonts w:ascii="Times New Roman" w:eastAsia="Times New Roman" w:hAnsi="Times New Roman"/>
                <w:color w:val="000000"/>
              </w:rPr>
            </w:pPr>
            <w:r w:rsidRPr="002642A0">
              <w:rPr>
                <w:rFonts w:ascii="Times New Roman" w:eastAsia="Times New Roman" w:hAnsi="Times New Roman"/>
                <w:color w:val="000000"/>
              </w:rPr>
              <w:t>2 Years</w:t>
            </w:r>
          </w:p>
        </w:tc>
        <w:tc>
          <w:tcPr>
            <w:tcW w:w="990" w:type="dxa"/>
            <w:tcBorders>
              <w:top w:val="single" w:sz="4" w:space="0" w:color="auto"/>
              <w:left w:val="nil"/>
              <w:bottom w:val="single" w:sz="4" w:space="0" w:color="auto"/>
              <w:right w:val="single" w:sz="4" w:space="0" w:color="auto"/>
            </w:tcBorders>
            <w:shd w:val="clear" w:color="000000" w:fill="BFBFBF"/>
            <w:noWrap/>
            <w:vAlign w:val="bottom"/>
            <w:hideMark/>
          </w:tcPr>
          <w:p w:rsidR="0033223F" w:rsidRPr="002642A0" w:rsidRDefault="0033223F" w:rsidP="00113BCF">
            <w:pPr>
              <w:jc w:val="center"/>
              <w:rPr>
                <w:rFonts w:ascii="Times New Roman" w:eastAsia="Times New Roman" w:hAnsi="Times New Roman"/>
                <w:color w:val="000000"/>
              </w:rPr>
            </w:pPr>
            <w:r w:rsidRPr="002642A0">
              <w:rPr>
                <w:rFonts w:ascii="Times New Roman" w:eastAsia="Times New Roman" w:hAnsi="Times New Roman"/>
                <w:color w:val="000000"/>
              </w:rPr>
              <w:t>3 Years</w:t>
            </w:r>
          </w:p>
        </w:tc>
        <w:tc>
          <w:tcPr>
            <w:tcW w:w="990" w:type="dxa"/>
            <w:tcBorders>
              <w:top w:val="single" w:sz="4" w:space="0" w:color="auto"/>
              <w:left w:val="nil"/>
              <w:bottom w:val="single" w:sz="4" w:space="0" w:color="auto"/>
              <w:right w:val="single" w:sz="4" w:space="0" w:color="auto"/>
            </w:tcBorders>
            <w:shd w:val="clear" w:color="000000" w:fill="BFBFBF"/>
            <w:noWrap/>
            <w:vAlign w:val="bottom"/>
            <w:hideMark/>
          </w:tcPr>
          <w:p w:rsidR="0033223F" w:rsidRPr="002642A0" w:rsidRDefault="0033223F" w:rsidP="00113BCF">
            <w:pPr>
              <w:jc w:val="center"/>
              <w:rPr>
                <w:rFonts w:ascii="Times New Roman" w:eastAsia="Times New Roman" w:hAnsi="Times New Roman"/>
                <w:color w:val="000000"/>
              </w:rPr>
            </w:pPr>
            <w:r w:rsidRPr="002642A0">
              <w:rPr>
                <w:rFonts w:ascii="Times New Roman" w:eastAsia="Times New Roman" w:hAnsi="Times New Roman"/>
                <w:color w:val="000000"/>
              </w:rPr>
              <w:t>4 Years</w:t>
            </w:r>
          </w:p>
        </w:tc>
        <w:tc>
          <w:tcPr>
            <w:tcW w:w="990" w:type="dxa"/>
            <w:tcBorders>
              <w:top w:val="single" w:sz="4" w:space="0" w:color="auto"/>
              <w:left w:val="nil"/>
              <w:bottom w:val="single" w:sz="4" w:space="0" w:color="auto"/>
              <w:right w:val="single" w:sz="4" w:space="0" w:color="auto"/>
            </w:tcBorders>
            <w:shd w:val="clear" w:color="000000" w:fill="BFBFBF"/>
            <w:noWrap/>
            <w:vAlign w:val="bottom"/>
            <w:hideMark/>
          </w:tcPr>
          <w:p w:rsidR="0033223F" w:rsidRPr="002642A0" w:rsidRDefault="0033223F" w:rsidP="00113BCF">
            <w:pPr>
              <w:jc w:val="center"/>
              <w:rPr>
                <w:rFonts w:ascii="Times New Roman" w:eastAsia="Times New Roman" w:hAnsi="Times New Roman"/>
                <w:color w:val="000000"/>
              </w:rPr>
            </w:pPr>
            <w:r w:rsidRPr="002642A0">
              <w:rPr>
                <w:rFonts w:ascii="Times New Roman" w:eastAsia="Times New Roman" w:hAnsi="Times New Roman"/>
                <w:color w:val="000000"/>
              </w:rPr>
              <w:t>5 Years</w:t>
            </w:r>
          </w:p>
        </w:tc>
      </w:tr>
      <w:tr w:rsidR="0033223F" w:rsidRPr="00053D01" w:rsidTr="00113BCF">
        <w:trPr>
          <w:trHeight w:val="300"/>
          <w:jc w:val="center"/>
        </w:trPr>
        <w:tc>
          <w:tcPr>
            <w:tcW w:w="1001" w:type="dxa"/>
            <w:tcBorders>
              <w:top w:val="nil"/>
              <w:left w:val="single" w:sz="4" w:space="0" w:color="auto"/>
              <w:bottom w:val="single" w:sz="4" w:space="0" w:color="auto"/>
              <w:right w:val="single" w:sz="4" w:space="0" w:color="auto"/>
            </w:tcBorders>
            <w:shd w:val="clear" w:color="auto" w:fill="auto"/>
            <w:noWrap/>
            <w:vAlign w:val="bottom"/>
            <w:hideMark/>
          </w:tcPr>
          <w:p w:rsidR="0033223F" w:rsidRPr="002642A0" w:rsidRDefault="0033223F" w:rsidP="00113BCF">
            <w:pPr>
              <w:jc w:val="center"/>
              <w:rPr>
                <w:rFonts w:ascii="Times New Roman" w:eastAsia="Times New Roman" w:hAnsi="Times New Roman"/>
                <w:color w:val="000000"/>
              </w:rPr>
            </w:pPr>
            <w:r w:rsidRPr="002642A0">
              <w:rPr>
                <w:rFonts w:ascii="Times New Roman" w:eastAsia="Times New Roman" w:hAnsi="Times New Roman"/>
                <w:color w:val="000000"/>
              </w:rPr>
              <w:t xml:space="preserve">        3,421 </w:t>
            </w:r>
          </w:p>
        </w:tc>
        <w:tc>
          <w:tcPr>
            <w:tcW w:w="990" w:type="dxa"/>
            <w:tcBorders>
              <w:top w:val="nil"/>
              <w:left w:val="nil"/>
              <w:bottom w:val="single" w:sz="4" w:space="0" w:color="auto"/>
              <w:right w:val="single" w:sz="4" w:space="0" w:color="auto"/>
            </w:tcBorders>
            <w:shd w:val="clear" w:color="auto" w:fill="auto"/>
            <w:noWrap/>
            <w:vAlign w:val="bottom"/>
            <w:hideMark/>
          </w:tcPr>
          <w:p w:rsidR="0033223F" w:rsidRPr="002642A0" w:rsidRDefault="0033223F" w:rsidP="00113BCF">
            <w:pPr>
              <w:jc w:val="center"/>
              <w:rPr>
                <w:rFonts w:ascii="Times New Roman" w:eastAsia="Times New Roman" w:hAnsi="Times New Roman"/>
                <w:color w:val="000000"/>
              </w:rPr>
            </w:pPr>
            <w:r w:rsidRPr="002642A0">
              <w:rPr>
                <w:rFonts w:ascii="Times New Roman" w:eastAsia="Times New Roman" w:hAnsi="Times New Roman"/>
                <w:color w:val="000000"/>
              </w:rPr>
              <w:t xml:space="preserve">         1,773 </w:t>
            </w:r>
          </w:p>
        </w:tc>
        <w:tc>
          <w:tcPr>
            <w:tcW w:w="990" w:type="dxa"/>
            <w:tcBorders>
              <w:top w:val="nil"/>
              <w:left w:val="nil"/>
              <w:bottom w:val="single" w:sz="4" w:space="0" w:color="auto"/>
              <w:right w:val="single" w:sz="4" w:space="0" w:color="auto"/>
            </w:tcBorders>
            <w:shd w:val="clear" w:color="auto" w:fill="auto"/>
            <w:noWrap/>
            <w:vAlign w:val="bottom"/>
            <w:hideMark/>
          </w:tcPr>
          <w:p w:rsidR="0033223F" w:rsidRPr="002642A0" w:rsidRDefault="0033223F" w:rsidP="00113BCF">
            <w:pPr>
              <w:jc w:val="center"/>
              <w:rPr>
                <w:rFonts w:ascii="Times New Roman" w:eastAsia="Times New Roman" w:hAnsi="Times New Roman"/>
                <w:color w:val="000000"/>
              </w:rPr>
            </w:pPr>
            <w:r w:rsidRPr="002642A0">
              <w:rPr>
                <w:rFonts w:ascii="Times New Roman" w:eastAsia="Times New Roman" w:hAnsi="Times New Roman"/>
                <w:color w:val="000000"/>
              </w:rPr>
              <w:t xml:space="preserve">         1,155 </w:t>
            </w:r>
          </w:p>
        </w:tc>
        <w:tc>
          <w:tcPr>
            <w:tcW w:w="990" w:type="dxa"/>
            <w:tcBorders>
              <w:top w:val="nil"/>
              <w:left w:val="nil"/>
              <w:bottom w:val="single" w:sz="4" w:space="0" w:color="auto"/>
              <w:right w:val="single" w:sz="4" w:space="0" w:color="auto"/>
            </w:tcBorders>
            <w:shd w:val="clear" w:color="auto" w:fill="auto"/>
            <w:noWrap/>
            <w:vAlign w:val="bottom"/>
            <w:hideMark/>
          </w:tcPr>
          <w:p w:rsidR="0033223F" w:rsidRPr="002642A0" w:rsidRDefault="0033223F" w:rsidP="00113BCF">
            <w:pPr>
              <w:jc w:val="center"/>
              <w:rPr>
                <w:rFonts w:ascii="Times New Roman" w:eastAsia="Times New Roman" w:hAnsi="Times New Roman"/>
                <w:color w:val="000000"/>
              </w:rPr>
            </w:pPr>
            <w:r w:rsidRPr="002642A0">
              <w:rPr>
                <w:rFonts w:ascii="Times New Roman" w:eastAsia="Times New Roman" w:hAnsi="Times New Roman"/>
                <w:color w:val="000000"/>
              </w:rPr>
              <w:t xml:space="preserve">         1,202 </w:t>
            </w:r>
          </w:p>
        </w:tc>
      </w:tr>
    </w:tbl>
    <w:p w:rsidR="00DA2879" w:rsidRDefault="00DA2879" w:rsidP="00DA2879">
      <w:pPr>
        <w:rPr>
          <w:rFonts w:ascii="Times New Roman" w:eastAsiaTheme="minorHAnsi" w:hAnsi="Times New Roman"/>
          <w:szCs w:val="24"/>
        </w:rPr>
      </w:pPr>
    </w:p>
    <w:p w:rsidR="0033223F" w:rsidRPr="0033223F" w:rsidRDefault="0033223F" w:rsidP="00DA2879">
      <w:pPr>
        <w:rPr>
          <w:rFonts w:ascii="Times New Roman" w:eastAsiaTheme="minorHAnsi" w:hAnsi="Times New Roman"/>
          <w:szCs w:val="24"/>
          <w:u w:val="single"/>
        </w:rPr>
      </w:pPr>
      <w:r w:rsidRPr="0033223F">
        <w:rPr>
          <w:rFonts w:ascii="Times New Roman" w:eastAsiaTheme="minorHAnsi" w:hAnsi="Times New Roman"/>
          <w:szCs w:val="24"/>
          <w:u w:val="single"/>
        </w:rPr>
        <w:t>Customers receiving energy assistance in consecutive years</w:t>
      </w:r>
    </w:p>
    <w:p w:rsidR="00DA2879" w:rsidRDefault="00DA2879" w:rsidP="00DA2879">
      <w:pPr>
        <w:rPr>
          <w:rFonts w:ascii="Times New Roman" w:eastAsiaTheme="minorHAnsi" w:hAnsi="Times New Roman"/>
          <w:szCs w:val="24"/>
        </w:rPr>
      </w:pPr>
    </w:p>
    <w:p w:rsidR="0033223F" w:rsidRDefault="0033223F" w:rsidP="00DA2879">
      <w:pPr>
        <w:rPr>
          <w:rFonts w:ascii="Times New Roman" w:eastAsiaTheme="minorHAnsi" w:hAnsi="Times New Roman"/>
          <w:szCs w:val="24"/>
        </w:rPr>
      </w:pPr>
      <w:r w:rsidRPr="0033223F">
        <w:rPr>
          <w:rFonts w:ascii="Times New Roman" w:eastAsiaTheme="minorHAnsi" w:hAnsi="Times New Roman"/>
          <w:szCs w:val="24"/>
        </w:rPr>
        <w:t xml:space="preserve">A total of 8,727 Pacific Power customers received energy assistance payments </w:t>
      </w:r>
      <w:r w:rsidR="005F0246">
        <w:rPr>
          <w:rFonts w:ascii="Times New Roman" w:eastAsiaTheme="minorHAnsi" w:hAnsi="Times New Roman"/>
          <w:szCs w:val="24"/>
        </w:rPr>
        <w:t>two</w:t>
      </w:r>
      <w:r w:rsidRPr="0033223F">
        <w:rPr>
          <w:rFonts w:ascii="Times New Roman" w:eastAsiaTheme="minorHAnsi" w:hAnsi="Times New Roman"/>
          <w:szCs w:val="24"/>
        </w:rPr>
        <w:t xml:space="preserve"> consecutive years or more from January 2009 through April 2014.  The table below shows the number of customers receiving assistance consecutively for </w:t>
      </w:r>
      <w:r w:rsidR="005F0246">
        <w:rPr>
          <w:rFonts w:ascii="Times New Roman" w:eastAsiaTheme="minorHAnsi" w:hAnsi="Times New Roman"/>
          <w:szCs w:val="24"/>
        </w:rPr>
        <w:t>two</w:t>
      </w:r>
      <w:r w:rsidRPr="0033223F">
        <w:rPr>
          <w:rFonts w:ascii="Times New Roman" w:eastAsiaTheme="minorHAnsi" w:hAnsi="Times New Roman"/>
          <w:szCs w:val="24"/>
        </w:rPr>
        <w:t xml:space="preserve"> years, </w:t>
      </w:r>
      <w:r w:rsidR="005F0246">
        <w:rPr>
          <w:rFonts w:ascii="Times New Roman" w:eastAsiaTheme="minorHAnsi" w:hAnsi="Times New Roman"/>
          <w:szCs w:val="24"/>
        </w:rPr>
        <w:t>three</w:t>
      </w:r>
      <w:r w:rsidRPr="0033223F">
        <w:rPr>
          <w:rFonts w:ascii="Times New Roman" w:eastAsiaTheme="minorHAnsi" w:hAnsi="Times New Roman"/>
          <w:szCs w:val="24"/>
        </w:rPr>
        <w:t xml:space="preserve"> years, </w:t>
      </w:r>
      <w:r w:rsidR="005F0246">
        <w:rPr>
          <w:rFonts w:ascii="Times New Roman" w:eastAsiaTheme="minorHAnsi" w:hAnsi="Times New Roman"/>
          <w:szCs w:val="24"/>
        </w:rPr>
        <w:t>four</w:t>
      </w:r>
      <w:r w:rsidRPr="0033223F">
        <w:rPr>
          <w:rFonts w:ascii="Times New Roman" w:eastAsiaTheme="minorHAnsi" w:hAnsi="Times New Roman"/>
          <w:szCs w:val="24"/>
        </w:rPr>
        <w:t xml:space="preserve"> years, </w:t>
      </w:r>
      <w:r w:rsidR="005F0246">
        <w:rPr>
          <w:rFonts w:ascii="Times New Roman" w:eastAsiaTheme="minorHAnsi" w:hAnsi="Times New Roman"/>
          <w:szCs w:val="24"/>
        </w:rPr>
        <w:t>five</w:t>
      </w:r>
      <w:r w:rsidRPr="0033223F">
        <w:rPr>
          <w:rFonts w:ascii="Times New Roman" w:eastAsiaTheme="minorHAnsi" w:hAnsi="Times New Roman"/>
          <w:szCs w:val="24"/>
        </w:rPr>
        <w:t xml:space="preserve"> years and </w:t>
      </w:r>
      <w:r w:rsidR="005F0246">
        <w:rPr>
          <w:rFonts w:ascii="Times New Roman" w:eastAsiaTheme="minorHAnsi" w:hAnsi="Times New Roman"/>
          <w:szCs w:val="24"/>
        </w:rPr>
        <w:t>six</w:t>
      </w:r>
      <w:r w:rsidRPr="0033223F">
        <w:rPr>
          <w:rFonts w:ascii="Times New Roman" w:eastAsiaTheme="minorHAnsi" w:hAnsi="Times New Roman"/>
          <w:szCs w:val="24"/>
        </w:rPr>
        <w:t xml:space="preserve"> years (through April 2014).</w:t>
      </w:r>
    </w:p>
    <w:p w:rsidR="0033223F" w:rsidRDefault="0033223F" w:rsidP="00D07712">
      <w:pPr>
        <w:rPr>
          <w:rFonts w:ascii="Times New Roman" w:eastAsiaTheme="minorHAnsi" w:hAnsi="Times New Roman"/>
          <w:szCs w:val="24"/>
        </w:rPr>
      </w:pPr>
    </w:p>
    <w:tbl>
      <w:tblPr>
        <w:tblW w:w="5231" w:type="dxa"/>
        <w:jc w:val="center"/>
        <w:tblInd w:w="817" w:type="dxa"/>
        <w:tblLook w:val="04A0" w:firstRow="1" w:lastRow="0" w:firstColumn="1" w:lastColumn="0" w:noHBand="0" w:noVBand="1"/>
      </w:tblPr>
      <w:tblGrid>
        <w:gridCol w:w="1091"/>
        <w:gridCol w:w="1080"/>
        <w:gridCol w:w="1080"/>
        <w:gridCol w:w="990"/>
        <w:gridCol w:w="990"/>
      </w:tblGrid>
      <w:tr w:rsidR="0033223F" w:rsidRPr="00E83CEE" w:rsidTr="00113BCF">
        <w:trPr>
          <w:trHeight w:val="300"/>
          <w:jc w:val="center"/>
        </w:trPr>
        <w:tc>
          <w:tcPr>
            <w:tcW w:w="1091"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33223F" w:rsidRPr="002642A0" w:rsidRDefault="0033223F" w:rsidP="00113BCF">
            <w:pPr>
              <w:jc w:val="center"/>
              <w:rPr>
                <w:rFonts w:ascii="Times New Roman" w:eastAsia="Times New Roman" w:hAnsi="Times New Roman"/>
                <w:color w:val="000000"/>
              </w:rPr>
            </w:pPr>
            <w:r w:rsidRPr="002642A0">
              <w:rPr>
                <w:rFonts w:ascii="Times New Roman" w:eastAsia="Times New Roman" w:hAnsi="Times New Roman"/>
                <w:color w:val="000000"/>
              </w:rPr>
              <w:t>2 Years</w:t>
            </w:r>
          </w:p>
        </w:tc>
        <w:tc>
          <w:tcPr>
            <w:tcW w:w="1080" w:type="dxa"/>
            <w:tcBorders>
              <w:top w:val="single" w:sz="4" w:space="0" w:color="auto"/>
              <w:left w:val="nil"/>
              <w:bottom w:val="single" w:sz="4" w:space="0" w:color="auto"/>
              <w:right w:val="single" w:sz="4" w:space="0" w:color="auto"/>
            </w:tcBorders>
            <w:shd w:val="clear" w:color="000000" w:fill="BFBFBF"/>
            <w:noWrap/>
            <w:vAlign w:val="bottom"/>
            <w:hideMark/>
          </w:tcPr>
          <w:p w:rsidR="0033223F" w:rsidRPr="002642A0" w:rsidRDefault="0033223F" w:rsidP="00113BCF">
            <w:pPr>
              <w:jc w:val="center"/>
              <w:rPr>
                <w:rFonts w:ascii="Times New Roman" w:eastAsia="Times New Roman" w:hAnsi="Times New Roman"/>
                <w:color w:val="000000"/>
              </w:rPr>
            </w:pPr>
            <w:r w:rsidRPr="002642A0">
              <w:rPr>
                <w:rFonts w:ascii="Times New Roman" w:eastAsia="Times New Roman" w:hAnsi="Times New Roman"/>
                <w:color w:val="000000"/>
              </w:rPr>
              <w:t>3 Years</w:t>
            </w:r>
          </w:p>
        </w:tc>
        <w:tc>
          <w:tcPr>
            <w:tcW w:w="1080" w:type="dxa"/>
            <w:tcBorders>
              <w:top w:val="single" w:sz="4" w:space="0" w:color="auto"/>
              <w:left w:val="nil"/>
              <w:bottom w:val="single" w:sz="4" w:space="0" w:color="auto"/>
              <w:right w:val="single" w:sz="4" w:space="0" w:color="auto"/>
            </w:tcBorders>
            <w:shd w:val="clear" w:color="000000" w:fill="BFBFBF"/>
            <w:noWrap/>
            <w:vAlign w:val="bottom"/>
            <w:hideMark/>
          </w:tcPr>
          <w:p w:rsidR="0033223F" w:rsidRPr="002642A0" w:rsidRDefault="0033223F" w:rsidP="00113BCF">
            <w:pPr>
              <w:jc w:val="center"/>
              <w:rPr>
                <w:rFonts w:ascii="Times New Roman" w:eastAsia="Times New Roman" w:hAnsi="Times New Roman"/>
                <w:color w:val="000000"/>
              </w:rPr>
            </w:pPr>
            <w:r w:rsidRPr="002642A0">
              <w:rPr>
                <w:rFonts w:ascii="Times New Roman" w:eastAsia="Times New Roman" w:hAnsi="Times New Roman"/>
                <w:color w:val="000000"/>
              </w:rPr>
              <w:t>4 Years</w:t>
            </w:r>
          </w:p>
        </w:tc>
        <w:tc>
          <w:tcPr>
            <w:tcW w:w="990" w:type="dxa"/>
            <w:tcBorders>
              <w:top w:val="single" w:sz="4" w:space="0" w:color="auto"/>
              <w:left w:val="nil"/>
              <w:bottom w:val="single" w:sz="4" w:space="0" w:color="auto"/>
              <w:right w:val="single" w:sz="4" w:space="0" w:color="auto"/>
            </w:tcBorders>
            <w:shd w:val="clear" w:color="000000" w:fill="BFBFBF"/>
            <w:noWrap/>
            <w:vAlign w:val="bottom"/>
            <w:hideMark/>
          </w:tcPr>
          <w:p w:rsidR="0033223F" w:rsidRPr="002642A0" w:rsidRDefault="0033223F" w:rsidP="00113BCF">
            <w:pPr>
              <w:jc w:val="center"/>
              <w:rPr>
                <w:rFonts w:ascii="Times New Roman" w:eastAsia="Times New Roman" w:hAnsi="Times New Roman"/>
                <w:color w:val="000000"/>
              </w:rPr>
            </w:pPr>
            <w:r w:rsidRPr="002642A0">
              <w:rPr>
                <w:rFonts w:ascii="Times New Roman" w:eastAsia="Times New Roman" w:hAnsi="Times New Roman"/>
                <w:color w:val="000000"/>
              </w:rPr>
              <w:t>5 Years</w:t>
            </w:r>
          </w:p>
        </w:tc>
        <w:tc>
          <w:tcPr>
            <w:tcW w:w="990" w:type="dxa"/>
            <w:tcBorders>
              <w:top w:val="single" w:sz="4" w:space="0" w:color="auto"/>
              <w:left w:val="nil"/>
              <w:bottom w:val="single" w:sz="4" w:space="0" w:color="auto"/>
              <w:right w:val="single" w:sz="4" w:space="0" w:color="auto"/>
            </w:tcBorders>
            <w:shd w:val="clear" w:color="000000" w:fill="BFBFBF"/>
            <w:noWrap/>
            <w:vAlign w:val="bottom"/>
            <w:hideMark/>
          </w:tcPr>
          <w:p w:rsidR="0033223F" w:rsidRPr="002642A0" w:rsidRDefault="0033223F" w:rsidP="00113BCF">
            <w:pPr>
              <w:jc w:val="center"/>
              <w:rPr>
                <w:rFonts w:ascii="Times New Roman" w:eastAsia="Times New Roman" w:hAnsi="Times New Roman"/>
                <w:color w:val="000000"/>
              </w:rPr>
            </w:pPr>
            <w:r w:rsidRPr="002642A0">
              <w:rPr>
                <w:rFonts w:ascii="Times New Roman" w:eastAsia="Times New Roman" w:hAnsi="Times New Roman"/>
                <w:color w:val="000000"/>
              </w:rPr>
              <w:t>6 Years</w:t>
            </w:r>
          </w:p>
        </w:tc>
      </w:tr>
      <w:tr w:rsidR="0033223F" w:rsidRPr="00E83CEE" w:rsidTr="00113BCF">
        <w:trPr>
          <w:trHeight w:val="300"/>
          <w:jc w:val="center"/>
        </w:trPr>
        <w:tc>
          <w:tcPr>
            <w:tcW w:w="1091" w:type="dxa"/>
            <w:tcBorders>
              <w:top w:val="nil"/>
              <w:left w:val="single" w:sz="4" w:space="0" w:color="auto"/>
              <w:bottom w:val="single" w:sz="4" w:space="0" w:color="auto"/>
              <w:right w:val="single" w:sz="4" w:space="0" w:color="auto"/>
            </w:tcBorders>
            <w:shd w:val="clear" w:color="auto" w:fill="auto"/>
            <w:noWrap/>
            <w:vAlign w:val="bottom"/>
            <w:hideMark/>
          </w:tcPr>
          <w:p w:rsidR="0033223F" w:rsidRPr="002642A0" w:rsidRDefault="0033223F" w:rsidP="00113BCF">
            <w:pPr>
              <w:jc w:val="center"/>
              <w:rPr>
                <w:rFonts w:ascii="Times New Roman" w:eastAsia="Times New Roman" w:hAnsi="Times New Roman"/>
                <w:color w:val="000000"/>
              </w:rPr>
            </w:pPr>
            <w:r w:rsidRPr="002642A0">
              <w:rPr>
                <w:rFonts w:ascii="Times New Roman" w:eastAsia="Times New Roman" w:hAnsi="Times New Roman"/>
                <w:color w:val="000000"/>
              </w:rPr>
              <w:t xml:space="preserve">        3,064 </w:t>
            </w:r>
          </w:p>
        </w:tc>
        <w:tc>
          <w:tcPr>
            <w:tcW w:w="1080" w:type="dxa"/>
            <w:tcBorders>
              <w:top w:val="nil"/>
              <w:left w:val="nil"/>
              <w:bottom w:val="single" w:sz="4" w:space="0" w:color="auto"/>
              <w:right w:val="single" w:sz="4" w:space="0" w:color="auto"/>
            </w:tcBorders>
            <w:shd w:val="clear" w:color="auto" w:fill="auto"/>
            <w:noWrap/>
            <w:vAlign w:val="bottom"/>
            <w:hideMark/>
          </w:tcPr>
          <w:p w:rsidR="0033223F" w:rsidRPr="002642A0" w:rsidRDefault="0033223F" w:rsidP="00113BCF">
            <w:pPr>
              <w:jc w:val="center"/>
              <w:rPr>
                <w:rFonts w:ascii="Times New Roman" w:eastAsia="Times New Roman" w:hAnsi="Times New Roman"/>
                <w:color w:val="000000"/>
              </w:rPr>
            </w:pPr>
            <w:r w:rsidRPr="002642A0">
              <w:rPr>
                <w:rFonts w:ascii="Times New Roman" w:eastAsia="Times New Roman" w:hAnsi="Times New Roman"/>
                <w:color w:val="000000"/>
              </w:rPr>
              <w:t xml:space="preserve">         2,224 </w:t>
            </w:r>
          </w:p>
        </w:tc>
        <w:tc>
          <w:tcPr>
            <w:tcW w:w="1080" w:type="dxa"/>
            <w:tcBorders>
              <w:top w:val="nil"/>
              <w:left w:val="nil"/>
              <w:bottom w:val="single" w:sz="4" w:space="0" w:color="auto"/>
              <w:right w:val="single" w:sz="4" w:space="0" w:color="auto"/>
            </w:tcBorders>
            <w:shd w:val="clear" w:color="auto" w:fill="auto"/>
            <w:noWrap/>
            <w:vAlign w:val="bottom"/>
            <w:hideMark/>
          </w:tcPr>
          <w:p w:rsidR="0033223F" w:rsidRPr="002642A0" w:rsidRDefault="0033223F" w:rsidP="00113BCF">
            <w:pPr>
              <w:jc w:val="center"/>
              <w:rPr>
                <w:rFonts w:ascii="Times New Roman" w:eastAsia="Times New Roman" w:hAnsi="Times New Roman"/>
                <w:color w:val="000000"/>
              </w:rPr>
            </w:pPr>
            <w:r w:rsidRPr="002642A0">
              <w:rPr>
                <w:rFonts w:ascii="Times New Roman" w:eastAsia="Times New Roman" w:hAnsi="Times New Roman"/>
                <w:color w:val="000000"/>
              </w:rPr>
              <w:t xml:space="preserve">         1,572 </w:t>
            </w:r>
          </w:p>
        </w:tc>
        <w:tc>
          <w:tcPr>
            <w:tcW w:w="990" w:type="dxa"/>
            <w:tcBorders>
              <w:top w:val="nil"/>
              <w:left w:val="nil"/>
              <w:bottom w:val="single" w:sz="4" w:space="0" w:color="auto"/>
              <w:right w:val="single" w:sz="4" w:space="0" w:color="auto"/>
            </w:tcBorders>
            <w:shd w:val="clear" w:color="auto" w:fill="auto"/>
            <w:noWrap/>
            <w:vAlign w:val="bottom"/>
            <w:hideMark/>
          </w:tcPr>
          <w:p w:rsidR="0033223F" w:rsidRPr="002642A0" w:rsidRDefault="0033223F" w:rsidP="00113BCF">
            <w:pPr>
              <w:jc w:val="center"/>
              <w:rPr>
                <w:rFonts w:ascii="Times New Roman" w:eastAsia="Times New Roman" w:hAnsi="Times New Roman"/>
                <w:color w:val="000000"/>
              </w:rPr>
            </w:pPr>
            <w:r w:rsidRPr="002642A0">
              <w:rPr>
                <w:rFonts w:ascii="Times New Roman" w:eastAsia="Times New Roman" w:hAnsi="Times New Roman"/>
                <w:color w:val="000000"/>
              </w:rPr>
              <w:t xml:space="preserve">         1,262 </w:t>
            </w:r>
          </w:p>
        </w:tc>
        <w:tc>
          <w:tcPr>
            <w:tcW w:w="990" w:type="dxa"/>
            <w:tcBorders>
              <w:top w:val="nil"/>
              <w:left w:val="nil"/>
              <w:bottom w:val="single" w:sz="4" w:space="0" w:color="auto"/>
              <w:right w:val="single" w:sz="4" w:space="0" w:color="auto"/>
            </w:tcBorders>
            <w:shd w:val="clear" w:color="auto" w:fill="auto"/>
            <w:noWrap/>
            <w:vAlign w:val="bottom"/>
            <w:hideMark/>
          </w:tcPr>
          <w:p w:rsidR="0033223F" w:rsidRPr="002642A0" w:rsidRDefault="0033223F" w:rsidP="00113BCF">
            <w:pPr>
              <w:jc w:val="center"/>
              <w:rPr>
                <w:rFonts w:ascii="Times New Roman" w:eastAsia="Times New Roman" w:hAnsi="Times New Roman"/>
                <w:color w:val="000000"/>
              </w:rPr>
            </w:pPr>
            <w:r w:rsidRPr="002642A0">
              <w:rPr>
                <w:rFonts w:ascii="Times New Roman" w:eastAsia="Times New Roman" w:hAnsi="Times New Roman"/>
                <w:color w:val="000000"/>
              </w:rPr>
              <w:t xml:space="preserve">         605 </w:t>
            </w:r>
          </w:p>
        </w:tc>
      </w:tr>
    </w:tbl>
    <w:p w:rsidR="0033223F" w:rsidRDefault="0033223F" w:rsidP="00D07712">
      <w:pPr>
        <w:rPr>
          <w:rFonts w:ascii="Times New Roman" w:eastAsiaTheme="minorHAnsi" w:hAnsi="Times New Roman"/>
          <w:szCs w:val="24"/>
        </w:rPr>
      </w:pPr>
    </w:p>
    <w:p w:rsidR="00113BCF" w:rsidRDefault="00113BCF" w:rsidP="00113BCF">
      <w:pPr>
        <w:pStyle w:val="ListParagraph"/>
        <w:numPr>
          <w:ilvl w:val="0"/>
          <w:numId w:val="4"/>
        </w:numPr>
        <w:rPr>
          <w:rFonts w:ascii="Times New Roman" w:eastAsiaTheme="minorHAnsi" w:hAnsi="Times New Roman"/>
          <w:b/>
          <w:szCs w:val="24"/>
        </w:rPr>
      </w:pPr>
      <w:r>
        <w:rPr>
          <w:rFonts w:ascii="Times New Roman" w:eastAsiaTheme="minorHAnsi" w:hAnsi="Times New Roman"/>
          <w:b/>
          <w:szCs w:val="24"/>
        </w:rPr>
        <w:t xml:space="preserve">The number and </w:t>
      </w:r>
      <w:r w:rsidRPr="00113BCF">
        <w:rPr>
          <w:rFonts w:ascii="Times New Roman" w:eastAsiaTheme="minorHAnsi" w:hAnsi="Times New Roman"/>
          <w:b/>
          <w:szCs w:val="24"/>
        </w:rPr>
        <w:t>proportion of low-income assistance customers who also receive low income weatherization, and the total number of customers who received low-income weatherization in each of the last five program years</w:t>
      </w:r>
      <w:r>
        <w:rPr>
          <w:rFonts w:ascii="Times New Roman" w:eastAsiaTheme="minorHAnsi" w:hAnsi="Times New Roman"/>
          <w:b/>
          <w:szCs w:val="24"/>
        </w:rPr>
        <w:t>.</w:t>
      </w:r>
    </w:p>
    <w:p w:rsidR="005F0246" w:rsidRDefault="005F0246" w:rsidP="005F0246">
      <w:pPr>
        <w:pStyle w:val="ListParagraph"/>
        <w:rPr>
          <w:rFonts w:ascii="Times New Roman" w:eastAsiaTheme="minorHAnsi" w:hAnsi="Times New Roman"/>
          <w:b/>
          <w:szCs w:val="24"/>
        </w:rPr>
      </w:pPr>
    </w:p>
    <w:p w:rsidR="00113BCF" w:rsidRPr="00113BCF" w:rsidRDefault="00113BCF" w:rsidP="00DA2879">
      <w:pPr>
        <w:rPr>
          <w:rFonts w:ascii="Times New Roman" w:eastAsiaTheme="minorHAnsi" w:hAnsi="Times New Roman"/>
          <w:szCs w:val="24"/>
        </w:rPr>
      </w:pPr>
      <w:r w:rsidRPr="00113BCF">
        <w:rPr>
          <w:rFonts w:ascii="Times New Roman" w:eastAsiaTheme="minorHAnsi" w:hAnsi="Times New Roman"/>
          <w:szCs w:val="24"/>
        </w:rPr>
        <w:t xml:space="preserve">The number of LIBA program participants residing in a home weatherized through Pacific Power’s Low Income Weatherization Program (Schedule 114), and the number of energy assistance recipients residing in weatherized homes are provided below.  </w:t>
      </w:r>
      <w:r w:rsidR="00391998">
        <w:rPr>
          <w:rFonts w:ascii="Times New Roman" w:eastAsiaTheme="minorHAnsi" w:hAnsi="Times New Roman"/>
          <w:szCs w:val="24"/>
        </w:rPr>
        <w:t>Note that t</w:t>
      </w:r>
      <w:r w:rsidRPr="00113BCF">
        <w:rPr>
          <w:rFonts w:ascii="Times New Roman" w:eastAsiaTheme="minorHAnsi" w:hAnsi="Times New Roman"/>
          <w:szCs w:val="24"/>
        </w:rPr>
        <w:t xml:space="preserve">his data represents </w:t>
      </w:r>
      <w:r w:rsidR="00391998">
        <w:rPr>
          <w:rFonts w:ascii="Times New Roman" w:eastAsiaTheme="minorHAnsi" w:hAnsi="Times New Roman"/>
          <w:szCs w:val="24"/>
        </w:rPr>
        <w:t xml:space="preserve">the number of </w:t>
      </w:r>
      <w:r w:rsidRPr="00113BCF">
        <w:rPr>
          <w:rFonts w:ascii="Times New Roman" w:eastAsiaTheme="minorHAnsi" w:hAnsi="Times New Roman"/>
          <w:szCs w:val="24"/>
        </w:rPr>
        <w:t xml:space="preserve">sites that were weatherized versus the </w:t>
      </w:r>
      <w:r w:rsidR="00391998">
        <w:rPr>
          <w:rFonts w:ascii="Times New Roman" w:eastAsiaTheme="minorHAnsi" w:hAnsi="Times New Roman"/>
          <w:szCs w:val="24"/>
        </w:rPr>
        <w:t xml:space="preserve">number of </w:t>
      </w:r>
      <w:r w:rsidRPr="00113BCF">
        <w:rPr>
          <w:rFonts w:ascii="Times New Roman" w:eastAsiaTheme="minorHAnsi" w:hAnsi="Times New Roman"/>
          <w:szCs w:val="24"/>
        </w:rPr>
        <w:t xml:space="preserve">weatherization program participants, </w:t>
      </w:r>
      <w:r w:rsidR="00391998">
        <w:rPr>
          <w:rFonts w:ascii="Times New Roman" w:eastAsiaTheme="minorHAnsi" w:hAnsi="Times New Roman"/>
          <w:szCs w:val="24"/>
        </w:rPr>
        <w:t>meaning that</w:t>
      </w:r>
      <w:r w:rsidR="00391998" w:rsidRPr="00113BCF">
        <w:rPr>
          <w:rFonts w:ascii="Times New Roman" w:eastAsiaTheme="minorHAnsi" w:hAnsi="Times New Roman"/>
          <w:szCs w:val="24"/>
        </w:rPr>
        <w:t xml:space="preserve"> </w:t>
      </w:r>
      <w:r w:rsidRPr="00113BCF">
        <w:rPr>
          <w:rFonts w:ascii="Times New Roman" w:eastAsiaTheme="minorHAnsi" w:hAnsi="Times New Roman"/>
          <w:szCs w:val="24"/>
        </w:rPr>
        <w:t xml:space="preserve">a home weatherized </w:t>
      </w:r>
      <w:r w:rsidR="00391998">
        <w:rPr>
          <w:rFonts w:ascii="Times New Roman" w:eastAsiaTheme="minorHAnsi" w:hAnsi="Times New Roman"/>
          <w:szCs w:val="24"/>
        </w:rPr>
        <w:t xml:space="preserve">through Schedule 114 </w:t>
      </w:r>
      <w:r w:rsidRPr="00113BCF">
        <w:rPr>
          <w:rFonts w:ascii="Times New Roman" w:eastAsiaTheme="minorHAnsi" w:hAnsi="Times New Roman"/>
          <w:szCs w:val="24"/>
        </w:rPr>
        <w:t xml:space="preserve">may be inhabited </w:t>
      </w:r>
      <w:r w:rsidR="00391998">
        <w:rPr>
          <w:rFonts w:ascii="Times New Roman" w:eastAsiaTheme="minorHAnsi" w:hAnsi="Times New Roman"/>
          <w:szCs w:val="24"/>
        </w:rPr>
        <w:t xml:space="preserve">in later years </w:t>
      </w:r>
      <w:r w:rsidRPr="00113BCF">
        <w:rPr>
          <w:rFonts w:ascii="Times New Roman" w:eastAsiaTheme="minorHAnsi" w:hAnsi="Times New Roman"/>
          <w:szCs w:val="24"/>
        </w:rPr>
        <w:t xml:space="preserve">by a family </w:t>
      </w:r>
      <w:r w:rsidR="005F0246">
        <w:rPr>
          <w:rFonts w:ascii="Times New Roman" w:eastAsiaTheme="minorHAnsi" w:hAnsi="Times New Roman"/>
          <w:szCs w:val="24"/>
        </w:rPr>
        <w:t xml:space="preserve">different </w:t>
      </w:r>
      <w:r w:rsidRPr="00113BCF">
        <w:rPr>
          <w:rFonts w:ascii="Times New Roman" w:eastAsiaTheme="minorHAnsi" w:hAnsi="Times New Roman"/>
          <w:szCs w:val="24"/>
        </w:rPr>
        <w:t>tha</w:t>
      </w:r>
      <w:r w:rsidR="005F0246">
        <w:rPr>
          <w:rFonts w:ascii="Times New Roman" w:eastAsiaTheme="minorHAnsi" w:hAnsi="Times New Roman"/>
          <w:szCs w:val="24"/>
        </w:rPr>
        <w:t>n</w:t>
      </w:r>
      <w:r w:rsidRPr="00113BCF">
        <w:rPr>
          <w:rFonts w:ascii="Times New Roman" w:eastAsiaTheme="minorHAnsi" w:hAnsi="Times New Roman"/>
          <w:szCs w:val="24"/>
        </w:rPr>
        <w:t xml:space="preserve"> </w:t>
      </w:r>
      <w:r w:rsidR="005F0246">
        <w:rPr>
          <w:rFonts w:ascii="Times New Roman" w:eastAsiaTheme="minorHAnsi" w:hAnsi="Times New Roman"/>
          <w:szCs w:val="24"/>
        </w:rPr>
        <w:t xml:space="preserve">the family that </w:t>
      </w:r>
      <w:r w:rsidRPr="00113BCF">
        <w:rPr>
          <w:rFonts w:ascii="Times New Roman" w:eastAsiaTheme="minorHAnsi" w:hAnsi="Times New Roman"/>
          <w:szCs w:val="24"/>
        </w:rPr>
        <w:t>received assistance.</w:t>
      </w:r>
    </w:p>
    <w:p w:rsidR="00113BCF" w:rsidRDefault="00113BCF" w:rsidP="00113BCF">
      <w:pPr>
        <w:rPr>
          <w:rFonts w:ascii="Times New Roman" w:eastAsiaTheme="minorHAnsi" w:hAnsi="Times New Roman"/>
          <w:szCs w:val="24"/>
        </w:rPr>
      </w:pPr>
    </w:p>
    <w:p w:rsidR="00113BCF" w:rsidRPr="00113BCF" w:rsidRDefault="00113BCF" w:rsidP="00DA2879">
      <w:pPr>
        <w:rPr>
          <w:rFonts w:ascii="Times New Roman" w:eastAsiaTheme="minorHAnsi" w:hAnsi="Times New Roman"/>
          <w:szCs w:val="24"/>
          <w:u w:val="single"/>
        </w:rPr>
      </w:pPr>
      <w:r w:rsidRPr="00113BCF">
        <w:rPr>
          <w:rFonts w:ascii="Times New Roman" w:eastAsiaTheme="minorHAnsi" w:hAnsi="Times New Roman"/>
          <w:szCs w:val="24"/>
          <w:u w:val="single"/>
        </w:rPr>
        <w:t>Weatherization and LIBA Participants</w:t>
      </w:r>
    </w:p>
    <w:p w:rsidR="00DA2879" w:rsidRDefault="00DA2879" w:rsidP="00113BCF">
      <w:pPr>
        <w:ind w:left="360"/>
        <w:rPr>
          <w:rFonts w:ascii="Times New Roman" w:eastAsiaTheme="minorHAnsi" w:hAnsi="Times New Roman"/>
          <w:szCs w:val="24"/>
        </w:rPr>
      </w:pPr>
    </w:p>
    <w:p w:rsidR="00113BCF" w:rsidRPr="00113BCF" w:rsidRDefault="00113BCF" w:rsidP="00DA2879">
      <w:pPr>
        <w:rPr>
          <w:rFonts w:ascii="Times New Roman" w:eastAsiaTheme="minorHAnsi" w:hAnsi="Times New Roman"/>
          <w:szCs w:val="24"/>
        </w:rPr>
      </w:pPr>
      <w:r w:rsidRPr="00113BCF">
        <w:rPr>
          <w:rFonts w:ascii="Times New Roman" w:eastAsiaTheme="minorHAnsi" w:hAnsi="Times New Roman"/>
          <w:szCs w:val="24"/>
        </w:rPr>
        <w:t xml:space="preserve">The first table illustrates the number of customers residing in a home with energy efficiency measures installed through Pacific Power’s Low Income Weatherization program in 2009-2013 and who also participated in the LIBA program. </w:t>
      </w:r>
    </w:p>
    <w:p w:rsidR="00113BCF" w:rsidRDefault="00113BCF" w:rsidP="00113BCF">
      <w:pPr>
        <w:ind w:firstLine="360"/>
        <w:rPr>
          <w:rFonts w:ascii="Times New Roman" w:eastAsiaTheme="minorHAnsi" w:hAnsi="Times New Roman"/>
          <w:szCs w:val="24"/>
        </w:rPr>
      </w:pPr>
    </w:p>
    <w:p w:rsidR="0033223F" w:rsidRDefault="00113BCF" w:rsidP="00DA2879">
      <w:pPr>
        <w:rPr>
          <w:rFonts w:ascii="Times New Roman" w:eastAsiaTheme="minorHAnsi" w:hAnsi="Times New Roman"/>
          <w:szCs w:val="24"/>
        </w:rPr>
      </w:pPr>
      <w:r w:rsidRPr="00113BCF">
        <w:rPr>
          <w:rFonts w:ascii="Times New Roman" w:eastAsiaTheme="minorHAnsi" w:hAnsi="Times New Roman"/>
          <w:szCs w:val="24"/>
        </w:rPr>
        <w:t xml:space="preserve">The first column indicates the calendar year in which a home was weatherized.  The number of customers living in these homes that participated in the LIBA program </w:t>
      </w:r>
      <w:r w:rsidR="00391998">
        <w:rPr>
          <w:rFonts w:ascii="Times New Roman" w:eastAsiaTheme="minorHAnsi" w:hAnsi="Times New Roman"/>
          <w:szCs w:val="24"/>
        </w:rPr>
        <w:t>is</w:t>
      </w:r>
      <w:r w:rsidR="00391998" w:rsidRPr="00113BCF">
        <w:rPr>
          <w:rFonts w:ascii="Times New Roman" w:eastAsiaTheme="minorHAnsi" w:hAnsi="Times New Roman"/>
          <w:szCs w:val="24"/>
        </w:rPr>
        <w:t xml:space="preserve"> </w:t>
      </w:r>
      <w:r w:rsidRPr="00113BCF">
        <w:rPr>
          <w:rFonts w:ascii="Times New Roman" w:eastAsiaTheme="minorHAnsi" w:hAnsi="Times New Roman"/>
          <w:szCs w:val="24"/>
        </w:rPr>
        <w:t xml:space="preserve">included by year. </w:t>
      </w:r>
      <w:r w:rsidR="005F0246">
        <w:rPr>
          <w:rFonts w:ascii="Times New Roman" w:eastAsiaTheme="minorHAnsi" w:hAnsi="Times New Roman"/>
          <w:szCs w:val="24"/>
        </w:rPr>
        <w:t xml:space="preserve"> </w:t>
      </w:r>
      <w:r w:rsidRPr="00113BCF">
        <w:rPr>
          <w:rFonts w:ascii="Times New Roman" w:eastAsiaTheme="minorHAnsi" w:hAnsi="Times New Roman"/>
          <w:szCs w:val="24"/>
        </w:rPr>
        <w:t>For example, of the homes weatherized in 2009</w:t>
      </w:r>
      <w:r w:rsidR="00391998">
        <w:rPr>
          <w:rFonts w:ascii="Times New Roman" w:eastAsiaTheme="minorHAnsi" w:hAnsi="Times New Roman"/>
          <w:szCs w:val="24"/>
        </w:rPr>
        <w:t>,</w:t>
      </w:r>
      <w:r w:rsidRPr="00113BCF">
        <w:rPr>
          <w:rFonts w:ascii="Times New Roman" w:eastAsiaTheme="minorHAnsi" w:hAnsi="Times New Roman"/>
          <w:szCs w:val="24"/>
        </w:rPr>
        <w:t xml:space="preserve"> a total of 23 customers living in these residences participated in LIBA in 2009 and 53 living in the homes participated in 2010.  Of the homes weatherized in 2010, a total of 16 customers living at these residences participated in LIBA in 2010 and 34 in 2011.</w:t>
      </w:r>
    </w:p>
    <w:p w:rsidR="00113BCF" w:rsidRDefault="00113BCF">
      <w:pPr>
        <w:spacing w:after="200" w:line="276" w:lineRule="auto"/>
        <w:rPr>
          <w:rFonts w:ascii="Times New Roman" w:eastAsiaTheme="minorHAnsi" w:hAnsi="Times New Roman"/>
          <w:szCs w:val="24"/>
        </w:rPr>
      </w:pPr>
      <w:r>
        <w:rPr>
          <w:rFonts w:ascii="Times New Roman" w:eastAsiaTheme="minorHAnsi" w:hAnsi="Times New Roman"/>
          <w:szCs w:val="24"/>
        </w:rPr>
        <w:br w:type="page"/>
      </w:r>
    </w:p>
    <w:p w:rsidR="0033223F" w:rsidRDefault="0033223F" w:rsidP="00D07712">
      <w:pPr>
        <w:rPr>
          <w:rFonts w:ascii="Times New Roman" w:eastAsiaTheme="minorHAnsi" w:hAnsi="Times New Roman"/>
          <w:szCs w:val="24"/>
        </w:rPr>
      </w:pPr>
    </w:p>
    <w:tbl>
      <w:tblPr>
        <w:tblW w:w="6805" w:type="dxa"/>
        <w:jc w:val="center"/>
        <w:tblInd w:w="828" w:type="dxa"/>
        <w:tblLook w:val="04A0" w:firstRow="1" w:lastRow="0" w:firstColumn="1" w:lastColumn="0" w:noHBand="0" w:noVBand="1"/>
      </w:tblPr>
      <w:tblGrid>
        <w:gridCol w:w="1085"/>
        <w:gridCol w:w="1000"/>
        <w:gridCol w:w="1000"/>
        <w:gridCol w:w="840"/>
        <w:gridCol w:w="960"/>
        <w:gridCol w:w="960"/>
        <w:gridCol w:w="960"/>
      </w:tblGrid>
      <w:tr w:rsidR="00113BCF" w:rsidRPr="00E83CEE" w:rsidTr="00113BCF">
        <w:trPr>
          <w:trHeight w:val="630"/>
          <w:jc w:val="center"/>
        </w:trPr>
        <w:tc>
          <w:tcPr>
            <w:tcW w:w="1085"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113BCF" w:rsidRPr="002642A0" w:rsidRDefault="00113BCF" w:rsidP="00113BCF">
            <w:pPr>
              <w:jc w:val="center"/>
              <w:rPr>
                <w:rFonts w:ascii="Times New Roman" w:eastAsia="Times New Roman" w:hAnsi="Times New Roman"/>
                <w:color w:val="000000"/>
              </w:rPr>
            </w:pPr>
            <w:r w:rsidRPr="002642A0">
              <w:rPr>
                <w:rFonts w:ascii="Times New Roman" w:eastAsia="Times New Roman" w:hAnsi="Times New Roman"/>
                <w:color w:val="000000"/>
              </w:rPr>
              <w:t>Calendar Year</w:t>
            </w:r>
          </w:p>
        </w:tc>
        <w:tc>
          <w:tcPr>
            <w:tcW w:w="1000" w:type="dxa"/>
            <w:tcBorders>
              <w:top w:val="single" w:sz="4" w:space="0" w:color="auto"/>
              <w:left w:val="nil"/>
              <w:bottom w:val="single" w:sz="4" w:space="0" w:color="auto"/>
              <w:right w:val="single" w:sz="4" w:space="0" w:color="auto"/>
            </w:tcBorders>
            <w:shd w:val="clear" w:color="000000" w:fill="C0C0C0"/>
            <w:noWrap/>
            <w:vAlign w:val="bottom"/>
            <w:hideMark/>
          </w:tcPr>
          <w:p w:rsidR="00113BCF" w:rsidRPr="002642A0" w:rsidRDefault="00113BCF" w:rsidP="00113BCF">
            <w:pPr>
              <w:jc w:val="center"/>
              <w:rPr>
                <w:rFonts w:ascii="Times New Roman" w:eastAsia="Times New Roman" w:hAnsi="Times New Roman"/>
                <w:color w:val="000000"/>
              </w:rPr>
            </w:pPr>
            <w:r w:rsidRPr="002642A0">
              <w:rPr>
                <w:rFonts w:ascii="Times New Roman" w:eastAsia="Times New Roman" w:hAnsi="Times New Roman"/>
                <w:color w:val="000000"/>
              </w:rPr>
              <w:t>2009</w:t>
            </w:r>
          </w:p>
        </w:tc>
        <w:tc>
          <w:tcPr>
            <w:tcW w:w="1000" w:type="dxa"/>
            <w:tcBorders>
              <w:top w:val="single" w:sz="4" w:space="0" w:color="auto"/>
              <w:left w:val="nil"/>
              <w:bottom w:val="single" w:sz="4" w:space="0" w:color="auto"/>
              <w:right w:val="single" w:sz="4" w:space="0" w:color="auto"/>
            </w:tcBorders>
            <w:shd w:val="clear" w:color="000000" w:fill="C0C0C0"/>
            <w:noWrap/>
            <w:vAlign w:val="bottom"/>
            <w:hideMark/>
          </w:tcPr>
          <w:p w:rsidR="00113BCF" w:rsidRPr="002642A0" w:rsidRDefault="00113BCF" w:rsidP="00113BCF">
            <w:pPr>
              <w:jc w:val="center"/>
              <w:rPr>
                <w:rFonts w:ascii="Times New Roman" w:eastAsia="Times New Roman" w:hAnsi="Times New Roman"/>
                <w:color w:val="000000"/>
              </w:rPr>
            </w:pPr>
            <w:r w:rsidRPr="002642A0">
              <w:rPr>
                <w:rFonts w:ascii="Times New Roman" w:eastAsia="Times New Roman" w:hAnsi="Times New Roman"/>
                <w:color w:val="000000"/>
              </w:rPr>
              <w:t>2010</w:t>
            </w:r>
          </w:p>
        </w:tc>
        <w:tc>
          <w:tcPr>
            <w:tcW w:w="840" w:type="dxa"/>
            <w:tcBorders>
              <w:top w:val="single" w:sz="4" w:space="0" w:color="auto"/>
              <w:left w:val="nil"/>
              <w:bottom w:val="single" w:sz="4" w:space="0" w:color="auto"/>
              <w:right w:val="single" w:sz="4" w:space="0" w:color="auto"/>
            </w:tcBorders>
            <w:shd w:val="clear" w:color="000000" w:fill="C0C0C0"/>
            <w:noWrap/>
            <w:vAlign w:val="bottom"/>
            <w:hideMark/>
          </w:tcPr>
          <w:p w:rsidR="00113BCF" w:rsidRPr="002642A0" w:rsidRDefault="00113BCF" w:rsidP="00113BCF">
            <w:pPr>
              <w:jc w:val="center"/>
              <w:rPr>
                <w:rFonts w:ascii="Times New Roman" w:eastAsia="Times New Roman" w:hAnsi="Times New Roman"/>
                <w:color w:val="000000"/>
              </w:rPr>
            </w:pPr>
            <w:r w:rsidRPr="002642A0">
              <w:rPr>
                <w:rFonts w:ascii="Times New Roman" w:eastAsia="Times New Roman" w:hAnsi="Times New Roman"/>
                <w:color w:val="000000"/>
              </w:rPr>
              <w:t>2011</w:t>
            </w:r>
          </w:p>
        </w:tc>
        <w:tc>
          <w:tcPr>
            <w:tcW w:w="960" w:type="dxa"/>
            <w:tcBorders>
              <w:top w:val="single" w:sz="4" w:space="0" w:color="auto"/>
              <w:left w:val="nil"/>
              <w:bottom w:val="single" w:sz="4" w:space="0" w:color="auto"/>
              <w:right w:val="single" w:sz="4" w:space="0" w:color="auto"/>
            </w:tcBorders>
            <w:shd w:val="clear" w:color="000000" w:fill="C0C0C0"/>
            <w:noWrap/>
            <w:vAlign w:val="bottom"/>
            <w:hideMark/>
          </w:tcPr>
          <w:p w:rsidR="00113BCF" w:rsidRPr="002642A0" w:rsidRDefault="00113BCF" w:rsidP="00113BCF">
            <w:pPr>
              <w:jc w:val="center"/>
              <w:rPr>
                <w:rFonts w:ascii="Times New Roman" w:eastAsia="Times New Roman" w:hAnsi="Times New Roman"/>
                <w:color w:val="000000"/>
              </w:rPr>
            </w:pPr>
            <w:r w:rsidRPr="002642A0">
              <w:rPr>
                <w:rFonts w:ascii="Times New Roman" w:eastAsia="Times New Roman" w:hAnsi="Times New Roman"/>
                <w:color w:val="000000"/>
              </w:rPr>
              <w:t>2012</w:t>
            </w:r>
          </w:p>
        </w:tc>
        <w:tc>
          <w:tcPr>
            <w:tcW w:w="960" w:type="dxa"/>
            <w:tcBorders>
              <w:top w:val="single" w:sz="4" w:space="0" w:color="auto"/>
              <w:left w:val="nil"/>
              <w:bottom w:val="single" w:sz="4" w:space="0" w:color="auto"/>
              <w:right w:val="single" w:sz="4" w:space="0" w:color="auto"/>
            </w:tcBorders>
            <w:shd w:val="clear" w:color="000000" w:fill="C0C0C0"/>
            <w:noWrap/>
            <w:vAlign w:val="bottom"/>
            <w:hideMark/>
          </w:tcPr>
          <w:p w:rsidR="00113BCF" w:rsidRPr="002642A0" w:rsidRDefault="00113BCF" w:rsidP="00113BCF">
            <w:pPr>
              <w:jc w:val="center"/>
              <w:rPr>
                <w:rFonts w:ascii="Times New Roman" w:eastAsia="Times New Roman" w:hAnsi="Times New Roman"/>
                <w:color w:val="000000"/>
              </w:rPr>
            </w:pPr>
            <w:r w:rsidRPr="002642A0">
              <w:rPr>
                <w:rFonts w:ascii="Times New Roman" w:eastAsia="Times New Roman" w:hAnsi="Times New Roman"/>
                <w:color w:val="000000"/>
              </w:rPr>
              <w:t>2013</w:t>
            </w:r>
          </w:p>
        </w:tc>
        <w:tc>
          <w:tcPr>
            <w:tcW w:w="960" w:type="dxa"/>
            <w:tcBorders>
              <w:top w:val="single" w:sz="4" w:space="0" w:color="auto"/>
              <w:left w:val="nil"/>
              <w:bottom w:val="single" w:sz="4" w:space="0" w:color="auto"/>
              <w:right w:val="single" w:sz="4" w:space="0" w:color="auto"/>
            </w:tcBorders>
            <w:shd w:val="clear" w:color="000000" w:fill="C0C0C0"/>
            <w:noWrap/>
            <w:vAlign w:val="bottom"/>
            <w:hideMark/>
          </w:tcPr>
          <w:p w:rsidR="00113BCF" w:rsidRPr="002642A0" w:rsidRDefault="00113BCF" w:rsidP="00113BCF">
            <w:pPr>
              <w:jc w:val="center"/>
              <w:rPr>
                <w:rFonts w:ascii="Times New Roman" w:eastAsia="Times New Roman" w:hAnsi="Times New Roman"/>
                <w:color w:val="000000"/>
              </w:rPr>
            </w:pPr>
            <w:r w:rsidRPr="002642A0">
              <w:rPr>
                <w:rFonts w:ascii="Times New Roman" w:eastAsia="Times New Roman" w:hAnsi="Times New Roman"/>
                <w:color w:val="000000"/>
              </w:rPr>
              <w:t>Jan-Apr 2014</w:t>
            </w:r>
          </w:p>
        </w:tc>
      </w:tr>
      <w:tr w:rsidR="00113BCF" w:rsidRPr="00E83CEE" w:rsidTr="00113BCF">
        <w:trPr>
          <w:trHeight w:val="315"/>
          <w:jc w:val="center"/>
        </w:trPr>
        <w:tc>
          <w:tcPr>
            <w:tcW w:w="1085" w:type="dxa"/>
            <w:tcBorders>
              <w:top w:val="nil"/>
              <w:left w:val="single" w:sz="4" w:space="0" w:color="auto"/>
              <w:bottom w:val="single" w:sz="4" w:space="0" w:color="auto"/>
              <w:right w:val="single" w:sz="4" w:space="0" w:color="auto"/>
            </w:tcBorders>
            <w:shd w:val="clear" w:color="auto" w:fill="auto"/>
            <w:vAlign w:val="bottom"/>
            <w:hideMark/>
          </w:tcPr>
          <w:p w:rsidR="00113BCF" w:rsidRPr="002642A0" w:rsidRDefault="00113BCF" w:rsidP="00113BCF">
            <w:pPr>
              <w:jc w:val="right"/>
              <w:rPr>
                <w:rFonts w:ascii="Times New Roman" w:eastAsia="Times New Roman" w:hAnsi="Times New Roman"/>
                <w:color w:val="000000"/>
              </w:rPr>
            </w:pPr>
            <w:r w:rsidRPr="002642A0">
              <w:rPr>
                <w:rFonts w:ascii="Times New Roman" w:eastAsia="Times New Roman" w:hAnsi="Times New Roman"/>
                <w:color w:val="000000"/>
              </w:rPr>
              <w:t>2009</w:t>
            </w:r>
          </w:p>
        </w:tc>
        <w:tc>
          <w:tcPr>
            <w:tcW w:w="1000" w:type="dxa"/>
            <w:tcBorders>
              <w:top w:val="nil"/>
              <w:left w:val="nil"/>
              <w:bottom w:val="single" w:sz="4" w:space="0" w:color="auto"/>
              <w:right w:val="single" w:sz="4" w:space="0" w:color="auto"/>
            </w:tcBorders>
            <w:shd w:val="clear" w:color="auto" w:fill="auto"/>
            <w:vAlign w:val="bottom"/>
            <w:hideMark/>
          </w:tcPr>
          <w:p w:rsidR="00113BCF" w:rsidRPr="002642A0" w:rsidRDefault="00113BCF" w:rsidP="00113BCF">
            <w:pPr>
              <w:jc w:val="right"/>
              <w:rPr>
                <w:rFonts w:ascii="Times New Roman" w:eastAsia="Times New Roman" w:hAnsi="Times New Roman"/>
                <w:color w:val="000000"/>
              </w:rPr>
            </w:pPr>
            <w:r w:rsidRPr="002642A0">
              <w:rPr>
                <w:rFonts w:ascii="Times New Roman" w:eastAsia="Times New Roman" w:hAnsi="Times New Roman"/>
                <w:color w:val="000000"/>
              </w:rPr>
              <w:t>23</w:t>
            </w:r>
          </w:p>
        </w:tc>
        <w:tc>
          <w:tcPr>
            <w:tcW w:w="1000" w:type="dxa"/>
            <w:tcBorders>
              <w:top w:val="nil"/>
              <w:left w:val="nil"/>
              <w:bottom w:val="single" w:sz="4" w:space="0" w:color="auto"/>
              <w:right w:val="single" w:sz="4" w:space="0" w:color="auto"/>
            </w:tcBorders>
            <w:shd w:val="clear" w:color="auto" w:fill="auto"/>
            <w:vAlign w:val="bottom"/>
            <w:hideMark/>
          </w:tcPr>
          <w:p w:rsidR="00113BCF" w:rsidRPr="002642A0" w:rsidRDefault="00113BCF" w:rsidP="00113BCF">
            <w:pPr>
              <w:jc w:val="right"/>
              <w:rPr>
                <w:rFonts w:ascii="Times New Roman" w:eastAsia="Times New Roman" w:hAnsi="Times New Roman"/>
                <w:color w:val="000000"/>
              </w:rPr>
            </w:pPr>
            <w:r w:rsidRPr="002642A0">
              <w:rPr>
                <w:rFonts w:ascii="Times New Roman" w:eastAsia="Times New Roman" w:hAnsi="Times New Roman"/>
                <w:color w:val="000000"/>
              </w:rPr>
              <w:t>53</w:t>
            </w:r>
          </w:p>
        </w:tc>
        <w:tc>
          <w:tcPr>
            <w:tcW w:w="840" w:type="dxa"/>
            <w:tcBorders>
              <w:top w:val="nil"/>
              <w:left w:val="nil"/>
              <w:bottom w:val="single" w:sz="4" w:space="0" w:color="auto"/>
              <w:right w:val="single" w:sz="4" w:space="0" w:color="auto"/>
            </w:tcBorders>
            <w:shd w:val="clear" w:color="auto" w:fill="auto"/>
            <w:vAlign w:val="bottom"/>
            <w:hideMark/>
          </w:tcPr>
          <w:p w:rsidR="00113BCF" w:rsidRPr="002642A0" w:rsidRDefault="00113BCF" w:rsidP="00113BCF">
            <w:pPr>
              <w:jc w:val="right"/>
              <w:rPr>
                <w:rFonts w:ascii="Times New Roman" w:eastAsia="Times New Roman" w:hAnsi="Times New Roman"/>
                <w:color w:val="000000"/>
              </w:rPr>
            </w:pPr>
            <w:r w:rsidRPr="002642A0">
              <w:rPr>
                <w:rFonts w:ascii="Times New Roman" w:eastAsia="Times New Roman" w:hAnsi="Times New Roman"/>
                <w:color w:val="000000"/>
              </w:rPr>
              <w:t>37</w:t>
            </w:r>
          </w:p>
        </w:tc>
        <w:tc>
          <w:tcPr>
            <w:tcW w:w="960" w:type="dxa"/>
            <w:tcBorders>
              <w:top w:val="nil"/>
              <w:left w:val="nil"/>
              <w:bottom w:val="single" w:sz="4" w:space="0" w:color="auto"/>
              <w:right w:val="single" w:sz="4" w:space="0" w:color="auto"/>
            </w:tcBorders>
            <w:shd w:val="clear" w:color="auto" w:fill="auto"/>
            <w:vAlign w:val="bottom"/>
            <w:hideMark/>
          </w:tcPr>
          <w:p w:rsidR="00113BCF" w:rsidRPr="002642A0" w:rsidRDefault="00113BCF" w:rsidP="00113BCF">
            <w:pPr>
              <w:jc w:val="right"/>
              <w:rPr>
                <w:rFonts w:ascii="Times New Roman" w:eastAsia="Times New Roman" w:hAnsi="Times New Roman"/>
                <w:color w:val="000000"/>
              </w:rPr>
            </w:pPr>
            <w:r w:rsidRPr="002642A0">
              <w:rPr>
                <w:rFonts w:ascii="Times New Roman" w:eastAsia="Times New Roman" w:hAnsi="Times New Roman"/>
                <w:color w:val="000000"/>
              </w:rPr>
              <w:t>46</w:t>
            </w:r>
          </w:p>
        </w:tc>
        <w:tc>
          <w:tcPr>
            <w:tcW w:w="960" w:type="dxa"/>
            <w:tcBorders>
              <w:top w:val="nil"/>
              <w:left w:val="nil"/>
              <w:bottom w:val="single" w:sz="4" w:space="0" w:color="auto"/>
              <w:right w:val="single" w:sz="4" w:space="0" w:color="auto"/>
            </w:tcBorders>
            <w:shd w:val="clear" w:color="auto" w:fill="auto"/>
            <w:vAlign w:val="bottom"/>
            <w:hideMark/>
          </w:tcPr>
          <w:p w:rsidR="00113BCF" w:rsidRPr="002642A0" w:rsidRDefault="00113BCF" w:rsidP="00113BCF">
            <w:pPr>
              <w:jc w:val="right"/>
              <w:rPr>
                <w:rFonts w:ascii="Times New Roman" w:eastAsia="Times New Roman" w:hAnsi="Times New Roman"/>
                <w:color w:val="000000"/>
              </w:rPr>
            </w:pPr>
            <w:r w:rsidRPr="002642A0">
              <w:rPr>
                <w:rFonts w:ascii="Times New Roman" w:eastAsia="Times New Roman" w:hAnsi="Times New Roman"/>
                <w:color w:val="000000"/>
              </w:rPr>
              <w:t>28</w:t>
            </w:r>
          </w:p>
        </w:tc>
        <w:tc>
          <w:tcPr>
            <w:tcW w:w="960" w:type="dxa"/>
            <w:tcBorders>
              <w:top w:val="nil"/>
              <w:left w:val="nil"/>
              <w:bottom w:val="single" w:sz="4" w:space="0" w:color="auto"/>
              <w:right w:val="single" w:sz="4" w:space="0" w:color="auto"/>
            </w:tcBorders>
            <w:shd w:val="clear" w:color="auto" w:fill="auto"/>
            <w:vAlign w:val="bottom"/>
            <w:hideMark/>
          </w:tcPr>
          <w:p w:rsidR="00113BCF" w:rsidRPr="002642A0" w:rsidRDefault="00113BCF" w:rsidP="00113BCF">
            <w:pPr>
              <w:jc w:val="right"/>
              <w:rPr>
                <w:rFonts w:ascii="Times New Roman" w:eastAsia="Times New Roman" w:hAnsi="Times New Roman"/>
                <w:color w:val="000000"/>
              </w:rPr>
            </w:pPr>
            <w:r w:rsidRPr="002642A0">
              <w:rPr>
                <w:rFonts w:ascii="Times New Roman" w:eastAsia="Times New Roman" w:hAnsi="Times New Roman"/>
                <w:color w:val="000000"/>
              </w:rPr>
              <w:t>18</w:t>
            </w:r>
          </w:p>
        </w:tc>
      </w:tr>
      <w:tr w:rsidR="00113BCF" w:rsidRPr="00E83CEE" w:rsidTr="00113BCF">
        <w:trPr>
          <w:trHeight w:val="315"/>
          <w:jc w:val="center"/>
        </w:trPr>
        <w:tc>
          <w:tcPr>
            <w:tcW w:w="1085" w:type="dxa"/>
            <w:tcBorders>
              <w:top w:val="nil"/>
              <w:left w:val="single" w:sz="4" w:space="0" w:color="auto"/>
              <w:bottom w:val="single" w:sz="4" w:space="0" w:color="auto"/>
              <w:right w:val="single" w:sz="4" w:space="0" w:color="auto"/>
            </w:tcBorders>
            <w:shd w:val="clear" w:color="auto" w:fill="auto"/>
            <w:vAlign w:val="bottom"/>
            <w:hideMark/>
          </w:tcPr>
          <w:p w:rsidR="00113BCF" w:rsidRPr="002642A0" w:rsidRDefault="00113BCF" w:rsidP="00113BCF">
            <w:pPr>
              <w:jc w:val="right"/>
              <w:rPr>
                <w:rFonts w:ascii="Times New Roman" w:eastAsia="Times New Roman" w:hAnsi="Times New Roman"/>
                <w:color w:val="000000"/>
              </w:rPr>
            </w:pPr>
            <w:r w:rsidRPr="002642A0">
              <w:rPr>
                <w:rFonts w:ascii="Times New Roman" w:eastAsia="Times New Roman" w:hAnsi="Times New Roman"/>
                <w:color w:val="000000"/>
              </w:rPr>
              <w:t>2010</w:t>
            </w:r>
          </w:p>
        </w:tc>
        <w:tc>
          <w:tcPr>
            <w:tcW w:w="1000" w:type="dxa"/>
            <w:tcBorders>
              <w:top w:val="nil"/>
              <w:left w:val="nil"/>
              <w:bottom w:val="single" w:sz="4" w:space="0" w:color="auto"/>
              <w:right w:val="single" w:sz="4" w:space="0" w:color="auto"/>
            </w:tcBorders>
            <w:shd w:val="clear" w:color="auto" w:fill="auto"/>
            <w:noWrap/>
            <w:vAlign w:val="bottom"/>
            <w:hideMark/>
          </w:tcPr>
          <w:p w:rsidR="00113BCF" w:rsidRPr="002642A0" w:rsidRDefault="00113BCF" w:rsidP="00113BCF">
            <w:pPr>
              <w:rPr>
                <w:rFonts w:ascii="Times New Roman" w:eastAsia="Times New Roman" w:hAnsi="Times New Roman"/>
                <w:color w:val="000000"/>
                <w:sz w:val="20"/>
              </w:rPr>
            </w:pPr>
            <w:r w:rsidRPr="002642A0">
              <w:rPr>
                <w:rFonts w:ascii="Times New Roman" w:eastAsia="Times New Roman" w:hAnsi="Times New Roman"/>
                <w:color w:val="000000"/>
                <w:sz w:val="20"/>
              </w:rPr>
              <w:t> </w:t>
            </w:r>
          </w:p>
        </w:tc>
        <w:tc>
          <w:tcPr>
            <w:tcW w:w="1000" w:type="dxa"/>
            <w:tcBorders>
              <w:top w:val="nil"/>
              <w:left w:val="nil"/>
              <w:bottom w:val="single" w:sz="4" w:space="0" w:color="auto"/>
              <w:right w:val="single" w:sz="4" w:space="0" w:color="auto"/>
            </w:tcBorders>
            <w:shd w:val="clear" w:color="auto" w:fill="auto"/>
            <w:vAlign w:val="bottom"/>
            <w:hideMark/>
          </w:tcPr>
          <w:p w:rsidR="00113BCF" w:rsidRPr="002642A0" w:rsidRDefault="00113BCF" w:rsidP="00113BCF">
            <w:pPr>
              <w:jc w:val="right"/>
              <w:rPr>
                <w:rFonts w:ascii="Times New Roman" w:eastAsia="Times New Roman" w:hAnsi="Times New Roman"/>
                <w:color w:val="000000"/>
              </w:rPr>
            </w:pPr>
            <w:r w:rsidRPr="002642A0">
              <w:rPr>
                <w:rFonts w:ascii="Times New Roman" w:eastAsia="Times New Roman" w:hAnsi="Times New Roman"/>
                <w:color w:val="000000"/>
              </w:rPr>
              <w:t>16</w:t>
            </w:r>
          </w:p>
        </w:tc>
        <w:tc>
          <w:tcPr>
            <w:tcW w:w="840" w:type="dxa"/>
            <w:tcBorders>
              <w:top w:val="nil"/>
              <w:left w:val="nil"/>
              <w:bottom w:val="single" w:sz="4" w:space="0" w:color="auto"/>
              <w:right w:val="single" w:sz="4" w:space="0" w:color="auto"/>
            </w:tcBorders>
            <w:shd w:val="clear" w:color="auto" w:fill="auto"/>
            <w:vAlign w:val="bottom"/>
            <w:hideMark/>
          </w:tcPr>
          <w:p w:rsidR="00113BCF" w:rsidRPr="002642A0" w:rsidRDefault="00113BCF" w:rsidP="00113BCF">
            <w:pPr>
              <w:jc w:val="right"/>
              <w:rPr>
                <w:rFonts w:ascii="Times New Roman" w:eastAsia="Times New Roman" w:hAnsi="Times New Roman"/>
                <w:color w:val="000000"/>
              </w:rPr>
            </w:pPr>
            <w:r w:rsidRPr="002642A0">
              <w:rPr>
                <w:rFonts w:ascii="Times New Roman" w:eastAsia="Times New Roman" w:hAnsi="Times New Roman"/>
                <w:color w:val="000000"/>
              </w:rPr>
              <w:t>34</w:t>
            </w:r>
          </w:p>
        </w:tc>
        <w:tc>
          <w:tcPr>
            <w:tcW w:w="960" w:type="dxa"/>
            <w:tcBorders>
              <w:top w:val="nil"/>
              <w:left w:val="nil"/>
              <w:bottom w:val="single" w:sz="4" w:space="0" w:color="auto"/>
              <w:right w:val="single" w:sz="4" w:space="0" w:color="auto"/>
            </w:tcBorders>
            <w:shd w:val="clear" w:color="auto" w:fill="auto"/>
            <w:vAlign w:val="bottom"/>
            <w:hideMark/>
          </w:tcPr>
          <w:p w:rsidR="00113BCF" w:rsidRPr="002642A0" w:rsidRDefault="00113BCF" w:rsidP="00113BCF">
            <w:pPr>
              <w:jc w:val="right"/>
              <w:rPr>
                <w:rFonts w:ascii="Times New Roman" w:eastAsia="Times New Roman" w:hAnsi="Times New Roman"/>
                <w:color w:val="000000"/>
              </w:rPr>
            </w:pPr>
            <w:r w:rsidRPr="002642A0">
              <w:rPr>
                <w:rFonts w:ascii="Times New Roman" w:eastAsia="Times New Roman" w:hAnsi="Times New Roman"/>
                <w:color w:val="000000"/>
              </w:rPr>
              <w:t>31</w:t>
            </w:r>
          </w:p>
        </w:tc>
        <w:tc>
          <w:tcPr>
            <w:tcW w:w="960" w:type="dxa"/>
            <w:tcBorders>
              <w:top w:val="nil"/>
              <w:left w:val="nil"/>
              <w:bottom w:val="single" w:sz="4" w:space="0" w:color="auto"/>
              <w:right w:val="single" w:sz="4" w:space="0" w:color="auto"/>
            </w:tcBorders>
            <w:shd w:val="clear" w:color="auto" w:fill="auto"/>
            <w:vAlign w:val="bottom"/>
            <w:hideMark/>
          </w:tcPr>
          <w:p w:rsidR="00113BCF" w:rsidRPr="002642A0" w:rsidRDefault="00113BCF" w:rsidP="00113BCF">
            <w:pPr>
              <w:jc w:val="right"/>
              <w:rPr>
                <w:rFonts w:ascii="Times New Roman" w:eastAsia="Times New Roman" w:hAnsi="Times New Roman"/>
                <w:color w:val="000000"/>
              </w:rPr>
            </w:pPr>
            <w:r w:rsidRPr="002642A0">
              <w:rPr>
                <w:rFonts w:ascii="Times New Roman" w:eastAsia="Times New Roman" w:hAnsi="Times New Roman"/>
                <w:color w:val="000000"/>
              </w:rPr>
              <w:t>20</w:t>
            </w:r>
          </w:p>
        </w:tc>
        <w:tc>
          <w:tcPr>
            <w:tcW w:w="960" w:type="dxa"/>
            <w:tcBorders>
              <w:top w:val="nil"/>
              <w:left w:val="nil"/>
              <w:bottom w:val="single" w:sz="4" w:space="0" w:color="auto"/>
              <w:right w:val="single" w:sz="4" w:space="0" w:color="auto"/>
            </w:tcBorders>
            <w:shd w:val="clear" w:color="auto" w:fill="auto"/>
            <w:vAlign w:val="bottom"/>
            <w:hideMark/>
          </w:tcPr>
          <w:p w:rsidR="00113BCF" w:rsidRPr="002642A0" w:rsidRDefault="00113BCF" w:rsidP="00113BCF">
            <w:pPr>
              <w:jc w:val="right"/>
              <w:rPr>
                <w:rFonts w:ascii="Times New Roman" w:eastAsia="Times New Roman" w:hAnsi="Times New Roman"/>
                <w:color w:val="000000"/>
              </w:rPr>
            </w:pPr>
            <w:r w:rsidRPr="002642A0">
              <w:rPr>
                <w:rFonts w:ascii="Times New Roman" w:eastAsia="Times New Roman" w:hAnsi="Times New Roman"/>
                <w:color w:val="000000"/>
              </w:rPr>
              <w:t>12</w:t>
            </w:r>
          </w:p>
        </w:tc>
      </w:tr>
      <w:tr w:rsidR="00113BCF" w:rsidRPr="00E83CEE" w:rsidTr="00113BCF">
        <w:trPr>
          <w:trHeight w:val="315"/>
          <w:jc w:val="center"/>
        </w:trPr>
        <w:tc>
          <w:tcPr>
            <w:tcW w:w="1085" w:type="dxa"/>
            <w:tcBorders>
              <w:top w:val="nil"/>
              <w:left w:val="single" w:sz="4" w:space="0" w:color="auto"/>
              <w:bottom w:val="single" w:sz="4" w:space="0" w:color="auto"/>
              <w:right w:val="single" w:sz="4" w:space="0" w:color="auto"/>
            </w:tcBorders>
            <w:shd w:val="clear" w:color="auto" w:fill="auto"/>
            <w:vAlign w:val="bottom"/>
            <w:hideMark/>
          </w:tcPr>
          <w:p w:rsidR="00113BCF" w:rsidRPr="002642A0" w:rsidRDefault="00113BCF" w:rsidP="00113BCF">
            <w:pPr>
              <w:jc w:val="right"/>
              <w:rPr>
                <w:rFonts w:ascii="Times New Roman" w:eastAsia="Times New Roman" w:hAnsi="Times New Roman"/>
                <w:color w:val="000000"/>
              </w:rPr>
            </w:pPr>
            <w:r w:rsidRPr="002642A0">
              <w:rPr>
                <w:rFonts w:ascii="Times New Roman" w:eastAsia="Times New Roman" w:hAnsi="Times New Roman"/>
                <w:color w:val="000000"/>
              </w:rPr>
              <w:t>2011</w:t>
            </w:r>
          </w:p>
        </w:tc>
        <w:tc>
          <w:tcPr>
            <w:tcW w:w="1000" w:type="dxa"/>
            <w:tcBorders>
              <w:top w:val="nil"/>
              <w:left w:val="nil"/>
              <w:bottom w:val="single" w:sz="4" w:space="0" w:color="auto"/>
              <w:right w:val="single" w:sz="4" w:space="0" w:color="auto"/>
            </w:tcBorders>
            <w:shd w:val="clear" w:color="auto" w:fill="auto"/>
            <w:noWrap/>
            <w:vAlign w:val="bottom"/>
            <w:hideMark/>
          </w:tcPr>
          <w:p w:rsidR="00113BCF" w:rsidRPr="002642A0" w:rsidRDefault="00113BCF" w:rsidP="00113BCF">
            <w:pPr>
              <w:rPr>
                <w:rFonts w:ascii="Times New Roman" w:eastAsia="Times New Roman" w:hAnsi="Times New Roman"/>
                <w:color w:val="000000"/>
                <w:sz w:val="20"/>
              </w:rPr>
            </w:pPr>
            <w:r w:rsidRPr="002642A0">
              <w:rPr>
                <w:rFonts w:ascii="Times New Roman" w:eastAsia="Times New Roman" w:hAnsi="Times New Roman"/>
                <w:color w:val="000000"/>
                <w:sz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113BCF" w:rsidRPr="002642A0" w:rsidRDefault="00113BCF" w:rsidP="00113BCF">
            <w:pPr>
              <w:rPr>
                <w:rFonts w:ascii="Times New Roman" w:eastAsia="Times New Roman" w:hAnsi="Times New Roman"/>
                <w:color w:val="000000"/>
                <w:sz w:val="20"/>
              </w:rPr>
            </w:pPr>
            <w:r w:rsidRPr="002642A0">
              <w:rPr>
                <w:rFonts w:ascii="Times New Roman" w:eastAsia="Times New Roman" w:hAnsi="Times New Roman"/>
                <w:color w:val="000000"/>
                <w:sz w:val="20"/>
              </w:rPr>
              <w:t> </w:t>
            </w:r>
          </w:p>
        </w:tc>
        <w:tc>
          <w:tcPr>
            <w:tcW w:w="840" w:type="dxa"/>
            <w:tcBorders>
              <w:top w:val="nil"/>
              <w:left w:val="nil"/>
              <w:bottom w:val="single" w:sz="4" w:space="0" w:color="auto"/>
              <w:right w:val="single" w:sz="4" w:space="0" w:color="auto"/>
            </w:tcBorders>
            <w:shd w:val="clear" w:color="auto" w:fill="auto"/>
            <w:vAlign w:val="bottom"/>
            <w:hideMark/>
          </w:tcPr>
          <w:p w:rsidR="00113BCF" w:rsidRPr="002642A0" w:rsidRDefault="00113BCF" w:rsidP="00113BCF">
            <w:pPr>
              <w:jc w:val="right"/>
              <w:rPr>
                <w:rFonts w:ascii="Times New Roman" w:eastAsia="Times New Roman" w:hAnsi="Times New Roman"/>
                <w:color w:val="000000"/>
              </w:rPr>
            </w:pPr>
            <w:r w:rsidRPr="002642A0">
              <w:rPr>
                <w:rFonts w:ascii="Times New Roman" w:eastAsia="Times New Roman" w:hAnsi="Times New Roman"/>
                <w:color w:val="000000"/>
              </w:rPr>
              <w:t>27</w:t>
            </w:r>
          </w:p>
        </w:tc>
        <w:tc>
          <w:tcPr>
            <w:tcW w:w="960" w:type="dxa"/>
            <w:tcBorders>
              <w:top w:val="nil"/>
              <w:left w:val="nil"/>
              <w:bottom w:val="single" w:sz="4" w:space="0" w:color="auto"/>
              <w:right w:val="single" w:sz="4" w:space="0" w:color="auto"/>
            </w:tcBorders>
            <w:shd w:val="clear" w:color="auto" w:fill="auto"/>
            <w:vAlign w:val="bottom"/>
            <w:hideMark/>
          </w:tcPr>
          <w:p w:rsidR="00113BCF" w:rsidRPr="002642A0" w:rsidRDefault="00113BCF" w:rsidP="00113BCF">
            <w:pPr>
              <w:jc w:val="right"/>
              <w:rPr>
                <w:rFonts w:ascii="Times New Roman" w:eastAsia="Times New Roman" w:hAnsi="Times New Roman"/>
                <w:color w:val="000000"/>
              </w:rPr>
            </w:pPr>
            <w:r w:rsidRPr="002642A0">
              <w:rPr>
                <w:rFonts w:ascii="Times New Roman" w:eastAsia="Times New Roman" w:hAnsi="Times New Roman"/>
                <w:color w:val="000000"/>
              </w:rPr>
              <w:t>53</w:t>
            </w:r>
          </w:p>
        </w:tc>
        <w:tc>
          <w:tcPr>
            <w:tcW w:w="960" w:type="dxa"/>
            <w:tcBorders>
              <w:top w:val="nil"/>
              <w:left w:val="nil"/>
              <w:bottom w:val="single" w:sz="4" w:space="0" w:color="auto"/>
              <w:right w:val="single" w:sz="4" w:space="0" w:color="auto"/>
            </w:tcBorders>
            <w:shd w:val="clear" w:color="auto" w:fill="auto"/>
            <w:vAlign w:val="bottom"/>
            <w:hideMark/>
          </w:tcPr>
          <w:p w:rsidR="00113BCF" w:rsidRPr="002642A0" w:rsidRDefault="00113BCF" w:rsidP="00113BCF">
            <w:pPr>
              <w:jc w:val="right"/>
              <w:rPr>
                <w:rFonts w:ascii="Times New Roman" w:eastAsia="Times New Roman" w:hAnsi="Times New Roman"/>
                <w:color w:val="000000"/>
              </w:rPr>
            </w:pPr>
            <w:r w:rsidRPr="002642A0">
              <w:rPr>
                <w:rFonts w:ascii="Times New Roman" w:eastAsia="Times New Roman" w:hAnsi="Times New Roman"/>
                <w:color w:val="000000"/>
              </w:rPr>
              <w:t>45</w:t>
            </w:r>
          </w:p>
        </w:tc>
        <w:tc>
          <w:tcPr>
            <w:tcW w:w="960" w:type="dxa"/>
            <w:tcBorders>
              <w:top w:val="nil"/>
              <w:left w:val="nil"/>
              <w:bottom w:val="single" w:sz="4" w:space="0" w:color="auto"/>
              <w:right w:val="single" w:sz="4" w:space="0" w:color="auto"/>
            </w:tcBorders>
            <w:shd w:val="clear" w:color="auto" w:fill="auto"/>
            <w:vAlign w:val="bottom"/>
            <w:hideMark/>
          </w:tcPr>
          <w:p w:rsidR="00113BCF" w:rsidRPr="002642A0" w:rsidRDefault="00113BCF" w:rsidP="00113BCF">
            <w:pPr>
              <w:jc w:val="right"/>
              <w:rPr>
                <w:rFonts w:ascii="Times New Roman" w:eastAsia="Times New Roman" w:hAnsi="Times New Roman"/>
                <w:color w:val="000000"/>
              </w:rPr>
            </w:pPr>
            <w:r w:rsidRPr="002642A0">
              <w:rPr>
                <w:rFonts w:ascii="Times New Roman" w:eastAsia="Times New Roman" w:hAnsi="Times New Roman"/>
                <w:color w:val="000000"/>
              </w:rPr>
              <w:t>19</w:t>
            </w:r>
          </w:p>
        </w:tc>
      </w:tr>
      <w:tr w:rsidR="00113BCF" w:rsidRPr="00E83CEE" w:rsidTr="00113BCF">
        <w:trPr>
          <w:trHeight w:val="315"/>
          <w:jc w:val="center"/>
        </w:trPr>
        <w:tc>
          <w:tcPr>
            <w:tcW w:w="1085" w:type="dxa"/>
            <w:tcBorders>
              <w:top w:val="nil"/>
              <w:left w:val="single" w:sz="4" w:space="0" w:color="auto"/>
              <w:bottom w:val="single" w:sz="4" w:space="0" w:color="auto"/>
              <w:right w:val="single" w:sz="4" w:space="0" w:color="auto"/>
            </w:tcBorders>
            <w:shd w:val="clear" w:color="auto" w:fill="auto"/>
            <w:vAlign w:val="bottom"/>
            <w:hideMark/>
          </w:tcPr>
          <w:p w:rsidR="00113BCF" w:rsidRPr="002642A0" w:rsidRDefault="00113BCF" w:rsidP="00113BCF">
            <w:pPr>
              <w:jc w:val="right"/>
              <w:rPr>
                <w:rFonts w:ascii="Times New Roman" w:eastAsia="Times New Roman" w:hAnsi="Times New Roman"/>
                <w:color w:val="000000"/>
              </w:rPr>
            </w:pPr>
            <w:r w:rsidRPr="002642A0">
              <w:rPr>
                <w:rFonts w:ascii="Times New Roman" w:eastAsia="Times New Roman" w:hAnsi="Times New Roman"/>
                <w:color w:val="000000"/>
              </w:rPr>
              <w:t>2012</w:t>
            </w:r>
          </w:p>
        </w:tc>
        <w:tc>
          <w:tcPr>
            <w:tcW w:w="1000" w:type="dxa"/>
            <w:tcBorders>
              <w:top w:val="nil"/>
              <w:left w:val="nil"/>
              <w:bottom w:val="single" w:sz="4" w:space="0" w:color="auto"/>
              <w:right w:val="single" w:sz="4" w:space="0" w:color="auto"/>
            </w:tcBorders>
            <w:shd w:val="clear" w:color="auto" w:fill="auto"/>
            <w:noWrap/>
            <w:vAlign w:val="bottom"/>
            <w:hideMark/>
          </w:tcPr>
          <w:p w:rsidR="00113BCF" w:rsidRPr="002642A0" w:rsidRDefault="00113BCF" w:rsidP="00113BCF">
            <w:pPr>
              <w:rPr>
                <w:rFonts w:ascii="Times New Roman" w:eastAsia="Times New Roman" w:hAnsi="Times New Roman"/>
                <w:color w:val="000000"/>
                <w:sz w:val="20"/>
              </w:rPr>
            </w:pPr>
            <w:r w:rsidRPr="002642A0">
              <w:rPr>
                <w:rFonts w:ascii="Times New Roman" w:eastAsia="Times New Roman" w:hAnsi="Times New Roman"/>
                <w:color w:val="000000"/>
                <w:sz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113BCF" w:rsidRPr="002642A0" w:rsidRDefault="00113BCF" w:rsidP="00113BCF">
            <w:pPr>
              <w:rPr>
                <w:rFonts w:ascii="Times New Roman" w:eastAsia="Times New Roman" w:hAnsi="Times New Roman"/>
                <w:color w:val="000000"/>
                <w:sz w:val="20"/>
              </w:rPr>
            </w:pPr>
            <w:r w:rsidRPr="002642A0">
              <w:rPr>
                <w:rFonts w:ascii="Times New Roman" w:eastAsia="Times New Roman" w:hAnsi="Times New Roman"/>
                <w:color w:val="000000"/>
                <w:sz w:val="20"/>
              </w:rPr>
              <w:t> </w:t>
            </w:r>
          </w:p>
        </w:tc>
        <w:tc>
          <w:tcPr>
            <w:tcW w:w="840" w:type="dxa"/>
            <w:tcBorders>
              <w:top w:val="nil"/>
              <w:left w:val="nil"/>
              <w:bottom w:val="single" w:sz="4" w:space="0" w:color="auto"/>
              <w:right w:val="single" w:sz="4" w:space="0" w:color="auto"/>
            </w:tcBorders>
            <w:shd w:val="clear" w:color="auto" w:fill="auto"/>
            <w:noWrap/>
            <w:vAlign w:val="bottom"/>
            <w:hideMark/>
          </w:tcPr>
          <w:p w:rsidR="00113BCF" w:rsidRPr="002642A0" w:rsidRDefault="00113BCF" w:rsidP="00113BCF">
            <w:pPr>
              <w:rPr>
                <w:rFonts w:ascii="Times New Roman" w:eastAsia="Times New Roman" w:hAnsi="Times New Roman"/>
                <w:color w:val="000000"/>
                <w:sz w:val="20"/>
              </w:rPr>
            </w:pPr>
            <w:r w:rsidRPr="002642A0">
              <w:rPr>
                <w:rFonts w:ascii="Times New Roman" w:eastAsia="Times New Roman" w:hAnsi="Times New Roman"/>
                <w:color w:val="000000"/>
                <w:sz w:val="20"/>
              </w:rPr>
              <w:t> </w:t>
            </w:r>
          </w:p>
        </w:tc>
        <w:tc>
          <w:tcPr>
            <w:tcW w:w="960" w:type="dxa"/>
            <w:tcBorders>
              <w:top w:val="nil"/>
              <w:left w:val="nil"/>
              <w:bottom w:val="single" w:sz="4" w:space="0" w:color="auto"/>
              <w:right w:val="single" w:sz="4" w:space="0" w:color="auto"/>
            </w:tcBorders>
            <w:shd w:val="clear" w:color="auto" w:fill="auto"/>
            <w:vAlign w:val="bottom"/>
            <w:hideMark/>
          </w:tcPr>
          <w:p w:rsidR="00113BCF" w:rsidRPr="002642A0" w:rsidRDefault="00113BCF" w:rsidP="00113BCF">
            <w:pPr>
              <w:jc w:val="right"/>
              <w:rPr>
                <w:rFonts w:ascii="Times New Roman" w:eastAsia="Times New Roman" w:hAnsi="Times New Roman"/>
                <w:color w:val="000000"/>
              </w:rPr>
            </w:pPr>
            <w:r w:rsidRPr="002642A0">
              <w:rPr>
                <w:rFonts w:ascii="Times New Roman" w:eastAsia="Times New Roman" w:hAnsi="Times New Roman"/>
                <w:color w:val="000000"/>
              </w:rPr>
              <w:t>24</w:t>
            </w:r>
          </w:p>
        </w:tc>
        <w:tc>
          <w:tcPr>
            <w:tcW w:w="960" w:type="dxa"/>
            <w:tcBorders>
              <w:top w:val="nil"/>
              <w:left w:val="nil"/>
              <w:bottom w:val="single" w:sz="4" w:space="0" w:color="auto"/>
              <w:right w:val="single" w:sz="4" w:space="0" w:color="auto"/>
            </w:tcBorders>
            <w:shd w:val="clear" w:color="auto" w:fill="auto"/>
            <w:vAlign w:val="bottom"/>
            <w:hideMark/>
          </w:tcPr>
          <w:p w:rsidR="00113BCF" w:rsidRPr="002642A0" w:rsidRDefault="00113BCF" w:rsidP="00113BCF">
            <w:pPr>
              <w:jc w:val="right"/>
              <w:rPr>
                <w:rFonts w:ascii="Times New Roman" w:eastAsia="Times New Roman" w:hAnsi="Times New Roman"/>
                <w:color w:val="000000"/>
              </w:rPr>
            </w:pPr>
            <w:r w:rsidRPr="002642A0">
              <w:rPr>
                <w:rFonts w:ascii="Times New Roman" w:eastAsia="Times New Roman" w:hAnsi="Times New Roman"/>
                <w:color w:val="000000"/>
              </w:rPr>
              <w:t>48</w:t>
            </w:r>
          </w:p>
        </w:tc>
        <w:tc>
          <w:tcPr>
            <w:tcW w:w="960" w:type="dxa"/>
            <w:tcBorders>
              <w:top w:val="nil"/>
              <w:left w:val="nil"/>
              <w:bottom w:val="single" w:sz="4" w:space="0" w:color="auto"/>
              <w:right w:val="single" w:sz="4" w:space="0" w:color="auto"/>
            </w:tcBorders>
            <w:shd w:val="clear" w:color="auto" w:fill="auto"/>
            <w:vAlign w:val="bottom"/>
            <w:hideMark/>
          </w:tcPr>
          <w:p w:rsidR="00113BCF" w:rsidRPr="002642A0" w:rsidRDefault="00113BCF" w:rsidP="00113BCF">
            <w:pPr>
              <w:jc w:val="right"/>
              <w:rPr>
                <w:rFonts w:ascii="Times New Roman" w:eastAsia="Times New Roman" w:hAnsi="Times New Roman"/>
                <w:color w:val="000000"/>
              </w:rPr>
            </w:pPr>
            <w:r w:rsidRPr="002642A0">
              <w:rPr>
                <w:rFonts w:ascii="Times New Roman" w:eastAsia="Times New Roman" w:hAnsi="Times New Roman"/>
                <w:color w:val="000000"/>
              </w:rPr>
              <w:t>24</w:t>
            </w:r>
          </w:p>
        </w:tc>
      </w:tr>
      <w:tr w:rsidR="00113BCF" w:rsidRPr="00E83CEE" w:rsidTr="00113BCF">
        <w:trPr>
          <w:trHeight w:val="315"/>
          <w:jc w:val="center"/>
        </w:trPr>
        <w:tc>
          <w:tcPr>
            <w:tcW w:w="1085" w:type="dxa"/>
            <w:tcBorders>
              <w:top w:val="nil"/>
              <w:left w:val="single" w:sz="4" w:space="0" w:color="auto"/>
              <w:bottom w:val="single" w:sz="4" w:space="0" w:color="auto"/>
              <w:right w:val="single" w:sz="4" w:space="0" w:color="auto"/>
            </w:tcBorders>
            <w:shd w:val="clear" w:color="auto" w:fill="auto"/>
            <w:vAlign w:val="bottom"/>
            <w:hideMark/>
          </w:tcPr>
          <w:p w:rsidR="00113BCF" w:rsidRPr="002642A0" w:rsidRDefault="00113BCF" w:rsidP="00113BCF">
            <w:pPr>
              <w:jc w:val="right"/>
              <w:rPr>
                <w:rFonts w:ascii="Times New Roman" w:eastAsia="Times New Roman" w:hAnsi="Times New Roman"/>
                <w:color w:val="000000"/>
              </w:rPr>
            </w:pPr>
            <w:r w:rsidRPr="002642A0">
              <w:rPr>
                <w:rFonts w:ascii="Times New Roman" w:eastAsia="Times New Roman" w:hAnsi="Times New Roman"/>
                <w:color w:val="000000"/>
              </w:rPr>
              <w:t>2013</w:t>
            </w:r>
          </w:p>
        </w:tc>
        <w:tc>
          <w:tcPr>
            <w:tcW w:w="1000" w:type="dxa"/>
            <w:tcBorders>
              <w:top w:val="nil"/>
              <w:left w:val="nil"/>
              <w:bottom w:val="single" w:sz="4" w:space="0" w:color="auto"/>
              <w:right w:val="single" w:sz="4" w:space="0" w:color="auto"/>
            </w:tcBorders>
            <w:shd w:val="clear" w:color="auto" w:fill="auto"/>
            <w:noWrap/>
            <w:vAlign w:val="bottom"/>
            <w:hideMark/>
          </w:tcPr>
          <w:p w:rsidR="00113BCF" w:rsidRPr="002642A0" w:rsidRDefault="00113BCF" w:rsidP="00113BCF">
            <w:pPr>
              <w:rPr>
                <w:rFonts w:ascii="Times New Roman" w:eastAsia="Times New Roman" w:hAnsi="Times New Roman"/>
                <w:color w:val="000000"/>
                <w:sz w:val="20"/>
              </w:rPr>
            </w:pPr>
            <w:r w:rsidRPr="002642A0">
              <w:rPr>
                <w:rFonts w:ascii="Times New Roman" w:eastAsia="Times New Roman" w:hAnsi="Times New Roman"/>
                <w:color w:val="000000"/>
                <w:sz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113BCF" w:rsidRPr="002642A0" w:rsidRDefault="00113BCF" w:rsidP="00113BCF">
            <w:pPr>
              <w:rPr>
                <w:rFonts w:ascii="Times New Roman" w:eastAsia="Times New Roman" w:hAnsi="Times New Roman"/>
                <w:color w:val="000000"/>
                <w:sz w:val="20"/>
              </w:rPr>
            </w:pPr>
            <w:r w:rsidRPr="002642A0">
              <w:rPr>
                <w:rFonts w:ascii="Times New Roman" w:eastAsia="Times New Roman" w:hAnsi="Times New Roman"/>
                <w:color w:val="000000"/>
                <w:sz w:val="20"/>
              </w:rPr>
              <w:t> </w:t>
            </w:r>
          </w:p>
        </w:tc>
        <w:tc>
          <w:tcPr>
            <w:tcW w:w="840" w:type="dxa"/>
            <w:tcBorders>
              <w:top w:val="nil"/>
              <w:left w:val="nil"/>
              <w:bottom w:val="single" w:sz="4" w:space="0" w:color="auto"/>
              <w:right w:val="single" w:sz="4" w:space="0" w:color="auto"/>
            </w:tcBorders>
            <w:shd w:val="clear" w:color="auto" w:fill="auto"/>
            <w:noWrap/>
            <w:vAlign w:val="bottom"/>
            <w:hideMark/>
          </w:tcPr>
          <w:p w:rsidR="00113BCF" w:rsidRPr="002642A0" w:rsidRDefault="00113BCF" w:rsidP="00113BCF">
            <w:pPr>
              <w:rPr>
                <w:rFonts w:ascii="Times New Roman" w:eastAsia="Times New Roman" w:hAnsi="Times New Roman"/>
                <w:color w:val="000000"/>
                <w:sz w:val="20"/>
              </w:rPr>
            </w:pPr>
            <w:r w:rsidRPr="002642A0">
              <w:rPr>
                <w:rFonts w:ascii="Times New Roman" w:eastAsia="Times New Roman" w:hAnsi="Times New Roman"/>
                <w:color w:val="000000"/>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113BCF" w:rsidRPr="002642A0" w:rsidRDefault="00113BCF" w:rsidP="00113BCF">
            <w:pPr>
              <w:rPr>
                <w:rFonts w:ascii="Times New Roman" w:eastAsia="Times New Roman" w:hAnsi="Times New Roman"/>
                <w:color w:val="000000"/>
                <w:sz w:val="20"/>
              </w:rPr>
            </w:pPr>
            <w:r w:rsidRPr="002642A0">
              <w:rPr>
                <w:rFonts w:ascii="Times New Roman" w:eastAsia="Times New Roman" w:hAnsi="Times New Roman"/>
                <w:color w:val="000000"/>
                <w:sz w:val="20"/>
              </w:rPr>
              <w:t> </w:t>
            </w:r>
          </w:p>
        </w:tc>
        <w:tc>
          <w:tcPr>
            <w:tcW w:w="960" w:type="dxa"/>
            <w:tcBorders>
              <w:top w:val="nil"/>
              <w:left w:val="nil"/>
              <w:bottom w:val="single" w:sz="4" w:space="0" w:color="auto"/>
              <w:right w:val="single" w:sz="4" w:space="0" w:color="auto"/>
            </w:tcBorders>
            <w:shd w:val="clear" w:color="auto" w:fill="auto"/>
            <w:vAlign w:val="bottom"/>
            <w:hideMark/>
          </w:tcPr>
          <w:p w:rsidR="00113BCF" w:rsidRPr="002642A0" w:rsidRDefault="00113BCF" w:rsidP="00113BCF">
            <w:pPr>
              <w:jc w:val="right"/>
              <w:rPr>
                <w:rFonts w:ascii="Times New Roman" w:eastAsia="Times New Roman" w:hAnsi="Times New Roman"/>
                <w:color w:val="000000"/>
              </w:rPr>
            </w:pPr>
            <w:r w:rsidRPr="002642A0">
              <w:rPr>
                <w:rFonts w:ascii="Times New Roman" w:eastAsia="Times New Roman" w:hAnsi="Times New Roman"/>
                <w:color w:val="000000"/>
              </w:rPr>
              <w:t>26</w:t>
            </w:r>
          </w:p>
        </w:tc>
        <w:tc>
          <w:tcPr>
            <w:tcW w:w="960" w:type="dxa"/>
            <w:tcBorders>
              <w:top w:val="nil"/>
              <w:left w:val="nil"/>
              <w:bottom w:val="single" w:sz="4" w:space="0" w:color="auto"/>
              <w:right w:val="single" w:sz="4" w:space="0" w:color="auto"/>
            </w:tcBorders>
            <w:shd w:val="clear" w:color="auto" w:fill="auto"/>
            <w:vAlign w:val="bottom"/>
            <w:hideMark/>
          </w:tcPr>
          <w:p w:rsidR="00113BCF" w:rsidRPr="002642A0" w:rsidRDefault="00113BCF" w:rsidP="00113BCF">
            <w:pPr>
              <w:jc w:val="right"/>
              <w:rPr>
                <w:rFonts w:ascii="Times New Roman" w:eastAsia="Times New Roman" w:hAnsi="Times New Roman"/>
                <w:color w:val="000000"/>
              </w:rPr>
            </w:pPr>
            <w:r w:rsidRPr="002642A0">
              <w:rPr>
                <w:rFonts w:ascii="Times New Roman" w:eastAsia="Times New Roman" w:hAnsi="Times New Roman"/>
                <w:color w:val="000000"/>
              </w:rPr>
              <w:t>25</w:t>
            </w:r>
          </w:p>
        </w:tc>
      </w:tr>
    </w:tbl>
    <w:p w:rsidR="0033223F" w:rsidRDefault="0033223F" w:rsidP="00D07712">
      <w:pPr>
        <w:rPr>
          <w:rFonts w:ascii="Times New Roman" w:eastAsiaTheme="minorHAnsi" w:hAnsi="Times New Roman"/>
          <w:szCs w:val="24"/>
        </w:rPr>
      </w:pPr>
    </w:p>
    <w:p w:rsidR="00113BCF" w:rsidRPr="00113BCF" w:rsidRDefault="00113BCF" w:rsidP="00DA2879">
      <w:pPr>
        <w:rPr>
          <w:rFonts w:ascii="Times New Roman" w:eastAsiaTheme="minorHAnsi" w:hAnsi="Times New Roman"/>
          <w:szCs w:val="24"/>
          <w:u w:val="single"/>
        </w:rPr>
      </w:pPr>
      <w:r w:rsidRPr="00113BCF">
        <w:rPr>
          <w:rFonts w:ascii="Times New Roman" w:eastAsiaTheme="minorHAnsi" w:hAnsi="Times New Roman"/>
          <w:szCs w:val="24"/>
          <w:u w:val="single"/>
        </w:rPr>
        <w:t>Weatherization and Energy Assistance Participants</w:t>
      </w:r>
    </w:p>
    <w:p w:rsidR="00DA2879" w:rsidRDefault="00DA2879" w:rsidP="00DA2879">
      <w:pPr>
        <w:rPr>
          <w:rFonts w:ascii="Times New Roman" w:eastAsiaTheme="minorHAnsi" w:hAnsi="Times New Roman"/>
          <w:szCs w:val="24"/>
        </w:rPr>
      </w:pPr>
    </w:p>
    <w:p w:rsidR="00113BCF" w:rsidRPr="00113BCF" w:rsidRDefault="00113BCF" w:rsidP="00DA2879">
      <w:pPr>
        <w:rPr>
          <w:rFonts w:ascii="Times New Roman" w:eastAsiaTheme="minorHAnsi" w:hAnsi="Times New Roman"/>
          <w:szCs w:val="24"/>
        </w:rPr>
      </w:pPr>
      <w:r w:rsidRPr="00113BCF">
        <w:rPr>
          <w:rFonts w:ascii="Times New Roman" w:eastAsiaTheme="minorHAnsi" w:hAnsi="Times New Roman"/>
          <w:szCs w:val="24"/>
        </w:rPr>
        <w:t>The following table illustrates the number of customers residing in a home with energy efficiency measures installed through Pacific Power’s Low Income Weatherization program in 2009-2013 and who also received an energy assistance payment.</w:t>
      </w:r>
    </w:p>
    <w:p w:rsidR="00DA2879" w:rsidRDefault="00DA2879" w:rsidP="00DA2879">
      <w:pPr>
        <w:rPr>
          <w:rFonts w:ascii="Times New Roman" w:eastAsiaTheme="minorHAnsi" w:hAnsi="Times New Roman"/>
          <w:szCs w:val="24"/>
        </w:rPr>
      </w:pPr>
    </w:p>
    <w:p w:rsidR="0033223F" w:rsidRDefault="00113BCF" w:rsidP="00DA2879">
      <w:pPr>
        <w:rPr>
          <w:rFonts w:ascii="Times New Roman" w:eastAsiaTheme="minorHAnsi" w:hAnsi="Times New Roman"/>
          <w:szCs w:val="24"/>
        </w:rPr>
      </w:pPr>
      <w:r w:rsidRPr="00113BCF">
        <w:rPr>
          <w:rFonts w:ascii="Times New Roman" w:eastAsiaTheme="minorHAnsi" w:hAnsi="Times New Roman"/>
          <w:szCs w:val="24"/>
        </w:rPr>
        <w:t>The first column indicates the calendar year in which a home was weatherized.  The number of customers living in these homes that received energy assistance is included by year.</w:t>
      </w:r>
      <w:r w:rsidR="005F0246">
        <w:rPr>
          <w:rFonts w:ascii="Times New Roman" w:eastAsiaTheme="minorHAnsi" w:hAnsi="Times New Roman"/>
          <w:szCs w:val="24"/>
        </w:rPr>
        <w:t xml:space="preserve"> </w:t>
      </w:r>
      <w:r w:rsidRPr="00113BCF">
        <w:rPr>
          <w:rFonts w:ascii="Times New Roman" w:eastAsiaTheme="minorHAnsi" w:hAnsi="Times New Roman"/>
          <w:szCs w:val="24"/>
        </w:rPr>
        <w:t xml:space="preserve"> For example, of the homes weatherized in 2009 a total of 25 customers residing in these homes received energy assistance in 2009 and 58 in 2010.  Of the homes weatherized in 2010, a total of 21 customers living at these residences received energy assistance in 2010 and 42 in 2011.</w:t>
      </w:r>
    </w:p>
    <w:p w:rsidR="0033223F" w:rsidRDefault="0033223F" w:rsidP="00D07712">
      <w:pPr>
        <w:rPr>
          <w:rFonts w:ascii="Times New Roman" w:eastAsiaTheme="minorHAnsi" w:hAnsi="Times New Roman"/>
          <w:szCs w:val="24"/>
        </w:rPr>
      </w:pPr>
    </w:p>
    <w:tbl>
      <w:tblPr>
        <w:tblW w:w="6774" w:type="dxa"/>
        <w:jc w:val="center"/>
        <w:tblInd w:w="828" w:type="dxa"/>
        <w:tblLook w:val="04A0" w:firstRow="1" w:lastRow="0" w:firstColumn="1" w:lastColumn="0" w:noHBand="0" w:noVBand="1"/>
      </w:tblPr>
      <w:tblGrid>
        <w:gridCol w:w="1000"/>
        <w:gridCol w:w="54"/>
        <w:gridCol w:w="786"/>
        <w:gridCol w:w="214"/>
        <w:gridCol w:w="746"/>
        <w:gridCol w:w="254"/>
        <w:gridCol w:w="706"/>
        <w:gridCol w:w="134"/>
        <w:gridCol w:w="826"/>
        <w:gridCol w:w="134"/>
        <w:gridCol w:w="960"/>
        <w:gridCol w:w="960"/>
      </w:tblGrid>
      <w:tr w:rsidR="00113BCF" w:rsidRPr="002642A0" w:rsidTr="00113BCF">
        <w:trPr>
          <w:trHeight w:val="600"/>
          <w:jc w:val="center"/>
        </w:trPr>
        <w:tc>
          <w:tcPr>
            <w:tcW w:w="1054" w:type="dxa"/>
            <w:gridSpan w:val="2"/>
            <w:tcBorders>
              <w:top w:val="single" w:sz="4" w:space="0" w:color="auto"/>
              <w:left w:val="single" w:sz="4" w:space="0" w:color="auto"/>
              <w:bottom w:val="single" w:sz="4" w:space="0" w:color="auto"/>
              <w:right w:val="single" w:sz="4" w:space="0" w:color="auto"/>
            </w:tcBorders>
            <w:shd w:val="clear" w:color="000000" w:fill="C0C0C0"/>
            <w:vAlign w:val="bottom"/>
            <w:hideMark/>
          </w:tcPr>
          <w:p w:rsidR="00113BCF" w:rsidRPr="002642A0" w:rsidRDefault="00113BCF" w:rsidP="00113BCF">
            <w:pPr>
              <w:jc w:val="center"/>
              <w:rPr>
                <w:rFonts w:ascii="Times New Roman" w:eastAsia="Times New Roman" w:hAnsi="Times New Roman"/>
                <w:color w:val="000000"/>
              </w:rPr>
            </w:pPr>
            <w:r w:rsidRPr="002642A0">
              <w:rPr>
                <w:rFonts w:ascii="Times New Roman" w:eastAsia="Times New Roman" w:hAnsi="Times New Roman"/>
                <w:color w:val="000000"/>
              </w:rPr>
              <w:t>Program Year</w:t>
            </w:r>
          </w:p>
        </w:tc>
        <w:tc>
          <w:tcPr>
            <w:tcW w:w="1000" w:type="dxa"/>
            <w:gridSpan w:val="2"/>
            <w:tcBorders>
              <w:top w:val="single" w:sz="4" w:space="0" w:color="auto"/>
              <w:left w:val="nil"/>
              <w:bottom w:val="single" w:sz="4" w:space="0" w:color="auto"/>
              <w:right w:val="single" w:sz="4" w:space="0" w:color="auto"/>
            </w:tcBorders>
            <w:shd w:val="clear" w:color="000000" w:fill="C0C0C0"/>
            <w:noWrap/>
            <w:vAlign w:val="bottom"/>
            <w:hideMark/>
          </w:tcPr>
          <w:p w:rsidR="00113BCF" w:rsidRPr="002642A0" w:rsidRDefault="00113BCF" w:rsidP="00113BCF">
            <w:pPr>
              <w:jc w:val="center"/>
              <w:rPr>
                <w:rFonts w:ascii="Times New Roman" w:eastAsia="Times New Roman" w:hAnsi="Times New Roman"/>
                <w:color w:val="000000"/>
              </w:rPr>
            </w:pPr>
            <w:r w:rsidRPr="002642A0">
              <w:rPr>
                <w:rFonts w:ascii="Times New Roman" w:eastAsia="Times New Roman" w:hAnsi="Times New Roman"/>
                <w:color w:val="000000"/>
              </w:rPr>
              <w:t>2009</w:t>
            </w:r>
          </w:p>
        </w:tc>
        <w:tc>
          <w:tcPr>
            <w:tcW w:w="1000" w:type="dxa"/>
            <w:gridSpan w:val="2"/>
            <w:tcBorders>
              <w:top w:val="single" w:sz="4" w:space="0" w:color="auto"/>
              <w:left w:val="nil"/>
              <w:bottom w:val="single" w:sz="4" w:space="0" w:color="auto"/>
              <w:right w:val="single" w:sz="4" w:space="0" w:color="auto"/>
            </w:tcBorders>
            <w:shd w:val="clear" w:color="000000" w:fill="C0C0C0"/>
            <w:noWrap/>
            <w:vAlign w:val="bottom"/>
            <w:hideMark/>
          </w:tcPr>
          <w:p w:rsidR="00113BCF" w:rsidRPr="002642A0" w:rsidRDefault="00113BCF" w:rsidP="00113BCF">
            <w:pPr>
              <w:jc w:val="center"/>
              <w:rPr>
                <w:rFonts w:ascii="Times New Roman" w:eastAsia="Times New Roman" w:hAnsi="Times New Roman"/>
                <w:color w:val="000000"/>
              </w:rPr>
            </w:pPr>
            <w:r w:rsidRPr="002642A0">
              <w:rPr>
                <w:rFonts w:ascii="Times New Roman" w:eastAsia="Times New Roman" w:hAnsi="Times New Roman"/>
                <w:color w:val="000000"/>
              </w:rPr>
              <w:t>2010</w:t>
            </w:r>
          </w:p>
        </w:tc>
        <w:tc>
          <w:tcPr>
            <w:tcW w:w="840" w:type="dxa"/>
            <w:gridSpan w:val="2"/>
            <w:tcBorders>
              <w:top w:val="single" w:sz="4" w:space="0" w:color="auto"/>
              <w:left w:val="nil"/>
              <w:bottom w:val="single" w:sz="4" w:space="0" w:color="auto"/>
              <w:right w:val="single" w:sz="4" w:space="0" w:color="auto"/>
            </w:tcBorders>
            <w:shd w:val="clear" w:color="000000" w:fill="C0C0C0"/>
            <w:noWrap/>
            <w:vAlign w:val="bottom"/>
            <w:hideMark/>
          </w:tcPr>
          <w:p w:rsidR="00113BCF" w:rsidRPr="002642A0" w:rsidRDefault="00113BCF" w:rsidP="00113BCF">
            <w:pPr>
              <w:jc w:val="center"/>
              <w:rPr>
                <w:rFonts w:ascii="Times New Roman" w:eastAsia="Times New Roman" w:hAnsi="Times New Roman"/>
                <w:color w:val="000000"/>
              </w:rPr>
            </w:pPr>
            <w:r w:rsidRPr="002642A0">
              <w:rPr>
                <w:rFonts w:ascii="Times New Roman" w:eastAsia="Times New Roman" w:hAnsi="Times New Roman"/>
                <w:color w:val="000000"/>
              </w:rPr>
              <w:t>2011</w:t>
            </w:r>
          </w:p>
        </w:tc>
        <w:tc>
          <w:tcPr>
            <w:tcW w:w="960" w:type="dxa"/>
            <w:gridSpan w:val="2"/>
            <w:tcBorders>
              <w:top w:val="single" w:sz="4" w:space="0" w:color="auto"/>
              <w:left w:val="nil"/>
              <w:bottom w:val="single" w:sz="4" w:space="0" w:color="auto"/>
              <w:right w:val="single" w:sz="4" w:space="0" w:color="auto"/>
            </w:tcBorders>
            <w:shd w:val="clear" w:color="000000" w:fill="C0C0C0"/>
            <w:noWrap/>
            <w:vAlign w:val="bottom"/>
            <w:hideMark/>
          </w:tcPr>
          <w:p w:rsidR="00113BCF" w:rsidRPr="002642A0" w:rsidRDefault="00113BCF" w:rsidP="00113BCF">
            <w:pPr>
              <w:jc w:val="center"/>
              <w:rPr>
                <w:rFonts w:ascii="Times New Roman" w:eastAsia="Times New Roman" w:hAnsi="Times New Roman"/>
                <w:color w:val="000000"/>
              </w:rPr>
            </w:pPr>
            <w:r w:rsidRPr="002642A0">
              <w:rPr>
                <w:rFonts w:ascii="Times New Roman" w:eastAsia="Times New Roman" w:hAnsi="Times New Roman"/>
                <w:color w:val="000000"/>
              </w:rPr>
              <w:t>2012</w:t>
            </w:r>
          </w:p>
        </w:tc>
        <w:tc>
          <w:tcPr>
            <w:tcW w:w="960" w:type="dxa"/>
            <w:tcBorders>
              <w:top w:val="single" w:sz="4" w:space="0" w:color="auto"/>
              <w:left w:val="nil"/>
              <w:bottom w:val="single" w:sz="4" w:space="0" w:color="auto"/>
              <w:right w:val="single" w:sz="4" w:space="0" w:color="auto"/>
            </w:tcBorders>
            <w:shd w:val="clear" w:color="000000" w:fill="C0C0C0"/>
            <w:noWrap/>
            <w:vAlign w:val="bottom"/>
            <w:hideMark/>
          </w:tcPr>
          <w:p w:rsidR="00113BCF" w:rsidRPr="002642A0" w:rsidRDefault="00113BCF" w:rsidP="00113BCF">
            <w:pPr>
              <w:jc w:val="center"/>
              <w:rPr>
                <w:rFonts w:ascii="Times New Roman" w:eastAsia="Times New Roman" w:hAnsi="Times New Roman"/>
                <w:color w:val="000000"/>
              </w:rPr>
            </w:pPr>
            <w:r w:rsidRPr="002642A0">
              <w:rPr>
                <w:rFonts w:ascii="Times New Roman" w:eastAsia="Times New Roman" w:hAnsi="Times New Roman"/>
                <w:color w:val="000000"/>
              </w:rPr>
              <w:t>2013</w:t>
            </w:r>
          </w:p>
        </w:tc>
        <w:tc>
          <w:tcPr>
            <w:tcW w:w="960" w:type="dxa"/>
            <w:tcBorders>
              <w:top w:val="single" w:sz="4" w:space="0" w:color="auto"/>
              <w:left w:val="nil"/>
              <w:bottom w:val="single" w:sz="4" w:space="0" w:color="auto"/>
              <w:right w:val="single" w:sz="4" w:space="0" w:color="auto"/>
            </w:tcBorders>
            <w:shd w:val="clear" w:color="000000" w:fill="C0C0C0"/>
            <w:noWrap/>
            <w:vAlign w:val="bottom"/>
            <w:hideMark/>
          </w:tcPr>
          <w:p w:rsidR="00113BCF" w:rsidRPr="002642A0" w:rsidRDefault="00113BCF" w:rsidP="00113BCF">
            <w:pPr>
              <w:jc w:val="center"/>
              <w:rPr>
                <w:rFonts w:ascii="Times New Roman" w:eastAsia="Times New Roman" w:hAnsi="Times New Roman"/>
                <w:color w:val="000000"/>
              </w:rPr>
            </w:pPr>
            <w:r w:rsidRPr="002642A0">
              <w:rPr>
                <w:rFonts w:ascii="Times New Roman" w:eastAsia="Times New Roman" w:hAnsi="Times New Roman"/>
                <w:color w:val="000000"/>
              </w:rPr>
              <w:t>Jan-Apr 2014</w:t>
            </w:r>
          </w:p>
        </w:tc>
      </w:tr>
      <w:tr w:rsidR="00113BCF" w:rsidRPr="002642A0" w:rsidTr="00113BCF">
        <w:trPr>
          <w:trHeight w:val="300"/>
          <w:jc w:val="center"/>
        </w:trPr>
        <w:tc>
          <w:tcPr>
            <w:tcW w:w="1054" w:type="dxa"/>
            <w:gridSpan w:val="2"/>
            <w:tcBorders>
              <w:top w:val="nil"/>
              <w:left w:val="single" w:sz="4" w:space="0" w:color="auto"/>
              <w:bottom w:val="single" w:sz="4" w:space="0" w:color="auto"/>
              <w:right w:val="single" w:sz="4" w:space="0" w:color="auto"/>
            </w:tcBorders>
            <w:shd w:val="clear" w:color="auto" w:fill="auto"/>
            <w:vAlign w:val="bottom"/>
            <w:hideMark/>
          </w:tcPr>
          <w:p w:rsidR="00113BCF" w:rsidRPr="002642A0" w:rsidRDefault="00113BCF" w:rsidP="00113BCF">
            <w:pPr>
              <w:jc w:val="right"/>
              <w:rPr>
                <w:rFonts w:ascii="Times New Roman" w:eastAsia="Times New Roman" w:hAnsi="Times New Roman"/>
                <w:color w:val="000000"/>
              </w:rPr>
            </w:pPr>
            <w:r w:rsidRPr="002642A0">
              <w:rPr>
                <w:rFonts w:ascii="Times New Roman" w:eastAsia="Times New Roman" w:hAnsi="Times New Roman"/>
                <w:color w:val="000000"/>
              </w:rPr>
              <w:t>2009</w:t>
            </w:r>
          </w:p>
        </w:tc>
        <w:tc>
          <w:tcPr>
            <w:tcW w:w="1000" w:type="dxa"/>
            <w:gridSpan w:val="2"/>
            <w:tcBorders>
              <w:top w:val="nil"/>
              <w:left w:val="nil"/>
              <w:bottom w:val="single" w:sz="4" w:space="0" w:color="auto"/>
              <w:right w:val="single" w:sz="4" w:space="0" w:color="auto"/>
            </w:tcBorders>
            <w:shd w:val="clear" w:color="auto" w:fill="auto"/>
            <w:vAlign w:val="bottom"/>
            <w:hideMark/>
          </w:tcPr>
          <w:p w:rsidR="00113BCF" w:rsidRPr="002642A0" w:rsidRDefault="00113BCF" w:rsidP="00113BCF">
            <w:pPr>
              <w:jc w:val="right"/>
              <w:rPr>
                <w:rFonts w:ascii="Times New Roman" w:eastAsia="Times New Roman" w:hAnsi="Times New Roman"/>
                <w:color w:val="000000"/>
              </w:rPr>
            </w:pPr>
            <w:r w:rsidRPr="002642A0">
              <w:rPr>
                <w:rFonts w:ascii="Times New Roman" w:eastAsia="Times New Roman" w:hAnsi="Times New Roman"/>
                <w:color w:val="000000"/>
              </w:rPr>
              <w:t>25</w:t>
            </w:r>
          </w:p>
        </w:tc>
        <w:tc>
          <w:tcPr>
            <w:tcW w:w="1000" w:type="dxa"/>
            <w:gridSpan w:val="2"/>
            <w:tcBorders>
              <w:top w:val="nil"/>
              <w:left w:val="nil"/>
              <w:bottom w:val="single" w:sz="4" w:space="0" w:color="auto"/>
              <w:right w:val="single" w:sz="4" w:space="0" w:color="auto"/>
            </w:tcBorders>
            <w:shd w:val="clear" w:color="auto" w:fill="auto"/>
            <w:vAlign w:val="bottom"/>
            <w:hideMark/>
          </w:tcPr>
          <w:p w:rsidR="00113BCF" w:rsidRPr="002642A0" w:rsidRDefault="00113BCF" w:rsidP="00113BCF">
            <w:pPr>
              <w:jc w:val="right"/>
              <w:rPr>
                <w:rFonts w:ascii="Times New Roman" w:eastAsia="Times New Roman" w:hAnsi="Times New Roman"/>
                <w:color w:val="000000"/>
              </w:rPr>
            </w:pPr>
            <w:r w:rsidRPr="002642A0">
              <w:rPr>
                <w:rFonts w:ascii="Times New Roman" w:eastAsia="Times New Roman" w:hAnsi="Times New Roman"/>
                <w:color w:val="000000"/>
              </w:rPr>
              <w:t>58</w:t>
            </w:r>
          </w:p>
        </w:tc>
        <w:tc>
          <w:tcPr>
            <w:tcW w:w="840" w:type="dxa"/>
            <w:gridSpan w:val="2"/>
            <w:tcBorders>
              <w:top w:val="nil"/>
              <w:left w:val="nil"/>
              <w:bottom w:val="single" w:sz="4" w:space="0" w:color="auto"/>
              <w:right w:val="single" w:sz="4" w:space="0" w:color="auto"/>
            </w:tcBorders>
            <w:shd w:val="clear" w:color="auto" w:fill="auto"/>
            <w:vAlign w:val="bottom"/>
            <w:hideMark/>
          </w:tcPr>
          <w:p w:rsidR="00113BCF" w:rsidRPr="002642A0" w:rsidRDefault="00113BCF" w:rsidP="00113BCF">
            <w:pPr>
              <w:jc w:val="right"/>
              <w:rPr>
                <w:rFonts w:ascii="Times New Roman" w:eastAsia="Times New Roman" w:hAnsi="Times New Roman"/>
                <w:color w:val="000000"/>
              </w:rPr>
            </w:pPr>
            <w:r w:rsidRPr="002642A0">
              <w:rPr>
                <w:rFonts w:ascii="Times New Roman" w:eastAsia="Times New Roman" w:hAnsi="Times New Roman"/>
                <w:color w:val="000000"/>
              </w:rPr>
              <w:t>42</w:t>
            </w:r>
          </w:p>
        </w:tc>
        <w:tc>
          <w:tcPr>
            <w:tcW w:w="960" w:type="dxa"/>
            <w:gridSpan w:val="2"/>
            <w:tcBorders>
              <w:top w:val="nil"/>
              <w:left w:val="nil"/>
              <w:bottom w:val="single" w:sz="4" w:space="0" w:color="auto"/>
              <w:right w:val="single" w:sz="4" w:space="0" w:color="auto"/>
            </w:tcBorders>
            <w:shd w:val="clear" w:color="auto" w:fill="auto"/>
            <w:vAlign w:val="bottom"/>
            <w:hideMark/>
          </w:tcPr>
          <w:p w:rsidR="00113BCF" w:rsidRPr="002642A0" w:rsidRDefault="00113BCF" w:rsidP="00113BCF">
            <w:pPr>
              <w:jc w:val="right"/>
              <w:rPr>
                <w:rFonts w:ascii="Times New Roman" w:eastAsia="Times New Roman" w:hAnsi="Times New Roman"/>
                <w:color w:val="000000"/>
              </w:rPr>
            </w:pPr>
            <w:r w:rsidRPr="002642A0">
              <w:rPr>
                <w:rFonts w:ascii="Times New Roman" w:eastAsia="Times New Roman" w:hAnsi="Times New Roman"/>
                <w:color w:val="000000"/>
              </w:rPr>
              <w:t>48</w:t>
            </w:r>
          </w:p>
        </w:tc>
        <w:tc>
          <w:tcPr>
            <w:tcW w:w="960" w:type="dxa"/>
            <w:tcBorders>
              <w:top w:val="nil"/>
              <w:left w:val="nil"/>
              <w:bottom w:val="single" w:sz="4" w:space="0" w:color="auto"/>
              <w:right w:val="single" w:sz="4" w:space="0" w:color="auto"/>
            </w:tcBorders>
            <w:shd w:val="clear" w:color="auto" w:fill="auto"/>
            <w:vAlign w:val="bottom"/>
            <w:hideMark/>
          </w:tcPr>
          <w:p w:rsidR="00113BCF" w:rsidRPr="002642A0" w:rsidRDefault="00113BCF" w:rsidP="00113BCF">
            <w:pPr>
              <w:jc w:val="right"/>
              <w:rPr>
                <w:rFonts w:ascii="Times New Roman" w:eastAsia="Times New Roman" w:hAnsi="Times New Roman"/>
                <w:color w:val="000000"/>
              </w:rPr>
            </w:pPr>
            <w:r w:rsidRPr="002642A0">
              <w:rPr>
                <w:rFonts w:ascii="Times New Roman" w:eastAsia="Times New Roman" w:hAnsi="Times New Roman"/>
                <w:color w:val="000000"/>
              </w:rPr>
              <w:t>28</w:t>
            </w:r>
          </w:p>
        </w:tc>
        <w:tc>
          <w:tcPr>
            <w:tcW w:w="960" w:type="dxa"/>
            <w:tcBorders>
              <w:top w:val="nil"/>
              <w:left w:val="nil"/>
              <w:bottom w:val="single" w:sz="4" w:space="0" w:color="auto"/>
              <w:right w:val="single" w:sz="4" w:space="0" w:color="auto"/>
            </w:tcBorders>
            <w:shd w:val="clear" w:color="auto" w:fill="auto"/>
            <w:vAlign w:val="bottom"/>
            <w:hideMark/>
          </w:tcPr>
          <w:p w:rsidR="00113BCF" w:rsidRPr="002642A0" w:rsidRDefault="00113BCF" w:rsidP="00113BCF">
            <w:pPr>
              <w:jc w:val="right"/>
              <w:rPr>
                <w:rFonts w:ascii="Times New Roman" w:eastAsia="Times New Roman" w:hAnsi="Times New Roman"/>
                <w:color w:val="000000"/>
              </w:rPr>
            </w:pPr>
            <w:r w:rsidRPr="002642A0">
              <w:rPr>
                <w:rFonts w:ascii="Times New Roman" w:eastAsia="Times New Roman" w:hAnsi="Times New Roman"/>
                <w:color w:val="000000"/>
              </w:rPr>
              <w:t>20</w:t>
            </w:r>
          </w:p>
        </w:tc>
      </w:tr>
      <w:tr w:rsidR="00113BCF" w:rsidRPr="002642A0" w:rsidTr="00113BCF">
        <w:trPr>
          <w:trHeight w:val="300"/>
          <w:jc w:val="center"/>
        </w:trPr>
        <w:tc>
          <w:tcPr>
            <w:tcW w:w="1054" w:type="dxa"/>
            <w:gridSpan w:val="2"/>
            <w:tcBorders>
              <w:top w:val="nil"/>
              <w:left w:val="single" w:sz="4" w:space="0" w:color="auto"/>
              <w:bottom w:val="single" w:sz="4" w:space="0" w:color="auto"/>
              <w:right w:val="single" w:sz="4" w:space="0" w:color="auto"/>
            </w:tcBorders>
            <w:shd w:val="clear" w:color="auto" w:fill="auto"/>
            <w:vAlign w:val="bottom"/>
            <w:hideMark/>
          </w:tcPr>
          <w:p w:rsidR="00113BCF" w:rsidRPr="002642A0" w:rsidRDefault="00113BCF" w:rsidP="00113BCF">
            <w:pPr>
              <w:jc w:val="right"/>
              <w:rPr>
                <w:rFonts w:ascii="Times New Roman" w:eastAsia="Times New Roman" w:hAnsi="Times New Roman"/>
                <w:color w:val="000000"/>
              </w:rPr>
            </w:pPr>
            <w:r w:rsidRPr="002642A0">
              <w:rPr>
                <w:rFonts w:ascii="Times New Roman" w:eastAsia="Times New Roman" w:hAnsi="Times New Roman"/>
                <w:color w:val="000000"/>
              </w:rPr>
              <w:t>2010</w:t>
            </w:r>
          </w:p>
        </w:tc>
        <w:tc>
          <w:tcPr>
            <w:tcW w:w="1000" w:type="dxa"/>
            <w:gridSpan w:val="2"/>
            <w:tcBorders>
              <w:top w:val="nil"/>
              <w:left w:val="nil"/>
              <w:bottom w:val="single" w:sz="4" w:space="0" w:color="auto"/>
              <w:right w:val="single" w:sz="4" w:space="0" w:color="auto"/>
            </w:tcBorders>
            <w:shd w:val="clear" w:color="auto" w:fill="auto"/>
            <w:noWrap/>
            <w:vAlign w:val="bottom"/>
            <w:hideMark/>
          </w:tcPr>
          <w:p w:rsidR="00113BCF" w:rsidRPr="002642A0" w:rsidRDefault="00113BCF" w:rsidP="00113BCF">
            <w:pPr>
              <w:rPr>
                <w:rFonts w:ascii="Times New Roman" w:eastAsia="Times New Roman" w:hAnsi="Times New Roman"/>
                <w:color w:val="000000"/>
                <w:sz w:val="20"/>
              </w:rPr>
            </w:pPr>
            <w:r w:rsidRPr="002642A0">
              <w:rPr>
                <w:rFonts w:ascii="Times New Roman" w:eastAsia="Times New Roman" w:hAnsi="Times New Roman"/>
                <w:color w:val="000000"/>
                <w:sz w:val="20"/>
              </w:rPr>
              <w:t> </w:t>
            </w:r>
          </w:p>
        </w:tc>
        <w:tc>
          <w:tcPr>
            <w:tcW w:w="1000" w:type="dxa"/>
            <w:gridSpan w:val="2"/>
            <w:tcBorders>
              <w:top w:val="nil"/>
              <w:left w:val="nil"/>
              <w:bottom w:val="single" w:sz="4" w:space="0" w:color="auto"/>
              <w:right w:val="single" w:sz="4" w:space="0" w:color="auto"/>
            </w:tcBorders>
            <w:shd w:val="clear" w:color="auto" w:fill="auto"/>
            <w:vAlign w:val="bottom"/>
            <w:hideMark/>
          </w:tcPr>
          <w:p w:rsidR="00113BCF" w:rsidRPr="002642A0" w:rsidRDefault="00113BCF" w:rsidP="00113BCF">
            <w:pPr>
              <w:jc w:val="right"/>
              <w:rPr>
                <w:rFonts w:ascii="Times New Roman" w:eastAsia="Times New Roman" w:hAnsi="Times New Roman"/>
                <w:color w:val="000000"/>
              </w:rPr>
            </w:pPr>
            <w:r w:rsidRPr="002642A0">
              <w:rPr>
                <w:rFonts w:ascii="Times New Roman" w:eastAsia="Times New Roman" w:hAnsi="Times New Roman"/>
                <w:color w:val="000000"/>
              </w:rPr>
              <w:t>21</w:t>
            </w:r>
          </w:p>
        </w:tc>
        <w:tc>
          <w:tcPr>
            <w:tcW w:w="840" w:type="dxa"/>
            <w:gridSpan w:val="2"/>
            <w:tcBorders>
              <w:top w:val="nil"/>
              <w:left w:val="nil"/>
              <w:bottom w:val="single" w:sz="4" w:space="0" w:color="auto"/>
              <w:right w:val="single" w:sz="4" w:space="0" w:color="auto"/>
            </w:tcBorders>
            <w:shd w:val="clear" w:color="auto" w:fill="auto"/>
            <w:vAlign w:val="bottom"/>
            <w:hideMark/>
          </w:tcPr>
          <w:p w:rsidR="00113BCF" w:rsidRPr="002642A0" w:rsidRDefault="00113BCF" w:rsidP="00113BCF">
            <w:pPr>
              <w:jc w:val="right"/>
              <w:rPr>
                <w:rFonts w:ascii="Times New Roman" w:eastAsia="Times New Roman" w:hAnsi="Times New Roman"/>
                <w:color w:val="000000"/>
              </w:rPr>
            </w:pPr>
            <w:r w:rsidRPr="002642A0">
              <w:rPr>
                <w:rFonts w:ascii="Times New Roman" w:eastAsia="Times New Roman" w:hAnsi="Times New Roman"/>
                <w:color w:val="000000"/>
              </w:rPr>
              <w:t>42</w:t>
            </w:r>
          </w:p>
        </w:tc>
        <w:tc>
          <w:tcPr>
            <w:tcW w:w="960" w:type="dxa"/>
            <w:gridSpan w:val="2"/>
            <w:tcBorders>
              <w:top w:val="nil"/>
              <w:left w:val="nil"/>
              <w:bottom w:val="single" w:sz="4" w:space="0" w:color="auto"/>
              <w:right w:val="single" w:sz="4" w:space="0" w:color="auto"/>
            </w:tcBorders>
            <w:shd w:val="clear" w:color="auto" w:fill="auto"/>
            <w:vAlign w:val="bottom"/>
            <w:hideMark/>
          </w:tcPr>
          <w:p w:rsidR="00113BCF" w:rsidRPr="002642A0" w:rsidRDefault="00113BCF" w:rsidP="00113BCF">
            <w:pPr>
              <w:jc w:val="right"/>
              <w:rPr>
                <w:rFonts w:ascii="Times New Roman" w:eastAsia="Times New Roman" w:hAnsi="Times New Roman"/>
                <w:color w:val="000000"/>
              </w:rPr>
            </w:pPr>
            <w:r w:rsidRPr="002642A0">
              <w:rPr>
                <w:rFonts w:ascii="Times New Roman" w:eastAsia="Times New Roman" w:hAnsi="Times New Roman"/>
                <w:color w:val="000000"/>
              </w:rPr>
              <w:t>34</w:t>
            </w:r>
          </w:p>
        </w:tc>
        <w:tc>
          <w:tcPr>
            <w:tcW w:w="960" w:type="dxa"/>
            <w:tcBorders>
              <w:top w:val="nil"/>
              <w:left w:val="nil"/>
              <w:bottom w:val="single" w:sz="4" w:space="0" w:color="auto"/>
              <w:right w:val="single" w:sz="4" w:space="0" w:color="auto"/>
            </w:tcBorders>
            <w:shd w:val="clear" w:color="auto" w:fill="auto"/>
            <w:vAlign w:val="bottom"/>
            <w:hideMark/>
          </w:tcPr>
          <w:p w:rsidR="00113BCF" w:rsidRPr="002642A0" w:rsidRDefault="00113BCF" w:rsidP="00113BCF">
            <w:pPr>
              <w:jc w:val="right"/>
              <w:rPr>
                <w:rFonts w:ascii="Times New Roman" w:eastAsia="Times New Roman" w:hAnsi="Times New Roman"/>
                <w:color w:val="000000"/>
              </w:rPr>
            </w:pPr>
            <w:r w:rsidRPr="002642A0">
              <w:rPr>
                <w:rFonts w:ascii="Times New Roman" w:eastAsia="Times New Roman" w:hAnsi="Times New Roman"/>
                <w:color w:val="000000"/>
              </w:rPr>
              <w:t>21</w:t>
            </w:r>
          </w:p>
        </w:tc>
        <w:tc>
          <w:tcPr>
            <w:tcW w:w="960" w:type="dxa"/>
            <w:tcBorders>
              <w:top w:val="nil"/>
              <w:left w:val="nil"/>
              <w:bottom w:val="single" w:sz="4" w:space="0" w:color="auto"/>
              <w:right w:val="single" w:sz="4" w:space="0" w:color="auto"/>
            </w:tcBorders>
            <w:shd w:val="clear" w:color="auto" w:fill="auto"/>
            <w:vAlign w:val="bottom"/>
            <w:hideMark/>
          </w:tcPr>
          <w:p w:rsidR="00113BCF" w:rsidRPr="002642A0" w:rsidRDefault="00113BCF" w:rsidP="00113BCF">
            <w:pPr>
              <w:jc w:val="right"/>
              <w:rPr>
                <w:rFonts w:ascii="Times New Roman" w:eastAsia="Times New Roman" w:hAnsi="Times New Roman"/>
                <w:color w:val="000000"/>
              </w:rPr>
            </w:pPr>
            <w:r w:rsidRPr="002642A0">
              <w:rPr>
                <w:rFonts w:ascii="Times New Roman" w:eastAsia="Times New Roman" w:hAnsi="Times New Roman"/>
                <w:color w:val="000000"/>
              </w:rPr>
              <w:t>14</w:t>
            </w:r>
          </w:p>
        </w:tc>
      </w:tr>
      <w:tr w:rsidR="00113BCF" w:rsidRPr="002642A0" w:rsidTr="00113BCF">
        <w:trPr>
          <w:trHeight w:val="300"/>
          <w:jc w:val="center"/>
        </w:trPr>
        <w:tc>
          <w:tcPr>
            <w:tcW w:w="1054" w:type="dxa"/>
            <w:gridSpan w:val="2"/>
            <w:tcBorders>
              <w:top w:val="nil"/>
              <w:left w:val="single" w:sz="4" w:space="0" w:color="auto"/>
              <w:bottom w:val="single" w:sz="4" w:space="0" w:color="auto"/>
              <w:right w:val="single" w:sz="4" w:space="0" w:color="auto"/>
            </w:tcBorders>
            <w:shd w:val="clear" w:color="auto" w:fill="auto"/>
            <w:vAlign w:val="bottom"/>
            <w:hideMark/>
          </w:tcPr>
          <w:p w:rsidR="00113BCF" w:rsidRPr="002642A0" w:rsidRDefault="00113BCF" w:rsidP="00113BCF">
            <w:pPr>
              <w:jc w:val="right"/>
              <w:rPr>
                <w:rFonts w:ascii="Times New Roman" w:eastAsia="Times New Roman" w:hAnsi="Times New Roman"/>
                <w:color w:val="000000"/>
              </w:rPr>
            </w:pPr>
            <w:r w:rsidRPr="002642A0">
              <w:rPr>
                <w:rFonts w:ascii="Times New Roman" w:eastAsia="Times New Roman" w:hAnsi="Times New Roman"/>
                <w:color w:val="000000"/>
              </w:rPr>
              <w:t>2011</w:t>
            </w:r>
          </w:p>
        </w:tc>
        <w:tc>
          <w:tcPr>
            <w:tcW w:w="1000" w:type="dxa"/>
            <w:gridSpan w:val="2"/>
            <w:tcBorders>
              <w:top w:val="nil"/>
              <w:left w:val="nil"/>
              <w:bottom w:val="single" w:sz="4" w:space="0" w:color="auto"/>
              <w:right w:val="single" w:sz="4" w:space="0" w:color="auto"/>
            </w:tcBorders>
            <w:shd w:val="clear" w:color="auto" w:fill="auto"/>
            <w:noWrap/>
            <w:vAlign w:val="bottom"/>
            <w:hideMark/>
          </w:tcPr>
          <w:p w:rsidR="00113BCF" w:rsidRPr="002642A0" w:rsidRDefault="00113BCF" w:rsidP="00113BCF">
            <w:pPr>
              <w:rPr>
                <w:rFonts w:ascii="Times New Roman" w:eastAsia="Times New Roman" w:hAnsi="Times New Roman"/>
                <w:color w:val="000000"/>
                <w:sz w:val="20"/>
              </w:rPr>
            </w:pPr>
            <w:r w:rsidRPr="002642A0">
              <w:rPr>
                <w:rFonts w:ascii="Times New Roman" w:eastAsia="Times New Roman" w:hAnsi="Times New Roman"/>
                <w:color w:val="000000"/>
                <w:sz w:val="20"/>
              </w:rPr>
              <w:t> </w:t>
            </w:r>
          </w:p>
        </w:tc>
        <w:tc>
          <w:tcPr>
            <w:tcW w:w="1000" w:type="dxa"/>
            <w:gridSpan w:val="2"/>
            <w:tcBorders>
              <w:top w:val="nil"/>
              <w:left w:val="nil"/>
              <w:bottom w:val="single" w:sz="4" w:space="0" w:color="auto"/>
              <w:right w:val="single" w:sz="4" w:space="0" w:color="auto"/>
            </w:tcBorders>
            <w:shd w:val="clear" w:color="auto" w:fill="auto"/>
            <w:noWrap/>
            <w:vAlign w:val="bottom"/>
            <w:hideMark/>
          </w:tcPr>
          <w:p w:rsidR="00113BCF" w:rsidRPr="002642A0" w:rsidRDefault="00113BCF" w:rsidP="00113BCF">
            <w:pPr>
              <w:rPr>
                <w:rFonts w:ascii="Times New Roman" w:eastAsia="Times New Roman" w:hAnsi="Times New Roman"/>
                <w:color w:val="000000"/>
                <w:sz w:val="20"/>
              </w:rPr>
            </w:pPr>
            <w:r w:rsidRPr="002642A0">
              <w:rPr>
                <w:rFonts w:ascii="Times New Roman" w:eastAsia="Times New Roman" w:hAnsi="Times New Roman"/>
                <w:color w:val="000000"/>
                <w:sz w:val="20"/>
              </w:rPr>
              <w:t> </w:t>
            </w:r>
          </w:p>
        </w:tc>
        <w:tc>
          <w:tcPr>
            <w:tcW w:w="840" w:type="dxa"/>
            <w:gridSpan w:val="2"/>
            <w:tcBorders>
              <w:top w:val="nil"/>
              <w:left w:val="nil"/>
              <w:bottom w:val="single" w:sz="4" w:space="0" w:color="auto"/>
              <w:right w:val="single" w:sz="4" w:space="0" w:color="auto"/>
            </w:tcBorders>
            <w:shd w:val="clear" w:color="auto" w:fill="auto"/>
            <w:vAlign w:val="bottom"/>
            <w:hideMark/>
          </w:tcPr>
          <w:p w:rsidR="00113BCF" w:rsidRPr="002642A0" w:rsidRDefault="00113BCF" w:rsidP="00113BCF">
            <w:pPr>
              <w:jc w:val="right"/>
              <w:rPr>
                <w:rFonts w:ascii="Times New Roman" w:eastAsia="Times New Roman" w:hAnsi="Times New Roman"/>
                <w:color w:val="000000"/>
              </w:rPr>
            </w:pPr>
            <w:r w:rsidRPr="002642A0">
              <w:rPr>
                <w:rFonts w:ascii="Times New Roman" w:eastAsia="Times New Roman" w:hAnsi="Times New Roman"/>
                <w:color w:val="000000"/>
              </w:rPr>
              <w:t>28</w:t>
            </w:r>
          </w:p>
        </w:tc>
        <w:tc>
          <w:tcPr>
            <w:tcW w:w="960" w:type="dxa"/>
            <w:gridSpan w:val="2"/>
            <w:tcBorders>
              <w:top w:val="nil"/>
              <w:left w:val="nil"/>
              <w:bottom w:val="single" w:sz="4" w:space="0" w:color="auto"/>
              <w:right w:val="single" w:sz="4" w:space="0" w:color="auto"/>
            </w:tcBorders>
            <w:shd w:val="clear" w:color="auto" w:fill="auto"/>
            <w:vAlign w:val="bottom"/>
            <w:hideMark/>
          </w:tcPr>
          <w:p w:rsidR="00113BCF" w:rsidRPr="002642A0" w:rsidRDefault="00113BCF" w:rsidP="00113BCF">
            <w:pPr>
              <w:jc w:val="right"/>
              <w:rPr>
                <w:rFonts w:ascii="Times New Roman" w:eastAsia="Times New Roman" w:hAnsi="Times New Roman"/>
                <w:color w:val="000000"/>
              </w:rPr>
            </w:pPr>
            <w:r w:rsidRPr="002642A0">
              <w:rPr>
                <w:rFonts w:ascii="Times New Roman" w:eastAsia="Times New Roman" w:hAnsi="Times New Roman"/>
                <w:color w:val="000000"/>
              </w:rPr>
              <w:t>58</w:t>
            </w:r>
          </w:p>
        </w:tc>
        <w:tc>
          <w:tcPr>
            <w:tcW w:w="960" w:type="dxa"/>
            <w:tcBorders>
              <w:top w:val="nil"/>
              <w:left w:val="nil"/>
              <w:bottom w:val="single" w:sz="4" w:space="0" w:color="auto"/>
              <w:right w:val="single" w:sz="4" w:space="0" w:color="auto"/>
            </w:tcBorders>
            <w:shd w:val="clear" w:color="auto" w:fill="auto"/>
            <w:vAlign w:val="bottom"/>
            <w:hideMark/>
          </w:tcPr>
          <w:p w:rsidR="00113BCF" w:rsidRPr="002642A0" w:rsidRDefault="00113BCF" w:rsidP="00113BCF">
            <w:pPr>
              <w:jc w:val="right"/>
              <w:rPr>
                <w:rFonts w:ascii="Times New Roman" w:eastAsia="Times New Roman" w:hAnsi="Times New Roman"/>
                <w:color w:val="000000"/>
              </w:rPr>
            </w:pPr>
            <w:r w:rsidRPr="002642A0">
              <w:rPr>
                <w:rFonts w:ascii="Times New Roman" w:eastAsia="Times New Roman" w:hAnsi="Times New Roman"/>
                <w:color w:val="000000"/>
              </w:rPr>
              <w:t>48</w:t>
            </w:r>
          </w:p>
        </w:tc>
        <w:tc>
          <w:tcPr>
            <w:tcW w:w="960" w:type="dxa"/>
            <w:tcBorders>
              <w:top w:val="nil"/>
              <w:left w:val="nil"/>
              <w:bottom w:val="single" w:sz="4" w:space="0" w:color="auto"/>
              <w:right w:val="single" w:sz="4" w:space="0" w:color="auto"/>
            </w:tcBorders>
            <w:shd w:val="clear" w:color="auto" w:fill="auto"/>
            <w:vAlign w:val="bottom"/>
            <w:hideMark/>
          </w:tcPr>
          <w:p w:rsidR="00113BCF" w:rsidRPr="002642A0" w:rsidRDefault="00113BCF" w:rsidP="00113BCF">
            <w:pPr>
              <w:jc w:val="right"/>
              <w:rPr>
                <w:rFonts w:ascii="Times New Roman" w:eastAsia="Times New Roman" w:hAnsi="Times New Roman"/>
                <w:color w:val="000000"/>
              </w:rPr>
            </w:pPr>
            <w:r w:rsidRPr="002642A0">
              <w:rPr>
                <w:rFonts w:ascii="Times New Roman" w:eastAsia="Times New Roman" w:hAnsi="Times New Roman"/>
                <w:color w:val="000000"/>
              </w:rPr>
              <w:t>24</w:t>
            </w:r>
          </w:p>
        </w:tc>
      </w:tr>
      <w:tr w:rsidR="00113BCF" w:rsidRPr="002642A0" w:rsidTr="00113BCF">
        <w:trPr>
          <w:trHeight w:val="300"/>
          <w:jc w:val="center"/>
        </w:trPr>
        <w:tc>
          <w:tcPr>
            <w:tcW w:w="1054" w:type="dxa"/>
            <w:gridSpan w:val="2"/>
            <w:tcBorders>
              <w:top w:val="nil"/>
              <w:left w:val="single" w:sz="4" w:space="0" w:color="auto"/>
              <w:bottom w:val="single" w:sz="4" w:space="0" w:color="auto"/>
              <w:right w:val="single" w:sz="4" w:space="0" w:color="auto"/>
            </w:tcBorders>
            <w:shd w:val="clear" w:color="auto" w:fill="auto"/>
            <w:vAlign w:val="bottom"/>
            <w:hideMark/>
          </w:tcPr>
          <w:p w:rsidR="00113BCF" w:rsidRPr="002642A0" w:rsidRDefault="00113BCF" w:rsidP="00113BCF">
            <w:pPr>
              <w:jc w:val="right"/>
              <w:rPr>
                <w:rFonts w:ascii="Times New Roman" w:eastAsia="Times New Roman" w:hAnsi="Times New Roman"/>
                <w:color w:val="000000"/>
              </w:rPr>
            </w:pPr>
            <w:r w:rsidRPr="002642A0">
              <w:rPr>
                <w:rFonts w:ascii="Times New Roman" w:eastAsia="Times New Roman" w:hAnsi="Times New Roman"/>
                <w:color w:val="000000"/>
              </w:rPr>
              <w:t>2012</w:t>
            </w:r>
          </w:p>
        </w:tc>
        <w:tc>
          <w:tcPr>
            <w:tcW w:w="1000" w:type="dxa"/>
            <w:gridSpan w:val="2"/>
            <w:tcBorders>
              <w:top w:val="nil"/>
              <w:left w:val="nil"/>
              <w:bottom w:val="single" w:sz="4" w:space="0" w:color="auto"/>
              <w:right w:val="single" w:sz="4" w:space="0" w:color="auto"/>
            </w:tcBorders>
            <w:shd w:val="clear" w:color="auto" w:fill="auto"/>
            <w:noWrap/>
            <w:vAlign w:val="bottom"/>
            <w:hideMark/>
          </w:tcPr>
          <w:p w:rsidR="00113BCF" w:rsidRPr="002642A0" w:rsidRDefault="00113BCF" w:rsidP="00113BCF">
            <w:pPr>
              <w:rPr>
                <w:rFonts w:ascii="Times New Roman" w:eastAsia="Times New Roman" w:hAnsi="Times New Roman"/>
                <w:color w:val="000000"/>
                <w:sz w:val="20"/>
              </w:rPr>
            </w:pPr>
            <w:r w:rsidRPr="002642A0">
              <w:rPr>
                <w:rFonts w:ascii="Times New Roman" w:eastAsia="Times New Roman" w:hAnsi="Times New Roman"/>
                <w:color w:val="000000"/>
                <w:sz w:val="20"/>
              </w:rPr>
              <w:t> </w:t>
            </w:r>
          </w:p>
        </w:tc>
        <w:tc>
          <w:tcPr>
            <w:tcW w:w="1000" w:type="dxa"/>
            <w:gridSpan w:val="2"/>
            <w:tcBorders>
              <w:top w:val="nil"/>
              <w:left w:val="nil"/>
              <w:bottom w:val="single" w:sz="4" w:space="0" w:color="auto"/>
              <w:right w:val="single" w:sz="4" w:space="0" w:color="auto"/>
            </w:tcBorders>
            <w:shd w:val="clear" w:color="auto" w:fill="auto"/>
            <w:noWrap/>
            <w:vAlign w:val="bottom"/>
            <w:hideMark/>
          </w:tcPr>
          <w:p w:rsidR="00113BCF" w:rsidRPr="002642A0" w:rsidRDefault="00113BCF" w:rsidP="00113BCF">
            <w:pPr>
              <w:rPr>
                <w:rFonts w:ascii="Times New Roman" w:eastAsia="Times New Roman" w:hAnsi="Times New Roman"/>
                <w:color w:val="000000"/>
                <w:sz w:val="20"/>
              </w:rPr>
            </w:pPr>
            <w:r w:rsidRPr="002642A0">
              <w:rPr>
                <w:rFonts w:ascii="Times New Roman" w:eastAsia="Times New Roman" w:hAnsi="Times New Roman"/>
                <w:color w:val="000000"/>
                <w:sz w:val="20"/>
              </w:rPr>
              <w:t>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3BCF" w:rsidRPr="002642A0" w:rsidRDefault="00113BCF" w:rsidP="00113BCF">
            <w:pPr>
              <w:rPr>
                <w:rFonts w:ascii="Times New Roman" w:eastAsia="Times New Roman" w:hAnsi="Times New Roman"/>
                <w:color w:val="000000"/>
                <w:sz w:val="20"/>
              </w:rPr>
            </w:pPr>
            <w:r w:rsidRPr="002642A0">
              <w:rPr>
                <w:rFonts w:ascii="Times New Roman" w:eastAsia="Times New Roman" w:hAnsi="Times New Roman"/>
                <w:color w:val="000000"/>
                <w:sz w:val="20"/>
              </w:rPr>
              <w:t> </w:t>
            </w:r>
          </w:p>
        </w:tc>
        <w:tc>
          <w:tcPr>
            <w:tcW w:w="960" w:type="dxa"/>
            <w:gridSpan w:val="2"/>
            <w:tcBorders>
              <w:top w:val="nil"/>
              <w:left w:val="nil"/>
              <w:bottom w:val="single" w:sz="4" w:space="0" w:color="auto"/>
              <w:right w:val="single" w:sz="4" w:space="0" w:color="auto"/>
            </w:tcBorders>
            <w:shd w:val="clear" w:color="auto" w:fill="auto"/>
            <w:vAlign w:val="bottom"/>
            <w:hideMark/>
          </w:tcPr>
          <w:p w:rsidR="00113BCF" w:rsidRPr="002642A0" w:rsidRDefault="00113BCF" w:rsidP="00113BCF">
            <w:pPr>
              <w:jc w:val="right"/>
              <w:rPr>
                <w:rFonts w:ascii="Times New Roman" w:eastAsia="Times New Roman" w:hAnsi="Times New Roman"/>
                <w:color w:val="000000"/>
              </w:rPr>
            </w:pPr>
            <w:r w:rsidRPr="002642A0">
              <w:rPr>
                <w:rFonts w:ascii="Times New Roman" w:eastAsia="Times New Roman" w:hAnsi="Times New Roman"/>
                <w:color w:val="000000"/>
              </w:rPr>
              <w:t>29</w:t>
            </w:r>
          </w:p>
        </w:tc>
        <w:tc>
          <w:tcPr>
            <w:tcW w:w="960" w:type="dxa"/>
            <w:tcBorders>
              <w:top w:val="nil"/>
              <w:left w:val="nil"/>
              <w:bottom w:val="single" w:sz="4" w:space="0" w:color="auto"/>
              <w:right w:val="single" w:sz="4" w:space="0" w:color="auto"/>
            </w:tcBorders>
            <w:shd w:val="clear" w:color="auto" w:fill="auto"/>
            <w:vAlign w:val="bottom"/>
            <w:hideMark/>
          </w:tcPr>
          <w:p w:rsidR="00113BCF" w:rsidRPr="002642A0" w:rsidRDefault="00113BCF" w:rsidP="00113BCF">
            <w:pPr>
              <w:jc w:val="right"/>
              <w:rPr>
                <w:rFonts w:ascii="Times New Roman" w:eastAsia="Times New Roman" w:hAnsi="Times New Roman"/>
                <w:color w:val="000000"/>
              </w:rPr>
            </w:pPr>
            <w:r w:rsidRPr="002642A0">
              <w:rPr>
                <w:rFonts w:ascii="Times New Roman" w:eastAsia="Times New Roman" w:hAnsi="Times New Roman"/>
                <w:color w:val="000000"/>
              </w:rPr>
              <w:t>52</w:t>
            </w:r>
          </w:p>
        </w:tc>
        <w:tc>
          <w:tcPr>
            <w:tcW w:w="960" w:type="dxa"/>
            <w:tcBorders>
              <w:top w:val="nil"/>
              <w:left w:val="nil"/>
              <w:bottom w:val="single" w:sz="4" w:space="0" w:color="auto"/>
              <w:right w:val="single" w:sz="4" w:space="0" w:color="auto"/>
            </w:tcBorders>
            <w:shd w:val="clear" w:color="auto" w:fill="auto"/>
            <w:vAlign w:val="bottom"/>
            <w:hideMark/>
          </w:tcPr>
          <w:p w:rsidR="00113BCF" w:rsidRPr="002642A0" w:rsidRDefault="00113BCF" w:rsidP="00113BCF">
            <w:pPr>
              <w:jc w:val="right"/>
              <w:rPr>
                <w:rFonts w:ascii="Times New Roman" w:eastAsia="Times New Roman" w:hAnsi="Times New Roman"/>
                <w:color w:val="000000"/>
              </w:rPr>
            </w:pPr>
            <w:r w:rsidRPr="002642A0">
              <w:rPr>
                <w:rFonts w:ascii="Times New Roman" w:eastAsia="Times New Roman" w:hAnsi="Times New Roman"/>
                <w:color w:val="000000"/>
              </w:rPr>
              <w:t>27</w:t>
            </w:r>
          </w:p>
        </w:tc>
      </w:tr>
      <w:tr w:rsidR="00113BCF" w:rsidRPr="002642A0" w:rsidTr="00113BCF">
        <w:trPr>
          <w:trHeight w:val="300"/>
          <w:jc w:val="center"/>
        </w:trPr>
        <w:tc>
          <w:tcPr>
            <w:tcW w:w="1054" w:type="dxa"/>
            <w:gridSpan w:val="2"/>
            <w:tcBorders>
              <w:top w:val="nil"/>
              <w:left w:val="single" w:sz="4" w:space="0" w:color="auto"/>
              <w:bottom w:val="single" w:sz="4" w:space="0" w:color="auto"/>
              <w:right w:val="single" w:sz="4" w:space="0" w:color="auto"/>
            </w:tcBorders>
            <w:shd w:val="clear" w:color="auto" w:fill="auto"/>
            <w:vAlign w:val="bottom"/>
            <w:hideMark/>
          </w:tcPr>
          <w:p w:rsidR="00113BCF" w:rsidRPr="002642A0" w:rsidRDefault="00113BCF" w:rsidP="00113BCF">
            <w:pPr>
              <w:jc w:val="right"/>
              <w:rPr>
                <w:rFonts w:ascii="Times New Roman" w:eastAsia="Times New Roman" w:hAnsi="Times New Roman"/>
                <w:color w:val="000000"/>
              </w:rPr>
            </w:pPr>
            <w:r w:rsidRPr="002642A0">
              <w:rPr>
                <w:rFonts w:ascii="Times New Roman" w:eastAsia="Times New Roman" w:hAnsi="Times New Roman"/>
                <w:color w:val="000000"/>
              </w:rPr>
              <w:t>2013</w:t>
            </w:r>
          </w:p>
        </w:tc>
        <w:tc>
          <w:tcPr>
            <w:tcW w:w="1000" w:type="dxa"/>
            <w:gridSpan w:val="2"/>
            <w:tcBorders>
              <w:top w:val="nil"/>
              <w:left w:val="nil"/>
              <w:bottom w:val="single" w:sz="4" w:space="0" w:color="auto"/>
              <w:right w:val="single" w:sz="4" w:space="0" w:color="auto"/>
            </w:tcBorders>
            <w:shd w:val="clear" w:color="auto" w:fill="auto"/>
            <w:noWrap/>
            <w:vAlign w:val="bottom"/>
            <w:hideMark/>
          </w:tcPr>
          <w:p w:rsidR="00113BCF" w:rsidRPr="002642A0" w:rsidRDefault="00113BCF" w:rsidP="00113BCF">
            <w:pPr>
              <w:rPr>
                <w:rFonts w:ascii="Times New Roman" w:eastAsia="Times New Roman" w:hAnsi="Times New Roman"/>
                <w:color w:val="000000"/>
                <w:sz w:val="20"/>
              </w:rPr>
            </w:pPr>
            <w:r w:rsidRPr="002642A0">
              <w:rPr>
                <w:rFonts w:ascii="Times New Roman" w:eastAsia="Times New Roman" w:hAnsi="Times New Roman"/>
                <w:color w:val="000000"/>
                <w:sz w:val="20"/>
              </w:rPr>
              <w:t> </w:t>
            </w:r>
          </w:p>
        </w:tc>
        <w:tc>
          <w:tcPr>
            <w:tcW w:w="1000" w:type="dxa"/>
            <w:gridSpan w:val="2"/>
            <w:tcBorders>
              <w:top w:val="nil"/>
              <w:left w:val="nil"/>
              <w:bottom w:val="single" w:sz="4" w:space="0" w:color="auto"/>
              <w:right w:val="single" w:sz="4" w:space="0" w:color="auto"/>
            </w:tcBorders>
            <w:shd w:val="clear" w:color="auto" w:fill="auto"/>
            <w:noWrap/>
            <w:vAlign w:val="bottom"/>
            <w:hideMark/>
          </w:tcPr>
          <w:p w:rsidR="00113BCF" w:rsidRPr="002642A0" w:rsidRDefault="00113BCF" w:rsidP="00113BCF">
            <w:pPr>
              <w:rPr>
                <w:rFonts w:ascii="Times New Roman" w:eastAsia="Times New Roman" w:hAnsi="Times New Roman"/>
                <w:color w:val="000000"/>
                <w:sz w:val="20"/>
              </w:rPr>
            </w:pPr>
            <w:r w:rsidRPr="002642A0">
              <w:rPr>
                <w:rFonts w:ascii="Times New Roman" w:eastAsia="Times New Roman" w:hAnsi="Times New Roman"/>
                <w:color w:val="000000"/>
                <w:sz w:val="20"/>
              </w:rPr>
              <w:t>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3BCF" w:rsidRPr="002642A0" w:rsidRDefault="00113BCF" w:rsidP="00113BCF">
            <w:pPr>
              <w:rPr>
                <w:rFonts w:ascii="Times New Roman" w:eastAsia="Times New Roman" w:hAnsi="Times New Roman"/>
                <w:color w:val="000000"/>
                <w:sz w:val="20"/>
              </w:rPr>
            </w:pPr>
            <w:r w:rsidRPr="002642A0">
              <w:rPr>
                <w:rFonts w:ascii="Times New Roman" w:eastAsia="Times New Roman" w:hAnsi="Times New Roman"/>
                <w:color w:val="000000"/>
                <w:sz w:val="20"/>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13BCF" w:rsidRPr="002642A0" w:rsidRDefault="00113BCF" w:rsidP="00113BCF">
            <w:pPr>
              <w:rPr>
                <w:rFonts w:ascii="Times New Roman" w:eastAsia="Times New Roman" w:hAnsi="Times New Roman"/>
                <w:color w:val="000000"/>
                <w:sz w:val="20"/>
              </w:rPr>
            </w:pPr>
            <w:r w:rsidRPr="002642A0">
              <w:rPr>
                <w:rFonts w:ascii="Times New Roman" w:eastAsia="Times New Roman" w:hAnsi="Times New Roman"/>
                <w:color w:val="000000"/>
                <w:sz w:val="20"/>
              </w:rPr>
              <w:t> </w:t>
            </w:r>
          </w:p>
        </w:tc>
        <w:tc>
          <w:tcPr>
            <w:tcW w:w="960" w:type="dxa"/>
            <w:tcBorders>
              <w:top w:val="nil"/>
              <w:left w:val="nil"/>
              <w:bottom w:val="single" w:sz="4" w:space="0" w:color="auto"/>
              <w:right w:val="single" w:sz="4" w:space="0" w:color="auto"/>
            </w:tcBorders>
            <w:shd w:val="clear" w:color="auto" w:fill="auto"/>
            <w:vAlign w:val="bottom"/>
            <w:hideMark/>
          </w:tcPr>
          <w:p w:rsidR="00113BCF" w:rsidRPr="002642A0" w:rsidRDefault="00113BCF" w:rsidP="00113BCF">
            <w:pPr>
              <w:jc w:val="right"/>
              <w:rPr>
                <w:rFonts w:ascii="Times New Roman" w:eastAsia="Times New Roman" w:hAnsi="Times New Roman"/>
                <w:color w:val="000000"/>
              </w:rPr>
            </w:pPr>
            <w:r w:rsidRPr="002642A0">
              <w:rPr>
                <w:rFonts w:ascii="Times New Roman" w:eastAsia="Times New Roman" w:hAnsi="Times New Roman"/>
                <w:color w:val="000000"/>
              </w:rPr>
              <w:t>24</w:t>
            </w:r>
          </w:p>
        </w:tc>
        <w:tc>
          <w:tcPr>
            <w:tcW w:w="960" w:type="dxa"/>
            <w:tcBorders>
              <w:top w:val="nil"/>
              <w:left w:val="nil"/>
              <w:bottom w:val="single" w:sz="4" w:space="0" w:color="auto"/>
              <w:right w:val="single" w:sz="4" w:space="0" w:color="auto"/>
            </w:tcBorders>
            <w:shd w:val="clear" w:color="auto" w:fill="auto"/>
            <w:vAlign w:val="bottom"/>
            <w:hideMark/>
          </w:tcPr>
          <w:p w:rsidR="00113BCF" w:rsidRPr="002642A0" w:rsidRDefault="00113BCF" w:rsidP="00113BCF">
            <w:pPr>
              <w:jc w:val="right"/>
              <w:rPr>
                <w:rFonts w:ascii="Times New Roman" w:eastAsia="Times New Roman" w:hAnsi="Times New Roman"/>
                <w:color w:val="000000"/>
              </w:rPr>
            </w:pPr>
            <w:r w:rsidRPr="002642A0">
              <w:rPr>
                <w:rFonts w:ascii="Times New Roman" w:eastAsia="Times New Roman" w:hAnsi="Times New Roman"/>
                <w:color w:val="000000"/>
              </w:rPr>
              <w:t>28</w:t>
            </w:r>
          </w:p>
        </w:tc>
      </w:tr>
      <w:tr w:rsidR="00113BCF" w:rsidRPr="00E83CEE" w:rsidTr="00113BCF">
        <w:trPr>
          <w:gridAfter w:val="3"/>
          <w:wAfter w:w="2054" w:type="dxa"/>
          <w:trHeight w:val="300"/>
          <w:jc w:val="center"/>
        </w:trPr>
        <w:tc>
          <w:tcPr>
            <w:tcW w:w="1000" w:type="dxa"/>
            <w:tcBorders>
              <w:top w:val="nil"/>
              <w:left w:val="nil"/>
              <w:bottom w:val="nil"/>
              <w:right w:val="nil"/>
            </w:tcBorders>
            <w:shd w:val="clear" w:color="auto" w:fill="auto"/>
            <w:noWrap/>
            <w:vAlign w:val="bottom"/>
            <w:hideMark/>
          </w:tcPr>
          <w:p w:rsidR="00113BCF" w:rsidRDefault="00113BCF" w:rsidP="00113BCF">
            <w:pPr>
              <w:rPr>
                <w:rFonts w:ascii="Calibri" w:eastAsia="Times New Roman" w:hAnsi="Calibri"/>
                <w:color w:val="000000"/>
              </w:rPr>
            </w:pPr>
          </w:p>
          <w:p w:rsidR="002642A0" w:rsidRPr="00E83CEE" w:rsidRDefault="002642A0" w:rsidP="00113BCF">
            <w:pPr>
              <w:rPr>
                <w:rFonts w:ascii="Calibri" w:eastAsia="Times New Roman" w:hAnsi="Calibri"/>
                <w:color w:val="000000"/>
              </w:rPr>
            </w:pPr>
          </w:p>
        </w:tc>
        <w:tc>
          <w:tcPr>
            <w:tcW w:w="840" w:type="dxa"/>
            <w:gridSpan w:val="2"/>
            <w:tcBorders>
              <w:top w:val="nil"/>
              <w:left w:val="nil"/>
              <w:bottom w:val="nil"/>
              <w:right w:val="nil"/>
            </w:tcBorders>
            <w:shd w:val="clear" w:color="auto" w:fill="auto"/>
            <w:noWrap/>
            <w:vAlign w:val="bottom"/>
            <w:hideMark/>
          </w:tcPr>
          <w:p w:rsidR="00113BCF" w:rsidRPr="00E83CEE" w:rsidRDefault="00113BCF" w:rsidP="00113BCF">
            <w:pPr>
              <w:rPr>
                <w:rFonts w:ascii="Calibri" w:eastAsia="Times New Roman" w:hAnsi="Calibri"/>
                <w:color w:val="000000"/>
              </w:rPr>
            </w:pPr>
          </w:p>
        </w:tc>
        <w:tc>
          <w:tcPr>
            <w:tcW w:w="960" w:type="dxa"/>
            <w:gridSpan w:val="2"/>
            <w:tcBorders>
              <w:top w:val="nil"/>
              <w:left w:val="nil"/>
              <w:bottom w:val="nil"/>
              <w:right w:val="nil"/>
            </w:tcBorders>
            <w:shd w:val="clear" w:color="auto" w:fill="auto"/>
            <w:noWrap/>
            <w:vAlign w:val="bottom"/>
            <w:hideMark/>
          </w:tcPr>
          <w:p w:rsidR="00113BCF" w:rsidRPr="00E83CEE" w:rsidRDefault="00113BCF" w:rsidP="00113BCF">
            <w:pPr>
              <w:rPr>
                <w:rFonts w:ascii="Calibri" w:eastAsia="Times New Roman" w:hAnsi="Calibri"/>
                <w:color w:val="000000"/>
              </w:rPr>
            </w:pPr>
          </w:p>
        </w:tc>
        <w:tc>
          <w:tcPr>
            <w:tcW w:w="960" w:type="dxa"/>
            <w:gridSpan w:val="2"/>
            <w:tcBorders>
              <w:top w:val="nil"/>
              <w:left w:val="nil"/>
              <w:bottom w:val="nil"/>
              <w:right w:val="nil"/>
            </w:tcBorders>
            <w:shd w:val="clear" w:color="auto" w:fill="auto"/>
            <w:noWrap/>
            <w:vAlign w:val="bottom"/>
            <w:hideMark/>
          </w:tcPr>
          <w:p w:rsidR="00113BCF" w:rsidRPr="00E83CEE" w:rsidRDefault="00113BCF" w:rsidP="00113BCF">
            <w:pPr>
              <w:rPr>
                <w:rFonts w:ascii="Calibri" w:eastAsia="Times New Roman" w:hAnsi="Calibri"/>
                <w:color w:val="000000"/>
              </w:rPr>
            </w:pPr>
          </w:p>
        </w:tc>
        <w:tc>
          <w:tcPr>
            <w:tcW w:w="960" w:type="dxa"/>
            <w:gridSpan w:val="2"/>
            <w:tcBorders>
              <w:top w:val="nil"/>
              <w:left w:val="nil"/>
              <w:bottom w:val="nil"/>
              <w:right w:val="nil"/>
            </w:tcBorders>
            <w:shd w:val="clear" w:color="auto" w:fill="auto"/>
            <w:noWrap/>
            <w:vAlign w:val="bottom"/>
            <w:hideMark/>
          </w:tcPr>
          <w:p w:rsidR="00113BCF" w:rsidRPr="00E83CEE" w:rsidRDefault="00113BCF" w:rsidP="00113BCF">
            <w:pPr>
              <w:rPr>
                <w:rFonts w:ascii="Calibri" w:eastAsia="Times New Roman" w:hAnsi="Calibri"/>
                <w:color w:val="000000"/>
              </w:rPr>
            </w:pPr>
          </w:p>
        </w:tc>
      </w:tr>
    </w:tbl>
    <w:p w:rsidR="00113BCF" w:rsidRPr="00113BCF" w:rsidRDefault="00113BCF" w:rsidP="00DA2879">
      <w:pPr>
        <w:rPr>
          <w:rFonts w:ascii="Times New Roman" w:eastAsiaTheme="minorHAnsi" w:hAnsi="Times New Roman"/>
          <w:szCs w:val="24"/>
          <w:u w:val="single"/>
        </w:rPr>
      </w:pPr>
      <w:r w:rsidRPr="00113BCF">
        <w:rPr>
          <w:rFonts w:ascii="Times New Roman" w:eastAsiaTheme="minorHAnsi" w:hAnsi="Times New Roman"/>
          <w:szCs w:val="24"/>
          <w:u w:val="single"/>
        </w:rPr>
        <w:t>Homes Weatherized</w:t>
      </w:r>
    </w:p>
    <w:p w:rsidR="00DA2879" w:rsidRDefault="00DA2879" w:rsidP="00DA2879">
      <w:pPr>
        <w:rPr>
          <w:rFonts w:ascii="Times New Roman" w:eastAsiaTheme="minorHAnsi" w:hAnsi="Times New Roman"/>
          <w:szCs w:val="24"/>
        </w:rPr>
      </w:pPr>
    </w:p>
    <w:p w:rsidR="00113BCF" w:rsidRPr="00113BCF" w:rsidRDefault="00113BCF" w:rsidP="00DA2879">
      <w:pPr>
        <w:rPr>
          <w:rFonts w:ascii="Times New Roman" w:eastAsiaTheme="minorHAnsi" w:hAnsi="Times New Roman"/>
          <w:szCs w:val="24"/>
        </w:rPr>
      </w:pPr>
      <w:r w:rsidRPr="00113BCF">
        <w:rPr>
          <w:rFonts w:ascii="Times New Roman" w:eastAsiaTheme="minorHAnsi" w:hAnsi="Times New Roman"/>
          <w:szCs w:val="24"/>
        </w:rPr>
        <w:t>Our records indicate the number of homes served through Pacific Power’s Low Income Weatherization Program by calendar year (2009-2013) is as follows:</w:t>
      </w:r>
    </w:p>
    <w:p w:rsidR="002642A0" w:rsidRDefault="002642A0">
      <w:pPr>
        <w:spacing w:after="200" w:line="276" w:lineRule="auto"/>
        <w:rPr>
          <w:rFonts w:ascii="Times New Roman" w:eastAsiaTheme="minorHAnsi" w:hAnsi="Times New Roman"/>
          <w:szCs w:val="24"/>
        </w:rPr>
      </w:pPr>
      <w:r>
        <w:rPr>
          <w:rFonts w:ascii="Times New Roman" w:eastAsiaTheme="minorHAnsi" w:hAnsi="Times New Roman"/>
          <w:szCs w:val="24"/>
        </w:rPr>
        <w:br w:type="page"/>
      </w:r>
    </w:p>
    <w:p w:rsidR="0033223F" w:rsidRDefault="0033223F" w:rsidP="00D07712">
      <w:pPr>
        <w:rPr>
          <w:rFonts w:ascii="Times New Roman" w:eastAsiaTheme="minorHAnsi" w:hAnsi="Times New Roman"/>
          <w:szCs w:val="24"/>
        </w:rPr>
      </w:pPr>
    </w:p>
    <w:tbl>
      <w:tblPr>
        <w:tblW w:w="2338" w:type="dxa"/>
        <w:jc w:val="center"/>
        <w:tblInd w:w="828" w:type="dxa"/>
        <w:tblLook w:val="04A0" w:firstRow="1" w:lastRow="0" w:firstColumn="1" w:lastColumn="0" w:noHBand="0" w:noVBand="1"/>
      </w:tblPr>
      <w:tblGrid>
        <w:gridCol w:w="1054"/>
        <w:gridCol w:w="43"/>
        <w:gridCol w:w="797"/>
        <w:gridCol w:w="444"/>
      </w:tblGrid>
      <w:tr w:rsidR="00113BCF" w:rsidRPr="00E83CEE" w:rsidTr="00113BCF">
        <w:trPr>
          <w:trHeight w:val="600"/>
          <w:jc w:val="center"/>
        </w:trPr>
        <w:tc>
          <w:tcPr>
            <w:tcW w:w="1097" w:type="dxa"/>
            <w:gridSpan w:val="2"/>
            <w:tcBorders>
              <w:top w:val="single" w:sz="4" w:space="0" w:color="auto"/>
              <w:left w:val="single" w:sz="4" w:space="0" w:color="auto"/>
              <w:bottom w:val="single" w:sz="4" w:space="0" w:color="auto"/>
              <w:right w:val="single" w:sz="4" w:space="0" w:color="auto"/>
            </w:tcBorders>
            <w:shd w:val="clear" w:color="000000" w:fill="C0C0C0"/>
            <w:vAlign w:val="bottom"/>
            <w:hideMark/>
          </w:tcPr>
          <w:p w:rsidR="00113BCF" w:rsidRPr="002642A0" w:rsidRDefault="00113BCF" w:rsidP="00113BCF">
            <w:pPr>
              <w:jc w:val="center"/>
              <w:rPr>
                <w:rFonts w:ascii="Times New Roman" w:eastAsia="Times New Roman" w:hAnsi="Times New Roman"/>
                <w:color w:val="000000"/>
              </w:rPr>
            </w:pPr>
            <w:r w:rsidRPr="002642A0">
              <w:rPr>
                <w:rFonts w:ascii="Times New Roman" w:eastAsia="Times New Roman" w:hAnsi="Times New Roman"/>
                <w:color w:val="000000"/>
              </w:rPr>
              <w:t>Calendar</w:t>
            </w:r>
          </w:p>
          <w:p w:rsidR="00113BCF" w:rsidRPr="002642A0" w:rsidRDefault="00113BCF" w:rsidP="00113BCF">
            <w:pPr>
              <w:jc w:val="center"/>
              <w:rPr>
                <w:rFonts w:ascii="Times New Roman" w:eastAsia="Times New Roman" w:hAnsi="Times New Roman"/>
                <w:color w:val="000000"/>
              </w:rPr>
            </w:pPr>
            <w:r w:rsidRPr="002642A0">
              <w:rPr>
                <w:rFonts w:ascii="Times New Roman" w:eastAsia="Times New Roman" w:hAnsi="Times New Roman"/>
                <w:color w:val="000000"/>
              </w:rPr>
              <w:t>Year</w:t>
            </w:r>
          </w:p>
        </w:tc>
        <w:tc>
          <w:tcPr>
            <w:tcW w:w="1241" w:type="dxa"/>
            <w:gridSpan w:val="2"/>
            <w:tcBorders>
              <w:top w:val="single" w:sz="4" w:space="0" w:color="auto"/>
              <w:left w:val="nil"/>
              <w:bottom w:val="single" w:sz="4" w:space="0" w:color="auto"/>
              <w:right w:val="single" w:sz="4" w:space="0" w:color="auto"/>
            </w:tcBorders>
            <w:shd w:val="clear" w:color="000000" w:fill="C0C0C0"/>
            <w:noWrap/>
            <w:vAlign w:val="bottom"/>
            <w:hideMark/>
          </w:tcPr>
          <w:p w:rsidR="00113BCF" w:rsidRPr="002642A0" w:rsidRDefault="00113BCF" w:rsidP="00113BCF">
            <w:pPr>
              <w:jc w:val="center"/>
              <w:rPr>
                <w:rFonts w:ascii="Times New Roman" w:eastAsia="Times New Roman" w:hAnsi="Times New Roman"/>
                <w:color w:val="000000"/>
              </w:rPr>
            </w:pPr>
            <w:r w:rsidRPr="002642A0">
              <w:rPr>
                <w:rFonts w:ascii="Times New Roman" w:eastAsia="Times New Roman" w:hAnsi="Times New Roman"/>
                <w:color w:val="000000"/>
              </w:rPr>
              <w:t xml:space="preserve">Number </w:t>
            </w:r>
          </w:p>
          <w:p w:rsidR="00113BCF" w:rsidRPr="002642A0" w:rsidRDefault="00113BCF" w:rsidP="00113BCF">
            <w:pPr>
              <w:jc w:val="center"/>
              <w:rPr>
                <w:rFonts w:ascii="Times New Roman" w:eastAsia="Times New Roman" w:hAnsi="Times New Roman"/>
                <w:color w:val="000000"/>
              </w:rPr>
            </w:pPr>
            <w:r w:rsidRPr="002642A0">
              <w:rPr>
                <w:rFonts w:ascii="Times New Roman" w:eastAsia="Times New Roman" w:hAnsi="Times New Roman"/>
                <w:color w:val="000000"/>
              </w:rPr>
              <w:t>Of Homes</w:t>
            </w:r>
          </w:p>
        </w:tc>
      </w:tr>
      <w:tr w:rsidR="00113BCF" w:rsidRPr="00E83CEE" w:rsidTr="00113BCF">
        <w:trPr>
          <w:trHeight w:val="300"/>
          <w:jc w:val="center"/>
        </w:trPr>
        <w:tc>
          <w:tcPr>
            <w:tcW w:w="1097" w:type="dxa"/>
            <w:gridSpan w:val="2"/>
            <w:tcBorders>
              <w:top w:val="nil"/>
              <w:left w:val="single" w:sz="4" w:space="0" w:color="auto"/>
              <w:bottom w:val="single" w:sz="4" w:space="0" w:color="auto"/>
              <w:right w:val="single" w:sz="4" w:space="0" w:color="auto"/>
            </w:tcBorders>
            <w:shd w:val="clear" w:color="auto" w:fill="auto"/>
            <w:vAlign w:val="bottom"/>
            <w:hideMark/>
          </w:tcPr>
          <w:p w:rsidR="00113BCF" w:rsidRPr="002642A0" w:rsidRDefault="00113BCF" w:rsidP="00113BCF">
            <w:pPr>
              <w:jc w:val="right"/>
              <w:rPr>
                <w:rFonts w:ascii="Times New Roman" w:eastAsia="Times New Roman" w:hAnsi="Times New Roman"/>
                <w:color w:val="000000"/>
              </w:rPr>
            </w:pPr>
            <w:r w:rsidRPr="002642A0">
              <w:rPr>
                <w:rFonts w:ascii="Times New Roman" w:eastAsia="Times New Roman" w:hAnsi="Times New Roman"/>
                <w:color w:val="000000"/>
              </w:rPr>
              <w:t>2009</w:t>
            </w:r>
          </w:p>
        </w:tc>
        <w:tc>
          <w:tcPr>
            <w:tcW w:w="1241" w:type="dxa"/>
            <w:gridSpan w:val="2"/>
            <w:tcBorders>
              <w:top w:val="nil"/>
              <w:left w:val="nil"/>
              <w:bottom w:val="single" w:sz="4" w:space="0" w:color="auto"/>
              <w:right w:val="single" w:sz="4" w:space="0" w:color="auto"/>
            </w:tcBorders>
            <w:shd w:val="clear" w:color="auto" w:fill="auto"/>
            <w:vAlign w:val="bottom"/>
            <w:hideMark/>
          </w:tcPr>
          <w:p w:rsidR="00113BCF" w:rsidRPr="002642A0" w:rsidRDefault="00113BCF" w:rsidP="00113BCF">
            <w:pPr>
              <w:jc w:val="right"/>
              <w:rPr>
                <w:rFonts w:ascii="Times New Roman" w:eastAsia="Times New Roman" w:hAnsi="Times New Roman"/>
                <w:color w:val="000000"/>
              </w:rPr>
            </w:pPr>
            <w:r w:rsidRPr="002642A0">
              <w:rPr>
                <w:rFonts w:ascii="Times New Roman" w:eastAsia="Times New Roman" w:hAnsi="Times New Roman"/>
                <w:color w:val="000000"/>
              </w:rPr>
              <w:t>131</w:t>
            </w:r>
          </w:p>
        </w:tc>
      </w:tr>
      <w:tr w:rsidR="00113BCF" w:rsidRPr="00E83CEE" w:rsidTr="00113BCF">
        <w:trPr>
          <w:trHeight w:val="300"/>
          <w:jc w:val="center"/>
        </w:trPr>
        <w:tc>
          <w:tcPr>
            <w:tcW w:w="1097" w:type="dxa"/>
            <w:gridSpan w:val="2"/>
            <w:tcBorders>
              <w:top w:val="nil"/>
              <w:left w:val="single" w:sz="4" w:space="0" w:color="auto"/>
              <w:bottom w:val="single" w:sz="4" w:space="0" w:color="auto"/>
              <w:right w:val="single" w:sz="4" w:space="0" w:color="auto"/>
            </w:tcBorders>
            <w:shd w:val="clear" w:color="auto" w:fill="auto"/>
            <w:vAlign w:val="bottom"/>
            <w:hideMark/>
          </w:tcPr>
          <w:p w:rsidR="00113BCF" w:rsidRPr="002642A0" w:rsidRDefault="00113BCF" w:rsidP="00113BCF">
            <w:pPr>
              <w:jc w:val="right"/>
              <w:rPr>
                <w:rFonts w:ascii="Times New Roman" w:eastAsia="Times New Roman" w:hAnsi="Times New Roman"/>
                <w:color w:val="000000"/>
              </w:rPr>
            </w:pPr>
            <w:r w:rsidRPr="002642A0">
              <w:rPr>
                <w:rFonts w:ascii="Times New Roman" w:eastAsia="Times New Roman" w:hAnsi="Times New Roman"/>
                <w:color w:val="000000"/>
              </w:rPr>
              <w:t>2010</w:t>
            </w:r>
          </w:p>
        </w:tc>
        <w:tc>
          <w:tcPr>
            <w:tcW w:w="1241" w:type="dxa"/>
            <w:gridSpan w:val="2"/>
            <w:tcBorders>
              <w:top w:val="nil"/>
              <w:left w:val="nil"/>
              <w:bottom w:val="single" w:sz="4" w:space="0" w:color="auto"/>
              <w:right w:val="single" w:sz="4" w:space="0" w:color="auto"/>
            </w:tcBorders>
            <w:shd w:val="clear" w:color="auto" w:fill="auto"/>
            <w:noWrap/>
            <w:vAlign w:val="bottom"/>
            <w:hideMark/>
          </w:tcPr>
          <w:p w:rsidR="00113BCF" w:rsidRPr="002642A0" w:rsidRDefault="00113BCF" w:rsidP="00113BCF">
            <w:pPr>
              <w:jc w:val="right"/>
              <w:rPr>
                <w:rFonts w:ascii="Times New Roman" w:eastAsia="Times New Roman" w:hAnsi="Times New Roman"/>
                <w:color w:val="000000"/>
              </w:rPr>
            </w:pPr>
            <w:r w:rsidRPr="002642A0">
              <w:rPr>
                <w:rFonts w:ascii="Times New Roman" w:eastAsia="Times New Roman" w:hAnsi="Times New Roman"/>
                <w:color w:val="000000"/>
              </w:rPr>
              <w:t>100</w:t>
            </w:r>
          </w:p>
        </w:tc>
      </w:tr>
      <w:tr w:rsidR="00113BCF" w:rsidRPr="00E83CEE" w:rsidTr="00113BCF">
        <w:trPr>
          <w:trHeight w:val="300"/>
          <w:jc w:val="center"/>
        </w:trPr>
        <w:tc>
          <w:tcPr>
            <w:tcW w:w="1097" w:type="dxa"/>
            <w:gridSpan w:val="2"/>
            <w:tcBorders>
              <w:top w:val="nil"/>
              <w:left w:val="single" w:sz="4" w:space="0" w:color="auto"/>
              <w:bottom w:val="single" w:sz="4" w:space="0" w:color="auto"/>
              <w:right w:val="single" w:sz="4" w:space="0" w:color="auto"/>
            </w:tcBorders>
            <w:shd w:val="clear" w:color="auto" w:fill="auto"/>
            <w:vAlign w:val="bottom"/>
            <w:hideMark/>
          </w:tcPr>
          <w:p w:rsidR="00113BCF" w:rsidRPr="002642A0" w:rsidRDefault="00113BCF" w:rsidP="00113BCF">
            <w:pPr>
              <w:jc w:val="right"/>
              <w:rPr>
                <w:rFonts w:ascii="Times New Roman" w:eastAsia="Times New Roman" w:hAnsi="Times New Roman"/>
                <w:color w:val="000000"/>
              </w:rPr>
            </w:pPr>
            <w:r w:rsidRPr="002642A0">
              <w:rPr>
                <w:rFonts w:ascii="Times New Roman" w:eastAsia="Times New Roman" w:hAnsi="Times New Roman"/>
                <w:color w:val="000000"/>
              </w:rPr>
              <w:t>2011</w:t>
            </w:r>
          </w:p>
        </w:tc>
        <w:tc>
          <w:tcPr>
            <w:tcW w:w="1241" w:type="dxa"/>
            <w:gridSpan w:val="2"/>
            <w:tcBorders>
              <w:top w:val="nil"/>
              <w:left w:val="nil"/>
              <w:bottom w:val="single" w:sz="4" w:space="0" w:color="auto"/>
              <w:right w:val="single" w:sz="4" w:space="0" w:color="auto"/>
            </w:tcBorders>
            <w:shd w:val="clear" w:color="auto" w:fill="auto"/>
            <w:noWrap/>
            <w:vAlign w:val="bottom"/>
            <w:hideMark/>
          </w:tcPr>
          <w:p w:rsidR="00113BCF" w:rsidRPr="002642A0" w:rsidRDefault="00113BCF" w:rsidP="00113BCF">
            <w:pPr>
              <w:jc w:val="right"/>
              <w:rPr>
                <w:rFonts w:ascii="Times New Roman" w:eastAsia="Times New Roman" w:hAnsi="Times New Roman"/>
                <w:color w:val="000000"/>
              </w:rPr>
            </w:pPr>
            <w:r w:rsidRPr="002642A0">
              <w:rPr>
                <w:rFonts w:ascii="Times New Roman" w:eastAsia="Times New Roman" w:hAnsi="Times New Roman"/>
                <w:color w:val="000000"/>
              </w:rPr>
              <w:t>133</w:t>
            </w:r>
          </w:p>
        </w:tc>
      </w:tr>
      <w:tr w:rsidR="00113BCF" w:rsidRPr="00E83CEE" w:rsidTr="00113BCF">
        <w:trPr>
          <w:trHeight w:val="300"/>
          <w:jc w:val="center"/>
        </w:trPr>
        <w:tc>
          <w:tcPr>
            <w:tcW w:w="1097" w:type="dxa"/>
            <w:gridSpan w:val="2"/>
            <w:tcBorders>
              <w:top w:val="nil"/>
              <w:left w:val="single" w:sz="4" w:space="0" w:color="auto"/>
              <w:bottom w:val="single" w:sz="4" w:space="0" w:color="auto"/>
              <w:right w:val="single" w:sz="4" w:space="0" w:color="auto"/>
            </w:tcBorders>
            <w:shd w:val="clear" w:color="auto" w:fill="auto"/>
            <w:vAlign w:val="bottom"/>
            <w:hideMark/>
          </w:tcPr>
          <w:p w:rsidR="00113BCF" w:rsidRPr="002642A0" w:rsidRDefault="00113BCF" w:rsidP="00113BCF">
            <w:pPr>
              <w:jc w:val="right"/>
              <w:rPr>
                <w:rFonts w:ascii="Times New Roman" w:eastAsia="Times New Roman" w:hAnsi="Times New Roman"/>
                <w:color w:val="000000"/>
              </w:rPr>
            </w:pPr>
            <w:r w:rsidRPr="002642A0">
              <w:rPr>
                <w:rFonts w:ascii="Times New Roman" w:eastAsia="Times New Roman" w:hAnsi="Times New Roman"/>
                <w:color w:val="000000"/>
              </w:rPr>
              <w:t>2012</w:t>
            </w:r>
          </w:p>
        </w:tc>
        <w:tc>
          <w:tcPr>
            <w:tcW w:w="1241" w:type="dxa"/>
            <w:gridSpan w:val="2"/>
            <w:tcBorders>
              <w:top w:val="nil"/>
              <w:left w:val="nil"/>
              <w:bottom w:val="single" w:sz="4" w:space="0" w:color="auto"/>
              <w:right w:val="single" w:sz="4" w:space="0" w:color="auto"/>
            </w:tcBorders>
            <w:shd w:val="clear" w:color="auto" w:fill="auto"/>
            <w:noWrap/>
            <w:vAlign w:val="bottom"/>
            <w:hideMark/>
          </w:tcPr>
          <w:p w:rsidR="00113BCF" w:rsidRPr="002642A0" w:rsidRDefault="00113BCF" w:rsidP="00113BCF">
            <w:pPr>
              <w:jc w:val="right"/>
              <w:rPr>
                <w:rFonts w:ascii="Times New Roman" w:eastAsia="Times New Roman" w:hAnsi="Times New Roman"/>
                <w:color w:val="000000"/>
              </w:rPr>
            </w:pPr>
            <w:r w:rsidRPr="002642A0">
              <w:rPr>
                <w:rFonts w:ascii="Times New Roman" w:eastAsia="Times New Roman" w:hAnsi="Times New Roman"/>
                <w:color w:val="000000"/>
              </w:rPr>
              <w:t>112</w:t>
            </w:r>
          </w:p>
        </w:tc>
      </w:tr>
      <w:tr w:rsidR="00113BCF" w:rsidRPr="00E83CEE" w:rsidTr="00113BCF">
        <w:trPr>
          <w:trHeight w:val="300"/>
          <w:jc w:val="center"/>
        </w:trPr>
        <w:tc>
          <w:tcPr>
            <w:tcW w:w="1097" w:type="dxa"/>
            <w:gridSpan w:val="2"/>
            <w:tcBorders>
              <w:top w:val="nil"/>
              <w:left w:val="single" w:sz="4" w:space="0" w:color="auto"/>
              <w:bottom w:val="single" w:sz="4" w:space="0" w:color="auto"/>
              <w:right w:val="single" w:sz="4" w:space="0" w:color="auto"/>
            </w:tcBorders>
            <w:shd w:val="clear" w:color="auto" w:fill="auto"/>
            <w:vAlign w:val="bottom"/>
            <w:hideMark/>
          </w:tcPr>
          <w:p w:rsidR="00113BCF" w:rsidRPr="002642A0" w:rsidRDefault="00113BCF" w:rsidP="00113BCF">
            <w:pPr>
              <w:jc w:val="right"/>
              <w:rPr>
                <w:rFonts w:ascii="Times New Roman" w:eastAsia="Times New Roman" w:hAnsi="Times New Roman"/>
                <w:color w:val="000000"/>
              </w:rPr>
            </w:pPr>
            <w:r w:rsidRPr="002642A0">
              <w:rPr>
                <w:rFonts w:ascii="Times New Roman" w:eastAsia="Times New Roman" w:hAnsi="Times New Roman"/>
                <w:color w:val="000000"/>
              </w:rPr>
              <w:t>2013</w:t>
            </w:r>
          </w:p>
        </w:tc>
        <w:tc>
          <w:tcPr>
            <w:tcW w:w="1241" w:type="dxa"/>
            <w:gridSpan w:val="2"/>
            <w:tcBorders>
              <w:top w:val="nil"/>
              <w:left w:val="nil"/>
              <w:bottom w:val="single" w:sz="4" w:space="0" w:color="auto"/>
              <w:right w:val="single" w:sz="4" w:space="0" w:color="auto"/>
            </w:tcBorders>
            <w:shd w:val="clear" w:color="auto" w:fill="auto"/>
            <w:noWrap/>
            <w:vAlign w:val="bottom"/>
            <w:hideMark/>
          </w:tcPr>
          <w:p w:rsidR="00113BCF" w:rsidRPr="002642A0" w:rsidRDefault="00113BCF" w:rsidP="00113BCF">
            <w:pPr>
              <w:jc w:val="right"/>
              <w:rPr>
                <w:rFonts w:ascii="Times New Roman" w:eastAsia="Times New Roman" w:hAnsi="Times New Roman"/>
                <w:color w:val="000000"/>
              </w:rPr>
            </w:pPr>
            <w:r w:rsidRPr="002642A0">
              <w:rPr>
                <w:rFonts w:ascii="Times New Roman" w:eastAsia="Times New Roman" w:hAnsi="Times New Roman"/>
                <w:color w:val="000000"/>
              </w:rPr>
              <w:t>139</w:t>
            </w:r>
          </w:p>
        </w:tc>
      </w:tr>
      <w:tr w:rsidR="00113BCF" w:rsidRPr="00E83CEE" w:rsidTr="00113BCF">
        <w:trPr>
          <w:gridAfter w:val="1"/>
          <w:wAfter w:w="444" w:type="dxa"/>
          <w:trHeight w:val="300"/>
          <w:jc w:val="center"/>
        </w:trPr>
        <w:tc>
          <w:tcPr>
            <w:tcW w:w="1054" w:type="dxa"/>
            <w:tcBorders>
              <w:top w:val="nil"/>
              <w:left w:val="nil"/>
              <w:bottom w:val="nil"/>
              <w:right w:val="nil"/>
            </w:tcBorders>
            <w:shd w:val="clear" w:color="auto" w:fill="auto"/>
            <w:noWrap/>
            <w:vAlign w:val="bottom"/>
            <w:hideMark/>
          </w:tcPr>
          <w:p w:rsidR="00113BCF" w:rsidRPr="00E83CEE" w:rsidRDefault="00113BCF" w:rsidP="00113BCF">
            <w:pPr>
              <w:rPr>
                <w:rFonts w:ascii="Calibri" w:eastAsia="Times New Roman" w:hAnsi="Calibri"/>
                <w:color w:val="000000"/>
              </w:rPr>
            </w:pPr>
          </w:p>
        </w:tc>
        <w:tc>
          <w:tcPr>
            <w:tcW w:w="840" w:type="dxa"/>
            <w:gridSpan w:val="2"/>
            <w:tcBorders>
              <w:top w:val="nil"/>
              <w:left w:val="nil"/>
              <w:bottom w:val="nil"/>
              <w:right w:val="nil"/>
            </w:tcBorders>
            <w:shd w:val="clear" w:color="auto" w:fill="auto"/>
            <w:noWrap/>
            <w:vAlign w:val="bottom"/>
            <w:hideMark/>
          </w:tcPr>
          <w:p w:rsidR="00113BCF" w:rsidRPr="00E83CEE" w:rsidRDefault="00113BCF" w:rsidP="00113BCF">
            <w:pPr>
              <w:rPr>
                <w:rFonts w:ascii="Calibri" w:eastAsia="Times New Roman" w:hAnsi="Calibri"/>
                <w:color w:val="000000"/>
              </w:rPr>
            </w:pPr>
          </w:p>
        </w:tc>
      </w:tr>
    </w:tbl>
    <w:p w:rsidR="0033223F" w:rsidRDefault="00113BCF" w:rsidP="00D07712">
      <w:pPr>
        <w:rPr>
          <w:rFonts w:ascii="Times New Roman" w:eastAsiaTheme="minorHAnsi" w:hAnsi="Times New Roman"/>
          <w:szCs w:val="24"/>
        </w:rPr>
      </w:pPr>
      <w:r w:rsidRPr="00113BCF">
        <w:rPr>
          <w:rFonts w:ascii="Times New Roman" w:eastAsiaTheme="minorHAnsi" w:hAnsi="Times New Roman"/>
          <w:szCs w:val="24"/>
        </w:rPr>
        <w:t xml:space="preserve">Please note that the previous tables and the completion numbers by year only include information on homes weatherized with Pacific Power funds over a period of </w:t>
      </w:r>
      <w:r w:rsidR="005F0246">
        <w:rPr>
          <w:rFonts w:ascii="Times New Roman" w:eastAsiaTheme="minorHAnsi" w:hAnsi="Times New Roman"/>
          <w:szCs w:val="24"/>
        </w:rPr>
        <w:t>five</w:t>
      </w:r>
      <w:r w:rsidRPr="00113BCF">
        <w:rPr>
          <w:rFonts w:ascii="Times New Roman" w:eastAsiaTheme="minorHAnsi" w:hAnsi="Times New Roman"/>
          <w:szCs w:val="24"/>
        </w:rPr>
        <w:t xml:space="preserve"> years.  Additional income eligible households are residing in homes completed in previous years or through other funding sources. </w:t>
      </w:r>
      <w:r w:rsidR="005F0246">
        <w:rPr>
          <w:rFonts w:ascii="Times New Roman" w:eastAsiaTheme="minorHAnsi" w:hAnsi="Times New Roman"/>
          <w:szCs w:val="24"/>
        </w:rPr>
        <w:t xml:space="preserve"> </w:t>
      </w:r>
      <w:r w:rsidRPr="00113BCF">
        <w:rPr>
          <w:rFonts w:ascii="Times New Roman" w:eastAsiaTheme="minorHAnsi" w:hAnsi="Times New Roman"/>
          <w:szCs w:val="24"/>
        </w:rPr>
        <w:t xml:space="preserve">The </w:t>
      </w:r>
      <w:r w:rsidR="00252E1D">
        <w:rPr>
          <w:rFonts w:ascii="Times New Roman" w:eastAsiaTheme="minorHAnsi" w:hAnsi="Times New Roman"/>
          <w:szCs w:val="24"/>
        </w:rPr>
        <w:t>C</w:t>
      </w:r>
      <w:r w:rsidRPr="00113BCF">
        <w:rPr>
          <w:rFonts w:ascii="Times New Roman" w:eastAsiaTheme="minorHAnsi" w:hAnsi="Times New Roman"/>
          <w:szCs w:val="24"/>
        </w:rPr>
        <w:t xml:space="preserve">ompany initiated the program in 1986 and approximately 7,200 homes (615 during the period 2009-2013) have been served with Pacific Power funding.  More families are living in homes weatherized with funds </w:t>
      </w:r>
      <w:r w:rsidR="00252E1D">
        <w:rPr>
          <w:rFonts w:ascii="Times New Roman" w:eastAsiaTheme="minorHAnsi" w:hAnsi="Times New Roman"/>
          <w:szCs w:val="24"/>
        </w:rPr>
        <w:t>the Company’s</w:t>
      </w:r>
      <w:r w:rsidR="00252E1D" w:rsidRPr="00113BCF">
        <w:rPr>
          <w:rFonts w:ascii="Times New Roman" w:eastAsiaTheme="minorHAnsi" w:hAnsi="Times New Roman"/>
          <w:szCs w:val="24"/>
        </w:rPr>
        <w:t xml:space="preserve"> </w:t>
      </w:r>
      <w:r w:rsidRPr="00113BCF">
        <w:rPr>
          <w:rFonts w:ascii="Times New Roman" w:eastAsiaTheme="minorHAnsi" w:hAnsi="Times New Roman"/>
          <w:szCs w:val="24"/>
        </w:rPr>
        <w:t xml:space="preserve">partnering agencies receive from federal and state grants, especially during the period the American Recovery and Reinvestment Act monies (2009-2011) were in use.  </w:t>
      </w:r>
    </w:p>
    <w:p w:rsidR="00144275" w:rsidRDefault="00144275" w:rsidP="00D07712">
      <w:pPr>
        <w:rPr>
          <w:rFonts w:ascii="Times New Roman" w:eastAsiaTheme="minorHAnsi" w:hAnsi="Times New Roman"/>
          <w:szCs w:val="24"/>
        </w:rPr>
      </w:pPr>
    </w:p>
    <w:p w:rsidR="00144275" w:rsidRDefault="00144275" w:rsidP="00144275">
      <w:pPr>
        <w:pStyle w:val="ListParagraph"/>
        <w:numPr>
          <w:ilvl w:val="0"/>
          <w:numId w:val="4"/>
        </w:numPr>
        <w:rPr>
          <w:rFonts w:ascii="Times New Roman" w:eastAsiaTheme="minorHAnsi" w:hAnsi="Times New Roman"/>
          <w:b/>
          <w:szCs w:val="24"/>
        </w:rPr>
      </w:pPr>
      <w:r>
        <w:rPr>
          <w:rFonts w:ascii="Times New Roman" w:eastAsiaTheme="minorHAnsi" w:hAnsi="Times New Roman"/>
          <w:b/>
          <w:szCs w:val="24"/>
        </w:rPr>
        <w:t>A spreadsheet or distribution curve of the monthly energy usage of low-income assistance recipients.</w:t>
      </w:r>
    </w:p>
    <w:p w:rsidR="0033223F" w:rsidRDefault="0033223F" w:rsidP="00D07712">
      <w:pPr>
        <w:rPr>
          <w:rFonts w:ascii="Times New Roman" w:eastAsiaTheme="minorHAnsi" w:hAnsi="Times New Roman"/>
          <w:szCs w:val="24"/>
        </w:rPr>
      </w:pPr>
    </w:p>
    <w:p w:rsidR="00144275" w:rsidRDefault="00144275" w:rsidP="00DA2879">
      <w:pPr>
        <w:rPr>
          <w:rFonts w:ascii="Times New Roman" w:eastAsiaTheme="minorHAnsi" w:hAnsi="Times New Roman"/>
          <w:szCs w:val="24"/>
        </w:rPr>
      </w:pPr>
      <w:r w:rsidRPr="00144275">
        <w:rPr>
          <w:rFonts w:ascii="Times New Roman" w:eastAsiaTheme="minorHAnsi" w:hAnsi="Times New Roman"/>
          <w:szCs w:val="24"/>
        </w:rPr>
        <w:t>The average monthly kWh usage by month (January 2009 through April 2014) of customers that received an energy assistance payment and/or participated in the LIBA program within the previous 12 months is provided in the table below:</w:t>
      </w:r>
    </w:p>
    <w:p w:rsidR="0033223F" w:rsidRDefault="0033223F" w:rsidP="00D07712">
      <w:pPr>
        <w:rPr>
          <w:rFonts w:ascii="Times New Roman" w:eastAsiaTheme="minorHAnsi" w:hAnsi="Times New Roman"/>
          <w:szCs w:val="24"/>
        </w:rPr>
      </w:pPr>
    </w:p>
    <w:tbl>
      <w:tblPr>
        <w:tblW w:w="8550" w:type="dxa"/>
        <w:tblInd w:w="198" w:type="dxa"/>
        <w:tblLook w:val="04A0" w:firstRow="1" w:lastRow="0" w:firstColumn="1" w:lastColumn="0" w:noHBand="0" w:noVBand="1"/>
      </w:tblPr>
      <w:tblGrid>
        <w:gridCol w:w="651"/>
        <w:gridCol w:w="621"/>
        <w:gridCol w:w="708"/>
        <w:gridCol w:w="720"/>
        <w:gridCol w:w="630"/>
        <w:gridCol w:w="720"/>
        <w:gridCol w:w="630"/>
        <w:gridCol w:w="630"/>
        <w:gridCol w:w="661"/>
        <w:gridCol w:w="621"/>
        <w:gridCol w:w="621"/>
        <w:gridCol w:w="707"/>
        <w:gridCol w:w="630"/>
      </w:tblGrid>
      <w:tr w:rsidR="00144275" w:rsidRPr="00011B74" w:rsidTr="00431303">
        <w:trPr>
          <w:trHeight w:val="300"/>
        </w:trPr>
        <w:tc>
          <w:tcPr>
            <w:tcW w:w="8550" w:type="dxa"/>
            <w:gridSpan w:val="13"/>
            <w:tcBorders>
              <w:top w:val="single" w:sz="4" w:space="0" w:color="auto"/>
              <w:left w:val="single" w:sz="4" w:space="0" w:color="auto"/>
              <w:bottom w:val="single" w:sz="4" w:space="0" w:color="auto"/>
              <w:right w:val="single" w:sz="4" w:space="0" w:color="auto"/>
            </w:tcBorders>
            <w:shd w:val="clear" w:color="000000" w:fill="BFBFBF"/>
            <w:noWrap/>
            <w:vAlign w:val="bottom"/>
          </w:tcPr>
          <w:p w:rsidR="00144275" w:rsidRPr="00011B74" w:rsidRDefault="00144275" w:rsidP="005F0246">
            <w:pPr>
              <w:jc w:val="center"/>
              <w:rPr>
                <w:rFonts w:ascii="Calibri" w:eastAsia="Times New Roman" w:hAnsi="Calibri"/>
                <w:color w:val="000000"/>
              </w:rPr>
            </w:pPr>
            <w:r>
              <w:rPr>
                <w:rFonts w:ascii="Calibri" w:eastAsia="Times New Roman" w:hAnsi="Calibri"/>
                <w:color w:val="000000"/>
              </w:rPr>
              <w:t>AVERAGE MONTHLY KWH USAGE OF ENERGY ASSISTANCE &amp;/OR LIBA PARTICIPANTS</w:t>
            </w:r>
          </w:p>
        </w:tc>
      </w:tr>
      <w:tr w:rsidR="00653B98" w:rsidRPr="00011B74" w:rsidTr="00653B98">
        <w:trPr>
          <w:trHeight w:val="300"/>
        </w:trPr>
        <w:tc>
          <w:tcPr>
            <w:tcW w:w="651"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144275" w:rsidRPr="00011B74" w:rsidRDefault="00144275" w:rsidP="005F0246">
            <w:pPr>
              <w:jc w:val="center"/>
              <w:rPr>
                <w:rFonts w:ascii="Calibri" w:eastAsia="Times New Roman" w:hAnsi="Calibri"/>
                <w:color w:val="000000"/>
              </w:rPr>
            </w:pPr>
            <w:r w:rsidRPr="00011B74">
              <w:rPr>
                <w:rFonts w:ascii="Calibri" w:eastAsia="Times New Roman" w:hAnsi="Calibri"/>
                <w:color w:val="000000"/>
              </w:rPr>
              <w:t>Year</w:t>
            </w:r>
          </w:p>
        </w:tc>
        <w:tc>
          <w:tcPr>
            <w:tcW w:w="621" w:type="dxa"/>
            <w:tcBorders>
              <w:top w:val="single" w:sz="4" w:space="0" w:color="auto"/>
              <w:left w:val="nil"/>
              <w:bottom w:val="single" w:sz="4" w:space="0" w:color="auto"/>
              <w:right w:val="single" w:sz="4" w:space="0" w:color="auto"/>
            </w:tcBorders>
            <w:shd w:val="clear" w:color="auto" w:fill="auto"/>
            <w:vAlign w:val="bottom"/>
            <w:hideMark/>
          </w:tcPr>
          <w:p w:rsidR="00144275" w:rsidRPr="00011B74" w:rsidRDefault="00144275" w:rsidP="005F0246">
            <w:pPr>
              <w:jc w:val="center"/>
              <w:rPr>
                <w:rFonts w:ascii="Calibri" w:eastAsia="Times New Roman" w:hAnsi="Calibri"/>
                <w:color w:val="000000"/>
              </w:rPr>
            </w:pPr>
            <w:r w:rsidRPr="00011B74">
              <w:rPr>
                <w:rFonts w:ascii="Calibri" w:eastAsia="Times New Roman" w:hAnsi="Calibri"/>
                <w:color w:val="000000"/>
              </w:rPr>
              <w:t>JAN</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144275" w:rsidRPr="00011B74" w:rsidRDefault="00144275" w:rsidP="005F0246">
            <w:pPr>
              <w:jc w:val="center"/>
              <w:rPr>
                <w:rFonts w:ascii="Calibri" w:eastAsia="Times New Roman" w:hAnsi="Calibri"/>
                <w:color w:val="000000"/>
              </w:rPr>
            </w:pPr>
            <w:r w:rsidRPr="00011B74">
              <w:rPr>
                <w:rFonts w:ascii="Calibri" w:eastAsia="Times New Roman" w:hAnsi="Calibri"/>
                <w:color w:val="000000"/>
              </w:rPr>
              <w:t>FEB</w:t>
            </w:r>
          </w:p>
        </w:tc>
        <w:tc>
          <w:tcPr>
            <w:tcW w:w="720" w:type="dxa"/>
            <w:tcBorders>
              <w:top w:val="single" w:sz="4" w:space="0" w:color="auto"/>
              <w:left w:val="nil"/>
              <w:bottom w:val="single" w:sz="4" w:space="0" w:color="auto"/>
              <w:right w:val="single" w:sz="4" w:space="0" w:color="auto"/>
            </w:tcBorders>
            <w:shd w:val="clear" w:color="auto" w:fill="auto"/>
            <w:vAlign w:val="bottom"/>
            <w:hideMark/>
          </w:tcPr>
          <w:p w:rsidR="00144275" w:rsidRPr="00011B74" w:rsidRDefault="00144275" w:rsidP="005F0246">
            <w:pPr>
              <w:jc w:val="center"/>
              <w:rPr>
                <w:rFonts w:ascii="Calibri" w:eastAsia="Times New Roman" w:hAnsi="Calibri"/>
                <w:color w:val="000000"/>
              </w:rPr>
            </w:pPr>
            <w:r w:rsidRPr="00011B74">
              <w:rPr>
                <w:rFonts w:ascii="Calibri" w:eastAsia="Times New Roman" w:hAnsi="Calibri"/>
                <w:color w:val="000000"/>
              </w:rPr>
              <w:t>MAR</w:t>
            </w:r>
          </w:p>
        </w:tc>
        <w:tc>
          <w:tcPr>
            <w:tcW w:w="630" w:type="dxa"/>
            <w:tcBorders>
              <w:top w:val="single" w:sz="4" w:space="0" w:color="auto"/>
              <w:left w:val="nil"/>
              <w:bottom w:val="single" w:sz="4" w:space="0" w:color="auto"/>
              <w:right w:val="single" w:sz="4" w:space="0" w:color="auto"/>
            </w:tcBorders>
            <w:shd w:val="clear" w:color="auto" w:fill="auto"/>
            <w:vAlign w:val="bottom"/>
            <w:hideMark/>
          </w:tcPr>
          <w:p w:rsidR="00144275" w:rsidRPr="00011B74" w:rsidRDefault="00144275" w:rsidP="005F0246">
            <w:pPr>
              <w:jc w:val="center"/>
              <w:rPr>
                <w:rFonts w:ascii="Calibri" w:eastAsia="Times New Roman" w:hAnsi="Calibri"/>
                <w:color w:val="000000"/>
              </w:rPr>
            </w:pPr>
            <w:r w:rsidRPr="00011B74">
              <w:rPr>
                <w:rFonts w:ascii="Calibri" w:eastAsia="Times New Roman" w:hAnsi="Calibri"/>
                <w:color w:val="000000"/>
              </w:rPr>
              <w:t>APR</w:t>
            </w:r>
          </w:p>
        </w:tc>
        <w:tc>
          <w:tcPr>
            <w:tcW w:w="720" w:type="dxa"/>
            <w:tcBorders>
              <w:top w:val="single" w:sz="4" w:space="0" w:color="auto"/>
              <w:left w:val="nil"/>
              <w:bottom w:val="single" w:sz="4" w:space="0" w:color="auto"/>
              <w:right w:val="single" w:sz="4" w:space="0" w:color="auto"/>
            </w:tcBorders>
            <w:shd w:val="clear" w:color="auto" w:fill="auto"/>
            <w:vAlign w:val="bottom"/>
            <w:hideMark/>
          </w:tcPr>
          <w:p w:rsidR="00144275" w:rsidRPr="00011B74" w:rsidRDefault="00144275" w:rsidP="005F0246">
            <w:pPr>
              <w:jc w:val="center"/>
              <w:rPr>
                <w:rFonts w:ascii="Calibri" w:eastAsia="Times New Roman" w:hAnsi="Calibri"/>
                <w:color w:val="000000"/>
              </w:rPr>
            </w:pPr>
            <w:r w:rsidRPr="00011B74">
              <w:rPr>
                <w:rFonts w:ascii="Calibri" w:eastAsia="Times New Roman" w:hAnsi="Calibri"/>
                <w:color w:val="000000"/>
              </w:rPr>
              <w:t>MAY</w:t>
            </w:r>
          </w:p>
        </w:tc>
        <w:tc>
          <w:tcPr>
            <w:tcW w:w="630" w:type="dxa"/>
            <w:tcBorders>
              <w:top w:val="single" w:sz="4" w:space="0" w:color="auto"/>
              <w:left w:val="nil"/>
              <w:bottom w:val="single" w:sz="4" w:space="0" w:color="auto"/>
              <w:right w:val="single" w:sz="4" w:space="0" w:color="auto"/>
            </w:tcBorders>
            <w:shd w:val="clear" w:color="auto" w:fill="auto"/>
            <w:vAlign w:val="bottom"/>
            <w:hideMark/>
          </w:tcPr>
          <w:p w:rsidR="00144275" w:rsidRPr="00011B74" w:rsidRDefault="00144275" w:rsidP="005F0246">
            <w:pPr>
              <w:jc w:val="center"/>
              <w:rPr>
                <w:rFonts w:ascii="Calibri" w:eastAsia="Times New Roman" w:hAnsi="Calibri"/>
                <w:color w:val="000000"/>
              </w:rPr>
            </w:pPr>
            <w:r w:rsidRPr="00011B74">
              <w:rPr>
                <w:rFonts w:ascii="Calibri" w:eastAsia="Times New Roman" w:hAnsi="Calibri"/>
                <w:color w:val="000000"/>
              </w:rPr>
              <w:t>JUN</w:t>
            </w:r>
          </w:p>
        </w:tc>
        <w:tc>
          <w:tcPr>
            <w:tcW w:w="630" w:type="dxa"/>
            <w:tcBorders>
              <w:top w:val="single" w:sz="4" w:space="0" w:color="auto"/>
              <w:left w:val="nil"/>
              <w:bottom w:val="single" w:sz="4" w:space="0" w:color="auto"/>
              <w:right w:val="single" w:sz="4" w:space="0" w:color="auto"/>
            </w:tcBorders>
            <w:shd w:val="clear" w:color="auto" w:fill="auto"/>
            <w:vAlign w:val="bottom"/>
            <w:hideMark/>
          </w:tcPr>
          <w:p w:rsidR="00144275" w:rsidRPr="00011B74" w:rsidRDefault="00144275" w:rsidP="005F0246">
            <w:pPr>
              <w:jc w:val="center"/>
              <w:rPr>
                <w:rFonts w:ascii="Calibri" w:eastAsia="Times New Roman" w:hAnsi="Calibri"/>
                <w:color w:val="000000"/>
              </w:rPr>
            </w:pPr>
            <w:r w:rsidRPr="00011B74">
              <w:rPr>
                <w:rFonts w:ascii="Calibri" w:eastAsia="Times New Roman" w:hAnsi="Calibri"/>
                <w:color w:val="000000"/>
              </w:rPr>
              <w:t>JUL</w:t>
            </w:r>
          </w:p>
        </w:tc>
        <w:tc>
          <w:tcPr>
            <w:tcW w:w="661" w:type="dxa"/>
            <w:tcBorders>
              <w:top w:val="single" w:sz="4" w:space="0" w:color="auto"/>
              <w:left w:val="nil"/>
              <w:bottom w:val="single" w:sz="4" w:space="0" w:color="auto"/>
              <w:right w:val="single" w:sz="4" w:space="0" w:color="auto"/>
            </w:tcBorders>
            <w:shd w:val="clear" w:color="auto" w:fill="auto"/>
            <w:vAlign w:val="bottom"/>
            <w:hideMark/>
          </w:tcPr>
          <w:p w:rsidR="00144275" w:rsidRPr="00011B74" w:rsidRDefault="00144275" w:rsidP="005F0246">
            <w:pPr>
              <w:jc w:val="center"/>
              <w:rPr>
                <w:rFonts w:ascii="Calibri" w:eastAsia="Times New Roman" w:hAnsi="Calibri"/>
                <w:color w:val="000000"/>
              </w:rPr>
            </w:pPr>
            <w:r w:rsidRPr="00011B74">
              <w:rPr>
                <w:rFonts w:ascii="Calibri" w:eastAsia="Times New Roman" w:hAnsi="Calibri"/>
                <w:color w:val="000000"/>
              </w:rPr>
              <w:t>AUG</w:t>
            </w:r>
          </w:p>
        </w:tc>
        <w:tc>
          <w:tcPr>
            <w:tcW w:w="621" w:type="dxa"/>
            <w:tcBorders>
              <w:top w:val="single" w:sz="4" w:space="0" w:color="auto"/>
              <w:left w:val="nil"/>
              <w:bottom w:val="single" w:sz="4" w:space="0" w:color="auto"/>
              <w:right w:val="single" w:sz="4" w:space="0" w:color="auto"/>
            </w:tcBorders>
            <w:shd w:val="clear" w:color="auto" w:fill="auto"/>
            <w:vAlign w:val="bottom"/>
            <w:hideMark/>
          </w:tcPr>
          <w:p w:rsidR="00144275" w:rsidRPr="00011B74" w:rsidRDefault="00144275" w:rsidP="005F0246">
            <w:pPr>
              <w:jc w:val="center"/>
              <w:rPr>
                <w:rFonts w:ascii="Calibri" w:eastAsia="Times New Roman" w:hAnsi="Calibri"/>
                <w:color w:val="000000"/>
              </w:rPr>
            </w:pPr>
            <w:r w:rsidRPr="00011B74">
              <w:rPr>
                <w:rFonts w:ascii="Calibri" w:eastAsia="Times New Roman" w:hAnsi="Calibri"/>
                <w:color w:val="000000"/>
              </w:rPr>
              <w:t>SEP</w:t>
            </w:r>
          </w:p>
        </w:tc>
        <w:tc>
          <w:tcPr>
            <w:tcW w:w="621" w:type="dxa"/>
            <w:tcBorders>
              <w:top w:val="single" w:sz="4" w:space="0" w:color="auto"/>
              <w:left w:val="nil"/>
              <w:bottom w:val="single" w:sz="4" w:space="0" w:color="auto"/>
              <w:right w:val="single" w:sz="4" w:space="0" w:color="auto"/>
            </w:tcBorders>
            <w:shd w:val="clear" w:color="auto" w:fill="auto"/>
            <w:vAlign w:val="bottom"/>
            <w:hideMark/>
          </w:tcPr>
          <w:p w:rsidR="00144275" w:rsidRPr="00011B74" w:rsidRDefault="00144275" w:rsidP="005F0246">
            <w:pPr>
              <w:jc w:val="center"/>
              <w:rPr>
                <w:rFonts w:ascii="Calibri" w:eastAsia="Times New Roman" w:hAnsi="Calibri"/>
                <w:color w:val="000000"/>
              </w:rPr>
            </w:pPr>
            <w:r w:rsidRPr="00011B74">
              <w:rPr>
                <w:rFonts w:ascii="Calibri" w:eastAsia="Times New Roman" w:hAnsi="Calibri"/>
                <w:color w:val="000000"/>
              </w:rPr>
              <w:t>OCT</w:t>
            </w:r>
          </w:p>
        </w:tc>
        <w:tc>
          <w:tcPr>
            <w:tcW w:w="707" w:type="dxa"/>
            <w:tcBorders>
              <w:top w:val="single" w:sz="4" w:space="0" w:color="auto"/>
              <w:left w:val="nil"/>
              <w:bottom w:val="single" w:sz="4" w:space="0" w:color="auto"/>
              <w:right w:val="single" w:sz="4" w:space="0" w:color="auto"/>
            </w:tcBorders>
            <w:shd w:val="clear" w:color="auto" w:fill="auto"/>
            <w:vAlign w:val="bottom"/>
            <w:hideMark/>
          </w:tcPr>
          <w:p w:rsidR="00144275" w:rsidRPr="00011B74" w:rsidRDefault="00144275" w:rsidP="005F0246">
            <w:pPr>
              <w:jc w:val="center"/>
              <w:rPr>
                <w:rFonts w:ascii="Calibri" w:eastAsia="Times New Roman" w:hAnsi="Calibri"/>
                <w:color w:val="000000"/>
              </w:rPr>
            </w:pPr>
            <w:r w:rsidRPr="00011B74">
              <w:rPr>
                <w:rFonts w:ascii="Calibri" w:eastAsia="Times New Roman" w:hAnsi="Calibri"/>
                <w:color w:val="000000"/>
              </w:rPr>
              <w:t>NOV</w:t>
            </w:r>
          </w:p>
        </w:tc>
        <w:tc>
          <w:tcPr>
            <w:tcW w:w="630" w:type="dxa"/>
            <w:tcBorders>
              <w:top w:val="single" w:sz="4" w:space="0" w:color="auto"/>
              <w:left w:val="nil"/>
              <w:bottom w:val="single" w:sz="4" w:space="0" w:color="auto"/>
              <w:right w:val="single" w:sz="4" w:space="0" w:color="auto"/>
            </w:tcBorders>
            <w:shd w:val="clear" w:color="auto" w:fill="auto"/>
            <w:vAlign w:val="bottom"/>
            <w:hideMark/>
          </w:tcPr>
          <w:p w:rsidR="00144275" w:rsidRPr="00011B74" w:rsidRDefault="00144275" w:rsidP="005F0246">
            <w:pPr>
              <w:jc w:val="center"/>
              <w:rPr>
                <w:rFonts w:ascii="Calibri" w:eastAsia="Times New Roman" w:hAnsi="Calibri"/>
                <w:color w:val="000000"/>
              </w:rPr>
            </w:pPr>
            <w:r w:rsidRPr="00011B74">
              <w:rPr>
                <w:rFonts w:ascii="Calibri" w:eastAsia="Times New Roman" w:hAnsi="Calibri"/>
                <w:color w:val="000000"/>
              </w:rPr>
              <w:t>DEC</w:t>
            </w:r>
          </w:p>
        </w:tc>
      </w:tr>
      <w:tr w:rsidR="00653B98" w:rsidRPr="00011B74" w:rsidTr="00653B98">
        <w:trPr>
          <w:trHeight w:val="300"/>
        </w:trPr>
        <w:tc>
          <w:tcPr>
            <w:tcW w:w="651" w:type="dxa"/>
            <w:tcBorders>
              <w:top w:val="nil"/>
              <w:left w:val="single" w:sz="4" w:space="0" w:color="auto"/>
              <w:bottom w:val="single" w:sz="4" w:space="0" w:color="auto"/>
              <w:right w:val="single" w:sz="4" w:space="0" w:color="auto"/>
            </w:tcBorders>
            <w:shd w:val="clear" w:color="000000" w:fill="BFBFBF"/>
            <w:vAlign w:val="bottom"/>
            <w:hideMark/>
          </w:tcPr>
          <w:p w:rsidR="00144275" w:rsidRPr="00144275" w:rsidRDefault="00144275" w:rsidP="005F0246">
            <w:pPr>
              <w:jc w:val="center"/>
              <w:rPr>
                <w:rFonts w:ascii="Times New Roman" w:eastAsia="Times New Roman" w:hAnsi="Times New Roman"/>
                <w:color w:val="000000"/>
                <w:sz w:val="18"/>
                <w:szCs w:val="18"/>
              </w:rPr>
            </w:pPr>
            <w:r w:rsidRPr="00144275">
              <w:rPr>
                <w:rFonts w:ascii="Times New Roman" w:eastAsia="Times New Roman" w:hAnsi="Times New Roman"/>
                <w:color w:val="000000"/>
                <w:sz w:val="18"/>
                <w:szCs w:val="18"/>
              </w:rPr>
              <w:t>2009</w:t>
            </w:r>
          </w:p>
        </w:tc>
        <w:tc>
          <w:tcPr>
            <w:tcW w:w="621" w:type="dxa"/>
            <w:tcBorders>
              <w:top w:val="nil"/>
              <w:left w:val="nil"/>
              <w:bottom w:val="single" w:sz="4" w:space="0" w:color="auto"/>
              <w:right w:val="single" w:sz="4" w:space="0" w:color="auto"/>
            </w:tcBorders>
            <w:shd w:val="clear" w:color="auto" w:fill="auto"/>
            <w:vAlign w:val="bottom"/>
            <w:hideMark/>
          </w:tcPr>
          <w:p w:rsidR="00144275" w:rsidRPr="00144275" w:rsidRDefault="00144275" w:rsidP="005F0246">
            <w:pPr>
              <w:jc w:val="right"/>
              <w:rPr>
                <w:rFonts w:ascii="Times New Roman" w:eastAsia="Times New Roman" w:hAnsi="Times New Roman"/>
                <w:color w:val="000000"/>
                <w:sz w:val="18"/>
                <w:szCs w:val="18"/>
              </w:rPr>
            </w:pPr>
            <w:r w:rsidRPr="00144275">
              <w:rPr>
                <w:rFonts w:ascii="Times New Roman" w:eastAsia="Times New Roman" w:hAnsi="Times New Roman"/>
                <w:color w:val="000000"/>
                <w:sz w:val="18"/>
                <w:szCs w:val="18"/>
              </w:rPr>
              <w:t>2,603</w:t>
            </w:r>
          </w:p>
        </w:tc>
        <w:tc>
          <w:tcPr>
            <w:tcW w:w="708" w:type="dxa"/>
            <w:tcBorders>
              <w:top w:val="nil"/>
              <w:left w:val="nil"/>
              <w:bottom w:val="single" w:sz="4" w:space="0" w:color="auto"/>
              <w:right w:val="single" w:sz="4" w:space="0" w:color="auto"/>
            </w:tcBorders>
            <w:shd w:val="clear" w:color="auto" w:fill="auto"/>
            <w:vAlign w:val="bottom"/>
            <w:hideMark/>
          </w:tcPr>
          <w:p w:rsidR="00144275" w:rsidRPr="00144275" w:rsidRDefault="00144275" w:rsidP="005F0246">
            <w:pPr>
              <w:jc w:val="right"/>
              <w:rPr>
                <w:rFonts w:ascii="Times New Roman" w:eastAsia="Times New Roman" w:hAnsi="Times New Roman"/>
                <w:color w:val="000000"/>
                <w:sz w:val="18"/>
                <w:szCs w:val="18"/>
              </w:rPr>
            </w:pPr>
            <w:r w:rsidRPr="00144275">
              <w:rPr>
                <w:rFonts w:ascii="Times New Roman" w:eastAsia="Times New Roman" w:hAnsi="Times New Roman"/>
                <w:color w:val="000000"/>
                <w:sz w:val="18"/>
                <w:szCs w:val="18"/>
              </w:rPr>
              <w:t>2,065</w:t>
            </w:r>
          </w:p>
        </w:tc>
        <w:tc>
          <w:tcPr>
            <w:tcW w:w="720" w:type="dxa"/>
            <w:tcBorders>
              <w:top w:val="nil"/>
              <w:left w:val="nil"/>
              <w:bottom w:val="single" w:sz="4" w:space="0" w:color="auto"/>
              <w:right w:val="single" w:sz="4" w:space="0" w:color="auto"/>
            </w:tcBorders>
            <w:shd w:val="clear" w:color="auto" w:fill="auto"/>
            <w:vAlign w:val="bottom"/>
            <w:hideMark/>
          </w:tcPr>
          <w:p w:rsidR="00144275" w:rsidRPr="00144275" w:rsidRDefault="00144275" w:rsidP="005F0246">
            <w:pPr>
              <w:jc w:val="right"/>
              <w:rPr>
                <w:rFonts w:ascii="Times New Roman" w:eastAsia="Times New Roman" w:hAnsi="Times New Roman"/>
                <w:color w:val="000000"/>
                <w:sz w:val="18"/>
                <w:szCs w:val="18"/>
              </w:rPr>
            </w:pPr>
            <w:r w:rsidRPr="00144275">
              <w:rPr>
                <w:rFonts w:ascii="Times New Roman" w:eastAsia="Times New Roman" w:hAnsi="Times New Roman"/>
                <w:color w:val="000000"/>
                <w:sz w:val="18"/>
                <w:szCs w:val="18"/>
              </w:rPr>
              <w:t>1,847</w:t>
            </w:r>
          </w:p>
        </w:tc>
        <w:tc>
          <w:tcPr>
            <w:tcW w:w="630" w:type="dxa"/>
            <w:tcBorders>
              <w:top w:val="nil"/>
              <w:left w:val="nil"/>
              <w:bottom w:val="single" w:sz="4" w:space="0" w:color="auto"/>
              <w:right w:val="single" w:sz="4" w:space="0" w:color="auto"/>
            </w:tcBorders>
            <w:shd w:val="clear" w:color="auto" w:fill="auto"/>
            <w:vAlign w:val="bottom"/>
            <w:hideMark/>
          </w:tcPr>
          <w:p w:rsidR="00144275" w:rsidRPr="00144275" w:rsidRDefault="00144275" w:rsidP="005F0246">
            <w:pPr>
              <w:jc w:val="right"/>
              <w:rPr>
                <w:rFonts w:ascii="Times New Roman" w:eastAsia="Times New Roman" w:hAnsi="Times New Roman"/>
                <w:color w:val="000000"/>
                <w:sz w:val="18"/>
                <w:szCs w:val="18"/>
              </w:rPr>
            </w:pPr>
            <w:r w:rsidRPr="00144275">
              <w:rPr>
                <w:rFonts w:ascii="Times New Roman" w:eastAsia="Times New Roman" w:hAnsi="Times New Roman"/>
                <w:color w:val="000000"/>
                <w:sz w:val="18"/>
                <w:szCs w:val="18"/>
              </w:rPr>
              <w:t>1,425</w:t>
            </w:r>
          </w:p>
        </w:tc>
        <w:tc>
          <w:tcPr>
            <w:tcW w:w="720" w:type="dxa"/>
            <w:tcBorders>
              <w:top w:val="nil"/>
              <w:left w:val="nil"/>
              <w:bottom w:val="single" w:sz="4" w:space="0" w:color="auto"/>
              <w:right w:val="single" w:sz="4" w:space="0" w:color="auto"/>
            </w:tcBorders>
            <w:shd w:val="clear" w:color="auto" w:fill="auto"/>
            <w:vAlign w:val="bottom"/>
            <w:hideMark/>
          </w:tcPr>
          <w:p w:rsidR="00144275" w:rsidRPr="00144275" w:rsidRDefault="00144275" w:rsidP="005F0246">
            <w:pPr>
              <w:jc w:val="right"/>
              <w:rPr>
                <w:rFonts w:ascii="Times New Roman" w:eastAsia="Times New Roman" w:hAnsi="Times New Roman"/>
                <w:color w:val="000000"/>
                <w:sz w:val="18"/>
                <w:szCs w:val="18"/>
              </w:rPr>
            </w:pPr>
            <w:r w:rsidRPr="00144275">
              <w:rPr>
                <w:rFonts w:ascii="Times New Roman" w:eastAsia="Times New Roman" w:hAnsi="Times New Roman"/>
                <w:color w:val="000000"/>
                <w:sz w:val="18"/>
                <w:szCs w:val="18"/>
              </w:rPr>
              <w:t>1,086</w:t>
            </w:r>
          </w:p>
        </w:tc>
        <w:tc>
          <w:tcPr>
            <w:tcW w:w="630" w:type="dxa"/>
            <w:tcBorders>
              <w:top w:val="nil"/>
              <w:left w:val="nil"/>
              <w:bottom w:val="single" w:sz="4" w:space="0" w:color="auto"/>
              <w:right w:val="single" w:sz="4" w:space="0" w:color="auto"/>
            </w:tcBorders>
            <w:shd w:val="clear" w:color="auto" w:fill="auto"/>
            <w:vAlign w:val="bottom"/>
            <w:hideMark/>
          </w:tcPr>
          <w:p w:rsidR="00144275" w:rsidRPr="00144275" w:rsidRDefault="00144275" w:rsidP="005F0246">
            <w:pPr>
              <w:jc w:val="right"/>
              <w:rPr>
                <w:rFonts w:ascii="Times New Roman" w:eastAsia="Times New Roman" w:hAnsi="Times New Roman"/>
                <w:color w:val="000000"/>
                <w:sz w:val="18"/>
                <w:szCs w:val="18"/>
              </w:rPr>
            </w:pPr>
            <w:r w:rsidRPr="00144275">
              <w:rPr>
                <w:rFonts w:ascii="Times New Roman" w:eastAsia="Times New Roman" w:hAnsi="Times New Roman"/>
                <w:color w:val="000000"/>
                <w:sz w:val="18"/>
                <w:szCs w:val="18"/>
              </w:rPr>
              <w:t>992</w:t>
            </w:r>
          </w:p>
        </w:tc>
        <w:tc>
          <w:tcPr>
            <w:tcW w:w="630" w:type="dxa"/>
            <w:tcBorders>
              <w:top w:val="nil"/>
              <w:left w:val="nil"/>
              <w:bottom w:val="single" w:sz="4" w:space="0" w:color="auto"/>
              <w:right w:val="single" w:sz="4" w:space="0" w:color="auto"/>
            </w:tcBorders>
            <w:shd w:val="clear" w:color="auto" w:fill="auto"/>
            <w:vAlign w:val="bottom"/>
            <w:hideMark/>
          </w:tcPr>
          <w:p w:rsidR="00144275" w:rsidRPr="00144275" w:rsidRDefault="00144275" w:rsidP="005F0246">
            <w:pPr>
              <w:jc w:val="right"/>
              <w:rPr>
                <w:rFonts w:ascii="Times New Roman" w:eastAsia="Times New Roman" w:hAnsi="Times New Roman"/>
                <w:color w:val="000000"/>
                <w:sz w:val="18"/>
                <w:szCs w:val="18"/>
              </w:rPr>
            </w:pPr>
            <w:r w:rsidRPr="00144275">
              <w:rPr>
                <w:rFonts w:ascii="Times New Roman" w:eastAsia="Times New Roman" w:hAnsi="Times New Roman"/>
                <w:color w:val="000000"/>
                <w:sz w:val="18"/>
                <w:szCs w:val="18"/>
              </w:rPr>
              <w:t>1,026</w:t>
            </w:r>
          </w:p>
        </w:tc>
        <w:tc>
          <w:tcPr>
            <w:tcW w:w="661" w:type="dxa"/>
            <w:tcBorders>
              <w:top w:val="nil"/>
              <w:left w:val="nil"/>
              <w:bottom w:val="single" w:sz="4" w:space="0" w:color="auto"/>
              <w:right w:val="single" w:sz="4" w:space="0" w:color="auto"/>
            </w:tcBorders>
            <w:shd w:val="clear" w:color="auto" w:fill="auto"/>
            <w:vAlign w:val="bottom"/>
            <w:hideMark/>
          </w:tcPr>
          <w:p w:rsidR="00144275" w:rsidRPr="00144275" w:rsidRDefault="00144275" w:rsidP="005F0246">
            <w:pPr>
              <w:jc w:val="right"/>
              <w:rPr>
                <w:rFonts w:ascii="Times New Roman" w:eastAsia="Times New Roman" w:hAnsi="Times New Roman"/>
                <w:color w:val="000000"/>
                <w:sz w:val="18"/>
                <w:szCs w:val="18"/>
              </w:rPr>
            </w:pPr>
            <w:r w:rsidRPr="00144275">
              <w:rPr>
                <w:rFonts w:ascii="Times New Roman" w:eastAsia="Times New Roman" w:hAnsi="Times New Roman"/>
                <w:color w:val="000000"/>
                <w:sz w:val="18"/>
                <w:szCs w:val="18"/>
              </w:rPr>
              <w:t>1,114</w:t>
            </w:r>
          </w:p>
        </w:tc>
        <w:tc>
          <w:tcPr>
            <w:tcW w:w="621" w:type="dxa"/>
            <w:tcBorders>
              <w:top w:val="nil"/>
              <w:left w:val="nil"/>
              <w:bottom w:val="single" w:sz="4" w:space="0" w:color="auto"/>
              <w:right w:val="single" w:sz="4" w:space="0" w:color="auto"/>
            </w:tcBorders>
            <w:shd w:val="clear" w:color="auto" w:fill="auto"/>
            <w:vAlign w:val="bottom"/>
            <w:hideMark/>
          </w:tcPr>
          <w:p w:rsidR="00144275" w:rsidRPr="00144275" w:rsidRDefault="00144275" w:rsidP="005F0246">
            <w:pPr>
              <w:jc w:val="right"/>
              <w:rPr>
                <w:rFonts w:ascii="Times New Roman" w:eastAsia="Times New Roman" w:hAnsi="Times New Roman"/>
                <w:color w:val="000000"/>
                <w:sz w:val="18"/>
                <w:szCs w:val="18"/>
              </w:rPr>
            </w:pPr>
            <w:r w:rsidRPr="00144275">
              <w:rPr>
                <w:rFonts w:ascii="Times New Roman" w:eastAsia="Times New Roman" w:hAnsi="Times New Roman"/>
                <w:color w:val="000000"/>
                <w:sz w:val="18"/>
                <w:szCs w:val="18"/>
              </w:rPr>
              <w:t>1,011</w:t>
            </w:r>
          </w:p>
        </w:tc>
        <w:tc>
          <w:tcPr>
            <w:tcW w:w="621" w:type="dxa"/>
            <w:tcBorders>
              <w:top w:val="nil"/>
              <w:left w:val="nil"/>
              <w:bottom w:val="single" w:sz="4" w:space="0" w:color="auto"/>
              <w:right w:val="single" w:sz="4" w:space="0" w:color="auto"/>
            </w:tcBorders>
            <w:shd w:val="clear" w:color="auto" w:fill="auto"/>
            <w:vAlign w:val="bottom"/>
            <w:hideMark/>
          </w:tcPr>
          <w:p w:rsidR="00144275" w:rsidRPr="00144275" w:rsidRDefault="00144275" w:rsidP="005F0246">
            <w:pPr>
              <w:jc w:val="right"/>
              <w:rPr>
                <w:rFonts w:ascii="Times New Roman" w:eastAsia="Times New Roman" w:hAnsi="Times New Roman"/>
                <w:color w:val="000000"/>
                <w:sz w:val="18"/>
                <w:szCs w:val="18"/>
              </w:rPr>
            </w:pPr>
            <w:r w:rsidRPr="00144275">
              <w:rPr>
                <w:rFonts w:ascii="Times New Roman" w:eastAsia="Times New Roman" w:hAnsi="Times New Roman"/>
                <w:color w:val="000000"/>
                <w:sz w:val="18"/>
                <w:szCs w:val="18"/>
              </w:rPr>
              <w:t>1,035</w:t>
            </w:r>
          </w:p>
        </w:tc>
        <w:tc>
          <w:tcPr>
            <w:tcW w:w="707" w:type="dxa"/>
            <w:tcBorders>
              <w:top w:val="nil"/>
              <w:left w:val="nil"/>
              <w:bottom w:val="single" w:sz="4" w:space="0" w:color="auto"/>
              <w:right w:val="single" w:sz="4" w:space="0" w:color="auto"/>
            </w:tcBorders>
            <w:shd w:val="clear" w:color="auto" w:fill="auto"/>
            <w:vAlign w:val="bottom"/>
            <w:hideMark/>
          </w:tcPr>
          <w:p w:rsidR="00144275" w:rsidRPr="00144275" w:rsidRDefault="00144275" w:rsidP="005F0246">
            <w:pPr>
              <w:jc w:val="right"/>
              <w:rPr>
                <w:rFonts w:ascii="Times New Roman" w:eastAsia="Times New Roman" w:hAnsi="Times New Roman"/>
                <w:color w:val="000000"/>
                <w:sz w:val="18"/>
                <w:szCs w:val="18"/>
              </w:rPr>
            </w:pPr>
            <w:r w:rsidRPr="00144275">
              <w:rPr>
                <w:rFonts w:ascii="Times New Roman" w:eastAsia="Times New Roman" w:hAnsi="Times New Roman"/>
                <w:color w:val="000000"/>
                <w:sz w:val="18"/>
                <w:szCs w:val="18"/>
              </w:rPr>
              <w:t>1,377</w:t>
            </w:r>
          </w:p>
        </w:tc>
        <w:tc>
          <w:tcPr>
            <w:tcW w:w="630" w:type="dxa"/>
            <w:tcBorders>
              <w:top w:val="nil"/>
              <w:left w:val="nil"/>
              <w:bottom w:val="single" w:sz="4" w:space="0" w:color="auto"/>
              <w:right w:val="single" w:sz="4" w:space="0" w:color="auto"/>
            </w:tcBorders>
            <w:shd w:val="clear" w:color="auto" w:fill="auto"/>
            <w:vAlign w:val="bottom"/>
            <w:hideMark/>
          </w:tcPr>
          <w:p w:rsidR="00144275" w:rsidRPr="00144275" w:rsidRDefault="00144275" w:rsidP="005F0246">
            <w:pPr>
              <w:jc w:val="right"/>
              <w:rPr>
                <w:rFonts w:ascii="Times New Roman" w:eastAsia="Times New Roman" w:hAnsi="Times New Roman"/>
                <w:color w:val="000000"/>
                <w:sz w:val="18"/>
                <w:szCs w:val="18"/>
              </w:rPr>
            </w:pPr>
            <w:r w:rsidRPr="00144275">
              <w:rPr>
                <w:rFonts w:ascii="Times New Roman" w:eastAsia="Times New Roman" w:hAnsi="Times New Roman"/>
                <w:color w:val="000000"/>
                <w:sz w:val="18"/>
                <w:szCs w:val="18"/>
              </w:rPr>
              <w:t>2,194</w:t>
            </w:r>
          </w:p>
        </w:tc>
      </w:tr>
      <w:tr w:rsidR="00653B98" w:rsidRPr="00011B74" w:rsidTr="00653B98">
        <w:trPr>
          <w:trHeight w:val="300"/>
        </w:trPr>
        <w:tc>
          <w:tcPr>
            <w:tcW w:w="651" w:type="dxa"/>
            <w:tcBorders>
              <w:top w:val="nil"/>
              <w:left w:val="single" w:sz="4" w:space="0" w:color="auto"/>
              <w:bottom w:val="single" w:sz="4" w:space="0" w:color="auto"/>
              <w:right w:val="single" w:sz="4" w:space="0" w:color="auto"/>
            </w:tcBorders>
            <w:shd w:val="clear" w:color="000000" w:fill="BFBFBF"/>
            <w:vAlign w:val="bottom"/>
            <w:hideMark/>
          </w:tcPr>
          <w:p w:rsidR="00144275" w:rsidRPr="00144275" w:rsidRDefault="00144275" w:rsidP="005F0246">
            <w:pPr>
              <w:jc w:val="center"/>
              <w:rPr>
                <w:rFonts w:ascii="Times New Roman" w:eastAsia="Times New Roman" w:hAnsi="Times New Roman"/>
                <w:color w:val="000000"/>
                <w:sz w:val="18"/>
                <w:szCs w:val="18"/>
              </w:rPr>
            </w:pPr>
            <w:r w:rsidRPr="00144275">
              <w:rPr>
                <w:rFonts w:ascii="Times New Roman" w:eastAsia="Times New Roman" w:hAnsi="Times New Roman"/>
                <w:color w:val="000000"/>
                <w:sz w:val="18"/>
                <w:szCs w:val="18"/>
              </w:rPr>
              <w:t>2010</w:t>
            </w:r>
          </w:p>
        </w:tc>
        <w:tc>
          <w:tcPr>
            <w:tcW w:w="621" w:type="dxa"/>
            <w:tcBorders>
              <w:top w:val="nil"/>
              <w:left w:val="nil"/>
              <w:bottom w:val="single" w:sz="4" w:space="0" w:color="auto"/>
              <w:right w:val="single" w:sz="4" w:space="0" w:color="auto"/>
            </w:tcBorders>
            <w:shd w:val="clear" w:color="auto" w:fill="auto"/>
            <w:vAlign w:val="bottom"/>
            <w:hideMark/>
          </w:tcPr>
          <w:p w:rsidR="00144275" w:rsidRPr="00144275" w:rsidRDefault="00144275" w:rsidP="005F0246">
            <w:pPr>
              <w:jc w:val="right"/>
              <w:rPr>
                <w:rFonts w:ascii="Times New Roman" w:eastAsia="Times New Roman" w:hAnsi="Times New Roman"/>
                <w:color w:val="000000"/>
                <w:sz w:val="18"/>
                <w:szCs w:val="18"/>
              </w:rPr>
            </w:pPr>
            <w:r w:rsidRPr="00144275">
              <w:rPr>
                <w:rFonts w:ascii="Times New Roman" w:eastAsia="Times New Roman" w:hAnsi="Times New Roman"/>
                <w:color w:val="000000"/>
                <w:sz w:val="18"/>
                <w:szCs w:val="18"/>
              </w:rPr>
              <w:t>2,491</w:t>
            </w:r>
          </w:p>
        </w:tc>
        <w:tc>
          <w:tcPr>
            <w:tcW w:w="708" w:type="dxa"/>
            <w:tcBorders>
              <w:top w:val="nil"/>
              <w:left w:val="nil"/>
              <w:bottom w:val="single" w:sz="4" w:space="0" w:color="auto"/>
              <w:right w:val="single" w:sz="4" w:space="0" w:color="auto"/>
            </w:tcBorders>
            <w:shd w:val="clear" w:color="auto" w:fill="auto"/>
            <w:vAlign w:val="bottom"/>
            <w:hideMark/>
          </w:tcPr>
          <w:p w:rsidR="00144275" w:rsidRPr="00144275" w:rsidRDefault="00144275" w:rsidP="005F0246">
            <w:pPr>
              <w:jc w:val="right"/>
              <w:rPr>
                <w:rFonts w:ascii="Times New Roman" w:eastAsia="Times New Roman" w:hAnsi="Times New Roman"/>
                <w:color w:val="000000"/>
                <w:sz w:val="18"/>
                <w:szCs w:val="18"/>
              </w:rPr>
            </w:pPr>
            <w:r w:rsidRPr="00144275">
              <w:rPr>
                <w:rFonts w:ascii="Times New Roman" w:eastAsia="Times New Roman" w:hAnsi="Times New Roman"/>
                <w:color w:val="000000"/>
                <w:sz w:val="18"/>
                <w:szCs w:val="18"/>
              </w:rPr>
              <w:t>1,792</w:t>
            </w:r>
          </w:p>
        </w:tc>
        <w:tc>
          <w:tcPr>
            <w:tcW w:w="720" w:type="dxa"/>
            <w:tcBorders>
              <w:top w:val="nil"/>
              <w:left w:val="nil"/>
              <w:bottom w:val="single" w:sz="4" w:space="0" w:color="auto"/>
              <w:right w:val="single" w:sz="4" w:space="0" w:color="auto"/>
            </w:tcBorders>
            <w:shd w:val="clear" w:color="auto" w:fill="auto"/>
            <w:vAlign w:val="bottom"/>
            <w:hideMark/>
          </w:tcPr>
          <w:p w:rsidR="00144275" w:rsidRPr="00144275" w:rsidRDefault="00144275" w:rsidP="005F0246">
            <w:pPr>
              <w:jc w:val="right"/>
              <w:rPr>
                <w:rFonts w:ascii="Times New Roman" w:eastAsia="Times New Roman" w:hAnsi="Times New Roman"/>
                <w:color w:val="000000"/>
                <w:sz w:val="18"/>
                <w:szCs w:val="18"/>
              </w:rPr>
            </w:pPr>
            <w:r w:rsidRPr="00144275">
              <w:rPr>
                <w:rFonts w:ascii="Times New Roman" w:eastAsia="Times New Roman" w:hAnsi="Times New Roman"/>
                <w:color w:val="000000"/>
                <w:sz w:val="18"/>
                <w:szCs w:val="18"/>
              </w:rPr>
              <w:t>1,501</w:t>
            </w:r>
          </w:p>
        </w:tc>
        <w:tc>
          <w:tcPr>
            <w:tcW w:w="630" w:type="dxa"/>
            <w:tcBorders>
              <w:top w:val="nil"/>
              <w:left w:val="nil"/>
              <w:bottom w:val="single" w:sz="4" w:space="0" w:color="auto"/>
              <w:right w:val="single" w:sz="4" w:space="0" w:color="auto"/>
            </w:tcBorders>
            <w:shd w:val="clear" w:color="auto" w:fill="auto"/>
            <w:vAlign w:val="bottom"/>
            <w:hideMark/>
          </w:tcPr>
          <w:p w:rsidR="00144275" w:rsidRPr="00144275" w:rsidRDefault="00144275" w:rsidP="005F0246">
            <w:pPr>
              <w:jc w:val="right"/>
              <w:rPr>
                <w:rFonts w:ascii="Times New Roman" w:eastAsia="Times New Roman" w:hAnsi="Times New Roman"/>
                <w:color w:val="000000"/>
                <w:sz w:val="18"/>
                <w:szCs w:val="18"/>
              </w:rPr>
            </w:pPr>
            <w:r w:rsidRPr="00144275">
              <w:rPr>
                <w:rFonts w:ascii="Times New Roman" w:eastAsia="Times New Roman" w:hAnsi="Times New Roman"/>
                <w:color w:val="000000"/>
                <w:sz w:val="18"/>
                <w:szCs w:val="18"/>
              </w:rPr>
              <w:t>1,344</w:t>
            </w:r>
          </w:p>
        </w:tc>
        <w:tc>
          <w:tcPr>
            <w:tcW w:w="720" w:type="dxa"/>
            <w:tcBorders>
              <w:top w:val="nil"/>
              <w:left w:val="nil"/>
              <w:bottom w:val="single" w:sz="4" w:space="0" w:color="auto"/>
              <w:right w:val="single" w:sz="4" w:space="0" w:color="auto"/>
            </w:tcBorders>
            <w:shd w:val="clear" w:color="auto" w:fill="auto"/>
            <w:vAlign w:val="bottom"/>
            <w:hideMark/>
          </w:tcPr>
          <w:p w:rsidR="00144275" w:rsidRPr="00144275" w:rsidRDefault="00144275" w:rsidP="005F0246">
            <w:pPr>
              <w:jc w:val="right"/>
              <w:rPr>
                <w:rFonts w:ascii="Times New Roman" w:eastAsia="Times New Roman" w:hAnsi="Times New Roman"/>
                <w:color w:val="000000"/>
                <w:sz w:val="18"/>
                <w:szCs w:val="18"/>
              </w:rPr>
            </w:pPr>
            <w:r w:rsidRPr="00144275">
              <w:rPr>
                <w:rFonts w:ascii="Times New Roman" w:eastAsia="Times New Roman" w:hAnsi="Times New Roman"/>
                <w:color w:val="000000"/>
                <w:sz w:val="18"/>
                <w:szCs w:val="18"/>
              </w:rPr>
              <w:t>1,066</w:t>
            </w:r>
          </w:p>
        </w:tc>
        <w:tc>
          <w:tcPr>
            <w:tcW w:w="630" w:type="dxa"/>
            <w:tcBorders>
              <w:top w:val="nil"/>
              <w:left w:val="nil"/>
              <w:bottom w:val="single" w:sz="4" w:space="0" w:color="auto"/>
              <w:right w:val="single" w:sz="4" w:space="0" w:color="auto"/>
            </w:tcBorders>
            <w:shd w:val="clear" w:color="auto" w:fill="auto"/>
            <w:vAlign w:val="bottom"/>
            <w:hideMark/>
          </w:tcPr>
          <w:p w:rsidR="00144275" w:rsidRPr="00144275" w:rsidRDefault="00144275" w:rsidP="005F0246">
            <w:pPr>
              <w:jc w:val="right"/>
              <w:rPr>
                <w:rFonts w:ascii="Times New Roman" w:eastAsia="Times New Roman" w:hAnsi="Times New Roman"/>
                <w:color w:val="000000"/>
                <w:sz w:val="18"/>
                <w:szCs w:val="18"/>
              </w:rPr>
            </w:pPr>
            <w:r w:rsidRPr="00144275">
              <w:rPr>
                <w:rFonts w:ascii="Times New Roman" w:eastAsia="Times New Roman" w:hAnsi="Times New Roman"/>
                <w:color w:val="000000"/>
                <w:sz w:val="18"/>
                <w:szCs w:val="18"/>
              </w:rPr>
              <w:t>950</w:t>
            </w:r>
          </w:p>
        </w:tc>
        <w:tc>
          <w:tcPr>
            <w:tcW w:w="630" w:type="dxa"/>
            <w:tcBorders>
              <w:top w:val="nil"/>
              <w:left w:val="nil"/>
              <w:bottom w:val="single" w:sz="4" w:space="0" w:color="auto"/>
              <w:right w:val="single" w:sz="4" w:space="0" w:color="auto"/>
            </w:tcBorders>
            <w:shd w:val="clear" w:color="auto" w:fill="auto"/>
            <w:vAlign w:val="bottom"/>
            <w:hideMark/>
          </w:tcPr>
          <w:p w:rsidR="00144275" w:rsidRPr="00144275" w:rsidRDefault="00144275" w:rsidP="005F0246">
            <w:pPr>
              <w:jc w:val="right"/>
              <w:rPr>
                <w:rFonts w:ascii="Times New Roman" w:eastAsia="Times New Roman" w:hAnsi="Times New Roman"/>
                <w:color w:val="000000"/>
                <w:sz w:val="18"/>
                <w:szCs w:val="18"/>
              </w:rPr>
            </w:pPr>
            <w:r w:rsidRPr="00144275">
              <w:rPr>
                <w:rFonts w:ascii="Times New Roman" w:eastAsia="Times New Roman" w:hAnsi="Times New Roman"/>
                <w:color w:val="000000"/>
                <w:sz w:val="18"/>
                <w:szCs w:val="18"/>
              </w:rPr>
              <w:t>999</w:t>
            </w:r>
          </w:p>
        </w:tc>
        <w:tc>
          <w:tcPr>
            <w:tcW w:w="661" w:type="dxa"/>
            <w:tcBorders>
              <w:top w:val="nil"/>
              <w:left w:val="nil"/>
              <w:bottom w:val="single" w:sz="4" w:space="0" w:color="auto"/>
              <w:right w:val="single" w:sz="4" w:space="0" w:color="auto"/>
            </w:tcBorders>
            <w:shd w:val="clear" w:color="auto" w:fill="auto"/>
            <w:vAlign w:val="bottom"/>
            <w:hideMark/>
          </w:tcPr>
          <w:p w:rsidR="00144275" w:rsidRPr="00144275" w:rsidRDefault="00144275" w:rsidP="005F0246">
            <w:pPr>
              <w:jc w:val="right"/>
              <w:rPr>
                <w:rFonts w:ascii="Times New Roman" w:eastAsia="Times New Roman" w:hAnsi="Times New Roman"/>
                <w:color w:val="000000"/>
                <w:sz w:val="18"/>
                <w:szCs w:val="18"/>
              </w:rPr>
            </w:pPr>
            <w:r w:rsidRPr="00144275">
              <w:rPr>
                <w:rFonts w:ascii="Times New Roman" w:eastAsia="Times New Roman" w:hAnsi="Times New Roman"/>
                <w:color w:val="000000"/>
                <w:sz w:val="18"/>
                <w:szCs w:val="18"/>
              </w:rPr>
              <w:t>1,088</w:t>
            </w:r>
          </w:p>
        </w:tc>
        <w:tc>
          <w:tcPr>
            <w:tcW w:w="621" w:type="dxa"/>
            <w:tcBorders>
              <w:top w:val="nil"/>
              <w:left w:val="nil"/>
              <w:bottom w:val="single" w:sz="4" w:space="0" w:color="auto"/>
              <w:right w:val="single" w:sz="4" w:space="0" w:color="auto"/>
            </w:tcBorders>
            <w:shd w:val="clear" w:color="auto" w:fill="auto"/>
            <w:vAlign w:val="bottom"/>
            <w:hideMark/>
          </w:tcPr>
          <w:p w:rsidR="00144275" w:rsidRPr="00144275" w:rsidRDefault="00144275" w:rsidP="005F0246">
            <w:pPr>
              <w:jc w:val="right"/>
              <w:rPr>
                <w:rFonts w:ascii="Times New Roman" w:eastAsia="Times New Roman" w:hAnsi="Times New Roman"/>
                <w:color w:val="000000"/>
                <w:sz w:val="18"/>
                <w:szCs w:val="18"/>
              </w:rPr>
            </w:pPr>
            <w:r w:rsidRPr="00144275">
              <w:rPr>
                <w:rFonts w:ascii="Times New Roman" w:eastAsia="Times New Roman" w:hAnsi="Times New Roman"/>
                <w:color w:val="000000"/>
                <w:sz w:val="18"/>
                <w:szCs w:val="18"/>
              </w:rPr>
              <w:t>990</w:t>
            </w:r>
          </w:p>
        </w:tc>
        <w:tc>
          <w:tcPr>
            <w:tcW w:w="621" w:type="dxa"/>
            <w:tcBorders>
              <w:top w:val="nil"/>
              <w:left w:val="nil"/>
              <w:bottom w:val="single" w:sz="4" w:space="0" w:color="auto"/>
              <w:right w:val="single" w:sz="4" w:space="0" w:color="auto"/>
            </w:tcBorders>
            <w:shd w:val="clear" w:color="auto" w:fill="auto"/>
            <w:vAlign w:val="bottom"/>
            <w:hideMark/>
          </w:tcPr>
          <w:p w:rsidR="00144275" w:rsidRPr="00144275" w:rsidRDefault="00144275" w:rsidP="005F0246">
            <w:pPr>
              <w:jc w:val="right"/>
              <w:rPr>
                <w:rFonts w:ascii="Times New Roman" w:eastAsia="Times New Roman" w:hAnsi="Times New Roman"/>
                <w:color w:val="000000"/>
                <w:sz w:val="18"/>
                <w:szCs w:val="18"/>
              </w:rPr>
            </w:pPr>
            <w:r w:rsidRPr="00144275">
              <w:rPr>
                <w:rFonts w:ascii="Times New Roman" w:eastAsia="Times New Roman" w:hAnsi="Times New Roman"/>
                <w:color w:val="000000"/>
                <w:sz w:val="18"/>
                <w:szCs w:val="18"/>
              </w:rPr>
              <w:t>929</w:t>
            </w:r>
          </w:p>
        </w:tc>
        <w:tc>
          <w:tcPr>
            <w:tcW w:w="707" w:type="dxa"/>
            <w:tcBorders>
              <w:top w:val="nil"/>
              <w:left w:val="nil"/>
              <w:bottom w:val="single" w:sz="4" w:space="0" w:color="auto"/>
              <w:right w:val="single" w:sz="4" w:space="0" w:color="auto"/>
            </w:tcBorders>
            <w:shd w:val="clear" w:color="auto" w:fill="auto"/>
            <w:vAlign w:val="bottom"/>
            <w:hideMark/>
          </w:tcPr>
          <w:p w:rsidR="00144275" w:rsidRPr="00144275" w:rsidRDefault="00144275" w:rsidP="005F0246">
            <w:pPr>
              <w:jc w:val="right"/>
              <w:rPr>
                <w:rFonts w:ascii="Times New Roman" w:eastAsia="Times New Roman" w:hAnsi="Times New Roman"/>
                <w:color w:val="000000"/>
                <w:sz w:val="18"/>
                <w:szCs w:val="18"/>
              </w:rPr>
            </w:pPr>
            <w:r w:rsidRPr="00144275">
              <w:rPr>
                <w:rFonts w:ascii="Times New Roman" w:eastAsia="Times New Roman" w:hAnsi="Times New Roman"/>
                <w:color w:val="000000"/>
                <w:sz w:val="18"/>
                <w:szCs w:val="18"/>
              </w:rPr>
              <w:t>1,324</w:t>
            </w:r>
          </w:p>
        </w:tc>
        <w:tc>
          <w:tcPr>
            <w:tcW w:w="630" w:type="dxa"/>
            <w:tcBorders>
              <w:top w:val="nil"/>
              <w:left w:val="nil"/>
              <w:bottom w:val="single" w:sz="4" w:space="0" w:color="auto"/>
              <w:right w:val="single" w:sz="4" w:space="0" w:color="auto"/>
            </w:tcBorders>
            <w:shd w:val="clear" w:color="auto" w:fill="auto"/>
            <w:vAlign w:val="bottom"/>
            <w:hideMark/>
          </w:tcPr>
          <w:p w:rsidR="00144275" w:rsidRPr="00144275" w:rsidRDefault="00144275" w:rsidP="005F0246">
            <w:pPr>
              <w:jc w:val="right"/>
              <w:rPr>
                <w:rFonts w:ascii="Times New Roman" w:eastAsia="Times New Roman" w:hAnsi="Times New Roman"/>
                <w:color w:val="000000"/>
                <w:sz w:val="18"/>
                <w:szCs w:val="18"/>
              </w:rPr>
            </w:pPr>
            <w:r w:rsidRPr="00144275">
              <w:rPr>
                <w:rFonts w:ascii="Times New Roman" w:eastAsia="Times New Roman" w:hAnsi="Times New Roman"/>
                <w:color w:val="000000"/>
                <w:sz w:val="18"/>
                <w:szCs w:val="18"/>
              </w:rPr>
              <w:t>2,156</w:t>
            </w:r>
          </w:p>
        </w:tc>
      </w:tr>
      <w:tr w:rsidR="00653B98" w:rsidRPr="00011B74" w:rsidTr="00653B98">
        <w:trPr>
          <w:trHeight w:val="300"/>
        </w:trPr>
        <w:tc>
          <w:tcPr>
            <w:tcW w:w="651" w:type="dxa"/>
            <w:tcBorders>
              <w:top w:val="nil"/>
              <w:left w:val="single" w:sz="4" w:space="0" w:color="auto"/>
              <w:bottom w:val="single" w:sz="4" w:space="0" w:color="auto"/>
              <w:right w:val="single" w:sz="4" w:space="0" w:color="auto"/>
            </w:tcBorders>
            <w:shd w:val="clear" w:color="000000" w:fill="BFBFBF"/>
            <w:vAlign w:val="bottom"/>
            <w:hideMark/>
          </w:tcPr>
          <w:p w:rsidR="00144275" w:rsidRPr="00144275" w:rsidRDefault="00144275" w:rsidP="005F0246">
            <w:pPr>
              <w:jc w:val="center"/>
              <w:rPr>
                <w:rFonts w:ascii="Times New Roman" w:eastAsia="Times New Roman" w:hAnsi="Times New Roman"/>
                <w:color w:val="000000"/>
                <w:sz w:val="18"/>
                <w:szCs w:val="18"/>
              </w:rPr>
            </w:pPr>
            <w:r w:rsidRPr="00144275">
              <w:rPr>
                <w:rFonts w:ascii="Times New Roman" w:eastAsia="Times New Roman" w:hAnsi="Times New Roman"/>
                <w:color w:val="000000"/>
                <w:sz w:val="18"/>
                <w:szCs w:val="18"/>
              </w:rPr>
              <w:t>2011</w:t>
            </w:r>
          </w:p>
        </w:tc>
        <w:tc>
          <w:tcPr>
            <w:tcW w:w="621" w:type="dxa"/>
            <w:tcBorders>
              <w:top w:val="nil"/>
              <w:left w:val="nil"/>
              <w:bottom w:val="single" w:sz="4" w:space="0" w:color="auto"/>
              <w:right w:val="single" w:sz="4" w:space="0" w:color="auto"/>
            </w:tcBorders>
            <w:shd w:val="clear" w:color="auto" w:fill="auto"/>
            <w:vAlign w:val="bottom"/>
            <w:hideMark/>
          </w:tcPr>
          <w:p w:rsidR="00144275" w:rsidRPr="00144275" w:rsidRDefault="00144275" w:rsidP="005F0246">
            <w:pPr>
              <w:jc w:val="right"/>
              <w:rPr>
                <w:rFonts w:ascii="Times New Roman" w:eastAsia="Times New Roman" w:hAnsi="Times New Roman"/>
                <w:color w:val="000000"/>
                <w:sz w:val="18"/>
                <w:szCs w:val="18"/>
              </w:rPr>
            </w:pPr>
            <w:r w:rsidRPr="00144275">
              <w:rPr>
                <w:rFonts w:ascii="Times New Roman" w:eastAsia="Times New Roman" w:hAnsi="Times New Roman"/>
                <w:color w:val="000000"/>
                <w:sz w:val="18"/>
                <w:szCs w:val="18"/>
              </w:rPr>
              <w:t>2,284</w:t>
            </w:r>
          </w:p>
        </w:tc>
        <w:tc>
          <w:tcPr>
            <w:tcW w:w="708" w:type="dxa"/>
            <w:tcBorders>
              <w:top w:val="nil"/>
              <w:left w:val="nil"/>
              <w:bottom w:val="single" w:sz="4" w:space="0" w:color="auto"/>
              <w:right w:val="single" w:sz="4" w:space="0" w:color="auto"/>
            </w:tcBorders>
            <w:shd w:val="clear" w:color="auto" w:fill="auto"/>
            <w:vAlign w:val="bottom"/>
            <w:hideMark/>
          </w:tcPr>
          <w:p w:rsidR="00144275" w:rsidRPr="00144275" w:rsidRDefault="00144275" w:rsidP="005F0246">
            <w:pPr>
              <w:jc w:val="right"/>
              <w:rPr>
                <w:rFonts w:ascii="Times New Roman" w:eastAsia="Times New Roman" w:hAnsi="Times New Roman"/>
                <w:color w:val="000000"/>
                <w:sz w:val="18"/>
                <w:szCs w:val="18"/>
              </w:rPr>
            </w:pPr>
            <w:r w:rsidRPr="00144275">
              <w:rPr>
                <w:rFonts w:ascii="Times New Roman" w:eastAsia="Times New Roman" w:hAnsi="Times New Roman"/>
                <w:color w:val="000000"/>
                <w:sz w:val="18"/>
                <w:szCs w:val="18"/>
              </w:rPr>
              <w:t>1,860</w:t>
            </w:r>
          </w:p>
        </w:tc>
        <w:tc>
          <w:tcPr>
            <w:tcW w:w="720" w:type="dxa"/>
            <w:tcBorders>
              <w:top w:val="nil"/>
              <w:left w:val="nil"/>
              <w:bottom w:val="single" w:sz="4" w:space="0" w:color="auto"/>
              <w:right w:val="single" w:sz="4" w:space="0" w:color="auto"/>
            </w:tcBorders>
            <w:shd w:val="clear" w:color="auto" w:fill="auto"/>
            <w:vAlign w:val="bottom"/>
            <w:hideMark/>
          </w:tcPr>
          <w:p w:rsidR="00144275" w:rsidRPr="00144275" w:rsidRDefault="00144275" w:rsidP="005F0246">
            <w:pPr>
              <w:jc w:val="right"/>
              <w:rPr>
                <w:rFonts w:ascii="Times New Roman" w:eastAsia="Times New Roman" w:hAnsi="Times New Roman"/>
                <w:color w:val="000000"/>
                <w:sz w:val="18"/>
                <w:szCs w:val="18"/>
              </w:rPr>
            </w:pPr>
            <w:r w:rsidRPr="00144275">
              <w:rPr>
                <w:rFonts w:ascii="Times New Roman" w:eastAsia="Times New Roman" w:hAnsi="Times New Roman"/>
                <w:color w:val="000000"/>
                <w:sz w:val="18"/>
                <w:szCs w:val="18"/>
              </w:rPr>
              <w:t>1,737</w:t>
            </w:r>
          </w:p>
        </w:tc>
        <w:tc>
          <w:tcPr>
            <w:tcW w:w="630" w:type="dxa"/>
            <w:tcBorders>
              <w:top w:val="nil"/>
              <w:left w:val="nil"/>
              <w:bottom w:val="single" w:sz="4" w:space="0" w:color="auto"/>
              <w:right w:val="single" w:sz="4" w:space="0" w:color="auto"/>
            </w:tcBorders>
            <w:shd w:val="clear" w:color="auto" w:fill="auto"/>
            <w:vAlign w:val="bottom"/>
            <w:hideMark/>
          </w:tcPr>
          <w:p w:rsidR="00144275" w:rsidRPr="00144275" w:rsidRDefault="00144275" w:rsidP="005F0246">
            <w:pPr>
              <w:jc w:val="right"/>
              <w:rPr>
                <w:rFonts w:ascii="Times New Roman" w:eastAsia="Times New Roman" w:hAnsi="Times New Roman"/>
                <w:color w:val="000000"/>
                <w:sz w:val="18"/>
                <w:szCs w:val="18"/>
              </w:rPr>
            </w:pPr>
            <w:r w:rsidRPr="00144275">
              <w:rPr>
                <w:rFonts w:ascii="Times New Roman" w:eastAsia="Times New Roman" w:hAnsi="Times New Roman"/>
                <w:color w:val="000000"/>
                <w:sz w:val="18"/>
                <w:szCs w:val="18"/>
              </w:rPr>
              <w:t>1,348</w:t>
            </w:r>
          </w:p>
        </w:tc>
        <w:tc>
          <w:tcPr>
            <w:tcW w:w="720" w:type="dxa"/>
            <w:tcBorders>
              <w:top w:val="nil"/>
              <w:left w:val="nil"/>
              <w:bottom w:val="single" w:sz="4" w:space="0" w:color="auto"/>
              <w:right w:val="single" w:sz="4" w:space="0" w:color="auto"/>
            </w:tcBorders>
            <w:shd w:val="clear" w:color="auto" w:fill="auto"/>
            <w:vAlign w:val="bottom"/>
            <w:hideMark/>
          </w:tcPr>
          <w:p w:rsidR="00144275" w:rsidRPr="00144275" w:rsidRDefault="00144275" w:rsidP="005F0246">
            <w:pPr>
              <w:jc w:val="right"/>
              <w:rPr>
                <w:rFonts w:ascii="Times New Roman" w:eastAsia="Times New Roman" w:hAnsi="Times New Roman"/>
                <w:color w:val="000000"/>
                <w:sz w:val="18"/>
                <w:szCs w:val="18"/>
              </w:rPr>
            </w:pPr>
            <w:r w:rsidRPr="00144275">
              <w:rPr>
                <w:rFonts w:ascii="Times New Roman" w:eastAsia="Times New Roman" w:hAnsi="Times New Roman"/>
                <w:color w:val="000000"/>
                <w:sz w:val="18"/>
                <w:szCs w:val="18"/>
              </w:rPr>
              <w:t>1,121</w:t>
            </w:r>
          </w:p>
        </w:tc>
        <w:tc>
          <w:tcPr>
            <w:tcW w:w="630" w:type="dxa"/>
            <w:tcBorders>
              <w:top w:val="nil"/>
              <w:left w:val="nil"/>
              <w:bottom w:val="single" w:sz="4" w:space="0" w:color="auto"/>
              <w:right w:val="single" w:sz="4" w:space="0" w:color="auto"/>
            </w:tcBorders>
            <w:shd w:val="clear" w:color="auto" w:fill="auto"/>
            <w:vAlign w:val="bottom"/>
            <w:hideMark/>
          </w:tcPr>
          <w:p w:rsidR="00144275" w:rsidRPr="00144275" w:rsidRDefault="00144275" w:rsidP="005F0246">
            <w:pPr>
              <w:jc w:val="right"/>
              <w:rPr>
                <w:rFonts w:ascii="Times New Roman" w:eastAsia="Times New Roman" w:hAnsi="Times New Roman"/>
                <w:color w:val="000000"/>
                <w:sz w:val="18"/>
                <w:szCs w:val="18"/>
              </w:rPr>
            </w:pPr>
            <w:r w:rsidRPr="00144275">
              <w:rPr>
                <w:rFonts w:ascii="Times New Roman" w:eastAsia="Times New Roman" w:hAnsi="Times New Roman"/>
                <w:color w:val="000000"/>
                <w:sz w:val="18"/>
                <w:szCs w:val="18"/>
              </w:rPr>
              <w:t>913</w:t>
            </w:r>
          </w:p>
        </w:tc>
        <w:tc>
          <w:tcPr>
            <w:tcW w:w="630" w:type="dxa"/>
            <w:tcBorders>
              <w:top w:val="nil"/>
              <w:left w:val="nil"/>
              <w:bottom w:val="single" w:sz="4" w:space="0" w:color="auto"/>
              <w:right w:val="single" w:sz="4" w:space="0" w:color="auto"/>
            </w:tcBorders>
            <w:shd w:val="clear" w:color="auto" w:fill="auto"/>
            <w:vAlign w:val="bottom"/>
            <w:hideMark/>
          </w:tcPr>
          <w:p w:rsidR="00144275" w:rsidRPr="00144275" w:rsidRDefault="00144275" w:rsidP="005F0246">
            <w:pPr>
              <w:jc w:val="right"/>
              <w:rPr>
                <w:rFonts w:ascii="Times New Roman" w:eastAsia="Times New Roman" w:hAnsi="Times New Roman"/>
                <w:color w:val="000000"/>
                <w:sz w:val="18"/>
                <w:szCs w:val="18"/>
              </w:rPr>
            </w:pPr>
            <w:r w:rsidRPr="00144275">
              <w:rPr>
                <w:rFonts w:ascii="Times New Roman" w:eastAsia="Times New Roman" w:hAnsi="Times New Roman"/>
                <w:color w:val="000000"/>
                <w:sz w:val="18"/>
                <w:szCs w:val="18"/>
              </w:rPr>
              <w:t>912</w:t>
            </w:r>
          </w:p>
        </w:tc>
        <w:tc>
          <w:tcPr>
            <w:tcW w:w="661" w:type="dxa"/>
            <w:tcBorders>
              <w:top w:val="nil"/>
              <w:left w:val="nil"/>
              <w:bottom w:val="single" w:sz="4" w:space="0" w:color="auto"/>
              <w:right w:val="single" w:sz="4" w:space="0" w:color="auto"/>
            </w:tcBorders>
            <w:shd w:val="clear" w:color="auto" w:fill="auto"/>
            <w:vAlign w:val="bottom"/>
            <w:hideMark/>
          </w:tcPr>
          <w:p w:rsidR="00144275" w:rsidRPr="00144275" w:rsidRDefault="00144275" w:rsidP="005F0246">
            <w:pPr>
              <w:jc w:val="right"/>
              <w:rPr>
                <w:rFonts w:ascii="Times New Roman" w:eastAsia="Times New Roman" w:hAnsi="Times New Roman"/>
                <w:color w:val="000000"/>
                <w:sz w:val="18"/>
                <w:szCs w:val="18"/>
              </w:rPr>
            </w:pPr>
            <w:r w:rsidRPr="00144275">
              <w:rPr>
                <w:rFonts w:ascii="Times New Roman" w:eastAsia="Times New Roman" w:hAnsi="Times New Roman"/>
                <w:color w:val="000000"/>
                <w:sz w:val="18"/>
                <w:szCs w:val="18"/>
              </w:rPr>
              <w:t>1,007</w:t>
            </w:r>
          </w:p>
        </w:tc>
        <w:tc>
          <w:tcPr>
            <w:tcW w:w="621" w:type="dxa"/>
            <w:tcBorders>
              <w:top w:val="nil"/>
              <w:left w:val="nil"/>
              <w:bottom w:val="single" w:sz="4" w:space="0" w:color="auto"/>
              <w:right w:val="single" w:sz="4" w:space="0" w:color="auto"/>
            </w:tcBorders>
            <w:shd w:val="clear" w:color="auto" w:fill="auto"/>
            <w:vAlign w:val="bottom"/>
            <w:hideMark/>
          </w:tcPr>
          <w:p w:rsidR="00144275" w:rsidRPr="00144275" w:rsidRDefault="00144275" w:rsidP="005F0246">
            <w:pPr>
              <w:jc w:val="right"/>
              <w:rPr>
                <w:rFonts w:ascii="Times New Roman" w:eastAsia="Times New Roman" w:hAnsi="Times New Roman"/>
                <w:color w:val="000000"/>
                <w:sz w:val="18"/>
                <w:szCs w:val="18"/>
              </w:rPr>
            </w:pPr>
            <w:r w:rsidRPr="00144275">
              <w:rPr>
                <w:rFonts w:ascii="Times New Roman" w:eastAsia="Times New Roman" w:hAnsi="Times New Roman"/>
                <w:color w:val="000000"/>
                <w:sz w:val="18"/>
                <w:szCs w:val="18"/>
              </w:rPr>
              <w:t>991</w:t>
            </w:r>
          </w:p>
        </w:tc>
        <w:tc>
          <w:tcPr>
            <w:tcW w:w="621" w:type="dxa"/>
            <w:tcBorders>
              <w:top w:val="nil"/>
              <w:left w:val="nil"/>
              <w:bottom w:val="single" w:sz="4" w:space="0" w:color="auto"/>
              <w:right w:val="single" w:sz="4" w:space="0" w:color="auto"/>
            </w:tcBorders>
            <w:shd w:val="clear" w:color="auto" w:fill="auto"/>
            <w:vAlign w:val="bottom"/>
            <w:hideMark/>
          </w:tcPr>
          <w:p w:rsidR="00144275" w:rsidRPr="00144275" w:rsidRDefault="00144275" w:rsidP="005F0246">
            <w:pPr>
              <w:jc w:val="right"/>
              <w:rPr>
                <w:rFonts w:ascii="Times New Roman" w:eastAsia="Times New Roman" w:hAnsi="Times New Roman"/>
                <w:color w:val="000000"/>
                <w:sz w:val="18"/>
                <w:szCs w:val="18"/>
              </w:rPr>
            </w:pPr>
            <w:r w:rsidRPr="00144275">
              <w:rPr>
                <w:rFonts w:ascii="Times New Roman" w:eastAsia="Times New Roman" w:hAnsi="Times New Roman"/>
                <w:color w:val="000000"/>
                <w:sz w:val="18"/>
                <w:szCs w:val="18"/>
              </w:rPr>
              <w:t>885</w:t>
            </w:r>
          </w:p>
        </w:tc>
        <w:tc>
          <w:tcPr>
            <w:tcW w:w="707" w:type="dxa"/>
            <w:tcBorders>
              <w:top w:val="nil"/>
              <w:left w:val="nil"/>
              <w:bottom w:val="single" w:sz="4" w:space="0" w:color="auto"/>
              <w:right w:val="single" w:sz="4" w:space="0" w:color="auto"/>
            </w:tcBorders>
            <w:shd w:val="clear" w:color="auto" w:fill="auto"/>
            <w:vAlign w:val="bottom"/>
            <w:hideMark/>
          </w:tcPr>
          <w:p w:rsidR="00144275" w:rsidRPr="00144275" w:rsidRDefault="00144275" w:rsidP="005F0246">
            <w:pPr>
              <w:jc w:val="right"/>
              <w:rPr>
                <w:rFonts w:ascii="Times New Roman" w:eastAsia="Times New Roman" w:hAnsi="Times New Roman"/>
                <w:color w:val="000000"/>
                <w:sz w:val="18"/>
                <w:szCs w:val="18"/>
              </w:rPr>
            </w:pPr>
            <w:r w:rsidRPr="00144275">
              <w:rPr>
                <w:rFonts w:ascii="Times New Roman" w:eastAsia="Times New Roman" w:hAnsi="Times New Roman"/>
                <w:color w:val="000000"/>
                <w:sz w:val="18"/>
                <w:szCs w:val="18"/>
              </w:rPr>
              <w:t>1,353</w:t>
            </w:r>
          </w:p>
        </w:tc>
        <w:tc>
          <w:tcPr>
            <w:tcW w:w="630" w:type="dxa"/>
            <w:tcBorders>
              <w:top w:val="nil"/>
              <w:left w:val="nil"/>
              <w:bottom w:val="single" w:sz="4" w:space="0" w:color="auto"/>
              <w:right w:val="single" w:sz="4" w:space="0" w:color="auto"/>
            </w:tcBorders>
            <w:shd w:val="clear" w:color="auto" w:fill="auto"/>
            <w:vAlign w:val="bottom"/>
            <w:hideMark/>
          </w:tcPr>
          <w:p w:rsidR="00144275" w:rsidRPr="00144275" w:rsidRDefault="00144275" w:rsidP="005F0246">
            <w:pPr>
              <w:jc w:val="right"/>
              <w:rPr>
                <w:rFonts w:ascii="Times New Roman" w:eastAsia="Times New Roman" w:hAnsi="Times New Roman"/>
                <w:color w:val="000000"/>
                <w:sz w:val="18"/>
                <w:szCs w:val="18"/>
              </w:rPr>
            </w:pPr>
            <w:r w:rsidRPr="00144275">
              <w:rPr>
                <w:rFonts w:ascii="Times New Roman" w:eastAsia="Times New Roman" w:hAnsi="Times New Roman"/>
                <w:color w:val="000000"/>
                <w:sz w:val="18"/>
                <w:szCs w:val="18"/>
              </w:rPr>
              <w:t>2,071</w:t>
            </w:r>
          </w:p>
        </w:tc>
      </w:tr>
      <w:tr w:rsidR="00653B98" w:rsidRPr="00011B74" w:rsidTr="00653B98">
        <w:trPr>
          <w:trHeight w:val="300"/>
        </w:trPr>
        <w:tc>
          <w:tcPr>
            <w:tcW w:w="651" w:type="dxa"/>
            <w:tcBorders>
              <w:top w:val="nil"/>
              <w:left w:val="single" w:sz="4" w:space="0" w:color="auto"/>
              <w:bottom w:val="single" w:sz="4" w:space="0" w:color="auto"/>
              <w:right w:val="single" w:sz="4" w:space="0" w:color="auto"/>
            </w:tcBorders>
            <w:shd w:val="clear" w:color="000000" w:fill="BFBFBF"/>
            <w:vAlign w:val="bottom"/>
            <w:hideMark/>
          </w:tcPr>
          <w:p w:rsidR="00144275" w:rsidRPr="00144275" w:rsidRDefault="00144275" w:rsidP="005F0246">
            <w:pPr>
              <w:jc w:val="center"/>
              <w:rPr>
                <w:rFonts w:ascii="Times New Roman" w:eastAsia="Times New Roman" w:hAnsi="Times New Roman"/>
                <w:color w:val="000000"/>
                <w:sz w:val="18"/>
                <w:szCs w:val="18"/>
              </w:rPr>
            </w:pPr>
            <w:r w:rsidRPr="00144275">
              <w:rPr>
                <w:rFonts w:ascii="Times New Roman" w:eastAsia="Times New Roman" w:hAnsi="Times New Roman"/>
                <w:color w:val="000000"/>
                <w:sz w:val="18"/>
                <w:szCs w:val="18"/>
              </w:rPr>
              <w:t>2012</w:t>
            </w:r>
          </w:p>
        </w:tc>
        <w:tc>
          <w:tcPr>
            <w:tcW w:w="621" w:type="dxa"/>
            <w:tcBorders>
              <w:top w:val="nil"/>
              <w:left w:val="nil"/>
              <w:bottom w:val="single" w:sz="4" w:space="0" w:color="auto"/>
              <w:right w:val="single" w:sz="4" w:space="0" w:color="auto"/>
            </w:tcBorders>
            <w:shd w:val="clear" w:color="auto" w:fill="auto"/>
            <w:vAlign w:val="bottom"/>
            <w:hideMark/>
          </w:tcPr>
          <w:p w:rsidR="00144275" w:rsidRPr="00144275" w:rsidRDefault="00144275" w:rsidP="005F0246">
            <w:pPr>
              <w:jc w:val="right"/>
              <w:rPr>
                <w:rFonts w:ascii="Times New Roman" w:eastAsia="Times New Roman" w:hAnsi="Times New Roman"/>
                <w:color w:val="000000"/>
                <w:sz w:val="18"/>
                <w:szCs w:val="18"/>
              </w:rPr>
            </w:pPr>
            <w:r w:rsidRPr="00144275">
              <w:rPr>
                <w:rFonts w:ascii="Times New Roman" w:eastAsia="Times New Roman" w:hAnsi="Times New Roman"/>
                <w:color w:val="000000"/>
                <w:sz w:val="18"/>
                <w:szCs w:val="18"/>
              </w:rPr>
              <w:t>2,233</w:t>
            </w:r>
          </w:p>
        </w:tc>
        <w:tc>
          <w:tcPr>
            <w:tcW w:w="708" w:type="dxa"/>
            <w:tcBorders>
              <w:top w:val="nil"/>
              <w:left w:val="nil"/>
              <w:bottom w:val="single" w:sz="4" w:space="0" w:color="auto"/>
              <w:right w:val="single" w:sz="4" w:space="0" w:color="auto"/>
            </w:tcBorders>
            <w:shd w:val="clear" w:color="auto" w:fill="auto"/>
            <w:vAlign w:val="bottom"/>
            <w:hideMark/>
          </w:tcPr>
          <w:p w:rsidR="00144275" w:rsidRPr="00144275" w:rsidRDefault="00144275" w:rsidP="005F0246">
            <w:pPr>
              <w:jc w:val="right"/>
              <w:rPr>
                <w:rFonts w:ascii="Times New Roman" w:eastAsia="Times New Roman" w:hAnsi="Times New Roman"/>
                <w:color w:val="000000"/>
                <w:sz w:val="18"/>
                <w:szCs w:val="18"/>
              </w:rPr>
            </w:pPr>
            <w:r w:rsidRPr="00144275">
              <w:rPr>
                <w:rFonts w:ascii="Times New Roman" w:eastAsia="Times New Roman" w:hAnsi="Times New Roman"/>
                <w:color w:val="000000"/>
                <w:sz w:val="18"/>
                <w:szCs w:val="18"/>
              </w:rPr>
              <w:t>1,885</w:t>
            </w:r>
          </w:p>
        </w:tc>
        <w:tc>
          <w:tcPr>
            <w:tcW w:w="720" w:type="dxa"/>
            <w:tcBorders>
              <w:top w:val="nil"/>
              <w:left w:val="nil"/>
              <w:bottom w:val="single" w:sz="4" w:space="0" w:color="auto"/>
              <w:right w:val="single" w:sz="4" w:space="0" w:color="auto"/>
            </w:tcBorders>
            <w:shd w:val="clear" w:color="auto" w:fill="auto"/>
            <w:vAlign w:val="bottom"/>
            <w:hideMark/>
          </w:tcPr>
          <w:p w:rsidR="00144275" w:rsidRPr="00144275" w:rsidRDefault="00144275" w:rsidP="005F0246">
            <w:pPr>
              <w:jc w:val="right"/>
              <w:rPr>
                <w:rFonts w:ascii="Times New Roman" w:eastAsia="Times New Roman" w:hAnsi="Times New Roman"/>
                <w:color w:val="000000"/>
                <w:sz w:val="18"/>
                <w:szCs w:val="18"/>
              </w:rPr>
            </w:pPr>
            <w:r w:rsidRPr="00144275">
              <w:rPr>
                <w:rFonts w:ascii="Times New Roman" w:eastAsia="Times New Roman" w:hAnsi="Times New Roman"/>
                <w:color w:val="000000"/>
                <w:sz w:val="18"/>
                <w:szCs w:val="18"/>
              </w:rPr>
              <w:t>1,609</w:t>
            </w:r>
          </w:p>
        </w:tc>
        <w:tc>
          <w:tcPr>
            <w:tcW w:w="630" w:type="dxa"/>
            <w:tcBorders>
              <w:top w:val="nil"/>
              <w:left w:val="nil"/>
              <w:bottom w:val="single" w:sz="4" w:space="0" w:color="auto"/>
              <w:right w:val="single" w:sz="4" w:space="0" w:color="auto"/>
            </w:tcBorders>
            <w:shd w:val="clear" w:color="auto" w:fill="auto"/>
            <w:vAlign w:val="bottom"/>
            <w:hideMark/>
          </w:tcPr>
          <w:p w:rsidR="00144275" w:rsidRPr="00144275" w:rsidRDefault="00144275" w:rsidP="005F0246">
            <w:pPr>
              <w:jc w:val="right"/>
              <w:rPr>
                <w:rFonts w:ascii="Times New Roman" w:eastAsia="Times New Roman" w:hAnsi="Times New Roman"/>
                <w:color w:val="000000"/>
                <w:sz w:val="18"/>
                <w:szCs w:val="18"/>
              </w:rPr>
            </w:pPr>
            <w:r w:rsidRPr="00144275">
              <w:rPr>
                <w:rFonts w:ascii="Times New Roman" w:eastAsia="Times New Roman" w:hAnsi="Times New Roman"/>
                <w:color w:val="000000"/>
                <w:sz w:val="18"/>
                <w:szCs w:val="18"/>
              </w:rPr>
              <w:t>1,288</w:t>
            </w:r>
          </w:p>
        </w:tc>
        <w:tc>
          <w:tcPr>
            <w:tcW w:w="720" w:type="dxa"/>
            <w:tcBorders>
              <w:top w:val="nil"/>
              <w:left w:val="nil"/>
              <w:bottom w:val="single" w:sz="4" w:space="0" w:color="auto"/>
              <w:right w:val="single" w:sz="4" w:space="0" w:color="auto"/>
            </w:tcBorders>
            <w:shd w:val="clear" w:color="auto" w:fill="auto"/>
            <w:vAlign w:val="bottom"/>
            <w:hideMark/>
          </w:tcPr>
          <w:p w:rsidR="00144275" w:rsidRPr="00144275" w:rsidRDefault="00144275" w:rsidP="005F0246">
            <w:pPr>
              <w:jc w:val="right"/>
              <w:rPr>
                <w:rFonts w:ascii="Times New Roman" w:eastAsia="Times New Roman" w:hAnsi="Times New Roman"/>
                <w:color w:val="000000"/>
                <w:sz w:val="18"/>
                <w:szCs w:val="18"/>
              </w:rPr>
            </w:pPr>
            <w:r w:rsidRPr="00144275">
              <w:rPr>
                <w:rFonts w:ascii="Times New Roman" w:eastAsia="Times New Roman" w:hAnsi="Times New Roman"/>
                <w:color w:val="000000"/>
                <w:sz w:val="18"/>
                <w:szCs w:val="18"/>
              </w:rPr>
              <w:t>947</w:t>
            </w:r>
          </w:p>
        </w:tc>
        <w:tc>
          <w:tcPr>
            <w:tcW w:w="630" w:type="dxa"/>
            <w:tcBorders>
              <w:top w:val="nil"/>
              <w:left w:val="nil"/>
              <w:bottom w:val="single" w:sz="4" w:space="0" w:color="auto"/>
              <w:right w:val="single" w:sz="4" w:space="0" w:color="auto"/>
            </w:tcBorders>
            <w:shd w:val="clear" w:color="auto" w:fill="auto"/>
            <w:vAlign w:val="bottom"/>
            <w:hideMark/>
          </w:tcPr>
          <w:p w:rsidR="00144275" w:rsidRPr="00144275" w:rsidRDefault="00144275" w:rsidP="005F0246">
            <w:pPr>
              <w:jc w:val="right"/>
              <w:rPr>
                <w:rFonts w:ascii="Times New Roman" w:eastAsia="Times New Roman" w:hAnsi="Times New Roman"/>
                <w:color w:val="000000"/>
                <w:sz w:val="18"/>
                <w:szCs w:val="18"/>
              </w:rPr>
            </w:pPr>
            <w:r w:rsidRPr="00144275">
              <w:rPr>
                <w:rFonts w:ascii="Times New Roman" w:eastAsia="Times New Roman" w:hAnsi="Times New Roman"/>
                <w:color w:val="000000"/>
                <w:sz w:val="18"/>
                <w:szCs w:val="18"/>
              </w:rPr>
              <w:t>878</w:t>
            </w:r>
          </w:p>
        </w:tc>
        <w:tc>
          <w:tcPr>
            <w:tcW w:w="630" w:type="dxa"/>
            <w:tcBorders>
              <w:top w:val="nil"/>
              <w:left w:val="nil"/>
              <w:bottom w:val="single" w:sz="4" w:space="0" w:color="auto"/>
              <w:right w:val="single" w:sz="4" w:space="0" w:color="auto"/>
            </w:tcBorders>
            <w:shd w:val="clear" w:color="auto" w:fill="auto"/>
            <w:vAlign w:val="bottom"/>
            <w:hideMark/>
          </w:tcPr>
          <w:p w:rsidR="00144275" w:rsidRPr="00144275" w:rsidRDefault="00144275" w:rsidP="005F0246">
            <w:pPr>
              <w:jc w:val="right"/>
              <w:rPr>
                <w:rFonts w:ascii="Times New Roman" w:eastAsia="Times New Roman" w:hAnsi="Times New Roman"/>
                <w:color w:val="000000"/>
                <w:sz w:val="18"/>
                <w:szCs w:val="18"/>
              </w:rPr>
            </w:pPr>
            <w:r w:rsidRPr="00144275">
              <w:rPr>
                <w:rFonts w:ascii="Times New Roman" w:eastAsia="Times New Roman" w:hAnsi="Times New Roman"/>
                <w:color w:val="000000"/>
                <w:sz w:val="18"/>
                <w:szCs w:val="18"/>
              </w:rPr>
              <w:t>955</w:t>
            </w:r>
          </w:p>
        </w:tc>
        <w:tc>
          <w:tcPr>
            <w:tcW w:w="661" w:type="dxa"/>
            <w:tcBorders>
              <w:top w:val="nil"/>
              <w:left w:val="nil"/>
              <w:bottom w:val="single" w:sz="4" w:space="0" w:color="auto"/>
              <w:right w:val="single" w:sz="4" w:space="0" w:color="auto"/>
            </w:tcBorders>
            <w:shd w:val="clear" w:color="auto" w:fill="auto"/>
            <w:vAlign w:val="bottom"/>
            <w:hideMark/>
          </w:tcPr>
          <w:p w:rsidR="00144275" w:rsidRPr="00144275" w:rsidRDefault="00144275" w:rsidP="005F0246">
            <w:pPr>
              <w:jc w:val="right"/>
              <w:rPr>
                <w:rFonts w:ascii="Times New Roman" w:eastAsia="Times New Roman" w:hAnsi="Times New Roman"/>
                <w:color w:val="000000"/>
                <w:sz w:val="18"/>
                <w:szCs w:val="18"/>
              </w:rPr>
            </w:pPr>
            <w:r w:rsidRPr="00144275">
              <w:rPr>
                <w:rFonts w:ascii="Times New Roman" w:eastAsia="Times New Roman" w:hAnsi="Times New Roman"/>
                <w:color w:val="000000"/>
                <w:sz w:val="18"/>
                <w:szCs w:val="18"/>
              </w:rPr>
              <w:t>1,093</w:t>
            </w:r>
          </w:p>
        </w:tc>
        <w:tc>
          <w:tcPr>
            <w:tcW w:w="621" w:type="dxa"/>
            <w:tcBorders>
              <w:top w:val="nil"/>
              <w:left w:val="nil"/>
              <w:bottom w:val="single" w:sz="4" w:space="0" w:color="auto"/>
              <w:right w:val="single" w:sz="4" w:space="0" w:color="auto"/>
            </w:tcBorders>
            <w:shd w:val="clear" w:color="auto" w:fill="auto"/>
            <w:vAlign w:val="bottom"/>
            <w:hideMark/>
          </w:tcPr>
          <w:p w:rsidR="00144275" w:rsidRPr="00144275" w:rsidRDefault="00144275" w:rsidP="005F0246">
            <w:pPr>
              <w:jc w:val="right"/>
              <w:rPr>
                <w:rFonts w:ascii="Times New Roman" w:eastAsia="Times New Roman" w:hAnsi="Times New Roman"/>
                <w:color w:val="000000"/>
                <w:sz w:val="18"/>
                <w:szCs w:val="18"/>
              </w:rPr>
            </w:pPr>
            <w:r w:rsidRPr="00144275">
              <w:rPr>
                <w:rFonts w:ascii="Times New Roman" w:eastAsia="Times New Roman" w:hAnsi="Times New Roman"/>
                <w:color w:val="000000"/>
                <w:sz w:val="18"/>
                <w:szCs w:val="18"/>
              </w:rPr>
              <w:t>955</w:t>
            </w:r>
          </w:p>
        </w:tc>
        <w:tc>
          <w:tcPr>
            <w:tcW w:w="621" w:type="dxa"/>
            <w:tcBorders>
              <w:top w:val="nil"/>
              <w:left w:val="nil"/>
              <w:bottom w:val="single" w:sz="4" w:space="0" w:color="auto"/>
              <w:right w:val="single" w:sz="4" w:space="0" w:color="auto"/>
            </w:tcBorders>
            <w:shd w:val="clear" w:color="auto" w:fill="auto"/>
            <w:vAlign w:val="bottom"/>
            <w:hideMark/>
          </w:tcPr>
          <w:p w:rsidR="00144275" w:rsidRPr="00144275" w:rsidRDefault="00144275" w:rsidP="005F0246">
            <w:pPr>
              <w:jc w:val="right"/>
              <w:rPr>
                <w:rFonts w:ascii="Times New Roman" w:eastAsia="Times New Roman" w:hAnsi="Times New Roman"/>
                <w:color w:val="000000"/>
                <w:sz w:val="18"/>
                <w:szCs w:val="18"/>
              </w:rPr>
            </w:pPr>
            <w:r w:rsidRPr="00144275">
              <w:rPr>
                <w:rFonts w:ascii="Times New Roman" w:eastAsia="Times New Roman" w:hAnsi="Times New Roman"/>
                <w:color w:val="000000"/>
                <w:sz w:val="18"/>
                <w:szCs w:val="18"/>
              </w:rPr>
              <w:t>884</w:t>
            </w:r>
          </w:p>
        </w:tc>
        <w:tc>
          <w:tcPr>
            <w:tcW w:w="707" w:type="dxa"/>
            <w:tcBorders>
              <w:top w:val="nil"/>
              <w:left w:val="nil"/>
              <w:bottom w:val="single" w:sz="4" w:space="0" w:color="auto"/>
              <w:right w:val="single" w:sz="4" w:space="0" w:color="auto"/>
            </w:tcBorders>
            <w:shd w:val="clear" w:color="auto" w:fill="auto"/>
            <w:vAlign w:val="bottom"/>
            <w:hideMark/>
          </w:tcPr>
          <w:p w:rsidR="00144275" w:rsidRPr="00144275" w:rsidRDefault="00144275" w:rsidP="005F0246">
            <w:pPr>
              <w:jc w:val="right"/>
              <w:rPr>
                <w:rFonts w:ascii="Times New Roman" w:eastAsia="Times New Roman" w:hAnsi="Times New Roman"/>
                <w:color w:val="000000"/>
                <w:sz w:val="18"/>
                <w:szCs w:val="18"/>
              </w:rPr>
            </w:pPr>
            <w:r w:rsidRPr="00144275">
              <w:rPr>
                <w:rFonts w:ascii="Times New Roman" w:eastAsia="Times New Roman" w:hAnsi="Times New Roman"/>
                <w:color w:val="000000"/>
                <w:sz w:val="18"/>
                <w:szCs w:val="18"/>
              </w:rPr>
              <w:t>1,250</w:t>
            </w:r>
          </w:p>
        </w:tc>
        <w:tc>
          <w:tcPr>
            <w:tcW w:w="630" w:type="dxa"/>
            <w:tcBorders>
              <w:top w:val="nil"/>
              <w:left w:val="nil"/>
              <w:bottom w:val="single" w:sz="4" w:space="0" w:color="auto"/>
              <w:right w:val="single" w:sz="4" w:space="0" w:color="auto"/>
            </w:tcBorders>
            <w:shd w:val="clear" w:color="auto" w:fill="auto"/>
            <w:vAlign w:val="bottom"/>
            <w:hideMark/>
          </w:tcPr>
          <w:p w:rsidR="00144275" w:rsidRPr="00144275" w:rsidRDefault="00144275" w:rsidP="005F0246">
            <w:pPr>
              <w:jc w:val="right"/>
              <w:rPr>
                <w:rFonts w:ascii="Times New Roman" w:eastAsia="Times New Roman" w:hAnsi="Times New Roman"/>
                <w:color w:val="000000"/>
                <w:sz w:val="18"/>
                <w:szCs w:val="18"/>
              </w:rPr>
            </w:pPr>
            <w:r w:rsidRPr="00144275">
              <w:rPr>
                <w:rFonts w:ascii="Times New Roman" w:eastAsia="Times New Roman" w:hAnsi="Times New Roman"/>
                <w:color w:val="000000"/>
                <w:sz w:val="18"/>
                <w:szCs w:val="18"/>
              </w:rPr>
              <w:t>1,817</w:t>
            </w:r>
          </w:p>
        </w:tc>
      </w:tr>
      <w:tr w:rsidR="00653B98" w:rsidRPr="00011B74" w:rsidTr="00653B98">
        <w:trPr>
          <w:trHeight w:val="300"/>
        </w:trPr>
        <w:tc>
          <w:tcPr>
            <w:tcW w:w="651" w:type="dxa"/>
            <w:tcBorders>
              <w:top w:val="nil"/>
              <w:left w:val="single" w:sz="4" w:space="0" w:color="auto"/>
              <w:bottom w:val="single" w:sz="4" w:space="0" w:color="auto"/>
              <w:right w:val="single" w:sz="4" w:space="0" w:color="auto"/>
            </w:tcBorders>
            <w:shd w:val="clear" w:color="000000" w:fill="BFBFBF"/>
            <w:vAlign w:val="bottom"/>
            <w:hideMark/>
          </w:tcPr>
          <w:p w:rsidR="00144275" w:rsidRPr="00144275" w:rsidRDefault="00144275" w:rsidP="005F0246">
            <w:pPr>
              <w:jc w:val="center"/>
              <w:rPr>
                <w:rFonts w:ascii="Times New Roman" w:eastAsia="Times New Roman" w:hAnsi="Times New Roman"/>
                <w:color w:val="000000"/>
                <w:sz w:val="18"/>
                <w:szCs w:val="18"/>
              </w:rPr>
            </w:pPr>
            <w:r w:rsidRPr="00144275">
              <w:rPr>
                <w:rFonts w:ascii="Times New Roman" w:eastAsia="Times New Roman" w:hAnsi="Times New Roman"/>
                <w:color w:val="000000"/>
                <w:sz w:val="18"/>
                <w:szCs w:val="18"/>
              </w:rPr>
              <w:t>2013</w:t>
            </w:r>
          </w:p>
        </w:tc>
        <w:tc>
          <w:tcPr>
            <w:tcW w:w="621" w:type="dxa"/>
            <w:tcBorders>
              <w:top w:val="nil"/>
              <w:left w:val="nil"/>
              <w:bottom w:val="single" w:sz="4" w:space="0" w:color="auto"/>
              <w:right w:val="single" w:sz="4" w:space="0" w:color="auto"/>
            </w:tcBorders>
            <w:shd w:val="clear" w:color="auto" w:fill="auto"/>
            <w:vAlign w:val="bottom"/>
            <w:hideMark/>
          </w:tcPr>
          <w:p w:rsidR="00144275" w:rsidRPr="00144275" w:rsidRDefault="00144275" w:rsidP="005F0246">
            <w:pPr>
              <w:jc w:val="right"/>
              <w:rPr>
                <w:rFonts w:ascii="Times New Roman" w:eastAsia="Times New Roman" w:hAnsi="Times New Roman"/>
                <w:color w:val="000000"/>
                <w:sz w:val="18"/>
                <w:szCs w:val="18"/>
              </w:rPr>
            </w:pPr>
            <w:r w:rsidRPr="00144275">
              <w:rPr>
                <w:rFonts w:ascii="Times New Roman" w:eastAsia="Times New Roman" w:hAnsi="Times New Roman"/>
                <w:color w:val="000000"/>
                <w:sz w:val="18"/>
                <w:szCs w:val="18"/>
              </w:rPr>
              <w:t>2,225</w:t>
            </w:r>
          </w:p>
        </w:tc>
        <w:tc>
          <w:tcPr>
            <w:tcW w:w="708" w:type="dxa"/>
            <w:tcBorders>
              <w:top w:val="nil"/>
              <w:left w:val="nil"/>
              <w:bottom w:val="single" w:sz="4" w:space="0" w:color="auto"/>
              <w:right w:val="single" w:sz="4" w:space="0" w:color="auto"/>
            </w:tcBorders>
            <w:shd w:val="clear" w:color="auto" w:fill="auto"/>
            <w:vAlign w:val="bottom"/>
            <w:hideMark/>
          </w:tcPr>
          <w:p w:rsidR="00144275" w:rsidRPr="00144275" w:rsidRDefault="00144275" w:rsidP="005F0246">
            <w:pPr>
              <w:jc w:val="right"/>
              <w:rPr>
                <w:rFonts w:ascii="Times New Roman" w:eastAsia="Times New Roman" w:hAnsi="Times New Roman"/>
                <w:color w:val="000000"/>
                <w:sz w:val="18"/>
                <w:szCs w:val="18"/>
              </w:rPr>
            </w:pPr>
            <w:r w:rsidRPr="00144275">
              <w:rPr>
                <w:rFonts w:ascii="Times New Roman" w:eastAsia="Times New Roman" w:hAnsi="Times New Roman"/>
                <w:color w:val="000000"/>
                <w:sz w:val="18"/>
                <w:szCs w:val="18"/>
              </w:rPr>
              <w:t>1,903</w:t>
            </w:r>
          </w:p>
        </w:tc>
        <w:tc>
          <w:tcPr>
            <w:tcW w:w="720" w:type="dxa"/>
            <w:tcBorders>
              <w:top w:val="nil"/>
              <w:left w:val="nil"/>
              <w:bottom w:val="single" w:sz="4" w:space="0" w:color="auto"/>
              <w:right w:val="single" w:sz="4" w:space="0" w:color="auto"/>
            </w:tcBorders>
            <w:shd w:val="clear" w:color="auto" w:fill="auto"/>
            <w:vAlign w:val="bottom"/>
            <w:hideMark/>
          </w:tcPr>
          <w:p w:rsidR="00144275" w:rsidRPr="00144275" w:rsidRDefault="00144275" w:rsidP="005F0246">
            <w:pPr>
              <w:jc w:val="right"/>
              <w:rPr>
                <w:rFonts w:ascii="Times New Roman" w:eastAsia="Times New Roman" w:hAnsi="Times New Roman"/>
                <w:color w:val="000000"/>
                <w:sz w:val="18"/>
                <w:szCs w:val="18"/>
              </w:rPr>
            </w:pPr>
            <w:r w:rsidRPr="00144275">
              <w:rPr>
                <w:rFonts w:ascii="Times New Roman" w:eastAsia="Times New Roman" w:hAnsi="Times New Roman"/>
                <w:color w:val="000000"/>
                <w:sz w:val="18"/>
                <w:szCs w:val="18"/>
              </w:rPr>
              <w:t>1,540</w:t>
            </w:r>
          </w:p>
        </w:tc>
        <w:tc>
          <w:tcPr>
            <w:tcW w:w="630" w:type="dxa"/>
            <w:tcBorders>
              <w:top w:val="nil"/>
              <w:left w:val="nil"/>
              <w:bottom w:val="single" w:sz="4" w:space="0" w:color="auto"/>
              <w:right w:val="single" w:sz="4" w:space="0" w:color="auto"/>
            </w:tcBorders>
            <w:shd w:val="clear" w:color="auto" w:fill="auto"/>
            <w:vAlign w:val="bottom"/>
            <w:hideMark/>
          </w:tcPr>
          <w:p w:rsidR="00144275" w:rsidRPr="00144275" w:rsidRDefault="00144275" w:rsidP="005F0246">
            <w:pPr>
              <w:jc w:val="right"/>
              <w:rPr>
                <w:rFonts w:ascii="Times New Roman" w:eastAsia="Times New Roman" w:hAnsi="Times New Roman"/>
                <w:color w:val="000000"/>
                <w:sz w:val="18"/>
                <w:szCs w:val="18"/>
              </w:rPr>
            </w:pPr>
            <w:r w:rsidRPr="00144275">
              <w:rPr>
                <w:rFonts w:ascii="Times New Roman" w:eastAsia="Times New Roman" w:hAnsi="Times New Roman"/>
                <w:color w:val="000000"/>
                <w:sz w:val="18"/>
                <w:szCs w:val="18"/>
              </w:rPr>
              <w:t>1,180</w:t>
            </w:r>
          </w:p>
        </w:tc>
        <w:tc>
          <w:tcPr>
            <w:tcW w:w="720" w:type="dxa"/>
            <w:tcBorders>
              <w:top w:val="nil"/>
              <w:left w:val="nil"/>
              <w:bottom w:val="single" w:sz="4" w:space="0" w:color="auto"/>
              <w:right w:val="single" w:sz="4" w:space="0" w:color="auto"/>
            </w:tcBorders>
            <w:shd w:val="clear" w:color="auto" w:fill="auto"/>
            <w:vAlign w:val="bottom"/>
            <w:hideMark/>
          </w:tcPr>
          <w:p w:rsidR="00144275" w:rsidRPr="00144275" w:rsidRDefault="00144275" w:rsidP="005F0246">
            <w:pPr>
              <w:jc w:val="right"/>
              <w:rPr>
                <w:rFonts w:ascii="Times New Roman" w:eastAsia="Times New Roman" w:hAnsi="Times New Roman"/>
                <w:color w:val="000000"/>
                <w:sz w:val="18"/>
                <w:szCs w:val="18"/>
              </w:rPr>
            </w:pPr>
            <w:r w:rsidRPr="00144275">
              <w:rPr>
                <w:rFonts w:ascii="Times New Roman" w:eastAsia="Times New Roman" w:hAnsi="Times New Roman"/>
                <w:color w:val="000000"/>
                <w:sz w:val="18"/>
                <w:szCs w:val="18"/>
              </w:rPr>
              <w:t>977</w:t>
            </w:r>
          </w:p>
        </w:tc>
        <w:tc>
          <w:tcPr>
            <w:tcW w:w="630" w:type="dxa"/>
            <w:tcBorders>
              <w:top w:val="nil"/>
              <w:left w:val="nil"/>
              <w:bottom w:val="single" w:sz="4" w:space="0" w:color="auto"/>
              <w:right w:val="single" w:sz="4" w:space="0" w:color="auto"/>
            </w:tcBorders>
            <w:shd w:val="clear" w:color="auto" w:fill="auto"/>
            <w:vAlign w:val="bottom"/>
            <w:hideMark/>
          </w:tcPr>
          <w:p w:rsidR="00144275" w:rsidRPr="00144275" w:rsidRDefault="00144275" w:rsidP="005F0246">
            <w:pPr>
              <w:jc w:val="right"/>
              <w:rPr>
                <w:rFonts w:ascii="Times New Roman" w:eastAsia="Times New Roman" w:hAnsi="Times New Roman"/>
                <w:color w:val="000000"/>
                <w:sz w:val="18"/>
                <w:szCs w:val="18"/>
              </w:rPr>
            </w:pPr>
            <w:r w:rsidRPr="00144275">
              <w:rPr>
                <w:rFonts w:ascii="Times New Roman" w:eastAsia="Times New Roman" w:hAnsi="Times New Roman"/>
                <w:color w:val="000000"/>
                <w:sz w:val="18"/>
                <w:szCs w:val="18"/>
              </w:rPr>
              <w:t>885</w:t>
            </w:r>
          </w:p>
        </w:tc>
        <w:tc>
          <w:tcPr>
            <w:tcW w:w="630" w:type="dxa"/>
            <w:tcBorders>
              <w:top w:val="nil"/>
              <w:left w:val="nil"/>
              <w:bottom w:val="single" w:sz="4" w:space="0" w:color="auto"/>
              <w:right w:val="single" w:sz="4" w:space="0" w:color="auto"/>
            </w:tcBorders>
            <w:shd w:val="clear" w:color="auto" w:fill="auto"/>
            <w:vAlign w:val="bottom"/>
            <w:hideMark/>
          </w:tcPr>
          <w:p w:rsidR="00144275" w:rsidRPr="00144275" w:rsidRDefault="00144275" w:rsidP="005F0246">
            <w:pPr>
              <w:jc w:val="right"/>
              <w:rPr>
                <w:rFonts w:ascii="Times New Roman" w:eastAsia="Times New Roman" w:hAnsi="Times New Roman"/>
                <w:color w:val="000000"/>
                <w:sz w:val="18"/>
                <w:szCs w:val="18"/>
              </w:rPr>
            </w:pPr>
            <w:r w:rsidRPr="00144275">
              <w:rPr>
                <w:rFonts w:ascii="Times New Roman" w:eastAsia="Times New Roman" w:hAnsi="Times New Roman"/>
                <w:color w:val="000000"/>
                <w:sz w:val="18"/>
                <w:szCs w:val="18"/>
              </w:rPr>
              <w:t>1,002</w:t>
            </w:r>
          </w:p>
        </w:tc>
        <w:tc>
          <w:tcPr>
            <w:tcW w:w="661" w:type="dxa"/>
            <w:tcBorders>
              <w:top w:val="nil"/>
              <w:left w:val="nil"/>
              <w:bottom w:val="single" w:sz="4" w:space="0" w:color="auto"/>
              <w:right w:val="single" w:sz="4" w:space="0" w:color="auto"/>
            </w:tcBorders>
            <w:shd w:val="clear" w:color="auto" w:fill="auto"/>
            <w:vAlign w:val="bottom"/>
            <w:hideMark/>
          </w:tcPr>
          <w:p w:rsidR="00144275" w:rsidRPr="00144275" w:rsidRDefault="00144275" w:rsidP="005F0246">
            <w:pPr>
              <w:jc w:val="right"/>
              <w:rPr>
                <w:rFonts w:ascii="Times New Roman" w:eastAsia="Times New Roman" w:hAnsi="Times New Roman"/>
                <w:color w:val="000000"/>
                <w:sz w:val="18"/>
                <w:szCs w:val="18"/>
              </w:rPr>
            </w:pPr>
            <w:r w:rsidRPr="00144275">
              <w:rPr>
                <w:rFonts w:ascii="Times New Roman" w:eastAsia="Times New Roman" w:hAnsi="Times New Roman"/>
                <w:color w:val="000000"/>
                <w:sz w:val="18"/>
                <w:szCs w:val="18"/>
              </w:rPr>
              <w:t>1,109</w:t>
            </w:r>
          </w:p>
        </w:tc>
        <w:tc>
          <w:tcPr>
            <w:tcW w:w="621" w:type="dxa"/>
            <w:tcBorders>
              <w:top w:val="nil"/>
              <w:left w:val="nil"/>
              <w:bottom w:val="single" w:sz="4" w:space="0" w:color="auto"/>
              <w:right w:val="single" w:sz="4" w:space="0" w:color="auto"/>
            </w:tcBorders>
            <w:shd w:val="clear" w:color="auto" w:fill="auto"/>
            <w:vAlign w:val="bottom"/>
            <w:hideMark/>
          </w:tcPr>
          <w:p w:rsidR="00144275" w:rsidRPr="00144275" w:rsidRDefault="00144275" w:rsidP="005F0246">
            <w:pPr>
              <w:jc w:val="right"/>
              <w:rPr>
                <w:rFonts w:ascii="Times New Roman" w:eastAsia="Times New Roman" w:hAnsi="Times New Roman"/>
                <w:color w:val="000000"/>
                <w:sz w:val="18"/>
                <w:szCs w:val="18"/>
              </w:rPr>
            </w:pPr>
            <w:r w:rsidRPr="00144275">
              <w:rPr>
                <w:rFonts w:ascii="Times New Roman" w:eastAsia="Times New Roman" w:hAnsi="Times New Roman"/>
                <w:color w:val="000000"/>
                <w:sz w:val="18"/>
                <w:szCs w:val="18"/>
              </w:rPr>
              <w:t>999</w:t>
            </w:r>
          </w:p>
        </w:tc>
        <w:tc>
          <w:tcPr>
            <w:tcW w:w="621" w:type="dxa"/>
            <w:tcBorders>
              <w:top w:val="nil"/>
              <w:left w:val="nil"/>
              <w:bottom w:val="single" w:sz="4" w:space="0" w:color="auto"/>
              <w:right w:val="single" w:sz="4" w:space="0" w:color="auto"/>
            </w:tcBorders>
            <w:shd w:val="clear" w:color="auto" w:fill="auto"/>
            <w:vAlign w:val="bottom"/>
            <w:hideMark/>
          </w:tcPr>
          <w:p w:rsidR="00144275" w:rsidRPr="00144275" w:rsidRDefault="00144275" w:rsidP="005F0246">
            <w:pPr>
              <w:jc w:val="right"/>
              <w:rPr>
                <w:rFonts w:ascii="Times New Roman" w:eastAsia="Times New Roman" w:hAnsi="Times New Roman"/>
                <w:color w:val="000000"/>
                <w:sz w:val="18"/>
                <w:szCs w:val="18"/>
              </w:rPr>
            </w:pPr>
            <w:r w:rsidRPr="00144275">
              <w:rPr>
                <w:rFonts w:ascii="Times New Roman" w:eastAsia="Times New Roman" w:hAnsi="Times New Roman"/>
                <w:color w:val="000000"/>
                <w:sz w:val="18"/>
                <w:szCs w:val="18"/>
              </w:rPr>
              <w:t>930</w:t>
            </w:r>
          </w:p>
        </w:tc>
        <w:tc>
          <w:tcPr>
            <w:tcW w:w="707" w:type="dxa"/>
            <w:tcBorders>
              <w:top w:val="nil"/>
              <w:left w:val="nil"/>
              <w:bottom w:val="single" w:sz="4" w:space="0" w:color="auto"/>
              <w:right w:val="single" w:sz="4" w:space="0" w:color="auto"/>
            </w:tcBorders>
            <w:shd w:val="clear" w:color="auto" w:fill="auto"/>
            <w:vAlign w:val="bottom"/>
            <w:hideMark/>
          </w:tcPr>
          <w:p w:rsidR="00144275" w:rsidRPr="00144275" w:rsidRDefault="00144275" w:rsidP="005F0246">
            <w:pPr>
              <w:jc w:val="right"/>
              <w:rPr>
                <w:rFonts w:ascii="Times New Roman" w:eastAsia="Times New Roman" w:hAnsi="Times New Roman"/>
                <w:color w:val="000000"/>
                <w:sz w:val="18"/>
                <w:szCs w:val="18"/>
              </w:rPr>
            </w:pPr>
            <w:r w:rsidRPr="00144275">
              <w:rPr>
                <w:rFonts w:ascii="Times New Roman" w:eastAsia="Times New Roman" w:hAnsi="Times New Roman"/>
                <w:color w:val="000000"/>
                <w:sz w:val="18"/>
                <w:szCs w:val="18"/>
              </w:rPr>
              <w:t>1,234</w:t>
            </w:r>
          </w:p>
        </w:tc>
        <w:tc>
          <w:tcPr>
            <w:tcW w:w="630" w:type="dxa"/>
            <w:tcBorders>
              <w:top w:val="nil"/>
              <w:left w:val="nil"/>
              <w:bottom w:val="single" w:sz="4" w:space="0" w:color="auto"/>
              <w:right w:val="single" w:sz="4" w:space="0" w:color="auto"/>
            </w:tcBorders>
            <w:shd w:val="clear" w:color="auto" w:fill="auto"/>
            <w:vAlign w:val="bottom"/>
            <w:hideMark/>
          </w:tcPr>
          <w:p w:rsidR="00144275" w:rsidRPr="00144275" w:rsidRDefault="00144275" w:rsidP="005F0246">
            <w:pPr>
              <w:jc w:val="right"/>
              <w:rPr>
                <w:rFonts w:ascii="Times New Roman" w:eastAsia="Times New Roman" w:hAnsi="Times New Roman"/>
                <w:color w:val="000000"/>
                <w:sz w:val="18"/>
                <w:szCs w:val="18"/>
              </w:rPr>
            </w:pPr>
            <w:r w:rsidRPr="00144275">
              <w:rPr>
                <w:rFonts w:ascii="Times New Roman" w:eastAsia="Times New Roman" w:hAnsi="Times New Roman"/>
                <w:color w:val="000000"/>
                <w:sz w:val="18"/>
                <w:szCs w:val="18"/>
              </w:rPr>
              <w:t>2,180</w:t>
            </w:r>
          </w:p>
        </w:tc>
      </w:tr>
      <w:tr w:rsidR="00653B98" w:rsidRPr="00011B74" w:rsidTr="00653B98">
        <w:trPr>
          <w:trHeight w:val="300"/>
        </w:trPr>
        <w:tc>
          <w:tcPr>
            <w:tcW w:w="651" w:type="dxa"/>
            <w:tcBorders>
              <w:top w:val="nil"/>
              <w:left w:val="single" w:sz="4" w:space="0" w:color="auto"/>
              <w:bottom w:val="single" w:sz="4" w:space="0" w:color="auto"/>
              <w:right w:val="single" w:sz="4" w:space="0" w:color="auto"/>
            </w:tcBorders>
            <w:shd w:val="clear" w:color="000000" w:fill="BFBFBF"/>
            <w:vAlign w:val="bottom"/>
            <w:hideMark/>
          </w:tcPr>
          <w:p w:rsidR="00144275" w:rsidRPr="00144275" w:rsidRDefault="00144275" w:rsidP="005F0246">
            <w:pPr>
              <w:jc w:val="center"/>
              <w:rPr>
                <w:rFonts w:ascii="Times New Roman" w:eastAsia="Times New Roman" w:hAnsi="Times New Roman"/>
                <w:color w:val="000000"/>
                <w:sz w:val="18"/>
                <w:szCs w:val="18"/>
              </w:rPr>
            </w:pPr>
            <w:r w:rsidRPr="00144275">
              <w:rPr>
                <w:rFonts w:ascii="Times New Roman" w:eastAsia="Times New Roman" w:hAnsi="Times New Roman"/>
                <w:color w:val="000000"/>
                <w:sz w:val="18"/>
                <w:szCs w:val="18"/>
              </w:rPr>
              <w:t>2014</w:t>
            </w:r>
          </w:p>
        </w:tc>
        <w:tc>
          <w:tcPr>
            <w:tcW w:w="621" w:type="dxa"/>
            <w:tcBorders>
              <w:top w:val="nil"/>
              <w:left w:val="nil"/>
              <w:bottom w:val="single" w:sz="4" w:space="0" w:color="auto"/>
              <w:right w:val="single" w:sz="4" w:space="0" w:color="auto"/>
            </w:tcBorders>
            <w:shd w:val="clear" w:color="auto" w:fill="auto"/>
            <w:vAlign w:val="bottom"/>
            <w:hideMark/>
          </w:tcPr>
          <w:p w:rsidR="00144275" w:rsidRPr="00144275" w:rsidRDefault="00144275" w:rsidP="005F0246">
            <w:pPr>
              <w:jc w:val="right"/>
              <w:rPr>
                <w:rFonts w:ascii="Times New Roman" w:eastAsia="Times New Roman" w:hAnsi="Times New Roman"/>
                <w:color w:val="000000"/>
                <w:sz w:val="18"/>
                <w:szCs w:val="18"/>
              </w:rPr>
            </w:pPr>
            <w:r w:rsidRPr="00144275">
              <w:rPr>
                <w:rFonts w:ascii="Times New Roman" w:eastAsia="Times New Roman" w:hAnsi="Times New Roman"/>
                <w:color w:val="000000"/>
                <w:sz w:val="18"/>
                <w:szCs w:val="18"/>
              </w:rPr>
              <w:t>2,230</w:t>
            </w:r>
          </w:p>
        </w:tc>
        <w:tc>
          <w:tcPr>
            <w:tcW w:w="708" w:type="dxa"/>
            <w:tcBorders>
              <w:top w:val="nil"/>
              <w:left w:val="nil"/>
              <w:bottom w:val="single" w:sz="4" w:space="0" w:color="auto"/>
              <w:right w:val="single" w:sz="4" w:space="0" w:color="auto"/>
            </w:tcBorders>
            <w:shd w:val="clear" w:color="auto" w:fill="auto"/>
            <w:vAlign w:val="bottom"/>
            <w:hideMark/>
          </w:tcPr>
          <w:p w:rsidR="00144275" w:rsidRPr="00144275" w:rsidRDefault="00144275" w:rsidP="005F0246">
            <w:pPr>
              <w:jc w:val="right"/>
              <w:rPr>
                <w:rFonts w:ascii="Times New Roman" w:eastAsia="Times New Roman" w:hAnsi="Times New Roman"/>
                <w:color w:val="000000"/>
                <w:sz w:val="18"/>
                <w:szCs w:val="18"/>
              </w:rPr>
            </w:pPr>
            <w:r w:rsidRPr="00144275">
              <w:rPr>
                <w:rFonts w:ascii="Times New Roman" w:eastAsia="Times New Roman" w:hAnsi="Times New Roman"/>
                <w:color w:val="000000"/>
                <w:sz w:val="18"/>
                <w:szCs w:val="18"/>
              </w:rPr>
              <w:t>1,978</w:t>
            </w:r>
          </w:p>
        </w:tc>
        <w:tc>
          <w:tcPr>
            <w:tcW w:w="720" w:type="dxa"/>
            <w:tcBorders>
              <w:top w:val="nil"/>
              <w:left w:val="nil"/>
              <w:bottom w:val="single" w:sz="4" w:space="0" w:color="auto"/>
              <w:right w:val="single" w:sz="4" w:space="0" w:color="auto"/>
            </w:tcBorders>
            <w:shd w:val="clear" w:color="auto" w:fill="auto"/>
            <w:vAlign w:val="bottom"/>
            <w:hideMark/>
          </w:tcPr>
          <w:p w:rsidR="00144275" w:rsidRPr="00144275" w:rsidRDefault="00144275" w:rsidP="005F0246">
            <w:pPr>
              <w:jc w:val="right"/>
              <w:rPr>
                <w:rFonts w:ascii="Times New Roman" w:eastAsia="Times New Roman" w:hAnsi="Times New Roman"/>
                <w:color w:val="000000"/>
                <w:sz w:val="18"/>
                <w:szCs w:val="18"/>
              </w:rPr>
            </w:pPr>
            <w:r w:rsidRPr="00144275">
              <w:rPr>
                <w:rFonts w:ascii="Times New Roman" w:eastAsia="Times New Roman" w:hAnsi="Times New Roman"/>
                <w:color w:val="000000"/>
                <w:sz w:val="18"/>
                <w:szCs w:val="18"/>
              </w:rPr>
              <w:t>1,609</w:t>
            </w:r>
          </w:p>
        </w:tc>
        <w:tc>
          <w:tcPr>
            <w:tcW w:w="630" w:type="dxa"/>
            <w:tcBorders>
              <w:top w:val="nil"/>
              <w:left w:val="nil"/>
              <w:bottom w:val="single" w:sz="4" w:space="0" w:color="auto"/>
              <w:right w:val="single" w:sz="4" w:space="0" w:color="auto"/>
            </w:tcBorders>
            <w:shd w:val="clear" w:color="auto" w:fill="auto"/>
            <w:vAlign w:val="bottom"/>
            <w:hideMark/>
          </w:tcPr>
          <w:p w:rsidR="00144275" w:rsidRPr="00144275" w:rsidRDefault="00144275" w:rsidP="005F0246">
            <w:pPr>
              <w:jc w:val="right"/>
              <w:rPr>
                <w:rFonts w:ascii="Times New Roman" w:eastAsia="Times New Roman" w:hAnsi="Times New Roman"/>
                <w:color w:val="000000"/>
                <w:sz w:val="18"/>
                <w:szCs w:val="18"/>
              </w:rPr>
            </w:pPr>
            <w:r w:rsidRPr="00144275">
              <w:rPr>
                <w:rFonts w:ascii="Times New Roman" w:eastAsia="Times New Roman" w:hAnsi="Times New Roman"/>
                <w:color w:val="000000"/>
                <w:sz w:val="18"/>
                <w:szCs w:val="18"/>
              </w:rPr>
              <w:t>1,097</w:t>
            </w:r>
          </w:p>
        </w:tc>
        <w:tc>
          <w:tcPr>
            <w:tcW w:w="720" w:type="dxa"/>
            <w:tcBorders>
              <w:top w:val="nil"/>
              <w:left w:val="nil"/>
              <w:bottom w:val="nil"/>
              <w:right w:val="nil"/>
            </w:tcBorders>
            <w:shd w:val="clear" w:color="auto" w:fill="auto"/>
            <w:noWrap/>
            <w:vAlign w:val="bottom"/>
            <w:hideMark/>
          </w:tcPr>
          <w:p w:rsidR="00144275" w:rsidRPr="00144275" w:rsidRDefault="00144275" w:rsidP="005F0246">
            <w:pPr>
              <w:rPr>
                <w:rFonts w:ascii="Times New Roman" w:eastAsia="Times New Roman" w:hAnsi="Times New Roman"/>
                <w:color w:val="000000"/>
                <w:sz w:val="18"/>
                <w:szCs w:val="18"/>
              </w:rPr>
            </w:pPr>
          </w:p>
        </w:tc>
        <w:tc>
          <w:tcPr>
            <w:tcW w:w="630" w:type="dxa"/>
            <w:tcBorders>
              <w:top w:val="nil"/>
              <w:left w:val="nil"/>
              <w:bottom w:val="nil"/>
              <w:right w:val="nil"/>
            </w:tcBorders>
            <w:shd w:val="clear" w:color="auto" w:fill="auto"/>
            <w:noWrap/>
            <w:vAlign w:val="bottom"/>
            <w:hideMark/>
          </w:tcPr>
          <w:p w:rsidR="00144275" w:rsidRPr="00144275" w:rsidRDefault="00144275" w:rsidP="005F0246">
            <w:pPr>
              <w:rPr>
                <w:rFonts w:ascii="Times New Roman" w:eastAsia="Times New Roman" w:hAnsi="Times New Roman"/>
                <w:color w:val="000000"/>
                <w:sz w:val="18"/>
                <w:szCs w:val="18"/>
              </w:rPr>
            </w:pPr>
          </w:p>
        </w:tc>
        <w:tc>
          <w:tcPr>
            <w:tcW w:w="630" w:type="dxa"/>
            <w:tcBorders>
              <w:top w:val="nil"/>
              <w:left w:val="nil"/>
              <w:bottom w:val="nil"/>
              <w:right w:val="nil"/>
            </w:tcBorders>
            <w:shd w:val="clear" w:color="auto" w:fill="auto"/>
            <w:noWrap/>
            <w:vAlign w:val="bottom"/>
            <w:hideMark/>
          </w:tcPr>
          <w:p w:rsidR="00144275" w:rsidRPr="00144275" w:rsidRDefault="00144275" w:rsidP="005F0246">
            <w:pPr>
              <w:rPr>
                <w:rFonts w:ascii="Times New Roman" w:eastAsia="Times New Roman" w:hAnsi="Times New Roman"/>
                <w:color w:val="000000"/>
                <w:sz w:val="18"/>
                <w:szCs w:val="18"/>
              </w:rPr>
            </w:pPr>
          </w:p>
        </w:tc>
        <w:tc>
          <w:tcPr>
            <w:tcW w:w="661" w:type="dxa"/>
            <w:tcBorders>
              <w:top w:val="nil"/>
              <w:left w:val="nil"/>
              <w:bottom w:val="nil"/>
              <w:right w:val="nil"/>
            </w:tcBorders>
            <w:shd w:val="clear" w:color="auto" w:fill="auto"/>
            <w:noWrap/>
            <w:vAlign w:val="bottom"/>
            <w:hideMark/>
          </w:tcPr>
          <w:p w:rsidR="00144275" w:rsidRPr="00144275" w:rsidRDefault="00144275" w:rsidP="005F0246">
            <w:pPr>
              <w:rPr>
                <w:rFonts w:ascii="Times New Roman" w:eastAsia="Times New Roman" w:hAnsi="Times New Roman"/>
                <w:color w:val="000000"/>
                <w:sz w:val="18"/>
                <w:szCs w:val="18"/>
              </w:rPr>
            </w:pPr>
          </w:p>
        </w:tc>
        <w:tc>
          <w:tcPr>
            <w:tcW w:w="621" w:type="dxa"/>
            <w:tcBorders>
              <w:top w:val="nil"/>
              <w:left w:val="nil"/>
              <w:bottom w:val="nil"/>
              <w:right w:val="nil"/>
            </w:tcBorders>
            <w:shd w:val="clear" w:color="auto" w:fill="auto"/>
            <w:noWrap/>
            <w:vAlign w:val="bottom"/>
            <w:hideMark/>
          </w:tcPr>
          <w:p w:rsidR="00144275" w:rsidRPr="00144275" w:rsidRDefault="00144275" w:rsidP="005F0246">
            <w:pPr>
              <w:rPr>
                <w:rFonts w:ascii="Times New Roman" w:eastAsia="Times New Roman" w:hAnsi="Times New Roman"/>
                <w:color w:val="000000"/>
                <w:sz w:val="18"/>
                <w:szCs w:val="18"/>
              </w:rPr>
            </w:pPr>
          </w:p>
        </w:tc>
        <w:tc>
          <w:tcPr>
            <w:tcW w:w="621" w:type="dxa"/>
            <w:tcBorders>
              <w:top w:val="nil"/>
              <w:left w:val="nil"/>
              <w:bottom w:val="nil"/>
              <w:right w:val="nil"/>
            </w:tcBorders>
            <w:shd w:val="clear" w:color="auto" w:fill="auto"/>
            <w:noWrap/>
            <w:vAlign w:val="bottom"/>
            <w:hideMark/>
          </w:tcPr>
          <w:p w:rsidR="00144275" w:rsidRPr="00144275" w:rsidRDefault="00144275" w:rsidP="005F0246">
            <w:pPr>
              <w:rPr>
                <w:rFonts w:ascii="Times New Roman" w:eastAsia="Times New Roman" w:hAnsi="Times New Roman"/>
                <w:color w:val="000000"/>
                <w:sz w:val="18"/>
                <w:szCs w:val="18"/>
              </w:rPr>
            </w:pPr>
          </w:p>
        </w:tc>
        <w:tc>
          <w:tcPr>
            <w:tcW w:w="707" w:type="dxa"/>
            <w:tcBorders>
              <w:top w:val="nil"/>
              <w:left w:val="nil"/>
              <w:bottom w:val="nil"/>
              <w:right w:val="nil"/>
            </w:tcBorders>
            <w:shd w:val="clear" w:color="auto" w:fill="auto"/>
            <w:noWrap/>
            <w:vAlign w:val="bottom"/>
            <w:hideMark/>
          </w:tcPr>
          <w:p w:rsidR="00144275" w:rsidRPr="00144275" w:rsidRDefault="00144275" w:rsidP="005F0246">
            <w:pPr>
              <w:rPr>
                <w:rFonts w:ascii="Times New Roman" w:eastAsia="Times New Roman" w:hAnsi="Times New Roman"/>
                <w:color w:val="000000"/>
                <w:sz w:val="18"/>
                <w:szCs w:val="18"/>
              </w:rPr>
            </w:pPr>
          </w:p>
        </w:tc>
        <w:tc>
          <w:tcPr>
            <w:tcW w:w="630" w:type="dxa"/>
            <w:tcBorders>
              <w:top w:val="nil"/>
              <w:left w:val="nil"/>
              <w:bottom w:val="nil"/>
              <w:right w:val="nil"/>
            </w:tcBorders>
            <w:shd w:val="clear" w:color="auto" w:fill="auto"/>
            <w:noWrap/>
            <w:vAlign w:val="bottom"/>
            <w:hideMark/>
          </w:tcPr>
          <w:p w:rsidR="00144275" w:rsidRPr="00144275" w:rsidRDefault="00144275" w:rsidP="005F0246">
            <w:pPr>
              <w:rPr>
                <w:rFonts w:ascii="Times New Roman" w:eastAsia="Times New Roman" w:hAnsi="Times New Roman"/>
                <w:color w:val="000000"/>
                <w:sz w:val="18"/>
                <w:szCs w:val="18"/>
              </w:rPr>
            </w:pPr>
          </w:p>
        </w:tc>
      </w:tr>
    </w:tbl>
    <w:p w:rsidR="0033223F" w:rsidRDefault="0033223F" w:rsidP="00D07712">
      <w:pPr>
        <w:rPr>
          <w:rFonts w:ascii="Times New Roman" w:eastAsiaTheme="minorHAnsi" w:hAnsi="Times New Roman"/>
          <w:szCs w:val="24"/>
        </w:rPr>
      </w:pPr>
    </w:p>
    <w:p w:rsidR="00144275" w:rsidRDefault="00144275" w:rsidP="00DA2879">
      <w:pPr>
        <w:rPr>
          <w:rFonts w:ascii="Times New Roman" w:eastAsiaTheme="minorHAnsi" w:hAnsi="Times New Roman"/>
          <w:szCs w:val="24"/>
        </w:rPr>
      </w:pPr>
      <w:r w:rsidRPr="00144275">
        <w:rPr>
          <w:rFonts w:ascii="Times New Roman" w:eastAsiaTheme="minorHAnsi" w:hAnsi="Times New Roman"/>
          <w:szCs w:val="24"/>
        </w:rPr>
        <w:t xml:space="preserve">Please note that the average kWh figures on the previous table show a decrease in </w:t>
      </w:r>
      <w:r>
        <w:rPr>
          <w:rFonts w:ascii="Times New Roman" w:eastAsiaTheme="minorHAnsi" w:hAnsi="Times New Roman"/>
          <w:szCs w:val="24"/>
        </w:rPr>
        <w:t>e</w:t>
      </w:r>
      <w:r w:rsidRPr="00144275">
        <w:rPr>
          <w:rFonts w:ascii="Times New Roman" w:eastAsiaTheme="minorHAnsi" w:hAnsi="Times New Roman"/>
          <w:szCs w:val="24"/>
        </w:rPr>
        <w:t>lectricity usage over time</w:t>
      </w:r>
      <w:r w:rsidR="0008084A">
        <w:rPr>
          <w:rFonts w:ascii="Times New Roman" w:eastAsiaTheme="minorHAnsi" w:hAnsi="Times New Roman"/>
          <w:szCs w:val="24"/>
        </w:rPr>
        <w:t>,</w:t>
      </w:r>
      <w:r w:rsidRPr="00144275">
        <w:rPr>
          <w:rFonts w:ascii="Times New Roman" w:eastAsiaTheme="minorHAnsi" w:hAnsi="Times New Roman"/>
          <w:szCs w:val="24"/>
        </w:rPr>
        <w:t xml:space="preserve"> as each month average usage in 2013 is lower than in 2009.  These usage amounts are not temperature adjusted.</w:t>
      </w:r>
    </w:p>
    <w:p w:rsidR="00144275" w:rsidRDefault="00144275" w:rsidP="00D07712">
      <w:pPr>
        <w:rPr>
          <w:rFonts w:ascii="Times New Roman" w:eastAsiaTheme="minorHAnsi" w:hAnsi="Times New Roman"/>
          <w:szCs w:val="24"/>
        </w:rPr>
      </w:pPr>
    </w:p>
    <w:p w:rsidR="002642A0" w:rsidRDefault="002642A0">
      <w:pPr>
        <w:spacing w:after="200" w:line="276" w:lineRule="auto"/>
        <w:rPr>
          <w:rFonts w:ascii="Times New Roman" w:eastAsiaTheme="minorHAnsi" w:hAnsi="Times New Roman"/>
          <w:szCs w:val="24"/>
        </w:rPr>
      </w:pPr>
      <w:r>
        <w:rPr>
          <w:rFonts w:ascii="Times New Roman" w:eastAsiaTheme="minorHAnsi" w:hAnsi="Times New Roman"/>
          <w:szCs w:val="24"/>
        </w:rPr>
        <w:br w:type="page"/>
      </w:r>
    </w:p>
    <w:p w:rsidR="00144275" w:rsidRDefault="00144275" w:rsidP="00D07712">
      <w:pPr>
        <w:rPr>
          <w:rFonts w:ascii="Times New Roman" w:eastAsiaTheme="minorHAnsi" w:hAnsi="Times New Roman"/>
          <w:szCs w:val="24"/>
        </w:rPr>
      </w:pPr>
    </w:p>
    <w:p w:rsidR="00144275" w:rsidRDefault="00144275" w:rsidP="00144275">
      <w:pPr>
        <w:pStyle w:val="ListParagraph"/>
        <w:numPr>
          <w:ilvl w:val="0"/>
          <w:numId w:val="4"/>
        </w:numPr>
        <w:rPr>
          <w:rFonts w:ascii="Times New Roman" w:eastAsiaTheme="minorHAnsi" w:hAnsi="Times New Roman"/>
          <w:b/>
          <w:szCs w:val="24"/>
        </w:rPr>
      </w:pPr>
      <w:r>
        <w:rPr>
          <w:rFonts w:ascii="Times New Roman" w:eastAsiaTheme="minorHAnsi" w:hAnsi="Times New Roman"/>
          <w:b/>
          <w:szCs w:val="24"/>
        </w:rPr>
        <w:t xml:space="preserve">Disconnection ratios </w:t>
      </w:r>
      <w:r w:rsidRPr="00144275">
        <w:rPr>
          <w:rFonts w:ascii="Times New Roman" w:eastAsiaTheme="minorHAnsi" w:hAnsi="Times New Roman"/>
          <w:b/>
          <w:szCs w:val="24"/>
        </w:rPr>
        <w:t>for the past three years comparing total customer population with low-income assistance recipients.  Please indicate the percentage of disconnected low-income assistance recipients whose service was restored because of low-income programs</w:t>
      </w:r>
      <w:r>
        <w:rPr>
          <w:rFonts w:ascii="Times New Roman" w:eastAsiaTheme="minorHAnsi" w:hAnsi="Times New Roman"/>
          <w:b/>
          <w:szCs w:val="24"/>
        </w:rPr>
        <w:t>.</w:t>
      </w:r>
    </w:p>
    <w:p w:rsidR="00144275" w:rsidRDefault="00144275" w:rsidP="006F6E72">
      <w:pPr>
        <w:ind w:left="360"/>
        <w:rPr>
          <w:rFonts w:ascii="Times New Roman" w:eastAsiaTheme="minorHAnsi" w:hAnsi="Times New Roman"/>
          <w:szCs w:val="24"/>
        </w:rPr>
      </w:pPr>
    </w:p>
    <w:tbl>
      <w:tblPr>
        <w:tblStyle w:val="TableGrid"/>
        <w:tblW w:w="8478" w:type="dxa"/>
        <w:jc w:val="right"/>
        <w:tblInd w:w="720" w:type="dxa"/>
        <w:tblLayout w:type="fixed"/>
        <w:tblLook w:val="04A0" w:firstRow="1" w:lastRow="0" w:firstColumn="1" w:lastColumn="0" w:noHBand="0" w:noVBand="1"/>
      </w:tblPr>
      <w:tblGrid>
        <w:gridCol w:w="648"/>
        <w:gridCol w:w="720"/>
        <w:gridCol w:w="810"/>
        <w:gridCol w:w="720"/>
        <w:gridCol w:w="900"/>
        <w:gridCol w:w="630"/>
        <w:gridCol w:w="900"/>
        <w:gridCol w:w="720"/>
        <w:gridCol w:w="900"/>
        <w:gridCol w:w="630"/>
        <w:gridCol w:w="900"/>
      </w:tblGrid>
      <w:tr w:rsidR="006F6E72" w:rsidTr="006F6E72">
        <w:trPr>
          <w:jc w:val="right"/>
        </w:trPr>
        <w:tc>
          <w:tcPr>
            <w:tcW w:w="648" w:type="dxa"/>
            <w:vMerge w:val="restart"/>
            <w:shd w:val="clear" w:color="auto" w:fill="BFBFBF" w:themeFill="background1" w:themeFillShade="BF"/>
          </w:tcPr>
          <w:p w:rsidR="006F6E72" w:rsidRDefault="006F6E72" w:rsidP="006F6E72">
            <w:pPr>
              <w:jc w:val="center"/>
              <w:rPr>
                <w:rFonts w:ascii="Times New Roman" w:eastAsiaTheme="minorHAnsi" w:hAnsi="Times New Roman"/>
                <w:sz w:val="20"/>
              </w:rPr>
            </w:pPr>
          </w:p>
          <w:p w:rsidR="006F6E72" w:rsidRPr="002642A0" w:rsidRDefault="006F6E72" w:rsidP="006F6E72">
            <w:pPr>
              <w:jc w:val="center"/>
              <w:rPr>
                <w:rFonts w:ascii="Times New Roman" w:eastAsiaTheme="minorHAnsi" w:hAnsi="Times New Roman"/>
                <w:sz w:val="20"/>
              </w:rPr>
            </w:pPr>
            <w:r w:rsidRPr="002642A0">
              <w:rPr>
                <w:rFonts w:ascii="Times New Roman" w:eastAsiaTheme="minorHAnsi" w:hAnsi="Times New Roman"/>
                <w:sz w:val="20"/>
              </w:rPr>
              <w:t>Year</w:t>
            </w:r>
          </w:p>
        </w:tc>
        <w:tc>
          <w:tcPr>
            <w:tcW w:w="1530" w:type="dxa"/>
            <w:gridSpan w:val="2"/>
            <w:shd w:val="clear" w:color="auto" w:fill="BFBFBF" w:themeFill="background1" w:themeFillShade="BF"/>
          </w:tcPr>
          <w:p w:rsidR="006F6E72" w:rsidRDefault="006F6E72" w:rsidP="006F6E72">
            <w:pPr>
              <w:jc w:val="center"/>
              <w:rPr>
                <w:rFonts w:ascii="Times New Roman" w:eastAsiaTheme="minorHAnsi" w:hAnsi="Times New Roman"/>
                <w:sz w:val="20"/>
              </w:rPr>
            </w:pPr>
            <w:r w:rsidRPr="002642A0">
              <w:rPr>
                <w:rFonts w:ascii="Times New Roman" w:eastAsiaTheme="minorHAnsi" w:hAnsi="Times New Roman"/>
                <w:sz w:val="20"/>
              </w:rPr>
              <w:t>Residen</w:t>
            </w:r>
            <w:r>
              <w:rPr>
                <w:rFonts w:ascii="Times New Roman" w:eastAsiaTheme="minorHAnsi" w:hAnsi="Times New Roman"/>
                <w:sz w:val="20"/>
              </w:rPr>
              <w:t>tial</w:t>
            </w:r>
          </w:p>
          <w:p w:rsidR="006F6E72" w:rsidRPr="002642A0" w:rsidRDefault="006F6E72" w:rsidP="006F6E72">
            <w:pPr>
              <w:jc w:val="center"/>
              <w:rPr>
                <w:rFonts w:ascii="Times New Roman" w:eastAsiaTheme="minorHAnsi" w:hAnsi="Times New Roman"/>
                <w:sz w:val="20"/>
              </w:rPr>
            </w:pPr>
            <w:r>
              <w:rPr>
                <w:rFonts w:ascii="Times New Roman" w:eastAsiaTheme="minorHAnsi" w:hAnsi="Times New Roman"/>
                <w:sz w:val="20"/>
              </w:rPr>
              <w:t>Disconnections</w:t>
            </w:r>
          </w:p>
        </w:tc>
        <w:tc>
          <w:tcPr>
            <w:tcW w:w="1620" w:type="dxa"/>
            <w:gridSpan w:val="2"/>
            <w:shd w:val="clear" w:color="auto" w:fill="BFBFBF" w:themeFill="background1" w:themeFillShade="BF"/>
          </w:tcPr>
          <w:p w:rsidR="006F6E72" w:rsidRDefault="006F6E72" w:rsidP="006F6E72">
            <w:pPr>
              <w:jc w:val="center"/>
              <w:rPr>
                <w:rFonts w:ascii="Times New Roman" w:eastAsiaTheme="minorHAnsi" w:hAnsi="Times New Roman"/>
                <w:sz w:val="20"/>
              </w:rPr>
            </w:pPr>
            <w:r>
              <w:rPr>
                <w:rFonts w:ascii="Times New Roman" w:eastAsiaTheme="minorHAnsi" w:hAnsi="Times New Roman"/>
                <w:sz w:val="20"/>
              </w:rPr>
              <w:t>Residential</w:t>
            </w:r>
          </w:p>
          <w:p w:rsidR="006F6E72" w:rsidRPr="002642A0" w:rsidRDefault="006F6E72" w:rsidP="006F6E72">
            <w:pPr>
              <w:jc w:val="center"/>
              <w:rPr>
                <w:rFonts w:ascii="Times New Roman" w:eastAsiaTheme="minorHAnsi" w:hAnsi="Times New Roman"/>
                <w:sz w:val="20"/>
              </w:rPr>
            </w:pPr>
            <w:r>
              <w:rPr>
                <w:rFonts w:ascii="Times New Roman" w:eastAsiaTheme="minorHAnsi" w:hAnsi="Times New Roman"/>
                <w:sz w:val="20"/>
              </w:rPr>
              <w:t>Restorations</w:t>
            </w:r>
          </w:p>
        </w:tc>
        <w:tc>
          <w:tcPr>
            <w:tcW w:w="1530" w:type="dxa"/>
            <w:gridSpan w:val="2"/>
            <w:shd w:val="clear" w:color="auto" w:fill="BFBFBF" w:themeFill="background1" w:themeFillShade="BF"/>
          </w:tcPr>
          <w:p w:rsidR="006F6E72" w:rsidRPr="002642A0" w:rsidRDefault="006F6E72" w:rsidP="006F6E72">
            <w:pPr>
              <w:jc w:val="center"/>
              <w:rPr>
                <w:rFonts w:ascii="Times New Roman" w:eastAsiaTheme="minorHAnsi" w:hAnsi="Times New Roman"/>
                <w:sz w:val="20"/>
              </w:rPr>
            </w:pPr>
            <w:r w:rsidRPr="002642A0">
              <w:rPr>
                <w:rFonts w:ascii="Times New Roman" w:eastAsiaTheme="minorHAnsi" w:hAnsi="Times New Roman"/>
                <w:sz w:val="20"/>
              </w:rPr>
              <w:t>Low-Income</w:t>
            </w:r>
            <w:r w:rsidRPr="006F6E72">
              <w:rPr>
                <w:rFonts w:ascii="Times New Roman" w:eastAsiaTheme="minorHAnsi" w:hAnsi="Times New Roman"/>
                <w:sz w:val="20"/>
                <w:vertAlign w:val="superscript"/>
              </w:rPr>
              <w:t>1</w:t>
            </w:r>
          </w:p>
          <w:p w:rsidR="006F6E72" w:rsidRPr="002642A0" w:rsidRDefault="006F6E72" w:rsidP="006F6E72">
            <w:pPr>
              <w:jc w:val="center"/>
              <w:rPr>
                <w:rFonts w:ascii="Times New Roman" w:eastAsiaTheme="minorHAnsi" w:hAnsi="Times New Roman"/>
                <w:sz w:val="20"/>
              </w:rPr>
            </w:pPr>
            <w:r w:rsidRPr="002642A0">
              <w:rPr>
                <w:rFonts w:ascii="Times New Roman" w:eastAsiaTheme="minorHAnsi" w:hAnsi="Times New Roman"/>
                <w:sz w:val="20"/>
              </w:rPr>
              <w:t>Disconnections</w:t>
            </w:r>
          </w:p>
        </w:tc>
        <w:tc>
          <w:tcPr>
            <w:tcW w:w="1620" w:type="dxa"/>
            <w:gridSpan w:val="2"/>
            <w:shd w:val="clear" w:color="auto" w:fill="BFBFBF" w:themeFill="background1" w:themeFillShade="BF"/>
          </w:tcPr>
          <w:p w:rsidR="006F6E72" w:rsidRPr="006F6E72" w:rsidRDefault="006F6E72" w:rsidP="006F6E72">
            <w:pPr>
              <w:jc w:val="center"/>
              <w:rPr>
                <w:rFonts w:ascii="Times New Roman" w:eastAsiaTheme="minorHAnsi" w:hAnsi="Times New Roman"/>
                <w:sz w:val="20"/>
              </w:rPr>
            </w:pPr>
            <w:r w:rsidRPr="006F6E72">
              <w:rPr>
                <w:rFonts w:ascii="Times New Roman" w:eastAsiaTheme="minorHAnsi" w:hAnsi="Times New Roman"/>
                <w:sz w:val="20"/>
              </w:rPr>
              <w:t>Low-Inc</w:t>
            </w:r>
            <w:r w:rsidRPr="006F6E72">
              <w:rPr>
                <w:rFonts w:ascii="Times New Roman" w:eastAsiaTheme="minorHAnsi" w:hAnsi="Times New Roman"/>
                <w:sz w:val="20"/>
                <w:vertAlign w:val="superscript"/>
              </w:rPr>
              <w:t>1</w:t>
            </w:r>
            <w:r w:rsidRPr="006F6E72">
              <w:rPr>
                <w:rFonts w:ascii="Times New Roman" w:eastAsiaTheme="minorHAnsi" w:hAnsi="Times New Roman"/>
                <w:sz w:val="20"/>
              </w:rPr>
              <w:t xml:space="preserve"> Total</w:t>
            </w:r>
          </w:p>
          <w:p w:rsidR="006F6E72" w:rsidRPr="002642A0" w:rsidRDefault="006F6E72" w:rsidP="006F6E72">
            <w:pPr>
              <w:jc w:val="center"/>
              <w:rPr>
                <w:rFonts w:ascii="Times New Roman" w:eastAsiaTheme="minorHAnsi" w:hAnsi="Times New Roman"/>
                <w:sz w:val="20"/>
              </w:rPr>
            </w:pPr>
            <w:r w:rsidRPr="006F6E72">
              <w:rPr>
                <w:rFonts w:ascii="Times New Roman" w:eastAsiaTheme="minorHAnsi" w:hAnsi="Times New Roman"/>
                <w:sz w:val="20"/>
              </w:rPr>
              <w:t>Restorations</w:t>
            </w:r>
          </w:p>
        </w:tc>
        <w:tc>
          <w:tcPr>
            <w:tcW w:w="1530" w:type="dxa"/>
            <w:gridSpan w:val="2"/>
            <w:shd w:val="clear" w:color="auto" w:fill="BFBFBF" w:themeFill="background1" w:themeFillShade="BF"/>
          </w:tcPr>
          <w:p w:rsidR="006F6E72" w:rsidRPr="006F6E72" w:rsidRDefault="006F6E72" w:rsidP="006F6E72">
            <w:pPr>
              <w:jc w:val="center"/>
              <w:rPr>
                <w:rFonts w:ascii="Times New Roman" w:eastAsiaTheme="minorHAnsi" w:hAnsi="Times New Roman"/>
                <w:sz w:val="20"/>
              </w:rPr>
            </w:pPr>
            <w:r w:rsidRPr="006F6E72">
              <w:rPr>
                <w:rFonts w:ascii="Times New Roman" w:eastAsiaTheme="minorHAnsi" w:hAnsi="Times New Roman"/>
                <w:sz w:val="20"/>
              </w:rPr>
              <w:t>Low-Inc EA</w:t>
            </w:r>
            <w:r w:rsidRPr="006F6E72">
              <w:rPr>
                <w:rFonts w:ascii="Times New Roman" w:eastAsiaTheme="minorHAnsi" w:hAnsi="Times New Roman"/>
                <w:sz w:val="20"/>
                <w:vertAlign w:val="superscript"/>
              </w:rPr>
              <w:t>2</w:t>
            </w:r>
          </w:p>
          <w:p w:rsidR="006F6E72" w:rsidRPr="002642A0" w:rsidRDefault="006F6E72" w:rsidP="006F6E72">
            <w:pPr>
              <w:jc w:val="center"/>
              <w:rPr>
                <w:rFonts w:ascii="Times New Roman" w:eastAsiaTheme="minorHAnsi" w:hAnsi="Times New Roman"/>
                <w:sz w:val="20"/>
              </w:rPr>
            </w:pPr>
            <w:r w:rsidRPr="006F6E72">
              <w:rPr>
                <w:rFonts w:ascii="Times New Roman" w:eastAsiaTheme="minorHAnsi" w:hAnsi="Times New Roman"/>
                <w:sz w:val="20"/>
              </w:rPr>
              <w:t>Restorations</w:t>
            </w:r>
          </w:p>
        </w:tc>
      </w:tr>
      <w:tr w:rsidR="006F6E72" w:rsidTr="006F6E72">
        <w:trPr>
          <w:jc w:val="right"/>
        </w:trPr>
        <w:tc>
          <w:tcPr>
            <w:tcW w:w="648" w:type="dxa"/>
            <w:vMerge/>
            <w:shd w:val="clear" w:color="auto" w:fill="BFBFBF" w:themeFill="background1" w:themeFillShade="BF"/>
          </w:tcPr>
          <w:p w:rsidR="006F6E72" w:rsidRPr="002642A0" w:rsidRDefault="006F6E72" w:rsidP="006F6E72">
            <w:pPr>
              <w:rPr>
                <w:rFonts w:ascii="Times New Roman" w:eastAsiaTheme="minorHAnsi" w:hAnsi="Times New Roman"/>
                <w:sz w:val="20"/>
              </w:rPr>
            </w:pPr>
          </w:p>
        </w:tc>
        <w:tc>
          <w:tcPr>
            <w:tcW w:w="720" w:type="dxa"/>
            <w:shd w:val="clear" w:color="auto" w:fill="BFBFBF" w:themeFill="background1" w:themeFillShade="BF"/>
          </w:tcPr>
          <w:p w:rsidR="006F6E72" w:rsidRPr="002642A0" w:rsidRDefault="006F6E72" w:rsidP="006F6E72">
            <w:pPr>
              <w:jc w:val="center"/>
              <w:rPr>
                <w:rFonts w:ascii="Times New Roman" w:eastAsiaTheme="minorHAnsi" w:hAnsi="Times New Roman"/>
                <w:sz w:val="20"/>
              </w:rPr>
            </w:pPr>
            <w:r>
              <w:rPr>
                <w:rFonts w:ascii="Times New Roman" w:eastAsiaTheme="minorHAnsi" w:hAnsi="Times New Roman"/>
                <w:sz w:val="20"/>
              </w:rPr>
              <w:t>#</w:t>
            </w:r>
          </w:p>
        </w:tc>
        <w:tc>
          <w:tcPr>
            <w:tcW w:w="810" w:type="dxa"/>
            <w:shd w:val="clear" w:color="auto" w:fill="BFBFBF" w:themeFill="background1" w:themeFillShade="BF"/>
          </w:tcPr>
          <w:p w:rsidR="006F6E72" w:rsidRPr="002642A0" w:rsidRDefault="006F6E72" w:rsidP="006F6E72">
            <w:pPr>
              <w:jc w:val="center"/>
              <w:rPr>
                <w:rFonts w:ascii="Times New Roman" w:eastAsiaTheme="minorHAnsi" w:hAnsi="Times New Roman"/>
                <w:sz w:val="20"/>
              </w:rPr>
            </w:pPr>
            <w:r>
              <w:rPr>
                <w:rFonts w:ascii="Times New Roman" w:eastAsiaTheme="minorHAnsi" w:hAnsi="Times New Roman"/>
                <w:sz w:val="20"/>
              </w:rPr>
              <w:t>%</w:t>
            </w:r>
          </w:p>
        </w:tc>
        <w:tc>
          <w:tcPr>
            <w:tcW w:w="720" w:type="dxa"/>
            <w:shd w:val="clear" w:color="auto" w:fill="BFBFBF" w:themeFill="background1" w:themeFillShade="BF"/>
          </w:tcPr>
          <w:p w:rsidR="006F6E72" w:rsidRPr="002642A0" w:rsidRDefault="006F6E72" w:rsidP="006F6E72">
            <w:pPr>
              <w:jc w:val="center"/>
              <w:rPr>
                <w:rFonts w:ascii="Times New Roman" w:eastAsiaTheme="minorHAnsi" w:hAnsi="Times New Roman"/>
                <w:sz w:val="20"/>
              </w:rPr>
            </w:pPr>
            <w:r>
              <w:rPr>
                <w:rFonts w:ascii="Times New Roman" w:eastAsiaTheme="minorHAnsi" w:hAnsi="Times New Roman"/>
                <w:sz w:val="20"/>
              </w:rPr>
              <w:t>#</w:t>
            </w:r>
          </w:p>
        </w:tc>
        <w:tc>
          <w:tcPr>
            <w:tcW w:w="900" w:type="dxa"/>
            <w:shd w:val="clear" w:color="auto" w:fill="BFBFBF" w:themeFill="background1" w:themeFillShade="BF"/>
          </w:tcPr>
          <w:p w:rsidR="006F6E72" w:rsidRPr="002642A0" w:rsidRDefault="006F6E72" w:rsidP="006F6E72">
            <w:pPr>
              <w:jc w:val="center"/>
              <w:rPr>
                <w:rFonts w:ascii="Times New Roman" w:eastAsiaTheme="minorHAnsi" w:hAnsi="Times New Roman"/>
                <w:sz w:val="20"/>
              </w:rPr>
            </w:pPr>
            <w:r>
              <w:rPr>
                <w:rFonts w:ascii="Times New Roman" w:eastAsiaTheme="minorHAnsi" w:hAnsi="Times New Roman"/>
                <w:sz w:val="20"/>
              </w:rPr>
              <w:t>%</w:t>
            </w:r>
          </w:p>
        </w:tc>
        <w:tc>
          <w:tcPr>
            <w:tcW w:w="630" w:type="dxa"/>
            <w:shd w:val="clear" w:color="auto" w:fill="BFBFBF" w:themeFill="background1" w:themeFillShade="BF"/>
          </w:tcPr>
          <w:p w:rsidR="006F6E72" w:rsidRPr="002642A0" w:rsidRDefault="006F6E72" w:rsidP="006F6E72">
            <w:pPr>
              <w:jc w:val="center"/>
              <w:rPr>
                <w:rFonts w:ascii="Times New Roman" w:eastAsiaTheme="minorHAnsi" w:hAnsi="Times New Roman"/>
                <w:sz w:val="20"/>
              </w:rPr>
            </w:pPr>
            <w:r>
              <w:rPr>
                <w:rFonts w:ascii="Times New Roman" w:eastAsiaTheme="minorHAnsi" w:hAnsi="Times New Roman"/>
                <w:sz w:val="20"/>
              </w:rPr>
              <w:t>#</w:t>
            </w:r>
          </w:p>
        </w:tc>
        <w:tc>
          <w:tcPr>
            <w:tcW w:w="900" w:type="dxa"/>
            <w:shd w:val="clear" w:color="auto" w:fill="BFBFBF" w:themeFill="background1" w:themeFillShade="BF"/>
          </w:tcPr>
          <w:p w:rsidR="006F6E72" w:rsidRPr="002642A0" w:rsidRDefault="006F6E72" w:rsidP="006F6E72">
            <w:pPr>
              <w:jc w:val="center"/>
              <w:rPr>
                <w:rFonts w:ascii="Times New Roman" w:eastAsiaTheme="minorHAnsi" w:hAnsi="Times New Roman"/>
                <w:sz w:val="20"/>
              </w:rPr>
            </w:pPr>
            <w:r>
              <w:rPr>
                <w:rFonts w:ascii="Times New Roman" w:eastAsiaTheme="minorHAnsi" w:hAnsi="Times New Roman"/>
                <w:sz w:val="20"/>
              </w:rPr>
              <w:t>%</w:t>
            </w:r>
          </w:p>
        </w:tc>
        <w:tc>
          <w:tcPr>
            <w:tcW w:w="720" w:type="dxa"/>
            <w:shd w:val="clear" w:color="auto" w:fill="BFBFBF" w:themeFill="background1" w:themeFillShade="BF"/>
          </w:tcPr>
          <w:p w:rsidR="006F6E72" w:rsidRPr="002642A0" w:rsidRDefault="006F6E72" w:rsidP="006F6E72">
            <w:pPr>
              <w:jc w:val="center"/>
              <w:rPr>
                <w:rFonts w:ascii="Times New Roman" w:eastAsiaTheme="minorHAnsi" w:hAnsi="Times New Roman"/>
                <w:sz w:val="20"/>
              </w:rPr>
            </w:pPr>
            <w:r>
              <w:rPr>
                <w:rFonts w:ascii="Times New Roman" w:eastAsiaTheme="minorHAnsi" w:hAnsi="Times New Roman"/>
                <w:sz w:val="20"/>
              </w:rPr>
              <w:t>#</w:t>
            </w:r>
          </w:p>
        </w:tc>
        <w:tc>
          <w:tcPr>
            <w:tcW w:w="900" w:type="dxa"/>
            <w:shd w:val="clear" w:color="auto" w:fill="BFBFBF" w:themeFill="background1" w:themeFillShade="BF"/>
          </w:tcPr>
          <w:p w:rsidR="006F6E72" w:rsidRPr="002642A0" w:rsidRDefault="006F6E72" w:rsidP="006F6E72">
            <w:pPr>
              <w:jc w:val="center"/>
              <w:rPr>
                <w:rFonts w:ascii="Times New Roman" w:eastAsiaTheme="minorHAnsi" w:hAnsi="Times New Roman"/>
                <w:sz w:val="20"/>
              </w:rPr>
            </w:pPr>
            <w:r>
              <w:rPr>
                <w:rFonts w:ascii="Times New Roman" w:eastAsiaTheme="minorHAnsi" w:hAnsi="Times New Roman"/>
                <w:sz w:val="20"/>
              </w:rPr>
              <w:t>%</w:t>
            </w:r>
          </w:p>
        </w:tc>
        <w:tc>
          <w:tcPr>
            <w:tcW w:w="630" w:type="dxa"/>
            <w:shd w:val="clear" w:color="auto" w:fill="BFBFBF" w:themeFill="background1" w:themeFillShade="BF"/>
          </w:tcPr>
          <w:p w:rsidR="006F6E72" w:rsidRPr="002642A0" w:rsidRDefault="006F6E72" w:rsidP="006F6E72">
            <w:pPr>
              <w:jc w:val="center"/>
              <w:rPr>
                <w:rFonts w:ascii="Times New Roman" w:eastAsiaTheme="minorHAnsi" w:hAnsi="Times New Roman"/>
                <w:sz w:val="20"/>
              </w:rPr>
            </w:pPr>
            <w:r>
              <w:rPr>
                <w:rFonts w:ascii="Times New Roman" w:eastAsiaTheme="minorHAnsi" w:hAnsi="Times New Roman"/>
                <w:sz w:val="20"/>
              </w:rPr>
              <w:t>#</w:t>
            </w:r>
          </w:p>
        </w:tc>
        <w:tc>
          <w:tcPr>
            <w:tcW w:w="900" w:type="dxa"/>
            <w:shd w:val="clear" w:color="auto" w:fill="BFBFBF" w:themeFill="background1" w:themeFillShade="BF"/>
          </w:tcPr>
          <w:p w:rsidR="006F6E72" w:rsidRPr="002642A0" w:rsidRDefault="006F6E72" w:rsidP="006F6E72">
            <w:pPr>
              <w:jc w:val="center"/>
              <w:rPr>
                <w:rFonts w:ascii="Times New Roman" w:eastAsiaTheme="minorHAnsi" w:hAnsi="Times New Roman"/>
                <w:sz w:val="20"/>
              </w:rPr>
            </w:pPr>
            <w:r>
              <w:rPr>
                <w:rFonts w:ascii="Times New Roman" w:eastAsiaTheme="minorHAnsi" w:hAnsi="Times New Roman"/>
                <w:sz w:val="20"/>
              </w:rPr>
              <w:t>%</w:t>
            </w:r>
          </w:p>
        </w:tc>
      </w:tr>
      <w:tr w:rsidR="006F6E72" w:rsidTr="006F6E72">
        <w:trPr>
          <w:jc w:val="right"/>
        </w:trPr>
        <w:tc>
          <w:tcPr>
            <w:tcW w:w="648" w:type="dxa"/>
          </w:tcPr>
          <w:p w:rsidR="006F6E72" w:rsidRPr="002642A0" w:rsidRDefault="006F6E72" w:rsidP="006F6E72">
            <w:pPr>
              <w:rPr>
                <w:rFonts w:ascii="Times New Roman" w:eastAsiaTheme="minorHAnsi" w:hAnsi="Times New Roman"/>
                <w:sz w:val="20"/>
              </w:rPr>
            </w:pPr>
            <w:r>
              <w:rPr>
                <w:rFonts w:ascii="Times New Roman" w:eastAsiaTheme="minorHAnsi" w:hAnsi="Times New Roman"/>
                <w:sz w:val="20"/>
              </w:rPr>
              <w:t>2011</w:t>
            </w:r>
          </w:p>
        </w:tc>
        <w:tc>
          <w:tcPr>
            <w:tcW w:w="720" w:type="dxa"/>
          </w:tcPr>
          <w:p w:rsidR="006F6E72" w:rsidRPr="006F6E72" w:rsidRDefault="006F6E72" w:rsidP="006F6E72">
            <w:pPr>
              <w:rPr>
                <w:sz w:val="20"/>
              </w:rPr>
            </w:pPr>
            <w:r w:rsidRPr="006F6E72">
              <w:rPr>
                <w:sz w:val="20"/>
              </w:rPr>
              <w:t>2,766</w:t>
            </w:r>
          </w:p>
        </w:tc>
        <w:tc>
          <w:tcPr>
            <w:tcW w:w="810" w:type="dxa"/>
          </w:tcPr>
          <w:p w:rsidR="006F6E72" w:rsidRPr="006F6E72" w:rsidRDefault="006F6E72" w:rsidP="006F6E72">
            <w:pPr>
              <w:rPr>
                <w:sz w:val="20"/>
              </w:rPr>
            </w:pPr>
            <w:r w:rsidRPr="006F6E72">
              <w:rPr>
                <w:sz w:val="20"/>
              </w:rPr>
              <w:t>2.90%</w:t>
            </w:r>
          </w:p>
        </w:tc>
        <w:tc>
          <w:tcPr>
            <w:tcW w:w="720" w:type="dxa"/>
          </w:tcPr>
          <w:p w:rsidR="006F6E72" w:rsidRPr="006F6E72" w:rsidRDefault="006F6E72" w:rsidP="006F6E72">
            <w:pPr>
              <w:rPr>
                <w:sz w:val="20"/>
              </w:rPr>
            </w:pPr>
            <w:r w:rsidRPr="006F6E72">
              <w:rPr>
                <w:sz w:val="20"/>
              </w:rPr>
              <w:t>955</w:t>
            </w:r>
          </w:p>
        </w:tc>
        <w:tc>
          <w:tcPr>
            <w:tcW w:w="900" w:type="dxa"/>
          </w:tcPr>
          <w:p w:rsidR="006F6E72" w:rsidRPr="006F6E72" w:rsidRDefault="006F6E72" w:rsidP="006F6E72">
            <w:pPr>
              <w:rPr>
                <w:sz w:val="20"/>
              </w:rPr>
            </w:pPr>
            <w:r w:rsidRPr="006F6E72">
              <w:rPr>
                <w:sz w:val="20"/>
              </w:rPr>
              <w:t>35.00%</w:t>
            </w:r>
          </w:p>
        </w:tc>
        <w:tc>
          <w:tcPr>
            <w:tcW w:w="630" w:type="dxa"/>
          </w:tcPr>
          <w:p w:rsidR="006F6E72" w:rsidRPr="006F6E72" w:rsidRDefault="006F6E72" w:rsidP="006F6E72">
            <w:pPr>
              <w:rPr>
                <w:sz w:val="20"/>
              </w:rPr>
            </w:pPr>
            <w:r w:rsidRPr="006F6E72">
              <w:rPr>
                <w:sz w:val="20"/>
              </w:rPr>
              <w:t>877</w:t>
            </w:r>
          </w:p>
        </w:tc>
        <w:tc>
          <w:tcPr>
            <w:tcW w:w="900" w:type="dxa"/>
          </w:tcPr>
          <w:p w:rsidR="006F6E72" w:rsidRPr="006F6E72" w:rsidRDefault="006F6E72" w:rsidP="006F6E72">
            <w:pPr>
              <w:rPr>
                <w:sz w:val="20"/>
              </w:rPr>
            </w:pPr>
            <w:r w:rsidRPr="006F6E72">
              <w:rPr>
                <w:sz w:val="20"/>
              </w:rPr>
              <w:t>9.80%</w:t>
            </w:r>
          </w:p>
        </w:tc>
        <w:tc>
          <w:tcPr>
            <w:tcW w:w="720" w:type="dxa"/>
          </w:tcPr>
          <w:p w:rsidR="006F6E72" w:rsidRPr="006F6E72" w:rsidRDefault="006F6E72" w:rsidP="006F6E72">
            <w:pPr>
              <w:rPr>
                <w:sz w:val="20"/>
              </w:rPr>
            </w:pPr>
            <w:r w:rsidRPr="006F6E72">
              <w:rPr>
                <w:sz w:val="20"/>
              </w:rPr>
              <w:t>295</w:t>
            </w:r>
          </w:p>
        </w:tc>
        <w:tc>
          <w:tcPr>
            <w:tcW w:w="900" w:type="dxa"/>
          </w:tcPr>
          <w:p w:rsidR="006F6E72" w:rsidRPr="006F6E72" w:rsidRDefault="006F6E72" w:rsidP="006F6E72">
            <w:pPr>
              <w:rPr>
                <w:sz w:val="20"/>
              </w:rPr>
            </w:pPr>
            <w:r w:rsidRPr="006F6E72">
              <w:rPr>
                <w:sz w:val="20"/>
              </w:rPr>
              <w:t>34.00%</w:t>
            </w:r>
          </w:p>
        </w:tc>
        <w:tc>
          <w:tcPr>
            <w:tcW w:w="630" w:type="dxa"/>
          </w:tcPr>
          <w:p w:rsidR="006F6E72" w:rsidRPr="006F6E72" w:rsidRDefault="006F6E72" w:rsidP="006F6E72">
            <w:pPr>
              <w:rPr>
                <w:sz w:val="20"/>
              </w:rPr>
            </w:pPr>
            <w:r w:rsidRPr="006F6E72">
              <w:rPr>
                <w:sz w:val="20"/>
              </w:rPr>
              <w:t>197</w:t>
            </w:r>
          </w:p>
        </w:tc>
        <w:tc>
          <w:tcPr>
            <w:tcW w:w="900" w:type="dxa"/>
          </w:tcPr>
          <w:p w:rsidR="006F6E72" w:rsidRPr="006F6E72" w:rsidRDefault="006F6E72" w:rsidP="006F6E72">
            <w:pPr>
              <w:rPr>
                <w:sz w:val="20"/>
              </w:rPr>
            </w:pPr>
            <w:r w:rsidRPr="006F6E72">
              <w:rPr>
                <w:sz w:val="20"/>
              </w:rPr>
              <w:t>23.00%</w:t>
            </w:r>
          </w:p>
        </w:tc>
      </w:tr>
      <w:tr w:rsidR="006F6E72" w:rsidTr="006F6E72">
        <w:trPr>
          <w:jc w:val="right"/>
        </w:trPr>
        <w:tc>
          <w:tcPr>
            <w:tcW w:w="648" w:type="dxa"/>
          </w:tcPr>
          <w:p w:rsidR="006F6E72" w:rsidRPr="002642A0" w:rsidRDefault="006F6E72" w:rsidP="006F6E72">
            <w:pPr>
              <w:rPr>
                <w:rFonts w:ascii="Times New Roman" w:eastAsiaTheme="minorHAnsi" w:hAnsi="Times New Roman"/>
                <w:sz w:val="20"/>
              </w:rPr>
            </w:pPr>
            <w:r>
              <w:rPr>
                <w:rFonts w:ascii="Times New Roman" w:eastAsiaTheme="minorHAnsi" w:hAnsi="Times New Roman"/>
                <w:sz w:val="20"/>
              </w:rPr>
              <w:t>2012</w:t>
            </w:r>
          </w:p>
        </w:tc>
        <w:tc>
          <w:tcPr>
            <w:tcW w:w="720" w:type="dxa"/>
          </w:tcPr>
          <w:p w:rsidR="006F6E72" w:rsidRPr="006F6E72" w:rsidRDefault="006F6E72" w:rsidP="006F6E72">
            <w:pPr>
              <w:rPr>
                <w:sz w:val="20"/>
              </w:rPr>
            </w:pPr>
            <w:r w:rsidRPr="006F6E72">
              <w:rPr>
                <w:sz w:val="20"/>
              </w:rPr>
              <w:t>2,970</w:t>
            </w:r>
          </w:p>
        </w:tc>
        <w:tc>
          <w:tcPr>
            <w:tcW w:w="810" w:type="dxa"/>
          </w:tcPr>
          <w:p w:rsidR="006F6E72" w:rsidRPr="006F6E72" w:rsidRDefault="006F6E72" w:rsidP="006F6E72">
            <w:pPr>
              <w:rPr>
                <w:sz w:val="20"/>
              </w:rPr>
            </w:pPr>
            <w:r w:rsidRPr="006F6E72">
              <w:rPr>
                <w:sz w:val="20"/>
              </w:rPr>
              <w:t>3.10%</w:t>
            </w:r>
          </w:p>
        </w:tc>
        <w:tc>
          <w:tcPr>
            <w:tcW w:w="720" w:type="dxa"/>
          </w:tcPr>
          <w:p w:rsidR="006F6E72" w:rsidRPr="006F6E72" w:rsidRDefault="006F6E72" w:rsidP="006F6E72">
            <w:pPr>
              <w:rPr>
                <w:sz w:val="20"/>
              </w:rPr>
            </w:pPr>
            <w:r w:rsidRPr="006F6E72">
              <w:rPr>
                <w:sz w:val="20"/>
              </w:rPr>
              <w:t>1,108</w:t>
            </w:r>
          </w:p>
        </w:tc>
        <w:tc>
          <w:tcPr>
            <w:tcW w:w="900" w:type="dxa"/>
          </w:tcPr>
          <w:p w:rsidR="006F6E72" w:rsidRPr="006F6E72" w:rsidRDefault="006F6E72" w:rsidP="006F6E72">
            <w:pPr>
              <w:rPr>
                <w:sz w:val="20"/>
              </w:rPr>
            </w:pPr>
            <w:r w:rsidRPr="006F6E72">
              <w:rPr>
                <w:sz w:val="20"/>
              </w:rPr>
              <w:t>37.00%</w:t>
            </w:r>
          </w:p>
        </w:tc>
        <w:tc>
          <w:tcPr>
            <w:tcW w:w="630" w:type="dxa"/>
          </w:tcPr>
          <w:p w:rsidR="006F6E72" w:rsidRPr="006F6E72" w:rsidRDefault="006F6E72" w:rsidP="006F6E72">
            <w:pPr>
              <w:rPr>
                <w:sz w:val="20"/>
              </w:rPr>
            </w:pPr>
            <w:r w:rsidRPr="006F6E72">
              <w:rPr>
                <w:sz w:val="20"/>
              </w:rPr>
              <w:t>823</w:t>
            </w:r>
          </w:p>
        </w:tc>
        <w:tc>
          <w:tcPr>
            <w:tcW w:w="900" w:type="dxa"/>
          </w:tcPr>
          <w:p w:rsidR="006F6E72" w:rsidRPr="006F6E72" w:rsidRDefault="006F6E72" w:rsidP="006F6E72">
            <w:pPr>
              <w:rPr>
                <w:sz w:val="20"/>
              </w:rPr>
            </w:pPr>
            <w:r w:rsidRPr="006F6E72">
              <w:rPr>
                <w:sz w:val="20"/>
              </w:rPr>
              <w:t>9.90%</w:t>
            </w:r>
          </w:p>
        </w:tc>
        <w:tc>
          <w:tcPr>
            <w:tcW w:w="720" w:type="dxa"/>
          </w:tcPr>
          <w:p w:rsidR="006F6E72" w:rsidRPr="006F6E72" w:rsidRDefault="006F6E72" w:rsidP="006F6E72">
            <w:pPr>
              <w:rPr>
                <w:sz w:val="20"/>
              </w:rPr>
            </w:pPr>
            <w:r w:rsidRPr="006F6E72">
              <w:rPr>
                <w:sz w:val="20"/>
              </w:rPr>
              <w:t>295</w:t>
            </w:r>
          </w:p>
        </w:tc>
        <w:tc>
          <w:tcPr>
            <w:tcW w:w="900" w:type="dxa"/>
          </w:tcPr>
          <w:p w:rsidR="006F6E72" w:rsidRPr="006F6E72" w:rsidRDefault="006F6E72" w:rsidP="006F6E72">
            <w:pPr>
              <w:rPr>
                <w:sz w:val="20"/>
              </w:rPr>
            </w:pPr>
            <w:r w:rsidRPr="006F6E72">
              <w:rPr>
                <w:sz w:val="20"/>
              </w:rPr>
              <w:t>36.00%</w:t>
            </w:r>
          </w:p>
        </w:tc>
        <w:tc>
          <w:tcPr>
            <w:tcW w:w="630" w:type="dxa"/>
          </w:tcPr>
          <w:p w:rsidR="006F6E72" w:rsidRPr="006F6E72" w:rsidRDefault="006F6E72" w:rsidP="006F6E72">
            <w:pPr>
              <w:rPr>
                <w:sz w:val="20"/>
              </w:rPr>
            </w:pPr>
            <w:r w:rsidRPr="006F6E72">
              <w:rPr>
                <w:sz w:val="20"/>
              </w:rPr>
              <w:t>170</w:t>
            </w:r>
          </w:p>
        </w:tc>
        <w:tc>
          <w:tcPr>
            <w:tcW w:w="900" w:type="dxa"/>
          </w:tcPr>
          <w:p w:rsidR="006F6E72" w:rsidRPr="006F6E72" w:rsidRDefault="006F6E72" w:rsidP="006F6E72">
            <w:pPr>
              <w:rPr>
                <w:sz w:val="20"/>
              </w:rPr>
            </w:pPr>
            <w:r w:rsidRPr="006F6E72">
              <w:rPr>
                <w:sz w:val="20"/>
              </w:rPr>
              <w:t>21.00%</w:t>
            </w:r>
          </w:p>
        </w:tc>
      </w:tr>
      <w:tr w:rsidR="006F6E72" w:rsidTr="006F6E72">
        <w:trPr>
          <w:jc w:val="right"/>
        </w:trPr>
        <w:tc>
          <w:tcPr>
            <w:tcW w:w="648" w:type="dxa"/>
          </w:tcPr>
          <w:p w:rsidR="006F6E72" w:rsidRPr="002642A0" w:rsidRDefault="006F6E72" w:rsidP="006F6E72">
            <w:pPr>
              <w:rPr>
                <w:rFonts w:ascii="Times New Roman" w:eastAsiaTheme="minorHAnsi" w:hAnsi="Times New Roman"/>
                <w:sz w:val="20"/>
              </w:rPr>
            </w:pPr>
            <w:r>
              <w:rPr>
                <w:rFonts w:ascii="Times New Roman" w:eastAsiaTheme="minorHAnsi" w:hAnsi="Times New Roman"/>
                <w:sz w:val="20"/>
              </w:rPr>
              <w:t>2013</w:t>
            </w:r>
          </w:p>
        </w:tc>
        <w:tc>
          <w:tcPr>
            <w:tcW w:w="720" w:type="dxa"/>
          </w:tcPr>
          <w:p w:rsidR="006F6E72" w:rsidRPr="006F6E72" w:rsidRDefault="006F6E72" w:rsidP="006F6E72">
            <w:pPr>
              <w:rPr>
                <w:sz w:val="20"/>
              </w:rPr>
            </w:pPr>
            <w:r w:rsidRPr="006F6E72">
              <w:rPr>
                <w:sz w:val="20"/>
              </w:rPr>
              <w:t>3,863</w:t>
            </w:r>
          </w:p>
        </w:tc>
        <w:tc>
          <w:tcPr>
            <w:tcW w:w="810" w:type="dxa"/>
          </w:tcPr>
          <w:p w:rsidR="006F6E72" w:rsidRPr="006F6E72" w:rsidRDefault="006F6E72" w:rsidP="006F6E72">
            <w:pPr>
              <w:rPr>
                <w:sz w:val="20"/>
              </w:rPr>
            </w:pPr>
            <w:r w:rsidRPr="006F6E72">
              <w:rPr>
                <w:sz w:val="20"/>
              </w:rPr>
              <w:t>3.90%</w:t>
            </w:r>
          </w:p>
        </w:tc>
        <w:tc>
          <w:tcPr>
            <w:tcW w:w="720" w:type="dxa"/>
          </w:tcPr>
          <w:p w:rsidR="006F6E72" w:rsidRPr="006F6E72" w:rsidRDefault="006F6E72" w:rsidP="006F6E72">
            <w:pPr>
              <w:rPr>
                <w:sz w:val="20"/>
              </w:rPr>
            </w:pPr>
            <w:r w:rsidRPr="006F6E72">
              <w:rPr>
                <w:sz w:val="20"/>
              </w:rPr>
              <w:t>1,643</w:t>
            </w:r>
          </w:p>
        </w:tc>
        <w:tc>
          <w:tcPr>
            <w:tcW w:w="900" w:type="dxa"/>
          </w:tcPr>
          <w:p w:rsidR="006F6E72" w:rsidRPr="006F6E72" w:rsidRDefault="006F6E72" w:rsidP="006F6E72">
            <w:pPr>
              <w:rPr>
                <w:sz w:val="20"/>
              </w:rPr>
            </w:pPr>
            <w:r w:rsidRPr="006F6E72">
              <w:rPr>
                <w:sz w:val="20"/>
              </w:rPr>
              <w:t>43.00%</w:t>
            </w:r>
          </w:p>
        </w:tc>
        <w:tc>
          <w:tcPr>
            <w:tcW w:w="630" w:type="dxa"/>
          </w:tcPr>
          <w:p w:rsidR="006F6E72" w:rsidRPr="006F6E72" w:rsidRDefault="006F6E72" w:rsidP="006F6E72">
            <w:pPr>
              <w:rPr>
                <w:sz w:val="20"/>
              </w:rPr>
            </w:pPr>
            <w:r w:rsidRPr="006F6E72">
              <w:rPr>
                <w:sz w:val="20"/>
              </w:rPr>
              <w:t>859</w:t>
            </w:r>
          </w:p>
        </w:tc>
        <w:tc>
          <w:tcPr>
            <w:tcW w:w="900" w:type="dxa"/>
          </w:tcPr>
          <w:p w:rsidR="006F6E72" w:rsidRPr="006F6E72" w:rsidRDefault="006F6E72" w:rsidP="006F6E72">
            <w:pPr>
              <w:rPr>
                <w:sz w:val="20"/>
              </w:rPr>
            </w:pPr>
            <w:r w:rsidRPr="006F6E72">
              <w:rPr>
                <w:sz w:val="20"/>
              </w:rPr>
              <w:t>11.50%</w:t>
            </w:r>
          </w:p>
        </w:tc>
        <w:tc>
          <w:tcPr>
            <w:tcW w:w="720" w:type="dxa"/>
          </w:tcPr>
          <w:p w:rsidR="006F6E72" w:rsidRPr="006F6E72" w:rsidRDefault="006F6E72" w:rsidP="006F6E72">
            <w:pPr>
              <w:rPr>
                <w:sz w:val="20"/>
              </w:rPr>
            </w:pPr>
            <w:r w:rsidRPr="006F6E72">
              <w:rPr>
                <w:sz w:val="20"/>
              </w:rPr>
              <w:t>349</w:t>
            </w:r>
          </w:p>
        </w:tc>
        <w:tc>
          <w:tcPr>
            <w:tcW w:w="900" w:type="dxa"/>
          </w:tcPr>
          <w:p w:rsidR="006F6E72" w:rsidRPr="006F6E72" w:rsidRDefault="006F6E72" w:rsidP="006F6E72">
            <w:pPr>
              <w:rPr>
                <w:sz w:val="20"/>
              </w:rPr>
            </w:pPr>
            <w:r w:rsidRPr="006F6E72">
              <w:rPr>
                <w:sz w:val="20"/>
              </w:rPr>
              <w:t>41.00%</w:t>
            </w:r>
          </w:p>
        </w:tc>
        <w:tc>
          <w:tcPr>
            <w:tcW w:w="630" w:type="dxa"/>
          </w:tcPr>
          <w:p w:rsidR="006F6E72" w:rsidRPr="006F6E72" w:rsidRDefault="006F6E72" w:rsidP="006F6E72">
            <w:pPr>
              <w:rPr>
                <w:sz w:val="20"/>
              </w:rPr>
            </w:pPr>
            <w:r w:rsidRPr="006F6E72">
              <w:rPr>
                <w:sz w:val="20"/>
              </w:rPr>
              <w:t>135</w:t>
            </w:r>
          </w:p>
        </w:tc>
        <w:tc>
          <w:tcPr>
            <w:tcW w:w="900" w:type="dxa"/>
          </w:tcPr>
          <w:p w:rsidR="006F6E72" w:rsidRPr="006F6E72" w:rsidRDefault="006F6E72" w:rsidP="006F6E72">
            <w:pPr>
              <w:rPr>
                <w:sz w:val="20"/>
              </w:rPr>
            </w:pPr>
            <w:r w:rsidRPr="006F6E72">
              <w:rPr>
                <w:sz w:val="20"/>
              </w:rPr>
              <w:t>16.00%</w:t>
            </w:r>
          </w:p>
        </w:tc>
      </w:tr>
    </w:tbl>
    <w:p w:rsidR="002642A0" w:rsidRDefault="002642A0" w:rsidP="00D07712">
      <w:pPr>
        <w:rPr>
          <w:rFonts w:ascii="Times New Roman" w:eastAsiaTheme="minorHAnsi" w:hAnsi="Times New Roman"/>
          <w:szCs w:val="24"/>
        </w:rPr>
      </w:pPr>
    </w:p>
    <w:p w:rsidR="002642A0" w:rsidRPr="002642A0" w:rsidRDefault="002642A0" w:rsidP="002642A0">
      <w:pPr>
        <w:pStyle w:val="ListParagraph"/>
        <w:numPr>
          <w:ilvl w:val="0"/>
          <w:numId w:val="9"/>
        </w:numPr>
        <w:rPr>
          <w:rFonts w:ascii="Times New Roman" w:eastAsiaTheme="minorHAnsi" w:hAnsi="Times New Roman"/>
          <w:sz w:val="20"/>
        </w:rPr>
      </w:pPr>
      <w:r w:rsidRPr="002642A0">
        <w:rPr>
          <w:rFonts w:ascii="Times New Roman" w:eastAsiaTheme="minorHAnsi" w:hAnsi="Times New Roman"/>
          <w:sz w:val="20"/>
        </w:rPr>
        <w:t xml:space="preserve">Low income customers received an energy assistance payment and/or participated in the LIBA program within the past 12 months.  </w:t>
      </w:r>
    </w:p>
    <w:p w:rsidR="002642A0" w:rsidRPr="002642A0" w:rsidRDefault="002642A0" w:rsidP="002642A0">
      <w:pPr>
        <w:ind w:left="360"/>
        <w:rPr>
          <w:rFonts w:ascii="Times New Roman" w:eastAsiaTheme="minorHAnsi" w:hAnsi="Times New Roman"/>
          <w:sz w:val="20"/>
        </w:rPr>
      </w:pPr>
    </w:p>
    <w:p w:rsidR="0033223F" w:rsidRPr="002642A0" w:rsidRDefault="002642A0" w:rsidP="002642A0">
      <w:pPr>
        <w:pStyle w:val="ListParagraph"/>
        <w:numPr>
          <w:ilvl w:val="0"/>
          <w:numId w:val="9"/>
        </w:numPr>
        <w:rPr>
          <w:rFonts w:ascii="Times New Roman" w:eastAsiaTheme="minorHAnsi" w:hAnsi="Times New Roman"/>
          <w:sz w:val="20"/>
        </w:rPr>
      </w:pPr>
      <w:r w:rsidRPr="002642A0">
        <w:rPr>
          <w:rFonts w:ascii="Times New Roman" w:eastAsiaTheme="minorHAnsi" w:hAnsi="Times New Roman"/>
          <w:sz w:val="20"/>
        </w:rPr>
        <w:t>The LIBA program does not fund the restoration of disconnected service, it is a bill discount designed to improve payment patterns. The restorations included above are through energy assistance applied to customer accounts within 60 days of disconnection. The pledges/payments are from the federally funded Low Income Home Energy Assistance Program (LIHEAP) and other sources such as the Project HELP program that assists households through donated monies.</w:t>
      </w:r>
    </w:p>
    <w:p w:rsidR="002642A0" w:rsidRPr="002642A0" w:rsidRDefault="002642A0" w:rsidP="002642A0">
      <w:pPr>
        <w:rPr>
          <w:rFonts w:ascii="Times New Roman" w:eastAsiaTheme="minorHAnsi" w:hAnsi="Times New Roman"/>
          <w:szCs w:val="24"/>
        </w:rPr>
      </w:pPr>
    </w:p>
    <w:p w:rsidR="0033223F" w:rsidRDefault="002642A0" w:rsidP="00DA2879">
      <w:pPr>
        <w:rPr>
          <w:rFonts w:ascii="Times New Roman" w:eastAsiaTheme="minorHAnsi" w:hAnsi="Times New Roman"/>
          <w:szCs w:val="24"/>
        </w:rPr>
      </w:pPr>
      <w:r w:rsidRPr="002642A0">
        <w:rPr>
          <w:rFonts w:ascii="Times New Roman" w:eastAsiaTheme="minorHAnsi" w:hAnsi="Times New Roman"/>
          <w:szCs w:val="24"/>
        </w:rPr>
        <w:t xml:space="preserve">Details on customers with service restored by utilizing the prior obligation rule is not available for this time period.  </w:t>
      </w:r>
      <w:r w:rsidR="005F0246">
        <w:rPr>
          <w:rFonts w:ascii="Times New Roman" w:eastAsiaTheme="minorHAnsi" w:hAnsi="Times New Roman"/>
          <w:szCs w:val="24"/>
        </w:rPr>
        <w:t>O</w:t>
      </w:r>
      <w:r w:rsidR="00ED6A3E">
        <w:rPr>
          <w:rFonts w:ascii="Times New Roman" w:eastAsiaTheme="minorHAnsi" w:hAnsi="Times New Roman"/>
          <w:szCs w:val="24"/>
        </w:rPr>
        <w:t>f</w:t>
      </w:r>
      <w:r w:rsidRPr="002642A0">
        <w:rPr>
          <w:rFonts w:ascii="Times New Roman" w:eastAsiaTheme="minorHAnsi" w:hAnsi="Times New Roman"/>
          <w:szCs w:val="24"/>
        </w:rPr>
        <w:t xml:space="preserve"> 564 low-income customers disconnected for non-payment</w:t>
      </w:r>
      <w:r w:rsidR="005F0246">
        <w:rPr>
          <w:rFonts w:ascii="Times New Roman" w:eastAsiaTheme="minorHAnsi" w:hAnsi="Times New Roman"/>
          <w:szCs w:val="24"/>
        </w:rPr>
        <w:t xml:space="preserve"> during the October 2013 to April 2014 time period</w:t>
      </w:r>
      <w:r w:rsidRPr="002642A0">
        <w:rPr>
          <w:rFonts w:ascii="Times New Roman" w:eastAsiaTheme="minorHAnsi" w:hAnsi="Times New Roman"/>
          <w:szCs w:val="24"/>
        </w:rPr>
        <w:t>, 135 were reconnected by utilizing prior obligation protection.  Customers claiming prior obligation are not included in the restoration numbers as a new account is initiated through this process.</w:t>
      </w:r>
    </w:p>
    <w:p w:rsidR="0033223F" w:rsidRDefault="0033223F" w:rsidP="00D07712">
      <w:pPr>
        <w:rPr>
          <w:rFonts w:ascii="Times New Roman" w:eastAsiaTheme="minorHAnsi" w:hAnsi="Times New Roman"/>
          <w:szCs w:val="24"/>
        </w:rPr>
      </w:pPr>
    </w:p>
    <w:p w:rsidR="00D07712" w:rsidRPr="00D07712" w:rsidRDefault="00144275" w:rsidP="00D07712">
      <w:pPr>
        <w:rPr>
          <w:rFonts w:ascii="Times New Roman" w:eastAsiaTheme="minorHAnsi" w:hAnsi="Times New Roman"/>
          <w:szCs w:val="24"/>
        </w:rPr>
      </w:pPr>
      <w:r w:rsidRPr="0032352E">
        <w:rPr>
          <w:rFonts w:eastAsiaTheme="minorHAnsi" w:cs="Times"/>
          <w:szCs w:val="24"/>
        </w:rPr>
        <w:t>The Company a</w:t>
      </w:r>
      <w:r w:rsidR="00D07712" w:rsidRPr="0032352E">
        <w:rPr>
          <w:rFonts w:eastAsiaTheme="minorHAnsi" w:cs="Times"/>
          <w:szCs w:val="24"/>
        </w:rPr>
        <w:t xml:space="preserve">ppreciates the opportunity to provide </w:t>
      </w:r>
      <w:r w:rsidR="006D122F">
        <w:rPr>
          <w:rFonts w:eastAsiaTheme="minorHAnsi" w:cs="Times"/>
          <w:szCs w:val="24"/>
        </w:rPr>
        <w:t xml:space="preserve">these </w:t>
      </w:r>
      <w:r w:rsidR="00D07712" w:rsidRPr="0032352E">
        <w:rPr>
          <w:rFonts w:eastAsiaTheme="minorHAnsi" w:cs="Times"/>
          <w:szCs w:val="24"/>
        </w:rPr>
        <w:t>comments</w:t>
      </w:r>
      <w:r w:rsidR="0032352E">
        <w:rPr>
          <w:rFonts w:eastAsiaTheme="minorHAnsi" w:cs="Times"/>
          <w:szCs w:val="24"/>
        </w:rPr>
        <w:t xml:space="preserve"> and looks forward to discussing low-income program </w:t>
      </w:r>
      <w:r w:rsidR="001B23A0">
        <w:rPr>
          <w:rFonts w:eastAsiaTheme="minorHAnsi" w:cs="Times"/>
          <w:szCs w:val="24"/>
        </w:rPr>
        <w:t xml:space="preserve">components </w:t>
      </w:r>
      <w:r w:rsidR="0032352E">
        <w:rPr>
          <w:rFonts w:eastAsiaTheme="minorHAnsi" w:cs="Times"/>
          <w:szCs w:val="24"/>
        </w:rPr>
        <w:t>at the workshop scheduled for May 29, 2014.</w:t>
      </w:r>
      <w:r w:rsidR="00D07712" w:rsidRPr="0032352E">
        <w:rPr>
          <w:rFonts w:eastAsiaTheme="minorHAnsi" w:cs="Times"/>
          <w:szCs w:val="24"/>
        </w:rPr>
        <w:t xml:space="preserve">  If you have any </w:t>
      </w:r>
      <w:r w:rsidR="00D07712" w:rsidRPr="00D07712">
        <w:rPr>
          <w:rFonts w:ascii="Times New Roman" w:eastAsiaTheme="minorHAnsi" w:hAnsi="Times New Roman"/>
          <w:szCs w:val="24"/>
        </w:rPr>
        <w:t xml:space="preserve">questions regarding these comments, please contact </w:t>
      </w:r>
      <w:r w:rsidR="00252E1D">
        <w:rPr>
          <w:rFonts w:ascii="Times New Roman" w:eastAsiaTheme="minorHAnsi" w:hAnsi="Times New Roman"/>
          <w:szCs w:val="24"/>
        </w:rPr>
        <w:t>Barb Coughlin</w:t>
      </w:r>
      <w:r w:rsidR="0032352E">
        <w:rPr>
          <w:rFonts w:ascii="Times New Roman" w:eastAsiaTheme="minorHAnsi" w:hAnsi="Times New Roman"/>
          <w:szCs w:val="24"/>
        </w:rPr>
        <w:t xml:space="preserve"> at (503) </w:t>
      </w:r>
      <w:r w:rsidR="00252E1D">
        <w:rPr>
          <w:rFonts w:ascii="Times New Roman" w:eastAsiaTheme="minorHAnsi" w:hAnsi="Times New Roman"/>
          <w:szCs w:val="24"/>
        </w:rPr>
        <w:t>331</w:t>
      </w:r>
      <w:r w:rsidR="0032352E">
        <w:rPr>
          <w:rFonts w:ascii="Times New Roman" w:eastAsiaTheme="minorHAnsi" w:hAnsi="Times New Roman"/>
          <w:szCs w:val="24"/>
        </w:rPr>
        <w:t>-</w:t>
      </w:r>
      <w:r w:rsidR="00252E1D">
        <w:rPr>
          <w:rFonts w:ascii="Times New Roman" w:eastAsiaTheme="minorHAnsi" w:hAnsi="Times New Roman"/>
          <w:szCs w:val="24"/>
        </w:rPr>
        <w:t>4306</w:t>
      </w:r>
      <w:r w:rsidR="00D07712" w:rsidRPr="00D07712">
        <w:rPr>
          <w:rFonts w:ascii="Times New Roman" w:eastAsiaTheme="minorHAnsi" w:hAnsi="Times New Roman"/>
          <w:szCs w:val="24"/>
        </w:rPr>
        <w:t>.</w:t>
      </w:r>
    </w:p>
    <w:p w:rsidR="00D07712" w:rsidRPr="00D07712" w:rsidRDefault="00D07712" w:rsidP="00D07712">
      <w:pPr>
        <w:rPr>
          <w:rFonts w:ascii="Times New Roman" w:eastAsiaTheme="minorHAnsi" w:hAnsi="Times New Roman"/>
          <w:szCs w:val="24"/>
        </w:rPr>
      </w:pPr>
    </w:p>
    <w:p w:rsidR="00D07712" w:rsidRPr="00D07712" w:rsidRDefault="00D07712" w:rsidP="00D07712">
      <w:pPr>
        <w:rPr>
          <w:rFonts w:ascii="Times New Roman" w:eastAsiaTheme="minorHAnsi" w:hAnsi="Times New Roman"/>
          <w:szCs w:val="24"/>
        </w:rPr>
      </w:pPr>
      <w:r w:rsidRPr="00D07712">
        <w:rPr>
          <w:rFonts w:ascii="Times New Roman" w:eastAsiaTheme="minorHAnsi" w:hAnsi="Times New Roman"/>
          <w:szCs w:val="24"/>
        </w:rPr>
        <w:t>Sincerely,</w:t>
      </w:r>
    </w:p>
    <w:p w:rsidR="00D07712" w:rsidRPr="00D07712" w:rsidRDefault="00D07712" w:rsidP="00D07712">
      <w:pPr>
        <w:rPr>
          <w:rFonts w:ascii="Times New Roman" w:eastAsiaTheme="minorHAnsi" w:hAnsi="Times New Roman"/>
          <w:szCs w:val="24"/>
        </w:rPr>
      </w:pPr>
    </w:p>
    <w:p w:rsidR="00D07712" w:rsidRPr="00D07712" w:rsidRDefault="00D07712" w:rsidP="00D07712">
      <w:pPr>
        <w:rPr>
          <w:rFonts w:ascii="Times New Roman" w:eastAsiaTheme="minorHAnsi" w:hAnsi="Times New Roman"/>
          <w:szCs w:val="24"/>
        </w:rPr>
      </w:pPr>
    </w:p>
    <w:p w:rsidR="00D07712" w:rsidRPr="00D07712" w:rsidRDefault="00D07712" w:rsidP="00D07712">
      <w:pPr>
        <w:rPr>
          <w:rFonts w:ascii="Times New Roman" w:eastAsiaTheme="minorHAnsi" w:hAnsi="Times New Roman"/>
          <w:szCs w:val="24"/>
        </w:rPr>
      </w:pPr>
    </w:p>
    <w:p w:rsidR="00D07712" w:rsidRPr="00D07712" w:rsidRDefault="00C3300D" w:rsidP="00D07712">
      <w:pPr>
        <w:rPr>
          <w:rFonts w:ascii="Times New Roman" w:eastAsiaTheme="minorHAnsi" w:hAnsi="Times New Roman"/>
          <w:szCs w:val="24"/>
        </w:rPr>
      </w:pPr>
      <w:r>
        <w:rPr>
          <w:rFonts w:ascii="Times New Roman" w:eastAsiaTheme="minorHAnsi" w:hAnsi="Times New Roman"/>
          <w:szCs w:val="24"/>
        </w:rPr>
        <w:t>R. Bryce Dalley</w:t>
      </w:r>
    </w:p>
    <w:p w:rsidR="00D07712" w:rsidRPr="00D07712" w:rsidRDefault="00D07712" w:rsidP="00D07712">
      <w:pPr>
        <w:rPr>
          <w:rFonts w:ascii="Times New Roman" w:eastAsiaTheme="minorHAnsi" w:hAnsi="Times New Roman"/>
          <w:szCs w:val="24"/>
        </w:rPr>
      </w:pPr>
      <w:r w:rsidRPr="00D07712">
        <w:rPr>
          <w:rFonts w:ascii="Times New Roman" w:eastAsiaTheme="minorHAnsi" w:hAnsi="Times New Roman"/>
          <w:szCs w:val="24"/>
        </w:rPr>
        <w:t>Vice President, Regulation</w:t>
      </w:r>
    </w:p>
    <w:p w:rsidR="00D0215C" w:rsidRPr="00F91408" w:rsidRDefault="0091770F" w:rsidP="00D0215C">
      <w:pPr>
        <w:jc w:val="right"/>
        <w:rPr>
          <w:rFonts w:ascii="Times New Roman" w:hAnsi="Times New Roman"/>
          <w:szCs w:val="24"/>
        </w:rPr>
      </w:pPr>
      <w:r w:rsidRPr="0091770F">
        <w:rPr>
          <w:rFonts w:ascii="Times New Roman" w:hAnsi="Times New Roman"/>
          <w:szCs w:val="24"/>
        </w:rPr>
        <w:tab/>
      </w:r>
      <w:r w:rsidRPr="0091770F">
        <w:rPr>
          <w:rFonts w:ascii="Times New Roman" w:hAnsi="Times New Roman"/>
          <w:szCs w:val="24"/>
        </w:rPr>
        <w:tab/>
      </w:r>
    </w:p>
    <w:sectPr w:rsidR="00D0215C" w:rsidRPr="00F91408" w:rsidSect="008744EB">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3EC" w:rsidRDefault="009C13EC" w:rsidP="00232A38">
      <w:r>
        <w:separator/>
      </w:r>
    </w:p>
  </w:endnote>
  <w:endnote w:type="continuationSeparator" w:id="0">
    <w:p w:rsidR="009C13EC" w:rsidRDefault="009C13EC" w:rsidP="00232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75B" w:rsidRDefault="00CB37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3EC" w:rsidRPr="00F91408" w:rsidRDefault="009C13EC">
    <w:pPr>
      <w:pStyle w:val="Footer"/>
      <w:jc w:val="right"/>
      <w:rPr>
        <w:rFonts w:ascii="Times New Roman" w:hAnsi="Times New Roman"/>
        <w:szCs w:val="24"/>
      </w:rPr>
    </w:pPr>
  </w:p>
  <w:p w:rsidR="009C13EC" w:rsidRDefault="009C13EC">
    <w:pPr>
      <w:pStyle w:val="Footer"/>
      <w:jc w:val="right"/>
      <w:rPr>
        <w:rFonts w:ascii="Times New Roman" w:hAnsi="Times New Roman"/>
        <w:szCs w:val="24"/>
      </w:rPr>
    </w:pPr>
    <w:r>
      <w:rPr>
        <w:rFonts w:ascii="Times New Roman" w:hAnsi="Times New Roman"/>
        <w:szCs w:val="24"/>
      </w:rPr>
      <w:tab/>
    </w:r>
    <w:r w:rsidRPr="00F91408">
      <w:rPr>
        <w:rFonts w:ascii="Times New Roman" w:hAnsi="Times New Roman"/>
        <w:szCs w:val="24"/>
      </w:rPr>
      <w:fldChar w:fldCharType="begin"/>
    </w:r>
    <w:r w:rsidRPr="00F91408">
      <w:rPr>
        <w:rFonts w:ascii="Times New Roman" w:hAnsi="Times New Roman"/>
        <w:szCs w:val="24"/>
      </w:rPr>
      <w:instrText xml:space="preserve"> PAGE   \* MERGEFORMAT </w:instrText>
    </w:r>
    <w:r w:rsidRPr="00F91408">
      <w:rPr>
        <w:rFonts w:ascii="Times New Roman" w:hAnsi="Times New Roman"/>
        <w:szCs w:val="24"/>
      </w:rPr>
      <w:fldChar w:fldCharType="separate"/>
    </w:r>
    <w:r w:rsidR="00CB375B">
      <w:rPr>
        <w:rFonts w:ascii="Times New Roman" w:hAnsi="Times New Roman"/>
        <w:noProof/>
        <w:szCs w:val="24"/>
      </w:rPr>
      <w:t>7</w:t>
    </w:r>
    <w:r w:rsidRPr="00F91408">
      <w:rPr>
        <w:rFonts w:ascii="Times New Roman" w:hAnsi="Times New Roman"/>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75B" w:rsidRDefault="00CB37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3EC" w:rsidRDefault="009C13EC" w:rsidP="00232A38">
      <w:r>
        <w:separator/>
      </w:r>
    </w:p>
  </w:footnote>
  <w:footnote w:type="continuationSeparator" w:id="0">
    <w:p w:rsidR="009C13EC" w:rsidRDefault="009C13EC" w:rsidP="00232A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75B" w:rsidRDefault="00CB37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3EC" w:rsidRDefault="009C13EC" w:rsidP="008744EB">
    <w:pPr>
      <w:pStyle w:val="Header"/>
    </w:pPr>
    <w:r>
      <w:t>Washington Utilities and Transportation Commission</w:t>
    </w:r>
  </w:p>
  <w:p w:rsidR="009C13EC" w:rsidRDefault="009C13EC" w:rsidP="008744EB">
    <w:pPr>
      <w:pStyle w:val="Header"/>
    </w:pPr>
    <w:r>
      <w:t>May 22, 2014</w:t>
    </w:r>
  </w:p>
  <w:p w:rsidR="009C13EC" w:rsidRDefault="009C13EC" w:rsidP="008744EB">
    <w:pPr>
      <w:pStyle w:val="Header"/>
    </w:pPr>
    <w:r>
      <w:t xml:space="preserve">Page </w:t>
    </w:r>
    <w:r>
      <w:fldChar w:fldCharType="begin"/>
    </w:r>
    <w:r>
      <w:instrText xml:space="preserve"> PAGE   \* MERGEFORMAT </w:instrText>
    </w:r>
    <w:r>
      <w:fldChar w:fldCharType="separate"/>
    </w:r>
    <w:r w:rsidR="00CB375B">
      <w:rPr>
        <w:noProof/>
      </w:rPr>
      <w:t>7</w:t>
    </w:r>
    <w:r>
      <w:rPr>
        <w:noProof/>
      </w:rPr>
      <w:fldChar w:fldCharType="end"/>
    </w:r>
  </w:p>
  <w:p w:rsidR="009C13EC" w:rsidRPr="008744EB" w:rsidRDefault="009C13EC" w:rsidP="008744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75B" w:rsidRDefault="00CB37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75DA6"/>
    <w:multiLevelType w:val="hybridMultilevel"/>
    <w:tmpl w:val="F8EE8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517D97"/>
    <w:multiLevelType w:val="hybridMultilevel"/>
    <w:tmpl w:val="6D560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4467AA"/>
    <w:multiLevelType w:val="hybridMultilevel"/>
    <w:tmpl w:val="3F7250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AE2BF3"/>
    <w:multiLevelType w:val="hybridMultilevel"/>
    <w:tmpl w:val="A33CB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4B3EE0"/>
    <w:multiLevelType w:val="hybridMultilevel"/>
    <w:tmpl w:val="A33CB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E356E1"/>
    <w:multiLevelType w:val="hybridMultilevel"/>
    <w:tmpl w:val="0212D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1014C0"/>
    <w:multiLevelType w:val="hybridMultilevel"/>
    <w:tmpl w:val="7DF6C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EA06BE"/>
    <w:multiLevelType w:val="hybridMultilevel"/>
    <w:tmpl w:val="A33CB6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83D0A08"/>
    <w:multiLevelType w:val="hybridMultilevel"/>
    <w:tmpl w:val="2F961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4"/>
  </w:num>
  <w:num w:numId="5">
    <w:abstractNumId w:val="8"/>
  </w:num>
  <w:num w:numId="6">
    <w:abstractNumId w:val="5"/>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15C"/>
    <w:rsid w:val="000003DF"/>
    <w:rsid w:val="000129F4"/>
    <w:rsid w:val="00030881"/>
    <w:rsid w:val="0005394E"/>
    <w:rsid w:val="00063E95"/>
    <w:rsid w:val="000662E7"/>
    <w:rsid w:val="0007310F"/>
    <w:rsid w:val="0008084A"/>
    <w:rsid w:val="000875A0"/>
    <w:rsid w:val="000A2A72"/>
    <w:rsid w:val="000A55FA"/>
    <w:rsid w:val="000B1430"/>
    <w:rsid w:val="001010D2"/>
    <w:rsid w:val="00113BCF"/>
    <w:rsid w:val="00117443"/>
    <w:rsid w:val="001433AC"/>
    <w:rsid w:val="00144275"/>
    <w:rsid w:val="00144A3D"/>
    <w:rsid w:val="0015310D"/>
    <w:rsid w:val="00164D52"/>
    <w:rsid w:val="00180866"/>
    <w:rsid w:val="00181DEA"/>
    <w:rsid w:val="00196E53"/>
    <w:rsid w:val="001A4D4F"/>
    <w:rsid w:val="001B23A0"/>
    <w:rsid w:val="001B5E70"/>
    <w:rsid w:val="001B5F65"/>
    <w:rsid w:val="00204AFC"/>
    <w:rsid w:val="0022446E"/>
    <w:rsid w:val="0022511A"/>
    <w:rsid w:val="00232A38"/>
    <w:rsid w:val="002339FD"/>
    <w:rsid w:val="00252E1D"/>
    <w:rsid w:val="002642A0"/>
    <w:rsid w:val="00291332"/>
    <w:rsid w:val="00292729"/>
    <w:rsid w:val="002B1315"/>
    <w:rsid w:val="002D1319"/>
    <w:rsid w:val="002D47CB"/>
    <w:rsid w:val="002F58D7"/>
    <w:rsid w:val="00302D9D"/>
    <w:rsid w:val="00303467"/>
    <w:rsid w:val="003203F1"/>
    <w:rsid w:val="00322A0D"/>
    <w:rsid w:val="0032352E"/>
    <w:rsid w:val="003306B6"/>
    <w:rsid w:val="0033223F"/>
    <w:rsid w:val="00332B49"/>
    <w:rsid w:val="00351E00"/>
    <w:rsid w:val="0037220F"/>
    <w:rsid w:val="003732BC"/>
    <w:rsid w:val="00374F84"/>
    <w:rsid w:val="00390D7E"/>
    <w:rsid w:val="00391998"/>
    <w:rsid w:val="003C518D"/>
    <w:rsid w:val="003D2FC4"/>
    <w:rsid w:val="00431303"/>
    <w:rsid w:val="00432357"/>
    <w:rsid w:val="004450DF"/>
    <w:rsid w:val="004624CE"/>
    <w:rsid w:val="004B76C3"/>
    <w:rsid w:val="004F0742"/>
    <w:rsid w:val="004F3894"/>
    <w:rsid w:val="004F40E7"/>
    <w:rsid w:val="00507716"/>
    <w:rsid w:val="00513011"/>
    <w:rsid w:val="00520F4C"/>
    <w:rsid w:val="00545F63"/>
    <w:rsid w:val="0055462C"/>
    <w:rsid w:val="00573263"/>
    <w:rsid w:val="005921C3"/>
    <w:rsid w:val="005931D8"/>
    <w:rsid w:val="00593558"/>
    <w:rsid w:val="005A04E5"/>
    <w:rsid w:val="005B0F79"/>
    <w:rsid w:val="005B100C"/>
    <w:rsid w:val="005C6279"/>
    <w:rsid w:val="005E0C86"/>
    <w:rsid w:val="005F0246"/>
    <w:rsid w:val="005F58D5"/>
    <w:rsid w:val="0060273D"/>
    <w:rsid w:val="0060693A"/>
    <w:rsid w:val="00613B45"/>
    <w:rsid w:val="00613BBB"/>
    <w:rsid w:val="006356C9"/>
    <w:rsid w:val="0065131B"/>
    <w:rsid w:val="00653B98"/>
    <w:rsid w:val="0065619D"/>
    <w:rsid w:val="00663E03"/>
    <w:rsid w:val="006865E1"/>
    <w:rsid w:val="006A1DF6"/>
    <w:rsid w:val="006A55C0"/>
    <w:rsid w:val="006B5095"/>
    <w:rsid w:val="006D122F"/>
    <w:rsid w:val="006E63C3"/>
    <w:rsid w:val="006F6E72"/>
    <w:rsid w:val="00723ACD"/>
    <w:rsid w:val="0073313F"/>
    <w:rsid w:val="0073434A"/>
    <w:rsid w:val="00745C69"/>
    <w:rsid w:val="007577F3"/>
    <w:rsid w:val="00777973"/>
    <w:rsid w:val="007A21D6"/>
    <w:rsid w:val="007B59D7"/>
    <w:rsid w:val="00811F82"/>
    <w:rsid w:val="00821B71"/>
    <w:rsid w:val="0082294F"/>
    <w:rsid w:val="008279A6"/>
    <w:rsid w:val="008302FC"/>
    <w:rsid w:val="008744EB"/>
    <w:rsid w:val="00882407"/>
    <w:rsid w:val="00890480"/>
    <w:rsid w:val="00896FA2"/>
    <w:rsid w:val="008B756E"/>
    <w:rsid w:val="008C149B"/>
    <w:rsid w:val="008C4BD0"/>
    <w:rsid w:val="008C4E87"/>
    <w:rsid w:val="008D67A4"/>
    <w:rsid w:val="008E0CDC"/>
    <w:rsid w:val="00902F08"/>
    <w:rsid w:val="00907E25"/>
    <w:rsid w:val="0091770F"/>
    <w:rsid w:val="0091784C"/>
    <w:rsid w:val="0093315F"/>
    <w:rsid w:val="00937788"/>
    <w:rsid w:val="00941E51"/>
    <w:rsid w:val="00943120"/>
    <w:rsid w:val="009551AA"/>
    <w:rsid w:val="00966C00"/>
    <w:rsid w:val="009976E1"/>
    <w:rsid w:val="009A10EC"/>
    <w:rsid w:val="009C13EC"/>
    <w:rsid w:val="009D65B9"/>
    <w:rsid w:val="009F4EC6"/>
    <w:rsid w:val="00A045C1"/>
    <w:rsid w:val="00A10FFD"/>
    <w:rsid w:val="00A14F28"/>
    <w:rsid w:val="00A30865"/>
    <w:rsid w:val="00A55E40"/>
    <w:rsid w:val="00A67778"/>
    <w:rsid w:val="00A67BD3"/>
    <w:rsid w:val="00A8159A"/>
    <w:rsid w:val="00A92E2C"/>
    <w:rsid w:val="00AC000E"/>
    <w:rsid w:val="00AC4D26"/>
    <w:rsid w:val="00AF01A3"/>
    <w:rsid w:val="00B02692"/>
    <w:rsid w:val="00B976F7"/>
    <w:rsid w:val="00BA093B"/>
    <w:rsid w:val="00BB1B3A"/>
    <w:rsid w:val="00BB5881"/>
    <w:rsid w:val="00BD0580"/>
    <w:rsid w:val="00BE05A2"/>
    <w:rsid w:val="00BE5AAA"/>
    <w:rsid w:val="00BF7042"/>
    <w:rsid w:val="00C01215"/>
    <w:rsid w:val="00C14E15"/>
    <w:rsid w:val="00C2159F"/>
    <w:rsid w:val="00C3300D"/>
    <w:rsid w:val="00C54D0F"/>
    <w:rsid w:val="00C60253"/>
    <w:rsid w:val="00C706F9"/>
    <w:rsid w:val="00C74CA6"/>
    <w:rsid w:val="00C8345D"/>
    <w:rsid w:val="00C91399"/>
    <w:rsid w:val="00C97B33"/>
    <w:rsid w:val="00C97E7A"/>
    <w:rsid w:val="00CA6288"/>
    <w:rsid w:val="00CB375B"/>
    <w:rsid w:val="00CD0DF5"/>
    <w:rsid w:val="00CD4B8A"/>
    <w:rsid w:val="00CD596B"/>
    <w:rsid w:val="00CE5C7D"/>
    <w:rsid w:val="00CE7601"/>
    <w:rsid w:val="00CF4026"/>
    <w:rsid w:val="00D0215C"/>
    <w:rsid w:val="00D065BD"/>
    <w:rsid w:val="00D07712"/>
    <w:rsid w:val="00D130CB"/>
    <w:rsid w:val="00D14A61"/>
    <w:rsid w:val="00D36608"/>
    <w:rsid w:val="00D41BA6"/>
    <w:rsid w:val="00D47238"/>
    <w:rsid w:val="00D63BFF"/>
    <w:rsid w:val="00DA2879"/>
    <w:rsid w:val="00DD4111"/>
    <w:rsid w:val="00DF3FA8"/>
    <w:rsid w:val="00E021AF"/>
    <w:rsid w:val="00E23117"/>
    <w:rsid w:val="00E24805"/>
    <w:rsid w:val="00E25A1D"/>
    <w:rsid w:val="00E86061"/>
    <w:rsid w:val="00EB629D"/>
    <w:rsid w:val="00EC683E"/>
    <w:rsid w:val="00EC6D45"/>
    <w:rsid w:val="00ED6A3E"/>
    <w:rsid w:val="00F00575"/>
    <w:rsid w:val="00F01FEA"/>
    <w:rsid w:val="00F2193A"/>
    <w:rsid w:val="00F26C95"/>
    <w:rsid w:val="00F40697"/>
    <w:rsid w:val="00F6535B"/>
    <w:rsid w:val="00F800E1"/>
    <w:rsid w:val="00F85589"/>
    <w:rsid w:val="00F91408"/>
    <w:rsid w:val="00FA594B"/>
    <w:rsid w:val="00FC06D6"/>
    <w:rsid w:val="00FD374F"/>
    <w:rsid w:val="00FE43B6"/>
    <w:rsid w:val="00FF0151"/>
    <w:rsid w:val="00FF4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15C"/>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215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D0215C"/>
    <w:rPr>
      <w:color w:val="0000FF"/>
      <w:u w:val="single"/>
    </w:rPr>
  </w:style>
  <w:style w:type="paragraph" w:styleId="Header">
    <w:name w:val="header"/>
    <w:basedOn w:val="Normal"/>
    <w:link w:val="HeaderChar"/>
    <w:rsid w:val="00D0215C"/>
    <w:pPr>
      <w:tabs>
        <w:tab w:val="center" w:pos="4320"/>
        <w:tab w:val="right" w:pos="8640"/>
      </w:tabs>
    </w:pPr>
  </w:style>
  <w:style w:type="character" w:customStyle="1" w:styleId="HeaderChar">
    <w:name w:val="Header Char"/>
    <w:basedOn w:val="DefaultParagraphFont"/>
    <w:link w:val="Header"/>
    <w:rsid w:val="00D0215C"/>
    <w:rPr>
      <w:rFonts w:ascii="Times" w:eastAsia="Times" w:hAnsi="Times" w:cs="Times New Roman"/>
      <w:sz w:val="24"/>
      <w:szCs w:val="20"/>
    </w:rPr>
  </w:style>
  <w:style w:type="paragraph" w:styleId="Footer">
    <w:name w:val="footer"/>
    <w:basedOn w:val="Normal"/>
    <w:link w:val="FooterChar"/>
    <w:uiPriority w:val="99"/>
    <w:rsid w:val="00D0215C"/>
    <w:pPr>
      <w:tabs>
        <w:tab w:val="center" w:pos="4320"/>
        <w:tab w:val="right" w:pos="8640"/>
      </w:tabs>
    </w:pPr>
  </w:style>
  <w:style w:type="character" w:customStyle="1" w:styleId="FooterChar">
    <w:name w:val="Footer Char"/>
    <w:basedOn w:val="DefaultParagraphFont"/>
    <w:link w:val="Footer"/>
    <w:uiPriority w:val="99"/>
    <w:rsid w:val="00D0215C"/>
    <w:rPr>
      <w:rFonts w:ascii="Times" w:eastAsia="Times" w:hAnsi="Times" w:cs="Times New Roman"/>
      <w:sz w:val="24"/>
      <w:szCs w:val="20"/>
    </w:rPr>
  </w:style>
  <w:style w:type="character" w:styleId="CommentReference">
    <w:name w:val="annotation reference"/>
    <w:basedOn w:val="DefaultParagraphFont"/>
    <w:uiPriority w:val="99"/>
    <w:semiHidden/>
    <w:rsid w:val="00D0215C"/>
    <w:rPr>
      <w:sz w:val="16"/>
      <w:szCs w:val="16"/>
    </w:rPr>
  </w:style>
  <w:style w:type="paragraph" w:styleId="CommentText">
    <w:name w:val="annotation text"/>
    <w:basedOn w:val="Normal"/>
    <w:link w:val="CommentTextChar"/>
    <w:semiHidden/>
    <w:rsid w:val="00D0215C"/>
    <w:rPr>
      <w:sz w:val="20"/>
    </w:rPr>
  </w:style>
  <w:style w:type="character" w:customStyle="1" w:styleId="CommentTextChar">
    <w:name w:val="Comment Text Char"/>
    <w:basedOn w:val="DefaultParagraphFont"/>
    <w:link w:val="CommentText"/>
    <w:semiHidden/>
    <w:rsid w:val="00D0215C"/>
    <w:rPr>
      <w:rFonts w:ascii="Times" w:eastAsia="Times" w:hAnsi="Times" w:cs="Times New Roman"/>
      <w:sz w:val="20"/>
      <w:szCs w:val="20"/>
    </w:rPr>
  </w:style>
  <w:style w:type="character" w:styleId="PageNumber">
    <w:name w:val="page number"/>
    <w:basedOn w:val="DefaultParagraphFont"/>
    <w:rsid w:val="00D0215C"/>
  </w:style>
  <w:style w:type="paragraph" w:styleId="BalloonText">
    <w:name w:val="Balloon Text"/>
    <w:basedOn w:val="Normal"/>
    <w:link w:val="BalloonTextChar"/>
    <w:uiPriority w:val="99"/>
    <w:semiHidden/>
    <w:unhideWhenUsed/>
    <w:rsid w:val="00D0215C"/>
    <w:rPr>
      <w:rFonts w:ascii="Tahoma" w:hAnsi="Tahoma" w:cs="Tahoma"/>
      <w:sz w:val="16"/>
      <w:szCs w:val="16"/>
    </w:rPr>
  </w:style>
  <w:style w:type="character" w:customStyle="1" w:styleId="BalloonTextChar">
    <w:name w:val="Balloon Text Char"/>
    <w:basedOn w:val="DefaultParagraphFont"/>
    <w:link w:val="BalloonText"/>
    <w:uiPriority w:val="99"/>
    <w:semiHidden/>
    <w:rsid w:val="00D0215C"/>
    <w:rPr>
      <w:rFonts w:ascii="Tahoma" w:eastAsia="Times" w:hAnsi="Tahoma" w:cs="Tahoma"/>
      <w:sz w:val="16"/>
      <w:szCs w:val="16"/>
    </w:rPr>
  </w:style>
  <w:style w:type="paragraph" w:styleId="CommentSubject">
    <w:name w:val="annotation subject"/>
    <w:basedOn w:val="CommentText"/>
    <w:next w:val="CommentText"/>
    <w:link w:val="CommentSubjectChar"/>
    <w:uiPriority w:val="99"/>
    <w:semiHidden/>
    <w:unhideWhenUsed/>
    <w:rsid w:val="00937788"/>
    <w:rPr>
      <w:b/>
      <w:bCs/>
    </w:rPr>
  </w:style>
  <w:style w:type="character" w:customStyle="1" w:styleId="CommentSubjectChar">
    <w:name w:val="Comment Subject Char"/>
    <w:basedOn w:val="CommentTextChar"/>
    <w:link w:val="CommentSubject"/>
    <w:uiPriority w:val="99"/>
    <w:semiHidden/>
    <w:rsid w:val="00937788"/>
    <w:rPr>
      <w:rFonts w:ascii="Times" w:eastAsia="Times" w:hAnsi="Times" w:cs="Times New Roman"/>
      <w:b/>
      <w:bCs/>
      <w:sz w:val="20"/>
      <w:szCs w:val="20"/>
    </w:rPr>
  </w:style>
  <w:style w:type="paragraph" w:styleId="ListParagraph">
    <w:name w:val="List Paragraph"/>
    <w:basedOn w:val="Normal"/>
    <w:uiPriority w:val="34"/>
    <w:qFormat/>
    <w:rsid w:val="0060273D"/>
    <w:pPr>
      <w:ind w:left="720"/>
      <w:contextualSpacing/>
    </w:pPr>
  </w:style>
  <w:style w:type="paragraph" w:customStyle="1" w:styleId="CharChar">
    <w:name w:val="Char Char"/>
    <w:basedOn w:val="Normal"/>
    <w:rsid w:val="004B76C3"/>
    <w:pPr>
      <w:spacing w:after="160" w:line="240" w:lineRule="exact"/>
    </w:pPr>
    <w:rPr>
      <w:rFonts w:ascii="Verdana" w:eastAsia="Times New Roman" w:hAnsi="Verdana"/>
      <w:sz w:val="20"/>
    </w:rPr>
  </w:style>
  <w:style w:type="paragraph" w:styleId="NoSpacing">
    <w:name w:val="No Spacing"/>
    <w:uiPriority w:val="1"/>
    <w:qFormat/>
    <w:rsid w:val="00FE43B6"/>
    <w:pPr>
      <w:spacing w:after="0" w:line="240" w:lineRule="auto"/>
    </w:pPr>
  </w:style>
  <w:style w:type="paragraph" w:styleId="FootnoteText">
    <w:name w:val="footnote text"/>
    <w:basedOn w:val="Normal"/>
    <w:link w:val="FootnoteTextChar"/>
    <w:uiPriority w:val="99"/>
    <w:semiHidden/>
    <w:unhideWhenUsed/>
    <w:rsid w:val="00545F63"/>
    <w:rPr>
      <w:sz w:val="20"/>
    </w:rPr>
  </w:style>
  <w:style w:type="character" w:customStyle="1" w:styleId="FootnoteTextChar">
    <w:name w:val="Footnote Text Char"/>
    <w:basedOn w:val="DefaultParagraphFont"/>
    <w:link w:val="FootnoteText"/>
    <w:uiPriority w:val="99"/>
    <w:semiHidden/>
    <w:rsid w:val="00545F63"/>
    <w:rPr>
      <w:rFonts w:ascii="Times" w:eastAsia="Times" w:hAnsi="Times" w:cs="Times New Roman"/>
      <w:sz w:val="20"/>
      <w:szCs w:val="20"/>
    </w:rPr>
  </w:style>
  <w:style w:type="character" w:styleId="FootnoteReference">
    <w:name w:val="footnote reference"/>
    <w:basedOn w:val="DefaultParagraphFont"/>
    <w:uiPriority w:val="99"/>
    <w:semiHidden/>
    <w:unhideWhenUsed/>
    <w:rsid w:val="00545F6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15C"/>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215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D0215C"/>
    <w:rPr>
      <w:color w:val="0000FF"/>
      <w:u w:val="single"/>
    </w:rPr>
  </w:style>
  <w:style w:type="paragraph" w:styleId="Header">
    <w:name w:val="header"/>
    <w:basedOn w:val="Normal"/>
    <w:link w:val="HeaderChar"/>
    <w:rsid w:val="00D0215C"/>
    <w:pPr>
      <w:tabs>
        <w:tab w:val="center" w:pos="4320"/>
        <w:tab w:val="right" w:pos="8640"/>
      </w:tabs>
    </w:pPr>
  </w:style>
  <w:style w:type="character" w:customStyle="1" w:styleId="HeaderChar">
    <w:name w:val="Header Char"/>
    <w:basedOn w:val="DefaultParagraphFont"/>
    <w:link w:val="Header"/>
    <w:rsid w:val="00D0215C"/>
    <w:rPr>
      <w:rFonts w:ascii="Times" w:eastAsia="Times" w:hAnsi="Times" w:cs="Times New Roman"/>
      <w:sz w:val="24"/>
      <w:szCs w:val="20"/>
    </w:rPr>
  </w:style>
  <w:style w:type="paragraph" w:styleId="Footer">
    <w:name w:val="footer"/>
    <w:basedOn w:val="Normal"/>
    <w:link w:val="FooterChar"/>
    <w:uiPriority w:val="99"/>
    <w:rsid w:val="00D0215C"/>
    <w:pPr>
      <w:tabs>
        <w:tab w:val="center" w:pos="4320"/>
        <w:tab w:val="right" w:pos="8640"/>
      </w:tabs>
    </w:pPr>
  </w:style>
  <w:style w:type="character" w:customStyle="1" w:styleId="FooterChar">
    <w:name w:val="Footer Char"/>
    <w:basedOn w:val="DefaultParagraphFont"/>
    <w:link w:val="Footer"/>
    <w:uiPriority w:val="99"/>
    <w:rsid w:val="00D0215C"/>
    <w:rPr>
      <w:rFonts w:ascii="Times" w:eastAsia="Times" w:hAnsi="Times" w:cs="Times New Roman"/>
      <w:sz w:val="24"/>
      <w:szCs w:val="20"/>
    </w:rPr>
  </w:style>
  <w:style w:type="character" w:styleId="CommentReference">
    <w:name w:val="annotation reference"/>
    <w:basedOn w:val="DefaultParagraphFont"/>
    <w:uiPriority w:val="99"/>
    <w:semiHidden/>
    <w:rsid w:val="00D0215C"/>
    <w:rPr>
      <w:sz w:val="16"/>
      <w:szCs w:val="16"/>
    </w:rPr>
  </w:style>
  <w:style w:type="paragraph" w:styleId="CommentText">
    <w:name w:val="annotation text"/>
    <w:basedOn w:val="Normal"/>
    <w:link w:val="CommentTextChar"/>
    <w:semiHidden/>
    <w:rsid w:val="00D0215C"/>
    <w:rPr>
      <w:sz w:val="20"/>
    </w:rPr>
  </w:style>
  <w:style w:type="character" w:customStyle="1" w:styleId="CommentTextChar">
    <w:name w:val="Comment Text Char"/>
    <w:basedOn w:val="DefaultParagraphFont"/>
    <w:link w:val="CommentText"/>
    <w:semiHidden/>
    <w:rsid w:val="00D0215C"/>
    <w:rPr>
      <w:rFonts w:ascii="Times" w:eastAsia="Times" w:hAnsi="Times" w:cs="Times New Roman"/>
      <w:sz w:val="20"/>
      <w:szCs w:val="20"/>
    </w:rPr>
  </w:style>
  <w:style w:type="character" w:styleId="PageNumber">
    <w:name w:val="page number"/>
    <w:basedOn w:val="DefaultParagraphFont"/>
    <w:rsid w:val="00D0215C"/>
  </w:style>
  <w:style w:type="paragraph" w:styleId="BalloonText">
    <w:name w:val="Balloon Text"/>
    <w:basedOn w:val="Normal"/>
    <w:link w:val="BalloonTextChar"/>
    <w:uiPriority w:val="99"/>
    <w:semiHidden/>
    <w:unhideWhenUsed/>
    <w:rsid w:val="00D0215C"/>
    <w:rPr>
      <w:rFonts w:ascii="Tahoma" w:hAnsi="Tahoma" w:cs="Tahoma"/>
      <w:sz w:val="16"/>
      <w:szCs w:val="16"/>
    </w:rPr>
  </w:style>
  <w:style w:type="character" w:customStyle="1" w:styleId="BalloonTextChar">
    <w:name w:val="Balloon Text Char"/>
    <w:basedOn w:val="DefaultParagraphFont"/>
    <w:link w:val="BalloonText"/>
    <w:uiPriority w:val="99"/>
    <w:semiHidden/>
    <w:rsid w:val="00D0215C"/>
    <w:rPr>
      <w:rFonts w:ascii="Tahoma" w:eastAsia="Times" w:hAnsi="Tahoma" w:cs="Tahoma"/>
      <w:sz w:val="16"/>
      <w:szCs w:val="16"/>
    </w:rPr>
  </w:style>
  <w:style w:type="paragraph" w:styleId="CommentSubject">
    <w:name w:val="annotation subject"/>
    <w:basedOn w:val="CommentText"/>
    <w:next w:val="CommentText"/>
    <w:link w:val="CommentSubjectChar"/>
    <w:uiPriority w:val="99"/>
    <w:semiHidden/>
    <w:unhideWhenUsed/>
    <w:rsid w:val="00937788"/>
    <w:rPr>
      <w:b/>
      <w:bCs/>
    </w:rPr>
  </w:style>
  <w:style w:type="character" w:customStyle="1" w:styleId="CommentSubjectChar">
    <w:name w:val="Comment Subject Char"/>
    <w:basedOn w:val="CommentTextChar"/>
    <w:link w:val="CommentSubject"/>
    <w:uiPriority w:val="99"/>
    <w:semiHidden/>
    <w:rsid w:val="00937788"/>
    <w:rPr>
      <w:rFonts w:ascii="Times" w:eastAsia="Times" w:hAnsi="Times" w:cs="Times New Roman"/>
      <w:b/>
      <w:bCs/>
      <w:sz w:val="20"/>
      <w:szCs w:val="20"/>
    </w:rPr>
  </w:style>
  <w:style w:type="paragraph" w:styleId="ListParagraph">
    <w:name w:val="List Paragraph"/>
    <w:basedOn w:val="Normal"/>
    <w:uiPriority w:val="34"/>
    <w:qFormat/>
    <w:rsid w:val="0060273D"/>
    <w:pPr>
      <w:ind w:left="720"/>
      <w:contextualSpacing/>
    </w:pPr>
  </w:style>
  <w:style w:type="paragraph" w:customStyle="1" w:styleId="CharChar">
    <w:name w:val="Char Char"/>
    <w:basedOn w:val="Normal"/>
    <w:rsid w:val="004B76C3"/>
    <w:pPr>
      <w:spacing w:after="160" w:line="240" w:lineRule="exact"/>
    </w:pPr>
    <w:rPr>
      <w:rFonts w:ascii="Verdana" w:eastAsia="Times New Roman" w:hAnsi="Verdana"/>
      <w:sz w:val="20"/>
    </w:rPr>
  </w:style>
  <w:style w:type="paragraph" w:styleId="NoSpacing">
    <w:name w:val="No Spacing"/>
    <w:uiPriority w:val="1"/>
    <w:qFormat/>
    <w:rsid w:val="00FE43B6"/>
    <w:pPr>
      <w:spacing w:after="0" w:line="240" w:lineRule="auto"/>
    </w:pPr>
  </w:style>
  <w:style w:type="paragraph" w:styleId="FootnoteText">
    <w:name w:val="footnote text"/>
    <w:basedOn w:val="Normal"/>
    <w:link w:val="FootnoteTextChar"/>
    <w:uiPriority w:val="99"/>
    <w:semiHidden/>
    <w:unhideWhenUsed/>
    <w:rsid w:val="00545F63"/>
    <w:rPr>
      <w:sz w:val="20"/>
    </w:rPr>
  </w:style>
  <w:style w:type="character" w:customStyle="1" w:styleId="FootnoteTextChar">
    <w:name w:val="Footnote Text Char"/>
    <w:basedOn w:val="DefaultParagraphFont"/>
    <w:link w:val="FootnoteText"/>
    <w:uiPriority w:val="99"/>
    <w:semiHidden/>
    <w:rsid w:val="00545F63"/>
    <w:rPr>
      <w:rFonts w:ascii="Times" w:eastAsia="Times" w:hAnsi="Times" w:cs="Times New Roman"/>
      <w:sz w:val="20"/>
      <w:szCs w:val="20"/>
    </w:rPr>
  </w:style>
  <w:style w:type="character" w:styleId="FootnoteReference">
    <w:name w:val="footnote reference"/>
    <w:basedOn w:val="DefaultParagraphFont"/>
    <w:uiPriority w:val="99"/>
    <w:semiHidden/>
    <w:unhideWhenUsed/>
    <w:rsid w:val="00545F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3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501</IndustryCode>
    <CaseStatus xmlns="dc463f71-b30c-4ab2-9473-d307f9d35888">Closed</CaseStatus>
    <OpenedDate xmlns="dc463f71-b30c-4ab2-9473-d307f9d35888">2014-04-16T07:00:00+00:00</OpenedDate>
    <Date1 xmlns="dc463f71-b30c-4ab2-9473-d307f9d35888">2014-05-22T07:00:00+00:00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140632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C85FC38CE581B4CA6852BFAEDA4474F" ma:contentTypeVersion="175" ma:contentTypeDescription="" ma:contentTypeScope="" ma:versionID="f2cbe905c11d75ca11474882885d318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6D64B9-D6C5-4992-AF5B-046797B5EC45}"/>
</file>

<file path=customXml/itemProps2.xml><?xml version="1.0" encoding="utf-8"?>
<ds:datastoreItem xmlns:ds="http://schemas.openxmlformats.org/officeDocument/2006/customXml" ds:itemID="{16DD0CB2-7CA9-4144-BA4A-7AE18E61F158}"/>
</file>

<file path=customXml/itemProps3.xml><?xml version="1.0" encoding="utf-8"?>
<ds:datastoreItem xmlns:ds="http://schemas.openxmlformats.org/officeDocument/2006/customXml" ds:itemID="{20E296D9-8F89-46F1-BBAE-F474FA7CACE4}"/>
</file>

<file path=customXml/itemProps4.xml><?xml version="1.0" encoding="utf-8"?>
<ds:datastoreItem xmlns:ds="http://schemas.openxmlformats.org/officeDocument/2006/customXml" ds:itemID="{6FA80BDD-A3C4-4369-B7E0-BCB13EF3973E}"/>
</file>

<file path=docProps/app.xml><?xml version="1.0" encoding="utf-8"?>
<Properties xmlns="http://schemas.openxmlformats.org/officeDocument/2006/extended-properties" xmlns:vt="http://schemas.openxmlformats.org/officeDocument/2006/docPropsVTypes">
  <Template>Normal</Template>
  <TotalTime>0</TotalTime>
  <Pages>7</Pages>
  <Words>2110</Words>
  <Characters>12033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2014-05-22T22:31:00Z</dcterms:created>
  <dcterms:modified xsi:type="dcterms:W3CDTF">2014-05-22T23:00:00Z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0x0101006E56B4D1795A2E4DB2F0B01679ED314A00EC85FC38CE581B4CA6852BFAEDA4474F</vt:lpwstr>
  </property>
  <property fmtid="{D5CDD505-2E9C-101B-9397-08002B2CF9AE}" pid="4" name="_docset_NoMedatataSyncRequired">
    <vt:lpwstr>False</vt:lpwstr>
  </property>
</Properties>
</file>