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7BDB6" w14:textId="03064269" w:rsidR="00E3570F" w:rsidRPr="00EA7CBD" w:rsidRDefault="00E3570F" w:rsidP="00E3570F">
      <w:bookmarkStart w:id="0" w:name="_GoBack"/>
      <w:bookmarkEnd w:id="0"/>
      <w:r w:rsidRPr="007E4BA2">
        <w:t>Agenda Date:</w:t>
      </w:r>
      <w:r>
        <w:tab/>
      </w:r>
      <w:r w:rsidRPr="007E4BA2">
        <w:rPr>
          <w:caps/>
        </w:rPr>
        <w:tab/>
      </w:r>
      <w:r>
        <w:t xml:space="preserve">October </w:t>
      </w:r>
      <w:r w:rsidR="007C0D6D">
        <w:t>30</w:t>
      </w:r>
      <w:r>
        <w:t>, 201</w:t>
      </w:r>
      <w:r w:rsidR="00235454">
        <w:t>3</w:t>
      </w:r>
    </w:p>
    <w:p w14:paraId="4DC7BDB7" w14:textId="0ABB0E22" w:rsidR="00E3570F" w:rsidRPr="00EA7CBD" w:rsidRDefault="00E3570F" w:rsidP="00E3570F">
      <w:r>
        <w:t>Item Number</w:t>
      </w:r>
      <w:r w:rsidRPr="007E4BA2">
        <w:rPr>
          <w:caps/>
        </w:rPr>
        <w:t>:</w:t>
      </w:r>
      <w:r>
        <w:rPr>
          <w:caps/>
        </w:rPr>
        <w:tab/>
      </w:r>
      <w:r>
        <w:rPr>
          <w:caps/>
        </w:rPr>
        <w:tab/>
        <w:t>A</w:t>
      </w:r>
      <w:r w:rsidR="002A2D5C">
        <w:rPr>
          <w:caps/>
        </w:rPr>
        <w:t>8</w:t>
      </w:r>
    </w:p>
    <w:p w14:paraId="4DC7BDB8" w14:textId="77777777" w:rsidR="00E3570F" w:rsidRPr="00EA7CBD" w:rsidRDefault="00E3570F" w:rsidP="00E3570F"/>
    <w:p w14:paraId="4DC7BDB9" w14:textId="3A6E9081" w:rsidR="00E3570F" w:rsidRPr="002960B9" w:rsidRDefault="00E3570F" w:rsidP="00E3570F">
      <w:pPr>
        <w:rPr>
          <w:b/>
        </w:rPr>
      </w:pPr>
      <w:r w:rsidRPr="002960B9">
        <w:rPr>
          <w:b/>
        </w:rPr>
        <w:t>Docket:</w:t>
      </w:r>
      <w:r w:rsidRPr="002960B9">
        <w:rPr>
          <w:b/>
        </w:rPr>
        <w:tab/>
      </w:r>
      <w:r>
        <w:rPr>
          <w:b/>
        </w:rPr>
        <w:tab/>
      </w:r>
      <w:r w:rsidRPr="002960B9">
        <w:rPr>
          <w:b/>
        </w:rPr>
        <w:t>UG-1</w:t>
      </w:r>
      <w:r w:rsidR="007C0D6D">
        <w:rPr>
          <w:b/>
        </w:rPr>
        <w:t>31748</w:t>
      </w:r>
    </w:p>
    <w:p w14:paraId="4DC7BDBA" w14:textId="77777777" w:rsidR="00E3570F" w:rsidRPr="00EA7CBD" w:rsidRDefault="00E3570F" w:rsidP="00E3570F">
      <w:r w:rsidRPr="007E4BA2">
        <w:t>Company Name:</w:t>
      </w:r>
      <w:r w:rsidRPr="00EA7CBD">
        <w:tab/>
      </w:r>
      <w:r>
        <w:t>Avista Corporation</w:t>
      </w:r>
    </w:p>
    <w:p w14:paraId="4DC7BDBB" w14:textId="77777777" w:rsidR="00E3570F" w:rsidRPr="00EA7CBD" w:rsidRDefault="00E3570F" w:rsidP="00E3570F"/>
    <w:p w14:paraId="4DC7BDBC" w14:textId="77777777" w:rsidR="00E3570F" w:rsidRDefault="00E3570F" w:rsidP="00E3570F">
      <w:r w:rsidRPr="007E4BA2">
        <w:t>Staff:</w:t>
      </w:r>
      <w:r w:rsidRPr="007E4BA2">
        <w:tab/>
      </w:r>
      <w:r>
        <w:tab/>
      </w:r>
      <w:r w:rsidRPr="00EA7CBD">
        <w:tab/>
      </w:r>
      <w:r>
        <w:t>E. J. Keating, Regulatory Analyst</w:t>
      </w:r>
    </w:p>
    <w:p w14:paraId="4DC7BDBD" w14:textId="141E45A0" w:rsidR="00E3570F" w:rsidRDefault="00E3570F" w:rsidP="00E3570F">
      <w:r>
        <w:tab/>
      </w:r>
      <w:r>
        <w:tab/>
      </w:r>
      <w:r>
        <w:tab/>
      </w:r>
      <w:r w:rsidR="007C0D6D">
        <w:t>Jason Ball</w:t>
      </w:r>
      <w:r>
        <w:t>, Regulatory Analyst</w:t>
      </w:r>
    </w:p>
    <w:p w14:paraId="4DC7BDBE" w14:textId="77777777" w:rsidR="00504B26" w:rsidRPr="00EA7CBD" w:rsidRDefault="00504B26" w:rsidP="00E3570F"/>
    <w:p w14:paraId="4DC7BDBF" w14:textId="77777777" w:rsidR="00E3570F" w:rsidRDefault="00E3570F" w:rsidP="00E3570F">
      <w:pPr>
        <w:spacing w:after="120"/>
      </w:pPr>
    </w:p>
    <w:p w14:paraId="4DC7BDC0" w14:textId="77777777" w:rsidR="00E3570F" w:rsidRDefault="00E3570F" w:rsidP="00E3570F">
      <w:pPr>
        <w:spacing w:after="120"/>
        <w:rPr>
          <w:b/>
          <w:u w:val="single"/>
        </w:rPr>
      </w:pPr>
      <w:r w:rsidRPr="00883CAE">
        <w:rPr>
          <w:b/>
          <w:u w:val="single"/>
        </w:rPr>
        <w:t>Recommendation</w:t>
      </w:r>
    </w:p>
    <w:p w14:paraId="4DC7BDC1" w14:textId="6BD98773" w:rsidR="00E3570F" w:rsidRPr="00F273C6" w:rsidRDefault="00235454" w:rsidP="00E357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Take no action, thereby allowing </w:t>
      </w:r>
      <w:r w:rsidR="00E3570F" w:rsidRPr="00F273C6">
        <w:t xml:space="preserve">the Tariff Revisions filed by </w:t>
      </w:r>
      <w:r w:rsidR="00E3570F">
        <w:t xml:space="preserve">Avista Corporation in Docket </w:t>
      </w:r>
      <w:r w:rsidR="00007415">
        <w:t xml:space="preserve"> </w:t>
      </w:r>
      <w:r w:rsidR="00E3570F">
        <w:t>UG-1</w:t>
      </w:r>
      <w:r>
        <w:t>31748</w:t>
      </w:r>
      <w:r w:rsidR="00E3570F" w:rsidRPr="00F273C6">
        <w:t xml:space="preserve">, </w:t>
      </w:r>
      <w:r>
        <w:t>to take effect November 1, 2013</w:t>
      </w:r>
      <w:r w:rsidR="00007415">
        <w:t>,</w:t>
      </w:r>
      <w:r>
        <w:t xml:space="preserve"> by operation of law.</w:t>
      </w:r>
    </w:p>
    <w:p w14:paraId="4DC7BDC2" w14:textId="1EEB698C" w:rsidR="00E3570F" w:rsidRDefault="00E3570F" w:rsidP="00E3570F">
      <w:pPr>
        <w:spacing w:after="120"/>
        <w:rPr>
          <w:b/>
          <w:u w:val="single"/>
        </w:rPr>
      </w:pPr>
    </w:p>
    <w:p w14:paraId="4DC7BDC3" w14:textId="77777777" w:rsidR="00E3570F" w:rsidRDefault="00E3570F" w:rsidP="00E3570F">
      <w:pPr>
        <w:spacing w:after="120"/>
        <w:rPr>
          <w:b/>
          <w:u w:val="single"/>
        </w:rPr>
      </w:pPr>
      <w:r w:rsidRPr="00883CAE">
        <w:rPr>
          <w:b/>
          <w:u w:val="single"/>
        </w:rPr>
        <w:t>Background</w:t>
      </w:r>
    </w:p>
    <w:p w14:paraId="4DC7BDC4" w14:textId="1A16B237" w:rsidR="00E3570F" w:rsidRDefault="00E3570F" w:rsidP="00E3570F">
      <w:pPr>
        <w:spacing w:after="120"/>
      </w:pPr>
      <w:r>
        <w:t>On September 13, 201</w:t>
      </w:r>
      <w:r w:rsidR="00235454">
        <w:t>3</w:t>
      </w:r>
      <w:r>
        <w:t>, Avista</w:t>
      </w:r>
      <w:r w:rsidR="00603BE1">
        <w:t xml:space="preserve"> Corporation (Avista or company)</w:t>
      </w:r>
      <w:r>
        <w:t xml:space="preserve"> filed revisions to its Purchase Gas Adjustment (PGA) and deferred gas cost amortization tariffs in Docket UG-1</w:t>
      </w:r>
      <w:r w:rsidR="00235454">
        <w:t>31748</w:t>
      </w:r>
      <w:r>
        <w:t>. The net effect of the proposed filings is a</w:t>
      </w:r>
      <w:r w:rsidR="00235454">
        <w:t>n</w:t>
      </w:r>
      <w:r>
        <w:t xml:space="preserve"> </w:t>
      </w:r>
      <w:r w:rsidR="00235454">
        <w:t>increase</w:t>
      </w:r>
      <w:r>
        <w:t xml:space="preserve"> in annual gas revenue of $</w:t>
      </w:r>
      <w:r w:rsidR="00235454">
        <w:t>13.7</w:t>
      </w:r>
      <w:r>
        <w:t xml:space="preserve"> million or approximately </w:t>
      </w:r>
      <w:r w:rsidR="00235454">
        <w:t>9.2</w:t>
      </w:r>
      <w:r>
        <w:t xml:space="preserve"> percent.</w:t>
      </w:r>
    </w:p>
    <w:p w14:paraId="7B21DDAF" w14:textId="505D421E" w:rsidR="00E76C46" w:rsidRPr="00AA0F8A" w:rsidRDefault="00AA0F8A" w:rsidP="00E3570F">
      <w:pPr>
        <w:spacing w:after="120"/>
      </w:pPr>
      <w:r>
        <w:rPr>
          <w:u w:val="single"/>
        </w:rPr>
        <w:t>Docket</w:t>
      </w:r>
      <w:r>
        <w:rPr>
          <w:u w:val="single"/>
        </w:rPr>
        <w:tab/>
      </w:r>
      <w:r>
        <w:tab/>
      </w:r>
      <w:r>
        <w:tab/>
      </w:r>
      <w:r w:rsidRPr="00AA0F8A">
        <w:rPr>
          <w:u w:val="single"/>
        </w:rPr>
        <w:t>Description</w:t>
      </w:r>
      <w:r>
        <w:tab/>
      </w:r>
      <w:r>
        <w:tab/>
      </w:r>
      <w:r>
        <w:rPr>
          <w:u w:val="single"/>
        </w:rPr>
        <w:t>Revenue Change</w:t>
      </w:r>
      <w:r>
        <w:tab/>
      </w:r>
      <w:r w:rsidRPr="00AA0F8A">
        <w:rPr>
          <w:u w:val="single"/>
        </w:rPr>
        <w:t>Percent of Total Revenue</w:t>
      </w:r>
      <w:r>
        <w:tab/>
      </w:r>
    </w:p>
    <w:p w14:paraId="56F50723" w14:textId="27C95ED9" w:rsidR="00AA0F8A" w:rsidRDefault="00AA0F8A" w:rsidP="00AA0F8A">
      <w:r>
        <w:t>UG-131748</w:t>
      </w:r>
      <w:r>
        <w:tab/>
      </w:r>
      <w:r>
        <w:tab/>
        <w:t>Forward-Looking</w:t>
      </w:r>
      <w:r>
        <w:tab/>
        <w:t>$</w:t>
      </w:r>
      <w:r w:rsidR="00372428">
        <w:t xml:space="preserve"> </w:t>
      </w:r>
      <w:r>
        <w:t>7,426,448</w:t>
      </w:r>
      <w:r>
        <w:tab/>
      </w:r>
      <w:r>
        <w:tab/>
      </w:r>
      <w:r w:rsidR="00372428">
        <w:t>5.00</w:t>
      </w:r>
      <w:r>
        <w:t xml:space="preserve"> percent</w:t>
      </w:r>
    </w:p>
    <w:p w14:paraId="0747FF73" w14:textId="73487CCD" w:rsidR="00AA0F8A" w:rsidRDefault="00AA0F8A" w:rsidP="00AA0F8A">
      <w:r>
        <w:t>UG-131748</w:t>
      </w:r>
      <w:r>
        <w:tab/>
      </w:r>
      <w:r>
        <w:tab/>
        <w:t>Amortization</w:t>
      </w:r>
      <w:r>
        <w:tab/>
      </w:r>
      <w:r>
        <w:tab/>
      </w:r>
      <w:r w:rsidRPr="00372428">
        <w:rPr>
          <w:u w:val="single"/>
        </w:rPr>
        <w:t>$</w:t>
      </w:r>
      <w:r w:rsidR="00372428">
        <w:rPr>
          <w:u w:val="single"/>
        </w:rPr>
        <w:t xml:space="preserve"> </w:t>
      </w:r>
      <w:r w:rsidRPr="00372428">
        <w:rPr>
          <w:u w:val="single"/>
        </w:rPr>
        <w:t>6,270,611</w:t>
      </w:r>
      <w:r>
        <w:tab/>
      </w:r>
      <w:r>
        <w:tab/>
      </w:r>
      <w:r w:rsidRPr="00372428">
        <w:rPr>
          <w:u w:val="single"/>
        </w:rPr>
        <w:t>4.</w:t>
      </w:r>
      <w:r w:rsidR="00372428" w:rsidRPr="00372428">
        <w:rPr>
          <w:u w:val="single"/>
        </w:rPr>
        <w:t>21</w:t>
      </w:r>
      <w:r w:rsidRPr="00372428">
        <w:rPr>
          <w:u w:val="single"/>
        </w:rPr>
        <w:t xml:space="preserve"> percent</w:t>
      </w:r>
    </w:p>
    <w:p w14:paraId="07696628" w14:textId="67F2078B" w:rsidR="00372428" w:rsidRDefault="00372428" w:rsidP="00AA0F8A">
      <w:pPr>
        <w:rPr>
          <w:u w:val="double"/>
        </w:rPr>
      </w:pPr>
      <w:r>
        <w:t>Total Impact of Rate Changes</w:t>
      </w:r>
      <w:r>
        <w:tab/>
      </w:r>
      <w:r>
        <w:tab/>
      </w:r>
      <w:r>
        <w:tab/>
      </w:r>
      <w:r w:rsidRPr="00372428">
        <w:rPr>
          <w:u w:val="double"/>
        </w:rPr>
        <w:t>$13,697,059</w:t>
      </w:r>
      <w:r>
        <w:tab/>
      </w:r>
      <w:r>
        <w:tab/>
      </w:r>
      <w:r>
        <w:rPr>
          <w:u w:val="double"/>
        </w:rPr>
        <w:t>9.21 percent</w:t>
      </w:r>
    </w:p>
    <w:p w14:paraId="4B18597B" w14:textId="77777777" w:rsidR="00372428" w:rsidRPr="00372428" w:rsidRDefault="00372428" w:rsidP="00AA0F8A">
      <w:pPr>
        <w:rPr>
          <w:u w:val="double"/>
        </w:rPr>
      </w:pPr>
    </w:p>
    <w:p w14:paraId="4DC7BDC5" w14:textId="62E6C90D" w:rsidR="00E3570F" w:rsidRPr="005D146A" w:rsidRDefault="00E3570F" w:rsidP="00E3570F">
      <w:pPr>
        <w:spacing w:after="120"/>
      </w:pPr>
      <w:r>
        <w:t>The PGA and deferred gas cost amortization mechanisms are designed to pass through to customers the utility’s actual cost of natural gas on a periodic basis. The PGA establishes for the upcoming year a projection of the utility’s gas costs reflected in Schedule 15</w:t>
      </w:r>
      <w:r w:rsidR="00235454">
        <w:t>0</w:t>
      </w:r>
      <w:r w:rsidR="00726B7D">
        <w:t>.</w:t>
      </w:r>
      <w:r>
        <w:t xml:space="preserve"> The difference between the projected cost from the previous PGA filing, and the actual cost incurred for the period, is deferred and ultimately amortized </w:t>
      </w:r>
      <w:r w:rsidR="00F878EC">
        <w:t>back to customers with interest</w:t>
      </w:r>
      <w:r>
        <w:t xml:space="preserve"> as a refund or a </w:t>
      </w:r>
      <w:r w:rsidRPr="005D146A">
        <w:t>surcharge reflected in Schedule 155.</w:t>
      </w:r>
    </w:p>
    <w:p w14:paraId="08AF00F3" w14:textId="594CD8BC" w:rsidR="00CB53EC" w:rsidRDefault="00E3570F" w:rsidP="00E3570F">
      <w:pPr>
        <w:spacing w:after="120"/>
      </w:pPr>
      <w:r>
        <w:t>Avista, a combined electric and gas utility, serves approximately 1</w:t>
      </w:r>
      <w:r w:rsidR="009A1B6B">
        <w:t>50</w:t>
      </w:r>
      <w:r>
        <w:t>,000 gas customers in Eastern Washington.</w:t>
      </w:r>
    </w:p>
    <w:p w14:paraId="6BE00536" w14:textId="7B08D422" w:rsidR="00333BB7" w:rsidRPr="00A85FC6" w:rsidRDefault="00E3570F" w:rsidP="00E3570F">
      <w:pPr>
        <w:spacing w:after="120"/>
        <w:rPr>
          <w:b/>
          <w:u w:val="single"/>
        </w:rPr>
      </w:pPr>
      <w:r w:rsidRPr="00A85FC6">
        <w:rPr>
          <w:b/>
          <w:u w:val="single"/>
        </w:rPr>
        <w:t>Discussion</w:t>
      </w:r>
    </w:p>
    <w:p w14:paraId="4DC7BDCD" w14:textId="2D419FB8" w:rsidR="00E3570F" w:rsidRPr="0090455B" w:rsidRDefault="005C5EC6" w:rsidP="00E3570F">
      <w:pPr>
        <w:spacing w:after="120"/>
        <w:rPr>
          <w:b/>
        </w:rPr>
      </w:pPr>
      <w:r>
        <w:rPr>
          <w:b/>
        </w:rPr>
        <w:t>Purchased Gas Adjustment</w:t>
      </w:r>
    </w:p>
    <w:p w14:paraId="606CF7B7" w14:textId="77777777" w:rsidR="0041214F" w:rsidRDefault="00E3570F" w:rsidP="00E3570F">
      <w:pPr>
        <w:spacing w:after="120"/>
      </w:pPr>
      <w:r>
        <w:t>Avista’s Schedule 15</w:t>
      </w:r>
      <w:r w:rsidR="00974D1B">
        <w:t>0</w:t>
      </w:r>
      <w:r>
        <w:t xml:space="preserve"> reflects the projected costs of purchased gas for the coming </w:t>
      </w:r>
      <w:r w:rsidR="00F878EC">
        <w:t xml:space="preserve">PGA </w:t>
      </w:r>
      <w:r>
        <w:t>year; November 201</w:t>
      </w:r>
      <w:r w:rsidR="00974D1B">
        <w:t>3</w:t>
      </w:r>
      <w:r>
        <w:t xml:space="preserve"> through October 201</w:t>
      </w:r>
      <w:r w:rsidR="00974D1B">
        <w:t>4</w:t>
      </w:r>
      <w:r>
        <w:t>. In its filing, the company proposes an estimated residential weighted aver</w:t>
      </w:r>
      <w:r w:rsidR="00974D1B">
        <w:t>age cost of gas (WACOG) of $0.47578</w:t>
      </w:r>
      <w:r>
        <w:t xml:space="preserve"> per therm ($0.3</w:t>
      </w:r>
      <w:r w:rsidR="00974D1B">
        <w:t>628</w:t>
      </w:r>
      <w:r>
        <w:t xml:space="preserve"> commodity and $0.1</w:t>
      </w:r>
      <w:r w:rsidR="00974D1B">
        <w:t>1298</w:t>
      </w:r>
      <w:r>
        <w:t xml:space="preserve"> demand) resulting in an estimated overall annual </w:t>
      </w:r>
      <w:r w:rsidR="00974D1B">
        <w:t>increase</w:t>
      </w:r>
      <w:r>
        <w:t xml:space="preserve"> in sales revenues of approximately $</w:t>
      </w:r>
      <w:r w:rsidR="005C5EC6">
        <w:t>7.4</w:t>
      </w:r>
      <w:r>
        <w:t xml:space="preserve"> </w:t>
      </w:r>
      <w:r w:rsidR="005C5EC6">
        <w:t>million</w:t>
      </w:r>
      <w:r w:rsidR="00333BB7">
        <w:t xml:space="preserve">. </w:t>
      </w:r>
    </w:p>
    <w:p w14:paraId="0E90FEDC" w14:textId="77777777" w:rsidR="00E76C46" w:rsidRDefault="00333BB7" w:rsidP="00141192">
      <w:pPr>
        <w:spacing w:after="120"/>
        <w:rPr>
          <w:color w:val="000000"/>
        </w:rPr>
      </w:pPr>
      <w:r>
        <w:t>Avista’s Schedule 155 reflects</w:t>
      </w:r>
      <w:r>
        <w:rPr>
          <w:color w:val="000000"/>
        </w:rPr>
        <w:t xml:space="preserve"> deferred costs that are the result of differences between prior years</w:t>
      </w:r>
      <w:r w:rsidR="00E30986">
        <w:rPr>
          <w:color w:val="000000"/>
        </w:rPr>
        <w:t xml:space="preserve"> projected </w:t>
      </w:r>
      <w:r w:rsidR="0041214F">
        <w:rPr>
          <w:color w:val="000000"/>
        </w:rPr>
        <w:t>gas costs</w:t>
      </w:r>
      <w:r w:rsidR="00E30986">
        <w:rPr>
          <w:color w:val="000000"/>
        </w:rPr>
        <w:t xml:space="preserve"> and the actual </w:t>
      </w:r>
      <w:r>
        <w:rPr>
          <w:color w:val="000000"/>
        </w:rPr>
        <w:t>realized</w:t>
      </w:r>
      <w:r w:rsidR="00E30986">
        <w:rPr>
          <w:color w:val="000000"/>
        </w:rPr>
        <w:t xml:space="preserve"> costs</w:t>
      </w:r>
      <w:r w:rsidR="00B43B36">
        <w:rPr>
          <w:color w:val="000000"/>
        </w:rPr>
        <w:t>.</w:t>
      </w:r>
      <w:r>
        <w:rPr>
          <w:color w:val="000000"/>
        </w:rPr>
        <w:t xml:space="preserve"> In this filing the difference between</w:t>
      </w:r>
      <w:r w:rsidR="0041214F">
        <w:rPr>
          <w:color w:val="000000"/>
        </w:rPr>
        <w:t xml:space="preserve"> </w:t>
      </w:r>
      <w:r>
        <w:rPr>
          <w:color w:val="000000"/>
        </w:rPr>
        <w:t xml:space="preserve">prior </w:t>
      </w:r>
      <w:r w:rsidR="00AF4467">
        <w:rPr>
          <w:color w:val="000000"/>
        </w:rPr>
        <w:t>year’s</w:t>
      </w:r>
      <w:r w:rsidR="0041214F">
        <w:rPr>
          <w:color w:val="000000"/>
        </w:rPr>
        <w:t xml:space="preserve"> deferral balance</w:t>
      </w:r>
      <w:r w:rsidR="00AF4467">
        <w:rPr>
          <w:color w:val="000000"/>
        </w:rPr>
        <w:t>s</w:t>
      </w:r>
      <w:r w:rsidR="0041214F">
        <w:rPr>
          <w:color w:val="000000"/>
        </w:rPr>
        <w:t xml:space="preserve"> and the current year deferral balance res</w:t>
      </w:r>
      <w:r>
        <w:rPr>
          <w:color w:val="000000"/>
        </w:rPr>
        <w:t xml:space="preserve">ulted in a </w:t>
      </w:r>
      <w:r w:rsidR="002B579F">
        <w:rPr>
          <w:color w:val="000000"/>
        </w:rPr>
        <w:t xml:space="preserve">net </w:t>
      </w:r>
      <w:r>
        <w:rPr>
          <w:color w:val="000000"/>
        </w:rPr>
        <w:t>surcharge to customers</w:t>
      </w:r>
      <w:r w:rsidR="002B6533">
        <w:rPr>
          <w:color w:val="000000"/>
        </w:rPr>
        <w:t xml:space="preserve"> of approximately $6.3 million.</w:t>
      </w:r>
    </w:p>
    <w:p w14:paraId="4A4DBB14" w14:textId="6B8DF178" w:rsidR="00333BB7" w:rsidRPr="00333BB7" w:rsidRDefault="00333BB7" w:rsidP="00141192">
      <w:pPr>
        <w:spacing w:after="120"/>
        <w:rPr>
          <w:b/>
        </w:rPr>
      </w:pPr>
      <w:r>
        <w:rPr>
          <w:b/>
        </w:rPr>
        <w:lastRenderedPageBreak/>
        <w:t>Commodity Cost</w:t>
      </w:r>
    </w:p>
    <w:p w14:paraId="6B502F17" w14:textId="5BF0F546" w:rsidR="00BC13EC" w:rsidRDefault="00BC13EC" w:rsidP="00BC13EC">
      <w:pPr>
        <w:spacing w:after="120"/>
      </w:pPr>
      <w:r>
        <w:t>In arriving at an estimated commodity cost for the coming year, the company uses a variety of known and estimated inputs. Known inputs include volume of gas to be delivered within the P</w:t>
      </w:r>
      <w:r w:rsidR="003918C9">
        <w:t>GA year hedged at a fixed price and</w:t>
      </w:r>
      <w:r>
        <w:t xml:space="preserve"> actual cost and volume of gas in storage</w:t>
      </w:r>
      <w:r w:rsidR="003918C9">
        <w:t>.</w:t>
      </w:r>
      <w:r w:rsidR="00E576C6">
        <w:t xml:space="preserve"> </w:t>
      </w:r>
      <w:r>
        <w:t>Estimated inputs include load for the PGA year, future spot</w:t>
      </w:r>
      <w:r w:rsidR="00807CB9">
        <w:t>/index</w:t>
      </w:r>
      <w:r>
        <w:t xml:space="preserve"> prices</w:t>
      </w:r>
      <w:r w:rsidR="00F878EC">
        <w:t>,</w:t>
      </w:r>
      <w:r>
        <w:t xml:space="preserve"> and </w:t>
      </w:r>
      <w:r w:rsidR="00F878EC">
        <w:t xml:space="preserve">fixed price </w:t>
      </w:r>
      <w:r>
        <w:t xml:space="preserve">hedges that will be transacted in, and for, the PGA year. </w:t>
      </w:r>
    </w:p>
    <w:p w14:paraId="09CF12B8" w14:textId="5904CC92" w:rsidR="00356656" w:rsidRDefault="005571D9" w:rsidP="00356656">
      <w:pPr>
        <w:spacing w:after="120"/>
      </w:pPr>
      <w:r>
        <w:t>Approximately</w:t>
      </w:r>
      <w:r w:rsidR="00E3570F">
        <w:t xml:space="preserve"> </w:t>
      </w:r>
      <w:r w:rsidR="00356656">
        <w:t>4</w:t>
      </w:r>
      <w:r w:rsidR="00A7009C">
        <w:t>0</w:t>
      </w:r>
      <w:r w:rsidR="00CD0A6F">
        <w:t xml:space="preserve"> percent</w:t>
      </w:r>
      <w:r w:rsidR="00E3570F">
        <w:t xml:space="preserve"> of </w:t>
      </w:r>
      <w:r w:rsidR="002374DD">
        <w:t>Avista’s</w:t>
      </w:r>
      <w:r w:rsidR="00E3570F">
        <w:t xml:space="preserve"> estimated annual load requirement</w:t>
      </w:r>
      <w:r w:rsidR="00726B7D">
        <w:t xml:space="preserve">s are hedged at a fixed price. </w:t>
      </w:r>
      <w:r w:rsidR="00E3570F">
        <w:t>The p</w:t>
      </w:r>
      <w:r w:rsidR="00726B7D">
        <w:t>ortion hedged is comprised of</w:t>
      </w:r>
      <w:r w:rsidR="00E3570F">
        <w:t xml:space="preserve"> </w:t>
      </w:r>
      <w:r w:rsidR="009F5886">
        <w:t xml:space="preserve">two types of hedging arrangements: </w:t>
      </w:r>
      <w:r w:rsidR="00411B71">
        <w:t>fixed price</w:t>
      </w:r>
      <w:r w:rsidR="00A82791">
        <w:t xml:space="preserve"> </w:t>
      </w:r>
      <w:r w:rsidR="00E3570F">
        <w:t>hedges</w:t>
      </w:r>
      <w:r w:rsidR="009F5886">
        <w:t xml:space="preserve"> </w:t>
      </w:r>
      <w:r w:rsidR="00FD2C74">
        <w:t>lasting</w:t>
      </w:r>
      <w:r w:rsidR="009F5886">
        <w:t xml:space="preserve"> one-year or less </w:t>
      </w:r>
      <w:r w:rsidR="00E3570F">
        <w:t>representing about 1</w:t>
      </w:r>
      <w:r w:rsidR="00A7009C">
        <w:t>1</w:t>
      </w:r>
      <w:r w:rsidR="00726B7D">
        <w:t xml:space="preserve"> percent</w:t>
      </w:r>
      <w:r w:rsidR="00E3570F">
        <w:t xml:space="preserve"> of the volume, </w:t>
      </w:r>
      <w:r w:rsidR="00356656">
        <w:t>and</w:t>
      </w:r>
      <w:r w:rsidR="00E3570F">
        <w:t xml:space="preserve"> prior multi-year </w:t>
      </w:r>
      <w:r w:rsidR="00411B71">
        <w:t>fixed price</w:t>
      </w:r>
      <w:r w:rsidR="00A82791">
        <w:t xml:space="preserve"> </w:t>
      </w:r>
      <w:r w:rsidR="00E3570F">
        <w:t xml:space="preserve">hedges representing about </w:t>
      </w:r>
      <w:r w:rsidR="00A7009C">
        <w:t>29</w:t>
      </w:r>
      <w:r w:rsidR="00522EA2">
        <w:t xml:space="preserve"> </w:t>
      </w:r>
      <w:r w:rsidR="00726B7D">
        <w:t>percent</w:t>
      </w:r>
      <w:r w:rsidR="00E3570F">
        <w:t xml:space="preserve"> of the volume</w:t>
      </w:r>
      <w:r w:rsidR="00356656">
        <w:t>.</w:t>
      </w:r>
      <w:r w:rsidR="00E3570F">
        <w:t xml:space="preserve"> </w:t>
      </w:r>
    </w:p>
    <w:p w14:paraId="4A00A9F7" w14:textId="73A9A93F" w:rsidR="00BC40D6" w:rsidRDefault="00356656" w:rsidP="00E3570F">
      <w:pPr>
        <w:spacing w:after="120"/>
      </w:pPr>
      <w:r>
        <w:t xml:space="preserve">The </w:t>
      </w:r>
      <w:r w:rsidR="00AA5E5D">
        <w:t xml:space="preserve">remaining </w:t>
      </w:r>
      <w:r>
        <w:t xml:space="preserve">balance of Avista’s </w:t>
      </w:r>
      <w:r w:rsidR="00604833">
        <w:t xml:space="preserve">estimated </w:t>
      </w:r>
      <w:r>
        <w:t xml:space="preserve">annual load </w:t>
      </w:r>
      <w:r w:rsidR="00604833">
        <w:t>is</w:t>
      </w:r>
      <w:r>
        <w:t xml:space="preserve"> based on the price of gas stored in Jackson Prairie (2</w:t>
      </w:r>
      <w:r w:rsidR="00082716">
        <w:t>1</w:t>
      </w:r>
      <w:r>
        <w:t xml:space="preserve"> percent) and estimates of remaining load to be transacted at index/spot market prices (3</w:t>
      </w:r>
      <w:r w:rsidR="0041214F">
        <w:t>9</w:t>
      </w:r>
      <w:r>
        <w:t xml:space="preserve"> percent.) </w:t>
      </w:r>
      <w:r w:rsidR="00E3570F">
        <w:t xml:space="preserve">Avista uses a 30-day historical average of forward prices, ending </w:t>
      </w:r>
      <w:r w:rsidR="00FA5115">
        <w:t>August</w:t>
      </w:r>
      <w:r w:rsidR="00E3570F">
        <w:t xml:space="preserve"> </w:t>
      </w:r>
      <w:r w:rsidR="00FA5115">
        <w:t>2</w:t>
      </w:r>
      <w:r w:rsidR="00E3570F">
        <w:t>6, 201</w:t>
      </w:r>
      <w:r w:rsidR="00FA5115">
        <w:t>3</w:t>
      </w:r>
      <w:r w:rsidR="00E3570F">
        <w:t xml:space="preserve">, by </w:t>
      </w:r>
      <w:r w:rsidR="00E3570F" w:rsidRPr="0041214F">
        <w:t>supply basin to</w:t>
      </w:r>
      <w:r w:rsidR="00E3570F">
        <w:t xml:space="preserve"> develop the estimate of index/spot purchases</w:t>
      </w:r>
      <w:r w:rsidR="00354A2D">
        <w:t>.</w:t>
      </w:r>
      <w:r w:rsidR="00E3570F">
        <w:t xml:space="preserve"> </w:t>
      </w:r>
      <w:r w:rsidR="00354A2D">
        <w:t xml:space="preserve">In today’s filing </w:t>
      </w:r>
      <w:r>
        <w:t xml:space="preserve">Avista’s estimated commodity costs are projected to </w:t>
      </w:r>
      <w:r w:rsidR="00E576C6">
        <w:t>increase</w:t>
      </w:r>
      <w:r>
        <w:t xml:space="preserve"> by $0.03</w:t>
      </w:r>
      <w:r w:rsidR="0041214F">
        <w:t>228</w:t>
      </w:r>
      <w:r>
        <w:t xml:space="preserve"> per therm </w:t>
      </w:r>
      <w:r w:rsidR="00354A2D">
        <w:t xml:space="preserve">from the current commodity cost of $0.33052 </w:t>
      </w:r>
      <w:r w:rsidR="00E576C6">
        <w:t xml:space="preserve">to $0.36280 </w:t>
      </w:r>
      <w:r w:rsidR="00354A2D">
        <w:t xml:space="preserve">for the upcoming </w:t>
      </w:r>
      <w:r w:rsidR="00E576C6">
        <w:t xml:space="preserve">PGA </w:t>
      </w:r>
      <w:r w:rsidR="00354A2D">
        <w:t>period</w:t>
      </w:r>
      <w:r w:rsidR="00E576C6">
        <w:t xml:space="preserve"> of</w:t>
      </w:r>
      <w:r>
        <w:t xml:space="preserve"> November 201</w:t>
      </w:r>
      <w:r w:rsidR="00E576C6">
        <w:t>3</w:t>
      </w:r>
      <w:r>
        <w:t xml:space="preserve"> </w:t>
      </w:r>
      <w:r w:rsidR="00354A2D">
        <w:t xml:space="preserve">to </w:t>
      </w:r>
      <w:r>
        <w:t>October</w:t>
      </w:r>
      <w:r w:rsidR="00354A2D">
        <w:t xml:space="preserve"> 201</w:t>
      </w:r>
      <w:r w:rsidR="00E576C6">
        <w:t>4</w:t>
      </w:r>
      <w:r w:rsidR="00354A2D">
        <w:t>.</w:t>
      </w:r>
    </w:p>
    <w:p w14:paraId="1DBB7B20" w14:textId="76C70EF8" w:rsidR="00CB53EC" w:rsidRDefault="00CB53EC" w:rsidP="00E3570F">
      <w:pPr>
        <w:spacing w:after="120"/>
      </w:pPr>
      <w:r>
        <w:t xml:space="preserve">Avista’s percentage of fixed priced hedging </w:t>
      </w:r>
      <w:r w:rsidR="00E66102">
        <w:t xml:space="preserve">slightly decreased to 40 percent of estimated annual load from 41 percent in the prior period PGA. Volumes hedged for a term of </w:t>
      </w:r>
      <w:r w:rsidR="0074668E">
        <w:t xml:space="preserve">one year or less increased to 11 </w:t>
      </w:r>
      <w:r w:rsidR="00C27F60">
        <w:t xml:space="preserve">percent </w:t>
      </w:r>
      <w:r w:rsidR="00E66102">
        <w:t xml:space="preserve">of estimated annual load from 10 percent in the prior period PGA. Volumes from prior multi-year hedges decreased to </w:t>
      </w:r>
      <w:r w:rsidR="009E43AE">
        <w:t>29 percent of estimated annual load from 31 percent in the prior period PGA.</w:t>
      </w:r>
    </w:p>
    <w:p w14:paraId="5D75538D" w14:textId="002D9270" w:rsidR="009E43AE" w:rsidRDefault="009E43AE" w:rsidP="00E3570F">
      <w:pPr>
        <w:spacing w:after="120"/>
      </w:pPr>
      <w:r>
        <w:t>Avista increased index/spot purchases to 39 percent of estimated annual load requirements from 37 percent in the prior period PGA.</w:t>
      </w:r>
    </w:p>
    <w:p w14:paraId="6F57827D" w14:textId="77777777" w:rsidR="00372428" w:rsidRDefault="00372428" w:rsidP="00E3570F">
      <w:pPr>
        <w:spacing w:after="120"/>
      </w:pPr>
    </w:p>
    <w:p w14:paraId="07EED331" w14:textId="667406A2" w:rsidR="00333BB7" w:rsidRPr="00333BB7" w:rsidRDefault="00333BB7" w:rsidP="00E3570F">
      <w:pPr>
        <w:spacing w:after="120"/>
        <w:rPr>
          <w:b/>
        </w:rPr>
      </w:pPr>
      <w:r>
        <w:rPr>
          <w:b/>
        </w:rPr>
        <w:t>Demand Costs</w:t>
      </w:r>
    </w:p>
    <w:p w14:paraId="19E0AAF3" w14:textId="5EFE40ED" w:rsidR="002D3D0B" w:rsidRDefault="00E3570F" w:rsidP="00E3570F">
      <w:pPr>
        <w:spacing w:after="120"/>
      </w:pPr>
      <w:r>
        <w:t xml:space="preserve">Demand costs represent the cost of pipeline transportation to the company’s system. Projected demand costs </w:t>
      </w:r>
      <w:r w:rsidR="00E576C6">
        <w:t>increas</w:t>
      </w:r>
      <w:r>
        <w:t>ed approximately $0.00</w:t>
      </w:r>
      <w:r w:rsidR="0041214F">
        <w:t>878</w:t>
      </w:r>
      <w:r>
        <w:t xml:space="preserve"> per therm for residential and small c</w:t>
      </w:r>
      <w:r w:rsidR="00E576C6">
        <w:t xml:space="preserve">ommercial users (Schedule 101) from a current demand cost of $0.10420 to $0.11298 for the upcoming PGA period. </w:t>
      </w:r>
    </w:p>
    <w:p w14:paraId="6FC37DD3" w14:textId="77777777" w:rsidR="009E43AE" w:rsidRDefault="009E43AE" w:rsidP="00E3570F">
      <w:pPr>
        <w:spacing w:after="120"/>
      </w:pPr>
    </w:p>
    <w:p w14:paraId="2F2349CC" w14:textId="77777777" w:rsidR="00610579" w:rsidRDefault="00610579" w:rsidP="00E3570F">
      <w:pPr>
        <w:spacing w:after="120"/>
        <w:rPr>
          <w:b/>
        </w:rPr>
      </w:pPr>
      <w:r>
        <w:rPr>
          <w:b/>
        </w:rPr>
        <w:t>Deferred Gas Cost</w:t>
      </w:r>
    </w:p>
    <w:p w14:paraId="7211EB8A" w14:textId="77777777" w:rsidR="00E76C46" w:rsidRDefault="00E3570F" w:rsidP="00E3570F">
      <w:pPr>
        <w:spacing w:after="120"/>
      </w:pPr>
      <w:r>
        <w:t xml:space="preserve">Schedule 155 reflects the </w:t>
      </w:r>
      <w:r w:rsidR="00532492">
        <w:t xml:space="preserve">amortization rate of the </w:t>
      </w:r>
      <w:r>
        <w:t xml:space="preserve">gas cost deferral </w:t>
      </w:r>
      <w:r w:rsidR="002B579F">
        <w:t xml:space="preserve">balance </w:t>
      </w:r>
      <w:r>
        <w:t xml:space="preserve">accumulated during the prior years. </w:t>
      </w:r>
      <w:r w:rsidR="002B579F">
        <w:rPr>
          <w:color w:val="000000"/>
        </w:rPr>
        <w:t xml:space="preserve">This difference is </w:t>
      </w:r>
      <w:r w:rsidR="00532492">
        <w:rPr>
          <w:color w:val="000000"/>
        </w:rPr>
        <w:t>amortized</w:t>
      </w:r>
      <w:r w:rsidR="002B579F">
        <w:rPr>
          <w:color w:val="000000"/>
        </w:rPr>
        <w:t xml:space="preserve"> to customers, as a rebate or a surcharge with interest. </w:t>
      </w:r>
      <w:r w:rsidR="002B579F">
        <w:t>The proposed deferred balance reverses the prior PGA period from a net rebate to a net surcharge position. Avista’</w:t>
      </w:r>
      <w:r w:rsidR="00532492">
        <w:t>s proposal increases the amortization rate for Schedule 101 customers to $0.003</w:t>
      </w:r>
      <w:r w:rsidR="007D4327">
        <w:t>32</w:t>
      </w:r>
      <w:r w:rsidR="00532492">
        <w:t xml:space="preserve"> per therm from ($0.03</w:t>
      </w:r>
      <w:r w:rsidR="007D4327">
        <w:t>176</w:t>
      </w:r>
      <w:r w:rsidR="00532492">
        <w:t>) for a total increase of $0.03</w:t>
      </w:r>
      <w:r w:rsidR="007D4327">
        <w:t>508</w:t>
      </w:r>
      <w:r w:rsidR="00532492">
        <w:t xml:space="preserve"> per therm. </w:t>
      </w:r>
    </w:p>
    <w:p w14:paraId="0B35F146" w14:textId="77777777" w:rsidR="00372428" w:rsidRDefault="00372428" w:rsidP="00E3570F">
      <w:pPr>
        <w:spacing w:after="120"/>
      </w:pPr>
    </w:p>
    <w:p w14:paraId="4519E7AC" w14:textId="77777777" w:rsidR="002A2D5C" w:rsidRDefault="002A2D5C" w:rsidP="00E3570F">
      <w:pPr>
        <w:spacing w:after="120"/>
      </w:pPr>
    </w:p>
    <w:p w14:paraId="0DD9899A" w14:textId="77777777" w:rsidR="002A2D5C" w:rsidRDefault="002A2D5C" w:rsidP="00E3570F">
      <w:pPr>
        <w:spacing w:after="120"/>
      </w:pPr>
    </w:p>
    <w:p w14:paraId="416E743B" w14:textId="348612BB" w:rsidR="00AF3234" w:rsidRDefault="00AF3234" w:rsidP="00E3570F">
      <w:pPr>
        <w:spacing w:after="120"/>
        <w:rPr>
          <w:b/>
        </w:rPr>
      </w:pPr>
      <w:r w:rsidRPr="0090455B">
        <w:rPr>
          <w:b/>
        </w:rPr>
        <w:lastRenderedPageBreak/>
        <w:t>Revenue</w:t>
      </w:r>
      <w:r>
        <w:rPr>
          <w:b/>
        </w:rPr>
        <w:t xml:space="preserve"> Impacts</w:t>
      </w:r>
    </w:p>
    <w:p w14:paraId="3D2FC3E2" w14:textId="52709015" w:rsidR="00AF3234" w:rsidRDefault="00AF3234" w:rsidP="00E3570F">
      <w:pPr>
        <w:spacing w:after="120"/>
      </w:pPr>
      <w:r>
        <w:t>The total annual revenue change in Avista’s proposed filing results in an increase of approximately $13.7 million</w:t>
      </w:r>
      <w:r w:rsidR="007D4327">
        <w:t xml:space="preserve"> (including revenue sensitive items)</w:t>
      </w:r>
      <w:r>
        <w:t xml:space="preserve"> or a 9.2 percent increase in annual gas revenues.</w:t>
      </w:r>
    </w:p>
    <w:p w14:paraId="41B72180" w14:textId="77777777" w:rsidR="009E43AE" w:rsidRDefault="009E43AE" w:rsidP="00E3570F">
      <w:pPr>
        <w:spacing w:after="120"/>
      </w:pPr>
    </w:p>
    <w:tbl>
      <w:tblPr>
        <w:tblStyle w:val="TableGrid"/>
        <w:tblW w:w="0" w:type="auto"/>
        <w:tblLook w:val="04A0" w:firstRow="1" w:lastRow="0" w:firstColumn="1" w:lastColumn="0" w:noHBand="0" w:noVBand="1"/>
      </w:tblPr>
      <w:tblGrid>
        <w:gridCol w:w="1915"/>
        <w:gridCol w:w="1253"/>
        <w:gridCol w:w="1710"/>
        <w:gridCol w:w="2160"/>
        <w:gridCol w:w="1456"/>
        <w:gridCol w:w="1005"/>
      </w:tblGrid>
      <w:tr w:rsidR="00E44142" w14:paraId="1AC719C1" w14:textId="77777777" w:rsidTr="00673B40">
        <w:trPr>
          <w:trHeight w:hRule="exact" w:val="847"/>
        </w:trPr>
        <w:tc>
          <w:tcPr>
            <w:tcW w:w="1915" w:type="dxa"/>
            <w:vAlign w:val="bottom"/>
          </w:tcPr>
          <w:p w14:paraId="12380155" w14:textId="77777777" w:rsidR="00E44142" w:rsidRPr="00A5138D" w:rsidRDefault="00E44142" w:rsidP="00673B40">
            <w:pPr>
              <w:spacing w:after="120"/>
              <w:jc w:val="center"/>
              <w:rPr>
                <w:b/>
              </w:rPr>
            </w:pPr>
            <w:r w:rsidRPr="00A5138D">
              <w:rPr>
                <w:b/>
              </w:rPr>
              <w:t>Customer Class</w:t>
            </w:r>
          </w:p>
        </w:tc>
        <w:tc>
          <w:tcPr>
            <w:tcW w:w="1253" w:type="dxa"/>
            <w:vAlign w:val="bottom"/>
          </w:tcPr>
          <w:p w14:paraId="0997E5C9" w14:textId="77777777" w:rsidR="00E44142" w:rsidRPr="00A5138D" w:rsidRDefault="00E44142" w:rsidP="00673B40">
            <w:pPr>
              <w:spacing w:after="120"/>
              <w:jc w:val="center"/>
              <w:rPr>
                <w:b/>
              </w:rPr>
            </w:pPr>
            <w:r w:rsidRPr="00A5138D">
              <w:rPr>
                <w:b/>
              </w:rPr>
              <w:t>Schedule Number</w:t>
            </w:r>
          </w:p>
        </w:tc>
        <w:tc>
          <w:tcPr>
            <w:tcW w:w="1710" w:type="dxa"/>
            <w:vAlign w:val="bottom"/>
          </w:tcPr>
          <w:p w14:paraId="23570393" w14:textId="77777777" w:rsidR="00E44142" w:rsidRPr="00A5138D" w:rsidRDefault="00E44142" w:rsidP="00673B40">
            <w:pPr>
              <w:spacing w:after="120"/>
              <w:jc w:val="center"/>
              <w:rPr>
                <w:b/>
              </w:rPr>
            </w:pPr>
            <w:r w:rsidRPr="00A5138D">
              <w:rPr>
                <w:b/>
              </w:rPr>
              <w:t>Schedule 15</w:t>
            </w:r>
            <w:r>
              <w:rPr>
                <w:b/>
              </w:rPr>
              <w:t>0</w:t>
            </w:r>
            <w:r w:rsidRPr="00A5138D">
              <w:rPr>
                <w:b/>
              </w:rPr>
              <w:t xml:space="preserve"> PGA</w:t>
            </w:r>
          </w:p>
        </w:tc>
        <w:tc>
          <w:tcPr>
            <w:tcW w:w="2160" w:type="dxa"/>
            <w:vAlign w:val="bottom"/>
          </w:tcPr>
          <w:p w14:paraId="5C30D0AE" w14:textId="77777777" w:rsidR="00E44142" w:rsidRPr="00A5138D" w:rsidRDefault="00E44142" w:rsidP="00673B40">
            <w:pPr>
              <w:spacing w:after="120"/>
              <w:jc w:val="center"/>
              <w:rPr>
                <w:b/>
              </w:rPr>
            </w:pPr>
            <w:r w:rsidRPr="00A5138D">
              <w:rPr>
                <w:b/>
              </w:rPr>
              <w:t>Schedule 155 Deferral Amortization</w:t>
            </w:r>
          </w:p>
        </w:tc>
        <w:tc>
          <w:tcPr>
            <w:tcW w:w="1456" w:type="dxa"/>
            <w:vAlign w:val="bottom"/>
          </w:tcPr>
          <w:p w14:paraId="57C2787A" w14:textId="77777777" w:rsidR="00E44142" w:rsidRPr="00A5138D" w:rsidRDefault="00E44142" w:rsidP="00673B40">
            <w:pPr>
              <w:spacing w:after="120"/>
              <w:jc w:val="center"/>
              <w:rPr>
                <w:b/>
              </w:rPr>
            </w:pPr>
            <w:r w:rsidRPr="00A5138D">
              <w:rPr>
                <w:b/>
              </w:rPr>
              <w:t>Total Revenue Impact</w:t>
            </w:r>
          </w:p>
        </w:tc>
        <w:tc>
          <w:tcPr>
            <w:tcW w:w="1005" w:type="dxa"/>
            <w:shd w:val="clear" w:color="auto" w:fill="auto"/>
            <w:vAlign w:val="bottom"/>
          </w:tcPr>
          <w:p w14:paraId="5A94D548" w14:textId="77777777" w:rsidR="00E44142" w:rsidRPr="00A5138D" w:rsidRDefault="00E44142" w:rsidP="00673B40">
            <w:pPr>
              <w:jc w:val="center"/>
              <w:rPr>
                <w:b/>
              </w:rPr>
            </w:pPr>
            <w:r w:rsidRPr="00A5138D">
              <w:rPr>
                <w:b/>
              </w:rPr>
              <w:t>Percent Change</w:t>
            </w:r>
          </w:p>
        </w:tc>
      </w:tr>
      <w:tr w:rsidR="00E44142" w14:paraId="2B97B6DF" w14:textId="77777777" w:rsidTr="00673B40">
        <w:trPr>
          <w:trHeight w:hRule="exact" w:val="370"/>
        </w:trPr>
        <w:tc>
          <w:tcPr>
            <w:tcW w:w="1915" w:type="dxa"/>
            <w:vAlign w:val="bottom"/>
          </w:tcPr>
          <w:p w14:paraId="6333B87C" w14:textId="77777777" w:rsidR="00E44142" w:rsidRDefault="00E44142" w:rsidP="00673B40">
            <w:pPr>
              <w:spacing w:after="120"/>
            </w:pPr>
            <w:r>
              <w:t>Residential</w:t>
            </w:r>
          </w:p>
        </w:tc>
        <w:tc>
          <w:tcPr>
            <w:tcW w:w="1253" w:type="dxa"/>
            <w:vAlign w:val="bottom"/>
          </w:tcPr>
          <w:p w14:paraId="52394FCD" w14:textId="77777777" w:rsidR="00E44142" w:rsidRDefault="00E44142" w:rsidP="00673B40">
            <w:pPr>
              <w:spacing w:after="120"/>
              <w:jc w:val="center"/>
            </w:pPr>
            <w:r>
              <w:t>101</w:t>
            </w:r>
          </w:p>
          <w:p w14:paraId="7BB754BE" w14:textId="77777777" w:rsidR="00E44142" w:rsidRDefault="00E44142" w:rsidP="00673B40">
            <w:pPr>
              <w:spacing w:after="120"/>
              <w:jc w:val="center"/>
            </w:pPr>
          </w:p>
        </w:tc>
        <w:tc>
          <w:tcPr>
            <w:tcW w:w="1710" w:type="dxa"/>
            <w:vAlign w:val="bottom"/>
          </w:tcPr>
          <w:p w14:paraId="433B0518" w14:textId="77777777" w:rsidR="00E44142" w:rsidRDefault="00E44142" w:rsidP="00673B40">
            <w:pPr>
              <w:spacing w:after="120"/>
              <w:jc w:val="center"/>
            </w:pPr>
            <w:r>
              <w:t>$5,153,776</w:t>
            </w:r>
          </w:p>
        </w:tc>
        <w:tc>
          <w:tcPr>
            <w:tcW w:w="2160" w:type="dxa"/>
            <w:vAlign w:val="bottom"/>
          </w:tcPr>
          <w:p w14:paraId="4A3F3E2A" w14:textId="77777777" w:rsidR="00E44142" w:rsidRDefault="00E44142" w:rsidP="00673B40">
            <w:pPr>
              <w:spacing w:after="120"/>
              <w:jc w:val="center"/>
            </w:pPr>
            <w:r>
              <w:t>$4,367,989</w:t>
            </w:r>
          </w:p>
        </w:tc>
        <w:tc>
          <w:tcPr>
            <w:tcW w:w="1456" w:type="dxa"/>
            <w:vAlign w:val="bottom"/>
          </w:tcPr>
          <w:p w14:paraId="77409FEE" w14:textId="77777777" w:rsidR="00E44142" w:rsidRDefault="00E44142" w:rsidP="00673B40">
            <w:pPr>
              <w:spacing w:after="120"/>
              <w:jc w:val="center"/>
            </w:pPr>
            <w:r>
              <w:t>$9,521,765</w:t>
            </w:r>
          </w:p>
        </w:tc>
        <w:tc>
          <w:tcPr>
            <w:tcW w:w="1005" w:type="dxa"/>
            <w:vMerge w:val="restart"/>
            <w:shd w:val="clear" w:color="auto" w:fill="auto"/>
          </w:tcPr>
          <w:p w14:paraId="05446307" w14:textId="77777777" w:rsidR="00E44142" w:rsidRDefault="00E44142" w:rsidP="00673B40"/>
        </w:tc>
      </w:tr>
      <w:tr w:rsidR="00E44142" w14:paraId="7EDE3956" w14:textId="77777777" w:rsidTr="00673B40">
        <w:trPr>
          <w:trHeight w:hRule="exact" w:val="352"/>
        </w:trPr>
        <w:tc>
          <w:tcPr>
            <w:tcW w:w="1915" w:type="dxa"/>
            <w:vAlign w:val="bottom"/>
          </w:tcPr>
          <w:p w14:paraId="764F4CBE" w14:textId="77777777" w:rsidR="00E44142" w:rsidRDefault="00E44142" w:rsidP="00673B40">
            <w:pPr>
              <w:spacing w:after="120"/>
            </w:pPr>
            <w:r>
              <w:t>Commercial</w:t>
            </w:r>
          </w:p>
        </w:tc>
        <w:tc>
          <w:tcPr>
            <w:tcW w:w="1253" w:type="dxa"/>
            <w:vAlign w:val="bottom"/>
          </w:tcPr>
          <w:p w14:paraId="5B401D04" w14:textId="77777777" w:rsidR="00E44142" w:rsidRDefault="00E44142" w:rsidP="00673B40">
            <w:pPr>
              <w:spacing w:after="120"/>
              <w:jc w:val="center"/>
            </w:pPr>
            <w:r>
              <w:t>111</w:t>
            </w:r>
          </w:p>
        </w:tc>
        <w:tc>
          <w:tcPr>
            <w:tcW w:w="1710" w:type="dxa"/>
            <w:vAlign w:val="bottom"/>
          </w:tcPr>
          <w:p w14:paraId="45A6165E" w14:textId="77777777" w:rsidR="00E44142" w:rsidRDefault="00E44142" w:rsidP="00673B40">
            <w:pPr>
              <w:spacing w:after="120"/>
              <w:jc w:val="center"/>
            </w:pPr>
            <w:r>
              <w:t>$2,002,181</w:t>
            </w:r>
          </w:p>
        </w:tc>
        <w:tc>
          <w:tcPr>
            <w:tcW w:w="2160" w:type="dxa"/>
            <w:vAlign w:val="bottom"/>
          </w:tcPr>
          <w:p w14:paraId="0FB4EDEA" w14:textId="77777777" w:rsidR="00E44142" w:rsidRDefault="00E44142" w:rsidP="00673B40">
            <w:pPr>
              <w:spacing w:after="120"/>
              <w:jc w:val="center"/>
            </w:pPr>
            <w:r>
              <w:t>$1,638,374</w:t>
            </w:r>
          </w:p>
        </w:tc>
        <w:tc>
          <w:tcPr>
            <w:tcW w:w="1456" w:type="dxa"/>
            <w:vAlign w:val="bottom"/>
          </w:tcPr>
          <w:p w14:paraId="2B17F4B7" w14:textId="77777777" w:rsidR="00E44142" w:rsidRDefault="00E44142" w:rsidP="00673B40">
            <w:pPr>
              <w:spacing w:after="120"/>
              <w:jc w:val="center"/>
            </w:pPr>
            <w:r>
              <w:t>$3,640,555</w:t>
            </w:r>
          </w:p>
        </w:tc>
        <w:tc>
          <w:tcPr>
            <w:tcW w:w="1005" w:type="dxa"/>
            <w:vMerge/>
            <w:shd w:val="clear" w:color="auto" w:fill="auto"/>
          </w:tcPr>
          <w:p w14:paraId="5113C7A1" w14:textId="77777777" w:rsidR="00E44142" w:rsidRDefault="00E44142" w:rsidP="00673B40"/>
        </w:tc>
      </w:tr>
      <w:tr w:rsidR="00E44142" w14:paraId="137045B6" w14:textId="77777777" w:rsidTr="00673B40">
        <w:trPr>
          <w:trHeight w:hRule="exact" w:val="370"/>
        </w:trPr>
        <w:tc>
          <w:tcPr>
            <w:tcW w:w="1915" w:type="dxa"/>
            <w:vAlign w:val="bottom"/>
          </w:tcPr>
          <w:p w14:paraId="2E4A8DE2" w14:textId="77777777" w:rsidR="00E44142" w:rsidRDefault="00E44142" w:rsidP="00673B40">
            <w:pPr>
              <w:spacing w:after="120"/>
            </w:pPr>
            <w:r>
              <w:t>Industrial-Firm</w:t>
            </w:r>
          </w:p>
        </w:tc>
        <w:tc>
          <w:tcPr>
            <w:tcW w:w="1253" w:type="dxa"/>
            <w:vAlign w:val="bottom"/>
          </w:tcPr>
          <w:p w14:paraId="7D31D178" w14:textId="77777777" w:rsidR="00E44142" w:rsidRDefault="00E44142" w:rsidP="00673B40">
            <w:pPr>
              <w:spacing w:after="120"/>
              <w:jc w:val="center"/>
            </w:pPr>
            <w:r>
              <w:t>121 &amp; 122</w:t>
            </w:r>
          </w:p>
        </w:tc>
        <w:tc>
          <w:tcPr>
            <w:tcW w:w="1710" w:type="dxa"/>
            <w:vAlign w:val="bottom"/>
          </w:tcPr>
          <w:p w14:paraId="7B3DD589" w14:textId="77777777" w:rsidR="00E44142" w:rsidRDefault="00E44142" w:rsidP="00673B40">
            <w:pPr>
              <w:spacing w:after="120"/>
              <w:jc w:val="center"/>
            </w:pPr>
            <w:r>
              <w:t>$247,668</w:t>
            </w:r>
          </w:p>
        </w:tc>
        <w:tc>
          <w:tcPr>
            <w:tcW w:w="2160" w:type="dxa"/>
            <w:vAlign w:val="bottom"/>
          </w:tcPr>
          <w:p w14:paraId="0E35ED2C" w14:textId="77777777" w:rsidR="00E44142" w:rsidRDefault="00E44142" w:rsidP="00673B40">
            <w:pPr>
              <w:spacing w:after="120"/>
              <w:jc w:val="center"/>
            </w:pPr>
            <w:r>
              <w:t>$263,563</w:t>
            </w:r>
          </w:p>
        </w:tc>
        <w:tc>
          <w:tcPr>
            <w:tcW w:w="1456" w:type="dxa"/>
            <w:vAlign w:val="bottom"/>
          </w:tcPr>
          <w:p w14:paraId="45D862F6" w14:textId="033002BC" w:rsidR="00E44142" w:rsidRDefault="00E44142" w:rsidP="00372428">
            <w:pPr>
              <w:spacing w:after="120"/>
              <w:jc w:val="center"/>
            </w:pPr>
            <w:r>
              <w:t>$511,23</w:t>
            </w:r>
            <w:r w:rsidR="00372428">
              <w:t>1</w:t>
            </w:r>
          </w:p>
        </w:tc>
        <w:tc>
          <w:tcPr>
            <w:tcW w:w="1005" w:type="dxa"/>
            <w:vMerge/>
            <w:shd w:val="clear" w:color="auto" w:fill="auto"/>
          </w:tcPr>
          <w:p w14:paraId="19595721" w14:textId="77777777" w:rsidR="00E44142" w:rsidRDefault="00E44142" w:rsidP="00673B40"/>
        </w:tc>
      </w:tr>
      <w:tr w:rsidR="00E44142" w14:paraId="59CD8D1C" w14:textId="77777777" w:rsidTr="00673B40">
        <w:trPr>
          <w:trHeight w:hRule="exact" w:val="370"/>
        </w:trPr>
        <w:tc>
          <w:tcPr>
            <w:tcW w:w="1915" w:type="dxa"/>
            <w:vAlign w:val="bottom"/>
          </w:tcPr>
          <w:p w14:paraId="552F1DD9" w14:textId="77777777" w:rsidR="00E44142" w:rsidRDefault="00E44142" w:rsidP="00673B40">
            <w:pPr>
              <w:spacing w:after="120"/>
            </w:pPr>
            <w:r>
              <w:t>Interruptible</w:t>
            </w:r>
          </w:p>
        </w:tc>
        <w:tc>
          <w:tcPr>
            <w:tcW w:w="1253" w:type="dxa"/>
            <w:vAlign w:val="bottom"/>
          </w:tcPr>
          <w:p w14:paraId="0B98F9A8" w14:textId="77777777" w:rsidR="00E44142" w:rsidRDefault="00E44142" w:rsidP="00673B40">
            <w:pPr>
              <w:spacing w:after="120"/>
              <w:jc w:val="center"/>
            </w:pPr>
            <w:r>
              <w:t>132</w:t>
            </w:r>
          </w:p>
          <w:p w14:paraId="06AE641F" w14:textId="77777777" w:rsidR="00E44142" w:rsidRDefault="00E44142" w:rsidP="00673B40">
            <w:pPr>
              <w:spacing w:after="120"/>
              <w:jc w:val="center"/>
            </w:pPr>
          </w:p>
        </w:tc>
        <w:tc>
          <w:tcPr>
            <w:tcW w:w="1710" w:type="dxa"/>
            <w:vAlign w:val="bottom"/>
          </w:tcPr>
          <w:p w14:paraId="6B43B4AD" w14:textId="77777777" w:rsidR="00E44142" w:rsidRDefault="00E44142" w:rsidP="00673B40">
            <w:pPr>
              <w:spacing w:after="120"/>
              <w:jc w:val="center"/>
            </w:pPr>
            <w:r>
              <w:t>$22,823</w:t>
            </w:r>
          </w:p>
        </w:tc>
        <w:tc>
          <w:tcPr>
            <w:tcW w:w="2160" w:type="dxa"/>
            <w:vAlign w:val="bottom"/>
          </w:tcPr>
          <w:p w14:paraId="1F7752A0" w14:textId="77777777" w:rsidR="00E44142" w:rsidRDefault="00E44142" w:rsidP="00673B40">
            <w:pPr>
              <w:spacing w:after="120"/>
              <w:jc w:val="center"/>
            </w:pPr>
            <w:r>
              <w:t>$5,904</w:t>
            </w:r>
          </w:p>
        </w:tc>
        <w:tc>
          <w:tcPr>
            <w:tcW w:w="1456" w:type="dxa"/>
            <w:vAlign w:val="bottom"/>
          </w:tcPr>
          <w:p w14:paraId="3FA98EAE" w14:textId="77777777" w:rsidR="00E44142" w:rsidRDefault="00E44142" w:rsidP="00673B40">
            <w:pPr>
              <w:spacing w:after="120"/>
              <w:jc w:val="center"/>
            </w:pPr>
            <w:r>
              <w:t>$28,727</w:t>
            </w:r>
          </w:p>
        </w:tc>
        <w:tc>
          <w:tcPr>
            <w:tcW w:w="1005" w:type="dxa"/>
            <w:vMerge/>
            <w:shd w:val="clear" w:color="auto" w:fill="auto"/>
          </w:tcPr>
          <w:p w14:paraId="66D378C8" w14:textId="77777777" w:rsidR="00E44142" w:rsidRDefault="00E44142" w:rsidP="00673B40"/>
        </w:tc>
      </w:tr>
      <w:tr w:rsidR="00E44142" w14:paraId="2F09CDB4" w14:textId="77777777" w:rsidTr="00673B40">
        <w:trPr>
          <w:trHeight w:hRule="exact" w:val="370"/>
        </w:trPr>
        <w:tc>
          <w:tcPr>
            <w:tcW w:w="1915" w:type="dxa"/>
            <w:vAlign w:val="bottom"/>
          </w:tcPr>
          <w:p w14:paraId="3DAB600F" w14:textId="77777777" w:rsidR="00E44142" w:rsidRDefault="00E44142" w:rsidP="00673B40">
            <w:pPr>
              <w:spacing w:after="120"/>
            </w:pPr>
            <w:r>
              <w:t>Transportation</w:t>
            </w:r>
          </w:p>
        </w:tc>
        <w:tc>
          <w:tcPr>
            <w:tcW w:w="1253" w:type="dxa"/>
            <w:vAlign w:val="bottom"/>
          </w:tcPr>
          <w:p w14:paraId="72910713" w14:textId="77777777" w:rsidR="00E44142" w:rsidRDefault="00E44142" w:rsidP="00673B40">
            <w:pPr>
              <w:spacing w:after="120"/>
              <w:jc w:val="center"/>
            </w:pPr>
            <w:r>
              <w:t>146</w:t>
            </w:r>
          </w:p>
        </w:tc>
        <w:tc>
          <w:tcPr>
            <w:tcW w:w="1710" w:type="dxa"/>
            <w:vAlign w:val="bottom"/>
          </w:tcPr>
          <w:p w14:paraId="40C945C2" w14:textId="77777777" w:rsidR="00E44142" w:rsidRDefault="00E44142" w:rsidP="00673B40">
            <w:pPr>
              <w:spacing w:after="120"/>
              <w:jc w:val="center"/>
            </w:pPr>
          </w:p>
        </w:tc>
        <w:tc>
          <w:tcPr>
            <w:tcW w:w="2160" w:type="dxa"/>
            <w:vAlign w:val="bottom"/>
          </w:tcPr>
          <w:p w14:paraId="04860603" w14:textId="77777777" w:rsidR="00E44142" w:rsidRDefault="00E44142" w:rsidP="00673B40">
            <w:pPr>
              <w:spacing w:after="120"/>
              <w:jc w:val="center"/>
            </w:pPr>
            <w:r>
              <w:t>($5,219)</w:t>
            </w:r>
          </w:p>
        </w:tc>
        <w:tc>
          <w:tcPr>
            <w:tcW w:w="1456" w:type="dxa"/>
            <w:vAlign w:val="bottom"/>
          </w:tcPr>
          <w:p w14:paraId="24A14F19" w14:textId="77777777" w:rsidR="00E44142" w:rsidRDefault="00E44142" w:rsidP="00673B40">
            <w:pPr>
              <w:spacing w:after="120"/>
              <w:jc w:val="center"/>
            </w:pPr>
            <w:r>
              <w:t>(5,219)</w:t>
            </w:r>
          </w:p>
        </w:tc>
        <w:tc>
          <w:tcPr>
            <w:tcW w:w="1005" w:type="dxa"/>
            <w:vMerge/>
            <w:shd w:val="clear" w:color="auto" w:fill="auto"/>
          </w:tcPr>
          <w:p w14:paraId="5B6439C9" w14:textId="77777777" w:rsidR="00E44142" w:rsidRDefault="00E44142" w:rsidP="00673B40"/>
        </w:tc>
      </w:tr>
      <w:tr w:rsidR="00E44142" w14:paraId="7CB4B8F9" w14:textId="77777777" w:rsidTr="00673B40">
        <w:trPr>
          <w:trHeight w:hRule="exact" w:val="352"/>
        </w:trPr>
        <w:tc>
          <w:tcPr>
            <w:tcW w:w="1915" w:type="dxa"/>
            <w:vAlign w:val="bottom"/>
          </w:tcPr>
          <w:p w14:paraId="26254BA2" w14:textId="77777777" w:rsidR="00E44142" w:rsidRPr="00A5138D" w:rsidRDefault="00E44142" w:rsidP="00673B40">
            <w:pPr>
              <w:spacing w:after="120"/>
              <w:rPr>
                <w:b/>
              </w:rPr>
            </w:pPr>
            <w:r w:rsidRPr="00A5138D">
              <w:rPr>
                <w:b/>
              </w:rPr>
              <w:t>Total Change</w:t>
            </w:r>
          </w:p>
        </w:tc>
        <w:tc>
          <w:tcPr>
            <w:tcW w:w="1253" w:type="dxa"/>
            <w:vAlign w:val="bottom"/>
          </w:tcPr>
          <w:p w14:paraId="7FD34623" w14:textId="77777777" w:rsidR="00E44142" w:rsidRPr="00A5138D" w:rsidRDefault="00E44142" w:rsidP="00673B40">
            <w:pPr>
              <w:spacing w:after="120"/>
              <w:jc w:val="center"/>
              <w:rPr>
                <w:b/>
              </w:rPr>
            </w:pPr>
          </w:p>
        </w:tc>
        <w:tc>
          <w:tcPr>
            <w:tcW w:w="1710" w:type="dxa"/>
            <w:vAlign w:val="bottom"/>
          </w:tcPr>
          <w:p w14:paraId="6736A712" w14:textId="77777777" w:rsidR="00E44142" w:rsidRPr="00A5138D" w:rsidRDefault="00E44142" w:rsidP="00673B40">
            <w:pPr>
              <w:spacing w:after="120"/>
              <w:jc w:val="center"/>
              <w:rPr>
                <w:b/>
              </w:rPr>
            </w:pPr>
          </w:p>
        </w:tc>
        <w:tc>
          <w:tcPr>
            <w:tcW w:w="2160" w:type="dxa"/>
            <w:vAlign w:val="bottom"/>
          </w:tcPr>
          <w:p w14:paraId="36B44F35" w14:textId="77777777" w:rsidR="00E44142" w:rsidRPr="00A5138D" w:rsidRDefault="00E44142" w:rsidP="00673B40">
            <w:pPr>
              <w:spacing w:after="120"/>
              <w:jc w:val="center"/>
              <w:rPr>
                <w:b/>
              </w:rPr>
            </w:pPr>
          </w:p>
        </w:tc>
        <w:tc>
          <w:tcPr>
            <w:tcW w:w="1456" w:type="dxa"/>
            <w:vAlign w:val="bottom"/>
          </w:tcPr>
          <w:p w14:paraId="3E4F6CC9" w14:textId="4DB82D8A" w:rsidR="00E44142" w:rsidRPr="00A5138D" w:rsidRDefault="00E44142" w:rsidP="00372428">
            <w:pPr>
              <w:spacing w:after="120"/>
              <w:jc w:val="center"/>
              <w:rPr>
                <w:b/>
              </w:rPr>
            </w:pPr>
            <w:r>
              <w:rPr>
                <w:b/>
              </w:rPr>
              <w:t>$13,697,05</w:t>
            </w:r>
            <w:r w:rsidR="00372428">
              <w:rPr>
                <w:b/>
              </w:rPr>
              <w:t>9</w:t>
            </w:r>
          </w:p>
        </w:tc>
        <w:tc>
          <w:tcPr>
            <w:tcW w:w="1005" w:type="dxa"/>
            <w:shd w:val="clear" w:color="auto" w:fill="auto"/>
          </w:tcPr>
          <w:p w14:paraId="080D2E45" w14:textId="77777777" w:rsidR="00E44142" w:rsidRPr="00A5138D" w:rsidRDefault="00E44142" w:rsidP="00673B40">
            <w:pPr>
              <w:rPr>
                <w:b/>
              </w:rPr>
            </w:pPr>
            <w:r>
              <w:rPr>
                <w:b/>
              </w:rPr>
              <w:t>9.21%</w:t>
            </w:r>
          </w:p>
        </w:tc>
      </w:tr>
    </w:tbl>
    <w:p w14:paraId="498519B5" w14:textId="77777777" w:rsidR="00E44142" w:rsidRDefault="00E44142" w:rsidP="00E3570F">
      <w:pPr>
        <w:spacing w:after="120"/>
      </w:pPr>
    </w:p>
    <w:p w14:paraId="5253AC5E" w14:textId="54AC149D" w:rsidR="00FA6DE4" w:rsidRDefault="00AF3234" w:rsidP="00E3570F">
      <w:pPr>
        <w:spacing w:after="120"/>
      </w:pPr>
      <w:r>
        <w:t>The following is a breakdown of the $13.7 million increase in gas revenues</w:t>
      </w:r>
      <w:r w:rsidR="00E30986">
        <w:t>:</w:t>
      </w:r>
    </w:p>
    <w:p w14:paraId="689FA971" w14:textId="7C9C8E99" w:rsidR="00FA6DE4" w:rsidRDefault="00FA6DE4" w:rsidP="00E3570F">
      <w:pPr>
        <w:spacing w:after="120"/>
      </w:pPr>
      <w:r w:rsidRPr="00FA6DE4">
        <w:rPr>
          <w:u w:val="single"/>
        </w:rPr>
        <w:t>Deferral Amortization</w:t>
      </w:r>
      <w:r>
        <w:t xml:space="preserve"> – Approximately $6.</w:t>
      </w:r>
      <w:r w:rsidR="007D4327">
        <w:t>3</w:t>
      </w:r>
      <w:r>
        <w:t xml:space="preserve"> million or 4</w:t>
      </w:r>
      <w:r w:rsidR="007D4327">
        <w:t>6</w:t>
      </w:r>
      <w:r>
        <w:t xml:space="preserve"> percent of the increase is the result of a rebate of $5.6 million in the prior PGA period </w:t>
      </w:r>
      <w:r w:rsidR="000933E5">
        <w:t>changing</w:t>
      </w:r>
      <w:r>
        <w:t xml:space="preserve"> to a net surcharge of approximately $0.7 million in the current PGA period</w:t>
      </w:r>
      <w:r w:rsidR="000933E5">
        <w:t>.</w:t>
      </w:r>
      <w:r w:rsidR="000933E5">
        <w:rPr>
          <w:rStyle w:val="FootnoteReference"/>
        </w:rPr>
        <w:footnoteReference w:id="1"/>
      </w:r>
    </w:p>
    <w:p w14:paraId="66535B15" w14:textId="34D6A606" w:rsidR="00FA6DE4" w:rsidRDefault="00FA6DE4" w:rsidP="00E3570F">
      <w:pPr>
        <w:spacing w:after="120"/>
      </w:pPr>
      <w:r>
        <w:rPr>
          <w:u w:val="single"/>
        </w:rPr>
        <w:t>Demand</w:t>
      </w:r>
      <w:r>
        <w:t xml:space="preserve"> – Approximately $1.</w:t>
      </w:r>
      <w:r w:rsidR="007D4327">
        <w:t>5</w:t>
      </w:r>
      <w:r>
        <w:t xml:space="preserve"> million or 1</w:t>
      </w:r>
      <w:r w:rsidR="007D4327">
        <w:t>1</w:t>
      </w:r>
      <w:r>
        <w:t xml:space="preserve"> percent of the increase is the result of </w:t>
      </w:r>
      <w:r w:rsidR="000933E5">
        <w:t>a full years inclusion of higher Northwest Pipeline transportation rates effective January 1, 2013 and increases in rates for several Canadian pipelines the company uses to transport gas.</w:t>
      </w:r>
    </w:p>
    <w:p w14:paraId="376BAEAE" w14:textId="77777777" w:rsidR="00E76C46" w:rsidRDefault="000933E5" w:rsidP="00E3570F">
      <w:pPr>
        <w:spacing w:after="120"/>
      </w:pPr>
      <w:r>
        <w:rPr>
          <w:u w:val="single"/>
        </w:rPr>
        <w:t>Commodity</w:t>
      </w:r>
      <w:r>
        <w:t xml:space="preserve"> – Approximately $5.9 million or 43 percent of the increase is the result of higher known and estimated commodity costs. Approximately $2.5 million of the $5.9 million increase in commodity costs is the result of a decrease in commodity revenue from an expiring Deferred Exchange </w:t>
      </w:r>
      <w:r w:rsidR="00D56B5A">
        <w:t>Contract.</w:t>
      </w:r>
      <w:r>
        <w:rPr>
          <w:rStyle w:val="FootnoteReference"/>
        </w:rPr>
        <w:footnoteReference w:id="2"/>
      </w:r>
      <w:r w:rsidR="00CB53EC">
        <w:t xml:space="preserve"> In addition</w:t>
      </w:r>
      <w:r w:rsidR="00C27F60">
        <w:t>,</w:t>
      </w:r>
      <w:r w:rsidR="00CB53EC">
        <w:t xml:space="preserve"> average gas prices stored at Jackson </w:t>
      </w:r>
      <w:r w:rsidR="00141192">
        <w:t>Prairie</w:t>
      </w:r>
      <w:r w:rsidR="00CB53EC">
        <w:t xml:space="preserve"> increased to $2.8</w:t>
      </w:r>
      <w:r w:rsidR="007D4327">
        <w:t>8</w:t>
      </w:r>
      <w:r w:rsidR="00CB53EC">
        <w:t xml:space="preserve"> per dekatherm in the current PGA period from $2.10 per dekatherm in the prior PGA period. The remaining increase in estimated commodity costs resulted from a higher 30-day historical average of forward prices of $3.31 per dekatherm versus $2.94 per dekatherm in the prior PGA period.</w:t>
      </w:r>
    </w:p>
    <w:p w14:paraId="4DC7BDF2" w14:textId="39191E41" w:rsidR="00E3570F" w:rsidRPr="0090455B" w:rsidRDefault="00E3570F" w:rsidP="00E3570F">
      <w:pPr>
        <w:spacing w:after="120"/>
        <w:rPr>
          <w:b/>
        </w:rPr>
      </w:pPr>
      <w:r w:rsidRPr="0090455B">
        <w:rPr>
          <w:b/>
        </w:rPr>
        <w:lastRenderedPageBreak/>
        <w:t>Residential Bill Impacts</w:t>
      </w:r>
    </w:p>
    <w:p w14:paraId="4DC7BE29" w14:textId="0FE5E77C" w:rsidR="003C0D1D" w:rsidRDefault="00E3570F" w:rsidP="00E3570F">
      <w:pPr>
        <w:spacing w:after="120"/>
      </w:pPr>
      <w:r>
        <w:t>The impact of this filing on a residential customer with monthly average consumption of 68 therms is a</w:t>
      </w:r>
      <w:r w:rsidR="00E44142">
        <w:t>n increase</w:t>
      </w:r>
      <w:r>
        <w:t xml:space="preserve"> of $</w:t>
      </w:r>
      <w:r w:rsidR="00E44142">
        <w:t>5.44</w:t>
      </w:r>
      <w:r>
        <w:t xml:space="preserve"> per month or </w:t>
      </w:r>
      <w:r w:rsidR="00E44142">
        <w:t>9.4</w:t>
      </w:r>
      <w:r>
        <w:t xml:space="preserve"> percent, for a revised bill of $</w:t>
      </w:r>
      <w:r w:rsidR="00E44142">
        <w:t>63.07</w:t>
      </w:r>
      <w:r>
        <w:t xml:space="preserve"> versus a current bill of $</w:t>
      </w:r>
      <w:r w:rsidR="00E44142">
        <w:t>57</w:t>
      </w:r>
      <w:r>
        <w:t>.</w:t>
      </w:r>
      <w:r w:rsidR="00E44142">
        <w:t>63.</w:t>
      </w:r>
    </w:p>
    <w:p w14:paraId="0ABFF87B" w14:textId="0B53C34A" w:rsidR="00883699" w:rsidRDefault="00FA6DE4" w:rsidP="00E3570F">
      <w:pPr>
        <w:spacing w:after="120"/>
      </w:pPr>
      <w:r>
        <w:t>The following chart shows the estimated residential customer commodity and demand charges for the gas LDC’s regulated by this commission.</w:t>
      </w:r>
      <w:r w:rsidR="007D4327">
        <w:rPr>
          <w:rStyle w:val="FootnoteReference"/>
        </w:rPr>
        <w:footnoteReference w:id="3"/>
      </w:r>
    </w:p>
    <w:p w14:paraId="73DB3725" w14:textId="77777777" w:rsidR="00FA6DE4" w:rsidRDefault="00FA6DE4" w:rsidP="00E3570F">
      <w:pPr>
        <w:spacing w:after="120"/>
      </w:pPr>
    </w:p>
    <w:tbl>
      <w:tblPr>
        <w:tblStyle w:val="TableGrid"/>
        <w:tblW w:w="0" w:type="auto"/>
        <w:tblLook w:val="04A0" w:firstRow="1" w:lastRow="0" w:firstColumn="1" w:lastColumn="0" w:noHBand="0" w:noVBand="1"/>
      </w:tblPr>
      <w:tblGrid>
        <w:gridCol w:w="1915"/>
        <w:gridCol w:w="1915"/>
        <w:gridCol w:w="1915"/>
        <w:gridCol w:w="1915"/>
        <w:gridCol w:w="1916"/>
      </w:tblGrid>
      <w:tr w:rsidR="00883699" w14:paraId="3828793F" w14:textId="77777777" w:rsidTr="00C27F60">
        <w:tc>
          <w:tcPr>
            <w:tcW w:w="1915" w:type="dxa"/>
            <w:vAlign w:val="bottom"/>
          </w:tcPr>
          <w:p w14:paraId="5A93F516" w14:textId="4CEF1FFA" w:rsidR="00883699" w:rsidRDefault="00954023" w:rsidP="00C27F60">
            <w:pPr>
              <w:spacing w:after="120"/>
              <w:jc w:val="center"/>
            </w:pPr>
            <w:r>
              <w:t>WACOG</w:t>
            </w:r>
          </w:p>
        </w:tc>
        <w:tc>
          <w:tcPr>
            <w:tcW w:w="1915" w:type="dxa"/>
            <w:vAlign w:val="bottom"/>
          </w:tcPr>
          <w:p w14:paraId="792E269A" w14:textId="6F93CA06" w:rsidR="00883699" w:rsidRDefault="00883699" w:rsidP="00C27F60">
            <w:pPr>
              <w:spacing w:after="120"/>
              <w:jc w:val="center"/>
            </w:pPr>
            <w:r>
              <w:t>Avista</w:t>
            </w:r>
          </w:p>
        </w:tc>
        <w:tc>
          <w:tcPr>
            <w:tcW w:w="1915" w:type="dxa"/>
            <w:vAlign w:val="bottom"/>
          </w:tcPr>
          <w:p w14:paraId="7A8BEB6F" w14:textId="3113BC91" w:rsidR="00883699" w:rsidRDefault="00883699" w:rsidP="00C27F60">
            <w:pPr>
              <w:spacing w:after="120"/>
              <w:jc w:val="center"/>
            </w:pPr>
            <w:r>
              <w:t>Puget Sound Energy</w:t>
            </w:r>
          </w:p>
        </w:tc>
        <w:tc>
          <w:tcPr>
            <w:tcW w:w="1915" w:type="dxa"/>
            <w:vAlign w:val="bottom"/>
          </w:tcPr>
          <w:p w14:paraId="64D40D83" w14:textId="2ACCA386" w:rsidR="00883699" w:rsidRDefault="00883699" w:rsidP="00C27F60">
            <w:pPr>
              <w:spacing w:after="120"/>
              <w:jc w:val="center"/>
            </w:pPr>
            <w:r>
              <w:t>Northwest Natural</w:t>
            </w:r>
          </w:p>
        </w:tc>
        <w:tc>
          <w:tcPr>
            <w:tcW w:w="1916" w:type="dxa"/>
            <w:vAlign w:val="bottom"/>
          </w:tcPr>
          <w:p w14:paraId="36175519" w14:textId="07AA2838" w:rsidR="00883699" w:rsidRDefault="00883699" w:rsidP="00C27F60">
            <w:pPr>
              <w:spacing w:after="120"/>
              <w:jc w:val="center"/>
            </w:pPr>
            <w:r>
              <w:t>Cascade Natural Gas</w:t>
            </w:r>
          </w:p>
        </w:tc>
      </w:tr>
      <w:tr w:rsidR="00883699" w14:paraId="222D4712" w14:textId="77777777" w:rsidTr="00883699">
        <w:tc>
          <w:tcPr>
            <w:tcW w:w="1915" w:type="dxa"/>
          </w:tcPr>
          <w:p w14:paraId="03C04593" w14:textId="23862546" w:rsidR="00883699" w:rsidRDefault="00874C59" w:rsidP="00E3570F">
            <w:pPr>
              <w:spacing w:after="120"/>
            </w:pPr>
            <w:r>
              <w:t>Commodity</w:t>
            </w:r>
          </w:p>
        </w:tc>
        <w:tc>
          <w:tcPr>
            <w:tcW w:w="1915" w:type="dxa"/>
          </w:tcPr>
          <w:p w14:paraId="0239CA29" w14:textId="6C50AB6B" w:rsidR="00883699" w:rsidRDefault="00874C59" w:rsidP="00874C59">
            <w:pPr>
              <w:spacing w:after="120"/>
              <w:jc w:val="center"/>
            </w:pPr>
            <w:r>
              <w:t>$0.36280</w:t>
            </w:r>
          </w:p>
        </w:tc>
        <w:tc>
          <w:tcPr>
            <w:tcW w:w="1915" w:type="dxa"/>
          </w:tcPr>
          <w:p w14:paraId="7E0D2B62" w14:textId="51A4CCE9" w:rsidR="00883699" w:rsidRDefault="00874C59" w:rsidP="00BE428D">
            <w:pPr>
              <w:spacing w:after="120"/>
              <w:jc w:val="center"/>
            </w:pPr>
            <w:r>
              <w:t>$0.4</w:t>
            </w:r>
            <w:r w:rsidR="00BE428D">
              <w:t>0747</w:t>
            </w:r>
          </w:p>
        </w:tc>
        <w:tc>
          <w:tcPr>
            <w:tcW w:w="1915" w:type="dxa"/>
          </w:tcPr>
          <w:p w14:paraId="5A463A0D" w14:textId="47022D74" w:rsidR="00883699" w:rsidRDefault="00874C59" w:rsidP="008221C8">
            <w:pPr>
              <w:spacing w:after="120"/>
              <w:jc w:val="center"/>
            </w:pPr>
            <w:r>
              <w:t>$0.3</w:t>
            </w:r>
            <w:r w:rsidR="008221C8">
              <w:t>7961</w:t>
            </w:r>
          </w:p>
        </w:tc>
        <w:tc>
          <w:tcPr>
            <w:tcW w:w="1916" w:type="dxa"/>
          </w:tcPr>
          <w:p w14:paraId="532DE168" w14:textId="67544ED4" w:rsidR="00883699" w:rsidRDefault="00874C59" w:rsidP="00874C59">
            <w:pPr>
              <w:spacing w:after="120"/>
              <w:jc w:val="center"/>
            </w:pPr>
            <w:r>
              <w:t>$0.43796</w:t>
            </w:r>
          </w:p>
        </w:tc>
      </w:tr>
      <w:tr w:rsidR="00883699" w14:paraId="3EFBF430" w14:textId="77777777" w:rsidTr="00883699">
        <w:tc>
          <w:tcPr>
            <w:tcW w:w="1915" w:type="dxa"/>
          </w:tcPr>
          <w:p w14:paraId="3E0C53C8" w14:textId="2860F6CE" w:rsidR="00883699" w:rsidRDefault="00874C59" w:rsidP="00E3570F">
            <w:pPr>
              <w:spacing w:after="120"/>
            </w:pPr>
            <w:r>
              <w:t>Demand</w:t>
            </w:r>
          </w:p>
        </w:tc>
        <w:tc>
          <w:tcPr>
            <w:tcW w:w="1915" w:type="dxa"/>
          </w:tcPr>
          <w:p w14:paraId="79F6FC1D" w14:textId="499E4126" w:rsidR="00883699" w:rsidRDefault="00874C59" w:rsidP="00874C59">
            <w:pPr>
              <w:spacing w:after="120"/>
              <w:jc w:val="center"/>
            </w:pPr>
            <w:r>
              <w:t>$0.11298</w:t>
            </w:r>
          </w:p>
        </w:tc>
        <w:tc>
          <w:tcPr>
            <w:tcW w:w="1915" w:type="dxa"/>
          </w:tcPr>
          <w:p w14:paraId="1332EA49" w14:textId="2C6F32DD" w:rsidR="00883699" w:rsidRDefault="00874C59" w:rsidP="00630C80">
            <w:pPr>
              <w:spacing w:after="120"/>
              <w:jc w:val="center"/>
            </w:pPr>
            <w:r>
              <w:t>$0.1</w:t>
            </w:r>
            <w:r w:rsidR="00630C80">
              <w:t>5127</w:t>
            </w:r>
          </w:p>
        </w:tc>
        <w:tc>
          <w:tcPr>
            <w:tcW w:w="1915" w:type="dxa"/>
          </w:tcPr>
          <w:p w14:paraId="2352AED7" w14:textId="4465F608" w:rsidR="00883699" w:rsidRDefault="00874C59" w:rsidP="008221C8">
            <w:pPr>
              <w:spacing w:after="120"/>
              <w:jc w:val="center"/>
            </w:pPr>
            <w:r>
              <w:t>$0.13</w:t>
            </w:r>
            <w:r w:rsidR="008221C8">
              <w:t>393</w:t>
            </w:r>
          </w:p>
        </w:tc>
        <w:tc>
          <w:tcPr>
            <w:tcW w:w="1916" w:type="dxa"/>
          </w:tcPr>
          <w:p w14:paraId="360A2A0D" w14:textId="358B685F" w:rsidR="00883699" w:rsidRDefault="00874C59" w:rsidP="00874C59">
            <w:pPr>
              <w:spacing w:after="120"/>
              <w:jc w:val="center"/>
            </w:pPr>
            <w:r>
              <w:t>$0.16394</w:t>
            </w:r>
          </w:p>
        </w:tc>
      </w:tr>
      <w:tr w:rsidR="00883699" w14:paraId="328D3E17" w14:textId="77777777" w:rsidTr="00883699">
        <w:tc>
          <w:tcPr>
            <w:tcW w:w="1915" w:type="dxa"/>
          </w:tcPr>
          <w:p w14:paraId="62D3A981" w14:textId="402FE0E6" w:rsidR="00883699" w:rsidRDefault="00874C59" w:rsidP="00E3570F">
            <w:pPr>
              <w:spacing w:after="120"/>
            </w:pPr>
            <w:r>
              <w:t>Total</w:t>
            </w:r>
          </w:p>
        </w:tc>
        <w:tc>
          <w:tcPr>
            <w:tcW w:w="1915" w:type="dxa"/>
          </w:tcPr>
          <w:p w14:paraId="6D1AB26C" w14:textId="07D3AFF9" w:rsidR="00883699" w:rsidRPr="00874C59" w:rsidRDefault="00874C59" w:rsidP="00874C59">
            <w:pPr>
              <w:spacing w:after="120"/>
              <w:jc w:val="center"/>
              <w:rPr>
                <w:b/>
              </w:rPr>
            </w:pPr>
            <w:r w:rsidRPr="00874C59">
              <w:rPr>
                <w:b/>
              </w:rPr>
              <w:t>$0.47578</w:t>
            </w:r>
          </w:p>
        </w:tc>
        <w:tc>
          <w:tcPr>
            <w:tcW w:w="1915" w:type="dxa"/>
          </w:tcPr>
          <w:p w14:paraId="343BBD0A" w14:textId="6BD6222F" w:rsidR="00883699" w:rsidRPr="00874C59" w:rsidRDefault="00874C59" w:rsidP="00630C80">
            <w:pPr>
              <w:spacing w:after="120"/>
              <w:jc w:val="center"/>
              <w:rPr>
                <w:b/>
              </w:rPr>
            </w:pPr>
            <w:r w:rsidRPr="00874C59">
              <w:rPr>
                <w:b/>
              </w:rPr>
              <w:t>$0.5</w:t>
            </w:r>
            <w:r w:rsidR="00BE428D">
              <w:rPr>
                <w:b/>
              </w:rPr>
              <w:t>5</w:t>
            </w:r>
            <w:r w:rsidR="00630C80">
              <w:rPr>
                <w:b/>
              </w:rPr>
              <w:t>874</w:t>
            </w:r>
            <w:r w:rsidR="00680C5D">
              <w:rPr>
                <w:b/>
              </w:rPr>
              <w:t xml:space="preserve"> </w:t>
            </w:r>
          </w:p>
        </w:tc>
        <w:tc>
          <w:tcPr>
            <w:tcW w:w="1915" w:type="dxa"/>
          </w:tcPr>
          <w:p w14:paraId="72D0005F" w14:textId="69238A40" w:rsidR="00883699" w:rsidRPr="00874C59" w:rsidRDefault="00874C59" w:rsidP="00874C59">
            <w:pPr>
              <w:spacing w:after="120"/>
              <w:jc w:val="center"/>
              <w:rPr>
                <w:b/>
              </w:rPr>
            </w:pPr>
            <w:r w:rsidRPr="00874C59">
              <w:rPr>
                <w:b/>
              </w:rPr>
              <w:t>$0.50394</w:t>
            </w:r>
          </w:p>
        </w:tc>
        <w:tc>
          <w:tcPr>
            <w:tcW w:w="1916" w:type="dxa"/>
          </w:tcPr>
          <w:p w14:paraId="30AB3140" w14:textId="137BA6B9" w:rsidR="00883699" w:rsidRPr="00874C59" w:rsidRDefault="00874C59" w:rsidP="00874C59">
            <w:pPr>
              <w:spacing w:after="120"/>
              <w:jc w:val="center"/>
              <w:rPr>
                <w:b/>
              </w:rPr>
            </w:pPr>
            <w:r w:rsidRPr="00874C59">
              <w:rPr>
                <w:b/>
              </w:rPr>
              <w:t>$0.60190</w:t>
            </w:r>
          </w:p>
        </w:tc>
      </w:tr>
    </w:tbl>
    <w:p w14:paraId="01AC4840" w14:textId="77777777" w:rsidR="00883699" w:rsidRDefault="00883699" w:rsidP="00E3570F">
      <w:pPr>
        <w:spacing w:after="120"/>
      </w:pPr>
    </w:p>
    <w:p w14:paraId="4DC7BE3A" w14:textId="48696B7F" w:rsidR="00E3570F" w:rsidRDefault="00E3570F" w:rsidP="00AF3234">
      <w:pPr>
        <w:rPr>
          <w:b/>
          <w:u w:val="single"/>
        </w:rPr>
      </w:pPr>
      <w:r w:rsidRPr="00AD7E1A">
        <w:rPr>
          <w:b/>
          <w:u w:val="single"/>
        </w:rPr>
        <w:t>Customer Comments</w:t>
      </w:r>
    </w:p>
    <w:p w14:paraId="0F4DBF8E" w14:textId="77777777" w:rsidR="00AF3234" w:rsidRDefault="00AF3234" w:rsidP="00AF3234">
      <w:pPr>
        <w:rPr>
          <w:b/>
          <w:u w:val="single"/>
        </w:rPr>
      </w:pPr>
    </w:p>
    <w:p w14:paraId="0F4F4787" w14:textId="251A33BE" w:rsidR="00A7009C" w:rsidRDefault="00FA6DE4" w:rsidP="00E3570F">
      <w:pPr>
        <w:spacing w:after="120"/>
      </w:pPr>
      <w:r>
        <w:t>See attachment A</w:t>
      </w:r>
      <w:r w:rsidR="00A7009C">
        <w:t>.</w:t>
      </w:r>
    </w:p>
    <w:p w14:paraId="298D020B" w14:textId="77777777" w:rsidR="009E43AE" w:rsidRPr="00A7009C" w:rsidRDefault="009E43AE" w:rsidP="00E3570F">
      <w:pPr>
        <w:spacing w:after="120"/>
        <w:rPr>
          <w:highlight w:val="yellow"/>
        </w:rPr>
      </w:pPr>
    </w:p>
    <w:p w14:paraId="4DC7BE3B" w14:textId="77777777" w:rsidR="00E3570F" w:rsidRPr="0088789B" w:rsidRDefault="00E3570F" w:rsidP="00E3570F">
      <w:pPr>
        <w:spacing w:after="120"/>
        <w:rPr>
          <w:b/>
          <w:u w:val="single"/>
        </w:rPr>
      </w:pPr>
      <w:r w:rsidRPr="0088789B">
        <w:rPr>
          <w:b/>
          <w:u w:val="single"/>
        </w:rPr>
        <w:t>Conclusion</w:t>
      </w:r>
    </w:p>
    <w:p w14:paraId="7AF5BDEC" w14:textId="25D415C7" w:rsidR="009E43AE" w:rsidRDefault="009E43AE" w:rsidP="00AD3312">
      <w:r>
        <w:t>Staff has reviewed Avista’s expected gas costs (Schedule 150) and deferral amortization rates (Schedule 155) proposed in the company’s filing and find them to be reasonable. Therefore staff recommends the commission take no action, thereby allowing the tariff filing in Docket UG-131748 to become effective November 1, 2013, by operation of law.</w:t>
      </w:r>
    </w:p>
    <w:p w14:paraId="1A346E58" w14:textId="77777777" w:rsidR="003B2585" w:rsidRDefault="003B2585" w:rsidP="00AD3312">
      <w:pPr>
        <w:sectPr w:rsidR="003B2585" w:rsidSect="00726B7D">
          <w:headerReference w:type="default" r:id="rId12"/>
          <w:headerReference w:type="first" r:id="rId13"/>
          <w:pgSz w:w="12240" w:h="15840" w:code="1"/>
          <w:pgMar w:top="1440" w:right="1440" w:bottom="1080" w:left="1440" w:header="720" w:footer="720" w:gutter="0"/>
          <w:cols w:space="720"/>
          <w:titlePg/>
          <w:docGrid w:linePitch="360"/>
        </w:sectPr>
      </w:pPr>
    </w:p>
    <w:p w14:paraId="2CF12026" w14:textId="2F35CEBF" w:rsidR="003B2585" w:rsidRDefault="003B2585" w:rsidP="003B2585">
      <w:pPr>
        <w:jc w:val="center"/>
        <w:rPr>
          <w:b/>
          <w:u w:val="single"/>
        </w:rPr>
      </w:pPr>
      <w:r>
        <w:rPr>
          <w:b/>
          <w:u w:val="single"/>
        </w:rPr>
        <w:lastRenderedPageBreak/>
        <w:t>Attachment A</w:t>
      </w:r>
    </w:p>
    <w:p w14:paraId="396B26D9" w14:textId="77777777" w:rsidR="003B2585" w:rsidRDefault="003B2585" w:rsidP="009E43AE">
      <w:pPr>
        <w:rPr>
          <w:b/>
          <w:u w:val="single"/>
        </w:rPr>
      </w:pPr>
    </w:p>
    <w:p w14:paraId="51886BBC" w14:textId="77777777" w:rsidR="009E43AE" w:rsidRDefault="009E43AE" w:rsidP="009E43AE">
      <w:pPr>
        <w:rPr>
          <w:b/>
          <w:u w:val="single"/>
        </w:rPr>
      </w:pPr>
      <w:r w:rsidRPr="00494940">
        <w:rPr>
          <w:b/>
          <w:u w:val="single"/>
        </w:rPr>
        <w:t>Customer Comments</w:t>
      </w:r>
    </w:p>
    <w:p w14:paraId="7999DD91" w14:textId="77777777" w:rsidR="009E43AE" w:rsidRDefault="009E43AE" w:rsidP="009E43AE">
      <w:pPr>
        <w:pStyle w:val="ListParagraph"/>
        <w:ind w:left="0"/>
        <w:rPr>
          <w:rFonts w:ascii="Times New Roman" w:hAnsi="Times New Roman"/>
          <w:sz w:val="24"/>
        </w:rPr>
      </w:pPr>
      <w:r>
        <w:rPr>
          <w:rFonts w:ascii="Times New Roman" w:hAnsi="Times New Roman"/>
          <w:sz w:val="24"/>
        </w:rPr>
        <w:t>Avista mailed bill inserts to customers explaining the Purchased Gas Cost Adjustment and issued a news release to advise media in its service territory of the specifics of the filing. The commission received 16 customer comments, all opposed to the increase. Subtotals may not equal the total number of comments submitted because customers often address more than one issue.</w:t>
      </w:r>
    </w:p>
    <w:p w14:paraId="1ED5EE73" w14:textId="77777777" w:rsidR="009E43AE" w:rsidRDefault="009E43AE" w:rsidP="009E43AE">
      <w:pPr>
        <w:pStyle w:val="ListParagraph"/>
        <w:ind w:left="0"/>
        <w:rPr>
          <w:rFonts w:ascii="Times New Roman" w:hAnsi="Times New Roman"/>
          <w:sz w:val="24"/>
        </w:rPr>
      </w:pPr>
    </w:p>
    <w:p w14:paraId="1029857A" w14:textId="77777777" w:rsidR="009E43AE" w:rsidRDefault="009E43AE" w:rsidP="009E43AE">
      <w:pPr>
        <w:pStyle w:val="ListParagraph"/>
        <w:ind w:left="0"/>
        <w:rPr>
          <w:rFonts w:ascii="Times New Roman" w:hAnsi="Times New Roman"/>
          <w:sz w:val="24"/>
        </w:rPr>
      </w:pPr>
      <w:r>
        <w:rPr>
          <w:rFonts w:ascii="Times New Roman" w:hAnsi="Times New Roman"/>
          <w:sz w:val="24"/>
        </w:rPr>
        <w:t xml:space="preserve">Consumer Protection staff advised consumers that they can access company documents about this case at </w:t>
      </w:r>
      <w:hyperlink r:id="rId14" w:history="1">
        <w:r w:rsidRPr="00611D85">
          <w:rPr>
            <w:rStyle w:val="Hyperlink"/>
            <w:rFonts w:ascii="Times New Roman" w:hAnsi="Times New Roman"/>
            <w:sz w:val="24"/>
          </w:rPr>
          <w:t>www.utc.wa.gov</w:t>
        </w:r>
      </w:hyperlink>
      <w:r>
        <w:rPr>
          <w:rFonts w:ascii="Times New Roman" w:hAnsi="Times New Roman"/>
          <w:sz w:val="24"/>
        </w:rPr>
        <w:t xml:space="preserve"> and contact Roger Kouchi at 1-888-333-9882 if they have questions. The consumers were also informed of the opportunity to participate at the open meeting.</w:t>
      </w:r>
    </w:p>
    <w:p w14:paraId="439BD227" w14:textId="77777777" w:rsidR="00B51B69" w:rsidRPr="00D40E74" w:rsidRDefault="00B51B69" w:rsidP="009E43AE">
      <w:pPr>
        <w:pStyle w:val="ListParagraph"/>
        <w:ind w:left="0"/>
        <w:rPr>
          <w:rFonts w:ascii="Times New Roman" w:hAnsi="Times New Roman"/>
          <w:b/>
          <w:sz w:val="24"/>
        </w:rPr>
      </w:pPr>
    </w:p>
    <w:p w14:paraId="23F248AD" w14:textId="77777777" w:rsidR="009E43AE" w:rsidRDefault="009E43AE" w:rsidP="00B51B69">
      <w:pPr>
        <w:spacing w:after="120"/>
        <w:rPr>
          <w:b/>
        </w:rPr>
      </w:pPr>
      <w:r>
        <w:rPr>
          <w:b/>
        </w:rPr>
        <w:t>Service Quality</w:t>
      </w:r>
    </w:p>
    <w:p w14:paraId="20DAE6E5" w14:textId="77777777" w:rsidR="009E43AE" w:rsidRPr="0024342E" w:rsidRDefault="009E43AE" w:rsidP="009E43AE">
      <w:pPr>
        <w:pStyle w:val="ListParagraph"/>
        <w:widowControl/>
        <w:numPr>
          <w:ilvl w:val="0"/>
          <w:numId w:val="3"/>
        </w:numPr>
        <w:autoSpaceDE/>
        <w:autoSpaceDN/>
        <w:adjustRightInd/>
        <w:spacing w:after="200" w:line="276" w:lineRule="auto"/>
        <w:rPr>
          <w:rFonts w:ascii="Times New Roman" w:hAnsi="Times New Roman"/>
          <w:b/>
          <w:sz w:val="24"/>
        </w:rPr>
      </w:pPr>
      <w:r>
        <w:rPr>
          <w:rFonts w:ascii="Times New Roman" w:hAnsi="Times New Roman"/>
          <w:sz w:val="24"/>
        </w:rPr>
        <w:t>One customer commented his service was out for three days due to lightning storms.</w:t>
      </w:r>
    </w:p>
    <w:p w14:paraId="08D8B510" w14:textId="77777777" w:rsidR="009E43AE" w:rsidRDefault="009E43AE" w:rsidP="009E43AE">
      <w:pPr>
        <w:ind w:left="720"/>
      </w:pPr>
      <w:r>
        <w:rPr>
          <w:b/>
        </w:rPr>
        <w:t xml:space="preserve">Staff Response: </w:t>
      </w:r>
      <w:r>
        <w:t>The customer was informed that he should first contact the company to resolve his service quality issue. If the company does not provide a satisfactory response to the complaint, the customer was advised to contact the commission’s consumer protection staff and file an informal complaint.</w:t>
      </w:r>
    </w:p>
    <w:p w14:paraId="4BDA0466" w14:textId="77777777" w:rsidR="00B51B69" w:rsidRDefault="00B51B69" w:rsidP="009E43AE">
      <w:pPr>
        <w:ind w:left="720"/>
        <w:rPr>
          <w:b/>
        </w:rPr>
      </w:pPr>
    </w:p>
    <w:p w14:paraId="7CA6E06E" w14:textId="77777777" w:rsidR="009E43AE" w:rsidRDefault="009E43AE" w:rsidP="00B51B69">
      <w:pPr>
        <w:spacing w:after="120"/>
        <w:rPr>
          <w:b/>
        </w:rPr>
      </w:pPr>
      <w:r>
        <w:rPr>
          <w:b/>
        </w:rPr>
        <w:t>General Comments</w:t>
      </w:r>
    </w:p>
    <w:p w14:paraId="28FCCFF4" w14:textId="77777777" w:rsidR="009E43AE" w:rsidRPr="00D40E74" w:rsidRDefault="009E43AE" w:rsidP="009E43AE">
      <w:pPr>
        <w:pStyle w:val="ListParagraph"/>
        <w:widowControl/>
        <w:numPr>
          <w:ilvl w:val="0"/>
          <w:numId w:val="2"/>
        </w:numPr>
        <w:autoSpaceDE/>
        <w:autoSpaceDN/>
        <w:adjustRightInd/>
        <w:spacing w:after="200" w:line="276" w:lineRule="auto"/>
        <w:rPr>
          <w:rFonts w:ascii="Times New Roman" w:hAnsi="Times New Roman"/>
          <w:b/>
          <w:sz w:val="24"/>
        </w:rPr>
      </w:pPr>
      <w:r w:rsidRPr="00D40E74">
        <w:rPr>
          <w:rFonts w:ascii="Times New Roman" w:hAnsi="Times New Roman"/>
          <w:sz w:val="24"/>
        </w:rPr>
        <w:t xml:space="preserve">Two customers believe that Avista is not reducing its costs enough </w:t>
      </w:r>
      <w:r>
        <w:rPr>
          <w:rFonts w:ascii="Times New Roman" w:hAnsi="Times New Roman"/>
          <w:sz w:val="24"/>
        </w:rPr>
        <w:t>based on</w:t>
      </w:r>
      <w:r w:rsidRPr="00D40E74">
        <w:rPr>
          <w:rFonts w:ascii="Times New Roman" w:hAnsi="Times New Roman"/>
          <w:sz w:val="24"/>
        </w:rPr>
        <w:t xml:space="preserve"> profits made from the low wholesale price of natural gas. Two customers stated that the increase is much higher than the inflation rate. </w:t>
      </w:r>
    </w:p>
    <w:p w14:paraId="05C27E03" w14:textId="77777777" w:rsidR="009E43AE" w:rsidRPr="00D40E74" w:rsidRDefault="009E43AE" w:rsidP="009E43AE">
      <w:pPr>
        <w:pStyle w:val="ListParagraph"/>
        <w:rPr>
          <w:rFonts w:ascii="Times New Roman" w:hAnsi="Times New Roman"/>
          <w:b/>
          <w:sz w:val="24"/>
        </w:rPr>
      </w:pPr>
    </w:p>
    <w:p w14:paraId="1168FFAD" w14:textId="77777777" w:rsidR="009E43AE" w:rsidRDefault="009E43AE" w:rsidP="009E43AE">
      <w:pPr>
        <w:pStyle w:val="ListParagraph"/>
        <w:rPr>
          <w:rFonts w:ascii="Times New Roman" w:hAnsi="Times New Roman"/>
          <w:b/>
          <w:sz w:val="24"/>
        </w:rPr>
      </w:pPr>
      <w:r w:rsidRPr="00D40E74">
        <w:rPr>
          <w:rFonts w:ascii="Times New Roman" w:hAnsi="Times New Roman"/>
          <w:b/>
          <w:sz w:val="24"/>
        </w:rPr>
        <w:t>Staff Response:</w:t>
      </w:r>
    </w:p>
    <w:p w14:paraId="04254760" w14:textId="77777777" w:rsidR="009E43AE" w:rsidRPr="00D40E74" w:rsidRDefault="009E43AE" w:rsidP="009E43AE">
      <w:pPr>
        <w:pStyle w:val="ListParagraph"/>
        <w:rPr>
          <w:rFonts w:ascii="Times New Roman" w:hAnsi="Times New Roman"/>
          <w:b/>
          <w:sz w:val="24"/>
        </w:rPr>
      </w:pPr>
    </w:p>
    <w:p w14:paraId="252FD1D8" w14:textId="77777777" w:rsidR="009E43AE" w:rsidRDefault="009E43AE" w:rsidP="009E43AE">
      <w:pPr>
        <w:pStyle w:val="ListParagraph"/>
        <w:rPr>
          <w:rFonts w:ascii="Times New Roman" w:hAnsi="Times New Roman"/>
          <w:sz w:val="24"/>
        </w:rPr>
      </w:pPr>
      <w:r>
        <w:rPr>
          <w:rFonts w:ascii="Times New Roman" w:hAnsi="Times New Roman"/>
          <w:sz w:val="24"/>
        </w:rPr>
        <w:t xml:space="preserve">Staff advised the customers that Avista receives no profit from the wholesale purchase of natural gas. Staff provided the consumer the fact sheet entitled Understanding Purchased Gas Cost Adjustments. </w:t>
      </w:r>
    </w:p>
    <w:p w14:paraId="36920623" w14:textId="77777777" w:rsidR="009E43AE" w:rsidRPr="00D40E74" w:rsidRDefault="009E43AE" w:rsidP="009E43AE">
      <w:pPr>
        <w:pStyle w:val="ListParagraph"/>
        <w:rPr>
          <w:rFonts w:ascii="Times New Roman" w:hAnsi="Times New Roman"/>
          <w:b/>
          <w:sz w:val="24"/>
        </w:rPr>
      </w:pPr>
    </w:p>
    <w:p w14:paraId="1B024F2C" w14:textId="77777777" w:rsidR="009E43AE" w:rsidRPr="00D40E74" w:rsidRDefault="009E43AE" w:rsidP="009E43AE">
      <w:pPr>
        <w:pStyle w:val="ListParagraph"/>
        <w:widowControl/>
        <w:numPr>
          <w:ilvl w:val="0"/>
          <w:numId w:val="2"/>
        </w:numPr>
        <w:autoSpaceDE/>
        <w:autoSpaceDN/>
        <w:adjustRightInd/>
        <w:spacing w:after="200" w:line="276" w:lineRule="auto"/>
        <w:rPr>
          <w:rFonts w:ascii="Times New Roman" w:hAnsi="Times New Roman"/>
          <w:b/>
          <w:sz w:val="24"/>
        </w:rPr>
      </w:pPr>
      <w:r>
        <w:rPr>
          <w:rFonts w:ascii="Times New Roman" w:hAnsi="Times New Roman"/>
          <w:sz w:val="24"/>
        </w:rPr>
        <w:t>Thirteen consumers expressed frustration with the frequent rate increases. They stated that economic conditions are bad, the CEO and executive officers are paid too much, their bills are already too high, they are having a difficult time because they are on fixed income and their bills continue to increase. These customers oppose a rate increase.</w:t>
      </w:r>
    </w:p>
    <w:p w14:paraId="42A41863" w14:textId="77777777" w:rsidR="009E43AE" w:rsidRDefault="009E43AE" w:rsidP="009E43AE">
      <w:pPr>
        <w:pStyle w:val="ListParagraph"/>
        <w:rPr>
          <w:rFonts w:ascii="Times New Roman" w:hAnsi="Times New Roman"/>
          <w:b/>
          <w:sz w:val="24"/>
        </w:rPr>
      </w:pPr>
    </w:p>
    <w:p w14:paraId="2C4859CB" w14:textId="77777777" w:rsidR="009E43AE" w:rsidRDefault="009E43AE" w:rsidP="009E43AE">
      <w:pPr>
        <w:pStyle w:val="ListParagraph"/>
        <w:rPr>
          <w:rFonts w:ascii="Times New Roman" w:hAnsi="Times New Roman"/>
          <w:b/>
          <w:sz w:val="24"/>
        </w:rPr>
      </w:pPr>
      <w:r>
        <w:rPr>
          <w:rFonts w:ascii="Times New Roman" w:hAnsi="Times New Roman"/>
          <w:b/>
          <w:sz w:val="24"/>
        </w:rPr>
        <w:t>Staff Response:</w:t>
      </w:r>
    </w:p>
    <w:p w14:paraId="6EA993B0" w14:textId="77777777" w:rsidR="009E43AE" w:rsidRDefault="009E43AE" w:rsidP="009E43AE">
      <w:pPr>
        <w:pStyle w:val="ListParagraph"/>
        <w:rPr>
          <w:rFonts w:ascii="Times New Roman" w:hAnsi="Times New Roman"/>
          <w:b/>
          <w:sz w:val="24"/>
        </w:rPr>
      </w:pPr>
    </w:p>
    <w:p w14:paraId="32668D79" w14:textId="44E48747" w:rsidR="009E43AE" w:rsidRPr="00AD3312" w:rsidRDefault="009E43AE" w:rsidP="0041214F">
      <w:pPr>
        <w:pStyle w:val="ListParagraph"/>
      </w:pPr>
      <w:r>
        <w:rPr>
          <w:rFonts w:ascii="Times New Roman" w:hAnsi="Times New Roman"/>
          <w:sz w:val="24"/>
        </w:rPr>
        <w:t>Customers were advised that state law requires rates to be fair, just, reasonable and sufficient to allow the company to recover reasonable operating expenses and the opportunity to earn a reasonable return on investment. They were also advised that the commission’s regulatory staff will review this filing to ensure that all rates and fees are appropriate.</w:t>
      </w:r>
    </w:p>
    <w:sectPr w:rsidR="009E43AE" w:rsidRPr="00AD3312" w:rsidSect="00B51B69">
      <w:headerReference w:type="first" r:id="rId15"/>
      <w:pgSz w:w="12240" w:h="15840" w:code="1"/>
      <w:pgMar w:top="1440"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96C93" w14:textId="77777777" w:rsidR="00007415" w:rsidRDefault="00007415" w:rsidP="00E3570F">
      <w:r>
        <w:separator/>
      </w:r>
    </w:p>
  </w:endnote>
  <w:endnote w:type="continuationSeparator" w:id="0">
    <w:p w14:paraId="29C9EFEA" w14:textId="77777777" w:rsidR="00007415" w:rsidRDefault="00007415" w:rsidP="00E3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C7464" w14:textId="77777777" w:rsidR="00007415" w:rsidRDefault="00007415" w:rsidP="00E3570F">
      <w:r>
        <w:separator/>
      </w:r>
    </w:p>
  </w:footnote>
  <w:footnote w:type="continuationSeparator" w:id="0">
    <w:p w14:paraId="755F8304" w14:textId="77777777" w:rsidR="00007415" w:rsidRDefault="00007415" w:rsidP="00E3570F">
      <w:r>
        <w:continuationSeparator/>
      </w:r>
    </w:p>
  </w:footnote>
  <w:footnote w:id="1">
    <w:p w14:paraId="6D9C3377" w14:textId="0E267D8C" w:rsidR="00007415" w:rsidRPr="00D571E1" w:rsidRDefault="00007415">
      <w:pPr>
        <w:pStyle w:val="FootnoteText"/>
      </w:pPr>
      <w:r w:rsidRPr="00D571E1">
        <w:rPr>
          <w:rStyle w:val="FootnoteReference"/>
        </w:rPr>
        <w:footnoteRef/>
      </w:r>
      <w:r w:rsidRPr="00D571E1">
        <w:t xml:space="preserve"> </w:t>
      </w:r>
      <w:r w:rsidRPr="00C607A0">
        <w:t>Included in this increase is a partial offset to deferred gas costs from the Cochrane Natural Gas Liquid (NGL) Extraction Facility located in souther</w:t>
      </w:r>
      <w:r>
        <w:t>n</w:t>
      </w:r>
      <w:r w:rsidRPr="00C607A0">
        <w:t xml:space="preserve"> Canada.</w:t>
      </w:r>
      <w:r>
        <w:t xml:space="preserve"> </w:t>
      </w:r>
      <w:r w:rsidRPr="00C607A0">
        <w:t xml:space="preserve">NGL </w:t>
      </w:r>
      <w:r>
        <w:t xml:space="preserve">extraction </w:t>
      </w:r>
      <w:r w:rsidRPr="00C607A0">
        <w:t>is the process of removing fluids and other hydrocarbons from natural gas supplies to create “dry” natural gas. This facility compensates pipeline users for liquids removed and sold in the open market. During the prior PGA period the total amount of the credit was approximately $600,000</w:t>
      </w:r>
    </w:p>
  </w:footnote>
  <w:footnote w:id="2">
    <w:p w14:paraId="2F2AF6D2" w14:textId="3C5711ED" w:rsidR="00007415" w:rsidRPr="00D571E1" w:rsidRDefault="00007415" w:rsidP="000933E5">
      <w:pPr>
        <w:rPr>
          <w:sz w:val="20"/>
          <w:szCs w:val="20"/>
        </w:rPr>
      </w:pPr>
      <w:r w:rsidRPr="00D571E1">
        <w:rPr>
          <w:rStyle w:val="FootnoteReference"/>
          <w:sz w:val="20"/>
          <w:szCs w:val="20"/>
        </w:rPr>
        <w:footnoteRef/>
      </w:r>
      <w:r w:rsidRPr="00D571E1">
        <w:rPr>
          <w:sz w:val="20"/>
          <w:szCs w:val="20"/>
        </w:rPr>
        <w:t xml:space="preserve"> The Deferred Exchange C</w:t>
      </w:r>
      <w:r>
        <w:rPr>
          <w:sz w:val="20"/>
          <w:szCs w:val="20"/>
        </w:rPr>
        <w:t>ontract</w:t>
      </w:r>
      <w:r w:rsidRPr="00D571E1">
        <w:rPr>
          <w:sz w:val="20"/>
          <w:szCs w:val="20"/>
        </w:rPr>
        <w:t xml:space="preserve"> (DEC) is a program where the </w:t>
      </w:r>
      <w:r>
        <w:rPr>
          <w:sz w:val="20"/>
          <w:szCs w:val="20"/>
        </w:rPr>
        <w:t>c</w:t>
      </w:r>
      <w:r w:rsidRPr="00D571E1">
        <w:rPr>
          <w:sz w:val="20"/>
          <w:szCs w:val="20"/>
        </w:rPr>
        <w:t xml:space="preserve">ompany agrees to purchase gas from a third party during the off-peak season at a set price and  then sell gas to the same third-party during the on-peak season at the same price plus a </w:t>
      </w:r>
      <w:r>
        <w:rPr>
          <w:sz w:val="20"/>
          <w:szCs w:val="20"/>
        </w:rPr>
        <w:t>fixed charge</w:t>
      </w:r>
      <w:r w:rsidRPr="00D571E1">
        <w:rPr>
          <w:sz w:val="20"/>
          <w:szCs w:val="20"/>
        </w:rPr>
        <w:t xml:space="preserve">. The net benefit provided to WA rate payers from the DEC has been approximately $4.2 million per year. This agreement will expire in March 2014.  As a result, the overall benefit for the upcoming PGA year is reduced by $2.5 million. The expiration of the DEC results in a net increase in rates and accounts for approximately 19 percent of the total rate increase proposed by the </w:t>
      </w:r>
      <w:r>
        <w:rPr>
          <w:sz w:val="20"/>
          <w:szCs w:val="20"/>
        </w:rPr>
        <w:t>c</w:t>
      </w:r>
      <w:r w:rsidRPr="00D571E1">
        <w:rPr>
          <w:sz w:val="20"/>
          <w:szCs w:val="20"/>
        </w:rPr>
        <w:t xml:space="preserve">ompany.  </w:t>
      </w:r>
    </w:p>
    <w:p w14:paraId="6114DE88" w14:textId="29697198" w:rsidR="00007415" w:rsidRDefault="00007415">
      <w:pPr>
        <w:pStyle w:val="FootnoteText"/>
      </w:pPr>
    </w:p>
  </w:footnote>
  <w:footnote w:id="3">
    <w:p w14:paraId="27779E5D" w14:textId="7B74AB05" w:rsidR="00007415" w:rsidRPr="007D4327" w:rsidRDefault="00007415">
      <w:pPr>
        <w:pStyle w:val="FootnoteText"/>
      </w:pPr>
      <w:r>
        <w:rPr>
          <w:rStyle w:val="FootnoteReference"/>
        </w:rPr>
        <w:footnoteRef/>
      </w:r>
      <w:r>
        <w:t xml:space="preserve"> Commodity and demand charges for all LDC’s are </w:t>
      </w:r>
      <w:r>
        <w:rPr>
          <w:i/>
        </w:rPr>
        <w:t>before</w:t>
      </w:r>
      <w:r>
        <w:t xml:space="preserve"> revenue sensitive items.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7BE41" w14:textId="55CECF9E" w:rsidR="00007415" w:rsidRPr="00E17B05" w:rsidRDefault="00007415">
    <w:pPr>
      <w:pStyle w:val="Header"/>
      <w:rPr>
        <w:sz w:val="20"/>
        <w:szCs w:val="20"/>
      </w:rPr>
    </w:pPr>
    <w:r w:rsidRPr="00E17B05">
      <w:rPr>
        <w:sz w:val="20"/>
        <w:szCs w:val="20"/>
      </w:rPr>
      <w:t>Docket UG-1</w:t>
    </w:r>
    <w:r>
      <w:rPr>
        <w:sz w:val="20"/>
        <w:szCs w:val="20"/>
      </w:rPr>
      <w:t>31748</w:t>
    </w:r>
  </w:p>
  <w:p w14:paraId="4DC7BE42" w14:textId="65558AD4" w:rsidR="00007415" w:rsidRPr="00E17B05" w:rsidRDefault="00007415">
    <w:pPr>
      <w:pStyle w:val="Header"/>
      <w:rPr>
        <w:sz w:val="20"/>
        <w:szCs w:val="20"/>
      </w:rPr>
    </w:pPr>
    <w:r w:rsidRPr="00E17B05">
      <w:rPr>
        <w:sz w:val="20"/>
        <w:szCs w:val="20"/>
      </w:rPr>
      <w:t xml:space="preserve">October </w:t>
    </w:r>
    <w:r>
      <w:rPr>
        <w:sz w:val="20"/>
        <w:szCs w:val="20"/>
      </w:rPr>
      <w:t>30</w:t>
    </w:r>
    <w:r w:rsidRPr="00E17B05">
      <w:rPr>
        <w:sz w:val="20"/>
        <w:szCs w:val="20"/>
      </w:rPr>
      <w:t>, 201</w:t>
    </w:r>
    <w:r>
      <w:rPr>
        <w:sz w:val="20"/>
        <w:szCs w:val="20"/>
      </w:rPr>
      <w:t>3</w:t>
    </w:r>
  </w:p>
  <w:p w14:paraId="4DC7BE43" w14:textId="296D93B9" w:rsidR="00007415" w:rsidRPr="00E17B05" w:rsidRDefault="00007415">
    <w:pPr>
      <w:pStyle w:val="Header"/>
      <w:rPr>
        <w:sz w:val="20"/>
        <w:szCs w:val="20"/>
      </w:rPr>
    </w:pPr>
    <w:r w:rsidRPr="00E17B05">
      <w:rPr>
        <w:sz w:val="20"/>
        <w:szCs w:val="20"/>
      </w:rPr>
      <w:t xml:space="preserve">Page </w:t>
    </w:r>
    <w:r w:rsidRPr="00E17B05">
      <w:rPr>
        <w:sz w:val="20"/>
        <w:szCs w:val="20"/>
      </w:rPr>
      <w:fldChar w:fldCharType="begin"/>
    </w:r>
    <w:r w:rsidRPr="00E17B05">
      <w:rPr>
        <w:sz w:val="20"/>
        <w:szCs w:val="20"/>
      </w:rPr>
      <w:instrText xml:space="preserve"> PAGE </w:instrText>
    </w:r>
    <w:r w:rsidRPr="00E17B05">
      <w:rPr>
        <w:sz w:val="20"/>
        <w:szCs w:val="20"/>
      </w:rPr>
      <w:fldChar w:fldCharType="separate"/>
    </w:r>
    <w:r w:rsidR="00225A3D">
      <w:rPr>
        <w:noProof/>
        <w:sz w:val="20"/>
        <w:szCs w:val="20"/>
      </w:rPr>
      <w:t>4</w:t>
    </w:r>
    <w:r w:rsidRPr="00E17B05">
      <w:rPr>
        <w:sz w:val="20"/>
        <w:szCs w:val="20"/>
      </w:rPr>
      <w:fldChar w:fldCharType="end"/>
    </w:r>
    <w:r w:rsidRPr="00E17B05">
      <w:rPr>
        <w:sz w:val="20"/>
        <w:szCs w:val="20"/>
      </w:rPr>
      <w:t xml:space="preserve"> of </w:t>
    </w:r>
    <w:r>
      <w:rPr>
        <w:sz w:val="20"/>
        <w:szCs w:val="20"/>
      </w:rPr>
      <w:t>4</w:t>
    </w:r>
  </w:p>
  <w:p w14:paraId="4DC7BE44" w14:textId="77777777" w:rsidR="00007415" w:rsidRDefault="00007415">
    <w:pPr>
      <w:pStyle w:val="Header"/>
      <w:rPr>
        <w:sz w:val="16"/>
        <w:szCs w:val="16"/>
      </w:rPr>
    </w:pPr>
  </w:p>
  <w:p w14:paraId="4DC7BE45" w14:textId="77777777" w:rsidR="00007415" w:rsidRPr="00920F63" w:rsidRDefault="00007415">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3EB6E" w14:textId="77777777" w:rsidR="00007415" w:rsidRDefault="00007415" w:rsidP="00C62BBB">
    <w:pPr>
      <w:pStyle w:val="Header"/>
      <w:rPr>
        <w:sz w:val="16"/>
        <w:szCs w:val="16"/>
      </w:rPr>
    </w:pPr>
  </w:p>
  <w:p w14:paraId="1257DE12" w14:textId="77777777" w:rsidR="00007415" w:rsidRDefault="000074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B4600" w14:textId="77777777" w:rsidR="00007415" w:rsidRPr="00E17B05" w:rsidRDefault="00007415" w:rsidP="003B2585">
    <w:pPr>
      <w:pStyle w:val="Header"/>
      <w:rPr>
        <w:sz w:val="20"/>
        <w:szCs w:val="20"/>
      </w:rPr>
    </w:pPr>
    <w:r w:rsidRPr="00E17B05">
      <w:rPr>
        <w:sz w:val="20"/>
        <w:szCs w:val="20"/>
      </w:rPr>
      <w:t>Docket UG-1</w:t>
    </w:r>
    <w:r>
      <w:rPr>
        <w:sz w:val="20"/>
        <w:szCs w:val="20"/>
      </w:rPr>
      <w:t>31748</w:t>
    </w:r>
  </w:p>
  <w:p w14:paraId="52E964C3" w14:textId="77777777" w:rsidR="00007415" w:rsidRPr="00E17B05" w:rsidRDefault="00007415" w:rsidP="003B2585">
    <w:pPr>
      <w:pStyle w:val="Header"/>
      <w:rPr>
        <w:sz w:val="20"/>
        <w:szCs w:val="20"/>
      </w:rPr>
    </w:pPr>
    <w:r w:rsidRPr="00E17B05">
      <w:rPr>
        <w:sz w:val="20"/>
        <w:szCs w:val="20"/>
      </w:rPr>
      <w:t xml:space="preserve">October </w:t>
    </w:r>
    <w:r>
      <w:rPr>
        <w:sz w:val="20"/>
        <w:szCs w:val="20"/>
      </w:rPr>
      <w:t>30</w:t>
    </w:r>
    <w:r w:rsidRPr="00E17B05">
      <w:rPr>
        <w:sz w:val="20"/>
        <w:szCs w:val="20"/>
      </w:rPr>
      <w:t>, 201</w:t>
    </w:r>
    <w:r>
      <w:rPr>
        <w:sz w:val="20"/>
        <w:szCs w:val="20"/>
      </w:rPr>
      <w:t>3</w:t>
    </w:r>
  </w:p>
  <w:p w14:paraId="5ECB62EE" w14:textId="77777777" w:rsidR="00007415" w:rsidRDefault="00007415" w:rsidP="003B2585">
    <w:pPr>
      <w:pStyle w:val="Header"/>
      <w:rPr>
        <w:sz w:val="20"/>
        <w:szCs w:val="20"/>
      </w:rPr>
    </w:pPr>
    <w:r>
      <w:rPr>
        <w:sz w:val="20"/>
        <w:szCs w:val="20"/>
      </w:rPr>
      <w:t>Attachment A</w:t>
    </w:r>
  </w:p>
  <w:p w14:paraId="3B9F395A" w14:textId="77777777" w:rsidR="00007415" w:rsidRPr="00E17B05" w:rsidRDefault="00007415" w:rsidP="003B2585">
    <w:pPr>
      <w:pStyle w:val="Header"/>
      <w:rPr>
        <w:sz w:val="20"/>
        <w:szCs w:val="20"/>
      </w:rPr>
    </w:pPr>
    <w:r w:rsidRPr="00E17B05">
      <w:rPr>
        <w:sz w:val="20"/>
        <w:szCs w:val="20"/>
      </w:rPr>
      <w:t xml:space="preserve">Page </w:t>
    </w:r>
    <w:r>
      <w:rPr>
        <w:sz w:val="20"/>
        <w:szCs w:val="20"/>
      </w:rPr>
      <w:t>1</w:t>
    </w:r>
    <w:r w:rsidRPr="00E17B05">
      <w:rPr>
        <w:sz w:val="20"/>
        <w:szCs w:val="20"/>
      </w:rPr>
      <w:t xml:space="preserve"> of </w:t>
    </w:r>
    <w:r>
      <w:rPr>
        <w:sz w:val="20"/>
        <w:szCs w:val="20"/>
      </w:rPr>
      <w:t>1</w:t>
    </w:r>
  </w:p>
  <w:p w14:paraId="6667F2F5" w14:textId="77777777" w:rsidR="00007415" w:rsidRDefault="000074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41405"/>
    <w:multiLevelType w:val="hybridMultilevel"/>
    <w:tmpl w:val="DA906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8335E9"/>
    <w:multiLevelType w:val="hybridMultilevel"/>
    <w:tmpl w:val="D3CA7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A77285"/>
    <w:multiLevelType w:val="hybridMultilevel"/>
    <w:tmpl w:val="CD6C4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70F"/>
    <w:rsid w:val="00007415"/>
    <w:rsid w:val="00020414"/>
    <w:rsid w:val="0002649B"/>
    <w:rsid w:val="000375D4"/>
    <w:rsid w:val="000475F2"/>
    <w:rsid w:val="00052A7A"/>
    <w:rsid w:val="00057BA7"/>
    <w:rsid w:val="00082716"/>
    <w:rsid w:val="000933E5"/>
    <w:rsid w:val="000E22CB"/>
    <w:rsid w:val="000E640C"/>
    <w:rsid w:val="00141192"/>
    <w:rsid w:val="001A46D2"/>
    <w:rsid w:val="001B286C"/>
    <w:rsid w:val="001C582A"/>
    <w:rsid w:val="001C5AB1"/>
    <w:rsid w:val="001E1D7A"/>
    <w:rsid w:val="00225A3D"/>
    <w:rsid w:val="00235454"/>
    <w:rsid w:val="002374DD"/>
    <w:rsid w:val="00256511"/>
    <w:rsid w:val="002A07C2"/>
    <w:rsid w:val="002A2D5C"/>
    <w:rsid w:val="002B00BA"/>
    <w:rsid w:val="002B1413"/>
    <w:rsid w:val="002B579F"/>
    <w:rsid w:val="002B6533"/>
    <w:rsid w:val="002C039A"/>
    <w:rsid w:val="002D3D0B"/>
    <w:rsid w:val="002F5878"/>
    <w:rsid w:val="00307586"/>
    <w:rsid w:val="00333BB7"/>
    <w:rsid w:val="00337864"/>
    <w:rsid w:val="00354A2D"/>
    <w:rsid w:val="00356656"/>
    <w:rsid w:val="00367122"/>
    <w:rsid w:val="00372428"/>
    <w:rsid w:val="00381A28"/>
    <w:rsid w:val="003918C9"/>
    <w:rsid w:val="003B203C"/>
    <w:rsid w:val="003B2585"/>
    <w:rsid w:val="003B556F"/>
    <w:rsid w:val="003C0D1D"/>
    <w:rsid w:val="00411B71"/>
    <w:rsid w:val="0041214F"/>
    <w:rsid w:val="004C3434"/>
    <w:rsid w:val="004C400A"/>
    <w:rsid w:val="00504B26"/>
    <w:rsid w:val="00506B41"/>
    <w:rsid w:val="00522EA2"/>
    <w:rsid w:val="005245A4"/>
    <w:rsid w:val="0052523E"/>
    <w:rsid w:val="00532492"/>
    <w:rsid w:val="00552600"/>
    <w:rsid w:val="005571D9"/>
    <w:rsid w:val="00590274"/>
    <w:rsid w:val="005A6C74"/>
    <w:rsid w:val="005C5EC6"/>
    <w:rsid w:val="005C6BD3"/>
    <w:rsid w:val="005D146A"/>
    <w:rsid w:val="005D5E39"/>
    <w:rsid w:val="00603BE1"/>
    <w:rsid w:val="00604833"/>
    <w:rsid w:val="00610579"/>
    <w:rsid w:val="0061563F"/>
    <w:rsid w:val="00616438"/>
    <w:rsid w:val="00620B9A"/>
    <w:rsid w:val="00630C80"/>
    <w:rsid w:val="00672F7B"/>
    <w:rsid w:val="00673B40"/>
    <w:rsid w:val="00680C5D"/>
    <w:rsid w:val="006A2958"/>
    <w:rsid w:val="006A41EE"/>
    <w:rsid w:val="006D0FDE"/>
    <w:rsid w:val="006F7F00"/>
    <w:rsid w:val="00704A79"/>
    <w:rsid w:val="00726B7D"/>
    <w:rsid w:val="0074668E"/>
    <w:rsid w:val="00747B1D"/>
    <w:rsid w:val="007858D6"/>
    <w:rsid w:val="007B3336"/>
    <w:rsid w:val="007C0D6D"/>
    <w:rsid w:val="007D4327"/>
    <w:rsid w:val="007E0D0B"/>
    <w:rsid w:val="007F6A8E"/>
    <w:rsid w:val="00807CB9"/>
    <w:rsid w:val="008221C8"/>
    <w:rsid w:val="0083185B"/>
    <w:rsid w:val="00837AA7"/>
    <w:rsid w:val="00863004"/>
    <w:rsid w:val="008745CB"/>
    <w:rsid w:val="00874C59"/>
    <w:rsid w:val="00883699"/>
    <w:rsid w:val="0088589E"/>
    <w:rsid w:val="0088789B"/>
    <w:rsid w:val="008D5D4F"/>
    <w:rsid w:val="008F08B2"/>
    <w:rsid w:val="0091691B"/>
    <w:rsid w:val="00935675"/>
    <w:rsid w:val="00954023"/>
    <w:rsid w:val="00962083"/>
    <w:rsid w:val="00971811"/>
    <w:rsid w:val="0097382C"/>
    <w:rsid w:val="00973AE2"/>
    <w:rsid w:val="00974D1B"/>
    <w:rsid w:val="009A1B6B"/>
    <w:rsid w:val="009E43AE"/>
    <w:rsid w:val="009F5886"/>
    <w:rsid w:val="00A1689C"/>
    <w:rsid w:val="00A406C3"/>
    <w:rsid w:val="00A5138D"/>
    <w:rsid w:val="00A66602"/>
    <w:rsid w:val="00A7009C"/>
    <w:rsid w:val="00A82791"/>
    <w:rsid w:val="00A84C2A"/>
    <w:rsid w:val="00AA05CE"/>
    <w:rsid w:val="00AA0F8A"/>
    <w:rsid w:val="00AA380A"/>
    <w:rsid w:val="00AA5E5D"/>
    <w:rsid w:val="00AA7F24"/>
    <w:rsid w:val="00AD3312"/>
    <w:rsid w:val="00AE273E"/>
    <w:rsid w:val="00AE5F90"/>
    <w:rsid w:val="00AF3234"/>
    <w:rsid w:val="00AF4467"/>
    <w:rsid w:val="00B13041"/>
    <w:rsid w:val="00B27ADA"/>
    <w:rsid w:val="00B34D3B"/>
    <w:rsid w:val="00B43B36"/>
    <w:rsid w:val="00B51B69"/>
    <w:rsid w:val="00B53595"/>
    <w:rsid w:val="00B62575"/>
    <w:rsid w:val="00BA4BE0"/>
    <w:rsid w:val="00BB0FBD"/>
    <w:rsid w:val="00BC13EC"/>
    <w:rsid w:val="00BC40D6"/>
    <w:rsid w:val="00BD14AD"/>
    <w:rsid w:val="00BE428D"/>
    <w:rsid w:val="00C07F00"/>
    <w:rsid w:val="00C1663F"/>
    <w:rsid w:val="00C27F60"/>
    <w:rsid w:val="00C607A0"/>
    <w:rsid w:val="00C62BBB"/>
    <w:rsid w:val="00C726A6"/>
    <w:rsid w:val="00C87A47"/>
    <w:rsid w:val="00C929AD"/>
    <w:rsid w:val="00C92BE4"/>
    <w:rsid w:val="00CA3484"/>
    <w:rsid w:val="00CB53EC"/>
    <w:rsid w:val="00CD0A6F"/>
    <w:rsid w:val="00D56B5A"/>
    <w:rsid w:val="00D571E1"/>
    <w:rsid w:val="00D96D68"/>
    <w:rsid w:val="00DA1B86"/>
    <w:rsid w:val="00DD2A47"/>
    <w:rsid w:val="00E30986"/>
    <w:rsid w:val="00E33FD0"/>
    <w:rsid w:val="00E3570F"/>
    <w:rsid w:val="00E44142"/>
    <w:rsid w:val="00E576C6"/>
    <w:rsid w:val="00E66102"/>
    <w:rsid w:val="00E7690E"/>
    <w:rsid w:val="00E76C46"/>
    <w:rsid w:val="00E82AEA"/>
    <w:rsid w:val="00E9385F"/>
    <w:rsid w:val="00EB7528"/>
    <w:rsid w:val="00EC63CD"/>
    <w:rsid w:val="00F20CA3"/>
    <w:rsid w:val="00F21B68"/>
    <w:rsid w:val="00F261B4"/>
    <w:rsid w:val="00F314B5"/>
    <w:rsid w:val="00F42DCE"/>
    <w:rsid w:val="00F8196A"/>
    <w:rsid w:val="00F878EC"/>
    <w:rsid w:val="00FA0F8D"/>
    <w:rsid w:val="00FA5115"/>
    <w:rsid w:val="00FA6DE4"/>
    <w:rsid w:val="00FB7F6B"/>
    <w:rsid w:val="00FD2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C7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70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E3570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3570F"/>
    <w:pPr>
      <w:tabs>
        <w:tab w:val="center" w:pos="4320"/>
        <w:tab w:val="right" w:pos="8640"/>
      </w:tabs>
    </w:pPr>
  </w:style>
  <w:style w:type="character" w:customStyle="1" w:styleId="HeaderChar">
    <w:name w:val="Header Char"/>
    <w:basedOn w:val="DefaultParagraphFont"/>
    <w:link w:val="Header"/>
    <w:rsid w:val="00E3570F"/>
    <w:rPr>
      <w:rFonts w:ascii="Times New Roman" w:eastAsia="Times New Roman" w:hAnsi="Times New Roman" w:cs="Times New Roman"/>
      <w:sz w:val="24"/>
      <w:szCs w:val="24"/>
    </w:rPr>
  </w:style>
  <w:style w:type="paragraph" w:styleId="FootnoteText">
    <w:name w:val="footnote text"/>
    <w:basedOn w:val="Normal"/>
    <w:link w:val="FootnoteTextChar"/>
    <w:rsid w:val="00E3570F"/>
    <w:rPr>
      <w:sz w:val="20"/>
      <w:szCs w:val="20"/>
    </w:rPr>
  </w:style>
  <w:style w:type="character" w:customStyle="1" w:styleId="FootnoteTextChar">
    <w:name w:val="Footnote Text Char"/>
    <w:basedOn w:val="DefaultParagraphFont"/>
    <w:link w:val="FootnoteText"/>
    <w:rsid w:val="00E3570F"/>
    <w:rPr>
      <w:rFonts w:ascii="Times New Roman" w:eastAsia="Times New Roman" w:hAnsi="Times New Roman" w:cs="Times New Roman"/>
      <w:sz w:val="20"/>
      <w:szCs w:val="20"/>
    </w:rPr>
  </w:style>
  <w:style w:type="character" w:styleId="FootnoteReference">
    <w:name w:val="footnote reference"/>
    <w:basedOn w:val="DefaultParagraphFont"/>
    <w:rsid w:val="00E3570F"/>
    <w:rPr>
      <w:vertAlign w:val="superscript"/>
    </w:rPr>
  </w:style>
  <w:style w:type="paragraph" w:styleId="NoSpacing">
    <w:name w:val="No Spacing"/>
    <w:uiPriority w:val="1"/>
    <w:qFormat/>
    <w:rsid w:val="00E3570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7122"/>
    <w:rPr>
      <w:rFonts w:ascii="Tahoma" w:hAnsi="Tahoma" w:cs="Tahoma"/>
      <w:sz w:val="16"/>
      <w:szCs w:val="16"/>
    </w:rPr>
  </w:style>
  <w:style w:type="character" w:customStyle="1" w:styleId="BalloonTextChar">
    <w:name w:val="Balloon Text Char"/>
    <w:basedOn w:val="DefaultParagraphFont"/>
    <w:link w:val="BalloonText"/>
    <w:uiPriority w:val="99"/>
    <w:semiHidden/>
    <w:rsid w:val="00367122"/>
    <w:rPr>
      <w:rFonts w:ascii="Tahoma" w:eastAsia="Times New Roman" w:hAnsi="Tahoma" w:cs="Tahoma"/>
      <w:sz w:val="16"/>
      <w:szCs w:val="16"/>
    </w:rPr>
  </w:style>
  <w:style w:type="paragraph" w:styleId="ListParagraph">
    <w:name w:val="List Paragraph"/>
    <w:basedOn w:val="Normal"/>
    <w:uiPriority w:val="34"/>
    <w:qFormat/>
    <w:rsid w:val="006A2958"/>
    <w:pPr>
      <w:widowControl w:val="0"/>
      <w:autoSpaceDE w:val="0"/>
      <w:autoSpaceDN w:val="0"/>
      <w:adjustRightInd w:val="0"/>
      <w:ind w:left="720"/>
      <w:contextualSpacing/>
    </w:pPr>
    <w:rPr>
      <w:rFonts w:ascii="Courier" w:hAnsi="Courier"/>
      <w:sz w:val="20"/>
    </w:rPr>
  </w:style>
  <w:style w:type="table" w:styleId="LightShading">
    <w:name w:val="Light Shading"/>
    <w:basedOn w:val="TableNormal"/>
    <w:uiPriority w:val="60"/>
    <w:rsid w:val="0088369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uiPriority w:val="99"/>
    <w:semiHidden/>
    <w:unhideWhenUsed/>
    <w:rsid w:val="00A7009C"/>
    <w:rPr>
      <w:sz w:val="20"/>
      <w:szCs w:val="20"/>
    </w:rPr>
  </w:style>
  <w:style w:type="character" w:customStyle="1" w:styleId="EndnoteTextChar">
    <w:name w:val="Endnote Text Char"/>
    <w:basedOn w:val="DefaultParagraphFont"/>
    <w:link w:val="EndnoteText"/>
    <w:uiPriority w:val="99"/>
    <w:semiHidden/>
    <w:rsid w:val="00A7009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7009C"/>
    <w:rPr>
      <w:vertAlign w:val="superscript"/>
    </w:rPr>
  </w:style>
  <w:style w:type="paragraph" w:styleId="Footer">
    <w:name w:val="footer"/>
    <w:basedOn w:val="Normal"/>
    <w:link w:val="FooterChar"/>
    <w:uiPriority w:val="99"/>
    <w:unhideWhenUsed/>
    <w:rsid w:val="00E30986"/>
    <w:pPr>
      <w:tabs>
        <w:tab w:val="center" w:pos="4680"/>
        <w:tab w:val="right" w:pos="9360"/>
      </w:tabs>
    </w:pPr>
  </w:style>
  <w:style w:type="character" w:customStyle="1" w:styleId="FooterChar">
    <w:name w:val="Footer Char"/>
    <w:basedOn w:val="DefaultParagraphFont"/>
    <w:link w:val="Footer"/>
    <w:uiPriority w:val="99"/>
    <w:rsid w:val="00E3098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933E5"/>
    <w:rPr>
      <w:sz w:val="16"/>
      <w:szCs w:val="16"/>
    </w:rPr>
  </w:style>
  <w:style w:type="character" w:styleId="Hyperlink">
    <w:name w:val="Hyperlink"/>
    <w:basedOn w:val="DefaultParagraphFont"/>
    <w:uiPriority w:val="99"/>
    <w:unhideWhenUsed/>
    <w:rsid w:val="009E43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70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E3570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3570F"/>
    <w:pPr>
      <w:tabs>
        <w:tab w:val="center" w:pos="4320"/>
        <w:tab w:val="right" w:pos="8640"/>
      </w:tabs>
    </w:pPr>
  </w:style>
  <w:style w:type="character" w:customStyle="1" w:styleId="HeaderChar">
    <w:name w:val="Header Char"/>
    <w:basedOn w:val="DefaultParagraphFont"/>
    <w:link w:val="Header"/>
    <w:rsid w:val="00E3570F"/>
    <w:rPr>
      <w:rFonts w:ascii="Times New Roman" w:eastAsia="Times New Roman" w:hAnsi="Times New Roman" w:cs="Times New Roman"/>
      <w:sz w:val="24"/>
      <w:szCs w:val="24"/>
    </w:rPr>
  </w:style>
  <w:style w:type="paragraph" w:styleId="FootnoteText">
    <w:name w:val="footnote text"/>
    <w:basedOn w:val="Normal"/>
    <w:link w:val="FootnoteTextChar"/>
    <w:rsid w:val="00E3570F"/>
    <w:rPr>
      <w:sz w:val="20"/>
      <w:szCs w:val="20"/>
    </w:rPr>
  </w:style>
  <w:style w:type="character" w:customStyle="1" w:styleId="FootnoteTextChar">
    <w:name w:val="Footnote Text Char"/>
    <w:basedOn w:val="DefaultParagraphFont"/>
    <w:link w:val="FootnoteText"/>
    <w:rsid w:val="00E3570F"/>
    <w:rPr>
      <w:rFonts w:ascii="Times New Roman" w:eastAsia="Times New Roman" w:hAnsi="Times New Roman" w:cs="Times New Roman"/>
      <w:sz w:val="20"/>
      <w:szCs w:val="20"/>
    </w:rPr>
  </w:style>
  <w:style w:type="character" w:styleId="FootnoteReference">
    <w:name w:val="footnote reference"/>
    <w:basedOn w:val="DefaultParagraphFont"/>
    <w:rsid w:val="00E3570F"/>
    <w:rPr>
      <w:vertAlign w:val="superscript"/>
    </w:rPr>
  </w:style>
  <w:style w:type="paragraph" w:styleId="NoSpacing">
    <w:name w:val="No Spacing"/>
    <w:uiPriority w:val="1"/>
    <w:qFormat/>
    <w:rsid w:val="00E3570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7122"/>
    <w:rPr>
      <w:rFonts w:ascii="Tahoma" w:hAnsi="Tahoma" w:cs="Tahoma"/>
      <w:sz w:val="16"/>
      <w:szCs w:val="16"/>
    </w:rPr>
  </w:style>
  <w:style w:type="character" w:customStyle="1" w:styleId="BalloonTextChar">
    <w:name w:val="Balloon Text Char"/>
    <w:basedOn w:val="DefaultParagraphFont"/>
    <w:link w:val="BalloonText"/>
    <w:uiPriority w:val="99"/>
    <w:semiHidden/>
    <w:rsid w:val="00367122"/>
    <w:rPr>
      <w:rFonts w:ascii="Tahoma" w:eastAsia="Times New Roman" w:hAnsi="Tahoma" w:cs="Tahoma"/>
      <w:sz w:val="16"/>
      <w:szCs w:val="16"/>
    </w:rPr>
  </w:style>
  <w:style w:type="paragraph" w:styleId="ListParagraph">
    <w:name w:val="List Paragraph"/>
    <w:basedOn w:val="Normal"/>
    <w:uiPriority w:val="34"/>
    <w:qFormat/>
    <w:rsid w:val="006A2958"/>
    <w:pPr>
      <w:widowControl w:val="0"/>
      <w:autoSpaceDE w:val="0"/>
      <w:autoSpaceDN w:val="0"/>
      <w:adjustRightInd w:val="0"/>
      <w:ind w:left="720"/>
      <w:contextualSpacing/>
    </w:pPr>
    <w:rPr>
      <w:rFonts w:ascii="Courier" w:hAnsi="Courier"/>
      <w:sz w:val="20"/>
    </w:rPr>
  </w:style>
  <w:style w:type="table" w:styleId="LightShading">
    <w:name w:val="Light Shading"/>
    <w:basedOn w:val="TableNormal"/>
    <w:uiPriority w:val="60"/>
    <w:rsid w:val="0088369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uiPriority w:val="99"/>
    <w:semiHidden/>
    <w:unhideWhenUsed/>
    <w:rsid w:val="00A7009C"/>
    <w:rPr>
      <w:sz w:val="20"/>
      <w:szCs w:val="20"/>
    </w:rPr>
  </w:style>
  <w:style w:type="character" w:customStyle="1" w:styleId="EndnoteTextChar">
    <w:name w:val="Endnote Text Char"/>
    <w:basedOn w:val="DefaultParagraphFont"/>
    <w:link w:val="EndnoteText"/>
    <w:uiPriority w:val="99"/>
    <w:semiHidden/>
    <w:rsid w:val="00A7009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7009C"/>
    <w:rPr>
      <w:vertAlign w:val="superscript"/>
    </w:rPr>
  </w:style>
  <w:style w:type="paragraph" w:styleId="Footer">
    <w:name w:val="footer"/>
    <w:basedOn w:val="Normal"/>
    <w:link w:val="FooterChar"/>
    <w:uiPriority w:val="99"/>
    <w:unhideWhenUsed/>
    <w:rsid w:val="00E30986"/>
    <w:pPr>
      <w:tabs>
        <w:tab w:val="center" w:pos="4680"/>
        <w:tab w:val="right" w:pos="9360"/>
      </w:tabs>
    </w:pPr>
  </w:style>
  <w:style w:type="character" w:customStyle="1" w:styleId="FooterChar">
    <w:name w:val="Footer Char"/>
    <w:basedOn w:val="DefaultParagraphFont"/>
    <w:link w:val="Footer"/>
    <w:uiPriority w:val="99"/>
    <w:rsid w:val="00E3098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933E5"/>
    <w:rPr>
      <w:sz w:val="16"/>
      <w:szCs w:val="16"/>
    </w:rPr>
  </w:style>
  <w:style w:type="character" w:styleId="Hyperlink">
    <w:name w:val="Hyperlink"/>
    <w:basedOn w:val="DefaultParagraphFont"/>
    <w:uiPriority w:val="99"/>
    <w:unhideWhenUsed/>
    <w:rsid w:val="009E43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6944E12DB046B429E85946815D07401" ma:contentTypeVersion="135" ma:contentTypeDescription="" ma:contentTypeScope="" ma:versionID="8b8880b6856a0f1f6782c0199e6a96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2013-09-13T07:00:00+00:00</OpenedDate>
    <Date1 xmlns="dc463f71-b30c-4ab2-9473-d307f9d35888">2013-10-30T07:00:00+00:00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131748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B4BEC13-6A27-445C-949B-051924CC9AE0}"/>
</file>

<file path=customXml/itemProps2.xml><?xml version="1.0" encoding="utf-8"?>
<ds:datastoreItem xmlns:ds="http://schemas.openxmlformats.org/officeDocument/2006/customXml" ds:itemID="{D37B9BF6-9A63-44AB-900D-49C14724BD0F}"/>
</file>

<file path=customXml/itemProps3.xml><?xml version="1.0" encoding="utf-8"?>
<ds:datastoreItem xmlns:ds="http://schemas.openxmlformats.org/officeDocument/2006/customXml" ds:itemID="{FDB12748-5266-4637-81B7-80402070DAB0}"/>
</file>

<file path=customXml/itemProps4.xml><?xml version="1.0" encoding="utf-8"?>
<ds:datastoreItem xmlns:ds="http://schemas.openxmlformats.org/officeDocument/2006/customXml" ds:itemID="{0DF80E0D-F63E-4218-B315-2B71A3549E00}"/>
</file>

<file path=customXml/itemProps5.xml><?xml version="1.0" encoding="utf-8"?>
<ds:datastoreItem xmlns:ds="http://schemas.openxmlformats.org/officeDocument/2006/customXml" ds:itemID="{734D0F66-6A79-423E-8938-30D0305A762F}"/>
</file>

<file path=docProps/app.xml><?xml version="1.0" encoding="utf-8"?>
<Properties xmlns="http://schemas.openxmlformats.org/officeDocument/2006/extended-properties" xmlns:vt="http://schemas.openxmlformats.org/officeDocument/2006/docPropsVTypes">
  <Template>Normal.dotm</Template>
  <TotalTime>0</TotalTime>
  <Pages>5</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UG-131748 Memo</vt:lpstr>
    </vt:vector>
  </TitlesOfParts>
  <Company>Washington Utilities and Transportation Commission</Company>
  <LinksUpToDate>false</LinksUpToDate>
  <CharactersWithSpaces>10064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UG-131748 Memo</dc:title>
  <dc:creator>EJ Keating</dc:creator>
  <cp:lastModifiedBy>Wyse, Lisa (UTC)</cp:lastModifiedBy>
  <cp:revision>2</cp:revision>
  <cp:lastPrinted>2013-10-24T17:56:00Z</cp:lastPrinted>
  <dcterms:created xsi:type="dcterms:W3CDTF">2013-10-28T20:14:00Z</dcterms:created>
  <dcterms:modified xsi:type="dcterms:W3CDTF">2013-10-28T20:14:00Z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0x0101006E56B4D1795A2E4DB2F0B01679ED314A00D6944E12DB046B429E85946815D07401</vt:lpwstr>
  </property>
  <property fmtid="{D5CDD505-2E9C-101B-9397-08002B2CF9AE}" pid="3" name="_docset_NoMedatataSyncRequired">
    <vt:lpwstr>False</vt:lpwstr>
  </property>
</Properties>
</file>