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3A" w:rsidRPr="00E04E32" w:rsidRDefault="006A033A" w:rsidP="00E04E32">
      <w:pPr>
        <w:ind w:left="720" w:hanging="720"/>
        <w:jc w:val="both"/>
        <w:rPr>
          <w:rFonts w:ascii="Arial" w:hAnsi="Arial" w:cs="Arial"/>
          <w:sz w:val="20"/>
        </w:rPr>
      </w:pPr>
      <w:r w:rsidRPr="005E42F2">
        <w:rPr>
          <w:rFonts w:ascii="Arial" w:hAnsi="Arial" w:cs="Arial"/>
          <w:sz w:val="20"/>
        </w:rPr>
        <w:t>II.</w:t>
      </w:r>
      <w:r w:rsidRPr="005E42F2">
        <w:rPr>
          <w:rFonts w:ascii="Arial" w:hAnsi="Arial" w:cs="Arial"/>
          <w:sz w:val="20"/>
        </w:rPr>
        <w:tab/>
      </w:r>
      <w:r w:rsidR="00E04E32">
        <w:rPr>
          <w:rFonts w:ascii="Arial" w:hAnsi="Arial" w:cs="Arial"/>
          <w:b/>
          <w:sz w:val="20"/>
          <w:u w:val="single"/>
        </w:rPr>
        <w:t>RESIDENTIAL EXTENSIONS:</w:t>
      </w:r>
      <w:r w:rsidR="00E04E32">
        <w:rPr>
          <w:rFonts w:ascii="Arial" w:hAnsi="Arial" w:cs="Arial"/>
          <w:sz w:val="20"/>
        </w:rPr>
        <w:t xml:space="preserve"> (continued)</w:t>
      </w:r>
    </w:p>
    <w:p w:rsidR="005E42F2" w:rsidRDefault="005E42F2" w:rsidP="00E04E32">
      <w:pPr>
        <w:ind w:left="720" w:hanging="720"/>
        <w:jc w:val="both"/>
        <w:rPr>
          <w:rFonts w:ascii="Arial" w:hAnsi="Arial" w:cs="Arial"/>
          <w:sz w:val="20"/>
        </w:rPr>
      </w:pPr>
      <w:r w:rsidRPr="005E42F2">
        <w:rPr>
          <w:rFonts w:ascii="Arial" w:hAnsi="Arial" w:cs="Arial"/>
          <w:sz w:val="20"/>
        </w:rPr>
        <w:t>C.</w:t>
      </w:r>
      <w:r w:rsidRPr="005E42F2">
        <w:rPr>
          <w:rFonts w:ascii="Arial" w:hAnsi="Arial" w:cs="Arial"/>
          <w:sz w:val="20"/>
        </w:rPr>
        <w:tab/>
      </w:r>
      <w:r w:rsidR="00E04E32">
        <w:rPr>
          <w:rFonts w:ascii="Arial" w:hAnsi="Arial" w:cs="Arial"/>
          <w:sz w:val="20"/>
          <w:u w:val="single"/>
        </w:rPr>
        <w:t>REMOTE SEASONAL SERVICE:</w:t>
      </w:r>
      <w:r w:rsidR="00F301F7">
        <w:rPr>
          <w:rFonts w:ascii="Arial" w:hAnsi="Arial" w:cs="Arial"/>
          <w:b/>
          <w:sz w:val="20"/>
        </w:rPr>
        <w:t xml:space="preserve"> </w:t>
      </w:r>
      <w:r w:rsidR="00F301F7" w:rsidRPr="00F301F7">
        <w:rPr>
          <w:rFonts w:ascii="Arial" w:hAnsi="Arial" w:cs="Arial"/>
          <w:sz w:val="20"/>
        </w:rPr>
        <w:t>(continued)</w:t>
      </w:r>
    </w:p>
    <w:p w:rsidR="00F301F7" w:rsidRPr="00F301F7" w:rsidRDefault="00F301F7" w:rsidP="005E42F2">
      <w:pPr>
        <w:ind w:left="1440" w:hanging="720"/>
        <w:jc w:val="both"/>
        <w:rPr>
          <w:rFonts w:ascii="Arial" w:hAnsi="Arial" w:cs="Arial"/>
          <w:sz w:val="20"/>
        </w:rPr>
      </w:pPr>
    </w:p>
    <w:p w:rsidR="00F301F7" w:rsidRPr="00E04E32" w:rsidRDefault="00F301F7" w:rsidP="00E04E32">
      <w:pPr>
        <w:ind w:left="1440" w:hanging="720"/>
        <w:jc w:val="both"/>
        <w:rPr>
          <w:rFonts w:ascii="Arial" w:hAnsi="Arial" w:cs="Arial"/>
          <w:sz w:val="20"/>
          <w:u w:val="single"/>
        </w:rPr>
      </w:pPr>
      <w:r w:rsidRPr="00F301F7">
        <w:rPr>
          <w:rFonts w:ascii="Arial" w:hAnsi="Arial" w:cs="Arial"/>
          <w:sz w:val="20"/>
        </w:rPr>
        <w:t>2.</w:t>
      </w:r>
      <w:r w:rsidRPr="00F301F7">
        <w:rPr>
          <w:rFonts w:ascii="Arial" w:hAnsi="Arial" w:cs="Arial"/>
          <w:b/>
          <w:sz w:val="20"/>
        </w:rPr>
        <w:tab/>
      </w:r>
      <w:r w:rsidR="00E04E32">
        <w:rPr>
          <w:rFonts w:ascii="Arial" w:hAnsi="Arial" w:cs="Arial"/>
          <w:sz w:val="20"/>
          <w:u w:val="single"/>
        </w:rPr>
        <w:t>ADDITIONAL APPLICANTS:</w:t>
      </w:r>
    </w:p>
    <w:p w:rsidR="00F301F7" w:rsidRPr="00F301F7" w:rsidRDefault="00E04E32" w:rsidP="00E04E32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01F7" w:rsidRPr="00F301F7">
        <w:rPr>
          <w:rFonts w:ascii="Arial" w:hAnsi="Arial" w:cs="Arial"/>
          <w:sz w:val="20"/>
        </w:rPr>
        <w:t>During the first five years after the Company completes the Extension, each of the next three Applicants must pay an allocated share of the ori</w:t>
      </w:r>
      <w:r w:rsidR="003D58B0">
        <w:rPr>
          <w:rFonts w:ascii="Arial" w:hAnsi="Arial" w:cs="Arial"/>
          <w:sz w:val="20"/>
        </w:rPr>
        <w:t xml:space="preserve">ginal Customer’s contribution. </w:t>
      </w:r>
      <w:r w:rsidR="00F301F7" w:rsidRPr="00F301F7">
        <w:rPr>
          <w:rFonts w:ascii="Arial" w:hAnsi="Arial" w:cs="Arial"/>
          <w:sz w:val="20"/>
        </w:rPr>
        <w:t>The Company will determine these shares taking into account: (a) how much of the original line the new Applicant shares; (b) the load sizes of the Applicant and the existing Customers; and (c) the advan</w:t>
      </w:r>
      <w:r w:rsidR="003D58B0">
        <w:rPr>
          <w:rFonts w:ascii="Arial" w:hAnsi="Arial" w:cs="Arial"/>
          <w:sz w:val="20"/>
        </w:rPr>
        <w:t xml:space="preserve">ces of the existing Customers. </w:t>
      </w:r>
      <w:r w:rsidR="00F301F7" w:rsidRPr="00F301F7">
        <w:rPr>
          <w:rFonts w:ascii="Arial" w:hAnsi="Arial" w:cs="Arial"/>
          <w:sz w:val="20"/>
        </w:rPr>
        <w:t>The Applicant must pay this allocated share before the</w:t>
      </w:r>
      <w:r w:rsidR="003D58B0">
        <w:rPr>
          <w:rFonts w:ascii="Arial" w:hAnsi="Arial" w:cs="Arial"/>
          <w:sz w:val="20"/>
        </w:rPr>
        <w:t xml:space="preserve"> Company will provide service. </w:t>
      </w:r>
      <w:r w:rsidR="00F301F7" w:rsidRPr="00F301F7">
        <w:rPr>
          <w:rFonts w:ascii="Arial" w:hAnsi="Arial" w:cs="Arial"/>
          <w:sz w:val="20"/>
        </w:rPr>
        <w:t>The Company will refund this share to the existing Customers.</w:t>
      </w:r>
    </w:p>
    <w:p w:rsidR="00F301F7" w:rsidRPr="00F301F7" w:rsidRDefault="00F301F7" w:rsidP="00E04E32">
      <w:pPr>
        <w:ind w:left="1440"/>
        <w:jc w:val="both"/>
        <w:rPr>
          <w:rFonts w:ascii="Arial" w:hAnsi="Arial" w:cs="Arial"/>
          <w:sz w:val="20"/>
        </w:rPr>
      </w:pPr>
    </w:p>
    <w:p w:rsidR="00F301F7" w:rsidRPr="00F301F7" w:rsidRDefault="00E04E32" w:rsidP="00E04E32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01F7" w:rsidRPr="00F301F7">
        <w:rPr>
          <w:rFonts w:ascii="Arial" w:hAnsi="Arial" w:cs="Arial"/>
          <w:sz w:val="20"/>
        </w:rPr>
        <w:t>Additional Applicants must also pay their proportionate share of the Contract Minimum Billi</w:t>
      </w:r>
      <w:r w:rsidR="003D58B0">
        <w:rPr>
          <w:rFonts w:ascii="Arial" w:hAnsi="Arial" w:cs="Arial"/>
          <w:sz w:val="20"/>
        </w:rPr>
        <w:t xml:space="preserve">ngs of the existing Customers. </w:t>
      </w:r>
      <w:r w:rsidR="00F301F7" w:rsidRPr="00F301F7">
        <w:rPr>
          <w:rFonts w:ascii="Arial" w:hAnsi="Arial" w:cs="Arial"/>
          <w:sz w:val="20"/>
        </w:rPr>
        <w:t xml:space="preserve">The Company will allocate the Facilities Charges in the same manner used for allocating the original advance. </w:t>
      </w:r>
    </w:p>
    <w:p w:rsidR="00F301F7" w:rsidRPr="00F301F7" w:rsidRDefault="00F301F7" w:rsidP="00E04E32">
      <w:pPr>
        <w:ind w:left="1440"/>
        <w:jc w:val="both"/>
        <w:rPr>
          <w:rFonts w:ascii="Arial" w:hAnsi="Arial" w:cs="Arial"/>
          <w:sz w:val="20"/>
        </w:rPr>
      </w:pPr>
    </w:p>
    <w:p w:rsidR="00F301F7" w:rsidRPr="00F301F7" w:rsidRDefault="00E04E32" w:rsidP="00E04E32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01F7" w:rsidRPr="00F301F7">
        <w:rPr>
          <w:rFonts w:ascii="Arial" w:hAnsi="Arial" w:cs="Arial"/>
          <w:sz w:val="20"/>
        </w:rPr>
        <w:t>The Applicant also must pay the estimated cost of any facilities exceeding the Extension Allowance.</w:t>
      </w:r>
    </w:p>
    <w:p w:rsidR="00F301F7" w:rsidRDefault="00F301F7" w:rsidP="00F301F7">
      <w:pPr>
        <w:ind w:firstLine="720"/>
        <w:jc w:val="both"/>
      </w:pPr>
    </w:p>
    <w:p w:rsidR="00F301F7" w:rsidRPr="00E04E32" w:rsidRDefault="00F301F7" w:rsidP="00E04E32">
      <w:pPr>
        <w:ind w:left="720" w:hanging="720"/>
        <w:jc w:val="both"/>
        <w:rPr>
          <w:rFonts w:ascii="Arial" w:hAnsi="Arial" w:cs="Arial"/>
          <w:sz w:val="20"/>
          <w:u w:val="single"/>
        </w:rPr>
      </w:pPr>
      <w:r w:rsidRPr="00F301F7">
        <w:rPr>
          <w:rFonts w:ascii="Arial" w:hAnsi="Arial" w:cs="Arial"/>
          <w:sz w:val="20"/>
        </w:rPr>
        <w:t>D.</w:t>
      </w:r>
      <w:r w:rsidRPr="00F301F7">
        <w:rPr>
          <w:rFonts w:ascii="Arial" w:hAnsi="Arial" w:cs="Arial"/>
          <w:sz w:val="20"/>
        </w:rPr>
        <w:tab/>
      </w:r>
      <w:r w:rsidR="00E04E32">
        <w:rPr>
          <w:rFonts w:ascii="Arial" w:hAnsi="Arial" w:cs="Arial"/>
          <w:sz w:val="20"/>
          <w:u w:val="single"/>
        </w:rPr>
        <w:t>THREE PHASE RESIDENTIAL SERVICES:</w:t>
      </w:r>
    </w:p>
    <w:p w:rsidR="00F301F7" w:rsidRDefault="00E04E32" w:rsidP="00E04E3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01F7" w:rsidRPr="00F301F7">
        <w:rPr>
          <w:rFonts w:ascii="Arial" w:hAnsi="Arial" w:cs="Arial"/>
          <w:sz w:val="20"/>
        </w:rPr>
        <w:t>Where three phase Residential Service is requested, the Applicant shall pay the difference in cost between single phase and three phase service.</w:t>
      </w:r>
    </w:p>
    <w:p w:rsidR="006F29FA" w:rsidRDefault="00AA3AE2" w:rsidP="00E04E3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5pt;margin-top:7.55pt;width:66.75pt;height:304.5pt;z-index:251660288;mso-width-relative:margin;mso-height-relative:margin" filled="f" stroked="f">
            <v:textbox style="mso-next-textbox:#_x0000_s1026">
              <w:txbxContent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(T)(N)</w:t>
                  </w: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(N)</w:t>
                  </w: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(T)</w:t>
                  </w: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Default="00C10DFF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0DFF" w:rsidRPr="006F29FA" w:rsidRDefault="008701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(K to Sheet No.R14.5</w:t>
                  </w:r>
                  <w:r w:rsidR="00C10DFF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6F29FA" w:rsidRPr="00F301F7" w:rsidRDefault="00AA3AE2" w:rsidP="006F29FA">
      <w:pPr>
        <w:ind w:left="720" w:hanging="720"/>
        <w:jc w:val="both"/>
        <w:rPr>
          <w:rFonts w:ascii="Arial" w:hAnsi="Arial" w:cs="Arial"/>
          <w:sz w:val="20"/>
          <w:u w:val="single"/>
        </w:rPr>
      </w:pPr>
      <w:r w:rsidRPr="00AA3AE2">
        <w:rPr>
          <w:rFonts w:ascii="Arial" w:hAnsi="Arial" w:cs="Arial"/>
          <w:noProof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4.25pt;margin-top:10.3pt;width:0;height:116.25pt;z-index:251661312" o:connectortype="straight"/>
        </w:pict>
      </w:r>
      <w:r w:rsidR="006F29FA" w:rsidRPr="00F301F7">
        <w:rPr>
          <w:rFonts w:ascii="Arial" w:hAnsi="Arial" w:cs="Arial"/>
          <w:sz w:val="20"/>
        </w:rPr>
        <w:t>E.</w:t>
      </w:r>
      <w:r w:rsidR="006F29FA" w:rsidRPr="00F301F7">
        <w:rPr>
          <w:rFonts w:ascii="Arial" w:hAnsi="Arial" w:cs="Arial"/>
          <w:sz w:val="20"/>
        </w:rPr>
        <w:tab/>
      </w:r>
      <w:r w:rsidR="006F29FA">
        <w:rPr>
          <w:rFonts w:ascii="Arial" w:hAnsi="Arial" w:cs="Arial"/>
          <w:sz w:val="20"/>
          <w:u w:val="single"/>
        </w:rPr>
        <w:t>TRANSFORMATION FACILITIES:</w:t>
      </w:r>
    </w:p>
    <w:p w:rsidR="006F29FA" w:rsidRDefault="006F29FA" w:rsidP="006F29F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When an existing residential Customer adds load, or a new residential Customer builds in a subdivision where secondary service is available at the lot line, either by means of a transformer or a secondary junction box and the existing transformation facilities or service conductors are unable to serve the increased residential load:</w:t>
      </w:r>
    </w:p>
    <w:p w:rsidR="006F29FA" w:rsidRPr="00F301F7" w:rsidRDefault="006F29FA" w:rsidP="006F29FA">
      <w:pPr>
        <w:jc w:val="both"/>
        <w:rPr>
          <w:rFonts w:ascii="Arial" w:hAnsi="Arial" w:cs="Arial"/>
          <w:sz w:val="20"/>
        </w:rPr>
      </w:pPr>
    </w:p>
    <w:p w:rsidR="006F29FA" w:rsidRDefault="006F29FA" w:rsidP="004C6B2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4C6B2C">
        <w:rPr>
          <w:rFonts w:ascii="Arial" w:hAnsi="Arial" w:cs="Arial"/>
          <w:sz w:val="20"/>
        </w:rPr>
        <w:t xml:space="preserve">The facilities upgrade shall be treated as a standard line extension if the Customer’s demand exceeds </w:t>
      </w:r>
      <w:r w:rsidR="003D58B0">
        <w:rPr>
          <w:rFonts w:ascii="Arial" w:hAnsi="Arial" w:cs="Arial"/>
          <w:sz w:val="20"/>
        </w:rPr>
        <w:t>25 kVA</w:t>
      </w:r>
      <w:r w:rsidR="004C6B2C" w:rsidRPr="004C6B2C">
        <w:rPr>
          <w:rFonts w:ascii="Arial" w:hAnsi="Arial" w:cs="Arial"/>
          <w:sz w:val="20"/>
        </w:rPr>
        <w:t xml:space="preserve"> or if the facilities serve only that customer. </w:t>
      </w:r>
    </w:p>
    <w:p w:rsidR="004C6B2C" w:rsidRPr="004C6B2C" w:rsidRDefault="004C6B2C" w:rsidP="004C6B2C">
      <w:pPr>
        <w:pStyle w:val="ListParagraph"/>
        <w:jc w:val="both"/>
        <w:rPr>
          <w:rFonts w:ascii="Arial" w:hAnsi="Arial" w:cs="Arial"/>
          <w:sz w:val="20"/>
        </w:rPr>
      </w:pPr>
    </w:p>
    <w:p w:rsidR="006F29FA" w:rsidRPr="006F29FA" w:rsidRDefault="006F29FA" w:rsidP="006F29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facilities upgrade shall be treated as a system improvement and not be charged to the Customer if the Customer’s demand does not exceed </w:t>
      </w:r>
      <w:r w:rsidR="004C6B2C">
        <w:rPr>
          <w:rFonts w:ascii="Arial" w:hAnsi="Arial" w:cs="Arial"/>
          <w:sz w:val="20"/>
        </w:rPr>
        <w:t xml:space="preserve">25 kVA and the facilities are shared by two or more customers. </w:t>
      </w:r>
    </w:p>
    <w:p w:rsidR="00F301F7" w:rsidRPr="00F301F7" w:rsidRDefault="00F301F7" w:rsidP="006F29FA">
      <w:pPr>
        <w:jc w:val="both"/>
        <w:rPr>
          <w:rFonts w:ascii="Arial" w:hAnsi="Arial" w:cs="Arial"/>
          <w:sz w:val="20"/>
        </w:rPr>
      </w:pPr>
    </w:p>
    <w:p w:rsidR="00F301F7" w:rsidRPr="00F301F7" w:rsidRDefault="006F29FA" w:rsidP="00E04E32">
      <w:pPr>
        <w:ind w:left="720" w:hanging="7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F</w:t>
      </w:r>
      <w:r w:rsidR="00F301F7" w:rsidRPr="00F301F7">
        <w:rPr>
          <w:rFonts w:ascii="Arial" w:hAnsi="Arial" w:cs="Arial"/>
          <w:sz w:val="20"/>
        </w:rPr>
        <w:t>.</w:t>
      </w:r>
      <w:r w:rsidR="00F301F7" w:rsidRPr="00F301F7">
        <w:rPr>
          <w:rFonts w:ascii="Arial" w:hAnsi="Arial" w:cs="Arial"/>
          <w:sz w:val="20"/>
        </w:rPr>
        <w:tab/>
      </w:r>
      <w:r w:rsidR="00E04E32">
        <w:rPr>
          <w:rFonts w:ascii="Arial" w:hAnsi="Arial" w:cs="Arial"/>
          <w:sz w:val="20"/>
          <w:u w:val="single"/>
        </w:rPr>
        <w:t>UNDERGROUND EXTENSIONS:</w:t>
      </w:r>
    </w:p>
    <w:p w:rsidR="00F301F7" w:rsidRDefault="00E04E32" w:rsidP="00E04E3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01F7" w:rsidRPr="00F301F7">
        <w:rPr>
          <w:rFonts w:ascii="Arial" w:hAnsi="Arial" w:cs="Arial"/>
          <w:sz w:val="20"/>
        </w:rPr>
        <w:t xml:space="preserve">The Company will construct an Extension underground when requested by the Applicant or if required by </w:t>
      </w:r>
      <w:r w:rsidR="003D58B0">
        <w:rPr>
          <w:rFonts w:ascii="Arial" w:hAnsi="Arial" w:cs="Arial"/>
          <w:sz w:val="20"/>
        </w:rPr>
        <w:t xml:space="preserve">local ordinance or conditions. </w:t>
      </w:r>
      <w:r w:rsidR="00F301F7" w:rsidRPr="00F301F7">
        <w:rPr>
          <w:rFonts w:ascii="Arial" w:hAnsi="Arial" w:cs="Arial"/>
          <w:sz w:val="20"/>
        </w:rPr>
        <w:t>The Applicant must pay for the conversion of any existing overhead facilities to underground, under the ter</w:t>
      </w:r>
      <w:r w:rsidR="003D58B0">
        <w:rPr>
          <w:rFonts w:ascii="Arial" w:hAnsi="Arial" w:cs="Arial"/>
          <w:sz w:val="20"/>
        </w:rPr>
        <w:t xml:space="preserve">ms of Section VI of this Rule. </w:t>
      </w:r>
      <w:r w:rsidR="00F301F7" w:rsidRPr="00F301F7">
        <w:rPr>
          <w:rFonts w:ascii="Arial" w:hAnsi="Arial" w:cs="Arial"/>
          <w:sz w:val="20"/>
        </w:rPr>
        <w:t xml:space="preserve">The Applicant must provide all trenching and backfilling, imported backfill material, conduits, and equipment foundations that the Company requires for </w:t>
      </w:r>
      <w:r w:rsidR="003D58B0">
        <w:rPr>
          <w:rFonts w:ascii="Arial" w:hAnsi="Arial" w:cs="Arial"/>
          <w:sz w:val="20"/>
        </w:rPr>
        <w:t>the Extension.</w:t>
      </w:r>
      <w:r w:rsidR="00F301F7" w:rsidRPr="00F301F7">
        <w:rPr>
          <w:rFonts w:ascii="Arial" w:hAnsi="Arial" w:cs="Arial"/>
          <w:sz w:val="20"/>
        </w:rPr>
        <w:t xml:space="preserve"> If the Applicant requests, the Company will provide these items at the Applicant's expense.</w:t>
      </w:r>
    </w:p>
    <w:p w:rsidR="005E42F2" w:rsidRDefault="005E42F2" w:rsidP="00C10DFF">
      <w:pPr>
        <w:jc w:val="both"/>
        <w:rPr>
          <w:rFonts w:ascii="Arial" w:hAnsi="Arial" w:cs="Arial"/>
          <w:sz w:val="20"/>
        </w:rPr>
      </w:pPr>
    </w:p>
    <w:p w:rsidR="00C10DFF" w:rsidRPr="00C10DFF" w:rsidRDefault="00C10DFF" w:rsidP="00C10DFF">
      <w:pPr>
        <w:jc w:val="center"/>
        <w:rPr>
          <w:rFonts w:ascii="Arial" w:hAnsi="Arial" w:cs="Arial"/>
          <w:sz w:val="20"/>
        </w:rPr>
      </w:pPr>
    </w:p>
    <w:sectPr w:rsidR="00C10DFF" w:rsidRPr="00C10DFF" w:rsidSect="00E6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FF" w:rsidRDefault="00C10DFF" w:rsidP="008474F2">
      <w:r>
        <w:separator/>
      </w:r>
    </w:p>
  </w:endnote>
  <w:endnote w:type="continuationSeparator" w:id="0">
    <w:p w:rsidR="00C10DFF" w:rsidRDefault="00C10DFF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D2" w:rsidRDefault="00C669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FF" w:rsidRPr="00D170E9" w:rsidRDefault="00D170E9" w:rsidP="00D170E9">
    <w:pPr>
      <w:pStyle w:val="Footer"/>
      <w:pBdr>
        <w:bottom w:val="single" w:sz="6" w:space="0" w:color="auto"/>
      </w:pBdr>
      <w:tabs>
        <w:tab w:val="clear" w:pos="468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C10DFF" w:rsidRDefault="00C10DFF" w:rsidP="00C10DF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C6B2C">
      <w:rPr>
        <w:rFonts w:ascii="Arial" w:hAnsi="Arial" w:cs="Arial"/>
        <w:sz w:val="20"/>
      </w:rPr>
      <w:t>April</w:t>
    </w:r>
    <w:r w:rsidR="00D170E9">
      <w:rPr>
        <w:rFonts w:ascii="Arial" w:hAnsi="Arial" w:cs="Arial"/>
        <w:sz w:val="20"/>
      </w:rPr>
      <w:t xml:space="preserve"> </w:t>
    </w:r>
    <w:r w:rsidR="00C669D2">
      <w:rPr>
        <w:rFonts w:ascii="Arial" w:hAnsi="Arial" w:cs="Arial"/>
        <w:sz w:val="20"/>
      </w:rPr>
      <w:t>18</w:t>
    </w:r>
    <w:r>
      <w:rPr>
        <w:rFonts w:ascii="Arial" w:hAnsi="Arial" w:cs="Arial"/>
        <w:sz w:val="20"/>
      </w:rPr>
      <w:t>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216E2">
      <w:rPr>
        <w:rFonts w:ascii="Arial" w:hAnsi="Arial" w:cs="Arial"/>
        <w:sz w:val="20"/>
      </w:rPr>
      <w:t>May 1, 2013</w:t>
    </w:r>
  </w:p>
  <w:p w:rsidR="00C10DFF" w:rsidRDefault="00C10DFF" w:rsidP="00C10DF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D170E9">
      <w:rPr>
        <w:rFonts w:ascii="Arial" w:hAnsi="Arial" w:cs="Arial"/>
        <w:sz w:val="20"/>
      </w:rPr>
      <w:t xml:space="preserve"> 13-03</w:t>
    </w:r>
  </w:p>
  <w:p w:rsidR="00C10DFF" w:rsidRDefault="00C10DFF" w:rsidP="00C10DF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C10DFF" w:rsidRDefault="00C10DFF" w:rsidP="00C10DF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13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5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0DFF" w:rsidRPr="004043D5" w:rsidRDefault="00C10DFF" w:rsidP="00C10DF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2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3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4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C10DFF" w:rsidRDefault="00C10DFF" w:rsidP="00C10DF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  <w:p w:rsidR="00C10DFF" w:rsidRDefault="00C10DFF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D2" w:rsidRDefault="00C66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FF" w:rsidRDefault="00C10DFF" w:rsidP="008474F2">
      <w:r>
        <w:separator/>
      </w:r>
    </w:p>
  </w:footnote>
  <w:footnote w:type="continuationSeparator" w:id="0">
    <w:p w:rsidR="00C10DFF" w:rsidRDefault="00C10DFF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D2" w:rsidRDefault="00C669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FF" w:rsidRPr="00B84971" w:rsidRDefault="00AA3AE2" w:rsidP="00B84971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AA3AE2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AA3AE2">
      <w:pict>
        <v:shape id="_x0000_s10242" type="#_x0000_t32" style="position:absolute;margin-left:362.55pt;margin-top:-19.45pt;width:0;height:114.75pt;z-index:251674624" o:connectortype="straight"/>
      </w:pict>
    </w:r>
    <w:r w:rsidRPr="00AA3AE2">
      <w:pict>
        <v:shape id="_x0000_s10243" type="#_x0000_t32" style="position:absolute;margin-left:362.55pt;margin-top:-16.9pt;width:0;height:114.75pt;z-index:251675648" o:connectortype="straight"/>
      </w:pict>
    </w:r>
    <w:r w:rsidR="00C10DFF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C10DFF" w:rsidRDefault="00C10DF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C10DFF" w:rsidRPr="00CD01ED" w:rsidRDefault="00C10DF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C10DFF" w:rsidRDefault="00C10DF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R14.4</w:t>
    </w:r>
  </w:p>
  <w:p w:rsidR="00C10DFF" w:rsidRDefault="00C10DF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Original Sheet No. R14.4</w:t>
    </w:r>
  </w:p>
  <w:p w:rsidR="00C10DFF" w:rsidRDefault="00C10DF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C10DFF" w:rsidRPr="00CF64E6" w:rsidRDefault="00C10DFF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Rule 14</w:t>
    </w:r>
  </w:p>
  <w:p w:rsidR="00C10DFF" w:rsidRPr="00A91A21" w:rsidRDefault="00C10DFF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GENERAL RULES AND REGULATIONS – LINE EXTENSIONS</w:t>
    </w:r>
  </w:p>
  <w:p w:rsidR="00C10DFF" w:rsidRPr="00AE1E9E" w:rsidRDefault="00C10DFF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D2" w:rsidRDefault="00C66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FA51B4"/>
    <w:multiLevelType w:val="hybridMultilevel"/>
    <w:tmpl w:val="7A86C4E2"/>
    <w:lvl w:ilvl="0" w:tplc="69D0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27216"/>
    <w:multiLevelType w:val="singleLevel"/>
    <w:tmpl w:val="F7E24D4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D530E62"/>
    <w:multiLevelType w:val="hybridMultilevel"/>
    <w:tmpl w:val="F976C23C"/>
    <w:lvl w:ilvl="0" w:tplc="B1BA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6D25F8"/>
    <w:multiLevelType w:val="singleLevel"/>
    <w:tmpl w:val="7564103C"/>
    <w:lvl w:ilvl="0">
      <w:start w:val="500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90"/>
  <w:displayHorizontalDrawingGridEvery w:val="2"/>
  <w:characterSpacingControl w:val="doNotCompress"/>
  <w:hdrShapeDefaults>
    <o:shapedefaults v:ext="edit" spidmax="10244">
      <o:colormenu v:ext="edit" fillcolor="none" strokecolor="none"/>
    </o:shapedefaults>
    <o:shapelayout v:ext="edit">
      <o:idmap v:ext="edit" data="10"/>
      <o:rules v:ext="edit">
        <o:r id="V:Rule4" type="connector" idref="#_x0000_s10241"/>
        <o:r id="V:Rule5" type="connector" idref="#_x0000_s10242"/>
        <o:r id="V:Rule6" type="connector" idref="#_x0000_s1024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1837"/>
    <w:rsid w:val="00013419"/>
    <w:rsid w:val="00042879"/>
    <w:rsid w:val="00045BE4"/>
    <w:rsid w:val="00087CF7"/>
    <w:rsid w:val="000A0FF1"/>
    <w:rsid w:val="000B36F4"/>
    <w:rsid w:val="000C74F1"/>
    <w:rsid w:val="000D7B76"/>
    <w:rsid w:val="001305AF"/>
    <w:rsid w:val="001522E7"/>
    <w:rsid w:val="00154214"/>
    <w:rsid w:val="001620F1"/>
    <w:rsid w:val="001C3AB8"/>
    <w:rsid w:val="001D4F15"/>
    <w:rsid w:val="001F19AC"/>
    <w:rsid w:val="00201673"/>
    <w:rsid w:val="0020310B"/>
    <w:rsid w:val="00204127"/>
    <w:rsid w:val="00204381"/>
    <w:rsid w:val="00205735"/>
    <w:rsid w:val="00247B01"/>
    <w:rsid w:val="00266E07"/>
    <w:rsid w:val="00277177"/>
    <w:rsid w:val="002C1B76"/>
    <w:rsid w:val="002C79BC"/>
    <w:rsid w:val="002E41E4"/>
    <w:rsid w:val="002E6C6E"/>
    <w:rsid w:val="00341521"/>
    <w:rsid w:val="00342742"/>
    <w:rsid w:val="0034455A"/>
    <w:rsid w:val="00351316"/>
    <w:rsid w:val="003545F5"/>
    <w:rsid w:val="003927F0"/>
    <w:rsid w:val="003C0174"/>
    <w:rsid w:val="003D58B0"/>
    <w:rsid w:val="003F72C1"/>
    <w:rsid w:val="004043D5"/>
    <w:rsid w:val="004127C9"/>
    <w:rsid w:val="00451435"/>
    <w:rsid w:val="004A306B"/>
    <w:rsid w:val="004A30F3"/>
    <w:rsid w:val="004A5EF5"/>
    <w:rsid w:val="004B1617"/>
    <w:rsid w:val="004B3240"/>
    <w:rsid w:val="004C5FE8"/>
    <w:rsid w:val="004C6B2C"/>
    <w:rsid w:val="00546A05"/>
    <w:rsid w:val="00547427"/>
    <w:rsid w:val="00550C6E"/>
    <w:rsid w:val="00555712"/>
    <w:rsid w:val="00564506"/>
    <w:rsid w:val="005648DF"/>
    <w:rsid w:val="00577682"/>
    <w:rsid w:val="00580EC3"/>
    <w:rsid w:val="0059549C"/>
    <w:rsid w:val="005A1156"/>
    <w:rsid w:val="005E29DE"/>
    <w:rsid w:val="005E42F2"/>
    <w:rsid w:val="005F64B9"/>
    <w:rsid w:val="005F7880"/>
    <w:rsid w:val="00622FED"/>
    <w:rsid w:val="006376AD"/>
    <w:rsid w:val="006638F3"/>
    <w:rsid w:val="00677663"/>
    <w:rsid w:val="00685AFC"/>
    <w:rsid w:val="0068713C"/>
    <w:rsid w:val="006A033A"/>
    <w:rsid w:val="006A6B74"/>
    <w:rsid w:val="006D7723"/>
    <w:rsid w:val="006E1287"/>
    <w:rsid w:val="006F29FA"/>
    <w:rsid w:val="00710518"/>
    <w:rsid w:val="00712677"/>
    <w:rsid w:val="00715FFA"/>
    <w:rsid w:val="00725039"/>
    <w:rsid w:val="007504BF"/>
    <w:rsid w:val="0077488B"/>
    <w:rsid w:val="007D5874"/>
    <w:rsid w:val="007E0BC7"/>
    <w:rsid w:val="007F06C3"/>
    <w:rsid w:val="007F6029"/>
    <w:rsid w:val="00813698"/>
    <w:rsid w:val="00823ACF"/>
    <w:rsid w:val="008468F3"/>
    <w:rsid w:val="008474F2"/>
    <w:rsid w:val="00870111"/>
    <w:rsid w:val="00874A40"/>
    <w:rsid w:val="008766A2"/>
    <w:rsid w:val="00876B56"/>
    <w:rsid w:val="00886645"/>
    <w:rsid w:val="008A77C7"/>
    <w:rsid w:val="008E7364"/>
    <w:rsid w:val="008F0BE1"/>
    <w:rsid w:val="00920A5D"/>
    <w:rsid w:val="00947E57"/>
    <w:rsid w:val="009C3016"/>
    <w:rsid w:val="009E0C82"/>
    <w:rsid w:val="00A216E2"/>
    <w:rsid w:val="00A261ED"/>
    <w:rsid w:val="00A541CA"/>
    <w:rsid w:val="00A72436"/>
    <w:rsid w:val="00A91A21"/>
    <w:rsid w:val="00AA2B16"/>
    <w:rsid w:val="00AA3AE2"/>
    <w:rsid w:val="00AA6EAF"/>
    <w:rsid w:val="00AD4335"/>
    <w:rsid w:val="00AE07BB"/>
    <w:rsid w:val="00AE0CC8"/>
    <w:rsid w:val="00AE1E9E"/>
    <w:rsid w:val="00AE7611"/>
    <w:rsid w:val="00AF0EAC"/>
    <w:rsid w:val="00B20EEB"/>
    <w:rsid w:val="00B43CBE"/>
    <w:rsid w:val="00B54432"/>
    <w:rsid w:val="00B62CA7"/>
    <w:rsid w:val="00B84971"/>
    <w:rsid w:val="00B85B7D"/>
    <w:rsid w:val="00B86CD1"/>
    <w:rsid w:val="00BA088F"/>
    <w:rsid w:val="00BF7535"/>
    <w:rsid w:val="00C0493E"/>
    <w:rsid w:val="00C10DFF"/>
    <w:rsid w:val="00C210FD"/>
    <w:rsid w:val="00C60F7D"/>
    <w:rsid w:val="00C669D2"/>
    <w:rsid w:val="00C91131"/>
    <w:rsid w:val="00CB2D74"/>
    <w:rsid w:val="00CD01ED"/>
    <w:rsid w:val="00CE6692"/>
    <w:rsid w:val="00CF6051"/>
    <w:rsid w:val="00CF64E6"/>
    <w:rsid w:val="00CF6F5F"/>
    <w:rsid w:val="00D170E9"/>
    <w:rsid w:val="00D313E0"/>
    <w:rsid w:val="00D60206"/>
    <w:rsid w:val="00D8216E"/>
    <w:rsid w:val="00D932B5"/>
    <w:rsid w:val="00DF4352"/>
    <w:rsid w:val="00E04E32"/>
    <w:rsid w:val="00E245E9"/>
    <w:rsid w:val="00E522DD"/>
    <w:rsid w:val="00E53EC5"/>
    <w:rsid w:val="00E61608"/>
    <w:rsid w:val="00E6731D"/>
    <w:rsid w:val="00E84454"/>
    <w:rsid w:val="00E86C83"/>
    <w:rsid w:val="00EA0EE4"/>
    <w:rsid w:val="00EA5629"/>
    <w:rsid w:val="00F148A9"/>
    <w:rsid w:val="00F301F7"/>
    <w:rsid w:val="00F3022B"/>
    <w:rsid w:val="00F30DDC"/>
    <w:rsid w:val="00F3756B"/>
    <w:rsid w:val="00F50525"/>
    <w:rsid w:val="00F528E2"/>
    <w:rsid w:val="00F62533"/>
    <w:rsid w:val="00F66F8A"/>
    <w:rsid w:val="00F77BD7"/>
    <w:rsid w:val="00FC124E"/>
    <w:rsid w:val="00FE2C51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5B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5BE4"/>
    <w:rPr>
      <w:rFonts w:ascii="Courier New" w:eastAsia="Times New Roman" w:hAnsi="Courier New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5BE4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6F2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8034FAAA60C54196681D57ADA68017" ma:contentTypeVersion="135" ma:contentTypeDescription="" ma:contentTypeScope="" ma:versionID="db7feced5228924d8e9eb6ac8ae071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2013-03-15T07:00:00+00:00</OpenedDate>
    <Date1 xmlns="dc463f71-b30c-4ab2-9473-d307f9d35888">2013-04-18T07:00:00+00:00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F3E3C0-536B-409B-91EC-08B6705AE6B0}"/>
</file>

<file path=customXml/itemProps2.xml><?xml version="1.0" encoding="utf-8"?>
<ds:datastoreItem xmlns:ds="http://schemas.openxmlformats.org/officeDocument/2006/customXml" ds:itemID="{E672FCA1-B3AF-4FA7-B075-71027C51EB89}"/>
</file>

<file path=customXml/itemProps3.xml><?xml version="1.0" encoding="utf-8"?>
<ds:datastoreItem xmlns:ds="http://schemas.openxmlformats.org/officeDocument/2006/customXml" ds:itemID="{FE593A6D-0F7C-4F7E-B3B5-F923F6EBDCF7}"/>
</file>

<file path=customXml/itemProps4.xml><?xml version="1.0" encoding="utf-8"?>
<ds:datastoreItem xmlns:ds="http://schemas.openxmlformats.org/officeDocument/2006/customXml" ds:itemID="{5017988A-DA24-448E-BEC0-464E65E26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2013-04-18T18:17:00Z</dcterms:created>
  <dcterms:modified xsi:type="dcterms:W3CDTF">2013-04-18T18:42:00Z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0x0101006E56B4D1795A2E4DB2F0B01679ED314A00B58034FAAA60C54196681D57ADA68017</vt:lpwstr>
  </property>
  <property fmtid="{D5CDD505-2E9C-101B-9397-08002B2CF9AE}" pid="4" name="_docset_NoMedatataSyncRequired">
    <vt:lpwstr>False</vt:lpwstr>
  </property>
</Properties>
</file>