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38F8" w14:textId="77777777" w:rsidR="007F4E19" w:rsidRPr="006A10CF" w:rsidRDefault="008E2643" w:rsidP="00A469D0">
      <w:pPr>
        <w:pStyle w:val="NoSpacing"/>
        <w:spacing w:line="240" w:lineRule="exact"/>
      </w:pPr>
      <w:r>
        <w:t>August 31</w:t>
      </w:r>
      <w:r w:rsidR="007F4E19" w:rsidRPr="001E095C">
        <w:t>, 2012</w:t>
      </w:r>
    </w:p>
    <w:p w14:paraId="3F525CD5" w14:textId="77777777" w:rsidR="007F4E19" w:rsidRPr="001E095C" w:rsidRDefault="007F4E19" w:rsidP="00A469D0">
      <w:pPr>
        <w:pStyle w:val="NoSpacing"/>
        <w:spacing w:line="240" w:lineRule="exact"/>
      </w:pPr>
    </w:p>
    <w:p w14:paraId="55C02FF1" w14:textId="77777777" w:rsidR="007F4E19" w:rsidRPr="001E095C" w:rsidRDefault="007F4E19" w:rsidP="00A469D0">
      <w:pPr>
        <w:pStyle w:val="NoSpacing"/>
        <w:spacing w:line="240" w:lineRule="exact"/>
      </w:pPr>
      <w:r w:rsidRPr="001E095C">
        <w:t>David Danner</w:t>
      </w:r>
    </w:p>
    <w:p w14:paraId="48FC2537" w14:textId="77777777" w:rsidR="007F4E19" w:rsidRPr="001E095C" w:rsidRDefault="007F4E19" w:rsidP="00A469D0">
      <w:pPr>
        <w:pStyle w:val="NoSpacing"/>
        <w:spacing w:line="240" w:lineRule="exact"/>
      </w:pPr>
      <w:r w:rsidRPr="001E095C">
        <w:t>Executive Director and Executive Secretary</w:t>
      </w:r>
    </w:p>
    <w:p w14:paraId="0C2C81B4" w14:textId="77777777" w:rsidR="007F4E19" w:rsidRPr="001E095C" w:rsidRDefault="007F4E19" w:rsidP="00A469D0">
      <w:pPr>
        <w:pStyle w:val="NoSpacing"/>
        <w:spacing w:line="240" w:lineRule="exact"/>
      </w:pPr>
      <w:r w:rsidRPr="001E095C">
        <w:t>Washington Utilities and Transportation Commission</w:t>
      </w:r>
    </w:p>
    <w:p w14:paraId="22789E40" w14:textId="77777777" w:rsidR="007F4E19" w:rsidRPr="001E095C" w:rsidRDefault="007F4E19" w:rsidP="00A469D0">
      <w:pPr>
        <w:pStyle w:val="NoSpacing"/>
        <w:spacing w:line="240" w:lineRule="exact"/>
      </w:pPr>
      <w:proofErr w:type="gramStart"/>
      <w:r w:rsidRPr="001E095C">
        <w:t>1300 S. Evergreen Park Dr. S.W.</w:t>
      </w:r>
      <w:proofErr w:type="gramEnd"/>
    </w:p>
    <w:p w14:paraId="085BB826" w14:textId="77777777" w:rsidR="007F4E19" w:rsidRPr="001E095C" w:rsidRDefault="007F4E19" w:rsidP="00A469D0">
      <w:pPr>
        <w:pStyle w:val="NoSpacing"/>
        <w:spacing w:line="240" w:lineRule="exact"/>
      </w:pPr>
      <w:r w:rsidRPr="001E095C">
        <w:t>PO Box 47250</w:t>
      </w:r>
    </w:p>
    <w:p w14:paraId="41B43470" w14:textId="77777777" w:rsidR="007F4E19" w:rsidRPr="001E095C" w:rsidRDefault="007F4E19" w:rsidP="00A469D0">
      <w:pPr>
        <w:pStyle w:val="NoSpacing"/>
        <w:spacing w:line="240" w:lineRule="exact"/>
      </w:pPr>
      <w:r w:rsidRPr="001E095C">
        <w:t>Olympia, WA 98504-7250</w:t>
      </w:r>
    </w:p>
    <w:p w14:paraId="394C9417" w14:textId="77777777" w:rsidR="007F4E19" w:rsidRPr="001E095C" w:rsidRDefault="007F4E19" w:rsidP="00A469D0">
      <w:pPr>
        <w:pStyle w:val="NoSpacing"/>
        <w:spacing w:line="240" w:lineRule="exact"/>
      </w:pPr>
    </w:p>
    <w:p w14:paraId="49DA034E" w14:textId="77777777" w:rsidR="007F4E19" w:rsidRPr="001E095C" w:rsidRDefault="007F4E19" w:rsidP="00A469D0">
      <w:pPr>
        <w:pStyle w:val="NoSpacing"/>
        <w:spacing w:line="240" w:lineRule="exact"/>
        <w:ind w:firstLine="720"/>
        <w:rPr>
          <w:rFonts w:eastAsia="Times New Roman"/>
          <w:sz w:val="20"/>
          <w:szCs w:val="20"/>
        </w:rPr>
      </w:pPr>
      <w:r w:rsidRPr="001E095C">
        <w:t xml:space="preserve">RE: </w:t>
      </w:r>
      <w:r w:rsidR="008E2643">
        <w:t>UG</w:t>
      </w:r>
      <w:r>
        <w:t>-1</w:t>
      </w:r>
      <w:r w:rsidR="008E2643">
        <w:t>21207</w:t>
      </w:r>
      <w:r w:rsidRPr="001E095C">
        <w:t xml:space="preserve">, </w:t>
      </w:r>
      <w:r w:rsidR="008E2643">
        <w:t>Commission Investigation into Natural Gas Conservation Programs</w:t>
      </w:r>
    </w:p>
    <w:p w14:paraId="7656F54E" w14:textId="77777777" w:rsidR="00CC35E9" w:rsidRDefault="00CC35E9" w:rsidP="00A469D0">
      <w:pPr>
        <w:pStyle w:val="NoSpacing"/>
        <w:spacing w:line="240" w:lineRule="exact"/>
      </w:pPr>
    </w:p>
    <w:p w14:paraId="3E297C9A" w14:textId="77777777" w:rsidR="009A3135" w:rsidRDefault="009A3135" w:rsidP="00A469D0">
      <w:pPr>
        <w:pStyle w:val="NoSpacing"/>
        <w:spacing w:line="240" w:lineRule="exact"/>
      </w:pPr>
    </w:p>
    <w:p w14:paraId="010D985E" w14:textId="371B8FBA" w:rsidR="00CC35E9" w:rsidRPr="009A3135" w:rsidRDefault="009A3135" w:rsidP="00A469D0">
      <w:pPr>
        <w:pStyle w:val="NoSpacing"/>
        <w:spacing w:line="240" w:lineRule="exact"/>
        <w:rPr>
          <w:u w:val="single"/>
        </w:rPr>
      </w:pPr>
      <w:r w:rsidRPr="009A3135">
        <w:rPr>
          <w:u w:val="single"/>
        </w:rPr>
        <w:t>Introduction</w:t>
      </w:r>
    </w:p>
    <w:p w14:paraId="7500B48E" w14:textId="77777777" w:rsidR="009A3135" w:rsidRDefault="009A3135" w:rsidP="00A469D0">
      <w:pPr>
        <w:pStyle w:val="NoSpacing"/>
        <w:spacing w:line="240" w:lineRule="exact"/>
      </w:pPr>
    </w:p>
    <w:p w14:paraId="3765B69A" w14:textId="764A36DB" w:rsidR="009A3135" w:rsidRDefault="009A3135" w:rsidP="00A469D0">
      <w:pPr>
        <w:pStyle w:val="NoSpacing"/>
        <w:spacing w:line="240" w:lineRule="exact"/>
      </w:pPr>
      <w:r>
        <w:t xml:space="preserve">The following comments are provided by the NW Energy Coalition (“Coalition”) in response to the Commission’s July 31, 2012 Notice of Opportunity to File Written Comments and an Optional Statement of Proposed Issues on the Commission Investigation into Natural Gas Conservation Programs.  </w:t>
      </w:r>
    </w:p>
    <w:p w14:paraId="76A02108" w14:textId="77777777" w:rsidR="009A3135" w:rsidRDefault="009A3135" w:rsidP="00A469D0">
      <w:pPr>
        <w:pStyle w:val="NoSpacing"/>
        <w:spacing w:line="240" w:lineRule="exact"/>
      </w:pPr>
    </w:p>
    <w:p w14:paraId="08A2B831" w14:textId="47F4A218" w:rsidR="00E24512" w:rsidRDefault="00E24512" w:rsidP="00A469D0">
      <w:pPr>
        <w:pStyle w:val="NoSpacing"/>
        <w:spacing w:line="240" w:lineRule="exact"/>
      </w:pPr>
      <w:r>
        <w:t xml:space="preserve">The Commission has a long history of supporting natural gas conservation.  In its Order in the 2009 </w:t>
      </w:r>
      <w:proofErr w:type="spellStart"/>
      <w:r>
        <w:t>Avista</w:t>
      </w:r>
      <w:proofErr w:type="spellEnd"/>
      <w:r>
        <w:t xml:space="preserve"> General Rate Case, the Commission </w:t>
      </w:r>
      <w:proofErr w:type="gramStart"/>
      <w:r>
        <w:t>noted that</w:t>
      </w:r>
      <w:proofErr w:type="gramEnd"/>
      <w:r>
        <w:t xml:space="preserve"> “achieving significant conservation will remain a critically important goal for utilities in this region, including Washington, into the indefinite future.”</w:t>
      </w:r>
      <w:r w:rsidR="008325DB">
        <w:rPr>
          <w:rStyle w:val="FootnoteReference"/>
        </w:rPr>
        <w:footnoteReference w:id="2"/>
      </w:r>
      <w:r>
        <w:t xml:space="preserve">  </w:t>
      </w:r>
      <w:r w:rsidR="008325DB" w:rsidRPr="006008DE">
        <w:t xml:space="preserve">The Commission </w:t>
      </w:r>
      <w:r w:rsidR="00084697" w:rsidRPr="006008DE">
        <w:t xml:space="preserve">also acknowledged its legislative directive to consider incentives for investment in conservation resources.  RCW 80.82.024 </w:t>
      </w:r>
      <w:proofErr w:type="gramStart"/>
      <w:r w:rsidR="00084697" w:rsidRPr="006008DE">
        <w:t>states that</w:t>
      </w:r>
      <w:proofErr w:type="gramEnd"/>
      <w:r w:rsidR="00084697" w:rsidRPr="006008DE">
        <w:t xml:space="preserve"> “the potential for meeting future energy needs through conservation measures…may not be realized without incentives to public and private energy utilities.”  It continues by affirming that “actions and incentives by state government to promote conservation…</w:t>
      </w:r>
      <w:proofErr w:type="gramStart"/>
      <w:r w:rsidR="00084697" w:rsidRPr="006008DE">
        <w:t>.would</w:t>
      </w:r>
      <w:proofErr w:type="gramEnd"/>
      <w:r w:rsidR="00084697" w:rsidRPr="006008DE">
        <w:t xml:space="preserve"> be of great benefit to the citizens of this state by encouraging efficient energy use.”</w:t>
      </w:r>
      <w:r w:rsidR="00084697">
        <w:t xml:space="preserve">  </w:t>
      </w:r>
    </w:p>
    <w:p w14:paraId="35BB9E7C" w14:textId="77777777" w:rsidR="008325DB" w:rsidRDefault="008325DB" w:rsidP="00A469D0">
      <w:pPr>
        <w:pStyle w:val="NoSpacing"/>
        <w:spacing w:line="240" w:lineRule="exact"/>
      </w:pPr>
    </w:p>
    <w:p w14:paraId="2FF21A55" w14:textId="4D2949F4" w:rsidR="00C52F2B" w:rsidRDefault="00BB39B4" w:rsidP="00A469D0">
      <w:pPr>
        <w:pStyle w:val="NoSpacing"/>
        <w:spacing w:line="240" w:lineRule="exact"/>
      </w:pPr>
      <w:r>
        <w:t>T</w:t>
      </w:r>
      <w:r w:rsidR="0045528A">
        <w:t xml:space="preserve">he Commission </w:t>
      </w:r>
      <w:r>
        <w:t xml:space="preserve">now </w:t>
      </w:r>
      <w:r w:rsidR="006008DE">
        <w:t>must tackle the</w:t>
      </w:r>
      <w:r w:rsidR="0045528A">
        <w:t xml:space="preserve"> challenge of maintaining its commitment to conservation </w:t>
      </w:r>
      <w:r w:rsidR="006008DE">
        <w:t>in the face of</w:t>
      </w:r>
      <w:r>
        <w:t xml:space="preserve"> low gas prices. </w:t>
      </w:r>
      <w:r w:rsidR="006008DE">
        <w:t xml:space="preserve"> </w:t>
      </w:r>
      <w:r w:rsidR="00C52F2B">
        <w:t xml:space="preserve">The Coalition is </w:t>
      </w:r>
      <w:r w:rsidR="006008DE">
        <w:t>committed to</w:t>
      </w:r>
      <w:r w:rsidR="00C52F2B">
        <w:t xml:space="preserve"> </w:t>
      </w:r>
      <w:r w:rsidR="006008DE">
        <w:t xml:space="preserve">developing </w:t>
      </w:r>
      <w:r w:rsidR="00C52F2B">
        <w:t xml:space="preserve">creative solutions that </w:t>
      </w:r>
      <w:r w:rsidR="006008DE">
        <w:t xml:space="preserve">ensure </w:t>
      </w:r>
      <w:r w:rsidR="00C52F2B">
        <w:t xml:space="preserve">conservation programs </w:t>
      </w:r>
      <w:r w:rsidR="006008DE">
        <w:t xml:space="preserve">continue </w:t>
      </w:r>
      <w:r w:rsidR="00C52F2B">
        <w:t xml:space="preserve">for the benefit of </w:t>
      </w:r>
      <w:r w:rsidR="006008DE">
        <w:t xml:space="preserve">utilities and their </w:t>
      </w:r>
      <w:r w:rsidR="00C52F2B">
        <w:t xml:space="preserve">customers.  </w:t>
      </w:r>
    </w:p>
    <w:p w14:paraId="78201A00" w14:textId="77777777" w:rsidR="009A3135" w:rsidRDefault="009A3135" w:rsidP="00A469D0">
      <w:pPr>
        <w:pStyle w:val="NoSpacing"/>
        <w:spacing w:line="240" w:lineRule="exact"/>
      </w:pPr>
    </w:p>
    <w:p w14:paraId="541AF83A" w14:textId="20F13D3B" w:rsidR="009A3135" w:rsidRPr="009A3135" w:rsidRDefault="009A3135" w:rsidP="00A469D0">
      <w:pPr>
        <w:pStyle w:val="NoSpacing"/>
        <w:spacing w:line="240" w:lineRule="exact"/>
        <w:rPr>
          <w:u w:val="single"/>
        </w:rPr>
      </w:pPr>
      <w:r w:rsidRPr="009A3135">
        <w:rPr>
          <w:u w:val="single"/>
        </w:rPr>
        <w:t>Discussion</w:t>
      </w:r>
    </w:p>
    <w:p w14:paraId="29B1B172" w14:textId="77777777" w:rsidR="009A3135" w:rsidRDefault="009A3135" w:rsidP="00A469D0">
      <w:pPr>
        <w:pStyle w:val="NoSpacing"/>
        <w:spacing w:line="240" w:lineRule="exact"/>
      </w:pPr>
    </w:p>
    <w:p w14:paraId="0BA6EFFF" w14:textId="65FA1DF0" w:rsidR="00872348" w:rsidRDefault="00872348" w:rsidP="00A469D0">
      <w:pPr>
        <w:pStyle w:val="NoSpacing"/>
        <w:spacing w:line="240" w:lineRule="exact"/>
      </w:pPr>
      <w:r>
        <w:t xml:space="preserve">The Commission has solicited responses to the following </w:t>
      </w:r>
      <w:r w:rsidR="00531BF9">
        <w:t xml:space="preserve">two </w:t>
      </w:r>
      <w:r>
        <w:t>questions</w:t>
      </w:r>
      <w:r w:rsidR="00531BF9">
        <w:t>, and asked stakeholders for statements of proposed issues concerning the planning and implementation of natural gas conservation programs</w:t>
      </w:r>
      <w:r>
        <w:t>:</w:t>
      </w:r>
    </w:p>
    <w:p w14:paraId="1E51B7CC" w14:textId="77777777" w:rsidR="00872348" w:rsidRDefault="00872348" w:rsidP="00A469D0">
      <w:pPr>
        <w:pStyle w:val="NoSpacing"/>
        <w:spacing w:line="240" w:lineRule="exact"/>
      </w:pPr>
    </w:p>
    <w:p w14:paraId="4FE26970" w14:textId="77777777" w:rsidR="00241740" w:rsidRPr="00BE25E0" w:rsidRDefault="00241740" w:rsidP="00A469D0">
      <w:pPr>
        <w:pStyle w:val="NoSpacing"/>
        <w:spacing w:line="240" w:lineRule="exact"/>
        <w:rPr>
          <w:b/>
        </w:rPr>
      </w:pPr>
      <w:r w:rsidRPr="00BE25E0">
        <w:rPr>
          <w:b/>
        </w:rPr>
        <w:t>1.  What are the appropriate assumptions or factors to include in natural gas avoided cost calculations?</w:t>
      </w:r>
    </w:p>
    <w:p w14:paraId="25571329" w14:textId="77777777" w:rsidR="00C52F2B" w:rsidRPr="00241740" w:rsidRDefault="00C52F2B" w:rsidP="00A469D0">
      <w:pPr>
        <w:pStyle w:val="NoSpacing"/>
        <w:spacing w:line="240" w:lineRule="exact"/>
      </w:pPr>
    </w:p>
    <w:p w14:paraId="1A449781" w14:textId="51D3FD84" w:rsidR="00241740" w:rsidRDefault="002E6609" w:rsidP="00A469D0">
      <w:pPr>
        <w:pStyle w:val="NoSpacing"/>
        <w:numPr>
          <w:ilvl w:val="0"/>
          <w:numId w:val="1"/>
        </w:numPr>
        <w:spacing w:line="240" w:lineRule="exact"/>
        <w:rPr>
          <w:i/>
        </w:rPr>
      </w:pPr>
      <w:r>
        <w:rPr>
          <w:i/>
        </w:rPr>
        <w:t xml:space="preserve">Revisiting </w:t>
      </w:r>
      <w:r w:rsidR="00241740" w:rsidRPr="00872348">
        <w:rPr>
          <w:i/>
        </w:rPr>
        <w:t xml:space="preserve">the 10% </w:t>
      </w:r>
      <w:r w:rsidR="00872348" w:rsidRPr="00872348">
        <w:rPr>
          <w:i/>
        </w:rPr>
        <w:t xml:space="preserve">conservation </w:t>
      </w:r>
      <w:r w:rsidR="00241740" w:rsidRPr="00872348">
        <w:rPr>
          <w:i/>
        </w:rPr>
        <w:t>adder</w:t>
      </w:r>
      <w:r w:rsidR="00872348" w:rsidRPr="00872348">
        <w:rPr>
          <w:i/>
        </w:rPr>
        <w:t xml:space="preserve"> </w:t>
      </w:r>
    </w:p>
    <w:p w14:paraId="1A4156C6" w14:textId="31787D77" w:rsidR="00872348" w:rsidRDefault="002E6609" w:rsidP="00A469D0">
      <w:pPr>
        <w:pStyle w:val="NoSpacing"/>
        <w:spacing w:line="240" w:lineRule="exact"/>
        <w:ind w:left="720"/>
      </w:pPr>
      <w:r>
        <w:t xml:space="preserve">The 10% conservation adder is a de-facto representation of hard-to-quantify benefits of </w:t>
      </w:r>
      <w:r w:rsidR="006E45EA">
        <w:t xml:space="preserve">electric </w:t>
      </w:r>
      <w:r>
        <w:t xml:space="preserve">energy </w:t>
      </w:r>
      <w:r w:rsidR="00C52F2B">
        <w:t>conservation as understood in 1980.</w:t>
      </w:r>
      <w:r w:rsidR="006E45EA">
        <w:rPr>
          <w:rStyle w:val="FootnoteReference"/>
        </w:rPr>
        <w:footnoteReference w:id="3"/>
      </w:r>
      <w:r w:rsidR="00C52F2B">
        <w:t xml:space="preserve"> </w:t>
      </w:r>
      <w:r w:rsidR="00844FAE">
        <w:t xml:space="preserve"> </w:t>
      </w:r>
      <w:r w:rsidR="00E33B43">
        <w:t xml:space="preserve">Over </w:t>
      </w:r>
      <w:r w:rsidR="00C52F2B">
        <w:t xml:space="preserve">the past three decades, the energy landscape </w:t>
      </w:r>
      <w:r w:rsidR="00C52F2B">
        <w:lastRenderedPageBreak/>
        <w:t>has changed quite a bit.  The Coalition believes that the 10% adder is no longer sufficient</w:t>
      </w:r>
      <w:r w:rsidR="008F08B6">
        <w:t xml:space="preserve"> on the electric side, and no similar adder has been mandated for gas conservation.</w:t>
      </w:r>
      <w:r w:rsidR="00C52F2B">
        <w:t xml:space="preserve">  </w:t>
      </w:r>
      <w:r w:rsidR="00627804">
        <w:t xml:space="preserve">We believe it is worth investigating the merits of this type of consistently applied adder for gas conservation measures. </w:t>
      </w:r>
      <w:r w:rsidR="00C52F2B">
        <w:t xml:space="preserve">  </w:t>
      </w:r>
    </w:p>
    <w:p w14:paraId="53685A35" w14:textId="77777777" w:rsidR="00AD67F9" w:rsidRDefault="00AD67F9" w:rsidP="00A469D0">
      <w:pPr>
        <w:pStyle w:val="NoSpacing"/>
        <w:spacing w:line="240" w:lineRule="exact"/>
        <w:ind w:left="720"/>
      </w:pPr>
    </w:p>
    <w:p w14:paraId="41E733F5" w14:textId="5DC106FC" w:rsidR="00AD67F9" w:rsidRPr="00AD67F9" w:rsidRDefault="00AD67F9" w:rsidP="00A469D0">
      <w:pPr>
        <w:pStyle w:val="NoSpacing"/>
        <w:numPr>
          <w:ilvl w:val="0"/>
          <w:numId w:val="1"/>
        </w:numPr>
        <w:spacing w:line="240" w:lineRule="exact"/>
        <w:rPr>
          <w:i/>
        </w:rPr>
      </w:pPr>
      <w:r w:rsidRPr="00AD67F9">
        <w:rPr>
          <w:i/>
        </w:rPr>
        <w:t>Ensure utilities are doing a robust analysis of all costs and benefits</w:t>
      </w:r>
    </w:p>
    <w:p w14:paraId="38782383" w14:textId="5E3DAEE5" w:rsidR="00E77FAF" w:rsidRDefault="006F26F3" w:rsidP="00A469D0">
      <w:pPr>
        <w:pStyle w:val="NoSpacing"/>
        <w:spacing w:line="240" w:lineRule="exact"/>
        <w:ind w:left="720"/>
      </w:pPr>
      <w:r>
        <w:t xml:space="preserve">Unless utilities </w:t>
      </w:r>
      <w:r w:rsidR="004879BE">
        <w:t xml:space="preserve">conduct a full accounting of all the costs and benefits that conservation confers to their business, their customers and society, energy efficiency will remain undervalued.  </w:t>
      </w:r>
      <w:r w:rsidR="00F808E3">
        <w:t>A robust analysis should include the following</w:t>
      </w:r>
      <w:r w:rsidR="00B66B9A">
        <w:t xml:space="preserve"> components</w:t>
      </w:r>
      <w:r w:rsidR="00F808E3">
        <w:t>:</w:t>
      </w:r>
    </w:p>
    <w:p w14:paraId="29BE080E" w14:textId="77777777" w:rsidR="00F808E3" w:rsidRDefault="00F808E3" w:rsidP="00A469D0">
      <w:pPr>
        <w:pStyle w:val="NoSpacing"/>
        <w:spacing w:line="240" w:lineRule="exact"/>
        <w:ind w:left="720"/>
      </w:pPr>
    </w:p>
    <w:p w14:paraId="0D5F33B4" w14:textId="678DD9AA" w:rsidR="00F808E3" w:rsidRDefault="00F808E3" w:rsidP="00A469D0">
      <w:pPr>
        <w:pStyle w:val="NoSpacing"/>
        <w:numPr>
          <w:ilvl w:val="1"/>
          <w:numId w:val="1"/>
        </w:numPr>
        <w:spacing w:line="240" w:lineRule="exact"/>
      </w:pPr>
      <w:r>
        <w:t>Utility</w:t>
      </w:r>
      <w:r w:rsidR="00B66B9A">
        <w:t xml:space="preserve"> costs and benefits</w:t>
      </w:r>
    </w:p>
    <w:p w14:paraId="7660BAD8" w14:textId="77777777" w:rsidR="00D05A8D" w:rsidRDefault="00D05A8D" w:rsidP="00A469D0">
      <w:pPr>
        <w:pStyle w:val="NoSpacing"/>
        <w:numPr>
          <w:ilvl w:val="2"/>
          <w:numId w:val="1"/>
        </w:numPr>
        <w:spacing w:line="240" w:lineRule="exact"/>
      </w:pPr>
      <w:r>
        <w:t>Avoided environmental compliance costs</w:t>
      </w:r>
    </w:p>
    <w:p w14:paraId="184F307F" w14:textId="40515E79" w:rsidR="00F808E3" w:rsidRDefault="00F808E3" w:rsidP="00A469D0">
      <w:pPr>
        <w:pStyle w:val="NoSpacing"/>
        <w:numPr>
          <w:ilvl w:val="2"/>
          <w:numId w:val="1"/>
        </w:numPr>
        <w:spacing w:line="240" w:lineRule="exact"/>
      </w:pPr>
      <w:r>
        <w:t>The cost to the utility assuming that natural gas prices will rise</w:t>
      </w:r>
      <w:r w:rsidR="00A469D0">
        <w:t xml:space="preserve"> and benefit of mitigating price risks over the long term</w:t>
      </w:r>
    </w:p>
    <w:p w14:paraId="47E444EB" w14:textId="1B36920F" w:rsidR="00B66B9A" w:rsidRDefault="00B66B9A" w:rsidP="00A469D0">
      <w:pPr>
        <w:pStyle w:val="NoSpacing"/>
        <w:numPr>
          <w:ilvl w:val="2"/>
          <w:numId w:val="1"/>
        </w:numPr>
        <w:spacing w:line="240" w:lineRule="exact"/>
      </w:pPr>
      <w:r>
        <w:t xml:space="preserve">The value of </w:t>
      </w:r>
      <w:r w:rsidR="00F93CDD">
        <w:t xml:space="preserve">retaining conservation program delivery infrastructure </w:t>
      </w:r>
    </w:p>
    <w:p w14:paraId="31044324" w14:textId="77777777" w:rsidR="00F808E3" w:rsidRDefault="00F808E3" w:rsidP="00A469D0">
      <w:pPr>
        <w:pStyle w:val="NoSpacing"/>
        <w:numPr>
          <w:ilvl w:val="2"/>
          <w:numId w:val="1"/>
        </w:numPr>
        <w:spacing w:line="240" w:lineRule="exact"/>
      </w:pPr>
      <w:r>
        <w:t>Peak demand reduction</w:t>
      </w:r>
    </w:p>
    <w:p w14:paraId="0B908F1A" w14:textId="77777777" w:rsidR="00F808E3" w:rsidRDefault="00F808E3" w:rsidP="00A469D0">
      <w:pPr>
        <w:pStyle w:val="NoSpacing"/>
        <w:numPr>
          <w:ilvl w:val="2"/>
          <w:numId w:val="1"/>
        </w:numPr>
        <w:spacing w:line="240" w:lineRule="exact"/>
      </w:pPr>
      <w:r>
        <w:t>Distribution system maintenance</w:t>
      </w:r>
    </w:p>
    <w:p w14:paraId="43CE95D0" w14:textId="77777777" w:rsidR="00F808E3" w:rsidRDefault="00F808E3" w:rsidP="00A469D0">
      <w:pPr>
        <w:pStyle w:val="NoSpacing"/>
        <w:numPr>
          <w:ilvl w:val="2"/>
          <w:numId w:val="1"/>
        </w:numPr>
        <w:spacing w:line="240" w:lineRule="exact"/>
      </w:pPr>
      <w:r>
        <w:t>Pipeline &amp; storage benefits</w:t>
      </w:r>
    </w:p>
    <w:p w14:paraId="67561D55" w14:textId="77777777" w:rsidR="00F808E3" w:rsidRDefault="00F808E3" w:rsidP="00A469D0">
      <w:pPr>
        <w:pStyle w:val="NoSpacing"/>
        <w:numPr>
          <w:ilvl w:val="2"/>
          <w:numId w:val="1"/>
        </w:numPr>
        <w:spacing w:line="240" w:lineRule="exact"/>
      </w:pPr>
      <w:r>
        <w:t>Reduced customer arrearages</w:t>
      </w:r>
    </w:p>
    <w:p w14:paraId="6DB03EBC" w14:textId="77777777" w:rsidR="00F808E3" w:rsidRDefault="00F808E3" w:rsidP="00A469D0">
      <w:pPr>
        <w:pStyle w:val="NoSpacing"/>
        <w:numPr>
          <w:ilvl w:val="2"/>
          <w:numId w:val="1"/>
        </w:numPr>
        <w:spacing w:line="240" w:lineRule="exact"/>
      </w:pPr>
      <w:r>
        <w:t>Reduced bad-debt write-offs</w:t>
      </w:r>
    </w:p>
    <w:p w14:paraId="1D63B1FA" w14:textId="77777777" w:rsidR="00F808E3" w:rsidRDefault="00F808E3" w:rsidP="00A469D0">
      <w:pPr>
        <w:pStyle w:val="NoSpacing"/>
        <w:numPr>
          <w:ilvl w:val="2"/>
          <w:numId w:val="1"/>
        </w:numPr>
        <w:spacing w:line="240" w:lineRule="exact"/>
      </w:pPr>
      <w:r>
        <w:t>Improved customer service</w:t>
      </w:r>
    </w:p>
    <w:p w14:paraId="1D582C35" w14:textId="77777777" w:rsidR="00F808E3" w:rsidRDefault="00F808E3" w:rsidP="00A469D0">
      <w:pPr>
        <w:pStyle w:val="NoSpacing"/>
        <w:spacing w:line="240" w:lineRule="exact"/>
        <w:ind w:left="2160"/>
      </w:pPr>
    </w:p>
    <w:p w14:paraId="7CEF067F" w14:textId="77777777" w:rsidR="00F808E3" w:rsidRDefault="00F808E3" w:rsidP="00A469D0">
      <w:pPr>
        <w:pStyle w:val="NoSpacing"/>
        <w:numPr>
          <w:ilvl w:val="1"/>
          <w:numId w:val="1"/>
        </w:numPr>
        <w:spacing w:line="240" w:lineRule="exact"/>
      </w:pPr>
      <w:r>
        <w:t>Customer benefits</w:t>
      </w:r>
    </w:p>
    <w:p w14:paraId="6504CB21" w14:textId="03F19A0B" w:rsidR="00F808E3" w:rsidRDefault="00F808E3" w:rsidP="00A469D0">
      <w:pPr>
        <w:pStyle w:val="NoSpacing"/>
        <w:numPr>
          <w:ilvl w:val="2"/>
          <w:numId w:val="1"/>
        </w:numPr>
        <w:spacing w:line="240" w:lineRule="exact"/>
      </w:pPr>
      <w:r>
        <w:t>Lower bills</w:t>
      </w:r>
    </w:p>
    <w:p w14:paraId="117AAF1A" w14:textId="320E683D" w:rsidR="00C07F83" w:rsidRDefault="00C07F83" w:rsidP="00A469D0">
      <w:pPr>
        <w:pStyle w:val="NoSpacing"/>
        <w:numPr>
          <w:ilvl w:val="2"/>
          <w:numId w:val="1"/>
        </w:numPr>
        <w:spacing w:line="240" w:lineRule="exact"/>
      </w:pPr>
      <w:r>
        <w:t>Co-benefits in reduced water, fuel oil, etc. usage</w:t>
      </w:r>
    </w:p>
    <w:p w14:paraId="78D93B22" w14:textId="77777777" w:rsidR="00F808E3" w:rsidRDefault="00F808E3" w:rsidP="00A469D0">
      <w:pPr>
        <w:pStyle w:val="NoSpacing"/>
        <w:numPr>
          <w:ilvl w:val="2"/>
          <w:numId w:val="1"/>
        </w:numPr>
        <w:spacing w:line="240" w:lineRule="exact"/>
      </w:pPr>
      <w:r>
        <w:t xml:space="preserve">Increased productivity </w:t>
      </w:r>
    </w:p>
    <w:p w14:paraId="40BE7113" w14:textId="71AF39D5" w:rsidR="00F808E3" w:rsidRDefault="00F808E3" w:rsidP="00A469D0">
      <w:pPr>
        <w:pStyle w:val="NoSpacing"/>
        <w:numPr>
          <w:ilvl w:val="2"/>
          <w:numId w:val="1"/>
        </w:numPr>
        <w:spacing w:line="240" w:lineRule="exact"/>
      </w:pPr>
      <w:r>
        <w:t>Inc</w:t>
      </w:r>
      <w:bookmarkStart w:id="0" w:name="_GoBack"/>
      <w:bookmarkEnd w:id="0"/>
      <w:r>
        <w:t>reased safety</w:t>
      </w:r>
      <w:r w:rsidR="00F93CDD">
        <w:t xml:space="preserve"> and comfort</w:t>
      </w:r>
    </w:p>
    <w:p w14:paraId="66AF3E6F" w14:textId="055A8F1C" w:rsidR="00F808E3" w:rsidRDefault="00F808E3" w:rsidP="00A469D0">
      <w:pPr>
        <w:pStyle w:val="NoSpacing"/>
        <w:numPr>
          <w:ilvl w:val="2"/>
          <w:numId w:val="1"/>
        </w:numPr>
        <w:spacing w:line="240" w:lineRule="exact"/>
      </w:pPr>
      <w:r>
        <w:t xml:space="preserve">Reduced </w:t>
      </w:r>
      <w:r w:rsidR="00F93CDD">
        <w:t xml:space="preserve">rate </w:t>
      </w:r>
      <w:r>
        <w:t xml:space="preserve">volatility </w:t>
      </w:r>
      <w:r w:rsidR="00F93CDD">
        <w:t>resulting from</w:t>
      </w:r>
      <w:r>
        <w:t xml:space="preserve"> Purchase Gas Agreement</w:t>
      </w:r>
      <w:r w:rsidR="00F93CDD">
        <w:t xml:space="preserve"> adjustments</w:t>
      </w:r>
    </w:p>
    <w:p w14:paraId="5AA4B7BB" w14:textId="77777777" w:rsidR="00F808E3" w:rsidRDefault="00F808E3" w:rsidP="00A469D0">
      <w:pPr>
        <w:pStyle w:val="NoSpacing"/>
        <w:spacing w:line="240" w:lineRule="exact"/>
        <w:ind w:left="2160"/>
      </w:pPr>
    </w:p>
    <w:p w14:paraId="08C4E413" w14:textId="77777777" w:rsidR="00F808E3" w:rsidRDefault="00F808E3" w:rsidP="00A469D0">
      <w:pPr>
        <w:pStyle w:val="NoSpacing"/>
        <w:numPr>
          <w:ilvl w:val="1"/>
          <w:numId w:val="1"/>
        </w:numPr>
        <w:spacing w:line="240" w:lineRule="exact"/>
      </w:pPr>
      <w:r>
        <w:t>Societal benefits</w:t>
      </w:r>
    </w:p>
    <w:p w14:paraId="6E7E02B4" w14:textId="518EE778" w:rsidR="00E804C1" w:rsidRDefault="00F808E3" w:rsidP="00A469D0">
      <w:pPr>
        <w:pStyle w:val="NoSpacing"/>
        <w:numPr>
          <w:ilvl w:val="2"/>
          <w:numId w:val="1"/>
        </w:numPr>
        <w:spacing w:line="240" w:lineRule="exact"/>
      </w:pPr>
      <w:r>
        <w:t xml:space="preserve">Reduced </w:t>
      </w:r>
      <w:r w:rsidR="00F93CDD">
        <w:t xml:space="preserve">emissions and other environmental impacts </w:t>
      </w:r>
    </w:p>
    <w:p w14:paraId="733A9B9D" w14:textId="77777777" w:rsidR="00E804C1" w:rsidRDefault="00E804C1" w:rsidP="00A469D0">
      <w:pPr>
        <w:pStyle w:val="NoSpacing"/>
        <w:spacing w:line="240" w:lineRule="exact"/>
        <w:ind w:left="720"/>
      </w:pPr>
    </w:p>
    <w:p w14:paraId="0A92910F" w14:textId="64542BEB" w:rsidR="00E77FAF" w:rsidRPr="00AD67F9" w:rsidRDefault="00E77FAF" w:rsidP="00A469D0">
      <w:pPr>
        <w:pStyle w:val="NoSpacing"/>
        <w:numPr>
          <w:ilvl w:val="0"/>
          <w:numId w:val="1"/>
        </w:numPr>
        <w:spacing w:line="240" w:lineRule="exact"/>
        <w:rPr>
          <w:i/>
        </w:rPr>
      </w:pPr>
      <w:r>
        <w:rPr>
          <w:i/>
        </w:rPr>
        <w:t>Choice of discount rate</w:t>
      </w:r>
    </w:p>
    <w:p w14:paraId="3BE63BD8" w14:textId="17951D1C" w:rsidR="00E77FAF" w:rsidRPr="002E6609" w:rsidRDefault="00D05A8D" w:rsidP="00A242A6">
      <w:pPr>
        <w:pStyle w:val="NoSpacing"/>
        <w:spacing w:line="240" w:lineRule="exact"/>
        <w:ind w:left="720"/>
      </w:pPr>
      <w:r>
        <w:t xml:space="preserve">Energy efficiency programs </w:t>
      </w:r>
      <w:r w:rsidR="0035763D">
        <w:t xml:space="preserve">incur </w:t>
      </w:r>
      <w:r>
        <w:t xml:space="preserve">less financial risk than supply-side resources because of the way that they are funded.  While </w:t>
      </w:r>
      <w:r w:rsidR="006545FA">
        <w:t>building additional capacity typically requires utilities to raise capital, conservation programs do not.</w:t>
      </w:r>
      <w:r>
        <w:t xml:space="preserve"> </w:t>
      </w:r>
      <w:r w:rsidR="006545FA">
        <w:t xml:space="preserve"> Accordingly, energy efficiency programs should employ a low-risk,</w:t>
      </w:r>
      <w:r w:rsidR="00C03AB3">
        <w:t xml:space="preserve"> long-term</w:t>
      </w:r>
      <w:r w:rsidR="006545FA">
        <w:t xml:space="preserve"> </w:t>
      </w:r>
      <w:r w:rsidR="00F808E3">
        <w:t>customer/societal cost discount rate.</w:t>
      </w:r>
    </w:p>
    <w:p w14:paraId="61C6B99A" w14:textId="77777777" w:rsidR="009A3135" w:rsidRDefault="009A3135" w:rsidP="00A469D0">
      <w:pPr>
        <w:pStyle w:val="NoSpacing"/>
        <w:spacing w:line="240" w:lineRule="exact"/>
      </w:pPr>
    </w:p>
    <w:p w14:paraId="424F6E87" w14:textId="55B322D0" w:rsidR="00241740" w:rsidRPr="00BE25E0" w:rsidRDefault="00900D08" w:rsidP="00A469D0">
      <w:pPr>
        <w:pStyle w:val="NoSpacing"/>
        <w:spacing w:line="240" w:lineRule="exact"/>
        <w:rPr>
          <w:b/>
        </w:rPr>
      </w:pPr>
      <w:r w:rsidRPr="00BE25E0">
        <w:rPr>
          <w:b/>
        </w:rPr>
        <w:t>2.  Should companies use a combination of cost tests in evaluating the cost-effectiveness of natural gas conservation programs?</w:t>
      </w:r>
    </w:p>
    <w:p w14:paraId="544B74FB" w14:textId="77777777" w:rsidR="00900D08" w:rsidRDefault="00900D08" w:rsidP="00A469D0">
      <w:pPr>
        <w:pStyle w:val="NoSpacing"/>
        <w:spacing w:line="240" w:lineRule="exact"/>
      </w:pPr>
    </w:p>
    <w:p w14:paraId="6A81A041" w14:textId="32336BEA" w:rsidR="00900D08" w:rsidRDefault="00CE4F39" w:rsidP="00A469D0">
      <w:pPr>
        <w:pStyle w:val="NoSpacing"/>
        <w:spacing w:line="240" w:lineRule="exact"/>
      </w:pPr>
      <w:r>
        <w:t>The Commission has prioritized use of the Total Resource Cost test for evaluating cost-effectiveness of electric and natural gas conservation programs, and regionally, this is the cost test of choice. Utilities frequently perform other cost tests, particularly the Utility Cost Test, when examining the efficacy of their programs. Opportunities may exist to make better use of the TRC and/or other existing cost tests</w:t>
      </w:r>
      <w:r w:rsidR="00E155C8">
        <w:t>, either individually or through a composite approach</w:t>
      </w:r>
      <w:r>
        <w:t xml:space="preserve">. </w:t>
      </w:r>
      <w:r w:rsidR="00E155C8">
        <w:t>The Coalition is open to examining different ways of determining cost effectiveness that still robustly consider conservation program costs and benefits.</w:t>
      </w:r>
    </w:p>
    <w:p w14:paraId="18A810DF" w14:textId="77777777" w:rsidR="00933AE4" w:rsidRDefault="00933AE4" w:rsidP="00A469D0">
      <w:pPr>
        <w:pStyle w:val="NoSpacing"/>
        <w:spacing w:line="240" w:lineRule="exact"/>
      </w:pPr>
    </w:p>
    <w:p w14:paraId="7C466C24" w14:textId="286DE046" w:rsidR="00900D08" w:rsidRDefault="00900D08" w:rsidP="00A469D0">
      <w:pPr>
        <w:pStyle w:val="NoSpacing"/>
        <w:spacing w:line="240" w:lineRule="exact"/>
        <w:rPr>
          <w:b/>
        </w:rPr>
      </w:pPr>
      <w:r w:rsidRPr="00161FF6">
        <w:rPr>
          <w:b/>
        </w:rPr>
        <w:t>Statement of Proposed Issues</w:t>
      </w:r>
    </w:p>
    <w:p w14:paraId="0C97031A" w14:textId="77777777" w:rsidR="00AF71B2" w:rsidRDefault="00AF71B2" w:rsidP="00A469D0">
      <w:pPr>
        <w:pStyle w:val="NoSpacing"/>
        <w:spacing w:line="240" w:lineRule="exact"/>
        <w:rPr>
          <w:b/>
        </w:rPr>
      </w:pPr>
    </w:p>
    <w:p w14:paraId="185EB492" w14:textId="57A95C80" w:rsidR="00AF71B2" w:rsidRDefault="00AF71B2" w:rsidP="00A469D0">
      <w:pPr>
        <w:pStyle w:val="NoSpacing"/>
        <w:spacing w:line="240" w:lineRule="exact"/>
      </w:pPr>
      <w:r>
        <w:t xml:space="preserve">In addition to the questions raised by the Commission concerning cost tests, the Coalition proposes that the following issues </w:t>
      </w:r>
      <w:r w:rsidR="00BB5177">
        <w:t>be considered in this docket</w:t>
      </w:r>
      <w:r w:rsidR="00A469D0">
        <w:t>:</w:t>
      </w:r>
    </w:p>
    <w:p w14:paraId="4E8A7EE8" w14:textId="77777777" w:rsidR="00A242A6" w:rsidRPr="00AF71B2" w:rsidRDefault="00A242A6" w:rsidP="00A469D0">
      <w:pPr>
        <w:pStyle w:val="NoSpacing"/>
        <w:spacing w:line="240" w:lineRule="exact"/>
      </w:pPr>
    </w:p>
    <w:p w14:paraId="24267304" w14:textId="4804194F" w:rsidR="00A40876" w:rsidRDefault="00A40876" w:rsidP="00A469D0">
      <w:pPr>
        <w:pStyle w:val="NoSpacing"/>
        <w:numPr>
          <w:ilvl w:val="0"/>
          <w:numId w:val="1"/>
        </w:numPr>
        <w:spacing w:line="240" w:lineRule="exact"/>
      </w:pPr>
      <w:r>
        <w:lastRenderedPageBreak/>
        <w:t xml:space="preserve">Regional approaches to natural gas conservation cost effectiveness, including </w:t>
      </w:r>
      <w:r w:rsidR="004C0C2F">
        <w:t xml:space="preserve">the Energy Trust of </w:t>
      </w:r>
      <w:r w:rsidR="00A469D0">
        <w:t>Oregon’s proposed</w:t>
      </w:r>
      <w:r>
        <w:t xml:space="preserve"> 2-year waiver</w:t>
      </w:r>
      <w:r w:rsidR="00C67AFC">
        <w:rPr>
          <w:rStyle w:val="FootnoteReference"/>
        </w:rPr>
        <w:footnoteReference w:id="4"/>
      </w:r>
      <w:r>
        <w:t xml:space="preserve"> and British Columbia’s </w:t>
      </w:r>
      <w:r w:rsidR="00FB1800">
        <w:t>Modified TRC</w:t>
      </w:r>
      <w:r w:rsidR="00FB1800">
        <w:rPr>
          <w:rStyle w:val="FootnoteReference"/>
        </w:rPr>
        <w:footnoteReference w:id="5"/>
      </w:r>
    </w:p>
    <w:p w14:paraId="4DE29A53" w14:textId="4F70D08B" w:rsidR="00900D08" w:rsidRDefault="00186BDC" w:rsidP="00A469D0">
      <w:pPr>
        <w:pStyle w:val="NoSpacing"/>
        <w:numPr>
          <w:ilvl w:val="0"/>
          <w:numId w:val="1"/>
        </w:numPr>
        <w:spacing w:line="240" w:lineRule="exact"/>
      </w:pPr>
      <w:r>
        <w:t xml:space="preserve">The effect of </w:t>
      </w:r>
      <w:r w:rsidR="006F26F3">
        <w:t>h</w:t>
      </w:r>
      <w:r w:rsidR="00900D08">
        <w:t xml:space="preserve">edging mechanisms </w:t>
      </w:r>
      <w:r>
        <w:t>on</w:t>
      </w:r>
      <w:r w:rsidR="00900D08">
        <w:t xml:space="preserve"> avoided cost calculations</w:t>
      </w:r>
    </w:p>
    <w:p w14:paraId="5979FA5F" w14:textId="7E795F50" w:rsidR="00BB5177" w:rsidRDefault="00186BDC" w:rsidP="00A469D0">
      <w:pPr>
        <w:pStyle w:val="NoSpacing"/>
        <w:numPr>
          <w:ilvl w:val="0"/>
          <w:numId w:val="1"/>
        </w:numPr>
        <w:spacing w:line="240" w:lineRule="exact"/>
      </w:pPr>
      <w:r>
        <w:t>Whether</w:t>
      </w:r>
      <w:r w:rsidR="00BE25E0">
        <w:t xml:space="preserve"> </w:t>
      </w:r>
      <w:r w:rsidR="00BB5177">
        <w:t xml:space="preserve">cost-effectiveness test </w:t>
      </w:r>
      <w:r w:rsidR="00BE25E0">
        <w:t>calculations</w:t>
      </w:r>
      <w:r>
        <w:t xml:space="preserve"> should be consistent across utilities </w:t>
      </w:r>
    </w:p>
    <w:p w14:paraId="094734BA" w14:textId="30837EDE" w:rsidR="00900D08" w:rsidRDefault="00186BDC" w:rsidP="00A469D0">
      <w:pPr>
        <w:pStyle w:val="NoSpacing"/>
        <w:numPr>
          <w:ilvl w:val="0"/>
          <w:numId w:val="1"/>
        </w:numPr>
        <w:spacing w:line="240" w:lineRule="exact"/>
      </w:pPr>
      <w:r>
        <w:t xml:space="preserve">How </w:t>
      </w:r>
      <w:r w:rsidR="00BB5177">
        <w:t xml:space="preserve">the potential cost of future carbon regulation and the cost of climate change </w:t>
      </w:r>
      <w:r>
        <w:t xml:space="preserve">will </w:t>
      </w:r>
      <w:r w:rsidR="00BB5177">
        <w:t>be addressed</w:t>
      </w:r>
    </w:p>
    <w:p w14:paraId="2B7ECD87" w14:textId="63808BDC" w:rsidR="004F77EC" w:rsidRDefault="00343306" w:rsidP="00A469D0">
      <w:pPr>
        <w:pStyle w:val="NoSpacing"/>
        <w:numPr>
          <w:ilvl w:val="0"/>
          <w:numId w:val="1"/>
        </w:numPr>
        <w:spacing w:line="240" w:lineRule="exact"/>
      </w:pPr>
      <w:r>
        <w:t xml:space="preserve">What factors should be considered in determining </w:t>
      </w:r>
      <w:r w:rsidR="00BB5177">
        <w:t xml:space="preserve">cost-effectiveness </w:t>
      </w:r>
      <w:r>
        <w:t>of</w:t>
      </w:r>
      <w:r w:rsidR="00BB5177">
        <w:t xml:space="preserve"> </w:t>
      </w:r>
      <w:r w:rsidR="006F26F3">
        <w:t>low-income</w:t>
      </w:r>
      <w:r w:rsidR="004F77EC">
        <w:t xml:space="preserve"> programs</w:t>
      </w:r>
    </w:p>
    <w:p w14:paraId="1640E6B5" w14:textId="55827254" w:rsidR="004F77EC" w:rsidRDefault="00A40876" w:rsidP="00A469D0">
      <w:pPr>
        <w:pStyle w:val="NoSpacing"/>
        <w:numPr>
          <w:ilvl w:val="0"/>
          <w:numId w:val="1"/>
        </w:numPr>
        <w:spacing w:line="240" w:lineRule="exact"/>
      </w:pPr>
      <w:r>
        <w:t>How to provide utilities the flexibility needed within conservation programs to</w:t>
      </w:r>
      <w:r w:rsidR="006F26F3">
        <w:t xml:space="preserve"> maintain community </w:t>
      </w:r>
      <w:r w:rsidR="00E77FAF">
        <w:t>investments</w:t>
      </w:r>
      <w:r w:rsidR="006F26F3">
        <w:t xml:space="preserve"> </w:t>
      </w:r>
      <w:r w:rsidR="00186BDC">
        <w:t xml:space="preserve">in energy efficiency </w:t>
      </w:r>
      <w:r w:rsidR="006F26F3">
        <w:t xml:space="preserve">and </w:t>
      </w:r>
      <w:r w:rsidR="00186BDC">
        <w:t>i</w:t>
      </w:r>
      <w:r w:rsidR="006F26F3">
        <w:t>ncrease market acceptance of emerging technologies</w:t>
      </w:r>
    </w:p>
    <w:p w14:paraId="09EDCB16" w14:textId="77777777" w:rsidR="00900D08" w:rsidRDefault="00900D08" w:rsidP="00A469D0">
      <w:pPr>
        <w:pStyle w:val="NoSpacing"/>
        <w:spacing w:line="240" w:lineRule="exact"/>
      </w:pPr>
    </w:p>
    <w:p w14:paraId="7C500B54" w14:textId="77777777" w:rsidR="00241740" w:rsidRDefault="00241740" w:rsidP="00A469D0">
      <w:pPr>
        <w:pStyle w:val="NoSpacing"/>
        <w:spacing w:line="240" w:lineRule="exact"/>
      </w:pPr>
    </w:p>
    <w:p w14:paraId="1FCB397D" w14:textId="2B4F9690" w:rsidR="009A3135" w:rsidRPr="009A3135" w:rsidRDefault="009A3135" w:rsidP="00A469D0">
      <w:pPr>
        <w:pStyle w:val="NoSpacing"/>
        <w:spacing w:line="240" w:lineRule="exact"/>
        <w:rPr>
          <w:u w:val="single"/>
        </w:rPr>
      </w:pPr>
      <w:r w:rsidRPr="009A3135">
        <w:rPr>
          <w:u w:val="single"/>
        </w:rPr>
        <w:t>Conclusion</w:t>
      </w:r>
    </w:p>
    <w:p w14:paraId="790899CE" w14:textId="77777777" w:rsidR="00E804C1" w:rsidRDefault="00E804C1" w:rsidP="00A469D0">
      <w:pPr>
        <w:pStyle w:val="NoSpacing"/>
        <w:spacing w:line="240" w:lineRule="exact"/>
      </w:pPr>
    </w:p>
    <w:p w14:paraId="1E06B9B4" w14:textId="0F6373F8" w:rsidR="00161FF6" w:rsidRDefault="00A40876" w:rsidP="00A469D0">
      <w:pPr>
        <w:pStyle w:val="NoSpacing"/>
        <w:spacing w:line="240" w:lineRule="exact"/>
      </w:pPr>
      <w:r>
        <w:t xml:space="preserve">In considering changes to the </w:t>
      </w:r>
      <w:r w:rsidR="0037400D">
        <w:t xml:space="preserve">Commission’s </w:t>
      </w:r>
      <w:r w:rsidR="005E03B2">
        <w:t>policies</w:t>
      </w:r>
      <w:r w:rsidR="0037400D">
        <w:t xml:space="preserve"> and practices</w:t>
      </w:r>
      <w:r>
        <w:t xml:space="preserve">, the Coalition urges the Commission to be mindful of the considerable benefits energy efficiency </w:t>
      </w:r>
      <w:r w:rsidR="00241740">
        <w:t xml:space="preserve">programs provide </w:t>
      </w:r>
      <w:r>
        <w:t xml:space="preserve">to customers.  Energy conservation helps customers </w:t>
      </w:r>
      <w:r w:rsidR="00A7190F">
        <w:t>lower</w:t>
      </w:r>
      <w:r>
        <w:t xml:space="preserve"> their energy bills while </w:t>
      </w:r>
      <w:r w:rsidR="00A7190F">
        <w:t>reducing</w:t>
      </w:r>
      <w:r>
        <w:t xml:space="preserve"> </w:t>
      </w:r>
      <w:r w:rsidR="00A7190F">
        <w:t>their exposure to gas price volatility.  Additionally, conservation programs support and maintain local jobs.  Because most of our natural gas is imported from other states</w:t>
      </w:r>
      <w:r w:rsidR="004C0C2F">
        <w:t xml:space="preserve"> and Canada</w:t>
      </w:r>
      <w:r w:rsidR="00A7190F">
        <w:t xml:space="preserve">, conservation programs are a valuable alternative to sending </w:t>
      </w:r>
      <w:r w:rsidR="0037400D">
        <w:t xml:space="preserve">ratepayer </w:t>
      </w:r>
      <w:r w:rsidR="00A7190F">
        <w:t xml:space="preserve">money out of state.  </w:t>
      </w:r>
    </w:p>
    <w:p w14:paraId="09F60DD3" w14:textId="77777777" w:rsidR="00161FF6" w:rsidRDefault="00161FF6" w:rsidP="00A469D0">
      <w:pPr>
        <w:pStyle w:val="NoSpacing"/>
        <w:spacing w:line="240" w:lineRule="exact"/>
      </w:pPr>
    </w:p>
    <w:p w14:paraId="7EBE7397" w14:textId="31D37DA9" w:rsidR="00161FF6" w:rsidRDefault="0037400D" w:rsidP="00A469D0">
      <w:pPr>
        <w:pStyle w:val="NoSpacing"/>
        <w:spacing w:line="240" w:lineRule="exact"/>
      </w:pPr>
      <w:r>
        <w:t xml:space="preserve">Coalition staff plans to participate in the </w:t>
      </w:r>
      <w:r w:rsidR="005E03B2">
        <w:t xml:space="preserve">stakeholder </w:t>
      </w:r>
      <w:r>
        <w:t xml:space="preserve">workshop </w:t>
      </w:r>
      <w:r w:rsidR="005E03B2">
        <w:t>scheduled for October 19.</w:t>
      </w:r>
      <w:r w:rsidR="004C0C2F">
        <w:t xml:space="preserve">  Any questions regarding this submission should be directed to Lynne Dial, 206-621-0094 or lynne@nwenergy.org</w:t>
      </w:r>
      <w:r w:rsidR="0079297B">
        <w:t>.</w:t>
      </w:r>
    </w:p>
    <w:sectPr w:rsidR="00161FF6" w:rsidSect="00747C6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54CED" w14:textId="77777777" w:rsidR="00A469D0" w:rsidRDefault="00A469D0" w:rsidP="009A3135">
      <w:pPr>
        <w:spacing w:after="0" w:line="240" w:lineRule="auto"/>
      </w:pPr>
      <w:r>
        <w:separator/>
      </w:r>
    </w:p>
  </w:endnote>
  <w:endnote w:type="continuationSeparator" w:id="0">
    <w:p w14:paraId="01DCC000" w14:textId="77777777" w:rsidR="00A469D0" w:rsidRDefault="00A469D0" w:rsidP="009A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Bold">
    <w:altName w:val="Times"/>
    <w:panose1 w:val="00000000000000000000"/>
    <w:charset w:val="4D"/>
    <w:family w:val="roman"/>
    <w:notTrueType/>
    <w:pitch w:val="default"/>
    <w:sig w:usb0="00000003" w:usb1="00000000" w:usb2="00000000" w:usb3="00000000" w:csb0="00000001" w:csb1="00000000"/>
  </w:font>
  <w:font w:name="Oblique">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0209D" w14:textId="77777777" w:rsidR="00A469D0" w:rsidRDefault="00A469D0" w:rsidP="00BB3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21F5E7" w14:textId="49A12DFE" w:rsidR="00A469D0" w:rsidRDefault="00A469D0" w:rsidP="00A7190F">
    <w:pPr>
      <w:pStyle w:val="Footer"/>
      <w:ind w:right="360"/>
    </w:pPr>
    <w:sdt>
      <w:sdtPr>
        <w:id w:val="969400743"/>
        <w:placeholder>
          <w:docPart w:val="3838195FA3BE8C42818B5DB221FCC205"/>
        </w:placeholder>
        <w:temporary/>
        <w:showingPlcHdr/>
      </w:sdtPr>
      <w:sdtContent>
        <w:r>
          <w:t>[Type text]</w:t>
        </w:r>
      </w:sdtContent>
    </w:sdt>
    <w:r>
      <w:ptab w:relativeTo="margin" w:alignment="center" w:leader="none"/>
    </w:r>
    <w:sdt>
      <w:sdtPr>
        <w:id w:val="969400748"/>
        <w:placeholder>
          <w:docPart w:val="B24F1B9AACDEAE4D963F6A3EA0E14D66"/>
        </w:placeholder>
        <w:temporary/>
        <w:showingPlcHdr/>
      </w:sdtPr>
      <w:sdtContent>
        <w:r>
          <w:t>[Type text]</w:t>
        </w:r>
      </w:sdtContent>
    </w:sdt>
    <w:r>
      <w:ptab w:relativeTo="margin" w:alignment="right" w:leader="none"/>
    </w:r>
    <w:sdt>
      <w:sdtPr>
        <w:id w:val="969400753"/>
        <w:placeholder>
          <w:docPart w:val="D88CDC1DDB6DE9489DAEC4E6DFD0ED4C"/>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FFF3A" w14:textId="77777777" w:rsidR="00A469D0" w:rsidRPr="009E1A48" w:rsidRDefault="00A469D0" w:rsidP="00BB39B4">
    <w:pPr>
      <w:pStyle w:val="Footer"/>
      <w:framePr w:wrap="around" w:vAnchor="text" w:hAnchor="margin" w:xAlign="right" w:y="1"/>
      <w:rPr>
        <w:rStyle w:val="PageNumber"/>
      </w:rPr>
    </w:pPr>
    <w:r w:rsidRPr="009E1A48">
      <w:rPr>
        <w:rStyle w:val="PageNumber"/>
      </w:rPr>
      <w:fldChar w:fldCharType="begin"/>
    </w:r>
    <w:r w:rsidRPr="009E1A48">
      <w:rPr>
        <w:rStyle w:val="PageNumber"/>
      </w:rPr>
      <w:instrText xml:space="preserve">PAGE  </w:instrText>
    </w:r>
    <w:r w:rsidRPr="009E1A48">
      <w:rPr>
        <w:rStyle w:val="PageNumber"/>
      </w:rPr>
      <w:fldChar w:fldCharType="separate"/>
    </w:r>
    <w:r w:rsidR="009E1A48">
      <w:rPr>
        <w:rStyle w:val="PageNumber"/>
        <w:noProof/>
      </w:rPr>
      <w:t>3</w:t>
    </w:r>
    <w:r w:rsidRPr="009E1A48">
      <w:rPr>
        <w:rStyle w:val="PageNumber"/>
      </w:rPr>
      <w:fldChar w:fldCharType="end"/>
    </w:r>
  </w:p>
  <w:p w14:paraId="5DB90FFC" w14:textId="0C3F7911" w:rsidR="00A469D0" w:rsidRDefault="00A469D0" w:rsidP="00A7190F">
    <w:pPr>
      <w:pStyle w:val="Footer"/>
      <w:ind w:right="360"/>
    </w:pPr>
    <w:r>
      <w:pict w14:anchorId="4D95E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7.85pt;height:1.5pt" o:hrpct="0" o:hralign="center" o:hr="t">
          <v:imagedata r:id="rId1" o:title="Default Line"/>
        </v:shape>
      </w:pict>
    </w:r>
  </w:p>
  <w:p w14:paraId="6594B616" w14:textId="598EFE27" w:rsidR="00A469D0" w:rsidRDefault="00A469D0">
    <w:pPr>
      <w:pStyle w:val="Footer"/>
    </w:pPr>
    <w:r>
      <w:t>UG-121207, Comments of the NW Energy Coalition, submitted August 31,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B8EE5" w14:textId="77777777" w:rsidR="00A469D0" w:rsidRDefault="00A469D0" w:rsidP="009A3135">
      <w:pPr>
        <w:spacing w:after="0" w:line="240" w:lineRule="auto"/>
      </w:pPr>
      <w:r>
        <w:separator/>
      </w:r>
    </w:p>
  </w:footnote>
  <w:footnote w:type="continuationSeparator" w:id="0">
    <w:p w14:paraId="639BB7F6" w14:textId="77777777" w:rsidR="00A469D0" w:rsidRDefault="00A469D0" w:rsidP="009A3135">
      <w:pPr>
        <w:spacing w:after="0" w:line="240" w:lineRule="auto"/>
      </w:pPr>
      <w:r>
        <w:continuationSeparator/>
      </w:r>
    </w:p>
  </w:footnote>
  <w:footnote w:type="continuationNotice" w:id="1">
    <w:p w14:paraId="37F12931" w14:textId="77777777" w:rsidR="00A469D0" w:rsidRDefault="00A469D0">
      <w:pPr>
        <w:spacing w:after="0" w:line="240" w:lineRule="auto"/>
      </w:pPr>
    </w:p>
  </w:footnote>
  <w:footnote w:id="2">
    <w:p w14:paraId="0B46AF2B" w14:textId="2ED82978" w:rsidR="00A469D0" w:rsidRPr="00E33B43" w:rsidRDefault="00A469D0" w:rsidP="00C07F83">
      <w:pPr>
        <w:pStyle w:val="FootnoteText"/>
        <w:rPr>
          <w:sz w:val="20"/>
          <w:szCs w:val="20"/>
        </w:rPr>
      </w:pPr>
      <w:r w:rsidRPr="00E33B43">
        <w:rPr>
          <w:rStyle w:val="FootnoteReference"/>
          <w:sz w:val="20"/>
          <w:szCs w:val="20"/>
        </w:rPr>
        <w:footnoteRef/>
      </w:r>
      <w:r w:rsidRPr="00E33B43">
        <w:rPr>
          <w:sz w:val="20"/>
          <w:szCs w:val="20"/>
        </w:rPr>
        <w:t xml:space="preserve"> Dockets UE-090134, UG-090135 &amp; UG-060518 (consolidated), Order 10</w:t>
      </w:r>
    </w:p>
  </w:footnote>
  <w:footnote w:id="3">
    <w:p w14:paraId="07EAC5FD" w14:textId="23760F3C" w:rsidR="00A469D0" w:rsidRPr="00844FAE" w:rsidRDefault="00A469D0" w:rsidP="00C03AB3">
      <w:pPr>
        <w:autoSpaceDE w:val="0"/>
        <w:autoSpaceDN w:val="0"/>
        <w:adjustRightInd w:val="0"/>
        <w:spacing w:after="0" w:line="240" w:lineRule="auto"/>
        <w:rPr>
          <w:rFonts w:cs="Times-Bold"/>
          <w:color w:val="000000"/>
          <w:sz w:val="20"/>
          <w:szCs w:val="20"/>
        </w:rPr>
      </w:pPr>
      <w:r w:rsidRPr="00E33B43">
        <w:rPr>
          <w:rStyle w:val="FootnoteReference"/>
          <w:sz w:val="20"/>
          <w:szCs w:val="20"/>
        </w:rPr>
        <w:footnoteRef/>
      </w:r>
      <w:r w:rsidRPr="00E33B43">
        <w:rPr>
          <w:sz w:val="20"/>
          <w:szCs w:val="20"/>
        </w:rPr>
        <w:t xml:space="preserve"> </w:t>
      </w:r>
      <w:r w:rsidRPr="00E33B43">
        <w:rPr>
          <w:rFonts w:cs="Times-Bold"/>
          <w:b/>
          <w:bCs/>
          <w:sz w:val="20"/>
          <w:szCs w:val="20"/>
        </w:rPr>
        <w:t>“</w:t>
      </w:r>
      <w:r w:rsidRPr="00E33B43">
        <w:rPr>
          <w:rFonts w:cs="Times-Bold"/>
          <w:sz w:val="20"/>
          <w:szCs w:val="20"/>
        </w:rPr>
        <w:t>For purposes of this paragraph, the ‘estimated incremental system cost’ of any conservation measure or resource shall not be treated as greater than that of any non-conservation measure or resource unless the</w:t>
      </w:r>
      <w:r w:rsidRPr="00844FAE">
        <w:rPr>
          <w:rFonts w:cs="Times-Bold"/>
          <w:color w:val="000000"/>
          <w:sz w:val="20"/>
          <w:szCs w:val="20"/>
        </w:rPr>
        <w:t xml:space="preserve"> </w:t>
      </w:r>
      <w:r w:rsidRPr="00E33B43">
        <w:rPr>
          <w:rFonts w:cs="Times-Bold"/>
          <w:sz w:val="20"/>
          <w:szCs w:val="20"/>
        </w:rPr>
        <w:t xml:space="preserve">incremental system cost of such conservation measure or resource is in excess of 110 per centum of the incremental system cost of the </w:t>
      </w:r>
      <w:proofErr w:type="spellStart"/>
      <w:r w:rsidRPr="00E33B43">
        <w:rPr>
          <w:rFonts w:cs="Times-Bold"/>
          <w:sz w:val="20"/>
          <w:szCs w:val="20"/>
        </w:rPr>
        <w:t>nonconservation</w:t>
      </w:r>
      <w:proofErr w:type="spellEnd"/>
      <w:r w:rsidRPr="00E33B43">
        <w:rPr>
          <w:rFonts w:cs="Times-Bold"/>
          <w:sz w:val="20"/>
          <w:szCs w:val="20"/>
        </w:rPr>
        <w:t xml:space="preserve"> measure or resource.” </w:t>
      </w:r>
      <w:r w:rsidRPr="00E33B43">
        <w:rPr>
          <w:sz w:val="20"/>
          <w:szCs w:val="20"/>
        </w:rPr>
        <w:t xml:space="preserve">Pacific northwest electric power planning and conservation act, </w:t>
      </w:r>
      <w:r w:rsidRPr="00E33B43">
        <w:rPr>
          <w:rFonts w:cs="Oblique"/>
          <w:i/>
          <w:iCs/>
          <w:sz w:val="20"/>
          <w:szCs w:val="20"/>
        </w:rPr>
        <w:t>§3(4)(D), 94 Stat. 2699 (16 USC Chapter 12H, §839a(4)(D)).</w:t>
      </w:r>
      <w:r w:rsidRPr="00844FAE">
        <w:rPr>
          <w:rFonts w:cs="Oblique"/>
          <w:i/>
          <w:iCs/>
          <w:color w:val="FFFF00"/>
          <w:sz w:val="20"/>
          <w:szCs w:val="20"/>
        </w:rPr>
        <w:t xml:space="preserve"> </w:t>
      </w:r>
    </w:p>
  </w:footnote>
  <w:footnote w:id="4">
    <w:p w14:paraId="21B9B6EA" w14:textId="7870951B" w:rsidR="00A469D0" w:rsidRPr="0079297B" w:rsidRDefault="00A469D0">
      <w:pPr>
        <w:pStyle w:val="FootnoteText"/>
        <w:rPr>
          <w:sz w:val="20"/>
          <w:szCs w:val="20"/>
        </w:rPr>
      </w:pPr>
      <w:r w:rsidRPr="0079297B">
        <w:rPr>
          <w:rStyle w:val="FootnoteReference"/>
          <w:sz w:val="20"/>
          <w:szCs w:val="20"/>
        </w:rPr>
        <w:footnoteRef/>
      </w:r>
      <w:r w:rsidRPr="0079297B">
        <w:rPr>
          <w:sz w:val="20"/>
          <w:szCs w:val="20"/>
        </w:rPr>
        <w:t xml:space="preserve"> </w:t>
      </w:r>
      <w:r>
        <w:rPr>
          <w:sz w:val="20"/>
          <w:szCs w:val="20"/>
        </w:rPr>
        <w:t>On August 2, 2012, t</w:t>
      </w:r>
      <w:r w:rsidRPr="0079297B">
        <w:rPr>
          <w:sz w:val="20"/>
          <w:szCs w:val="20"/>
        </w:rPr>
        <w:t>he Energy Tr</w:t>
      </w:r>
      <w:r>
        <w:rPr>
          <w:sz w:val="20"/>
          <w:szCs w:val="20"/>
        </w:rPr>
        <w:t>ust of Oregon (ETO) filed a request for exceptions to cost effectiveness s</w:t>
      </w:r>
      <w:r w:rsidRPr="0079297B">
        <w:rPr>
          <w:sz w:val="20"/>
          <w:szCs w:val="20"/>
        </w:rPr>
        <w:t>tandards for natural gas weatherization programs.</w:t>
      </w:r>
      <w:r>
        <w:rPr>
          <w:sz w:val="20"/>
          <w:szCs w:val="20"/>
        </w:rPr>
        <w:t xml:space="preserve"> (UM 1622)</w:t>
      </w:r>
      <w:r w:rsidRPr="00C67AFC">
        <w:rPr>
          <w:sz w:val="20"/>
          <w:szCs w:val="20"/>
        </w:rPr>
        <w:t xml:space="preserve"> </w:t>
      </w:r>
      <w:r>
        <w:rPr>
          <w:sz w:val="20"/>
          <w:szCs w:val="20"/>
        </w:rPr>
        <w:t>ETO</w:t>
      </w:r>
      <w:r w:rsidRPr="0079297B">
        <w:rPr>
          <w:sz w:val="20"/>
          <w:szCs w:val="20"/>
        </w:rPr>
        <w:t xml:space="preserve"> requested a two-year suspension of its 1.0 benefit/cost ratio requirement for several natural gas measures, citing “lower-than expected savings from evaluations, higher than expected project costs for several measures, and lower avoided cost forecasts due to changes in market fundamentals.”  In doing so, the </w:t>
      </w:r>
      <w:r>
        <w:rPr>
          <w:sz w:val="20"/>
          <w:szCs w:val="20"/>
        </w:rPr>
        <w:t>ETO</w:t>
      </w:r>
      <w:r w:rsidRPr="0079297B">
        <w:rPr>
          <w:sz w:val="20"/>
          <w:szCs w:val="20"/>
        </w:rPr>
        <w:t xml:space="preserve"> aims to maintain program stability while working on solutions to manage these challenges.</w:t>
      </w:r>
    </w:p>
  </w:footnote>
  <w:footnote w:id="5">
    <w:p w14:paraId="04FA60E1" w14:textId="792C7AA3" w:rsidR="00A469D0" w:rsidRPr="0079297B" w:rsidRDefault="00A469D0">
      <w:pPr>
        <w:pStyle w:val="FootnoteText"/>
        <w:rPr>
          <w:sz w:val="20"/>
          <w:szCs w:val="20"/>
        </w:rPr>
      </w:pPr>
      <w:r w:rsidRPr="0079297B">
        <w:rPr>
          <w:rStyle w:val="FootnoteReference"/>
          <w:sz w:val="20"/>
          <w:szCs w:val="20"/>
        </w:rPr>
        <w:footnoteRef/>
      </w:r>
      <w:r w:rsidRPr="0079297B">
        <w:rPr>
          <w:sz w:val="20"/>
          <w:szCs w:val="20"/>
        </w:rPr>
        <w:t xml:space="preserve"> </w:t>
      </w:r>
      <w:r>
        <w:rPr>
          <w:sz w:val="20"/>
          <w:szCs w:val="20"/>
        </w:rPr>
        <w:t>“</w:t>
      </w:r>
      <w:r w:rsidRPr="0079297B">
        <w:rPr>
          <w:sz w:val="20"/>
          <w:szCs w:val="20"/>
        </w:rPr>
        <w:t xml:space="preserve">Adventures in </w:t>
      </w:r>
      <w:r>
        <w:rPr>
          <w:sz w:val="20"/>
          <w:szCs w:val="20"/>
        </w:rPr>
        <w:t xml:space="preserve">Tweaking the TRC: Experiences from British Columbia”, </w:t>
      </w:r>
      <w:hyperlink r:id="rId1" w:anchor="page=1" w:history="1">
        <w:r w:rsidRPr="0079297B">
          <w:rPr>
            <w:rStyle w:val="Hyperlink"/>
            <w:sz w:val="20"/>
            <w:szCs w:val="20"/>
          </w:rPr>
          <w:t>2012 ACEEE Summer Study on Energy Efficiency in Buildings</w:t>
        </w:r>
      </w:hyperlink>
      <w:r>
        <w:rPr>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7226"/>
    <w:multiLevelType w:val="hybridMultilevel"/>
    <w:tmpl w:val="6B82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614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F6"/>
    <w:rsid w:val="00044047"/>
    <w:rsid w:val="00084697"/>
    <w:rsid w:val="00091F6E"/>
    <w:rsid w:val="0009330B"/>
    <w:rsid w:val="00161FF6"/>
    <w:rsid w:val="00186BDC"/>
    <w:rsid w:val="001A5747"/>
    <w:rsid w:val="0021552F"/>
    <w:rsid w:val="00237D5D"/>
    <w:rsid w:val="00241740"/>
    <w:rsid w:val="00270A50"/>
    <w:rsid w:val="002E6609"/>
    <w:rsid w:val="00310F85"/>
    <w:rsid w:val="00343306"/>
    <w:rsid w:val="0035763D"/>
    <w:rsid w:val="0037400D"/>
    <w:rsid w:val="004537F9"/>
    <w:rsid w:val="0045528A"/>
    <w:rsid w:val="00485413"/>
    <w:rsid w:val="004879BE"/>
    <w:rsid w:val="004B19BF"/>
    <w:rsid w:val="004C0C2F"/>
    <w:rsid w:val="004F77EC"/>
    <w:rsid w:val="00531BF9"/>
    <w:rsid w:val="005446EE"/>
    <w:rsid w:val="005E03B2"/>
    <w:rsid w:val="006008DE"/>
    <w:rsid w:val="00627804"/>
    <w:rsid w:val="006545FA"/>
    <w:rsid w:val="006E1C0F"/>
    <w:rsid w:val="006E45EA"/>
    <w:rsid w:val="006F26F3"/>
    <w:rsid w:val="00747C67"/>
    <w:rsid w:val="0079297B"/>
    <w:rsid w:val="007F4E19"/>
    <w:rsid w:val="008325DB"/>
    <w:rsid w:val="00844FAE"/>
    <w:rsid w:val="00872348"/>
    <w:rsid w:val="0088291D"/>
    <w:rsid w:val="008E2643"/>
    <w:rsid w:val="008F08B6"/>
    <w:rsid w:val="00900D08"/>
    <w:rsid w:val="00933AE4"/>
    <w:rsid w:val="00980780"/>
    <w:rsid w:val="009A3135"/>
    <w:rsid w:val="009E1A48"/>
    <w:rsid w:val="009F6036"/>
    <w:rsid w:val="00A21596"/>
    <w:rsid w:val="00A242A6"/>
    <w:rsid w:val="00A40876"/>
    <w:rsid w:val="00A469D0"/>
    <w:rsid w:val="00A7190F"/>
    <w:rsid w:val="00AD67F9"/>
    <w:rsid w:val="00AF71B2"/>
    <w:rsid w:val="00B66B9A"/>
    <w:rsid w:val="00B82A86"/>
    <w:rsid w:val="00BB39B4"/>
    <w:rsid w:val="00BB5177"/>
    <w:rsid w:val="00BE25E0"/>
    <w:rsid w:val="00C03AB3"/>
    <w:rsid w:val="00C07F83"/>
    <w:rsid w:val="00C22D0B"/>
    <w:rsid w:val="00C52F2B"/>
    <w:rsid w:val="00C67AFC"/>
    <w:rsid w:val="00CC35E9"/>
    <w:rsid w:val="00CE4F39"/>
    <w:rsid w:val="00CF0006"/>
    <w:rsid w:val="00D05A8D"/>
    <w:rsid w:val="00E155C8"/>
    <w:rsid w:val="00E24512"/>
    <w:rsid w:val="00E33B43"/>
    <w:rsid w:val="00E77FAF"/>
    <w:rsid w:val="00E804C1"/>
    <w:rsid w:val="00E83B85"/>
    <w:rsid w:val="00F609E7"/>
    <w:rsid w:val="00F808E3"/>
    <w:rsid w:val="00F93CDD"/>
    <w:rsid w:val="00FA7A2F"/>
    <w:rsid w:val="00FB1800"/>
    <w:rsid w:val="00FC604C"/>
    <w:rsid w:val="00FD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7"/>
    <o:shapelayout v:ext="edit">
      <o:idmap v:ext="edit" data="1"/>
    </o:shapelayout>
  </w:shapeDefaults>
  <w:decimalSymbol w:val="."/>
  <w:listSeparator w:val=","/>
  <w14:docId w14:val="5259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1FF6"/>
    <w:pPr>
      <w:spacing w:after="0" w:line="240" w:lineRule="auto"/>
    </w:pPr>
  </w:style>
  <w:style w:type="paragraph" w:styleId="Header">
    <w:name w:val="header"/>
    <w:basedOn w:val="Normal"/>
    <w:link w:val="HeaderChar"/>
    <w:uiPriority w:val="99"/>
    <w:unhideWhenUsed/>
    <w:rsid w:val="009A313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3135"/>
  </w:style>
  <w:style w:type="paragraph" w:styleId="Footer">
    <w:name w:val="footer"/>
    <w:basedOn w:val="Normal"/>
    <w:link w:val="FooterChar"/>
    <w:uiPriority w:val="99"/>
    <w:unhideWhenUsed/>
    <w:rsid w:val="009A313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3135"/>
  </w:style>
  <w:style w:type="paragraph" w:styleId="FootnoteText">
    <w:name w:val="footnote text"/>
    <w:basedOn w:val="Normal"/>
    <w:link w:val="FootnoteTextChar"/>
    <w:uiPriority w:val="99"/>
    <w:unhideWhenUsed/>
    <w:rsid w:val="008325DB"/>
    <w:pPr>
      <w:spacing w:after="0" w:line="240" w:lineRule="auto"/>
    </w:pPr>
    <w:rPr>
      <w:sz w:val="24"/>
      <w:szCs w:val="24"/>
    </w:rPr>
  </w:style>
  <w:style w:type="character" w:customStyle="1" w:styleId="FootnoteTextChar">
    <w:name w:val="Footnote Text Char"/>
    <w:basedOn w:val="DefaultParagraphFont"/>
    <w:link w:val="FootnoteText"/>
    <w:uiPriority w:val="99"/>
    <w:rsid w:val="008325DB"/>
    <w:rPr>
      <w:sz w:val="24"/>
      <w:szCs w:val="24"/>
    </w:rPr>
  </w:style>
  <w:style w:type="character" w:styleId="FootnoteReference">
    <w:name w:val="footnote reference"/>
    <w:basedOn w:val="DefaultParagraphFont"/>
    <w:uiPriority w:val="99"/>
    <w:unhideWhenUsed/>
    <w:rsid w:val="008325DB"/>
    <w:rPr>
      <w:vertAlign w:val="superscript"/>
    </w:rPr>
  </w:style>
  <w:style w:type="character" w:styleId="Hyperlink">
    <w:name w:val="Hyperlink"/>
    <w:basedOn w:val="DefaultParagraphFont"/>
    <w:uiPriority w:val="99"/>
    <w:unhideWhenUsed/>
    <w:rsid w:val="00872348"/>
    <w:rPr>
      <w:color w:val="0000FF" w:themeColor="hyperlink"/>
      <w:u w:val="single"/>
    </w:rPr>
  </w:style>
  <w:style w:type="character" w:styleId="PageNumber">
    <w:name w:val="page number"/>
    <w:basedOn w:val="DefaultParagraphFont"/>
    <w:uiPriority w:val="99"/>
    <w:semiHidden/>
    <w:unhideWhenUsed/>
    <w:rsid w:val="00A7190F"/>
  </w:style>
  <w:style w:type="character" w:styleId="FollowedHyperlink">
    <w:name w:val="FollowedHyperlink"/>
    <w:basedOn w:val="DefaultParagraphFont"/>
    <w:uiPriority w:val="99"/>
    <w:semiHidden/>
    <w:unhideWhenUsed/>
    <w:rsid w:val="00C67AFC"/>
    <w:rPr>
      <w:color w:val="800080" w:themeColor="followedHyperlink"/>
      <w:u w:val="single"/>
    </w:rPr>
  </w:style>
  <w:style w:type="paragraph" w:styleId="BalloonText">
    <w:name w:val="Balloon Text"/>
    <w:basedOn w:val="Normal"/>
    <w:link w:val="BalloonTextChar"/>
    <w:uiPriority w:val="99"/>
    <w:semiHidden/>
    <w:unhideWhenUsed/>
    <w:rsid w:val="00237D5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37D5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1FF6"/>
    <w:pPr>
      <w:spacing w:after="0" w:line="240" w:lineRule="auto"/>
    </w:pPr>
  </w:style>
  <w:style w:type="paragraph" w:styleId="Header">
    <w:name w:val="header"/>
    <w:basedOn w:val="Normal"/>
    <w:link w:val="HeaderChar"/>
    <w:uiPriority w:val="99"/>
    <w:unhideWhenUsed/>
    <w:rsid w:val="009A313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3135"/>
  </w:style>
  <w:style w:type="paragraph" w:styleId="Footer">
    <w:name w:val="footer"/>
    <w:basedOn w:val="Normal"/>
    <w:link w:val="FooterChar"/>
    <w:uiPriority w:val="99"/>
    <w:unhideWhenUsed/>
    <w:rsid w:val="009A313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3135"/>
  </w:style>
  <w:style w:type="paragraph" w:styleId="FootnoteText">
    <w:name w:val="footnote text"/>
    <w:basedOn w:val="Normal"/>
    <w:link w:val="FootnoteTextChar"/>
    <w:uiPriority w:val="99"/>
    <w:unhideWhenUsed/>
    <w:rsid w:val="008325DB"/>
    <w:pPr>
      <w:spacing w:after="0" w:line="240" w:lineRule="auto"/>
    </w:pPr>
    <w:rPr>
      <w:sz w:val="24"/>
      <w:szCs w:val="24"/>
    </w:rPr>
  </w:style>
  <w:style w:type="character" w:customStyle="1" w:styleId="FootnoteTextChar">
    <w:name w:val="Footnote Text Char"/>
    <w:basedOn w:val="DefaultParagraphFont"/>
    <w:link w:val="FootnoteText"/>
    <w:uiPriority w:val="99"/>
    <w:rsid w:val="008325DB"/>
    <w:rPr>
      <w:sz w:val="24"/>
      <w:szCs w:val="24"/>
    </w:rPr>
  </w:style>
  <w:style w:type="character" w:styleId="FootnoteReference">
    <w:name w:val="footnote reference"/>
    <w:basedOn w:val="DefaultParagraphFont"/>
    <w:uiPriority w:val="99"/>
    <w:unhideWhenUsed/>
    <w:rsid w:val="008325DB"/>
    <w:rPr>
      <w:vertAlign w:val="superscript"/>
    </w:rPr>
  </w:style>
  <w:style w:type="character" w:styleId="Hyperlink">
    <w:name w:val="Hyperlink"/>
    <w:basedOn w:val="DefaultParagraphFont"/>
    <w:uiPriority w:val="99"/>
    <w:unhideWhenUsed/>
    <w:rsid w:val="00872348"/>
    <w:rPr>
      <w:color w:val="0000FF" w:themeColor="hyperlink"/>
      <w:u w:val="single"/>
    </w:rPr>
  </w:style>
  <w:style w:type="character" w:styleId="PageNumber">
    <w:name w:val="page number"/>
    <w:basedOn w:val="DefaultParagraphFont"/>
    <w:uiPriority w:val="99"/>
    <w:semiHidden/>
    <w:unhideWhenUsed/>
    <w:rsid w:val="00A7190F"/>
  </w:style>
  <w:style w:type="character" w:styleId="FollowedHyperlink">
    <w:name w:val="FollowedHyperlink"/>
    <w:basedOn w:val="DefaultParagraphFont"/>
    <w:uiPriority w:val="99"/>
    <w:semiHidden/>
    <w:unhideWhenUsed/>
    <w:rsid w:val="00C67AFC"/>
    <w:rPr>
      <w:color w:val="800080" w:themeColor="followedHyperlink"/>
      <w:u w:val="single"/>
    </w:rPr>
  </w:style>
  <w:style w:type="paragraph" w:styleId="BalloonText">
    <w:name w:val="Balloon Text"/>
    <w:basedOn w:val="Normal"/>
    <w:link w:val="BalloonTextChar"/>
    <w:uiPriority w:val="99"/>
    <w:semiHidden/>
    <w:unhideWhenUsed/>
    <w:rsid w:val="00237D5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37D5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glossaryDocument" Target="glossary/document.xml"/><Relationship Id="rId7" Type="http://schemas.openxmlformats.org/officeDocument/2006/relationships/footnotes" Target="footnotes.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www.aceee.org/files/proceedings/2012/data/papers/0193-000258.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38195FA3BE8C42818B5DB221FCC205"/>
        <w:category>
          <w:name w:val="General"/>
          <w:gallery w:val="placeholder"/>
        </w:category>
        <w:types>
          <w:type w:val="bbPlcHdr"/>
        </w:types>
        <w:behaviors>
          <w:behavior w:val="content"/>
        </w:behaviors>
        <w:guid w:val="{FF38800D-E349-5542-B0AB-E216D2FC6705}"/>
      </w:docPartPr>
      <w:docPartBody>
        <w:p w14:paraId="6AF0FEFE" w14:textId="247DFC6C" w:rsidR="00860E0C" w:rsidRDefault="00860E0C" w:rsidP="00860E0C">
          <w:pPr>
            <w:pStyle w:val="3838195FA3BE8C42818B5DB221FCC205"/>
          </w:pPr>
          <w:r>
            <w:t>[Type text]</w:t>
          </w:r>
        </w:p>
      </w:docPartBody>
    </w:docPart>
    <w:docPart>
      <w:docPartPr>
        <w:name w:val="B24F1B9AACDEAE4D963F6A3EA0E14D66"/>
        <w:category>
          <w:name w:val="General"/>
          <w:gallery w:val="placeholder"/>
        </w:category>
        <w:types>
          <w:type w:val="bbPlcHdr"/>
        </w:types>
        <w:behaviors>
          <w:behavior w:val="content"/>
        </w:behaviors>
        <w:guid w:val="{AA04E4AB-B62B-EA4D-9A70-818E7436B2CE}"/>
      </w:docPartPr>
      <w:docPartBody>
        <w:p w14:paraId="42288066" w14:textId="00243833" w:rsidR="00860E0C" w:rsidRDefault="00860E0C" w:rsidP="00860E0C">
          <w:pPr>
            <w:pStyle w:val="B24F1B9AACDEAE4D963F6A3EA0E14D66"/>
          </w:pPr>
          <w:r>
            <w:t>[Type text]</w:t>
          </w:r>
        </w:p>
      </w:docPartBody>
    </w:docPart>
    <w:docPart>
      <w:docPartPr>
        <w:name w:val="D88CDC1DDB6DE9489DAEC4E6DFD0ED4C"/>
        <w:category>
          <w:name w:val="General"/>
          <w:gallery w:val="placeholder"/>
        </w:category>
        <w:types>
          <w:type w:val="bbPlcHdr"/>
        </w:types>
        <w:behaviors>
          <w:behavior w:val="content"/>
        </w:behaviors>
        <w:guid w:val="{DBE5642C-B7C9-4940-92B9-1B537D924508}"/>
      </w:docPartPr>
      <w:docPartBody>
        <w:p w14:paraId="30A44B6B" w14:textId="3E399BDA" w:rsidR="00860E0C" w:rsidRDefault="00860E0C" w:rsidP="00860E0C">
          <w:pPr>
            <w:pStyle w:val="D88CDC1DDB6DE9489DAEC4E6DFD0ED4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Bold">
    <w:altName w:val="Times"/>
    <w:panose1 w:val="00000000000000000000"/>
    <w:charset w:val="4D"/>
    <w:family w:val="roman"/>
    <w:notTrueType/>
    <w:pitch w:val="default"/>
    <w:sig w:usb0="00000003" w:usb1="00000000" w:usb2="00000000" w:usb3="00000000" w:csb0="00000001" w:csb1="00000000"/>
  </w:font>
  <w:font w:name="Oblique">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E0C"/>
    <w:rsid w:val="001D1DF7"/>
    <w:rsid w:val="00434CEE"/>
    <w:rsid w:val="00860E0C"/>
    <w:rsid w:val="00CB6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38195FA3BE8C42818B5DB221FCC205">
    <w:name w:val="3838195FA3BE8C42818B5DB221FCC205"/>
    <w:rsid w:val="00860E0C"/>
  </w:style>
  <w:style w:type="paragraph" w:customStyle="1" w:styleId="B24F1B9AACDEAE4D963F6A3EA0E14D66">
    <w:name w:val="B24F1B9AACDEAE4D963F6A3EA0E14D66"/>
    <w:rsid w:val="00860E0C"/>
  </w:style>
  <w:style w:type="paragraph" w:customStyle="1" w:styleId="D88CDC1DDB6DE9489DAEC4E6DFD0ED4C">
    <w:name w:val="D88CDC1DDB6DE9489DAEC4E6DFD0ED4C"/>
    <w:rsid w:val="00860E0C"/>
  </w:style>
  <w:style w:type="paragraph" w:customStyle="1" w:styleId="61C17C56F3A3DD40BE052E77458DBD12">
    <w:name w:val="61C17C56F3A3DD40BE052E77458DBD12"/>
    <w:rsid w:val="00860E0C"/>
  </w:style>
  <w:style w:type="paragraph" w:customStyle="1" w:styleId="6310F87F73AB9A49B4AFF7B6243784F5">
    <w:name w:val="6310F87F73AB9A49B4AFF7B6243784F5"/>
    <w:rsid w:val="00860E0C"/>
  </w:style>
  <w:style w:type="paragraph" w:customStyle="1" w:styleId="ED54D37C6BECD046ACBB85823454B028">
    <w:name w:val="ED54D37C6BECD046ACBB85823454B028"/>
    <w:rsid w:val="00860E0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38195FA3BE8C42818B5DB221FCC205">
    <w:name w:val="3838195FA3BE8C42818B5DB221FCC205"/>
    <w:rsid w:val="00860E0C"/>
  </w:style>
  <w:style w:type="paragraph" w:customStyle="1" w:styleId="B24F1B9AACDEAE4D963F6A3EA0E14D66">
    <w:name w:val="B24F1B9AACDEAE4D963F6A3EA0E14D66"/>
    <w:rsid w:val="00860E0C"/>
  </w:style>
  <w:style w:type="paragraph" w:customStyle="1" w:styleId="D88CDC1DDB6DE9489DAEC4E6DFD0ED4C">
    <w:name w:val="D88CDC1DDB6DE9489DAEC4E6DFD0ED4C"/>
    <w:rsid w:val="00860E0C"/>
  </w:style>
  <w:style w:type="paragraph" w:customStyle="1" w:styleId="61C17C56F3A3DD40BE052E77458DBD12">
    <w:name w:val="61C17C56F3A3DD40BE052E77458DBD12"/>
    <w:rsid w:val="00860E0C"/>
  </w:style>
  <w:style w:type="paragraph" w:customStyle="1" w:styleId="6310F87F73AB9A49B4AFF7B6243784F5">
    <w:name w:val="6310F87F73AB9A49B4AFF7B6243784F5"/>
    <w:rsid w:val="00860E0C"/>
  </w:style>
  <w:style w:type="paragraph" w:customStyle="1" w:styleId="ED54D37C6BECD046ACBB85823454B028">
    <w:name w:val="ED54D37C6BECD046ACBB85823454B028"/>
    <w:rsid w:val="00860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69DF439E91CC498A0358A75D779F91" ma:contentTypeVersion="139" ma:contentTypeDescription="" ma:contentTypeScope="" ma:versionID="3deab1e24ae15a9d4f350e9ab809c7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150</IndustryCode>
    <CaseStatus xmlns="dc463f71-b30c-4ab2-9473-d307f9d35888">Pending</CaseStatus>
    <OpenedDate xmlns="dc463f71-b30c-4ab2-9473-d307f9d35888">2012-07-20T07:00:00+00:00</OpenedDate>
    <Date1 xmlns="dc463f71-b30c-4ab2-9473-d307f9d35888">2012-08-31T07:00:00+00:00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CD6AD39-AF34-48CB-AB25-50A8A99A06BE}"/>
</file>

<file path=customXml/itemProps2.xml><?xml version="1.0" encoding="utf-8"?>
<ds:datastoreItem xmlns:ds="http://schemas.openxmlformats.org/officeDocument/2006/customXml" ds:itemID="{6789DF6B-EE70-4960-A820-3AB486C1C8BC}"/>
</file>

<file path=customXml/itemProps3.xml><?xml version="1.0" encoding="utf-8"?>
<ds:datastoreItem xmlns:ds="http://schemas.openxmlformats.org/officeDocument/2006/customXml" ds:itemID="{1EB44125-B034-42C7-808E-89EE34462D4C}"/>
</file>

<file path=customXml/itemProps4.xml><?xml version="1.0" encoding="utf-8"?>
<ds:datastoreItem xmlns:ds="http://schemas.openxmlformats.org/officeDocument/2006/customXml" ds:itemID="{60454105-D3CF-CE43-A5C6-EDAB6D8CABD5}"/>
</file>

<file path=customXml/itemProps5.xml><?xml version="1.0" encoding="utf-8"?>
<ds:datastoreItem xmlns:ds="http://schemas.openxmlformats.org/officeDocument/2006/customXml" ds:itemID="{7B79B88D-BE08-4A99-891E-973AAAC58A71}"/>
</file>

<file path=docProps/app.xml><?xml version="1.0" encoding="utf-8"?>
<Properties xmlns="http://schemas.openxmlformats.org/officeDocument/2006/extended-properties" xmlns:vt="http://schemas.openxmlformats.org/officeDocument/2006/docPropsVTypes">
  <Template>Normal.dotm</Template>
  <TotalTime>3</TotalTime>
  <Pages>3</Pages>
  <Words>945</Words>
  <Characters>5390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ladial</dc:creator>
  <cp:lastModifiedBy>Lynne Dial</cp:lastModifiedBy>
  <cp:revision>3</cp:revision>
  <cp:lastPrinted>2012-08-31T22:35:00Z</cp:lastPrinted>
  <dcterms:created xsi:type="dcterms:W3CDTF">2012-08-31T22:35:00Z</dcterms:created>
  <dcterms:modified xsi:type="dcterms:W3CDTF">2012-08-31T22:35:00Z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0x0101006E56B4D1795A2E4DB2F0B01679ED314A00D569DF439E91CC498A0358A75D779F91</vt:lpwstr>
  </property>
  <property fmtid="{D5CDD505-2E9C-101B-9397-08002B2CF9AE}" pid="3" name="_docset_NoMedatataSyncRequired">
    <vt:lpwstr>False</vt:lpwstr>
  </property>
</Properties>
</file>