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2F" w:rsidRPr="00EA1485" w:rsidRDefault="006C712F" w:rsidP="00133470">
      <w:pPr>
        <w:pStyle w:val="Title"/>
        <w:ind w:right="-360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EA1485">
        <w:rPr>
          <w:rFonts w:ascii="Times New Roman" w:hAnsi="Times New Roman" w:cs="Times New Roman"/>
          <w:sz w:val="22"/>
          <w:szCs w:val="22"/>
        </w:rPr>
        <w:t>SCHEDULE 62</w:t>
      </w:r>
    </w:p>
    <w:p w:rsidR="006C712F" w:rsidRPr="00EA1485" w:rsidRDefault="006C712F" w:rsidP="00133470">
      <w:pPr>
        <w:ind w:right="-360"/>
        <w:jc w:val="center"/>
        <w:rPr>
          <w:sz w:val="22"/>
          <w:szCs w:val="22"/>
        </w:rPr>
      </w:pPr>
      <w:r w:rsidRPr="00EA1485">
        <w:rPr>
          <w:sz w:val="22"/>
          <w:szCs w:val="22"/>
        </w:rPr>
        <w:t>SMALL POWER PRODUCTION AND COGENERATION SCHEDULE</w:t>
      </w:r>
    </w:p>
    <w:p w:rsidR="006C712F" w:rsidRPr="00EA1485" w:rsidRDefault="006C712F" w:rsidP="00133470">
      <w:pPr>
        <w:pStyle w:val="Heading3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WASHINGTON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AVAILABLE:</w:t>
      </w:r>
    </w:p>
    <w:p w:rsidR="006C712F" w:rsidRPr="00EA1485" w:rsidRDefault="006C712F" w:rsidP="00133470">
      <w:pPr>
        <w:ind w:right="-360" w:firstLine="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 xml:space="preserve">In all the electric territory served by the Company in the State of Washington.   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166D2A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5.75pt;margin-top:6.7pt;width:50pt;height:468pt;z-index:251660800;mso-width-relative:margin;mso-height-relative:margin" stroked="f">
            <v:textbox>
              <w:txbxContent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  <w:r>
                    <w:t>(T)</w:t>
                  </w:r>
                </w:p>
                <w:p w:rsidR="00EA1485" w:rsidRDefault="00EA1485" w:rsidP="00276743">
                  <w:pPr>
                    <w:jc w:val="center"/>
                  </w:pPr>
                  <w:r>
                    <w:t>(D), (R)</w:t>
                  </w: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  <w:r>
                    <w:t>(D), (R)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  <w:r>
                    <w:t>(M)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</w:p>
                <w:p w:rsidR="00D43DCB" w:rsidRDefault="00D43DCB" w:rsidP="00276743">
                  <w:pPr>
                    <w:jc w:val="center"/>
                  </w:pPr>
                  <w:r>
                    <w:t xml:space="preserve">       (C)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  <w:r>
                    <w:t>(M)</w:t>
                  </w:r>
                  <w:r w:rsidR="00D43DCB">
                    <w:t xml:space="preserve"> (C)</w:t>
                  </w:r>
                </w:p>
              </w:txbxContent>
            </v:textbox>
          </v:shape>
        </w:pict>
      </w:r>
      <w:r w:rsidR="00276743" w:rsidRPr="00EA1485">
        <w:rPr>
          <w:sz w:val="22"/>
          <w:szCs w:val="22"/>
        </w:rPr>
        <w:t>AVAILABILITY/APPLICABILITY:</w:t>
      </w:r>
    </w:p>
    <w:p w:rsidR="00276743" w:rsidRPr="00EA1485" w:rsidRDefault="00276743" w:rsidP="00133470">
      <w:pPr>
        <w:pStyle w:val="BodyText"/>
        <w:tabs>
          <w:tab w:val="left" w:pos="360"/>
        </w:tabs>
        <w:ind w:right="-360"/>
        <w:jc w:val="both"/>
        <w:rPr>
          <w:rFonts w:ascii="Times New Roman" w:hAnsi="Times New Roman" w:cs="Times New Roman"/>
        </w:rPr>
      </w:pPr>
      <w:r w:rsidRPr="00EA1485">
        <w:rPr>
          <w:rFonts w:ascii="Times New Roman" w:hAnsi="Times New Roman" w:cs="Times New Roman"/>
        </w:rPr>
        <w:tab/>
        <w:t>This schedule is applicable to any individual, partnership, corporation, association, governmental agency, political subdivision, municipality, or other entity (the “Customer”)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POWER RATES:</w:t>
      </w: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ab/>
        <w:t>Avista will pay the following avoided cost rates for delivered electricity:</w:t>
      </w:r>
    </w:p>
    <w:p w:rsidR="00276743" w:rsidRPr="00EA1485" w:rsidRDefault="00276743" w:rsidP="00133470">
      <w:pPr>
        <w:tabs>
          <w:tab w:val="left" w:pos="360"/>
        </w:tabs>
        <w:ind w:left="720" w:right="-360" w:hanging="360"/>
        <w:jc w:val="both"/>
        <w:rPr>
          <w:sz w:val="22"/>
          <w:szCs w:val="22"/>
        </w:rPr>
      </w:pPr>
    </w:p>
    <w:p w:rsidR="00276743" w:rsidRPr="00EA1485" w:rsidRDefault="00606C15" w:rsidP="00133470">
      <w:pPr>
        <w:numPr>
          <w:ilvl w:val="0"/>
          <w:numId w:val="1"/>
        </w:numPr>
        <w:tabs>
          <w:tab w:val="clear" w:pos="720"/>
          <w:tab w:val="left" w:pos="360"/>
        </w:tabs>
        <w:ind w:right="-360" w:hanging="360"/>
        <w:jc w:val="both"/>
        <w:rPr>
          <w:sz w:val="22"/>
          <w:szCs w:val="22"/>
        </w:rPr>
      </w:pPr>
      <w:r w:rsidRPr="00EA1485">
        <w:rPr>
          <w:sz w:val="22"/>
          <w:szCs w:val="22"/>
          <w:u w:val="single"/>
        </w:rPr>
        <w:t>Standard</w:t>
      </w:r>
      <w:r w:rsidR="00276743" w:rsidRPr="00EA1485">
        <w:rPr>
          <w:sz w:val="22"/>
          <w:szCs w:val="22"/>
          <w:u w:val="single"/>
        </w:rPr>
        <w:t xml:space="preserve"> Power Rates</w:t>
      </w:r>
      <w:r w:rsidR="00276743" w:rsidRPr="00EA1485">
        <w:rPr>
          <w:sz w:val="22"/>
          <w:szCs w:val="22"/>
        </w:rPr>
        <w:t xml:space="preserve"> -</w:t>
      </w:r>
      <w:r w:rsidR="00276743" w:rsidRPr="00EA1485">
        <w:rPr>
          <w:snapToGrid w:val="0"/>
          <w:sz w:val="22"/>
          <w:szCs w:val="22"/>
        </w:rPr>
        <w:t xml:space="preserve"> </w:t>
      </w:r>
      <w:r w:rsidRPr="00EA1485">
        <w:rPr>
          <w:snapToGrid w:val="0"/>
          <w:sz w:val="22"/>
          <w:szCs w:val="22"/>
        </w:rPr>
        <w:t>Standard</w:t>
      </w:r>
      <w:r w:rsidR="00276743" w:rsidRPr="00EA1485">
        <w:rPr>
          <w:snapToGrid w:val="0"/>
          <w:sz w:val="22"/>
          <w:szCs w:val="22"/>
        </w:rPr>
        <w:t xml:space="preserve"> Power Rates shall apply when: a) the Customer agrees to supply its output under a contract with a continuous delivery term of between one (1) year and five (5) years, and b) the Customer facility under this schedule has a</w:t>
      </w:r>
      <w:r w:rsidRPr="00EA1485">
        <w:rPr>
          <w:snapToGrid w:val="0"/>
          <w:sz w:val="22"/>
          <w:szCs w:val="22"/>
        </w:rPr>
        <w:t>n installed</w:t>
      </w:r>
      <w:r w:rsidR="00276743" w:rsidRPr="00EA1485">
        <w:rPr>
          <w:snapToGrid w:val="0"/>
          <w:sz w:val="22"/>
          <w:szCs w:val="22"/>
        </w:rPr>
        <w:t xml:space="preserve"> generating capacity of </w:t>
      </w:r>
      <w:r w:rsidRPr="00EA1485">
        <w:rPr>
          <w:snapToGrid w:val="0"/>
          <w:sz w:val="22"/>
          <w:szCs w:val="22"/>
        </w:rPr>
        <w:t xml:space="preserve">five </w:t>
      </w:r>
      <w:r w:rsidR="00276743" w:rsidRPr="00EA1485">
        <w:rPr>
          <w:snapToGrid w:val="0"/>
          <w:sz w:val="22"/>
          <w:szCs w:val="22"/>
        </w:rPr>
        <w:t>(</w:t>
      </w:r>
      <w:r w:rsidRPr="00EA1485">
        <w:rPr>
          <w:snapToGrid w:val="0"/>
          <w:sz w:val="22"/>
          <w:szCs w:val="22"/>
        </w:rPr>
        <w:t>5</w:t>
      </w:r>
      <w:r w:rsidR="00276743" w:rsidRPr="00EA1485">
        <w:rPr>
          <w:snapToGrid w:val="0"/>
          <w:sz w:val="22"/>
          <w:szCs w:val="22"/>
        </w:rPr>
        <w:t>) megawatt</w:t>
      </w:r>
      <w:r w:rsidRPr="00EA1485">
        <w:rPr>
          <w:snapToGrid w:val="0"/>
          <w:sz w:val="22"/>
          <w:szCs w:val="22"/>
        </w:rPr>
        <w:t>s</w:t>
      </w:r>
      <w:r w:rsidR="00276743" w:rsidRPr="00EA1485">
        <w:rPr>
          <w:snapToGrid w:val="0"/>
          <w:sz w:val="22"/>
          <w:szCs w:val="22"/>
        </w:rPr>
        <w:t xml:space="preserve"> or less.  The rate shall be fixed for the term of the agreement, shall be paid in United States dollars based on the megawatt-hour (or partial megawatt-hour) production over the term, and be in accordance with the following schedule.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029"/>
        <w:gridCol w:w="1029"/>
        <w:gridCol w:w="1029"/>
        <w:gridCol w:w="1029"/>
        <w:gridCol w:w="1029"/>
      </w:tblGrid>
      <w:tr w:rsidR="00276743" w:rsidRPr="00133470" w:rsidTr="008862E7">
        <w:trPr>
          <w:jc w:val="center"/>
        </w:trPr>
        <w:tc>
          <w:tcPr>
            <w:tcW w:w="1125" w:type="dxa"/>
            <w:vMerge w:val="restart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5" w:type="dxa"/>
            <w:gridSpan w:val="5"/>
          </w:tcPr>
          <w:p w:rsidR="00276743" w:rsidRPr="00133470" w:rsidRDefault="00276743" w:rsidP="00D43DCB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</w:rPr>
              <w:t>Year of Delivery*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  <w:vMerge/>
          </w:tcPr>
          <w:p w:rsidR="00276743" w:rsidRPr="00133470" w:rsidRDefault="00276743" w:rsidP="00133470">
            <w:pPr>
              <w:pStyle w:val="BodyText2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2011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2012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2013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2014</w:t>
            </w:r>
          </w:p>
        </w:tc>
        <w:tc>
          <w:tcPr>
            <w:tcW w:w="1029" w:type="dxa"/>
            <w:vAlign w:val="bottom"/>
          </w:tcPr>
          <w:p w:rsidR="00276743" w:rsidRPr="00133470" w:rsidRDefault="00166D2A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D2A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64.7pt;margin-top:12.85pt;width:0;height:18.95pt;z-index:251663872;mso-position-horizontal-relative:text;mso-position-vertical-relative:text" o:connectortype="straight"/>
              </w:pict>
            </w:r>
            <w:r w:rsidR="00276743"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2015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</w:tcPr>
          <w:p w:rsidR="00276743" w:rsidRPr="00133470" w:rsidRDefault="007106CF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</w:p>
        </w:tc>
        <w:tc>
          <w:tcPr>
            <w:tcW w:w="1029" w:type="dxa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4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48.87</w:t>
            </w: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49.61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50.35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51.11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51.87</w:t>
            </w:r>
          </w:p>
        </w:tc>
      </w:tr>
    </w:tbl>
    <w:p w:rsidR="00276743" w:rsidRPr="00133470" w:rsidRDefault="00276743" w:rsidP="00133470">
      <w:pPr>
        <w:ind w:right="-360" w:firstLine="720"/>
        <w:rPr>
          <w:sz w:val="22"/>
          <w:szCs w:val="22"/>
        </w:rPr>
      </w:pPr>
    </w:p>
    <w:p w:rsidR="00276743" w:rsidRPr="00133470" w:rsidRDefault="00276743" w:rsidP="00133470">
      <w:pPr>
        <w:ind w:right="-360"/>
      </w:pPr>
      <w:r w:rsidRPr="00133470">
        <w:t xml:space="preserve">                         * Subject to seasonal weighting of 0.84 March – June, 1.08 July – February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  <w:sectPr w:rsidR="006C7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800" w:bottom="2160" w:left="1800" w:header="720" w:footer="576" w:gutter="0"/>
          <w:cols w:space="720"/>
        </w:sect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D43DCB" w:rsidRDefault="00D43DCB" w:rsidP="00133470">
      <w:pPr>
        <w:pStyle w:val="BodyText2"/>
        <w:numPr>
          <w:ilvl w:val="0"/>
          <w:numId w:val="1"/>
        </w:numPr>
        <w:tabs>
          <w:tab w:val="left" w:pos="720"/>
        </w:tabs>
        <w:ind w:right="-360"/>
        <w:jc w:val="both"/>
        <w:rPr>
          <w:rFonts w:ascii="Times New Roman" w:hAnsi="Times New Roman" w:cs="Times New Roman"/>
          <w:u w:val="single"/>
        </w:rPr>
      </w:pPr>
      <w:r w:rsidRPr="00166D2A">
        <w:rPr>
          <w:noProof/>
          <w:sz w:val="22"/>
          <w:szCs w:val="22"/>
        </w:rPr>
        <w:pict>
          <v:shape id="_x0000_s1053" type="#_x0000_t32" style="position:absolute;left:0;text-align:left;margin-left:486pt;margin-top:7.7pt;width:0;height:110.4pt;z-index:2516648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</w:rPr>
        <w:pict>
          <v:shape id="_x0000_s1055" type="#_x0000_t32" style="position:absolute;left:0;text-align:left;margin-left:499.5pt;margin-top:85.6pt;width:.05pt;height:28.5pt;z-index:251665920;mso-position-horizontal-relative:text;mso-position-vertical-relative:text" o:connectortype="straight"/>
        </w:pict>
      </w:r>
      <w:r w:rsidR="00276743" w:rsidRPr="00EA1485">
        <w:rPr>
          <w:rFonts w:ascii="Times New Roman" w:hAnsi="Times New Roman" w:cs="Times New Roman"/>
          <w:sz w:val="22"/>
          <w:szCs w:val="22"/>
          <w:u w:val="single"/>
        </w:rPr>
        <w:t>Short-Term Power Rate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 - The Short-Term Power Rate shall be applicable to all output where the Customer: a) 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is eligible under this schedule, b) has a generating facility with a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n installed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capacity of 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five 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(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) megawatt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or less, and c) 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requests a contract delivery term of less than one year.  The Short-Term Power Rate for any month shall be the lower of the One-Year Contract Length </w:t>
      </w:r>
      <w:r w:rsidR="00606C15" w:rsidRPr="00EA1485">
        <w:rPr>
          <w:rFonts w:ascii="Times New Roman" w:hAnsi="Times New Roman" w:cs="Times New Roman"/>
          <w:sz w:val="22"/>
          <w:szCs w:val="22"/>
        </w:rPr>
        <w:t>Standard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 Power Rate in effect at the time of the delivery, or 85 percent (85%) of the weighted average of the </w:t>
      </w:r>
      <w:r w:rsidRPr="00D3172A">
        <w:rPr>
          <w:rFonts w:ascii="Times New Roman" w:hAnsi="Times New Roman" w:cs="Times New Roman"/>
          <w:w w:val="0"/>
          <w:sz w:val="22"/>
          <w:szCs w:val="22"/>
        </w:rPr>
        <w:t>Intercontinental Exchange (“ICE”) daily On- and Off-Peak Firm Index prices for electricity</w:t>
      </w:r>
      <w:bookmarkStart w:id="1" w:name="_DV_C62"/>
      <w:r w:rsidRPr="00D3172A">
        <w:rPr>
          <w:rFonts w:ascii="Times New Roman" w:hAnsi="Times New Roman" w:cs="Times New Roman"/>
          <w:w w:val="0"/>
          <w:sz w:val="22"/>
          <w:szCs w:val="22"/>
        </w:rPr>
        <w:t xml:space="preserve"> at the Mid-Columbia hub</w:t>
      </w:r>
      <w:bookmarkStart w:id="2" w:name="_DV_M133"/>
      <w:bookmarkEnd w:id="1"/>
      <w:bookmarkEnd w:id="2"/>
      <w:r w:rsidRPr="00D3172A">
        <w:rPr>
          <w:rFonts w:ascii="Times New Roman" w:hAnsi="Times New Roman" w:cs="Times New Roman"/>
          <w:w w:val="0"/>
          <w:sz w:val="22"/>
          <w:szCs w:val="22"/>
        </w:rPr>
        <w:t xml:space="preserve"> (“Mid-C”), or its successor, or as agreed to by the parties where no successor exists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A1485">
        <w:rPr>
          <w:rFonts w:ascii="Times New Roman" w:hAnsi="Times New Roman" w:cs="Times New Roman"/>
          <w:sz w:val="22"/>
          <w:szCs w:val="22"/>
        </w:rPr>
        <w:t xml:space="preserve"> 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The rate shall be paid in United States dollars based on the megawatt-hour (or partial megawatt-hour) production over the term.</w:t>
      </w:r>
    </w:p>
    <w:p w:rsidR="00D43DCB" w:rsidRPr="00EA1485" w:rsidRDefault="00D43DCB" w:rsidP="00D43DCB">
      <w:pPr>
        <w:pStyle w:val="BodyText2"/>
        <w:ind w:left="720" w:right="-360"/>
        <w:jc w:val="both"/>
        <w:rPr>
          <w:rFonts w:ascii="Times New Roman" w:hAnsi="Times New Roman" w:cs="Times New Roman"/>
          <w:u w:val="single"/>
        </w:rPr>
      </w:pPr>
    </w:p>
    <w:bookmarkEnd w:id="0"/>
    <w:p w:rsidR="00201430" w:rsidRPr="00133470" w:rsidRDefault="00201430" w:rsidP="00201430">
      <w:pPr>
        <w:pStyle w:val="BodyText2"/>
        <w:tabs>
          <w:tab w:val="left" w:pos="720"/>
        </w:tabs>
        <w:ind w:right="-90"/>
        <w:rPr>
          <w:rFonts w:ascii="Times New Roman" w:hAnsi="Times New Roman" w:cs="Times New Roman"/>
        </w:rPr>
      </w:pPr>
      <w:r w:rsidRPr="00133470">
        <w:rPr>
          <w:rFonts w:ascii="Times New Roman" w:hAnsi="Times New Roman" w:cs="Times New Roman"/>
        </w:rPr>
        <w:t xml:space="preserve">(M) Material has been transferred from Sheet </w:t>
      </w:r>
      <w:proofErr w:type="spellStart"/>
      <w:r w:rsidRPr="00133470">
        <w:rPr>
          <w:rFonts w:ascii="Times New Roman" w:hAnsi="Times New Roman" w:cs="Times New Roman"/>
        </w:rPr>
        <w:t>62A</w:t>
      </w:r>
      <w:proofErr w:type="spellEnd"/>
    </w:p>
    <w:sectPr w:rsidR="00201430" w:rsidRPr="00133470" w:rsidSect="00C97A57">
      <w:headerReference w:type="default" r:id="rId13"/>
      <w:footerReference w:type="default" r:id="rId14"/>
      <w:type w:val="continuous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85" w:rsidRDefault="00EA1485">
      <w:r>
        <w:separator/>
      </w:r>
    </w:p>
  </w:endnote>
  <w:endnote w:type="continuationSeparator" w:id="0">
    <w:p w:rsidR="00EA1485" w:rsidRDefault="00EA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E9149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-250190</wp:posOffset>
          </wp:positionV>
          <wp:extent cx="1314450" cy="429960"/>
          <wp:effectExtent l="19050" t="0" r="0" b="0"/>
          <wp:wrapNone/>
          <wp:docPr id="3" name="Picture 2" descr="KellyNorw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yNorwoo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42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D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0.8pt;margin-top:-31.7pt;width:475.2pt;height:36pt;z-index:251657216;mso-position-horizontal-relative:text;mso-position-vertical-relative:text" o:allowincell="f" filled="f" stroked="f" strokecolor="navy">
          <v:textbox style="mso-next-textbox:#_x0000_s2056" inset="0,0,0,0">
            <w:txbxContent>
              <w:p w:rsidR="00EA1485" w:rsidRDefault="00EA148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EA1485" w:rsidRDefault="00EA1485" w:rsidP="00276743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</w:txbxContent>
          </v:textbox>
        </v:shape>
      </w:pict>
    </w:r>
    <w:r w:rsidR="00166D2A">
      <w:rPr>
        <w:noProof/>
      </w:rPr>
      <w:pict>
        <v:shape id="_x0000_s2057" type="#_x0000_t202" style="position:absolute;margin-left:-10.8pt;margin-top:-67.7pt;width:475.2pt;height:36pt;z-index:251656192;mso-position-horizontal-relative:text;mso-position-vertical-relative:text" o:allowincell="f" filled="f" stroked="f">
          <v:textbox style="mso-next-textbox:#_x0000_s2057" inset="0,0,0,0">
            <w:txbxContent>
              <w:p w:rsidR="00EA1485" w:rsidRDefault="00EA1485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  <w:t xml:space="preserve">November </w:t>
                </w:r>
                <w:r w:rsidR="00D43DCB">
                  <w:rPr>
                    <w:rFonts w:ascii="Arial" w:hAnsi="Arial" w:cs="Arial"/>
                  </w:rPr>
                  <w:t>21</w:t>
                </w:r>
                <w:r>
                  <w:rPr>
                    <w:rFonts w:ascii="Arial" w:hAnsi="Arial" w:cs="Arial"/>
                  </w:rPr>
                  <w:t>, 2011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  <w:t>January 1, 2012</w:t>
                </w:r>
              </w:p>
            </w:txbxContent>
          </v:textbox>
        </v:shape>
      </w:pict>
    </w:r>
    <w:r w:rsidR="00166D2A">
      <w:rPr>
        <w:noProof/>
      </w:rPr>
      <w:pict>
        <v:rect id="_x0000_s2058" style="position:absolute;margin-left:-10.8pt;margin-top:-67.7pt;width:475.2pt;height:36pt;z-index:251655168;mso-position-horizontal-relative:text;mso-position-vertical-relative:text" o:allowincell="f" filled="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166D2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0.8pt;margin-top:-31.7pt;width:475.2pt;height:36pt;z-index:251660288" o:allowincell="f" filled="f" stroked="f" strokecolor="navy">
          <v:textbox style="mso-next-textbox:#_x0000_s2066" inset="0,0,0,0">
            <w:txbxContent>
              <w:p w:rsidR="00CE4D15" w:rsidRDefault="006C712F" w:rsidP="00CE4D1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CE4D15">
                  <w:rPr>
                    <w:rFonts w:ascii="Arial" w:hAnsi="Arial" w:cs="Arial"/>
                  </w:rPr>
                  <w:t xml:space="preserve">Issued by </w:t>
                </w:r>
                <w:r w:rsidR="00CE4D15"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CE4D15" w:rsidRDefault="00CE4D15" w:rsidP="00CE4D15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  <w:p w:rsidR="006C712F" w:rsidRDefault="006C712F" w:rsidP="00CE4D15">
                <w:pPr>
                  <w:tabs>
                    <w:tab w:val="left" w:pos="180"/>
                    <w:tab w:val="left" w:pos="1530"/>
                  </w:tabs>
                </w:pPr>
              </w:p>
            </w:txbxContent>
          </v:textbox>
        </v:shape>
      </w:pict>
    </w:r>
    <w:r>
      <w:rPr>
        <w:noProof/>
      </w:rPr>
      <w:pict>
        <v:shape id="_x0000_s2067" type="#_x0000_t202" style="position:absolute;margin-left:-10.8pt;margin-top:-67.7pt;width:475.2pt;height:36pt;z-index:251659264" o:allowincell="f" filled="f" stroked="f">
          <v:textbox style="mso-next-textbox:#_x0000_s2067" inset="0,0,0,0">
            <w:txbxContent>
              <w:p w:rsidR="006C712F" w:rsidRDefault="00887E43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>December 21</w:t>
                </w:r>
                <w:r>
                  <w:rPr>
                    <w:rFonts w:ascii="Arial" w:hAnsi="Arial" w:cs="Arial"/>
                  </w:rPr>
                  <w:t>, 20</w:t>
                </w:r>
                <w:r w:rsidR="00CE4D15">
                  <w:rPr>
                    <w:rFonts w:ascii="Arial" w:hAnsi="Arial" w:cs="Arial"/>
                  </w:rPr>
                  <w:t>10</w:t>
                </w:r>
                <w:r w:rsidR="00B366F1">
                  <w:rPr>
                    <w:rFonts w:ascii="Arial" w:hAnsi="Arial" w:cs="Arial"/>
                  </w:rPr>
                  <w:tab/>
                  <w:t>Effective</w:t>
                </w:r>
                <w:r w:rsidR="00B366F1">
                  <w:rPr>
                    <w:rFonts w:ascii="Arial" w:hAnsi="Arial" w:cs="Arial"/>
                  </w:rPr>
                  <w:tab/>
                  <w:t>January 1, 20</w:t>
                </w:r>
                <w:r w:rsidR="00CE4D15">
                  <w:rPr>
                    <w:rFonts w:ascii="Arial" w:hAnsi="Arial" w:cs="Arial"/>
                  </w:rPr>
                  <w:t>11</w:t>
                </w:r>
              </w:p>
            </w:txbxContent>
          </v:textbox>
        </v:shape>
      </w:pict>
    </w:r>
    <w:r>
      <w:rPr>
        <w:noProof/>
      </w:rPr>
      <w:pict>
        <v:rect id="_x0000_s2068" style="position:absolute;margin-left:-10.8pt;margin-top:-67.7pt;width:475.2pt;height:36pt;z-index:251658240" o:allowincell="f" fill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85" w:rsidRDefault="00EA1485">
      <w:r>
        <w:separator/>
      </w:r>
    </w:p>
  </w:footnote>
  <w:footnote w:type="continuationSeparator" w:id="0">
    <w:p w:rsidR="00EA1485" w:rsidRDefault="00EA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166D2A">
    <w:pPr>
      <w:pStyle w:val="Header"/>
    </w:pPr>
    <w:r>
      <w:rPr>
        <w:noProof/>
      </w:rPr>
      <w:pict>
        <v:rect id="_x0000_s2049" style="position:absolute;margin-left:-10.8pt;margin-top:64.8pt;width:475.2pt;height:583.2pt;z-index:251648000" o:allowincell="f" filled="f"/>
      </w:pict>
    </w:r>
    <w:r>
      <w:rPr>
        <w:noProof/>
      </w:rPr>
      <w:pict>
        <v:line id="_x0000_s2050" style="position:absolute;flip:y;z-index:251654144" from="313.2pt,0" to="313.2pt,64.8pt" o:allowincell="f"/>
      </w:pict>
    </w:r>
    <w:r>
      <w:rPr>
        <w:noProof/>
      </w:rPr>
      <w:pict>
        <v:line id="_x0000_s2051" style="position:absolute;z-index:251653120" from="-10.8pt,36pt" to="-10.8pt,64.8pt" o:allowincell="f"/>
      </w:pict>
    </w:r>
    <w:r>
      <w:rPr>
        <w:noProof/>
      </w:rPr>
      <w:pict>
        <v:line id="_x0000_s2052" style="position:absolute;z-index:251652096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51072" o:allowincell="f" filled="f" stroked="f">
          <v:textbox style="mso-next-textbox:#_x0000_s2053">
            <w:txbxContent>
              <w:p w:rsidR="00EA1485" w:rsidRDefault="00EA1485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EA1485" w:rsidRDefault="00EA1485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50048" o:allowincell="f" filled="f" stroked="f">
          <v:textbox style="mso-next-textbox:#_x0000_s2054" inset="0,.72pt,0,0">
            <w:txbxContent>
              <w:p w:rsidR="00EA1485" w:rsidRDefault="00EA1485">
                <w:pPr>
                  <w:jc w:val="right"/>
                  <w:rPr>
                    <w:rFonts w:ascii="Arial" w:hAnsi="Arial" w:cs="Arial"/>
                  </w:rPr>
                </w:pPr>
              </w:p>
              <w:p w:rsidR="00EA1485" w:rsidRDefault="00EA1485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49024" o:allowincell="f" filled="f" stroked="f">
          <v:textbox style="mso-next-textbox:#_x0000_s2055" inset="0,0,0,0">
            <w:txbxContent>
              <w:p w:rsidR="00EA1485" w:rsidRDefault="00D43DCB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WN</w:t>
                </w:r>
                <w:proofErr w:type="spellEnd"/>
                <w:r>
                  <w:rPr>
                    <w:rFonts w:ascii="Arial" w:hAnsi="Arial" w:cs="Arial"/>
                  </w:rPr>
                  <w:t xml:space="preserve"> U-28</w:t>
                </w:r>
                <w:r w:rsidR="00EA1485">
                  <w:rPr>
                    <w:rFonts w:ascii="Arial" w:hAnsi="Arial" w:cs="Arial"/>
                  </w:rPr>
                  <w:tab/>
                </w:r>
                <w:r w:rsidR="00E91495">
                  <w:rPr>
                    <w:rFonts w:ascii="Arial" w:hAnsi="Arial" w:cs="Arial"/>
                  </w:rPr>
                  <w:t xml:space="preserve">Substitute </w:t>
                </w:r>
                <w:r w:rsidR="00EA1485">
                  <w:rPr>
                    <w:rFonts w:ascii="Arial" w:hAnsi="Arial" w:cs="Arial"/>
                  </w:rPr>
                  <w:t>Fifth Revision Sheet 62</w:t>
                </w:r>
                <w:r w:rsidR="00EA1485">
                  <w:rPr>
                    <w:rFonts w:ascii="Arial" w:hAnsi="Arial" w:cs="Arial"/>
                  </w:rPr>
                  <w:tab/>
                </w:r>
                <w:r w:rsidR="00EA1485"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EA1485" w:rsidRPr="00D43DCB" w:rsidRDefault="00EA1485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 w:rsidRPr="00D43DCB">
                  <w:rPr>
                    <w:rFonts w:ascii="Arial" w:hAnsi="Arial" w:cs="Arial"/>
                    <w:sz w:val="18"/>
                  </w:rPr>
                  <w:t>Substitute Fourth Revision Sheet 62</w:t>
                </w:r>
                <w:r w:rsidR="00D43DCB" w:rsidRPr="00D43DCB">
                  <w:rPr>
                    <w:rFonts w:ascii="Arial" w:hAnsi="Arial" w:cs="Arial"/>
                    <w:sz w:val="18"/>
                  </w:rPr>
                  <w:t xml:space="preserve"> &amp; Substitute Twelfth Revision Sheet </w:t>
                </w:r>
                <w:proofErr w:type="spellStart"/>
                <w:r w:rsidR="00D43DCB" w:rsidRPr="00D43DCB">
                  <w:rPr>
                    <w:rFonts w:ascii="Arial" w:hAnsi="Arial" w:cs="Arial"/>
                    <w:sz w:val="18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95" w:rsidRDefault="00E9149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166D2A">
    <w:pPr>
      <w:pStyle w:val="Header"/>
    </w:pPr>
    <w:r>
      <w:rPr>
        <w:noProof/>
      </w:rPr>
      <w:pict>
        <v:rect id="_x0000_s2059" style="position:absolute;margin-left:-10.8pt;margin-top:64.8pt;width:475.2pt;height:583.2pt;z-index:251661312" o:allowincell="f" filled="f"/>
      </w:pict>
    </w:r>
    <w:r>
      <w:rPr>
        <w:noProof/>
      </w:rPr>
      <w:pict>
        <v:line id="_x0000_s2060" style="position:absolute;flip:y;z-index:251667456" from="313.2pt,0" to="313.2pt,64.8pt" o:allowincell="f"/>
      </w:pict>
    </w:r>
    <w:r>
      <w:rPr>
        <w:noProof/>
      </w:rPr>
      <w:pict>
        <v:line id="_x0000_s2061" style="position:absolute;z-index:251666432" from="-10.8pt,36pt" to="-10.8pt,64.8pt" o:allowincell="f"/>
      </w:pict>
    </w:r>
    <w:r>
      <w:rPr>
        <w:noProof/>
      </w:rPr>
      <w:pict>
        <v:line id="_x0000_s2062" style="position:absolute;z-index:251665408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10.8pt;margin-top:36pt;width:324pt;height:28.8pt;z-index:251664384" o:allowincell="f" filled="f" stroked="f">
          <v:textbox style="mso-next-textbox:#_x0000_s2063">
            <w:txbxContent>
              <w:p w:rsidR="006C712F" w:rsidRDefault="006C712F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6C712F" w:rsidRDefault="006C712F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64" type="#_x0000_t202" style="position:absolute;margin-left:313.2pt;margin-top:0;width:136.8pt;height:64.8pt;z-index:251663360" o:allowincell="f" filled="f" stroked="f">
          <v:textbox style="mso-next-textbox:#_x0000_s2064" inset="0,.72pt,0,0">
            <w:txbxContent>
              <w:p w:rsidR="006C712F" w:rsidRDefault="006C712F">
                <w:pPr>
                  <w:jc w:val="right"/>
                  <w:rPr>
                    <w:rFonts w:ascii="Arial" w:hAnsi="Arial" w:cs="Arial"/>
                  </w:rPr>
                </w:pPr>
              </w:p>
              <w:p w:rsidR="006C712F" w:rsidRDefault="006C712F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65" type="#_x0000_t202" style="position:absolute;margin-left:-10.8pt;margin-top:0;width:324pt;height:36pt;z-index:251662336" o:allowincell="f" filled="f" stroked="f">
          <v:textbox style="mso-next-textbox:#_x0000_s2065" inset="0,0,0,0">
            <w:txbxContent>
              <w:p w:rsidR="006C712F" w:rsidRDefault="00CC453A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 xml:space="preserve">Substitute </w:t>
                </w:r>
                <w:r w:rsidR="006075CA">
                  <w:rPr>
                    <w:rFonts w:ascii="Arial" w:hAnsi="Arial" w:cs="Arial"/>
                  </w:rPr>
                  <w:t>Twelfth</w:t>
                </w:r>
                <w:r>
                  <w:rPr>
                    <w:rFonts w:ascii="Arial" w:hAnsi="Arial" w:cs="Arial"/>
                  </w:rPr>
                  <w:t xml:space="preserve"> Revi</w:t>
                </w:r>
                <w:r w:rsidR="006C712F">
                  <w:rPr>
                    <w:rFonts w:ascii="Arial" w:hAnsi="Arial" w:cs="Arial"/>
                  </w:rPr>
                  <w:t xml:space="preserve">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  <w:r w:rsidR="006C712F">
                  <w:rPr>
                    <w:rFonts w:ascii="Arial" w:hAnsi="Arial" w:cs="Arial"/>
                  </w:rPr>
                  <w:tab/>
                </w:r>
                <w:r w:rsidR="006C712F"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CC453A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proofErr w:type="spellStart"/>
                <w:r>
                  <w:rPr>
                    <w:rFonts w:ascii="Arial" w:hAnsi="Arial" w:cs="Arial"/>
                  </w:rPr>
                  <w:t>WN</w:t>
                </w:r>
                <w:proofErr w:type="spellEnd"/>
                <w:r>
                  <w:rPr>
                    <w:rFonts w:ascii="Arial" w:hAnsi="Arial" w:cs="Arial"/>
                  </w:rPr>
                  <w:t xml:space="preserve"> U-28</w:t>
                </w:r>
                <w:r>
                  <w:rPr>
                    <w:rFonts w:ascii="Arial" w:hAnsi="Arial" w:cs="Arial"/>
                  </w:rPr>
                  <w:tab/>
                </w:r>
                <w:r w:rsidR="006075CA">
                  <w:rPr>
                    <w:rFonts w:ascii="Arial" w:hAnsi="Arial" w:cs="Arial"/>
                  </w:rPr>
                  <w:t>Eleventh</w:t>
                </w:r>
                <w:r w:rsidR="006C712F">
                  <w:rPr>
                    <w:rFonts w:ascii="Arial" w:hAnsi="Arial" w:cs="Arial"/>
                  </w:rPr>
                  <w:t xml:space="preserve"> Revision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88D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2ED3A96"/>
    <w:multiLevelType w:val="hybridMultilevel"/>
    <w:tmpl w:val="7A42A14E"/>
    <w:lvl w:ilvl="0" w:tplc="936ABE4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>
    <w:nsid w:val="275F155A"/>
    <w:multiLevelType w:val="singleLevel"/>
    <w:tmpl w:val="AA4CC8D4"/>
    <w:lvl w:ilvl="0">
      <w:start w:val="20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8395A83"/>
    <w:multiLevelType w:val="singleLevel"/>
    <w:tmpl w:val="2144707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F9A6626"/>
    <w:multiLevelType w:val="hybridMultilevel"/>
    <w:tmpl w:val="1F5C8938"/>
    <w:lvl w:ilvl="0" w:tplc="A8D6AE4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02D5FEC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9003B68">
      <w:start w:val="1"/>
      <w:numFmt w:val="bullet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EEE6E51"/>
    <w:multiLevelType w:val="singleLevel"/>
    <w:tmpl w:val="CFCED27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>
    <w:nsid w:val="4BC03F55"/>
    <w:multiLevelType w:val="hybridMultilevel"/>
    <w:tmpl w:val="4A68C888"/>
    <w:lvl w:ilvl="0" w:tplc="0B181D24">
      <w:start w:val="9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580C6F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51CB58A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32613CE"/>
    <w:multiLevelType w:val="hybridMultilevel"/>
    <w:tmpl w:val="BFB2BB62"/>
    <w:lvl w:ilvl="0" w:tplc="0384303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3EC97A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A48C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1BEC78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29AA074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BA3C70"/>
    <w:multiLevelType w:val="hybridMultilevel"/>
    <w:tmpl w:val="76DEB476"/>
    <w:lvl w:ilvl="0" w:tplc="F170E9A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A8C9B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E9759EA"/>
    <w:multiLevelType w:val="hybridMultilevel"/>
    <w:tmpl w:val="58A2CD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B51DF6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12F"/>
    <w:rsid w:val="00100973"/>
    <w:rsid w:val="001225EB"/>
    <w:rsid w:val="00133470"/>
    <w:rsid w:val="00137081"/>
    <w:rsid w:val="001613B1"/>
    <w:rsid w:val="00166D2A"/>
    <w:rsid w:val="0019120A"/>
    <w:rsid w:val="00201430"/>
    <w:rsid w:val="002536F7"/>
    <w:rsid w:val="00276743"/>
    <w:rsid w:val="002C0DCC"/>
    <w:rsid w:val="003503C7"/>
    <w:rsid w:val="00385618"/>
    <w:rsid w:val="003D2AB9"/>
    <w:rsid w:val="0048488F"/>
    <w:rsid w:val="00505C05"/>
    <w:rsid w:val="00606C15"/>
    <w:rsid w:val="006075CA"/>
    <w:rsid w:val="00630717"/>
    <w:rsid w:val="006C712F"/>
    <w:rsid w:val="007106CF"/>
    <w:rsid w:val="007B1CE4"/>
    <w:rsid w:val="007F524F"/>
    <w:rsid w:val="008862E7"/>
    <w:rsid w:val="00887E43"/>
    <w:rsid w:val="008E17E4"/>
    <w:rsid w:val="009459CD"/>
    <w:rsid w:val="00947452"/>
    <w:rsid w:val="00971681"/>
    <w:rsid w:val="009E1B71"/>
    <w:rsid w:val="00A564EF"/>
    <w:rsid w:val="00A828B1"/>
    <w:rsid w:val="00A833DC"/>
    <w:rsid w:val="00B366F1"/>
    <w:rsid w:val="00C06F34"/>
    <w:rsid w:val="00C97A57"/>
    <w:rsid w:val="00CC453A"/>
    <w:rsid w:val="00CD177A"/>
    <w:rsid w:val="00CE4D15"/>
    <w:rsid w:val="00D02365"/>
    <w:rsid w:val="00D43DCB"/>
    <w:rsid w:val="00DB0A17"/>
    <w:rsid w:val="00E31E75"/>
    <w:rsid w:val="00E42A77"/>
    <w:rsid w:val="00E51405"/>
    <w:rsid w:val="00E91495"/>
    <w:rsid w:val="00E9555E"/>
    <w:rsid w:val="00EA1485"/>
    <w:rsid w:val="00F15777"/>
    <w:rsid w:val="00F64C9D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  <o:rules v:ext="edit">
        <o:r id="V:Rule3" type="connector" idref="#_x0000_s1039"/>
        <o:r id="V:Rule4" type="connector" idref="#_x0000_s1053"/>
        <o:r id="V:Rule5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57"/>
    <w:pPr>
      <w:keepNext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A57"/>
    <w:pPr>
      <w:keepNext/>
      <w:ind w:right="-18"/>
      <w:jc w:val="center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A57"/>
    <w:pPr>
      <w:keepNext/>
      <w:ind w:right="-36"/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A57"/>
    <w:pPr>
      <w:keepNext/>
      <w:tabs>
        <w:tab w:val="left" w:pos="2430"/>
        <w:tab w:val="left" w:pos="4500"/>
        <w:tab w:val="left" w:pos="8730"/>
      </w:tabs>
      <w:ind w:left="1296" w:right="-126"/>
      <w:jc w:val="center"/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7A57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7A57"/>
    <w:pPr>
      <w:keepNext/>
      <w:ind w:right="-36"/>
      <w:jc w:val="center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A57"/>
    <w:pPr>
      <w:keepNext/>
      <w:ind w:right="-36"/>
      <w:jc w:val="center"/>
      <w:outlineLvl w:val="6"/>
    </w:pPr>
    <w:rPr>
      <w:rFonts w:ascii="Arial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7A57"/>
    <w:pPr>
      <w:keepNext/>
      <w:ind w:left="1440" w:right="-36"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7A57"/>
    <w:pPr>
      <w:keepNext/>
      <w:ind w:left="1440" w:right="-43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7A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97A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7A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97A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97A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97A5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97A5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7A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97A5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A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7A57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C97A57"/>
    <w:pPr>
      <w:ind w:left="720" w:hanging="360"/>
      <w:jc w:val="both"/>
    </w:pPr>
    <w:rPr>
      <w:rFonts w:ascii="Helvetica" w:hAnsi="Helvetica" w:cs="Helvetica"/>
      <w:noProof/>
    </w:rPr>
  </w:style>
  <w:style w:type="paragraph" w:styleId="BodyText2">
    <w:name w:val="Body Text 2"/>
    <w:basedOn w:val="Normal"/>
    <w:link w:val="BodyText2Char"/>
    <w:uiPriority w:val="99"/>
    <w:rsid w:val="00C97A57"/>
    <w:pPr>
      <w:ind w:right="-36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97A57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7A57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C97A57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C97A57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</w:rPr>
  </w:style>
  <w:style w:type="paragraph" w:styleId="BodyTextIndent2">
    <w:name w:val="Body Text Indent 2"/>
    <w:basedOn w:val="Normal"/>
    <w:link w:val="BodyTextIndent2Char"/>
    <w:uiPriority w:val="99"/>
    <w:rsid w:val="00C97A57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HeaderRevisionLines">
    <w:name w:val="Header Revision Lines"/>
    <w:basedOn w:val="Header"/>
    <w:uiPriority w:val="99"/>
    <w:rsid w:val="00C97A57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  <w:rPr>
      <w:rFonts w:ascii="New York" w:hAnsi="New York" w:cs="New York"/>
      <w:noProof/>
    </w:rPr>
  </w:style>
  <w:style w:type="paragraph" w:customStyle="1" w:styleId="Text">
    <w:name w:val="Text"/>
    <w:basedOn w:val="Normal"/>
    <w:uiPriority w:val="99"/>
    <w:rsid w:val="00C97A57"/>
    <w:pPr>
      <w:ind w:firstLine="360"/>
      <w:jc w:val="both"/>
    </w:pPr>
    <w:rPr>
      <w:rFonts w:ascii="Helvetica" w:hAnsi="Helvetica" w:cs="Helvetica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C97A5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7A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7A57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C97A57"/>
    <w:pPr>
      <w:jc w:val="center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97A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2011-11-18T08:00:00+00:00</OpenedDate>
    <Date1 xmlns="dc463f71-b30c-4ab2-9473-d307f9d35888">2011-11-21T08:00:00+00:00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309F726EA934D90F2798E0EE59D38" ma:contentTypeVersion="143" ma:contentTypeDescription="" ma:contentTypeScope="" ma:versionID="a25b451ea7a5bef3e9402ae8bc587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9CB9F-4962-4AD8-BE0E-B1F5FC3B71E0}"/>
</file>

<file path=customXml/itemProps2.xml><?xml version="1.0" encoding="utf-8"?>
<ds:datastoreItem xmlns:ds="http://schemas.openxmlformats.org/officeDocument/2006/customXml" ds:itemID="{ECADEAEE-6684-45E1-B97F-E73252F4974B}"/>
</file>

<file path=customXml/itemProps3.xml><?xml version="1.0" encoding="utf-8"?>
<ds:datastoreItem xmlns:ds="http://schemas.openxmlformats.org/officeDocument/2006/customXml" ds:itemID="{31C81E24-3679-426B-A0B0-F261A085F60F}"/>
</file>

<file path=customXml/itemProps4.xml><?xml version="1.0" encoding="utf-8"?>
<ds:datastoreItem xmlns:ds="http://schemas.openxmlformats.org/officeDocument/2006/customXml" ds:itemID="{65283905-8466-468A-823D-7DBB1121C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Avista - Patrick Ehrbar</cp:lastModifiedBy>
  <cp:revision>6</cp:revision>
  <cp:lastPrinted>2010-12-21T18:58:00Z</cp:lastPrinted>
  <dcterms:created xsi:type="dcterms:W3CDTF">2011-11-17T16:59:00Z</dcterms:created>
  <dcterms:modified xsi:type="dcterms:W3CDTF">2011-11-21T16:08:00Z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0x0101006E56B4D1795A2E4DB2F0B01679ED314A00445309F726EA934D90F2798E0EE59D38</vt:lpwstr>
  </property>
  <property fmtid="{D5CDD505-2E9C-101B-9397-08002B2CF9AE}" pid="3" name="_docset_NoMedatataSyncRequired">
    <vt:lpwstr>False</vt:lpwstr>
  </property>
</Properties>
</file>