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B247B" w:rsidRDefault="000A1236">
      <w:pPr>
        <w:pStyle w:val="BodyText"/>
        <w:rPr>
          <w:b/>
          <w:bCs/>
        </w:rPr>
      </w:pPr>
      <w:bookmarkStart w:id="0" w:name="_GoBack"/>
      <w:bookmarkEnd w:id="0"/>
      <w:r w:rsidRPr="00CB247B">
        <w:rPr>
          <w:b/>
          <w:bCs/>
        </w:rPr>
        <w:t>BEFORE THE WASHINGTON STATE</w:t>
      </w:r>
    </w:p>
    <w:p w:rsidR="000A1236" w:rsidRPr="00CB247B" w:rsidRDefault="000A1236">
      <w:pPr>
        <w:pStyle w:val="BodyText"/>
        <w:rPr>
          <w:b/>
          <w:bCs/>
        </w:rPr>
      </w:pPr>
      <w:r w:rsidRPr="00CB247B">
        <w:rPr>
          <w:b/>
          <w:bCs/>
        </w:rPr>
        <w:t xml:space="preserve">UTILITIES AND TRANSPORTATION </w:t>
      </w:r>
      <w:r w:rsidR="00B6012C">
        <w:rPr>
          <w:b/>
          <w:bCs/>
        </w:rPr>
        <w:t>COMMISSION</w:t>
      </w:r>
    </w:p>
    <w:p w:rsidR="000A1236" w:rsidRPr="00CB247B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B247B">
        <w:tc>
          <w:tcPr>
            <w:tcW w:w="4188" w:type="dxa"/>
          </w:tcPr>
          <w:p w:rsidR="000A1236" w:rsidRPr="00CB247B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B247B">
              <w:t xml:space="preserve">In the Matter of the Petition of </w:t>
            </w:r>
          </w:p>
          <w:p w:rsidR="000A1236" w:rsidRPr="00CB247B" w:rsidRDefault="000A1236"/>
          <w:p w:rsidR="007308FD" w:rsidRPr="00CB247B" w:rsidRDefault="009B5DDC" w:rsidP="00D75862">
            <w:r w:rsidRPr="00CB247B">
              <w:t>NORTHWEST NATURAL GAS COMPANY</w:t>
            </w:r>
            <w:r w:rsidR="000A1236" w:rsidRPr="00CB247B">
              <w:t>,</w:t>
            </w:r>
          </w:p>
          <w:p w:rsidR="000A1236" w:rsidRPr="00CB247B" w:rsidRDefault="000A1236"/>
          <w:p w:rsidR="000A1236" w:rsidRPr="00CB247B" w:rsidRDefault="000A1236" w:rsidP="00057BB3">
            <w:pPr>
              <w:jc w:val="center"/>
            </w:pPr>
            <w:r w:rsidRPr="00CB247B">
              <w:t>Petitioner,</w:t>
            </w:r>
          </w:p>
          <w:p w:rsidR="000A1236" w:rsidRPr="00CB247B" w:rsidRDefault="000A1236"/>
          <w:p w:rsidR="00AB64F8" w:rsidRDefault="000A1236" w:rsidP="00AB64F8">
            <w:r w:rsidRPr="00CB247B">
              <w:t xml:space="preserve">For An Accounting Order </w:t>
            </w:r>
            <w:r w:rsidR="009B5DDC" w:rsidRPr="00CB247B">
              <w:t>Authorizing</w:t>
            </w:r>
            <w:r w:rsidR="00AB64F8">
              <w:t xml:space="preserve"> deferred accounting treatment of certain costs associated with environmental remediation</w:t>
            </w:r>
          </w:p>
          <w:p w:rsidR="000A1236" w:rsidRPr="00CB247B" w:rsidRDefault="000A1236" w:rsidP="00AB64F8">
            <w:r w:rsidRPr="00CB247B">
              <w:t xml:space="preserve"> . . . . . . . . . . . . . . . . . . . . . . . . . . . . . . . </w:t>
            </w:r>
          </w:p>
        </w:tc>
        <w:tc>
          <w:tcPr>
            <w:tcW w:w="480" w:type="dxa"/>
          </w:tcPr>
          <w:p w:rsidR="000A1236" w:rsidRPr="00CB247B" w:rsidRDefault="000A1236">
            <w:pPr>
              <w:jc w:val="center"/>
            </w:pPr>
            <w:r w:rsidRPr="00CB247B">
              <w:t>)</w:t>
            </w:r>
          </w:p>
          <w:p w:rsidR="000A1236" w:rsidRPr="00CB247B" w:rsidRDefault="000A1236">
            <w:pPr>
              <w:jc w:val="center"/>
            </w:pPr>
            <w:r w:rsidRPr="00CB247B">
              <w:t>)</w:t>
            </w:r>
            <w:r w:rsidRPr="00CB247B">
              <w:br/>
              <w:t>)</w:t>
            </w:r>
            <w:r w:rsidRPr="00CB247B">
              <w:br/>
              <w:t>)</w:t>
            </w:r>
            <w:r w:rsidRPr="00CB247B">
              <w:br/>
              <w:t>)</w:t>
            </w:r>
            <w:r w:rsidRPr="00CB247B">
              <w:br/>
              <w:t>)</w:t>
            </w:r>
            <w:r w:rsidRPr="00CB247B">
              <w:br/>
              <w:t>)</w:t>
            </w:r>
          </w:p>
          <w:p w:rsidR="000A1236" w:rsidRDefault="000A1236">
            <w:pPr>
              <w:jc w:val="center"/>
            </w:pPr>
            <w:r w:rsidRPr="00CB247B">
              <w:t>)</w:t>
            </w:r>
            <w:r w:rsidRPr="00CB247B">
              <w:br/>
              <w:t>)</w:t>
            </w:r>
          </w:p>
          <w:p w:rsidR="00704BAB" w:rsidRDefault="00704BAB">
            <w:pPr>
              <w:jc w:val="center"/>
            </w:pPr>
            <w:r>
              <w:t>)</w:t>
            </w:r>
          </w:p>
          <w:p w:rsidR="00704BAB" w:rsidRDefault="00704BAB">
            <w:pPr>
              <w:jc w:val="center"/>
            </w:pPr>
            <w:r>
              <w:t>)</w:t>
            </w:r>
          </w:p>
          <w:p w:rsidR="00704BAB" w:rsidRPr="00CB247B" w:rsidRDefault="00704BAB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0A1236" w:rsidRPr="00CB247B" w:rsidRDefault="00491C72">
            <w:r w:rsidRPr="00CB247B">
              <w:t>DOCKET</w:t>
            </w:r>
            <w:r w:rsidR="00AC1794" w:rsidRPr="00CB247B">
              <w:t xml:space="preserve"> </w:t>
            </w:r>
            <w:r w:rsidR="009B5DDC" w:rsidRPr="00CB247B">
              <w:t>UG-110199</w:t>
            </w:r>
          </w:p>
          <w:p w:rsidR="000A1236" w:rsidRPr="00CB247B" w:rsidRDefault="000A1236"/>
          <w:p w:rsidR="000A1236" w:rsidRPr="00CB247B" w:rsidRDefault="00491C72">
            <w:r w:rsidRPr="00CB247B">
              <w:t>ORDER</w:t>
            </w:r>
            <w:r w:rsidR="000A1236" w:rsidRPr="00CB247B">
              <w:t xml:space="preserve"> </w:t>
            </w:r>
            <w:r w:rsidR="009B5DDC" w:rsidRPr="00CB247B">
              <w:t>01</w:t>
            </w:r>
          </w:p>
          <w:p w:rsidR="000A1236" w:rsidRPr="00CB247B" w:rsidRDefault="000A1236">
            <w:pPr>
              <w:rPr>
                <w:b/>
                <w:bCs/>
              </w:rPr>
            </w:pPr>
          </w:p>
          <w:p w:rsidR="000A1236" w:rsidRDefault="000A1236">
            <w:pPr>
              <w:rPr>
                <w:b/>
                <w:bCs/>
              </w:rPr>
            </w:pPr>
          </w:p>
          <w:p w:rsidR="00704BAB" w:rsidRPr="00CB247B" w:rsidRDefault="00704BAB">
            <w:pPr>
              <w:rPr>
                <w:b/>
                <w:bCs/>
              </w:rPr>
            </w:pPr>
          </w:p>
          <w:p w:rsidR="000A1236" w:rsidRPr="00CB247B" w:rsidRDefault="000A1236">
            <w:pPr>
              <w:rPr>
                <w:b/>
                <w:bCs/>
              </w:rPr>
            </w:pPr>
          </w:p>
          <w:p w:rsidR="007F7FB7" w:rsidRDefault="007F7FB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F7FB7" w:rsidRDefault="007F7FB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A1236" w:rsidRPr="00CB247B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B247B">
              <w:t xml:space="preserve">ORDER </w:t>
            </w:r>
            <w:r w:rsidR="001E31D2" w:rsidRPr="00CB247B">
              <w:t>GRANTING</w:t>
            </w:r>
            <w:r w:rsidRPr="00CB247B">
              <w:t xml:space="preserve"> ACCOUNTING PETITION  </w:t>
            </w:r>
          </w:p>
        </w:tc>
      </w:tr>
    </w:tbl>
    <w:p w:rsidR="000A1236" w:rsidRPr="00CB247B" w:rsidRDefault="000A1236">
      <w:pPr>
        <w:jc w:val="center"/>
      </w:pPr>
    </w:p>
    <w:p w:rsidR="000A1236" w:rsidRPr="00CB247B" w:rsidRDefault="000A1236">
      <w:pPr>
        <w:pStyle w:val="Heading1"/>
        <w:spacing w:line="288" w:lineRule="auto"/>
      </w:pPr>
      <w:r w:rsidRPr="00CB247B">
        <w:t>BACKGROUND</w:t>
      </w:r>
    </w:p>
    <w:p w:rsidR="000A1236" w:rsidRPr="00CB247B" w:rsidRDefault="000A1236">
      <w:pPr>
        <w:spacing w:line="288" w:lineRule="auto"/>
        <w:jc w:val="center"/>
      </w:pPr>
    </w:p>
    <w:p w:rsidR="009B5DDC" w:rsidRPr="00CB247B" w:rsidRDefault="000A1236" w:rsidP="009B5DDC">
      <w:pPr>
        <w:numPr>
          <w:ilvl w:val="0"/>
          <w:numId w:val="1"/>
        </w:numPr>
        <w:spacing w:line="288" w:lineRule="auto"/>
      </w:pPr>
      <w:r w:rsidRPr="00CB247B">
        <w:t>On</w:t>
      </w:r>
      <w:r w:rsidR="00525321" w:rsidRPr="00CB247B">
        <w:t xml:space="preserve"> </w:t>
      </w:r>
      <w:r w:rsidR="009B5DDC" w:rsidRPr="00CB247B">
        <w:t>January 26, 2011</w:t>
      </w:r>
      <w:r w:rsidRPr="00CB247B">
        <w:t>,</w:t>
      </w:r>
      <w:r w:rsidRPr="00CB247B">
        <w:rPr>
          <w:b/>
          <w:bCs/>
        </w:rPr>
        <w:t xml:space="preserve"> </w:t>
      </w:r>
      <w:r w:rsidR="009B5DDC" w:rsidRPr="00CB247B">
        <w:t>Northwest Natural Gas Company</w:t>
      </w:r>
      <w:r w:rsidRPr="00CB247B">
        <w:t>, (</w:t>
      </w:r>
      <w:r w:rsidR="009B5DDC" w:rsidRPr="00CB247B">
        <w:t xml:space="preserve">NW Natural </w:t>
      </w:r>
      <w:r w:rsidR="00840ABC" w:rsidRPr="00CB247B">
        <w:t>or Company</w:t>
      </w:r>
      <w:r w:rsidRPr="00CB247B">
        <w:t>)</w:t>
      </w:r>
      <w:r w:rsidRPr="00CB247B">
        <w:rPr>
          <w:b/>
          <w:bCs/>
        </w:rPr>
        <w:t xml:space="preserve"> </w:t>
      </w:r>
      <w:r w:rsidR="003C2270" w:rsidRPr="00CB247B">
        <w:t xml:space="preserve">filed </w:t>
      </w:r>
      <w:r w:rsidR="008246C9" w:rsidRPr="00CB247B">
        <w:t xml:space="preserve">with the Washington Utilities and Transportation </w:t>
      </w:r>
      <w:r w:rsidR="00B6012C">
        <w:t>Commission</w:t>
      </w:r>
      <w:r w:rsidR="008246C9" w:rsidRPr="00CB247B">
        <w:t xml:space="preserve"> (</w:t>
      </w:r>
      <w:r w:rsidR="00B6012C">
        <w:t>Commission</w:t>
      </w:r>
      <w:r w:rsidR="008246C9" w:rsidRPr="00CB247B">
        <w:t xml:space="preserve">) </w:t>
      </w:r>
      <w:r w:rsidR="003C2270" w:rsidRPr="00CB247B">
        <w:t xml:space="preserve">a petition seeking </w:t>
      </w:r>
      <w:r w:rsidRPr="00CB247B">
        <w:t xml:space="preserve">an Accounting Order under </w:t>
      </w:r>
      <w:r w:rsidRPr="00B6012C">
        <w:t>WAC 480-07-370</w:t>
      </w:r>
      <w:r w:rsidR="00F23EAE" w:rsidRPr="00B6012C">
        <w:t>(1</w:t>
      </w:r>
      <w:proofErr w:type="gramStart"/>
      <w:r w:rsidR="00F23EAE" w:rsidRPr="00B6012C">
        <w:t>)</w:t>
      </w:r>
      <w:r w:rsidRPr="00B6012C">
        <w:t>(</w:t>
      </w:r>
      <w:proofErr w:type="gramEnd"/>
      <w:r w:rsidRPr="00B6012C">
        <w:t>b)</w:t>
      </w:r>
      <w:r w:rsidRPr="00CB247B">
        <w:t xml:space="preserve"> </w:t>
      </w:r>
      <w:r w:rsidR="00D30CD1" w:rsidRPr="00CB247B">
        <w:t xml:space="preserve">authorizing </w:t>
      </w:r>
      <w:r w:rsidR="009B5DDC" w:rsidRPr="00CB247B">
        <w:t xml:space="preserve">NW Natural </w:t>
      </w:r>
      <w:r w:rsidR="00D30CD1" w:rsidRPr="00CB247B">
        <w:t xml:space="preserve">to </w:t>
      </w:r>
      <w:r w:rsidR="009B5DDC" w:rsidRPr="00CB247B">
        <w:t xml:space="preserve">defer treatment of expenses related to environmental remediation costs of the following sites: </w:t>
      </w:r>
      <w:proofErr w:type="spellStart"/>
      <w:r w:rsidR="009B5DDC" w:rsidRPr="00CB247B">
        <w:t>Gasco</w:t>
      </w:r>
      <w:proofErr w:type="spellEnd"/>
      <w:r w:rsidR="00184072">
        <w:t xml:space="preserve">; </w:t>
      </w:r>
      <w:proofErr w:type="spellStart"/>
      <w:r w:rsidR="00184072">
        <w:t>Wacker</w:t>
      </w:r>
      <w:proofErr w:type="spellEnd"/>
      <w:r w:rsidR="00184072">
        <w:t xml:space="preserve">, aka </w:t>
      </w:r>
      <w:proofErr w:type="spellStart"/>
      <w:r w:rsidR="00184072">
        <w:t>Siltronic</w:t>
      </w:r>
      <w:proofErr w:type="spellEnd"/>
      <w:r w:rsidR="00184072">
        <w:t>; Portland Harbor;</w:t>
      </w:r>
      <w:r w:rsidR="009B5DDC" w:rsidRPr="00CB247B">
        <w:t xml:space="preserve"> Tar Deposit</w:t>
      </w:r>
      <w:r w:rsidR="006973B2">
        <w:t>,</w:t>
      </w:r>
      <w:r w:rsidR="009B5DDC" w:rsidRPr="00CB247B">
        <w:t xml:space="preserve"> and Central Gas Holdings.</w:t>
      </w:r>
    </w:p>
    <w:p w:rsidR="00E00733" w:rsidRPr="00CB247B" w:rsidRDefault="00E00733" w:rsidP="00E00733">
      <w:pPr>
        <w:spacing w:line="288" w:lineRule="auto"/>
      </w:pPr>
    </w:p>
    <w:p w:rsidR="00782C48" w:rsidRPr="00CB247B" w:rsidRDefault="00576A68" w:rsidP="00941285">
      <w:pPr>
        <w:numPr>
          <w:ilvl w:val="0"/>
          <w:numId w:val="1"/>
        </w:numPr>
        <w:spacing w:line="288" w:lineRule="auto"/>
      </w:pPr>
      <w:r w:rsidRPr="00CB247B">
        <w:t>NW Natural</w:t>
      </w:r>
      <w:r w:rsidR="00B6012C">
        <w:t>’</w:t>
      </w:r>
      <w:r w:rsidRPr="00CB247B">
        <w:t xml:space="preserve">s predecessor in interest, Portland Gas and Coke Company owned and operated the </w:t>
      </w:r>
      <w:proofErr w:type="spellStart"/>
      <w:r w:rsidR="00941285" w:rsidRPr="00CB247B">
        <w:t>Gasco</w:t>
      </w:r>
      <w:proofErr w:type="spellEnd"/>
      <w:r w:rsidR="00941285" w:rsidRPr="00CB247B">
        <w:t xml:space="preserve"> Site (the </w:t>
      </w:r>
      <w:r w:rsidRPr="00CB247B">
        <w:t>Plant</w:t>
      </w:r>
      <w:r w:rsidR="00941285" w:rsidRPr="00CB247B">
        <w:t>)</w:t>
      </w:r>
      <w:r w:rsidRPr="00CB247B">
        <w:t xml:space="preserve"> from 1913 to 1956, during which time the Plant produced gas that was used to serve</w:t>
      </w:r>
      <w:r w:rsidR="00E00733" w:rsidRPr="00CB247B">
        <w:t xml:space="preserve"> that Company</w:t>
      </w:r>
      <w:r w:rsidR="00B6012C">
        <w:t>’</w:t>
      </w:r>
      <w:r w:rsidR="00E00733" w:rsidRPr="00CB247B">
        <w:t>s Oregon and Washington customers.  The Plant ceased operations in 1956, and in the late 1960</w:t>
      </w:r>
      <w:r w:rsidR="00B6012C">
        <w:t>’</w:t>
      </w:r>
      <w:r w:rsidR="00E00733" w:rsidRPr="00CB247B">
        <w:t xml:space="preserve">s most of the gasification </w:t>
      </w:r>
      <w:proofErr w:type="gramStart"/>
      <w:r w:rsidR="00E00733" w:rsidRPr="00CB247B">
        <w:t>facilities</w:t>
      </w:r>
      <w:proofErr w:type="gramEnd"/>
      <w:r w:rsidR="00E00733" w:rsidRPr="00CB247B">
        <w:t xml:space="preserve"> were dismantled and removed.  The </w:t>
      </w:r>
      <w:proofErr w:type="spellStart"/>
      <w:r w:rsidR="00E00733" w:rsidRPr="00CB247B">
        <w:t>Gasco</w:t>
      </w:r>
      <w:proofErr w:type="spellEnd"/>
      <w:r w:rsidR="00E00733" w:rsidRPr="00CB247B">
        <w:t xml:space="preserve"> site </w:t>
      </w:r>
      <w:r w:rsidR="00941285" w:rsidRPr="00CB247B">
        <w:t xml:space="preserve">is under voluntary investigation for environmental contaminants by NW Natural </w:t>
      </w:r>
      <w:r w:rsidR="00E00733" w:rsidRPr="00CB247B">
        <w:t>under Oregon Department of Environmental Quality</w:t>
      </w:r>
      <w:r w:rsidR="00B6012C">
        <w:t>’</w:t>
      </w:r>
      <w:r w:rsidR="00E00733" w:rsidRPr="00CB247B">
        <w:t>s Voluntary Clean-Up Program and the Federal Superfund law administered by the United States Environmental Protection Agency</w:t>
      </w:r>
      <w:r w:rsidR="00346208" w:rsidRPr="00CB247B">
        <w:t xml:space="preserve">.  </w:t>
      </w:r>
      <w:r w:rsidR="00941285" w:rsidRPr="00CB247B">
        <w:t xml:space="preserve">The </w:t>
      </w:r>
      <w:proofErr w:type="spellStart"/>
      <w:r w:rsidR="00941285" w:rsidRPr="00CB247B">
        <w:t>Siltronic</w:t>
      </w:r>
      <w:proofErr w:type="spellEnd"/>
      <w:r w:rsidR="00941285" w:rsidRPr="00CB247B">
        <w:t xml:space="preserve">, Portland Harbor, Tar Deposit and Central Gas Holdings sites are also under voluntary investigation by NW Natural or designated Superfund sites due to their proximity </w:t>
      </w:r>
      <w:r w:rsidR="00184072">
        <w:t xml:space="preserve">to, </w:t>
      </w:r>
      <w:r w:rsidR="00941285" w:rsidRPr="00CB247B">
        <w:t>or operations</w:t>
      </w:r>
      <w:r w:rsidR="00184072">
        <w:t xml:space="preserve"> related to those</w:t>
      </w:r>
      <w:r w:rsidR="00941285" w:rsidRPr="00CB247B">
        <w:t xml:space="preserve"> of</w:t>
      </w:r>
      <w:r w:rsidR="00184072">
        <w:t>,</w:t>
      </w:r>
      <w:r w:rsidR="00941285" w:rsidRPr="00CB247B">
        <w:t xml:space="preserve"> the Company</w:t>
      </w:r>
      <w:r w:rsidR="00B6012C">
        <w:t>’</w:t>
      </w:r>
      <w:r w:rsidR="00941285" w:rsidRPr="00CB247B">
        <w:t xml:space="preserve">s </w:t>
      </w:r>
      <w:proofErr w:type="spellStart"/>
      <w:r w:rsidR="00941285" w:rsidRPr="00CB247B">
        <w:t>Gasco</w:t>
      </w:r>
      <w:proofErr w:type="spellEnd"/>
      <w:r w:rsidR="00941285" w:rsidRPr="00CB247B">
        <w:t xml:space="preserve"> site. </w:t>
      </w:r>
      <w:r w:rsidR="00782C48" w:rsidRPr="00CB247B">
        <w:t xml:space="preserve"> </w:t>
      </w:r>
    </w:p>
    <w:p w:rsidR="00782C48" w:rsidRPr="00CB247B" w:rsidRDefault="00782C48" w:rsidP="00782C48">
      <w:pPr>
        <w:spacing w:line="288" w:lineRule="auto"/>
      </w:pPr>
    </w:p>
    <w:p w:rsidR="009B5DDC" w:rsidRPr="00CB247B" w:rsidRDefault="00782C48" w:rsidP="00941285">
      <w:pPr>
        <w:numPr>
          <w:ilvl w:val="0"/>
          <w:numId w:val="1"/>
        </w:numPr>
        <w:spacing w:line="288" w:lineRule="auto"/>
      </w:pPr>
      <w:r w:rsidRPr="00CB247B">
        <w:t xml:space="preserve">The Company requests deferral accounting treatment of environmental remediation costs because of the variable and unpredictable costs of environmental remediation.  </w:t>
      </w:r>
      <w:r w:rsidR="00B6012C">
        <w:t>Staff</w:t>
      </w:r>
      <w:r w:rsidRPr="00CB247B">
        <w:t xml:space="preserve"> agrees with this characterization and supports the accounting treatment subject to the following conditions:</w:t>
      </w:r>
    </w:p>
    <w:p w:rsidR="00782C48" w:rsidRPr="00CB247B" w:rsidRDefault="00782C48" w:rsidP="00782C48">
      <w:pPr>
        <w:spacing w:line="288" w:lineRule="auto"/>
        <w:ind w:left="720" w:hanging="720"/>
      </w:pPr>
      <w:r w:rsidRPr="00CB247B">
        <w:lastRenderedPageBreak/>
        <w:t>(a)</w:t>
      </w:r>
      <w:r w:rsidRPr="00CB247B">
        <w:tab/>
        <w:t xml:space="preserve">The Company will record deferred costs in Account number 186, Other Miscellaneous Deferred Debits. </w:t>
      </w:r>
    </w:p>
    <w:p w:rsidR="00782C48" w:rsidRPr="00CB247B" w:rsidRDefault="00782C48" w:rsidP="00782C48">
      <w:pPr>
        <w:spacing w:line="288" w:lineRule="auto"/>
        <w:ind w:left="720" w:hanging="720"/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(b)</w:t>
      </w:r>
      <w:r w:rsidRPr="00CB247B">
        <w:rPr>
          <w:rFonts w:ascii="Times New Roman" w:hAnsi="Times New Roman"/>
          <w:sz w:val="24"/>
          <w:szCs w:val="24"/>
        </w:rPr>
        <w:tab/>
      </w:r>
      <w:r w:rsidR="00AB64F8">
        <w:rPr>
          <w:rFonts w:ascii="Times New Roman" w:hAnsi="Times New Roman"/>
          <w:sz w:val="24"/>
          <w:szCs w:val="24"/>
        </w:rPr>
        <w:t>Costs eligible for deferred accounting treatment will include o</w:t>
      </w:r>
      <w:r w:rsidRPr="00CB247B">
        <w:rPr>
          <w:rFonts w:ascii="Times New Roman" w:hAnsi="Times New Roman"/>
          <w:sz w:val="24"/>
          <w:szCs w:val="24"/>
        </w:rPr>
        <w:t xml:space="preserve">nly </w:t>
      </w:r>
      <w:r w:rsidR="00AB64F8">
        <w:rPr>
          <w:rFonts w:ascii="Times New Roman" w:hAnsi="Times New Roman"/>
          <w:sz w:val="24"/>
          <w:szCs w:val="24"/>
        </w:rPr>
        <w:t xml:space="preserve">those </w:t>
      </w:r>
      <w:r w:rsidRPr="00CB247B">
        <w:rPr>
          <w:rFonts w:ascii="Times New Roman" w:hAnsi="Times New Roman"/>
          <w:sz w:val="24"/>
          <w:szCs w:val="24"/>
        </w:rPr>
        <w:t xml:space="preserve">amounts paid to outside vendors, contractors or attorneys </w:t>
      </w:r>
      <w:r w:rsidR="00BD7920">
        <w:rPr>
          <w:rFonts w:ascii="Times New Roman" w:hAnsi="Times New Roman"/>
          <w:sz w:val="24"/>
          <w:szCs w:val="24"/>
        </w:rPr>
        <w:t xml:space="preserve">for expenditures such as </w:t>
      </w:r>
      <w:r w:rsidRPr="00CB247B">
        <w:rPr>
          <w:rFonts w:ascii="Times New Roman" w:hAnsi="Times New Roman"/>
          <w:sz w:val="24"/>
          <w:szCs w:val="24"/>
        </w:rPr>
        <w:t>investigation and feasibility studies, sampling, evaluation, monitoring, remediation and litigation</w:t>
      </w:r>
      <w:r w:rsidR="00BD7920">
        <w:rPr>
          <w:rFonts w:ascii="Times New Roman" w:hAnsi="Times New Roman"/>
          <w:sz w:val="24"/>
          <w:szCs w:val="24"/>
        </w:rPr>
        <w:t>.</w:t>
      </w:r>
      <w:r w:rsidR="00AB64F8">
        <w:rPr>
          <w:rFonts w:ascii="Times New Roman" w:hAnsi="Times New Roman"/>
          <w:sz w:val="24"/>
          <w:szCs w:val="24"/>
        </w:rPr>
        <w:t xml:space="preserve"> </w:t>
      </w:r>
      <w:r w:rsidR="00BA5406">
        <w:rPr>
          <w:rFonts w:ascii="Times New Roman" w:hAnsi="Times New Roman"/>
          <w:sz w:val="24"/>
          <w:szCs w:val="24"/>
        </w:rPr>
        <w:t xml:space="preserve"> </w:t>
      </w:r>
      <w:r w:rsidR="00BD7920">
        <w:rPr>
          <w:rFonts w:ascii="Times New Roman" w:hAnsi="Times New Roman"/>
          <w:sz w:val="24"/>
          <w:szCs w:val="24"/>
        </w:rPr>
        <w:t>Expenditures for</w:t>
      </w:r>
      <w:r w:rsidR="00AB64F8">
        <w:rPr>
          <w:rFonts w:ascii="Times New Roman" w:hAnsi="Times New Roman"/>
          <w:sz w:val="24"/>
          <w:szCs w:val="24"/>
        </w:rPr>
        <w:t xml:space="preserve"> i</w:t>
      </w:r>
      <w:r w:rsidRPr="00CB247B">
        <w:rPr>
          <w:rFonts w:ascii="Times New Roman" w:hAnsi="Times New Roman"/>
          <w:sz w:val="24"/>
          <w:szCs w:val="24"/>
        </w:rPr>
        <w:t>nternal employee salaries or other employee incidental c</w:t>
      </w:r>
      <w:r w:rsidR="00AB64F8">
        <w:rPr>
          <w:rFonts w:ascii="Times New Roman" w:hAnsi="Times New Roman"/>
          <w:sz w:val="24"/>
          <w:szCs w:val="24"/>
        </w:rPr>
        <w:t>osts such as hotels, meals etc.</w:t>
      </w:r>
      <w:r w:rsidR="00BD7920">
        <w:rPr>
          <w:rFonts w:ascii="Times New Roman" w:hAnsi="Times New Roman"/>
          <w:sz w:val="24"/>
          <w:szCs w:val="24"/>
        </w:rPr>
        <w:t>, are not eligible for deferral.</w:t>
      </w:r>
      <w:r w:rsidR="00AB64F8">
        <w:rPr>
          <w:rFonts w:ascii="Times New Roman" w:hAnsi="Times New Roman"/>
          <w:sz w:val="24"/>
          <w:szCs w:val="24"/>
        </w:rPr>
        <w:t xml:space="preserve">  O</w:t>
      </w:r>
      <w:r w:rsidRPr="00CB247B">
        <w:rPr>
          <w:rFonts w:ascii="Times New Roman" w:hAnsi="Times New Roman"/>
          <w:sz w:val="24"/>
          <w:szCs w:val="24"/>
        </w:rPr>
        <w:t xml:space="preserve">utside legal expenses to defend individual company employees from environmental liability are </w:t>
      </w:r>
      <w:r w:rsidR="00AB64F8">
        <w:rPr>
          <w:rFonts w:ascii="Times New Roman" w:hAnsi="Times New Roman"/>
          <w:sz w:val="24"/>
          <w:szCs w:val="24"/>
        </w:rPr>
        <w:t xml:space="preserve">also </w:t>
      </w:r>
      <w:r w:rsidRPr="00CB247B">
        <w:rPr>
          <w:rFonts w:ascii="Times New Roman" w:hAnsi="Times New Roman"/>
          <w:sz w:val="24"/>
          <w:szCs w:val="24"/>
        </w:rPr>
        <w:t>not eligible for deferred accounting treatment.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(c)</w:t>
      </w:r>
      <w:r w:rsidRPr="00CB247B">
        <w:rPr>
          <w:rFonts w:ascii="Times New Roman" w:hAnsi="Times New Roman"/>
          <w:sz w:val="24"/>
          <w:szCs w:val="24"/>
        </w:rPr>
        <w:tab/>
        <w:t>Net deferred costs are the eligible defined costs less any insurance and/or third party proceeds.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(d)</w:t>
      </w:r>
      <w:r w:rsidRPr="00CB247B">
        <w:rPr>
          <w:rFonts w:ascii="Times New Roman" w:hAnsi="Times New Roman"/>
          <w:sz w:val="24"/>
          <w:szCs w:val="24"/>
        </w:rPr>
        <w:tab/>
        <w:t>The prudence of the net deferred costs will be determined in a future rate proceeding.  Deferred costs shown to be imprudent or inappropriate will be subject to disallowance for rate recovery purposes.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(e)</w:t>
      </w:r>
      <w:r w:rsidRPr="00CB247B">
        <w:rPr>
          <w:rFonts w:ascii="Times New Roman" w:hAnsi="Times New Roman"/>
          <w:sz w:val="24"/>
          <w:szCs w:val="24"/>
        </w:rPr>
        <w:tab/>
        <w:t xml:space="preserve">The net deferred costs of the </w:t>
      </w:r>
      <w:proofErr w:type="spellStart"/>
      <w:r w:rsidRPr="00CB247B">
        <w:rPr>
          <w:rFonts w:ascii="Times New Roman" w:hAnsi="Times New Roman"/>
          <w:sz w:val="24"/>
          <w:szCs w:val="24"/>
        </w:rPr>
        <w:t>Gasco</w:t>
      </w:r>
      <w:proofErr w:type="spellEnd"/>
      <w:r w:rsidRPr="00CB24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47B">
        <w:rPr>
          <w:rFonts w:ascii="Times New Roman" w:hAnsi="Times New Roman"/>
          <w:sz w:val="24"/>
          <w:szCs w:val="24"/>
        </w:rPr>
        <w:t>Siltronic</w:t>
      </w:r>
      <w:proofErr w:type="spellEnd"/>
      <w:r w:rsidRPr="00CB247B">
        <w:rPr>
          <w:rFonts w:ascii="Times New Roman" w:hAnsi="Times New Roman"/>
          <w:sz w:val="24"/>
          <w:szCs w:val="24"/>
        </w:rPr>
        <w:t>, Portland Harbor, Tar Deposit</w:t>
      </w:r>
      <w:r w:rsidR="004D79BF">
        <w:rPr>
          <w:rFonts w:ascii="Times New Roman" w:hAnsi="Times New Roman"/>
          <w:sz w:val="24"/>
          <w:szCs w:val="24"/>
        </w:rPr>
        <w:t>,</w:t>
      </w:r>
      <w:r w:rsidRPr="00CB247B">
        <w:rPr>
          <w:rFonts w:ascii="Times New Roman" w:hAnsi="Times New Roman"/>
          <w:sz w:val="24"/>
          <w:szCs w:val="24"/>
        </w:rPr>
        <w:t xml:space="preserve"> and Central Gas Holdings sites when approved for recovery in a general rate case will be amortized over a period determined in that rate case and beginning with the rate effective period of that rate case.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AB64F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(f)</w:t>
      </w:r>
      <w:r w:rsidRPr="00CB247B">
        <w:rPr>
          <w:rFonts w:ascii="Times New Roman" w:hAnsi="Times New Roman"/>
          <w:sz w:val="24"/>
          <w:szCs w:val="24"/>
        </w:rPr>
        <w:tab/>
        <w:t>Any costs incurred prior to this filing are not eligible for deferred accounting treatment.</w:t>
      </w:r>
    </w:p>
    <w:p w:rsidR="00782C48" w:rsidRPr="00CB247B" w:rsidRDefault="00782C48" w:rsidP="00782C4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(g)</w:t>
      </w:r>
      <w:r w:rsidRPr="00CB247B">
        <w:rPr>
          <w:rFonts w:ascii="Times New Roman" w:hAnsi="Times New Roman"/>
          <w:sz w:val="24"/>
          <w:szCs w:val="24"/>
        </w:rPr>
        <w:tab/>
        <w:t>The Company will normalize the tax benefits associated with these costs.</w:t>
      </w:r>
    </w:p>
    <w:p w:rsidR="00782C48" w:rsidRPr="00CB247B" w:rsidRDefault="00782C48" w:rsidP="00782C4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(h)</w:t>
      </w:r>
      <w:r w:rsidRPr="00CB247B">
        <w:rPr>
          <w:rFonts w:ascii="Times New Roman" w:hAnsi="Times New Roman"/>
          <w:sz w:val="24"/>
          <w:szCs w:val="24"/>
        </w:rPr>
        <w:tab/>
        <w:t>The Company will not accrue interest on the environmental remediation deferral.  The project will be eligible for working capital treatment.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</w:t>
      </w:r>
      <w:proofErr w:type="spellStart"/>
      <w:r w:rsidRPr="00CB247B">
        <w:rPr>
          <w:rFonts w:ascii="Times New Roman" w:hAnsi="Times New Roman"/>
          <w:sz w:val="24"/>
          <w:szCs w:val="24"/>
        </w:rPr>
        <w:t>i</w:t>
      </w:r>
      <w:proofErr w:type="spellEnd"/>
      <w:r w:rsidRPr="00CB247B">
        <w:rPr>
          <w:rFonts w:ascii="Times New Roman" w:hAnsi="Times New Roman"/>
          <w:sz w:val="24"/>
          <w:szCs w:val="24"/>
        </w:rPr>
        <w:t>)</w:t>
      </w:r>
      <w:r w:rsidRPr="00CB247B">
        <w:rPr>
          <w:rFonts w:ascii="Times New Roman" w:hAnsi="Times New Roman"/>
          <w:sz w:val="24"/>
          <w:szCs w:val="24"/>
        </w:rPr>
        <w:tab/>
        <w:t>The Company will file semi-annual reports for the environmental remediation deferral project.</w:t>
      </w: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ind w:hanging="720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pStyle w:val="ListParagraph"/>
        <w:rPr>
          <w:rFonts w:ascii="Times New Roman" w:hAnsi="Times New Roman"/>
          <w:sz w:val="24"/>
          <w:szCs w:val="24"/>
        </w:rPr>
      </w:pPr>
    </w:p>
    <w:p w:rsidR="00782C48" w:rsidRPr="00CB247B" w:rsidRDefault="00782C48" w:rsidP="00782C48">
      <w:pPr>
        <w:spacing w:line="288" w:lineRule="auto"/>
        <w:ind w:left="720" w:hanging="720"/>
      </w:pPr>
    </w:p>
    <w:p w:rsidR="000A1236" w:rsidRPr="00CB247B" w:rsidRDefault="000A1236">
      <w:pPr>
        <w:pStyle w:val="Heading1"/>
        <w:spacing w:line="288" w:lineRule="auto"/>
      </w:pPr>
      <w:r w:rsidRPr="00CB247B">
        <w:lastRenderedPageBreak/>
        <w:t>FINDINGS AND CONCLUSIONS</w:t>
      </w:r>
    </w:p>
    <w:p w:rsidR="000A1236" w:rsidRPr="00CB247B" w:rsidRDefault="000A1236">
      <w:pPr>
        <w:spacing w:line="288" w:lineRule="auto"/>
        <w:ind w:left="-1080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B247B">
        <w:t>(1)</w:t>
      </w:r>
      <w:r w:rsidRPr="00CB247B">
        <w:tab/>
        <w:t xml:space="preserve">The Washington Utilities and Transportation </w:t>
      </w:r>
      <w:r w:rsidR="00B6012C">
        <w:t>Commission</w:t>
      </w:r>
      <w:r w:rsidRPr="00CB247B">
        <w:t xml:space="preserve"> is an agency of the </w:t>
      </w:r>
      <w:r w:rsidR="007308FD" w:rsidRPr="00CB247B">
        <w:t>S</w:t>
      </w:r>
      <w:r w:rsidRPr="00CB247B">
        <w:t xml:space="preserve">tate of Washington vested by statute with the authority to regulate </w:t>
      </w:r>
      <w:r w:rsidR="00C40733" w:rsidRPr="00CB247B">
        <w:t xml:space="preserve">the </w:t>
      </w:r>
      <w:r w:rsidRPr="00CB247B">
        <w:t xml:space="preserve">rates, rules, regulations, practices, accounts, </w:t>
      </w:r>
      <w:proofErr w:type="gramStart"/>
      <w:r w:rsidRPr="00CB247B">
        <w:t>securities</w:t>
      </w:r>
      <w:proofErr w:type="gramEnd"/>
      <w:r w:rsidRPr="00CB247B">
        <w:t xml:space="preserve">, transfers of </w:t>
      </w:r>
      <w:r w:rsidR="00C979BD" w:rsidRPr="00CB247B">
        <w:t>property</w:t>
      </w:r>
      <w:r w:rsidR="008246C9" w:rsidRPr="00CB247B">
        <w:t xml:space="preserve"> and affiliated interest</w:t>
      </w:r>
      <w:r w:rsidR="00560A2A" w:rsidRPr="00CB247B">
        <w:t>s</w:t>
      </w:r>
      <w:r w:rsidR="008246C9" w:rsidRPr="00CB247B">
        <w:t xml:space="preserve"> of </w:t>
      </w:r>
      <w:r w:rsidRPr="00CB247B">
        <w:t xml:space="preserve">public service companies, including </w:t>
      </w:r>
      <w:r w:rsidR="009B5DDC" w:rsidRPr="00CB247B">
        <w:t>gas</w:t>
      </w:r>
      <w:r w:rsidRPr="00CB247B">
        <w:rPr>
          <w:b/>
          <w:bCs/>
        </w:rPr>
        <w:t xml:space="preserve"> </w:t>
      </w:r>
      <w:r w:rsidRPr="00CB247B">
        <w:t xml:space="preserve">companies.  </w:t>
      </w:r>
      <w:r w:rsidRPr="00B6012C">
        <w:rPr>
          <w:i/>
          <w:iCs/>
        </w:rPr>
        <w:t>RCW 80.</w:t>
      </w:r>
      <w:r w:rsidRPr="00B6012C">
        <w:t>01</w:t>
      </w:r>
      <w:r w:rsidRPr="00B6012C">
        <w:rPr>
          <w:i/>
          <w:iCs/>
        </w:rPr>
        <w:t>.040</w:t>
      </w:r>
      <w:r w:rsidR="000B2415" w:rsidRPr="00CB247B">
        <w:rPr>
          <w:i/>
          <w:iCs/>
        </w:rPr>
        <w:t>,</w:t>
      </w:r>
      <w:r w:rsidRPr="00CB247B">
        <w:rPr>
          <w:i/>
          <w:iCs/>
        </w:rPr>
        <w:t xml:space="preserve"> </w:t>
      </w:r>
      <w:r w:rsidR="005579E7" w:rsidRPr="00B6012C">
        <w:rPr>
          <w:i/>
          <w:iCs/>
        </w:rPr>
        <w:t xml:space="preserve">RCW </w:t>
      </w:r>
      <w:r w:rsidRPr="00B6012C">
        <w:rPr>
          <w:i/>
          <w:iCs/>
        </w:rPr>
        <w:t>80.04</w:t>
      </w:r>
      <w:r w:rsidR="000B2415" w:rsidRPr="00CB247B">
        <w:rPr>
          <w:i/>
          <w:iCs/>
        </w:rPr>
        <w:t>,</w:t>
      </w:r>
      <w:r w:rsidR="005579E7" w:rsidRPr="00CB247B">
        <w:rPr>
          <w:i/>
          <w:iCs/>
        </w:rPr>
        <w:t xml:space="preserve"> </w:t>
      </w:r>
      <w:r w:rsidR="005579E7" w:rsidRPr="00B6012C">
        <w:rPr>
          <w:i/>
          <w:iCs/>
        </w:rPr>
        <w:t>RCW</w:t>
      </w:r>
      <w:r w:rsidR="000B2415" w:rsidRPr="00B6012C">
        <w:rPr>
          <w:i/>
          <w:iCs/>
        </w:rPr>
        <w:t xml:space="preserve"> 80.08</w:t>
      </w:r>
      <w:r w:rsidR="00156783" w:rsidRPr="00CB247B">
        <w:rPr>
          <w:i/>
          <w:iCs/>
        </w:rPr>
        <w:t>,</w:t>
      </w:r>
      <w:r w:rsidR="005579E7" w:rsidRPr="00CB247B">
        <w:rPr>
          <w:i/>
          <w:iCs/>
        </w:rPr>
        <w:t xml:space="preserve"> </w:t>
      </w:r>
      <w:r w:rsidR="005579E7" w:rsidRPr="00B6012C">
        <w:rPr>
          <w:i/>
          <w:iCs/>
        </w:rPr>
        <w:t xml:space="preserve">RCW </w:t>
      </w:r>
      <w:r w:rsidR="000B2415" w:rsidRPr="00B6012C">
        <w:rPr>
          <w:i/>
          <w:iCs/>
        </w:rPr>
        <w:t>80.12</w:t>
      </w:r>
      <w:r w:rsidR="00156783" w:rsidRPr="00CB247B">
        <w:rPr>
          <w:i/>
          <w:iCs/>
        </w:rPr>
        <w:t xml:space="preserve">, </w:t>
      </w:r>
      <w:r w:rsidR="008246C9" w:rsidRPr="00B6012C">
        <w:rPr>
          <w:i/>
          <w:iCs/>
        </w:rPr>
        <w:t>RCW 80.16</w:t>
      </w:r>
      <w:r w:rsidR="008246C9" w:rsidRPr="00CB247B">
        <w:rPr>
          <w:i/>
          <w:iCs/>
        </w:rPr>
        <w:t xml:space="preserve"> </w:t>
      </w:r>
      <w:r w:rsidR="00156783" w:rsidRPr="00CB247B">
        <w:rPr>
          <w:i/>
          <w:iCs/>
        </w:rPr>
        <w:t>and</w:t>
      </w:r>
      <w:r w:rsidR="00C979BD" w:rsidRPr="00CB247B">
        <w:rPr>
          <w:i/>
          <w:iCs/>
        </w:rPr>
        <w:t xml:space="preserve"> </w:t>
      </w:r>
      <w:r w:rsidR="00156783" w:rsidRPr="00B6012C">
        <w:rPr>
          <w:i/>
          <w:iCs/>
        </w:rPr>
        <w:t>RCW 80.28</w:t>
      </w:r>
      <w:r w:rsidR="005579E7" w:rsidRPr="00CB247B">
        <w:rPr>
          <w:i/>
          <w:iCs/>
        </w:rPr>
        <w:t>.</w:t>
      </w:r>
      <w:r w:rsidR="00AC1794" w:rsidRPr="00CB247B">
        <w:rPr>
          <w:i/>
          <w:iCs/>
        </w:rPr>
        <w:t xml:space="preserve">  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(2)</w:t>
      </w:r>
      <w:r w:rsidRPr="00CB247B">
        <w:tab/>
      </w:r>
      <w:r w:rsidR="009B5DDC" w:rsidRPr="00CB247B">
        <w:t xml:space="preserve">NW </w:t>
      </w:r>
      <w:proofErr w:type="gramStart"/>
      <w:r w:rsidR="009B5DDC" w:rsidRPr="00CB247B">
        <w:t xml:space="preserve">Natural </w:t>
      </w:r>
      <w:r w:rsidR="00845BCE" w:rsidRPr="00CB247B">
        <w:t xml:space="preserve"> </w:t>
      </w:r>
      <w:r w:rsidRPr="00CB247B">
        <w:t>is</w:t>
      </w:r>
      <w:proofErr w:type="gramEnd"/>
      <w:r w:rsidRPr="00CB247B">
        <w:t xml:space="preserve"> </w:t>
      </w:r>
      <w:r w:rsidR="0098533E" w:rsidRPr="00CB247B">
        <w:rPr>
          <w:noProof/>
        </w:rPr>
        <w:t>a gas</w:t>
      </w:r>
      <w:r w:rsidRPr="00CB247B">
        <w:t xml:space="preserve"> company a</w:t>
      </w:r>
      <w:r w:rsidR="00AB64F8">
        <w:t>nd a public service company subj</w:t>
      </w:r>
      <w:r w:rsidRPr="00CB247B">
        <w:t xml:space="preserve">ect to </w:t>
      </w:r>
      <w:r w:rsidR="00B6012C">
        <w:t>Commission</w:t>
      </w:r>
      <w:r w:rsidR="004E41FF" w:rsidRPr="00CB247B">
        <w:t xml:space="preserve"> </w:t>
      </w:r>
      <w:r w:rsidRPr="00CB247B">
        <w:t>jurisdiction.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(3)</w:t>
      </w:r>
      <w:r w:rsidRPr="00CB247B">
        <w:tab/>
      </w:r>
      <w:r w:rsidRPr="00B6012C">
        <w:t>WAC 480-07-370</w:t>
      </w:r>
      <w:r w:rsidR="00F23EAE" w:rsidRPr="00B6012C">
        <w:t>(1</w:t>
      </w:r>
      <w:proofErr w:type="gramStart"/>
      <w:r w:rsidR="00F23EAE" w:rsidRPr="00B6012C">
        <w:t>)</w:t>
      </w:r>
      <w:r w:rsidRPr="00B6012C">
        <w:t>(</w:t>
      </w:r>
      <w:proofErr w:type="gramEnd"/>
      <w:r w:rsidRPr="00B6012C">
        <w:t>b)</w:t>
      </w:r>
      <w:r w:rsidRPr="00CB247B">
        <w:t>, allows companies to file petition</w:t>
      </w:r>
      <w:r w:rsidR="004E41FF" w:rsidRPr="00CB247B">
        <w:t>s</w:t>
      </w:r>
      <w:r w:rsidRPr="00CB247B">
        <w:t xml:space="preserve"> including that for which </w:t>
      </w:r>
      <w:r w:rsidR="009B5DDC" w:rsidRPr="00CB247B">
        <w:t xml:space="preserve">NW Natural </w:t>
      </w:r>
      <w:r w:rsidRPr="00CB247B">
        <w:rPr>
          <w:b/>
          <w:bCs/>
        </w:rPr>
        <w:t xml:space="preserve"> </w:t>
      </w:r>
      <w:r w:rsidRPr="00CB247B">
        <w:t>seeks approval.</w:t>
      </w:r>
    </w:p>
    <w:p w:rsidR="000A1236" w:rsidRPr="00CB247B" w:rsidRDefault="000A1236">
      <w:pPr>
        <w:spacing w:line="288" w:lineRule="auto"/>
      </w:pPr>
    </w:p>
    <w:p w:rsidR="00D30CD1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(4)</w:t>
      </w:r>
      <w:r w:rsidRPr="00CB247B">
        <w:tab/>
      </w:r>
      <w:r w:rsidR="00B6012C">
        <w:t>Staff</w:t>
      </w:r>
      <w:r w:rsidRPr="00CB247B">
        <w:t xml:space="preserve"> has reviewed the petition in Docket </w:t>
      </w:r>
      <w:r w:rsidR="009B5DDC" w:rsidRPr="00CB247B">
        <w:t>UG-110199</w:t>
      </w:r>
      <w:r w:rsidRPr="00CB247B">
        <w:t xml:space="preserve">.  </w:t>
      </w:r>
    </w:p>
    <w:p w:rsidR="00D30CD1" w:rsidRPr="00CB247B" w:rsidRDefault="00D30CD1" w:rsidP="00D30CD1">
      <w:pPr>
        <w:spacing w:line="288" w:lineRule="auto"/>
      </w:pPr>
    </w:p>
    <w:p w:rsidR="000A1236" w:rsidRPr="00CB247B" w:rsidRDefault="00D30CD1">
      <w:pPr>
        <w:numPr>
          <w:ilvl w:val="0"/>
          <w:numId w:val="1"/>
        </w:numPr>
        <w:spacing w:line="288" w:lineRule="auto"/>
        <w:ind w:left="720" w:hanging="1440"/>
      </w:pPr>
      <w:r w:rsidRPr="00CB247B">
        <w:t>(5)</w:t>
      </w:r>
      <w:r w:rsidRPr="00CB247B">
        <w:tab/>
      </w:r>
      <w:r w:rsidR="00B6012C">
        <w:t>Staff</w:t>
      </w:r>
      <w:r w:rsidR="000A1236" w:rsidRPr="00CB247B">
        <w:t xml:space="preserve"> believes the proposed accounting</w:t>
      </w:r>
      <w:r w:rsidR="000C0449" w:rsidRPr="00CB247B">
        <w:t xml:space="preserve"> order</w:t>
      </w:r>
      <w:r w:rsidR="000A1236" w:rsidRPr="00CB247B">
        <w:t xml:space="preserve"> </w:t>
      </w:r>
      <w:r w:rsidR="009B5DDC" w:rsidRPr="00CB247B">
        <w:t xml:space="preserve">NW Natural </w:t>
      </w:r>
      <w:r w:rsidR="000A1236" w:rsidRPr="00CB247B">
        <w:t>request</w:t>
      </w:r>
      <w:r w:rsidR="00045705" w:rsidRPr="00CB247B">
        <w:t>s</w:t>
      </w:r>
      <w:r w:rsidR="000A1236" w:rsidRPr="00CB247B">
        <w:t xml:space="preserve"> is reasonable and should be </w:t>
      </w:r>
      <w:r w:rsidR="001E31D2" w:rsidRPr="00CB247B">
        <w:t>granted</w:t>
      </w:r>
      <w:r w:rsidR="000A1236" w:rsidRPr="00CB247B">
        <w:t>, subject to</w:t>
      </w:r>
      <w:r w:rsidR="00C979BD" w:rsidRPr="00CB247B">
        <w:t xml:space="preserve"> </w:t>
      </w:r>
      <w:r w:rsidR="00CB247B" w:rsidRPr="00CB247B">
        <w:t>conditions above in paragraph 3 of this order</w:t>
      </w:r>
      <w:r w:rsidR="000A1236" w:rsidRPr="00CB247B">
        <w:t>.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</w:t>
      </w:r>
      <w:r w:rsidR="00D30CD1" w:rsidRPr="00CB247B">
        <w:t>6</w:t>
      </w:r>
      <w:r w:rsidRPr="00CB247B">
        <w:t>)</w:t>
      </w:r>
      <w:r w:rsidRPr="00CB247B">
        <w:tab/>
        <w:t xml:space="preserve">This matter </w:t>
      </w:r>
      <w:r w:rsidR="00045705" w:rsidRPr="00CB247B">
        <w:t>came</w:t>
      </w:r>
      <w:r w:rsidRPr="00CB247B">
        <w:t xml:space="preserve"> before the </w:t>
      </w:r>
      <w:r w:rsidR="00B6012C">
        <w:t>Commission</w:t>
      </w:r>
      <w:r w:rsidRPr="00CB247B">
        <w:t xml:space="preserve"> at its regularly scheduled meeting on</w:t>
      </w:r>
      <w:r w:rsidR="00AC1794" w:rsidRPr="00CB247B">
        <w:t xml:space="preserve"> </w:t>
      </w:r>
      <w:r w:rsidR="009B5DDC" w:rsidRPr="00CB247B">
        <w:t>June 30, 2011</w:t>
      </w:r>
      <w:r w:rsidR="003C2211" w:rsidRPr="00CB247B">
        <w:t>.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</w:t>
      </w:r>
      <w:r w:rsidR="00D30CD1" w:rsidRPr="00CB247B">
        <w:t>7</w:t>
      </w:r>
      <w:r w:rsidRPr="00CB247B">
        <w:t>)</w:t>
      </w:r>
      <w:r w:rsidRPr="00CB247B">
        <w:tab/>
        <w:t xml:space="preserve">After </w:t>
      </w:r>
      <w:r w:rsidR="00103788" w:rsidRPr="00CB247B">
        <w:t>reviewing</w:t>
      </w:r>
      <w:r w:rsidR="003C2211" w:rsidRPr="00CB247B">
        <w:t xml:space="preserve"> </w:t>
      </w:r>
      <w:r w:rsidR="009B5DDC" w:rsidRPr="00CB247B">
        <w:t xml:space="preserve">NW Natural </w:t>
      </w:r>
      <w:r w:rsidR="00B6012C">
        <w:t>‘</w:t>
      </w:r>
      <w:r w:rsidR="00045705" w:rsidRPr="00CB247B">
        <w:t>s</w:t>
      </w:r>
      <w:r w:rsidR="00045705" w:rsidRPr="00CB247B">
        <w:rPr>
          <w:b/>
          <w:bCs/>
        </w:rPr>
        <w:t xml:space="preserve"> </w:t>
      </w:r>
      <w:r w:rsidRPr="00CB247B">
        <w:t xml:space="preserve">petition filed in Docket </w:t>
      </w:r>
      <w:r w:rsidR="009B5DDC" w:rsidRPr="00CB247B">
        <w:t>UG-110199</w:t>
      </w:r>
      <w:r w:rsidRPr="00CB247B">
        <w:t xml:space="preserve"> on </w:t>
      </w:r>
      <w:r w:rsidR="007F7FB7">
        <w:t xml:space="preserve">      </w:t>
      </w:r>
      <w:r w:rsidR="009B5DDC" w:rsidRPr="00CB247B">
        <w:t>January 26, 2011</w:t>
      </w:r>
      <w:r w:rsidR="004D79BF">
        <w:t>,</w:t>
      </w:r>
      <w:r w:rsidRPr="00CB247B">
        <w:t xml:space="preserve"> and giving due consideration to all relevant matters and for good cause shown, the </w:t>
      </w:r>
      <w:r w:rsidR="00B6012C">
        <w:t>Commission</w:t>
      </w:r>
      <w:r w:rsidRPr="00CB247B">
        <w:t xml:space="preserve"> finds that the Petition filed should be </w:t>
      </w:r>
      <w:r w:rsidR="001E31D2" w:rsidRPr="00CB247B">
        <w:t>granted</w:t>
      </w:r>
      <w:r w:rsidR="00CB247B" w:rsidRPr="00CB247B">
        <w:t xml:space="preserve">.  The proposed petition will allow the Company to defer costs associated with environmental remediation of the </w:t>
      </w:r>
      <w:proofErr w:type="spellStart"/>
      <w:r w:rsidR="00CB247B" w:rsidRPr="00CB247B">
        <w:t>Gasco</w:t>
      </w:r>
      <w:proofErr w:type="spellEnd"/>
      <w:r w:rsidR="00CB247B" w:rsidRPr="00CB247B">
        <w:t xml:space="preserve">, </w:t>
      </w:r>
      <w:proofErr w:type="spellStart"/>
      <w:r w:rsidR="00CB247B" w:rsidRPr="00CB247B">
        <w:t>Siltronic</w:t>
      </w:r>
      <w:proofErr w:type="spellEnd"/>
      <w:r w:rsidR="00CB247B" w:rsidRPr="00CB247B">
        <w:t>, Portland Harbor, Tar Deposit</w:t>
      </w:r>
      <w:r w:rsidR="004D79BF">
        <w:t>,</w:t>
      </w:r>
      <w:r w:rsidR="00CB247B" w:rsidRPr="00CB247B">
        <w:t xml:space="preserve"> and Central Gas Holdings sites.</w:t>
      </w:r>
    </w:p>
    <w:p w:rsidR="000A1236" w:rsidRPr="00CB247B" w:rsidRDefault="000A1236">
      <w:pPr>
        <w:pStyle w:val="Heading1"/>
        <w:spacing w:line="288" w:lineRule="auto"/>
      </w:pPr>
    </w:p>
    <w:p w:rsidR="000A1236" w:rsidRPr="00CB247B" w:rsidRDefault="000A1236">
      <w:pPr>
        <w:pStyle w:val="Heading1"/>
        <w:spacing w:line="288" w:lineRule="auto"/>
      </w:pPr>
      <w:r w:rsidRPr="00CB247B">
        <w:t>O</w:t>
      </w:r>
      <w:r w:rsidR="000B2415" w:rsidRPr="00CB247B">
        <w:t xml:space="preserve"> </w:t>
      </w:r>
      <w:r w:rsidRPr="00CB247B">
        <w:t>R</w:t>
      </w:r>
      <w:r w:rsidR="000B2415" w:rsidRPr="00CB247B">
        <w:t xml:space="preserve"> </w:t>
      </w:r>
      <w:r w:rsidRPr="00CB247B">
        <w:t>D</w:t>
      </w:r>
      <w:r w:rsidR="000B2415" w:rsidRPr="00CB247B">
        <w:t xml:space="preserve"> </w:t>
      </w:r>
      <w:r w:rsidRPr="00CB247B">
        <w:t>E</w:t>
      </w:r>
      <w:r w:rsidR="000B2415" w:rsidRPr="00CB247B">
        <w:t xml:space="preserve"> </w:t>
      </w:r>
      <w:r w:rsidRPr="00CB247B">
        <w:t>R</w:t>
      </w:r>
    </w:p>
    <w:p w:rsidR="000A1236" w:rsidRPr="00CB247B" w:rsidRDefault="000A1236"/>
    <w:p w:rsidR="000A1236" w:rsidRPr="00CB247B" w:rsidRDefault="000A1236">
      <w:pPr>
        <w:spacing w:line="288" w:lineRule="auto"/>
        <w:rPr>
          <w:b/>
        </w:rPr>
      </w:pPr>
      <w:r w:rsidRPr="00CB247B">
        <w:rPr>
          <w:b/>
        </w:rPr>
        <w:t xml:space="preserve">THE </w:t>
      </w:r>
      <w:r w:rsidR="00B6012C">
        <w:rPr>
          <w:b/>
        </w:rPr>
        <w:t>COMMISSION</w:t>
      </w:r>
      <w:r w:rsidRPr="00CB247B">
        <w:rPr>
          <w:b/>
        </w:rPr>
        <w:t xml:space="preserve"> ORDERS: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(1)</w:t>
      </w:r>
      <w:r w:rsidRPr="00CB247B">
        <w:tab/>
      </w:r>
      <w:r w:rsidR="009B5DDC" w:rsidRPr="00CB247B">
        <w:t>Northwest Natural Gas Company</w:t>
      </w:r>
      <w:r w:rsidR="00B6012C">
        <w:t>’</w:t>
      </w:r>
      <w:r w:rsidRPr="00CB247B">
        <w:t xml:space="preserve">s request to </w:t>
      </w:r>
      <w:r w:rsidR="00CB247B" w:rsidRPr="00CB247B">
        <w:t xml:space="preserve">defer the costs associated with the environmental remediation of the </w:t>
      </w:r>
      <w:proofErr w:type="spellStart"/>
      <w:r w:rsidR="00CB247B" w:rsidRPr="00CB247B">
        <w:t>Gasco</w:t>
      </w:r>
      <w:proofErr w:type="spellEnd"/>
      <w:r w:rsidR="00CB247B" w:rsidRPr="00CB247B">
        <w:t xml:space="preserve">, </w:t>
      </w:r>
      <w:proofErr w:type="spellStart"/>
      <w:r w:rsidR="00CB247B" w:rsidRPr="00CB247B">
        <w:t>Siltronic</w:t>
      </w:r>
      <w:proofErr w:type="spellEnd"/>
      <w:r w:rsidR="00CB247B" w:rsidRPr="00CB247B">
        <w:t>, Portland Harbor, Tar Deposit</w:t>
      </w:r>
      <w:r w:rsidR="004D79BF">
        <w:t>,</w:t>
      </w:r>
      <w:r w:rsidR="00CB247B" w:rsidRPr="00CB247B">
        <w:t xml:space="preserve"> and Central Gas Holdings sites</w:t>
      </w:r>
      <w:r w:rsidR="00C979BD" w:rsidRPr="00CB247B">
        <w:t xml:space="preserve"> is </w:t>
      </w:r>
      <w:r w:rsidR="001E31D2" w:rsidRPr="00CB247B">
        <w:t>granted</w:t>
      </w:r>
      <w:r w:rsidRPr="00CB247B">
        <w:t>.</w:t>
      </w:r>
    </w:p>
    <w:p w:rsidR="00CB247B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lastRenderedPageBreak/>
        <w:t>(2)</w:t>
      </w:r>
      <w:r w:rsidRPr="00CB247B">
        <w:tab/>
        <w:t xml:space="preserve">This authorization is </w:t>
      </w:r>
      <w:r w:rsidR="00CB247B" w:rsidRPr="00CB247B">
        <w:t>subject to the following conditions:</w:t>
      </w:r>
    </w:p>
    <w:p w:rsidR="00CB247B" w:rsidRPr="00CB247B" w:rsidRDefault="00CB247B" w:rsidP="00CB247B">
      <w:pPr>
        <w:spacing w:line="288" w:lineRule="auto"/>
        <w:ind w:left="720"/>
      </w:pPr>
    </w:p>
    <w:p w:rsidR="00CB247B" w:rsidRPr="00CB247B" w:rsidRDefault="00CB247B" w:rsidP="00CB247B">
      <w:pPr>
        <w:spacing w:line="288" w:lineRule="auto"/>
        <w:ind w:left="1440" w:hanging="720"/>
      </w:pPr>
      <w:r w:rsidRPr="00CB247B">
        <w:t>(a)</w:t>
      </w:r>
      <w:r w:rsidRPr="00CB247B">
        <w:tab/>
      </w:r>
      <w:r w:rsidR="00BA5406">
        <w:t>Northwest Natural Gas Company</w:t>
      </w:r>
      <w:r w:rsidRPr="00CB247B">
        <w:t xml:space="preserve"> will record deferred costs in Account number 186, Other Miscellaneous Deferred Debits. </w:t>
      </w:r>
    </w:p>
    <w:p w:rsidR="00CB247B" w:rsidRPr="00CB247B" w:rsidRDefault="00CB247B" w:rsidP="00CB247B">
      <w:pPr>
        <w:spacing w:line="288" w:lineRule="auto"/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(b)</w:t>
      </w:r>
      <w:r w:rsidRPr="00CB247B">
        <w:rPr>
          <w:rFonts w:ascii="Times New Roman" w:hAnsi="Times New Roman"/>
          <w:sz w:val="24"/>
          <w:szCs w:val="24"/>
        </w:rPr>
        <w:tab/>
      </w:r>
      <w:r w:rsidR="00AB64F8">
        <w:rPr>
          <w:rFonts w:ascii="Times New Roman" w:hAnsi="Times New Roman"/>
          <w:sz w:val="24"/>
          <w:szCs w:val="24"/>
        </w:rPr>
        <w:t>Costs eligible for deferred accounting treatment will include o</w:t>
      </w:r>
      <w:r w:rsidR="00AB64F8" w:rsidRPr="00CB247B">
        <w:rPr>
          <w:rFonts w:ascii="Times New Roman" w:hAnsi="Times New Roman"/>
          <w:sz w:val="24"/>
          <w:szCs w:val="24"/>
        </w:rPr>
        <w:t xml:space="preserve">nly </w:t>
      </w:r>
      <w:r w:rsidR="00AB64F8">
        <w:rPr>
          <w:rFonts w:ascii="Times New Roman" w:hAnsi="Times New Roman"/>
          <w:sz w:val="24"/>
          <w:szCs w:val="24"/>
        </w:rPr>
        <w:t xml:space="preserve">those </w:t>
      </w:r>
      <w:r w:rsidR="00AB64F8" w:rsidRPr="00CB247B">
        <w:rPr>
          <w:rFonts w:ascii="Times New Roman" w:hAnsi="Times New Roman"/>
          <w:sz w:val="24"/>
          <w:szCs w:val="24"/>
        </w:rPr>
        <w:t xml:space="preserve">amounts paid to outside vendors, contractors or attorneys </w:t>
      </w:r>
      <w:r w:rsidR="00BD7920">
        <w:rPr>
          <w:rFonts w:ascii="Times New Roman" w:hAnsi="Times New Roman"/>
          <w:sz w:val="24"/>
          <w:szCs w:val="24"/>
        </w:rPr>
        <w:t xml:space="preserve">for expenditures such as </w:t>
      </w:r>
      <w:r w:rsidR="00BD7920" w:rsidRPr="00CB247B">
        <w:rPr>
          <w:rFonts w:ascii="Times New Roman" w:hAnsi="Times New Roman"/>
          <w:sz w:val="24"/>
          <w:szCs w:val="24"/>
        </w:rPr>
        <w:t>investigation and feasibility studies, sampling, evaluation, monitoring, remediation and litigation</w:t>
      </w:r>
      <w:r w:rsidR="00BD7920">
        <w:rPr>
          <w:rFonts w:ascii="Times New Roman" w:hAnsi="Times New Roman"/>
          <w:sz w:val="24"/>
          <w:szCs w:val="24"/>
        </w:rPr>
        <w:t xml:space="preserve">. </w:t>
      </w:r>
      <w:r w:rsidR="00BA5406">
        <w:rPr>
          <w:rFonts w:ascii="Times New Roman" w:hAnsi="Times New Roman"/>
          <w:sz w:val="24"/>
          <w:szCs w:val="24"/>
        </w:rPr>
        <w:t xml:space="preserve"> </w:t>
      </w:r>
      <w:r w:rsidR="00BD7920">
        <w:rPr>
          <w:rFonts w:ascii="Times New Roman" w:hAnsi="Times New Roman"/>
          <w:sz w:val="24"/>
          <w:szCs w:val="24"/>
        </w:rPr>
        <w:t>Expenditures for i</w:t>
      </w:r>
      <w:r w:rsidR="00BD7920" w:rsidRPr="00CB247B">
        <w:rPr>
          <w:rFonts w:ascii="Times New Roman" w:hAnsi="Times New Roman"/>
          <w:sz w:val="24"/>
          <w:szCs w:val="24"/>
        </w:rPr>
        <w:t>nternal employee salaries or other employee incidental c</w:t>
      </w:r>
      <w:r w:rsidR="00BD7920">
        <w:rPr>
          <w:rFonts w:ascii="Times New Roman" w:hAnsi="Times New Roman"/>
          <w:sz w:val="24"/>
          <w:szCs w:val="24"/>
        </w:rPr>
        <w:t>osts such as hotels, meals etc., are not eligible for deferral.</w:t>
      </w:r>
      <w:r w:rsidR="00AB64F8">
        <w:rPr>
          <w:rFonts w:ascii="Times New Roman" w:hAnsi="Times New Roman"/>
          <w:sz w:val="24"/>
          <w:szCs w:val="24"/>
        </w:rPr>
        <w:t xml:space="preserve"> </w:t>
      </w:r>
      <w:r w:rsidR="00BA5406">
        <w:rPr>
          <w:rFonts w:ascii="Times New Roman" w:hAnsi="Times New Roman"/>
          <w:sz w:val="24"/>
          <w:szCs w:val="24"/>
        </w:rPr>
        <w:t xml:space="preserve"> </w:t>
      </w:r>
      <w:r w:rsidR="00AB64F8">
        <w:rPr>
          <w:rFonts w:ascii="Times New Roman" w:hAnsi="Times New Roman"/>
          <w:sz w:val="24"/>
          <w:szCs w:val="24"/>
        </w:rPr>
        <w:t>O</w:t>
      </w:r>
      <w:r w:rsidR="00AB64F8" w:rsidRPr="00CB247B">
        <w:rPr>
          <w:rFonts w:ascii="Times New Roman" w:hAnsi="Times New Roman"/>
          <w:sz w:val="24"/>
          <w:szCs w:val="24"/>
        </w:rPr>
        <w:t xml:space="preserve">utside legal expenses to defend individual company employees from environmental liability are </w:t>
      </w:r>
      <w:r w:rsidR="00AB64F8">
        <w:rPr>
          <w:rFonts w:ascii="Times New Roman" w:hAnsi="Times New Roman"/>
          <w:sz w:val="24"/>
          <w:szCs w:val="24"/>
        </w:rPr>
        <w:t xml:space="preserve">also </w:t>
      </w:r>
      <w:r w:rsidR="00AB64F8" w:rsidRPr="00CB247B">
        <w:rPr>
          <w:rFonts w:ascii="Times New Roman" w:hAnsi="Times New Roman"/>
          <w:sz w:val="24"/>
          <w:szCs w:val="24"/>
        </w:rPr>
        <w:t>not eligible for deferred accounting treatment.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(c)</w:t>
      </w:r>
      <w:r w:rsidRPr="00CB247B">
        <w:rPr>
          <w:rFonts w:ascii="Times New Roman" w:hAnsi="Times New Roman"/>
          <w:sz w:val="24"/>
          <w:szCs w:val="24"/>
        </w:rPr>
        <w:tab/>
        <w:t>Net deferred costs are the eligible defined costs less any insurance and/or third party proceeds.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(d)</w:t>
      </w:r>
      <w:r w:rsidRPr="00CB247B">
        <w:rPr>
          <w:rFonts w:ascii="Times New Roman" w:hAnsi="Times New Roman"/>
          <w:sz w:val="24"/>
          <w:szCs w:val="24"/>
        </w:rPr>
        <w:tab/>
        <w:t>The prudence of the net deferred costs will be determined in a future rate proceeding.  Deferred costs shown to be imprudent or inappropriate will be subject to disallowance for rate recovery purposes.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(e)</w:t>
      </w:r>
      <w:r w:rsidRPr="00CB247B">
        <w:rPr>
          <w:rFonts w:ascii="Times New Roman" w:hAnsi="Times New Roman"/>
          <w:sz w:val="24"/>
          <w:szCs w:val="24"/>
        </w:rPr>
        <w:tab/>
        <w:t xml:space="preserve">The net deferred costs of the </w:t>
      </w:r>
      <w:proofErr w:type="spellStart"/>
      <w:r w:rsidRPr="00CB247B">
        <w:rPr>
          <w:rFonts w:ascii="Times New Roman" w:hAnsi="Times New Roman"/>
          <w:sz w:val="24"/>
          <w:szCs w:val="24"/>
        </w:rPr>
        <w:t>Gasco</w:t>
      </w:r>
      <w:proofErr w:type="spellEnd"/>
      <w:r w:rsidRPr="00CB24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47B">
        <w:rPr>
          <w:rFonts w:ascii="Times New Roman" w:hAnsi="Times New Roman"/>
          <w:sz w:val="24"/>
          <w:szCs w:val="24"/>
        </w:rPr>
        <w:t>Siltronic</w:t>
      </w:r>
      <w:proofErr w:type="spellEnd"/>
      <w:r w:rsidRPr="00CB247B">
        <w:rPr>
          <w:rFonts w:ascii="Times New Roman" w:hAnsi="Times New Roman"/>
          <w:sz w:val="24"/>
          <w:szCs w:val="24"/>
        </w:rPr>
        <w:t>, Portland Harbor, Tar Deposit and Central Gas Holdings sites when approved for recovery in a general rate case will be amortized over a period determined in that rate case and beginning with the rate effective period of that rate case.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(f)</w:t>
      </w:r>
      <w:r w:rsidRPr="00CB247B">
        <w:rPr>
          <w:rFonts w:ascii="Times New Roman" w:hAnsi="Times New Roman"/>
          <w:sz w:val="24"/>
          <w:szCs w:val="24"/>
        </w:rPr>
        <w:tab/>
        <w:t>Any costs incurred prior to this filing are not eligible for deferred accounting treatment.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BA5406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(g)</w:t>
      </w:r>
      <w:r w:rsidRPr="00CB247B">
        <w:rPr>
          <w:rFonts w:ascii="Times New Roman" w:hAnsi="Times New Roman"/>
          <w:sz w:val="24"/>
          <w:szCs w:val="24"/>
        </w:rPr>
        <w:tab/>
      </w:r>
      <w:r w:rsidR="00BA5406">
        <w:rPr>
          <w:rFonts w:ascii="Times New Roman" w:hAnsi="Times New Roman"/>
          <w:sz w:val="24"/>
          <w:szCs w:val="24"/>
        </w:rPr>
        <w:t>Northwest Natural Gas Company</w:t>
      </w:r>
      <w:r w:rsidRPr="00CB247B">
        <w:rPr>
          <w:rFonts w:ascii="Times New Roman" w:hAnsi="Times New Roman"/>
          <w:sz w:val="24"/>
          <w:szCs w:val="24"/>
        </w:rPr>
        <w:t xml:space="preserve"> will normalize the tax benefits associated with these costs.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(h)</w:t>
      </w:r>
      <w:r w:rsidRPr="00CB247B">
        <w:rPr>
          <w:rFonts w:ascii="Times New Roman" w:hAnsi="Times New Roman"/>
          <w:sz w:val="24"/>
          <w:szCs w:val="24"/>
        </w:rPr>
        <w:tab/>
      </w:r>
      <w:r w:rsidR="00BA5406">
        <w:rPr>
          <w:rFonts w:ascii="Times New Roman" w:hAnsi="Times New Roman"/>
          <w:sz w:val="24"/>
          <w:szCs w:val="24"/>
        </w:rPr>
        <w:t>Northwest Natural Gas Company</w:t>
      </w:r>
      <w:r w:rsidRPr="00CB247B">
        <w:rPr>
          <w:rFonts w:ascii="Times New Roman" w:hAnsi="Times New Roman"/>
          <w:sz w:val="24"/>
          <w:szCs w:val="24"/>
        </w:rPr>
        <w:t xml:space="preserve"> will not accrue interest on the environmental remediation deferral.  The project will be eligible for working capital treatment.</w:t>
      </w:r>
    </w:p>
    <w:p w:rsidR="00CB247B" w:rsidRPr="00CB247B" w:rsidRDefault="00CB247B" w:rsidP="00CB247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B247B" w:rsidRPr="00CB247B" w:rsidRDefault="00CB247B" w:rsidP="00CB247B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CB247B">
        <w:rPr>
          <w:rFonts w:ascii="Times New Roman" w:hAnsi="Times New Roman"/>
          <w:sz w:val="24"/>
          <w:szCs w:val="24"/>
        </w:rPr>
        <w:t>(</w:t>
      </w:r>
      <w:proofErr w:type="spellStart"/>
      <w:r w:rsidRPr="00CB247B">
        <w:rPr>
          <w:rFonts w:ascii="Times New Roman" w:hAnsi="Times New Roman"/>
          <w:sz w:val="24"/>
          <w:szCs w:val="24"/>
        </w:rPr>
        <w:t>i</w:t>
      </w:r>
      <w:proofErr w:type="spellEnd"/>
      <w:r w:rsidRPr="00CB247B">
        <w:rPr>
          <w:rFonts w:ascii="Times New Roman" w:hAnsi="Times New Roman"/>
          <w:sz w:val="24"/>
          <w:szCs w:val="24"/>
        </w:rPr>
        <w:t>)</w:t>
      </w:r>
      <w:r w:rsidRPr="00CB247B">
        <w:rPr>
          <w:rFonts w:ascii="Times New Roman" w:hAnsi="Times New Roman"/>
          <w:sz w:val="24"/>
          <w:szCs w:val="24"/>
        </w:rPr>
        <w:tab/>
      </w:r>
      <w:r w:rsidR="00BA5406">
        <w:rPr>
          <w:rFonts w:ascii="Times New Roman" w:hAnsi="Times New Roman"/>
          <w:sz w:val="24"/>
          <w:szCs w:val="24"/>
        </w:rPr>
        <w:t>Northwest Natural Gas Company</w:t>
      </w:r>
      <w:r w:rsidRPr="00CB247B">
        <w:rPr>
          <w:rFonts w:ascii="Times New Roman" w:hAnsi="Times New Roman"/>
          <w:sz w:val="24"/>
          <w:szCs w:val="24"/>
        </w:rPr>
        <w:t xml:space="preserve"> will file semi-annual reports for the environmental remediation deferral project.</w:t>
      </w:r>
    </w:p>
    <w:p w:rsidR="000A1236" w:rsidRPr="00CB247B" w:rsidRDefault="000A1236">
      <w:pPr>
        <w:spacing w:line="288" w:lineRule="auto"/>
      </w:pPr>
    </w:p>
    <w:p w:rsidR="000A1236" w:rsidRPr="00CB247B" w:rsidRDefault="003C2270">
      <w:pPr>
        <w:numPr>
          <w:ilvl w:val="0"/>
          <w:numId w:val="1"/>
        </w:numPr>
        <w:spacing w:line="288" w:lineRule="auto"/>
        <w:ind w:left="720" w:hanging="1440"/>
      </w:pPr>
      <w:r w:rsidRPr="00CB247B">
        <w:t>(3)</w:t>
      </w:r>
      <w:r w:rsidRPr="00CB247B">
        <w:tab/>
        <w:t>This Order shall not</w:t>
      </w:r>
      <w:r w:rsidR="000A1236" w:rsidRPr="00CB247B">
        <w:t xml:space="preserve"> affect the </w:t>
      </w:r>
      <w:r w:rsidR="00B6012C">
        <w:t>Commission’</w:t>
      </w:r>
      <w:r w:rsidRPr="00CB247B">
        <w:t xml:space="preserve">s </w:t>
      </w:r>
      <w:r w:rsidR="000A1236" w:rsidRPr="00CB247B">
        <w:t>authority over rates, services, accounts, valuations, estima</w:t>
      </w:r>
      <w:r w:rsidRPr="00CB247B">
        <w:t>tes, or determination of costs</w:t>
      </w:r>
      <w:r w:rsidR="00537A6E" w:rsidRPr="00CB247B">
        <w:t xml:space="preserve">, </w:t>
      </w:r>
      <w:r w:rsidR="00210528" w:rsidRPr="00CB247B">
        <w:t xml:space="preserve">on </w:t>
      </w:r>
      <w:r w:rsidRPr="00CB247B">
        <w:t xml:space="preserve">any matters </w:t>
      </w:r>
      <w:r w:rsidR="000A1236" w:rsidRPr="00CB247B">
        <w:t>that may come before it</w:t>
      </w:r>
      <w:r w:rsidR="00537A6E" w:rsidRPr="00CB247B">
        <w:t xml:space="preserve">.  </w:t>
      </w:r>
      <w:r w:rsidR="00210528" w:rsidRPr="00CB247B">
        <w:t xml:space="preserve">Nor shall this Order granting </w:t>
      </w:r>
      <w:r w:rsidR="00BC1539">
        <w:t xml:space="preserve">the </w:t>
      </w:r>
      <w:r w:rsidR="00210528" w:rsidRPr="00CB247B">
        <w:t>Petition</w:t>
      </w:r>
      <w:r w:rsidR="00537A6E" w:rsidRPr="00CB247B">
        <w:t xml:space="preserve"> </w:t>
      </w:r>
      <w:r w:rsidR="000A1236" w:rsidRPr="00CB247B">
        <w:t xml:space="preserve">be construed </w:t>
      </w:r>
      <w:r w:rsidR="00210528" w:rsidRPr="00CB247B">
        <w:t xml:space="preserve">as </w:t>
      </w:r>
      <w:r w:rsidR="00537A6E" w:rsidRPr="00CB247B">
        <w:t xml:space="preserve">an </w:t>
      </w:r>
      <w:r w:rsidR="00537A6E" w:rsidRPr="00CB247B">
        <w:lastRenderedPageBreak/>
        <w:t>agreement</w:t>
      </w:r>
      <w:r w:rsidR="00AD405A" w:rsidRPr="00CB247B">
        <w:t xml:space="preserve"> to</w:t>
      </w:r>
      <w:r w:rsidR="000A1236" w:rsidRPr="00CB247B">
        <w:t xml:space="preserve"> any estimate or determination of costs</w:t>
      </w:r>
      <w:r w:rsidR="00537A6E" w:rsidRPr="00CB247B">
        <w:t>, or any valuation of property</w:t>
      </w:r>
      <w:r w:rsidR="000A1236" w:rsidRPr="00CB247B">
        <w:t xml:space="preserve"> claimed or asserted.</w:t>
      </w:r>
    </w:p>
    <w:p w:rsidR="00491C72" w:rsidRPr="00CB247B" w:rsidRDefault="00491C72" w:rsidP="00491C72">
      <w:pPr>
        <w:spacing w:line="288" w:lineRule="auto"/>
      </w:pPr>
    </w:p>
    <w:p w:rsidR="000A1236" w:rsidRPr="00CB247B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B247B">
        <w:t>(4)</w:t>
      </w:r>
      <w:r w:rsidRPr="00CB247B">
        <w:tab/>
        <w:t xml:space="preserve">The </w:t>
      </w:r>
      <w:r w:rsidR="00B6012C">
        <w:t>Commission</w:t>
      </w:r>
      <w:r w:rsidRPr="00CB247B">
        <w:t xml:space="preserve"> retains jurisdiction over the subject matter and </w:t>
      </w:r>
      <w:r w:rsidR="009B5DDC" w:rsidRPr="00CB247B">
        <w:t>Northwest Natural Gas Company</w:t>
      </w:r>
      <w:r w:rsidRPr="00CB247B">
        <w:rPr>
          <w:b/>
          <w:bCs/>
        </w:rPr>
        <w:t xml:space="preserve"> </w:t>
      </w:r>
      <w:r w:rsidRPr="00CB247B">
        <w:t>to effectuate the provisions of this Order.</w:t>
      </w:r>
    </w:p>
    <w:p w:rsidR="000A1236" w:rsidRPr="00CB247B" w:rsidRDefault="000A1236">
      <w:pPr>
        <w:spacing w:line="288" w:lineRule="auto"/>
      </w:pPr>
    </w:p>
    <w:p w:rsidR="003C2270" w:rsidRPr="00CB247B" w:rsidRDefault="000A1236">
      <w:pPr>
        <w:spacing w:line="288" w:lineRule="auto"/>
      </w:pPr>
      <w:r w:rsidRPr="00CB247B">
        <w:t xml:space="preserve">The </w:t>
      </w:r>
      <w:r w:rsidR="00B6012C">
        <w:t>Commission</w:t>
      </w:r>
      <w:r w:rsidRPr="00CB247B">
        <w:t>ers, having determined this Order to be consistent with the public interest, directed the Secretary to enter this Order.</w:t>
      </w:r>
      <w:r w:rsidR="003C2270" w:rsidRPr="00CB247B">
        <w:t xml:space="preserve"> </w:t>
      </w:r>
    </w:p>
    <w:p w:rsidR="003C2270" w:rsidRPr="00CB247B" w:rsidRDefault="003C2270">
      <w:pPr>
        <w:spacing w:line="288" w:lineRule="auto"/>
      </w:pPr>
    </w:p>
    <w:p w:rsidR="000A1236" w:rsidRPr="00CB247B" w:rsidRDefault="000A1236">
      <w:pPr>
        <w:spacing w:line="288" w:lineRule="auto"/>
      </w:pPr>
      <w:proofErr w:type="gramStart"/>
      <w:r w:rsidRPr="00CB247B">
        <w:t xml:space="preserve">DATED at Olympia, Washington, and effective </w:t>
      </w:r>
      <w:r w:rsidR="009B5DDC" w:rsidRPr="00CB247B">
        <w:rPr>
          <w:bCs/>
        </w:rPr>
        <w:t>June 30, 2011</w:t>
      </w:r>
      <w:r w:rsidRPr="00CB247B">
        <w:t>.</w:t>
      </w:r>
      <w:proofErr w:type="gramEnd"/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spacing w:line="288" w:lineRule="auto"/>
        <w:jc w:val="center"/>
      </w:pPr>
      <w:r w:rsidRPr="00CB247B">
        <w:t xml:space="preserve">WASHINGTON UTILITIES AND TRANSPORTATION </w:t>
      </w:r>
      <w:r w:rsidR="00B6012C">
        <w:t>COMMISSION</w:t>
      </w: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spacing w:line="288" w:lineRule="auto"/>
      </w:pPr>
    </w:p>
    <w:p w:rsidR="000A1236" w:rsidRPr="00CB247B" w:rsidRDefault="000A1236">
      <w:pPr>
        <w:spacing w:line="288" w:lineRule="auto"/>
      </w:pPr>
    </w:p>
    <w:p w:rsidR="0080664E" w:rsidRPr="00CB247B" w:rsidRDefault="00492F8B" w:rsidP="00AB64F8">
      <w:pPr>
        <w:spacing w:line="288" w:lineRule="auto"/>
        <w:ind w:left="2160" w:firstLine="720"/>
        <w:rPr>
          <w:b/>
          <w:color w:val="FF0000"/>
        </w:rPr>
      </w:pPr>
      <w:r w:rsidRPr="00CB247B">
        <w:t>DAVID W. DANNER, Executive Director</w:t>
      </w:r>
      <w:r w:rsidR="00783B91" w:rsidRPr="00CB247B">
        <w:t xml:space="preserve"> and Secretary</w:t>
      </w:r>
      <w:r w:rsidR="0080664E" w:rsidRPr="00CB247B">
        <w:rPr>
          <w:b/>
          <w:color w:val="FF0000"/>
        </w:rPr>
        <w:t xml:space="preserve"> </w:t>
      </w:r>
    </w:p>
    <w:p w:rsidR="0080664E" w:rsidRPr="00CB247B" w:rsidRDefault="0080664E" w:rsidP="003C2270">
      <w:pPr>
        <w:spacing w:line="288" w:lineRule="auto"/>
        <w:ind w:left="2880"/>
        <w:rPr>
          <w:b/>
          <w:color w:val="FF0000"/>
        </w:rPr>
      </w:pPr>
    </w:p>
    <w:p w:rsidR="000A1236" w:rsidRPr="00CB247B" w:rsidRDefault="000A1236" w:rsidP="003C2270">
      <w:pPr>
        <w:spacing w:line="288" w:lineRule="auto"/>
        <w:ind w:left="2880"/>
        <w:rPr>
          <w:b/>
          <w:i/>
          <w:color w:val="008080"/>
        </w:rPr>
      </w:pPr>
    </w:p>
    <w:p w:rsidR="009225C4" w:rsidRDefault="009225C4">
      <w:pPr>
        <w:spacing w:line="288" w:lineRule="auto"/>
        <w:rPr>
          <w:i/>
        </w:rPr>
      </w:pPr>
    </w:p>
    <w:p w:rsidR="009225C4" w:rsidRDefault="009225C4">
      <w:pPr>
        <w:spacing w:line="288" w:lineRule="auto"/>
        <w:rPr>
          <w:i/>
        </w:rPr>
      </w:pPr>
    </w:p>
    <w:p w:rsidR="009225C4" w:rsidRDefault="009225C4">
      <w:pPr>
        <w:spacing w:line="288" w:lineRule="auto"/>
        <w:rPr>
          <w:i/>
        </w:rPr>
      </w:pPr>
    </w:p>
    <w:p w:rsidR="009225C4" w:rsidRDefault="009225C4">
      <w:pPr>
        <w:spacing w:line="288" w:lineRule="auto"/>
        <w:rPr>
          <w:i/>
        </w:rPr>
      </w:pPr>
    </w:p>
    <w:p w:rsidR="007D62FB" w:rsidRPr="00CB247B" w:rsidRDefault="003C2270">
      <w:pPr>
        <w:spacing w:line="288" w:lineRule="auto"/>
      </w:pPr>
      <w:r w:rsidRPr="00CB247B">
        <w:rPr>
          <w:i/>
        </w:rPr>
        <w:tab/>
      </w:r>
      <w:r w:rsidRPr="00CB247B">
        <w:rPr>
          <w:i/>
        </w:rPr>
        <w:tab/>
      </w:r>
    </w:p>
    <w:sectPr w:rsidR="007D62FB" w:rsidRPr="00CB247B" w:rsidSect="00940E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BF" w:rsidRDefault="004D79BF">
      <w:r>
        <w:separator/>
      </w:r>
    </w:p>
  </w:endnote>
  <w:endnote w:type="continuationSeparator" w:id="0">
    <w:p w:rsidR="004D79BF" w:rsidRDefault="004D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Default="004D79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Default="004D79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Default="004D7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BF" w:rsidRDefault="004D79BF">
      <w:r>
        <w:separator/>
      </w:r>
    </w:p>
  </w:footnote>
  <w:footnote w:type="continuationSeparator" w:id="0">
    <w:p w:rsidR="004D79BF" w:rsidRDefault="004D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Default="004D79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Pr="00A748CC" w:rsidRDefault="004D79BF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B5DDC">
      <w:rPr>
        <w:b/>
        <w:sz w:val="20"/>
      </w:rPr>
      <w:t>UG-110199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C3EB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9C3EBF" w:rsidRPr="00A748CC">
      <w:rPr>
        <w:rStyle w:val="PageNumber"/>
        <w:b/>
        <w:sz w:val="20"/>
      </w:rPr>
      <w:fldChar w:fldCharType="separate"/>
    </w:r>
    <w:r w:rsidR="00184072">
      <w:rPr>
        <w:rStyle w:val="PageNumber"/>
        <w:b/>
        <w:noProof/>
        <w:sz w:val="20"/>
      </w:rPr>
      <w:t>2</w:t>
    </w:r>
    <w:r w:rsidR="009C3EBF" w:rsidRPr="00A748CC">
      <w:rPr>
        <w:rStyle w:val="PageNumber"/>
        <w:b/>
        <w:sz w:val="20"/>
      </w:rPr>
      <w:fldChar w:fldCharType="end"/>
    </w:r>
  </w:p>
  <w:p w:rsidR="004D79BF" w:rsidRPr="0050337D" w:rsidRDefault="004D79BF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B5DDC">
      <w:rPr>
        <w:b/>
        <w:sz w:val="20"/>
      </w:rPr>
      <w:t>01</w:t>
    </w:r>
  </w:p>
  <w:p w:rsidR="004D79BF" w:rsidRPr="00C923D6" w:rsidRDefault="004D79BF">
    <w:pPr>
      <w:pStyle w:val="Header"/>
      <w:rPr>
        <w:rStyle w:val="PageNumber"/>
        <w:sz w:val="20"/>
      </w:rPr>
    </w:pPr>
  </w:p>
  <w:p w:rsidR="004D79BF" w:rsidRPr="00C923D6" w:rsidRDefault="004D79BF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BF" w:rsidRDefault="004D79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545E0"/>
    <w:multiLevelType w:val="hybridMultilevel"/>
    <w:tmpl w:val="EC086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68"/>
    <w:rsid w:val="00020192"/>
    <w:rsid w:val="0002621F"/>
    <w:rsid w:val="00045705"/>
    <w:rsid w:val="00057BB3"/>
    <w:rsid w:val="000760D1"/>
    <w:rsid w:val="00091998"/>
    <w:rsid w:val="000A1236"/>
    <w:rsid w:val="000B2415"/>
    <w:rsid w:val="000B32AF"/>
    <w:rsid w:val="000C0449"/>
    <w:rsid w:val="000F3DFC"/>
    <w:rsid w:val="00103788"/>
    <w:rsid w:val="001223E6"/>
    <w:rsid w:val="00137B5D"/>
    <w:rsid w:val="00156783"/>
    <w:rsid w:val="001656C0"/>
    <w:rsid w:val="00184072"/>
    <w:rsid w:val="00191FEF"/>
    <w:rsid w:val="001A2CF4"/>
    <w:rsid w:val="001A7992"/>
    <w:rsid w:val="001B38A6"/>
    <w:rsid w:val="001E31D2"/>
    <w:rsid w:val="001F3B92"/>
    <w:rsid w:val="00210528"/>
    <w:rsid w:val="0021323F"/>
    <w:rsid w:val="00217507"/>
    <w:rsid w:val="00267B11"/>
    <w:rsid w:val="00281423"/>
    <w:rsid w:val="002A288F"/>
    <w:rsid w:val="002A391C"/>
    <w:rsid w:val="002F257F"/>
    <w:rsid w:val="00304BB0"/>
    <w:rsid w:val="00346208"/>
    <w:rsid w:val="003919D4"/>
    <w:rsid w:val="0039735B"/>
    <w:rsid w:val="003C2211"/>
    <w:rsid w:val="003C2270"/>
    <w:rsid w:val="0043185D"/>
    <w:rsid w:val="00435481"/>
    <w:rsid w:val="004376D1"/>
    <w:rsid w:val="00446310"/>
    <w:rsid w:val="00452AAF"/>
    <w:rsid w:val="00491C72"/>
    <w:rsid w:val="00492F8B"/>
    <w:rsid w:val="004D79BF"/>
    <w:rsid w:val="004E41FF"/>
    <w:rsid w:val="004E7207"/>
    <w:rsid w:val="004F2FCB"/>
    <w:rsid w:val="00512EC6"/>
    <w:rsid w:val="00525321"/>
    <w:rsid w:val="00537A6E"/>
    <w:rsid w:val="005579E7"/>
    <w:rsid w:val="00560A2A"/>
    <w:rsid w:val="00576A68"/>
    <w:rsid w:val="005A0FF8"/>
    <w:rsid w:val="005A1E76"/>
    <w:rsid w:val="006262B3"/>
    <w:rsid w:val="006973B2"/>
    <w:rsid w:val="006C4048"/>
    <w:rsid w:val="00704BAB"/>
    <w:rsid w:val="00706D7A"/>
    <w:rsid w:val="007133EB"/>
    <w:rsid w:val="007147E9"/>
    <w:rsid w:val="00721170"/>
    <w:rsid w:val="007308FD"/>
    <w:rsid w:val="007454F4"/>
    <w:rsid w:val="00757BAE"/>
    <w:rsid w:val="0076326D"/>
    <w:rsid w:val="00775B9E"/>
    <w:rsid w:val="00782C48"/>
    <w:rsid w:val="00783B91"/>
    <w:rsid w:val="00794B81"/>
    <w:rsid w:val="007D4C59"/>
    <w:rsid w:val="007D62FB"/>
    <w:rsid w:val="007E6159"/>
    <w:rsid w:val="007F7FB7"/>
    <w:rsid w:val="0080664E"/>
    <w:rsid w:val="008246C9"/>
    <w:rsid w:val="00830EB3"/>
    <w:rsid w:val="00840ABC"/>
    <w:rsid w:val="00845BCE"/>
    <w:rsid w:val="00877DEC"/>
    <w:rsid w:val="00887761"/>
    <w:rsid w:val="008A75BB"/>
    <w:rsid w:val="008B6F84"/>
    <w:rsid w:val="008F66CE"/>
    <w:rsid w:val="00907957"/>
    <w:rsid w:val="009225C4"/>
    <w:rsid w:val="00922662"/>
    <w:rsid w:val="00922FA8"/>
    <w:rsid w:val="0092543D"/>
    <w:rsid w:val="00940BAA"/>
    <w:rsid w:val="00940E71"/>
    <w:rsid w:val="00941285"/>
    <w:rsid w:val="0098533E"/>
    <w:rsid w:val="009A27F0"/>
    <w:rsid w:val="009B3E4E"/>
    <w:rsid w:val="009B5DDC"/>
    <w:rsid w:val="009C3EBF"/>
    <w:rsid w:val="009D5E0A"/>
    <w:rsid w:val="00A2131C"/>
    <w:rsid w:val="00A22407"/>
    <w:rsid w:val="00A26911"/>
    <w:rsid w:val="00A32948"/>
    <w:rsid w:val="00A34118"/>
    <w:rsid w:val="00A3599C"/>
    <w:rsid w:val="00A6402D"/>
    <w:rsid w:val="00AB64F8"/>
    <w:rsid w:val="00AC1794"/>
    <w:rsid w:val="00AD405A"/>
    <w:rsid w:val="00B6012C"/>
    <w:rsid w:val="00B7132A"/>
    <w:rsid w:val="00BA5406"/>
    <w:rsid w:val="00BC1539"/>
    <w:rsid w:val="00BD5323"/>
    <w:rsid w:val="00BD6086"/>
    <w:rsid w:val="00BD7920"/>
    <w:rsid w:val="00C40733"/>
    <w:rsid w:val="00C622F6"/>
    <w:rsid w:val="00C87791"/>
    <w:rsid w:val="00C923D6"/>
    <w:rsid w:val="00C979BD"/>
    <w:rsid w:val="00CB247B"/>
    <w:rsid w:val="00CD75FE"/>
    <w:rsid w:val="00D30CD1"/>
    <w:rsid w:val="00D75862"/>
    <w:rsid w:val="00D8358F"/>
    <w:rsid w:val="00D842FB"/>
    <w:rsid w:val="00D938E7"/>
    <w:rsid w:val="00DA0056"/>
    <w:rsid w:val="00DD589F"/>
    <w:rsid w:val="00DF029B"/>
    <w:rsid w:val="00E00733"/>
    <w:rsid w:val="00E02724"/>
    <w:rsid w:val="00E36BC8"/>
    <w:rsid w:val="00E4683D"/>
    <w:rsid w:val="00E67931"/>
    <w:rsid w:val="00E8335A"/>
    <w:rsid w:val="00EE6A09"/>
    <w:rsid w:val="00F03613"/>
    <w:rsid w:val="00F23EAE"/>
    <w:rsid w:val="00F54B0B"/>
    <w:rsid w:val="00F75266"/>
    <w:rsid w:val="00FC0341"/>
    <w:rsid w:val="00FC27F2"/>
    <w:rsid w:val="00FE2919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423"/>
    <w:rPr>
      <w:sz w:val="24"/>
      <w:szCs w:val="24"/>
    </w:rPr>
  </w:style>
  <w:style w:type="paragraph" w:styleId="Heading1">
    <w:name w:val="heading 1"/>
    <w:basedOn w:val="Normal"/>
    <w:next w:val="Normal"/>
    <w:qFormat/>
    <w:rsid w:val="002814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1423"/>
    <w:pPr>
      <w:jc w:val="center"/>
    </w:pPr>
  </w:style>
  <w:style w:type="paragraph" w:styleId="Header">
    <w:name w:val="header"/>
    <w:basedOn w:val="Normal"/>
    <w:rsid w:val="00281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14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1423"/>
  </w:style>
  <w:style w:type="paragraph" w:customStyle="1" w:styleId="Findings">
    <w:name w:val="Findings"/>
    <w:basedOn w:val="Normal"/>
    <w:rsid w:val="00281423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82C48"/>
    <w:pPr>
      <w:ind w:left="720"/>
      <w:contextualSpacing/>
    </w:pPr>
    <w:rPr>
      <w:rFonts w:ascii="Calibri" w:eastAsia="Calibri" w:hAnsi="Calibri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6850D7971A8246B0AEA6B190C5A2DA" ma:contentTypeVersion="143" ma:contentTypeDescription="" ma:contentTypeScope="" ma:versionID="637ca4eb831b2b81280fe05f1f09d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2011-01-26T08:00:00+00:00</OpenedDate>
    <Date1 xmlns="dc463f71-b30c-4ab2-9473-d307f9d35888">2011-06-30T07:00:00+00:00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110199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09A082-B331-43CC-8027-BEC736927F3D}"/>
</file>

<file path=customXml/itemProps2.xml><?xml version="1.0" encoding="utf-8"?>
<ds:datastoreItem xmlns:ds="http://schemas.openxmlformats.org/officeDocument/2006/customXml" ds:itemID="{1118EB4F-C8DD-4780-897E-2FF893D158DB}"/>
</file>

<file path=customXml/itemProps3.xml><?xml version="1.0" encoding="utf-8"?>
<ds:datastoreItem xmlns:ds="http://schemas.openxmlformats.org/officeDocument/2006/customXml" ds:itemID="{54BDFC14-DEB0-427F-95CA-97D031006F3F}"/>
</file>

<file path=customXml/itemProps4.xml><?xml version="1.0" encoding="utf-8"?>
<ds:datastoreItem xmlns:ds="http://schemas.openxmlformats.org/officeDocument/2006/customXml" ds:itemID="{CFD64A81-2522-4B4C-8749-9EFC259EB729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1</TotalTime>
  <Pages>5</Pages>
  <Words>1198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UG-110199</vt:lpstr>
    </vt:vector>
  </TitlesOfParts>
  <Company>WUTC</Company>
  <LinksUpToDate>false</LinksUpToDate>
  <CharactersWithSpaces>7948</CharactersWithSpaces>
  <SharedDoc>false</SharedDoc>
  <HLinks>
    <vt:vector size="54" baseType="variant">
      <vt:variant>
        <vt:i4>2490368</vt:i4>
      </vt:variant>
      <vt:variant>
        <vt:i4>159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UG-110199</dc:title>
  <dc:subject/>
  <dc:creator>Edward Keating</dc:creator>
  <cp:keywords/>
  <dc:description/>
  <cp:lastModifiedBy> Cathy Kern</cp:lastModifiedBy>
  <cp:revision>2</cp:revision>
  <cp:lastPrinted>2007-11-03T16:14:00Z</cp:lastPrinted>
  <dcterms:created xsi:type="dcterms:W3CDTF">2011-06-30T17:54:00Z</dcterms:created>
  <dcterms:modified xsi:type="dcterms:W3CDTF">2011-06-30T17:54:00Z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0x0101006E56B4D1795A2E4DB2F0B01679ED314A00056850D7971A8246B0AEA6B190C5A2DA</vt:lpwstr>
  </property>
  <property fmtid="{D5CDD505-2E9C-101B-9397-08002B2CF9AE}" pid="3" name="_docset_NoMedatataSyncRequired">
    <vt:lpwstr>False</vt:lpwstr>
  </property>
</Properties>
</file>