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73F" w:rsidRPr="00EE3ECD" w:rsidRDefault="0088373F" w:rsidP="00655ACB">
      <w:pPr>
        <w:pStyle w:val="single"/>
        <w:widowControl w:val="0"/>
        <w:spacing w:before="0" w:line="240" w:lineRule="auto"/>
        <w:ind w:left="4320" w:firstLine="0"/>
        <w:rPr>
          <w:rStyle w:val="Strong"/>
          <w:rFonts w:ascii="Times New Roman" w:hAnsi="Times New Roman"/>
        </w:rPr>
      </w:pPr>
      <w:r w:rsidRPr="00EE3ECD">
        <w:rPr>
          <w:rStyle w:val="Strong"/>
          <w:rFonts w:ascii="Times New Roman" w:hAnsi="Times New Roman"/>
        </w:rPr>
        <w:t>EXHIBIT NO. ___(</w:t>
      </w:r>
      <w:r w:rsidR="002C087C">
        <w:rPr>
          <w:rStyle w:val="Strong"/>
          <w:rFonts w:ascii="Times New Roman" w:hAnsi="Times New Roman"/>
        </w:rPr>
        <w:t>DAD</w:t>
      </w:r>
      <w:r w:rsidRPr="00EE3ECD">
        <w:rPr>
          <w:rStyle w:val="Strong"/>
          <w:rFonts w:ascii="Times New Roman" w:hAnsi="Times New Roman"/>
        </w:rPr>
        <w:t>-</w:t>
      </w:r>
      <w:r w:rsidR="006B09BA">
        <w:rPr>
          <w:rStyle w:val="Strong"/>
          <w:rFonts w:ascii="Times New Roman" w:hAnsi="Times New Roman"/>
        </w:rPr>
        <w:t>8</w:t>
      </w:r>
      <w:r w:rsidRPr="00EE3ECD">
        <w:rPr>
          <w:rStyle w:val="Strong"/>
          <w:rFonts w:ascii="Times New Roman" w:hAnsi="Times New Roman"/>
        </w:rPr>
        <w:t>T)</w:t>
      </w:r>
      <w:r w:rsidRPr="00EE3ECD">
        <w:rPr>
          <w:rStyle w:val="Strong"/>
          <w:rFonts w:ascii="Times New Roman" w:hAnsi="Times New Roman"/>
        </w:rPr>
        <w:br/>
        <w:t>DOCKET NO. UE-121697/UG-121705</w:t>
      </w:r>
      <w:r w:rsidRPr="00EE3ECD">
        <w:rPr>
          <w:rStyle w:val="Strong"/>
          <w:rFonts w:ascii="Times New Roman" w:hAnsi="Times New Roman"/>
        </w:rPr>
        <w:br/>
        <w:t>DOCKET NO. UE-130137/</w:t>
      </w:r>
      <w:r w:rsidR="00935EFE" w:rsidRPr="00EE3ECD">
        <w:rPr>
          <w:rStyle w:val="Strong"/>
          <w:rFonts w:ascii="Times New Roman" w:hAnsi="Times New Roman"/>
        </w:rPr>
        <w:t>UG-</w:t>
      </w:r>
      <w:r w:rsidRPr="00EE3ECD">
        <w:rPr>
          <w:rStyle w:val="Strong"/>
          <w:rFonts w:ascii="Times New Roman" w:hAnsi="Times New Roman"/>
        </w:rPr>
        <w:t>130138</w:t>
      </w:r>
      <w:r w:rsidRPr="00EE3ECD">
        <w:rPr>
          <w:rStyle w:val="Strong"/>
          <w:rFonts w:ascii="Times New Roman" w:hAnsi="Times New Roman"/>
        </w:rPr>
        <w:br/>
        <w:t>WITNESS:  </w:t>
      </w:r>
      <w:r w:rsidR="002C087C">
        <w:rPr>
          <w:b/>
          <w:lang w:eastAsia="en-US"/>
        </w:rPr>
        <w:t>DANIEL A. DOYLE</w:t>
      </w:r>
    </w:p>
    <w:p w:rsidR="00655ACB" w:rsidRPr="00EE3ECD" w:rsidRDefault="00655ACB" w:rsidP="00655ACB">
      <w:pPr>
        <w:pStyle w:val="center"/>
        <w:keepLines w:val="0"/>
        <w:widowControl w:val="0"/>
        <w:spacing w:before="0" w:line="240" w:lineRule="auto"/>
        <w:rPr>
          <w:rFonts w:ascii="Times New Roman" w:hAnsi="Times New Roman"/>
          <w:b/>
        </w:rPr>
      </w:pPr>
    </w:p>
    <w:p w:rsidR="00655ACB" w:rsidRPr="00EE3ECD" w:rsidRDefault="00655ACB" w:rsidP="00655ACB">
      <w:pPr>
        <w:pStyle w:val="center"/>
        <w:keepLines w:val="0"/>
        <w:widowControl w:val="0"/>
        <w:spacing w:before="0" w:line="240" w:lineRule="auto"/>
        <w:rPr>
          <w:rFonts w:ascii="Times New Roman" w:hAnsi="Times New Roman"/>
          <w:b/>
        </w:rPr>
      </w:pPr>
    </w:p>
    <w:p w:rsidR="00655ACB" w:rsidRPr="00EE3ECD" w:rsidRDefault="00655ACB" w:rsidP="00655ACB">
      <w:pPr>
        <w:pStyle w:val="center"/>
        <w:keepLines w:val="0"/>
        <w:widowControl w:val="0"/>
        <w:spacing w:before="0" w:line="240" w:lineRule="auto"/>
        <w:rPr>
          <w:rFonts w:ascii="Times New Roman" w:hAnsi="Times New Roman"/>
          <w:b/>
        </w:rPr>
      </w:pPr>
    </w:p>
    <w:p w:rsidR="0088373F" w:rsidRPr="00EE3ECD" w:rsidRDefault="0088373F" w:rsidP="00655ACB">
      <w:pPr>
        <w:pStyle w:val="center"/>
        <w:keepLines w:val="0"/>
        <w:widowControl w:val="0"/>
        <w:spacing w:before="0" w:line="240" w:lineRule="auto"/>
        <w:rPr>
          <w:rFonts w:ascii="Times New Roman" w:hAnsi="Times New Roman"/>
          <w:b/>
        </w:rPr>
      </w:pPr>
      <w:r w:rsidRPr="00EE3ECD">
        <w:rPr>
          <w:rFonts w:ascii="Times New Roman" w:hAnsi="Times New Roman"/>
          <w:b/>
        </w:rPr>
        <w:t>BEFORE THE</w:t>
      </w:r>
    </w:p>
    <w:p w:rsidR="0088373F" w:rsidRPr="00EE3ECD" w:rsidRDefault="0088373F" w:rsidP="00655ACB">
      <w:pPr>
        <w:pStyle w:val="center"/>
        <w:keepLines w:val="0"/>
        <w:widowControl w:val="0"/>
        <w:spacing w:before="0" w:line="240" w:lineRule="auto"/>
        <w:rPr>
          <w:rFonts w:ascii="Times New Roman" w:hAnsi="Times New Roman"/>
          <w:b/>
        </w:rPr>
      </w:pPr>
      <w:r w:rsidRPr="00EE3ECD">
        <w:rPr>
          <w:rFonts w:ascii="Times New Roman" w:hAnsi="Times New Roman"/>
          <w:b/>
        </w:rPr>
        <w:t>WASHINGTON UTILITIES AND TRANSPORTATION COMMISSION</w:t>
      </w:r>
    </w:p>
    <w:p w:rsidR="0088373F" w:rsidRPr="00EE3ECD" w:rsidRDefault="0088373F" w:rsidP="00655ACB">
      <w:pPr>
        <w:pStyle w:val="center"/>
        <w:keepLines w:val="0"/>
        <w:widowControl w:val="0"/>
        <w:spacing w:before="0" w:line="240" w:lineRule="auto"/>
        <w:rPr>
          <w:rFonts w:ascii="Times New Roman" w:hAnsi="Times New Roman"/>
          <w:b/>
        </w:rPr>
      </w:pPr>
    </w:p>
    <w:p w:rsidR="007678F0" w:rsidRPr="00EE3ECD" w:rsidRDefault="007678F0" w:rsidP="00655ACB">
      <w:pPr>
        <w:pStyle w:val="center"/>
        <w:keepLines w:val="0"/>
        <w:widowControl w:val="0"/>
        <w:spacing w:before="0" w:line="240" w:lineRule="auto"/>
        <w:rPr>
          <w:rFonts w:ascii="Times New Roman" w:hAnsi="Times New Roman"/>
          <w:b/>
        </w:rPr>
      </w:pPr>
    </w:p>
    <w:p w:rsidR="00625D99" w:rsidRPr="00EE3ECD" w:rsidRDefault="00625D99" w:rsidP="00655ACB">
      <w:pPr>
        <w:pStyle w:val="center"/>
        <w:keepLines w:val="0"/>
        <w:widowControl w:val="0"/>
        <w:spacing w:before="0" w:line="240" w:lineRule="auto"/>
        <w:rPr>
          <w:rFonts w:ascii="Times New Roman" w:hAnsi="Times New Roman"/>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625D99" w:rsidRPr="00EE3ECD" w:rsidTr="00625D99">
        <w:tc>
          <w:tcPr>
            <w:tcW w:w="4536" w:type="dxa"/>
            <w:tcBorders>
              <w:top w:val="nil"/>
              <w:left w:val="nil"/>
            </w:tcBorders>
          </w:tcPr>
          <w:p w:rsidR="00625D99" w:rsidRPr="00EE3ECD" w:rsidRDefault="00625D99" w:rsidP="00AA5FC5">
            <w:pPr>
              <w:spacing w:line="240" w:lineRule="auto"/>
              <w:ind w:firstLine="0"/>
            </w:pPr>
            <w:r w:rsidRPr="00EE3ECD">
              <w:t>WASHINGTON UTILITIES AND TRANSPORTATION COMMISSION,</w:t>
            </w:r>
          </w:p>
          <w:p w:rsidR="00625D99" w:rsidRPr="00EE3ECD" w:rsidRDefault="00625D99" w:rsidP="00AA5FC5">
            <w:pPr>
              <w:spacing w:line="240" w:lineRule="auto"/>
              <w:ind w:firstLine="0"/>
            </w:pPr>
          </w:p>
          <w:p w:rsidR="00625D99" w:rsidRPr="00EE3ECD" w:rsidRDefault="00625D99" w:rsidP="00AA5FC5">
            <w:pPr>
              <w:spacing w:line="240" w:lineRule="auto"/>
              <w:ind w:firstLine="0"/>
            </w:pPr>
            <w:r w:rsidRPr="00EE3ECD">
              <w:tab/>
              <w:t>Complainant,</w:t>
            </w:r>
          </w:p>
          <w:p w:rsidR="00625D99" w:rsidRPr="00EE3ECD" w:rsidRDefault="00625D99" w:rsidP="00AA5FC5">
            <w:pPr>
              <w:spacing w:line="240" w:lineRule="auto"/>
              <w:ind w:left="1440" w:firstLine="0"/>
            </w:pPr>
          </w:p>
          <w:p w:rsidR="00625D99" w:rsidRPr="00EE3ECD" w:rsidRDefault="00625D99" w:rsidP="00AA5FC5">
            <w:pPr>
              <w:spacing w:line="240" w:lineRule="auto"/>
              <w:ind w:left="1440" w:firstLine="0"/>
            </w:pPr>
            <w:r w:rsidRPr="00EE3ECD">
              <w:t>v.</w:t>
            </w:r>
          </w:p>
          <w:p w:rsidR="00625D99" w:rsidRPr="00EE3ECD" w:rsidRDefault="00625D99" w:rsidP="00AA5FC5">
            <w:pPr>
              <w:spacing w:line="240" w:lineRule="auto"/>
              <w:ind w:firstLine="0"/>
            </w:pPr>
          </w:p>
          <w:p w:rsidR="00625D99" w:rsidRPr="00EE3ECD" w:rsidRDefault="00625D99" w:rsidP="00AA5FC5">
            <w:pPr>
              <w:spacing w:line="240" w:lineRule="auto"/>
              <w:ind w:firstLine="0"/>
            </w:pPr>
            <w:r w:rsidRPr="00EE3ECD">
              <w:t xml:space="preserve">PUGET SOUND ENERGY, INC., </w:t>
            </w:r>
          </w:p>
          <w:p w:rsidR="00625D99" w:rsidRPr="00EE3ECD" w:rsidRDefault="00625D99" w:rsidP="00AA5FC5">
            <w:pPr>
              <w:spacing w:line="240" w:lineRule="auto"/>
              <w:ind w:firstLine="0"/>
            </w:pPr>
          </w:p>
          <w:p w:rsidR="00625D99" w:rsidRPr="00EE3ECD" w:rsidRDefault="00625D99" w:rsidP="00AA5FC5">
            <w:pPr>
              <w:spacing w:line="240" w:lineRule="auto"/>
              <w:ind w:firstLine="0"/>
            </w:pPr>
            <w:r w:rsidRPr="00EE3ECD">
              <w:tab/>
              <w:t>Respondent.</w:t>
            </w:r>
          </w:p>
          <w:p w:rsidR="00625D99" w:rsidRPr="00EE3ECD" w:rsidRDefault="00625D99" w:rsidP="00AA5FC5">
            <w:pPr>
              <w:spacing w:line="240" w:lineRule="auto"/>
              <w:ind w:firstLine="0"/>
            </w:pPr>
          </w:p>
        </w:tc>
        <w:tc>
          <w:tcPr>
            <w:tcW w:w="4545" w:type="dxa"/>
            <w:tcBorders>
              <w:top w:val="nil"/>
              <w:bottom w:val="nil"/>
              <w:right w:val="nil"/>
            </w:tcBorders>
            <w:vAlign w:val="center"/>
          </w:tcPr>
          <w:p w:rsidR="00625D99" w:rsidRPr="00EE3ECD" w:rsidRDefault="00625D99" w:rsidP="00655ACB">
            <w:pPr>
              <w:keepNext/>
              <w:keepLines/>
              <w:spacing w:line="240" w:lineRule="auto"/>
              <w:ind w:left="324" w:firstLine="0"/>
            </w:pPr>
            <w:r w:rsidRPr="00EE3ECD">
              <w:t>DOCKET NOS. UE-121697</w:t>
            </w:r>
            <w:r w:rsidRPr="00EE3ECD">
              <w:br/>
              <w:t>and UG-121705 (</w:t>
            </w:r>
            <w:r w:rsidRPr="00EE3ECD">
              <w:rPr>
                <w:i/>
              </w:rPr>
              <w:t>consolidated</w:t>
            </w:r>
            <w:r w:rsidRPr="00EE3ECD">
              <w:t>)</w:t>
            </w:r>
          </w:p>
          <w:p w:rsidR="00625D99" w:rsidRPr="00EE3ECD" w:rsidRDefault="00625D99" w:rsidP="00655ACB">
            <w:pPr>
              <w:keepNext/>
              <w:keepLines/>
              <w:spacing w:line="240" w:lineRule="auto"/>
              <w:ind w:left="324" w:firstLine="0"/>
            </w:pPr>
          </w:p>
        </w:tc>
      </w:tr>
      <w:tr w:rsidR="00625D99" w:rsidRPr="00EE3ECD" w:rsidTr="007B7904">
        <w:tc>
          <w:tcPr>
            <w:tcW w:w="4536" w:type="dxa"/>
            <w:tcBorders>
              <w:left w:val="nil"/>
            </w:tcBorders>
          </w:tcPr>
          <w:p w:rsidR="00625D99" w:rsidRPr="00EE3ECD" w:rsidRDefault="00625D99" w:rsidP="00655ACB">
            <w:pPr>
              <w:spacing w:line="240" w:lineRule="auto"/>
              <w:ind w:firstLine="0"/>
            </w:pPr>
          </w:p>
          <w:p w:rsidR="00625D99" w:rsidRPr="00EE3ECD" w:rsidRDefault="00625D99" w:rsidP="00655ACB">
            <w:pPr>
              <w:spacing w:line="240" w:lineRule="auto"/>
              <w:ind w:firstLine="0"/>
            </w:pPr>
            <w:r w:rsidRPr="00EE3ECD">
              <w:t>WASHINGTON UTILITIES AND TRANSPORTATION COMMISSION,</w:t>
            </w:r>
          </w:p>
          <w:p w:rsidR="00625D99" w:rsidRPr="00EE3ECD" w:rsidRDefault="00625D99" w:rsidP="00655ACB">
            <w:pPr>
              <w:spacing w:line="240" w:lineRule="auto"/>
              <w:ind w:firstLine="0"/>
            </w:pPr>
          </w:p>
          <w:p w:rsidR="00625D99" w:rsidRPr="00EE3ECD" w:rsidRDefault="00625D99" w:rsidP="00655ACB">
            <w:pPr>
              <w:spacing w:line="240" w:lineRule="auto"/>
              <w:ind w:firstLine="0"/>
            </w:pPr>
            <w:r w:rsidRPr="00EE3ECD">
              <w:tab/>
              <w:t>Complainant,</w:t>
            </w:r>
          </w:p>
          <w:p w:rsidR="00625D99" w:rsidRPr="00EE3ECD" w:rsidRDefault="00625D99" w:rsidP="00655ACB">
            <w:pPr>
              <w:spacing w:line="240" w:lineRule="auto"/>
              <w:ind w:left="1440" w:firstLine="0"/>
            </w:pPr>
          </w:p>
          <w:p w:rsidR="00625D99" w:rsidRPr="00EE3ECD" w:rsidRDefault="00625D99" w:rsidP="00655ACB">
            <w:pPr>
              <w:spacing w:line="240" w:lineRule="auto"/>
              <w:ind w:left="1440" w:firstLine="0"/>
            </w:pPr>
            <w:r w:rsidRPr="00EE3ECD">
              <w:t>v.</w:t>
            </w:r>
          </w:p>
          <w:p w:rsidR="00625D99" w:rsidRPr="00EE3ECD" w:rsidRDefault="00625D99" w:rsidP="00655ACB">
            <w:pPr>
              <w:spacing w:line="240" w:lineRule="auto"/>
              <w:ind w:firstLine="0"/>
            </w:pPr>
          </w:p>
          <w:p w:rsidR="00625D99" w:rsidRPr="00EE3ECD" w:rsidRDefault="00625D99" w:rsidP="00655ACB">
            <w:pPr>
              <w:spacing w:line="240" w:lineRule="auto"/>
              <w:ind w:firstLine="0"/>
            </w:pPr>
            <w:r w:rsidRPr="00EE3ECD">
              <w:t xml:space="preserve">PUGET SOUND ENERGY, INC., </w:t>
            </w:r>
          </w:p>
          <w:p w:rsidR="00625D99" w:rsidRPr="00EE3ECD" w:rsidRDefault="00625D99" w:rsidP="00655ACB">
            <w:pPr>
              <w:spacing w:line="240" w:lineRule="auto"/>
              <w:ind w:firstLine="0"/>
            </w:pPr>
          </w:p>
          <w:p w:rsidR="00625D99" w:rsidRPr="00EE3ECD" w:rsidRDefault="00625D99" w:rsidP="00655ACB">
            <w:pPr>
              <w:spacing w:line="240" w:lineRule="auto"/>
              <w:ind w:firstLine="0"/>
            </w:pPr>
            <w:r w:rsidRPr="00EE3ECD">
              <w:tab/>
              <w:t>Respondent.</w:t>
            </w:r>
          </w:p>
          <w:p w:rsidR="00625D99" w:rsidRPr="00EE3ECD" w:rsidRDefault="00625D99" w:rsidP="00655ACB">
            <w:pPr>
              <w:spacing w:line="240" w:lineRule="auto"/>
              <w:ind w:firstLine="0"/>
            </w:pPr>
          </w:p>
        </w:tc>
        <w:tc>
          <w:tcPr>
            <w:tcW w:w="4545" w:type="dxa"/>
            <w:tcBorders>
              <w:top w:val="nil"/>
              <w:bottom w:val="nil"/>
              <w:right w:val="nil"/>
            </w:tcBorders>
            <w:vAlign w:val="center"/>
          </w:tcPr>
          <w:p w:rsidR="00625D99" w:rsidRPr="00EE3ECD" w:rsidRDefault="00625D99" w:rsidP="00655ACB">
            <w:pPr>
              <w:keepNext/>
              <w:keepLines/>
              <w:spacing w:line="240" w:lineRule="auto"/>
              <w:ind w:left="331" w:firstLine="0"/>
            </w:pPr>
            <w:r w:rsidRPr="00EE3ECD">
              <w:t>DOCKET NOS. UE-130137</w:t>
            </w:r>
            <w:r w:rsidRPr="00EE3ECD">
              <w:br/>
              <w:t>and UG-130138 (</w:t>
            </w:r>
            <w:r w:rsidRPr="00EE3ECD">
              <w:rPr>
                <w:i/>
              </w:rPr>
              <w:t>consolidated</w:t>
            </w:r>
            <w:r w:rsidRPr="00EE3ECD">
              <w:t>)</w:t>
            </w:r>
          </w:p>
          <w:p w:rsidR="00625D99" w:rsidRPr="00EE3ECD" w:rsidRDefault="00625D99" w:rsidP="00655ACB">
            <w:pPr>
              <w:keepNext/>
              <w:keepLines/>
              <w:spacing w:line="240" w:lineRule="auto"/>
              <w:ind w:left="324" w:firstLine="0"/>
            </w:pPr>
          </w:p>
        </w:tc>
      </w:tr>
    </w:tbl>
    <w:p w:rsidR="0088373F" w:rsidRPr="00EE3ECD" w:rsidRDefault="0088373F" w:rsidP="00655ACB">
      <w:pPr>
        <w:pStyle w:val="center"/>
        <w:keepLines w:val="0"/>
        <w:widowControl w:val="0"/>
        <w:spacing w:before="0" w:line="240" w:lineRule="auto"/>
        <w:rPr>
          <w:rFonts w:ascii="Times New Roman" w:hAnsi="Times New Roman"/>
          <w:b/>
        </w:rPr>
      </w:pPr>
    </w:p>
    <w:p w:rsidR="0088373F" w:rsidRPr="00EE3ECD" w:rsidRDefault="0088373F" w:rsidP="00655ACB">
      <w:pPr>
        <w:pStyle w:val="center"/>
        <w:keepLines w:val="0"/>
        <w:widowControl w:val="0"/>
        <w:spacing w:before="0" w:line="240" w:lineRule="auto"/>
        <w:rPr>
          <w:rFonts w:ascii="Times New Roman" w:hAnsi="Times New Roman"/>
          <w:b/>
        </w:rPr>
      </w:pPr>
    </w:p>
    <w:p w:rsidR="0088373F" w:rsidRPr="00EE3ECD" w:rsidRDefault="0088373F" w:rsidP="00655ACB">
      <w:pPr>
        <w:pStyle w:val="center"/>
        <w:keepLines w:val="0"/>
        <w:widowControl w:val="0"/>
        <w:spacing w:before="0" w:line="240" w:lineRule="auto"/>
        <w:rPr>
          <w:rFonts w:ascii="Times New Roman" w:hAnsi="Times New Roman"/>
          <w:b/>
        </w:rPr>
      </w:pPr>
      <w:r w:rsidRPr="00EE3ECD">
        <w:rPr>
          <w:rFonts w:ascii="Times New Roman" w:hAnsi="Times New Roman"/>
          <w:b/>
        </w:rPr>
        <w:t xml:space="preserve">PREFILED </w:t>
      </w:r>
      <w:r w:rsidR="006B09BA">
        <w:rPr>
          <w:rFonts w:ascii="Times New Roman" w:hAnsi="Times New Roman"/>
          <w:b/>
        </w:rPr>
        <w:t xml:space="preserve">REBUTTAL </w:t>
      </w:r>
      <w:r w:rsidRPr="00EE3ECD">
        <w:rPr>
          <w:rFonts w:ascii="Times New Roman" w:hAnsi="Times New Roman"/>
          <w:b/>
        </w:rPr>
        <w:t>TESTIMONY (NONCONFIDENTIAL) OF</w:t>
      </w:r>
    </w:p>
    <w:p w:rsidR="0088373F" w:rsidRPr="00EE3ECD" w:rsidRDefault="002C087C" w:rsidP="00655ACB">
      <w:pPr>
        <w:pStyle w:val="center"/>
        <w:keepLines w:val="0"/>
        <w:widowControl w:val="0"/>
        <w:spacing w:before="0" w:line="240" w:lineRule="auto"/>
        <w:rPr>
          <w:rFonts w:ascii="Times New Roman" w:hAnsi="Times New Roman"/>
          <w:b/>
        </w:rPr>
      </w:pPr>
      <w:r>
        <w:rPr>
          <w:b/>
          <w:lang w:eastAsia="en-US"/>
        </w:rPr>
        <w:t>DANIEL A. DOYLE</w:t>
      </w:r>
      <w:r w:rsidR="0088373F" w:rsidRPr="00EE3ECD">
        <w:rPr>
          <w:rFonts w:ascii="Times New Roman" w:hAnsi="Times New Roman"/>
          <w:b/>
          <w:bCs/>
          <w:szCs w:val="24"/>
        </w:rPr>
        <w:br/>
      </w:r>
      <w:r w:rsidR="0088373F" w:rsidRPr="00EE3ECD">
        <w:rPr>
          <w:rFonts w:ascii="Times New Roman" w:hAnsi="Times New Roman"/>
          <w:b/>
        </w:rPr>
        <w:t>ON BEHALF OF PUGET SOUND ENERGY, INC.</w:t>
      </w:r>
    </w:p>
    <w:p w:rsidR="001A259E" w:rsidRPr="00EE3ECD" w:rsidRDefault="001A259E" w:rsidP="00655ACB">
      <w:pPr>
        <w:pStyle w:val="center"/>
        <w:keepLines w:val="0"/>
        <w:widowControl w:val="0"/>
        <w:spacing w:before="0" w:line="240" w:lineRule="auto"/>
        <w:rPr>
          <w:rFonts w:ascii="Times New Roman" w:hAnsi="Times New Roman"/>
          <w:b/>
          <w:bCs/>
          <w:i/>
          <w:szCs w:val="24"/>
        </w:rPr>
      </w:pPr>
    </w:p>
    <w:p w:rsidR="007678F0" w:rsidRPr="00EE3ECD" w:rsidRDefault="007678F0" w:rsidP="00655ACB">
      <w:pPr>
        <w:pStyle w:val="center"/>
        <w:keepLines w:val="0"/>
        <w:widowControl w:val="0"/>
        <w:spacing w:before="0" w:line="240" w:lineRule="auto"/>
        <w:rPr>
          <w:rFonts w:ascii="Times New Roman" w:hAnsi="Times New Roman"/>
          <w:b/>
          <w:bCs/>
          <w:i/>
          <w:szCs w:val="24"/>
        </w:rPr>
      </w:pPr>
    </w:p>
    <w:p w:rsidR="007678F0" w:rsidRPr="00EE3ECD" w:rsidRDefault="007678F0" w:rsidP="00655ACB">
      <w:pPr>
        <w:pStyle w:val="center"/>
        <w:keepLines w:val="0"/>
        <w:widowControl w:val="0"/>
        <w:spacing w:before="0" w:line="240" w:lineRule="auto"/>
        <w:rPr>
          <w:rFonts w:ascii="Times New Roman" w:hAnsi="Times New Roman"/>
          <w:b/>
          <w:bCs/>
          <w:i/>
          <w:szCs w:val="24"/>
        </w:rPr>
      </w:pPr>
    </w:p>
    <w:p w:rsidR="00625D99" w:rsidRPr="00EE3ECD" w:rsidRDefault="00625D99" w:rsidP="00655ACB">
      <w:pPr>
        <w:pStyle w:val="center"/>
        <w:keepLines w:val="0"/>
        <w:widowControl w:val="0"/>
        <w:spacing w:before="0" w:line="240" w:lineRule="auto"/>
        <w:rPr>
          <w:rFonts w:ascii="Times New Roman" w:hAnsi="Times New Roman"/>
          <w:b/>
          <w:bCs/>
          <w:i/>
          <w:szCs w:val="24"/>
        </w:rPr>
      </w:pPr>
    </w:p>
    <w:p w:rsidR="0088373F" w:rsidRPr="00EE3ECD" w:rsidRDefault="006B09BA" w:rsidP="00655ACB">
      <w:pPr>
        <w:pStyle w:val="center"/>
        <w:keepLines w:val="0"/>
        <w:widowControl w:val="0"/>
        <w:spacing w:before="0" w:line="240" w:lineRule="auto"/>
        <w:rPr>
          <w:rFonts w:ascii="Times New Roman" w:hAnsi="Times New Roman"/>
          <w:b/>
          <w:bCs/>
          <w:szCs w:val="24"/>
        </w:rPr>
      </w:pPr>
      <w:r>
        <w:rPr>
          <w:rFonts w:ascii="Times New Roman" w:hAnsi="Times New Roman"/>
          <w:b/>
        </w:rPr>
        <w:t>DECEMBER 19</w:t>
      </w:r>
      <w:r w:rsidR="0088373F" w:rsidRPr="00EE3ECD">
        <w:rPr>
          <w:rFonts w:ascii="Times New Roman" w:hAnsi="Times New Roman"/>
          <w:b/>
        </w:rPr>
        <w:t>, 201</w:t>
      </w:r>
      <w:r w:rsidR="00625D99" w:rsidRPr="00EE3ECD">
        <w:rPr>
          <w:rFonts w:ascii="Times New Roman" w:hAnsi="Times New Roman"/>
          <w:b/>
        </w:rPr>
        <w:t>4</w:t>
      </w:r>
    </w:p>
    <w:p w:rsidR="0088373F" w:rsidRPr="00EE3ECD" w:rsidRDefault="0088373F" w:rsidP="000F4005">
      <w:pPr>
        <w:widowControl w:val="0"/>
        <w:spacing w:line="240" w:lineRule="auto"/>
        <w:ind w:firstLine="0"/>
        <w:jc w:val="center"/>
        <w:rPr>
          <w:b/>
          <w:bCs/>
          <w:szCs w:val="24"/>
        </w:rPr>
        <w:sectPr w:rsidR="0088373F" w:rsidRPr="00EE3ECD">
          <w:headerReference w:type="default" r:id="rId13"/>
          <w:footerReference w:type="default" r:id="rId14"/>
          <w:pgSz w:w="12240" w:h="15840" w:code="1"/>
          <w:pgMar w:top="1440" w:right="1440" w:bottom="1440" w:left="2160" w:header="720" w:footer="864" w:gutter="0"/>
          <w:pgNumType w:start="1"/>
          <w:cols w:space="720"/>
          <w:rtlGutter/>
        </w:sectPr>
      </w:pPr>
    </w:p>
    <w:p w:rsidR="0088373F" w:rsidRPr="00EE3ECD" w:rsidRDefault="0088373F" w:rsidP="00742234">
      <w:pPr>
        <w:keepNext/>
        <w:keepLines/>
        <w:spacing w:before="240" w:after="240" w:line="240" w:lineRule="auto"/>
        <w:ind w:left="547" w:right="547" w:firstLine="0"/>
        <w:jc w:val="center"/>
        <w:rPr>
          <w:b/>
          <w:bCs/>
          <w:szCs w:val="24"/>
        </w:rPr>
      </w:pPr>
      <w:r w:rsidRPr="00EE3ECD">
        <w:rPr>
          <w:b/>
          <w:bCs/>
          <w:szCs w:val="24"/>
        </w:rPr>
        <w:lastRenderedPageBreak/>
        <w:t>PUGET SOUND ENERGY, INC.</w:t>
      </w:r>
    </w:p>
    <w:p w:rsidR="0088373F" w:rsidRPr="00EE3ECD" w:rsidRDefault="0088373F" w:rsidP="00742234">
      <w:pPr>
        <w:keepNext/>
        <w:keepLines/>
        <w:spacing w:before="240" w:after="240" w:line="240" w:lineRule="auto"/>
        <w:ind w:left="547" w:right="547" w:firstLine="0"/>
        <w:jc w:val="center"/>
        <w:rPr>
          <w:b/>
          <w:bCs/>
          <w:szCs w:val="24"/>
        </w:rPr>
      </w:pPr>
      <w:r w:rsidRPr="00EE3ECD">
        <w:rPr>
          <w:b/>
          <w:bCs/>
          <w:szCs w:val="24"/>
        </w:rPr>
        <w:t xml:space="preserve">PREFILED </w:t>
      </w:r>
      <w:r w:rsidR="006B09BA">
        <w:rPr>
          <w:b/>
          <w:bCs/>
          <w:szCs w:val="24"/>
        </w:rPr>
        <w:t xml:space="preserve">REBUTTAL </w:t>
      </w:r>
      <w:r w:rsidRPr="00EE3ECD">
        <w:rPr>
          <w:b/>
          <w:bCs/>
          <w:szCs w:val="24"/>
        </w:rPr>
        <w:t xml:space="preserve">TESTIMONY </w:t>
      </w:r>
      <w:r w:rsidRPr="00EE3ECD">
        <w:rPr>
          <w:b/>
          <w:bCs/>
          <w:szCs w:val="24"/>
        </w:rPr>
        <w:br/>
        <w:t xml:space="preserve">(NONCONFIDENTIAL) OF </w:t>
      </w:r>
      <w:bookmarkStart w:id="0" w:name="TOCTitle"/>
      <w:r w:rsidR="002C087C">
        <w:rPr>
          <w:b/>
          <w:lang w:eastAsia="en-US"/>
        </w:rPr>
        <w:t>DANIEL A. DOYLE</w:t>
      </w:r>
    </w:p>
    <w:p w:rsidR="0088373F" w:rsidRPr="00740915" w:rsidRDefault="0088373F" w:rsidP="006E0E79">
      <w:pPr>
        <w:keepNext/>
        <w:keepLines/>
        <w:spacing w:before="240" w:after="360" w:line="240" w:lineRule="auto"/>
        <w:ind w:left="547" w:right="547" w:firstLine="0"/>
        <w:jc w:val="center"/>
        <w:rPr>
          <w:b/>
          <w:bCs/>
          <w:szCs w:val="24"/>
        </w:rPr>
      </w:pPr>
      <w:r w:rsidRPr="00740915">
        <w:rPr>
          <w:b/>
          <w:bCs/>
        </w:rPr>
        <w:t>CONTENTS</w:t>
      </w:r>
      <w:bookmarkEnd w:id="0"/>
    </w:p>
    <w:p w:rsidR="001655B7" w:rsidRPr="00116E36" w:rsidRDefault="001655B7">
      <w:pPr>
        <w:pStyle w:val="TOC1"/>
        <w:rPr>
          <w:rFonts w:asciiTheme="minorHAnsi" w:eastAsiaTheme="minorEastAsia" w:hAnsiTheme="minorHAnsi" w:cstheme="minorBidi"/>
          <w:color w:val="auto"/>
          <w:sz w:val="22"/>
          <w:szCs w:val="22"/>
          <w:lang w:eastAsia="en-US"/>
        </w:rPr>
      </w:pPr>
      <w:r w:rsidRPr="00116E36">
        <w:rPr>
          <w:color w:val="auto"/>
        </w:rPr>
        <w:t>I.</w:t>
      </w:r>
      <w:r w:rsidRPr="00116E36">
        <w:rPr>
          <w:rFonts w:asciiTheme="minorHAnsi" w:eastAsiaTheme="minorEastAsia" w:hAnsiTheme="minorHAnsi" w:cstheme="minorBidi"/>
          <w:color w:val="auto"/>
          <w:sz w:val="22"/>
          <w:szCs w:val="22"/>
          <w:lang w:eastAsia="en-US"/>
        </w:rPr>
        <w:tab/>
      </w:r>
      <w:r w:rsidRPr="00116E36">
        <w:rPr>
          <w:color w:val="auto"/>
        </w:rPr>
        <w:t>INTRODUCTION</w:t>
      </w:r>
      <w:r w:rsidRPr="00116E36">
        <w:rPr>
          <w:webHidden/>
          <w:color w:val="auto"/>
        </w:rPr>
        <w:tab/>
        <w:t>1</w:t>
      </w:r>
    </w:p>
    <w:p w:rsidR="001655B7" w:rsidRPr="00116E36" w:rsidRDefault="001655B7">
      <w:pPr>
        <w:pStyle w:val="TOC1"/>
        <w:rPr>
          <w:rFonts w:asciiTheme="minorHAnsi" w:eastAsiaTheme="minorEastAsia" w:hAnsiTheme="minorHAnsi" w:cstheme="minorBidi"/>
          <w:color w:val="auto"/>
          <w:sz w:val="22"/>
          <w:szCs w:val="22"/>
          <w:lang w:eastAsia="en-US"/>
        </w:rPr>
      </w:pPr>
      <w:r w:rsidRPr="00116E36">
        <w:rPr>
          <w:color w:val="auto"/>
        </w:rPr>
        <w:t>II.</w:t>
      </w:r>
      <w:r w:rsidRPr="00116E36">
        <w:rPr>
          <w:rFonts w:asciiTheme="minorHAnsi" w:eastAsiaTheme="minorEastAsia" w:hAnsiTheme="minorHAnsi" w:cstheme="minorBidi"/>
          <w:color w:val="auto"/>
          <w:sz w:val="22"/>
          <w:szCs w:val="22"/>
          <w:lang w:eastAsia="en-US"/>
        </w:rPr>
        <w:tab/>
      </w:r>
      <w:r w:rsidRPr="00116E36">
        <w:rPr>
          <w:color w:val="auto"/>
        </w:rPr>
        <w:t>INTRODUCTION OF PSE WITNESSES</w:t>
      </w:r>
      <w:r w:rsidRPr="00116E36">
        <w:rPr>
          <w:webHidden/>
          <w:color w:val="auto"/>
        </w:rPr>
        <w:tab/>
        <w:t>4</w:t>
      </w:r>
    </w:p>
    <w:p w:rsidR="001655B7" w:rsidRPr="00116E36" w:rsidRDefault="001655B7">
      <w:pPr>
        <w:pStyle w:val="TOC1"/>
        <w:rPr>
          <w:rFonts w:asciiTheme="minorHAnsi" w:eastAsiaTheme="minorEastAsia" w:hAnsiTheme="minorHAnsi" w:cstheme="minorBidi"/>
          <w:color w:val="auto"/>
          <w:sz w:val="22"/>
          <w:szCs w:val="22"/>
          <w:lang w:eastAsia="en-US"/>
        </w:rPr>
      </w:pPr>
      <w:r w:rsidRPr="00116E36">
        <w:rPr>
          <w:color w:val="auto"/>
        </w:rPr>
        <w:t>III.</w:t>
      </w:r>
      <w:r w:rsidRPr="00116E36">
        <w:rPr>
          <w:rFonts w:asciiTheme="minorHAnsi" w:eastAsiaTheme="minorEastAsia" w:hAnsiTheme="minorHAnsi" w:cstheme="minorBidi"/>
          <w:color w:val="auto"/>
          <w:sz w:val="22"/>
          <w:szCs w:val="22"/>
          <w:lang w:eastAsia="en-US"/>
        </w:rPr>
        <w:tab/>
      </w:r>
      <w:r w:rsidRPr="00116E36">
        <w:rPr>
          <w:snapToGrid w:val="0"/>
          <w:color w:val="auto"/>
          <w:lang w:eastAsia="en-US"/>
        </w:rPr>
        <w:t>RESPONSE TO THE PREFILED DIRECT TESTIMONY OF STEPHEN G. HILL</w:t>
      </w:r>
      <w:r w:rsidRPr="00116E36">
        <w:rPr>
          <w:webHidden/>
          <w:color w:val="auto"/>
        </w:rPr>
        <w:tab/>
        <w:t>5</w:t>
      </w:r>
    </w:p>
    <w:p w:rsidR="001655B7" w:rsidRPr="00116E36" w:rsidRDefault="001655B7">
      <w:pPr>
        <w:pStyle w:val="TOC2"/>
        <w:rPr>
          <w:rFonts w:asciiTheme="minorHAnsi" w:eastAsiaTheme="minorEastAsia" w:hAnsiTheme="minorHAnsi" w:cstheme="minorBidi"/>
          <w:color w:val="auto"/>
          <w:sz w:val="22"/>
          <w:szCs w:val="22"/>
          <w:lang w:eastAsia="en-US"/>
        </w:rPr>
      </w:pPr>
      <w:r w:rsidRPr="00116E36">
        <w:rPr>
          <w:color w:val="auto"/>
        </w:rPr>
        <w:t>A.</w:t>
      </w:r>
      <w:r w:rsidRPr="00116E36">
        <w:rPr>
          <w:rFonts w:asciiTheme="minorHAnsi" w:eastAsiaTheme="minorEastAsia" w:hAnsiTheme="minorHAnsi" w:cstheme="minorBidi"/>
          <w:color w:val="auto"/>
          <w:sz w:val="22"/>
          <w:szCs w:val="22"/>
          <w:lang w:eastAsia="en-US"/>
        </w:rPr>
        <w:tab/>
      </w:r>
      <w:r w:rsidRPr="00116E36">
        <w:rPr>
          <w:snapToGrid w:val="0"/>
          <w:color w:val="auto"/>
          <w:lang w:eastAsia="en-US"/>
        </w:rPr>
        <w:t>The Commission Should Give No Weight to, and Completely Disregard, Mr. Hill’s Testimony With Respect to the Alleged Impact of Decoupling on Equity Cost of Capital</w:t>
      </w:r>
      <w:r w:rsidRPr="00116E36">
        <w:rPr>
          <w:webHidden/>
          <w:color w:val="auto"/>
        </w:rPr>
        <w:tab/>
        <w:t>5</w:t>
      </w:r>
    </w:p>
    <w:p w:rsidR="001655B7" w:rsidRPr="00116E36" w:rsidRDefault="001655B7">
      <w:pPr>
        <w:pStyle w:val="TOC2"/>
        <w:rPr>
          <w:rFonts w:asciiTheme="minorHAnsi" w:eastAsiaTheme="minorEastAsia" w:hAnsiTheme="minorHAnsi" w:cstheme="minorBidi"/>
          <w:color w:val="auto"/>
          <w:sz w:val="22"/>
          <w:szCs w:val="22"/>
          <w:lang w:eastAsia="en-US"/>
        </w:rPr>
      </w:pPr>
      <w:r w:rsidRPr="00116E36">
        <w:rPr>
          <w:color w:val="auto"/>
        </w:rPr>
        <w:t>B.</w:t>
      </w:r>
      <w:r w:rsidRPr="00116E36">
        <w:rPr>
          <w:rFonts w:asciiTheme="minorHAnsi" w:eastAsiaTheme="minorEastAsia" w:hAnsiTheme="minorHAnsi" w:cstheme="minorBidi"/>
          <w:color w:val="auto"/>
          <w:sz w:val="22"/>
          <w:szCs w:val="22"/>
          <w:lang w:eastAsia="en-US"/>
        </w:rPr>
        <w:tab/>
      </w:r>
      <w:r w:rsidRPr="00116E36">
        <w:rPr>
          <w:color w:val="auto"/>
        </w:rPr>
        <w:t xml:space="preserve">Mr. Hill Erroneously </w:t>
      </w:r>
      <w:r w:rsidRPr="00116E36">
        <w:rPr>
          <w:snapToGrid w:val="0"/>
          <w:color w:val="auto"/>
          <w:lang w:eastAsia="en-US"/>
        </w:rPr>
        <w:t>Disregards the Fact that PSE’s Opportunity to Earn Its Return Has Been Skewed Towards Under-Earning Because of the  Structure of the Earnings-Sharing Mechanism Imposed on PSE that is Negatively Skewed Towards Under-Earning</w:t>
      </w:r>
      <w:r w:rsidRPr="00116E36">
        <w:rPr>
          <w:webHidden/>
          <w:color w:val="auto"/>
        </w:rPr>
        <w:tab/>
        <w:t>14</w:t>
      </w:r>
    </w:p>
    <w:p w:rsidR="001655B7" w:rsidRPr="00116E36" w:rsidRDefault="001655B7">
      <w:pPr>
        <w:pStyle w:val="TOC1"/>
        <w:rPr>
          <w:rFonts w:asciiTheme="minorHAnsi" w:eastAsiaTheme="minorEastAsia" w:hAnsiTheme="minorHAnsi" w:cstheme="minorBidi"/>
          <w:color w:val="auto"/>
          <w:sz w:val="22"/>
          <w:szCs w:val="22"/>
          <w:lang w:eastAsia="en-US"/>
        </w:rPr>
      </w:pPr>
      <w:r w:rsidRPr="00116E36">
        <w:rPr>
          <w:color w:val="auto"/>
        </w:rPr>
        <w:t>IV.</w:t>
      </w:r>
      <w:r w:rsidRPr="00116E36">
        <w:rPr>
          <w:rFonts w:asciiTheme="minorHAnsi" w:eastAsiaTheme="minorEastAsia" w:hAnsiTheme="minorHAnsi" w:cstheme="minorBidi"/>
          <w:color w:val="auto"/>
          <w:sz w:val="22"/>
          <w:szCs w:val="22"/>
          <w:lang w:eastAsia="en-US"/>
        </w:rPr>
        <w:tab/>
      </w:r>
      <w:r w:rsidRPr="00116E36">
        <w:rPr>
          <w:snapToGrid w:val="0"/>
          <w:color w:val="auto"/>
          <w:lang w:eastAsia="en-US"/>
        </w:rPr>
        <w:t xml:space="preserve">RESPONSE TO THE PREFILED DIRECT TESTIMONY OF </w:t>
      </w:r>
      <w:r w:rsidRPr="00116E36">
        <w:rPr>
          <w:color w:val="auto"/>
        </w:rPr>
        <w:t>MICHAEL P. </w:t>
      </w:r>
      <w:r w:rsidRPr="00116E36">
        <w:rPr>
          <w:snapToGrid w:val="0"/>
          <w:color w:val="auto"/>
          <w:lang w:eastAsia="en-US"/>
        </w:rPr>
        <w:t>GORMAN</w:t>
      </w:r>
      <w:r w:rsidRPr="00116E36">
        <w:rPr>
          <w:webHidden/>
          <w:color w:val="auto"/>
        </w:rPr>
        <w:tab/>
        <w:t>16</w:t>
      </w:r>
    </w:p>
    <w:p w:rsidR="001655B7" w:rsidRPr="00116E36" w:rsidRDefault="001655B7">
      <w:pPr>
        <w:pStyle w:val="TOC1"/>
        <w:rPr>
          <w:rFonts w:asciiTheme="minorHAnsi" w:eastAsiaTheme="minorEastAsia" w:hAnsiTheme="minorHAnsi" w:cstheme="minorBidi"/>
          <w:color w:val="auto"/>
          <w:sz w:val="22"/>
          <w:szCs w:val="22"/>
          <w:lang w:eastAsia="en-US"/>
        </w:rPr>
      </w:pPr>
      <w:r w:rsidRPr="00116E36">
        <w:rPr>
          <w:color w:val="auto"/>
        </w:rPr>
        <w:t>V.</w:t>
      </w:r>
      <w:r w:rsidRPr="00116E36">
        <w:rPr>
          <w:rFonts w:asciiTheme="minorHAnsi" w:eastAsiaTheme="minorEastAsia" w:hAnsiTheme="minorHAnsi" w:cstheme="minorBidi"/>
          <w:color w:val="auto"/>
          <w:sz w:val="22"/>
          <w:szCs w:val="22"/>
          <w:lang w:eastAsia="en-US"/>
        </w:rPr>
        <w:tab/>
      </w:r>
      <w:r w:rsidRPr="00116E36">
        <w:rPr>
          <w:snapToGrid w:val="0"/>
          <w:color w:val="auto"/>
          <w:lang w:eastAsia="en-US"/>
        </w:rPr>
        <w:t xml:space="preserve">RESPONSE TO THE PREFILED DIRECT TESTIMONY OF </w:t>
      </w:r>
      <w:r w:rsidRPr="00116E36">
        <w:rPr>
          <w:color w:val="auto"/>
        </w:rPr>
        <w:t>THOMAS E. </w:t>
      </w:r>
      <w:r w:rsidRPr="00116E36">
        <w:rPr>
          <w:snapToGrid w:val="0"/>
          <w:color w:val="auto"/>
          <w:lang w:eastAsia="en-US"/>
        </w:rPr>
        <w:t>SCHOOLEY</w:t>
      </w:r>
      <w:r w:rsidRPr="00116E36">
        <w:rPr>
          <w:webHidden/>
          <w:color w:val="auto"/>
        </w:rPr>
        <w:tab/>
        <w:t>18</w:t>
      </w:r>
    </w:p>
    <w:p w:rsidR="001655B7" w:rsidRPr="00116E36" w:rsidRDefault="001655B7">
      <w:pPr>
        <w:pStyle w:val="TOC1"/>
        <w:rPr>
          <w:rFonts w:asciiTheme="minorHAnsi" w:eastAsiaTheme="minorEastAsia" w:hAnsiTheme="minorHAnsi" w:cstheme="minorBidi"/>
          <w:color w:val="auto"/>
          <w:sz w:val="22"/>
          <w:szCs w:val="22"/>
          <w:lang w:eastAsia="en-US"/>
        </w:rPr>
      </w:pPr>
      <w:r w:rsidRPr="00116E36">
        <w:rPr>
          <w:color w:val="auto"/>
        </w:rPr>
        <w:t>VI.</w:t>
      </w:r>
      <w:r w:rsidRPr="00116E36">
        <w:rPr>
          <w:rFonts w:asciiTheme="minorHAnsi" w:eastAsiaTheme="minorEastAsia" w:hAnsiTheme="minorHAnsi" w:cstheme="minorBidi"/>
          <w:color w:val="auto"/>
          <w:sz w:val="22"/>
          <w:szCs w:val="22"/>
          <w:lang w:eastAsia="en-US"/>
        </w:rPr>
        <w:tab/>
      </w:r>
      <w:r w:rsidRPr="00116E36">
        <w:rPr>
          <w:color w:val="auto"/>
        </w:rPr>
        <w:t>CONCLUSION</w:t>
      </w:r>
      <w:r w:rsidRPr="00116E36">
        <w:rPr>
          <w:webHidden/>
          <w:color w:val="auto"/>
        </w:rPr>
        <w:tab/>
        <w:t>24</w:t>
      </w:r>
    </w:p>
    <w:p w:rsidR="0088373F" w:rsidRPr="00EE3ECD" w:rsidRDefault="0088373F" w:rsidP="000F4005">
      <w:pPr>
        <w:widowControl w:val="0"/>
        <w:spacing w:before="240" w:after="240" w:line="480" w:lineRule="auto"/>
        <w:ind w:left="720" w:right="720" w:firstLine="0"/>
        <w:jc w:val="center"/>
        <w:rPr>
          <w:bCs/>
        </w:rPr>
      </w:pPr>
    </w:p>
    <w:p w:rsidR="0088373F" w:rsidRPr="00EE3ECD" w:rsidRDefault="0088373F" w:rsidP="000F4005">
      <w:pPr>
        <w:widowControl w:val="0"/>
        <w:spacing w:before="240" w:after="240" w:line="480" w:lineRule="auto"/>
        <w:ind w:left="720" w:right="720" w:firstLine="0"/>
        <w:jc w:val="center"/>
        <w:rPr>
          <w:b/>
          <w:bCs/>
          <w:szCs w:val="24"/>
        </w:rPr>
        <w:sectPr w:rsidR="0088373F" w:rsidRPr="00EE3ECD" w:rsidSect="00742234">
          <w:headerReference w:type="default" r:id="rId15"/>
          <w:footerReference w:type="default" r:id="rId16"/>
          <w:pgSz w:w="12240" w:h="15840" w:code="1"/>
          <w:pgMar w:top="1152" w:right="1440" w:bottom="1152" w:left="2160" w:header="864" w:footer="576" w:gutter="0"/>
          <w:pgNumType w:fmt="lowerRoman" w:start="1"/>
          <w:cols w:space="720"/>
        </w:sectPr>
      </w:pPr>
    </w:p>
    <w:p w:rsidR="0088373F" w:rsidRPr="00EE3ECD" w:rsidRDefault="0088373F" w:rsidP="006E0E79">
      <w:pPr>
        <w:keepNext/>
        <w:keepLines/>
        <w:spacing w:before="240" w:after="360" w:line="240" w:lineRule="auto"/>
        <w:ind w:left="547" w:right="547" w:firstLine="0"/>
        <w:jc w:val="center"/>
        <w:rPr>
          <w:b/>
          <w:bCs/>
          <w:szCs w:val="24"/>
        </w:rPr>
      </w:pPr>
      <w:r w:rsidRPr="00EE3ECD">
        <w:rPr>
          <w:b/>
          <w:bCs/>
          <w:szCs w:val="24"/>
        </w:rPr>
        <w:lastRenderedPageBreak/>
        <w:t>PUGET SOUND ENERGY, INC.</w:t>
      </w:r>
    </w:p>
    <w:p w:rsidR="0088373F" w:rsidRPr="00EE3ECD" w:rsidRDefault="00EE3ECD" w:rsidP="006E0E79">
      <w:pPr>
        <w:keepNext/>
        <w:keepLines/>
        <w:spacing w:before="240" w:after="360" w:line="240" w:lineRule="auto"/>
        <w:ind w:left="547" w:right="547" w:firstLine="0"/>
        <w:jc w:val="center"/>
        <w:rPr>
          <w:b/>
          <w:bCs/>
          <w:szCs w:val="24"/>
        </w:rPr>
      </w:pPr>
      <w:r w:rsidRPr="00EE3ECD">
        <w:rPr>
          <w:b/>
          <w:bCs/>
          <w:szCs w:val="24"/>
        </w:rPr>
        <w:t xml:space="preserve">PREFILED </w:t>
      </w:r>
      <w:r w:rsidR="006B09BA">
        <w:rPr>
          <w:b/>
          <w:bCs/>
          <w:szCs w:val="24"/>
        </w:rPr>
        <w:t xml:space="preserve">REBUTTAL </w:t>
      </w:r>
      <w:r w:rsidRPr="00EE3ECD">
        <w:rPr>
          <w:b/>
          <w:bCs/>
          <w:szCs w:val="24"/>
        </w:rPr>
        <w:t>TESTIMONY (NONCONFIDENTIAL) OF</w:t>
      </w:r>
      <w:r w:rsidRPr="00EE3ECD">
        <w:rPr>
          <w:b/>
          <w:bCs/>
          <w:szCs w:val="24"/>
        </w:rPr>
        <w:br/>
      </w:r>
      <w:r w:rsidR="002C087C" w:rsidRPr="002C087C">
        <w:rPr>
          <w:b/>
          <w:lang w:eastAsia="en-US"/>
        </w:rPr>
        <w:t>DANIEL A. DOYLE</w:t>
      </w:r>
    </w:p>
    <w:p w:rsidR="00515380" w:rsidRPr="00515380" w:rsidRDefault="00515380" w:rsidP="00F71A02">
      <w:pPr>
        <w:pStyle w:val="Heading1"/>
        <w:spacing w:after="360" w:line="240" w:lineRule="auto"/>
        <w:rPr>
          <w:rFonts w:ascii="Times New Roman" w:eastAsia="SimSun" w:hAnsi="Times New Roman"/>
        </w:rPr>
      </w:pPr>
      <w:bookmarkStart w:id="1" w:name="_Toc294539813"/>
      <w:bookmarkStart w:id="2" w:name="_Toc406747299"/>
      <w:r w:rsidRPr="00515380">
        <w:t>I.</w:t>
      </w:r>
      <w:r w:rsidRPr="00515380">
        <w:tab/>
        <w:t>INTRODUCTION</w:t>
      </w:r>
      <w:bookmarkEnd w:id="1"/>
      <w:bookmarkEnd w:id="2"/>
    </w:p>
    <w:p w:rsidR="006B09BA" w:rsidRPr="006B09BA" w:rsidRDefault="006B09BA" w:rsidP="006B09BA">
      <w:pPr>
        <w:pStyle w:val="question"/>
        <w:keepNext/>
        <w:keepLines/>
        <w:spacing w:before="120"/>
        <w:rPr>
          <w:rFonts w:ascii="Times New Roman" w:hAnsi="Times New Roman"/>
        </w:rPr>
      </w:pPr>
      <w:r>
        <w:t>Q.</w:t>
      </w:r>
      <w:r>
        <w:tab/>
        <w:t xml:space="preserve">Are you the same </w:t>
      </w:r>
      <w:r w:rsidR="002C087C">
        <w:t xml:space="preserve">Daniel A. Doyle </w:t>
      </w:r>
      <w:r>
        <w:t>who provided prefiled direct testimony and supporting exhibits on behalf of Puget Sound Energy, Inc. (“PSE”) in these proceedings?</w:t>
      </w:r>
    </w:p>
    <w:p w:rsidR="002C087C" w:rsidRDefault="006B09BA" w:rsidP="003B5A1C">
      <w:pPr>
        <w:pStyle w:val="answer"/>
      </w:pPr>
      <w:r>
        <w:t>A.</w:t>
      </w:r>
      <w:r>
        <w:tab/>
        <w:t xml:space="preserve">Yes.  I filed prefiled </w:t>
      </w:r>
      <w:r w:rsidR="002C087C">
        <w:t xml:space="preserve">rebuttal </w:t>
      </w:r>
      <w:r>
        <w:t>testimony, Exhibit No. ___(</w:t>
      </w:r>
      <w:r w:rsidR="002C087C">
        <w:t>DAD</w:t>
      </w:r>
      <w:r>
        <w:t>-1T), and supporting exhibits, Exhibit No. ___(</w:t>
      </w:r>
      <w:r w:rsidR="002C087C">
        <w:t>DAD</w:t>
      </w:r>
      <w:r>
        <w:t xml:space="preserve">-2) </w:t>
      </w:r>
      <w:r w:rsidR="002C087C">
        <w:t xml:space="preserve">and </w:t>
      </w:r>
      <w:r>
        <w:t>Exhibit No. ___(</w:t>
      </w:r>
      <w:r w:rsidR="002C087C">
        <w:t>DAD</w:t>
      </w:r>
      <w:r>
        <w:t>-</w:t>
      </w:r>
      <w:r w:rsidR="002C087C">
        <w:t>3</w:t>
      </w:r>
      <w:r>
        <w:t xml:space="preserve">), on </w:t>
      </w:r>
      <w:r w:rsidR="002C087C">
        <w:t>May</w:t>
      </w:r>
      <w:r>
        <w:t> </w:t>
      </w:r>
      <w:r w:rsidR="002C087C">
        <w:t>8</w:t>
      </w:r>
      <w:r>
        <w:t>, 201</w:t>
      </w:r>
      <w:r w:rsidR="002C087C">
        <w:t>3, in support of a Multiparty Settlement</w:t>
      </w:r>
      <w:r>
        <w:t>.</w:t>
      </w:r>
      <w:r w:rsidR="002C087C">
        <w:t xml:space="preserve">  I also filed prefiled direct testimony, Exhibit No. ___(DAD-4</w:t>
      </w:r>
      <w:r w:rsidR="00127727">
        <w:t>T</w:t>
      </w:r>
      <w:r w:rsidR="002C087C">
        <w:t>), and supporting exhibits, Exhibit No. ___(DAD-5) through Exhibit No. ___(DAD-7), on November 5, 2014, as part of these remand proceedings.</w:t>
      </w:r>
    </w:p>
    <w:p w:rsidR="00515380" w:rsidRPr="00515380" w:rsidRDefault="00515380" w:rsidP="00515380">
      <w:pPr>
        <w:pStyle w:val="question"/>
        <w:keepNext/>
        <w:keepLines/>
        <w:spacing w:before="120"/>
        <w:rPr>
          <w:rFonts w:ascii="Times New Roman" w:hAnsi="Times New Roman"/>
        </w:rPr>
      </w:pPr>
      <w:r w:rsidRPr="00515380">
        <w:t>Q.</w:t>
      </w:r>
      <w:r w:rsidRPr="00515380">
        <w:tab/>
        <w:t xml:space="preserve">Please summarize the purpose of your </w:t>
      </w:r>
      <w:r w:rsidR="006B09BA">
        <w:t xml:space="preserve">prefiled rebuttal </w:t>
      </w:r>
      <w:r w:rsidRPr="00515380">
        <w:t>testimony.</w:t>
      </w:r>
    </w:p>
    <w:p w:rsidR="003B5A1C" w:rsidRDefault="00515380" w:rsidP="003B5A1C">
      <w:pPr>
        <w:pStyle w:val="answer"/>
      </w:pPr>
      <w:r w:rsidRPr="00515380">
        <w:t>A.</w:t>
      </w:r>
      <w:r w:rsidRPr="00515380">
        <w:tab/>
      </w:r>
      <w:r w:rsidR="009761AA">
        <w:t xml:space="preserve">First, </w:t>
      </w:r>
      <w:r w:rsidR="005B2E6A">
        <w:t xml:space="preserve">this </w:t>
      </w:r>
      <w:r w:rsidRPr="00515380">
        <w:t xml:space="preserve">prefiled </w:t>
      </w:r>
      <w:r w:rsidR="006B09BA">
        <w:t xml:space="preserve">rebuttal </w:t>
      </w:r>
      <w:r w:rsidRPr="00515380">
        <w:t xml:space="preserve">testimony </w:t>
      </w:r>
      <w:r w:rsidR="009761AA">
        <w:t xml:space="preserve">responds to </w:t>
      </w:r>
      <w:r w:rsidR="005B2E6A">
        <w:t>the Prefiled Direct T</w:t>
      </w:r>
      <w:r w:rsidR="00A71B65">
        <w:t xml:space="preserve">estimony </w:t>
      </w:r>
      <w:r w:rsidR="005B2E6A">
        <w:t xml:space="preserve">of </w:t>
      </w:r>
      <w:r w:rsidR="009761AA">
        <w:t>Stephen</w:t>
      </w:r>
      <w:r w:rsidR="005B2E6A">
        <w:t> </w:t>
      </w:r>
      <w:r w:rsidR="009761AA">
        <w:t>G. Hill</w:t>
      </w:r>
      <w:r w:rsidR="005B2E6A">
        <w:t>, Exhibit No. ___(SGH-2T), on behalf of the Public Counsel Section of the Washington Attorney General’s Office (“Public Counsel”),</w:t>
      </w:r>
      <w:r w:rsidR="009761AA">
        <w:t xml:space="preserve"> with respect to </w:t>
      </w:r>
      <w:r w:rsidR="000547D1">
        <w:t>(i) </w:t>
      </w:r>
      <w:r w:rsidR="009761AA">
        <w:t>Mr.</w:t>
      </w:r>
      <w:r w:rsidR="000547D1">
        <w:t> </w:t>
      </w:r>
      <w:r w:rsidR="009761AA">
        <w:t xml:space="preserve">Hill’s flawed analyses </w:t>
      </w:r>
      <w:r w:rsidR="00CD4F9F">
        <w:t>of</w:t>
      </w:r>
      <w:r w:rsidR="009761AA">
        <w:t xml:space="preserve"> the effect of decoupling on cost of capital</w:t>
      </w:r>
      <w:r w:rsidR="000547D1">
        <w:t xml:space="preserve"> and (ii) Mr. Hill’s </w:t>
      </w:r>
      <w:r w:rsidR="009761AA">
        <w:t>testimony addressing PSE’s earnings sharing mechanism.</w:t>
      </w:r>
    </w:p>
    <w:p w:rsidR="00D84165" w:rsidRDefault="00D84165" w:rsidP="00D84165">
      <w:pPr>
        <w:pStyle w:val="answer"/>
        <w:ind w:firstLine="0"/>
      </w:pPr>
      <w:r>
        <w:t xml:space="preserve">Second, this prefiled rebuttal testimony responds to the Prefiled Response Testimony of Michael P. Gorman, Exhibit No. ___(MPG-23T), on behalf of </w:t>
      </w:r>
      <w:r w:rsidR="00192716">
        <w:rPr>
          <w:rFonts w:eastAsia="SimSun"/>
        </w:rPr>
        <w:t xml:space="preserve">the </w:t>
      </w:r>
      <w:r w:rsidR="00192716">
        <w:rPr>
          <w:rFonts w:eastAsia="SimSun"/>
        </w:rPr>
        <w:lastRenderedPageBreak/>
        <w:t>Industrial Customers of Northwest Utilities (“ICNU”)</w:t>
      </w:r>
      <w:r>
        <w:t>, with respect to the potential effect of the decoupling mechanism on PSE’s cost of capital.</w:t>
      </w:r>
    </w:p>
    <w:p w:rsidR="00515380" w:rsidRDefault="00D84165" w:rsidP="003B5A1C">
      <w:pPr>
        <w:pStyle w:val="answer"/>
        <w:ind w:firstLine="0"/>
      </w:pPr>
      <w:r>
        <w:t>Third</w:t>
      </w:r>
      <w:r w:rsidR="009761AA">
        <w:t xml:space="preserve">, </w:t>
      </w:r>
      <w:r w:rsidR="000547D1">
        <w:t xml:space="preserve">this </w:t>
      </w:r>
      <w:r w:rsidR="00232103">
        <w:t xml:space="preserve">prefiled </w:t>
      </w:r>
      <w:r w:rsidR="00CD4F9F">
        <w:t xml:space="preserve">rebuttal </w:t>
      </w:r>
      <w:r w:rsidR="009761AA">
        <w:t xml:space="preserve">testimony responds to the </w:t>
      </w:r>
      <w:r w:rsidR="000547D1">
        <w:t xml:space="preserve">Prefiled Testimony of Thomas E. Schooley, Exhibit No. ___(TES-6T), on behalf of Staff of the Washington Utilities and Transportation Commission (“Commission Staff”), with respect to </w:t>
      </w:r>
      <w:r w:rsidR="009761AA">
        <w:t xml:space="preserve">PSE’s earnings sharing mechanism.  </w:t>
      </w:r>
    </w:p>
    <w:p w:rsidR="009761AA" w:rsidRPr="000547D1" w:rsidRDefault="00485371" w:rsidP="000547D1">
      <w:pPr>
        <w:pStyle w:val="question"/>
        <w:keepNext/>
        <w:keepLines/>
        <w:spacing w:before="120"/>
        <w:rPr>
          <w:rFonts w:ascii="Times New Roman" w:hAnsi="Times New Roman"/>
        </w:rPr>
      </w:pPr>
      <w:r>
        <w:rPr>
          <w:rFonts w:eastAsia="SimSun"/>
        </w:rPr>
        <w:t>Q.</w:t>
      </w:r>
      <w:r>
        <w:rPr>
          <w:rFonts w:eastAsia="SimSun"/>
        </w:rPr>
        <w:tab/>
        <w:t>Do you have any general observations with respect to the response testimony filed by the Industrial Customers of Northwest Utilities and Public Counsel?</w:t>
      </w:r>
    </w:p>
    <w:p w:rsidR="001525FC" w:rsidRPr="003B5A1C" w:rsidRDefault="00485371" w:rsidP="003B5A1C">
      <w:pPr>
        <w:pStyle w:val="answer"/>
      </w:pPr>
      <w:r>
        <w:rPr>
          <w:rFonts w:eastAsia="SimSun"/>
        </w:rPr>
        <w:t>A.</w:t>
      </w:r>
      <w:r>
        <w:rPr>
          <w:rFonts w:eastAsia="SimSun"/>
        </w:rPr>
        <w:tab/>
        <w:t xml:space="preserve">Yes.  </w:t>
      </w:r>
      <w:r w:rsidR="00204E53">
        <w:rPr>
          <w:rFonts w:eastAsia="SimSun"/>
        </w:rPr>
        <w:t>B</w:t>
      </w:r>
      <w:r w:rsidR="00232103">
        <w:rPr>
          <w:rFonts w:eastAsia="SimSun"/>
        </w:rPr>
        <w:t xml:space="preserve">oth Public Counsel and </w:t>
      </w:r>
      <w:r w:rsidR="00192716">
        <w:t>ICNU</w:t>
      </w:r>
      <w:r w:rsidR="00192716" w:rsidDel="00192716">
        <w:rPr>
          <w:rFonts w:eastAsia="SimSun"/>
        </w:rPr>
        <w:t xml:space="preserve"> </w:t>
      </w:r>
      <w:r w:rsidR="00232103">
        <w:rPr>
          <w:rFonts w:eastAsia="SimSun"/>
        </w:rPr>
        <w:t>argue that the Commission should lower PSE’s return on equity as a result of the implementation of revenue decoupling in 2013.</w:t>
      </w:r>
      <w:r w:rsidR="00C21748">
        <w:rPr>
          <w:rStyle w:val="FootnoteReference"/>
          <w:rFonts w:eastAsia="SimSun"/>
        </w:rPr>
        <w:footnoteReference w:id="2"/>
      </w:r>
      <w:r w:rsidR="00232103">
        <w:rPr>
          <w:rFonts w:eastAsia="SimSun"/>
        </w:rPr>
        <w:t xml:space="preserve">  As I stated in my prefiled direct testimony,</w:t>
      </w:r>
      <w:r w:rsidR="00225B10">
        <w:rPr>
          <w:rStyle w:val="FootnoteReference"/>
          <w:rFonts w:eastAsia="SimSun"/>
        </w:rPr>
        <w:footnoteReference w:id="3"/>
      </w:r>
      <w:r w:rsidR="00232103">
        <w:rPr>
          <w:rFonts w:eastAsia="SimSun"/>
        </w:rPr>
        <w:t xml:space="preserve"> it is PSE’s position that the</w:t>
      </w:r>
      <w:r w:rsidR="00204E53">
        <w:rPr>
          <w:rFonts w:eastAsia="SimSun"/>
        </w:rPr>
        <w:t xml:space="preserve"> Commission </w:t>
      </w:r>
      <w:r w:rsidR="00992FC9">
        <w:rPr>
          <w:rFonts w:eastAsia="SimSun"/>
        </w:rPr>
        <w:t>was correct when it d</w:t>
      </w:r>
      <w:r w:rsidR="005C19E4">
        <w:rPr>
          <w:rFonts w:eastAsia="SimSun"/>
        </w:rPr>
        <w:t xml:space="preserve">etermined </w:t>
      </w:r>
      <w:r w:rsidR="001525FC">
        <w:rPr>
          <w:rFonts w:eastAsia="SimSun"/>
        </w:rPr>
        <w:t xml:space="preserve">in Order 07 in this proceeding </w:t>
      </w:r>
      <w:r w:rsidR="005C19E4">
        <w:rPr>
          <w:rFonts w:eastAsia="SimSun"/>
        </w:rPr>
        <w:t xml:space="preserve">that this issue should be addressed in PSE’s next general rate case, after the decoupling mechanisms have </w:t>
      </w:r>
      <w:r w:rsidR="0087118A">
        <w:rPr>
          <w:rFonts w:eastAsia="SimSun"/>
        </w:rPr>
        <w:t>been in place for a</w:t>
      </w:r>
      <w:r w:rsidR="005C19E4">
        <w:rPr>
          <w:rFonts w:eastAsia="SimSun"/>
        </w:rPr>
        <w:t xml:space="preserve"> </w:t>
      </w:r>
      <w:r w:rsidR="0087118A">
        <w:rPr>
          <w:rFonts w:eastAsia="SimSun"/>
        </w:rPr>
        <w:t>reasonable period of time</w:t>
      </w:r>
      <w:r w:rsidR="001525FC">
        <w:rPr>
          <w:rFonts w:eastAsia="SimSun"/>
        </w:rPr>
        <w:t>:</w:t>
      </w:r>
    </w:p>
    <w:p w:rsidR="001525FC" w:rsidRDefault="0087118A" w:rsidP="003B5A1C">
      <w:pPr>
        <w:pStyle w:val="Answer0"/>
        <w:spacing w:before="0" w:after="280" w:line="240" w:lineRule="auto"/>
        <w:ind w:left="1440" w:right="720" w:firstLine="0"/>
        <w:jc w:val="both"/>
        <w:rPr>
          <w:rFonts w:eastAsia="SimSun"/>
        </w:rPr>
      </w:pPr>
      <w:r>
        <w:rPr>
          <w:rFonts w:eastAsia="SimSun"/>
        </w:rPr>
        <w:t>Experience going forward with decoupling in place for PSE as various of its debt instruments mature over the next several years will provide valuable information to the Commission.</w:t>
      </w:r>
      <w:r w:rsidR="00992FC9">
        <w:rPr>
          <w:rStyle w:val="FootnoteReference"/>
          <w:rFonts w:eastAsia="SimSun"/>
        </w:rPr>
        <w:footnoteReference w:id="4"/>
      </w:r>
    </w:p>
    <w:p w:rsidR="00992FC9" w:rsidRPr="003B5A1C" w:rsidRDefault="000843A1" w:rsidP="003B5A1C">
      <w:pPr>
        <w:pStyle w:val="answer"/>
        <w:ind w:firstLine="0"/>
      </w:pPr>
      <w:r>
        <w:rPr>
          <w:rFonts w:eastAsia="SimSun"/>
        </w:rPr>
        <w:t>However, b</w:t>
      </w:r>
      <w:r w:rsidR="00992FC9">
        <w:rPr>
          <w:rFonts w:eastAsia="SimSun"/>
        </w:rPr>
        <w:t xml:space="preserve">ecause Public Counsel </w:t>
      </w:r>
      <w:r w:rsidR="001525FC">
        <w:rPr>
          <w:rFonts w:eastAsia="SimSun"/>
        </w:rPr>
        <w:t>an</w:t>
      </w:r>
      <w:bookmarkStart w:id="3" w:name="_GoBack"/>
      <w:bookmarkEnd w:id="3"/>
      <w:r w:rsidR="001525FC">
        <w:rPr>
          <w:rFonts w:eastAsia="SimSun"/>
        </w:rPr>
        <w:t xml:space="preserve">d ICNU have asked and continue to </w:t>
      </w:r>
      <w:r>
        <w:rPr>
          <w:rFonts w:eastAsia="SimSun"/>
        </w:rPr>
        <w:t xml:space="preserve">ask the Commission to make a determination on the effect of decoupling on cost of </w:t>
      </w:r>
      <w:r>
        <w:rPr>
          <w:rFonts w:eastAsia="SimSun"/>
        </w:rPr>
        <w:lastRenderedPageBreak/>
        <w:t>capital, PSE has filed testimony rebutting the Public Counsel and ICNU testimony on this topic.</w:t>
      </w:r>
    </w:p>
    <w:p w:rsidR="003B5A1C" w:rsidRDefault="00485371" w:rsidP="003B5A1C">
      <w:pPr>
        <w:pStyle w:val="answer"/>
        <w:ind w:firstLine="0"/>
      </w:pPr>
      <w:r>
        <w:rPr>
          <w:rFonts w:eastAsia="SimSun"/>
        </w:rPr>
        <w:t xml:space="preserve">Public Counsel </w:t>
      </w:r>
      <w:r w:rsidR="00225B10">
        <w:rPr>
          <w:rFonts w:eastAsia="SimSun"/>
        </w:rPr>
        <w:t xml:space="preserve">and ICNU </w:t>
      </w:r>
      <w:r w:rsidR="007313C5">
        <w:rPr>
          <w:rFonts w:eastAsia="SimSun"/>
        </w:rPr>
        <w:t>portray a one-sided view of revenue decoupling</w:t>
      </w:r>
      <w:r w:rsidR="002A7C73">
        <w:rPr>
          <w:rFonts w:eastAsia="SimSun"/>
        </w:rPr>
        <w:t xml:space="preserve">, arguing that PSE’s </w:t>
      </w:r>
      <w:r w:rsidR="001F7C7E">
        <w:rPr>
          <w:rFonts w:eastAsia="SimSun"/>
        </w:rPr>
        <w:t>allowed</w:t>
      </w:r>
      <w:r w:rsidR="002A7C73">
        <w:rPr>
          <w:rFonts w:eastAsia="SimSun"/>
        </w:rPr>
        <w:t xml:space="preserve"> return on equity should be reduced because of decoupling</w:t>
      </w:r>
      <w:r w:rsidR="00B96FA8">
        <w:rPr>
          <w:rFonts w:eastAsia="SimSun"/>
        </w:rPr>
        <w:t>,</w:t>
      </w:r>
      <w:r w:rsidR="007313C5">
        <w:rPr>
          <w:rFonts w:eastAsia="SimSun"/>
        </w:rPr>
        <w:t xml:space="preserve"> </w:t>
      </w:r>
      <w:r w:rsidR="002A7C73">
        <w:rPr>
          <w:rFonts w:eastAsia="SimSun"/>
        </w:rPr>
        <w:t xml:space="preserve">with no sound basis for such a reduction.  </w:t>
      </w:r>
      <w:r w:rsidR="00225B10">
        <w:rPr>
          <w:rFonts w:eastAsia="SimSun"/>
        </w:rPr>
        <w:t xml:space="preserve">Public Counsel and ICNU </w:t>
      </w:r>
      <w:r w:rsidR="002A7C73">
        <w:rPr>
          <w:rFonts w:eastAsia="SimSun"/>
        </w:rPr>
        <w:t xml:space="preserve">fail to recognize the important state policy goals that are achieved as part of the Commission’s approval of the decoupling mechanism and the benefits that flow to customers as a result of the decoupling mechanism.  </w:t>
      </w:r>
      <w:r w:rsidR="007313C5">
        <w:t xml:space="preserve">Revenue decoupling is </w:t>
      </w:r>
      <w:r w:rsidR="006C4DB2">
        <w:t>an important part of the Washington State energy policy</w:t>
      </w:r>
      <w:r w:rsidR="002A7C73">
        <w:t xml:space="preserve">, </w:t>
      </w:r>
      <w:r w:rsidR="007313C5">
        <w:t xml:space="preserve">designed to eliminate a utility’s reliance on increased customer energy usage as a means to recover </w:t>
      </w:r>
      <w:r w:rsidR="00404AB6">
        <w:t xml:space="preserve">its </w:t>
      </w:r>
      <w:r w:rsidR="007313C5">
        <w:t>fixed costs</w:t>
      </w:r>
      <w:r w:rsidR="002A7C73">
        <w:t>.  It is intended to</w:t>
      </w:r>
      <w:r w:rsidR="00404AB6">
        <w:t xml:space="preserve"> remove </w:t>
      </w:r>
      <w:r w:rsidR="007313C5">
        <w:t>barriers to conservation and energy efficiency</w:t>
      </w:r>
      <w:r w:rsidR="00225B10">
        <w:t>—</w:t>
      </w:r>
      <w:r w:rsidR="007313C5">
        <w:t>a least cost resource that benefits all customers</w:t>
      </w:r>
      <w:r w:rsidR="00225B10">
        <w:rPr>
          <w:rFonts w:eastAsia="SimSun"/>
        </w:rPr>
        <w:t>.</w:t>
      </w:r>
      <w:r w:rsidR="00225B10">
        <w:rPr>
          <w:rStyle w:val="FootnoteReference"/>
          <w:rFonts w:eastAsia="SimSun"/>
        </w:rPr>
        <w:footnoteReference w:id="5"/>
      </w:r>
    </w:p>
    <w:p w:rsidR="003B5A1C" w:rsidRDefault="007313C5" w:rsidP="003B5A1C">
      <w:pPr>
        <w:pStyle w:val="answer"/>
        <w:ind w:firstLine="0"/>
      </w:pPr>
      <w:r>
        <w:t>Moreover, the decoupling mechanism is balanced</w:t>
      </w:r>
      <w:r w:rsidR="00225B10">
        <w:t>—</w:t>
      </w:r>
      <w:r>
        <w:t>its defe</w:t>
      </w:r>
      <w:r w:rsidR="00404AB6">
        <w:t xml:space="preserve">rrals </w:t>
      </w:r>
      <w:r w:rsidR="006C4DB2">
        <w:t xml:space="preserve">go both ways.  </w:t>
      </w:r>
      <w:r w:rsidR="00B058F3">
        <w:t xml:space="preserve">Customers can benefit under decoupling </w:t>
      </w:r>
      <w:r w:rsidR="000843A1">
        <w:t>if</w:t>
      </w:r>
      <w:r w:rsidR="00B058F3">
        <w:t xml:space="preserve"> weather is colder than normal causing increased usage in the cold weather months, and PSE can benefit if the weather is warmer than normal.  </w:t>
      </w:r>
      <w:r w:rsidR="00A243EF">
        <w:t xml:space="preserve">Either way, however, the deferrals are modest </w:t>
      </w:r>
      <w:r w:rsidR="00F94C9A">
        <w:t xml:space="preserve">and certainly </w:t>
      </w:r>
      <w:r w:rsidR="009F0C95">
        <w:t>do not support a reduction in PSE’s cost of capital.</w:t>
      </w:r>
    </w:p>
    <w:p w:rsidR="000843A1" w:rsidRDefault="007D7CC7" w:rsidP="003B5A1C">
      <w:pPr>
        <w:pStyle w:val="answer"/>
        <w:ind w:firstLine="0"/>
      </w:pPr>
      <w:r>
        <w:t>Finally, PSE’s revenue decoupling mechanism only applies to a subset of PSE’s revenues</w:t>
      </w:r>
      <w:r w:rsidR="00F94C9A">
        <w:t>—</w:t>
      </w:r>
      <w:r>
        <w:t xml:space="preserve">delivery revenues which constitute approximately one-third of PSE’s total revenues.  </w:t>
      </w:r>
      <w:r w:rsidR="009F0C95">
        <w:t xml:space="preserve">For these reasons, and as discussed further in the prefiled rebuttal </w:t>
      </w:r>
      <w:r w:rsidR="009F0C95">
        <w:lastRenderedPageBreak/>
        <w:t xml:space="preserve">testimony filed by PSE, the Commission should not reduce PSE’s return </w:t>
      </w:r>
      <w:r w:rsidR="00F94C9A">
        <w:t>on equity in this proceeding.</w:t>
      </w:r>
    </w:p>
    <w:p w:rsidR="00F71A02" w:rsidRPr="00515380" w:rsidRDefault="003B5A1C" w:rsidP="00F71A02">
      <w:pPr>
        <w:pStyle w:val="Heading1"/>
        <w:spacing w:after="360" w:line="240" w:lineRule="auto"/>
        <w:rPr>
          <w:rFonts w:ascii="Times New Roman" w:eastAsia="SimSun" w:hAnsi="Times New Roman"/>
        </w:rPr>
      </w:pPr>
      <w:bookmarkStart w:id="4" w:name="_Toc406747300"/>
      <w:r>
        <w:t>I</w:t>
      </w:r>
      <w:r w:rsidR="00F71A02" w:rsidRPr="00515380">
        <w:t>I.</w:t>
      </w:r>
      <w:r w:rsidR="00F71A02" w:rsidRPr="00515380">
        <w:tab/>
        <w:t>INTRODUCTION</w:t>
      </w:r>
      <w:r>
        <w:t xml:space="preserve"> OF PSE WITNESSES</w:t>
      </w:r>
      <w:bookmarkEnd w:id="4"/>
    </w:p>
    <w:p w:rsidR="00F94C9A" w:rsidRPr="000547D1" w:rsidRDefault="00F94C9A" w:rsidP="00F94C9A">
      <w:pPr>
        <w:pStyle w:val="question"/>
        <w:keepNext/>
        <w:keepLines/>
        <w:spacing w:before="120"/>
        <w:rPr>
          <w:rFonts w:ascii="Times New Roman" w:hAnsi="Times New Roman"/>
        </w:rPr>
      </w:pPr>
      <w:r>
        <w:rPr>
          <w:rFonts w:eastAsia="SimSun"/>
        </w:rPr>
        <w:t>Q.</w:t>
      </w:r>
      <w:r>
        <w:rPr>
          <w:rFonts w:eastAsia="SimSun"/>
        </w:rPr>
        <w:tab/>
        <w:t>Is PSE offering other witnesses who present rebuttal testimony on behalf of PSE?</w:t>
      </w:r>
    </w:p>
    <w:p w:rsidR="00F94C9A" w:rsidRDefault="00F94C9A" w:rsidP="003B5A1C">
      <w:pPr>
        <w:pStyle w:val="answer"/>
      </w:pPr>
      <w:r>
        <w:t>A.</w:t>
      </w:r>
      <w:r w:rsidR="000843A1">
        <w:tab/>
      </w:r>
      <w:r>
        <w:t xml:space="preserve">Yes.  </w:t>
      </w:r>
      <w:r w:rsidR="00CD4F9F">
        <w:t xml:space="preserve">In addition to </w:t>
      </w:r>
      <w:r>
        <w:t xml:space="preserve">this </w:t>
      </w:r>
      <w:r w:rsidR="00CD4F9F">
        <w:t>rebuttal testimony, PSE is filing rebuttal testimony from the following witnesses:</w:t>
      </w:r>
    </w:p>
    <w:p w:rsidR="00F94C9A" w:rsidRDefault="00F94C9A" w:rsidP="00F94C9A">
      <w:pPr>
        <w:pStyle w:val="Answer0"/>
        <w:spacing w:before="0" w:after="280" w:line="240" w:lineRule="auto"/>
        <w:ind w:left="2160" w:right="720"/>
      </w:pPr>
      <w:r>
        <w:t>(i)</w:t>
      </w:r>
      <w:r>
        <w:tab/>
        <w:t xml:space="preserve">The Prefiled Rebuttal Testimony of </w:t>
      </w:r>
      <w:r w:rsidR="00CD4F9F">
        <w:t>Dr.</w:t>
      </w:r>
      <w:r>
        <w:t> </w:t>
      </w:r>
      <w:r w:rsidR="00CD4F9F">
        <w:t xml:space="preserve">Roger </w:t>
      </w:r>
      <w:r>
        <w:t xml:space="preserve">A. </w:t>
      </w:r>
      <w:r w:rsidR="00CD4F9F">
        <w:t>Morin</w:t>
      </w:r>
      <w:r>
        <w:t xml:space="preserve">, Exhibit No. ___(RAM-16T), </w:t>
      </w:r>
      <w:r w:rsidR="00CD4F9F">
        <w:t xml:space="preserve">rebuts the </w:t>
      </w:r>
      <w:r>
        <w:t xml:space="preserve">prefiled </w:t>
      </w:r>
      <w:r w:rsidR="00CD4F9F">
        <w:t>testimony of Stephen</w:t>
      </w:r>
      <w:r w:rsidR="00906A06">
        <w:t> </w:t>
      </w:r>
      <w:r w:rsidR="00CD4F9F">
        <w:t xml:space="preserve">Hill </w:t>
      </w:r>
      <w:r>
        <w:t xml:space="preserve">and Michael Gorman </w:t>
      </w:r>
      <w:r w:rsidR="00CD4F9F">
        <w:t xml:space="preserve">with respect to their cost of capital analyses </w:t>
      </w:r>
      <w:r>
        <w:t xml:space="preserve">that </w:t>
      </w:r>
      <w:r w:rsidR="00A85936">
        <w:t xml:space="preserve">advocate for a return on equity below PSE’s currently </w:t>
      </w:r>
      <w:r w:rsidR="001F7C7E">
        <w:rPr>
          <w:rFonts w:eastAsia="SimSun"/>
        </w:rPr>
        <w:t>allowed</w:t>
      </w:r>
      <w:r w:rsidR="00A85936">
        <w:t xml:space="preserve"> return of 9.8</w:t>
      </w:r>
      <w:r>
        <w:t> </w:t>
      </w:r>
      <w:r w:rsidR="00A85936">
        <w:t>percent.  Dr.</w:t>
      </w:r>
      <w:r>
        <w:t> </w:t>
      </w:r>
      <w:r w:rsidR="00A85936">
        <w:t>Morin</w:t>
      </w:r>
      <w:r w:rsidR="00CD4F9F">
        <w:t xml:space="preserve"> demonstrates </w:t>
      </w:r>
      <w:r>
        <w:t xml:space="preserve">that </w:t>
      </w:r>
      <w:r w:rsidR="00CD4F9F">
        <w:t xml:space="preserve">the </w:t>
      </w:r>
      <w:r>
        <w:t xml:space="preserve">return on equity of 9.8% </w:t>
      </w:r>
      <w:r w:rsidR="001F7C7E">
        <w:rPr>
          <w:rFonts w:eastAsia="SimSun"/>
        </w:rPr>
        <w:t>allowed</w:t>
      </w:r>
      <w:r>
        <w:t xml:space="preserve"> by the Commission in Order 08 in Dockets UE-111048 and UG-1110491</w:t>
      </w:r>
      <w:r>
        <w:rPr>
          <w:rStyle w:val="FootnoteReference"/>
          <w:rFonts w:eastAsia="SimSun"/>
        </w:rPr>
        <w:footnoteReference w:id="6"/>
      </w:r>
      <w:r>
        <w:t xml:space="preserve"> remained within the range of reasonableness when the Commission issued its Order 07 in these proceedings and remains within the </w:t>
      </w:r>
      <w:r w:rsidRPr="00F94C9A">
        <w:t>range of reasonableness through the rate plan period.</w:t>
      </w:r>
    </w:p>
    <w:p w:rsidR="00F71A02" w:rsidRDefault="00F94C9A" w:rsidP="00F71A02">
      <w:pPr>
        <w:pStyle w:val="Answer0"/>
        <w:spacing w:before="0" w:after="280" w:line="240" w:lineRule="auto"/>
        <w:ind w:left="2160" w:right="720"/>
      </w:pPr>
      <w:r>
        <w:t>(ii)</w:t>
      </w:r>
      <w:r>
        <w:tab/>
        <w:t>The Prefiled Rebuttal Testimony of Dr. </w:t>
      </w:r>
      <w:r w:rsidR="00CD4F9F">
        <w:t xml:space="preserve">Michael </w:t>
      </w:r>
      <w:r>
        <w:t xml:space="preserve">J. </w:t>
      </w:r>
      <w:r w:rsidR="00CD4F9F">
        <w:t>Vilbert</w:t>
      </w:r>
      <w:r>
        <w:t xml:space="preserve">, Exhibit No. ___(MJV-18T), </w:t>
      </w:r>
      <w:r w:rsidR="00CD4F9F">
        <w:t>rebuts the testimony of Stephen</w:t>
      </w:r>
      <w:r w:rsidR="00906A06">
        <w:t> </w:t>
      </w:r>
      <w:r w:rsidR="00CD4F9F">
        <w:t>Hill, Michael Gorman, and Dr.</w:t>
      </w:r>
      <w:r w:rsidR="00F71A02">
        <w:t> </w:t>
      </w:r>
      <w:r w:rsidR="00CD4F9F">
        <w:t xml:space="preserve">Christopher Adolph with respect to </w:t>
      </w:r>
      <w:r w:rsidR="00A85936">
        <w:t>the effect of decoupling on cost of capital</w:t>
      </w:r>
      <w:r w:rsidR="00B96FA8">
        <w:t>.</w:t>
      </w:r>
    </w:p>
    <w:p w:rsidR="00CD4F9F" w:rsidRDefault="00F71A02" w:rsidP="00F71A02">
      <w:pPr>
        <w:pStyle w:val="Answer0"/>
        <w:spacing w:before="0" w:after="280" w:line="240" w:lineRule="auto"/>
        <w:ind w:left="2160" w:right="720"/>
      </w:pPr>
      <w:r>
        <w:t>(iii)</w:t>
      </w:r>
      <w:r>
        <w:tab/>
        <w:t>The Prefiled Rebuttal Testimony of Dr. </w:t>
      </w:r>
      <w:r w:rsidR="00A85936">
        <w:t>Jeffrey</w:t>
      </w:r>
      <w:r>
        <w:t> </w:t>
      </w:r>
      <w:r w:rsidR="00A85936">
        <w:t>A. Dubin</w:t>
      </w:r>
      <w:r>
        <w:t xml:space="preserve">, Exhibit No. ___(JAD-1T), </w:t>
      </w:r>
      <w:r w:rsidR="00A85936">
        <w:t>specifically rebuts the testimony of Dr.</w:t>
      </w:r>
      <w:r>
        <w:t> </w:t>
      </w:r>
      <w:r w:rsidR="00A85936">
        <w:t xml:space="preserve">Christopher Adolph with respect to his testimony on statistical </w:t>
      </w:r>
      <w:r>
        <w:t>principles and interpretation.</w:t>
      </w:r>
    </w:p>
    <w:p w:rsidR="00515380" w:rsidRPr="00F71A02" w:rsidRDefault="003B5A1C" w:rsidP="00F71A02">
      <w:pPr>
        <w:pStyle w:val="Heading1"/>
        <w:spacing w:after="360" w:line="240" w:lineRule="auto"/>
        <w:rPr>
          <w:rFonts w:ascii="Times New Roman" w:eastAsia="SimSun" w:hAnsi="Times New Roman"/>
        </w:rPr>
      </w:pPr>
      <w:bookmarkStart w:id="5" w:name="_Toc294539814"/>
      <w:bookmarkStart w:id="6" w:name="_Toc406747301"/>
      <w:r>
        <w:lastRenderedPageBreak/>
        <w:t>I</w:t>
      </w:r>
      <w:r w:rsidR="00515380" w:rsidRPr="00515380">
        <w:t>II.</w:t>
      </w:r>
      <w:r w:rsidR="00515380" w:rsidRPr="00515380">
        <w:tab/>
      </w:r>
      <w:bookmarkEnd w:id="5"/>
      <w:r w:rsidR="00196567">
        <w:rPr>
          <w:snapToGrid w:val="0"/>
          <w:lang w:eastAsia="en-US"/>
        </w:rPr>
        <w:t xml:space="preserve">RESPONSE TO </w:t>
      </w:r>
      <w:r w:rsidR="00F71A02">
        <w:rPr>
          <w:snapToGrid w:val="0"/>
          <w:lang w:eastAsia="en-US"/>
        </w:rPr>
        <w:t xml:space="preserve">THE PREFILED DIRECT TESTIMONY OF </w:t>
      </w:r>
      <w:r w:rsidR="00196567">
        <w:rPr>
          <w:snapToGrid w:val="0"/>
          <w:lang w:eastAsia="en-US"/>
        </w:rPr>
        <w:t>STEPHEN</w:t>
      </w:r>
      <w:r w:rsidR="00023562">
        <w:rPr>
          <w:snapToGrid w:val="0"/>
          <w:lang w:eastAsia="en-US"/>
        </w:rPr>
        <w:t> </w:t>
      </w:r>
      <w:r w:rsidR="00196567">
        <w:rPr>
          <w:snapToGrid w:val="0"/>
          <w:lang w:eastAsia="en-US"/>
        </w:rPr>
        <w:t>G.</w:t>
      </w:r>
      <w:r w:rsidR="00023562">
        <w:rPr>
          <w:snapToGrid w:val="0"/>
          <w:lang w:eastAsia="en-US"/>
        </w:rPr>
        <w:t> </w:t>
      </w:r>
      <w:r w:rsidR="00196567">
        <w:rPr>
          <w:snapToGrid w:val="0"/>
          <w:lang w:eastAsia="en-US"/>
        </w:rPr>
        <w:t>HILL</w:t>
      </w:r>
      <w:bookmarkEnd w:id="6"/>
    </w:p>
    <w:p w:rsidR="00023562" w:rsidRDefault="00196567" w:rsidP="00023562">
      <w:pPr>
        <w:pStyle w:val="Heading2"/>
      </w:pPr>
      <w:bookmarkStart w:id="7" w:name="_Toc406747302"/>
      <w:r w:rsidRPr="00515380">
        <w:t>A.</w:t>
      </w:r>
      <w:r w:rsidRPr="00515380">
        <w:tab/>
      </w:r>
      <w:r w:rsidR="00023562">
        <w:rPr>
          <w:snapToGrid w:val="0"/>
          <w:lang w:eastAsia="en-US"/>
        </w:rPr>
        <w:t>The Commission Should Give No Weight to, and Completely Disregard, Mr. Hill’s Testimony With Respect to the Alleged Impact of D</w:t>
      </w:r>
      <w:r w:rsidR="00023562" w:rsidRPr="00596094">
        <w:rPr>
          <w:snapToGrid w:val="0"/>
          <w:lang w:eastAsia="en-US"/>
        </w:rPr>
        <w:t xml:space="preserve">ecoupling </w:t>
      </w:r>
      <w:r w:rsidR="00023562">
        <w:rPr>
          <w:snapToGrid w:val="0"/>
          <w:lang w:eastAsia="en-US"/>
        </w:rPr>
        <w:t>on E</w:t>
      </w:r>
      <w:r w:rsidR="00023562" w:rsidRPr="00596094">
        <w:rPr>
          <w:snapToGrid w:val="0"/>
          <w:lang w:eastAsia="en-US"/>
        </w:rPr>
        <w:t xml:space="preserve">quity </w:t>
      </w:r>
      <w:r w:rsidR="00023562">
        <w:rPr>
          <w:snapToGrid w:val="0"/>
          <w:lang w:eastAsia="en-US"/>
        </w:rPr>
        <w:t>C</w:t>
      </w:r>
      <w:r w:rsidR="00023562" w:rsidRPr="00596094">
        <w:rPr>
          <w:snapToGrid w:val="0"/>
          <w:lang w:eastAsia="en-US"/>
        </w:rPr>
        <w:t xml:space="preserve">ost of </w:t>
      </w:r>
      <w:r w:rsidR="00023562">
        <w:rPr>
          <w:snapToGrid w:val="0"/>
          <w:lang w:eastAsia="en-US"/>
        </w:rPr>
        <w:t>C</w:t>
      </w:r>
      <w:r w:rsidR="00023562" w:rsidRPr="00596094">
        <w:rPr>
          <w:snapToGrid w:val="0"/>
          <w:lang w:eastAsia="en-US"/>
        </w:rPr>
        <w:t>apital</w:t>
      </w:r>
      <w:bookmarkEnd w:id="7"/>
    </w:p>
    <w:p w:rsidR="00596094" w:rsidRPr="00596094" w:rsidRDefault="00596094" w:rsidP="00596094">
      <w:pPr>
        <w:pStyle w:val="question"/>
        <w:keepNext/>
        <w:keepLines/>
        <w:spacing w:before="120"/>
        <w:rPr>
          <w:rFonts w:ascii="Times New Roman" w:hAnsi="Times New Roman"/>
        </w:rPr>
      </w:pPr>
      <w:r w:rsidRPr="00515380">
        <w:t>Q.</w:t>
      </w:r>
      <w:r w:rsidRPr="00515380">
        <w:tab/>
      </w:r>
      <w:r w:rsidRPr="00596094">
        <w:rPr>
          <w:snapToGrid w:val="0"/>
          <w:lang w:eastAsia="en-US"/>
        </w:rPr>
        <w:t xml:space="preserve">Does </w:t>
      </w:r>
      <w:r>
        <w:rPr>
          <w:snapToGrid w:val="0"/>
          <w:lang w:eastAsia="en-US"/>
        </w:rPr>
        <w:t xml:space="preserve">the Prefiled Direct Testimony of Stephen G. Hill, Exhibit No. ___(SGH-2T), </w:t>
      </w:r>
      <w:r w:rsidR="00E81A5F">
        <w:rPr>
          <w:snapToGrid w:val="0"/>
          <w:lang w:eastAsia="en-US"/>
        </w:rPr>
        <w:t xml:space="preserve">accurately reflect </w:t>
      </w:r>
      <w:r w:rsidRPr="00596094">
        <w:rPr>
          <w:snapToGrid w:val="0"/>
          <w:lang w:eastAsia="en-US"/>
        </w:rPr>
        <w:t>equity investors</w:t>
      </w:r>
      <w:r w:rsidR="00E81A5F">
        <w:rPr>
          <w:snapToGrid w:val="0"/>
          <w:lang w:eastAsia="en-US"/>
        </w:rPr>
        <w:t>’</w:t>
      </w:r>
      <w:r w:rsidRPr="00596094">
        <w:rPr>
          <w:snapToGrid w:val="0"/>
          <w:lang w:eastAsia="en-US"/>
        </w:rPr>
        <w:t xml:space="preserve"> perception</w:t>
      </w:r>
      <w:r w:rsidR="00E81A5F">
        <w:rPr>
          <w:snapToGrid w:val="0"/>
          <w:lang w:eastAsia="en-US"/>
        </w:rPr>
        <w:t>s</w:t>
      </w:r>
      <w:r w:rsidRPr="00596094">
        <w:rPr>
          <w:snapToGrid w:val="0"/>
          <w:lang w:eastAsia="en-US"/>
        </w:rPr>
        <w:t xml:space="preserve"> of utility risk when a decoupling mechanism is present?</w:t>
      </w:r>
    </w:p>
    <w:p w:rsidR="00B50387" w:rsidRPr="003B5A1C" w:rsidRDefault="00596094" w:rsidP="00596094">
      <w:pPr>
        <w:pStyle w:val="answer"/>
      </w:pPr>
      <w:r>
        <w:rPr>
          <w:snapToGrid w:val="0"/>
          <w:lang w:eastAsia="en-US"/>
        </w:rPr>
        <w:t>A.</w:t>
      </w:r>
      <w:r>
        <w:rPr>
          <w:snapToGrid w:val="0"/>
          <w:lang w:eastAsia="en-US"/>
        </w:rPr>
        <w:tab/>
      </w:r>
      <w:r w:rsidRPr="00596094">
        <w:rPr>
          <w:snapToGrid w:val="0"/>
          <w:lang w:eastAsia="en-US"/>
        </w:rPr>
        <w:t xml:space="preserve">No.  Throughout </w:t>
      </w:r>
      <w:r w:rsidR="00E81A5F">
        <w:rPr>
          <w:snapToGrid w:val="0"/>
          <w:lang w:eastAsia="en-US"/>
        </w:rPr>
        <w:t>the Prefiled Direct Testimony of Stephen G. Hill, Exhibit No. ___(SGH-2T), Mr.</w:t>
      </w:r>
      <w:r w:rsidR="00023562">
        <w:rPr>
          <w:snapToGrid w:val="0"/>
          <w:lang w:eastAsia="en-US"/>
        </w:rPr>
        <w:t> </w:t>
      </w:r>
      <w:r w:rsidR="00E81A5F">
        <w:rPr>
          <w:snapToGrid w:val="0"/>
          <w:lang w:eastAsia="en-US"/>
        </w:rPr>
        <w:t>Hill</w:t>
      </w:r>
      <w:r w:rsidRPr="00596094">
        <w:rPr>
          <w:snapToGrid w:val="0"/>
          <w:lang w:eastAsia="en-US"/>
        </w:rPr>
        <w:t xml:space="preserve"> refers to the </w:t>
      </w:r>
      <w:r w:rsidR="00B50387">
        <w:rPr>
          <w:snapToGrid w:val="0"/>
          <w:lang w:eastAsia="en-US"/>
        </w:rPr>
        <w:t>“</w:t>
      </w:r>
      <w:r w:rsidR="00B50387" w:rsidRPr="00E81A5F">
        <w:rPr>
          <w:snapToGrid w:val="0"/>
          <w:lang w:eastAsia="en-US"/>
        </w:rPr>
        <w:t>risk reduction afforded by PSE’s</w:t>
      </w:r>
      <w:r w:rsidR="00B50387">
        <w:rPr>
          <w:snapToGrid w:val="0"/>
          <w:lang w:eastAsia="en-US"/>
        </w:rPr>
        <w:t xml:space="preserve"> </w:t>
      </w:r>
      <w:r w:rsidR="00B50387" w:rsidRPr="00E81A5F">
        <w:rPr>
          <w:snapToGrid w:val="0"/>
          <w:lang w:eastAsia="en-US"/>
        </w:rPr>
        <w:t>electric and gas full decoupling mechanisms</w:t>
      </w:r>
      <w:r w:rsidR="00B50387">
        <w:rPr>
          <w:snapToGrid w:val="0"/>
          <w:lang w:eastAsia="en-US"/>
        </w:rPr>
        <w:t> . . . </w:t>
      </w:r>
      <w:r w:rsidRPr="00596094">
        <w:rPr>
          <w:snapToGrid w:val="0"/>
          <w:lang w:eastAsia="en-US"/>
        </w:rPr>
        <w:t>.</w:t>
      </w:r>
      <w:r w:rsidR="00B50387">
        <w:rPr>
          <w:snapToGrid w:val="0"/>
          <w:lang w:eastAsia="en-US"/>
        </w:rPr>
        <w:t>”</w:t>
      </w:r>
      <w:r w:rsidR="00B50387">
        <w:rPr>
          <w:rStyle w:val="FootnoteReference"/>
          <w:snapToGrid w:val="0"/>
          <w:lang w:eastAsia="en-US"/>
        </w:rPr>
        <w:footnoteReference w:id="7"/>
      </w:r>
      <w:r w:rsidRPr="00596094">
        <w:rPr>
          <w:snapToGrid w:val="0"/>
          <w:lang w:eastAsia="en-US"/>
        </w:rPr>
        <w:t xml:space="preserve">  </w:t>
      </w:r>
      <w:r w:rsidR="00E81A5F">
        <w:rPr>
          <w:snapToGrid w:val="0"/>
          <w:lang w:eastAsia="en-US"/>
        </w:rPr>
        <w:t xml:space="preserve">For example, </w:t>
      </w:r>
      <w:r w:rsidRPr="00596094">
        <w:rPr>
          <w:snapToGrid w:val="0"/>
          <w:lang w:eastAsia="en-US"/>
        </w:rPr>
        <w:t>Mr.</w:t>
      </w:r>
      <w:r w:rsidR="00023562">
        <w:rPr>
          <w:snapToGrid w:val="0"/>
          <w:lang w:eastAsia="en-US"/>
        </w:rPr>
        <w:t> </w:t>
      </w:r>
      <w:r w:rsidRPr="00596094">
        <w:rPr>
          <w:snapToGrid w:val="0"/>
          <w:lang w:eastAsia="en-US"/>
        </w:rPr>
        <w:t xml:space="preserve">Hill </w:t>
      </w:r>
      <w:r w:rsidR="00B50387">
        <w:rPr>
          <w:snapToGrid w:val="0"/>
          <w:lang w:eastAsia="en-US"/>
        </w:rPr>
        <w:t xml:space="preserve">asserts </w:t>
      </w:r>
      <w:r w:rsidR="00E7589A">
        <w:rPr>
          <w:snapToGrid w:val="0"/>
          <w:lang w:eastAsia="en-US"/>
        </w:rPr>
        <w:t>as follows:</w:t>
      </w:r>
    </w:p>
    <w:p w:rsidR="00E7589A" w:rsidRDefault="00B50387" w:rsidP="004F0AF9">
      <w:pPr>
        <w:pStyle w:val="answer"/>
        <w:spacing w:after="280" w:line="240" w:lineRule="auto"/>
        <w:ind w:left="1440" w:right="720" w:firstLine="0"/>
        <w:jc w:val="both"/>
        <w:rPr>
          <w:snapToGrid w:val="0"/>
          <w:lang w:eastAsia="en-US"/>
        </w:rPr>
      </w:pPr>
      <w:r w:rsidRPr="00B50387">
        <w:rPr>
          <w:snapToGrid w:val="0"/>
          <w:lang w:eastAsia="en-US"/>
        </w:rPr>
        <w:t>In a decoupling ratemaking</w:t>
      </w:r>
      <w:r w:rsidR="00E7589A">
        <w:rPr>
          <w:snapToGrid w:val="0"/>
          <w:lang w:eastAsia="en-US"/>
        </w:rPr>
        <w:t xml:space="preserve"> </w:t>
      </w:r>
      <w:r w:rsidRPr="00B50387">
        <w:rPr>
          <w:snapToGrid w:val="0"/>
          <w:lang w:eastAsia="en-US"/>
        </w:rPr>
        <w:t>regime, where the company is made whole for its promised regulatory revenues</w:t>
      </w:r>
      <w:r w:rsidR="00E7589A">
        <w:rPr>
          <w:snapToGrid w:val="0"/>
          <w:lang w:eastAsia="en-US"/>
        </w:rPr>
        <w:t xml:space="preserve"> </w:t>
      </w:r>
      <w:r w:rsidRPr="00B50387">
        <w:rPr>
          <w:snapToGrid w:val="0"/>
          <w:lang w:eastAsia="en-US"/>
        </w:rPr>
        <w:t>per customer no matter what its unit sales are, the volatility of corporate revenues</w:t>
      </w:r>
      <w:r w:rsidR="00E7589A">
        <w:rPr>
          <w:snapToGrid w:val="0"/>
          <w:lang w:eastAsia="en-US"/>
        </w:rPr>
        <w:t xml:space="preserve"> </w:t>
      </w:r>
      <w:r w:rsidRPr="00B50387">
        <w:rPr>
          <w:snapToGrid w:val="0"/>
          <w:lang w:eastAsia="en-US"/>
        </w:rPr>
        <w:t>normally due to changes in the service territory economy or weather (or any other</w:t>
      </w:r>
      <w:r w:rsidR="00E7589A">
        <w:rPr>
          <w:snapToGrid w:val="0"/>
          <w:lang w:eastAsia="en-US"/>
        </w:rPr>
        <w:t xml:space="preserve"> </w:t>
      </w:r>
      <w:r w:rsidRPr="00B50387">
        <w:rPr>
          <w:snapToGrid w:val="0"/>
          <w:lang w:eastAsia="en-US"/>
        </w:rPr>
        <w:t>exogenous factor) will be significantly reduced.</w:t>
      </w:r>
      <w:r w:rsidR="00E7589A">
        <w:rPr>
          <w:rStyle w:val="FootnoteReference"/>
          <w:snapToGrid w:val="0"/>
          <w:lang w:eastAsia="en-US"/>
        </w:rPr>
        <w:footnoteReference w:id="8"/>
      </w:r>
    </w:p>
    <w:p w:rsidR="003B5A1C" w:rsidRDefault="00596094" w:rsidP="006A401D">
      <w:pPr>
        <w:pStyle w:val="answer"/>
        <w:ind w:firstLine="0"/>
      </w:pPr>
      <w:r w:rsidRPr="00596094">
        <w:rPr>
          <w:snapToGrid w:val="0"/>
          <w:lang w:eastAsia="en-US"/>
        </w:rPr>
        <w:t>What Mr.</w:t>
      </w:r>
      <w:r w:rsidR="00F71A02">
        <w:rPr>
          <w:snapToGrid w:val="0"/>
          <w:lang w:eastAsia="en-US"/>
        </w:rPr>
        <w:t> </w:t>
      </w:r>
      <w:r w:rsidRPr="00596094">
        <w:rPr>
          <w:snapToGrid w:val="0"/>
          <w:lang w:eastAsia="en-US"/>
        </w:rPr>
        <w:t>Hill fails to realize</w:t>
      </w:r>
      <w:r w:rsidR="00CB7D4C">
        <w:rPr>
          <w:snapToGrid w:val="0"/>
          <w:lang w:eastAsia="en-US"/>
        </w:rPr>
        <w:t>, however,</w:t>
      </w:r>
      <w:r w:rsidRPr="00596094">
        <w:rPr>
          <w:snapToGrid w:val="0"/>
          <w:lang w:eastAsia="en-US"/>
        </w:rPr>
        <w:t xml:space="preserve"> is that </w:t>
      </w:r>
      <w:r w:rsidR="0006727F" w:rsidRPr="00596094">
        <w:rPr>
          <w:snapToGrid w:val="0"/>
          <w:lang w:eastAsia="en-US"/>
        </w:rPr>
        <w:t>reductions in volatility in revenues related to weather (or any other exogenous factor) in the short-term does not necessarily translate</w:t>
      </w:r>
      <w:r w:rsidRPr="00596094">
        <w:rPr>
          <w:snapToGrid w:val="0"/>
          <w:lang w:eastAsia="en-US"/>
        </w:rPr>
        <w:t xml:space="preserve"> into equivalent </w:t>
      </w:r>
      <w:r w:rsidR="0023732C" w:rsidRPr="00596094">
        <w:rPr>
          <w:snapToGrid w:val="0"/>
          <w:lang w:eastAsia="en-US"/>
        </w:rPr>
        <w:t>i</w:t>
      </w:r>
      <w:r w:rsidR="0023732C">
        <w:rPr>
          <w:snapToGrid w:val="0"/>
          <w:lang w:eastAsia="en-US"/>
        </w:rPr>
        <w:t>mpact</w:t>
      </w:r>
      <w:r w:rsidR="00CA41AC">
        <w:rPr>
          <w:snapToGrid w:val="0"/>
          <w:lang w:eastAsia="en-US"/>
        </w:rPr>
        <w:t xml:space="preserve"> on</w:t>
      </w:r>
      <w:r w:rsidR="00502199">
        <w:rPr>
          <w:snapToGrid w:val="0"/>
          <w:lang w:eastAsia="en-US"/>
        </w:rPr>
        <w:t xml:space="preserve"> net income</w:t>
      </w:r>
      <w:r w:rsidR="0023732C">
        <w:rPr>
          <w:snapToGrid w:val="0"/>
          <w:lang w:eastAsia="en-US"/>
        </w:rPr>
        <w:t>, returns, or cash flow</w:t>
      </w:r>
      <w:r w:rsidRPr="00596094">
        <w:rPr>
          <w:snapToGrid w:val="0"/>
          <w:lang w:eastAsia="en-US"/>
        </w:rPr>
        <w:t>.</w:t>
      </w:r>
    </w:p>
    <w:p w:rsidR="003B5A1C" w:rsidRDefault="00596094" w:rsidP="006A401D">
      <w:pPr>
        <w:pStyle w:val="answer"/>
        <w:ind w:firstLine="0"/>
        <w:rPr>
          <w:snapToGrid w:val="0"/>
          <w:lang w:eastAsia="en-US"/>
        </w:rPr>
      </w:pPr>
      <w:r w:rsidRPr="00596094">
        <w:rPr>
          <w:snapToGrid w:val="0"/>
          <w:lang w:eastAsia="en-US"/>
        </w:rPr>
        <w:t>Furthermore, Mr.</w:t>
      </w:r>
      <w:r w:rsidR="00023562">
        <w:rPr>
          <w:snapToGrid w:val="0"/>
          <w:lang w:eastAsia="en-US"/>
        </w:rPr>
        <w:t> </w:t>
      </w:r>
      <w:r w:rsidRPr="00596094">
        <w:rPr>
          <w:snapToGrid w:val="0"/>
          <w:lang w:eastAsia="en-US"/>
        </w:rPr>
        <w:t>Hill does not consider that equity investors need not consider the impact of weather on earnings for multiple reasons</w:t>
      </w:r>
      <w:r w:rsidR="00CB7D4C">
        <w:rPr>
          <w:snapToGrid w:val="0"/>
          <w:lang w:eastAsia="en-US"/>
        </w:rPr>
        <w:t>.</w:t>
      </w:r>
      <w:r w:rsidR="00F71A02">
        <w:rPr>
          <w:snapToGrid w:val="0"/>
          <w:lang w:eastAsia="en-US"/>
        </w:rPr>
        <w:t xml:space="preserve">  </w:t>
      </w:r>
      <w:r w:rsidR="00CB7D4C">
        <w:rPr>
          <w:snapToGrid w:val="0"/>
          <w:lang w:eastAsia="en-US"/>
        </w:rPr>
        <w:t>F</w:t>
      </w:r>
      <w:r w:rsidR="00CB7D4C" w:rsidRPr="00596094">
        <w:rPr>
          <w:snapToGrid w:val="0"/>
          <w:lang w:eastAsia="en-US"/>
        </w:rPr>
        <w:t>irst</w:t>
      </w:r>
      <w:r w:rsidRPr="00596094">
        <w:rPr>
          <w:snapToGrid w:val="0"/>
          <w:lang w:eastAsia="en-US"/>
        </w:rPr>
        <w:t xml:space="preserve">, the impact of weather on </w:t>
      </w:r>
      <w:r w:rsidR="00CD0211" w:rsidRPr="00596094">
        <w:rPr>
          <w:snapToGrid w:val="0"/>
          <w:lang w:eastAsia="en-US"/>
        </w:rPr>
        <w:t xml:space="preserve">utility </w:t>
      </w:r>
      <w:r w:rsidR="00CD0211">
        <w:rPr>
          <w:snapToGrid w:val="0"/>
          <w:lang w:eastAsia="en-US"/>
        </w:rPr>
        <w:t>net</w:t>
      </w:r>
      <w:r w:rsidR="00502199">
        <w:rPr>
          <w:snapToGrid w:val="0"/>
          <w:lang w:eastAsia="en-US"/>
        </w:rPr>
        <w:t xml:space="preserve"> </w:t>
      </w:r>
      <w:r w:rsidR="00CD0211">
        <w:rPr>
          <w:snapToGrid w:val="0"/>
          <w:lang w:eastAsia="en-US"/>
        </w:rPr>
        <w:t>income</w:t>
      </w:r>
      <w:r w:rsidR="00CD0211" w:rsidRPr="00596094">
        <w:rPr>
          <w:snapToGrid w:val="0"/>
          <w:lang w:eastAsia="en-US"/>
        </w:rPr>
        <w:t xml:space="preserve"> is</w:t>
      </w:r>
      <w:r w:rsidRPr="00596094">
        <w:rPr>
          <w:snapToGrid w:val="0"/>
          <w:lang w:eastAsia="en-US"/>
        </w:rPr>
        <w:t xml:space="preserve"> a diversifiable risk that does not affect cost of </w:t>
      </w:r>
      <w:r w:rsidRPr="00596094">
        <w:rPr>
          <w:snapToGrid w:val="0"/>
          <w:lang w:eastAsia="en-US"/>
        </w:rPr>
        <w:lastRenderedPageBreak/>
        <w:t xml:space="preserve">capital and can be </w:t>
      </w:r>
      <w:r w:rsidR="007C3CEF">
        <w:rPr>
          <w:snapToGrid w:val="0"/>
          <w:lang w:eastAsia="en-US"/>
        </w:rPr>
        <w:t xml:space="preserve">substantially </w:t>
      </w:r>
      <w:r w:rsidR="00C57BAF">
        <w:rPr>
          <w:snapToGrid w:val="0"/>
          <w:lang w:eastAsia="en-US"/>
        </w:rPr>
        <w:t xml:space="preserve">reduced </w:t>
      </w:r>
      <w:r w:rsidRPr="00596094">
        <w:rPr>
          <w:snapToGrid w:val="0"/>
          <w:lang w:eastAsia="en-US"/>
        </w:rPr>
        <w:t>by applying standard portfolio diversification practices</w:t>
      </w:r>
      <w:r w:rsidR="00CB7D4C">
        <w:rPr>
          <w:snapToGrid w:val="0"/>
          <w:lang w:eastAsia="en-US"/>
        </w:rPr>
        <w:t>.</w:t>
      </w:r>
    </w:p>
    <w:p w:rsidR="006A401D" w:rsidRPr="003A2344" w:rsidRDefault="00CB7D4C" w:rsidP="00C57BAF">
      <w:pPr>
        <w:pStyle w:val="answer"/>
        <w:ind w:firstLine="0"/>
        <w:rPr>
          <w:snapToGrid w:val="0"/>
          <w:color w:val="000000" w:themeColor="text1"/>
          <w:lang w:eastAsia="en-US"/>
        </w:rPr>
      </w:pPr>
      <w:r>
        <w:rPr>
          <w:snapToGrid w:val="0"/>
          <w:lang w:eastAsia="en-US"/>
        </w:rPr>
        <w:t>S</w:t>
      </w:r>
      <w:r w:rsidRPr="00596094">
        <w:rPr>
          <w:snapToGrid w:val="0"/>
          <w:lang w:eastAsia="en-US"/>
        </w:rPr>
        <w:t>econd</w:t>
      </w:r>
      <w:r w:rsidR="00596094" w:rsidRPr="00596094">
        <w:rPr>
          <w:snapToGrid w:val="0"/>
          <w:lang w:eastAsia="en-US"/>
        </w:rPr>
        <w:t xml:space="preserve">, as previously stated in earlier testimony, given that equity </w:t>
      </w:r>
      <w:r w:rsidR="00502199">
        <w:rPr>
          <w:snapToGrid w:val="0"/>
          <w:lang w:eastAsia="en-US"/>
        </w:rPr>
        <w:t xml:space="preserve">and debt </w:t>
      </w:r>
      <w:r w:rsidR="00596094" w:rsidRPr="00596094">
        <w:rPr>
          <w:snapToGrid w:val="0"/>
          <w:lang w:eastAsia="en-US"/>
        </w:rPr>
        <w:t xml:space="preserve">investors typically consider a long-term investment horizon, </w:t>
      </w:r>
      <w:r w:rsidR="00596094" w:rsidRPr="00CD0211">
        <w:rPr>
          <w:snapToGrid w:val="0"/>
          <w:lang w:eastAsia="en-US"/>
        </w:rPr>
        <w:t>over time the effects of weather will cancel out or average to be immaterial and therefore should be discounted entirely when deciding an appropriate risk-return profile</w:t>
      </w:r>
      <w:r w:rsidR="00596094" w:rsidRPr="00596094">
        <w:rPr>
          <w:snapToGrid w:val="0"/>
          <w:lang w:eastAsia="en-US"/>
        </w:rPr>
        <w:t>.</w:t>
      </w:r>
      <w:r w:rsidR="009729A0">
        <w:rPr>
          <w:snapToGrid w:val="0"/>
          <w:lang w:eastAsia="en-US"/>
        </w:rPr>
        <w:t xml:space="preserve"> </w:t>
      </w:r>
      <w:r w:rsidR="00F71A02">
        <w:rPr>
          <w:snapToGrid w:val="0"/>
          <w:lang w:eastAsia="en-US"/>
        </w:rPr>
        <w:t xml:space="preserve"> </w:t>
      </w:r>
      <w:r w:rsidR="004A1D25">
        <w:rPr>
          <w:snapToGrid w:val="0"/>
          <w:lang w:eastAsia="en-US"/>
        </w:rPr>
        <w:t>Exhibit No.</w:t>
      </w:r>
      <w:r w:rsidR="00F71A02">
        <w:rPr>
          <w:snapToGrid w:val="0"/>
          <w:lang w:eastAsia="en-US"/>
        </w:rPr>
        <w:t> </w:t>
      </w:r>
      <w:r w:rsidR="00B96FA8">
        <w:rPr>
          <w:snapToGrid w:val="0"/>
          <w:lang w:eastAsia="en-US"/>
        </w:rPr>
        <w:t>___</w:t>
      </w:r>
      <w:r w:rsidR="004A1D25">
        <w:rPr>
          <w:snapToGrid w:val="0"/>
          <w:lang w:eastAsia="en-US"/>
        </w:rPr>
        <w:t>(DAD-</w:t>
      </w:r>
      <w:r w:rsidR="00F71A02">
        <w:rPr>
          <w:snapToGrid w:val="0"/>
          <w:lang w:eastAsia="en-US"/>
        </w:rPr>
        <w:t>9</w:t>
      </w:r>
      <w:r w:rsidR="004A1D25">
        <w:rPr>
          <w:snapToGrid w:val="0"/>
          <w:lang w:eastAsia="en-US"/>
        </w:rPr>
        <w:t>)</w:t>
      </w:r>
      <w:r w:rsidR="00F71A02">
        <w:rPr>
          <w:snapToGrid w:val="0"/>
          <w:lang w:eastAsia="en-US"/>
        </w:rPr>
        <w:t xml:space="preserve"> </w:t>
      </w:r>
      <w:r w:rsidR="009729A0" w:rsidRPr="005B2E6A">
        <w:rPr>
          <w:snapToGrid w:val="0"/>
          <w:lang w:eastAsia="en-US"/>
        </w:rPr>
        <w:t>demonstrate</w:t>
      </w:r>
      <w:r w:rsidR="004A1D25" w:rsidRPr="005B2E6A">
        <w:rPr>
          <w:snapToGrid w:val="0"/>
          <w:lang w:eastAsia="en-US"/>
        </w:rPr>
        <w:t>s</w:t>
      </w:r>
      <w:r w:rsidR="00B96FA8" w:rsidRPr="005B2E6A">
        <w:rPr>
          <w:snapToGrid w:val="0"/>
          <w:lang w:eastAsia="en-US"/>
        </w:rPr>
        <w:t xml:space="preserve"> this using </w:t>
      </w:r>
      <w:r w:rsidR="004A1D25" w:rsidRPr="005B2E6A">
        <w:rPr>
          <w:snapToGrid w:val="0"/>
          <w:lang w:eastAsia="en-US"/>
        </w:rPr>
        <w:t xml:space="preserve">heating </w:t>
      </w:r>
      <w:r w:rsidR="00B96FA8" w:rsidRPr="005B2E6A">
        <w:rPr>
          <w:snapToGrid w:val="0"/>
          <w:lang w:eastAsia="en-US"/>
        </w:rPr>
        <w:t>degree days (“HDDs”</w:t>
      </w:r>
      <w:r w:rsidR="0006727F">
        <w:rPr>
          <w:snapToGrid w:val="0"/>
          <w:lang w:eastAsia="en-US"/>
        </w:rPr>
        <w:t>)</w:t>
      </w:r>
      <w:r w:rsidR="00B96FA8" w:rsidRPr="005B2E6A">
        <w:rPr>
          <w:snapToGrid w:val="0"/>
          <w:lang w:eastAsia="en-US"/>
        </w:rPr>
        <w:t xml:space="preserve"> </w:t>
      </w:r>
      <w:r w:rsidR="004A1D25" w:rsidRPr="005B2E6A">
        <w:rPr>
          <w:snapToGrid w:val="0"/>
          <w:lang w:eastAsia="en-US"/>
        </w:rPr>
        <w:t>and cooling degree days</w:t>
      </w:r>
      <w:r w:rsidR="00B96FA8" w:rsidRPr="005B2E6A">
        <w:rPr>
          <w:snapToGrid w:val="0"/>
          <w:lang w:eastAsia="en-US"/>
        </w:rPr>
        <w:t xml:space="preserve"> (“CDDs”)</w:t>
      </w:r>
      <w:r w:rsidR="00167628" w:rsidRPr="005B2E6A">
        <w:rPr>
          <w:snapToGrid w:val="0"/>
          <w:lang w:eastAsia="en-US"/>
        </w:rPr>
        <w:t xml:space="preserve"> </w:t>
      </w:r>
      <w:r w:rsidR="00F71A02">
        <w:rPr>
          <w:snapToGrid w:val="0"/>
          <w:lang w:eastAsia="en-US"/>
        </w:rPr>
        <w:t>for locations with</w:t>
      </w:r>
      <w:r w:rsidR="00B96FA8" w:rsidRPr="005B2E6A">
        <w:rPr>
          <w:snapToGrid w:val="0"/>
          <w:lang w:eastAsia="en-US"/>
        </w:rPr>
        <w:t xml:space="preserve">in PSE’s service territory.  As </w:t>
      </w:r>
      <w:r w:rsidR="00167628" w:rsidRPr="005B2E6A">
        <w:rPr>
          <w:snapToGrid w:val="0"/>
          <w:lang w:eastAsia="en-US"/>
        </w:rPr>
        <w:t>demonstrate</w:t>
      </w:r>
      <w:r w:rsidR="00B96FA8" w:rsidRPr="005B2E6A">
        <w:rPr>
          <w:snapToGrid w:val="0"/>
          <w:lang w:eastAsia="en-US"/>
        </w:rPr>
        <w:t xml:space="preserve">d in this exhibit, </w:t>
      </w:r>
      <w:r w:rsidR="00167628" w:rsidRPr="005B2E6A">
        <w:rPr>
          <w:snapToGrid w:val="0"/>
          <w:lang w:eastAsia="en-US"/>
        </w:rPr>
        <w:t xml:space="preserve"> </w:t>
      </w:r>
      <w:r w:rsidR="006A401D" w:rsidRPr="005B2E6A">
        <w:rPr>
          <w:snapToGrid w:val="0"/>
          <w:lang w:eastAsia="en-US"/>
        </w:rPr>
        <w:t xml:space="preserve">there are material variations around the mean number of HDDs and CDDs in any given year, </w:t>
      </w:r>
      <w:r w:rsidR="00167628" w:rsidRPr="005B2E6A">
        <w:rPr>
          <w:snapToGrid w:val="0"/>
          <w:lang w:eastAsia="en-US"/>
        </w:rPr>
        <w:t xml:space="preserve">but </w:t>
      </w:r>
      <w:r w:rsidR="006A401D" w:rsidRPr="005B2E6A">
        <w:rPr>
          <w:snapToGrid w:val="0"/>
          <w:lang w:eastAsia="en-US"/>
        </w:rPr>
        <w:t xml:space="preserve">these variations revert to the mean number of HDDs and CDDs over time.  </w:t>
      </w:r>
      <w:r w:rsidR="00C57BAF" w:rsidRPr="005544C5">
        <w:rPr>
          <w:snapToGrid w:val="0"/>
          <w:color w:val="000000" w:themeColor="text1"/>
          <w:lang w:eastAsia="en-US"/>
        </w:rPr>
        <w:t>In summary, the revenues that are recognized under PSE’s decoupling deferral mechanism will closely approximate the trend line that averages or smoothes the effects of weather in revenue that is billed to customers over time.</w:t>
      </w:r>
      <w:r w:rsidR="00C57BAF">
        <w:rPr>
          <w:snapToGrid w:val="0"/>
          <w:color w:val="000000" w:themeColor="text1"/>
          <w:lang w:eastAsia="en-US"/>
        </w:rPr>
        <w:t xml:space="preserve">  </w:t>
      </w:r>
      <w:r w:rsidR="006A401D" w:rsidRPr="005B2E6A">
        <w:rPr>
          <w:snapToGrid w:val="0"/>
          <w:lang w:eastAsia="en-US"/>
        </w:rPr>
        <w:t>Thus, the portion of decoupling revenue adjustments attributable to weather has no material long-term effect on utility revenues and can be disregarded in terms of assessing any impacts on cost of capital.</w:t>
      </w:r>
    </w:p>
    <w:p w:rsidR="00CB7D4C" w:rsidRPr="00596094" w:rsidRDefault="00CB7D4C" w:rsidP="00CB7D4C">
      <w:pPr>
        <w:pStyle w:val="question"/>
        <w:keepNext/>
        <w:keepLines/>
        <w:spacing w:before="120"/>
        <w:rPr>
          <w:rFonts w:ascii="Times New Roman" w:hAnsi="Times New Roman"/>
        </w:rPr>
      </w:pPr>
      <w:r w:rsidRPr="00515380">
        <w:t>Q.</w:t>
      </w:r>
      <w:r w:rsidRPr="00515380">
        <w:tab/>
      </w:r>
      <w:r>
        <w:rPr>
          <w:snapToGrid w:val="0"/>
          <w:lang w:eastAsia="en-US"/>
        </w:rPr>
        <w:t>Has PSE identified flaws in Mr.</w:t>
      </w:r>
      <w:r w:rsidR="00F71A02">
        <w:rPr>
          <w:snapToGrid w:val="0"/>
          <w:lang w:eastAsia="en-US"/>
        </w:rPr>
        <w:t> </w:t>
      </w:r>
      <w:r>
        <w:rPr>
          <w:snapToGrid w:val="0"/>
          <w:lang w:eastAsia="en-US"/>
        </w:rPr>
        <w:t>Hill’s testimony with respect to the alleged impact of decoupling on cost of capital?</w:t>
      </w:r>
    </w:p>
    <w:p w:rsidR="00596094" w:rsidRPr="003B5A1C" w:rsidRDefault="00CB7D4C" w:rsidP="004F0AF9">
      <w:pPr>
        <w:pStyle w:val="answer"/>
      </w:pPr>
      <w:r>
        <w:rPr>
          <w:snapToGrid w:val="0"/>
          <w:lang w:eastAsia="en-US"/>
        </w:rPr>
        <w:t>A.</w:t>
      </w:r>
      <w:r>
        <w:rPr>
          <w:snapToGrid w:val="0"/>
          <w:lang w:eastAsia="en-US"/>
        </w:rPr>
        <w:tab/>
        <w:t xml:space="preserve">Yes.  </w:t>
      </w:r>
      <w:r w:rsidR="009729A0">
        <w:rPr>
          <w:snapToGrid w:val="0"/>
          <w:lang w:eastAsia="en-US"/>
        </w:rPr>
        <w:t>T</w:t>
      </w:r>
      <w:r w:rsidR="009729A0" w:rsidRPr="00596094">
        <w:rPr>
          <w:snapToGrid w:val="0"/>
          <w:lang w:eastAsia="en-US"/>
        </w:rPr>
        <w:t xml:space="preserve">here </w:t>
      </w:r>
      <w:r w:rsidR="00596094" w:rsidRPr="00596094">
        <w:rPr>
          <w:snapToGrid w:val="0"/>
          <w:lang w:eastAsia="en-US"/>
        </w:rPr>
        <w:t xml:space="preserve">are several fundamental flaws in </w:t>
      </w:r>
      <w:r w:rsidR="009729A0">
        <w:rPr>
          <w:snapToGrid w:val="0"/>
          <w:lang w:eastAsia="en-US"/>
        </w:rPr>
        <w:t>Mr.</w:t>
      </w:r>
      <w:r w:rsidR="00023562">
        <w:rPr>
          <w:snapToGrid w:val="0"/>
          <w:lang w:eastAsia="en-US"/>
        </w:rPr>
        <w:t> </w:t>
      </w:r>
      <w:r w:rsidR="009729A0">
        <w:rPr>
          <w:snapToGrid w:val="0"/>
          <w:lang w:eastAsia="en-US"/>
        </w:rPr>
        <w:t>Hill’s</w:t>
      </w:r>
      <w:r w:rsidR="00596094" w:rsidRPr="00596094">
        <w:rPr>
          <w:snapToGrid w:val="0"/>
          <w:lang w:eastAsia="en-US"/>
        </w:rPr>
        <w:t xml:space="preserve"> logic in determining both the inherent impact of decoupling on the risk profile of a utility and ultimately his translation and application of his assertions on risk reduction to </w:t>
      </w:r>
      <w:r>
        <w:rPr>
          <w:snapToGrid w:val="0"/>
          <w:lang w:eastAsia="en-US"/>
        </w:rPr>
        <w:t>PSE</w:t>
      </w:r>
      <w:r w:rsidR="00596094" w:rsidRPr="00596094">
        <w:rPr>
          <w:snapToGrid w:val="0"/>
          <w:lang w:eastAsia="en-US"/>
        </w:rPr>
        <w:t>’s historical financial performance as calculated in Exhibit No.</w:t>
      </w:r>
      <w:r w:rsidR="00F71A02">
        <w:rPr>
          <w:snapToGrid w:val="0"/>
          <w:lang w:eastAsia="en-US"/>
        </w:rPr>
        <w:t> </w:t>
      </w:r>
      <w:r>
        <w:rPr>
          <w:snapToGrid w:val="0"/>
          <w:lang w:eastAsia="en-US"/>
        </w:rPr>
        <w:t>___(</w:t>
      </w:r>
      <w:r w:rsidR="00596094" w:rsidRPr="00596094">
        <w:rPr>
          <w:snapToGrid w:val="0"/>
          <w:lang w:eastAsia="en-US"/>
        </w:rPr>
        <w:t>SGH-19</w:t>
      </w:r>
      <w:r>
        <w:rPr>
          <w:snapToGrid w:val="0"/>
          <w:lang w:eastAsia="en-US"/>
        </w:rPr>
        <w:t>)</w:t>
      </w:r>
      <w:r w:rsidR="00F71A02">
        <w:rPr>
          <w:snapToGrid w:val="0"/>
          <w:lang w:eastAsia="en-US"/>
        </w:rPr>
        <w:t>.</w:t>
      </w:r>
    </w:p>
    <w:p w:rsidR="004B1BD5" w:rsidRPr="00596094" w:rsidRDefault="004B1BD5" w:rsidP="004B1BD5">
      <w:pPr>
        <w:pStyle w:val="question"/>
        <w:keepNext/>
        <w:keepLines/>
        <w:spacing w:before="120"/>
        <w:rPr>
          <w:rFonts w:ascii="Times New Roman" w:hAnsi="Times New Roman"/>
        </w:rPr>
      </w:pPr>
      <w:r w:rsidRPr="00515380">
        <w:lastRenderedPageBreak/>
        <w:t>Q.</w:t>
      </w:r>
      <w:r w:rsidRPr="00515380">
        <w:tab/>
      </w:r>
      <w:r w:rsidRPr="004B1BD5">
        <w:t>Please elaborate on the flaws in Mr.</w:t>
      </w:r>
      <w:r w:rsidR="00023562">
        <w:t> </w:t>
      </w:r>
      <w:r w:rsidRPr="004B1BD5">
        <w:t>Hill’s analyses</w:t>
      </w:r>
      <w:r>
        <w:rPr>
          <w:snapToGrid w:val="0"/>
          <w:lang w:eastAsia="en-US"/>
        </w:rPr>
        <w:t>.</w:t>
      </w:r>
    </w:p>
    <w:p w:rsidR="00830E92" w:rsidRPr="003B5A1C" w:rsidRDefault="004B1BD5" w:rsidP="004B1BD5">
      <w:pPr>
        <w:pStyle w:val="answer"/>
      </w:pPr>
      <w:r>
        <w:rPr>
          <w:snapToGrid w:val="0"/>
          <w:lang w:eastAsia="en-US"/>
        </w:rPr>
        <w:t>A.</w:t>
      </w:r>
      <w:r>
        <w:rPr>
          <w:snapToGrid w:val="0"/>
          <w:lang w:eastAsia="en-US"/>
        </w:rPr>
        <w:tab/>
      </w:r>
      <w:r w:rsidR="00596094" w:rsidRPr="00596094">
        <w:rPr>
          <w:snapToGrid w:val="0"/>
          <w:lang w:eastAsia="en-US"/>
        </w:rPr>
        <w:t>First</w:t>
      </w:r>
      <w:r w:rsidR="004A1D25">
        <w:rPr>
          <w:snapToGrid w:val="0"/>
          <w:lang w:eastAsia="en-US"/>
        </w:rPr>
        <w:t xml:space="preserve">, </w:t>
      </w:r>
      <w:r w:rsidR="00596094" w:rsidRPr="00596094">
        <w:rPr>
          <w:snapToGrid w:val="0"/>
          <w:lang w:eastAsia="en-US"/>
        </w:rPr>
        <w:t>Mr.</w:t>
      </w:r>
      <w:r w:rsidR="00023562">
        <w:rPr>
          <w:snapToGrid w:val="0"/>
          <w:lang w:eastAsia="en-US"/>
        </w:rPr>
        <w:t> </w:t>
      </w:r>
      <w:r w:rsidR="00596094" w:rsidRPr="00596094">
        <w:rPr>
          <w:snapToGrid w:val="0"/>
          <w:lang w:eastAsia="en-US"/>
        </w:rPr>
        <w:t xml:space="preserve">Hill </w:t>
      </w:r>
      <w:r>
        <w:rPr>
          <w:snapToGrid w:val="0"/>
          <w:lang w:eastAsia="en-US"/>
        </w:rPr>
        <w:t xml:space="preserve">uses the </w:t>
      </w:r>
      <w:r w:rsidR="0006727F">
        <w:rPr>
          <w:snapToGrid w:val="0"/>
          <w:lang w:eastAsia="en-US"/>
        </w:rPr>
        <w:t>concepts of</w:t>
      </w:r>
      <w:r w:rsidR="00F71A02">
        <w:rPr>
          <w:snapToGrid w:val="0"/>
          <w:lang w:eastAsia="en-US"/>
        </w:rPr>
        <w:t xml:space="preserve"> </w:t>
      </w:r>
      <w:r>
        <w:rPr>
          <w:snapToGrid w:val="0"/>
          <w:lang w:eastAsia="en-US"/>
        </w:rPr>
        <w:t>“revenue”</w:t>
      </w:r>
      <w:r w:rsidR="00420A4C">
        <w:rPr>
          <w:snapToGrid w:val="0"/>
          <w:lang w:eastAsia="en-US"/>
        </w:rPr>
        <w:t>, “net revenue”, “income”</w:t>
      </w:r>
      <w:r w:rsidR="0045341C">
        <w:rPr>
          <w:snapToGrid w:val="0"/>
          <w:lang w:eastAsia="en-US"/>
        </w:rPr>
        <w:t xml:space="preserve">, </w:t>
      </w:r>
      <w:r>
        <w:rPr>
          <w:snapToGrid w:val="0"/>
          <w:lang w:eastAsia="en-US"/>
        </w:rPr>
        <w:t>“return”</w:t>
      </w:r>
      <w:r w:rsidR="004A1D25">
        <w:rPr>
          <w:snapToGrid w:val="0"/>
          <w:lang w:eastAsia="en-US"/>
        </w:rPr>
        <w:t xml:space="preserve">, </w:t>
      </w:r>
      <w:r w:rsidR="0045341C">
        <w:rPr>
          <w:snapToGrid w:val="0"/>
          <w:lang w:eastAsia="en-US"/>
        </w:rPr>
        <w:t xml:space="preserve">and </w:t>
      </w:r>
      <w:r w:rsidR="004A1D25">
        <w:rPr>
          <w:snapToGrid w:val="0"/>
          <w:lang w:eastAsia="en-US"/>
        </w:rPr>
        <w:t>“</w:t>
      </w:r>
      <w:r w:rsidR="0045341C">
        <w:rPr>
          <w:snapToGrid w:val="0"/>
          <w:lang w:eastAsia="en-US"/>
        </w:rPr>
        <w:t>cash flow</w:t>
      </w:r>
      <w:r w:rsidR="004A1D25">
        <w:rPr>
          <w:snapToGrid w:val="0"/>
          <w:lang w:eastAsia="en-US"/>
        </w:rPr>
        <w:t>”</w:t>
      </w:r>
      <w:r>
        <w:rPr>
          <w:snapToGrid w:val="0"/>
          <w:lang w:eastAsia="en-US"/>
        </w:rPr>
        <w:t xml:space="preserve"> interchangeably and incorrectly</w:t>
      </w:r>
      <w:r w:rsidR="004A1D25">
        <w:rPr>
          <w:snapToGrid w:val="0"/>
          <w:lang w:eastAsia="en-US"/>
        </w:rPr>
        <w:t xml:space="preserve"> as it relates to his analysis of volatility to quantify the impacts of decoupling on cost of capital</w:t>
      </w:r>
      <w:r w:rsidR="0045341C">
        <w:rPr>
          <w:snapToGrid w:val="0"/>
          <w:lang w:eastAsia="en-US"/>
        </w:rPr>
        <w:t>.  His analysis erroneously relies on the assumption</w:t>
      </w:r>
      <w:r>
        <w:rPr>
          <w:snapToGrid w:val="0"/>
          <w:lang w:eastAsia="en-US"/>
        </w:rPr>
        <w:t xml:space="preserve"> </w:t>
      </w:r>
      <w:r w:rsidR="00596094" w:rsidRPr="00596094">
        <w:rPr>
          <w:snapToGrid w:val="0"/>
          <w:lang w:eastAsia="en-US"/>
        </w:rPr>
        <w:t xml:space="preserve">that there is a correlation coefficient of </w:t>
      </w:r>
      <w:r w:rsidR="00AE1066">
        <w:rPr>
          <w:snapToGrid w:val="0"/>
          <w:lang w:eastAsia="en-US"/>
        </w:rPr>
        <w:t>one</w:t>
      </w:r>
      <w:r w:rsidR="00AE1066" w:rsidRPr="00596094">
        <w:rPr>
          <w:snapToGrid w:val="0"/>
          <w:lang w:eastAsia="en-US"/>
        </w:rPr>
        <w:t xml:space="preserve"> </w:t>
      </w:r>
      <w:r w:rsidR="00596094" w:rsidRPr="00596094">
        <w:rPr>
          <w:snapToGrid w:val="0"/>
          <w:lang w:eastAsia="en-US"/>
        </w:rPr>
        <w:t xml:space="preserve">between </w:t>
      </w:r>
      <w:r w:rsidR="0045341C">
        <w:rPr>
          <w:snapToGrid w:val="0"/>
          <w:lang w:eastAsia="en-US"/>
        </w:rPr>
        <w:t xml:space="preserve">the volatility inherent </w:t>
      </w:r>
      <w:r w:rsidR="00AE1066">
        <w:rPr>
          <w:snapToGrid w:val="0"/>
          <w:lang w:eastAsia="en-US"/>
        </w:rPr>
        <w:t>in (i)</w:t>
      </w:r>
      <w:r w:rsidR="00F71A02">
        <w:rPr>
          <w:snapToGrid w:val="0"/>
          <w:lang w:eastAsia="en-US"/>
        </w:rPr>
        <w:t> </w:t>
      </w:r>
      <w:r w:rsidR="00AE1066">
        <w:rPr>
          <w:snapToGrid w:val="0"/>
          <w:lang w:eastAsia="en-US"/>
        </w:rPr>
        <w:t xml:space="preserve">a </w:t>
      </w:r>
      <w:r w:rsidR="00596094" w:rsidRPr="00596094">
        <w:rPr>
          <w:snapToGrid w:val="0"/>
          <w:lang w:eastAsia="en-US"/>
        </w:rPr>
        <w:t xml:space="preserve">utility’s </w:t>
      </w:r>
      <w:r w:rsidR="00420A4C">
        <w:rPr>
          <w:snapToGrid w:val="0"/>
          <w:lang w:eastAsia="en-US"/>
        </w:rPr>
        <w:t xml:space="preserve">revenues and </w:t>
      </w:r>
      <w:r w:rsidR="0023732C">
        <w:rPr>
          <w:snapToGrid w:val="0"/>
          <w:lang w:eastAsia="en-US"/>
        </w:rPr>
        <w:t xml:space="preserve">net </w:t>
      </w:r>
      <w:r w:rsidR="00596094" w:rsidRPr="00596094">
        <w:rPr>
          <w:snapToGrid w:val="0"/>
          <w:lang w:eastAsia="en-US"/>
        </w:rPr>
        <w:t xml:space="preserve">revenues and </w:t>
      </w:r>
      <w:r w:rsidR="00AE1066">
        <w:rPr>
          <w:snapToGrid w:val="0"/>
          <w:lang w:eastAsia="en-US"/>
        </w:rPr>
        <w:t>(ii)</w:t>
      </w:r>
      <w:r w:rsidR="00F71A02">
        <w:rPr>
          <w:snapToGrid w:val="0"/>
          <w:lang w:eastAsia="en-US"/>
        </w:rPr>
        <w:t> </w:t>
      </w:r>
      <w:r w:rsidR="00596094" w:rsidRPr="00596094">
        <w:rPr>
          <w:snapToGrid w:val="0"/>
          <w:lang w:eastAsia="en-US"/>
        </w:rPr>
        <w:t xml:space="preserve">its </w:t>
      </w:r>
      <w:r w:rsidR="00502199">
        <w:rPr>
          <w:snapToGrid w:val="0"/>
          <w:lang w:eastAsia="en-US"/>
        </w:rPr>
        <w:t>net income</w:t>
      </w:r>
      <w:r w:rsidR="0023732C">
        <w:rPr>
          <w:snapToGrid w:val="0"/>
          <w:lang w:eastAsia="en-US"/>
        </w:rPr>
        <w:t xml:space="preserve">, returns and </w:t>
      </w:r>
      <w:r w:rsidR="00502199">
        <w:rPr>
          <w:snapToGrid w:val="0"/>
          <w:lang w:eastAsia="en-US"/>
        </w:rPr>
        <w:t>cash flow</w:t>
      </w:r>
      <w:r w:rsidR="00420A4C">
        <w:rPr>
          <w:snapToGrid w:val="0"/>
          <w:lang w:eastAsia="en-US"/>
        </w:rPr>
        <w:t>s</w:t>
      </w:r>
      <w:r w:rsidR="00D2286D">
        <w:rPr>
          <w:snapToGrid w:val="0"/>
          <w:lang w:eastAsia="en-US"/>
        </w:rPr>
        <w:t>,</w:t>
      </w:r>
      <w:r w:rsidR="00830E92">
        <w:rPr>
          <w:snapToGrid w:val="0"/>
          <w:lang w:eastAsia="en-US"/>
        </w:rPr>
        <w:t xml:space="preserve"> in an attempt to validate his </w:t>
      </w:r>
      <w:r w:rsidR="0045341C">
        <w:rPr>
          <w:snapToGrid w:val="0"/>
          <w:lang w:eastAsia="en-US"/>
        </w:rPr>
        <w:t xml:space="preserve">regression analysis </w:t>
      </w:r>
      <w:r w:rsidR="00830E92">
        <w:rPr>
          <w:snapToGrid w:val="0"/>
          <w:lang w:eastAsia="en-US"/>
        </w:rPr>
        <w:t xml:space="preserve">methodology for quantifying reductions to PSE’s </w:t>
      </w:r>
      <w:r w:rsidR="00F71A02">
        <w:rPr>
          <w:snapToGrid w:val="0"/>
          <w:lang w:eastAsia="en-US"/>
        </w:rPr>
        <w:t xml:space="preserve">return on equity </w:t>
      </w:r>
      <w:r w:rsidR="00830E92">
        <w:rPr>
          <w:snapToGrid w:val="0"/>
          <w:lang w:eastAsia="en-US"/>
        </w:rPr>
        <w:t>due to decoupling</w:t>
      </w:r>
      <w:r w:rsidR="00596094" w:rsidRPr="00596094">
        <w:rPr>
          <w:snapToGrid w:val="0"/>
          <w:lang w:eastAsia="en-US"/>
        </w:rPr>
        <w:t>.</w:t>
      </w:r>
      <w:r w:rsidR="0045341C">
        <w:rPr>
          <w:snapToGrid w:val="0"/>
          <w:lang w:eastAsia="en-US"/>
        </w:rPr>
        <w:t xml:space="preserve"> </w:t>
      </w:r>
      <w:r w:rsidR="00596094" w:rsidRPr="00596094">
        <w:rPr>
          <w:snapToGrid w:val="0"/>
          <w:lang w:eastAsia="en-US"/>
        </w:rPr>
        <w:t xml:space="preserve"> </w:t>
      </w:r>
      <w:r w:rsidR="00AE1066">
        <w:rPr>
          <w:snapToGrid w:val="0"/>
          <w:lang w:eastAsia="en-US"/>
        </w:rPr>
        <w:t>For example, on pages 107 and 108 of his testimony, Mr.</w:t>
      </w:r>
      <w:r w:rsidR="003B5A1C">
        <w:rPr>
          <w:snapToGrid w:val="0"/>
          <w:lang w:eastAsia="en-US"/>
        </w:rPr>
        <w:t> </w:t>
      </w:r>
      <w:r w:rsidR="00AE1066">
        <w:rPr>
          <w:snapToGrid w:val="0"/>
          <w:lang w:eastAsia="en-US"/>
        </w:rPr>
        <w:t xml:space="preserve">Hill </w:t>
      </w:r>
      <w:r w:rsidR="00AE1066" w:rsidRPr="00596094">
        <w:rPr>
          <w:snapToGrid w:val="0"/>
          <w:lang w:eastAsia="en-US"/>
        </w:rPr>
        <w:t xml:space="preserve">discusses risk to equity investors </w:t>
      </w:r>
      <w:r w:rsidR="00AE1066">
        <w:rPr>
          <w:snapToGrid w:val="0"/>
          <w:lang w:eastAsia="en-US"/>
        </w:rPr>
        <w:t xml:space="preserve">as </w:t>
      </w:r>
      <w:r w:rsidR="00AE1066" w:rsidRPr="00596094">
        <w:rPr>
          <w:snapToGrid w:val="0"/>
          <w:lang w:eastAsia="en-US"/>
        </w:rPr>
        <w:t>one of volatility in</w:t>
      </w:r>
      <w:r w:rsidR="00AE1066">
        <w:rPr>
          <w:snapToGrid w:val="0"/>
          <w:lang w:eastAsia="en-US"/>
        </w:rPr>
        <w:t xml:space="preserve"> “Return” over </w:t>
      </w:r>
      <w:r w:rsidR="00C57BAF">
        <w:rPr>
          <w:snapToGrid w:val="0"/>
          <w:lang w:eastAsia="en-US"/>
        </w:rPr>
        <w:t>“T</w:t>
      </w:r>
      <w:r w:rsidR="00AE1066">
        <w:rPr>
          <w:snapToGrid w:val="0"/>
          <w:lang w:eastAsia="en-US"/>
        </w:rPr>
        <w:t>ime</w:t>
      </w:r>
      <w:r w:rsidR="00C57BAF">
        <w:rPr>
          <w:snapToGrid w:val="0"/>
          <w:lang w:eastAsia="en-US"/>
        </w:rPr>
        <w:t>”</w:t>
      </w:r>
      <w:r w:rsidR="005A10D1">
        <w:rPr>
          <w:snapToGrid w:val="0"/>
          <w:lang w:eastAsia="en-US"/>
        </w:rPr>
        <w:t xml:space="preserve">, as shown </w:t>
      </w:r>
      <w:r w:rsidR="0006727F">
        <w:rPr>
          <w:snapToGrid w:val="0"/>
          <w:lang w:eastAsia="en-US"/>
        </w:rPr>
        <w:t>i</w:t>
      </w:r>
      <w:r w:rsidR="005A10D1">
        <w:rPr>
          <w:snapToGrid w:val="0"/>
          <w:lang w:eastAsia="en-US"/>
        </w:rPr>
        <w:t xml:space="preserve">n the </w:t>
      </w:r>
      <w:r w:rsidR="0006727F">
        <w:rPr>
          <w:snapToGrid w:val="0"/>
          <w:lang w:eastAsia="en-US"/>
        </w:rPr>
        <w:t xml:space="preserve">chart below </w:t>
      </w:r>
      <w:r w:rsidR="00AE1066">
        <w:rPr>
          <w:snapToGrid w:val="0"/>
          <w:lang w:eastAsia="en-US"/>
        </w:rPr>
        <w:t xml:space="preserve">”Y” axis and  “X” axis labeling in the graphic </w:t>
      </w:r>
      <w:r w:rsidR="00B96FA8">
        <w:rPr>
          <w:snapToGrid w:val="0"/>
          <w:lang w:eastAsia="en-US"/>
        </w:rPr>
        <w:t>below</w:t>
      </w:r>
      <w:r w:rsidR="00AE1066">
        <w:rPr>
          <w:snapToGrid w:val="0"/>
          <w:lang w:eastAsia="en-US"/>
        </w:rPr>
        <w:t xml:space="preserve">, taken directly from </w:t>
      </w:r>
      <w:r w:rsidR="003B5A1C">
        <w:rPr>
          <w:snapToGrid w:val="0"/>
          <w:lang w:eastAsia="en-US"/>
        </w:rPr>
        <w:t xml:space="preserve">page 108 of </w:t>
      </w:r>
      <w:r w:rsidR="00AE1066">
        <w:rPr>
          <w:snapToGrid w:val="0"/>
          <w:lang w:eastAsia="en-US"/>
        </w:rPr>
        <w:t>Mr.</w:t>
      </w:r>
      <w:r w:rsidR="003B5A1C">
        <w:rPr>
          <w:snapToGrid w:val="0"/>
          <w:lang w:eastAsia="en-US"/>
        </w:rPr>
        <w:t> </w:t>
      </w:r>
      <w:r w:rsidR="00AE1066">
        <w:rPr>
          <w:snapToGrid w:val="0"/>
          <w:lang w:eastAsia="en-US"/>
        </w:rPr>
        <w:t>Hill’s testimony.</w:t>
      </w:r>
    </w:p>
    <w:p w:rsidR="004F125B" w:rsidRPr="00DF250C" w:rsidRDefault="004F125B" w:rsidP="004F0AF9">
      <w:pPr>
        <w:pStyle w:val="testimony"/>
        <w:keepNext/>
        <w:keepLines/>
        <w:tabs>
          <w:tab w:val="clear" w:pos="720"/>
          <w:tab w:val="clear" w:pos="2160"/>
        </w:tabs>
        <w:spacing w:after="120" w:line="240" w:lineRule="auto"/>
        <w:ind w:firstLine="0"/>
        <w:jc w:val="center"/>
        <w:rPr>
          <w:rFonts w:ascii="Times New Roman" w:hAnsi="Times New Roman"/>
          <w:b/>
        </w:rPr>
      </w:pPr>
      <w:r w:rsidRPr="00DF250C">
        <w:rPr>
          <w:rFonts w:ascii="Times New Roman" w:hAnsi="Times New Roman"/>
          <w:b/>
        </w:rPr>
        <w:t>Chart VI</w:t>
      </w:r>
      <w:r>
        <w:rPr>
          <w:rFonts w:ascii="Times New Roman" w:hAnsi="Times New Roman"/>
          <w:b/>
        </w:rPr>
        <w:br/>
      </w:r>
      <w:r w:rsidRPr="00DF250C">
        <w:rPr>
          <w:rFonts w:ascii="Times New Roman" w:hAnsi="Times New Roman"/>
          <w:b/>
        </w:rPr>
        <w:t>Volatility and Risk</w:t>
      </w:r>
    </w:p>
    <w:p w:rsidR="004F125B" w:rsidRDefault="004F125B" w:rsidP="004F125B">
      <w:pPr>
        <w:pStyle w:val="testimony"/>
        <w:tabs>
          <w:tab w:val="clear" w:pos="720"/>
          <w:tab w:val="clear" w:pos="2160"/>
          <w:tab w:val="left" w:pos="1440"/>
        </w:tabs>
        <w:ind w:left="720" w:hanging="720"/>
        <w:jc w:val="center"/>
        <w:rPr>
          <w:noProof/>
        </w:rPr>
      </w:pPr>
      <w:r>
        <w:rPr>
          <w:noProof/>
        </w:rPr>
        <w:drawing>
          <wp:inline distT="0" distB="0" distL="0" distR="0" wp14:anchorId="10858707" wp14:editId="6D99C300">
            <wp:extent cx="4486275" cy="3276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86275" cy="3276600"/>
                    </a:xfrm>
                    <a:prstGeom prst="rect">
                      <a:avLst/>
                    </a:prstGeom>
                    <a:noFill/>
                    <a:ln>
                      <a:noFill/>
                    </a:ln>
                  </pic:spPr>
                </pic:pic>
              </a:graphicData>
            </a:graphic>
          </wp:inline>
        </w:drawing>
      </w:r>
    </w:p>
    <w:p w:rsidR="00B96FA8" w:rsidRPr="003B5A1C" w:rsidRDefault="00E57579" w:rsidP="003B5A1C">
      <w:pPr>
        <w:pStyle w:val="answer"/>
        <w:ind w:firstLine="0"/>
      </w:pPr>
      <w:r>
        <w:rPr>
          <w:snapToGrid w:val="0"/>
          <w:lang w:eastAsia="en-US"/>
        </w:rPr>
        <w:lastRenderedPageBreak/>
        <w:t>In summary</w:t>
      </w:r>
      <w:r w:rsidR="003B5A1C">
        <w:rPr>
          <w:snapToGrid w:val="0"/>
          <w:lang w:eastAsia="en-US"/>
        </w:rPr>
        <w:t>,</w:t>
      </w:r>
      <w:r>
        <w:rPr>
          <w:snapToGrid w:val="0"/>
          <w:lang w:eastAsia="en-US"/>
        </w:rPr>
        <w:t xml:space="preserve"> the case present</w:t>
      </w:r>
      <w:r w:rsidR="003B5A1C">
        <w:rPr>
          <w:snapToGrid w:val="0"/>
          <w:lang w:eastAsia="en-US"/>
        </w:rPr>
        <w:t>ed by Mr. Hill</w:t>
      </w:r>
      <w:r>
        <w:rPr>
          <w:snapToGrid w:val="0"/>
          <w:lang w:eastAsia="en-US"/>
        </w:rPr>
        <w:t xml:space="preserve"> suggests that </w:t>
      </w:r>
      <w:r w:rsidR="0045341C">
        <w:rPr>
          <w:snapToGrid w:val="0"/>
          <w:lang w:eastAsia="en-US"/>
        </w:rPr>
        <w:t>t</w:t>
      </w:r>
      <w:r>
        <w:rPr>
          <w:snapToGrid w:val="0"/>
          <w:lang w:eastAsia="en-US"/>
        </w:rPr>
        <w:t>he more volatile the returns over time, the riskier the asset becomes</w:t>
      </w:r>
      <w:r w:rsidR="003B5A1C">
        <w:rPr>
          <w:snapToGrid w:val="0"/>
          <w:lang w:eastAsia="en-US"/>
        </w:rPr>
        <w:t>, thereby</w:t>
      </w:r>
      <w:r>
        <w:rPr>
          <w:snapToGrid w:val="0"/>
          <w:lang w:eastAsia="en-US"/>
        </w:rPr>
        <w:t xml:space="preserve"> causing investors to demand higher expected returns</w:t>
      </w:r>
      <w:r w:rsidR="003B5A1C">
        <w:rPr>
          <w:snapToGrid w:val="0"/>
          <w:lang w:eastAsia="en-US"/>
        </w:rPr>
        <w:t>.  I</w:t>
      </w:r>
      <w:r>
        <w:rPr>
          <w:snapToGrid w:val="0"/>
          <w:lang w:eastAsia="en-US"/>
        </w:rPr>
        <w:t>n the graph above, investors in asset</w:t>
      </w:r>
      <w:r w:rsidR="003B5A1C">
        <w:rPr>
          <w:snapToGrid w:val="0"/>
          <w:lang w:eastAsia="en-US"/>
        </w:rPr>
        <w:t> </w:t>
      </w:r>
      <w:r>
        <w:rPr>
          <w:snapToGrid w:val="0"/>
          <w:lang w:eastAsia="en-US"/>
        </w:rPr>
        <w:t>A would therefore require higher expected returns than investors in asset</w:t>
      </w:r>
      <w:r w:rsidR="003B5A1C">
        <w:rPr>
          <w:snapToGrid w:val="0"/>
          <w:lang w:eastAsia="en-US"/>
        </w:rPr>
        <w:t> </w:t>
      </w:r>
      <w:r>
        <w:rPr>
          <w:snapToGrid w:val="0"/>
          <w:lang w:eastAsia="en-US"/>
        </w:rPr>
        <w:t xml:space="preserve">B. </w:t>
      </w:r>
      <w:r w:rsidR="0025690B">
        <w:rPr>
          <w:snapToGrid w:val="0"/>
          <w:lang w:eastAsia="en-US"/>
        </w:rPr>
        <w:t>I have no quarrel with his analysis to this point.  Mr.</w:t>
      </w:r>
      <w:r w:rsidR="00023562">
        <w:rPr>
          <w:snapToGrid w:val="0"/>
          <w:lang w:eastAsia="en-US"/>
        </w:rPr>
        <w:t> </w:t>
      </w:r>
      <w:r w:rsidR="0025690B">
        <w:rPr>
          <w:snapToGrid w:val="0"/>
          <w:lang w:eastAsia="en-US"/>
        </w:rPr>
        <w:t>Hill continues</w:t>
      </w:r>
      <w:r w:rsidR="003B5A1C">
        <w:rPr>
          <w:snapToGrid w:val="0"/>
          <w:lang w:eastAsia="en-US"/>
        </w:rPr>
        <w:t>, however, to state as follows:</w:t>
      </w:r>
      <w:r w:rsidR="0025690B">
        <w:rPr>
          <w:snapToGrid w:val="0"/>
          <w:lang w:eastAsia="en-US"/>
        </w:rPr>
        <w:t xml:space="preserve"> </w:t>
      </w:r>
    </w:p>
    <w:p w:rsidR="003B5A1C" w:rsidRDefault="003B5A1C" w:rsidP="003B5A1C">
      <w:pPr>
        <w:pStyle w:val="Quote-Indented"/>
        <w:spacing w:before="0" w:after="280"/>
        <w:ind w:left="1440"/>
      </w:pPr>
      <w:r>
        <w:t xml:space="preserve">When an investor purchases a share of utility stock, he or she is purchasing an expected future stream of dividends and growth in that dividend, or capital appreciation when the stock is sold.  That dividend expectation is, in turn, dependent on the revenue </w:t>
      </w:r>
      <w:r w:rsidRPr="003B5A1C">
        <w:rPr>
          <w:i/>
        </w:rPr>
        <w:t>and income</w:t>
      </w:r>
      <w:r>
        <w:t xml:space="preserve"> earned by the utility . . . .</w:t>
      </w:r>
      <w:r>
        <w:rPr>
          <w:rStyle w:val="FootnoteReference"/>
          <w:snapToGrid w:val="0"/>
        </w:rPr>
        <w:footnoteReference w:id="9"/>
      </w:r>
    </w:p>
    <w:p w:rsidR="007D3C38" w:rsidRPr="007D3C38" w:rsidRDefault="0025690B" w:rsidP="003B5A1C">
      <w:pPr>
        <w:pStyle w:val="answer"/>
        <w:ind w:firstLine="0"/>
      </w:pPr>
      <w:r>
        <w:t>In this statement, Mr.</w:t>
      </w:r>
      <w:r w:rsidR="003B5A1C">
        <w:t> </w:t>
      </w:r>
      <w:r>
        <w:t xml:space="preserve">Hill begins to </w:t>
      </w:r>
      <w:r w:rsidR="005A10D1">
        <w:t xml:space="preserve">improperly </w:t>
      </w:r>
      <w:r>
        <w:t xml:space="preserve">equate and draw parallels between </w:t>
      </w:r>
      <w:r w:rsidR="00B61D3B">
        <w:t xml:space="preserve">the volatility inherent in </w:t>
      </w:r>
      <w:r>
        <w:t>revenue, income and dividends (aka cash flows).</w:t>
      </w:r>
      <w:r w:rsidR="007D3C38">
        <w:t xml:space="preserve">  </w:t>
      </w:r>
      <w:r w:rsidR="00596094" w:rsidRPr="00086C29">
        <w:rPr>
          <w:snapToGrid w:val="0"/>
          <w:lang w:eastAsia="en-US"/>
        </w:rPr>
        <w:t>Although revenues</w:t>
      </w:r>
      <w:r w:rsidR="008F53D1">
        <w:rPr>
          <w:snapToGrid w:val="0"/>
          <w:lang w:eastAsia="en-US"/>
        </w:rPr>
        <w:t>,</w:t>
      </w:r>
      <w:r w:rsidR="00596094" w:rsidRPr="00086C29">
        <w:rPr>
          <w:snapToGrid w:val="0"/>
          <w:lang w:eastAsia="en-US"/>
        </w:rPr>
        <w:t xml:space="preserve"> </w:t>
      </w:r>
      <w:r w:rsidR="00086C29">
        <w:rPr>
          <w:snapToGrid w:val="0"/>
          <w:lang w:eastAsia="en-US"/>
        </w:rPr>
        <w:t>income</w:t>
      </w:r>
      <w:r w:rsidR="008F53D1">
        <w:rPr>
          <w:snapToGrid w:val="0"/>
          <w:lang w:eastAsia="en-US"/>
        </w:rPr>
        <w:t>, and cash flow</w:t>
      </w:r>
      <w:r w:rsidR="00086C29">
        <w:rPr>
          <w:snapToGrid w:val="0"/>
          <w:lang w:eastAsia="en-US"/>
        </w:rPr>
        <w:t xml:space="preserve"> </w:t>
      </w:r>
      <w:r w:rsidR="00596094" w:rsidRPr="00086C29">
        <w:rPr>
          <w:snapToGrid w:val="0"/>
          <w:lang w:eastAsia="en-US"/>
        </w:rPr>
        <w:t xml:space="preserve">are </w:t>
      </w:r>
      <w:r w:rsidR="00086C29">
        <w:rPr>
          <w:snapToGrid w:val="0"/>
          <w:lang w:eastAsia="en-US"/>
        </w:rPr>
        <w:t>“</w:t>
      </w:r>
      <w:r w:rsidR="00596094" w:rsidRPr="00086C29">
        <w:rPr>
          <w:snapToGrid w:val="0"/>
          <w:lang w:eastAsia="en-US"/>
        </w:rPr>
        <w:t>related</w:t>
      </w:r>
      <w:r w:rsidR="00086C29">
        <w:rPr>
          <w:snapToGrid w:val="0"/>
          <w:lang w:eastAsia="en-US"/>
        </w:rPr>
        <w:t>”</w:t>
      </w:r>
      <w:r w:rsidR="00196567" w:rsidRPr="00086C29">
        <w:rPr>
          <w:snapToGrid w:val="0"/>
          <w:lang w:eastAsia="en-US"/>
        </w:rPr>
        <w:t>,</w:t>
      </w:r>
      <w:r w:rsidR="00596094" w:rsidRPr="00086C29">
        <w:rPr>
          <w:snapToGrid w:val="0"/>
          <w:lang w:eastAsia="en-US"/>
        </w:rPr>
        <w:t xml:space="preserve"> </w:t>
      </w:r>
      <w:r w:rsidR="00DD4A6D" w:rsidRPr="00086C29">
        <w:rPr>
          <w:snapToGrid w:val="0"/>
          <w:lang w:eastAsia="en-US"/>
        </w:rPr>
        <w:t xml:space="preserve">most of the operating expenses </w:t>
      </w:r>
      <w:r w:rsidR="00DD4A6D">
        <w:rPr>
          <w:snapToGrid w:val="0"/>
          <w:lang w:eastAsia="en-US"/>
        </w:rPr>
        <w:t xml:space="preserve">(setting aside power cost and gas costs) of any utility, including PSE, </w:t>
      </w:r>
      <w:r w:rsidR="00086C29">
        <w:rPr>
          <w:snapToGrid w:val="0"/>
          <w:lang w:eastAsia="en-US"/>
        </w:rPr>
        <w:t xml:space="preserve">that are deducted from revenues to arrive at income </w:t>
      </w:r>
      <w:r w:rsidR="008F53D1">
        <w:rPr>
          <w:snapToGrid w:val="0"/>
          <w:lang w:eastAsia="en-US"/>
        </w:rPr>
        <w:t xml:space="preserve">and residual cash flows </w:t>
      </w:r>
      <w:r w:rsidR="00DD4A6D">
        <w:rPr>
          <w:snapToGrid w:val="0"/>
          <w:lang w:eastAsia="en-US"/>
        </w:rPr>
        <w:t xml:space="preserve">are incurred </w:t>
      </w:r>
      <w:r w:rsidR="003B2753">
        <w:rPr>
          <w:snapToGrid w:val="0"/>
          <w:lang w:eastAsia="en-US"/>
        </w:rPr>
        <w:t xml:space="preserve">and recognized </w:t>
      </w:r>
      <w:r w:rsidR="00DD4A6D">
        <w:rPr>
          <w:snapToGrid w:val="0"/>
          <w:lang w:eastAsia="en-US"/>
        </w:rPr>
        <w:t>independently of revenues</w:t>
      </w:r>
      <w:r w:rsidR="00455B4A">
        <w:rPr>
          <w:snapToGrid w:val="0"/>
          <w:lang w:eastAsia="en-US"/>
        </w:rPr>
        <w:t>.</w:t>
      </w:r>
      <w:r w:rsidR="00596094" w:rsidRPr="00596094">
        <w:rPr>
          <w:snapToGrid w:val="0"/>
          <w:lang w:eastAsia="en-US"/>
        </w:rPr>
        <w:t xml:space="preserve">  </w:t>
      </w:r>
      <w:r w:rsidR="00502199">
        <w:rPr>
          <w:snapToGrid w:val="0"/>
          <w:lang w:eastAsia="en-US"/>
        </w:rPr>
        <w:t>For example, operatin</w:t>
      </w:r>
      <w:r w:rsidR="00DD4A6D">
        <w:rPr>
          <w:snapToGrid w:val="0"/>
          <w:lang w:eastAsia="en-US"/>
        </w:rPr>
        <w:t xml:space="preserve">g expenses such as </w:t>
      </w:r>
      <w:r w:rsidR="00C57BAF">
        <w:rPr>
          <w:snapToGrid w:val="0"/>
          <w:lang w:eastAsia="en-US"/>
        </w:rPr>
        <w:t>line clearance expense</w:t>
      </w:r>
      <w:r w:rsidR="00502199">
        <w:rPr>
          <w:snapToGrid w:val="0"/>
          <w:lang w:eastAsia="en-US"/>
        </w:rPr>
        <w:t>, depreciation</w:t>
      </w:r>
      <w:r w:rsidR="00DD4A6D">
        <w:rPr>
          <w:snapToGrid w:val="0"/>
          <w:lang w:eastAsia="en-US"/>
        </w:rPr>
        <w:t xml:space="preserve"> expense</w:t>
      </w:r>
      <w:r w:rsidR="00502199">
        <w:rPr>
          <w:snapToGrid w:val="0"/>
          <w:lang w:eastAsia="en-US"/>
        </w:rPr>
        <w:t>, maintenance expense, current and deferred income tax expense, storm d</w:t>
      </w:r>
      <w:r w:rsidR="00DD4A6D">
        <w:rPr>
          <w:snapToGrid w:val="0"/>
          <w:lang w:eastAsia="en-US"/>
        </w:rPr>
        <w:t>amage repair, bad debt expense</w:t>
      </w:r>
      <w:r w:rsidR="003A2344">
        <w:rPr>
          <w:snapToGrid w:val="0"/>
          <w:lang w:eastAsia="en-US"/>
        </w:rPr>
        <w:t>,</w:t>
      </w:r>
      <w:r w:rsidR="00DD4A6D">
        <w:rPr>
          <w:snapToGrid w:val="0"/>
          <w:lang w:eastAsia="en-US"/>
        </w:rPr>
        <w:t xml:space="preserve"> </w:t>
      </w:r>
      <w:r w:rsidR="00C57BAF">
        <w:rPr>
          <w:snapToGrid w:val="0"/>
          <w:lang w:eastAsia="en-US"/>
        </w:rPr>
        <w:t xml:space="preserve">and interest expense </w:t>
      </w:r>
      <w:r w:rsidR="00DD4A6D">
        <w:rPr>
          <w:snapToGrid w:val="0"/>
          <w:lang w:eastAsia="en-US"/>
        </w:rPr>
        <w:t>are all recorded independently of accrued revenues.</w:t>
      </w:r>
    </w:p>
    <w:p w:rsidR="008F53D1" w:rsidRDefault="00C859A0" w:rsidP="003B5A1C">
      <w:pPr>
        <w:pStyle w:val="answer"/>
        <w:ind w:firstLine="0"/>
        <w:rPr>
          <w:snapToGrid w:val="0"/>
          <w:lang w:eastAsia="en-US"/>
        </w:rPr>
      </w:pPr>
      <w:r>
        <w:rPr>
          <w:snapToGrid w:val="0"/>
          <w:lang w:eastAsia="en-US"/>
        </w:rPr>
        <w:t>Because</w:t>
      </w:r>
      <w:r w:rsidR="00086C29">
        <w:rPr>
          <w:snapToGrid w:val="0"/>
          <w:lang w:eastAsia="en-US"/>
        </w:rPr>
        <w:t xml:space="preserve"> these expenses </w:t>
      </w:r>
      <w:r>
        <w:rPr>
          <w:snapToGrid w:val="0"/>
          <w:lang w:eastAsia="en-US"/>
        </w:rPr>
        <w:t xml:space="preserve">nearly always </w:t>
      </w:r>
      <w:r w:rsidR="00086C29">
        <w:rPr>
          <w:snapToGrid w:val="0"/>
          <w:lang w:eastAsia="en-US"/>
        </w:rPr>
        <w:t xml:space="preserve">differ from what is included in the revenue requirement underlying the revenues for a given period of time, it logically follows that the volatility of </w:t>
      </w:r>
      <w:r w:rsidR="00FC50D2">
        <w:rPr>
          <w:snapToGrid w:val="0"/>
          <w:lang w:eastAsia="en-US"/>
        </w:rPr>
        <w:t xml:space="preserve">revenues or </w:t>
      </w:r>
      <w:r w:rsidR="00086C29">
        <w:rPr>
          <w:snapToGrid w:val="0"/>
          <w:lang w:eastAsia="en-US"/>
        </w:rPr>
        <w:t xml:space="preserve">net revenues is </w:t>
      </w:r>
      <w:r w:rsidR="00B61D3B">
        <w:rPr>
          <w:snapToGrid w:val="0"/>
          <w:lang w:eastAsia="en-US"/>
        </w:rPr>
        <w:t xml:space="preserve">an </w:t>
      </w:r>
      <w:r w:rsidR="00A86376" w:rsidRPr="007D3C38">
        <w:rPr>
          <w:i/>
          <w:snapToGrid w:val="0"/>
          <w:lang w:eastAsia="en-US"/>
        </w:rPr>
        <w:t>inappropriate</w:t>
      </w:r>
      <w:r w:rsidR="00A86376">
        <w:rPr>
          <w:snapToGrid w:val="0"/>
          <w:lang w:eastAsia="en-US"/>
        </w:rPr>
        <w:t xml:space="preserve"> </w:t>
      </w:r>
      <w:r w:rsidR="00086C29">
        <w:rPr>
          <w:snapToGrid w:val="0"/>
          <w:lang w:eastAsia="en-US"/>
        </w:rPr>
        <w:t xml:space="preserve">proxy </w:t>
      </w:r>
      <w:r w:rsidR="00086C29">
        <w:rPr>
          <w:snapToGrid w:val="0"/>
          <w:lang w:eastAsia="en-US"/>
        </w:rPr>
        <w:lastRenderedPageBreak/>
        <w:t xml:space="preserve">for the volatility of income, returns or </w:t>
      </w:r>
      <w:r w:rsidR="008F53D1">
        <w:rPr>
          <w:snapToGrid w:val="0"/>
          <w:lang w:eastAsia="en-US"/>
        </w:rPr>
        <w:t xml:space="preserve">residual </w:t>
      </w:r>
      <w:r w:rsidR="00086C29">
        <w:rPr>
          <w:snapToGrid w:val="0"/>
          <w:lang w:eastAsia="en-US"/>
        </w:rPr>
        <w:t>cash flows.  Stated alternatively, volatility in operating expense recognition will create variability in net income</w:t>
      </w:r>
      <w:r w:rsidR="00C22C28">
        <w:rPr>
          <w:snapToGrid w:val="0"/>
          <w:lang w:eastAsia="en-US"/>
        </w:rPr>
        <w:t>, returns</w:t>
      </w:r>
      <w:r w:rsidR="00086C29">
        <w:rPr>
          <w:snapToGrid w:val="0"/>
          <w:lang w:eastAsia="en-US"/>
        </w:rPr>
        <w:t xml:space="preserve"> and </w:t>
      </w:r>
      <w:r w:rsidR="008F53D1">
        <w:rPr>
          <w:snapToGrid w:val="0"/>
          <w:lang w:eastAsia="en-US"/>
        </w:rPr>
        <w:t xml:space="preserve">residual </w:t>
      </w:r>
      <w:r w:rsidR="00086C29">
        <w:rPr>
          <w:snapToGrid w:val="0"/>
          <w:lang w:eastAsia="en-US"/>
        </w:rPr>
        <w:t xml:space="preserve">cash flow that is </w:t>
      </w:r>
      <w:r w:rsidR="00FC50D2">
        <w:rPr>
          <w:snapToGrid w:val="0"/>
          <w:lang w:eastAsia="en-US"/>
        </w:rPr>
        <w:t xml:space="preserve">different from and </w:t>
      </w:r>
      <w:r w:rsidR="00086C29">
        <w:rPr>
          <w:snapToGrid w:val="0"/>
          <w:lang w:eastAsia="en-US"/>
        </w:rPr>
        <w:t xml:space="preserve">not present in </w:t>
      </w:r>
      <w:r w:rsidR="00C96D8A">
        <w:rPr>
          <w:snapToGrid w:val="0"/>
          <w:lang w:eastAsia="en-US"/>
        </w:rPr>
        <w:t xml:space="preserve">the variability of </w:t>
      </w:r>
      <w:r w:rsidR="00B61D3B">
        <w:rPr>
          <w:snapToGrid w:val="0"/>
          <w:lang w:eastAsia="en-US"/>
        </w:rPr>
        <w:t xml:space="preserve">revenues or </w:t>
      </w:r>
      <w:r w:rsidR="00C96D8A">
        <w:rPr>
          <w:snapToGrid w:val="0"/>
          <w:lang w:eastAsia="en-US"/>
        </w:rPr>
        <w:t xml:space="preserve">net revenues. </w:t>
      </w:r>
    </w:p>
    <w:p w:rsidR="008F53D1" w:rsidRPr="007D3C38" w:rsidRDefault="008F53D1" w:rsidP="007D3C38">
      <w:pPr>
        <w:pStyle w:val="question"/>
        <w:keepNext/>
        <w:keepLines/>
        <w:spacing w:before="120"/>
        <w:rPr>
          <w:rFonts w:ascii="Times New Roman" w:hAnsi="Times New Roman"/>
        </w:rPr>
      </w:pPr>
      <w:r w:rsidRPr="007D3C38">
        <w:rPr>
          <w:snapToGrid w:val="0"/>
          <w:lang w:eastAsia="en-US"/>
        </w:rPr>
        <w:t>Q.</w:t>
      </w:r>
      <w:r w:rsidRPr="007D3C38">
        <w:rPr>
          <w:snapToGrid w:val="0"/>
          <w:lang w:eastAsia="en-US"/>
        </w:rPr>
        <w:tab/>
        <w:t>Does Mr.</w:t>
      </w:r>
      <w:r w:rsidR="00023562">
        <w:rPr>
          <w:snapToGrid w:val="0"/>
          <w:lang w:eastAsia="en-US"/>
        </w:rPr>
        <w:t> </w:t>
      </w:r>
      <w:r w:rsidRPr="007D3C38">
        <w:rPr>
          <w:snapToGrid w:val="0"/>
          <w:lang w:eastAsia="en-US"/>
        </w:rPr>
        <w:t>Hill recognize this point in his testimony?</w:t>
      </w:r>
    </w:p>
    <w:p w:rsidR="00C859A0" w:rsidRPr="007D3C38" w:rsidRDefault="002F3A90" w:rsidP="007D3C38">
      <w:pPr>
        <w:pStyle w:val="answer"/>
      </w:pPr>
      <w:r>
        <w:rPr>
          <w:snapToGrid w:val="0"/>
          <w:lang w:eastAsia="en-US"/>
        </w:rPr>
        <w:t>A.</w:t>
      </w:r>
      <w:r>
        <w:rPr>
          <w:snapToGrid w:val="0"/>
          <w:lang w:eastAsia="en-US"/>
        </w:rPr>
        <w:tab/>
        <w:t>Yes</w:t>
      </w:r>
      <w:r w:rsidR="007D3C38">
        <w:rPr>
          <w:snapToGrid w:val="0"/>
          <w:lang w:eastAsia="en-US"/>
        </w:rPr>
        <w:t>.  Mr.</w:t>
      </w:r>
      <w:r w:rsidR="00023562">
        <w:rPr>
          <w:snapToGrid w:val="0"/>
          <w:lang w:eastAsia="en-US"/>
        </w:rPr>
        <w:t> </w:t>
      </w:r>
      <w:r w:rsidR="007D3C38">
        <w:rPr>
          <w:snapToGrid w:val="0"/>
          <w:lang w:eastAsia="en-US"/>
        </w:rPr>
        <w:t>Hill expressly states as follows:</w:t>
      </w:r>
    </w:p>
    <w:p w:rsidR="007D3C38" w:rsidRDefault="007D3C38" w:rsidP="007D3C38">
      <w:pPr>
        <w:pStyle w:val="Quote-Indented"/>
        <w:spacing w:before="0" w:after="280"/>
        <w:ind w:left="1440"/>
      </w:pPr>
      <w:r>
        <w:t xml:space="preserve">[I]t is intuitively obvious that the more the utility’s revenue volatility is eliminated by decoupling, the greater the risk reduction caused by decoupling and the lower the allowed equity return should be.  </w:t>
      </w:r>
      <w:r w:rsidRPr="007D3C38">
        <w:rPr>
          <w:i/>
        </w:rPr>
        <w:t>If, for example, operating costs were constant</w:t>
      </w:r>
      <w:r>
        <w:t xml:space="preserve"> and 100 percent of the revenue variance of a utility were due to factors eliminated by decoupling, that ratemaking mechanism could effectively turn a utility equity investment into a bond-like financial instrument. In that extreme theoretical instance, the level of uncertainty regarding the expected return that normally accompanies a utility equity investment would be significantly reduced . . . .</w:t>
      </w:r>
      <w:r>
        <w:rPr>
          <w:rStyle w:val="FootnoteReference"/>
          <w:snapToGrid w:val="0"/>
        </w:rPr>
        <w:footnoteReference w:id="10"/>
      </w:r>
    </w:p>
    <w:p w:rsidR="008F53D1" w:rsidRDefault="001F16E9" w:rsidP="007D3C38">
      <w:pPr>
        <w:pStyle w:val="answer"/>
        <w:ind w:firstLine="0"/>
      </w:pPr>
      <w:r>
        <w:t>Thus</w:t>
      </w:r>
      <w:r w:rsidR="008F53D1">
        <w:t xml:space="preserve">, by </w:t>
      </w:r>
      <w:r>
        <w:t>Mr.</w:t>
      </w:r>
      <w:r w:rsidR="007D3C38">
        <w:t> </w:t>
      </w:r>
      <w:r>
        <w:t xml:space="preserve">Hill’s </w:t>
      </w:r>
      <w:r w:rsidR="008F53D1">
        <w:t xml:space="preserve">own admission, one must hold operating expenses constant for his “extreme </w:t>
      </w:r>
      <w:r w:rsidR="00CF038F">
        <w:t xml:space="preserve">theoretical” methodology to hold true.  </w:t>
      </w:r>
      <w:r w:rsidR="00FC50D2">
        <w:t>I</w:t>
      </w:r>
      <w:r w:rsidR="00CF038F">
        <w:t>n reality operating costs c</w:t>
      </w:r>
      <w:r w:rsidR="00B61D3B">
        <w:t>annot be held constant.  Therefore,</w:t>
      </w:r>
      <w:r w:rsidR="00CF038F">
        <w:t xml:space="preserve"> the volatility in revenues or net revenues is an inappropriate and unacceptable proxy for the volatility of income, </w:t>
      </w:r>
      <w:r w:rsidR="00B61D3B">
        <w:t>returns and residual cash flows</w:t>
      </w:r>
      <w:r w:rsidR="00FC50D2">
        <w:t xml:space="preserve"> as a means for assessing the impact </w:t>
      </w:r>
      <w:r w:rsidR="00C57BAF">
        <w:t xml:space="preserve">of risk or volatility </w:t>
      </w:r>
      <w:r w:rsidR="00FC50D2">
        <w:t>on cost of capital.</w:t>
      </w:r>
    </w:p>
    <w:p w:rsidR="008F53D1" w:rsidRPr="007D3C38" w:rsidRDefault="00CF038F" w:rsidP="007D3C38">
      <w:pPr>
        <w:pStyle w:val="question"/>
        <w:keepNext/>
        <w:keepLines/>
        <w:spacing w:before="120"/>
        <w:rPr>
          <w:rFonts w:ascii="Times New Roman" w:hAnsi="Times New Roman"/>
        </w:rPr>
      </w:pPr>
      <w:r w:rsidRPr="007D3C38">
        <w:lastRenderedPageBreak/>
        <w:t>Q.</w:t>
      </w:r>
      <w:r>
        <w:tab/>
      </w:r>
      <w:r w:rsidRPr="00354826">
        <w:t xml:space="preserve">Did </w:t>
      </w:r>
      <w:r w:rsidR="005F733E">
        <w:t xml:space="preserve">PSE </w:t>
      </w:r>
      <w:r w:rsidRPr="00354826">
        <w:t xml:space="preserve">perform any additional analysis to confirm </w:t>
      </w:r>
      <w:r w:rsidR="00E512E4">
        <w:t xml:space="preserve">the </w:t>
      </w:r>
      <w:r w:rsidRPr="00354826">
        <w:t>contention that the volatility of revenues or net revenues are inappropriate and unacceptable proxies for the volatility of income, returns and residual cash flows?</w:t>
      </w:r>
    </w:p>
    <w:p w:rsidR="00455B4A" w:rsidRPr="00200195" w:rsidRDefault="00CF038F" w:rsidP="00FC50D2">
      <w:pPr>
        <w:spacing w:line="480" w:lineRule="auto"/>
        <w:ind w:left="720" w:hanging="720"/>
      </w:pPr>
      <w:r>
        <w:t>A.</w:t>
      </w:r>
      <w:r>
        <w:tab/>
      </w:r>
      <w:r w:rsidR="00200195">
        <w:t xml:space="preserve">Yes.  To test whether </w:t>
      </w:r>
      <w:r w:rsidR="00200195" w:rsidRPr="00354826">
        <w:t>the volatility of revenues or net revenues are appropriate and acceptable proxies for the volatility of income, returns and residual cash flows</w:t>
      </w:r>
      <w:r w:rsidR="00200195">
        <w:t xml:space="preserve">, PSE </w:t>
      </w:r>
      <w:r w:rsidR="00200195">
        <w:rPr>
          <w:snapToGrid w:val="0"/>
          <w:lang w:eastAsia="en-US"/>
        </w:rPr>
        <w:t xml:space="preserve"> </w:t>
      </w:r>
      <w:r w:rsidR="00086C29">
        <w:rPr>
          <w:snapToGrid w:val="0"/>
          <w:lang w:eastAsia="en-US"/>
        </w:rPr>
        <w:t xml:space="preserve">performed two regression analyses using </w:t>
      </w:r>
      <w:r w:rsidR="00127727">
        <w:rPr>
          <w:snapToGrid w:val="0"/>
          <w:lang w:eastAsia="en-US"/>
        </w:rPr>
        <w:t xml:space="preserve">the same model presented on page 1 of </w:t>
      </w:r>
      <w:r w:rsidR="00086C29">
        <w:rPr>
          <w:snapToGrid w:val="0"/>
          <w:lang w:eastAsia="en-US"/>
        </w:rPr>
        <w:t>Mr.</w:t>
      </w:r>
      <w:r w:rsidR="00414D0B">
        <w:rPr>
          <w:snapToGrid w:val="0"/>
          <w:lang w:eastAsia="en-US"/>
        </w:rPr>
        <w:t> </w:t>
      </w:r>
      <w:r w:rsidR="00086C29">
        <w:rPr>
          <w:snapToGrid w:val="0"/>
          <w:lang w:eastAsia="en-US"/>
        </w:rPr>
        <w:t xml:space="preserve">Hill’s </w:t>
      </w:r>
      <w:r w:rsidR="00127727">
        <w:rPr>
          <w:snapToGrid w:val="0"/>
          <w:lang w:eastAsia="en-US"/>
        </w:rPr>
        <w:t>Exhibit No.</w:t>
      </w:r>
      <w:r w:rsidR="00714EDB">
        <w:rPr>
          <w:snapToGrid w:val="0"/>
          <w:lang w:eastAsia="en-US"/>
        </w:rPr>
        <w:t> </w:t>
      </w:r>
      <w:r w:rsidR="00127727">
        <w:rPr>
          <w:snapToGrid w:val="0"/>
          <w:lang w:eastAsia="en-US"/>
        </w:rPr>
        <w:t>___(SGH-19)</w:t>
      </w:r>
      <w:r w:rsidR="00414D0B">
        <w:rPr>
          <w:snapToGrid w:val="0"/>
          <w:lang w:eastAsia="en-US"/>
        </w:rPr>
        <w:t xml:space="preserve">.  </w:t>
      </w:r>
      <w:r w:rsidR="00200195">
        <w:rPr>
          <w:snapToGrid w:val="0"/>
          <w:lang w:eastAsia="en-US"/>
        </w:rPr>
        <w:t xml:space="preserve">Instead </w:t>
      </w:r>
      <w:r w:rsidR="00086C29">
        <w:rPr>
          <w:snapToGrid w:val="0"/>
          <w:lang w:eastAsia="en-US"/>
        </w:rPr>
        <w:t>of using “net revenues”</w:t>
      </w:r>
      <w:r w:rsidR="00CC280C">
        <w:rPr>
          <w:snapToGrid w:val="0"/>
          <w:lang w:eastAsia="en-US"/>
        </w:rPr>
        <w:t xml:space="preserve"> as the dependent variable</w:t>
      </w:r>
      <w:r w:rsidR="00414D0B">
        <w:rPr>
          <w:snapToGrid w:val="0"/>
          <w:lang w:eastAsia="en-US"/>
        </w:rPr>
        <w:t xml:space="preserve"> in these analyses</w:t>
      </w:r>
      <w:r w:rsidR="00086C29">
        <w:rPr>
          <w:snapToGrid w:val="0"/>
          <w:lang w:eastAsia="en-US"/>
        </w:rPr>
        <w:t>, PSE substituted net income in one case and operating cash flow in the other</w:t>
      </w:r>
      <w:r w:rsidR="00414D0B">
        <w:rPr>
          <w:snapToGrid w:val="0"/>
          <w:lang w:eastAsia="en-US"/>
        </w:rPr>
        <w:t>.</w:t>
      </w:r>
    </w:p>
    <w:p w:rsidR="00200195" w:rsidRPr="007D3C38" w:rsidRDefault="00200195" w:rsidP="00200195">
      <w:pPr>
        <w:pStyle w:val="question"/>
        <w:keepNext/>
        <w:keepLines/>
        <w:spacing w:before="120"/>
        <w:rPr>
          <w:rFonts w:ascii="Times New Roman" w:hAnsi="Times New Roman"/>
        </w:rPr>
      </w:pPr>
      <w:r w:rsidRPr="007D3C38">
        <w:t>Q.</w:t>
      </w:r>
      <w:r>
        <w:tab/>
        <w:t>Why did PSE replicate Mr. Hill’s regression analyses using net income and operating cash flow as variables</w:t>
      </w:r>
      <w:r w:rsidRPr="00354826">
        <w:t>?</w:t>
      </w:r>
    </w:p>
    <w:p w:rsidR="00200195" w:rsidRPr="00200195" w:rsidRDefault="00200195" w:rsidP="00200195">
      <w:pPr>
        <w:spacing w:line="480" w:lineRule="auto"/>
        <w:ind w:left="720" w:hanging="720"/>
      </w:pPr>
      <w:r>
        <w:t>A.</w:t>
      </w:r>
      <w:r>
        <w:tab/>
        <w:t xml:space="preserve">PSE wanted to test what Mr. Hill’s model would yield using more appropriate variables (i.e., net income and operating cash flow).  In performing these tests and providing the results, PSE neither endorses nor supports the mechanics </w:t>
      </w:r>
      <w:r w:rsidR="002D2BD1">
        <w:t xml:space="preserve">of Mr. Hill’s model </w:t>
      </w:r>
      <w:r>
        <w:t xml:space="preserve">or </w:t>
      </w:r>
      <w:r w:rsidR="002D2BD1">
        <w:t>the results provided.  PSE simply wished to demonstrate that Mr. Hill’s model produces much different results if he were to substitute more appropriate variables (i.e., net income and operating cash flow) for the variable selected by Mr. Hill (i.e., net revenues).</w:t>
      </w:r>
    </w:p>
    <w:p w:rsidR="00455B4A" w:rsidRPr="00596094" w:rsidRDefault="00455B4A" w:rsidP="00455B4A">
      <w:pPr>
        <w:pStyle w:val="question"/>
        <w:keepNext/>
        <w:keepLines/>
        <w:spacing w:before="120"/>
        <w:rPr>
          <w:rFonts w:ascii="Times New Roman" w:hAnsi="Times New Roman"/>
        </w:rPr>
      </w:pPr>
      <w:r w:rsidRPr="00515380">
        <w:t>Q.</w:t>
      </w:r>
      <w:r w:rsidRPr="00515380">
        <w:tab/>
      </w:r>
      <w:r>
        <w:t xml:space="preserve">What </w:t>
      </w:r>
      <w:r w:rsidR="002D2BD1">
        <w:t>results would Mr. Hill’s model provide if he were to use net income rather than net revenue as the variable</w:t>
      </w:r>
      <w:r>
        <w:rPr>
          <w:snapToGrid w:val="0"/>
          <w:lang w:eastAsia="en-US"/>
        </w:rPr>
        <w:t>?</w:t>
      </w:r>
    </w:p>
    <w:p w:rsidR="00414D0B" w:rsidRDefault="00455B4A" w:rsidP="00455B4A">
      <w:pPr>
        <w:pStyle w:val="answer"/>
        <w:rPr>
          <w:snapToGrid w:val="0"/>
          <w:lang w:eastAsia="en-US"/>
        </w:rPr>
      </w:pPr>
      <w:r>
        <w:rPr>
          <w:snapToGrid w:val="0"/>
          <w:lang w:eastAsia="en-US"/>
        </w:rPr>
        <w:t>A.</w:t>
      </w:r>
      <w:r>
        <w:rPr>
          <w:snapToGrid w:val="0"/>
          <w:lang w:eastAsia="en-US"/>
        </w:rPr>
        <w:tab/>
      </w:r>
      <w:r w:rsidR="00414D0B">
        <w:t xml:space="preserve">If Mr. Hill had </w:t>
      </w:r>
      <w:r w:rsidR="002D2BD1">
        <w:t xml:space="preserve">used </w:t>
      </w:r>
      <w:r w:rsidR="00414D0B">
        <w:t>net income</w:t>
      </w:r>
      <w:r w:rsidR="002D2BD1">
        <w:t xml:space="preserve"> as the variable in his model</w:t>
      </w:r>
      <w:r w:rsidR="00414D0B">
        <w:rPr>
          <w:snapToGrid w:val="0"/>
          <w:lang w:eastAsia="en-US"/>
        </w:rPr>
        <w:t xml:space="preserve">, the </w:t>
      </w:r>
      <w:r>
        <w:rPr>
          <w:snapToGrid w:val="0"/>
          <w:lang w:eastAsia="en-US"/>
        </w:rPr>
        <w:t xml:space="preserve">results would have shown that the effects of weather and the economy, both of which are </w:t>
      </w:r>
      <w:r>
        <w:rPr>
          <w:snapToGrid w:val="0"/>
          <w:lang w:eastAsia="en-US"/>
        </w:rPr>
        <w:lastRenderedPageBreak/>
        <w:t>impli</w:t>
      </w:r>
      <w:r w:rsidR="00414D0B">
        <w:rPr>
          <w:snapToGrid w:val="0"/>
          <w:lang w:eastAsia="en-US"/>
        </w:rPr>
        <w:t>ed</w:t>
      </w:r>
      <w:r>
        <w:rPr>
          <w:snapToGrid w:val="0"/>
          <w:lang w:eastAsia="en-US"/>
        </w:rPr>
        <w:t xml:space="preserve"> in </w:t>
      </w:r>
      <w:r w:rsidR="00414D0B">
        <w:rPr>
          <w:snapToGrid w:val="0"/>
          <w:lang w:eastAsia="en-US"/>
        </w:rPr>
        <w:t>Mr. </w:t>
      </w:r>
      <w:r>
        <w:rPr>
          <w:snapToGrid w:val="0"/>
          <w:lang w:eastAsia="en-US"/>
        </w:rPr>
        <w:t xml:space="preserve">Hill’s testimony as being mitigated by decoupling, have a negligible effect on the variability of PSE’s net income.  </w:t>
      </w:r>
      <w:r w:rsidR="00414D0B">
        <w:rPr>
          <w:snapToGrid w:val="0"/>
          <w:lang w:eastAsia="en-US"/>
        </w:rPr>
        <w:t>Please see Exhibit No. ___(DAD-10) for the results of the regression analysis, using net income rather than net revenue as the dependent variable.</w:t>
      </w:r>
    </w:p>
    <w:p w:rsidR="009417C8" w:rsidRDefault="00354826" w:rsidP="00414D0B">
      <w:pPr>
        <w:pStyle w:val="answer"/>
        <w:ind w:firstLine="0"/>
        <w:rPr>
          <w:snapToGrid w:val="0"/>
          <w:lang w:eastAsia="en-US"/>
        </w:rPr>
      </w:pPr>
      <w:r>
        <w:rPr>
          <w:snapToGrid w:val="0"/>
          <w:lang w:eastAsia="en-US"/>
        </w:rPr>
        <w:t>Mr.</w:t>
      </w:r>
      <w:r w:rsidR="00414D0B">
        <w:rPr>
          <w:snapToGrid w:val="0"/>
          <w:lang w:eastAsia="en-US"/>
        </w:rPr>
        <w:t> </w:t>
      </w:r>
      <w:r w:rsidR="00455B4A">
        <w:rPr>
          <w:snapToGrid w:val="0"/>
          <w:lang w:eastAsia="en-US"/>
        </w:rPr>
        <w:t xml:space="preserve">Hill’s </w:t>
      </w:r>
      <w:r>
        <w:rPr>
          <w:snapToGrid w:val="0"/>
          <w:lang w:eastAsia="en-US"/>
        </w:rPr>
        <w:t>linear regression modelling results show a</w:t>
      </w:r>
      <w:r w:rsidR="00414D0B">
        <w:rPr>
          <w:snapToGrid w:val="0"/>
          <w:lang w:eastAsia="en-US"/>
        </w:rPr>
        <w:t>n</w:t>
      </w:r>
      <w:r>
        <w:rPr>
          <w:snapToGrid w:val="0"/>
          <w:lang w:eastAsia="en-US"/>
        </w:rPr>
        <w:t xml:space="preserve"> R-squared of 0.9.</w:t>
      </w:r>
      <w:r w:rsidR="00414D0B">
        <w:rPr>
          <w:rStyle w:val="FootnoteReference"/>
          <w:snapToGrid w:val="0"/>
          <w:lang w:eastAsia="en-US"/>
        </w:rPr>
        <w:footnoteReference w:id="11"/>
      </w:r>
      <w:r>
        <w:rPr>
          <w:snapToGrid w:val="0"/>
          <w:lang w:eastAsia="en-US"/>
        </w:rPr>
        <w:t xml:space="preserve"> </w:t>
      </w:r>
      <w:r w:rsidR="00414D0B">
        <w:rPr>
          <w:snapToGrid w:val="0"/>
          <w:lang w:eastAsia="en-US"/>
        </w:rPr>
        <w:t xml:space="preserve"> </w:t>
      </w:r>
      <w:r>
        <w:rPr>
          <w:snapToGrid w:val="0"/>
          <w:lang w:eastAsia="en-US"/>
        </w:rPr>
        <w:t xml:space="preserve">Based on this R-squared value, </w:t>
      </w:r>
      <w:r w:rsidR="00503FF4">
        <w:rPr>
          <w:snapToGrid w:val="0"/>
          <w:lang w:eastAsia="en-US"/>
        </w:rPr>
        <w:t xml:space="preserve">Mr. Hill </w:t>
      </w:r>
      <w:r>
        <w:rPr>
          <w:snapToGrid w:val="0"/>
          <w:lang w:eastAsia="en-US"/>
        </w:rPr>
        <w:t xml:space="preserve">claims that changes in local weather and state economic conditions account for </w:t>
      </w:r>
      <w:r w:rsidR="00455B4A">
        <w:rPr>
          <w:snapToGrid w:val="0"/>
          <w:lang w:eastAsia="en-US"/>
        </w:rPr>
        <w:t>90% of the variation in PSE’s net revenues</w:t>
      </w:r>
      <w:r>
        <w:rPr>
          <w:snapToGrid w:val="0"/>
          <w:lang w:eastAsia="en-US"/>
        </w:rPr>
        <w:t>.</w:t>
      </w:r>
      <w:r w:rsidR="00A54A39">
        <w:rPr>
          <w:rStyle w:val="FootnoteReference"/>
          <w:snapToGrid w:val="0"/>
          <w:lang w:eastAsia="en-US"/>
        </w:rPr>
        <w:footnoteReference w:id="12"/>
      </w:r>
      <w:r>
        <w:rPr>
          <w:snapToGrid w:val="0"/>
          <w:lang w:eastAsia="en-US"/>
        </w:rPr>
        <w:t xml:space="preserve"> </w:t>
      </w:r>
      <w:r w:rsidR="00A54A39">
        <w:rPr>
          <w:snapToGrid w:val="0"/>
          <w:lang w:eastAsia="en-US"/>
        </w:rPr>
        <w:t xml:space="preserve"> </w:t>
      </w:r>
      <w:r>
        <w:rPr>
          <w:snapToGrid w:val="0"/>
          <w:lang w:eastAsia="en-US"/>
        </w:rPr>
        <w:t xml:space="preserve">However, rerunning </w:t>
      </w:r>
      <w:r w:rsidR="0059424C">
        <w:rPr>
          <w:snapToGrid w:val="0"/>
          <w:lang w:eastAsia="en-US"/>
        </w:rPr>
        <w:t xml:space="preserve">Mr. Hill’s </w:t>
      </w:r>
      <w:r>
        <w:rPr>
          <w:snapToGrid w:val="0"/>
          <w:lang w:eastAsia="en-US"/>
        </w:rPr>
        <w:t>linear regression model with net income</w:t>
      </w:r>
      <w:r w:rsidR="00A54A39">
        <w:rPr>
          <w:snapToGrid w:val="0"/>
          <w:lang w:eastAsia="en-US"/>
        </w:rPr>
        <w:t>—</w:t>
      </w:r>
      <w:r>
        <w:rPr>
          <w:snapToGrid w:val="0"/>
          <w:lang w:eastAsia="en-US"/>
        </w:rPr>
        <w:t>not net revenue</w:t>
      </w:r>
      <w:r w:rsidR="00A54A39">
        <w:rPr>
          <w:snapToGrid w:val="0"/>
          <w:lang w:eastAsia="en-US"/>
        </w:rPr>
        <w:t>—</w:t>
      </w:r>
      <w:r>
        <w:rPr>
          <w:snapToGrid w:val="0"/>
          <w:lang w:eastAsia="en-US"/>
        </w:rPr>
        <w:t>produces an R-square</w:t>
      </w:r>
      <w:r w:rsidR="00CC280C">
        <w:rPr>
          <w:snapToGrid w:val="0"/>
          <w:lang w:eastAsia="en-US"/>
        </w:rPr>
        <w:t>d</w:t>
      </w:r>
      <w:r>
        <w:rPr>
          <w:snapToGrid w:val="0"/>
          <w:lang w:eastAsia="en-US"/>
        </w:rPr>
        <w:t xml:space="preserve"> value of </w:t>
      </w:r>
      <w:r w:rsidR="00A54A39">
        <w:rPr>
          <w:snapToGrid w:val="0"/>
          <w:lang w:eastAsia="en-US"/>
        </w:rPr>
        <w:t>0</w:t>
      </w:r>
      <w:r>
        <w:rPr>
          <w:snapToGrid w:val="0"/>
          <w:lang w:eastAsia="en-US"/>
        </w:rPr>
        <w:t xml:space="preserve">.28.  Such a low R-squared value indicates that changes in weather and state economic conditions have very little predictive relevance to PSE’s net income variability.  </w:t>
      </w:r>
      <w:r w:rsidR="003E33BF">
        <w:rPr>
          <w:snapToGrid w:val="0"/>
          <w:lang w:eastAsia="en-US"/>
        </w:rPr>
        <w:t>Therefore</w:t>
      </w:r>
      <w:r w:rsidR="00CC280C">
        <w:rPr>
          <w:snapToGrid w:val="0"/>
          <w:lang w:eastAsia="en-US"/>
        </w:rPr>
        <w:t>,</w:t>
      </w:r>
      <w:r w:rsidR="003E33BF">
        <w:rPr>
          <w:snapToGrid w:val="0"/>
          <w:lang w:eastAsia="en-US"/>
        </w:rPr>
        <w:t xml:space="preserve"> the significant difference in the net income and net revenue regression modeling results confirm my contention that many other factors differentiate the variability between net revenue and net income.</w:t>
      </w:r>
    </w:p>
    <w:p w:rsidR="0059424C" w:rsidRPr="00596094" w:rsidRDefault="0059424C" w:rsidP="0059424C">
      <w:pPr>
        <w:pStyle w:val="question"/>
        <w:keepNext/>
        <w:keepLines/>
        <w:spacing w:before="120"/>
        <w:rPr>
          <w:rFonts w:ascii="Times New Roman" w:hAnsi="Times New Roman"/>
        </w:rPr>
      </w:pPr>
      <w:r w:rsidRPr="00515380">
        <w:t>Q.</w:t>
      </w:r>
      <w:r w:rsidRPr="00515380">
        <w:tab/>
      </w:r>
      <w:r>
        <w:t>What results would Mr. Hill’s model provide if he were to use operating cash flow rather than net revenue as the variable</w:t>
      </w:r>
      <w:r>
        <w:rPr>
          <w:snapToGrid w:val="0"/>
          <w:lang w:eastAsia="en-US"/>
        </w:rPr>
        <w:t>?</w:t>
      </w:r>
    </w:p>
    <w:p w:rsidR="009417C8" w:rsidRPr="00596094" w:rsidRDefault="0059424C" w:rsidP="009417C8">
      <w:pPr>
        <w:pStyle w:val="answer"/>
        <w:rPr>
          <w:snapToGrid w:val="0"/>
          <w:lang w:eastAsia="en-US"/>
        </w:rPr>
      </w:pPr>
      <w:r>
        <w:rPr>
          <w:snapToGrid w:val="0"/>
          <w:lang w:eastAsia="en-US"/>
        </w:rPr>
        <w:t>A.</w:t>
      </w:r>
      <w:r>
        <w:rPr>
          <w:snapToGrid w:val="0"/>
          <w:lang w:eastAsia="en-US"/>
        </w:rPr>
        <w:tab/>
      </w:r>
      <w:r>
        <w:t>If Mr. Hill had used operating cash flow as the variable in his model</w:t>
      </w:r>
      <w:r>
        <w:rPr>
          <w:snapToGrid w:val="0"/>
          <w:lang w:eastAsia="en-US"/>
        </w:rPr>
        <w:t xml:space="preserve">, the results </w:t>
      </w:r>
      <w:r w:rsidR="00A54A39">
        <w:rPr>
          <w:snapToGrid w:val="0"/>
          <w:lang w:eastAsia="en-US"/>
        </w:rPr>
        <w:t xml:space="preserve">would have also shown that the effects of weather and the economy, both of which are implied in Mr. Hill’s testimony as being mitigated by decoupling, have a lesser effect on the variability of PSE’s net income </w:t>
      </w:r>
      <w:r w:rsidR="00127727">
        <w:rPr>
          <w:snapToGrid w:val="0"/>
          <w:lang w:eastAsia="en-US"/>
        </w:rPr>
        <w:t xml:space="preserve">cash flow </w:t>
      </w:r>
      <w:r w:rsidR="00A54A39">
        <w:rPr>
          <w:snapToGrid w:val="0"/>
          <w:lang w:eastAsia="en-US"/>
        </w:rPr>
        <w:t xml:space="preserve">than suggested by </w:t>
      </w:r>
      <w:r w:rsidR="00A54A39">
        <w:rPr>
          <w:snapToGrid w:val="0"/>
          <w:lang w:eastAsia="en-US"/>
        </w:rPr>
        <w:lastRenderedPageBreak/>
        <w:t xml:space="preserve">Mr. Hill.  Please see Exhibit No. ___(DAD-11) for the results of the regression analysis, using cash flow rather than net revenue as the dependent variable.  As shown </w:t>
      </w:r>
      <w:r w:rsidR="00953A04">
        <w:rPr>
          <w:snapToGrid w:val="0"/>
          <w:lang w:eastAsia="en-US"/>
        </w:rPr>
        <w:t xml:space="preserve">in </w:t>
      </w:r>
      <w:r w:rsidR="009417C8">
        <w:rPr>
          <w:snapToGrid w:val="0"/>
          <w:lang w:eastAsia="en-US"/>
        </w:rPr>
        <w:t>Exhibit No.</w:t>
      </w:r>
      <w:r w:rsidR="00A54A39">
        <w:rPr>
          <w:snapToGrid w:val="0"/>
          <w:lang w:eastAsia="en-US"/>
        </w:rPr>
        <w:t> </w:t>
      </w:r>
      <w:r w:rsidR="009417C8">
        <w:rPr>
          <w:snapToGrid w:val="0"/>
          <w:lang w:eastAsia="en-US"/>
        </w:rPr>
        <w:t>___(DAD-</w:t>
      </w:r>
      <w:r w:rsidR="00A54A39">
        <w:rPr>
          <w:snapToGrid w:val="0"/>
          <w:lang w:eastAsia="en-US"/>
        </w:rPr>
        <w:t>11</w:t>
      </w:r>
      <w:r w:rsidR="009417C8">
        <w:rPr>
          <w:snapToGrid w:val="0"/>
          <w:lang w:eastAsia="en-US"/>
        </w:rPr>
        <w:t xml:space="preserve">), weather and the economy only explain 48% of the variability in cash flows.  Here again, this provides little explanatory power </w:t>
      </w:r>
      <w:r w:rsidR="00953A04">
        <w:rPr>
          <w:snapToGrid w:val="0"/>
          <w:lang w:eastAsia="en-US"/>
        </w:rPr>
        <w:t xml:space="preserve">and is </w:t>
      </w:r>
      <w:r w:rsidR="009417C8">
        <w:rPr>
          <w:snapToGrid w:val="0"/>
          <w:lang w:eastAsia="en-US"/>
        </w:rPr>
        <w:t>of little practical use.  In effect</w:t>
      </w:r>
      <w:r w:rsidR="00953A04">
        <w:rPr>
          <w:snapToGrid w:val="0"/>
          <w:lang w:eastAsia="en-US"/>
        </w:rPr>
        <w:t>,</w:t>
      </w:r>
      <w:r w:rsidR="009417C8">
        <w:rPr>
          <w:snapToGrid w:val="0"/>
          <w:lang w:eastAsia="en-US"/>
        </w:rPr>
        <w:t xml:space="preserve"> these factors explain about as much variability in cash flo</w:t>
      </w:r>
      <w:r w:rsidR="00953A04">
        <w:rPr>
          <w:snapToGrid w:val="0"/>
          <w:lang w:eastAsia="en-US"/>
        </w:rPr>
        <w:t>ws as would flipping a coin.</w:t>
      </w:r>
    </w:p>
    <w:p w:rsidR="00953A04" w:rsidRDefault="009417C8" w:rsidP="00953A04">
      <w:pPr>
        <w:pStyle w:val="Answer0"/>
        <w:ind w:firstLine="0"/>
        <w:rPr>
          <w:snapToGrid w:val="0"/>
          <w:lang w:eastAsia="en-US"/>
        </w:rPr>
      </w:pPr>
      <w:r>
        <w:rPr>
          <w:snapToGrid w:val="0"/>
          <w:lang w:eastAsia="en-US"/>
        </w:rPr>
        <w:t>A</w:t>
      </w:r>
      <w:r w:rsidR="00C96D8A">
        <w:rPr>
          <w:snapToGrid w:val="0"/>
          <w:lang w:eastAsia="en-US"/>
        </w:rPr>
        <w:t xml:space="preserve">side from the statistical invalidities of using net revenues to capture volatility for evaluating cost of capital impacts discussed above, </w:t>
      </w:r>
      <w:r w:rsidR="00B84AAA">
        <w:rPr>
          <w:snapToGrid w:val="0"/>
          <w:lang w:eastAsia="en-US"/>
        </w:rPr>
        <w:t xml:space="preserve">it is a </w:t>
      </w:r>
      <w:r w:rsidR="00960AB7">
        <w:rPr>
          <w:snapToGrid w:val="0"/>
          <w:lang w:eastAsia="en-US"/>
        </w:rPr>
        <w:t>well-known</w:t>
      </w:r>
      <w:r w:rsidR="00B84AAA">
        <w:rPr>
          <w:snapToGrid w:val="0"/>
          <w:lang w:eastAsia="en-US"/>
        </w:rPr>
        <w:t xml:space="preserve"> fact that </w:t>
      </w:r>
      <w:r w:rsidR="00C96D8A">
        <w:rPr>
          <w:snapToGrid w:val="0"/>
          <w:lang w:eastAsia="en-US"/>
        </w:rPr>
        <w:t xml:space="preserve">debt and equity investors </w:t>
      </w:r>
      <w:r w:rsidR="00960AB7">
        <w:rPr>
          <w:snapToGrid w:val="0"/>
          <w:lang w:eastAsia="en-US"/>
        </w:rPr>
        <w:t xml:space="preserve">and analysts </w:t>
      </w:r>
      <w:r w:rsidR="00C96D8A">
        <w:rPr>
          <w:snapToGrid w:val="0"/>
          <w:lang w:eastAsia="en-US"/>
        </w:rPr>
        <w:t xml:space="preserve">utilize “bottom line”, </w:t>
      </w:r>
      <w:r w:rsidR="00586734">
        <w:rPr>
          <w:snapToGrid w:val="0"/>
          <w:lang w:eastAsia="en-US"/>
        </w:rPr>
        <w:t xml:space="preserve">income and </w:t>
      </w:r>
      <w:r w:rsidR="00C96D8A">
        <w:rPr>
          <w:snapToGrid w:val="0"/>
          <w:lang w:eastAsia="en-US"/>
        </w:rPr>
        <w:t>cash driven metrics to assess risk and impacts on cost of capital.  For example, Moody’s and S</w:t>
      </w:r>
      <w:r w:rsidR="00953A04">
        <w:rPr>
          <w:snapToGrid w:val="0"/>
          <w:lang w:eastAsia="en-US"/>
        </w:rPr>
        <w:t xml:space="preserve">tandard </w:t>
      </w:r>
      <w:r w:rsidR="00C96D8A">
        <w:rPr>
          <w:snapToGrid w:val="0"/>
          <w:lang w:eastAsia="en-US"/>
        </w:rPr>
        <w:t>&amp;</w:t>
      </w:r>
      <w:r w:rsidR="00953A04">
        <w:rPr>
          <w:snapToGrid w:val="0"/>
          <w:lang w:eastAsia="en-US"/>
        </w:rPr>
        <w:t xml:space="preserve"> </w:t>
      </w:r>
      <w:r w:rsidR="00C96D8A">
        <w:rPr>
          <w:snapToGrid w:val="0"/>
          <w:lang w:eastAsia="en-US"/>
        </w:rPr>
        <w:t>P</w:t>
      </w:r>
      <w:r w:rsidR="00953A04">
        <w:rPr>
          <w:snapToGrid w:val="0"/>
          <w:lang w:eastAsia="en-US"/>
        </w:rPr>
        <w:t>oor’s</w:t>
      </w:r>
      <w:r w:rsidR="00C96D8A">
        <w:rPr>
          <w:snapToGrid w:val="0"/>
          <w:lang w:eastAsia="en-US"/>
        </w:rPr>
        <w:t xml:space="preserve"> calculate key leverage and </w:t>
      </w:r>
      <w:r w:rsidR="001359DC">
        <w:rPr>
          <w:snapToGrid w:val="0"/>
          <w:lang w:eastAsia="en-US"/>
        </w:rPr>
        <w:t xml:space="preserve">interest </w:t>
      </w:r>
      <w:r w:rsidR="00C96D8A">
        <w:rPr>
          <w:snapToGrid w:val="0"/>
          <w:lang w:eastAsia="en-US"/>
        </w:rPr>
        <w:t xml:space="preserve">coverage ratios against Cash from Operations and Funds from Operations, respectively, to assess credit worthiness and default risk. </w:t>
      </w:r>
      <w:r w:rsidR="00953A04">
        <w:rPr>
          <w:snapToGrid w:val="0"/>
          <w:lang w:eastAsia="en-US"/>
        </w:rPr>
        <w:t xml:space="preserve"> </w:t>
      </w:r>
      <w:r w:rsidR="00C96D8A">
        <w:rPr>
          <w:snapToGrid w:val="0"/>
          <w:lang w:eastAsia="en-US"/>
        </w:rPr>
        <w:t>Similarly, equity investors are bottom line</w:t>
      </w:r>
      <w:r w:rsidR="009C1DB7">
        <w:rPr>
          <w:snapToGrid w:val="0"/>
          <w:lang w:eastAsia="en-US"/>
        </w:rPr>
        <w:t>,</w:t>
      </w:r>
      <w:r w:rsidR="00C96D8A">
        <w:rPr>
          <w:snapToGrid w:val="0"/>
          <w:lang w:eastAsia="en-US"/>
        </w:rPr>
        <w:t xml:space="preserve"> </w:t>
      </w:r>
      <w:r w:rsidR="00586734">
        <w:rPr>
          <w:snapToGrid w:val="0"/>
          <w:lang w:eastAsia="en-US"/>
        </w:rPr>
        <w:t xml:space="preserve">income </w:t>
      </w:r>
      <w:r w:rsidR="00C96D8A">
        <w:rPr>
          <w:snapToGrid w:val="0"/>
          <w:lang w:eastAsia="en-US"/>
        </w:rPr>
        <w:t>and cash flow focused</w:t>
      </w:r>
      <w:r w:rsidR="008C0845">
        <w:rPr>
          <w:snapToGrid w:val="0"/>
          <w:lang w:eastAsia="en-US"/>
        </w:rPr>
        <w:t xml:space="preserve">.  Net income, dividend payout ratios, cash generated from operations and </w:t>
      </w:r>
      <w:r w:rsidR="00953A04">
        <w:rPr>
          <w:snapToGrid w:val="0"/>
          <w:lang w:eastAsia="en-US"/>
        </w:rPr>
        <w:t xml:space="preserve">return on equity </w:t>
      </w:r>
      <w:r w:rsidR="008C0845">
        <w:rPr>
          <w:snapToGrid w:val="0"/>
          <w:lang w:eastAsia="en-US"/>
        </w:rPr>
        <w:t>are all important metrics for assessing the risks inherent in</w:t>
      </w:r>
      <w:r w:rsidR="005A10D1">
        <w:rPr>
          <w:snapToGrid w:val="0"/>
          <w:lang w:eastAsia="en-US"/>
        </w:rPr>
        <w:t>,</w:t>
      </w:r>
      <w:r w:rsidR="008C0845">
        <w:rPr>
          <w:snapToGrid w:val="0"/>
          <w:lang w:eastAsia="en-US"/>
        </w:rPr>
        <w:t xml:space="preserve"> and the ultimate attractiveness of</w:t>
      </w:r>
      <w:r w:rsidR="005A10D1">
        <w:rPr>
          <w:snapToGrid w:val="0"/>
          <w:lang w:eastAsia="en-US"/>
        </w:rPr>
        <w:t>,</w:t>
      </w:r>
      <w:r w:rsidR="008C0845">
        <w:rPr>
          <w:snapToGrid w:val="0"/>
          <w:lang w:eastAsia="en-US"/>
        </w:rPr>
        <w:t xml:space="preserve"> </w:t>
      </w:r>
      <w:r w:rsidR="00947702">
        <w:rPr>
          <w:snapToGrid w:val="0"/>
          <w:lang w:eastAsia="en-US"/>
        </w:rPr>
        <w:t xml:space="preserve">an investment.  </w:t>
      </w:r>
      <w:r w:rsidR="002D47EA">
        <w:rPr>
          <w:snapToGrid w:val="0"/>
          <w:lang w:eastAsia="en-US"/>
        </w:rPr>
        <w:t xml:space="preserve">In utility circles in particular, it is common knowledge that dividends are one of the primary inputs to </w:t>
      </w:r>
      <w:r w:rsidR="004A1D25">
        <w:rPr>
          <w:snapToGrid w:val="0"/>
          <w:lang w:eastAsia="en-US"/>
        </w:rPr>
        <w:t>calculating discounted</w:t>
      </w:r>
      <w:r w:rsidR="002D47EA">
        <w:rPr>
          <w:snapToGrid w:val="0"/>
          <w:lang w:eastAsia="en-US"/>
        </w:rPr>
        <w:t xml:space="preserve"> cash flow valuations of investment valuation and cost of capital.  </w:t>
      </w:r>
      <w:r w:rsidR="00C22C28">
        <w:rPr>
          <w:snapToGrid w:val="0"/>
          <w:lang w:eastAsia="en-US"/>
        </w:rPr>
        <w:t xml:space="preserve">All of these analytical perspectives include the </w:t>
      </w:r>
      <w:r w:rsidR="008B2F3B">
        <w:rPr>
          <w:snapToGrid w:val="0"/>
          <w:lang w:eastAsia="en-US"/>
        </w:rPr>
        <w:t>deduction</w:t>
      </w:r>
      <w:r w:rsidR="00C22C28">
        <w:rPr>
          <w:snapToGrid w:val="0"/>
          <w:lang w:eastAsia="en-US"/>
        </w:rPr>
        <w:t xml:space="preserve"> of </w:t>
      </w:r>
      <w:r w:rsidR="009C1DB7">
        <w:rPr>
          <w:snapToGrid w:val="0"/>
          <w:lang w:eastAsia="en-US"/>
        </w:rPr>
        <w:t xml:space="preserve">all </w:t>
      </w:r>
      <w:r w:rsidR="00C22C28">
        <w:rPr>
          <w:snapToGrid w:val="0"/>
          <w:lang w:eastAsia="en-US"/>
        </w:rPr>
        <w:t>operating and other expenses</w:t>
      </w:r>
      <w:r w:rsidR="00586734">
        <w:rPr>
          <w:snapToGrid w:val="0"/>
          <w:lang w:eastAsia="en-US"/>
        </w:rPr>
        <w:t>—the complete results of operations</w:t>
      </w:r>
      <w:r w:rsidR="00C22C28">
        <w:rPr>
          <w:snapToGrid w:val="0"/>
          <w:lang w:eastAsia="en-US"/>
        </w:rPr>
        <w:t>.</w:t>
      </w:r>
    </w:p>
    <w:p w:rsidR="009C1DB7" w:rsidRDefault="00C22C28" w:rsidP="00953A04">
      <w:pPr>
        <w:pStyle w:val="Answer0"/>
        <w:ind w:firstLine="0"/>
        <w:rPr>
          <w:snapToGrid w:val="0"/>
          <w:lang w:eastAsia="en-US"/>
        </w:rPr>
      </w:pPr>
      <w:r>
        <w:rPr>
          <w:snapToGrid w:val="0"/>
          <w:lang w:eastAsia="en-US"/>
        </w:rPr>
        <w:t xml:space="preserve">By focusing his analysis </w:t>
      </w:r>
      <w:r w:rsidR="009417C8">
        <w:rPr>
          <w:snapToGrid w:val="0"/>
          <w:lang w:eastAsia="en-US"/>
        </w:rPr>
        <w:t xml:space="preserve">only </w:t>
      </w:r>
      <w:r>
        <w:rPr>
          <w:snapToGrid w:val="0"/>
          <w:lang w:eastAsia="en-US"/>
        </w:rPr>
        <w:t>on net revenues</w:t>
      </w:r>
      <w:r w:rsidR="00953A04">
        <w:rPr>
          <w:snapToGrid w:val="0"/>
          <w:lang w:eastAsia="en-US"/>
        </w:rPr>
        <w:t>,</w:t>
      </w:r>
      <w:r>
        <w:rPr>
          <w:snapToGrid w:val="0"/>
          <w:lang w:eastAsia="en-US"/>
        </w:rPr>
        <w:t xml:space="preserve"> </w:t>
      </w:r>
      <w:r w:rsidR="00947702">
        <w:rPr>
          <w:snapToGrid w:val="0"/>
          <w:lang w:eastAsia="en-US"/>
        </w:rPr>
        <w:t>Mr.</w:t>
      </w:r>
      <w:r w:rsidR="00953A04">
        <w:rPr>
          <w:snapToGrid w:val="0"/>
          <w:lang w:eastAsia="en-US"/>
        </w:rPr>
        <w:t> </w:t>
      </w:r>
      <w:r w:rsidR="00947702">
        <w:rPr>
          <w:snapToGrid w:val="0"/>
          <w:lang w:eastAsia="en-US"/>
        </w:rPr>
        <w:t xml:space="preserve">Hill </w:t>
      </w:r>
      <w:r>
        <w:rPr>
          <w:snapToGrid w:val="0"/>
          <w:lang w:eastAsia="en-US"/>
        </w:rPr>
        <w:t>ignores the impact of operating and other expenses</w:t>
      </w:r>
      <w:r w:rsidR="001F16E9">
        <w:rPr>
          <w:snapToGrid w:val="0"/>
          <w:lang w:eastAsia="en-US"/>
        </w:rPr>
        <w:t>.</w:t>
      </w:r>
      <w:r>
        <w:rPr>
          <w:snapToGrid w:val="0"/>
          <w:lang w:eastAsia="en-US"/>
        </w:rPr>
        <w:t xml:space="preserve">  </w:t>
      </w:r>
      <w:r w:rsidR="001F16E9">
        <w:rPr>
          <w:snapToGrid w:val="0"/>
          <w:lang w:eastAsia="en-US"/>
        </w:rPr>
        <w:t>I</w:t>
      </w:r>
      <w:r>
        <w:rPr>
          <w:snapToGrid w:val="0"/>
          <w:lang w:eastAsia="en-US"/>
        </w:rPr>
        <w:t>n doing so</w:t>
      </w:r>
      <w:r w:rsidR="001F16E9">
        <w:rPr>
          <w:snapToGrid w:val="0"/>
          <w:lang w:eastAsia="en-US"/>
        </w:rPr>
        <w:t>, he</w:t>
      </w:r>
      <w:r>
        <w:rPr>
          <w:snapToGrid w:val="0"/>
          <w:lang w:eastAsia="en-US"/>
        </w:rPr>
        <w:t xml:space="preserve"> </w:t>
      </w:r>
      <w:r w:rsidR="00947702">
        <w:rPr>
          <w:snapToGrid w:val="0"/>
          <w:lang w:eastAsia="en-US"/>
        </w:rPr>
        <w:t xml:space="preserve">fails to translate the effects, if any exist at all, of decoupling into metrics and terms that debt and equity investors </w:t>
      </w:r>
      <w:r w:rsidR="00960AB7">
        <w:rPr>
          <w:snapToGrid w:val="0"/>
          <w:lang w:eastAsia="en-US"/>
        </w:rPr>
        <w:lastRenderedPageBreak/>
        <w:t xml:space="preserve">and analysts </w:t>
      </w:r>
      <w:r w:rsidR="00947702">
        <w:rPr>
          <w:snapToGrid w:val="0"/>
          <w:lang w:eastAsia="en-US"/>
        </w:rPr>
        <w:t>regularly utilize to assess</w:t>
      </w:r>
      <w:r w:rsidR="008C0845">
        <w:rPr>
          <w:snapToGrid w:val="0"/>
          <w:lang w:eastAsia="en-US"/>
        </w:rPr>
        <w:t xml:space="preserve"> </w:t>
      </w:r>
      <w:r w:rsidR="003C3EDC">
        <w:rPr>
          <w:snapToGrid w:val="0"/>
          <w:lang w:eastAsia="en-US"/>
        </w:rPr>
        <w:t xml:space="preserve">risk and </w:t>
      </w:r>
      <w:r w:rsidR="00947702">
        <w:rPr>
          <w:snapToGrid w:val="0"/>
          <w:lang w:eastAsia="en-US"/>
        </w:rPr>
        <w:t xml:space="preserve">cost of capital.  </w:t>
      </w:r>
      <w:r w:rsidR="009C1DB7">
        <w:rPr>
          <w:snapToGrid w:val="0"/>
          <w:lang w:eastAsia="en-US"/>
        </w:rPr>
        <w:t>T</w:t>
      </w:r>
      <w:r w:rsidR="00947702">
        <w:rPr>
          <w:snapToGrid w:val="0"/>
          <w:lang w:eastAsia="en-US"/>
        </w:rPr>
        <w:t xml:space="preserve">here is </w:t>
      </w:r>
      <w:r w:rsidR="009C1DB7">
        <w:rPr>
          <w:snapToGrid w:val="0"/>
          <w:lang w:eastAsia="en-US"/>
        </w:rPr>
        <w:t xml:space="preserve">simply </w:t>
      </w:r>
      <w:r w:rsidR="00947702">
        <w:rPr>
          <w:snapToGrid w:val="0"/>
          <w:lang w:eastAsia="en-US"/>
        </w:rPr>
        <w:t>no logical path or rationale to bridge from Mr.</w:t>
      </w:r>
      <w:r w:rsidR="00953A04">
        <w:rPr>
          <w:snapToGrid w:val="0"/>
          <w:lang w:eastAsia="en-US"/>
        </w:rPr>
        <w:t> </w:t>
      </w:r>
      <w:r w:rsidR="00947702">
        <w:rPr>
          <w:snapToGrid w:val="0"/>
          <w:lang w:eastAsia="en-US"/>
        </w:rPr>
        <w:t xml:space="preserve">Hill’s analysis and methodology to how debt and equity investors </w:t>
      </w:r>
      <w:r w:rsidR="003A1A21">
        <w:rPr>
          <w:snapToGrid w:val="0"/>
          <w:lang w:eastAsia="en-US"/>
        </w:rPr>
        <w:t xml:space="preserve">and analysts </w:t>
      </w:r>
      <w:r w:rsidR="00947702">
        <w:rPr>
          <w:snapToGrid w:val="0"/>
          <w:lang w:eastAsia="en-US"/>
        </w:rPr>
        <w:t xml:space="preserve">assess </w:t>
      </w:r>
      <w:r w:rsidR="003A1A21">
        <w:rPr>
          <w:snapToGrid w:val="0"/>
          <w:lang w:eastAsia="en-US"/>
        </w:rPr>
        <w:t xml:space="preserve">risk and </w:t>
      </w:r>
      <w:r w:rsidR="00947702">
        <w:rPr>
          <w:snapToGrid w:val="0"/>
          <w:lang w:eastAsia="en-US"/>
        </w:rPr>
        <w:t>cost of capital</w:t>
      </w:r>
      <w:r w:rsidR="00953A04">
        <w:rPr>
          <w:snapToGrid w:val="0"/>
          <w:lang w:eastAsia="en-US"/>
        </w:rPr>
        <w:t>.</w:t>
      </w:r>
    </w:p>
    <w:p w:rsidR="0059424C" w:rsidRPr="00F16AF5" w:rsidRDefault="0059424C" w:rsidP="0059424C">
      <w:pPr>
        <w:pStyle w:val="question"/>
        <w:keepNext/>
        <w:keepLines/>
        <w:spacing w:before="120"/>
        <w:rPr>
          <w:rFonts w:ascii="Times New Roman" w:hAnsi="Times New Roman"/>
          <w:color w:val="000000" w:themeColor="text1"/>
        </w:rPr>
      </w:pPr>
      <w:r w:rsidRPr="00F16AF5">
        <w:rPr>
          <w:color w:val="000000" w:themeColor="text1"/>
        </w:rPr>
        <w:t>Q.</w:t>
      </w:r>
      <w:r w:rsidRPr="00F16AF5">
        <w:rPr>
          <w:color w:val="000000" w:themeColor="text1"/>
        </w:rPr>
        <w:tab/>
        <w:t>What are the economic effects of Mr.</w:t>
      </w:r>
      <w:r>
        <w:rPr>
          <w:color w:val="000000" w:themeColor="text1"/>
        </w:rPr>
        <w:t> </w:t>
      </w:r>
      <w:r w:rsidRPr="00F16AF5">
        <w:rPr>
          <w:color w:val="000000" w:themeColor="text1"/>
        </w:rPr>
        <w:t>Hill’s recommendations relative to the actual results of decoupling in its first year of operation?</w:t>
      </w:r>
    </w:p>
    <w:p w:rsidR="0059424C" w:rsidRPr="0059424C" w:rsidRDefault="0059424C" w:rsidP="0059424C">
      <w:pPr>
        <w:pStyle w:val="answer"/>
        <w:rPr>
          <w:snapToGrid w:val="0"/>
          <w:lang w:eastAsia="en-US"/>
        </w:rPr>
      </w:pPr>
      <w:r w:rsidRPr="0059424C">
        <w:rPr>
          <w:color w:val="000000" w:themeColor="text1"/>
        </w:rPr>
        <w:t>A.</w:t>
      </w:r>
      <w:r w:rsidRPr="0059424C">
        <w:rPr>
          <w:color w:val="000000" w:themeColor="text1"/>
        </w:rPr>
        <w:tab/>
        <w:t>Mr. Hill’s recommendations are economically disproportionate and illogical.  In my prefiled direct testimony, I indicated that the non-weather related net electric and gas decoupling revenues were $1.9 million or .06% of total operating revenue, .03% of rate base, and .35% of operating income in the first full year of the decoupling regime approved by the Commission in this docket.</w:t>
      </w:r>
      <w:r w:rsidRPr="0059424C">
        <w:rPr>
          <w:rStyle w:val="FootnoteReference"/>
          <w:rFonts w:eastAsia="SimSun"/>
        </w:rPr>
        <w:footnoteReference w:id="13"/>
      </w:r>
      <w:r w:rsidRPr="0059424C">
        <w:rPr>
          <w:color w:val="000000" w:themeColor="text1"/>
        </w:rPr>
        <w:t xml:space="preserve">  Yet with these actual results recorded and in the books, Mr. Hill would have this Commission reduce PSE’s return on equity by 35 basis points or approximately $10 million of operating income.</w:t>
      </w:r>
      <w:r w:rsidRPr="0059424C">
        <w:rPr>
          <w:rStyle w:val="FootnoteReference"/>
          <w:rFonts w:eastAsia="SimSun"/>
        </w:rPr>
        <w:footnoteReference w:id="14"/>
      </w:r>
      <w:r w:rsidRPr="0059424C">
        <w:rPr>
          <w:color w:val="000000" w:themeColor="text1"/>
        </w:rPr>
        <w:t xml:space="preserve">  This is a curious if not illogical result—the economic effects of his recommendation are disproportionate and bear no logical relationship to the actual financial results of the first year of decoupling.  These facts and results on their own should be reason enough for the Commission to wait for the passage of time to gather more information about the potential effects of decoupling.  Mr. Hill recommends in his testimony that the Commission has enough information and data to reduce PSE’s return on equity at this time for the effects of decoupling based on his analysis alone.  Consistent with my prefiled </w:t>
      </w:r>
      <w:r w:rsidRPr="0059424C">
        <w:rPr>
          <w:color w:val="000000" w:themeColor="text1"/>
        </w:rPr>
        <w:lastRenderedPageBreak/>
        <w:t>direct testimony and the disproportion</w:t>
      </w:r>
      <w:r w:rsidR="00CF4B98">
        <w:rPr>
          <w:color w:val="000000" w:themeColor="text1"/>
        </w:rPr>
        <w:t>a</w:t>
      </w:r>
      <w:r w:rsidRPr="0059424C">
        <w:rPr>
          <w:color w:val="000000" w:themeColor="text1"/>
        </w:rPr>
        <w:t>l</w:t>
      </w:r>
      <w:r w:rsidR="00CF4B98">
        <w:rPr>
          <w:color w:val="000000" w:themeColor="text1"/>
        </w:rPr>
        <w:t>it</w:t>
      </w:r>
      <w:r w:rsidRPr="0059424C">
        <w:rPr>
          <w:color w:val="000000" w:themeColor="text1"/>
        </w:rPr>
        <w:t>y of Mr. Hill’s recommendation to the actual decoupling results, clearly more time is needed before any adjustments are made to return on equity for the effects of decoupling.</w:t>
      </w:r>
    </w:p>
    <w:p w:rsidR="009C1DB7" w:rsidRDefault="009C1DB7" w:rsidP="00906A06">
      <w:pPr>
        <w:pStyle w:val="Answer0"/>
        <w:ind w:firstLine="0"/>
        <w:rPr>
          <w:snapToGrid w:val="0"/>
          <w:lang w:eastAsia="en-US"/>
        </w:rPr>
      </w:pPr>
      <w:r>
        <w:rPr>
          <w:snapToGrid w:val="0"/>
          <w:lang w:eastAsia="en-US"/>
        </w:rPr>
        <w:t xml:space="preserve">In light of the myriad critical flaws in </w:t>
      </w:r>
      <w:r w:rsidRPr="00596094">
        <w:rPr>
          <w:snapToGrid w:val="0"/>
          <w:lang w:eastAsia="en-US"/>
        </w:rPr>
        <w:t>Mr.</w:t>
      </w:r>
      <w:r w:rsidR="00906A06">
        <w:rPr>
          <w:snapToGrid w:val="0"/>
          <w:lang w:eastAsia="en-US"/>
        </w:rPr>
        <w:t> </w:t>
      </w:r>
      <w:r w:rsidRPr="00596094">
        <w:rPr>
          <w:snapToGrid w:val="0"/>
          <w:lang w:eastAsia="en-US"/>
        </w:rPr>
        <w:t xml:space="preserve">Hill’s </w:t>
      </w:r>
      <w:r>
        <w:rPr>
          <w:snapToGrid w:val="0"/>
          <w:lang w:eastAsia="en-US"/>
        </w:rPr>
        <w:t>analysis, the Commission should give no weight to</w:t>
      </w:r>
      <w:r w:rsidR="003B2CA1">
        <w:rPr>
          <w:snapToGrid w:val="0"/>
          <w:lang w:eastAsia="en-US"/>
        </w:rPr>
        <w:t>,</w:t>
      </w:r>
      <w:r>
        <w:rPr>
          <w:snapToGrid w:val="0"/>
          <w:lang w:eastAsia="en-US"/>
        </w:rPr>
        <w:t xml:space="preserve"> and completely disregard</w:t>
      </w:r>
      <w:r w:rsidR="003B2CA1">
        <w:rPr>
          <w:snapToGrid w:val="0"/>
          <w:lang w:eastAsia="en-US"/>
        </w:rPr>
        <w:t>,</w:t>
      </w:r>
      <w:r>
        <w:rPr>
          <w:snapToGrid w:val="0"/>
          <w:lang w:eastAsia="en-US"/>
        </w:rPr>
        <w:t xml:space="preserve"> his testimony with respect to the alleged impact of </w:t>
      </w:r>
      <w:r w:rsidRPr="00596094">
        <w:rPr>
          <w:snapToGrid w:val="0"/>
          <w:lang w:eastAsia="en-US"/>
        </w:rPr>
        <w:t xml:space="preserve">decoupling </w:t>
      </w:r>
      <w:r>
        <w:rPr>
          <w:snapToGrid w:val="0"/>
          <w:lang w:eastAsia="en-US"/>
        </w:rPr>
        <w:t xml:space="preserve">on </w:t>
      </w:r>
      <w:r w:rsidRPr="00596094">
        <w:rPr>
          <w:snapToGrid w:val="0"/>
          <w:lang w:eastAsia="en-US"/>
        </w:rPr>
        <w:t>equity cost of capital.</w:t>
      </w:r>
    </w:p>
    <w:p w:rsidR="00196567" w:rsidRPr="00515380" w:rsidRDefault="00196567" w:rsidP="00196567">
      <w:pPr>
        <w:pStyle w:val="Heading2"/>
      </w:pPr>
      <w:bookmarkStart w:id="8" w:name="_Toc406747303"/>
      <w:r>
        <w:t>B</w:t>
      </w:r>
      <w:r w:rsidRPr="00515380">
        <w:t>.</w:t>
      </w:r>
      <w:r w:rsidRPr="00515380">
        <w:tab/>
      </w:r>
      <w:r w:rsidR="00023562">
        <w:t xml:space="preserve">Mr. Hill Erroneously </w:t>
      </w:r>
      <w:r w:rsidR="00023562">
        <w:rPr>
          <w:snapToGrid w:val="0"/>
          <w:lang w:eastAsia="en-US"/>
        </w:rPr>
        <w:t xml:space="preserve">Disregards the Fact </w:t>
      </w:r>
      <w:r w:rsidR="00023562" w:rsidRPr="008F7454">
        <w:rPr>
          <w:snapToGrid w:val="0"/>
          <w:lang w:eastAsia="en-US"/>
        </w:rPr>
        <w:t xml:space="preserve">that PSE’s </w:t>
      </w:r>
      <w:r w:rsidR="00023562">
        <w:rPr>
          <w:snapToGrid w:val="0"/>
          <w:lang w:eastAsia="en-US"/>
        </w:rPr>
        <w:t>O</w:t>
      </w:r>
      <w:r w:rsidR="00023562" w:rsidRPr="008F7454">
        <w:rPr>
          <w:snapToGrid w:val="0"/>
          <w:lang w:eastAsia="en-US"/>
        </w:rPr>
        <w:t xml:space="preserve">pportunity to </w:t>
      </w:r>
      <w:r w:rsidR="00023562">
        <w:rPr>
          <w:snapToGrid w:val="0"/>
          <w:lang w:eastAsia="en-US"/>
        </w:rPr>
        <w:t>E</w:t>
      </w:r>
      <w:r w:rsidR="00023562" w:rsidRPr="008F7454">
        <w:rPr>
          <w:snapToGrid w:val="0"/>
          <w:lang w:eastAsia="en-US"/>
        </w:rPr>
        <w:t xml:space="preserve">arn </w:t>
      </w:r>
      <w:r w:rsidR="00023562">
        <w:rPr>
          <w:snapToGrid w:val="0"/>
          <w:lang w:eastAsia="en-US"/>
        </w:rPr>
        <w:t>I</w:t>
      </w:r>
      <w:r w:rsidR="00023562" w:rsidRPr="008F7454">
        <w:rPr>
          <w:snapToGrid w:val="0"/>
          <w:lang w:eastAsia="en-US"/>
        </w:rPr>
        <w:t xml:space="preserve">ts </w:t>
      </w:r>
      <w:r w:rsidR="00023562">
        <w:rPr>
          <w:snapToGrid w:val="0"/>
          <w:lang w:eastAsia="en-US"/>
        </w:rPr>
        <w:t>R</w:t>
      </w:r>
      <w:r w:rsidR="00023562" w:rsidRPr="008F7454">
        <w:rPr>
          <w:snapToGrid w:val="0"/>
          <w:lang w:eastAsia="en-US"/>
        </w:rPr>
        <w:t xml:space="preserve">eturn </w:t>
      </w:r>
      <w:r w:rsidR="00023562">
        <w:rPr>
          <w:snapToGrid w:val="0"/>
          <w:lang w:eastAsia="en-US"/>
        </w:rPr>
        <w:t>H</w:t>
      </w:r>
      <w:r w:rsidR="00023562" w:rsidRPr="008F7454">
        <w:rPr>
          <w:snapToGrid w:val="0"/>
          <w:lang w:eastAsia="en-US"/>
        </w:rPr>
        <w:t xml:space="preserve">as </w:t>
      </w:r>
      <w:r w:rsidR="00023562">
        <w:rPr>
          <w:snapToGrid w:val="0"/>
          <w:lang w:eastAsia="en-US"/>
        </w:rPr>
        <w:t>B</w:t>
      </w:r>
      <w:r w:rsidR="00023562" w:rsidRPr="008F7454">
        <w:rPr>
          <w:snapToGrid w:val="0"/>
          <w:lang w:eastAsia="en-US"/>
        </w:rPr>
        <w:t xml:space="preserve">een </w:t>
      </w:r>
      <w:r w:rsidR="00023562">
        <w:rPr>
          <w:snapToGrid w:val="0"/>
          <w:lang w:eastAsia="en-US"/>
        </w:rPr>
        <w:t>S</w:t>
      </w:r>
      <w:r w:rsidR="00023562" w:rsidRPr="008F7454">
        <w:rPr>
          <w:snapToGrid w:val="0"/>
          <w:lang w:eastAsia="en-US"/>
        </w:rPr>
        <w:t xml:space="preserve">kewed </w:t>
      </w:r>
      <w:r w:rsidR="00023562">
        <w:rPr>
          <w:snapToGrid w:val="0"/>
          <w:lang w:eastAsia="en-US"/>
        </w:rPr>
        <w:t>T</w:t>
      </w:r>
      <w:r w:rsidR="00023562" w:rsidRPr="008F7454">
        <w:rPr>
          <w:snapToGrid w:val="0"/>
          <w:lang w:eastAsia="en-US"/>
        </w:rPr>
        <w:t xml:space="preserve">owards </w:t>
      </w:r>
      <w:r w:rsidR="00023562">
        <w:rPr>
          <w:snapToGrid w:val="0"/>
          <w:lang w:eastAsia="en-US"/>
        </w:rPr>
        <w:t>U</w:t>
      </w:r>
      <w:r w:rsidR="00023562" w:rsidRPr="008F7454">
        <w:rPr>
          <w:snapToGrid w:val="0"/>
          <w:lang w:eastAsia="en-US"/>
        </w:rPr>
        <w:t>nder</w:t>
      </w:r>
      <w:r w:rsidR="00023562">
        <w:rPr>
          <w:snapToGrid w:val="0"/>
          <w:lang w:eastAsia="en-US"/>
        </w:rPr>
        <w:t>-E</w:t>
      </w:r>
      <w:r w:rsidR="00023562" w:rsidRPr="008F7454">
        <w:rPr>
          <w:snapToGrid w:val="0"/>
          <w:lang w:eastAsia="en-US"/>
        </w:rPr>
        <w:t xml:space="preserve">arning </w:t>
      </w:r>
      <w:r w:rsidR="00023562">
        <w:rPr>
          <w:snapToGrid w:val="0"/>
          <w:lang w:eastAsia="en-US"/>
        </w:rPr>
        <w:t>B</w:t>
      </w:r>
      <w:r w:rsidR="00023562" w:rsidRPr="008F7454">
        <w:rPr>
          <w:snapToGrid w:val="0"/>
          <w:lang w:eastAsia="en-US"/>
        </w:rPr>
        <w:t xml:space="preserve">ecause of the  </w:t>
      </w:r>
      <w:r w:rsidR="00023562">
        <w:rPr>
          <w:snapToGrid w:val="0"/>
          <w:lang w:eastAsia="en-US"/>
        </w:rPr>
        <w:t>S</w:t>
      </w:r>
      <w:r w:rsidR="00023562" w:rsidRPr="008F7454">
        <w:rPr>
          <w:snapToGrid w:val="0"/>
          <w:lang w:eastAsia="en-US"/>
        </w:rPr>
        <w:t xml:space="preserve">tructure of the </w:t>
      </w:r>
      <w:r w:rsidR="00023562">
        <w:rPr>
          <w:snapToGrid w:val="0"/>
          <w:lang w:eastAsia="en-US"/>
        </w:rPr>
        <w:t>E</w:t>
      </w:r>
      <w:r w:rsidR="00023562" w:rsidRPr="008F7454">
        <w:rPr>
          <w:snapToGrid w:val="0"/>
          <w:lang w:eastAsia="en-US"/>
        </w:rPr>
        <w:t>arnings-</w:t>
      </w:r>
      <w:r w:rsidR="00023562">
        <w:rPr>
          <w:snapToGrid w:val="0"/>
          <w:lang w:eastAsia="en-US"/>
        </w:rPr>
        <w:t>S</w:t>
      </w:r>
      <w:r w:rsidR="00023562" w:rsidRPr="008F7454">
        <w:rPr>
          <w:snapToGrid w:val="0"/>
          <w:lang w:eastAsia="en-US"/>
        </w:rPr>
        <w:t xml:space="preserve">haring </w:t>
      </w:r>
      <w:r w:rsidR="00023562">
        <w:rPr>
          <w:snapToGrid w:val="0"/>
          <w:lang w:eastAsia="en-US"/>
        </w:rPr>
        <w:t>M</w:t>
      </w:r>
      <w:r w:rsidR="00023562" w:rsidRPr="008F7454">
        <w:rPr>
          <w:snapToGrid w:val="0"/>
          <w:lang w:eastAsia="en-US"/>
        </w:rPr>
        <w:t xml:space="preserve">echanism </w:t>
      </w:r>
      <w:r w:rsidR="00023562">
        <w:rPr>
          <w:snapToGrid w:val="0"/>
          <w:lang w:eastAsia="en-US"/>
        </w:rPr>
        <w:t>I</w:t>
      </w:r>
      <w:r w:rsidR="00023562" w:rsidRPr="008F7454">
        <w:rPr>
          <w:snapToGrid w:val="0"/>
          <w:lang w:eastAsia="en-US"/>
        </w:rPr>
        <w:t xml:space="preserve">mposed on PSE that is </w:t>
      </w:r>
      <w:r w:rsidR="00023562">
        <w:rPr>
          <w:snapToGrid w:val="0"/>
          <w:lang w:eastAsia="en-US"/>
        </w:rPr>
        <w:t>Negatively S</w:t>
      </w:r>
      <w:r w:rsidR="00023562" w:rsidRPr="008F7454">
        <w:rPr>
          <w:snapToGrid w:val="0"/>
          <w:lang w:eastAsia="en-US"/>
        </w:rPr>
        <w:t xml:space="preserve">kewed </w:t>
      </w:r>
      <w:r w:rsidR="00023562">
        <w:rPr>
          <w:snapToGrid w:val="0"/>
          <w:lang w:eastAsia="en-US"/>
        </w:rPr>
        <w:t>T</w:t>
      </w:r>
      <w:r w:rsidR="00023562" w:rsidRPr="008F7454">
        <w:rPr>
          <w:snapToGrid w:val="0"/>
          <w:lang w:eastAsia="en-US"/>
        </w:rPr>
        <w:t xml:space="preserve">owards </w:t>
      </w:r>
      <w:r w:rsidR="00023562">
        <w:rPr>
          <w:snapToGrid w:val="0"/>
          <w:lang w:eastAsia="en-US"/>
        </w:rPr>
        <w:t>U</w:t>
      </w:r>
      <w:r w:rsidR="00023562" w:rsidRPr="008F7454">
        <w:rPr>
          <w:snapToGrid w:val="0"/>
          <w:lang w:eastAsia="en-US"/>
        </w:rPr>
        <w:t>nder</w:t>
      </w:r>
      <w:r w:rsidR="00023562">
        <w:rPr>
          <w:snapToGrid w:val="0"/>
          <w:lang w:eastAsia="en-US"/>
        </w:rPr>
        <w:t>-E</w:t>
      </w:r>
      <w:r w:rsidR="00023562" w:rsidRPr="008F7454">
        <w:rPr>
          <w:snapToGrid w:val="0"/>
          <w:lang w:eastAsia="en-US"/>
        </w:rPr>
        <w:t>arning</w:t>
      </w:r>
      <w:bookmarkEnd w:id="8"/>
    </w:p>
    <w:p w:rsidR="00596094" w:rsidRPr="007D3C38" w:rsidRDefault="007D3C38" w:rsidP="00596094">
      <w:pPr>
        <w:pStyle w:val="question"/>
        <w:keepNext/>
        <w:keepLines/>
        <w:spacing w:before="120"/>
        <w:rPr>
          <w:rFonts w:ascii="Times New Roman" w:hAnsi="Times New Roman"/>
        </w:rPr>
      </w:pPr>
      <w:r>
        <w:t>Q.</w:t>
      </w:r>
      <w:r w:rsidR="00596094" w:rsidRPr="00515380">
        <w:tab/>
      </w:r>
      <w:r w:rsidR="00F13815">
        <w:t xml:space="preserve">Is </w:t>
      </w:r>
      <w:r w:rsidR="00596094" w:rsidRPr="00596094">
        <w:rPr>
          <w:snapToGrid w:val="0"/>
          <w:lang w:eastAsia="en-US"/>
        </w:rPr>
        <w:t>Mr.</w:t>
      </w:r>
      <w:r w:rsidR="00023562">
        <w:rPr>
          <w:snapToGrid w:val="0"/>
          <w:lang w:eastAsia="en-US"/>
        </w:rPr>
        <w:t> </w:t>
      </w:r>
      <w:r w:rsidR="00596094" w:rsidRPr="00596094">
        <w:rPr>
          <w:snapToGrid w:val="0"/>
          <w:lang w:eastAsia="en-US"/>
        </w:rPr>
        <w:t xml:space="preserve">Hill </w:t>
      </w:r>
      <w:r w:rsidR="00F13815">
        <w:rPr>
          <w:snapToGrid w:val="0"/>
          <w:lang w:eastAsia="en-US"/>
        </w:rPr>
        <w:t>correct in asserting that PSE’s “</w:t>
      </w:r>
      <w:r w:rsidR="00F13815" w:rsidRPr="00F13815">
        <w:rPr>
          <w:snapToGrid w:val="0"/>
          <w:lang w:eastAsia="en-US"/>
        </w:rPr>
        <w:t>risk is not raised by the sharing</w:t>
      </w:r>
      <w:r w:rsidR="00F13815">
        <w:rPr>
          <w:snapToGrid w:val="0"/>
          <w:lang w:eastAsia="en-US"/>
        </w:rPr>
        <w:t xml:space="preserve"> </w:t>
      </w:r>
      <w:r w:rsidR="00F13815" w:rsidRPr="00F13815">
        <w:rPr>
          <w:snapToGrid w:val="0"/>
          <w:lang w:eastAsia="en-US"/>
        </w:rPr>
        <w:t>mechanism—</w:t>
      </w:r>
      <w:r w:rsidR="00F13815">
        <w:rPr>
          <w:snapToGrid w:val="0"/>
          <w:lang w:eastAsia="en-US"/>
        </w:rPr>
        <w:t xml:space="preserve">[PSE] </w:t>
      </w:r>
      <w:r w:rsidR="00F13815" w:rsidRPr="00F13815">
        <w:rPr>
          <w:snapToGrid w:val="0"/>
          <w:lang w:eastAsia="en-US"/>
        </w:rPr>
        <w:t>is earning its investor-required return prior to sharing</w:t>
      </w:r>
      <w:r w:rsidR="00F13815">
        <w:rPr>
          <w:snapToGrid w:val="0"/>
          <w:lang w:eastAsia="en-US"/>
        </w:rPr>
        <w:t xml:space="preserve"> </w:t>
      </w:r>
      <w:r w:rsidR="00F13815" w:rsidRPr="00F13815">
        <w:rPr>
          <w:snapToGrid w:val="0"/>
          <w:lang w:eastAsia="en-US"/>
        </w:rPr>
        <w:t>any additional return above the cost of capital</w:t>
      </w:r>
      <w:r w:rsidR="00F13815">
        <w:rPr>
          <w:snapToGrid w:val="0"/>
          <w:lang w:eastAsia="en-US"/>
        </w:rPr>
        <w:t>”</w:t>
      </w:r>
      <w:r w:rsidR="008D2D99">
        <w:rPr>
          <w:rStyle w:val="FootnoteReference"/>
          <w:snapToGrid w:val="0"/>
          <w:lang w:eastAsia="en-US"/>
        </w:rPr>
        <w:footnoteReference w:id="15"/>
      </w:r>
      <w:r w:rsidR="00F13815">
        <w:rPr>
          <w:snapToGrid w:val="0"/>
          <w:lang w:eastAsia="en-US"/>
        </w:rPr>
        <w:t>?</w:t>
      </w:r>
    </w:p>
    <w:p w:rsidR="00F13815" w:rsidRDefault="00F13815" w:rsidP="00596094">
      <w:pPr>
        <w:pStyle w:val="answer"/>
        <w:rPr>
          <w:snapToGrid w:val="0"/>
          <w:lang w:eastAsia="en-US"/>
        </w:rPr>
      </w:pPr>
      <w:r>
        <w:rPr>
          <w:snapToGrid w:val="0"/>
          <w:lang w:eastAsia="en-US"/>
        </w:rPr>
        <w:t>A.</w:t>
      </w:r>
      <w:r>
        <w:rPr>
          <w:snapToGrid w:val="0"/>
          <w:lang w:eastAsia="en-US"/>
        </w:rPr>
        <w:tab/>
      </w:r>
      <w:r w:rsidR="00596094" w:rsidRPr="00596094">
        <w:rPr>
          <w:snapToGrid w:val="0"/>
          <w:lang w:eastAsia="en-US"/>
        </w:rPr>
        <w:t xml:space="preserve">No.  </w:t>
      </w:r>
      <w:r>
        <w:rPr>
          <w:snapToGrid w:val="0"/>
          <w:lang w:eastAsia="en-US"/>
        </w:rPr>
        <w:t xml:space="preserve">The assertion that PSE’s risk is not increased by the </w:t>
      </w:r>
      <w:r w:rsidR="006C1C04">
        <w:rPr>
          <w:snapToGrid w:val="0"/>
          <w:lang w:eastAsia="en-US"/>
        </w:rPr>
        <w:t xml:space="preserve">earnings </w:t>
      </w:r>
      <w:r>
        <w:rPr>
          <w:snapToGrid w:val="0"/>
          <w:lang w:eastAsia="en-US"/>
        </w:rPr>
        <w:t xml:space="preserve">sharing mechanism is fundamentally incorrect.  </w:t>
      </w:r>
      <w:r w:rsidR="008D2D99">
        <w:rPr>
          <w:snapToGrid w:val="0"/>
          <w:lang w:eastAsia="en-US"/>
        </w:rPr>
        <w:t>In his testimony</w:t>
      </w:r>
      <w:r w:rsidR="008D2D99" w:rsidRPr="00596094">
        <w:rPr>
          <w:snapToGrid w:val="0"/>
          <w:lang w:eastAsia="en-US"/>
        </w:rPr>
        <w:t xml:space="preserve"> </w:t>
      </w:r>
      <w:r w:rsidR="00596094" w:rsidRPr="00596094">
        <w:rPr>
          <w:snapToGrid w:val="0"/>
          <w:lang w:eastAsia="en-US"/>
        </w:rPr>
        <w:t>Mr.</w:t>
      </w:r>
      <w:r w:rsidR="00023562">
        <w:rPr>
          <w:snapToGrid w:val="0"/>
          <w:lang w:eastAsia="en-US"/>
        </w:rPr>
        <w:t> </w:t>
      </w:r>
      <w:r w:rsidR="00596094" w:rsidRPr="00596094">
        <w:rPr>
          <w:snapToGrid w:val="0"/>
          <w:lang w:eastAsia="en-US"/>
        </w:rPr>
        <w:t xml:space="preserve">Hill </w:t>
      </w:r>
      <w:r w:rsidR="008D2D99">
        <w:rPr>
          <w:snapToGrid w:val="0"/>
          <w:lang w:eastAsia="en-US"/>
        </w:rPr>
        <w:t xml:space="preserve">references </w:t>
      </w:r>
      <w:r w:rsidR="008D2D99" w:rsidRPr="004F0AF9">
        <w:rPr>
          <w:i/>
          <w:snapToGrid w:val="0"/>
          <w:lang w:eastAsia="en-US"/>
        </w:rPr>
        <w:t>Hope</w:t>
      </w:r>
      <w:r w:rsidR="00194D81">
        <w:rPr>
          <w:rStyle w:val="FootnoteReference"/>
          <w:snapToGrid w:val="0"/>
          <w:lang w:eastAsia="en-US"/>
        </w:rPr>
        <w:footnoteReference w:id="16"/>
      </w:r>
      <w:r w:rsidR="00194D81">
        <w:rPr>
          <w:snapToGrid w:val="0"/>
          <w:lang w:eastAsia="en-US"/>
        </w:rPr>
        <w:t xml:space="preserve"> </w:t>
      </w:r>
      <w:r w:rsidR="008D2D99">
        <w:rPr>
          <w:snapToGrid w:val="0"/>
          <w:lang w:eastAsia="en-US"/>
        </w:rPr>
        <w:t xml:space="preserve">and </w:t>
      </w:r>
      <w:r w:rsidR="008D2D99" w:rsidRPr="004F0AF9">
        <w:rPr>
          <w:i/>
          <w:snapToGrid w:val="0"/>
          <w:lang w:eastAsia="en-US"/>
        </w:rPr>
        <w:t>Bluefield</w:t>
      </w:r>
      <w:r w:rsidR="00194D81">
        <w:rPr>
          <w:rStyle w:val="FootnoteReference"/>
          <w:snapToGrid w:val="0"/>
          <w:lang w:eastAsia="en-US"/>
        </w:rPr>
        <w:footnoteReference w:id="17"/>
      </w:r>
      <w:r w:rsidR="00194D81">
        <w:rPr>
          <w:i/>
          <w:snapToGrid w:val="0"/>
          <w:lang w:eastAsia="en-US"/>
        </w:rPr>
        <w:t xml:space="preserve"> </w:t>
      </w:r>
      <w:r w:rsidR="008D2D99">
        <w:rPr>
          <w:snapToGrid w:val="0"/>
          <w:lang w:eastAsia="en-US"/>
        </w:rPr>
        <w:t xml:space="preserve">and </w:t>
      </w:r>
      <w:r w:rsidR="00596094" w:rsidRPr="00596094">
        <w:rPr>
          <w:snapToGrid w:val="0"/>
          <w:lang w:eastAsia="en-US"/>
        </w:rPr>
        <w:t xml:space="preserve">recognizes </w:t>
      </w:r>
      <w:r w:rsidR="008D2D99">
        <w:rPr>
          <w:snapToGrid w:val="0"/>
          <w:lang w:eastAsia="en-US"/>
        </w:rPr>
        <w:t>that</w:t>
      </w:r>
      <w:r w:rsidR="00596094" w:rsidRPr="00596094">
        <w:rPr>
          <w:snapToGrid w:val="0"/>
          <w:lang w:eastAsia="en-US"/>
        </w:rPr>
        <w:t xml:space="preserve"> a utility should be given an opportunity to earn returns that are sufficient to attract capital and are comparable to returns investors would expect in the unregulated sector for assuming the same degree of risk</w:t>
      </w:r>
      <w:r>
        <w:rPr>
          <w:snapToGrid w:val="0"/>
          <w:lang w:eastAsia="en-US"/>
        </w:rPr>
        <w:t>:</w:t>
      </w:r>
    </w:p>
    <w:p w:rsidR="00F13815" w:rsidRDefault="00F13815" w:rsidP="004F0AF9">
      <w:pPr>
        <w:pStyle w:val="answer"/>
        <w:spacing w:after="280" w:line="240" w:lineRule="auto"/>
        <w:ind w:left="1440" w:right="720" w:firstLine="0"/>
        <w:jc w:val="both"/>
        <w:rPr>
          <w:snapToGrid w:val="0"/>
          <w:lang w:eastAsia="en-US"/>
        </w:rPr>
      </w:pPr>
      <w:r w:rsidRPr="00F13815">
        <w:rPr>
          <w:snapToGrid w:val="0"/>
          <w:lang w:eastAsia="en-US"/>
        </w:rPr>
        <w:lastRenderedPageBreak/>
        <w:t>A public utility is entitled to such rates as will permit it to earn a</w:t>
      </w:r>
      <w:r>
        <w:rPr>
          <w:snapToGrid w:val="0"/>
          <w:lang w:eastAsia="en-US"/>
        </w:rPr>
        <w:t xml:space="preserve"> </w:t>
      </w:r>
      <w:r w:rsidRPr="00F13815">
        <w:rPr>
          <w:snapToGrid w:val="0"/>
          <w:lang w:eastAsia="en-US"/>
        </w:rPr>
        <w:t>return on the value of the property which it employs for the</w:t>
      </w:r>
      <w:r>
        <w:rPr>
          <w:snapToGrid w:val="0"/>
          <w:lang w:eastAsia="en-US"/>
        </w:rPr>
        <w:t xml:space="preserve"> </w:t>
      </w:r>
      <w:r w:rsidRPr="00F13815">
        <w:rPr>
          <w:snapToGrid w:val="0"/>
          <w:lang w:eastAsia="en-US"/>
        </w:rPr>
        <w:t xml:space="preserve">convenience of the public </w:t>
      </w:r>
      <w:r w:rsidRPr="004F0AF9">
        <w:rPr>
          <w:i/>
          <w:snapToGrid w:val="0"/>
          <w:lang w:eastAsia="en-US"/>
        </w:rPr>
        <w:t>equal to that generally being made at the same time and in the same general part of the country on investments in other business undertakings which are attended by corresponding risks and uncertainties</w:t>
      </w:r>
      <w:r w:rsidRPr="00F13815">
        <w:rPr>
          <w:snapToGrid w:val="0"/>
          <w:lang w:eastAsia="en-US"/>
        </w:rPr>
        <w:t xml:space="preserve"> </w:t>
      </w:r>
      <w:r>
        <w:rPr>
          <w:snapToGrid w:val="0"/>
          <w:lang w:eastAsia="en-US"/>
        </w:rPr>
        <w:t>. . . .</w:t>
      </w:r>
      <w:r w:rsidR="00A75F05">
        <w:rPr>
          <w:rStyle w:val="FootnoteReference"/>
          <w:snapToGrid w:val="0"/>
          <w:lang w:eastAsia="en-US"/>
        </w:rPr>
        <w:footnoteReference w:id="18"/>
      </w:r>
    </w:p>
    <w:p w:rsidR="00194D81" w:rsidRDefault="00012817" w:rsidP="004F0AF9">
      <w:pPr>
        <w:pStyle w:val="answer"/>
        <w:ind w:firstLine="0"/>
        <w:rPr>
          <w:snapToGrid w:val="0"/>
          <w:lang w:eastAsia="en-US"/>
        </w:rPr>
      </w:pPr>
      <w:r>
        <w:rPr>
          <w:snapToGrid w:val="0"/>
          <w:lang w:eastAsia="en-US"/>
        </w:rPr>
        <w:t>Inherent in the opportunity to earn returns sufficient to attract capital in competitive capital markets is the notion that utilities will sometimes over</w:t>
      </w:r>
      <w:r w:rsidR="00194D81">
        <w:rPr>
          <w:snapToGrid w:val="0"/>
          <w:lang w:eastAsia="en-US"/>
        </w:rPr>
        <w:t xml:space="preserve">- </w:t>
      </w:r>
      <w:r>
        <w:rPr>
          <w:snapToGrid w:val="0"/>
          <w:lang w:eastAsia="en-US"/>
        </w:rPr>
        <w:t>and sometimes under</w:t>
      </w:r>
      <w:r w:rsidR="00194D81">
        <w:rPr>
          <w:snapToGrid w:val="0"/>
          <w:lang w:eastAsia="en-US"/>
        </w:rPr>
        <w:t>-</w:t>
      </w:r>
      <w:r>
        <w:rPr>
          <w:snapToGrid w:val="0"/>
          <w:lang w:eastAsia="en-US"/>
        </w:rPr>
        <w:t xml:space="preserve">earn </w:t>
      </w:r>
      <w:r w:rsidR="00194D81">
        <w:rPr>
          <w:snapToGrid w:val="0"/>
          <w:lang w:eastAsia="en-US"/>
        </w:rPr>
        <w:t xml:space="preserve">their allowed returns, </w:t>
      </w:r>
      <w:r>
        <w:rPr>
          <w:snapToGrid w:val="0"/>
          <w:lang w:eastAsia="en-US"/>
        </w:rPr>
        <w:t>but</w:t>
      </w:r>
      <w:r w:rsidR="00194D81">
        <w:rPr>
          <w:snapToGrid w:val="0"/>
          <w:lang w:eastAsia="en-US"/>
        </w:rPr>
        <w:t>,</w:t>
      </w:r>
      <w:r>
        <w:rPr>
          <w:snapToGrid w:val="0"/>
          <w:lang w:eastAsia="en-US"/>
        </w:rPr>
        <w:t xml:space="preserve"> on average over time</w:t>
      </w:r>
      <w:r w:rsidR="00194D81">
        <w:rPr>
          <w:snapToGrid w:val="0"/>
          <w:lang w:eastAsia="en-US"/>
        </w:rPr>
        <w:t xml:space="preserve">, utilities </w:t>
      </w:r>
      <w:r>
        <w:rPr>
          <w:snapToGrid w:val="0"/>
          <w:lang w:eastAsia="en-US"/>
        </w:rPr>
        <w:t xml:space="preserve">should have the chance to earn </w:t>
      </w:r>
      <w:r w:rsidR="00194D81">
        <w:rPr>
          <w:snapToGrid w:val="0"/>
          <w:lang w:eastAsia="en-US"/>
        </w:rPr>
        <w:t xml:space="preserve">their </w:t>
      </w:r>
      <w:r>
        <w:rPr>
          <w:snapToGrid w:val="0"/>
          <w:lang w:eastAsia="en-US"/>
        </w:rPr>
        <w:t>allowed return</w:t>
      </w:r>
      <w:r w:rsidR="00194D81">
        <w:rPr>
          <w:snapToGrid w:val="0"/>
          <w:lang w:eastAsia="en-US"/>
        </w:rPr>
        <w:t>s</w:t>
      </w:r>
      <w:r>
        <w:rPr>
          <w:snapToGrid w:val="0"/>
          <w:lang w:eastAsia="en-US"/>
        </w:rPr>
        <w:t>.</w:t>
      </w:r>
      <w:r w:rsidR="00194D81">
        <w:rPr>
          <w:snapToGrid w:val="0"/>
          <w:lang w:eastAsia="en-US"/>
        </w:rPr>
        <w:t xml:space="preserve"> </w:t>
      </w:r>
      <w:r>
        <w:rPr>
          <w:snapToGrid w:val="0"/>
          <w:lang w:eastAsia="en-US"/>
        </w:rPr>
        <w:t xml:space="preserve"> </w:t>
      </w:r>
      <w:r w:rsidR="00596094" w:rsidRPr="00596094">
        <w:rPr>
          <w:snapToGrid w:val="0"/>
          <w:lang w:eastAsia="en-US"/>
        </w:rPr>
        <w:t>Mr.</w:t>
      </w:r>
      <w:r w:rsidR="00194D81">
        <w:rPr>
          <w:snapToGrid w:val="0"/>
          <w:lang w:eastAsia="en-US"/>
        </w:rPr>
        <w:t> </w:t>
      </w:r>
      <w:r w:rsidR="00596094" w:rsidRPr="00596094">
        <w:rPr>
          <w:snapToGrid w:val="0"/>
          <w:lang w:eastAsia="en-US"/>
        </w:rPr>
        <w:t xml:space="preserve">Hill </w:t>
      </w:r>
      <w:r>
        <w:rPr>
          <w:snapToGrid w:val="0"/>
          <w:lang w:eastAsia="en-US"/>
        </w:rPr>
        <w:t xml:space="preserve">captures this notion via application of </w:t>
      </w:r>
      <w:r w:rsidR="00596094" w:rsidRPr="00596094">
        <w:rPr>
          <w:snapToGrid w:val="0"/>
          <w:lang w:eastAsia="en-US"/>
        </w:rPr>
        <w:t>a common statistical method to measure the operating risk of a utility by using calculations for statistical variance and standard deviation of earnings around a normal distribution.</w:t>
      </w:r>
    </w:p>
    <w:p w:rsidR="00194D81" w:rsidRDefault="00596094" w:rsidP="00127727">
      <w:pPr>
        <w:pStyle w:val="answer"/>
        <w:ind w:firstLine="0"/>
        <w:rPr>
          <w:snapToGrid w:val="0"/>
          <w:lang w:eastAsia="en-US"/>
        </w:rPr>
      </w:pPr>
      <w:r w:rsidRPr="00596094">
        <w:rPr>
          <w:snapToGrid w:val="0"/>
          <w:lang w:eastAsia="en-US"/>
        </w:rPr>
        <w:t xml:space="preserve">My direct testimony shows that an earnings sharing mechanism, both with or without a 25 basis point “dead band”, disrupts the normal distribution of earnings around the mean allowed return and has the effect of skewing the </w:t>
      </w:r>
      <w:r w:rsidR="00C57BAF">
        <w:rPr>
          <w:snapToGrid w:val="0"/>
          <w:lang w:eastAsia="en-US"/>
        </w:rPr>
        <w:t xml:space="preserve">normal </w:t>
      </w:r>
      <w:r w:rsidRPr="00596094">
        <w:rPr>
          <w:snapToGrid w:val="0"/>
          <w:lang w:eastAsia="en-US"/>
        </w:rPr>
        <w:t xml:space="preserve">distribution </w:t>
      </w:r>
      <w:r w:rsidR="00C57BAF">
        <w:rPr>
          <w:snapToGrid w:val="0"/>
          <w:lang w:eastAsia="en-US"/>
        </w:rPr>
        <w:t xml:space="preserve">negatively </w:t>
      </w:r>
      <w:r w:rsidRPr="00596094">
        <w:rPr>
          <w:snapToGrid w:val="0"/>
          <w:lang w:eastAsia="en-US"/>
        </w:rPr>
        <w:t>to</w:t>
      </w:r>
      <w:r w:rsidR="00127727">
        <w:rPr>
          <w:snapToGrid w:val="0"/>
          <w:lang w:eastAsia="en-US"/>
        </w:rPr>
        <w:t>wards</w:t>
      </w:r>
      <w:r w:rsidRPr="00596094">
        <w:rPr>
          <w:snapToGrid w:val="0"/>
          <w:lang w:eastAsia="en-US"/>
        </w:rPr>
        <w:t xml:space="preserve"> a higher probability of occurrences where a utility will not</w:t>
      </w:r>
      <w:r w:rsidR="00C84EC5">
        <w:rPr>
          <w:snapToGrid w:val="0"/>
          <w:lang w:eastAsia="en-US"/>
        </w:rPr>
        <w:t>, on average,</w:t>
      </w:r>
      <w:r w:rsidRPr="00596094">
        <w:rPr>
          <w:snapToGrid w:val="0"/>
          <w:lang w:eastAsia="en-US"/>
        </w:rPr>
        <w:t xml:space="preserve"> earn its allowed return.  </w:t>
      </w:r>
    </w:p>
    <w:p w:rsidR="00596094" w:rsidRPr="00596094" w:rsidRDefault="000F2E11" w:rsidP="00F13815">
      <w:pPr>
        <w:pStyle w:val="answer"/>
        <w:ind w:firstLine="0"/>
        <w:rPr>
          <w:snapToGrid w:val="0"/>
          <w:lang w:eastAsia="en-US"/>
        </w:rPr>
      </w:pPr>
      <w:r>
        <w:rPr>
          <w:snapToGrid w:val="0"/>
          <w:lang w:eastAsia="en-US"/>
        </w:rPr>
        <w:t xml:space="preserve">Under standard statistical interpretation, the mean of a data set that is skewed from normal either positively or negatively will move in the direction of the skew—the side of the histogram with the most extreme values. </w:t>
      </w:r>
      <w:r w:rsidR="00194D81">
        <w:rPr>
          <w:snapToGrid w:val="0"/>
          <w:lang w:eastAsia="en-US"/>
        </w:rPr>
        <w:t xml:space="preserve"> </w:t>
      </w:r>
      <w:r>
        <w:rPr>
          <w:snapToGrid w:val="0"/>
          <w:lang w:eastAsia="en-US"/>
        </w:rPr>
        <w:t>Thus, the skew created by the sharing mechanism reduce</w:t>
      </w:r>
      <w:r w:rsidR="006C1C04">
        <w:rPr>
          <w:snapToGrid w:val="0"/>
          <w:lang w:eastAsia="en-US"/>
        </w:rPr>
        <w:t>s</w:t>
      </w:r>
      <w:r>
        <w:rPr>
          <w:snapToGrid w:val="0"/>
          <w:lang w:eastAsia="en-US"/>
        </w:rPr>
        <w:t xml:space="preserve"> the mean or the opportunity to earn allowed returns on average over time. </w:t>
      </w:r>
      <w:r w:rsidR="00194D81">
        <w:rPr>
          <w:snapToGrid w:val="0"/>
          <w:lang w:eastAsia="en-US"/>
        </w:rPr>
        <w:t xml:space="preserve"> </w:t>
      </w:r>
      <w:r w:rsidR="009D221D">
        <w:rPr>
          <w:snapToGrid w:val="0"/>
          <w:lang w:eastAsia="en-US"/>
        </w:rPr>
        <w:t xml:space="preserve">To make the point </w:t>
      </w:r>
      <w:r>
        <w:rPr>
          <w:snapToGrid w:val="0"/>
          <w:lang w:eastAsia="en-US"/>
        </w:rPr>
        <w:t>a different way</w:t>
      </w:r>
      <w:r w:rsidR="00261F04">
        <w:rPr>
          <w:snapToGrid w:val="0"/>
          <w:lang w:eastAsia="en-US"/>
        </w:rPr>
        <w:t>,</w:t>
      </w:r>
      <w:r>
        <w:rPr>
          <w:snapToGrid w:val="0"/>
          <w:lang w:eastAsia="en-US"/>
        </w:rPr>
        <w:t xml:space="preserve"> albeit </w:t>
      </w:r>
      <w:r w:rsidR="009D221D">
        <w:rPr>
          <w:snapToGrid w:val="0"/>
          <w:lang w:eastAsia="en-US"/>
        </w:rPr>
        <w:t xml:space="preserve">in the extreme, assume the </w:t>
      </w:r>
      <w:r w:rsidR="00194D81">
        <w:rPr>
          <w:snapToGrid w:val="0"/>
          <w:lang w:eastAsia="en-US"/>
        </w:rPr>
        <w:t>C</w:t>
      </w:r>
      <w:r w:rsidR="009D221D">
        <w:rPr>
          <w:snapToGrid w:val="0"/>
          <w:lang w:eastAsia="en-US"/>
        </w:rPr>
        <w:t>ommission required all over</w:t>
      </w:r>
      <w:r w:rsidR="00194D81">
        <w:rPr>
          <w:snapToGrid w:val="0"/>
          <w:lang w:eastAsia="en-US"/>
        </w:rPr>
        <w:t>-</w:t>
      </w:r>
      <w:r w:rsidR="009D221D">
        <w:rPr>
          <w:snapToGrid w:val="0"/>
          <w:lang w:eastAsia="en-US"/>
        </w:rPr>
        <w:t xml:space="preserve">earning above PSE’s </w:t>
      </w:r>
      <w:r w:rsidR="009D221D">
        <w:rPr>
          <w:snapToGrid w:val="0"/>
          <w:lang w:eastAsia="en-US"/>
        </w:rPr>
        <w:lastRenderedPageBreak/>
        <w:t xml:space="preserve">7.77% rate of return to be refunded to customers.  In this case, all upside potential to earn over 7.77% would be eliminated and the probability histogram would shift </w:t>
      </w:r>
      <w:r>
        <w:rPr>
          <w:snapToGrid w:val="0"/>
          <w:lang w:eastAsia="en-US"/>
        </w:rPr>
        <w:t xml:space="preserve">and skew </w:t>
      </w:r>
      <w:r w:rsidR="009D221D">
        <w:rPr>
          <w:snapToGrid w:val="0"/>
          <w:lang w:eastAsia="en-US"/>
        </w:rPr>
        <w:t>completely to the left of 7.77%</w:t>
      </w:r>
      <w:r>
        <w:rPr>
          <w:snapToGrid w:val="0"/>
          <w:lang w:eastAsia="en-US"/>
        </w:rPr>
        <w:t xml:space="preserve"> because there would be no opportunity to earn above 7.77%</w:t>
      </w:r>
      <w:r w:rsidR="00194D81">
        <w:rPr>
          <w:snapToGrid w:val="0"/>
          <w:lang w:eastAsia="en-US"/>
        </w:rPr>
        <w:t xml:space="preserve">.  </w:t>
      </w:r>
      <w:r w:rsidR="009D221D">
        <w:rPr>
          <w:snapToGrid w:val="0"/>
          <w:lang w:eastAsia="en-US"/>
        </w:rPr>
        <w:t>Thus</w:t>
      </w:r>
      <w:r w:rsidR="00194D81">
        <w:rPr>
          <w:snapToGrid w:val="0"/>
          <w:lang w:eastAsia="en-US"/>
        </w:rPr>
        <w:t>,</w:t>
      </w:r>
      <w:r w:rsidR="009D221D">
        <w:rPr>
          <w:snapToGrid w:val="0"/>
          <w:lang w:eastAsia="en-US"/>
        </w:rPr>
        <w:t xml:space="preserve"> it is clear </w:t>
      </w:r>
      <w:r>
        <w:rPr>
          <w:snapToGrid w:val="0"/>
          <w:lang w:eastAsia="en-US"/>
        </w:rPr>
        <w:t xml:space="preserve">and stands to reason </w:t>
      </w:r>
      <w:r w:rsidR="009D221D">
        <w:rPr>
          <w:snapToGrid w:val="0"/>
          <w:lang w:eastAsia="en-US"/>
        </w:rPr>
        <w:t xml:space="preserve">that sharing 50% of every dollar of over </w:t>
      </w:r>
      <w:r>
        <w:rPr>
          <w:snapToGrid w:val="0"/>
          <w:lang w:eastAsia="en-US"/>
        </w:rPr>
        <w:t xml:space="preserve">earnings causes a similar directional effect—a shift and skew </w:t>
      </w:r>
      <w:r w:rsidR="00261F04">
        <w:rPr>
          <w:snapToGrid w:val="0"/>
          <w:lang w:eastAsia="en-US"/>
        </w:rPr>
        <w:t xml:space="preserve">of the mean and distribution, respectively, </w:t>
      </w:r>
      <w:r>
        <w:rPr>
          <w:snapToGrid w:val="0"/>
          <w:lang w:eastAsia="en-US"/>
        </w:rPr>
        <w:t>to the left—just not as much as 100% sharing would cause.</w:t>
      </w:r>
    </w:p>
    <w:p w:rsidR="00454C26" w:rsidRPr="00023562" w:rsidRDefault="00454C26" w:rsidP="00454C26">
      <w:pPr>
        <w:pStyle w:val="Heading1"/>
        <w:spacing w:after="360" w:line="240" w:lineRule="auto"/>
        <w:rPr>
          <w:rFonts w:ascii="Times New Roman" w:eastAsia="SimSun" w:hAnsi="Times New Roman"/>
        </w:rPr>
      </w:pPr>
      <w:bookmarkStart w:id="9" w:name="_Toc406747304"/>
      <w:r>
        <w:t>IV</w:t>
      </w:r>
      <w:r w:rsidRPr="00515380">
        <w:t>.</w:t>
      </w:r>
      <w:r w:rsidRPr="00515380">
        <w:tab/>
      </w:r>
      <w:r>
        <w:rPr>
          <w:snapToGrid w:val="0"/>
          <w:lang w:eastAsia="en-US"/>
        </w:rPr>
        <w:t xml:space="preserve">RESPONSE TO THE PREFILED DIRECT TESTIMONY OF </w:t>
      </w:r>
      <w:r>
        <w:t>MICHAEL P. </w:t>
      </w:r>
      <w:r>
        <w:rPr>
          <w:snapToGrid w:val="0"/>
          <w:lang w:eastAsia="en-US"/>
        </w:rPr>
        <w:t>GORMAN</w:t>
      </w:r>
      <w:bookmarkEnd w:id="9"/>
    </w:p>
    <w:p w:rsidR="00454C26" w:rsidRPr="00596094" w:rsidRDefault="00454C26" w:rsidP="00454C26">
      <w:pPr>
        <w:pStyle w:val="question"/>
        <w:keepNext/>
        <w:keepLines/>
        <w:spacing w:before="120"/>
        <w:rPr>
          <w:rFonts w:ascii="Times New Roman" w:hAnsi="Times New Roman"/>
        </w:rPr>
      </w:pPr>
      <w:r>
        <w:t>Q.</w:t>
      </w:r>
      <w:r w:rsidRPr="00596094">
        <w:rPr>
          <w:snapToGrid w:val="0"/>
          <w:lang w:eastAsia="en-US"/>
        </w:rPr>
        <w:tab/>
      </w:r>
      <w:r w:rsidR="00D84165">
        <w:rPr>
          <w:snapToGrid w:val="0"/>
          <w:lang w:eastAsia="en-US"/>
        </w:rPr>
        <w:t xml:space="preserve">Are you testifying as to </w:t>
      </w:r>
      <w:r>
        <w:rPr>
          <w:snapToGrid w:val="0"/>
          <w:lang w:eastAsia="en-US"/>
        </w:rPr>
        <w:t xml:space="preserve">Mr. Gorman’s </w:t>
      </w:r>
      <w:r w:rsidR="00D84165">
        <w:rPr>
          <w:snapToGrid w:val="0"/>
          <w:lang w:eastAsia="en-US"/>
        </w:rPr>
        <w:t xml:space="preserve">arguments regarding </w:t>
      </w:r>
      <w:r>
        <w:rPr>
          <w:snapToGrid w:val="0"/>
          <w:lang w:eastAsia="en-US"/>
        </w:rPr>
        <w:t>the potential impacts of decoupling mechanisms on return</w:t>
      </w:r>
      <w:r w:rsidR="00D84165">
        <w:rPr>
          <w:snapToGrid w:val="0"/>
          <w:lang w:eastAsia="en-US"/>
        </w:rPr>
        <w:t>s</w:t>
      </w:r>
      <w:r>
        <w:rPr>
          <w:snapToGrid w:val="0"/>
          <w:lang w:eastAsia="en-US"/>
        </w:rPr>
        <w:t xml:space="preserve"> </w:t>
      </w:r>
      <w:r w:rsidR="00B773A1">
        <w:rPr>
          <w:snapToGrid w:val="0"/>
          <w:lang w:eastAsia="en-US"/>
        </w:rPr>
        <w:t xml:space="preserve">on </w:t>
      </w:r>
      <w:r>
        <w:rPr>
          <w:snapToGrid w:val="0"/>
          <w:lang w:eastAsia="en-US"/>
        </w:rPr>
        <w:t>equity of utilities</w:t>
      </w:r>
      <w:r w:rsidR="00691CF0">
        <w:rPr>
          <w:snapToGrid w:val="0"/>
          <w:lang w:eastAsia="en-US"/>
        </w:rPr>
        <w:t>?</w:t>
      </w:r>
    </w:p>
    <w:p w:rsidR="00691CF0" w:rsidRDefault="00454C26" w:rsidP="00454C26">
      <w:pPr>
        <w:pStyle w:val="answer"/>
        <w:rPr>
          <w:snapToGrid w:val="0"/>
          <w:lang w:eastAsia="en-US"/>
        </w:rPr>
      </w:pPr>
      <w:r w:rsidRPr="00596094">
        <w:rPr>
          <w:snapToGrid w:val="0"/>
          <w:lang w:eastAsia="en-US"/>
        </w:rPr>
        <w:t>A.</w:t>
      </w:r>
      <w:r w:rsidRPr="00596094">
        <w:rPr>
          <w:snapToGrid w:val="0"/>
          <w:lang w:eastAsia="en-US"/>
        </w:rPr>
        <w:tab/>
      </w:r>
      <w:r w:rsidR="00D84165">
        <w:rPr>
          <w:snapToGrid w:val="0"/>
          <w:lang w:eastAsia="en-US"/>
        </w:rPr>
        <w:t xml:space="preserve">In this rebuttal testimony, I address Mr. Gorman’s suggestion that </w:t>
      </w:r>
      <w:r w:rsidR="00691CF0">
        <w:rPr>
          <w:snapToGrid w:val="0"/>
          <w:lang w:eastAsia="en-US"/>
        </w:rPr>
        <w:t xml:space="preserve">a potential impact of decoupling mechanisms is to reduce utilities’ default risks.  In addition to this argument, the </w:t>
      </w:r>
      <w:r w:rsidR="00691CF0">
        <w:t xml:space="preserve">Prefiled Response Testimony of Michael P. Gorman, Exhibit No. ___(MPG-23T), makes various arguments regarding the potential impacts </w:t>
      </w:r>
      <w:r w:rsidR="00691CF0">
        <w:rPr>
          <w:snapToGrid w:val="0"/>
          <w:lang w:eastAsia="en-US"/>
        </w:rPr>
        <w:t xml:space="preserve">of decoupling mechanisms on returns of equity of utilities.  Please see the Prefiled Rebuttal Testimony of Dr. Michael J. Vilbert, Exhibit No. ___(MJV-23T), for PSE’s </w:t>
      </w:r>
      <w:r w:rsidR="00B773A1">
        <w:rPr>
          <w:snapToGrid w:val="0"/>
          <w:lang w:eastAsia="en-US"/>
        </w:rPr>
        <w:t xml:space="preserve">further </w:t>
      </w:r>
      <w:r w:rsidR="00691CF0">
        <w:rPr>
          <w:snapToGrid w:val="0"/>
          <w:lang w:eastAsia="en-US"/>
        </w:rPr>
        <w:t>response to Mr. Gorman’s arguments with respect to the impacts of decoupling.</w:t>
      </w:r>
    </w:p>
    <w:p w:rsidR="00691CF0" w:rsidRPr="00596094" w:rsidRDefault="00691CF0" w:rsidP="00691CF0">
      <w:pPr>
        <w:pStyle w:val="question"/>
        <w:keepNext/>
        <w:keepLines/>
        <w:spacing w:before="120"/>
        <w:rPr>
          <w:rFonts w:ascii="Times New Roman" w:hAnsi="Times New Roman"/>
        </w:rPr>
      </w:pPr>
      <w:r>
        <w:lastRenderedPageBreak/>
        <w:t>Q.</w:t>
      </w:r>
      <w:r w:rsidRPr="00596094">
        <w:rPr>
          <w:snapToGrid w:val="0"/>
          <w:lang w:eastAsia="en-US"/>
        </w:rPr>
        <w:tab/>
      </w:r>
      <w:r>
        <w:rPr>
          <w:snapToGrid w:val="0"/>
          <w:lang w:eastAsia="en-US"/>
        </w:rPr>
        <w:t>Please describe Mr. Gorman’s suggestion that a potential impact of decoupling mechanisms is to reduce utilities’ default risks.</w:t>
      </w:r>
    </w:p>
    <w:p w:rsidR="00691CF0" w:rsidRDefault="00691CF0" w:rsidP="00691CF0">
      <w:pPr>
        <w:pStyle w:val="answer"/>
        <w:keepNext/>
        <w:keepLines/>
        <w:rPr>
          <w:snapToGrid w:val="0"/>
          <w:lang w:eastAsia="en-US"/>
        </w:rPr>
      </w:pPr>
      <w:r w:rsidRPr="00596094">
        <w:rPr>
          <w:snapToGrid w:val="0"/>
          <w:lang w:eastAsia="en-US"/>
        </w:rPr>
        <w:t>A.</w:t>
      </w:r>
      <w:r w:rsidRPr="00596094">
        <w:rPr>
          <w:snapToGrid w:val="0"/>
          <w:lang w:eastAsia="en-US"/>
        </w:rPr>
        <w:tab/>
      </w:r>
      <w:r>
        <w:rPr>
          <w:snapToGrid w:val="0"/>
          <w:lang w:eastAsia="en-US"/>
        </w:rPr>
        <w:t>Mr. Gorman’s testimony suggests that he agrees with Dr. Vilbert that decoupling mechanisms reduce utilities’ default risks:</w:t>
      </w:r>
    </w:p>
    <w:p w:rsidR="00691CF0" w:rsidRDefault="00691CF0" w:rsidP="00691CF0">
      <w:pPr>
        <w:pStyle w:val="answer"/>
        <w:spacing w:after="280" w:line="240" w:lineRule="auto"/>
        <w:ind w:left="1440" w:right="720" w:firstLine="0"/>
        <w:jc w:val="both"/>
        <w:rPr>
          <w:snapToGrid w:val="0"/>
          <w:lang w:eastAsia="en-US"/>
        </w:rPr>
      </w:pPr>
      <w:r>
        <w:rPr>
          <w:snapToGrid w:val="0"/>
          <w:lang w:eastAsia="en-US"/>
        </w:rPr>
        <w:t xml:space="preserve">[Dr. Vilbert] </w:t>
      </w:r>
      <w:r w:rsidRPr="00691CF0">
        <w:rPr>
          <w:snapToGrid w:val="0"/>
          <w:lang w:eastAsia="en-US"/>
        </w:rPr>
        <w:t>finds that credit ratings represent the credit rating agency’s estimate of</w:t>
      </w:r>
      <w:r>
        <w:rPr>
          <w:snapToGrid w:val="0"/>
          <w:lang w:eastAsia="en-US"/>
        </w:rPr>
        <w:t xml:space="preserve"> </w:t>
      </w:r>
      <w:r w:rsidRPr="00691CF0">
        <w:rPr>
          <w:snapToGrid w:val="0"/>
          <w:lang w:eastAsia="en-US"/>
        </w:rPr>
        <w:t>the probability that an investor in a company’s debt will receive the promised interest</w:t>
      </w:r>
      <w:r>
        <w:rPr>
          <w:snapToGrid w:val="0"/>
          <w:lang w:eastAsia="en-US"/>
        </w:rPr>
        <w:t xml:space="preserve"> </w:t>
      </w:r>
      <w:r w:rsidRPr="00691CF0">
        <w:rPr>
          <w:snapToGrid w:val="0"/>
          <w:lang w:eastAsia="en-US"/>
        </w:rPr>
        <w:t xml:space="preserve">and principal payments. </w:t>
      </w:r>
      <w:r>
        <w:rPr>
          <w:snapToGrid w:val="0"/>
          <w:lang w:eastAsia="en-US"/>
        </w:rPr>
        <w:t xml:space="preserve"> </w:t>
      </w:r>
      <w:r w:rsidRPr="00691CF0">
        <w:rPr>
          <w:snapToGrid w:val="0"/>
          <w:lang w:eastAsia="en-US"/>
        </w:rPr>
        <w:t>He believes that debt holders benefit from decoupling and</w:t>
      </w:r>
      <w:r>
        <w:rPr>
          <w:snapToGrid w:val="0"/>
          <w:lang w:eastAsia="en-US"/>
        </w:rPr>
        <w:t xml:space="preserve"> </w:t>
      </w:r>
      <w:r w:rsidRPr="00691CF0">
        <w:rPr>
          <w:snapToGrid w:val="0"/>
          <w:lang w:eastAsia="en-US"/>
        </w:rPr>
        <w:t>other such regulatory mechanisms because the volatility of a utility’s revenues is</w:t>
      </w:r>
      <w:r>
        <w:rPr>
          <w:snapToGrid w:val="0"/>
          <w:lang w:eastAsia="en-US"/>
        </w:rPr>
        <w:t xml:space="preserve"> </w:t>
      </w:r>
      <w:r w:rsidRPr="00691CF0">
        <w:rPr>
          <w:snapToGrid w:val="0"/>
          <w:lang w:eastAsia="en-US"/>
        </w:rPr>
        <w:t>decreased, which reduces the probability of default.</w:t>
      </w:r>
    </w:p>
    <w:p w:rsidR="00691CF0" w:rsidRDefault="00691CF0" w:rsidP="00691CF0">
      <w:pPr>
        <w:pStyle w:val="answer"/>
        <w:spacing w:after="280" w:line="240" w:lineRule="auto"/>
        <w:ind w:left="1440" w:right="720" w:firstLine="0"/>
        <w:jc w:val="both"/>
        <w:rPr>
          <w:snapToGrid w:val="0"/>
          <w:lang w:eastAsia="en-US"/>
        </w:rPr>
      </w:pPr>
      <w:r w:rsidRPr="00691CF0">
        <w:rPr>
          <w:snapToGrid w:val="0"/>
          <w:lang w:eastAsia="en-US"/>
        </w:rPr>
        <w:t>This is clearly the case for PSE.</w:t>
      </w:r>
      <w:r>
        <w:rPr>
          <w:rStyle w:val="FootnoteReference"/>
          <w:snapToGrid w:val="0"/>
          <w:lang w:eastAsia="en-US"/>
        </w:rPr>
        <w:footnoteReference w:id="19"/>
      </w:r>
    </w:p>
    <w:p w:rsidR="004146C6" w:rsidRDefault="004146C6" w:rsidP="004146C6">
      <w:pPr>
        <w:pStyle w:val="answer"/>
        <w:keepNext/>
        <w:keepLines/>
        <w:ind w:firstLine="0"/>
        <w:rPr>
          <w:snapToGrid w:val="0"/>
          <w:lang w:eastAsia="en-US"/>
        </w:rPr>
      </w:pPr>
      <w:r>
        <w:rPr>
          <w:snapToGrid w:val="0"/>
          <w:lang w:eastAsia="en-US"/>
        </w:rPr>
        <w:t>As suggested in Mr. Gorman’s testimony, there is no disagreement between Dr. Vilbert and Mr. Gorman with respect to this position.  Indeed, Dr. Vilbert’s direct testimony states as follows:</w:t>
      </w:r>
    </w:p>
    <w:p w:rsidR="00454C26" w:rsidRDefault="004146C6" w:rsidP="004146C6">
      <w:pPr>
        <w:pStyle w:val="answer"/>
        <w:spacing w:after="280" w:line="240" w:lineRule="auto"/>
        <w:ind w:left="1440" w:right="720" w:firstLine="0"/>
        <w:jc w:val="both"/>
        <w:rPr>
          <w:snapToGrid w:val="0"/>
          <w:lang w:eastAsia="en-US"/>
        </w:rPr>
      </w:pPr>
      <w:r w:rsidRPr="004146C6">
        <w:rPr>
          <w:snapToGrid w:val="0"/>
          <w:lang w:eastAsia="en-US"/>
        </w:rPr>
        <w:t>Credit ratings represent the credit rating agencies’ estimation of the probability</w:t>
      </w:r>
      <w:r>
        <w:rPr>
          <w:snapToGrid w:val="0"/>
          <w:lang w:eastAsia="en-US"/>
        </w:rPr>
        <w:t xml:space="preserve"> </w:t>
      </w:r>
      <w:r w:rsidRPr="004146C6">
        <w:rPr>
          <w:snapToGrid w:val="0"/>
          <w:lang w:eastAsia="en-US"/>
        </w:rPr>
        <w:t>that an investor in a company’s debt will receive the promised interest and</w:t>
      </w:r>
      <w:r>
        <w:rPr>
          <w:snapToGrid w:val="0"/>
          <w:lang w:eastAsia="en-US"/>
        </w:rPr>
        <w:t xml:space="preserve"> </w:t>
      </w:r>
      <w:r w:rsidRPr="004146C6">
        <w:rPr>
          <w:snapToGrid w:val="0"/>
          <w:lang w:eastAsia="en-US"/>
        </w:rPr>
        <w:t xml:space="preserve">principal payments. </w:t>
      </w:r>
      <w:r>
        <w:rPr>
          <w:snapToGrid w:val="0"/>
          <w:lang w:eastAsia="en-US"/>
        </w:rPr>
        <w:t xml:space="preserve"> </w:t>
      </w:r>
      <w:r w:rsidRPr="004146C6">
        <w:rPr>
          <w:snapToGrid w:val="0"/>
          <w:lang w:eastAsia="en-US"/>
        </w:rPr>
        <w:t>In other words, the credit rating represents a measure of the</w:t>
      </w:r>
      <w:r>
        <w:rPr>
          <w:snapToGrid w:val="0"/>
          <w:lang w:eastAsia="en-US"/>
        </w:rPr>
        <w:t xml:space="preserve"> </w:t>
      </w:r>
      <w:r w:rsidRPr="004146C6">
        <w:rPr>
          <w:snapToGrid w:val="0"/>
          <w:lang w:eastAsia="en-US"/>
        </w:rPr>
        <w:t xml:space="preserve">likelihood that the company will not default. </w:t>
      </w:r>
      <w:r>
        <w:rPr>
          <w:snapToGrid w:val="0"/>
          <w:lang w:eastAsia="en-US"/>
        </w:rPr>
        <w:t xml:space="preserve"> </w:t>
      </w:r>
      <w:r w:rsidRPr="004146C6">
        <w:rPr>
          <w:snapToGrid w:val="0"/>
          <w:lang w:eastAsia="en-US"/>
        </w:rPr>
        <w:t>Debt holders clearly benefit from</w:t>
      </w:r>
      <w:r>
        <w:rPr>
          <w:snapToGrid w:val="0"/>
          <w:lang w:eastAsia="en-US"/>
        </w:rPr>
        <w:t xml:space="preserve"> </w:t>
      </w:r>
      <w:r w:rsidRPr="004146C6">
        <w:rPr>
          <w:snapToGrid w:val="0"/>
          <w:lang w:eastAsia="en-US"/>
        </w:rPr>
        <w:t>decoupling and other such measures because the volatility of a company’s</w:t>
      </w:r>
      <w:r>
        <w:rPr>
          <w:snapToGrid w:val="0"/>
          <w:lang w:eastAsia="en-US"/>
        </w:rPr>
        <w:t xml:space="preserve"> </w:t>
      </w:r>
      <w:r w:rsidRPr="004146C6">
        <w:rPr>
          <w:snapToGrid w:val="0"/>
          <w:lang w:eastAsia="en-US"/>
        </w:rPr>
        <w:t>revenues is decreased which reduces the probably of default.</w:t>
      </w:r>
      <w:r>
        <w:rPr>
          <w:rStyle w:val="FootnoteReference"/>
          <w:snapToGrid w:val="0"/>
          <w:lang w:eastAsia="en-US"/>
        </w:rPr>
        <w:footnoteReference w:id="20"/>
      </w:r>
    </w:p>
    <w:p w:rsidR="004146C6" w:rsidRPr="00596094" w:rsidRDefault="004146C6" w:rsidP="004146C6">
      <w:pPr>
        <w:pStyle w:val="question"/>
        <w:keepNext/>
        <w:keepLines/>
        <w:spacing w:before="120"/>
        <w:rPr>
          <w:rFonts w:ascii="Times New Roman" w:hAnsi="Times New Roman"/>
        </w:rPr>
      </w:pPr>
      <w:r>
        <w:t>Q.</w:t>
      </w:r>
      <w:r w:rsidRPr="00596094">
        <w:rPr>
          <w:snapToGrid w:val="0"/>
          <w:lang w:eastAsia="en-US"/>
        </w:rPr>
        <w:tab/>
      </w:r>
      <w:r>
        <w:rPr>
          <w:snapToGrid w:val="0"/>
          <w:lang w:eastAsia="en-US"/>
        </w:rPr>
        <w:t>How does PSE respond to this line of argument?</w:t>
      </w:r>
    </w:p>
    <w:p w:rsidR="00454C26" w:rsidRDefault="004146C6" w:rsidP="00454C26">
      <w:pPr>
        <w:pStyle w:val="answer"/>
        <w:rPr>
          <w:snapToGrid w:val="0"/>
          <w:lang w:eastAsia="en-US"/>
        </w:rPr>
      </w:pPr>
      <w:r>
        <w:rPr>
          <w:snapToGrid w:val="0"/>
          <w:lang w:eastAsia="en-US"/>
        </w:rPr>
        <w:t>A.</w:t>
      </w:r>
      <w:r>
        <w:rPr>
          <w:snapToGrid w:val="0"/>
          <w:lang w:eastAsia="en-US"/>
        </w:rPr>
        <w:tab/>
        <w:t xml:space="preserve">PSE has no reason to disagree with either Mr. Gorman or Dr. Vilbert in their shared opinions that decoupling mechanisms reduce utilities’ default risks.  If and to the extent that this reduction in risk to debt holders results in a lower cost of </w:t>
      </w:r>
      <w:r>
        <w:rPr>
          <w:snapToGrid w:val="0"/>
          <w:lang w:eastAsia="en-US"/>
        </w:rPr>
        <w:lastRenderedPageBreak/>
        <w:t>debt to utilities, PSE note</w:t>
      </w:r>
      <w:r w:rsidR="00527AE1">
        <w:rPr>
          <w:snapToGrid w:val="0"/>
          <w:lang w:eastAsia="en-US"/>
        </w:rPr>
        <w:t>s</w:t>
      </w:r>
      <w:r>
        <w:rPr>
          <w:snapToGrid w:val="0"/>
          <w:lang w:eastAsia="en-US"/>
        </w:rPr>
        <w:t xml:space="preserve"> that these cost reductions are not immediate</w:t>
      </w:r>
      <w:r w:rsidR="00527AE1">
        <w:rPr>
          <w:snapToGrid w:val="0"/>
          <w:lang w:eastAsia="en-US"/>
        </w:rPr>
        <w:t xml:space="preserve"> but are instead reflected in the costs of future debt issuances</w:t>
      </w:r>
      <w:r>
        <w:rPr>
          <w:snapToGrid w:val="0"/>
          <w:lang w:eastAsia="en-US"/>
        </w:rPr>
        <w:t xml:space="preserve">.  </w:t>
      </w:r>
      <w:r w:rsidR="00527AE1">
        <w:rPr>
          <w:snapToGrid w:val="0"/>
          <w:lang w:eastAsia="en-US"/>
        </w:rPr>
        <w:t xml:space="preserve">For example, </w:t>
      </w:r>
      <w:r>
        <w:rPr>
          <w:snapToGrid w:val="0"/>
          <w:lang w:eastAsia="en-US"/>
        </w:rPr>
        <w:t xml:space="preserve">PSE’s debt </w:t>
      </w:r>
      <w:r w:rsidR="00527AE1">
        <w:rPr>
          <w:snapToGrid w:val="0"/>
          <w:lang w:eastAsia="en-US"/>
        </w:rPr>
        <w:t>costs have not changed due to the adoption of the decoupling mechanism because PSE has not issued additional debt or refinanced existing debt since adoption of the decoupling mechanism.  If the decoupling mechanisms were to reduce the costs of PSE’s debt, those reduced costs will be reflected in those issues, and PSE’s customers will benefit from these reduced debt costs over time.  In this regard, it would be premature for the Commission to reduce PSE’s existing cost of capital to reflect any potential reduction in risk to PSE’</w:t>
      </w:r>
      <w:r w:rsidR="00C7121B">
        <w:rPr>
          <w:snapToGrid w:val="0"/>
          <w:lang w:eastAsia="en-US"/>
        </w:rPr>
        <w:t>s debt holders.</w:t>
      </w:r>
    </w:p>
    <w:p w:rsidR="002C087C" w:rsidRPr="00023562" w:rsidRDefault="00023562" w:rsidP="00023562">
      <w:pPr>
        <w:pStyle w:val="Heading1"/>
        <w:spacing w:after="360" w:line="240" w:lineRule="auto"/>
        <w:rPr>
          <w:rFonts w:ascii="Times New Roman" w:eastAsia="SimSun" w:hAnsi="Times New Roman"/>
        </w:rPr>
      </w:pPr>
      <w:bookmarkStart w:id="10" w:name="_Toc406747305"/>
      <w:r>
        <w:t>V</w:t>
      </w:r>
      <w:r w:rsidRPr="00515380">
        <w:t>.</w:t>
      </w:r>
      <w:r w:rsidRPr="00515380">
        <w:tab/>
      </w:r>
      <w:r>
        <w:rPr>
          <w:snapToGrid w:val="0"/>
          <w:lang w:eastAsia="en-US"/>
        </w:rPr>
        <w:t xml:space="preserve">RESPONSE TO THE PREFILED DIRECT TESTIMONY OF </w:t>
      </w:r>
      <w:r>
        <w:t>THOMAS E. </w:t>
      </w:r>
      <w:r w:rsidR="00D2286D">
        <w:rPr>
          <w:snapToGrid w:val="0"/>
          <w:lang w:eastAsia="en-US"/>
        </w:rPr>
        <w:t>SCHOOLEY</w:t>
      </w:r>
      <w:bookmarkEnd w:id="10"/>
    </w:p>
    <w:p w:rsidR="00DE4CB8" w:rsidRPr="00596094" w:rsidRDefault="007D3C38" w:rsidP="00DE4CB8">
      <w:pPr>
        <w:pStyle w:val="question"/>
        <w:keepNext/>
        <w:keepLines/>
        <w:spacing w:before="120"/>
        <w:rPr>
          <w:rFonts w:ascii="Times New Roman" w:hAnsi="Times New Roman"/>
        </w:rPr>
      </w:pPr>
      <w:r>
        <w:t>Q.</w:t>
      </w:r>
      <w:r w:rsidR="00DE4CB8" w:rsidRPr="00596094">
        <w:rPr>
          <w:snapToGrid w:val="0"/>
          <w:lang w:eastAsia="en-US"/>
        </w:rPr>
        <w:tab/>
        <w:t xml:space="preserve">Do you equate the opportunity to earn an allowed return with a guarantee that rates will not be challenged when earnings are greater than </w:t>
      </w:r>
      <w:r w:rsidR="001F7C7E">
        <w:rPr>
          <w:rFonts w:eastAsia="SimSun"/>
        </w:rPr>
        <w:t>allowed</w:t>
      </w:r>
      <w:r w:rsidR="00DE4CB8" w:rsidRPr="00596094">
        <w:rPr>
          <w:snapToGrid w:val="0"/>
          <w:lang w:eastAsia="en-US"/>
        </w:rPr>
        <w:t xml:space="preserve"> as </w:t>
      </w:r>
      <w:r w:rsidR="00B16E3D">
        <w:rPr>
          <w:snapToGrid w:val="0"/>
          <w:lang w:eastAsia="en-US"/>
        </w:rPr>
        <w:t xml:space="preserve">suggested by </w:t>
      </w:r>
      <w:r w:rsidR="00DE4CB8" w:rsidRPr="00596094">
        <w:rPr>
          <w:snapToGrid w:val="0"/>
          <w:lang w:eastAsia="en-US"/>
        </w:rPr>
        <w:t>Mr.</w:t>
      </w:r>
      <w:r w:rsidR="00B16E3D">
        <w:rPr>
          <w:snapToGrid w:val="0"/>
          <w:lang w:eastAsia="en-US"/>
        </w:rPr>
        <w:t> </w:t>
      </w:r>
      <w:r w:rsidR="00DE4CB8" w:rsidRPr="00596094">
        <w:rPr>
          <w:snapToGrid w:val="0"/>
          <w:lang w:eastAsia="en-US"/>
        </w:rPr>
        <w:t>Schooley?</w:t>
      </w:r>
      <w:r w:rsidR="00B16E3D">
        <w:rPr>
          <w:rStyle w:val="FootnoteReference"/>
          <w:snapToGrid w:val="0"/>
          <w:lang w:eastAsia="en-US"/>
        </w:rPr>
        <w:footnoteReference w:id="21"/>
      </w:r>
    </w:p>
    <w:p w:rsidR="00DE4CB8" w:rsidRDefault="00DE4CB8" w:rsidP="00DE4CB8">
      <w:pPr>
        <w:pStyle w:val="answer"/>
        <w:rPr>
          <w:snapToGrid w:val="0"/>
          <w:lang w:eastAsia="en-US"/>
        </w:rPr>
      </w:pPr>
      <w:r w:rsidRPr="00596094">
        <w:rPr>
          <w:snapToGrid w:val="0"/>
          <w:lang w:eastAsia="en-US"/>
        </w:rPr>
        <w:t>A.</w:t>
      </w:r>
      <w:r w:rsidRPr="00596094">
        <w:rPr>
          <w:snapToGrid w:val="0"/>
          <w:lang w:eastAsia="en-US"/>
        </w:rPr>
        <w:tab/>
        <w:t>No</w:t>
      </w:r>
      <w:r w:rsidR="00D27B35">
        <w:rPr>
          <w:snapToGrid w:val="0"/>
          <w:lang w:eastAsia="en-US"/>
        </w:rPr>
        <w:t xml:space="preserve">, my </w:t>
      </w:r>
      <w:r w:rsidR="00B16E3D">
        <w:rPr>
          <w:snapToGrid w:val="0"/>
          <w:lang w:eastAsia="en-US"/>
        </w:rPr>
        <w:t xml:space="preserve">prefiled direct </w:t>
      </w:r>
      <w:r w:rsidR="00D27B35">
        <w:rPr>
          <w:snapToGrid w:val="0"/>
          <w:lang w:eastAsia="en-US"/>
        </w:rPr>
        <w:t>testimony makes no such inference</w:t>
      </w:r>
      <w:r w:rsidR="00B16E3D">
        <w:rPr>
          <w:snapToGrid w:val="0"/>
          <w:lang w:eastAsia="en-US"/>
        </w:rPr>
        <w:t xml:space="preserve"> that </w:t>
      </w:r>
      <w:r w:rsidR="00B16E3D" w:rsidRPr="00596094">
        <w:rPr>
          <w:snapToGrid w:val="0"/>
          <w:lang w:eastAsia="en-US"/>
        </w:rPr>
        <w:t xml:space="preserve">the opportunity to earn an allowed return with a guarantee that rates will not be challenged when earnings are greater than </w:t>
      </w:r>
      <w:r w:rsidR="001F7C7E">
        <w:rPr>
          <w:rFonts w:eastAsia="SimSun"/>
        </w:rPr>
        <w:t>allowed</w:t>
      </w:r>
      <w:r w:rsidRPr="00596094">
        <w:rPr>
          <w:snapToGrid w:val="0"/>
          <w:lang w:eastAsia="en-US"/>
        </w:rPr>
        <w:t xml:space="preserve">.  My </w:t>
      </w:r>
      <w:r w:rsidR="00B16E3D">
        <w:rPr>
          <w:snapToGrid w:val="0"/>
          <w:lang w:eastAsia="en-US"/>
        </w:rPr>
        <w:t xml:space="preserve">prefiled direct </w:t>
      </w:r>
      <w:r w:rsidR="00D27B35">
        <w:rPr>
          <w:snapToGrid w:val="0"/>
          <w:lang w:eastAsia="en-US"/>
        </w:rPr>
        <w:t xml:space="preserve">simply </w:t>
      </w:r>
      <w:r w:rsidRPr="00596094">
        <w:rPr>
          <w:snapToGrid w:val="0"/>
          <w:lang w:eastAsia="en-US"/>
        </w:rPr>
        <w:t>demonstrates that an earnings sharing mecha</w:t>
      </w:r>
      <w:r w:rsidR="00B16E3D">
        <w:rPr>
          <w:snapToGrid w:val="0"/>
          <w:lang w:eastAsia="en-US"/>
        </w:rPr>
        <w:t xml:space="preserve">nism without a dead band above </w:t>
      </w:r>
      <w:r w:rsidRPr="00596094">
        <w:rPr>
          <w:snapToGrid w:val="0"/>
          <w:lang w:eastAsia="en-US"/>
        </w:rPr>
        <w:t xml:space="preserve">the </w:t>
      </w:r>
      <w:r w:rsidR="001F7C7E">
        <w:rPr>
          <w:rFonts w:eastAsia="SimSun"/>
        </w:rPr>
        <w:t>allowed</w:t>
      </w:r>
      <w:r w:rsidRPr="00596094">
        <w:rPr>
          <w:snapToGrid w:val="0"/>
          <w:lang w:eastAsia="en-US"/>
        </w:rPr>
        <w:t xml:space="preserve"> rate of return changes the earnings distribution profile related to return on equity to the negative and</w:t>
      </w:r>
      <w:r w:rsidR="00B16E3D">
        <w:rPr>
          <w:snapToGrid w:val="0"/>
          <w:lang w:eastAsia="en-US"/>
        </w:rPr>
        <w:t xml:space="preserve">, </w:t>
      </w:r>
      <w:r w:rsidRPr="00596094">
        <w:rPr>
          <w:snapToGrid w:val="0"/>
          <w:lang w:eastAsia="en-US"/>
        </w:rPr>
        <w:t>all else being equal</w:t>
      </w:r>
      <w:r w:rsidR="00B16E3D">
        <w:rPr>
          <w:snapToGrid w:val="0"/>
          <w:lang w:eastAsia="en-US"/>
        </w:rPr>
        <w:t xml:space="preserve">, </w:t>
      </w:r>
      <w:r w:rsidRPr="00596094">
        <w:rPr>
          <w:snapToGrid w:val="0"/>
          <w:lang w:eastAsia="en-US"/>
        </w:rPr>
        <w:t xml:space="preserve">changes the traditional balance that </w:t>
      </w:r>
      <w:r w:rsidR="00D27B35">
        <w:rPr>
          <w:snapToGrid w:val="0"/>
          <w:lang w:eastAsia="en-US"/>
        </w:rPr>
        <w:t xml:space="preserve">underlies a utility’s opportunity to earn its allowed </w:t>
      </w:r>
      <w:r w:rsidR="00B16E3D">
        <w:rPr>
          <w:snapToGrid w:val="0"/>
          <w:lang w:eastAsia="en-US"/>
        </w:rPr>
        <w:t>return on equity</w:t>
      </w:r>
      <w:r w:rsidR="00D27B35">
        <w:rPr>
          <w:snapToGrid w:val="0"/>
          <w:lang w:eastAsia="en-US"/>
        </w:rPr>
        <w:t xml:space="preserve">.  </w:t>
      </w:r>
      <w:r w:rsidR="00B16E3D">
        <w:rPr>
          <w:snapToGrid w:val="0"/>
          <w:lang w:eastAsia="en-US"/>
        </w:rPr>
        <w:t>In other words</w:t>
      </w:r>
      <w:r w:rsidR="00D27B35">
        <w:rPr>
          <w:snapToGrid w:val="0"/>
          <w:lang w:eastAsia="en-US"/>
        </w:rPr>
        <w:t xml:space="preserve">, </w:t>
      </w:r>
      <w:r w:rsidR="00B16E3D">
        <w:rPr>
          <w:snapToGrid w:val="0"/>
          <w:lang w:eastAsia="en-US"/>
        </w:rPr>
        <w:t xml:space="preserve">a </w:t>
      </w:r>
      <w:r w:rsidR="00D27B35">
        <w:rPr>
          <w:snapToGrid w:val="0"/>
          <w:lang w:eastAsia="en-US"/>
        </w:rPr>
        <w:t xml:space="preserve">utility will </w:t>
      </w:r>
      <w:r w:rsidR="00B16E3D">
        <w:rPr>
          <w:snapToGrid w:val="0"/>
          <w:lang w:eastAsia="en-US"/>
        </w:rPr>
        <w:lastRenderedPageBreak/>
        <w:t xml:space="preserve">sometimes </w:t>
      </w:r>
      <w:r w:rsidR="00D27B35">
        <w:rPr>
          <w:snapToGrid w:val="0"/>
          <w:lang w:eastAsia="en-US"/>
        </w:rPr>
        <w:t>under</w:t>
      </w:r>
      <w:r w:rsidR="00B16E3D">
        <w:rPr>
          <w:snapToGrid w:val="0"/>
          <w:lang w:eastAsia="en-US"/>
        </w:rPr>
        <w:t>-earn</w:t>
      </w:r>
      <w:r w:rsidR="00D27B35">
        <w:rPr>
          <w:snapToGrid w:val="0"/>
          <w:lang w:eastAsia="en-US"/>
        </w:rPr>
        <w:t xml:space="preserve"> and </w:t>
      </w:r>
      <w:r w:rsidR="00B16E3D">
        <w:rPr>
          <w:snapToGrid w:val="0"/>
          <w:lang w:eastAsia="en-US"/>
        </w:rPr>
        <w:t xml:space="preserve">will </w:t>
      </w:r>
      <w:r w:rsidR="00D27B35">
        <w:rPr>
          <w:snapToGrid w:val="0"/>
          <w:lang w:eastAsia="en-US"/>
        </w:rPr>
        <w:t xml:space="preserve">sometimes </w:t>
      </w:r>
      <w:r w:rsidR="00B16E3D">
        <w:rPr>
          <w:snapToGrid w:val="0"/>
          <w:lang w:eastAsia="en-US"/>
        </w:rPr>
        <w:t xml:space="preserve">over-earn its allowed return on equity.  On balance, however, the </w:t>
      </w:r>
      <w:r w:rsidR="00D27B35">
        <w:rPr>
          <w:snapToGrid w:val="0"/>
          <w:lang w:eastAsia="en-US"/>
        </w:rPr>
        <w:t xml:space="preserve">opportunity </w:t>
      </w:r>
      <w:r w:rsidR="00B16E3D">
        <w:rPr>
          <w:snapToGrid w:val="0"/>
          <w:lang w:eastAsia="en-US"/>
        </w:rPr>
        <w:t xml:space="preserve">of the utility </w:t>
      </w:r>
      <w:r w:rsidR="00D27B35">
        <w:rPr>
          <w:snapToGrid w:val="0"/>
          <w:lang w:eastAsia="en-US"/>
        </w:rPr>
        <w:t xml:space="preserve">to earn its allowed </w:t>
      </w:r>
      <w:r w:rsidR="00B16E3D">
        <w:rPr>
          <w:snapToGrid w:val="0"/>
          <w:lang w:eastAsia="en-US"/>
        </w:rPr>
        <w:t xml:space="preserve">return on equity would be </w:t>
      </w:r>
      <w:r w:rsidR="00D27B35">
        <w:rPr>
          <w:snapToGrid w:val="0"/>
          <w:lang w:eastAsia="en-US"/>
        </w:rPr>
        <w:t xml:space="preserve">preserved.  </w:t>
      </w:r>
      <w:r w:rsidR="00CD3659">
        <w:rPr>
          <w:snapToGrid w:val="0"/>
          <w:lang w:eastAsia="en-US"/>
        </w:rPr>
        <w:t xml:space="preserve">The earnings sharing mechanism clearly alters this balance. </w:t>
      </w:r>
      <w:r w:rsidR="00B16E3D">
        <w:rPr>
          <w:snapToGrid w:val="0"/>
          <w:lang w:eastAsia="en-US"/>
        </w:rPr>
        <w:t xml:space="preserve"> Please see Part III.B. of this prefiled rebuttal testimony for further discussion of this topic.</w:t>
      </w:r>
    </w:p>
    <w:p w:rsidR="00892431" w:rsidRPr="007D3C38" w:rsidRDefault="007D3C38" w:rsidP="00892431">
      <w:pPr>
        <w:pStyle w:val="question"/>
        <w:keepNext/>
        <w:keepLines/>
        <w:spacing w:before="120"/>
        <w:rPr>
          <w:rFonts w:ascii="Times New Roman" w:hAnsi="Times New Roman"/>
        </w:rPr>
      </w:pPr>
      <w:r>
        <w:t>Q.</w:t>
      </w:r>
      <w:r w:rsidR="00892431">
        <w:tab/>
        <w:t>What is your response to Mr.</w:t>
      </w:r>
      <w:r w:rsidR="00B16E3D">
        <w:t> </w:t>
      </w:r>
      <w:r w:rsidR="00892431">
        <w:t>Schooley’s testimony on earnings sharing?</w:t>
      </w:r>
    </w:p>
    <w:p w:rsidR="003435F0" w:rsidRDefault="00892431" w:rsidP="00892431">
      <w:pPr>
        <w:pStyle w:val="answer"/>
      </w:pPr>
      <w:r w:rsidRPr="003209C3">
        <w:t>A.</w:t>
      </w:r>
      <w:r w:rsidRPr="003209C3">
        <w:tab/>
        <w:t>I agree that the Commission Basis Report is a measure of a utility’s rate of return and return on equity under</w:t>
      </w:r>
      <w:r w:rsidR="00E62D99">
        <w:t xml:space="preserve"> adjusted or </w:t>
      </w:r>
      <w:r w:rsidRPr="003209C3">
        <w:t xml:space="preserve">normal conditions and is filed pursuant to the requirements of WAC 480-100-257 and WAC 480-90-257.  </w:t>
      </w:r>
      <w:r w:rsidR="00BF61EB">
        <w:t xml:space="preserve">In effect, the </w:t>
      </w:r>
      <w:r w:rsidR="003435F0" w:rsidRPr="003209C3">
        <w:t xml:space="preserve">Commission Basis Report </w:t>
      </w:r>
      <w:r w:rsidR="003435F0">
        <w:t xml:space="preserve">rate of return and return on equity </w:t>
      </w:r>
      <w:r w:rsidR="00E62D99">
        <w:t xml:space="preserve">reflect what a utility would have earned </w:t>
      </w:r>
      <w:r w:rsidR="00BF61EB">
        <w:t xml:space="preserve"> if its actual results were </w:t>
      </w:r>
      <w:r w:rsidR="00BF61EB" w:rsidRPr="003435F0">
        <w:rPr>
          <w:i/>
        </w:rPr>
        <w:t>adjusted or normalized</w:t>
      </w:r>
      <w:r w:rsidR="003435F0">
        <w:t>—</w:t>
      </w:r>
      <w:r w:rsidR="00BF61EB">
        <w:t xml:space="preserve">just as test year actual results are </w:t>
      </w:r>
      <w:r w:rsidR="00BF61EB" w:rsidRPr="003435F0">
        <w:rPr>
          <w:i/>
        </w:rPr>
        <w:t>adjusted or normalized</w:t>
      </w:r>
      <w:r w:rsidR="00BF61EB">
        <w:t xml:space="preserve"> in a general rate case proceeding.</w:t>
      </w:r>
    </w:p>
    <w:p w:rsidR="003435F0" w:rsidRDefault="00BF61EB" w:rsidP="003435F0">
      <w:pPr>
        <w:pStyle w:val="answer"/>
        <w:ind w:firstLine="0"/>
      </w:pPr>
      <w:r>
        <w:t xml:space="preserve">My analysis relates to </w:t>
      </w:r>
      <w:r w:rsidRPr="003435F0">
        <w:rPr>
          <w:i/>
        </w:rPr>
        <w:t>actual</w:t>
      </w:r>
      <w:r>
        <w:t xml:space="preserve"> results after incorporating </w:t>
      </w:r>
      <w:r w:rsidR="00E7147C">
        <w:t xml:space="preserve">hypothetical </w:t>
      </w:r>
      <w:r>
        <w:t>earnings sharing</w:t>
      </w:r>
      <w:r w:rsidR="00E62D99">
        <w:t xml:space="preserve"> that would be identified in a </w:t>
      </w:r>
      <w:r w:rsidR="003435F0" w:rsidRPr="003209C3">
        <w:t>Commission Basis Report</w:t>
      </w:r>
      <w:r w:rsidR="00E62D99">
        <w:t xml:space="preserve">. </w:t>
      </w:r>
      <w:r w:rsidR="003435F0">
        <w:t xml:space="preserve"> </w:t>
      </w:r>
      <w:r w:rsidR="00E62D99">
        <w:t xml:space="preserve">This is an important distinction because investors measure risk and its impact on cost of capital on actual results not adjusted or normalized </w:t>
      </w:r>
      <w:r w:rsidR="003435F0" w:rsidRPr="003209C3">
        <w:t>Commission Basis Report</w:t>
      </w:r>
      <w:r w:rsidR="003435F0">
        <w:t xml:space="preserve"> results. </w:t>
      </w:r>
      <w:r w:rsidR="00E7147C">
        <w:t xml:space="preserve"> </w:t>
      </w:r>
      <w:r w:rsidR="003435F0">
        <w:t>T</w:t>
      </w:r>
      <w:r w:rsidR="00892431" w:rsidRPr="003209C3">
        <w:t xml:space="preserve">he </w:t>
      </w:r>
      <w:r w:rsidR="00E62D99">
        <w:t>analysis</w:t>
      </w:r>
      <w:r w:rsidR="00892431" w:rsidRPr="003209C3">
        <w:t xml:space="preserve"> is useful to inform the decision around where to set a utility’s </w:t>
      </w:r>
      <w:r w:rsidR="001F7C7E">
        <w:rPr>
          <w:rFonts w:eastAsia="SimSun"/>
        </w:rPr>
        <w:t>allowed</w:t>
      </w:r>
      <w:r w:rsidR="00892431" w:rsidRPr="003209C3">
        <w:t xml:space="preserve"> </w:t>
      </w:r>
      <w:r w:rsidR="003435F0">
        <w:t>return on equity because I focus on actual results.</w:t>
      </w:r>
    </w:p>
    <w:p w:rsidR="00892431" w:rsidRPr="003209C3" w:rsidRDefault="00892431" w:rsidP="003435F0">
      <w:pPr>
        <w:pStyle w:val="answer"/>
        <w:ind w:firstLine="0"/>
        <w:rPr>
          <w:snapToGrid w:val="0"/>
          <w:lang w:eastAsia="en-US"/>
        </w:rPr>
      </w:pPr>
      <w:r w:rsidRPr="003209C3">
        <w:t xml:space="preserve">My </w:t>
      </w:r>
      <w:r w:rsidR="003435F0">
        <w:t xml:space="preserve">prefiled direct </w:t>
      </w:r>
      <w:r w:rsidRPr="003209C3">
        <w:t xml:space="preserve">testimony demonstrated that when an earnings sharing mechanism, with or without a dead band, is introduced it changes a utility’s </w:t>
      </w:r>
      <w:r w:rsidR="00E62D99">
        <w:t xml:space="preserve">actual </w:t>
      </w:r>
      <w:r w:rsidRPr="003209C3">
        <w:lastRenderedPageBreak/>
        <w:t xml:space="preserve">earnings profile and results in downward pressure on </w:t>
      </w:r>
      <w:r w:rsidR="003435F0">
        <w:t>return on equity</w:t>
      </w:r>
      <w:r w:rsidRPr="003209C3">
        <w:t>.</w:t>
      </w:r>
      <w:r w:rsidR="003435F0">
        <w:rPr>
          <w:rStyle w:val="FootnoteReference"/>
          <w:snapToGrid w:val="0"/>
          <w:lang w:eastAsia="en-US"/>
        </w:rPr>
        <w:footnoteReference w:id="22"/>
      </w:r>
      <w:r w:rsidRPr="003209C3">
        <w:t xml:space="preserve">  </w:t>
      </w:r>
      <w:r w:rsidR="00E62D99">
        <w:t xml:space="preserve">It is appropriate to consider this </w:t>
      </w:r>
      <w:r w:rsidRPr="003209C3">
        <w:t xml:space="preserve">when establishing the appropriate </w:t>
      </w:r>
      <w:r w:rsidR="003435F0">
        <w:t>allowed return on equity</w:t>
      </w:r>
      <w:r w:rsidRPr="003209C3">
        <w:t>.</w:t>
      </w:r>
    </w:p>
    <w:p w:rsidR="00DE4CB8" w:rsidRPr="00596094" w:rsidRDefault="007D3C38" w:rsidP="00DE4CB8">
      <w:pPr>
        <w:pStyle w:val="question"/>
        <w:keepNext/>
        <w:keepLines/>
        <w:spacing w:before="120"/>
        <w:rPr>
          <w:rFonts w:ascii="Times New Roman" w:hAnsi="Times New Roman"/>
        </w:rPr>
      </w:pPr>
      <w:r>
        <w:t>Q.</w:t>
      </w:r>
      <w:r>
        <w:tab/>
      </w:r>
      <w:r w:rsidR="00DE4CB8" w:rsidRPr="00596094">
        <w:rPr>
          <w:snapToGrid w:val="0"/>
          <w:lang w:eastAsia="en-US"/>
        </w:rPr>
        <w:t>How do you interpret Mr.</w:t>
      </w:r>
      <w:r w:rsidR="00221EEB">
        <w:rPr>
          <w:snapToGrid w:val="0"/>
          <w:lang w:eastAsia="en-US"/>
        </w:rPr>
        <w:t> </w:t>
      </w:r>
      <w:r w:rsidR="00DE4CB8" w:rsidRPr="00596094">
        <w:rPr>
          <w:snapToGrid w:val="0"/>
          <w:lang w:eastAsia="en-US"/>
        </w:rPr>
        <w:t>Schooley’s testimony regarding the actual returns calculated in a Commission Basis Report?</w:t>
      </w:r>
    </w:p>
    <w:p w:rsidR="00DE4CB8" w:rsidRPr="00596094" w:rsidRDefault="00DE4CB8" w:rsidP="00DE4CB8">
      <w:pPr>
        <w:pStyle w:val="answer"/>
        <w:rPr>
          <w:snapToGrid w:val="0"/>
          <w:lang w:eastAsia="en-US"/>
        </w:rPr>
      </w:pPr>
      <w:r w:rsidRPr="00596094">
        <w:rPr>
          <w:snapToGrid w:val="0"/>
          <w:lang w:eastAsia="en-US"/>
        </w:rPr>
        <w:t>A.</w:t>
      </w:r>
      <w:r w:rsidRPr="00596094">
        <w:rPr>
          <w:snapToGrid w:val="0"/>
          <w:lang w:eastAsia="en-US"/>
        </w:rPr>
        <w:tab/>
        <w:t>Mr.</w:t>
      </w:r>
      <w:r w:rsidR="00221EEB">
        <w:rPr>
          <w:snapToGrid w:val="0"/>
          <w:lang w:eastAsia="en-US"/>
        </w:rPr>
        <w:t> </w:t>
      </w:r>
      <w:r w:rsidRPr="00596094">
        <w:rPr>
          <w:snapToGrid w:val="0"/>
          <w:lang w:eastAsia="en-US"/>
        </w:rPr>
        <w:t xml:space="preserve">Schooley </w:t>
      </w:r>
      <w:r>
        <w:rPr>
          <w:snapToGrid w:val="0"/>
          <w:lang w:eastAsia="en-US"/>
        </w:rPr>
        <w:t>appears to be suggesting</w:t>
      </w:r>
      <w:r w:rsidRPr="00596094">
        <w:rPr>
          <w:snapToGrid w:val="0"/>
          <w:lang w:eastAsia="en-US"/>
        </w:rPr>
        <w:t xml:space="preserve"> that, if the same </w:t>
      </w:r>
      <w:r w:rsidR="00221EEB">
        <w:rPr>
          <w:snapToGrid w:val="0"/>
          <w:lang w:eastAsia="en-US"/>
        </w:rPr>
        <w:t xml:space="preserve">allowed </w:t>
      </w:r>
      <w:r w:rsidRPr="00596094">
        <w:rPr>
          <w:snapToGrid w:val="0"/>
          <w:lang w:eastAsia="en-US"/>
        </w:rPr>
        <w:t xml:space="preserve">rate of return and return on equity are in effect through the entire </w:t>
      </w:r>
      <w:r w:rsidR="00221EEB" w:rsidRPr="00596094">
        <w:rPr>
          <w:snapToGrid w:val="0"/>
          <w:lang w:eastAsia="en-US"/>
        </w:rPr>
        <w:t xml:space="preserve">Commission Basis Report </w:t>
      </w:r>
      <w:r w:rsidRPr="00596094">
        <w:rPr>
          <w:snapToGrid w:val="0"/>
          <w:lang w:eastAsia="en-US"/>
        </w:rPr>
        <w:t xml:space="preserve">period and most importantly, a utility is experiencing zero attrition, then the rate of return and return on equity reported in the </w:t>
      </w:r>
      <w:r w:rsidR="00221EEB" w:rsidRPr="00596094">
        <w:rPr>
          <w:snapToGrid w:val="0"/>
          <w:lang w:eastAsia="en-US"/>
        </w:rPr>
        <w:t xml:space="preserve">Commission Basis Report </w:t>
      </w:r>
      <w:r w:rsidRPr="00596094">
        <w:rPr>
          <w:snapToGrid w:val="0"/>
          <w:lang w:eastAsia="en-US"/>
        </w:rPr>
        <w:t xml:space="preserve">will equal its </w:t>
      </w:r>
      <w:r w:rsidR="001F7C7E">
        <w:rPr>
          <w:rFonts w:eastAsia="SimSun"/>
        </w:rPr>
        <w:t>allowed</w:t>
      </w:r>
      <w:r w:rsidRPr="00596094">
        <w:rPr>
          <w:snapToGrid w:val="0"/>
          <w:lang w:eastAsia="en-US"/>
        </w:rPr>
        <w:t xml:space="preserve"> returns.</w:t>
      </w:r>
      <w:r w:rsidR="00221EEB">
        <w:rPr>
          <w:rStyle w:val="FootnoteReference"/>
          <w:snapToGrid w:val="0"/>
          <w:lang w:eastAsia="en-US"/>
        </w:rPr>
        <w:footnoteReference w:id="23"/>
      </w:r>
    </w:p>
    <w:p w:rsidR="00DE4CB8" w:rsidRPr="00596094" w:rsidRDefault="007D3C38" w:rsidP="00DE4CB8">
      <w:pPr>
        <w:pStyle w:val="question"/>
        <w:keepNext/>
        <w:keepLines/>
        <w:spacing w:before="120"/>
        <w:rPr>
          <w:rFonts w:ascii="Times New Roman" w:hAnsi="Times New Roman"/>
        </w:rPr>
      </w:pPr>
      <w:r>
        <w:t>Q.</w:t>
      </w:r>
      <w:r w:rsidR="00DE4CB8" w:rsidRPr="00596094">
        <w:rPr>
          <w:snapToGrid w:val="0"/>
          <w:lang w:eastAsia="en-US"/>
        </w:rPr>
        <w:tab/>
        <w:t>Do you agree with this theory?</w:t>
      </w:r>
    </w:p>
    <w:p w:rsidR="00DE4CB8" w:rsidRPr="00596094" w:rsidRDefault="00DE4CB8" w:rsidP="00DE4CB8">
      <w:pPr>
        <w:pStyle w:val="answer"/>
        <w:rPr>
          <w:snapToGrid w:val="0"/>
          <w:lang w:eastAsia="en-US"/>
        </w:rPr>
      </w:pPr>
      <w:r w:rsidRPr="00596094">
        <w:rPr>
          <w:snapToGrid w:val="0"/>
          <w:lang w:eastAsia="en-US"/>
        </w:rPr>
        <w:t>A.</w:t>
      </w:r>
      <w:r w:rsidRPr="00596094">
        <w:rPr>
          <w:snapToGrid w:val="0"/>
          <w:lang w:eastAsia="en-US"/>
        </w:rPr>
        <w:tab/>
        <w:t>No</w:t>
      </w:r>
      <w:r w:rsidR="00E62D99">
        <w:rPr>
          <w:snapToGrid w:val="0"/>
          <w:lang w:eastAsia="en-US"/>
        </w:rPr>
        <w:t>t completely</w:t>
      </w:r>
      <w:r w:rsidRPr="00596094">
        <w:rPr>
          <w:snapToGrid w:val="0"/>
          <w:lang w:eastAsia="en-US"/>
        </w:rPr>
        <w:t xml:space="preserve">.  </w:t>
      </w:r>
      <w:r w:rsidR="00221EEB">
        <w:rPr>
          <w:snapToGrid w:val="0"/>
          <w:lang w:eastAsia="en-US"/>
        </w:rPr>
        <w:t>W</w:t>
      </w:r>
      <w:r w:rsidRPr="00596094">
        <w:rPr>
          <w:snapToGrid w:val="0"/>
          <w:lang w:eastAsia="en-US"/>
        </w:rPr>
        <w:t>eather and hydro conditions are normalized and material out-of-period, non</w:t>
      </w:r>
      <w:r>
        <w:rPr>
          <w:snapToGrid w:val="0"/>
          <w:lang w:eastAsia="en-US"/>
        </w:rPr>
        <w:t>-</w:t>
      </w:r>
      <w:r w:rsidRPr="00596094">
        <w:rPr>
          <w:snapToGrid w:val="0"/>
          <w:lang w:eastAsia="en-US"/>
        </w:rPr>
        <w:t>operating, non</w:t>
      </w:r>
      <w:r>
        <w:rPr>
          <w:snapToGrid w:val="0"/>
          <w:lang w:eastAsia="en-US"/>
        </w:rPr>
        <w:t>-</w:t>
      </w:r>
      <w:r w:rsidRPr="00596094">
        <w:rPr>
          <w:snapToGrid w:val="0"/>
          <w:lang w:eastAsia="en-US"/>
        </w:rPr>
        <w:t xml:space="preserve">recurring and extraordinary items are removed in a </w:t>
      </w:r>
      <w:r w:rsidR="00221EEB">
        <w:rPr>
          <w:snapToGrid w:val="0"/>
          <w:lang w:eastAsia="en-US"/>
        </w:rPr>
        <w:t xml:space="preserve">Commission Basis Report.  Nonetheless, </w:t>
      </w:r>
      <w:r w:rsidR="008B2F3B">
        <w:rPr>
          <w:snapToGrid w:val="0"/>
          <w:lang w:eastAsia="en-US"/>
        </w:rPr>
        <w:t xml:space="preserve">it is simply impractical to assume that all costs can or will be normalized in a </w:t>
      </w:r>
      <w:r w:rsidR="00221EEB">
        <w:rPr>
          <w:snapToGrid w:val="0"/>
          <w:lang w:eastAsia="en-US"/>
        </w:rPr>
        <w:t>Commission Basis Report</w:t>
      </w:r>
      <w:r w:rsidR="009E67AF">
        <w:rPr>
          <w:snapToGrid w:val="0"/>
          <w:lang w:eastAsia="en-US"/>
        </w:rPr>
        <w:t xml:space="preserve">.  Indeed, there </w:t>
      </w:r>
      <w:r w:rsidRPr="00596094">
        <w:rPr>
          <w:snapToGrid w:val="0"/>
          <w:lang w:eastAsia="en-US"/>
        </w:rPr>
        <w:t xml:space="preserve">are other factors not adjusted in a </w:t>
      </w:r>
      <w:r w:rsidR="00221EEB">
        <w:rPr>
          <w:snapToGrid w:val="0"/>
          <w:lang w:eastAsia="en-US"/>
        </w:rPr>
        <w:t>Commission Basis Report</w:t>
      </w:r>
      <w:r w:rsidR="00221EEB" w:rsidRPr="00596094">
        <w:rPr>
          <w:snapToGrid w:val="0"/>
          <w:lang w:eastAsia="en-US"/>
        </w:rPr>
        <w:t xml:space="preserve"> </w:t>
      </w:r>
      <w:r w:rsidRPr="00596094">
        <w:rPr>
          <w:snapToGrid w:val="0"/>
          <w:lang w:eastAsia="en-US"/>
        </w:rPr>
        <w:t>that could result in a utility not rea</w:t>
      </w:r>
      <w:r w:rsidR="009E67AF">
        <w:rPr>
          <w:snapToGrid w:val="0"/>
          <w:lang w:eastAsia="en-US"/>
        </w:rPr>
        <w:t xml:space="preserve">lizing its </w:t>
      </w:r>
      <w:r w:rsidR="001F7C7E">
        <w:rPr>
          <w:rFonts w:eastAsia="SimSun"/>
        </w:rPr>
        <w:t>allowed</w:t>
      </w:r>
      <w:r w:rsidR="009E67AF">
        <w:rPr>
          <w:snapToGrid w:val="0"/>
          <w:lang w:eastAsia="en-US"/>
        </w:rPr>
        <w:t xml:space="preserve"> returns.</w:t>
      </w:r>
    </w:p>
    <w:p w:rsidR="00DE4CB8" w:rsidRPr="00596094" w:rsidRDefault="00DE4CB8" w:rsidP="00DE4CB8">
      <w:pPr>
        <w:pStyle w:val="question"/>
        <w:keepNext/>
        <w:keepLines/>
        <w:spacing w:before="120"/>
        <w:rPr>
          <w:rFonts w:ascii="Times New Roman" w:hAnsi="Times New Roman"/>
        </w:rPr>
      </w:pPr>
      <w:r w:rsidRPr="00596094">
        <w:rPr>
          <w:snapToGrid w:val="0"/>
          <w:lang w:eastAsia="en-US"/>
        </w:rPr>
        <w:t>Q.</w:t>
      </w:r>
      <w:r w:rsidRPr="00596094">
        <w:rPr>
          <w:snapToGrid w:val="0"/>
          <w:lang w:eastAsia="en-US"/>
        </w:rPr>
        <w:tab/>
        <w:t>Please elaborate.</w:t>
      </w:r>
    </w:p>
    <w:p w:rsidR="009E67AF" w:rsidRDefault="00DE4CB8" w:rsidP="00DE4CB8">
      <w:pPr>
        <w:pStyle w:val="answer"/>
        <w:rPr>
          <w:snapToGrid w:val="0"/>
          <w:lang w:eastAsia="en-US"/>
        </w:rPr>
      </w:pPr>
      <w:r w:rsidRPr="00596094">
        <w:rPr>
          <w:snapToGrid w:val="0"/>
          <w:lang w:eastAsia="en-US"/>
        </w:rPr>
        <w:t>A.</w:t>
      </w:r>
      <w:r w:rsidRPr="00596094">
        <w:rPr>
          <w:snapToGrid w:val="0"/>
          <w:lang w:eastAsia="en-US"/>
        </w:rPr>
        <w:tab/>
        <w:t>For instance, PSE has a PCA</w:t>
      </w:r>
      <w:r w:rsidR="009E67AF">
        <w:rPr>
          <w:snapToGrid w:val="0"/>
          <w:lang w:eastAsia="en-US"/>
        </w:rPr>
        <w:t xml:space="preserve"> </w:t>
      </w:r>
      <w:r w:rsidRPr="00596094">
        <w:rPr>
          <w:snapToGrid w:val="0"/>
          <w:lang w:eastAsia="en-US"/>
        </w:rPr>
        <w:t xml:space="preserve">mechanism </w:t>
      </w:r>
      <w:r w:rsidR="009E67AF">
        <w:rPr>
          <w:snapToGrid w:val="0"/>
          <w:lang w:eastAsia="en-US"/>
        </w:rPr>
        <w:t xml:space="preserve">that </w:t>
      </w:r>
      <w:r w:rsidRPr="00596094">
        <w:rPr>
          <w:snapToGrid w:val="0"/>
          <w:lang w:eastAsia="en-US"/>
        </w:rPr>
        <w:t>contains a dead band and sharing bands (“bands”), wherein</w:t>
      </w:r>
      <w:r w:rsidR="009E67AF">
        <w:rPr>
          <w:snapToGrid w:val="0"/>
          <w:lang w:eastAsia="en-US"/>
        </w:rPr>
        <w:t xml:space="preserve"> </w:t>
      </w:r>
      <w:r>
        <w:rPr>
          <w:snapToGrid w:val="0"/>
          <w:lang w:eastAsia="en-US"/>
        </w:rPr>
        <w:t xml:space="preserve">PSE </w:t>
      </w:r>
      <w:r w:rsidRPr="00596094">
        <w:rPr>
          <w:snapToGrid w:val="0"/>
          <w:lang w:eastAsia="en-US"/>
        </w:rPr>
        <w:t xml:space="preserve">absorbs and then shares power and production cost </w:t>
      </w:r>
      <w:r w:rsidRPr="00596094">
        <w:rPr>
          <w:snapToGrid w:val="0"/>
          <w:lang w:eastAsia="en-US"/>
        </w:rPr>
        <w:lastRenderedPageBreak/>
        <w:t xml:space="preserve">over or under recoveries on a graduated basis.  The effect of the PCA bands is that PSE does not fully defer variations between rates and actual costs of power </w:t>
      </w:r>
      <w:r w:rsidR="008D2D99">
        <w:rPr>
          <w:snapToGrid w:val="0"/>
          <w:lang w:eastAsia="en-US"/>
        </w:rPr>
        <w:t>as</w:t>
      </w:r>
      <w:r w:rsidR="008D2D99" w:rsidRPr="00596094">
        <w:rPr>
          <w:snapToGrid w:val="0"/>
          <w:lang w:eastAsia="en-US"/>
        </w:rPr>
        <w:t xml:space="preserve"> </w:t>
      </w:r>
      <w:r w:rsidRPr="00596094">
        <w:rPr>
          <w:snapToGrid w:val="0"/>
          <w:lang w:eastAsia="en-US"/>
        </w:rPr>
        <w:t xml:space="preserve">is done in its Purchase Gas Adjustment </w:t>
      </w:r>
      <w:r w:rsidR="009E67AF">
        <w:rPr>
          <w:snapToGrid w:val="0"/>
          <w:lang w:eastAsia="en-US"/>
        </w:rPr>
        <w:t xml:space="preserve">(PGA) </w:t>
      </w:r>
      <w:r w:rsidRPr="00596094">
        <w:rPr>
          <w:snapToGrid w:val="0"/>
          <w:lang w:eastAsia="en-US"/>
        </w:rPr>
        <w:t xml:space="preserve">mechanism.  The effects of the PCA bands do not get normalized in </w:t>
      </w:r>
      <w:r w:rsidR="009E67AF">
        <w:rPr>
          <w:snapToGrid w:val="0"/>
          <w:lang w:eastAsia="en-US"/>
        </w:rPr>
        <w:t xml:space="preserve">Commission Basis Reports </w:t>
      </w:r>
      <w:r w:rsidRPr="00596094">
        <w:rPr>
          <w:snapToGrid w:val="0"/>
          <w:lang w:eastAsia="en-US"/>
        </w:rPr>
        <w:t xml:space="preserve">and provide an example of how the returns reported on a </w:t>
      </w:r>
      <w:r w:rsidR="009E67AF">
        <w:rPr>
          <w:snapToGrid w:val="0"/>
          <w:lang w:eastAsia="en-US"/>
        </w:rPr>
        <w:t>Commission Basis Reports</w:t>
      </w:r>
      <w:r w:rsidR="009E67AF" w:rsidRPr="00596094">
        <w:rPr>
          <w:snapToGrid w:val="0"/>
          <w:lang w:eastAsia="en-US"/>
        </w:rPr>
        <w:t xml:space="preserve"> </w:t>
      </w:r>
      <w:r w:rsidRPr="00596094">
        <w:rPr>
          <w:snapToGrid w:val="0"/>
          <w:lang w:eastAsia="en-US"/>
        </w:rPr>
        <w:t>for a utility experiencing the conditions that Mr.</w:t>
      </w:r>
      <w:r w:rsidR="009E67AF">
        <w:rPr>
          <w:snapToGrid w:val="0"/>
          <w:lang w:eastAsia="en-US"/>
        </w:rPr>
        <w:t> </w:t>
      </w:r>
      <w:r w:rsidRPr="00596094">
        <w:rPr>
          <w:snapToGrid w:val="0"/>
          <w:lang w:eastAsia="en-US"/>
        </w:rPr>
        <w:t xml:space="preserve">Schooley appears to presume in his example (i.e. same </w:t>
      </w:r>
      <w:r w:rsidR="001F7C7E">
        <w:rPr>
          <w:rFonts w:eastAsia="SimSun"/>
        </w:rPr>
        <w:t>allowed</w:t>
      </w:r>
      <w:r w:rsidRPr="00596094">
        <w:rPr>
          <w:snapToGrid w:val="0"/>
          <w:lang w:eastAsia="en-US"/>
        </w:rPr>
        <w:t xml:space="preserve"> returns and no attrition) may not equal its </w:t>
      </w:r>
      <w:r w:rsidR="001F7C7E">
        <w:rPr>
          <w:rFonts w:eastAsia="SimSun"/>
        </w:rPr>
        <w:t>allowed</w:t>
      </w:r>
      <w:r w:rsidRPr="00596094">
        <w:rPr>
          <w:snapToGrid w:val="0"/>
          <w:lang w:eastAsia="en-US"/>
        </w:rPr>
        <w:t xml:space="preserve"> returns.  </w:t>
      </w:r>
    </w:p>
    <w:p w:rsidR="00DE4CB8" w:rsidRPr="00596094" w:rsidRDefault="00DE4CB8" w:rsidP="009E67AF">
      <w:pPr>
        <w:pStyle w:val="answer"/>
        <w:ind w:firstLine="0"/>
        <w:rPr>
          <w:snapToGrid w:val="0"/>
          <w:lang w:eastAsia="en-US"/>
        </w:rPr>
      </w:pPr>
      <w:r w:rsidRPr="00596094">
        <w:rPr>
          <w:snapToGrid w:val="0"/>
          <w:lang w:eastAsia="en-US"/>
        </w:rPr>
        <w:t>In fact, the impact of PSE’s PCA bands and the impacts of power cost variations can be an increase or a decrease to its returns, which is relevant to the example I provided in my prefiled direct testimony, Exhibit No.</w:t>
      </w:r>
      <w:r w:rsidR="009E67AF">
        <w:rPr>
          <w:snapToGrid w:val="0"/>
          <w:lang w:eastAsia="en-US"/>
        </w:rPr>
        <w:t> </w:t>
      </w:r>
      <w:r w:rsidRPr="00596094">
        <w:rPr>
          <w:snapToGrid w:val="0"/>
          <w:lang w:eastAsia="en-US"/>
        </w:rPr>
        <w:t>___(DAD-4T)</w:t>
      </w:r>
      <w:r w:rsidR="00F240EA">
        <w:rPr>
          <w:snapToGrid w:val="0"/>
          <w:lang w:eastAsia="en-US"/>
        </w:rPr>
        <w:t xml:space="preserve">. </w:t>
      </w:r>
      <w:r w:rsidRPr="00596094">
        <w:rPr>
          <w:snapToGrid w:val="0"/>
          <w:lang w:eastAsia="en-US"/>
        </w:rPr>
        <w:t xml:space="preserve"> </w:t>
      </w:r>
      <w:r w:rsidR="00F240EA">
        <w:rPr>
          <w:snapToGrid w:val="0"/>
          <w:lang w:eastAsia="en-US"/>
        </w:rPr>
        <w:t>O</w:t>
      </w:r>
      <w:r w:rsidRPr="00596094">
        <w:rPr>
          <w:snapToGrid w:val="0"/>
          <w:lang w:eastAsia="en-US"/>
        </w:rPr>
        <w:t>n average</w:t>
      </w:r>
      <w:r w:rsidR="00C04D9C">
        <w:rPr>
          <w:snapToGrid w:val="0"/>
          <w:lang w:eastAsia="en-US"/>
        </w:rPr>
        <w:t>,</w:t>
      </w:r>
      <w:r w:rsidRPr="00596094">
        <w:rPr>
          <w:snapToGrid w:val="0"/>
          <w:lang w:eastAsia="en-US"/>
        </w:rPr>
        <w:t xml:space="preserve"> over multiple years with the same returns in effect, it would be expected that some years </w:t>
      </w:r>
      <w:r w:rsidR="00C04D9C">
        <w:rPr>
          <w:snapToGrid w:val="0"/>
          <w:lang w:eastAsia="en-US"/>
        </w:rPr>
        <w:t xml:space="preserve">PSE </w:t>
      </w:r>
      <w:r w:rsidRPr="00596094">
        <w:rPr>
          <w:snapToGrid w:val="0"/>
          <w:lang w:eastAsia="en-US"/>
        </w:rPr>
        <w:t xml:space="preserve">may over-earn and some years </w:t>
      </w:r>
      <w:r w:rsidR="00C04D9C">
        <w:rPr>
          <w:snapToGrid w:val="0"/>
          <w:lang w:eastAsia="en-US"/>
        </w:rPr>
        <w:t xml:space="preserve">PSE </w:t>
      </w:r>
      <w:r w:rsidRPr="00596094">
        <w:rPr>
          <w:snapToGrid w:val="0"/>
          <w:lang w:eastAsia="en-US"/>
        </w:rPr>
        <w:t>may under-earn</w:t>
      </w:r>
      <w:r w:rsidR="009E67AF">
        <w:rPr>
          <w:snapToGrid w:val="0"/>
          <w:lang w:eastAsia="en-US"/>
        </w:rPr>
        <w:t xml:space="preserve"> it</w:t>
      </w:r>
      <w:r w:rsidR="00127727">
        <w:rPr>
          <w:snapToGrid w:val="0"/>
          <w:lang w:eastAsia="en-US"/>
        </w:rPr>
        <w:t>s</w:t>
      </w:r>
      <w:r w:rsidR="009E67AF">
        <w:rPr>
          <w:snapToGrid w:val="0"/>
          <w:lang w:eastAsia="en-US"/>
        </w:rPr>
        <w:t xml:space="preserve"> allowed return</w:t>
      </w:r>
      <w:r w:rsidRPr="00596094">
        <w:rPr>
          <w:snapToGrid w:val="0"/>
          <w:lang w:eastAsia="en-US"/>
        </w:rPr>
        <w:t xml:space="preserve">, but on average, the </w:t>
      </w:r>
      <w:r w:rsidR="00C04D9C">
        <w:rPr>
          <w:snapToGrid w:val="0"/>
          <w:lang w:eastAsia="en-US"/>
        </w:rPr>
        <w:t xml:space="preserve">actual </w:t>
      </w:r>
      <w:r w:rsidRPr="00596094">
        <w:rPr>
          <w:snapToGrid w:val="0"/>
          <w:lang w:eastAsia="en-US"/>
        </w:rPr>
        <w:t xml:space="preserve">returns would be expected to approximate </w:t>
      </w:r>
      <w:r w:rsidR="009E67AF">
        <w:rPr>
          <w:snapToGrid w:val="0"/>
          <w:lang w:eastAsia="en-US"/>
        </w:rPr>
        <w:t xml:space="preserve">PSE’s allowed </w:t>
      </w:r>
      <w:r w:rsidR="00C04D9C">
        <w:rPr>
          <w:snapToGrid w:val="0"/>
          <w:lang w:eastAsia="en-US"/>
        </w:rPr>
        <w:t>return</w:t>
      </w:r>
      <w:r w:rsidR="009E67AF">
        <w:rPr>
          <w:snapToGrid w:val="0"/>
          <w:lang w:eastAsia="en-US"/>
        </w:rPr>
        <w:t>s</w:t>
      </w:r>
      <w:r w:rsidRPr="00596094">
        <w:rPr>
          <w:snapToGrid w:val="0"/>
          <w:lang w:eastAsia="en-US"/>
        </w:rPr>
        <w:t>.</w:t>
      </w:r>
    </w:p>
    <w:p w:rsidR="00DE4CB8" w:rsidRPr="00596094" w:rsidRDefault="00DE4CB8" w:rsidP="00DE4CB8">
      <w:pPr>
        <w:pStyle w:val="question"/>
        <w:keepNext/>
        <w:keepLines/>
        <w:spacing w:before="120"/>
        <w:rPr>
          <w:rFonts w:ascii="Times New Roman" w:hAnsi="Times New Roman"/>
        </w:rPr>
      </w:pPr>
      <w:r w:rsidRPr="00596094">
        <w:rPr>
          <w:snapToGrid w:val="0"/>
          <w:lang w:eastAsia="en-US"/>
        </w:rPr>
        <w:t>Q.</w:t>
      </w:r>
      <w:r w:rsidRPr="00596094">
        <w:rPr>
          <w:snapToGrid w:val="0"/>
          <w:lang w:eastAsia="en-US"/>
        </w:rPr>
        <w:tab/>
        <w:t xml:space="preserve">Have you prepared an exhibit that demonstrates the downward pressure on </w:t>
      </w:r>
      <w:r w:rsidR="009E67AF">
        <w:rPr>
          <w:snapToGrid w:val="0"/>
          <w:lang w:eastAsia="en-US"/>
        </w:rPr>
        <w:t xml:space="preserve">return on equity </w:t>
      </w:r>
      <w:r w:rsidRPr="00596094">
        <w:rPr>
          <w:snapToGrid w:val="0"/>
          <w:lang w:eastAsia="en-US"/>
        </w:rPr>
        <w:t>of an earnings sharing mechanism?</w:t>
      </w:r>
    </w:p>
    <w:p w:rsidR="00DE4CB8" w:rsidRPr="00596094" w:rsidRDefault="00DE4CB8" w:rsidP="00DE4CB8">
      <w:pPr>
        <w:pStyle w:val="answer"/>
        <w:rPr>
          <w:snapToGrid w:val="0"/>
          <w:lang w:eastAsia="en-US"/>
        </w:rPr>
      </w:pPr>
      <w:r w:rsidRPr="00596094">
        <w:rPr>
          <w:snapToGrid w:val="0"/>
          <w:lang w:eastAsia="en-US"/>
        </w:rPr>
        <w:t>A.</w:t>
      </w:r>
      <w:r w:rsidRPr="00596094">
        <w:rPr>
          <w:snapToGrid w:val="0"/>
          <w:lang w:eastAsia="en-US"/>
        </w:rPr>
        <w:tab/>
        <w:t xml:space="preserve">Yes.  </w:t>
      </w:r>
      <w:r w:rsidR="009E67AF">
        <w:rPr>
          <w:snapToGrid w:val="0"/>
          <w:lang w:eastAsia="en-US"/>
        </w:rPr>
        <w:t xml:space="preserve">Please see Exhibit No. ___(DAD-12) for </w:t>
      </w:r>
      <w:r w:rsidRPr="00596094">
        <w:rPr>
          <w:snapToGrid w:val="0"/>
          <w:lang w:eastAsia="en-US"/>
        </w:rPr>
        <w:t xml:space="preserve">a simplified example of the impacts on </w:t>
      </w:r>
      <w:r w:rsidR="009E67AF">
        <w:rPr>
          <w:snapToGrid w:val="0"/>
          <w:lang w:eastAsia="en-US"/>
        </w:rPr>
        <w:t xml:space="preserve">return on equity </w:t>
      </w:r>
      <w:r w:rsidRPr="00596094">
        <w:rPr>
          <w:snapToGrid w:val="0"/>
          <w:lang w:eastAsia="en-US"/>
        </w:rPr>
        <w:t>of PSE’s current earnings sharin</w:t>
      </w:r>
      <w:r w:rsidR="009E67AF">
        <w:rPr>
          <w:snapToGrid w:val="0"/>
          <w:lang w:eastAsia="en-US"/>
        </w:rPr>
        <w:t>g mechanism with no dead band.</w:t>
      </w:r>
    </w:p>
    <w:p w:rsidR="00DE4CB8" w:rsidRPr="00596094" w:rsidRDefault="009E67AF" w:rsidP="009E67AF">
      <w:pPr>
        <w:pStyle w:val="answer"/>
        <w:ind w:firstLine="0"/>
        <w:rPr>
          <w:snapToGrid w:val="0"/>
          <w:lang w:eastAsia="en-US"/>
        </w:rPr>
      </w:pPr>
      <w:r>
        <w:rPr>
          <w:snapToGrid w:val="0"/>
          <w:lang w:eastAsia="en-US"/>
        </w:rPr>
        <w:t xml:space="preserve">Exhibit No. ___(DAD-12) begins with PSE’s </w:t>
      </w:r>
      <w:r w:rsidR="00DE4CB8" w:rsidRPr="00596094">
        <w:rPr>
          <w:snapToGrid w:val="0"/>
          <w:lang w:eastAsia="en-US"/>
        </w:rPr>
        <w:t>electric results of operations reported in Docket No.</w:t>
      </w:r>
      <w:r>
        <w:rPr>
          <w:snapToGrid w:val="0"/>
          <w:lang w:eastAsia="en-US"/>
        </w:rPr>
        <w:t> </w:t>
      </w:r>
      <w:r w:rsidR="00DE4CB8" w:rsidRPr="00596094">
        <w:rPr>
          <w:snapToGrid w:val="0"/>
          <w:lang w:eastAsia="en-US"/>
        </w:rPr>
        <w:t>UE-140536 for the twelve months ended December</w:t>
      </w:r>
      <w:r>
        <w:rPr>
          <w:snapToGrid w:val="0"/>
          <w:lang w:eastAsia="en-US"/>
        </w:rPr>
        <w:t> </w:t>
      </w:r>
      <w:r w:rsidR="00DE4CB8" w:rsidRPr="00596094">
        <w:rPr>
          <w:snapToGrid w:val="0"/>
          <w:lang w:eastAsia="en-US"/>
        </w:rPr>
        <w:t xml:space="preserve">31, 2013.  </w:t>
      </w:r>
      <w:r>
        <w:rPr>
          <w:snapToGrid w:val="0"/>
          <w:lang w:eastAsia="en-US"/>
        </w:rPr>
        <w:t xml:space="preserve">As seen on </w:t>
      </w:r>
      <w:r w:rsidR="00DE4CB8" w:rsidRPr="00596094">
        <w:rPr>
          <w:snapToGrid w:val="0"/>
          <w:lang w:eastAsia="en-US"/>
        </w:rPr>
        <w:t xml:space="preserve">rows 15 and 28, PSE was under its </w:t>
      </w:r>
      <w:r>
        <w:rPr>
          <w:snapToGrid w:val="0"/>
          <w:lang w:eastAsia="en-US"/>
        </w:rPr>
        <w:t xml:space="preserve">allowed </w:t>
      </w:r>
      <w:r w:rsidR="00DE4CB8" w:rsidRPr="00596094">
        <w:rPr>
          <w:snapToGrid w:val="0"/>
          <w:lang w:eastAsia="en-US"/>
        </w:rPr>
        <w:t xml:space="preserve">returns by </w:t>
      </w:r>
      <w:r>
        <w:rPr>
          <w:snapToGrid w:val="0"/>
          <w:lang w:eastAsia="en-US"/>
        </w:rPr>
        <w:t>0</w:t>
      </w:r>
      <w:r w:rsidR="00DE4CB8" w:rsidRPr="00596094">
        <w:rPr>
          <w:snapToGrid w:val="0"/>
          <w:lang w:eastAsia="en-US"/>
        </w:rPr>
        <w:t xml:space="preserve">.21% for rate of return and </w:t>
      </w:r>
      <w:r>
        <w:rPr>
          <w:snapToGrid w:val="0"/>
          <w:lang w:eastAsia="en-US"/>
        </w:rPr>
        <w:t>0</w:t>
      </w:r>
      <w:r w:rsidR="00DE4CB8" w:rsidRPr="00596094">
        <w:rPr>
          <w:snapToGrid w:val="0"/>
          <w:lang w:eastAsia="en-US"/>
        </w:rPr>
        <w:t xml:space="preserve">.74% for </w:t>
      </w:r>
      <w:r>
        <w:rPr>
          <w:snapToGrid w:val="0"/>
          <w:lang w:eastAsia="en-US"/>
        </w:rPr>
        <w:t>return on equity</w:t>
      </w:r>
      <w:r w:rsidR="00DE4CB8" w:rsidRPr="00596094">
        <w:rPr>
          <w:snapToGrid w:val="0"/>
          <w:lang w:eastAsia="en-US"/>
        </w:rPr>
        <w:t xml:space="preserve">.  Columns (B) and (C) </w:t>
      </w:r>
      <w:r w:rsidR="00DE4CB8" w:rsidRPr="00596094">
        <w:rPr>
          <w:snapToGrid w:val="0"/>
          <w:lang w:eastAsia="en-US"/>
        </w:rPr>
        <w:lastRenderedPageBreak/>
        <w:t xml:space="preserve">demonstrate that, even if </w:t>
      </w:r>
      <w:r>
        <w:rPr>
          <w:snapToGrid w:val="0"/>
          <w:lang w:eastAsia="en-US"/>
        </w:rPr>
        <w:t xml:space="preserve">PSE </w:t>
      </w:r>
      <w:r w:rsidR="00DE4CB8" w:rsidRPr="00596094">
        <w:rPr>
          <w:snapToGrid w:val="0"/>
          <w:lang w:eastAsia="en-US"/>
        </w:rPr>
        <w:t xml:space="preserve">had enough additional net operating income to achieve its </w:t>
      </w:r>
      <w:r w:rsidR="001F7C7E">
        <w:rPr>
          <w:rFonts w:eastAsia="SimSun"/>
        </w:rPr>
        <w:t>allowed</w:t>
      </w:r>
      <w:r w:rsidR="00DE4CB8" w:rsidRPr="00596094">
        <w:rPr>
          <w:snapToGrid w:val="0"/>
          <w:lang w:eastAsia="en-US"/>
        </w:rPr>
        <w:t xml:space="preserve"> rate of return, it would still be under</w:t>
      </w:r>
      <w:r>
        <w:rPr>
          <w:snapToGrid w:val="0"/>
          <w:lang w:eastAsia="en-US"/>
        </w:rPr>
        <w:t>-</w:t>
      </w:r>
      <w:r w:rsidR="00DE4CB8" w:rsidRPr="00596094">
        <w:rPr>
          <w:snapToGrid w:val="0"/>
          <w:lang w:eastAsia="en-US"/>
        </w:rPr>
        <w:t xml:space="preserve">earning its </w:t>
      </w:r>
      <w:r>
        <w:rPr>
          <w:snapToGrid w:val="0"/>
          <w:lang w:eastAsia="en-US"/>
        </w:rPr>
        <w:t>allowed return on equity by 0.30%.</w:t>
      </w:r>
    </w:p>
    <w:p w:rsidR="00DE4CB8" w:rsidRPr="00596094" w:rsidRDefault="00DE4CB8" w:rsidP="00DE4CB8">
      <w:pPr>
        <w:pStyle w:val="question"/>
        <w:keepNext/>
        <w:keepLines/>
        <w:spacing w:before="120"/>
        <w:rPr>
          <w:rFonts w:ascii="Times New Roman" w:hAnsi="Times New Roman"/>
        </w:rPr>
      </w:pPr>
      <w:r w:rsidRPr="00596094">
        <w:rPr>
          <w:snapToGrid w:val="0"/>
          <w:lang w:eastAsia="en-US"/>
        </w:rPr>
        <w:t>Q.</w:t>
      </w:r>
      <w:r w:rsidRPr="00596094">
        <w:rPr>
          <w:snapToGrid w:val="0"/>
          <w:lang w:eastAsia="en-US"/>
        </w:rPr>
        <w:tab/>
        <w:t xml:space="preserve">What could cause a utility to not earn its </w:t>
      </w:r>
      <w:r w:rsidR="009E67AF">
        <w:rPr>
          <w:snapToGrid w:val="0"/>
          <w:lang w:eastAsia="en-US"/>
        </w:rPr>
        <w:t xml:space="preserve">allowed return on equity </w:t>
      </w:r>
      <w:r w:rsidRPr="00596094">
        <w:rPr>
          <w:snapToGrid w:val="0"/>
          <w:lang w:eastAsia="en-US"/>
        </w:rPr>
        <w:t xml:space="preserve">even though it is earning its </w:t>
      </w:r>
      <w:r w:rsidR="009E67AF">
        <w:rPr>
          <w:snapToGrid w:val="0"/>
          <w:lang w:eastAsia="en-US"/>
        </w:rPr>
        <w:t xml:space="preserve">allowed </w:t>
      </w:r>
      <w:r w:rsidRPr="00596094">
        <w:rPr>
          <w:snapToGrid w:val="0"/>
          <w:lang w:eastAsia="en-US"/>
        </w:rPr>
        <w:t>rate of return?</w:t>
      </w:r>
    </w:p>
    <w:p w:rsidR="00DE4CB8" w:rsidRPr="00596094" w:rsidRDefault="00DE4CB8" w:rsidP="00DE4CB8">
      <w:pPr>
        <w:pStyle w:val="answer"/>
        <w:rPr>
          <w:snapToGrid w:val="0"/>
          <w:lang w:eastAsia="en-US"/>
        </w:rPr>
      </w:pPr>
      <w:r w:rsidRPr="00596094">
        <w:rPr>
          <w:snapToGrid w:val="0"/>
          <w:lang w:eastAsia="en-US"/>
        </w:rPr>
        <w:t>A.</w:t>
      </w:r>
      <w:r w:rsidRPr="00596094">
        <w:rPr>
          <w:snapToGrid w:val="0"/>
          <w:lang w:eastAsia="en-US"/>
        </w:rPr>
        <w:tab/>
        <w:t xml:space="preserve">The example provided earlier </w:t>
      </w:r>
      <w:r w:rsidR="00745828">
        <w:rPr>
          <w:snapToGrid w:val="0"/>
          <w:lang w:eastAsia="en-US"/>
        </w:rPr>
        <w:t>with respect to the</w:t>
      </w:r>
      <w:r w:rsidR="00745828" w:rsidRPr="00596094">
        <w:rPr>
          <w:snapToGrid w:val="0"/>
          <w:lang w:eastAsia="en-US"/>
        </w:rPr>
        <w:t xml:space="preserve"> </w:t>
      </w:r>
      <w:r w:rsidRPr="00596094">
        <w:rPr>
          <w:snapToGrid w:val="0"/>
          <w:lang w:eastAsia="en-US"/>
        </w:rPr>
        <w:t xml:space="preserve">PCA bands </w:t>
      </w:r>
      <w:r w:rsidR="00745828">
        <w:rPr>
          <w:snapToGrid w:val="0"/>
          <w:lang w:eastAsia="en-US"/>
        </w:rPr>
        <w:t>demonstrates</w:t>
      </w:r>
      <w:r w:rsidRPr="00596094">
        <w:rPr>
          <w:snapToGrid w:val="0"/>
          <w:lang w:eastAsia="en-US"/>
        </w:rPr>
        <w:t xml:space="preserve"> one reason</w:t>
      </w:r>
      <w:r w:rsidR="00745828">
        <w:rPr>
          <w:snapToGrid w:val="0"/>
          <w:lang w:eastAsia="en-US"/>
        </w:rPr>
        <w:t xml:space="preserve"> a utility might fail to earn its </w:t>
      </w:r>
      <w:r w:rsidR="009E67AF">
        <w:rPr>
          <w:snapToGrid w:val="0"/>
          <w:lang w:eastAsia="en-US"/>
        </w:rPr>
        <w:t xml:space="preserve">allowed return on equity </w:t>
      </w:r>
      <w:r w:rsidR="00745828">
        <w:rPr>
          <w:snapToGrid w:val="0"/>
          <w:lang w:eastAsia="en-US"/>
        </w:rPr>
        <w:t xml:space="preserve">even though it is earning its </w:t>
      </w:r>
      <w:r w:rsidR="009E67AF">
        <w:rPr>
          <w:snapToGrid w:val="0"/>
          <w:lang w:eastAsia="en-US"/>
        </w:rPr>
        <w:t xml:space="preserve">allowed </w:t>
      </w:r>
      <w:r w:rsidR="00745828">
        <w:rPr>
          <w:snapToGrid w:val="0"/>
          <w:lang w:eastAsia="en-US"/>
        </w:rPr>
        <w:t>rate of return</w:t>
      </w:r>
      <w:r w:rsidRPr="00596094">
        <w:rPr>
          <w:snapToGrid w:val="0"/>
          <w:lang w:eastAsia="en-US"/>
        </w:rPr>
        <w:t xml:space="preserve">.  </w:t>
      </w:r>
      <w:r w:rsidR="00745828">
        <w:rPr>
          <w:snapToGrid w:val="0"/>
          <w:lang w:eastAsia="en-US"/>
        </w:rPr>
        <w:t>Additionally,</w:t>
      </w:r>
      <w:r w:rsidRPr="00596094">
        <w:rPr>
          <w:snapToGrid w:val="0"/>
          <w:lang w:eastAsia="en-US"/>
        </w:rPr>
        <w:t xml:space="preserve"> </w:t>
      </w:r>
      <w:r w:rsidR="00745828">
        <w:rPr>
          <w:snapToGrid w:val="0"/>
          <w:lang w:eastAsia="en-US"/>
        </w:rPr>
        <w:t xml:space="preserve">this could occur due to </w:t>
      </w:r>
      <w:r w:rsidRPr="00596094">
        <w:rPr>
          <w:snapToGrid w:val="0"/>
          <w:lang w:eastAsia="en-US"/>
        </w:rPr>
        <w:t>attrition where a utility’s revenues, expense and rate base are not in alignment with</w:t>
      </w:r>
      <w:r w:rsidR="009E67AF">
        <w:rPr>
          <w:snapToGrid w:val="0"/>
          <w:lang w:eastAsia="en-US"/>
        </w:rPr>
        <w:t xml:space="preserve"> the rates that are in effect.</w:t>
      </w:r>
    </w:p>
    <w:p w:rsidR="00DE4CB8" w:rsidRPr="00596094" w:rsidRDefault="00DE4CB8" w:rsidP="00DE4CB8">
      <w:pPr>
        <w:pStyle w:val="question"/>
        <w:keepNext/>
        <w:keepLines/>
        <w:spacing w:before="120"/>
        <w:rPr>
          <w:rFonts w:ascii="Times New Roman" w:hAnsi="Times New Roman"/>
        </w:rPr>
      </w:pPr>
      <w:r w:rsidRPr="00596094">
        <w:rPr>
          <w:snapToGrid w:val="0"/>
          <w:lang w:eastAsia="en-US"/>
        </w:rPr>
        <w:t>Q.</w:t>
      </w:r>
      <w:r w:rsidRPr="00596094">
        <w:rPr>
          <w:snapToGrid w:val="0"/>
          <w:lang w:eastAsia="en-US"/>
        </w:rPr>
        <w:tab/>
        <w:t>Please continue your explanation of your Exhibit No.</w:t>
      </w:r>
      <w:r w:rsidR="009E67AF">
        <w:rPr>
          <w:snapToGrid w:val="0"/>
          <w:lang w:eastAsia="en-US"/>
        </w:rPr>
        <w:t> </w:t>
      </w:r>
      <w:r w:rsidRPr="00596094">
        <w:rPr>
          <w:snapToGrid w:val="0"/>
          <w:lang w:eastAsia="en-US"/>
        </w:rPr>
        <w:t>___(DAD-</w:t>
      </w:r>
      <w:r w:rsidR="009E67AF">
        <w:rPr>
          <w:snapToGrid w:val="0"/>
          <w:lang w:eastAsia="en-US"/>
        </w:rPr>
        <w:t>12</w:t>
      </w:r>
      <w:r w:rsidRPr="00596094">
        <w:rPr>
          <w:snapToGrid w:val="0"/>
          <w:lang w:eastAsia="en-US"/>
        </w:rPr>
        <w:t>).</w:t>
      </w:r>
    </w:p>
    <w:p w:rsidR="00892431" w:rsidRPr="006D775F" w:rsidRDefault="00DE4CB8" w:rsidP="005B2E6A">
      <w:pPr>
        <w:pStyle w:val="answer"/>
        <w:rPr>
          <w:snapToGrid w:val="0"/>
          <w:lang w:eastAsia="en-US"/>
        </w:rPr>
      </w:pPr>
      <w:r w:rsidRPr="00596094">
        <w:rPr>
          <w:snapToGrid w:val="0"/>
          <w:lang w:eastAsia="en-US"/>
        </w:rPr>
        <w:t>A.</w:t>
      </w:r>
      <w:r w:rsidRPr="00596094">
        <w:rPr>
          <w:snapToGrid w:val="0"/>
          <w:lang w:eastAsia="en-US"/>
        </w:rPr>
        <w:tab/>
        <w:t xml:space="preserve">Columns (D) and (E) demonstrate that, if the company had enough additional </w:t>
      </w:r>
      <w:r w:rsidR="009E67AF">
        <w:rPr>
          <w:snapToGrid w:val="0"/>
          <w:lang w:eastAsia="en-US"/>
        </w:rPr>
        <w:t xml:space="preserve">net operating income </w:t>
      </w:r>
      <w:r w:rsidRPr="00596094">
        <w:rPr>
          <w:snapToGrid w:val="0"/>
          <w:lang w:eastAsia="en-US"/>
        </w:rPr>
        <w:t xml:space="preserve">to achieve its </w:t>
      </w:r>
      <w:r w:rsidR="009E67AF">
        <w:rPr>
          <w:snapToGrid w:val="0"/>
          <w:lang w:eastAsia="en-US"/>
        </w:rPr>
        <w:t>allowed return on equity</w:t>
      </w:r>
      <w:r w:rsidRPr="00596094">
        <w:rPr>
          <w:snapToGrid w:val="0"/>
          <w:lang w:eastAsia="en-US"/>
        </w:rPr>
        <w:t>, then it would be over</w:t>
      </w:r>
      <w:r w:rsidR="009E67AF">
        <w:rPr>
          <w:snapToGrid w:val="0"/>
          <w:lang w:eastAsia="en-US"/>
        </w:rPr>
        <w:t>-</w:t>
      </w:r>
      <w:r w:rsidRPr="00596094">
        <w:rPr>
          <w:snapToGrid w:val="0"/>
          <w:lang w:eastAsia="en-US"/>
        </w:rPr>
        <w:t xml:space="preserve">earning its rate of return by </w:t>
      </w:r>
      <w:r w:rsidR="009E67AF">
        <w:rPr>
          <w:snapToGrid w:val="0"/>
          <w:lang w:eastAsia="en-US"/>
        </w:rPr>
        <w:t>0</w:t>
      </w:r>
      <w:r w:rsidRPr="00596094">
        <w:rPr>
          <w:snapToGrid w:val="0"/>
          <w:lang w:eastAsia="en-US"/>
        </w:rPr>
        <w:t>.15%.  Column</w:t>
      </w:r>
      <w:r w:rsidR="009E67AF">
        <w:rPr>
          <w:snapToGrid w:val="0"/>
          <w:lang w:eastAsia="en-US"/>
        </w:rPr>
        <w:t> </w:t>
      </w:r>
      <w:r w:rsidRPr="00596094">
        <w:rPr>
          <w:snapToGrid w:val="0"/>
          <w:lang w:eastAsia="en-US"/>
        </w:rPr>
        <w:t xml:space="preserve">(F) demonstrates that, if PSE’s earnings sharing mechanism contained a 25 basis point dead band, then PSE would have been allowed to keep the </w:t>
      </w:r>
      <w:r w:rsidR="009E67AF">
        <w:rPr>
          <w:snapToGrid w:val="0"/>
          <w:lang w:eastAsia="en-US"/>
        </w:rPr>
        <w:t>0</w:t>
      </w:r>
      <w:r w:rsidRPr="00596094">
        <w:rPr>
          <w:snapToGrid w:val="0"/>
          <w:lang w:eastAsia="en-US"/>
        </w:rPr>
        <w:t xml:space="preserve">.15% rate of return above its </w:t>
      </w:r>
      <w:r w:rsidR="009E67AF">
        <w:rPr>
          <w:snapToGrid w:val="0"/>
          <w:lang w:eastAsia="en-US"/>
        </w:rPr>
        <w:t xml:space="preserve">allowed return, </w:t>
      </w:r>
      <w:r w:rsidRPr="00596094">
        <w:rPr>
          <w:snapToGrid w:val="0"/>
          <w:lang w:eastAsia="en-US"/>
        </w:rPr>
        <w:t xml:space="preserve">which would in turn have allowed PSE to earn </w:t>
      </w:r>
      <w:r w:rsidR="00E512E4">
        <w:rPr>
          <w:snapToGrid w:val="0"/>
          <w:lang w:eastAsia="en-US"/>
        </w:rPr>
        <w:t>its</w:t>
      </w:r>
      <w:r w:rsidR="009E67AF">
        <w:rPr>
          <w:snapToGrid w:val="0"/>
          <w:lang w:eastAsia="en-US"/>
        </w:rPr>
        <w:t xml:space="preserve"> allowed return on equity</w:t>
      </w:r>
      <w:r w:rsidRPr="00596094">
        <w:rPr>
          <w:snapToGrid w:val="0"/>
          <w:lang w:eastAsia="en-US"/>
        </w:rPr>
        <w:t xml:space="preserve">.  </w:t>
      </w:r>
      <w:r w:rsidR="009E67AF">
        <w:rPr>
          <w:snapToGrid w:val="0"/>
          <w:lang w:eastAsia="en-US"/>
        </w:rPr>
        <w:t>B</w:t>
      </w:r>
      <w:r w:rsidRPr="00596094">
        <w:rPr>
          <w:snapToGrid w:val="0"/>
          <w:lang w:eastAsia="en-US"/>
        </w:rPr>
        <w:t>ecause the Commission removed the earnings sharing dead band</w:t>
      </w:r>
      <w:r w:rsidR="009E67AF">
        <w:rPr>
          <w:snapToGrid w:val="0"/>
          <w:lang w:eastAsia="en-US"/>
        </w:rPr>
        <w:t xml:space="preserve"> </w:t>
      </w:r>
      <w:r w:rsidRPr="00596094">
        <w:rPr>
          <w:snapToGrid w:val="0"/>
          <w:lang w:eastAsia="en-US"/>
        </w:rPr>
        <w:t xml:space="preserve">in this example, </w:t>
      </w:r>
      <w:r w:rsidR="009E67AF">
        <w:rPr>
          <w:snapToGrid w:val="0"/>
          <w:lang w:eastAsia="en-US"/>
        </w:rPr>
        <w:t>h</w:t>
      </w:r>
      <w:r w:rsidR="009E67AF" w:rsidRPr="00596094">
        <w:rPr>
          <w:snapToGrid w:val="0"/>
          <w:lang w:eastAsia="en-US"/>
        </w:rPr>
        <w:t xml:space="preserve">owever, </w:t>
      </w:r>
      <w:r w:rsidRPr="00596094">
        <w:rPr>
          <w:snapToGrid w:val="0"/>
          <w:lang w:eastAsia="en-US"/>
        </w:rPr>
        <w:t xml:space="preserve">PSE would not be allowed to keep the </w:t>
      </w:r>
      <w:r w:rsidR="009E67AF">
        <w:rPr>
          <w:snapToGrid w:val="0"/>
          <w:lang w:eastAsia="en-US"/>
        </w:rPr>
        <w:t>0</w:t>
      </w:r>
      <w:r w:rsidRPr="00596094">
        <w:rPr>
          <w:snapToGrid w:val="0"/>
          <w:lang w:eastAsia="en-US"/>
        </w:rPr>
        <w:t xml:space="preserve">.15% above its </w:t>
      </w:r>
      <w:r w:rsidR="001F7C7E">
        <w:rPr>
          <w:rFonts w:eastAsia="SimSun"/>
        </w:rPr>
        <w:t>allowed</w:t>
      </w:r>
      <w:r w:rsidRPr="00596094">
        <w:rPr>
          <w:snapToGrid w:val="0"/>
          <w:lang w:eastAsia="en-US"/>
        </w:rPr>
        <w:t xml:space="preserve"> rate of return.  Column (G) demonstrates that PSE would share half of the </w:t>
      </w:r>
      <w:r w:rsidR="009E67AF">
        <w:rPr>
          <w:snapToGrid w:val="0"/>
          <w:lang w:eastAsia="en-US"/>
        </w:rPr>
        <w:t>0</w:t>
      </w:r>
      <w:r w:rsidRPr="00596094">
        <w:rPr>
          <w:snapToGrid w:val="0"/>
          <w:lang w:eastAsia="en-US"/>
        </w:rPr>
        <w:t xml:space="preserve">.15%, or </w:t>
      </w:r>
      <w:r w:rsidR="009E67AF">
        <w:rPr>
          <w:snapToGrid w:val="0"/>
          <w:lang w:eastAsia="en-US"/>
        </w:rPr>
        <w:t>0</w:t>
      </w:r>
      <w:r w:rsidRPr="00596094">
        <w:rPr>
          <w:snapToGrid w:val="0"/>
          <w:lang w:eastAsia="en-US"/>
        </w:rPr>
        <w:t xml:space="preserve">.08% with customers.  </w:t>
      </w:r>
      <w:r w:rsidR="009E67AF">
        <w:rPr>
          <w:snapToGrid w:val="0"/>
          <w:lang w:eastAsia="en-US"/>
        </w:rPr>
        <w:t>I</w:t>
      </w:r>
      <w:r w:rsidRPr="00596094">
        <w:rPr>
          <w:snapToGrid w:val="0"/>
          <w:lang w:eastAsia="en-US"/>
        </w:rPr>
        <w:t xml:space="preserve">n turn, this sharing reduces PSE’s </w:t>
      </w:r>
      <w:r w:rsidR="009E67AF">
        <w:rPr>
          <w:snapToGrid w:val="0"/>
          <w:lang w:eastAsia="en-US"/>
        </w:rPr>
        <w:t xml:space="preserve">return on equity </w:t>
      </w:r>
      <w:r w:rsidRPr="00596094">
        <w:rPr>
          <w:snapToGrid w:val="0"/>
          <w:lang w:eastAsia="en-US"/>
        </w:rPr>
        <w:t xml:space="preserve">below </w:t>
      </w:r>
      <w:r w:rsidR="009E67AF">
        <w:rPr>
          <w:snapToGrid w:val="0"/>
          <w:lang w:eastAsia="en-US"/>
        </w:rPr>
        <w:t xml:space="preserve">the allowed return on equity </w:t>
      </w:r>
      <w:r w:rsidRPr="00596094">
        <w:rPr>
          <w:snapToGrid w:val="0"/>
          <w:lang w:eastAsia="en-US"/>
        </w:rPr>
        <w:t xml:space="preserve">by </w:t>
      </w:r>
      <w:r w:rsidR="009E67AF">
        <w:rPr>
          <w:snapToGrid w:val="0"/>
          <w:lang w:eastAsia="en-US"/>
        </w:rPr>
        <w:t>0</w:t>
      </w:r>
      <w:r w:rsidRPr="00596094">
        <w:rPr>
          <w:snapToGrid w:val="0"/>
          <w:lang w:eastAsia="en-US"/>
        </w:rPr>
        <w:t xml:space="preserve">.15%.  This progression clearly </w:t>
      </w:r>
      <w:r w:rsidR="00745828" w:rsidRPr="00596094">
        <w:rPr>
          <w:snapToGrid w:val="0"/>
          <w:lang w:eastAsia="en-US"/>
        </w:rPr>
        <w:t>demonstrat</w:t>
      </w:r>
      <w:r w:rsidR="00745828">
        <w:rPr>
          <w:snapToGrid w:val="0"/>
          <w:lang w:eastAsia="en-US"/>
        </w:rPr>
        <w:t>es</w:t>
      </w:r>
      <w:r w:rsidR="00745828" w:rsidRPr="00596094">
        <w:rPr>
          <w:snapToGrid w:val="0"/>
          <w:lang w:eastAsia="en-US"/>
        </w:rPr>
        <w:t xml:space="preserve"> </w:t>
      </w:r>
      <w:r w:rsidRPr="00596094">
        <w:rPr>
          <w:snapToGrid w:val="0"/>
          <w:lang w:eastAsia="en-US"/>
        </w:rPr>
        <w:t xml:space="preserve">that removal or narrowing of the earnings sharing dead band </w:t>
      </w:r>
      <w:r w:rsidR="00261F04">
        <w:rPr>
          <w:snapToGrid w:val="0"/>
          <w:lang w:eastAsia="en-US"/>
        </w:rPr>
        <w:lastRenderedPageBreak/>
        <w:t xml:space="preserve">negatively </w:t>
      </w:r>
      <w:r w:rsidRPr="00596094">
        <w:rPr>
          <w:snapToGrid w:val="0"/>
          <w:lang w:eastAsia="en-US"/>
        </w:rPr>
        <w:t xml:space="preserve">skews the distribution of PSE’s opportunity to earn its </w:t>
      </w:r>
      <w:r w:rsidR="009E67AF">
        <w:rPr>
          <w:snapToGrid w:val="0"/>
          <w:lang w:eastAsia="en-US"/>
        </w:rPr>
        <w:t xml:space="preserve">allowed </w:t>
      </w:r>
      <w:r w:rsidRPr="00596094">
        <w:rPr>
          <w:snapToGrid w:val="0"/>
          <w:lang w:eastAsia="en-US"/>
        </w:rPr>
        <w:t>returns on average over time.</w:t>
      </w:r>
    </w:p>
    <w:p w:rsidR="00DE4CB8" w:rsidRPr="00596094" w:rsidRDefault="00DE4CB8" w:rsidP="00DE4CB8">
      <w:pPr>
        <w:pStyle w:val="question"/>
        <w:keepNext/>
        <w:keepLines/>
        <w:spacing w:before="120"/>
        <w:rPr>
          <w:rFonts w:ascii="Times New Roman" w:hAnsi="Times New Roman"/>
        </w:rPr>
      </w:pPr>
      <w:r w:rsidRPr="00596094">
        <w:rPr>
          <w:snapToGrid w:val="0"/>
          <w:lang w:eastAsia="en-US"/>
        </w:rPr>
        <w:t>Q.</w:t>
      </w:r>
      <w:r w:rsidRPr="00596094">
        <w:rPr>
          <w:snapToGrid w:val="0"/>
          <w:lang w:eastAsia="en-US"/>
        </w:rPr>
        <w:tab/>
      </w:r>
      <w:r w:rsidR="00110ED6">
        <w:rPr>
          <w:snapToGrid w:val="0"/>
          <w:lang w:eastAsia="en-US"/>
        </w:rPr>
        <w:t>What should the Commission do about the impacts of the sharing band described above and in your prefiled direct testimony?</w:t>
      </w:r>
    </w:p>
    <w:p w:rsidR="00DE4CB8" w:rsidRPr="00596094" w:rsidRDefault="00DE4CB8" w:rsidP="00787F1E">
      <w:pPr>
        <w:pStyle w:val="answer"/>
        <w:rPr>
          <w:snapToGrid w:val="0"/>
          <w:lang w:eastAsia="en-US"/>
        </w:rPr>
      </w:pPr>
      <w:r w:rsidRPr="00596094">
        <w:rPr>
          <w:snapToGrid w:val="0"/>
          <w:lang w:eastAsia="en-US"/>
        </w:rPr>
        <w:t>A.</w:t>
      </w:r>
      <w:r w:rsidRPr="00596094">
        <w:rPr>
          <w:snapToGrid w:val="0"/>
          <w:lang w:eastAsia="en-US"/>
        </w:rPr>
        <w:tab/>
      </w:r>
      <w:r w:rsidR="00110ED6">
        <w:rPr>
          <w:snapToGrid w:val="0"/>
          <w:lang w:eastAsia="en-US"/>
        </w:rPr>
        <w:t>PSE originally signed on to a Global Settlement that was the genesis of this proceeding.  As part of the final adjudication of that settlement</w:t>
      </w:r>
      <w:r w:rsidR="00261F04">
        <w:rPr>
          <w:snapToGrid w:val="0"/>
          <w:lang w:eastAsia="en-US"/>
        </w:rPr>
        <w:t>,</w:t>
      </w:r>
      <w:r w:rsidR="00110ED6">
        <w:rPr>
          <w:snapToGrid w:val="0"/>
          <w:lang w:eastAsia="en-US"/>
        </w:rPr>
        <w:t xml:space="preserve"> the Commission approved an order that included a</w:t>
      </w:r>
      <w:r w:rsidR="001F7C7E">
        <w:rPr>
          <w:snapToGrid w:val="0"/>
          <w:lang w:eastAsia="en-US"/>
        </w:rPr>
        <w:t>n allowed return on equity of</w:t>
      </w:r>
      <w:r w:rsidR="00110ED6">
        <w:rPr>
          <w:snapToGrid w:val="0"/>
          <w:lang w:eastAsia="en-US"/>
        </w:rPr>
        <w:t xml:space="preserve"> 9.8% and an earnings sharing mechanism.  As discussed above, th</w:t>
      </w:r>
      <w:r w:rsidR="00261F04">
        <w:rPr>
          <w:snapToGrid w:val="0"/>
          <w:lang w:eastAsia="en-US"/>
        </w:rPr>
        <w:t>at</w:t>
      </w:r>
      <w:r w:rsidR="00110ED6">
        <w:rPr>
          <w:snapToGrid w:val="0"/>
          <w:lang w:eastAsia="en-US"/>
        </w:rPr>
        <w:t xml:space="preserve"> earnings sharing mechanism eliminated the dead band that PSE had originally proposed</w:t>
      </w:r>
      <w:r w:rsidR="00261F04">
        <w:rPr>
          <w:snapToGrid w:val="0"/>
          <w:lang w:eastAsia="en-US"/>
        </w:rPr>
        <w:t>,</w:t>
      </w:r>
      <w:r w:rsidR="00110ED6">
        <w:rPr>
          <w:snapToGrid w:val="0"/>
          <w:lang w:eastAsia="en-US"/>
        </w:rPr>
        <w:t xml:space="preserve"> and the effect of that change is important to note as the Commission hears more complete testimony on the subject of whether PSE’s </w:t>
      </w:r>
      <w:r w:rsidR="001F7C7E">
        <w:rPr>
          <w:snapToGrid w:val="0"/>
          <w:lang w:eastAsia="en-US"/>
        </w:rPr>
        <w:t xml:space="preserve">return on equity </w:t>
      </w:r>
      <w:r w:rsidR="00110ED6">
        <w:rPr>
          <w:snapToGrid w:val="0"/>
          <w:lang w:eastAsia="en-US"/>
        </w:rPr>
        <w:t xml:space="preserve">is reasonable.  That said, PSE is not advocating for any change to the </w:t>
      </w:r>
      <w:r w:rsidR="00D74966">
        <w:rPr>
          <w:snapToGrid w:val="0"/>
          <w:lang w:eastAsia="en-US"/>
        </w:rPr>
        <w:t xml:space="preserve">original terms of the Commission’s order.  PSE believes that its </w:t>
      </w:r>
      <w:r w:rsidR="001F7C7E">
        <w:rPr>
          <w:snapToGrid w:val="0"/>
          <w:lang w:eastAsia="en-US"/>
        </w:rPr>
        <w:t xml:space="preserve">allowed return on equity of </w:t>
      </w:r>
      <w:r w:rsidR="00D74966">
        <w:rPr>
          <w:snapToGrid w:val="0"/>
          <w:lang w:eastAsia="en-US"/>
        </w:rPr>
        <w:t xml:space="preserve">9.8% is most reasonable based on the testimony of </w:t>
      </w:r>
      <w:r w:rsidR="001F7C7E">
        <w:rPr>
          <w:snapToGrid w:val="0"/>
          <w:lang w:eastAsia="en-US"/>
        </w:rPr>
        <w:t>D</w:t>
      </w:r>
      <w:r w:rsidR="00D74966">
        <w:rPr>
          <w:snapToGrid w:val="0"/>
          <w:lang w:eastAsia="en-US"/>
        </w:rPr>
        <w:t>r.</w:t>
      </w:r>
      <w:r w:rsidR="001F7C7E">
        <w:rPr>
          <w:snapToGrid w:val="0"/>
          <w:lang w:eastAsia="en-US"/>
        </w:rPr>
        <w:t> </w:t>
      </w:r>
      <w:r w:rsidR="00D74966">
        <w:rPr>
          <w:snapToGrid w:val="0"/>
          <w:lang w:eastAsia="en-US"/>
        </w:rPr>
        <w:t>Morin and it should not be changed</w:t>
      </w:r>
      <w:r w:rsidR="001F7C7E">
        <w:rPr>
          <w:snapToGrid w:val="0"/>
          <w:lang w:eastAsia="en-US"/>
        </w:rPr>
        <w:t>.</w:t>
      </w:r>
      <w:r w:rsidR="00E538EF">
        <w:rPr>
          <w:snapToGrid w:val="0"/>
          <w:lang w:eastAsia="en-US"/>
        </w:rPr>
        <w:t xml:space="preserve">  </w:t>
      </w:r>
      <w:r w:rsidR="00D74966">
        <w:rPr>
          <w:snapToGrid w:val="0"/>
          <w:lang w:eastAsia="en-US"/>
        </w:rPr>
        <w:t xml:space="preserve">PSE </w:t>
      </w:r>
      <w:r w:rsidR="004602F1">
        <w:rPr>
          <w:snapToGrid w:val="0"/>
          <w:lang w:eastAsia="en-US"/>
        </w:rPr>
        <w:t xml:space="preserve">also </w:t>
      </w:r>
      <w:r w:rsidR="00D74966">
        <w:rPr>
          <w:snapToGrid w:val="0"/>
          <w:lang w:eastAsia="en-US"/>
        </w:rPr>
        <w:t xml:space="preserve">believes that </w:t>
      </w:r>
      <w:r w:rsidR="001F7C7E">
        <w:rPr>
          <w:snapToGrid w:val="0"/>
          <w:lang w:eastAsia="en-US"/>
        </w:rPr>
        <w:t>(i) </w:t>
      </w:r>
      <w:r w:rsidR="00D74966">
        <w:rPr>
          <w:snapToGrid w:val="0"/>
          <w:lang w:eastAsia="en-US"/>
        </w:rPr>
        <w:t xml:space="preserve">there is no reliable evidence that decoupling affects </w:t>
      </w:r>
      <w:r w:rsidR="001F7C7E">
        <w:rPr>
          <w:snapToGrid w:val="0"/>
          <w:lang w:eastAsia="en-US"/>
        </w:rPr>
        <w:t xml:space="preserve">return on equity </w:t>
      </w:r>
      <w:r w:rsidR="00D74966">
        <w:rPr>
          <w:snapToGrid w:val="0"/>
          <w:lang w:eastAsia="en-US"/>
        </w:rPr>
        <w:t xml:space="preserve">in any measurable way and </w:t>
      </w:r>
      <w:r w:rsidR="001F7C7E">
        <w:rPr>
          <w:snapToGrid w:val="0"/>
          <w:lang w:eastAsia="en-US"/>
        </w:rPr>
        <w:t>(ii) </w:t>
      </w:r>
      <w:r w:rsidR="00D74966">
        <w:rPr>
          <w:snapToGrid w:val="0"/>
          <w:lang w:eastAsia="en-US"/>
        </w:rPr>
        <w:t xml:space="preserve">its </w:t>
      </w:r>
      <w:r w:rsidR="001F7C7E">
        <w:rPr>
          <w:snapToGrid w:val="0"/>
          <w:lang w:eastAsia="en-US"/>
        </w:rPr>
        <w:t xml:space="preserve">allowed return on equity of 9.8 percent </w:t>
      </w:r>
      <w:r w:rsidR="00D74966">
        <w:rPr>
          <w:snapToGrid w:val="0"/>
          <w:lang w:eastAsia="en-US"/>
        </w:rPr>
        <w:t>should not be adjusted due to decoupling</w:t>
      </w:r>
      <w:r w:rsidR="001F7C7E">
        <w:rPr>
          <w:snapToGrid w:val="0"/>
          <w:lang w:eastAsia="en-US"/>
        </w:rPr>
        <w:t xml:space="preserve">.  </w:t>
      </w:r>
      <w:r w:rsidR="00D74966">
        <w:rPr>
          <w:snapToGrid w:val="0"/>
          <w:lang w:eastAsia="en-US"/>
        </w:rPr>
        <w:t xml:space="preserve">PSE is willing to live with the </w:t>
      </w:r>
      <w:r w:rsidR="004602F1">
        <w:rPr>
          <w:snapToGrid w:val="0"/>
          <w:lang w:eastAsia="en-US"/>
        </w:rPr>
        <w:t xml:space="preserve">current </w:t>
      </w:r>
      <w:r w:rsidR="00D74966">
        <w:rPr>
          <w:snapToGrid w:val="0"/>
          <w:lang w:eastAsia="en-US"/>
        </w:rPr>
        <w:t xml:space="preserve">earnings sharing mechanism approved by the Commission so long as no other changes are made to its </w:t>
      </w:r>
      <w:r w:rsidR="001F7C7E">
        <w:rPr>
          <w:snapToGrid w:val="0"/>
          <w:lang w:eastAsia="en-US"/>
        </w:rPr>
        <w:t xml:space="preserve">allowed return on equity of </w:t>
      </w:r>
      <w:r w:rsidR="00D74966">
        <w:rPr>
          <w:snapToGrid w:val="0"/>
          <w:lang w:eastAsia="en-US"/>
        </w:rPr>
        <w:t>9.8</w:t>
      </w:r>
      <w:r w:rsidR="001F7C7E">
        <w:rPr>
          <w:snapToGrid w:val="0"/>
          <w:lang w:eastAsia="en-US"/>
        </w:rPr>
        <w:t xml:space="preserve"> percent </w:t>
      </w:r>
      <w:r w:rsidR="00D74966">
        <w:rPr>
          <w:snapToGrid w:val="0"/>
          <w:lang w:eastAsia="en-US"/>
        </w:rPr>
        <w:t xml:space="preserve">or the 48% equity component of the capital structure.  To the extent the Commission makes a change to either </w:t>
      </w:r>
      <w:r w:rsidR="001F7C7E">
        <w:rPr>
          <w:snapToGrid w:val="0"/>
          <w:lang w:eastAsia="en-US"/>
        </w:rPr>
        <w:t xml:space="preserve">PSE’s current allowed return on equity or </w:t>
      </w:r>
      <w:r w:rsidR="00D74966">
        <w:rPr>
          <w:snapToGrid w:val="0"/>
          <w:lang w:eastAsia="en-US"/>
        </w:rPr>
        <w:t xml:space="preserve">capital structure, then the </w:t>
      </w:r>
      <w:r w:rsidR="001F7C7E">
        <w:rPr>
          <w:snapToGrid w:val="0"/>
          <w:lang w:eastAsia="en-US"/>
        </w:rPr>
        <w:t>C</w:t>
      </w:r>
      <w:r w:rsidR="00D74966">
        <w:rPr>
          <w:snapToGrid w:val="0"/>
          <w:lang w:eastAsia="en-US"/>
        </w:rPr>
        <w:t>ommission should make an offset</w:t>
      </w:r>
      <w:r w:rsidR="001F7C7E">
        <w:rPr>
          <w:snapToGrid w:val="0"/>
          <w:lang w:eastAsia="en-US"/>
        </w:rPr>
        <w:t xml:space="preserve">ting </w:t>
      </w:r>
      <w:r w:rsidR="00D74966">
        <w:rPr>
          <w:snapToGrid w:val="0"/>
          <w:lang w:eastAsia="en-US"/>
        </w:rPr>
        <w:t xml:space="preserve">adjustment to </w:t>
      </w:r>
      <w:r w:rsidR="00D74966">
        <w:rPr>
          <w:snapToGrid w:val="0"/>
          <w:lang w:eastAsia="en-US"/>
        </w:rPr>
        <w:lastRenderedPageBreak/>
        <w:t>compensate for the downward pressure the earnings sharing mechanism puts on PSE’s earnings.</w:t>
      </w:r>
    </w:p>
    <w:p w:rsidR="00515380" w:rsidRPr="00515380" w:rsidRDefault="00515380" w:rsidP="00515380">
      <w:pPr>
        <w:pStyle w:val="Heading1"/>
      </w:pPr>
      <w:bookmarkStart w:id="11" w:name="_Toc229215975"/>
      <w:bookmarkStart w:id="12" w:name="_Toc294539822"/>
      <w:bookmarkStart w:id="13" w:name="_Toc406747306"/>
      <w:r w:rsidRPr="00515380">
        <w:t>V</w:t>
      </w:r>
      <w:r w:rsidR="00454C26">
        <w:t>I</w:t>
      </w:r>
      <w:r w:rsidRPr="00515380">
        <w:t>.</w:t>
      </w:r>
      <w:r w:rsidRPr="00515380">
        <w:tab/>
        <w:t>CONCLUSION</w:t>
      </w:r>
      <w:bookmarkEnd w:id="11"/>
      <w:bookmarkEnd w:id="12"/>
      <w:bookmarkEnd w:id="13"/>
    </w:p>
    <w:p w:rsidR="00515380" w:rsidRPr="00515380" w:rsidRDefault="00515380" w:rsidP="00515380">
      <w:pPr>
        <w:pStyle w:val="question"/>
        <w:keepNext/>
        <w:keepLines/>
        <w:spacing w:before="120"/>
        <w:rPr>
          <w:rFonts w:ascii="Times New Roman" w:hAnsi="Times New Roman"/>
        </w:rPr>
      </w:pPr>
      <w:r w:rsidRPr="00515380">
        <w:t>Q.</w:t>
      </w:r>
      <w:r w:rsidRPr="00515380">
        <w:tab/>
        <w:t xml:space="preserve">Does that conclude your </w:t>
      </w:r>
      <w:r w:rsidR="006B09BA">
        <w:t xml:space="preserve">prefiled rebuttal </w:t>
      </w:r>
      <w:r w:rsidRPr="00515380">
        <w:t>testimony?</w:t>
      </w:r>
    </w:p>
    <w:p w:rsidR="00EF3696" w:rsidRPr="00EF3696" w:rsidRDefault="00515380" w:rsidP="00740915">
      <w:pPr>
        <w:pStyle w:val="answer"/>
        <w:rPr>
          <w:rFonts w:ascii="Times New Roman" w:eastAsia="SimSun" w:hAnsi="Times New Roman"/>
        </w:rPr>
      </w:pPr>
      <w:r w:rsidRPr="00515380">
        <w:t>A.</w:t>
      </w:r>
      <w:r w:rsidRPr="00515380">
        <w:tab/>
        <w:t>Yes, it does.</w:t>
      </w:r>
    </w:p>
    <w:sectPr w:rsidR="00EF3696" w:rsidRPr="00EF3696" w:rsidSect="00EC61B9">
      <w:footerReference w:type="default" r:id="rId18"/>
      <w:footerReference w:type="first" r:id="rId19"/>
      <w:pgSz w:w="12240" w:h="15840" w:code="1"/>
      <w:pgMar w:top="1440" w:right="1440" w:bottom="1440" w:left="2160" w:header="864" w:footer="576" w:gutter="0"/>
      <w:lnNumType w:countBy="1"/>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F9A77A" w15:done="0"/>
  <w15:commentEx w15:paraId="6714B7A8" w15:done="0"/>
  <w15:commentEx w15:paraId="67ACBA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C24" w:rsidRDefault="001B5C24">
      <w:r>
        <w:separator/>
      </w:r>
    </w:p>
  </w:endnote>
  <w:endnote w:type="continuationSeparator" w:id="0">
    <w:p w:rsidR="001B5C24" w:rsidRDefault="001B5C24">
      <w:r>
        <w:continuationSeparator/>
      </w:r>
    </w:p>
  </w:endnote>
  <w:endnote w:type="continuationNotice" w:id="1">
    <w:p w:rsidR="001B5C24" w:rsidRDefault="001B5C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WP MathA">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heSerif 3-Light">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7E" w:rsidRDefault="001F7C7E" w:rsidP="00DE6A65">
    <w:pPr>
      <w:pStyle w:val="Foote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7E" w:rsidRDefault="001F7C7E">
    <w:pPr>
      <w:pStyle w:val="Footer"/>
      <w:tabs>
        <w:tab w:val="clear" w:pos="4507"/>
        <w:tab w:val="clear" w:pos="9000"/>
        <w:tab w:val="right" w:pos="8730"/>
      </w:tabs>
      <w:spacing w:line="240" w:lineRule="auto"/>
      <w:ind w:right="-90"/>
      <w:rPr>
        <w:b/>
        <w:bCs/>
        <w:u w:val="single"/>
      </w:rPr>
    </w:pPr>
    <w:r>
      <w:rPr>
        <w:b/>
        <w:bCs/>
        <w:u w:val="single"/>
      </w:rPr>
      <w:t>______________________________________________________________________________________</w:t>
    </w:r>
  </w:p>
  <w:p w:rsidR="001F7C7E" w:rsidRDefault="001F7C7E">
    <w:pPr>
      <w:pStyle w:val="Footer"/>
      <w:tabs>
        <w:tab w:val="clear" w:pos="4507"/>
        <w:tab w:val="clear" w:pos="9000"/>
        <w:tab w:val="right" w:pos="8640"/>
      </w:tabs>
      <w:spacing w:line="240" w:lineRule="auto"/>
      <w:ind w:right="0" w:hanging="4"/>
      <w:rPr>
        <w:sz w:val="10"/>
        <w:szCs w:val="10"/>
      </w:rPr>
    </w:pPr>
  </w:p>
  <w:p w:rsidR="001F7C7E" w:rsidRPr="00DB4898" w:rsidRDefault="001F7C7E">
    <w:pPr>
      <w:pStyle w:val="Footer"/>
      <w:tabs>
        <w:tab w:val="clear" w:pos="4507"/>
        <w:tab w:val="clear" w:pos="9000"/>
        <w:tab w:val="right" w:pos="8640"/>
      </w:tabs>
      <w:ind w:hanging="4"/>
      <w:rPr>
        <w:sz w:val="24"/>
        <w:szCs w:val="24"/>
      </w:rPr>
    </w:pPr>
    <w:r w:rsidRPr="00DB4898">
      <w:rPr>
        <w:sz w:val="24"/>
        <w:szCs w:val="24"/>
      </w:rPr>
      <w:t xml:space="preserve">Prefiled </w:t>
    </w:r>
    <w:r>
      <w:rPr>
        <w:sz w:val="24"/>
        <w:szCs w:val="24"/>
      </w:rPr>
      <w:t xml:space="preserve">Rebuttal </w:t>
    </w:r>
    <w:r w:rsidRPr="00DB4898">
      <w:rPr>
        <w:sz w:val="24"/>
        <w:szCs w:val="24"/>
      </w:rPr>
      <w:t>Testimony</w:t>
    </w:r>
    <w:r w:rsidRPr="00300621">
      <w:rPr>
        <w:sz w:val="24"/>
        <w:szCs w:val="24"/>
      </w:rPr>
      <w:tab/>
    </w:r>
    <w:r w:rsidRPr="00DB4898">
      <w:rPr>
        <w:sz w:val="24"/>
        <w:szCs w:val="24"/>
      </w:rPr>
      <w:t>Exhibit No.</w:t>
    </w:r>
    <w:r w:rsidRPr="00300621">
      <w:rPr>
        <w:sz w:val="24"/>
        <w:szCs w:val="24"/>
      </w:rPr>
      <w:t> </w:t>
    </w:r>
    <w:r w:rsidRPr="00DB4898">
      <w:rPr>
        <w:sz w:val="24"/>
        <w:szCs w:val="24"/>
      </w:rPr>
      <w:t>___(</w:t>
    </w:r>
    <w:r>
      <w:rPr>
        <w:sz w:val="24"/>
        <w:szCs w:val="24"/>
      </w:rPr>
      <w:t>DAD</w:t>
    </w:r>
    <w:r w:rsidRPr="00DB4898">
      <w:rPr>
        <w:sz w:val="24"/>
        <w:szCs w:val="24"/>
      </w:rPr>
      <w:t>-</w:t>
    </w:r>
    <w:r>
      <w:rPr>
        <w:sz w:val="24"/>
        <w:szCs w:val="24"/>
      </w:rPr>
      <w:t>8</w:t>
    </w:r>
    <w:r w:rsidRPr="00DB4898">
      <w:rPr>
        <w:sz w:val="24"/>
        <w:szCs w:val="24"/>
      </w:rPr>
      <w:t>T)</w:t>
    </w:r>
  </w:p>
  <w:p w:rsidR="001F7C7E" w:rsidRPr="00DB4898" w:rsidRDefault="001F7C7E">
    <w:pPr>
      <w:pStyle w:val="Footer"/>
      <w:tabs>
        <w:tab w:val="clear" w:pos="4507"/>
        <w:tab w:val="clear" w:pos="9000"/>
        <w:tab w:val="right" w:pos="8640"/>
      </w:tabs>
      <w:ind w:hanging="4"/>
      <w:rPr>
        <w:rStyle w:val="PageNumber"/>
        <w:sz w:val="24"/>
        <w:szCs w:val="24"/>
      </w:rPr>
    </w:pPr>
    <w:r w:rsidRPr="00DB4898">
      <w:rPr>
        <w:sz w:val="24"/>
        <w:szCs w:val="24"/>
      </w:rPr>
      <w:t xml:space="preserve">(Nonconfidential) of </w:t>
    </w:r>
    <w:r>
      <w:rPr>
        <w:sz w:val="24"/>
        <w:szCs w:val="24"/>
      </w:rPr>
      <w:t>Daniel A. Doyle</w:t>
    </w:r>
    <w:r w:rsidRPr="00300621">
      <w:rPr>
        <w:sz w:val="24"/>
        <w:szCs w:val="24"/>
      </w:rPr>
      <w:tab/>
    </w:r>
    <w:r w:rsidRPr="00DB4898">
      <w:rPr>
        <w:sz w:val="24"/>
        <w:szCs w:val="24"/>
      </w:rPr>
      <w:t>Page</w:t>
    </w:r>
    <w:r w:rsidRPr="00300621">
      <w:rPr>
        <w:sz w:val="24"/>
        <w:szCs w:val="24"/>
      </w:rPr>
      <w:t> </w:t>
    </w:r>
    <w:proofErr w:type="spellStart"/>
    <w:r w:rsidR="00F90D4C">
      <w:rPr>
        <w:rStyle w:val="PageNumber"/>
        <w:noProof/>
        <w:sz w:val="24"/>
        <w:szCs w:val="24"/>
      </w:rPr>
      <w:t>i</w:t>
    </w:r>
    <w:proofErr w:type="spellEnd"/>
    <w:r w:rsidRPr="00DB4898">
      <w:rPr>
        <w:rStyle w:val="PageNumber"/>
        <w:sz w:val="24"/>
        <w:szCs w:val="24"/>
      </w:rPr>
      <w:t xml:space="preserve"> of </w:t>
    </w:r>
    <w:proofErr w:type="spellStart"/>
    <w:r>
      <w:rPr>
        <w:sz w:val="24"/>
        <w:szCs w:val="24"/>
      </w:rPr>
      <w:t>i</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7E" w:rsidRDefault="001F7C7E">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rsidR="001F7C7E" w:rsidRDefault="001F7C7E">
    <w:pPr>
      <w:pStyle w:val="Footer"/>
      <w:tabs>
        <w:tab w:val="clear" w:pos="4507"/>
        <w:tab w:val="clear" w:pos="9000"/>
        <w:tab w:val="right" w:pos="8640"/>
      </w:tabs>
      <w:spacing w:line="240" w:lineRule="auto"/>
      <w:ind w:right="0"/>
      <w:rPr>
        <w:sz w:val="10"/>
      </w:rPr>
    </w:pPr>
  </w:p>
  <w:p w:rsidR="001F7C7E" w:rsidRPr="00DB4898" w:rsidRDefault="001F7C7E">
    <w:pPr>
      <w:pStyle w:val="Footer"/>
      <w:tabs>
        <w:tab w:val="clear" w:pos="4507"/>
        <w:tab w:val="clear" w:pos="9000"/>
        <w:tab w:val="right" w:pos="8640"/>
      </w:tabs>
      <w:rPr>
        <w:sz w:val="24"/>
        <w:szCs w:val="24"/>
      </w:rPr>
    </w:pPr>
    <w:r w:rsidRPr="00DB4898">
      <w:rPr>
        <w:sz w:val="24"/>
        <w:szCs w:val="24"/>
      </w:rPr>
      <w:t xml:space="preserve">Prefiled </w:t>
    </w:r>
    <w:r>
      <w:rPr>
        <w:sz w:val="24"/>
        <w:szCs w:val="24"/>
      </w:rPr>
      <w:t xml:space="preserve">Rebuttal </w:t>
    </w:r>
    <w:r w:rsidRPr="00DB4898">
      <w:rPr>
        <w:sz w:val="24"/>
        <w:szCs w:val="24"/>
      </w:rPr>
      <w:t>Testimony</w:t>
    </w:r>
    <w:r w:rsidRPr="00DB4898">
      <w:rPr>
        <w:sz w:val="24"/>
        <w:szCs w:val="24"/>
      </w:rPr>
      <w:tab/>
      <w:t>Exhibit No. ___(</w:t>
    </w:r>
    <w:r>
      <w:rPr>
        <w:sz w:val="24"/>
        <w:szCs w:val="24"/>
      </w:rPr>
      <w:t>DAD</w:t>
    </w:r>
    <w:r w:rsidRPr="00DB4898">
      <w:rPr>
        <w:sz w:val="24"/>
        <w:szCs w:val="24"/>
      </w:rPr>
      <w:t>-</w:t>
    </w:r>
    <w:r>
      <w:rPr>
        <w:sz w:val="24"/>
        <w:szCs w:val="24"/>
      </w:rPr>
      <w:t>8</w:t>
    </w:r>
    <w:r w:rsidRPr="00DB4898">
      <w:rPr>
        <w:sz w:val="24"/>
        <w:szCs w:val="24"/>
      </w:rPr>
      <w:t>T)</w:t>
    </w:r>
  </w:p>
  <w:p w:rsidR="001F7C7E" w:rsidRPr="00D738F7" w:rsidRDefault="001F7C7E" w:rsidP="00D738F7">
    <w:pPr>
      <w:pStyle w:val="Footer"/>
      <w:tabs>
        <w:tab w:val="clear" w:pos="4507"/>
        <w:tab w:val="clear" w:pos="9000"/>
        <w:tab w:val="right" w:pos="8640"/>
      </w:tabs>
      <w:rPr>
        <w:sz w:val="24"/>
        <w:szCs w:val="24"/>
      </w:rPr>
    </w:pPr>
    <w:r w:rsidRPr="00DB4898">
      <w:rPr>
        <w:sz w:val="24"/>
        <w:szCs w:val="24"/>
      </w:rPr>
      <w:t xml:space="preserve">(Nonconfidential) of </w:t>
    </w:r>
    <w:r>
      <w:rPr>
        <w:sz w:val="24"/>
        <w:szCs w:val="24"/>
      </w:rPr>
      <w:t>Daniel A. Doyle</w:t>
    </w:r>
    <w:r w:rsidRPr="00DB4898">
      <w:rPr>
        <w:sz w:val="24"/>
        <w:szCs w:val="24"/>
      </w:rPr>
      <w:tab/>
      <w:t>Page </w:t>
    </w:r>
    <w:r w:rsidR="00116E36" w:rsidRPr="00116E36">
      <w:rPr>
        <w:sz w:val="24"/>
        <w:szCs w:val="24"/>
      </w:rPr>
      <w:fldChar w:fldCharType="begin"/>
    </w:r>
    <w:r w:rsidR="00116E36" w:rsidRPr="00116E36">
      <w:rPr>
        <w:sz w:val="24"/>
        <w:szCs w:val="24"/>
      </w:rPr>
      <w:instrText xml:space="preserve"> PAGE   \* MERGEFORMAT </w:instrText>
    </w:r>
    <w:r w:rsidR="00116E36" w:rsidRPr="00116E36">
      <w:rPr>
        <w:sz w:val="24"/>
        <w:szCs w:val="24"/>
      </w:rPr>
      <w:fldChar w:fldCharType="separate"/>
    </w:r>
    <w:r w:rsidR="00116E36">
      <w:rPr>
        <w:noProof/>
        <w:sz w:val="24"/>
        <w:szCs w:val="24"/>
      </w:rPr>
      <w:t>3</w:t>
    </w:r>
    <w:r w:rsidR="00116E36" w:rsidRPr="00116E36">
      <w:rPr>
        <w:noProof/>
        <w:sz w:val="24"/>
        <w:szCs w:val="24"/>
      </w:rPr>
      <w:fldChar w:fldCharType="end"/>
    </w:r>
    <w:r w:rsidRPr="00DB4898">
      <w:rPr>
        <w:rStyle w:val="PageNumber"/>
        <w:sz w:val="24"/>
        <w:szCs w:val="24"/>
      </w:rPr>
      <w:t xml:space="preserve"> of </w:t>
    </w:r>
    <w:r w:rsidR="003F1A1A">
      <w:rPr>
        <w:rStyle w:val="PageNumber"/>
        <w:sz w:val="24"/>
        <w:szCs w:val="24"/>
      </w:rPr>
      <w:t>24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7E" w:rsidRDefault="001F7C7E">
    <w:pPr>
      <w:pStyle w:val="Footer"/>
      <w:tabs>
        <w:tab w:val="clear" w:pos="4507"/>
        <w:tab w:val="clear" w:pos="9000"/>
        <w:tab w:val="right" w:pos="8730"/>
      </w:tabs>
      <w:spacing w:line="240" w:lineRule="auto"/>
      <w:ind w:left="-634" w:right="-90"/>
      <w:rPr>
        <w:b/>
        <w:u w:val="single"/>
      </w:rPr>
    </w:pPr>
    <w:r>
      <w:rPr>
        <w:b/>
        <w:u w:val="single"/>
      </w:rPr>
      <w:t>____________________________________________________________________________________________</w:t>
    </w:r>
  </w:p>
  <w:p w:rsidR="001F7C7E" w:rsidRDefault="001F7C7E">
    <w:pPr>
      <w:pStyle w:val="Footer"/>
      <w:tabs>
        <w:tab w:val="clear" w:pos="4507"/>
        <w:tab w:val="clear" w:pos="9000"/>
        <w:tab w:val="right" w:pos="8640"/>
      </w:tabs>
      <w:spacing w:line="240" w:lineRule="auto"/>
      <w:ind w:left="-630" w:right="0" w:hanging="4"/>
      <w:rPr>
        <w:sz w:val="10"/>
      </w:rPr>
    </w:pPr>
  </w:p>
  <w:p w:rsidR="001F7C7E" w:rsidRDefault="001F7C7E">
    <w:pPr>
      <w:pStyle w:val="Footer"/>
      <w:tabs>
        <w:tab w:val="clear" w:pos="4507"/>
        <w:tab w:val="clear" w:pos="9000"/>
        <w:tab w:val="right" w:pos="8640"/>
      </w:tabs>
      <w:ind w:left="-630" w:hanging="4"/>
    </w:pPr>
    <w:r>
      <w:t>Prefiled Direct Testimony of</w:t>
    </w:r>
    <w:r>
      <w:tab/>
      <w:t>Exhibit No. ___(JD-1CT)</w:t>
    </w:r>
  </w:p>
  <w:p w:rsidR="001F7C7E" w:rsidRDefault="001F7C7E">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p w:rsidR="001F7C7E" w:rsidRDefault="001F7C7E"/>
  <w:p w:rsidR="001F7C7E" w:rsidRDefault="001F7C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C24" w:rsidRDefault="001B5C24">
      <w:r>
        <w:separator/>
      </w:r>
    </w:p>
  </w:footnote>
  <w:footnote w:type="continuationSeparator" w:id="0">
    <w:p w:rsidR="001B5C24" w:rsidRDefault="001B5C24">
      <w:r>
        <w:continuationSeparator/>
      </w:r>
    </w:p>
  </w:footnote>
  <w:footnote w:type="continuationNotice" w:id="1">
    <w:p w:rsidR="001B5C24" w:rsidRDefault="001B5C24">
      <w:pPr>
        <w:spacing w:line="240" w:lineRule="auto"/>
      </w:pPr>
    </w:p>
  </w:footnote>
  <w:footnote w:id="2">
    <w:p w:rsidR="001F7C7E" w:rsidRDefault="001F7C7E" w:rsidP="001655B7">
      <w:pPr>
        <w:pStyle w:val="FootnoteText"/>
        <w:keepLines/>
        <w:tabs>
          <w:tab w:val="left" w:pos="720"/>
        </w:tabs>
        <w:spacing w:before="60" w:after="60" w:line="240" w:lineRule="auto"/>
        <w:ind w:firstLine="360"/>
      </w:pPr>
      <w:r>
        <w:rPr>
          <w:rStyle w:val="FootnoteReference"/>
        </w:rPr>
        <w:footnoteRef/>
      </w:r>
      <w:r>
        <w:tab/>
      </w:r>
      <w:r w:rsidRPr="00C21748">
        <w:rPr>
          <w:i/>
        </w:rPr>
        <w:t>See, e.g.,</w:t>
      </w:r>
      <w:r>
        <w:t xml:space="preserve"> Hill, Exh. No. ___(SGH-2T), at page 45, lines 16-18 (arguing that “the cost of equity impact of decoupling indicates that a reasonable and conservative estimate is 35 basis points”); Gorman, Exh. No. ___(MPG-23T), at page 4, line 18 (arguing that “[a]</w:t>
      </w:r>
      <w:r w:rsidRPr="000547D1">
        <w:t xml:space="preserve"> 20 to 30 basis point reduction in PSE’s return on equity would be appropriate</w:t>
      </w:r>
      <w:r>
        <w:t>”)</w:t>
      </w:r>
      <w:r w:rsidRPr="000547D1">
        <w:t>.</w:t>
      </w:r>
    </w:p>
  </w:footnote>
  <w:footnote w:id="3">
    <w:p w:rsidR="001F7C7E" w:rsidRPr="00225B10" w:rsidRDefault="001F7C7E" w:rsidP="001655B7">
      <w:pPr>
        <w:pStyle w:val="FootnoteText"/>
        <w:keepLines/>
        <w:tabs>
          <w:tab w:val="left" w:pos="720"/>
        </w:tabs>
        <w:spacing w:before="60" w:after="60" w:line="240" w:lineRule="auto"/>
        <w:ind w:firstLine="360"/>
      </w:pPr>
      <w:r>
        <w:rPr>
          <w:rStyle w:val="FootnoteReference"/>
        </w:rPr>
        <w:footnoteRef/>
      </w:r>
      <w:r w:rsidR="00CF4B98">
        <w:tab/>
      </w:r>
      <w:r w:rsidRPr="00225B10">
        <w:t>Doyle, Exh. No. ___(</w:t>
      </w:r>
      <w:r>
        <w:t>DAD-4T), at page 6, lines 1-19</w:t>
      </w:r>
      <w:r w:rsidRPr="00225B10">
        <w:t>.</w:t>
      </w:r>
    </w:p>
  </w:footnote>
  <w:footnote w:id="4">
    <w:p w:rsidR="001F7C7E" w:rsidRDefault="001F7C7E" w:rsidP="001655B7">
      <w:pPr>
        <w:pStyle w:val="FootnoteText"/>
        <w:keepLines/>
        <w:tabs>
          <w:tab w:val="left" w:pos="720"/>
        </w:tabs>
        <w:spacing w:before="60" w:after="60" w:line="240" w:lineRule="auto"/>
        <w:ind w:firstLine="360"/>
      </w:pPr>
      <w:r>
        <w:rPr>
          <w:rStyle w:val="FootnoteReference"/>
        </w:rPr>
        <w:footnoteRef/>
      </w:r>
      <w:r w:rsidR="00CF4B98">
        <w:tab/>
      </w:r>
      <w:r w:rsidRPr="001525FC">
        <w:rPr>
          <w:i/>
        </w:rPr>
        <w:t>WUTC v. Puget Sound Energy, Inc.</w:t>
      </w:r>
      <w:r>
        <w:t xml:space="preserve">, Order 07 Final Order Granting Petition ¶ 105, Dockets UE-121697, </w:t>
      </w:r>
      <w:r w:rsidRPr="001525FC">
        <w:rPr>
          <w:i/>
        </w:rPr>
        <w:t>et al</w:t>
      </w:r>
      <w:r>
        <w:t>. (consolidated) (June 25, 2013) (“Order 07”).</w:t>
      </w:r>
    </w:p>
  </w:footnote>
  <w:footnote w:id="5">
    <w:p w:rsidR="001F7C7E" w:rsidRDefault="001F7C7E" w:rsidP="001655B7">
      <w:pPr>
        <w:pStyle w:val="FootnoteText"/>
        <w:keepLines/>
        <w:tabs>
          <w:tab w:val="left" w:pos="720"/>
        </w:tabs>
        <w:spacing w:before="60" w:after="60" w:line="240" w:lineRule="auto"/>
        <w:ind w:firstLine="360"/>
      </w:pPr>
      <w:r>
        <w:rPr>
          <w:rStyle w:val="FootnoteReference"/>
        </w:rPr>
        <w:footnoteRef/>
      </w:r>
      <w:r w:rsidR="00CF4B98">
        <w:tab/>
      </w:r>
      <w:r w:rsidRPr="00225B10">
        <w:rPr>
          <w:i/>
        </w:rPr>
        <w:t>See, e.g.,</w:t>
      </w:r>
      <w:r>
        <w:t xml:space="preserve"> Order 07 at ¶ 112.</w:t>
      </w:r>
    </w:p>
  </w:footnote>
  <w:footnote w:id="6">
    <w:p w:rsidR="001F7C7E" w:rsidRPr="00225B10" w:rsidRDefault="001F7C7E" w:rsidP="001655B7">
      <w:pPr>
        <w:pStyle w:val="FootnoteText"/>
        <w:keepLines/>
        <w:tabs>
          <w:tab w:val="left" w:pos="720"/>
        </w:tabs>
        <w:spacing w:before="60" w:after="60" w:line="240" w:lineRule="auto"/>
        <w:ind w:firstLine="360"/>
      </w:pPr>
      <w:r>
        <w:rPr>
          <w:rStyle w:val="FootnoteReference"/>
        </w:rPr>
        <w:footnoteRef/>
      </w:r>
      <w:r w:rsidR="00CF4B98">
        <w:tab/>
      </w:r>
      <w:r w:rsidRPr="00F94C9A">
        <w:rPr>
          <w:i/>
        </w:rPr>
        <w:t>WUTC v. Puget Sound Energy, Inc.</w:t>
      </w:r>
      <w:r w:rsidRPr="00F94C9A">
        <w:t>, Order 08 Rejecting Tariff Sheets; Authorizing and Requiring Compliance Filing, Dockets UE-111048 and UG-111049 (consolidated) (May 7, 2012).</w:t>
      </w:r>
    </w:p>
  </w:footnote>
  <w:footnote w:id="7">
    <w:p w:rsidR="001F7C7E" w:rsidRDefault="001F7C7E" w:rsidP="001655B7">
      <w:pPr>
        <w:pStyle w:val="FootnoteText"/>
        <w:keepLines/>
        <w:tabs>
          <w:tab w:val="left" w:pos="720"/>
        </w:tabs>
        <w:spacing w:before="60" w:after="60" w:line="240" w:lineRule="auto"/>
        <w:ind w:firstLine="360"/>
      </w:pPr>
      <w:r>
        <w:rPr>
          <w:rStyle w:val="FootnoteReference"/>
        </w:rPr>
        <w:footnoteRef/>
      </w:r>
      <w:r w:rsidR="00CF4B98">
        <w:tab/>
      </w:r>
      <w:r>
        <w:t xml:space="preserve">Hill, </w:t>
      </w:r>
      <w:r w:rsidRPr="00E81A5F">
        <w:t>Exh</w:t>
      </w:r>
      <w:r>
        <w:t xml:space="preserve">. </w:t>
      </w:r>
      <w:r w:rsidRPr="00E81A5F">
        <w:t>No. ___(SGH-2T), at page</w:t>
      </w:r>
      <w:r>
        <w:t> 5, lines 11-12.</w:t>
      </w:r>
    </w:p>
  </w:footnote>
  <w:footnote w:id="8">
    <w:p w:rsidR="001F7C7E" w:rsidRDefault="001F7C7E" w:rsidP="001655B7">
      <w:pPr>
        <w:pStyle w:val="FootnoteText"/>
        <w:keepLines/>
        <w:tabs>
          <w:tab w:val="left" w:pos="720"/>
        </w:tabs>
        <w:spacing w:before="60" w:after="60" w:line="240" w:lineRule="auto"/>
        <w:ind w:firstLine="360"/>
      </w:pPr>
      <w:r>
        <w:rPr>
          <w:rStyle w:val="FootnoteReference"/>
        </w:rPr>
        <w:footnoteRef/>
      </w:r>
      <w:r w:rsidR="003A2344">
        <w:tab/>
      </w:r>
      <w:r>
        <w:t xml:space="preserve">Hill, </w:t>
      </w:r>
      <w:r w:rsidRPr="00E81A5F">
        <w:t>Exh</w:t>
      </w:r>
      <w:r>
        <w:t xml:space="preserve">. </w:t>
      </w:r>
      <w:r w:rsidRPr="00E81A5F">
        <w:t>No. ___(SGH-2T), at page</w:t>
      </w:r>
      <w:r>
        <w:t> 7, lines 8-12.</w:t>
      </w:r>
    </w:p>
  </w:footnote>
  <w:footnote w:id="9">
    <w:p w:rsidR="001F7C7E" w:rsidRDefault="001F7C7E" w:rsidP="001655B7">
      <w:pPr>
        <w:pStyle w:val="FootnoteText"/>
        <w:keepLines/>
        <w:tabs>
          <w:tab w:val="left" w:pos="720"/>
        </w:tabs>
        <w:spacing w:before="60" w:after="60" w:line="240" w:lineRule="auto"/>
        <w:ind w:firstLine="360"/>
      </w:pPr>
      <w:r>
        <w:rPr>
          <w:rStyle w:val="FootnoteReference"/>
        </w:rPr>
        <w:footnoteRef/>
      </w:r>
      <w:r w:rsidR="003A2344">
        <w:tab/>
      </w:r>
      <w:r>
        <w:t xml:space="preserve">Hill, </w:t>
      </w:r>
      <w:r w:rsidRPr="00E81A5F">
        <w:t>Exh</w:t>
      </w:r>
      <w:r>
        <w:t xml:space="preserve">. </w:t>
      </w:r>
      <w:r w:rsidRPr="00E81A5F">
        <w:t>No. ___(SGH-2T), at page</w:t>
      </w:r>
      <w:r>
        <w:t> 108, lines 11-14.</w:t>
      </w:r>
    </w:p>
  </w:footnote>
  <w:footnote w:id="10">
    <w:p w:rsidR="001F7C7E" w:rsidRDefault="001F7C7E" w:rsidP="001655B7">
      <w:pPr>
        <w:pStyle w:val="FootnoteText"/>
        <w:keepLines/>
        <w:tabs>
          <w:tab w:val="left" w:pos="720"/>
        </w:tabs>
        <w:spacing w:before="60" w:after="60" w:line="240" w:lineRule="auto"/>
        <w:ind w:firstLine="360"/>
      </w:pPr>
      <w:r>
        <w:rPr>
          <w:rStyle w:val="FootnoteReference"/>
        </w:rPr>
        <w:footnoteRef/>
      </w:r>
      <w:r w:rsidR="003A2344">
        <w:tab/>
      </w:r>
      <w:r>
        <w:t xml:space="preserve">Hill, </w:t>
      </w:r>
      <w:r w:rsidRPr="00E81A5F">
        <w:t>Exh</w:t>
      </w:r>
      <w:r>
        <w:t xml:space="preserve">. </w:t>
      </w:r>
      <w:r w:rsidRPr="00E81A5F">
        <w:t>No.</w:t>
      </w:r>
      <w:r>
        <w:t> </w:t>
      </w:r>
      <w:r w:rsidRPr="00E81A5F">
        <w:t>___(SGH-2T), at page</w:t>
      </w:r>
      <w:r>
        <w:t> 110, lines 5-13 (emphasis added).</w:t>
      </w:r>
    </w:p>
  </w:footnote>
  <w:footnote w:id="11">
    <w:p w:rsidR="001F7C7E" w:rsidRDefault="001F7C7E" w:rsidP="001655B7">
      <w:pPr>
        <w:pStyle w:val="FootnoteText"/>
        <w:keepLines/>
        <w:tabs>
          <w:tab w:val="left" w:pos="720"/>
        </w:tabs>
        <w:spacing w:before="60" w:after="60" w:line="240" w:lineRule="auto"/>
        <w:ind w:firstLine="360"/>
      </w:pPr>
      <w:r>
        <w:rPr>
          <w:rStyle w:val="FootnoteReference"/>
        </w:rPr>
        <w:footnoteRef/>
      </w:r>
      <w:r w:rsidR="00CF4B98">
        <w:tab/>
      </w:r>
      <w:r>
        <w:t xml:space="preserve">Hill, </w:t>
      </w:r>
      <w:r w:rsidRPr="00E81A5F">
        <w:t>Exh</w:t>
      </w:r>
      <w:r>
        <w:t xml:space="preserve">. </w:t>
      </w:r>
      <w:r w:rsidRPr="00E81A5F">
        <w:t>No.</w:t>
      </w:r>
      <w:r>
        <w:t> </w:t>
      </w:r>
      <w:r w:rsidRPr="00E81A5F">
        <w:t>___(SGH-</w:t>
      </w:r>
      <w:r>
        <w:t>19</w:t>
      </w:r>
      <w:r w:rsidRPr="00E81A5F">
        <w:t>), at page</w:t>
      </w:r>
      <w:r>
        <w:t> 1.</w:t>
      </w:r>
    </w:p>
  </w:footnote>
  <w:footnote w:id="12">
    <w:p w:rsidR="001F7C7E" w:rsidRDefault="001F7C7E" w:rsidP="001655B7">
      <w:pPr>
        <w:pStyle w:val="FootnoteText"/>
        <w:keepLines/>
        <w:tabs>
          <w:tab w:val="left" w:pos="720"/>
        </w:tabs>
        <w:spacing w:before="60" w:after="60" w:line="240" w:lineRule="auto"/>
        <w:ind w:firstLine="360"/>
      </w:pPr>
      <w:r>
        <w:rPr>
          <w:rStyle w:val="FootnoteReference"/>
        </w:rPr>
        <w:footnoteRef/>
      </w:r>
      <w:r>
        <w:tab/>
        <w:t xml:space="preserve">Hill, </w:t>
      </w:r>
      <w:r w:rsidRPr="00E81A5F">
        <w:t>Exh</w:t>
      </w:r>
      <w:r>
        <w:t xml:space="preserve">. </w:t>
      </w:r>
      <w:r w:rsidRPr="00E81A5F">
        <w:t>No.</w:t>
      </w:r>
      <w:r>
        <w:t> </w:t>
      </w:r>
      <w:r w:rsidRPr="00E81A5F">
        <w:t>___(SGH-</w:t>
      </w:r>
      <w:r>
        <w:t>2T</w:t>
      </w:r>
      <w:r w:rsidRPr="00E81A5F">
        <w:t>), at page</w:t>
      </w:r>
      <w:r>
        <w:t> 111, line 16, through page 112, line 6.</w:t>
      </w:r>
    </w:p>
  </w:footnote>
  <w:footnote w:id="13">
    <w:p w:rsidR="0059424C" w:rsidRPr="00225B10" w:rsidRDefault="0059424C" w:rsidP="001655B7">
      <w:pPr>
        <w:pStyle w:val="FootnoteText"/>
        <w:keepLines/>
        <w:tabs>
          <w:tab w:val="left" w:pos="720"/>
        </w:tabs>
        <w:spacing w:before="60" w:after="60" w:line="240" w:lineRule="auto"/>
        <w:ind w:firstLine="360"/>
      </w:pPr>
      <w:r>
        <w:rPr>
          <w:rStyle w:val="FootnoteReference"/>
        </w:rPr>
        <w:footnoteRef/>
      </w:r>
      <w:r>
        <w:tab/>
      </w:r>
      <w:r w:rsidRPr="00225B10">
        <w:t>Doyle, Exh. No. ___(</w:t>
      </w:r>
      <w:r>
        <w:t>DAD-4T), at page 25, line 21, through page 26, line 5</w:t>
      </w:r>
      <w:r w:rsidRPr="00225B10">
        <w:t>.</w:t>
      </w:r>
    </w:p>
  </w:footnote>
  <w:footnote w:id="14">
    <w:p w:rsidR="0059424C" w:rsidRPr="00225B10" w:rsidRDefault="0059424C" w:rsidP="001655B7">
      <w:pPr>
        <w:pStyle w:val="FootnoteText"/>
        <w:keepLines/>
        <w:tabs>
          <w:tab w:val="left" w:pos="720"/>
        </w:tabs>
        <w:spacing w:before="60" w:after="60" w:line="240" w:lineRule="auto"/>
        <w:ind w:firstLine="360"/>
      </w:pPr>
      <w:r>
        <w:rPr>
          <w:rStyle w:val="FootnoteReference"/>
        </w:rPr>
        <w:footnoteRef/>
      </w:r>
      <w:r>
        <w:tab/>
        <w:t>Hill</w:t>
      </w:r>
      <w:r w:rsidRPr="00225B10">
        <w:t>, Exh. No. ___(</w:t>
      </w:r>
      <w:r>
        <w:t>SGH-2T), at page 122, lines 1-7</w:t>
      </w:r>
      <w:r w:rsidRPr="00225B10">
        <w:t>.</w:t>
      </w:r>
    </w:p>
  </w:footnote>
  <w:footnote w:id="15">
    <w:p w:rsidR="001F7C7E" w:rsidRDefault="001F7C7E" w:rsidP="001655B7">
      <w:pPr>
        <w:pStyle w:val="FootnoteText"/>
        <w:keepLines/>
        <w:tabs>
          <w:tab w:val="left" w:pos="720"/>
        </w:tabs>
        <w:spacing w:before="60" w:after="60" w:line="240" w:lineRule="auto"/>
        <w:ind w:firstLine="360"/>
      </w:pPr>
      <w:r>
        <w:rPr>
          <w:rStyle w:val="FootnoteReference"/>
        </w:rPr>
        <w:footnoteRef/>
      </w:r>
      <w:r w:rsidR="00CF4B98">
        <w:tab/>
      </w:r>
      <w:r>
        <w:t>Hill, Exh. No. ___(SGH-2T), at page 48, lines 14-16.</w:t>
      </w:r>
    </w:p>
  </w:footnote>
  <w:footnote w:id="16">
    <w:p w:rsidR="001F7C7E" w:rsidRDefault="001F7C7E" w:rsidP="001655B7">
      <w:pPr>
        <w:pStyle w:val="FootnoteText"/>
        <w:keepLines/>
        <w:tabs>
          <w:tab w:val="left" w:pos="720"/>
        </w:tabs>
        <w:spacing w:before="60" w:after="60" w:line="240" w:lineRule="auto"/>
        <w:ind w:firstLine="360"/>
      </w:pPr>
      <w:r>
        <w:rPr>
          <w:rStyle w:val="FootnoteReference"/>
        </w:rPr>
        <w:footnoteRef/>
      </w:r>
      <w:r w:rsidR="00CF4B98">
        <w:tab/>
      </w:r>
      <w:r w:rsidRPr="00194D81">
        <w:rPr>
          <w:i/>
        </w:rPr>
        <w:t>Federal Power Commission v. Hope Natural Gas Co.</w:t>
      </w:r>
      <w:r w:rsidRPr="00194D81">
        <w:t>, 320 U.S. 591 (1944).</w:t>
      </w:r>
    </w:p>
  </w:footnote>
  <w:footnote w:id="17">
    <w:p w:rsidR="001F7C7E" w:rsidRDefault="001F7C7E" w:rsidP="001655B7">
      <w:pPr>
        <w:pStyle w:val="FootnoteText"/>
        <w:keepLines/>
        <w:tabs>
          <w:tab w:val="left" w:pos="720"/>
        </w:tabs>
        <w:spacing w:before="60" w:after="60" w:line="240" w:lineRule="auto"/>
        <w:ind w:firstLine="360"/>
      </w:pPr>
      <w:r>
        <w:rPr>
          <w:rStyle w:val="FootnoteReference"/>
        </w:rPr>
        <w:footnoteRef/>
      </w:r>
      <w:r w:rsidR="00CF4B98">
        <w:tab/>
      </w:r>
      <w:r w:rsidRPr="004F0AF9">
        <w:rPr>
          <w:i/>
        </w:rPr>
        <w:t>Bluefield Water Works &amp; Improvement Co. v. Public Service Commission of West Virginia</w:t>
      </w:r>
      <w:r>
        <w:t>, 262 U.S. 679 (1923).</w:t>
      </w:r>
    </w:p>
  </w:footnote>
  <w:footnote w:id="18">
    <w:p w:rsidR="001F7C7E" w:rsidRDefault="001F7C7E" w:rsidP="001655B7">
      <w:pPr>
        <w:pStyle w:val="FootnoteText"/>
        <w:keepLines/>
        <w:tabs>
          <w:tab w:val="left" w:pos="720"/>
        </w:tabs>
        <w:spacing w:before="60" w:after="60" w:line="240" w:lineRule="auto"/>
        <w:ind w:firstLine="360"/>
      </w:pPr>
      <w:r>
        <w:rPr>
          <w:rStyle w:val="FootnoteReference"/>
        </w:rPr>
        <w:footnoteRef/>
      </w:r>
      <w:r w:rsidR="00CF4B98">
        <w:tab/>
      </w:r>
      <w:r w:rsidRPr="004F0AF9">
        <w:rPr>
          <w:i/>
        </w:rPr>
        <w:t>Bluefield Water Works &amp; Improvement Co.</w:t>
      </w:r>
      <w:r>
        <w:t xml:space="preserve">, 262 U.S. at 692 </w:t>
      </w:r>
      <w:r w:rsidRPr="00A75F05">
        <w:t>(emphasis added)</w:t>
      </w:r>
      <w:r>
        <w:t>.</w:t>
      </w:r>
    </w:p>
  </w:footnote>
  <w:footnote w:id="19">
    <w:p w:rsidR="00691CF0" w:rsidRDefault="00691CF0" w:rsidP="001655B7">
      <w:pPr>
        <w:pStyle w:val="FootnoteText"/>
        <w:keepLines/>
        <w:tabs>
          <w:tab w:val="left" w:pos="720"/>
        </w:tabs>
        <w:spacing w:before="60" w:after="60" w:line="240" w:lineRule="auto"/>
        <w:ind w:firstLine="360"/>
      </w:pPr>
      <w:r>
        <w:rPr>
          <w:rStyle w:val="FootnoteReference"/>
        </w:rPr>
        <w:footnoteRef/>
      </w:r>
      <w:r>
        <w:tab/>
        <w:t>Gorman, Exh. No. ___</w:t>
      </w:r>
      <w:r w:rsidRPr="00B16E3D">
        <w:t>(</w:t>
      </w:r>
      <w:r>
        <w:t>MPG</w:t>
      </w:r>
      <w:r w:rsidRPr="00B16E3D">
        <w:t>-</w:t>
      </w:r>
      <w:r>
        <w:t>23T</w:t>
      </w:r>
      <w:r w:rsidRPr="00B16E3D">
        <w:t>)</w:t>
      </w:r>
      <w:r>
        <w:t>, at page 57, line 22, through page 58, line </w:t>
      </w:r>
      <w:r w:rsidR="004146C6">
        <w:t>3 (footnote omitted)</w:t>
      </w:r>
      <w:r>
        <w:t>.</w:t>
      </w:r>
    </w:p>
  </w:footnote>
  <w:footnote w:id="20">
    <w:p w:rsidR="004146C6" w:rsidRDefault="004146C6" w:rsidP="001655B7">
      <w:pPr>
        <w:pStyle w:val="FootnoteText"/>
        <w:keepLines/>
        <w:tabs>
          <w:tab w:val="left" w:pos="720"/>
        </w:tabs>
        <w:spacing w:before="60" w:after="60" w:line="240" w:lineRule="auto"/>
        <w:ind w:firstLine="360"/>
      </w:pPr>
      <w:r>
        <w:rPr>
          <w:rStyle w:val="FootnoteReference"/>
        </w:rPr>
        <w:footnoteRef/>
      </w:r>
      <w:r>
        <w:tab/>
        <w:t>Vilbert, Exh. No. ___</w:t>
      </w:r>
      <w:r w:rsidRPr="00B16E3D">
        <w:t>(</w:t>
      </w:r>
      <w:r>
        <w:t>MJV</w:t>
      </w:r>
      <w:r w:rsidRPr="00B16E3D">
        <w:t>-</w:t>
      </w:r>
      <w:r>
        <w:t>1T</w:t>
      </w:r>
      <w:r w:rsidRPr="00B16E3D">
        <w:t>)</w:t>
      </w:r>
      <w:r>
        <w:t>, at page 15, lines 16-21.</w:t>
      </w:r>
    </w:p>
  </w:footnote>
  <w:footnote w:id="21">
    <w:p w:rsidR="001F7C7E" w:rsidRDefault="001F7C7E" w:rsidP="001655B7">
      <w:pPr>
        <w:pStyle w:val="FootnoteText"/>
        <w:keepLines/>
        <w:tabs>
          <w:tab w:val="left" w:pos="720"/>
        </w:tabs>
        <w:spacing w:before="60" w:after="60" w:line="240" w:lineRule="auto"/>
        <w:ind w:firstLine="360"/>
      </w:pPr>
      <w:r>
        <w:rPr>
          <w:rStyle w:val="FootnoteReference"/>
        </w:rPr>
        <w:footnoteRef/>
      </w:r>
      <w:r w:rsidR="00CF4B98">
        <w:tab/>
      </w:r>
      <w:r w:rsidRPr="00B16E3D">
        <w:t>Schooley</w:t>
      </w:r>
      <w:r>
        <w:t>, Exh. No. ___</w:t>
      </w:r>
      <w:r w:rsidRPr="00B16E3D">
        <w:t>(TES-6T)</w:t>
      </w:r>
      <w:r>
        <w:t>, at page 8, lines 18-20.</w:t>
      </w:r>
    </w:p>
  </w:footnote>
  <w:footnote w:id="22">
    <w:p w:rsidR="001F7C7E" w:rsidRDefault="001F7C7E" w:rsidP="001655B7">
      <w:pPr>
        <w:pStyle w:val="FootnoteText"/>
        <w:keepLines/>
        <w:tabs>
          <w:tab w:val="left" w:pos="720"/>
        </w:tabs>
        <w:spacing w:before="60" w:after="60" w:line="240" w:lineRule="auto"/>
        <w:ind w:firstLine="360"/>
      </w:pPr>
      <w:r>
        <w:rPr>
          <w:rStyle w:val="FootnoteReference"/>
        </w:rPr>
        <w:footnoteRef/>
      </w:r>
      <w:r w:rsidR="001655B7">
        <w:tab/>
      </w:r>
      <w:r>
        <w:t>Doyle, Exh. No. ___</w:t>
      </w:r>
      <w:r w:rsidRPr="00B16E3D">
        <w:t>(</w:t>
      </w:r>
      <w:r>
        <w:t>DAD</w:t>
      </w:r>
      <w:r w:rsidRPr="00B16E3D">
        <w:t>-</w:t>
      </w:r>
      <w:r>
        <w:t>4</w:t>
      </w:r>
      <w:r w:rsidRPr="00B16E3D">
        <w:t>T)</w:t>
      </w:r>
      <w:r>
        <w:t>, at page 8, lines 18-20.</w:t>
      </w:r>
    </w:p>
  </w:footnote>
  <w:footnote w:id="23">
    <w:p w:rsidR="001F7C7E" w:rsidRDefault="001F7C7E" w:rsidP="001655B7">
      <w:pPr>
        <w:pStyle w:val="FootnoteText"/>
        <w:keepLines/>
        <w:tabs>
          <w:tab w:val="left" w:pos="720"/>
        </w:tabs>
        <w:spacing w:before="60" w:after="60" w:line="240" w:lineRule="auto"/>
        <w:ind w:firstLine="360"/>
      </w:pPr>
      <w:r>
        <w:rPr>
          <w:rStyle w:val="FootnoteReference"/>
        </w:rPr>
        <w:footnoteRef/>
      </w:r>
      <w:r w:rsidR="001655B7">
        <w:tab/>
      </w:r>
      <w:r w:rsidRPr="00221EEB">
        <w:rPr>
          <w:i/>
        </w:rPr>
        <w:t>See, e.g.,</w:t>
      </w:r>
      <w:r>
        <w:t xml:space="preserve"> Schooley, Exh. No. ___</w:t>
      </w:r>
      <w:r w:rsidRPr="00B16E3D">
        <w:t>(</w:t>
      </w:r>
      <w:r>
        <w:t>TES</w:t>
      </w:r>
      <w:r w:rsidRPr="00B16E3D">
        <w:t>-</w:t>
      </w:r>
      <w:r>
        <w:t>6</w:t>
      </w:r>
      <w:r w:rsidRPr="00B16E3D">
        <w:t>T)</w:t>
      </w:r>
      <w:r>
        <w:t>, at page 9, lines 8-12.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7E" w:rsidRDefault="001F7C7E">
    <w:pPr>
      <w:pStyle w:val="Header"/>
    </w:pPr>
    <w:r>
      <w:rPr>
        <w:noProof/>
        <w:lang w:eastAsia="en-US"/>
      </w:rPr>
      <mc:AlternateContent>
        <mc:Choice Requires="wps">
          <w:drawing>
            <wp:anchor distT="0" distB="0" distL="114293" distR="114293" simplePos="0" relativeHeight="251658240" behindDoc="0" locked="0" layoutInCell="0" allowOverlap="1" wp14:anchorId="3595ED67" wp14:editId="53C14782">
              <wp:simplePos x="0" y="0"/>
              <wp:positionH relativeFrom="column">
                <wp:posOffset>-177166</wp:posOffset>
              </wp:positionH>
              <wp:positionV relativeFrom="paragraph">
                <wp:posOffset>2540</wp:posOffset>
              </wp:positionV>
              <wp:extent cx="0" cy="9258300"/>
              <wp:effectExtent l="19050" t="0" r="19050" b="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240;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" o:allowincell="f"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7E" w:rsidRDefault="001F7C7E">
    <w:pPr>
      <w:pStyle w:val="Header"/>
    </w:pPr>
    <w:r>
      <w:rPr>
        <w:noProof/>
        <w:lang w:eastAsia="en-US"/>
      </w:rPr>
      <mc:AlternateContent>
        <mc:Choice Requires="wps">
          <w:drawing>
            <wp:anchor distT="0" distB="0" distL="114293" distR="114293" simplePos="0" relativeHeight="251657216" behindDoc="0" locked="0" layoutInCell="1" allowOverlap="1" wp14:anchorId="6D12C096" wp14:editId="03733E42">
              <wp:simplePos x="0" y="0"/>
              <wp:positionH relativeFrom="column">
                <wp:posOffset>-177166</wp:posOffset>
              </wp:positionH>
              <wp:positionV relativeFrom="paragraph">
                <wp:posOffset>-88900</wp:posOffset>
              </wp:positionV>
              <wp:extent cx="0" cy="9258300"/>
              <wp:effectExtent l="19050" t="0" r="1905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2D0A"/>
    <w:multiLevelType w:val="hybridMultilevel"/>
    <w:tmpl w:val="4BB6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3">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4">
    <w:nsid w:val="1BAD6EDF"/>
    <w:multiLevelType w:val="hybridMultilevel"/>
    <w:tmpl w:val="0F04694A"/>
    <w:lvl w:ilvl="0" w:tplc="B77823A6">
      <w:start w:val="1"/>
      <w:numFmt w:val="none"/>
      <w:pStyle w:val="TBGTestimonyQ"/>
      <w:lvlText w:val="%1Q."/>
      <w:lvlJc w:val="left"/>
      <w:pPr>
        <w:tabs>
          <w:tab w:val="num" w:pos="1080"/>
        </w:tabs>
        <w:ind w:left="1080" w:hanging="720"/>
      </w:pPr>
      <w:rPr>
        <w:rFonts w:cs="Times New Roman" w:hint="default"/>
      </w:rPr>
    </w:lvl>
    <w:lvl w:ilvl="1" w:tplc="D7E2BC08">
      <w:start w:val="1"/>
      <w:numFmt w:val="none"/>
      <w:pStyle w:val="TBGTestimonyA"/>
      <w:lvlText w:val="%2A."/>
      <w:lvlJc w:val="left"/>
      <w:pPr>
        <w:tabs>
          <w:tab w:val="num" w:pos="1080"/>
        </w:tabs>
        <w:ind w:left="108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3E66D1C"/>
    <w:multiLevelType w:val="hybridMultilevel"/>
    <w:tmpl w:val="3A3EE0E8"/>
    <w:lvl w:ilvl="0" w:tplc="D84A4FA4">
      <w:start w:val="1"/>
      <w:numFmt w:val="decimal"/>
      <w:pStyle w:val="TestimonyA"/>
      <w:lvlText w:val="A%1."/>
      <w:lvlJc w:val="left"/>
      <w:pPr>
        <w:tabs>
          <w:tab w:val="num" w:pos="1170"/>
        </w:tabs>
        <w:ind w:left="1170" w:hanging="72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28DA7986"/>
    <w:multiLevelType w:val="multilevel"/>
    <w:tmpl w:val="52981078"/>
    <w:styleLink w:val="OutlineNoHeadings"/>
    <w:lvl w:ilvl="0">
      <w:start w:val="1"/>
      <w:numFmt w:val="upperRoman"/>
      <w:lvlText w:val="%1."/>
      <w:lvlJc w:val="left"/>
      <w:pPr>
        <w:ind w:left="360" w:hanging="360"/>
      </w:pPr>
      <w:rPr>
        <w:rFonts w:ascii="Times New Roman" w:hAnsi="Times New Roman" w:cs="Times New Roman" w:hint="default"/>
        <w:b w:val="0"/>
        <w:i w:val="0"/>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34BE2125"/>
    <w:multiLevelType w:val="hybridMultilevel"/>
    <w:tmpl w:val="0E866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0">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1">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2">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3">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4">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15">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6">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17">
    <w:nsid w:val="67FE469B"/>
    <w:multiLevelType w:val="hybridMultilevel"/>
    <w:tmpl w:val="6BEA81BC"/>
    <w:lvl w:ilvl="0" w:tplc="70DC233A">
      <w:start w:val="1"/>
      <w:numFmt w:val="decimal"/>
      <w:pStyle w:val="TestimonyQ"/>
      <w:lvlText w:val="Q%1."/>
      <w:lvlJc w:val="left"/>
      <w:pPr>
        <w:tabs>
          <w:tab w:val="num" w:pos="1080"/>
        </w:tabs>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19">
    <w:nsid w:val="74AA745E"/>
    <w:multiLevelType w:val="multilevel"/>
    <w:tmpl w:val="05BAFDBC"/>
    <w:lvl w:ilvl="0">
      <w:start w:val="1"/>
      <w:numFmt w:val="bullet"/>
      <w:pStyle w:val="TBGbullet"/>
      <w:lvlText w:val=""/>
      <w:lvlJc w:val="left"/>
      <w:pPr>
        <w:tabs>
          <w:tab w:val="num" w:pos="1440"/>
        </w:tabs>
        <w:ind w:left="1440" w:hanging="720"/>
      </w:pPr>
      <w:rPr>
        <w:rFonts w:ascii="Symbol" w:hAnsi="Symbol" w:hint="default"/>
      </w:rPr>
    </w:lvl>
    <w:lvl w:ilvl="1">
      <w:start w:val="1"/>
      <w:numFmt w:val="bullet"/>
      <w:lvlText w:val=""/>
      <w:lvlJc w:val="left"/>
      <w:pPr>
        <w:tabs>
          <w:tab w:val="num" w:pos="2160"/>
        </w:tabs>
        <w:ind w:left="2160" w:hanging="720"/>
      </w:pPr>
      <w:rPr>
        <w:rFonts w:ascii="WP MathA" w:hAnsi="WP MathA" w:hint="default"/>
        <w:sz w:val="24"/>
      </w:rPr>
    </w:lvl>
    <w:lvl w:ilvl="2">
      <w:start w:val="1"/>
      <w:numFmt w:val="bullet"/>
      <w:lvlText w:val=""/>
      <w:lvlJc w:val="left"/>
      <w:pPr>
        <w:tabs>
          <w:tab w:val="num" w:pos="2880"/>
        </w:tabs>
        <w:ind w:left="2880" w:hanging="720"/>
      </w:pPr>
      <w:rPr>
        <w:rFonts w:ascii="Wingdings" w:hAnsi="Wingdings" w:hint="default"/>
      </w:rPr>
    </w:lvl>
    <w:lvl w:ilvl="3">
      <w:start w:val="1"/>
      <w:numFmt w:val="bullet"/>
      <w:lvlText w:val=""/>
      <w:lvlJc w:val="left"/>
      <w:pPr>
        <w:tabs>
          <w:tab w:val="num" w:pos="3600"/>
        </w:tabs>
        <w:ind w:left="3600" w:hanging="720"/>
      </w:pPr>
      <w:rPr>
        <w:rFonts w:ascii="Symbol" w:hAnsi="Symbol" w:hint="default"/>
        <w:sz w:val="18"/>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0">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5"/>
  </w:num>
  <w:num w:numId="2">
    <w:abstractNumId w:val="1"/>
  </w:num>
  <w:num w:numId="3">
    <w:abstractNumId w:val="16"/>
  </w:num>
  <w:num w:numId="4">
    <w:abstractNumId w:val="9"/>
  </w:num>
  <w:num w:numId="5">
    <w:abstractNumId w:val="13"/>
  </w:num>
  <w:num w:numId="6">
    <w:abstractNumId w:val="14"/>
  </w:num>
  <w:num w:numId="7">
    <w:abstractNumId w:val="18"/>
  </w:num>
  <w:num w:numId="8">
    <w:abstractNumId w:val="10"/>
  </w:num>
  <w:num w:numId="9">
    <w:abstractNumId w:val="20"/>
  </w:num>
  <w:num w:numId="10">
    <w:abstractNumId w:val="11"/>
  </w:num>
  <w:num w:numId="11">
    <w:abstractNumId w:val="12"/>
  </w:num>
  <w:num w:numId="12">
    <w:abstractNumId w:val="3"/>
  </w:num>
  <w:num w:numId="13">
    <w:abstractNumId w:val="2"/>
  </w:num>
  <w:num w:numId="14">
    <w:abstractNumId w:val="8"/>
  </w:num>
  <w:num w:numId="15">
    <w:abstractNumId w:val="19"/>
  </w:num>
  <w:num w:numId="16">
    <w:abstractNumId w:val="4"/>
  </w:num>
  <w:num w:numId="17">
    <w:abstractNumId w:val="5"/>
  </w:num>
  <w:num w:numId="18">
    <w:abstractNumId w:val="17"/>
  </w:num>
  <w:num w:numId="19">
    <w:abstractNumId w:val="6"/>
  </w:num>
  <w:num w:numId="20">
    <w:abstractNumId w:val="7"/>
  </w:num>
  <w:num w:numId="21">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65"/>
    <w:rsid w:val="00000A6F"/>
    <w:rsid w:val="00003202"/>
    <w:rsid w:val="00004D39"/>
    <w:rsid w:val="000059AC"/>
    <w:rsid w:val="0000691C"/>
    <w:rsid w:val="0000723E"/>
    <w:rsid w:val="000101C9"/>
    <w:rsid w:val="000108CD"/>
    <w:rsid w:val="00011FD7"/>
    <w:rsid w:val="00012817"/>
    <w:rsid w:val="00013512"/>
    <w:rsid w:val="000139D8"/>
    <w:rsid w:val="00013D39"/>
    <w:rsid w:val="00014A80"/>
    <w:rsid w:val="00016520"/>
    <w:rsid w:val="000166B1"/>
    <w:rsid w:val="00016D72"/>
    <w:rsid w:val="00017290"/>
    <w:rsid w:val="00017DB9"/>
    <w:rsid w:val="000230FD"/>
    <w:rsid w:val="00023506"/>
    <w:rsid w:val="00023562"/>
    <w:rsid w:val="00024ADC"/>
    <w:rsid w:val="00025112"/>
    <w:rsid w:val="00027AE4"/>
    <w:rsid w:val="0003005E"/>
    <w:rsid w:val="00031B05"/>
    <w:rsid w:val="00032119"/>
    <w:rsid w:val="00032928"/>
    <w:rsid w:val="00033FEE"/>
    <w:rsid w:val="000343C2"/>
    <w:rsid w:val="00034EBC"/>
    <w:rsid w:val="00035AB9"/>
    <w:rsid w:val="0004042B"/>
    <w:rsid w:val="0004173F"/>
    <w:rsid w:val="000425A2"/>
    <w:rsid w:val="00043BF2"/>
    <w:rsid w:val="0004438A"/>
    <w:rsid w:val="000456B9"/>
    <w:rsid w:val="000466D0"/>
    <w:rsid w:val="000478C6"/>
    <w:rsid w:val="0005078B"/>
    <w:rsid w:val="000528F5"/>
    <w:rsid w:val="00052A37"/>
    <w:rsid w:val="000532BD"/>
    <w:rsid w:val="00053B7F"/>
    <w:rsid w:val="000547D1"/>
    <w:rsid w:val="00054C6A"/>
    <w:rsid w:val="0005553C"/>
    <w:rsid w:val="00055FFA"/>
    <w:rsid w:val="00057091"/>
    <w:rsid w:val="00057C3E"/>
    <w:rsid w:val="000601AC"/>
    <w:rsid w:val="00060F57"/>
    <w:rsid w:val="000623F4"/>
    <w:rsid w:val="00064171"/>
    <w:rsid w:val="00064903"/>
    <w:rsid w:val="000664BD"/>
    <w:rsid w:val="000671C3"/>
    <w:rsid w:val="0006727F"/>
    <w:rsid w:val="000672C1"/>
    <w:rsid w:val="00067771"/>
    <w:rsid w:val="0006778A"/>
    <w:rsid w:val="0007001B"/>
    <w:rsid w:val="00071ADE"/>
    <w:rsid w:val="000720D0"/>
    <w:rsid w:val="00073353"/>
    <w:rsid w:val="000741DF"/>
    <w:rsid w:val="00074F26"/>
    <w:rsid w:val="000755AA"/>
    <w:rsid w:val="0007591C"/>
    <w:rsid w:val="00076A47"/>
    <w:rsid w:val="00076C2D"/>
    <w:rsid w:val="0008213E"/>
    <w:rsid w:val="00082462"/>
    <w:rsid w:val="00082B2B"/>
    <w:rsid w:val="00082C18"/>
    <w:rsid w:val="000831B1"/>
    <w:rsid w:val="000843A1"/>
    <w:rsid w:val="00085AFB"/>
    <w:rsid w:val="00085CC0"/>
    <w:rsid w:val="00085F69"/>
    <w:rsid w:val="000867DE"/>
    <w:rsid w:val="00086988"/>
    <w:rsid w:val="00086C29"/>
    <w:rsid w:val="00087467"/>
    <w:rsid w:val="00091AD2"/>
    <w:rsid w:val="00091AE5"/>
    <w:rsid w:val="00092201"/>
    <w:rsid w:val="000928D8"/>
    <w:rsid w:val="00092D5C"/>
    <w:rsid w:val="00093447"/>
    <w:rsid w:val="000947C0"/>
    <w:rsid w:val="00096A95"/>
    <w:rsid w:val="00097E1D"/>
    <w:rsid w:val="000A0290"/>
    <w:rsid w:val="000A1222"/>
    <w:rsid w:val="000A1803"/>
    <w:rsid w:val="000A18A9"/>
    <w:rsid w:val="000A35D6"/>
    <w:rsid w:val="000A38C2"/>
    <w:rsid w:val="000A3AD5"/>
    <w:rsid w:val="000A466A"/>
    <w:rsid w:val="000A470A"/>
    <w:rsid w:val="000A4ADD"/>
    <w:rsid w:val="000A5408"/>
    <w:rsid w:val="000A7131"/>
    <w:rsid w:val="000A7428"/>
    <w:rsid w:val="000B072E"/>
    <w:rsid w:val="000B18E9"/>
    <w:rsid w:val="000B1EA2"/>
    <w:rsid w:val="000B4EC5"/>
    <w:rsid w:val="000B5329"/>
    <w:rsid w:val="000B547D"/>
    <w:rsid w:val="000B61D1"/>
    <w:rsid w:val="000B6E7F"/>
    <w:rsid w:val="000B7268"/>
    <w:rsid w:val="000C00E9"/>
    <w:rsid w:val="000C05B6"/>
    <w:rsid w:val="000C41E1"/>
    <w:rsid w:val="000C438E"/>
    <w:rsid w:val="000C5A2C"/>
    <w:rsid w:val="000C6EA8"/>
    <w:rsid w:val="000C7BD8"/>
    <w:rsid w:val="000C7C74"/>
    <w:rsid w:val="000D18C8"/>
    <w:rsid w:val="000D1FB5"/>
    <w:rsid w:val="000D2B67"/>
    <w:rsid w:val="000D30B9"/>
    <w:rsid w:val="000D34D0"/>
    <w:rsid w:val="000D3BF9"/>
    <w:rsid w:val="000D66B3"/>
    <w:rsid w:val="000D7125"/>
    <w:rsid w:val="000E024D"/>
    <w:rsid w:val="000E060D"/>
    <w:rsid w:val="000E08A9"/>
    <w:rsid w:val="000E24A6"/>
    <w:rsid w:val="000E2BB4"/>
    <w:rsid w:val="000E2D02"/>
    <w:rsid w:val="000E348A"/>
    <w:rsid w:val="000E4043"/>
    <w:rsid w:val="000E4C97"/>
    <w:rsid w:val="000E50F0"/>
    <w:rsid w:val="000E5955"/>
    <w:rsid w:val="000E7121"/>
    <w:rsid w:val="000E7A5A"/>
    <w:rsid w:val="000F041C"/>
    <w:rsid w:val="000F04B4"/>
    <w:rsid w:val="000F0A04"/>
    <w:rsid w:val="000F0D40"/>
    <w:rsid w:val="000F0E39"/>
    <w:rsid w:val="000F1C20"/>
    <w:rsid w:val="000F1D36"/>
    <w:rsid w:val="000F23B3"/>
    <w:rsid w:val="000F2E11"/>
    <w:rsid w:val="000F37F6"/>
    <w:rsid w:val="000F4005"/>
    <w:rsid w:val="000F490A"/>
    <w:rsid w:val="000F52A7"/>
    <w:rsid w:val="000F59B2"/>
    <w:rsid w:val="000F6F3C"/>
    <w:rsid w:val="000F762C"/>
    <w:rsid w:val="000F7DE8"/>
    <w:rsid w:val="00100417"/>
    <w:rsid w:val="001010E0"/>
    <w:rsid w:val="00102D02"/>
    <w:rsid w:val="001045A8"/>
    <w:rsid w:val="001066A2"/>
    <w:rsid w:val="0010692E"/>
    <w:rsid w:val="0010724B"/>
    <w:rsid w:val="00107F70"/>
    <w:rsid w:val="00110ED6"/>
    <w:rsid w:val="00111CF4"/>
    <w:rsid w:val="00112AA6"/>
    <w:rsid w:val="00113C14"/>
    <w:rsid w:val="00113E20"/>
    <w:rsid w:val="001148FE"/>
    <w:rsid w:val="00114B5C"/>
    <w:rsid w:val="00115CA3"/>
    <w:rsid w:val="00115F53"/>
    <w:rsid w:val="00116E36"/>
    <w:rsid w:val="0012055A"/>
    <w:rsid w:val="001218EE"/>
    <w:rsid w:val="00121A08"/>
    <w:rsid w:val="00123904"/>
    <w:rsid w:val="001243B6"/>
    <w:rsid w:val="001248E8"/>
    <w:rsid w:val="00124B2D"/>
    <w:rsid w:val="0012501C"/>
    <w:rsid w:val="001254C0"/>
    <w:rsid w:val="001261B3"/>
    <w:rsid w:val="00126228"/>
    <w:rsid w:val="00126630"/>
    <w:rsid w:val="00127727"/>
    <w:rsid w:val="001310AA"/>
    <w:rsid w:val="001314A8"/>
    <w:rsid w:val="0013195B"/>
    <w:rsid w:val="001327F5"/>
    <w:rsid w:val="00132A7D"/>
    <w:rsid w:val="0013307F"/>
    <w:rsid w:val="00133145"/>
    <w:rsid w:val="001331FA"/>
    <w:rsid w:val="0013586D"/>
    <w:rsid w:val="001359DC"/>
    <w:rsid w:val="00136681"/>
    <w:rsid w:val="00136C7D"/>
    <w:rsid w:val="0013704D"/>
    <w:rsid w:val="00137188"/>
    <w:rsid w:val="00137B2A"/>
    <w:rsid w:val="00140091"/>
    <w:rsid w:val="00140A15"/>
    <w:rsid w:val="00140EC8"/>
    <w:rsid w:val="00141044"/>
    <w:rsid w:val="001412EA"/>
    <w:rsid w:val="00142BE6"/>
    <w:rsid w:val="001433AA"/>
    <w:rsid w:val="00143690"/>
    <w:rsid w:val="001437FE"/>
    <w:rsid w:val="00143A17"/>
    <w:rsid w:val="00143E87"/>
    <w:rsid w:val="00144612"/>
    <w:rsid w:val="0014506F"/>
    <w:rsid w:val="00145472"/>
    <w:rsid w:val="00146EDB"/>
    <w:rsid w:val="001479BB"/>
    <w:rsid w:val="001479DB"/>
    <w:rsid w:val="00150762"/>
    <w:rsid w:val="001507AA"/>
    <w:rsid w:val="001509BF"/>
    <w:rsid w:val="00150B43"/>
    <w:rsid w:val="00151E68"/>
    <w:rsid w:val="00152139"/>
    <w:rsid w:val="001525FC"/>
    <w:rsid w:val="00155A5E"/>
    <w:rsid w:val="00155ABF"/>
    <w:rsid w:val="001566B3"/>
    <w:rsid w:val="001569A7"/>
    <w:rsid w:val="001577FD"/>
    <w:rsid w:val="001603DB"/>
    <w:rsid w:val="00160D82"/>
    <w:rsid w:val="0016182B"/>
    <w:rsid w:val="00161ACC"/>
    <w:rsid w:val="00162108"/>
    <w:rsid w:val="0016237E"/>
    <w:rsid w:val="00162384"/>
    <w:rsid w:val="00163054"/>
    <w:rsid w:val="001638AB"/>
    <w:rsid w:val="00164085"/>
    <w:rsid w:val="0016477D"/>
    <w:rsid w:val="001655B7"/>
    <w:rsid w:val="0016594C"/>
    <w:rsid w:val="001664B2"/>
    <w:rsid w:val="001668C4"/>
    <w:rsid w:val="00166CB0"/>
    <w:rsid w:val="00167628"/>
    <w:rsid w:val="0016777A"/>
    <w:rsid w:val="0016795C"/>
    <w:rsid w:val="00167BF8"/>
    <w:rsid w:val="0017005C"/>
    <w:rsid w:val="00170A15"/>
    <w:rsid w:val="00171539"/>
    <w:rsid w:val="0017273B"/>
    <w:rsid w:val="00172914"/>
    <w:rsid w:val="00174211"/>
    <w:rsid w:val="001744D8"/>
    <w:rsid w:val="0017489F"/>
    <w:rsid w:val="00175610"/>
    <w:rsid w:val="00175CC3"/>
    <w:rsid w:val="00175E3E"/>
    <w:rsid w:val="00176EB6"/>
    <w:rsid w:val="0017762F"/>
    <w:rsid w:val="00177B8E"/>
    <w:rsid w:val="00180853"/>
    <w:rsid w:val="00180C05"/>
    <w:rsid w:val="00180D8B"/>
    <w:rsid w:val="001812AB"/>
    <w:rsid w:val="001817F0"/>
    <w:rsid w:val="001818AF"/>
    <w:rsid w:val="00181BFF"/>
    <w:rsid w:val="00184BED"/>
    <w:rsid w:val="00184D5A"/>
    <w:rsid w:val="00185D01"/>
    <w:rsid w:val="001861B0"/>
    <w:rsid w:val="00187537"/>
    <w:rsid w:val="001901FE"/>
    <w:rsid w:val="00190A38"/>
    <w:rsid w:val="00190A8F"/>
    <w:rsid w:val="001910AF"/>
    <w:rsid w:val="0019228F"/>
    <w:rsid w:val="00192716"/>
    <w:rsid w:val="00192868"/>
    <w:rsid w:val="00193441"/>
    <w:rsid w:val="00193732"/>
    <w:rsid w:val="00194D81"/>
    <w:rsid w:val="0019623D"/>
    <w:rsid w:val="0019637E"/>
    <w:rsid w:val="00196567"/>
    <w:rsid w:val="00196735"/>
    <w:rsid w:val="00196CB7"/>
    <w:rsid w:val="00197652"/>
    <w:rsid w:val="00197EA3"/>
    <w:rsid w:val="001A00EB"/>
    <w:rsid w:val="001A20CB"/>
    <w:rsid w:val="001A250C"/>
    <w:rsid w:val="001A259E"/>
    <w:rsid w:val="001A28EB"/>
    <w:rsid w:val="001A2DBE"/>
    <w:rsid w:val="001A4458"/>
    <w:rsid w:val="001A4A08"/>
    <w:rsid w:val="001A5173"/>
    <w:rsid w:val="001B05DD"/>
    <w:rsid w:val="001B0754"/>
    <w:rsid w:val="001B0F21"/>
    <w:rsid w:val="001B1042"/>
    <w:rsid w:val="001B3B0C"/>
    <w:rsid w:val="001B3DF5"/>
    <w:rsid w:val="001B3E49"/>
    <w:rsid w:val="001B4051"/>
    <w:rsid w:val="001B4343"/>
    <w:rsid w:val="001B5C24"/>
    <w:rsid w:val="001B5DB9"/>
    <w:rsid w:val="001B5FA4"/>
    <w:rsid w:val="001C05AF"/>
    <w:rsid w:val="001C1320"/>
    <w:rsid w:val="001C1757"/>
    <w:rsid w:val="001C2894"/>
    <w:rsid w:val="001C2995"/>
    <w:rsid w:val="001C2FB1"/>
    <w:rsid w:val="001C33EE"/>
    <w:rsid w:val="001C4E22"/>
    <w:rsid w:val="001C5E73"/>
    <w:rsid w:val="001C60A1"/>
    <w:rsid w:val="001C7315"/>
    <w:rsid w:val="001D0F46"/>
    <w:rsid w:val="001D21E8"/>
    <w:rsid w:val="001D2261"/>
    <w:rsid w:val="001D2653"/>
    <w:rsid w:val="001D3097"/>
    <w:rsid w:val="001D3494"/>
    <w:rsid w:val="001D3B56"/>
    <w:rsid w:val="001D4534"/>
    <w:rsid w:val="001D48E3"/>
    <w:rsid w:val="001D5575"/>
    <w:rsid w:val="001D684E"/>
    <w:rsid w:val="001D68A6"/>
    <w:rsid w:val="001D7C48"/>
    <w:rsid w:val="001E02E4"/>
    <w:rsid w:val="001E0901"/>
    <w:rsid w:val="001E1485"/>
    <w:rsid w:val="001E2231"/>
    <w:rsid w:val="001E2391"/>
    <w:rsid w:val="001E2AEA"/>
    <w:rsid w:val="001E3020"/>
    <w:rsid w:val="001E513B"/>
    <w:rsid w:val="001E694B"/>
    <w:rsid w:val="001F00F8"/>
    <w:rsid w:val="001F0A40"/>
    <w:rsid w:val="001F0E2A"/>
    <w:rsid w:val="001F12EA"/>
    <w:rsid w:val="001F16E9"/>
    <w:rsid w:val="001F3915"/>
    <w:rsid w:val="001F56EF"/>
    <w:rsid w:val="001F7C7E"/>
    <w:rsid w:val="00200195"/>
    <w:rsid w:val="00200785"/>
    <w:rsid w:val="00200EAD"/>
    <w:rsid w:val="00201F8E"/>
    <w:rsid w:val="00202C2B"/>
    <w:rsid w:val="00203289"/>
    <w:rsid w:val="002032D3"/>
    <w:rsid w:val="00204E53"/>
    <w:rsid w:val="00206603"/>
    <w:rsid w:val="00206824"/>
    <w:rsid w:val="00206F0F"/>
    <w:rsid w:val="00207F30"/>
    <w:rsid w:val="00210089"/>
    <w:rsid w:val="002107A7"/>
    <w:rsid w:val="00210AF9"/>
    <w:rsid w:val="00210F60"/>
    <w:rsid w:val="002111FC"/>
    <w:rsid w:val="002115FF"/>
    <w:rsid w:val="00211FAA"/>
    <w:rsid w:val="002128AA"/>
    <w:rsid w:val="0021411A"/>
    <w:rsid w:val="002142E7"/>
    <w:rsid w:val="00215BBC"/>
    <w:rsid w:val="002174BA"/>
    <w:rsid w:val="002174BE"/>
    <w:rsid w:val="002176C8"/>
    <w:rsid w:val="00217738"/>
    <w:rsid w:val="0022127D"/>
    <w:rsid w:val="0022136F"/>
    <w:rsid w:val="00221CB5"/>
    <w:rsid w:val="00221EEB"/>
    <w:rsid w:val="0022254A"/>
    <w:rsid w:val="002225DC"/>
    <w:rsid w:val="002226ED"/>
    <w:rsid w:val="00222B92"/>
    <w:rsid w:val="002251FC"/>
    <w:rsid w:val="00225B10"/>
    <w:rsid w:val="0022698A"/>
    <w:rsid w:val="00227A66"/>
    <w:rsid w:val="00227EB5"/>
    <w:rsid w:val="00232103"/>
    <w:rsid w:val="00232C1E"/>
    <w:rsid w:val="002366CD"/>
    <w:rsid w:val="002370A7"/>
    <w:rsid w:val="0023732C"/>
    <w:rsid w:val="00237797"/>
    <w:rsid w:val="00237BC7"/>
    <w:rsid w:val="0024173A"/>
    <w:rsid w:val="00242F00"/>
    <w:rsid w:val="00243A60"/>
    <w:rsid w:val="00243B08"/>
    <w:rsid w:val="00243B33"/>
    <w:rsid w:val="00243D81"/>
    <w:rsid w:val="00246044"/>
    <w:rsid w:val="0025026F"/>
    <w:rsid w:val="002509E9"/>
    <w:rsid w:val="00250A52"/>
    <w:rsid w:val="00250AD0"/>
    <w:rsid w:val="002513A2"/>
    <w:rsid w:val="002514AA"/>
    <w:rsid w:val="0025348F"/>
    <w:rsid w:val="00253A60"/>
    <w:rsid w:val="00253D38"/>
    <w:rsid w:val="00253FF1"/>
    <w:rsid w:val="0025416C"/>
    <w:rsid w:val="00254DF0"/>
    <w:rsid w:val="00255EA6"/>
    <w:rsid w:val="00256613"/>
    <w:rsid w:val="002568DE"/>
    <w:rsid w:val="0025690B"/>
    <w:rsid w:val="00256B34"/>
    <w:rsid w:val="0026033F"/>
    <w:rsid w:val="00261527"/>
    <w:rsid w:val="00261C58"/>
    <w:rsid w:val="00261F04"/>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1787"/>
    <w:rsid w:val="002717A3"/>
    <w:rsid w:val="002726BC"/>
    <w:rsid w:val="002727F1"/>
    <w:rsid w:val="002747B0"/>
    <w:rsid w:val="00274BB3"/>
    <w:rsid w:val="002757C3"/>
    <w:rsid w:val="002758F7"/>
    <w:rsid w:val="00276B53"/>
    <w:rsid w:val="002776EB"/>
    <w:rsid w:val="002807BC"/>
    <w:rsid w:val="00280CAC"/>
    <w:rsid w:val="0028186A"/>
    <w:rsid w:val="00281E39"/>
    <w:rsid w:val="00281FB1"/>
    <w:rsid w:val="00282721"/>
    <w:rsid w:val="00282C40"/>
    <w:rsid w:val="00284894"/>
    <w:rsid w:val="00285588"/>
    <w:rsid w:val="002855EA"/>
    <w:rsid w:val="002909F6"/>
    <w:rsid w:val="00290A9F"/>
    <w:rsid w:val="00292DA1"/>
    <w:rsid w:val="00292FA1"/>
    <w:rsid w:val="00293401"/>
    <w:rsid w:val="00296755"/>
    <w:rsid w:val="00296A6A"/>
    <w:rsid w:val="00296C41"/>
    <w:rsid w:val="00297CE7"/>
    <w:rsid w:val="002A087F"/>
    <w:rsid w:val="002A0971"/>
    <w:rsid w:val="002A1057"/>
    <w:rsid w:val="002A11DF"/>
    <w:rsid w:val="002A134B"/>
    <w:rsid w:val="002A16BC"/>
    <w:rsid w:val="002A1FA6"/>
    <w:rsid w:val="002A2592"/>
    <w:rsid w:val="002A3893"/>
    <w:rsid w:val="002A3D0F"/>
    <w:rsid w:val="002A52A3"/>
    <w:rsid w:val="002A5C68"/>
    <w:rsid w:val="002A6307"/>
    <w:rsid w:val="002A633A"/>
    <w:rsid w:val="002A6899"/>
    <w:rsid w:val="002A6C1E"/>
    <w:rsid w:val="002A6E55"/>
    <w:rsid w:val="002A7C73"/>
    <w:rsid w:val="002B0467"/>
    <w:rsid w:val="002B19A0"/>
    <w:rsid w:val="002B1D5B"/>
    <w:rsid w:val="002B1F0C"/>
    <w:rsid w:val="002B2ACD"/>
    <w:rsid w:val="002B45B6"/>
    <w:rsid w:val="002B6A98"/>
    <w:rsid w:val="002B7714"/>
    <w:rsid w:val="002C06F4"/>
    <w:rsid w:val="002C073F"/>
    <w:rsid w:val="002C087C"/>
    <w:rsid w:val="002C091A"/>
    <w:rsid w:val="002C0A7C"/>
    <w:rsid w:val="002C1E94"/>
    <w:rsid w:val="002C2A01"/>
    <w:rsid w:val="002C3969"/>
    <w:rsid w:val="002C4A47"/>
    <w:rsid w:val="002C4BFB"/>
    <w:rsid w:val="002C50FA"/>
    <w:rsid w:val="002C68E6"/>
    <w:rsid w:val="002C7C00"/>
    <w:rsid w:val="002D09AB"/>
    <w:rsid w:val="002D0C18"/>
    <w:rsid w:val="002D0FA8"/>
    <w:rsid w:val="002D1D18"/>
    <w:rsid w:val="002D28A6"/>
    <w:rsid w:val="002D2BD1"/>
    <w:rsid w:val="002D33EB"/>
    <w:rsid w:val="002D3501"/>
    <w:rsid w:val="002D47EA"/>
    <w:rsid w:val="002D5599"/>
    <w:rsid w:val="002D5DA2"/>
    <w:rsid w:val="002D5FE6"/>
    <w:rsid w:val="002D673E"/>
    <w:rsid w:val="002D6908"/>
    <w:rsid w:val="002D6E71"/>
    <w:rsid w:val="002D6F6F"/>
    <w:rsid w:val="002D7216"/>
    <w:rsid w:val="002E0FE0"/>
    <w:rsid w:val="002E1234"/>
    <w:rsid w:val="002E282A"/>
    <w:rsid w:val="002E35BE"/>
    <w:rsid w:val="002E41ED"/>
    <w:rsid w:val="002E4423"/>
    <w:rsid w:val="002E48B2"/>
    <w:rsid w:val="002E5080"/>
    <w:rsid w:val="002E5103"/>
    <w:rsid w:val="002E5F0A"/>
    <w:rsid w:val="002E6F7D"/>
    <w:rsid w:val="002E73DF"/>
    <w:rsid w:val="002E7A64"/>
    <w:rsid w:val="002F0196"/>
    <w:rsid w:val="002F0845"/>
    <w:rsid w:val="002F0E94"/>
    <w:rsid w:val="002F3A90"/>
    <w:rsid w:val="002F3B4F"/>
    <w:rsid w:val="002F3D74"/>
    <w:rsid w:val="002F4CD2"/>
    <w:rsid w:val="002F4EAC"/>
    <w:rsid w:val="002F53D0"/>
    <w:rsid w:val="002F5589"/>
    <w:rsid w:val="002F5779"/>
    <w:rsid w:val="002F6E18"/>
    <w:rsid w:val="002F7C7C"/>
    <w:rsid w:val="00300409"/>
    <w:rsid w:val="00300621"/>
    <w:rsid w:val="0030150A"/>
    <w:rsid w:val="00301A61"/>
    <w:rsid w:val="00301A6C"/>
    <w:rsid w:val="003059B7"/>
    <w:rsid w:val="00306502"/>
    <w:rsid w:val="00306F7C"/>
    <w:rsid w:val="0030775B"/>
    <w:rsid w:val="00311DA1"/>
    <w:rsid w:val="00311E3C"/>
    <w:rsid w:val="003123A3"/>
    <w:rsid w:val="00312E8D"/>
    <w:rsid w:val="00313C03"/>
    <w:rsid w:val="003150B6"/>
    <w:rsid w:val="00315C4A"/>
    <w:rsid w:val="0031649B"/>
    <w:rsid w:val="00317C67"/>
    <w:rsid w:val="00317D20"/>
    <w:rsid w:val="00320793"/>
    <w:rsid w:val="00320F41"/>
    <w:rsid w:val="00321BDE"/>
    <w:rsid w:val="00321FA8"/>
    <w:rsid w:val="00322395"/>
    <w:rsid w:val="00322945"/>
    <w:rsid w:val="00322CA7"/>
    <w:rsid w:val="003237D5"/>
    <w:rsid w:val="003239D7"/>
    <w:rsid w:val="00324237"/>
    <w:rsid w:val="003244A3"/>
    <w:rsid w:val="00325A63"/>
    <w:rsid w:val="00325AD4"/>
    <w:rsid w:val="00325B31"/>
    <w:rsid w:val="00325CC4"/>
    <w:rsid w:val="0032688C"/>
    <w:rsid w:val="00326E7E"/>
    <w:rsid w:val="003301D4"/>
    <w:rsid w:val="003303D4"/>
    <w:rsid w:val="00330A52"/>
    <w:rsid w:val="0033262E"/>
    <w:rsid w:val="00332EF1"/>
    <w:rsid w:val="00334559"/>
    <w:rsid w:val="003353E2"/>
    <w:rsid w:val="00335F02"/>
    <w:rsid w:val="0033664C"/>
    <w:rsid w:val="003373C6"/>
    <w:rsid w:val="003415CD"/>
    <w:rsid w:val="00341838"/>
    <w:rsid w:val="003419E3"/>
    <w:rsid w:val="003435F0"/>
    <w:rsid w:val="003441F8"/>
    <w:rsid w:val="00345B6F"/>
    <w:rsid w:val="003466A5"/>
    <w:rsid w:val="00346B8D"/>
    <w:rsid w:val="00347606"/>
    <w:rsid w:val="003524AD"/>
    <w:rsid w:val="00352ECC"/>
    <w:rsid w:val="00353EC9"/>
    <w:rsid w:val="00354062"/>
    <w:rsid w:val="00354158"/>
    <w:rsid w:val="00354826"/>
    <w:rsid w:val="00355D0F"/>
    <w:rsid w:val="003567AA"/>
    <w:rsid w:val="003572FD"/>
    <w:rsid w:val="0035768B"/>
    <w:rsid w:val="00361737"/>
    <w:rsid w:val="00361C0C"/>
    <w:rsid w:val="00363332"/>
    <w:rsid w:val="00363BC7"/>
    <w:rsid w:val="003646E5"/>
    <w:rsid w:val="00365D6C"/>
    <w:rsid w:val="00367465"/>
    <w:rsid w:val="00367621"/>
    <w:rsid w:val="0036790A"/>
    <w:rsid w:val="003709DA"/>
    <w:rsid w:val="00372F79"/>
    <w:rsid w:val="00373A96"/>
    <w:rsid w:val="00373D78"/>
    <w:rsid w:val="0037404C"/>
    <w:rsid w:val="003741A5"/>
    <w:rsid w:val="00374E8E"/>
    <w:rsid w:val="00375132"/>
    <w:rsid w:val="00376794"/>
    <w:rsid w:val="00376ACC"/>
    <w:rsid w:val="00377763"/>
    <w:rsid w:val="00381148"/>
    <w:rsid w:val="0038156A"/>
    <w:rsid w:val="003815A3"/>
    <w:rsid w:val="00382131"/>
    <w:rsid w:val="00382153"/>
    <w:rsid w:val="00382C51"/>
    <w:rsid w:val="00384AAF"/>
    <w:rsid w:val="003854E8"/>
    <w:rsid w:val="00386C93"/>
    <w:rsid w:val="003877F0"/>
    <w:rsid w:val="00387E62"/>
    <w:rsid w:val="0039010F"/>
    <w:rsid w:val="00390BB7"/>
    <w:rsid w:val="003918EE"/>
    <w:rsid w:val="0039351A"/>
    <w:rsid w:val="00393553"/>
    <w:rsid w:val="00393930"/>
    <w:rsid w:val="00393BFD"/>
    <w:rsid w:val="00394906"/>
    <w:rsid w:val="0039565E"/>
    <w:rsid w:val="003957AC"/>
    <w:rsid w:val="00395C17"/>
    <w:rsid w:val="00396770"/>
    <w:rsid w:val="0039752F"/>
    <w:rsid w:val="00397E04"/>
    <w:rsid w:val="003A1A21"/>
    <w:rsid w:val="003A2344"/>
    <w:rsid w:val="003A25AC"/>
    <w:rsid w:val="003A358A"/>
    <w:rsid w:val="003A37CF"/>
    <w:rsid w:val="003A4E91"/>
    <w:rsid w:val="003A606F"/>
    <w:rsid w:val="003B0242"/>
    <w:rsid w:val="003B039B"/>
    <w:rsid w:val="003B1953"/>
    <w:rsid w:val="003B2753"/>
    <w:rsid w:val="003B2CA1"/>
    <w:rsid w:val="003B3024"/>
    <w:rsid w:val="003B4398"/>
    <w:rsid w:val="003B48E0"/>
    <w:rsid w:val="003B54A9"/>
    <w:rsid w:val="003B5A1C"/>
    <w:rsid w:val="003B6B49"/>
    <w:rsid w:val="003B77BD"/>
    <w:rsid w:val="003B7BD3"/>
    <w:rsid w:val="003C0904"/>
    <w:rsid w:val="003C09A2"/>
    <w:rsid w:val="003C0EB4"/>
    <w:rsid w:val="003C229E"/>
    <w:rsid w:val="003C2573"/>
    <w:rsid w:val="003C37B0"/>
    <w:rsid w:val="003C37BC"/>
    <w:rsid w:val="003C3EB4"/>
    <w:rsid w:val="003C3EDC"/>
    <w:rsid w:val="003C40E8"/>
    <w:rsid w:val="003C4233"/>
    <w:rsid w:val="003C4449"/>
    <w:rsid w:val="003C6A8F"/>
    <w:rsid w:val="003C6CFA"/>
    <w:rsid w:val="003D25AE"/>
    <w:rsid w:val="003D2CAA"/>
    <w:rsid w:val="003D3A7A"/>
    <w:rsid w:val="003D4016"/>
    <w:rsid w:val="003D5491"/>
    <w:rsid w:val="003D5720"/>
    <w:rsid w:val="003D6487"/>
    <w:rsid w:val="003D6D6C"/>
    <w:rsid w:val="003D721D"/>
    <w:rsid w:val="003D7288"/>
    <w:rsid w:val="003E1248"/>
    <w:rsid w:val="003E1CD9"/>
    <w:rsid w:val="003E27C0"/>
    <w:rsid w:val="003E33BF"/>
    <w:rsid w:val="003E34B7"/>
    <w:rsid w:val="003E418E"/>
    <w:rsid w:val="003E55B5"/>
    <w:rsid w:val="003E605A"/>
    <w:rsid w:val="003E79BA"/>
    <w:rsid w:val="003F136D"/>
    <w:rsid w:val="003F17F4"/>
    <w:rsid w:val="003F18D0"/>
    <w:rsid w:val="003F1A1A"/>
    <w:rsid w:val="003F1DA8"/>
    <w:rsid w:val="003F1EBA"/>
    <w:rsid w:val="003F1EE5"/>
    <w:rsid w:val="003F2814"/>
    <w:rsid w:val="003F2A32"/>
    <w:rsid w:val="003F2A81"/>
    <w:rsid w:val="003F2D69"/>
    <w:rsid w:val="003F2D98"/>
    <w:rsid w:val="003F2EC8"/>
    <w:rsid w:val="003F32CF"/>
    <w:rsid w:val="003F3A2C"/>
    <w:rsid w:val="003F4F9C"/>
    <w:rsid w:val="003F601C"/>
    <w:rsid w:val="003F6625"/>
    <w:rsid w:val="003F6D15"/>
    <w:rsid w:val="003F6DC2"/>
    <w:rsid w:val="003F7B63"/>
    <w:rsid w:val="003F7BA0"/>
    <w:rsid w:val="004005CD"/>
    <w:rsid w:val="00401BB7"/>
    <w:rsid w:val="00403AB3"/>
    <w:rsid w:val="00404152"/>
    <w:rsid w:val="00404453"/>
    <w:rsid w:val="00404AB6"/>
    <w:rsid w:val="0040538F"/>
    <w:rsid w:val="004055E2"/>
    <w:rsid w:val="00405F79"/>
    <w:rsid w:val="004067DB"/>
    <w:rsid w:val="004070DB"/>
    <w:rsid w:val="00407DD1"/>
    <w:rsid w:val="004100FF"/>
    <w:rsid w:val="00410FB9"/>
    <w:rsid w:val="0041150E"/>
    <w:rsid w:val="00411F09"/>
    <w:rsid w:val="00412F85"/>
    <w:rsid w:val="004142F6"/>
    <w:rsid w:val="004146C6"/>
    <w:rsid w:val="00414D0B"/>
    <w:rsid w:val="00416515"/>
    <w:rsid w:val="00416844"/>
    <w:rsid w:val="00416A2E"/>
    <w:rsid w:val="00416AE5"/>
    <w:rsid w:val="00417067"/>
    <w:rsid w:val="004204D3"/>
    <w:rsid w:val="00420933"/>
    <w:rsid w:val="00420954"/>
    <w:rsid w:val="004209F9"/>
    <w:rsid w:val="00420A4C"/>
    <w:rsid w:val="00421D6D"/>
    <w:rsid w:val="00422E56"/>
    <w:rsid w:val="00423280"/>
    <w:rsid w:val="004233FB"/>
    <w:rsid w:val="00423A55"/>
    <w:rsid w:val="0042446A"/>
    <w:rsid w:val="0042489F"/>
    <w:rsid w:val="004266CA"/>
    <w:rsid w:val="00430699"/>
    <w:rsid w:val="004306BC"/>
    <w:rsid w:val="00430D80"/>
    <w:rsid w:val="0043133F"/>
    <w:rsid w:val="0043186A"/>
    <w:rsid w:val="00432B60"/>
    <w:rsid w:val="0043326F"/>
    <w:rsid w:val="0043396E"/>
    <w:rsid w:val="00433CD9"/>
    <w:rsid w:val="0043516D"/>
    <w:rsid w:val="0043585F"/>
    <w:rsid w:val="004404E7"/>
    <w:rsid w:val="00441031"/>
    <w:rsid w:val="00442A6A"/>
    <w:rsid w:val="00442BDB"/>
    <w:rsid w:val="00445291"/>
    <w:rsid w:val="004479B6"/>
    <w:rsid w:val="00452684"/>
    <w:rsid w:val="0045341C"/>
    <w:rsid w:val="00453B78"/>
    <w:rsid w:val="00454484"/>
    <w:rsid w:val="00454C26"/>
    <w:rsid w:val="0045503A"/>
    <w:rsid w:val="00455B4A"/>
    <w:rsid w:val="00456165"/>
    <w:rsid w:val="00460149"/>
    <w:rsid w:val="004602F1"/>
    <w:rsid w:val="00460BD6"/>
    <w:rsid w:val="00461566"/>
    <w:rsid w:val="00461678"/>
    <w:rsid w:val="00461E68"/>
    <w:rsid w:val="0046216E"/>
    <w:rsid w:val="004634CD"/>
    <w:rsid w:val="00465629"/>
    <w:rsid w:val="00465779"/>
    <w:rsid w:val="00465C2D"/>
    <w:rsid w:val="00466CC5"/>
    <w:rsid w:val="00467439"/>
    <w:rsid w:val="004678BA"/>
    <w:rsid w:val="00467BEB"/>
    <w:rsid w:val="00467FE0"/>
    <w:rsid w:val="004708DE"/>
    <w:rsid w:val="00470AC5"/>
    <w:rsid w:val="00472593"/>
    <w:rsid w:val="00472ABC"/>
    <w:rsid w:val="00472ED7"/>
    <w:rsid w:val="004733BE"/>
    <w:rsid w:val="00473B8C"/>
    <w:rsid w:val="00473CB4"/>
    <w:rsid w:val="004758A2"/>
    <w:rsid w:val="00475961"/>
    <w:rsid w:val="004764A5"/>
    <w:rsid w:val="00477ECF"/>
    <w:rsid w:val="00480BEE"/>
    <w:rsid w:val="00480DFA"/>
    <w:rsid w:val="004810BA"/>
    <w:rsid w:val="0048125F"/>
    <w:rsid w:val="00482CE9"/>
    <w:rsid w:val="004837B4"/>
    <w:rsid w:val="004847D0"/>
    <w:rsid w:val="00485371"/>
    <w:rsid w:val="00485753"/>
    <w:rsid w:val="00485EA0"/>
    <w:rsid w:val="00486844"/>
    <w:rsid w:val="00486B8D"/>
    <w:rsid w:val="00486F8C"/>
    <w:rsid w:val="00487ADE"/>
    <w:rsid w:val="00490207"/>
    <w:rsid w:val="0049056D"/>
    <w:rsid w:val="00490E67"/>
    <w:rsid w:val="00491BBE"/>
    <w:rsid w:val="00492D49"/>
    <w:rsid w:val="00492DF3"/>
    <w:rsid w:val="00493EFA"/>
    <w:rsid w:val="004949C9"/>
    <w:rsid w:val="00494CF7"/>
    <w:rsid w:val="00495F6C"/>
    <w:rsid w:val="0049768D"/>
    <w:rsid w:val="00497740"/>
    <w:rsid w:val="00497A06"/>
    <w:rsid w:val="00497C3C"/>
    <w:rsid w:val="00497F11"/>
    <w:rsid w:val="00497F4C"/>
    <w:rsid w:val="004A1256"/>
    <w:rsid w:val="004A1D25"/>
    <w:rsid w:val="004A1F3B"/>
    <w:rsid w:val="004A34D1"/>
    <w:rsid w:val="004A4442"/>
    <w:rsid w:val="004A4716"/>
    <w:rsid w:val="004A4C45"/>
    <w:rsid w:val="004A636A"/>
    <w:rsid w:val="004A6596"/>
    <w:rsid w:val="004A694E"/>
    <w:rsid w:val="004A7817"/>
    <w:rsid w:val="004A78E3"/>
    <w:rsid w:val="004A7900"/>
    <w:rsid w:val="004A794C"/>
    <w:rsid w:val="004B010D"/>
    <w:rsid w:val="004B0BE7"/>
    <w:rsid w:val="004B1BD5"/>
    <w:rsid w:val="004B3487"/>
    <w:rsid w:val="004B3E9E"/>
    <w:rsid w:val="004B4939"/>
    <w:rsid w:val="004B56AB"/>
    <w:rsid w:val="004B6069"/>
    <w:rsid w:val="004B62CF"/>
    <w:rsid w:val="004B711E"/>
    <w:rsid w:val="004B758C"/>
    <w:rsid w:val="004C058D"/>
    <w:rsid w:val="004C05B4"/>
    <w:rsid w:val="004C086F"/>
    <w:rsid w:val="004C168F"/>
    <w:rsid w:val="004C271B"/>
    <w:rsid w:val="004C4A2E"/>
    <w:rsid w:val="004C4A7E"/>
    <w:rsid w:val="004C638F"/>
    <w:rsid w:val="004C6641"/>
    <w:rsid w:val="004C6CED"/>
    <w:rsid w:val="004C71E1"/>
    <w:rsid w:val="004D03B3"/>
    <w:rsid w:val="004D03CA"/>
    <w:rsid w:val="004D0456"/>
    <w:rsid w:val="004D083F"/>
    <w:rsid w:val="004D14CD"/>
    <w:rsid w:val="004D2851"/>
    <w:rsid w:val="004D3D21"/>
    <w:rsid w:val="004D4655"/>
    <w:rsid w:val="004D4861"/>
    <w:rsid w:val="004D4984"/>
    <w:rsid w:val="004D4B77"/>
    <w:rsid w:val="004D4D4C"/>
    <w:rsid w:val="004D5B37"/>
    <w:rsid w:val="004D5F60"/>
    <w:rsid w:val="004D7505"/>
    <w:rsid w:val="004D769A"/>
    <w:rsid w:val="004D7A7F"/>
    <w:rsid w:val="004D7CBF"/>
    <w:rsid w:val="004E01A2"/>
    <w:rsid w:val="004E1648"/>
    <w:rsid w:val="004E17E1"/>
    <w:rsid w:val="004E1E18"/>
    <w:rsid w:val="004E2C82"/>
    <w:rsid w:val="004E36E2"/>
    <w:rsid w:val="004E4C32"/>
    <w:rsid w:val="004E5469"/>
    <w:rsid w:val="004E5E66"/>
    <w:rsid w:val="004E605D"/>
    <w:rsid w:val="004E6F33"/>
    <w:rsid w:val="004F0AF9"/>
    <w:rsid w:val="004F11E5"/>
    <w:rsid w:val="004F125B"/>
    <w:rsid w:val="004F25CC"/>
    <w:rsid w:val="004F272B"/>
    <w:rsid w:val="004F3149"/>
    <w:rsid w:val="004F35C5"/>
    <w:rsid w:val="004F4285"/>
    <w:rsid w:val="004F42CA"/>
    <w:rsid w:val="004F55BA"/>
    <w:rsid w:val="004F5EC4"/>
    <w:rsid w:val="004F753C"/>
    <w:rsid w:val="004F7BB1"/>
    <w:rsid w:val="0050095A"/>
    <w:rsid w:val="00501A0E"/>
    <w:rsid w:val="00502199"/>
    <w:rsid w:val="00502550"/>
    <w:rsid w:val="00502CAA"/>
    <w:rsid w:val="00503B4D"/>
    <w:rsid w:val="00503BB4"/>
    <w:rsid w:val="00503FF4"/>
    <w:rsid w:val="00504484"/>
    <w:rsid w:val="005044D0"/>
    <w:rsid w:val="00504687"/>
    <w:rsid w:val="0050617C"/>
    <w:rsid w:val="00507DCE"/>
    <w:rsid w:val="005101FD"/>
    <w:rsid w:val="005104DB"/>
    <w:rsid w:val="005107B4"/>
    <w:rsid w:val="00511664"/>
    <w:rsid w:val="00511B9A"/>
    <w:rsid w:val="00511DBD"/>
    <w:rsid w:val="00512554"/>
    <w:rsid w:val="00513B70"/>
    <w:rsid w:val="00513C79"/>
    <w:rsid w:val="0051409E"/>
    <w:rsid w:val="00515380"/>
    <w:rsid w:val="00515FC9"/>
    <w:rsid w:val="00516FC7"/>
    <w:rsid w:val="00517837"/>
    <w:rsid w:val="00520D4B"/>
    <w:rsid w:val="00520E14"/>
    <w:rsid w:val="00522237"/>
    <w:rsid w:val="00524437"/>
    <w:rsid w:val="0052454D"/>
    <w:rsid w:val="005245FB"/>
    <w:rsid w:val="00524B1B"/>
    <w:rsid w:val="00524E22"/>
    <w:rsid w:val="00525A4A"/>
    <w:rsid w:val="00526306"/>
    <w:rsid w:val="00527866"/>
    <w:rsid w:val="00527AE1"/>
    <w:rsid w:val="00530959"/>
    <w:rsid w:val="00533F86"/>
    <w:rsid w:val="00534A2F"/>
    <w:rsid w:val="00534FCA"/>
    <w:rsid w:val="005353E8"/>
    <w:rsid w:val="005374A8"/>
    <w:rsid w:val="00537591"/>
    <w:rsid w:val="00537B92"/>
    <w:rsid w:val="00537FD0"/>
    <w:rsid w:val="005413FD"/>
    <w:rsid w:val="00541977"/>
    <w:rsid w:val="00542BDF"/>
    <w:rsid w:val="00542E4A"/>
    <w:rsid w:val="005447C6"/>
    <w:rsid w:val="00550151"/>
    <w:rsid w:val="005501CF"/>
    <w:rsid w:val="00551C94"/>
    <w:rsid w:val="005524A5"/>
    <w:rsid w:val="00553157"/>
    <w:rsid w:val="00553F7A"/>
    <w:rsid w:val="00554CEB"/>
    <w:rsid w:val="005557AF"/>
    <w:rsid w:val="00555E8B"/>
    <w:rsid w:val="00556755"/>
    <w:rsid w:val="00556802"/>
    <w:rsid w:val="00557DE9"/>
    <w:rsid w:val="00557F17"/>
    <w:rsid w:val="00557FF3"/>
    <w:rsid w:val="005602E4"/>
    <w:rsid w:val="0056302C"/>
    <w:rsid w:val="00563A48"/>
    <w:rsid w:val="00564239"/>
    <w:rsid w:val="00564510"/>
    <w:rsid w:val="00564892"/>
    <w:rsid w:val="005651E0"/>
    <w:rsid w:val="00566D9B"/>
    <w:rsid w:val="00567AA6"/>
    <w:rsid w:val="0057057E"/>
    <w:rsid w:val="0057087F"/>
    <w:rsid w:val="00571F90"/>
    <w:rsid w:val="0057278B"/>
    <w:rsid w:val="005729A1"/>
    <w:rsid w:val="005730AB"/>
    <w:rsid w:val="00573432"/>
    <w:rsid w:val="00574384"/>
    <w:rsid w:val="005748D1"/>
    <w:rsid w:val="0057744B"/>
    <w:rsid w:val="005809F6"/>
    <w:rsid w:val="0058104E"/>
    <w:rsid w:val="0058265A"/>
    <w:rsid w:val="00582CE7"/>
    <w:rsid w:val="00582E21"/>
    <w:rsid w:val="00582F46"/>
    <w:rsid w:val="005843E5"/>
    <w:rsid w:val="00585564"/>
    <w:rsid w:val="00585597"/>
    <w:rsid w:val="00585BB2"/>
    <w:rsid w:val="00586734"/>
    <w:rsid w:val="0058730B"/>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24C"/>
    <w:rsid w:val="0059465D"/>
    <w:rsid w:val="00594C7F"/>
    <w:rsid w:val="00596094"/>
    <w:rsid w:val="00596396"/>
    <w:rsid w:val="00596596"/>
    <w:rsid w:val="00597808"/>
    <w:rsid w:val="005A0C1C"/>
    <w:rsid w:val="005A10D1"/>
    <w:rsid w:val="005A34F1"/>
    <w:rsid w:val="005A3A5E"/>
    <w:rsid w:val="005A3E82"/>
    <w:rsid w:val="005A5C7F"/>
    <w:rsid w:val="005A7B39"/>
    <w:rsid w:val="005B1B78"/>
    <w:rsid w:val="005B1BDA"/>
    <w:rsid w:val="005B1CB8"/>
    <w:rsid w:val="005B2241"/>
    <w:rsid w:val="005B2E6A"/>
    <w:rsid w:val="005B314D"/>
    <w:rsid w:val="005B485C"/>
    <w:rsid w:val="005B4E19"/>
    <w:rsid w:val="005B4F0C"/>
    <w:rsid w:val="005B5DE1"/>
    <w:rsid w:val="005B7C17"/>
    <w:rsid w:val="005B7DA8"/>
    <w:rsid w:val="005C19E4"/>
    <w:rsid w:val="005C2638"/>
    <w:rsid w:val="005C26D2"/>
    <w:rsid w:val="005C2EC0"/>
    <w:rsid w:val="005C3BDA"/>
    <w:rsid w:val="005C4134"/>
    <w:rsid w:val="005C4350"/>
    <w:rsid w:val="005C4382"/>
    <w:rsid w:val="005C58C8"/>
    <w:rsid w:val="005C633A"/>
    <w:rsid w:val="005C6F49"/>
    <w:rsid w:val="005C76FA"/>
    <w:rsid w:val="005C7F64"/>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44D"/>
    <w:rsid w:val="005E14DD"/>
    <w:rsid w:val="005E1640"/>
    <w:rsid w:val="005E1BF9"/>
    <w:rsid w:val="005E2C8E"/>
    <w:rsid w:val="005E30B2"/>
    <w:rsid w:val="005E391B"/>
    <w:rsid w:val="005E4CEA"/>
    <w:rsid w:val="005E4F1E"/>
    <w:rsid w:val="005E5219"/>
    <w:rsid w:val="005E63F8"/>
    <w:rsid w:val="005E6AA5"/>
    <w:rsid w:val="005E7106"/>
    <w:rsid w:val="005E7DF8"/>
    <w:rsid w:val="005F076D"/>
    <w:rsid w:val="005F0DAB"/>
    <w:rsid w:val="005F2A8D"/>
    <w:rsid w:val="005F2E6F"/>
    <w:rsid w:val="005F3825"/>
    <w:rsid w:val="005F733E"/>
    <w:rsid w:val="005F76C3"/>
    <w:rsid w:val="00600207"/>
    <w:rsid w:val="00600A48"/>
    <w:rsid w:val="006016E2"/>
    <w:rsid w:val="00601F0F"/>
    <w:rsid w:val="006039AA"/>
    <w:rsid w:val="00603E13"/>
    <w:rsid w:val="006052DC"/>
    <w:rsid w:val="00605756"/>
    <w:rsid w:val="00605D54"/>
    <w:rsid w:val="006060D0"/>
    <w:rsid w:val="00607FCD"/>
    <w:rsid w:val="00610341"/>
    <w:rsid w:val="00610390"/>
    <w:rsid w:val="00610A97"/>
    <w:rsid w:val="00610DA4"/>
    <w:rsid w:val="006116C9"/>
    <w:rsid w:val="00612582"/>
    <w:rsid w:val="00613400"/>
    <w:rsid w:val="0061358D"/>
    <w:rsid w:val="006145D3"/>
    <w:rsid w:val="00614AB0"/>
    <w:rsid w:val="006158B0"/>
    <w:rsid w:val="00615BA8"/>
    <w:rsid w:val="00616400"/>
    <w:rsid w:val="00617A6B"/>
    <w:rsid w:val="006203EB"/>
    <w:rsid w:val="006219C1"/>
    <w:rsid w:val="00622D1F"/>
    <w:rsid w:val="00624398"/>
    <w:rsid w:val="006254D3"/>
    <w:rsid w:val="00625D99"/>
    <w:rsid w:val="00626651"/>
    <w:rsid w:val="00630315"/>
    <w:rsid w:val="006319EB"/>
    <w:rsid w:val="00632141"/>
    <w:rsid w:val="00633834"/>
    <w:rsid w:val="00634A84"/>
    <w:rsid w:val="00635B8A"/>
    <w:rsid w:val="00636B02"/>
    <w:rsid w:val="00640E94"/>
    <w:rsid w:val="00641CBB"/>
    <w:rsid w:val="00643051"/>
    <w:rsid w:val="00643350"/>
    <w:rsid w:val="00643662"/>
    <w:rsid w:val="006476FF"/>
    <w:rsid w:val="00650CC9"/>
    <w:rsid w:val="006511CF"/>
    <w:rsid w:val="00652081"/>
    <w:rsid w:val="00652A50"/>
    <w:rsid w:val="00652CDE"/>
    <w:rsid w:val="0065378F"/>
    <w:rsid w:val="00653AB6"/>
    <w:rsid w:val="00653E0A"/>
    <w:rsid w:val="0065510D"/>
    <w:rsid w:val="00655A9E"/>
    <w:rsid w:val="00655ACB"/>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4C79"/>
    <w:rsid w:val="00665366"/>
    <w:rsid w:val="00665397"/>
    <w:rsid w:val="00665D71"/>
    <w:rsid w:val="006660FF"/>
    <w:rsid w:val="00666543"/>
    <w:rsid w:val="006665EA"/>
    <w:rsid w:val="0066669F"/>
    <w:rsid w:val="00667981"/>
    <w:rsid w:val="00667CA3"/>
    <w:rsid w:val="0067213D"/>
    <w:rsid w:val="00672286"/>
    <w:rsid w:val="00672580"/>
    <w:rsid w:val="0067270F"/>
    <w:rsid w:val="00673A9F"/>
    <w:rsid w:val="00674EFF"/>
    <w:rsid w:val="00675DA5"/>
    <w:rsid w:val="00676205"/>
    <w:rsid w:val="00676CB9"/>
    <w:rsid w:val="006774D4"/>
    <w:rsid w:val="0067782C"/>
    <w:rsid w:val="0068044E"/>
    <w:rsid w:val="006806DF"/>
    <w:rsid w:val="00680803"/>
    <w:rsid w:val="00680A76"/>
    <w:rsid w:val="006811D1"/>
    <w:rsid w:val="006817A4"/>
    <w:rsid w:val="006819F1"/>
    <w:rsid w:val="00681AF1"/>
    <w:rsid w:val="00681E92"/>
    <w:rsid w:val="00681FFA"/>
    <w:rsid w:val="00682473"/>
    <w:rsid w:val="00683DCA"/>
    <w:rsid w:val="0068401B"/>
    <w:rsid w:val="0068454F"/>
    <w:rsid w:val="00684DB1"/>
    <w:rsid w:val="0068599B"/>
    <w:rsid w:val="00685B15"/>
    <w:rsid w:val="0068601B"/>
    <w:rsid w:val="006862F6"/>
    <w:rsid w:val="00686335"/>
    <w:rsid w:val="006871DF"/>
    <w:rsid w:val="0068740D"/>
    <w:rsid w:val="00687BB4"/>
    <w:rsid w:val="00690181"/>
    <w:rsid w:val="006908C1"/>
    <w:rsid w:val="006912A9"/>
    <w:rsid w:val="0069184D"/>
    <w:rsid w:val="00691C6A"/>
    <w:rsid w:val="00691CF0"/>
    <w:rsid w:val="006936D1"/>
    <w:rsid w:val="00693C60"/>
    <w:rsid w:val="0069502F"/>
    <w:rsid w:val="0069571F"/>
    <w:rsid w:val="00695D44"/>
    <w:rsid w:val="00696255"/>
    <w:rsid w:val="006A11C5"/>
    <w:rsid w:val="006A1A12"/>
    <w:rsid w:val="006A1E69"/>
    <w:rsid w:val="006A262E"/>
    <w:rsid w:val="006A36EB"/>
    <w:rsid w:val="006A3AD6"/>
    <w:rsid w:val="006A401D"/>
    <w:rsid w:val="006A5744"/>
    <w:rsid w:val="006A7035"/>
    <w:rsid w:val="006A716E"/>
    <w:rsid w:val="006A74F5"/>
    <w:rsid w:val="006B0261"/>
    <w:rsid w:val="006B053C"/>
    <w:rsid w:val="006B09BA"/>
    <w:rsid w:val="006B1446"/>
    <w:rsid w:val="006B3EB1"/>
    <w:rsid w:val="006B40A8"/>
    <w:rsid w:val="006B4712"/>
    <w:rsid w:val="006B4928"/>
    <w:rsid w:val="006B50D3"/>
    <w:rsid w:val="006B5757"/>
    <w:rsid w:val="006B79D5"/>
    <w:rsid w:val="006C0B06"/>
    <w:rsid w:val="006C15B5"/>
    <w:rsid w:val="006C1C04"/>
    <w:rsid w:val="006C25C2"/>
    <w:rsid w:val="006C27F1"/>
    <w:rsid w:val="006C2CC9"/>
    <w:rsid w:val="006C2ED2"/>
    <w:rsid w:val="006C4C28"/>
    <w:rsid w:val="006C4DB2"/>
    <w:rsid w:val="006C7734"/>
    <w:rsid w:val="006C78DE"/>
    <w:rsid w:val="006C793A"/>
    <w:rsid w:val="006D0311"/>
    <w:rsid w:val="006D07F2"/>
    <w:rsid w:val="006D0E17"/>
    <w:rsid w:val="006D1312"/>
    <w:rsid w:val="006D14F9"/>
    <w:rsid w:val="006D3608"/>
    <w:rsid w:val="006D37B6"/>
    <w:rsid w:val="006D40EB"/>
    <w:rsid w:val="006D48DF"/>
    <w:rsid w:val="006D5D2B"/>
    <w:rsid w:val="006D6D1B"/>
    <w:rsid w:val="006D6D2C"/>
    <w:rsid w:val="006D6F94"/>
    <w:rsid w:val="006D72BE"/>
    <w:rsid w:val="006D775F"/>
    <w:rsid w:val="006E034B"/>
    <w:rsid w:val="006E041D"/>
    <w:rsid w:val="006E05D8"/>
    <w:rsid w:val="006E0E79"/>
    <w:rsid w:val="006E159E"/>
    <w:rsid w:val="006E16B1"/>
    <w:rsid w:val="006E1B73"/>
    <w:rsid w:val="006E38DF"/>
    <w:rsid w:val="006E39DE"/>
    <w:rsid w:val="006E42AB"/>
    <w:rsid w:val="006E52F9"/>
    <w:rsid w:val="006E670F"/>
    <w:rsid w:val="006E6860"/>
    <w:rsid w:val="006E7B76"/>
    <w:rsid w:val="006E7D9A"/>
    <w:rsid w:val="006F0464"/>
    <w:rsid w:val="006F0CA7"/>
    <w:rsid w:val="006F33F6"/>
    <w:rsid w:val="006F4BDA"/>
    <w:rsid w:val="006F4C3F"/>
    <w:rsid w:val="006F5D9E"/>
    <w:rsid w:val="006F60FE"/>
    <w:rsid w:val="006F6C8D"/>
    <w:rsid w:val="006F760B"/>
    <w:rsid w:val="00700519"/>
    <w:rsid w:val="00702F60"/>
    <w:rsid w:val="00704B71"/>
    <w:rsid w:val="00704E05"/>
    <w:rsid w:val="0070506E"/>
    <w:rsid w:val="007068E6"/>
    <w:rsid w:val="00706B06"/>
    <w:rsid w:val="00707345"/>
    <w:rsid w:val="00707EDC"/>
    <w:rsid w:val="00710870"/>
    <w:rsid w:val="007112A2"/>
    <w:rsid w:val="00711CA4"/>
    <w:rsid w:val="00711F8C"/>
    <w:rsid w:val="00712270"/>
    <w:rsid w:val="00712EBF"/>
    <w:rsid w:val="00713452"/>
    <w:rsid w:val="007138BD"/>
    <w:rsid w:val="00714192"/>
    <w:rsid w:val="0071436F"/>
    <w:rsid w:val="00714AFD"/>
    <w:rsid w:val="00714EDB"/>
    <w:rsid w:val="00715182"/>
    <w:rsid w:val="0071558F"/>
    <w:rsid w:val="00716292"/>
    <w:rsid w:val="00716A7C"/>
    <w:rsid w:val="007175A8"/>
    <w:rsid w:val="007204E7"/>
    <w:rsid w:val="0072162E"/>
    <w:rsid w:val="00721820"/>
    <w:rsid w:val="007219CE"/>
    <w:rsid w:val="0072293E"/>
    <w:rsid w:val="00722B2F"/>
    <w:rsid w:val="00722DA5"/>
    <w:rsid w:val="00722EC7"/>
    <w:rsid w:val="0072310A"/>
    <w:rsid w:val="007239E8"/>
    <w:rsid w:val="00724191"/>
    <w:rsid w:val="007259B3"/>
    <w:rsid w:val="007262DA"/>
    <w:rsid w:val="00726952"/>
    <w:rsid w:val="00726C1A"/>
    <w:rsid w:val="007272EF"/>
    <w:rsid w:val="00730F29"/>
    <w:rsid w:val="007313C5"/>
    <w:rsid w:val="00733028"/>
    <w:rsid w:val="00734133"/>
    <w:rsid w:val="0073473E"/>
    <w:rsid w:val="00734B1C"/>
    <w:rsid w:val="007371B6"/>
    <w:rsid w:val="00740171"/>
    <w:rsid w:val="00740915"/>
    <w:rsid w:val="00741A4C"/>
    <w:rsid w:val="00741D0C"/>
    <w:rsid w:val="0074210C"/>
    <w:rsid w:val="00742234"/>
    <w:rsid w:val="0074434B"/>
    <w:rsid w:val="0074503B"/>
    <w:rsid w:val="00745828"/>
    <w:rsid w:val="0074780F"/>
    <w:rsid w:val="007479D7"/>
    <w:rsid w:val="00747E79"/>
    <w:rsid w:val="007500C0"/>
    <w:rsid w:val="0075051F"/>
    <w:rsid w:val="00750EDE"/>
    <w:rsid w:val="0075114A"/>
    <w:rsid w:val="00752EBB"/>
    <w:rsid w:val="007566DF"/>
    <w:rsid w:val="00756DFF"/>
    <w:rsid w:val="00760094"/>
    <w:rsid w:val="007601AB"/>
    <w:rsid w:val="00760D6C"/>
    <w:rsid w:val="00761C3C"/>
    <w:rsid w:val="007634AB"/>
    <w:rsid w:val="00763C78"/>
    <w:rsid w:val="00763E2D"/>
    <w:rsid w:val="00764A88"/>
    <w:rsid w:val="007651A2"/>
    <w:rsid w:val="00765BC2"/>
    <w:rsid w:val="00765CD3"/>
    <w:rsid w:val="007678F0"/>
    <w:rsid w:val="00770765"/>
    <w:rsid w:val="007732A5"/>
    <w:rsid w:val="0077386A"/>
    <w:rsid w:val="00774148"/>
    <w:rsid w:val="007748F7"/>
    <w:rsid w:val="00774C7E"/>
    <w:rsid w:val="00777698"/>
    <w:rsid w:val="007777BC"/>
    <w:rsid w:val="00780212"/>
    <w:rsid w:val="00780447"/>
    <w:rsid w:val="0078122C"/>
    <w:rsid w:val="00781394"/>
    <w:rsid w:val="0078192B"/>
    <w:rsid w:val="00784F4E"/>
    <w:rsid w:val="00786F84"/>
    <w:rsid w:val="00787143"/>
    <w:rsid w:val="00787792"/>
    <w:rsid w:val="007879A0"/>
    <w:rsid w:val="00787F1E"/>
    <w:rsid w:val="00787F86"/>
    <w:rsid w:val="007900B1"/>
    <w:rsid w:val="00790349"/>
    <w:rsid w:val="00790A7B"/>
    <w:rsid w:val="007912BD"/>
    <w:rsid w:val="007916C8"/>
    <w:rsid w:val="007916DE"/>
    <w:rsid w:val="00793ED4"/>
    <w:rsid w:val="00794888"/>
    <w:rsid w:val="00794A7D"/>
    <w:rsid w:val="00794BAC"/>
    <w:rsid w:val="00795240"/>
    <w:rsid w:val="007952D8"/>
    <w:rsid w:val="007955DE"/>
    <w:rsid w:val="007964B6"/>
    <w:rsid w:val="00796AB9"/>
    <w:rsid w:val="00796F84"/>
    <w:rsid w:val="007A0359"/>
    <w:rsid w:val="007A038A"/>
    <w:rsid w:val="007A09DE"/>
    <w:rsid w:val="007A1C4B"/>
    <w:rsid w:val="007A217C"/>
    <w:rsid w:val="007A264B"/>
    <w:rsid w:val="007A3634"/>
    <w:rsid w:val="007A50D7"/>
    <w:rsid w:val="007A524A"/>
    <w:rsid w:val="007A52B5"/>
    <w:rsid w:val="007A693A"/>
    <w:rsid w:val="007B071B"/>
    <w:rsid w:val="007B0D7A"/>
    <w:rsid w:val="007B2007"/>
    <w:rsid w:val="007B3174"/>
    <w:rsid w:val="007B413A"/>
    <w:rsid w:val="007B43E3"/>
    <w:rsid w:val="007B46B9"/>
    <w:rsid w:val="007B51EC"/>
    <w:rsid w:val="007B6603"/>
    <w:rsid w:val="007B6F24"/>
    <w:rsid w:val="007B7148"/>
    <w:rsid w:val="007B725E"/>
    <w:rsid w:val="007B7275"/>
    <w:rsid w:val="007B76A0"/>
    <w:rsid w:val="007B7904"/>
    <w:rsid w:val="007C0025"/>
    <w:rsid w:val="007C010B"/>
    <w:rsid w:val="007C13E4"/>
    <w:rsid w:val="007C1797"/>
    <w:rsid w:val="007C19D3"/>
    <w:rsid w:val="007C1CE4"/>
    <w:rsid w:val="007C1DE6"/>
    <w:rsid w:val="007C2E45"/>
    <w:rsid w:val="007C30B2"/>
    <w:rsid w:val="007C341F"/>
    <w:rsid w:val="007C3CEF"/>
    <w:rsid w:val="007C3DA2"/>
    <w:rsid w:val="007C4003"/>
    <w:rsid w:val="007C56FC"/>
    <w:rsid w:val="007C6142"/>
    <w:rsid w:val="007C7110"/>
    <w:rsid w:val="007C7EDA"/>
    <w:rsid w:val="007D0116"/>
    <w:rsid w:val="007D2984"/>
    <w:rsid w:val="007D3C38"/>
    <w:rsid w:val="007D422A"/>
    <w:rsid w:val="007D470E"/>
    <w:rsid w:val="007D4C5C"/>
    <w:rsid w:val="007D4D04"/>
    <w:rsid w:val="007D4E77"/>
    <w:rsid w:val="007D50A4"/>
    <w:rsid w:val="007D6872"/>
    <w:rsid w:val="007D6CEF"/>
    <w:rsid w:val="007D728F"/>
    <w:rsid w:val="007D794D"/>
    <w:rsid w:val="007D7C2F"/>
    <w:rsid w:val="007D7CC7"/>
    <w:rsid w:val="007E09D2"/>
    <w:rsid w:val="007E28A2"/>
    <w:rsid w:val="007E29A4"/>
    <w:rsid w:val="007E3002"/>
    <w:rsid w:val="007E3032"/>
    <w:rsid w:val="007E37E0"/>
    <w:rsid w:val="007E3D13"/>
    <w:rsid w:val="007E42D5"/>
    <w:rsid w:val="007E45D1"/>
    <w:rsid w:val="007E572D"/>
    <w:rsid w:val="007E58DF"/>
    <w:rsid w:val="007E5BA0"/>
    <w:rsid w:val="007E5D84"/>
    <w:rsid w:val="007E5F4F"/>
    <w:rsid w:val="007E64EB"/>
    <w:rsid w:val="007E689E"/>
    <w:rsid w:val="007E692E"/>
    <w:rsid w:val="007E76AC"/>
    <w:rsid w:val="007E7DB7"/>
    <w:rsid w:val="007E7EDE"/>
    <w:rsid w:val="007F0294"/>
    <w:rsid w:val="007F0435"/>
    <w:rsid w:val="007F06D7"/>
    <w:rsid w:val="007F09B0"/>
    <w:rsid w:val="007F1060"/>
    <w:rsid w:val="007F1B32"/>
    <w:rsid w:val="007F1DA1"/>
    <w:rsid w:val="007F2256"/>
    <w:rsid w:val="007F265A"/>
    <w:rsid w:val="007F2EDA"/>
    <w:rsid w:val="007F3746"/>
    <w:rsid w:val="007F3EA4"/>
    <w:rsid w:val="007F4174"/>
    <w:rsid w:val="007F4E35"/>
    <w:rsid w:val="007F5450"/>
    <w:rsid w:val="007F5A13"/>
    <w:rsid w:val="007F6A9D"/>
    <w:rsid w:val="007F6C03"/>
    <w:rsid w:val="007F72D9"/>
    <w:rsid w:val="007F7E67"/>
    <w:rsid w:val="00801246"/>
    <w:rsid w:val="00801D04"/>
    <w:rsid w:val="00802ACC"/>
    <w:rsid w:val="00802BCB"/>
    <w:rsid w:val="00803700"/>
    <w:rsid w:val="00803A83"/>
    <w:rsid w:val="00804023"/>
    <w:rsid w:val="008069EB"/>
    <w:rsid w:val="00807920"/>
    <w:rsid w:val="00807BFB"/>
    <w:rsid w:val="00807C0C"/>
    <w:rsid w:val="008108AB"/>
    <w:rsid w:val="00812215"/>
    <w:rsid w:val="00812D69"/>
    <w:rsid w:val="00813661"/>
    <w:rsid w:val="00814872"/>
    <w:rsid w:val="00814B2E"/>
    <w:rsid w:val="00814CD3"/>
    <w:rsid w:val="00814F7A"/>
    <w:rsid w:val="00815C2C"/>
    <w:rsid w:val="00817414"/>
    <w:rsid w:val="00817876"/>
    <w:rsid w:val="00821648"/>
    <w:rsid w:val="00821B30"/>
    <w:rsid w:val="008228E3"/>
    <w:rsid w:val="008233AF"/>
    <w:rsid w:val="0082398C"/>
    <w:rsid w:val="00823BFE"/>
    <w:rsid w:val="00825E6E"/>
    <w:rsid w:val="00826186"/>
    <w:rsid w:val="008272EF"/>
    <w:rsid w:val="00827622"/>
    <w:rsid w:val="00830E92"/>
    <w:rsid w:val="0083228E"/>
    <w:rsid w:val="008329CF"/>
    <w:rsid w:val="00832B64"/>
    <w:rsid w:val="00833992"/>
    <w:rsid w:val="00834A08"/>
    <w:rsid w:val="0083536B"/>
    <w:rsid w:val="0083638D"/>
    <w:rsid w:val="00836CF3"/>
    <w:rsid w:val="00837E3B"/>
    <w:rsid w:val="00840CAF"/>
    <w:rsid w:val="008418FE"/>
    <w:rsid w:val="00841B7E"/>
    <w:rsid w:val="008420FF"/>
    <w:rsid w:val="008426C6"/>
    <w:rsid w:val="00845A09"/>
    <w:rsid w:val="0084663C"/>
    <w:rsid w:val="008466E7"/>
    <w:rsid w:val="00846CA5"/>
    <w:rsid w:val="0085014D"/>
    <w:rsid w:val="00850AAD"/>
    <w:rsid w:val="008510DA"/>
    <w:rsid w:val="00851308"/>
    <w:rsid w:val="00851939"/>
    <w:rsid w:val="008519D7"/>
    <w:rsid w:val="00853D37"/>
    <w:rsid w:val="0085432B"/>
    <w:rsid w:val="00854371"/>
    <w:rsid w:val="00854A7C"/>
    <w:rsid w:val="008554E1"/>
    <w:rsid w:val="00857C4F"/>
    <w:rsid w:val="00857E28"/>
    <w:rsid w:val="00860860"/>
    <w:rsid w:val="00861015"/>
    <w:rsid w:val="008619FF"/>
    <w:rsid w:val="008622E6"/>
    <w:rsid w:val="00862338"/>
    <w:rsid w:val="00862C8F"/>
    <w:rsid w:val="008648CD"/>
    <w:rsid w:val="00864908"/>
    <w:rsid w:val="00864AA9"/>
    <w:rsid w:val="008654ED"/>
    <w:rsid w:val="008657C5"/>
    <w:rsid w:val="008659FF"/>
    <w:rsid w:val="00870468"/>
    <w:rsid w:val="008707B7"/>
    <w:rsid w:val="0087118A"/>
    <w:rsid w:val="00871BFC"/>
    <w:rsid w:val="00872251"/>
    <w:rsid w:val="008728B1"/>
    <w:rsid w:val="00873862"/>
    <w:rsid w:val="00874FAE"/>
    <w:rsid w:val="00875BED"/>
    <w:rsid w:val="0087636B"/>
    <w:rsid w:val="008765CD"/>
    <w:rsid w:val="00881A27"/>
    <w:rsid w:val="008827A7"/>
    <w:rsid w:val="00883146"/>
    <w:rsid w:val="00883307"/>
    <w:rsid w:val="0088373F"/>
    <w:rsid w:val="00884379"/>
    <w:rsid w:val="0088470E"/>
    <w:rsid w:val="00886451"/>
    <w:rsid w:val="008906F3"/>
    <w:rsid w:val="0089091E"/>
    <w:rsid w:val="00890AB0"/>
    <w:rsid w:val="00890D83"/>
    <w:rsid w:val="0089212C"/>
    <w:rsid w:val="00892431"/>
    <w:rsid w:val="00892520"/>
    <w:rsid w:val="008948DC"/>
    <w:rsid w:val="00896299"/>
    <w:rsid w:val="008975B2"/>
    <w:rsid w:val="008978DD"/>
    <w:rsid w:val="008A059F"/>
    <w:rsid w:val="008A0B3E"/>
    <w:rsid w:val="008A1F10"/>
    <w:rsid w:val="008A288C"/>
    <w:rsid w:val="008A3638"/>
    <w:rsid w:val="008A407A"/>
    <w:rsid w:val="008A5E4E"/>
    <w:rsid w:val="008A5FCA"/>
    <w:rsid w:val="008A606D"/>
    <w:rsid w:val="008A66A7"/>
    <w:rsid w:val="008A6B5F"/>
    <w:rsid w:val="008A7B95"/>
    <w:rsid w:val="008A7C70"/>
    <w:rsid w:val="008A7CA1"/>
    <w:rsid w:val="008A7F35"/>
    <w:rsid w:val="008B00F5"/>
    <w:rsid w:val="008B0167"/>
    <w:rsid w:val="008B0D24"/>
    <w:rsid w:val="008B2084"/>
    <w:rsid w:val="008B2293"/>
    <w:rsid w:val="008B25E3"/>
    <w:rsid w:val="008B2C4A"/>
    <w:rsid w:val="008B2F3B"/>
    <w:rsid w:val="008B3270"/>
    <w:rsid w:val="008B4340"/>
    <w:rsid w:val="008B4DF5"/>
    <w:rsid w:val="008B5C4A"/>
    <w:rsid w:val="008B62DD"/>
    <w:rsid w:val="008B7D2F"/>
    <w:rsid w:val="008C0615"/>
    <w:rsid w:val="008C0845"/>
    <w:rsid w:val="008C100B"/>
    <w:rsid w:val="008C171E"/>
    <w:rsid w:val="008C1BAC"/>
    <w:rsid w:val="008C1F65"/>
    <w:rsid w:val="008C20FF"/>
    <w:rsid w:val="008C31E3"/>
    <w:rsid w:val="008C47C2"/>
    <w:rsid w:val="008C4807"/>
    <w:rsid w:val="008C589D"/>
    <w:rsid w:val="008C5DCB"/>
    <w:rsid w:val="008C69DB"/>
    <w:rsid w:val="008C6C91"/>
    <w:rsid w:val="008C6F1D"/>
    <w:rsid w:val="008C79FE"/>
    <w:rsid w:val="008D03EA"/>
    <w:rsid w:val="008D113B"/>
    <w:rsid w:val="008D160D"/>
    <w:rsid w:val="008D1FD4"/>
    <w:rsid w:val="008D2101"/>
    <w:rsid w:val="008D2CE4"/>
    <w:rsid w:val="008D2D99"/>
    <w:rsid w:val="008D3FE1"/>
    <w:rsid w:val="008D4518"/>
    <w:rsid w:val="008D4C23"/>
    <w:rsid w:val="008E00EF"/>
    <w:rsid w:val="008E1898"/>
    <w:rsid w:val="008E3C4E"/>
    <w:rsid w:val="008E3CB8"/>
    <w:rsid w:val="008E4520"/>
    <w:rsid w:val="008E4670"/>
    <w:rsid w:val="008E5C68"/>
    <w:rsid w:val="008E5D69"/>
    <w:rsid w:val="008E61BB"/>
    <w:rsid w:val="008E6753"/>
    <w:rsid w:val="008E7A0D"/>
    <w:rsid w:val="008F0360"/>
    <w:rsid w:val="008F1F8B"/>
    <w:rsid w:val="008F21F0"/>
    <w:rsid w:val="008F228E"/>
    <w:rsid w:val="008F2D17"/>
    <w:rsid w:val="008F455B"/>
    <w:rsid w:val="008F456D"/>
    <w:rsid w:val="008F4C14"/>
    <w:rsid w:val="008F53D1"/>
    <w:rsid w:val="008F6008"/>
    <w:rsid w:val="008F6105"/>
    <w:rsid w:val="008F70BE"/>
    <w:rsid w:val="008F7306"/>
    <w:rsid w:val="008F7454"/>
    <w:rsid w:val="008F7F31"/>
    <w:rsid w:val="008F7F79"/>
    <w:rsid w:val="00900BA8"/>
    <w:rsid w:val="009013D9"/>
    <w:rsid w:val="00902AA1"/>
    <w:rsid w:val="009067E4"/>
    <w:rsid w:val="00906937"/>
    <w:rsid w:val="00906A06"/>
    <w:rsid w:val="00907316"/>
    <w:rsid w:val="009075DC"/>
    <w:rsid w:val="00907CA5"/>
    <w:rsid w:val="00910504"/>
    <w:rsid w:val="00911969"/>
    <w:rsid w:val="00912345"/>
    <w:rsid w:val="00912ACA"/>
    <w:rsid w:val="00912EEC"/>
    <w:rsid w:val="009139C3"/>
    <w:rsid w:val="00913CE6"/>
    <w:rsid w:val="00913F9B"/>
    <w:rsid w:val="009142C4"/>
    <w:rsid w:val="00914617"/>
    <w:rsid w:val="00914888"/>
    <w:rsid w:val="00915F3E"/>
    <w:rsid w:val="009162B1"/>
    <w:rsid w:val="009167EB"/>
    <w:rsid w:val="00917969"/>
    <w:rsid w:val="00921619"/>
    <w:rsid w:val="00921C0B"/>
    <w:rsid w:val="009225E7"/>
    <w:rsid w:val="00923506"/>
    <w:rsid w:val="0092367C"/>
    <w:rsid w:val="009243DE"/>
    <w:rsid w:val="00924F80"/>
    <w:rsid w:val="00925548"/>
    <w:rsid w:val="00926395"/>
    <w:rsid w:val="00926BB5"/>
    <w:rsid w:val="00927BE5"/>
    <w:rsid w:val="00930DE9"/>
    <w:rsid w:val="00930FAD"/>
    <w:rsid w:val="00931AF0"/>
    <w:rsid w:val="00932723"/>
    <w:rsid w:val="00933C29"/>
    <w:rsid w:val="00934526"/>
    <w:rsid w:val="0093478A"/>
    <w:rsid w:val="009349A4"/>
    <w:rsid w:val="00934BE7"/>
    <w:rsid w:val="009353A7"/>
    <w:rsid w:val="00935EFE"/>
    <w:rsid w:val="009367D5"/>
    <w:rsid w:val="00936F05"/>
    <w:rsid w:val="00937640"/>
    <w:rsid w:val="00937A5E"/>
    <w:rsid w:val="00937D59"/>
    <w:rsid w:val="00937D5A"/>
    <w:rsid w:val="00940C57"/>
    <w:rsid w:val="00940C67"/>
    <w:rsid w:val="00940DF0"/>
    <w:rsid w:val="00941237"/>
    <w:rsid w:val="009417C8"/>
    <w:rsid w:val="009426F1"/>
    <w:rsid w:val="0094330C"/>
    <w:rsid w:val="00947702"/>
    <w:rsid w:val="00947B74"/>
    <w:rsid w:val="00947F23"/>
    <w:rsid w:val="00951590"/>
    <w:rsid w:val="0095175D"/>
    <w:rsid w:val="00951F47"/>
    <w:rsid w:val="00952690"/>
    <w:rsid w:val="00953A04"/>
    <w:rsid w:val="00956EA5"/>
    <w:rsid w:val="00960171"/>
    <w:rsid w:val="00960AB7"/>
    <w:rsid w:val="00960DCD"/>
    <w:rsid w:val="00961E5B"/>
    <w:rsid w:val="009624E9"/>
    <w:rsid w:val="0096292D"/>
    <w:rsid w:val="00962B5B"/>
    <w:rsid w:val="00963942"/>
    <w:rsid w:val="00963C5F"/>
    <w:rsid w:val="00963E83"/>
    <w:rsid w:val="00963F3E"/>
    <w:rsid w:val="009647FA"/>
    <w:rsid w:val="009660DD"/>
    <w:rsid w:val="00966588"/>
    <w:rsid w:val="0096673F"/>
    <w:rsid w:val="00966F57"/>
    <w:rsid w:val="009674C8"/>
    <w:rsid w:val="00970865"/>
    <w:rsid w:val="00972197"/>
    <w:rsid w:val="0097229E"/>
    <w:rsid w:val="009729A0"/>
    <w:rsid w:val="00972BD7"/>
    <w:rsid w:val="00972D2E"/>
    <w:rsid w:val="0097489A"/>
    <w:rsid w:val="00975942"/>
    <w:rsid w:val="00975FAE"/>
    <w:rsid w:val="009760D8"/>
    <w:rsid w:val="009761AA"/>
    <w:rsid w:val="00976AEB"/>
    <w:rsid w:val="009773FF"/>
    <w:rsid w:val="009775C7"/>
    <w:rsid w:val="009779B9"/>
    <w:rsid w:val="00977B93"/>
    <w:rsid w:val="00980076"/>
    <w:rsid w:val="00980289"/>
    <w:rsid w:val="009810B0"/>
    <w:rsid w:val="0098299A"/>
    <w:rsid w:val="00983DD9"/>
    <w:rsid w:val="009852B7"/>
    <w:rsid w:val="00985C97"/>
    <w:rsid w:val="00985D15"/>
    <w:rsid w:val="009869AA"/>
    <w:rsid w:val="00990591"/>
    <w:rsid w:val="00990FFC"/>
    <w:rsid w:val="00991A60"/>
    <w:rsid w:val="0099224E"/>
    <w:rsid w:val="00992FC9"/>
    <w:rsid w:val="0099372A"/>
    <w:rsid w:val="00993BD7"/>
    <w:rsid w:val="00993D71"/>
    <w:rsid w:val="00994C51"/>
    <w:rsid w:val="00994F7D"/>
    <w:rsid w:val="009956F8"/>
    <w:rsid w:val="009A0AD1"/>
    <w:rsid w:val="009A3260"/>
    <w:rsid w:val="009A38BE"/>
    <w:rsid w:val="009A49FD"/>
    <w:rsid w:val="009A7BEE"/>
    <w:rsid w:val="009B0C25"/>
    <w:rsid w:val="009B0DB9"/>
    <w:rsid w:val="009B0E8E"/>
    <w:rsid w:val="009B0EB3"/>
    <w:rsid w:val="009B10D6"/>
    <w:rsid w:val="009B2DD1"/>
    <w:rsid w:val="009B45EE"/>
    <w:rsid w:val="009B4814"/>
    <w:rsid w:val="009B66A3"/>
    <w:rsid w:val="009B67C5"/>
    <w:rsid w:val="009C04DD"/>
    <w:rsid w:val="009C109B"/>
    <w:rsid w:val="009C17B4"/>
    <w:rsid w:val="009C1C81"/>
    <w:rsid w:val="009C1DB7"/>
    <w:rsid w:val="009C1DF9"/>
    <w:rsid w:val="009C28B1"/>
    <w:rsid w:val="009C3E90"/>
    <w:rsid w:val="009C47E9"/>
    <w:rsid w:val="009C4C31"/>
    <w:rsid w:val="009C55D9"/>
    <w:rsid w:val="009C5825"/>
    <w:rsid w:val="009C6207"/>
    <w:rsid w:val="009C6661"/>
    <w:rsid w:val="009C7C19"/>
    <w:rsid w:val="009D0FDD"/>
    <w:rsid w:val="009D221D"/>
    <w:rsid w:val="009D2CBD"/>
    <w:rsid w:val="009D65C1"/>
    <w:rsid w:val="009D7AD4"/>
    <w:rsid w:val="009D7FA2"/>
    <w:rsid w:val="009E01CA"/>
    <w:rsid w:val="009E01FD"/>
    <w:rsid w:val="009E115E"/>
    <w:rsid w:val="009E125C"/>
    <w:rsid w:val="009E1A5E"/>
    <w:rsid w:val="009E1E5D"/>
    <w:rsid w:val="009E27EB"/>
    <w:rsid w:val="009E3B0A"/>
    <w:rsid w:val="009E5562"/>
    <w:rsid w:val="009E67AF"/>
    <w:rsid w:val="009E69EF"/>
    <w:rsid w:val="009E757D"/>
    <w:rsid w:val="009E758A"/>
    <w:rsid w:val="009E7E84"/>
    <w:rsid w:val="009F0584"/>
    <w:rsid w:val="009F0C95"/>
    <w:rsid w:val="009F16F6"/>
    <w:rsid w:val="009F225F"/>
    <w:rsid w:val="009F2286"/>
    <w:rsid w:val="009F2A00"/>
    <w:rsid w:val="009F2E62"/>
    <w:rsid w:val="009F303B"/>
    <w:rsid w:val="009F3137"/>
    <w:rsid w:val="009F3D88"/>
    <w:rsid w:val="009F6332"/>
    <w:rsid w:val="009F6F92"/>
    <w:rsid w:val="009F7D32"/>
    <w:rsid w:val="00A0051F"/>
    <w:rsid w:val="00A00AFC"/>
    <w:rsid w:val="00A016A1"/>
    <w:rsid w:val="00A01D65"/>
    <w:rsid w:val="00A02E7C"/>
    <w:rsid w:val="00A0341E"/>
    <w:rsid w:val="00A03C2C"/>
    <w:rsid w:val="00A0437D"/>
    <w:rsid w:val="00A05B24"/>
    <w:rsid w:val="00A068A1"/>
    <w:rsid w:val="00A1013D"/>
    <w:rsid w:val="00A1276E"/>
    <w:rsid w:val="00A12C18"/>
    <w:rsid w:val="00A1317E"/>
    <w:rsid w:val="00A1339F"/>
    <w:rsid w:val="00A13807"/>
    <w:rsid w:val="00A1390B"/>
    <w:rsid w:val="00A148EB"/>
    <w:rsid w:val="00A16FBB"/>
    <w:rsid w:val="00A1796F"/>
    <w:rsid w:val="00A17DCD"/>
    <w:rsid w:val="00A17FDE"/>
    <w:rsid w:val="00A2069D"/>
    <w:rsid w:val="00A21717"/>
    <w:rsid w:val="00A22356"/>
    <w:rsid w:val="00A227BA"/>
    <w:rsid w:val="00A243EF"/>
    <w:rsid w:val="00A24DEB"/>
    <w:rsid w:val="00A24F0A"/>
    <w:rsid w:val="00A25124"/>
    <w:rsid w:val="00A27290"/>
    <w:rsid w:val="00A27F45"/>
    <w:rsid w:val="00A27F4D"/>
    <w:rsid w:val="00A31691"/>
    <w:rsid w:val="00A31748"/>
    <w:rsid w:val="00A32037"/>
    <w:rsid w:val="00A33005"/>
    <w:rsid w:val="00A333FB"/>
    <w:rsid w:val="00A33609"/>
    <w:rsid w:val="00A3415A"/>
    <w:rsid w:val="00A3485C"/>
    <w:rsid w:val="00A354F2"/>
    <w:rsid w:val="00A3583D"/>
    <w:rsid w:val="00A41383"/>
    <w:rsid w:val="00A42881"/>
    <w:rsid w:val="00A42FE7"/>
    <w:rsid w:val="00A43326"/>
    <w:rsid w:val="00A43978"/>
    <w:rsid w:val="00A44A5B"/>
    <w:rsid w:val="00A45B22"/>
    <w:rsid w:val="00A45E59"/>
    <w:rsid w:val="00A45E7D"/>
    <w:rsid w:val="00A46FB7"/>
    <w:rsid w:val="00A4790C"/>
    <w:rsid w:val="00A47A93"/>
    <w:rsid w:val="00A5025E"/>
    <w:rsid w:val="00A503F9"/>
    <w:rsid w:val="00A511AC"/>
    <w:rsid w:val="00A52612"/>
    <w:rsid w:val="00A52A23"/>
    <w:rsid w:val="00A52FBE"/>
    <w:rsid w:val="00A534A5"/>
    <w:rsid w:val="00A54A39"/>
    <w:rsid w:val="00A56D01"/>
    <w:rsid w:val="00A572B0"/>
    <w:rsid w:val="00A57902"/>
    <w:rsid w:val="00A57FB3"/>
    <w:rsid w:val="00A612E2"/>
    <w:rsid w:val="00A643B3"/>
    <w:rsid w:val="00A64ADC"/>
    <w:rsid w:val="00A65C7F"/>
    <w:rsid w:val="00A65FAC"/>
    <w:rsid w:val="00A6635F"/>
    <w:rsid w:val="00A668BB"/>
    <w:rsid w:val="00A66A45"/>
    <w:rsid w:val="00A679F1"/>
    <w:rsid w:val="00A70989"/>
    <w:rsid w:val="00A70B83"/>
    <w:rsid w:val="00A71B65"/>
    <w:rsid w:val="00A75BCB"/>
    <w:rsid w:val="00A75F05"/>
    <w:rsid w:val="00A766C4"/>
    <w:rsid w:val="00A76AF5"/>
    <w:rsid w:val="00A76BF9"/>
    <w:rsid w:val="00A76E2F"/>
    <w:rsid w:val="00A77667"/>
    <w:rsid w:val="00A8078F"/>
    <w:rsid w:val="00A81093"/>
    <w:rsid w:val="00A8135A"/>
    <w:rsid w:val="00A83E17"/>
    <w:rsid w:val="00A84915"/>
    <w:rsid w:val="00A857D7"/>
    <w:rsid w:val="00A85936"/>
    <w:rsid w:val="00A860B7"/>
    <w:rsid w:val="00A86376"/>
    <w:rsid w:val="00A87832"/>
    <w:rsid w:val="00A91720"/>
    <w:rsid w:val="00A925B4"/>
    <w:rsid w:val="00A943DE"/>
    <w:rsid w:val="00A94457"/>
    <w:rsid w:val="00A950BE"/>
    <w:rsid w:val="00A95138"/>
    <w:rsid w:val="00A95E53"/>
    <w:rsid w:val="00A9627B"/>
    <w:rsid w:val="00A96BA8"/>
    <w:rsid w:val="00A96FF2"/>
    <w:rsid w:val="00AA01A6"/>
    <w:rsid w:val="00AA0A33"/>
    <w:rsid w:val="00AA0DD3"/>
    <w:rsid w:val="00AA0F3E"/>
    <w:rsid w:val="00AA2435"/>
    <w:rsid w:val="00AA2591"/>
    <w:rsid w:val="00AA3302"/>
    <w:rsid w:val="00AA5FC5"/>
    <w:rsid w:val="00AA63BE"/>
    <w:rsid w:val="00AA63DC"/>
    <w:rsid w:val="00AB0C43"/>
    <w:rsid w:val="00AB0E59"/>
    <w:rsid w:val="00AB1214"/>
    <w:rsid w:val="00AB1B73"/>
    <w:rsid w:val="00AB3379"/>
    <w:rsid w:val="00AB4C4C"/>
    <w:rsid w:val="00AB4C54"/>
    <w:rsid w:val="00AB5D04"/>
    <w:rsid w:val="00AB5F08"/>
    <w:rsid w:val="00AB6570"/>
    <w:rsid w:val="00AB75F7"/>
    <w:rsid w:val="00AB7BF1"/>
    <w:rsid w:val="00AC0D8E"/>
    <w:rsid w:val="00AC0EFD"/>
    <w:rsid w:val="00AC1699"/>
    <w:rsid w:val="00AC1C8D"/>
    <w:rsid w:val="00AC2036"/>
    <w:rsid w:val="00AC286C"/>
    <w:rsid w:val="00AC3040"/>
    <w:rsid w:val="00AC3234"/>
    <w:rsid w:val="00AC5FC7"/>
    <w:rsid w:val="00AC6E75"/>
    <w:rsid w:val="00AC7AED"/>
    <w:rsid w:val="00AC7C43"/>
    <w:rsid w:val="00AC7CF6"/>
    <w:rsid w:val="00AD03A4"/>
    <w:rsid w:val="00AD1846"/>
    <w:rsid w:val="00AD202A"/>
    <w:rsid w:val="00AD2265"/>
    <w:rsid w:val="00AD2E33"/>
    <w:rsid w:val="00AD2ED9"/>
    <w:rsid w:val="00AD32C1"/>
    <w:rsid w:val="00AD4044"/>
    <w:rsid w:val="00AD45F2"/>
    <w:rsid w:val="00AD4673"/>
    <w:rsid w:val="00AD60C1"/>
    <w:rsid w:val="00AD6E2D"/>
    <w:rsid w:val="00AE001C"/>
    <w:rsid w:val="00AE1066"/>
    <w:rsid w:val="00AE125B"/>
    <w:rsid w:val="00AE2220"/>
    <w:rsid w:val="00AE3CFA"/>
    <w:rsid w:val="00AE466B"/>
    <w:rsid w:val="00AE4C18"/>
    <w:rsid w:val="00AE517C"/>
    <w:rsid w:val="00AE51AF"/>
    <w:rsid w:val="00AE5A78"/>
    <w:rsid w:val="00AE5D6A"/>
    <w:rsid w:val="00AE6554"/>
    <w:rsid w:val="00AE6853"/>
    <w:rsid w:val="00AE78FE"/>
    <w:rsid w:val="00AE7E87"/>
    <w:rsid w:val="00AF15AC"/>
    <w:rsid w:val="00AF1C3B"/>
    <w:rsid w:val="00AF2386"/>
    <w:rsid w:val="00AF2867"/>
    <w:rsid w:val="00AF2B4F"/>
    <w:rsid w:val="00AF34B0"/>
    <w:rsid w:val="00AF426F"/>
    <w:rsid w:val="00AF4765"/>
    <w:rsid w:val="00AF4DF6"/>
    <w:rsid w:val="00AF5CAD"/>
    <w:rsid w:val="00AF6283"/>
    <w:rsid w:val="00AF6922"/>
    <w:rsid w:val="00AF7B15"/>
    <w:rsid w:val="00B00295"/>
    <w:rsid w:val="00B00C32"/>
    <w:rsid w:val="00B01958"/>
    <w:rsid w:val="00B027A9"/>
    <w:rsid w:val="00B04716"/>
    <w:rsid w:val="00B04D94"/>
    <w:rsid w:val="00B058F3"/>
    <w:rsid w:val="00B0701E"/>
    <w:rsid w:val="00B07E93"/>
    <w:rsid w:val="00B10D55"/>
    <w:rsid w:val="00B11A09"/>
    <w:rsid w:val="00B11AD6"/>
    <w:rsid w:val="00B14675"/>
    <w:rsid w:val="00B15EDE"/>
    <w:rsid w:val="00B16DBD"/>
    <w:rsid w:val="00B16E3D"/>
    <w:rsid w:val="00B205FF"/>
    <w:rsid w:val="00B2223B"/>
    <w:rsid w:val="00B22DF8"/>
    <w:rsid w:val="00B2355C"/>
    <w:rsid w:val="00B23A48"/>
    <w:rsid w:val="00B266D7"/>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379B6"/>
    <w:rsid w:val="00B4118E"/>
    <w:rsid w:val="00B44620"/>
    <w:rsid w:val="00B4502B"/>
    <w:rsid w:val="00B467A3"/>
    <w:rsid w:val="00B470CD"/>
    <w:rsid w:val="00B47142"/>
    <w:rsid w:val="00B50387"/>
    <w:rsid w:val="00B50B31"/>
    <w:rsid w:val="00B5217C"/>
    <w:rsid w:val="00B5381B"/>
    <w:rsid w:val="00B53C18"/>
    <w:rsid w:val="00B5529A"/>
    <w:rsid w:val="00B56402"/>
    <w:rsid w:val="00B56541"/>
    <w:rsid w:val="00B566E6"/>
    <w:rsid w:val="00B57332"/>
    <w:rsid w:val="00B57F98"/>
    <w:rsid w:val="00B603D4"/>
    <w:rsid w:val="00B60EE5"/>
    <w:rsid w:val="00B61D3B"/>
    <w:rsid w:val="00B61FBE"/>
    <w:rsid w:val="00B623C5"/>
    <w:rsid w:val="00B62D23"/>
    <w:rsid w:val="00B63675"/>
    <w:rsid w:val="00B63BC3"/>
    <w:rsid w:val="00B64BF6"/>
    <w:rsid w:val="00B64F79"/>
    <w:rsid w:val="00B658A6"/>
    <w:rsid w:val="00B7150D"/>
    <w:rsid w:val="00B7217C"/>
    <w:rsid w:val="00B72B8E"/>
    <w:rsid w:val="00B72BF7"/>
    <w:rsid w:val="00B72D3D"/>
    <w:rsid w:val="00B73F34"/>
    <w:rsid w:val="00B73FBB"/>
    <w:rsid w:val="00B773A1"/>
    <w:rsid w:val="00B8099C"/>
    <w:rsid w:val="00B81686"/>
    <w:rsid w:val="00B81CEF"/>
    <w:rsid w:val="00B82C14"/>
    <w:rsid w:val="00B83A10"/>
    <w:rsid w:val="00B84AAA"/>
    <w:rsid w:val="00B860EB"/>
    <w:rsid w:val="00B861DB"/>
    <w:rsid w:val="00B8622A"/>
    <w:rsid w:val="00B86995"/>
    <w:rsid w:val="00B87F43"/>
    <w:rsid w:val="00B93AF6"/>
    <w:rsid w:val="00B95891"/>
    <w:rsid w:val="00B96FA8"/>
    <w:rsid w:val="00B97BA8"/>
    <w:rsid w:val="00BA0677"/>
    <w:rsid w:val="00BA099E"/>
    <w:rsid w:val="00BA120F"/>
    <w:rsid w:val="00BA17EA"/>
    <w:rsid w:val="00BA18DA"/>
    <w:rsid w:val="00BA35F3"/>
    <w:rsid w:val="00BA3890"/>
    <w:rsid w:val="00BA3CF3"/>
    <w:rsid w:val="00BA48E2"/>
    <w:rsid w:val="00BA49FE"/>
    <w:rsid w:val="00BA5292"/>
    <w:rsid w:val="00BA5AA3"/>
    <w:rsid w:val="00BA6230"/>
    <w:rsid w:val="00BA6566"/>
    <w:rsid w:val="00BA6F03"/>
    <w:rsid w:val="00BA7B3C"/>
    <w:rsid w:val="00BB02B7"/>
    <w:rsid w:val="00BB068C"/>
    <w:rsid w:val="00BB0E8D"/>
    <w:rsid w:val="00BB0E95"/>
    <w:rsid w:val="00BB3B79"/>
    <w:rsid w:val="00BB49EC"/>
    <w:rsid w:val="00BB56E2"/>
    <w:rsid w:val="00BB58AE"/>
    <w:rsid w:val="00BB59C4"/>
    <w:rsid w:val="00BB6626"/>
    <w:rsid w:val="00BB6F8B"/>
    <w:rsid w:val="00BB71E9"/>
    <w:rsid w:val="00BC05CD"/>
    <w:rsid w:val="00BC0991"/>
    <w:rsid w:val="00BC0C2B"/>
    <w:rsid w:val="00BC1CCB"/>
    <w:rsid w:val="00BC29F7"/>
    <w:rsid w:val="00BC2B29"/>
    <w:rsid w:val="00BC2C0B"/>
    <w:rsid w:val="00BC2D15"/>
    <w:rsid w:val="00BC4460"/>
    <w:rsid w:val="00BC5C6C"/>
    <w:rsid w:val="00BC6885"/>
    <w:rsid w:val="00BC6B8F"/>
    <w:rsid w:val="00BC70E2"/>
    <w:rsid w:val="00BC7443"/>
    <w:rsid w:val="00BD0105"/>
    <w:rsid w:val="00BD094A"/>
    <w:rsid w:val="00BD0FA2"/>
    <w:rsid w:val="00BD1824"/>
    <w:rsid w:val="00BD1BF4"/>
    <w:rsid w:val="00BD2032"/>
    <w:rsid w:val="00BD2E50"/>
    <w:rsid w:val="00BD350C"/>
    <w:rsid w:val="00BD3A77"/>
    <w:rsid w:val="00BD3C91"/>
    <w:rsid w:val="00BD4170"/>
    <w:rsid w:val="00BD5053"/>
    <w:rsid w:val="00BD50E5"/>
    <w:rsid w:val="00BD5285"/>
    <w:rsid w:val="00BD5D14"/>
    <w:rsid w:val="00BD6611"/>
    <w:rsid w:val="00BD6A19"/>
    <w:rsid w:val="00BD6B3D"/>
    <w:rsid w:val="00BD6B7E"/>
    <w:rsid w:val="00BE036F"/>
    <w:rsid w:val="00BE0B31"/>
    <w:rsid w:val="00BE0D4C"/>
    <w:rsid w:val="00BE0D5C"/>
    <w:rsid w:val="00BE165C"/>
    <w:rsid w:val="00BE1D8C"/>
    <w:rsid w:val="00BE20A5"/>
    <w:rsid w:val="00BE2A55"/>
    <w:rsid w:val="00BE2C97"/>
    <w:rsid w:val="00BE3AC1"/>
    <w:rsid w:val="00BE4420"/>
    <w:rsid w:val="00BE4ADC"/>
    <w:rsid w:val="00BE540B"/>
    <w:rsid w:val="00BE59A0"/>
    <w:rsid w:val="00BE5A65"/>
    <w:rsid w:val="00BE6864"/>
    <w:rsid w:val="00BE7C9B"/>
    <w:rsid w:val="00BF16FF"/>
    <w:rsid w:val="00BF26C9"/>
    <w:rsid w:val="00BF274B"/>
    <w:rsid w:val="00BF2C19"/>
    <w:rsid w:val="00BF2D9E"/>
    <w:rsid w:val="00BF328C"/>
    <w:rsid w:val="00BF454F"/>
    <w:rsid w:val="00BF5B1A"/>
    <w:rsid w:val="00BF5BDF"/>
    <w:rsid w:val="00BF61EB"/>
    <w:rsid w:val="00BF774D"/>
    <w:rsid w:val="00C00284"/>
    <w:rsid w:val="00C017CB"/>
    <w:rsid w:val="00C01DCE"/>
    <w:rsid w:val="00C01F62"/>
    <w:rsid w:val="00C03302"/>
    <w:rsid w:val="00C0338C"/>
    <w:rsid w:val="00C04D9C"/>
    <w:rsid w:val="00C06A76"/>
    <w:rsid w:val="00C0752B"/>
    <w:rsid w:val="00C10B0E"/>
    <w:rsid w:val="00C10DC6"/>
    <w:rsid w:val="00C10FFE"/>
    <w:rsid w:val="00C12228"/>
    <w:rsid w:val="00C1240D"/>
    <w:rsid w:val="00C12ADD"/>
    <w:rsid w:val="00C12C7D"/>
    <w:rsid w:val="00C135F3"/>
    <w:rsid w:val="00C14D1F"/>
    <w:rsid w:val="00C200CE"/>
    <w:rsid w:val="00C20A1F"/>
    <w:rsid w:val="00C20D21"/>
    <w:rsid w:val="00C20DD3"/>
    <w:rsid w:val="00C21748"/>
    <w:rsid w:val="00C22377"/>
    <w:rsid w:val="00C22C28"/>
    <w:rsid w:val="00C22D7C"/>
    <w:rsid w:val="00C23367"/>
    <w:rsid w:val="00C23F7A"/>
    <w:rsid w:val="00C27038"/>
    <w:rsid w:val="00C30EF0"/>
    <w:rsid w:val="00C31DDE"/>
    <w:rsid w:val="00C33888"/>
    <w:rsid w:val="00C34E49"/>
    <w:rsid w:val="00C35B75"/>
    <w:rsid w:val="00C362B1"/>
    <w:rsid w:val="00C365C0"/>
    <w:rsid w:val="00C36B00"/>
    <w:rsid w:val="00C36E56"/>
    <w:rsid w:val="00C409D7"/>
    <w:rsid w:val="00C40B5E"/>
    <w:rsid w:val="00C40D2D"/>
    <w:rsid w:val="00C411A5"/>
    <w:rsid w:val="00C413C4"/>
    <w:rsid w:val="00C41EBC"/>
    <w:rsid w:val="00C428C1"/>
    <w:rsid w:val="00C42D03"/>
    <w:rsid w:val="00C4374C"/>
    <w:rsid w:val="00C4516E"/>
    <w:rsid w:val="00C45A66"/>
    <w:rsid w:val="00C46ACD"/>
    <w:rsid w:val="00C4711F"/>
    <w:rsid w:val="00C4777A"/>
    <w:rsid w:val="00C51203"/>
    <w:rsid w:val="00C51C0F"/>
    <w:rsid w:val="00C51E10"/>
    <w:rsid w:val="00C5236E"/>
    <w:rsid w:val="00C52DDE"/>
    <w:rsid w:val="00C5316F"/>
    <w:rsid w:val="00C53624"/>
    <w:rsid w:val="00C53D17"/>
    <w:rsid w:val="00C549B3"/>
    <w:rsid w:val="00C54DBB"/>
    <w:rsid w:val="00C55508"/>
    <w:rsid w:val="00C5553B"/>
    <w:rsid w:val="00C5579B"/>
    <w:rsid w:val="00C55B2C"/>
    <w:rsid w:val="00C56552"/>
    <w:rsid w:val="00C57BAF"/>
    <w:rsid w:val="00C6018D"/>
    <w:rsid w:val="00C626CE"/>
    <w:rsid w:val="00C629CE"/>
    <w:rsid w:val="00C63444"/>
    <w:rsid w:val="00C63D7A"/>
    <w:rsid w:val="00C63FEC"/>
    <w:rsid w:val="00C64764"/>
    <w:rsid w:val="00C64770"/>
    <w:rsid w:val="00C64F37"/>
    <w:rsid w:val="00C65866"/>
    <w:rsid w:val="00C6713F"/>
    <w:rsid w:val="00C67560"/>
    <w:rsid w:val="00C67E9C"/>
    <w:rsid w:val="00C67F76"/>
    <w:rsid w:val="00C707EF"/>
    <w:rsid w:val="00C70AD4"/>
    <w:rsid w:val="00C71101"/>
    <w:rsid w:val="00C7121B"/>
    <w:rsid w:val="00C72096"/>
    <w:rsid w:val="00C72FF0"/>
    <w:rsid w:val="00C73260"/>
    <w:rsid w:val="00C739EE"/>
    <w:rsid w:val="00C73C6C"/>
    <w:rsid w:val="00C74BFB"/>
    <w:rsid w:val="00C751AB"/>
    <w:rsid w:val="00C77D9A"/>
    <w:rsid w:val="00C800B2"/>
    <w:rsid w:val="00C807B6"/>
    <w:rsid w:val="00C8119A"/>
    <w:rsid w:val="00C81E5F"/>
    <w:rsid w:val="00C846B1"/>
    <w:rsid w:val="00C84B04"/>
    <w:rsid w:val="00C84EC5"/>
    <w:rsid w:val="00C85021"/>
    <w:rsid w:val="00C859A0"/>
    <w:rsid w:val="00C85E89"/>
    <w:rsid w:val="00C869B6"/>
    <w:rsid w:val="00C86ED6"/>
    <w:rsid w:val="00C902E1"/>
    <w:rsid w:val="00C914FC"/>
    <w:rsid w:val="00C91AAE"/>
    <w:rsid w:val="00C91F9D"/>
    <w:rsid w:val="00C92CD7"/>
    <w:rsid w:val="00C9311B"/>
    <w:rsid w:val="00C93A44"/>
    <w:rsid w:val="00C95008"/>
    <w:rsid w:val="00C9692A"/>
    <w:rsid w:val="00C96D8A"/>
    <w:rsid w:val="00C97284"/>
    <w:rsid w:val="00CA0FE3"/>
    <w:rsid w:val="00CA1F02"/>
    <w:rsid w:val="00CA3B3D"/>
    <w:rsid w:val="00CA413B"/>
    <w:rsid w:val="00CA41AC"/>
    <w:rsid w:val="00CA4FF9"/>
    <w:rsid w:val="00CA5B05"/>
    <w:rsid w:val="00CA6B1B"/>
    <w:rsid w:val="00CA6F2E"/>
    <w:rsid w:val="00CA7053"/>
    <w:rsid w:val="00CA7F28"/>
    <w:rsid w:val="00CB089E"/>
    <w:rsid w:val="00CB0A6C"/>
    <w:rsid w:val="00CB0BD7"/>
    <w:rsid w:val="00CB2CDA"/>
    <w:rsid w:val="00CB2FDA"/>
    <w:rsid w:val="00CB3A67"/>
    <w:rsid w:val="00CB410C"/>
    <w:rsid w:val="00CB485B"/>
    <w:rsid w:val="00CB4A11"/>
    <w:rsid w:val="00CB5EA7"/>
    <w:rsid w:val="00CB6B51"/>
    <w:rsid w:val="00CB723F"/>
    <w:rsid w:val="00CB7A7C"/>
    <w:rsid w:val="00CB7D4C"/>
    <w:rsid w:val="00CC06B8"/>
    <w:rsid w:val="00CC19CE"/>
    <w:rsid w:val="00CC1BCD"/>
    <w:rsid w:val="00CC1D35"/>
    <w:rsid w:val="00CC280C"/>
    <w:rsid w:val="00CC29C6"/>
    <w:rsid w:val="00CC2F81"/>
    <w:rsid w:val="00CC347C"/>
    <w:rsid w:val="00CC43A2"/>
    <w:rsid w:val="00CC4C2F"/>
    <w:rsid w:val="00CC5ECE"/>
    <w:rsid w:val="00CC771C"/>
    <w:rsid w:val="00CC7784"/>
    <w:rsid w:val="00CC79CD"/>
    <w:rsid w:val="00CC7E24"/>
    <w:rsid w:val="00CD0211"/>
    <w:rsid w:val="00CD029F"/>
    <w:rsid w:val="00CD1A65"/>
    <w:rsid w:val="00CD1F25"/>
    <w:rsid w:val="00CD2306"/>
    <w:rsid w:val="00CD35E1"/>
    <w:rsid w:val="00CD3659"/>
    <w:rsid w:val="00CD3A04"/>
    <w:rsid w:val="00CD4F9F"/>
    <w:rsid w:val="00CD525E"/>
    <w:rsid w:val="00CD5328"/>
    <w:rsid w:val="00CD6F47"/>
    <w:rsid w:val="00CD7437"/>
    <w:rsid w:val="00CD7BEA"/>
    <w:rsid w:val="00CD7D19"/>
    <w:rsid w:val="00CE04E1"/>
    <w:rsid w:val="00CE05BB"/>
    <w:rsid w:val="00CE0A76"/>
    <w:rsid w:val="00CE1BB0"/>
    <w:rsid w:val="00CE2EC4"/>
    <w:rsid w:val="00CE2FCC"/>
    <w:rsid w:val="00CE328D"/>
    <w:rsid w:val="00CE338E"/>
    <w:rsid w:val="00CE348A"/>
    <w:rsid w:val="00CE4FE2"/>
    <w:rsid w:val="00CE54C2"/>
    <w:rsid w:val="00CE577C"/>
    <w:rsid w:val="00CE63D6"/>
    <w:rsid w:val="00CF038F"/>
    <w:rsid w:val="00CF1119"/>
    <w:rsid w:val="00CF1E44"/>
    <w:rsid w:val="00CF3276"/>
    <w:rsid w:val="00CF358D"/>
    <w:rsid w:val="00CF42E3"/>
    <w:rsid w:val="00CF4B98"/>
    <w:rsid w:val="00CF53C7"/>
    <w:rsid w:val="00CF5E04"/>
    <w:rsid w:val="00CF6F07"/>
    <w:rsid w:val="00CF7048"/>
    <w:rsid w:val="00D0022F"/>
    <w:rsid w:val="00D01042"/>
    <w:rsid w:val="00D01773"/>
    <w:rsid w:val="00D0179D"/>
    <w:rsid w:val="00D0230E"/>
    <w:rsid w:val="00D02E58"/>
    <w:rsid w:val="00D04205"/>
    <w:rsid w:val="00D04E6E"/>
    <w:rsid w:val="00D04F24"/>
    <w:rsid w:val="00D0519E"/>
    <w:rsid w:val="00D051AB"/>
    <w:rsid w:val="00D063A2"/>
    <w:rsid w:val="00D0672D"/>
    <w:rsid w:val="00D071D9"/>
    <w:rsid w:val="00D077DA"/>
    <w:rsid w:val="00D10784"/>
    <w:rsid w:val="00D10C82"/>
    <w:rsid w:val="00D111AF"/>
    <w:rsid w:val="00D125BF"/>
    <w:rsid w:val="00D130E2"/>
    <w:rsid w:val="00D1313E"/>
    <w:rsid w:val="00D1395F"/>
    <w:rsid w:val="00D13EBA"/>
    <w:rsid w:val="00D1407E"/>
    <w:rsid w:val="00D15163"/>
    <w:rsid w:val="00D1546C"/>
    <w:rsid w:val="00D15781"/>
    <w:rsid w:val="00D15C00"/>
    <w:rsid w:val="00D173FD"/>
    <w:rsid w:val="00D17982"/>
    <w:rsid w:val="00D203D3"/>
    <w:rsid w:val="00D2154D"/>
    <w:rsid w:val="00D215C3"/>
    <w:rsid w:val="00D21686"/>
    <w:rsid w:val="00D2286D"/>
    <w:rsid w:val="00D22E5B"/>
    <w:rsid w:val="00D231AA"/>
    <w:rsid w:val="00D235DB"/>
    <w:rsid w:val="00D23BFA"/>
    <w:rsid w:val="00D24501"/>
    <w:rsid w:val="00D25D58"/>
    <w:rsid w:val="00D26843"/>
    <w:rsid w:val="00D27B35"/>
    <w:rsid w:val="00D27F9C"/>
    <w:rsid w:val="00D3121E"/>
    <w:rsid w:val="00D3158F"/>
    <w:rsid w:val="00D32A41"/>
    <w:rsid w:val="00D33228"/>
    <w:rsid w:val="00D34F29"/>
    <w:rsid w:val="00D35801"/>
    <w:rsid w:val="00D36027"/>
    <w:rsid w:val="00D36B80"/>
    <w:rsid w:val="00D372B9"/>
    <w:rsid w:val="00D41FFC"/>
    <w:rsid w:val="00D430CB"/>
    <w:rsid w:val="00D43B6E"/>
    <w:rsid w:val="00D43FF6"/>
    <w:rsid w:val="00D44143"/>
    <w:rsid w:val="00D45FEB"/>
    <w:rsid w:val="00D473C6"/>
    <w:rsid w:val="00D477DE"/>
    <w:rsid w:val="00D503D6"/>
    <w:rsid w:val="00D51985"/>
    <w:rsid w:val="00D5240F"/>
    <w:rsid w:val="00D5242A"/>
    <w:rsid w:val="00D53DEE"/>
    <w:rsid w:val="00D54EA8"/>
    <w:rsid w:val="00D56963"/>
    <w:rsid w:val="00D57C79"/>
    <w:rsid w:val="00D601A4"/>
    <w:rsid w:val="00D604E3"/>
    <w:rsid w:val="00D60F8F"/>
    <w:rsid w:val="00D61152"/>
    <w:rsid w:val="00D6139A"/>
    <w:rsid w:val="00D62AE4"/>
    <w:rsid w:val="00D636E0"/>
    <w:rsid w:val="00D63BF5"/>
    <w:rsid w:val="00D6474D"/>
    <w:rsid w:val="00D65101"/>
    <w:rsid w:val="00D65113"/>
    <w:rsid w:val="00D6547D"/>
    <w:rsid w:val="00D65CC4"/>
    <w:rsid w:val="00D66CA0"/>
    <w:rsid w:val="00D70E42"/>
    <w:rsid w:val="00D719E2"/>
    <w:rsid w:val="00D724F3"/>
    <w:rsid w:val="00D733E9"/>
    <w:rsid w:val="00D738F7"/>
    <w:rsid w:val="00D74966"/>
    <w:rsid w:val="00D74BE2"/>
    <w:rsid w:val="00D7577A"/>
    <w:rsid w:val="00D76783"/>
    <w:rsid w:val="00D76C18"/>
    <w:rsid w:val="00D778B5"/>
    <w:rsid w:val="00D80347"/>
    <w:rsid w:val="00D80DFA"/>
    <w:rsid w:val="00D81939"/>
    <w:rsid w:val="00D83BD3"/>
    <w:rsid w:val="00D83F66"/>
    <w:rsid w:val="00D84165"/>
    <w:rsid w:val="00D847C4"/>
    <w:rsid w:val="00D84CCB"/>
    <w:rsid w:val="00D8544C"/>
    <w:rsid w:val="00D863C2"/>
    <w:rsid w:val="00D87069"/>
    <w:rsid w:val="00D87089"/>
    <w:rsid w:val="00D90EA9"/>
    <w:rsid w:val="00D90FF4"/>
    <w:rsid w:val="00D9161F"/>
    <w:rsid w:val="00D921F3"/>
    <w:rsid w:val="00D92830"/>
    <w:rsid w:val="00D9293B"/>
    <w:rsid w:val="00D94101"/>
    <w:rsid w:val="00D94BBE"/>
    <w:rsid w:val="00D95151"/>
    <w:rsid w:val="00D952E4"/>
    <w:rsid w:val="00D971A4"/>
    <w:rsid w:val="00D978F7"/>
    <w:rsid w:val="00DA0153"/>
    <w:rsid w:val="00DA2DAB"/>
    <w:rsid w:val="00DA3D66"/>
    <w:rsid w:val="00DA660F"/>
    <w:rsid w:val="00DB0A6C"/>
    <w:rsid w:val="00DB0ABA"/>
    <w:rsid w:val="00DB0E0E"/>
    <w:rsid w:val="00DB2869"/>
    <w:rsid w:val="00DB2986"/>
    <w:rsid w:val="00DB4898"/>
    <w:rsid w:val="00DB4BE0"/>
    <w:rsid w:val="00DB5488"/>
    <w:rsid w:val="00DB57DE"/>
    <w:rsid w:val="00DB64DC"/>
    <w:rsid w:val="00DB6949"/>
    <w:rsid w:val="00DB707C"/>
    <w:rsid w:val="00DB7142"/>
    <w:rsid w:val="00DB72D4"/>
    <w:rsid w:val="00DC02E9"/>
    <w:rsid w:val="00DC0707"/>
    <w:rsid w:val="00DC23EB"/>
    <w:rsid w:val="00DC30E3"/>
    <w:rsid w:val="00DC3F6F"/>
    <w:rsid w:val="00DC4BD2"/>
    <w:rsid w:val="00DC6CA9"/>
    <w:rsid w:val="00DC72C2"/>
    <w:rsid w:val="00DD02E9"/>
    <w:rsid w:val="00DD0489"/>
    <w:rsid w:val="00DD07FD"/>
    <w:rsid w:val="00DD0BE5"/>
    <w:rsid w:val="00DD233F"/>
    <w:rsid w:val="00DD2F0E"/>
    <w:rsid w:val="00DD3BEB"/>
    <w:rsid w:val="00DD4589"/>
    <w:rsid w:val="00DD4985"/>
    <w:rsid w:val="00DD4A6D"/>
    <w:rsid w:val="00DD593D"/>
    <w:rsid w:val="00DD5AC3"/>
    <w:rsid w:val="00DD7040"/>
    <w:rsid w:val="00DD7506"/>
    <w:rsid w:val="00DD773E"/>
    <w:rsid w:val="00DE0149"/>
    <w:rsid w:val="00DE25E3"/>
    <w:rsid w:val="00DE3005"/>
    <w:rsid w:val="00DE37B3"/>
    <w:rsid w:val="00DE4702"/>
    <w:rsid w:val="00DE4CB8"/>
    <w:rsid w:val="00DE671B"/>
    <w:rsid w:val="00DE6A65"/>
    <w:rsid w:val="00DE7B5E"/>
    <w:rsid w:val="00DF0490"/>
    <w:rsid w:val="00DF0A93"/>
    <w:rsid w:val="00DF1108"/>
    <w:rsid w:val="00DF1978"/>
    <w:rsid w:val="00DF1FD2"/>
    <w:rsid w:val="00DF29B8"/>
    <w:rsid w:val="00DF32B7"/>
    <w:rsid w:val="00DF3335"/>
    <w:rsid w:val="00DF3CAF"/>
    <w:rsid w:val="00DF4899"/>
    <w:rsid w:val="00DF55B2"/>
    <w:rsid w:val="00DF5AC8"/>
    <w:rsid w:val="00DF5E16"/>
    <w:rsid w:val="00DF6BA9"/>
    <w:rsid w:val="00DF7CB8"/>
    <w:rsid w:val="00DF7DCA"/>
    <w:rsid w:val="00E0034C"/>
    <w:rsid w:val="00E005DE"/>
    <w:rsid w:val="00E02BB1"/>
    <w:rsid w:val="00E02DCE"/>
    <w:rsid w:val="00E03641"/>
    <w:rsid w:val="00E03B14"/>
    <w:rsid w:val="00E0439A"/>
    <w:rsid w:val="00E04E19"/>
    <w:rsid w:val="00E05014"/>
    <w:rsid w:val="00E0503C"/>
    <w:rsid w:val="00E054D8"/>
    <w:rsid w:val="00E055F9"/>
    <w:rsid w:val="00E05A35"/>
    <w:rsid w:val="00E061AA"/>
    <w:rsid w:val="00E06210"/>
    <w:rsid w:val="00E07B33"/>
    <w:rsid w:val="00E07D3B"/>
    <w:rsid w:val="00E101AE"/>
    <w:rsid w:val="00E104DB"/>
    <w:rsid w:val="00E11D2D"/>
    <w:rsid w:val="00E147DB"/>
    <w:rsid w:val="00E152FA"/>
    <w:rsid w:val="00E200CC"/>
    <w:rsid w:val="00E204E8"/>
    <w:rsid w:val="00E222DA"/>
    <w:rsid w:val="00E226D5"/>
    <w:rsid w:val="00E243CF"/>
    <w:rsid w:val="00E24D64"/>
    <w:rsid w:val="00E26CC9"/>
    <w:rsid w:val="00E26D82"/>
    <w:rsid w:val="00E26E5A"/>
    <w:rsid w:val="00E270A0"/>
    <w:rsid w:val="00E2712A"/>
    <w:rsid w:val="00E275F5"/>
    <w:rsid w:val="00E3143B"/>
    <w:rsid w:val="00E32EB7"/>
    <w:rsid w:val="00E32F0D"/>
    <w:rsid w:val="00E33738"/>
    <w:rsid w:val="00E342C3"/>
    <w:rsid w:val="00E34842"/>
    <w:rsid w:val="00E35091"/>
    <w:rsid w:val="00E3529D"/>
    <w:rsid w:val="00E36103"/>
    <w:rsid w:val="00E361D9"/>
    <w:rsid w:val="00E369CA"/>
    <w:rsid w:val="00E3736A"/>
    <w:rsid w:val="00E41290"/>
    <w:rsid w:val="00E416EB"/>
    <w:rsid w:val="00E416EE"/>
    <w:rsid w:val="00E4190F"/>
    <w:rsid w:val="00E4193E"/>
    <w:rsid w:val="00E41953"/>
    <w:rsid w:val="00E42118"/>
    <w:rsid w:val="00E4294C"/>
    <w:rsid w:val="00E43439"/>
    <w:rsid w:val="00E437BD"/>
    <w:rsid w:val="00E44025"/>
    <w:rsid w:val="00E4462B"/>
    <w:rsid w:val="00E458CC"/>
    <w:rsid w:val="00E46107"/>
    <w:rsid w:val="00E467FB"/>
    <w:rsid w:val="00E512E4"/>
    <w:rsid w:val="00E514B5"/>
    <w:rsid w:val="00E51B87"/>
    <w:rsid w:val="00E5233D"/>
    <w:rsid w:val="00E52CCB"/>
    <w:rsid w:val="00E52F2C"/>
    <w:rsid w:val="00E52F45"/>
    <w:rsid w:val="00E538EF"/>
    <w:rsid w:val="00E53A95"/>
    <w:rsid w:val="00E53AC8"/>
    <w:rsid w:val="00E54077"/>
    <w:rsid w:val="00E54542"/>
    <w:rsid w:val="00E54A6E"/>
    <w:rsid w:val="00E55D08"/>
    <w:rsid w:val="00E574D1"/>
    <w:rsid w:val="00E57579"/>
    <w:rsid w:val="00E607EC"/>
    <w:rsid w:val="00E61628"/>
    <w:rsid w:val="00E62B0B"/>
    <w:rsid w:val="00E62D99"/>
    <w:rsid w:val="00E637C9"/>
    <w:rsid w:val="00E6390C"/>
    <w:rsid w:val="00E63F8D"/>
    <w:rsid w:val="00E6503B"/>
    <w:rsid w:val="00E650B6"/>
    <w:rsid w:val="00E65581"/>
    <w:rsid w:val="00E658E4"/>
    <w:rsid w:val="00E659AC"/>
    <w:rsid w:val="00E70958"/>
    <w:rsid w:val="00E70A36"/>
    <w:rsid w:val="00E7147C"/>
    <w:rsid w:val="00E71B6A"/>
    <w:rsid w:val="00E72890"/>
    <w:rsid w:val="00E73957"/>
    <w:rsid w:val="00E73AC1"/>
    <w:rsid w:val="00E74F74"/>
    <w:rsid w:val="00E7589A"/>
    <w:rsid w:val="00E75AE2"/>
    <w:rsid w:val="00E76535"/>
    <w:rsid w:val="00E767B4"/>
    <w:rsid w:val="00E76B40"/>
    <w:rsid w:val="00E76BC7"/>
    <w:rsid w:val="00E77B1B"/>
    <w:rsid w:val="00E77D12"/>
    <w:rsid w:val="00E77E8A"/>
    <w:rsid w:val="00E80ADA"/>
    <w:rsid w:val="00E81A5F"/>
    <w:rsid w:val="00E81B09"/>
    <w:rsid w:val="00E82709"/>
    <w:rsid w:val="00E828EB"/>
    <w:rsid w:val="00E82F84"/>
    <w:rsid w:val="00E850E4"/>
    <w:rsid w:val="00E85A4A"/>
    <w:rsid w:val="00E86497"/>
    <w:rsid w:val="00E90D0B"/>
    <w:rsid w:val="00E9290E"/>
    <w:rsid w:val="00E92C09"/>
    <w:rsid w:val="00E93405"/>
    <w:rsid w:val="00E956C2"/>
    <w:rsid w:val="00E9590B"/>
    <w:rsid w:val="00E95995"/>
    <w:rsid w:val="00E967B4"/>
    <w:rsid w:val="00E96B5B"/>
    <w:rsid w:val="00E97C73"/>
    <w:rsid w:val="00EA10BF"/>
    <w:rsid w:val="00EA22D8"/>
    <w:rsid w:val="00EA4915"/>
    <w:rsid w:val="00EA5149"/>
    <w:rsid w:val="00EA5484"/>
    <w:rsid w:val="00EA710F"/>
    <w:rsid w:val="00EB07F5"/>
    <w:rsid w:val="00EB0B86"/>
    <w:rsid w:val="00EB176D"/>
    <w:rsid w:val="00EB24E5"/>
    <w:rsid w:val="00EB2533"/>
    <w:rsid w:val="00EB2AFB"/>
    <w:rsid w:val="00EB2E1C"/>
    <w:rsid w:val="00EB3214"/>
    <w:rsid w:val="00EB39E3"/>
    <w:rsid w:val="00EB41E1"/>
    <w:rsid w:val="00EB43E3"/>
    <w:rsid w:val="00EB4A70"/>
    <w:rsid w:val="00EB4F3B"/>
    <w:rsid w:val="00EB62F4"/>
    <w:rsid w:val="00EB7873"/>
    <w:rsid w:val="00EB7C5E"/>
    <w:rsid w:val="00EC0779"/>
    <w:rsid w:val="00EC0797"/>
    <w:rsid w:val="00EC0D89"/>
    <w:rsid w:val="00EC0F4B"/>
    <w:rsid w:val="00EC1761"/>
    <w:rsid w:val="00EC42A0"/>
    <w:rsid w:val="00EC4855"/>
    <w:rsid w:val="00EC48AB"/>
    <w:rsid w:val="00EC4FD6"/>
    <w:rsid w:val="00EC5350"/>
    <w:rsid w:val="00EC541D"/>
    <w:rsid w:val="00EC5596"/>
    <w:rsid w:val="00EC5B85"/>
    <w:rsid w:val="00EC61B9"/>
    <w:rsid w:val="00ED274B"/>
    <w:rsid w:val="00ED3116"/>
    <w:rsid w:val="00ED3D8A"/>
    <w:rsid w:val="00ED423F"/>
    <w:rsid w:val="00ED5C89"/>
    <w:rsid w:val="00ED6024"/>
    <w:rsid w:val="00ED63B1"/>
    <w:rsid w:val="00ED687B"/>
    <w:rsid w:val="00ED6A6E"/>
    <w:rsid w:val="00ED6EB9"/>
    <w:rsid w:val="00ED7B6D"/>
    <w:rsid w:val="00EE0122"/>
    <w:rsid w:val="00EE0234"/>
    <w:rsid w:val="00EE0B22"/>
    <w:rsid w:val="00EE12F6"/>
    <w:rsid w:val="00EE1640"/>
    <w:rsid w:val="00EE1AC4"/>
    <w:rsid w:val="00EE20D1"/>
    <w:rsid w:val="00EE21E9"/>
    <w:rsid w:val="00EE2746"/>
    <w:rsid w:val="00EE3ECD"/>
    <w:rsid w:val="00EE4371"/>
    <w:rsid w:val="00EE43DB"/>
    <w:rsid w:val="00EE4764"/>
    <w:rsid w:val="00EE4FC6"/>
    <w:rsid w:val="00EE594D"/>
    <w:rsid w:val="00EE5CFE"/>
    <w:rsid w:val="00EE5E3B"/>
    <w:rsid w:val="00EE6F79"/>
    <w:rsid w:val="00EE733F"/>
    <w:rsid w:val="00EF00EC"/>
    <w:rsid w:val="00EF0976"/>
    <w:rsid w:val="00EF2085"/>
    <w:rsid w:val="00EF33AC"/>
    <w:rsid w:val="00EF3696"/>
    <w:rsid w:val="00EF38A4"/>
    <w:rsid w:val="00EF4784"/>
    <w:rsid w:val="00EF5B93"/>
    <w:rsid w:val="00EF5CC2"/>
    <w:rsid w:val="00EF628D"/>
    <w:rsid w:val="00EF6CE5"/>
    <w:rsid w:val="00EF6F01"/>
    <w:rsid w:val="00F003F6"/>
    <w:rsid w:val="00F0129A"/>
    <w:rsid w:val="00F01467"/>
    <w:rsid w:val="00F01A9E"/>
    <w:rsid w:val="00F01C6A"/>
    <w:rsid w:val="00F0213D"/>
    <w:rsid w:val="00F02261"/>
    <w:rsid w:val="00F029C7"/>
    <w:rsid w:val="00F03679"/>
    <w:rsid w:val="00F03B47"/>
    <w:rsid w:val="00F03FB0"/>
    <w:rsid w:val="00F0470F"/>
    <w:rsid w:val="00F04E1C"/>
    <w:rsid w:val="00F05AA5"/>
    <w:rsid w:val="00F06B20"/>
    <w:rsid w:val="00F06D30"/>
    <w:rsid w:val="00F06FFD"/>
    <w:rsid w:val="00F1231D"/>
    <w:rsid w:val="00F12A80"/>
    <w:rsid w:val="00F13815"/>
    <w:rsid w:val="00F139A3"/>
    <w:rsid w:val="00F14121"/>
    <w:rsid w:val="00F14562"/>
    <w:rsid w:val="00F16795"/>
    <w:rsid w:val="00F16E6A"/>
    <w:rsid w:val="00F1744A"/>
    <w:rsid w:val="00F177A6"/>
    <w:rsid w:val="00F177D6"/>
    <w:rsid w:val="00F21D3A"/>
    <w:rsid w:val="00F21D5C"/>
    <w:rsid w:val="00F22DBA"/>
    <w:rsid w:val="00F240EA"/>
    <w:rsid w:val="00F240F4"/>
    <w:rsid w:val="00F24E19"/>
    <w:rsid w:val="00F250E1"/>
    <w:rsid w:val="00F25144"/>
    <w:rsid w:val="00F262C1"/>
    <w:rsid w:val="00F275A7"/>
    <w:rsid w:val="00F27CB4"/>
    <w:rsid w:val="00F3028C"/>
    <w:rsid w:val="00F30889"/>
    <w:rsid w:val="00F31ADF"/>
    <w:rsid w:val="00F31DB1"/>
    <w:rsid w:val="00F32561"/>
    <w:rsid w:val="00F337AD"/>
    <w:rsid w:val="00F34064"/>
    <w:rsid w:val="00F352A8"/>
    <w:rsid w:val="00F355BD"/>
    <w:rsid w:val="00F35C58"/>
    <w:rsid w:val="00F36537"/>
    <w:rsid w:val="00F36E31"/>
    <w:rsid w:val="00F3778C"/>
    <w:rsid w:val="00F37B02"/>
    <w:rsid w:val="00F400E2"/>
    <w:rsid w:val="00F40918"/>
    <w:rsid w:val="00F409F5"/>
    <w:rsid w:val="00F42112"/>
    <w:rsid w:val="00F4270A"/>
    <w:rsid w:val="00F43940"/>
    <w:rsid w:val="00F43FB9"/>
    <w:rsid w:val="00F44163"/>
    <w:rsid w:val="00F4496E"/>
    <w:rsid w:val="00F4532A"/>
    <w:rsid w:val="00F456FE"/>
    <w:rsid w:val="00F45E6C"/>
    <w:rsid w:val="00F46067"/>
    <w:rsid w:val="00F4626C"/>
    <w:rsid w:val="00F4694D"/>
    <w:rsid w:val="00F473AC"/>
    <w:rsid w:val="00F47BB1"/>
    <w:rsid w:val="00F50B95"/>
    <w:rsid w:val="00F52174"/>
    <w:rsid w:val="00F52CEC"/>
    <w:rsid w:val="00F52EB7"/>
    <w:rsid w:val="00F53712"/>
    <w:rsid w:val="00F541AA"/>
    <w:rsid w:val="00F54889"/>
    <w:rsid w:val="00F54EB2"/>
    <w:rsid w:val="00F56256"/>
    <w:rsid w:val="00F60886"/>
    <w:rsid w:val="00F60895"/>
    <w:rsid w:val="00F60BF1"/>
    <w:rsid w:val="00F6120A"/>
    <w:rsid w:val="00F61E32"/>
    <w:rsid w:val="00F637CB"/>
    <w:rsid w:val="00F63A44"/>
    <w:rsid w:val="00F64EA0"/>
    <w:rsid w:val="00F65F19"/>
    <w:rsid w:val="00F668C7"/>
    <w:rsid w:val="00F70E56"/>
    <w:rsid w:val="00F71A02"/>
    <w:rsid w:val="00F7294B"/>
    <w:rsid w:val="00F7355C"/>
    <w:rsid w:val="00F7519D"/>
    <w:rsid w:val="00F761B9"/>
    <w:rsid w:val="00F762AE"/>
    <w:rsid w:val="00F7641D"/>
    <w:rsid w:val="00F76A25"/>
    <w:rsid w:val="00F83FCD"/>
    <w:rsid w:val="00F8418D"/>
    <w:rsid w:val="00F85D5F"/>
    <w:rsid w:val="00F86242"/>
    <w:rsid w:val="00F86AA2"/>
    <w:rsid w:val="00F871CA"/>
    <w:rsid w:val="00F878BC"/>
    <w:rsid w:val="00F87945"/>
    <w:rsid w:val="00F902A7"/>
    <w:rsid w:val="00F90CF4"/>
    <w:rsid w:val="00F90D4C"/>
    <w:rsid w:val="00F91BBF"/>
    <w:rsid w:val="00F9256D"/>
    <w:rsid w:val="00F92A58"/>
    <w:rsid w:val="00F92EA1"/>
    <w:rsid w:val="00F940BA"/>
    <w:rsid w:val="00F94661"/>
    <w:rsid w:val="00F948B6"/>
    <w:rsid w:val="00F94C9A"/>
    <w:rsid w:val="00F953F3"/>
    <w:rsid w:val="00F962FF"/>
    <w:rsid w:val="00F96481"/>
    <w:rsid w:val="00F96CB9"/>
    <w:rsid w:val="00FA093D"/>
    <w:rsid w:val="00FA1DCB"/>
    <w:rsid w:val="00FA1FA0"/>
    <w:rsid w:val="00FA29D5"/>
    <w:rsid w:val="00FA3672"/>
    <w:rsid w:val="00FA6A03"/>
    <w:rsid w:val="00FA70BD"/>
    <w:rsid w:val="00FB0784"/>
    <w:rsid w:val="00FB0BAC"/>
    <w:rsid w:val="00FB1380"/>
    <w:rsid w:val="00FB1671"/>
    <w:rsid w:val="00FB1952"/>
    <w:rsid w:val="00FB1B15"/>
    <w:rsid w:val="00FB1F00"/>
    <w:rsid w:val="00FB203C"/>
    <w:rsid w:val="00FB25A6"/>
    <w:rsid w:val="00FB39EB"/>
    <w:rsid w:val="00FB5CB3"/>
    <w:rsid w:val="00FB7594"/>
    <w:rsid w:val="00FB7EA9"/>
    <w:rsid w:val="00FC0CB3"/>
    <w:rsid w:val="00FC0FC9"/>
    <w:rsid w:val="00FC2710"/>
    <w:rsid w:val="00FC293F"/>
    <w:rsid w:val="00FC295F"/>
    <w:rsid w:val="00FC2970"/>
    <w:rsid w:val="00FC3195"/>
    <w:rsid w:val="00FC3F79"/>
    <w:rsid w:val="00FC44DE"/>
    <w:rsid w:val="00FC48B2"/>
    <w:rsid w:val="00FC50D2"/>
    <w:rsid w:val="00FC62ED"/>
    <w:rsid w:val="00FC6D07"/>
    <w:rsid w:val="00FD1570"/>
    <w:rsid w:val="00FD2477"/>
    <w:rsid w:val="00FD269F"/>
    <w:rsid w:val="00FD309A"/>
    <w:rsid w:val="00FD4F62"/>
    <w:rsid w:val="00FD4F73"/>
    <w:rsid w:val="00FD5488"/>
    <w:rsid w:val="00FD5B44"/>
    <w:rsid w:val="00FD78B1"/>
    <w:rsid w:val="00FD7ACD"/>
    <w:rsid w:val="00FE0DE7"/>
    <w:rsid w:val="00FE3F4E"/>
    <w:rsid w:val="00FE4E26"/>
    <w:rsid w:val="00FE4FBA"/>
    <w:rsid w:val="00FE5558"/>
    <w:rsid w:val="00FE661C"/>
    <w:rsid w:val="00FE69BF"/>
    <w:rsid w:val="00FE7709"/>
    <w:rsid w:val="00FF0FC2"/>
    <w:rsid w:val="00FF13E8"/>
    <w:rsid w:val="00FF1A39"/>
    <w:rsid w:val="00FF1D3C"/>
    <w:rsid w:val="00FF2050"/>
    <w:rsid w:val="00FF29DE"/>
    <w:rsid w:val="00FF3435"/>
    <w:rsid w:val="00FF3A45"/>
    <w:rsid w:val="00FF3D0A"/>
    <w:rsid w:val="00FF3FE5"/>
    <w:rsid w:val="00FF4C76"/>
    <w:rsid w:val="00FF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header" w:uiPriority="0"/>
    <w:lsdException w:name="footer" w:uiPriority="0"/>
    <w:lsdException w:name="caption" w:semiHidden="0" w:uiPriority="35" w:unhideWhenUsed="0" w:qFormat="1"/>
    <w:lsdException w:name="lin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Balloon Text"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cs="Times New Roman"/>
      <w:sz w:val="24"/>
      <w:szCs w:val="20"/>
      <w:lang w:eastAsia="zh-CN"/>
    </w:rPr>
  </w:style>
  <w:style w:type="paragraph" w:styleId="Heading1">
    <w:name w:val="heading 1"/>
    <w:aliases w:val="h1,TBG Heading 1"/>
    <w:basedOn w:val="single"/>
    <w:next w:val="Normal"/>
    <w:link w:val="Heading1Char"/>
    <w:uiPriority w:val="9"/>
    <w:qFormat/>
    <w:rsid w:val="00EC61B9"/>
    <w:pPr>
      <w:keepNext/>
      <w:keepLines/>
      <w:spacing w:after="320"/>
      <w:ind w:left="720" w:right="720" w:firstLine="0"/>
      <w:jc w:val="center"/>
      <w:outlineLvl w:val="0"/>
    </w:pPr>
    <w:rPr>
      <w:b/>
    </w:rPr>
  </w:style>
  <w:style w:type="paragraph" w:styleId="Heading2">
    <w:name w:val="heading 2"/>
    <w:aliases w:val="h2,TBG Heading 2"/>
    <w:basedOn w:val="Heading1"/>
    <w:next w:val="Normal"/>
    <w:link w:val="Heading2Char"/>
    <w:uiPriority w:val="9"/>
    <w:qFormat/>
    <w:rsid w:val="00B86995"/>
    <w:pPr>
      <w:spacing w:before="360" w:after="360" w:line="240" w:lineRule="auto"/>
      <w:ind w:hanging="720"/>
      <w:jc w:val="left"/>
      <w:outlineLvl w:val="1"/>
    </w:pPr>
    <w:rPr>
      <w:u w:val="single"/>
    </w:rPr>
  </w:style>
  <w:style w:type="paragraph" w:styleId="Heading3">
    <w:name w:val="heading 3"/>
    <w:aliases w:val="h3,TBG Heading 3"/>
    <w:basedOn w:val="Heading2"/>
    <w:next w:val="Normal"/>
    <w:link w:val="Heading3Char"/>
    <w:uiPriority w:val="9"/>
    <w:qFormat/>
    <w:rsid w:val="007A693A"/>
    <w:pPr>
      <w:spacing w:before="120"/>
      <w:ind w:left="1440"/>
      <w:outlineLvl w:val="2"/>
    </w:pPr>
    <w:rPr>
      <w:rFonts w:ascii="Times New Roman" w:eastAsia="SimSun" w:hAnsi="Times New Roman"/>
      <w:bCs/>
      <w:szCs w:val="24"/>
    </w:rPr>
  </w:style>
  <w:style w:type="paragraph" w:styleId="Heading4">
    <w:name w:val="heading 4"/>
    <w:aliases w:val="h4,TBG Heading 4"/>
    <w:basedOn w:val="Heading3"/>
    <w:next w:val="Normal"/>
    <w:link w:val="Heading4Char"/>
    <w:uiPriority w:val="9"/>
    <w:qFormat/>
    <w:rsid w:val="007A693A"/>
    <w:pPr>
      <w:ind w:left="2160"/>
      <w:outlineLvl w:val="3"/>
    </w:pPr>
  </w:style>
  <w:style w:type="paragraph" w:styleId="Heading5">
    <w:name w:val="heading 5"/>
    <w:aliases w:val="h5"/>
    <w:basedOn w:val="Heading4"/>
    <w:next w:val="Normal"/>
    <w:link w:val="Heading5Char"/>
    <w:uiPriority w:val="9"/>
    <w:qFormat/>
    <w:rsid w:val="00EC61B9"/>
    <w:pPr>
      <w:ind w:left="2880"/>
      <w:outlineLvl w:val="4"/>
    </w:pPr>
    <w:rPr>
      <w:bCs w:val="0"/>
      <w:i/>
      <w:iCs/>
      <w:sz w:val="26"/>
      <w:szCs w:val="26"/>
    </w:rPr>
  </w:style>
  <w:style w:type="paragraph" w:styleId="Heading6">
    <w:name w:val="heading 6"/>
    <w:aliases w:val="h6"/>
    <w:basedOn w:val="Heading5"/>
    <w:next w:val="Normal"/>
    <w:link w:val="Heading6Char"/>
    <w:uiPriority w:val="9"/>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BG Heading 1 Char"/>
    <w:basedOn w:val="DefaultParagraphFont"/>
    <w:link w:val="Heading1"/>
    <w:uiPriority w:val="9"/>
    <w:locked/>
    <w:rsid w:val="00EC61B9"/>
    <w:rPr>
      <w:rFonts w:cs="Times New Roman"/>
      <w:b/>
      <w:sz w:val="24"/>
      <w:lang w:val="en-US" w:eastAsia="zh-CN"/>
    </w:rPr>
  </w:style>
  <w:style w:type="character" w:customStyle="1" w:styleId="Heading2Char">
    <w:name w:val="Heading 2 Char"/>
    <w:aliases w:val="h2 Char,TBG Heading 2 Char"/>
    <w:basedOn w:val="DefaultParagraphFont"/>
    <w:link w:val="Heading2"/>
    <w:uiPriority w:val="9"/>
    <w:locked/>
    <w:rsid w:val="00B86995"/>
    <w:rPr>
      <w:rFonts w:cs="Times New Roman"/>
      <w:b/>
      <w:sz w:val="20"/>
      <w:szCs w:val="20"/>
      <w:u w:val="single"/>
      <w:lang w:val="x-none" w:eastAsia="zh-CN"/>
    </w:rPr>
  </w:style>
  <w:style w:type="character" w:customStyle="1" w:styleId="Heading3Char">
    <w:name w:val="Heading 3 Char"/>
    <w:aliases w:val="h3 Char,TBG Heading 3 Char"/>
    <w:basedOn w:val="DefaultParagraphFont"/>
    <w:link w:val="Heading3"/>
    <w:uiPriority w:val="9"/>
    <w:locked/>
    <w:rsid w:val="007A693A"/>
    <w:rPr>
      <w:rFonts w:ascii="Times New Roman" w:eastAsia="SimSun" w:hAnsi="Times New Roman" w:cs="Times New Roman"/>
      <w:b/>
      <w:bCs/>
      <w:sz w:val="24"/>
      <w:szCs w:val="24"/>
      <w:u w:val="single"/>
      <w:lang w:val="x-none" w:eastAsia="zh-CN"/>
    </w:rPr>
  </w:style>
  <w:style w:type="character" w:customStyle="1" w:styleId="Heading4Char">
    <w:name w:val="Heading 4 Char"/>
    <w:aliases w:val="h4 Char,TBG Heading 4 Char"/>
    <w:basedOn w:val="DefaultParagraphFont"/>
    <w:link w:val="Heading4"/>
    <w:uiPriority w:val="9"/>
    <w:locked/>
    <w:rsid w:val="007A693A"/>
    <w:rPr>
      <w:rFonts w:ascii="Times New Roman" w:eastAsia="SimSun" w:hAnsi="Times New Roman" w:cs="Times New Roman"/>
      <w:b/>
      <w:bCs/>
      <w:sz w:val="24"/>
      <w:szCs w:val="24"/>
      <w:u w:val="single"/>
      <w:lang w:val="x-none" w:eastAsia="zh-CN"/>
    </w:rPr>
  </w:style>
  <w:style w:type="character" w:customStyle="1" w:styleId="Heading5Char">
    <w:name w:val="Heading 5 Char"/>
    <w:aliases w:val="h5 Char"/>
    <w:basedOn w:val="DefaultParagraphFont"/>
    <w:link w:val="Heading5"/>
    <w:uiPriority w:val="9"/>
    <w:semiHidden/>
    <w:locked/>
    <w:rsid w:val="007D422A"/>
    <w:rPr>
      <w:rFonts w:ascii="Calibri" w:hAnsi="Calibri" w:cs="Times New Roman"/>
      <w:b/>
      <w:i/>
      <w:sz w:val="26"/>
      <w:lang w:val="x-none" w:eastAsia="zh-CN"/>
    </w:rPr>
  </w:style>
  <w:style w:type="character" w:customStyle="1" w:styleId="Heading6Char">
    <w:name w:val="Heading 6 Char"/>
    <w:aliases w:val="h6 Char"/>
    <w:basedOn w:val="DefaultParagraphFont"/>
    <w:link w:val="Heading6"/>
    <w:uiPriority w:val="9"/>
    <w:semiHidden/>
    <w:locked/>
    <w:rsid w:val="007D422A"/>
    <w:rPr>
      <w:rFonts w:ascii="Calibri" w:hAnsi="Calibri" w:cs="Times New Roman"/>
      <w:b/>
      <w:lang w:val="x-none"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val="x-none"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val="x-none"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val="x-none"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val="x-none" w:eastAsia="zh-CN"/>
    </w:rPr>
  </w:style>
  <w:style w:type="paragraph" w:styleId="FootnoteText">
    <w:name w:val="footnote text"/>
    <w:aliases w:val="TBG Style,BG Footnote Text"/>
    <w:basedOn w:val="single"/>
    <w:link w:val="FootnoteTextChar"/>
    <w:uiPriority w:val="99"/>
    <w:rsid w:val="00EC61B9"/>
    <w:rPr>
      <w:rFonts w:ascii="Times New Roman" w:hAnsi="Times New Roman"/>
      <w:sz w:val="20"/>
    </w:rPr>
  </w:style>
  <w:style w:type="character" w:customStyle="1" w:styleId="FootnoteTextChar">
    <w:name w:val="Footnote Text Char"/>
    <w:aliases w:val="TBG Style Char,BG Footnote Text Char"/>
    <w:basedOn w:val="DefaultParagraphFont"/>
    <w:link w:val="FootnoteText"/>
    <w:uiPriority w:val="99"/>
    <w:locked/>
    <w:rsid w:val="007D422A"/>
    <w:rPr>
      <w:rFonts w:ascii="Times New Roman" w:hAnsi="Times New Roman" w:cs="Times New Roman"/>
      <w:sz w:val="20"/>
      <w:lang w:val="x-none"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locked/>
    <w:rsid w:val="007D422A"/>
    <w:rPr>
      <w:rFonts w:ascii="Times New Roman" w:hAnsi="Times New Roman" w:cs="Times New Roman"/>
      <w:sz w:val="20"/>
      <w:lang w:val="x-none"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locked/>
    <w:rsid w:val="007D422A"/>
    <w:rPr>
      <w:rFonts w:ascii="Times New Roman" w:hAnsi="Times New Roman" w:cs="Times New Roman"/>
      <w:sz w:val="20"/>
      <w:lang w:val="x-none"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cs="Times New Roma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cs="Times New Roman"/>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cs="Times New Roman"/>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rFonts w:cs="Times New Roman"/>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val="x-none"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val="x-none"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val="x-none"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1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1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1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1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val="x-none"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val="x-none"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val="x-none"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s="Times New Roman"/>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val="x-none"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1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val="x-none" w:eastAsia="zh-CN"/>
    </w:rPr>
  </w:style>
  <w:style w:type="paragraph" w:styleId="Caption">
    <w:name w:val="caption"/>
    <w:basedOn w:val="Normal"/>
    <w:next w:val="Normal"/>
    <w:uiPriority w:val="35"/>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val="x-none"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val="x-none"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val="x-none"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val="x-none"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val="x-none"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val="x-none"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val="x-none"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val="x-none"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val="x-none"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val="x-none"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val="x-none"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val="x-none"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val="x-none"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val="x-none"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val="x-none"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val="x-none"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cs="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bCs/>
      <w:color w:val="365F91" w:themeColor="accent1" w:themeShade="BF"/>
      <w:sz w:val="28"/>
      <w:szCs w:val="28"/>
      <w:lang w:eastAsia="ja-JP"/>
    </w:rPr>
  </w:style>
  <w:style w:type="paragraph" w:customStyle="1" w:styleId="InsertGraphic">
    <w:name w:val="Insert Graphic"/>
    <w:basedOn w:val="Normal"/>
    <w:next w:val="Normal"/>
    <w:rsid w:val="00EF3696"/>
    <w:pPr>
      <w:spacing w:before="60" w:after="60" w:line="240" w:lineRule="auto"/>
      <w:ind w:firstLine="0"/>
      <w:jc w:val="center"/>
    </w:pPr>
    <w:rPr>
      <w:lang w:eastAsia="en-US"/>
    </w:rPr>
  </w:style>
  <w:style w:type="paragraph" w:customStyle="1" w:styleId="NormalTBGDoubleSpacing">
    <w:name w:val="Normal TBG Double Spacing"/>
    <w:basedOn w:val="Normal"/>
    <w:rsid w:val="00EF3696"/>
    <w:pPr>
      <w:spacing w:line="480" w:lineRule="auto"/>
      <w:ind w:firstLine="0"/>
      <w:jc w:val="both"/>
    </w:pPr>
    <w:rPr>
      <w:lang w:eastAsia="en-US"/>
    </w:rPr>
  </w:style>
  <w:style w:type="paragraph" w:customStyle="1" w:styleId="NormalTBGOneandahalfspacing">
    <w:name w:val="Normal TBG One and a half spacing"/>
    <w:basedOn w:val="Normal"/>
    <w:rsid w:val="00EF3696"/>
    <w:pPr>
      <w:spacing w:before="360" w:line="360" w:lineRule="auto"/>
      <w:ind w:firstLine="0"/>
      <w:jc w:val="both"/>
    </w:pPr>
    <w:rPr>
      <w:lang w:eastAsia="en-US"/>
    </w:rPr>
  </w:style>
  <w:style w:type="paragraph" w:customStyle="1" w:styleId="Quote-Indented">
    <w:name w:val="Quote - Indented"/>
    <w:basedOn w:val="Normal"/>
    <w:next w:val="NormalTBGOneandahalfspacing"/>
    <w:rsid w:val="00EF3696"/>
    <w:pPr>
      <w:spacing w:before="120" w:line="240" w:lineRule="auto"/>
      <w:ind w:left="720" w:right="720" w:firstLine="0"/>
      <w:jc w:val="both"/>
    </w:pPr>
    <w:rPr>
      <w:lang w:eastAsia="en-US"/>
    </w:rPr>
  </w:style>
  <w:style w:type="paragraph" w:customStyle="1" w:styleId="TBGAlternateHeading1">
    <w:name w:val="TBG Alternate Heading 1"/>
    <w:basedOn w:val="Heading1"/>
    <w:next w:val="Normal"/>
    <w:rsid w:val="00EF3696"/>
    <w:pPr>
      <w:keepLines w:val="0"/>
      <w:spacing w:after="240" w:line="240" w:lineRule="auto"/>
      <w:ind w:left="360" w:right="0" w:hanging="360"/>
      <w:jc w:val="both"/>
    </w:pPr>
    <w:rPr>
      <w:rFonts w:ascii="Times New Roman" w:hAnsi="Times New Roman"/>
      <w:smallCaps/>
      <w:kern w:val="28"/>
      <w:lang w:eastAsia="en-US"/>
    </w:rPr>
  </w:style>
  <w:style w:type="paragraph" w:customStyle="1" w:styleId="TBGAlternateHeading2">
    <w:name w:val="TBG Alternate Heading 2"/>
    <w:basedOn w:val="Heading2"/>
    <w:next w:val="Normal"/>
    <w:rsid w:val="00EF3696"/>
    <w:pPr>
      <w:keepLines w:val="0"/>
      <w:numPr>
        <w:ilvl w:val="1"/>
      </w:numPr>
      <w:spacing w:before="240" w:after="240"/>
      <w:ind w:left="720" w:hanging="360"/>
      <w:jc w:val="both"/>
    </w:pPr>
    <w:rPr>
      <w:rFonts w:ascii="Times New Roman" w:hAnsi="Times New Roman"/>
      <w:u w:val="none"/>
      <w:lang w:eastAsia="en-US"/>
    </w:rPr>
  </w:style>
  <w:style w:type="paragraph" w:customStyle="1" w:styleId="TBGAlternateHeading3">
    <w:name w:val="TBG Alternate Heading 3"/>
    <w:basedOn w:val="Heading3"/>
    <w:next w:val="Normal"/>
    <w:rsid w:val="00EF3696"/>
    <w:pPr>
      <w:keepLines w:val="0"/>
      <w:numPr>
        <w:ilvl w:val="2"/>
      </w:numPr>
      <w:spacing w:before="240" w:after="240"/>
      <w:ind w:left="1080" w:hanging="360"/>
      <w:jc w:val="both"/>
    </w:pPr>
    <w:rPr>
      <w:rFonts w:eastAsia="Times New Roman"/>
      <w:bCs w:val="0"/>
      <w:i/>
      <w:szCs w:val="20"/>
      <w:u w:val="none"/>
      <w:lang w:eastAsia="en-US"/>
    </w:rPr>
  </w:style>
  <w:style w:type="paragraph" w:customStyle="1" w:styleId="TBGAlternate2Heading1">
    <w:name w:val="TBG Alternate2 Heading 1"/>
    <w:basedOn w:val="Heading1"/>
    <w:next w:val="Normal"/>
    <w:rsid w:val="00EF3696"/>
    <w:pPr>
      <w:keepLines w:val="0"/>
      <w:spacing w:after="240" w:line="240" w:lineRule="auto"/>
      <w:ind w:left="360" w:right="0" w:hanging="360"/>
      <w:jc w:val="both"/>
    </w:pPr>
    <w:rPr>
      <w:rFonts w:ascii="Times New Roman" w:hAnsi="Times New Roman"/>
      <w:kern w:val="28"/>
      <w:lang w:eastAsia="en-US"/>
    </w:rPr>
  </w:style>
  <w:style w:type="paragraph" w:customStyle="1" w:styleId="TBGAlternate2Heading2">
    <w:name w:val="TBG Alternate2 Heading 2"/>
    <w:basedOn w:val="Heading2"/>
    <w:next w:val="Normal"/>
    <w:rsid w:val="00EF3696"/>
    <w:pPr>
      <w:keepLines w:val="0"/>
      <w:numPr>
        <w:ilvl w:val="1"/>
      </w:numPr>
      <w:spacing w:before="240" w:after="240"/>
      <w:ind w:left="720" w:hanging="360"/>
      <w:jc w:val="both"/>
    </w:pPr>
    <w:rPr>
      <w:rFonts w:ascii="Times New Roman" w:hAnsi="Times New Roman"/>
      <w:i/>
      <w:u w:val="none"/>
      <w:lang w:eastAsia="en-US"/>
    </w:rPr>
  </w:style>
  <w:style w:type="paragraph" w:customStyle="1" w:styleId="TBGbullet">
    <w:name w:val="TBG bullet"/>
    <w:basedOn w:val="Normal"/>
    <w:rsid w:val="00EF3696"/>
    <w:pPr>
      <w:numPr>
        <w:numId w:val="15"/>
      </w:numPr>
      <w:tabs>
        <w:tab w:val="clear" w:pos="1440"/>
        <w:tab w:val="num" w:pos="360"/>
      </w:tabs>
      <w:spacing w:before="120" w:line="276" w:lineRule="auto"/>
      <w:ind w:right="720" w:hanging="360"/>
      <w:jc w:val="both"/>
    </w:pPr>
    <w:rPr>
      <w:lang w:eastAsia="en-US"/>
    </w:rPr>
  </w:style>
  <w:style w:type="paragraph" w:customStyle="1" w:styleId="TBGTestimonyA">
    <w:name w:val="TBG Testimony A."/>
    <w:basedOn w:val="Normal"/>
    <w:next w:val="Normal"/>
    <w:rsid w:val="00EF3696"/>
    <w:pPr>
      <w:numPr>
        <w:ilvl w:val="1"/>
        <w:numId w:val="16"/>
      </w:numPr>
      <w:tabs>
        <w:tab w:val="clear" w:pos="1080"/>
        <w:tab w:val="num" w:pos="720"/>
      </w:tabs>
      <w:spacing w:before="80" w:line="360" w:lineRule="auto"/>
      <w:ind w:left="720"/>
      <w:jc w:val="both"/>
    </w:pPr>
    <w:rPr>
      <w:lang w:eastAsia="en-US"/>
    </w:rPr>
  </w:style>
  <w:style w:type="paragraph" w:customStyle="1" w:styleId="TBGTestimonyQ">
    <w:name w:val="TBG Testimony Q."/>
    <w:basedOn w:val="Normal"/>
    <w:next w:val="TBGTestimonyA"/>
    <w:rsid w:val="00EF3696"/>
    <w:pPr>
      <w:numPr>
        <w:numId w:val="16"/>
      </w:numPr>
      <w:tabs>
        <w:tab w:val="clear" w:pos="1080"/>
        <w:tab w:val="num" w:pos="720"/>
      </w:tabs>
      <w:spacing w:before="360" w:line="360" w:lineRule="auto"/>
      <w:ind w:left="720"/>
      <w:jc w:val="both"/>
    </w:pPr>
    <w:rPr>
      <w:lang w:eastAsia="en-US"/>
    </w:rPr>
  </w:style>
  <w:style w:type="paragraph" w:customStyle="1" w:styleId="TBGTestimony2ndParagraph">
    <w:name w:val="TBG Testimony 2nd Paragraph"/>
    <w:basedOn w:val="TBGTestimonyA"/>
    <w:qFormat/>
    <w:rsid w:val="00EF3696"/>
    <w:pPr>
      <w:numPr>
        <w:ilvl w:val="0"/>
        <w:numId w:val="0"/>
      </w:numPr>
      <w:spacing w:before="240"/>
      <w:ind w:left="2160" w:hanging="1080"/>
    </w:pPr>
  </w:style>
  <w:style w:type="paragraph" w:customStyle="1" w:styleId="TestimonyA">
    <w:name w:val="Testimony A"/>
    <w:basedOn w:val="NormalTBGOneandahalfspacing"/>
    <w:next w:val="Normal"/>
    <w:qFormat/>
    <w:rsid w:val="00EF3696"/>
    <w:pPr>
      <w:numPr>
        <w:numId w:val="17"/>
      </w:numPr>
      <w:spacing w:before="80"/>
    </w:pPr>
  </w:style>
  <w:style w:type="paragraph" w:customStyle="1" w:styleId="TestimonyA2ndParagraph">
    <w:name w:val="Testimony A 2nd Paragraph"/>
    <w:basedOn w:val="TestimonyA"/>
    <w:next w:val="Normal"/>
    <w:rsid w:val="00EF3696"/>
    <w:pPr>
      <w:numPr>
        <w:numId w:val="0"/>
      </w:numPr>
      <w:spacing w:before="240"/>
      <w:ind w:left="720"/>
    </w:pPr>
  </w:style>
  <w:style w:type="paragraph" w:customStyle="1" w:styleId="TestimonyQ">
    <w:name w:val="Testimony Q"/>
    <w:basedOn w:val="NormalTBGOneandahalfspacing"/>
    <w:next w:val="TestimonyA"/>
    <w:qFormat/>
    <w:rsid w:val="00EF3696"/>
    <w:pPr>
      <w:numPr>
        <w:numId w:val="18"/>
      </w:numPr>
      <w:tabs>
        <w:tab w:val="clear" w:pos="1080"/>
        <w:tab w:val="num" w:pos="990"/>
      </w:tabs>
      <w:ind w:left="990"/>
    </w:pPr>
  </w:style>
  <w:style w:type="table" w:customStyle="1" w:styleId="TableGrid1">
    <w:name w:val="Table Grid1"/>
    <w:basedOn w:val="TableNormal"/>
    <w:next w:val="TableGrid"/>
    <w:rsid w:val="00EF3696"/>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notes">
    <w:name w:val="Figure or Table notes"/>
    <w:basedOn w:val="Normal"/>
    <w:next w:val="NormalTBGOneandahalfspacing"/>
    <w:qFormat/>
    <w:rsid w:val="00EF3696"/>
    <w:pPr>
      <w:spacing w:before="60" w:line="240" w:lineRule="auto"/>
      <w:ind w:left="1080" w:right="1080" w:firstLine="0"/>
      <w:jc w:val="both"/>
    </w:pPr>
    <w:rPr>
      <w:color w:val="000000"/>
      <w:sz w:val="18"/>
      <w:lang w:eastAsia="en-US"/>
    </w:rPr>
  </w:style>
  <w:style w:type="paragraph" w:customStyle="1" w:styleId="StyleAfter12ptLinespacingDouble">
    <w:name w:val="Style After:  12 pt Line spacing:  Double"/>
    <w:basedOn w:val="Normal"/>
    <w:rsid w:val="00EF3696"/>
    <w:pPr>
      <w:spacing w:after="240" w:line="360" w:lineRule="auto"/>
      <w:ind w:firstLine="0"/>
      <w:jc w:val="both"/>
    </w:pPr>
    <w:rPr>
      <w:lang w:eastAsia="en-US"/>
    </w:rPr>
  </w:style>
  <w:style w:type="numbering" w:customStyle="1" w:styleId="OutlineNoHeadings">
    <w:name w:val="Outline No Headings"/>
    <w:pPr>
      <w:numPr>
        <w:numId w:val="19"/>
      </w:numPr>
    </w:pPr>
  </w:style>
  <w:style w:type="paragraph" w:customStyle="1" w:styleId="testimony">
    <w:name w:val="testimony"/>
    <w:basedOn w:val="Normal"/>
    <w:rsid w:val="004F125B"/>
    <w:pPr>
      <w:tabs>
        <w:tab w:val="left" w:pos="720"/>
        <w:tab w:val="left" w:pos="2160"/>
      </w:tabs>
      <w:spacing w:line="440" w:lineRule="atLeast"/>
      <w:ind w:hanging="360"/>
    </w:pPr>
    <w:rPr>
      <w:rFonts w:ascii="Times" w:hAnsi="Time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header" w:uiPriority="0"/>
    <w:lsdException w:name="footer" w:uiPriority="0"/>
    <w:lsdException w:name="caption" w:semiHidden="0" w:uiPriority="35" w:unhideWhenUsed="0" w:qFormat="1"/>
    <w:lsdException w:name="lin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Balloon Text"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cs="Times New Roman"/>
      <w:sz w:val="24"/>
      <w:szCs w:val="20"/>
      <w:lang w:eastAsia="zh-CN"/>
    </w:rPr>
  </w:style>
  <w:style w:type="paragraph" w:styleId="Heading1">
    <w:name w:val="heading 1"/>
    <w:aliases w:val="h1,TBG Heading 1"/>
    <w:basedOn w:val="single"/>
    <w:next w:val="Normal"/>
    <w:link w:val="Heading1Char"/>
    <w:uiPriority w:val="9"/>
    <w:qFormat/>
    <w:rsid w:val="00EC61B9"/>
    <w:pPr>
      <w:keepNext/>
      <w:keepLines/>
      <w:spacing w:after="320"/>
      <w:ind w:left="720" w:right="720" w:firstLine="0"/>
      <w:jc w:val="center"/>
      <w:outlineLvl w:val="0"/>
    </w:pPr>
    <w:rPr>
      <w:b/>
    </w:rPr>
  </w:style>
  <w:style w:type="paragraph" w:styleId="Heading2">
    <w:name w:val="heading 2"/>
    <w:aliases w:val="h2,TBG Heading 2"/>
    <w:basedOn w:val="Heading1"/>
    <w:next w:val="Normal"/>
    <w:link w:val="Heading2Char"/>
    <w:uiPriority w:val="9"/>
    <w:qFormat/>
    <w:rsid w:val="00B86995"/>
    <w:pPr>
      <w:spacing w:before="360" w:after="360" w:line="240" w:lineRule="auto"/>
      <w:ind w:hanging="720"/>
      <w:jc w:val="left"/>
      <w:outlineLvl w:val="1"/>
    </w:pPr>
    <w:rPr>
      <w:u w:val="single"/>
    </w:rPr>
  </w:style>
  <w:style w:type="paragraph" w:styleId="Heading3">
    <w:name w:val="heading 3"/>
    <w:aliases w:val="h3,TBG Heading 3"/>
    <w:basedOn w:val="Heading2"/>
    <w:next w:val="Normal"/>
    <w:link w:val="Heading3Char"/>
    <w:uiPriority w:val="9"/>
    <w:qFormat/>
    <w:rsid w:val="007A693A"/>
    <w:pPr>
      <w:spacing w:before="120"/>
      <w:ind w:left="1440"/>
      <w:outlineLvl w:val="2"/>
    </w:pPr>
    <w:rPr>
      <w:rFonts w:ascii="Times New Roman" w:eastAsia="SimSun" w:hAnsi="Times New Roman"/>
      <w:bCs/>
      <w:szCs w:val="24"/>
    </w:rPr>
  </w:style>
  <w:style w:type="paragraph" w:styleId="Heading4">
    <w:name w:val="heading 4"/>
    <w:aliases w:val="h4,TBG Heading 4"/>
    <w:basedOn w:val="Heading3"/>
    <w:next w:val="Normal"/>
    <w:link w:val="Heading4Char"/>
    <w:uiPriority w:val="9"/>
    <w:qFormat/>
    <w:rsid w:val="007A693A"/>
    <w:pPr>
      <w:ind w:left="2160"/>
      <w:outlineLvl w:val="3"/>
    </w:pPr>
  </w:style>
  <w:style w:type="paragraph" w:styleId="Heading5">
    <w:name w:val="heading 5"/>
    <w:aliases w:val="h5"/>
    <w:basedOn w:val="Heading4"/>
    <w:next w:val="Normal"/>
    <w:link w:val="Heading5Char"/>
    <w:uiPriority w:val="9"/>
    <w:qFormat/>
    <w:rsid w:val="00EC61B9"/>
    <w:pPr>
      <w:ind w:left="2880"/>
      <w:outlineLvl w:val="4"/>
    </w:pPr>
    <w:rPr>
      <w:bCs w:val="0"/>
      <w:i/>
      <w:iCs/>
      <w:sz w:val="26"/>
      <w:szCs w:val="26"/>
    </w:rPr>
  </w:style>
  <w:style w:type="paragraph" w:styleId="Heading6">
    <w:name w:val="heading 6"/>
    <w:aliases w:val="h6"/>
    <w:basedOn w:val="Heading5"/>
    <w:next w:val="Normal"/>
    <w:link w:val="Heading6Char"/>
    <w:uiPriority w:val="9"/>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BG Heading 1 Char"/>
    <w:basedOn w:val="DefaultParagraphFont"/>
    <w:link w:val="Heading1"/>
    <w:uiPriority w:val="9"/>
    <w:locked/>
    <w:rsid w:val="00EC61B9"/>
    <w:rPr>
      <w:rFonts w:cs="Times New Roman"/>
      <w:b/>
      <w:sz w:val="24"/>
      <w:lang w:val="en-US" w:eastAsia="zh-CN"/>
    </w:rPr>
  </w:style>
  <w:style w:type="character" w:customStyle="1" w:styleId="Heading2Char">
    <w:name w:val="Heading 2 Char"/>
    <w:aliases w:val="h2 Char,TBG Heading 2 Char"/>
    <w:basedOn w:val="DefaultParagraphFont"/>
    <w:link w:val="Heading2"/>
    <w:uiPriority w:val="9"/>
    <w:locked/>
    <w:rsid w:val="00B86995"/>
    <w:rPr>
      <w:rFonts w:cs="Times New Roman"/>
      <w:b/>
      <w:sz w:val="20"/>
      <w:szCs w:val="20"/>
      <w:u w:val="single"/>
      <w:lang w:val="x-none" w:eastAsia="zh-CN"/>
    </w:rPr>
  </w:style>
  <w:style w:type="character" w:customStyle="1" w:styleId="Heading3Char">
    <w:name w:val="Heading 3 Char"/>
    <w:aliases w:val="h3 Char,TBG Heading 3 Char"/>
    <w:basedOn w:val="DefaultParagraphFont"/>
    <w:link w:val="Heading3"/>
    <w:uiPriority w:val="9"/>
    <w:locked/>
    <w:rsid w:val="007A693A"/>
    <w:rPr>
      <w:rFonts w:ascii="Times New Roman" w:eastAsia="SimSun" w:hAnsi="Times New Roman" w:cs="Times New Roman"/>
      <w:b/>
      <w:bCs/>
      <w:sz w:val="24"/>
      <w:szCs w:val="24"/>
      <w:u w:val="single"/>
      <w:lang w:val="x-none" w:eastAsia="zh-CN"/>
    </w:rPr>
  </w:style>
  <w:style w:type="character" w:customStyle="1" w:styleId="Heading4Char">
    <w:name w:val="Heading 4 Char"/>
    <w:aliases w:val="h4 Char,TBG Heading 4 Char"/>
    <w:basedOn w:val="DefaultParagraphFont"/>
    <w:link w:val="Heading4"/>
    <w:uiPriority w:val="9"/>
    <w:locked/>
    <w:rsid w:val="007A693A"/>
    <w:rPr>
      <w:rFonts w:ascii="Times New Roman" w:eastAsia="SimSun" w:hAnsi="Times New Roman" w:cs="Times New Roman"/>
      <w:b/>
      <w:bCs/>
      <w:sz w:val="24"/>
      <w:szCs w:val="24"/>
      <w:u w:val="single"/>
      <w:lang w:val="x-none" w:eastAsia="zh-CN"/>
    </w:rPr>
  </w:style>
  <w:style w:type="character" w:customStyle="1" w:styleId="Heading5Char">
    <w:name w:val="Heading 5 Char"/>
    <w:aliases w:val="h5 Char"/>
    <w:basedOn w:val="DefaultParagraphFont"/>
    <w:link w:val="Heading5"/>
    <w:uiPriority w:val="9"/>
    <w:semiHidden/>
    <w:locked/>
    <w:rsid w:val="007D422A"/>
    <w:rPr>
      <w:rFonts w:ascii="Calibri" w:hAnsi="Calibri" w:cs="Times New Roman"/>
      <w:b/>
      <w:i/>
      <w:sz w:val="26"/>
      <w:lang w:val="x-none" w:eastAsia="zh-CN"/>
    </w:rPr>
  </w:style>
  <w:style w:type="character" w:customStyle="1" w:styleId="Heading6Char">
    <w:name w:val="Heading 6 Char"/>
    <w:aliases w:val="h6 Char"/>
    <w:basedOn w:val="DefaultParagraphFont"/>
    <w:link w:val="Heading6"/>
    <w:uiPriority w:val="9"/>
    <w:semiHidden/>
    <w:locked/>
    <w:rsid w:val="007D422A"/>
    <w:rPr>
      <w:rFonts w:ascii="Calibri" w:hAnsi="Calibri" w:cs="Times New Roman"/>
      <w:b/>
      <w:lang w:val="x-none"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val="x-none"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val="x-none"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val="x-none"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val="x-none" w:eastAsia="zh-CN"/>
    </w:rPr>
  </w:style>
  <w:style w:type="paragraph" w:styleId="FootnoteText">
    <w:name w:val="footnote text"/>
    <w:aliases w:val="TBG Style,BG Footnote Text"/>
    <w:basedOn w:val="single"/>
    <w:link w:val="FootnoteTextChar"/>
    <w:uiPriority w:val="99"/>
    <w:rsid w:val="00EC61B9"/>
    <w:rPr>
      <w:rFonts w:ascii="Times New Roman" w:hAnsi="Times New Roman"/>
      <w:sz w:val="20"/>
    </w:rPr>
  </w:style>
  <w:style w:type="character" w:customStyle="1" w:styleId="FootnoteTextChar">
    <w:name w:val="Footnote Text Char"/>
    <w:aliases w:val="TBG Style Char,BG Footnote Text Char"/>
    <w:basedOn w:val="DefaultParagraphFont"/>
    <w:link w:val="FootnoteText"/>
    <w:uiPriority w:val="99"/>
    <w:locked/>
    <w:rsid w:val="007D422A"/>
    <w:rPr>
      <w:rFonts w:ascii="Times New Roman" w:hAnsi="Times New Roman" w:cs="Times New Roman"/>
      <w:sz w:val="20"/>
      <w:lang w:val="x-none"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locked/>
    <w:rsid w:val="007D422A"/>
    <w:rPr>
      <w:rFonts w:ascii="Times New Roman" w:hAnsi="Times New Roman" w:cs="Times New Roman"/>
      <w:sz w:val="20"/>
      <w:lang w:val="x-none"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locked/>
    <w:rsid w:val="007D422A"/>
    <w:rPr>
      <w:rFonts w:ascii="Times New Roman" w:hAnsi="Times New Roman" w:cs="Times New Roman"/>
      <w:sz w:val="20"/>
      <w:lang w:val="x-none"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cs="Times New Roma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cs="Times New Roman"/>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cs="Times New Roman"/>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rFonts w:cs="Times New Roman"/>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val="x-none"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val="x-none"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val="x-none"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1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1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1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1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val="x-none"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val="x-none"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val="x-none"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s="Times New Roman"/>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val="x-none"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1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val="x-none" w:eastAsia="zh-CN"/>
    </w:rPr>
  </w:style>
  <w:style w:type="paragraph" w:styleId="Caption">
    <w:name w:val="caption"/>
    <w:basedOn w:val="Normal"/>
    <w:next w:val="Normal"/>
    <w:uiPriority w:val="35"/>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val="x-none"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val="x-none"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val="x-none"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val="x-none"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val="x-none"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val="x-none"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val="x-none"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val="x-none"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val="x-none"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val="x-none"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val="x-none"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val="x-none"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val="x-none"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val="x-none"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val="x-none"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val="x-none"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cs="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bCs/>
      <w:color w:val="365F91" w:themeColor="accent1" w:themeShade="BF"/>
      <w:sz w:val="28"/>
      <w:szCs w:val="28"/>
      <w:lang w:eastAsia="ja-JP"/>
    </w:rPr>
  </w:style>
  <w:style w:type="paragraph" w:customStyle="1" w:styleId="InsertGraphic">
    <w:name w:val="Insert Graphic"/>
    <w:basedOn w:val="Normal"/>
    <w:next w:val="Normal"/>
    <w:rsid w:val="00EF3696"/>
    <w:pPr>
      <w:spacing w:before="60" w:after="60" w:line="240" w:lineRule="auto"/>
      <w:ind w:firstLine="0"/>
      <w:jc w:val="center"/>
    </w:pPr>
    <w:rPr>
      <w:lang w:eastAsia="en-US"/>
    </w:rPr>
  </w:style>
  <w:style w:type="paragraph" w:customStyle="1" w:styleId="NormalTBGDoubleSpacing">
    <w:name w:val="Normal TBG Double Spacing"/>
    <w:basedOn w:val="Normal"/>
    <w:rsid w:val="00EF3696"/>
    <w:pPr>
      <w:spacing w:line="480" w:lineRule="auto"/>
      <w:ind w:firstLine="0"/>
      <w:jc w:val="both"/>
    </w:pPr>
    <w:rPr>
      <w:lang w:eastAsia="en-US"/>
    </w:rPr>
  </w:style>
  <w:style w:type="paragraph" w:customStyle="1" w:styleId="NormalTBGOneandahalfspacing">
    <w:name w:val="Normal TBG One and a half spacing"/>
    <w:basedOn w:val="Normal"/>
    <w:rsid w:val="00EF3696"/>
    <w:pPr>
      <w:spacing w:before="360" w:line="360" w:lineRule="auto"/>
      <w:ind w:firstLine="0"/>
      <w:jc w:val="both"/>
    </w:pPr>
    <w:rPr>
      <w:lang w:eastAsia="en-US"/>
    </w:rPr>
  </w:style>
  <w:style w:type="paragraph" w:customStyle="1" w:styleId="Quote-Indented">
    <w:name w:val="Quote - Indented"/>
    <w:basedOn w:val="Normal"/>
    <w:next w:val="NormalTBGOneandahalfspacing"/>
    <w:rsid w:val="00EF3696"/>
    <w:pPr>
      <w:spacing w:before="120" w:line="240" w:lineRule="auto"/>
      <w:ind w:left="720" w:right="720" w:firstLine="0"/>
      <w:jc w:val="both"/>
    </w:pPr>
    <w:rPr>
      <w:lang w:eastAsia="en-US"/>
    </w:rPr>
  </w:style>
  <w:style w:type="paragraph" w:customStyle="1" w:styleId="TBGAlternateHeading1">
    <w:name w:val="TBG Alternate Heading 1"/>
    <w:basedOn w:val="Heading1"/>
    <w:next w:val="Normal"/>
    <w:rsid w:val="00EF3696"/>
    <w:pPr>
      <w:keepLines w:val="0"/>
      <w:spacing w:after="240" w:line="240" w:lineRule="auto"/>
      <w:ind w:left="360" w:right="0" w:hanging="360"/>
      <w:jc w:val="both"/>
    </w:pPr>
    <w:rPr>
      <w:rFonts w:ascii="Times New Roman" w:hAnsi="Times New Roman"/>
      <w:smallCaps/>
      <w:kern w:val="28"/>
      <w:lang w:eastAsia="en-US"/>
    </w:rPr>
  </w:style>
  <w:style w:type="paragraph" w:customStyle="1" w:styleId="TBGAlternateHeading2">
    <w:name w:val="TBG Alternate Heading 2"/>
    <w:basedOn w:val="Heading2"/>
    <w:next w:val="Normal"/>
    <w:rsid w:val="00EF3696"/>
    <w:pPr>
      <w:keepLines w:val="0"/>
      <w:numPr>
        <w:ilvl w:val="1"/>
      </w:numPr>
      <w:spacing w:before="240" w:after="240"/>
      <w:ind w:left="720" w:hanging="360"/>
      <w:jc w:val="both"/>
    </w:pPr>
    <w:rPr>
      <w:rFonts w:ascii="Times New Roman" w:hAnsi="Times New Roman"/>
      <w:u w:val="none"/>
      <w:lang w:eastAsia="en-US"/>
    </w:rPr>
  </w:style>
  <w:style w:type="paragraph" w:customStyle="1" w:styleId="TBGAlternateHeading3">
    <w:name w:val="TBG Alternate Heading 3"/>
    <w:basedOn w:val="Heading3"/>
    <w:next w:val="Normal"/>
    <w:rsid w:val="00EF3696"/>
    <w:pPr>
      <w:keepLines w:val="0"/>
      <w:numPr>
        <w:ilvl w:val="2"/>
      </w:numPr>
      <w:spacing w:before="240" w:after="240"/>
      <w:ind w:left="1080" w:hanging="360"/>
      <w:jc w:val="both"/>
    </w:pPr>
    <w:rPr>
      <w:rFonts w:eastAsia="Times New Roman"/>
      <w:bCs w:val="0"/>
      <w:i/>
      <w:szCs w:val="20"/>
      <w:u w:val="none"/>
      <w:lang w:eastAsia="en-US"/>
    </w:rPr>
  </w:style>
  <w:style w:type="paragraph" w:customStyle="1" w:styleId="TBGAlternate2Heading1">
    <w:name w:val="TBG Alternate2 Heading 1"/>
    <w:basedOn w:val="Heading1"/>
    <w:next w:val="Normal"/>
    <w:rsid w:val="00EF3696"/>
    <w:pPr>
      <w:keepLines w:val="0"/>
      <w:spacing w:after="240" w:line="240" w:lineRule="auto"/>
      <w:ind w:left="360" w:right="0" w:hanging="360"/>
      <w:jc w:val="both"/>
    </w:pPr>
    <w:rPr>
      <w:rFonts w:ascii="Times New Roman" w:hAnsi="Times New Roman"/>
      <w:kern w:val="28"/>
      <w:lang w:eastAsia="en-US"/>
    </w:rPr>
  </w:style>
  <w:style w:type="paragraph" w:customStyle="1" w:styleId="TBGAlternate2Heading2">
    <w:name w:val="TBG Alternate2 Heading 2"/>
    <w:basedOn w:val="Heading2"/>
    <w:next w:val="Normal"/>
    <w:rsid w:val="00EF3696"/>
    <w:pPr>
      <w:keepLines w:val="0"/>
      <w:numPr>
        <w:ilvl w:val="1"/>
      </w:numPr>
      <w:spacing w:before="240" w:after="240"/>
      <w:ind w:left="720" w:hanging="360"/>
      <w:jc w:val="both"/>
    </w:pPr>
    <w:rPr>
      <w:rFonts w:ascii="Times New Roman" w:hAnsi="Times New Roman"/>
      <w:i/>
      <w:u w:val="none"/>
      <w:lang w:eastAsia="en-US"/>
    </w:rPr>
  </w:style>
  <w:style w:type="paragraph" w:customStyle="1" w:styleId="TBGbullet">
    <w:name w:val="TBG bullet"/>
    <w:basedOn w:val="Normal"/>
    <w:rsid w:val="00EF3696"/>
    <w:pPr>
      <w:numPr>
        <w:numId w:val="15"/>
      </w:numPr>
      <w:tabs>
        <w:tab w:val="clear" w:pos="1440"/>
        <w:tab w:val="num" w:pos="360"/>
      </w:tabs>
      <w:spacing w:before="120" w:line="276" w:lineRule="auto"/>
      <w:ind w:right="720" w:hanging="360"/>
      <w:jc w:val="both"/>
    </w:pPr>
    <w:rPr>
      <w:lang w:eastAsia="en-US"/>
    </w:rPr>
  </w:style>
  <w:style w:type="paragraph" w:customStyle="1" w:styleId="TBGTestimonyA">
    <w:name w:val="TBG Testimony A."/>
    <w:basedOn w:val="Normal"/>
    <w:next w:val="Normal"/>
    <w:rsid w:val="00EF3696"/>
    <w:pPr>
      <w:numPr>
        <w:ilvl w:val="1"/>
        <w:numId w:val="16"/>
      </w:numPr>
      <w:tabs>
        <w:tab w:val="clear" w:pos="1080"/>
        <w:tab w:val="num" w:pos="720"/>
      </w:tabs>
      <w:spacing w:before="80" w:line="360" w:lineRule="auto"/>
      <w:ind w:left="720"/>
      <w:jc w:val="both"/>
    </w:pPr>
    <w:rPr>
      <w:lang w:eastAsia="en-US"/>
    </w:rPr>
  </w:style>
  <w:style w:type="paragraph" w:customStyle="1" w:styleId="TBGTestimonyQ">
    <w:name w:val="TBG Testimony Q."/>
    <w:basedOn w:val="Normal"/>
    <w:next w:val="TBGTestimonyA"/>
    <w:rsid w:val="00EF3696"/>
    <w:pPr>
      <w:numPr>
        <w:numId w:val="16"/>
      </w:numPr>
      <w:tabs>
        <w:tab w:val="clear" w:pos="1080"/>
        <w:tab w:val="num" w:pos="720"/>
      </w:tabs>
      <w:spacing w:before="360" w:line="360" w:lineRule="auto"/>
      <w:ind w:left="720"/>
      <w:jc w:val="both"/>
    </w:pPr>
    <w:rPr>
      <w:lang w:eastAsia="en-US"/>
    </w:rPr>
  </w:style>
  <w:style w:type="paragraph" w:customStyle="1" w:styleId="TBGTestimony2ndParagraph">
    <w:name w:val="TBG Testimony 2nd Paragraph"/>
    <w:basedOn w:val="TBGTestimonyA"/>
    <w:qFormat/>
    <w:rsid w:val="00EF3696"/>
    <w:pPr>
      <w:numPr>
        <w:ilvl w:val="0"/>
        <w:numId w:val="0"/>
      </w:numPr>
      <w:spacing w:before="240"/>
      <w:ind w:left="2160" w:hanging="1080"/>
    </w:pPr>
  </w:style>
  <w:style w:type="paragraph" w:customStyle="1" w:styleId="TestimonyA">
    <w:name w:val="Testimony A"/>
    <w:basedOn w:val="NormalTBGOneandahalfspacing"/>
    <w:next w:val="Normal"/>
    <w:qFormat/>
    <w:rsid w:val="00EF3696"/>
    <w:pPr>
      <w:numPr>
        <w:numId w:val="17"/>
      </w:numPr>
      <w:spacing w:before="80"/>
    </w:pPr>
  </w:style>
  <w:style w:type="paragraph" w:customStyle="1" w:styleId="TestimonyA2ndParagraph">
    <w:name w:val="Testimony A 2nd Paragraph"/>
    <w:basedOn w:val="TestimonyA"/>
    <w:next w:val="Normal"/>
    <w:rsid w:val="00EF3696"/>
    <w:pPr>
      <w:numPr>
        <w:numId w:val="0"/>
      </w:numPr>
      <w:spacing w:before="240"/>
      <w:ind w:left="720"/>
    </w:pPr>
  </w:style>
  <w:style w:type="paragraph" w:customStyle="1" w:styleId="TestimonyQ">
    <w:name w:val="Testimony Q"/>
    <w:basedOn w:val="NormalTBGOneandahalfspacing"/>
    <w:next w:val="TestimonyA"/>
    <w:qFormat/>
    <w:rsid w:val="00EF3696"/>
    <w:pPr>
      <w:numPr>
        <w:numId w:val="18"/>
      </w:numPr>
      <w:tabs>
        <w:tab w:val="clear" w:pos="1080"/>
        <w:tab w:val="num" w:pos="990"/>
      </w:tabs>
      <w:ind w:left="990"/>
    </w:pPr>
  </w:style>
  <w:style w:type="table" w:customStyle="1" w:styleId="TableGrid1">
    <w:name w:val="Table Grid1"/>
    <w:basedOn w:val="TableNormal"/>
    <w:next w:val="TableGrid"/>
    <w:rsid w:val="00EF3696"/>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notes">
    <w:name w:val="Figure or Table notes"/>
    <w:basedOn w:val="Normal"/>
    <w:next w:val="NormalTBGOneandahalfspacing"/>
    <w:qFormat/>
    <w:rsid w:val="00EF3696"/>
    <w:pPr>
      <w:spacing w:before="60" w:line="240" w:lineRule="auto"/>
      <w:ind w:left="1080" w:right="1080" w:firstLine="0"/>
      <w:jc w:val="both"/>
    </w:pPr>
    <w:rPr>
      <w:color w:val="000000"/>
      <w:sz w:val="18"/>
      <w:lang w:eastAsia="en-US"/>
    </w:rPr>
  </w:style>
  <w:style w:type="paragraph" w:customStyle="1" w:styleId="StyleAfter12ptLinespacingDouble">
    <w:name w:val="Style After:  12 pt Line spacing:  Double"/>
    <w:basedOn w:val="Normal"/>
    <w:rsid w:val="00EF3696"/>
    <w:pPr>
      <w:spacing w:after="240" w:line="360" w:lineRule="auto"/>
      <w:ind w:firstLine="0"/>
      <w:jc w:val="both"/>
    </w:pPr>
    <w:rPr>
      <w:lang w:eastAsia="en-US"/>
    </w:rPr>
  </w:style>
  <w:style w:type="numbering" w:customStyle="1" w:styleId="OutlineNoHeadings">
    <w:name w:val="Outline No Headings"/>
    <w:pPr>
      <w:numPr>
        <w:numId w:val="19"/>
      </w:numPr>
    </w:pPr>
  </w:style>
  <w:style w:type="paragraph" w:customStyle="1" w:styleId="testimony">
    <w:name w:val="testimony"/>
    <w:basedOn w:val="Normal"/>
    <w:rsid w:val="004F125B"/>
    <w:pPr>
      <w:tabs>
        <w:tab w:val="left" w:pos="720"/>
        <w:tab w:val="left" w:pos="2160"/>
      </w:tabs>
      <w:spacing w:line="440" w:lineRule="atLeast"/>
      <w:ind w:hanging="360"/>
    </w:pPr>
    <w:rPr>
      <w:rFonts w:ascii="Times" w:hAnsi="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87819">
      <w:marLeft w:val="0"/>
      <w:marRight w:val="0"/>
      <w:marTop w:val="0"/>
      <w:marBottom w:val="0"/>
      <w:divBdr>
        <w:top w:val="none" w:sz="0" w:space="0" w:color="auto"/>
        <w:left w:val="none" w:sz="0" w:space="0" w:color="auto"/>
        <w:bottom w:val="none" w:sz="0" w:space="0" w:color="auto"/>
        <w:right w:val="none" w:sz="0" w:space="0" w:color="auto"/>
      </w:divBdr>
    </w:div>
    <w:div w:id="700087820">
      <w:marLeft w:val="0"/>
      <w:marRight w:val="0"/>
      <w:marTop w:val="0"/>
      <w:marBottom w:val="0"/>
      <w:divBdr>
        <w:top w:val="none" w:sz="0" w:space="0" w:color="auto"/>
        <w:left w:val="none" w:sz="0" w:space="0" w:color="auto"/>
        <w:bottom w:val="none" w:sz="0" w:space="0" w:color="auto"/>
        <w:right w:val="none" w:sz="0" w:space="0" w:color="auto"/>
      </w:divBdr>
    </w:div>
    <w:div w:id="700087822">
      <w:marLeft w:val="30"/>
      <w:marRight w:val="30"/>
      <w:marTop w:val="30"/>
      <w:marBottom w:val="30"/>
      <w:divBdr>
        <w:top w:val="none" w:sz="0" w:space="0" w:color="auto"/>
        <w:left w:val="none" w:sz="0" w:space="0" w:color="auto"/>
        <w:bottom w:val="none" w:sz="0" w:space="0" w:color="auto"/>
        <w:right w:val="none" w:sz="0" w:space="0" w:color="auto"/>
      </w:divBdr>
      <w:divsChild>
        <w:div w:id="700087835">
          <w:marLeft w:val="0"/>
          <w:marRight w:val="0"/>
          <w:marTop w:val="0"/>
          <w:marBottom w:val="0"/>
          <w:divBdr>
            <w:top w:val="none" w:sz="0" w:space="0" w:color="auto"/>
            <w:left w:val="none" w:sz="0" w:space="0" w:color="auto"/>
            <w:bottom w:val="none" w:sz="0" w:space="0" w:color="auto"/>
            <w:right w:val="none" w:sz="0" w:space="0" w:color="auto"/>
          </w:divBdr>
          <w:divsChild>
            <w:div w:id="700087833">
              <w:marLeft w:val="45"/>
              <w:marRight w:val="45"/>
              <w:marTop w:val="45"/>
              <w:marBottom w:val="45"/>
              <w:divBdr>
                <w:top w:val="none" w:sz="0" w:space="0" w:color="auto"/>
                <w:left w:val="none" w:sz="0" w:space="0" w:color="auto"/>
                <w:bottom w:val="none" w:sz="0" w:space="0" w:color="auto"/>
                <w:right w:val="none" w:sz="0" w:space="0" w:color="auto"/>
              </w:divBdr>
              <w:divsChild>
                <w:div w:id="7000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7823">
      <w:marLeft w:val="0"/>
      <w:marRight w:val="0"/>
      <w:marTop w:val="0"/>
      <w:marBottom w:val="0"/>
      <w:divBdr>
        <w:top w:val="none" w:sz="0" w:space="0" w:color="auto"/>
        <w:left w:val="none" w:sz="0" w:space="0" w:color="auto"/>
        <w:bottom w:val="none" w:sz="0" w:space="0" w:color="auto"/>
        <w:right w:val="none" w:sz="0" w:space="0" w:color="auto"/>
      </w:divBdr>
      <w:divsChild>
        <w:div w:id="700087825">
          <w:marLeft w:val="0"/>
          <w:marRight w:val="0"/>
          <w:marTop w:val="0"/>
          <w:marBottom w:val="0"/>
          <w:divBdr>
            <w:top w:val="none" w:sz="0" w:space="0" w:color="auto"/>
            <w:left w:val="none" w:sz="0" w:space="0" w:color="auto"/>
            <w:bottom w:val="none" w:sz="0" w:space="0" w:color="auto"/>
            <w:right w:val="none" w:sz="0" w:space="0" w:color="auto"/>
          </w:divBdr>
        </w:div>
      </w:divsChild>
    </w:div>
    <w:div w:id="700087824">
      <w:marLeft w:val="0"/>
      <w:marRight w:val="0"/>
      <w:marTop w:val="0"/>
      <w:marBottom w:val="0"/>
      <w:divBdr>
        <w:top w:val="none" w:sz="0" w:space="0" w:color="auto"/>
        <w:left w:val="none" w:sz="0" w:space="0" w:color="auto"/>
        <w:bottom w:val="none" w:sz="0" w:space="0" w:color="auto"/>
        <w:right w:val="none" w:sz="0" w:space="0" w:color="auto"/>
      </w:divBdr>
      <w:divsChild>
        <w:div w:id="700087826">
          <w:marLeft w:val="0"/>
          <w:marRight w:val="0"/>
          <w:marTop w:val="0"/>
          <w:marBottom w:val="0"/>
          <w:divBdr>
            <w:top w:val="none" w:sz="0" w:space="0" w:color="auto"/>
            <w:left w:val="none" w:sz="0" w:space="0" w:color="auto"/>
            <w:bottom w:val="none" w:sz="0" w:space="0" w:color="auto"/>
            <w:right w:val="none" w:sz="0" w:space="0" w:color="auto"/>
          </w:divBdr>
        </w:div>
      </w:divsChild>
    </w:div>
    <w:div w:id="700087827">
      <w:marLeft w:val="0"/>
      <w:marRight w:val="0"/>
      <w:marTop w:val="0"/>
      <w:marBottom w:val="0"/>
      <w:divBdr>
        <w:top w:val="none" w:sz="0" w:space="0" w:color="auto"/>
        <w:left w:val="none" w:sz="0" w:space="0" w:color="auto"/>
        <w:bottom w:val="none" w:sz="0" w:space="0" w:color="auto"/>
        <w:right w:val="none" w:sz="0" w:space="0" w:color="auto"/>
      </w:divBdr>
    </w:div>
    <w:div w:id="700087828">
      <w:marLeft w:val="0"/>
      <w:marRight w:val="0"/>
      <w:marTop w:val="0"/>
      <w:marBottom w:val="0"/>
      <w:divBdr>
        <w:top w:val="none" w:sz="0" w:space="0" w:color="auto"/>
        <w:left w:val="none" w:sz="0" w:space="0" w:color="auto"/>
        <w:bottom w:val="none" w:sz="0" w:space="0" w:color="auto"/>
        <w:right w:val="none" w:sz="0" w:space="0" w:color="auto"/>
      </w:divBdr>
    </w:div>
    <w:div w:id="700087829">
      <w:marLeft w:val="0"/>
      <w:marRight w:val="0"/>
      <w:marTop w:val="0"/>
      <w:marBottom w:val="0"/>
      <w:divBdr>
        <w:top w:val="none" w:sz="0" w:space="0" w:color="auto"/>
        <w:left w:val="none" w:sz="0" w:space="0" w:color="auto"/>
        <w:bottom w:val="none" w:sz="0" w:space="0" w:color="auto"/>
        <w:right w:val="none" w:sz="0" w:space="0" w:color="auto"/>
      </w:divBdr>
    </w:div>
    <w:div w:id="700087830">
      <w:marLeft w:val="0"/>
      <w:marRight w:val="0"/>
      <w:marTop w:val="0"/>
      <w:marBottom w:val="0"/>
      <w:divBdr>
        <w:top w:val="none" w:sz="0" w:space="0" w:color="auto"/>
        <w:left w:val="none" w:sz="0" w:space="0" w:color="auto"/>
        <w:bottom w:val="none" w:sz="0" w:space="0" w:color="auto"/>
        <w:right w:val="none" w:sz="0" w:space="0" w:color="auto"/>
      </w:divBdr>
    </w:div>
    <w:div w:id="700087831">
      <w:marLeft w:val="0"/>
      <w:marRight w:val="0"/>
      <w:marTop w:val="0"/>
      <w:marBottom w:val="0"/>
      <w:divBdr>
        <w:top w:val="none" w:sz="0" w:space="0" w:color="auto"/>
        <w:left w:val="none" w:sz="0" w:space="0" w:color="auto"/>
        <w:bottom w:val="none" w:sz="0" w:space="0" w:color="auto"/>
        <w:right w:val="none" w:sz="0" w:space="0" w:color="auto"/>
      </w:divBdr>
    </w:div>
    <w:div w:id="700087832">
      <w:marLeft w:val="0"/>
      <w:marRight w:val="0"/>
      <w:marTop w:val="0"/>
      <w:marBottom w:val="0"/>
      <w:divBdr>
        <w:top w:val="none" w:sz="0" w:space="0" w:color="auto"/>
        <w:left w:val="none" w:sz="0" w:space="0" w:color="auto"/>
        <w:bottom w:val="none" w:sz="0" w:space="0" w:color="auto"/>
        <w:right w:val="none" w:sz="0" w:space="0" w:color="auto"/>
      </w:divBdr>
    </w:div>
    <w:div w:id="700087834">
      <w:marLeft w:val="0"/>
      <w:marRight w:val="0"/>
      <w:marTop w:val="0"/>
      <w:marBottom w:val="0"/>
      <w:divBdr>
        <w:top w:val="none" w:sz="0" w:space="0" w:color="auto"/>
        <w:left w:val="none" w:sz="0" w:space="0" w:color="auto"/>
        <w:bottom w:val="none" w:sz="0" w:space="0" w:color="auto"/>
        <w:right w:val="none" w:sz="0" w:space="0" w:color="auto"/>
      </w:divBdr>
    </w:div>
    <w:div w:id="700087836">
      <w:marLeft w:val="0"/>
      <w:marRight w:val="0"/>
      <w:marTop w:val="0"/>
      <w:marBottom w:val="0"/>
      <w:divBdr>
        <w:top w:val="none" w:sz="0" w:space="0" w:color="auto"/>
        <w:left w:val="none" w:sz="0" w:space="0" w:color="auto"/>
        <w:bottom w:val="none" w:sz="0" w:space="0" w:color="auto"/>
        <w:right w:val="none" w:sz="0" w:space="0" w:color="auto"/>
      </w:divBdr>
    </w:div>
    <w:div w:id="700087837">
      <w:marLeft w:val="0"/>
      <w:marRight w:val="0"/>
      <w:marTop w:val="0"/>
      <w:marBottom w:val="0"/>
      <w:divBdr>
        <w:top w:val="none" w:sz="0" w:space="0" w:color="auto"/>
        <w:left w:val="none" w:sz="0" w:space="0" w:color="auto"/>
        <w:bottom w:val="none" w:sz="0" w:space="0" w:color="auto"/>
        <w:right w:val="none" w:sz="0" w:space="0" w:color="auto"/>
      </w:divBdr>
    </w:div>
    <w:div w:id="700087838">
      <w:marLeft w:val="0"/>
      <w:marRight w:val="0"/>
      <w:marTop w:val="0"/>
      <w:marBottom w:val="0"/>
      <w:divBdr>
        <w:top w:val="none" w:sz="0" w:space="0" w:color="auto"/>
        <w:left w:val="none" w:sz="0" w:space="0" w:color="auto"/>
        <w:bottom w:val="none" w:sz="0" w:space="0" w:color="auto"/>
        <w:right w:val="none" w:sz="0" w:space="0" w:color="auto"/>
      </w:divBdr>
    </w:div>
    <w:div w:id="700087839">
      <w:marLeft w:val="0"/>
      <w:marRight w:val="0"/>
      <w:marTop w:val="0"/>
      <w:marBottom w:val="0"/>
      <w:divBdr>
        <w:top w:val="none" w:sz="0" w:space="0" w:color="auto"/>
        <w:left w:val="none" w:sz="0" w:space="0" w:color="auto"/>
        <w:bottom w:val="none" w:sz="0" w:space="0" w:color="auto"/>
        <w:right w:val="none" w:sz="0" w:space="0" w:color="auto"/>
      </w:divBdr>
    </w:div>
    <w:div w:id="700087840">
      <w:marLeft w:val="0"/>
      <w:marRight w:val="0"/>
      <w:marTop w:val="0"/>
      <w:marBottom w:val="0"/>
      <w:divBdr>
        <w:top w:val="none" w:sz="0" w:space="0" w:color="auto"/>
        <w:left w:val="none" w:sz="0" w:space="0" w:color="auto"/>
        <w:bottom w:val="none" w:sz="0" w:space="0" w:color="auto"/>
        <w:right w:val="none" w:sz="0" w:space="0" w:color="auto"/>
      </w:divBdr>
    </w:div>
    <w:div w:id="12954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 xsi:nil="true"/>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2014-12-19T08:00:00+00:00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 xsi:nil="true"/>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E69E1A-5C8A-426D-87BC-2787F1E6E51E}"/>
</file>

<file path=customXml/itemProps2.xml><?xml version="1.0" encoding="utf-8"?>
<ds:datastoreItem xmlns:ds="http://schemas.openxmlformats.org/officeDocument/2006/customXml" ds:itemID="{0A28D7D5-F15A-442C-B40B-2F9C47FCCB2E}"/>
</file>

<file path=customXml/itemProps3.xml><?xml version="1.0" encoding="utf-8"?>
<ds:datastoreItem xmlns:ds="http://schemas.openxmlformats.org/officeDocument/2006/customXml" ds:itemID="{CEA773A8-AF84-4DEE-A79A-0623A90018BC}"/>
</file>

<file path=customXml/itemProps4.xml><?xml version="1.0" encoding="utf-8"?>
<ds:datastoreItem xmlns:ds="http://schemas.openxmlformats.org/officeDocument/2006/customXml" ds:itemID="{BBF61C88-B41E-429E-A313-6FE3B8ECE150}"/>
</file>

<file path=customXml/itemProps5.xml><?xml version="1.0" encoding="utf-8"?>
<ds:datastoreItem xmlns:ds="http://schemas.openxmlformats.org/officeDocument/2006/customXml" ds:itemID="{6B395817-A48D-4625-95AF-1654DE6FB755}"/>
</file>

<file path=docProps/app.xml><?xml version="1.0" encoding="utf-8"?>
<Properties xmlns="http://schemas.openxmlformats.org/officeDocument/2006/extended-properties" xmlns:vt="http://schemas.openxmlformats.org/officeDocument/2006/docPropsVTypes">
  <Template>Normal.dotm</Template>
  <TotalTime>0</TotalTime>
  <Pages>26</Pages>
  <Words>5733</Words>
  <Characters>30336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2014-12-19T21:06:00Z</dcterms:created>
  <dcterms:modified xsi:type="dcterms:W3CDTF">2014-12-19T21:07:00Z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oFAAC41Wbh9etaU0cxnBX/wroVuIXanyFsGKImPaiOdML/2rkZTN5vVzX+oiLEJKA5vLGnZmT22ZWg3u
slGj7Xuzt8G9ycoOHSrJk2W4yK9KcDzB7XSNg60KJKKmOTyMDb7LF5VymlK+OceMkNkWYe7DJjCe
UBkqRebVNUaL0iAY8nccYKuRRDwkXICOQ1b3GZWYr5EYgs+Os4BOOhY4FUzPwjVDdPakwkVUmV36
JAmkyVD21aYwv7tFn</vt:lpwstr>
  </property>
  <property fmtid="{D5CDD505-2E9C-101B-9397-08002B2CF9AE}" pid="3" name="MAIL_MSG_ID2">
    <vt:lpwstr>sbjqAKoX3xxpLJI0W2DEsunDNpljf1GNIf6GXXPigc9w14AIIMWmm0WaB0r
wZ+RcKqMEcl8SIyP9hS5WaBvDeoAckvDOq/IlF/vLCOYzZxh</vt:lpwstr>
  </property>
  <property fmtid="{D5CDD505-2E9C-101B-9397-08002B2CF9AE}" pid="4" name="RESPONSE_SENDER_NAME">
    <vt:lpwstr>ABAAdnH19QYq2YW/s5oM5ZEhoVd7cH/41mWDX5VxjLCoXusmbqwiEm3eVVHvJK9ZqDPl</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0x0101006E56B4D1795A2E4DB2F0B01679ED314A00B6176777121FF042B76DFEF1CB58B307</vt:lpwstr>
  </property>
  <property fmtid="{D5CDD505-2E9C-101B-9397-08002B2CF9AE}" pid="7" name="_docset_NoMedatataSyncRequired">
    <vt:lpwstr>False</vt:lpwstr>
  </property>
</Properties>
</file>