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44" w:rsidRDefault="004A686D" w:rsidP="00665144">
      <w:pPr>
        <w:pStyle w:val="BodyTextIndent"/>
        <w:keepNext/>
        <w:tabs>
          <w:tab w:val="left" w:pos="1260"/>
          <w:tab w:val="left" w:pos="1440"/>
          <w:tab w:val="left" w:pos="2160"/>
          <w:tab w:val="left" w:pos="2880"/>
          <w:tab w:val="left" w:pos="3600"/>
        </w:tabs>
        <w:ind w:left="0"/>
        <w:jc w:val="center"/>
        <w:outlineLvl w:val="0"/>
        <w:rPr>
          <w:b/>
          <w:bCs/>
        </w:rPr>
      </w:pPr>
      <w:r>
        <w:rPr>
          <w:b/>
          <w:bCs/>
        </w:rPr>
        <w:t xml:space="preserve">   </w:t>
      </w:r>
      <w:r w:rsidR="00724895" w:rsidRPr="00160E4F">
        <w:rPr>
          <w:b/>
          <w:bCs/>
        </w:rPr>
        <w:t>BEFORE THE</w:t>
      </w:r>
    </w:p>
    <w:p w:rsidR="00724895" w:rsidRPr="00160E4F" w:rsidRDefault="00724895" w:rsidP="00B30DEF">
      <w:pPr>
        <w:pStyle w:val="BodyTextIndent"/>
        <w:keepNext/>
        <w:tabs>
          <w:tab w:val="left" w:pos="1260"/>
          <w:tab w:val="left" w:pos="1440"/>
          <w:tab w:val="left" w:pos="2160"/>
          <w:tab w:val="left" w:pos="2880"/>
          <w:tab w:val="left" w:pos="3600"/>
        </w:tabs>
        <w:ind w:left="0" w:firstLine="720"/>
        <w:jc w:val="center"/>
        <w:outlineLvl w:val="0"/>
        <w:rPr>
          <w:b/>
          <w:bCs/>
        </w:rPr>
      </w:pPr>
      <w:smartTag w:uri="urn:schemas-microsoft-com:office:smarttags" w:element="place">
        <w:smartTag w:uri="urn:schemas-microsoft-com:office:smarttags" w:element="State">
          <w:r w:rsidRPr="00160E4F">
            <w:rPr>
              <w:b/>
              <w:bCs/>
            </w:rPr>
            <w:t>WASHINGTON</w:t>
          </w:r>
        </w:smartTag>
      </w:smartTag>
      <w:r w:rsidRPr="00160E4F">
        <w:rPr>
          <w:b/>
          <w:bCs/>
        </w:rPr>
        <w:t xml:space="preserve"> UTILITIES </w:t>
      </w:r>
      <w:smartTag w:uri="urn:schemas-microsoft-com:office:smarttags" w:element="stockticker">
        <w:r w:rsidRPr="00160E4F">
          <w:rPr>
            <w:b/>
            <w:bCs/>
          </w:rPr>
          <w:t>AND</w:t>
        </w:r>
      </w:smartTag>
      <w:r w:rsidRPr="00160E4F">
        <w:rPr>
          <w:b/>
          <w:bCs/>
        </w:rPr>
        <w:t xml:space="preserve"> TRANSPORTATION COMMISSION</w:t>
      </w:r>
    </w:p>
    <w:p w:rsidR="00724895" w:rsidRPr="00086DE3" w:rsidRDefault="00724895" w:rsidP="00724895">
      <w:pPr>
        <w:pStyle w:val="BodyTextIndent"/>
        <w:keepNext/>
        <w:tabs>
          <w:tab w:val="left" w:pos="1260"/>
          <w:tab w:val="left" w:pos="1440"/>
          <w:tab w:val="left" w:pos="2160"/>
          <w:tab w:val="left" w:pos="2880"/>
          <w:tab w:val="left" w:pos="3600"/>
        </w:tabs>
        <w:ind w:firstLine="720"/>
        <w:outlineLvl w:val="0"/>
      </w:pPr>
    </w:p>
    <w:tbl>
      <w:tblPr>
        <w:tblW w:w="0" w:type="auto"/>
        <w:tblLook w:val="0000"/>
      </w:tblPr>
      <w:tblGrid>
        <w:gridCol w:w="4254"/>
        <w:gridCol w:w="361"/>
        <w:gridCol w:w="4254"/>
      </w:tblGrid>
      <w:tr w:rsidR="00724895" w:rsidRPr="00CB7F45" w:rsidTr="00923B3B">
        <w:trPr>
          <w:trHeight w:val="3759"/>
        </w:trPr>
        <w:tc>
          <w:tcPr>
            <w:tcW w:w="4254" w:type="dxa"/>
          </w:tcPr>
          <w:p w:rsidR="00724895" w:rsidRDefault="00724895" w:rsidP="00923B3B">
            <w:pPr>
              <w:tabs>
                <w:tab w:val="left" w:pos="2160"/>
              </w:tabs>
              <w:spacing w:line="264" w:lineRule="auto"/>
              <w:rPr>
                <w:bCs/>
                <w:sz w:val="25"/>
                <w:szCs w:val="25"/>
              </w:rPr>
            </w:pPr>
            <w:r>
              <w:rPr>
                <w:bCs/>
                <w:sz w:val="25"/>
                <w:szCs w:val="25"/>
              </w:rPr>
              <w:t>WASHINGTON UTILITIES AND TRANSPORTATION COMMISSION,</w:t>
            </w:r>
          </w:p>
          <w:p w:rsidR="00724895" w:rsidRDefault="00724895" w:rsidP="00923B3B">
            <w:pPr>
              <w:tabs>
                <w:tab w:val="left" w:pos="2160"/>
              </w:tabs>
              <w:spacing w:line="264" w:lineRule="auto"/>
              <w:rPr>
                <w:bCs/>
                <w:sz w:val="25"/>
                <w:szCs w:val="25"/>
              </w:rPr>
            </w:pPr>
          </w:p>
          <w:p w:rsidR="00724895" w:rsidRDefault="00724895" w:rsidP="00923B3B">
            <w:pPr>
              <w:tabs>
                <w:tab w:val="left" w:pos="2160"/>
              </w:tabs>
              <w:spacing w:line="264" w:lineRule="auto"/>
              <w:rPr>
                <w:bCs/>
                <w:sz w:val="25"/>
                <w:szCs w:val="25"/>
              </w:rPr>
            </w:pPr>
            <w:r>
              <w:rPr>
                <w:b/>
                <w:bCs/>
                <w:sz w:val="25"/>
                <w:szCs w:val="25"/>
              </w:rPr>
              <w:tab/>
            </w:r>
            <w:r w:rsidRPr="009C7F90">
              <w:rPr>
                <w:bCs/>
                <w:sz w:val="25"/>
                <w:szCs w:val="25"/>
              </w:rPr>
              <w:t>Complainant,</w:t>
            </w:r>
          </w:p>
          <w:p w:rsidR="00724895" w:rsidRDefault="00724895" w:rsidP="00923B3B">
            <w:pPr>
              <w:tabs>
                <w:tab w:val="left" w:pos="2160"/>
              </w:tabs>
              <w:spacing w:line="264" w:lineRule="auto"/>
              <w:rPr>
                <w:bCs/>
                <w:sz w:val="25"/>
                <w:szCs w:val="25"/>
              </w:rPr>
            </w:pPr>
          </w:p>
          <w:p w:rsidR="00724895" w:rsidRDefault="00724895" w:rsidP="00923B3B">
            <w:pPr>
              <w:tabs>
                <w:tab w:val="left" w:pos="2160"/>
              </w:tabs>
              <w:spacing w:line="264" w:lineRule="auto"/>
              <w:rPr>
                <w:bCs/>
                <w:sz w:val="25"/>
                <w:szCs w:val="25"/>
              </w:rPr>
            </w:pPr>
            <w:r>
              <w:rPr>
                <w:bCs/>
                <w:sz w:val="25"/>
                <w:szCs w:val="25"/>
              </w:rPr>
              <w:t>v.</w:t>
            </w:r>
          </w:p>
          <w:p w:rsidR="00724895" w:rsidRDefault="00724895" w:rsidP="00923B3B">
            <w:pPr>
              <w:tabs>
                <w:tab w:val="left" w:pos="2160"/>
              </w:tabs>
              <w:spacing w:line="264" w:lineRule="auto"/>
              <w:rPr>
                <w:bCs/>
                <w:sz w:val="25"/>
                <w:szCs w:val="25"/>
              </w:rPr>
            </w:pPr>
          </w:p>
          <w:p w:rsidR="00724895" w:rsidRDefault="00724895" w:rsidP="00923B3B">
            <w:pPr>
              <w:tabs>
                <w:tab w:val="left" w:pos="2160"/>
              </w:tabs>
              <w:spacing w:line="264" w:lineRule="auto"/>
              <w:rPr>
                <w:bCs/>
                <w:sz w:val="25"/>
                <w:szCs w:val="25"/>
              </w:rPr>
            </w:pPr>
            <w:r>
              <w:rPr>
                <w:bCs/>
                <w:sz w:val="25"/>
                <w:szCs w:val="25"/>
              </w:rPr>
              <w:t>AVISTA CORPORATION d/b/a AVISTA UTILITIES,</w:t>
            </w:r>
          </w:p>
          <w:p w:rsidR="00724895" w:rsidRDefault="00724895" w:rsidP="00923B3B">
            <w:pPr>
              <w:tabs>
                <w:tab w:val="left" w:pos="2160"/>
              </w:tabs>
              <w:spacing w:line="264" w:lineRule="auto"/>
              <w:rPr>
                <w:bCs/>
                <w:sz w:val="25"/>
                <w:szCs w:val="25"/>
              </w:rPr>
            </w:pPr>
          </w:p>
          <w:p w:rsidR="00724895" w:rsidRPr="00CB7F45" w:rsidRDefault="00724895" w:rsidP="003F2A81">
            <w:pPr>
              <w:tabs>
                <w:tab w:val="left" w:pos="2160"/>
              </w:tabs>
              <w:spacing w:line="264" w:lineRule="auto"/>
              <w:rPr>
                <w:sz w:val="25"/>
                <w:szCs w:val="25"/>
              </w:rPr>
            </w:pPr>
            <w:r>
              <w:rPr>
                <w:bCs/>
                <w:sz w:val="25"/>
                <w:szCs w:val="25"/>
              </w:rPr>
              <w:tab/>
              <w:t>Respondent.</w:t>
            </w:r>
          </w:p>
        </w:tc>
        <w:tc>
          <w:tcPr>
            <w:tcW w:w="361" w:type="dxa"/>
          </w:tcPr>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Pr="00CB7F45" w:rsidRDefault="00724895" w:rsidP="00923B3B">
            <w:pPr>
              <w:spacing w:line="264" w:lineRule="auto"/>
              <w:rPr>
                <w:sz w:val="25"/>
                <w:szCs w:val="25"/>
              </w:rPr>
            </w:pPr>
            <w:r w:rsidRPr="00CB7F45">
              <w:rPr>
                <w:sz w:val="25"/>
                <w:szCs w:val="25"/>
              </w:rPr>
              <w:t>)</w:t>
            </w:r>
          </w:p>
          <w:p w:rsidR="00724895" w:rsidRDefault="00724895" w:rsidP="00923B3B">
            <w:pPr>
              <w:spacing w:line="264" w:lineRule="auto"/>
              <w:rPr>
                <w:sz w:val="25"/>
                <w:szCs w:val="25"/>
              </w:rPr>
            </w:pPr>
            <w:r w:rsidRPr="00CB7F45">
              <w:rPr>
                <w:sz w:val="25"/>
                <w:szCs w:val="25"/>
              </w:rPr>
              <w:t>)</w:t>
            </w:r>
          </w:p>
          <w:p w:rsidR="00724895" w:rsidRPr="00CB7F45" w:rsidRDefault="00724895" w:rsidP="003F2A81">
            <w:pPr>
              <w:spacing w:line="264" w:lineRule="auto"/>
              <w:rPr>
                <w:sz w:val="25"/>
                <w:szCs w:val="25"/>
              </w:rPr>
            </w:pPr>
            <w:r>
              <w:rPr>
                <w:sz w:val="25"/>
                <w:szCs w:val="25"/>
              </w:rPr>
              <w:t>)</w:t>
            </w:r>
          </w:p>
        </w:tc>
        <w:tc>
          <w:tcPr>
            <w:tcW w:w="4254" w:type="dxa"/>
          </w:tcPr>
          <w:p w:rsidR="00724895" w:rsidRDefault="00724895" w:rsidP="00923B3B">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3F2A81" w:rsidRDefault="003F2A81" w:rsidP="00923B3B">
            <w:pPr>
              <w:spacing w:line="264" w:lineRule="auto"/>
              <w:rPr>
                <w:i/>
                <w:sz w:val="25"/>
                <w:szCs w:val="25"/>
              </w:rPr>
            </w:pPr>
          </w:p>
          <w:p w:rsidR="003F2A81" w:rsidRPr="00225A2A" w:rsidRDefault="003F2A81" w:rsidP="003F2A81">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Pr>
                <w:i/>
                <w:sz w:val="25"/>
                <w:szCs w:val="25"/>
              </w:rPr>
              <w:t>Consolidated)</w:t>
            </w:r>
          </w:p>
          <w:p w:rsidR="003F2A81" w:rsidRPr="00CB7F45" w:rsidRDefault="003F2A81" w:rsidP="003F2A81">
            <w:pPr>
              <w:spacing w:line="264" w:lineRule="auto"/>
              <w:rPr>
                <w:sz w:val="25"/>
                <w:szCs w:val="25"/>
              </w:rPr>
            </w:pPr>
          </w:p>
          <w:p w:rsidR="00724895" w:rsidRDefault="003F2A81" w:rsidP="003F2A81">
            <w:pPr>
              <w:spacing w:line="264" w:lineRule="auto"/>
              <w:rPr>
                <w:sz w:val="25"/>
                <w:szCs w:val="25"/>
              </w:rPr>
            </w:pPr>
            <w:r>
              <w:rPr>
                <w:sz w:val="25"/>
                <w:szCs w:val="25"/>
              </w:rPr>
              <w:t>POST-HEARING BRIEF OF AVISTA CORPORATION</w:t>
            </w:r>
          </w:p>
          <w:p w:rsidR="00C45D95" w:rsidRDefault="00C45D95" w:rsidP="003F2A81">
            <w:pPr>
              <w:spacing w:line="264" w:lineRule="auto"/>
              <w:rPr>
                <w:sz w:val="25"/>
                <w:szCs w:val="25"/>
              </w:rPr>
            </w:pPr>
          </w:p>
          <w:p w:rsidR="00C45D95" w:rsidRPr="00CB7F45" w:rsidRDefault="00C45D95" w:rsidP="003F2A81">
            <w:pPr>
              <w:spacing w:line="264" w:lineRule="auto"/>
              <w:rPr>
                <w:sz w:val="25"/>
                <w:szCs w:val="25"/>
              </w:rPr>
            </w:pPr>
            <w:r>
              <w:rPr>
                <w:sz w:val="25"/>
                <w:szCs w:val="25"/>
              </w:rPr>
              <w:tab/>
              <w:t>REDACTED</w:t>
            </w:r>
          </w:p>
        </w:tc>
      </w:tr>
    </w:tbl>
    <w:p w:rsidR="00724895" w:rsidRPr="00A93BB7" w:rsidRDefault="00A93BB7" w:rsidP="00A93BB7">
      <w:pPr>
        <w:pStyle w:val="P31"/>
        <w:tabs>
          <w:tab w:val="clear" w:pos="810"/>
          <w:tab w:val="clear" w:pos="1440"/>
          <w:tab w:val="left" w:pos="-180"/>
          <w:tab w:val="left" w:pos="0"/>
        </w:tabs>
        <w:ind w:firstLine="0"/>
        <w:rPr>
          <w:rFonts w:ascii="Times New Roman" w:hAnsi="Times New Roman" w:cs="Times New Roman"/>
          <w:u w:val="single"/>
        </w:rPr>
      </w:pPr>
      <w:r>
        <w:rPr>
          <w:rFonts w:ascii="Times New Roman" w:hAnsi="Times New Roman" w:cs="Times New Roman"/>
          <w:szCs w:val="24"/>
        </w:rPr>
        <w:tab/>
      </w:r>
      <w:r>
        <w:rPr>
          <w:rFonts w:ascii="Times New Roman" w:hAnsi="Times New Roman" w:cs="Times New Roman"/>
          <w:szCs w:val="24"/>
        </w:rPr>
        <w:tab/>
      </w:r>
      <w:r w:rsidR="00A718D7" w:rsidRPr="00A93BB7">
        <w:rPr>
          <w:rFonts w:ascii="Times New Roman" w:hAnsi="Times New Roman" w:cs="Times New Roman"/>
          <w:szCs w:val="24"/>
        </w:rPr>
        <w:tab/>
      </w:r>
      <w:r w:rsidR="00650C72" w:rsidRPr="00A93BB7">
        <w:rPr>
          <w:rFonts w:ascii="Times New Roman" w:hAnsi="Times New Roman" w:cs="Times New Roman"/>
          <w:szCs w:val="24"/>
          <w:u w:val="single"/>
        </w:rPr>
        <w:t>I.  The S</w:t>
      </w:r>
      <w:r w:rsidR="00F25623" w:rsidRPr="00A93BB7">
        <w:rPr>
          <w:rFonts w:ascii="Times New Roman" w:hAnsi="Times New Roman" w:cs="Times New Roman"/>
          <w:szCs w:val="24"/>
          <w:u w:val="single"/>
        </w:rPr>
        <w:t>ettlement Rates in 2014 are Supported by the Record</w:t>
      </w:r>
    </w:p>
    <w:p w:rsidR="00CE42EE" w:rsidRDefault="00A718D7" w:rsidP="00A718D7">
      <w:pPr>
        <w:pStyle w:val="P31"/>
        <w:numPr>
          <w:ilvl w:val="0"/>
          <w:numId w:val="52"/>
        </w:numPr>
        <w:ind w:left="0" w:hanging="180"/>
        <w:jc w:val="both"/>
        <w:rPr>
          <w:rFonts w:ascii="Times New Roman" w:hAnsi="Times New Roman" w:cs="Times New Roman"/>
        </w:rPr>
      </w:pPr>
      <w:r>
        <w:rPr>
          <w:rFonts w:ascii="Times New Roman" w:hAnsi="Times New Roman" w:cs="Times New Roman"/>
        </w:rPr>
        <w:tab/>
      </w:r>
      <w:r w:rsidR="00476E68" w:rsidRPr="00724895">
        <w:rPr>
          <w:rFonts w:ascii="Times New Roman" w:hAnsi="Times New Roman" w:cs="Times New Roman"/>
        </w:rPr>
        <w:t xml:space="preserve">The evidence of record </w:t>
      </w:r>
      <w:r w:rsidR="001B1D39" w:rsidRPr="00724895">
        <w:rPr>
          <w:rFonts w:ascii="Times New Roman" w:hAnsi="Times New Roman" w:cs="Times New Roman"/>
        </w:rPr>
        <w:t>dem</w:t>
      </w:r>
      <w:r w:rsidR="00AE56DA" w:rsidRPr="00724895">
        <w:rPr>
          <w:rFonts w:ascii="Times New Roman" w:hAnsi="Times New Roman" w:cs="Times New Roman"/>
        </w:rPr>
        <w:t>onstrates a need for rate increases</w:t>
      </w:r>
      <w:r w:rsidR="001B1D39" w:rsidRPr="00724895">
        <w:rPr>
          <w:rFonts w:ascii="Times New Roman" w:hAnsi="Times New Roman" w:cs="Times New Roman"/>
        </w:rPr>
        <w:t xml:space="preserve"> </w:t>
      </w:r>
      <w:r w:rsidR="001B1D39" w:rsidRPr="00EB455E">
        <w:rPr>
          <w:rFonts w:ascii="Times New Roman" w:hAnsi="Times New Roman" w:cs="Times New Roman"/>
          <w:u w:val="single"/>
        </w:rPr>
        <w:t>in excess of</w:t>
      </w:r>
      <w:r w:rsidR="001B1D39" w:rsidRPr="00724895">
        <w:rPr>
          <w:rFonts w:ascii="Times New Roman" w:hAnsi="Times New Roman" w:cs="Times New Roman"/>
        </w:rPr>
        <w:t xml:space="preserve"> the </w:t>
      </w:r>
      <w:r w:rsidR="00EB455E">
        <w:rPr>
          <w:rFonts w:ascii="Times New Roman" w:hAnsi="Times New Roman" w:cs="Times New Roman"/>
        </w:rPr>
        <w:t xml:space="preserve">cumulative </w:t>
      </w:r>
      <w:r w:rsidR="001B1D39" w:rsidRPr="00724895">
        <w:rPr>
          <w:rFonts w:ascii="Times New Roman" w:hAnsi="Times New Roman" w:cs="Times New Roman"/>
        </w:rPr>
        <w:t>amount</w:t>
      </w:r>
      <w:r w:rsidR="00AE56DA" w:rsidRPr="00724895">
        <w:rPr>
          <w:rFonts w:ascii="Times New Roman" w:hAnsi="Times New Roman" w:cs="Times New Roman"/>
        </w:rPr>
        <w:t>s</w:t>
      </w:r>
      <w:r w:rsidR="001B1D39" w:rsidRPr="00724895">
        <w:rPr>
          <w:rFonts w:ascii="Times New Roman" w:hAnsi="Times New Roman" w:cs="Times New Roman"/>
        </w:rPr>
        <w:t xml:space="preserve"> includ</w:t>
      </w:r>
      <w:r w:rsidR="00AE56DA" w:rsidRPr="00724895">
        <w:rPr>
          <w:rFonts w:ascii="Times New Roman" w:hAnsi="Times New Roman" w:cs="Times New Roman"/>
        </w:rPr>
        <w:t>ed in the Settlement for 2013 and 2014</w:t>
      </w:r>
      <w:r w:rsidR="00A93BB7">
        <w:rPr>
          <w:rFonts w:ascii="Times New Roman" w:hAnsi="Times New Roman" w:cs="Times New Roman"/>
        </w:rPr>
        <w:t>.</w:t>
      </w:r>
      <w:r w:rsidR="000137CE">
        <w:rPr>
          <w:rStyle w:val="FootnoteReference"/>
          <w:rFonts w:ascii="Times New Roman" w:hAnsi="Times New Roman"/>
        </w:rPr>
        <w:footnoteReference w:id="1"/>
      </w:r>
      <w:r w:rsidR="00476E68" w:rsidRPr="00724895">
        <w:rPr>
          <w:rFonts w:ascii="Times New Roman" w:hAnsi="Times New Roman" w:cs="Times New Roman"/>
        </w:rPr>
        <w:t xml:space="preserve"> </w:t>
      </w:r>
      <w:r w:rsidR="001B1D39" w:rsidRPr="00724895">
        <w:rPr>
          <w:rFonts w:ascii="Times New Roman" w:hAnsi="Times New Roman" w:cs="Times New Roman"/>
        </w:rPr>
        <w:t xml:space="preserve"> </w:t>
      </w:r>
      <w:r w:rsidR="00A317AB" w:rsidRPr="00724895">
        <w:rPr>
          <w:rFonts w:ascii="Times New Roman" w:hAnsi="Times New Roman" w:cs="Times New Roman"/>
        </w:rPr>
        <w:t xml:space="preserve">First, the </w:t>
      </w:r>
      <w:r w:rsidR="00A317AB" w:rsidRPr="003F2A81">
        <w:rPr>
          <w:rFonts w:ascii="Times New Roman" w:hAnsi="Times New Roman" w:cs="Times New Roman"/>
          <w:u w:val="single"/>
        </w:rPr>
        <w:t>combined</w:t>
      </w:r>
      <w:r w:rsidR="00A317AB">
        <w:rPr>
          <w:rFonts w:ascii="Times New Roman" w:hAnsi="Times New Roman" w:cs="Times New Roman"/>
        </w:rPr>
        <w:t xml:space="preserve"> revenue increases for </w:t>
      </w:r>
      <w:r w:rsidR="003F2A81">
        <w:rPr>
          <w:rFonts w:ascii="Times New Roman" w:hAnsi="Times New Roman" w:cs="Times New Roman"/>
        </w:rPr>
        <w:t xml:space="preserve">both </w:t>
      </w:r>
      <w:r w:rsidR="00A317AB">
        <w:rPr>
          <w:rFonts w:ascii="Times New Roman" w:hAnsi="Times New Roman" w:cs="Times New Roman"/>
        </w:rPr>
        <w:t xml:space="preserve">2013 and 2014 </w:t>
      </w:r>
      <w:r w:rsidR="003F392E">
        <w:rPr>
          <w:rFonts w:ascii="Times New Roman" w:hAnsi="Times New Roman" w:cs="Times New Roman"/>
        </w:rPr>
        <w:t xml:space="preserve">in the Settlement Agreement </w:t>
      </w:r>
      <w:r w:rsidR="00A317AB">
        <w:rPr>
          <w:rFonts w:ascii="Times New Roman" w:hAnsi="Times New Roman" w:cs="Times New Roman"/>
        </w:rPr>
        <w:t>of $34.35 million</w:t>
      </w:r>
      <w:r w:rsidR="00A317AB">
        <w:rPr>
          <w:rStyle w:val="FootnoteReference"/>
          <w:rFonts w:ascii="Times New Roman" w:hAnsi="Times New Roman"/>
        </w:rPr>
        <w:footnoteReference w:id="2"/>
      </w:r>
      <w:r w:rsidR="006B0AA9">
        <w:rPr>
          <w:rFonts w:ascii="Times New Roman" w:hAnsi="Times New Roman" w:cs="Times New Roman"/>
        </w:rPr>
        <w:t xml:space="preserve"> represent </w:t>
      </w:r>
      <w:r w:rsidR="001B32C8">
        <w:rPr>
          <w:rFonts w:ascii="Times New Roman" w:hAnsi="Times New Roman" w:cs="Times New Roman"/>
        </w:rPr>
        <w:t xml:space="preserve">approximately </w:t>
      </w:r>
      <w:r w:rsidR="001B32C8" w:rsidRPr="00EB455E">
        <w:rPr>
          <w:rFonts w:ascii="Times New Roman" w:hAnsi="Times New Roman" w:cs="Times New Roman"/>
          <w:u w:val="single"/>
        </w:rPr>
        <w:t>6</w:t>
      </w:r>
      <w:r w:rsidR="00567843" w:rsidRPr="00EB455E">
        <w:rPr>
          <w:rFonts w:ascii="Times New Roman" w:hAnsi="Times New Roman" w:cs="Times New Roman"/>
          <w:u w:val="single"/>
        </w:rPr>
        <w:t>4</w:t>
      </w:r>
      <w:r w:rsidR="00A317AB" w:rsidRPr="00EB455E">
        <w:rPr>
          <w:rFonts w:ascii="Times New Roman" w:hAnsi="Times New Roman" w:cs="Times New Roman"/>
          <w:u w:val="single"/>
        </w:rPr>
        <w:t>%</w:t>
      </w:r>
      <w:r w:rsidR="00A317AB">
        <w:rPr>
          <w:rFonts w:ascii="Times New Roman" w:hAnsi="Times New Roman" w:cs="Times New Roman"/>
        </w:rPr>
        <w:t xml:space="preserve"> of the Company’s </w:t>
      </w:r>
      <w:r w:rsidR="005766C8">
        <w:rPr>
          <w:rFonts w:ascii="Times New Roman" w:hAnsi="Times New Roman" w:cs="Times New Roman"/>
        </w:rPr>
        <w:t xml:space="preserve">justified need for rate relief </w:t>
      </w:r>
      <w:r w:rsidR="006B0AA9">
        <w:rPr>
          <w:rFonts w:ascii="Times New Roman" w:hAnsi="Times New Roman" w:cs="Times New Roman"/>
        </w:rPr>
        <w:t>in these Dockets</w:t>
      </w:r>
      <w:r w:rsidR="003F2A81">
        <w:rPr>
          <w:rFonts w:ascii="Times New Roman" w:hAnsi="Times New Roman" w:cs="Times New Roman"/>
        </w:rPr>
        <w:t xml:space="preserve"> of $53.3 million</w:t>
      </w:r>
      <w:r w:rsidR="00CE42EE">
        <w:rPr>
          <w:rFonts w:ascii="Times New Roman" w:hAnsi="Times New Roman" w:cs="Times New Roman"/>
        </w:rPr>
        <w:t xml:space="preserve"> </w:t>
      </w:r>
      <w:r w:rsidR="003F2A81" w:rsidRPr="00CE42EE">
        <w:rPr>
          <w:rFonts w:ascii="Times New Roman" w:hAnsi="Times New Roman" w:cs="Times New Roman"/>
          <w:u w:val="single"/>
        </w:rPr>
        <w:t xml:space="preserve">for 2013 </w:t>
      </w:r>
      <w:r w:rsidR="00EB455E">
        <w:rPr>
          <w:rFonts w:ascii="Times New Roman" w:hAnsi="Times New Roman" w:cs="Times New Roman"/>
          <w:u w:val="single"/>
        </w:rPr>
        <w:t xml:space="preserve">standing </w:t>
      </w:r>
      <w:r w:rsidR="003F2A81" w:rsidRPr="00CE42EE">
        <w:rPr>
          <w:rFonts w:ascii="Times New Roman" w:hAnsi="Times New Roman" w:cs="Times New Roman"/>
          <w:u w:val="single"/>
        </w:rPr>
        <w:t>alone</w:t>
      </w:r>
      <w:r w:rsidR="003F2A81">
        <w:rPr>
          <w:rFonts w:ascii="Times New Roman" w:hAnsi="Times New Roman" w:cs="Times New Roman"/>
        </w:rPr>
        <w:t xml:space="preserve">, </w:t>
      </w:r>
      <w:r w:rsidR="00CE42EE">
        <w:rPr>
          <w:rFonts w:ascii="Times New Roman" w:hAnsi="Times New Roman" w:cs="Times New Roman"/>
        </w:rPr>
        <w:t xml:space="preserve">after </w:t>
      </w:r>
      <w:r w:rsidR="005766C8">
        <w:rPr>
          <w:rFonts w:ascii="Times New Roman" w:hAnsi="Times New Roman" w:cs="Times New Roman"/>
        </w:rPr>
        <w:t>reflecting</w:t>
      </w:r>
      <w:r w:rsidR="006B0AA9">
        <w:rPr>
          <w:rFonts w:ascii="Times New Roman" w:hAnsi="Times New Roman" w:cs="Times New Roman"/>
        </w:rPr>
        <w:t xml:space="preserve"> corrections and updated information provided to the parties</w:t>
      </w:r>
      <w:r w:rsidR="005766C8">
        <w:rPr>
          <w:rFonts w:ascii="Times New Roman" w:hAnsi="Times New Roman" w:cs="Times New Roman"/>
        </w:rPr>
        <w:t>.</w:t>
      </w:r>
      <w:r w:rsidR="00971018" w:rsidRPr="00971018">
        <w:rPr>
          <w:rStyle w:val="FootnoteReference"/>
          <w:rFonts w:ascii="Times New Roman" w:hAnsi="Times New Roman"/>
        </w:rPr>
        <w:t xml:space="preserve"> </w:t>
      </w:r>
      <w:r w:rsidR="00971018">
        <w:rPr>
          <w:rStyle w:val="FootnoteReference"/>
          <w:rFonts w:ascii="Times New Roman" w:hAnsi="Times New Roman"/>
        </w:rPr>
        <w:footnoteReference w:id="3"/>
      </w:r>
      <w:r w:rsidR="005766C8">
        <w:rPr>
          <w:rFonts w:ascii="Times New Roman" w:hAnsi="Times New Roman" w:cs="Times New Roman"/>
        </w:rPr>
        <w:t xml:space="preserve">  </w:t>
      </w:r>
      <w:r w:rsidR="00F25623">
        <w:rPr>
          <w:rFonts w:ascii="Times New Roman" w:hAnsi="Times New Roman" w:cs="Times New Roman"/>
        </w:rPr>
        <w:t>(</w:t>
      </w:r>
      <w:r w:rsidR="00F25623" w:rsidRPr="00CE42EE">
        <w:rPr>
          <w:rFonts w:ascii="Times New Roman" w:hAnsi="Times New Roman" w:cs="Times New Roman"/>
          <w:u w:val="single"/>
        </w:rPr>
        <w:t>Se</w:t>
      </w:r>
      <w:r w:rsidR="00F25623">
        <w:rPr>
          <w:rFonts w:ascii="Times New Roman" w:hAnsi="Times New Roman" w:cs="Times New Roman"/>
        </w:rPr>
        <w:t xml:space="preserve">e Illustration </w:t>
      </w:r>
      <w:r w:rsidR="00476E68">
        <w:rPr>
          <w:rFonts w:ascii="Times New Roman" w:hAnsi="Times New Roman" w:cs="Times New Roman"/>
        </w:rPr>
        <w:t xml:space="preserve">No. 1 in Exh. KON-7T, at p. 8) </w:t>
      </w:r>
      <w:r w:rsidR="006B0AA9">
        <w:rPr>
          <w:rFonts w:ascii="Times New Roman" w:hAnsi="Times New Roman" w:cs="Times New Roman"/>
        </w:rPr>
        <w:t xml:space="preserve">  </w:t>
      </w:r>
      <w:r w:rsidR="00CE42EE">
        <w:rPr>
          <w:rFonts w:ascii="Times New Roman" w:hAnsi="Times New Roman" w:cs="Times New Roman"/>
        </w:rPr>
        <w:t>T</w:t>
      </w:r>
      <w:r w:rsidR="00476E68">
        <w:rPr>
          <w:rFonts w:ascii="Times New Roman" w:hAnsi="Times New Roman" w:cs="Times New Roman"/>
        </w:rPr>
        <w:t xml:space="preserve">his is </w:t>
      </w:r>
      <w:r w:rsidR="0090529A" w:rsidRPr="00476E68">
        <w:rPr>
          <w:rFonts w:ascii="Times New Roman" w:hAnsi="Times New Roman" w:cs="Times New Roman"/>
          <w:u w:val="single"/>
        </w:rPr>
        <w:t>prior to</w:t>
      </w:r>
      <w:r w:rsidR="0090529A" w:rsidRPr="00476E68">
        <w:rPr>
          <w:rFonts w:ascii="Times New Roman" w:hAnsi="Times New Roman" w:cs="Times New Roman"/>
        </w:rPr>
        <w:t xml:space="preserve"> consideration of </w:t>
      </w:r>
      <w:r w:rsidR="0090529A" w:rsidRPr="00476E68">
        <w:rPr>
          <w:rFonts w:ascii="Times New Roman" w:hAnsi="Times New Roman" w:cs="Times New Roman"/>
        </w:rPr>
        <w:lastRenderedPageBreak/>
        <w:t xml:space="preserve">the need for </w:t>
      </w:r>
      <w:r w:rsidR="00CE42EE">
        <w:rPr>
          <w:rFonts w:ascii="Times New Roman" w:hAnsi="Times New Roman" w:cs="Times New Roman"/>
        </w:rPr>
        <w:t xml:space="preserve">any </w:t>
      </w:r>
      <w:r w:rsidR="0090529A" w:rsidRPr="00476E68">
        <w:rPr>
          <w:rFonts w:ascii="Times New Roman" w:hAnsi="Times New Roman" w:cs="Times New Roman"/>
        </w:rPr>
        <w:t xml:space="preserve">additional revenue increases in 2014.  </w:t>
      </w:r>
    </w:p>
    <w:p w:rsidR="00A85D1B" w:rsidRPr="00EB4A48" w:rsidRDefault="00A718D7" w:rsidP="00A718D7">
      <w:pPr>
        <w:pStyle w:val="P31"/>
        <w:numPr>
          <w:ilvl w:val="0"/>
          <w:numId w:val="52"/>
        </w:numPr>
        <w:ind w:left="0" w:hanging="180"/>
        <w:jc w:val="both"/>
        <w:rPr>
          <w:rFonts w:ascii="Times New Roman" w:hAnsi="Times New Roman" w:cs="Times New Roman"/>
          <w:szCs w:val="24"/>
        </w:rPr>
      </w:pPr>
      <w:r>
        <w:rPr>
          <w:rFonts w:ascii="Times New Roman" w:hAnsi="Times New Roman" w:cs="Times New Roman"/>
          <w:szCs w:val="24"/>
        </w:rPr>
        <w:tab/>
      </w:r>
      <w:r w:rsidR="00CE42EE" w:rsidRPr="00EB4A48">
        <w:rPr>
          <w:rFonts w:ascii="Times New Roman" w:hAnsi="Times New Roman" w:cs="Times New Roman"/>
          <w:szCs w:val="24"/>
        </w:rPr>
        <w:t xml:space="preserve">Beyond that, </w:t>
      </w:r>
      <w:r w:rsidR="0090529A" w:rsidRPr="00EB4A48">
        <w:rPr>
          <w:rFonts w:ascii="Times New Roman" w:hAnsi="Times New Roman" w:cs="Times New Roman"/>
          <w:szCs w:val="24"/>
        </w:rPr>
        <w:t xml:space="preserve">Avista </w:t>
      </w:r>
      <w:r w:rsidR="000C6D3A" w:rsidRPr="00EB4A48">
        <w:rPr>
          <w:rFonts w:ascii="Times New Roman" w:hAnsi="Times New Roman" w:cs="Times New Roman"/>
          <w:szCs w:val="24"/>
        </w:rPr>
        <w:t xml:space="preserve">also </w:t>
      </w:r>
      <w:r w:rsidR="0090529A" w:rsidRPr="00EB4A48">
        <w:rPr>
          <w:rFonts w:ascii="Times New Roman" w:hAnsi="Times New Roman" w:cs="Times New Roman"/>
          <w:szCs w:val="24"/>
        </w:rPr>
        <w:t xml:space="preserve">provided </w:t>
      </w:r>
      <w:r w:rsidR="00CE42EE" w:rsidRPr="00EB4A48">
        <w:rPr>
          <w:rFonts w:ascii="Times New Roman" w:hAnsi="Times New Roman" w:cs="Times New Roman"/>
          <w:szCs w:val="24"/>
        </w:rPr>
        <w:t xml:space="preserve">further </w:t>
      </w:r>
      <w:r w:rsidR="0090529A" w:rsidRPr="00EB4A48">
        <w:rPr>
          <w:rFonts w:ascii="Times New Roman" w:hAnsi="Times New Roman" w:cs="Times New Roman"/>
          <w:szCs w:val="24"/>
        </w:rPr>
        <w:t xml:space="preserve">information demonstrating the need for </w:t>
      </w:r>
      <w:r w:rsidR="0090529A" w:rsidRPr="00EB4A48">
        <w:rPr>
          <w:rFonts w:ascii="Times New Roman" w:hAnsi="Times New Roman" w:cs="Times New Roman"/>
          <w:szCs w:val="24"/>
          <w:u w:val="single"/>
        </w:rPr>
        <w:t>additional</w:t>
      </w:r>
      <w:r w:rsidR="0090529A" w:rsidRPr="00EB4A48">
        <w:rPr>
          <w:rFonts w:ascii="Times New Roman" w:hAnsi="Times New Roman" w:cs="Times New Roman"/>
          <w:szCs w:val="24"/>
        </w:rPr>
        <w:t xml:space="preserve"> rate relief for 2014.  </w:t>
      </w:r>
      <w:r w:rsidR="00A37604" w:rsidRPr="00EB4A48">
        <w:rPr>
          <w:rFonts w:ascii="Times New Roman" w:hAnsi="Times New Roman" w:cs="Times New Roman"/>
          <w:szCs w:val="24"/>
        </w:rPr>
        <w:t>The information</w:t>
      </w:r>
      <w:r w:rsidR="0090529A" w:rsidRPr="00EB4A48">
        <w:rPr>
          <w:rFonts w:ascii="Times New Roman" w:hAnsi="Times New Roman" w:cs="Times New Roman"/>
          <w:szCs w:val="24"/>
        </w:rPr>
        <w:t xml:space="preserve"> show</w:t>
      </w:r>
      <w:r w:rsidR="00A37604" w:rsidRPr="00EB4A48">
        <w:rPr>
          <w:rFonts w:ascii="Times New Roman" w:hAnsi="Times New Roman" w:cs="Times New Roman"/>
          <w:szCs w:val="24"/>
        </w:rPr>
        <w:t>ed</w:t>
      </w:r>
      <w:r w:rsidR="00CE42EE" w:rsidRPr="00EB4A48">
        <w:rPr>
          <w:rFonts w:ascii="Times New Roman" w:hAnsi="Times New Roman" w:cs="Times New Roman"/>
          <w:szCs w:val="24"/>
        </w:rPr>
        <w:t xml:space="preserve"> that net plant investment and non-f</w:t>
      </w:r>
      <w:r w:rsidR="0090529A" w:rsidRPr="00EB4A48">
        <w:rPr>
          <w:rFonts w:ascii="Times New Roman" w:hAnsi="Times New Roman" w:cs="Times New Roman"/>
          <w:szCs w:val="24"/>
        </w:rPr>
        <w:t xml:space="preserve">uel O&amp;M will continue to increase at a much faster pace than </w:t>
      </w:r>
      <w:r w:rsidR="00180508" w:rsidRPr="00EB4A48">
        <w:rPr>
          <w:rFonts w:ascii="Times New Roman" w:hAnsi="Times New Roman" w:cs="Times New Roman"/>
          <w:szCs w:val="24"/>
        </w:rPr>
        <w:t xml:space="preserve">kWh </w:t>
      </w:r>
      <w:r w:rsidR="00472CC6" w:rsidRPr="00EB4A48">
        <w:rPr>
          <w:rFonts w:ascii="Times New Roman" w:hAnsi="Times New Roman" w:cs="Times New Roman"/>
          <w:szCs w:val="24"/>
        </w:rPr>
        <w:t>sales and therm s</w:t>
      </w:r>
      <w:r w:rsidR="0090529A" w:rsidRPr="00EB4A48">
        <w:rPr>
          <w:rFonts w:ascii="Times New Roman" w:hAnsi="Times New Roman" w:cs="Times New Roman"/>
          <w:szCs w:val="24"/>
        </w:rPr>
        <w:t>ales for 2014 and beyond, which will require additional rate increases for 2014 and future years.</w:t>
      </w:r>
      <w:r w:rsidR="008142FB" w:rsidRPr="00EB4A48">
        <w:rPr>
          <w:rStyle w:val="FootnoteReference"/>
          <w:rFonts w:ascii="Times New Roman" w:hAnsi="Times New Roman"/>
          <w:szCs w:val="24"/>
        </w:rPr>
        <w:footnoteReference w:id="4"/>
      </w:r>
      <w:r w:rsidR="0090529A" w:rsidRPr="00EB4A48">
        <w:rPr>
          <w:rFonts w:ascii="Times New Roman" w:hAnsi="Times New Roman" w:cs="Times New Roman"/>
          <w:szCs w:val="24"/>
        </w:rPr>
        <w:t xml:space="preserve">  </w:t>
      </w:r>
      <w:r w:rsidR="008549B1" w:rsidRPr="00EB4A48">
        <w:rPr>
          <w:rFonts w:ascii="Times New Roman" w:hAnsi="Times New Roman" w:cs="Times New Roman"/>
          <w:szCs w:val="24"/>
        </w:rPr>
        <w:t xml:space="preserve"> </w:t>
      </w:r>
      <w:r w:rsidR="000C6D3A" w:rsidRPr="00EB4A48">
        <w:rPr>
          <w:rFonts w:ascii="Times New Roman" w:hAnsi="Times New Roman" w:cs="Times New Roman"/>
          <w:szCs w:val="24"/>
        </w:rPr>
        <w:t>I</w:t>
      </w:r>
      <w:r w:rsidR="000F753A" w:rsidRPr="00EB4A48">
        <w:rPr>
          <w:rFonts w:ascii="Times New Roman" w:hAnsi="Times New Roman" w:cs="Times New Roman"/>
          <w:szCs w:val="24"/>
        </w:rPr>
        <w:t>n its original filing</w:t>
      </w:r>
      <w:r w:rsidR="000334C5" w:rsidRPr="00EB4A48">
        <w:rPr>
          <w:rFonts w:ascii="Times New Roman" w:hAnsi="Times New Roman" w:cs="Times New Roman"/>
          <w:szCs w:val="24"/>
        </w:rPr>
        <w:t>,</w:t>
      </w:r>
      <w:r w:rsidR="000F753A" w:rsidRPr="00EB4A48">
        <w:rPr>
          <w:rFonts w:ascii="Times New Roman" w:hAnsi="Times New Roman" w:cs="Times New Roman"/>
          <w:szCs w:val="24"/>
        </w:rPr>
        <w:t xml:space="preserve"> Avista submitted </w:t>
      </w:r>
      <w:r w:rsidR="00103D09" w:rsidRPr="00EB4A48">
        <w:rPr>
          <w:rFonts w:ascii="Times New Roman" w:hAnsi="Times New Roman" w:cs="Times New Roman"/>
          <w:szCs w:val="24"/>
        </w:rPr>
        <w:t>a comprehensive Attrition Study, sponsored by Dr. Mark Lowry</w:t>
      </w:r>
      <w:r w:rsidR="00DC6F65" w:rsidRPr="00EB4A48">
        <w:rPr>
          <w:rFonts w:ascii="Times New Roman" w:hAnsi="Times New Roman" w:cs="Times New Roman"/>
          <w:szCs w:val="24"/>
        </w:rPr>
        <w:t xml:space="preserve"> (see Exhibit MNL-1T)</w:t>
      </w:r>
      <w:r w:rsidR="00103D09" w:rsidRPr="00EB4A48">
        <w:rPr>
          <w:rFonts w:ascii="Times New Roman" w:hAnsi="Times New Roman" w:cs="Times New Roman"/>
          <w:szCs w:val="24"/>
        </w:rPr>
        <w:t>.</w:t>
      </w:r>
      <w:r w:rsidR="000F753A" w:rsidRPr="00EB4A48">
        <w:rPr>
          <w:rFonts w:ascii="Times New Roman" w:hAnsi="Times New Roman" w:cs="Times New Roman"/>
          <w:szCs w:val="24"/>
        </w:rPr>
        <w:t xml:space="preserve">  This study was developed independent</w:t>
      </w:r>
      <w:r w:rsidR="00DC6F65" w:rsidRPr="00EB4A48">
        <w:rPr>
          <w:rFonts w:ascii="Times New Roman" w:hAnsi="Times New Roman" w:cs="Times New Roman"/>
          <w:szCs w:val="24"/>
        </w:rPr>
        <w:t>ly</w:t>
      </w:r>
      <w:r w:rsidR="000F753A" w:rsidRPr="00EB4A48">
        <w:rPr>
          <w:rFonts w:ascii="Times New Roman" w:hAnsi="Times New Roman" w:cs="Times New Roman"/>
          <w:szCs w:val="24"/>
        </w:rPr>
        <w:t xml:space="preserve"> from the traditional pro forma ratemaking adjustments, and was based on the historical trends of operations and maintenance (O&amp;M) costs, and net plant investment, as compared to the growth in retail revenue.</w:t>
      </w:r>
      <w:r w:rsidR="00C10EB4" w:rsidRPr="00EB4A48">
        <w:rPr>
          <w:rFonts w:ascii="Times New Roman" w:hAnsi="Times New Roman" w:cs="Times New Roman"/>
          <w:szCs w:val="24"/>
        </w:rPr>
        <w:t xml:space="preserve"> </w:t>
      </w:r>
      <w:r w:rsidR="008549B1" w:rsidRPr="00EB4A48">
        <w:rPr>
          <w:rFonts w:ascii="Times New Roman" w:hAnsi="Times New Roman" w:cs="Times New Roman"/>
          <w:szCs w:val="24"/>
        </w:rPr>
        <w:t xml:space="preserve"> </w:t>
      </w:r>
      <w:r w:rsidR="00606CB6" w:rsidRPr="00EB4A48">
        <w:rPr>
          <w:rFonts w:ascii="Times New Roman" w:hAnsi="Times New Roman" w:cs="Times New Roman"/>
          <w:szCs w:val="24"/>
        </w:rPr>
        <w:t>(</w:t>
      </w:r>
      <w:r w:rsidR="008549B1" w:rsidRPr="00EB4A48">
        <w:rPr>
          <w:rFonts w:ascii="Times New Roman" w:hAnsi="Times New Roman" w:cs="Times New Roman"/>
          <w:szCs w:val="24"/>
        </w:rPr>
        <w:t>It should also be remembered that Public Counsel has</w:t>
      </w:r>
      <w:r w:rsidR="00294805">
        <w:rPr>
          <w:rFonts w:ascii="Times New Roman" w:hAnsi="Times New Roman" w:cs="Times New Roman"/>
          <w:szCs w:val="24"/>
        </w:rPr>
        <w:t>,</w:t>
      </w:r>
      <w:r w:rsidR="008549B1" w:rsidRPr="00EB4A48">
        <w:rPr>
          <w:rFonts w:ascii="Times New Roman" w:hAnsi="Times New Roman" w:cs="Times New Roman"/>
          <w:szCs w:val="24"/>
        </w:rPr>
        <w:t xml:space="preserve"> itself</w:t>
      </w:r>
      <w:r w:rsidR="00294805">
        <w:rPr>
          <w:rFonts w:ascii="Times New Roman" w:hAnsi="Times New Roman" w:cs="Times New Roman"/>
          <w:szCs w:val="24"/>
        </w:rPr>
        <w:t>,</w:t>
      </w:r>
      <w:r w:rsidR="008549B1" w:rsidRPr="00EB4A48">
        <w:rPr>
          <w:rFonts w:ascii="Times New Roman" w:hAnsi="Times New Roman" w:cs="Times New Roman"/>
          <w:szCs w:val="24"/>
        </w:rPr>
        <w:t xml:space="preserve"> submitted no evidence</w:t>
      </w:r>
      <w:r w:rsidR="00A97125">
        <w:rPr>
          <w:rFonts w:ascii="Times New Roman" w:hAnsi="Times New Roman" w:cs="Times New Roman"/>
          <w:szCs w:val="24"/>
        </w:rPr>
        <w:t>,</w:t>
      </w:r>
      <w:r w:rsidR="008549B1" w:rsidRPr="00EB4A48">
        <w:rPr>
          <w:rFonts w:ascii="Times New Roman" w:hAnsi="Times New Roman" w:cs="Times New Roman"/>
          <w:szCs w:val="24"/>
        </w:rPr>
        <w:t xml:space="preserve"> by way of an attrition study or otherwise, that the Company will not experience attrition in 2013 and 2014.</w:t>
      </w:r>
      <w:r w:rsidR="00606CB6" w:rsidRPr="00EB4A48">
        <w:rPr>
          <w:rFonts w:ascii="Times New Roman" w:hAnsi="Times New Roman" w:cs="Times New Roman"/>
          <w:szCs w:val="24"/>
        </w:rPr>
        <w:t>)</w:t>
      </w:r>
      <w:r w:rsidR="008549B1" w:rsidRPr="00EB4A48">
        <w:rPr>
          <w:rFonts w:ascii="Times New Roman" w:hAnsi="Times New Roman" w:cs="Times New Roman"/>
          <w:szCs w:val="24"/>
        </w:rPr>
        <w:t xml:space="preserve">  </w:t>
      </w:r>
    </w:p>
    <w:p w:rsidR="008549B1" w:rsidRPr="00EB4A48" w:rsidRDefault="00A718D7" w:rsidP="00A97125">
      <w:pPr>
        <w:pStyle w:val="P31"/>
        <w:numPr>
          <w:ilvl w:val="0"/>
          <w:numId w:val="52"/>
        </w:numPr>
        <w:ind w:left="0" w:hanging="180"/>
        <w:jc w:val="both"/>
        <w:rPr>
          <w:rFonts w:ascii="Times New Roman" w:hAnsi="Times New Roman" w:cs="Times New Roman"/>
          <w:szCs w:val="24"/>
        </w:rPr>
      </w:pPr>
      <w:r>
        <w:rPr>
          <w:rFonts w:ascii="Times New Roman" w:hAnsi="Times New Roman" w:cs="Times New Roman"/>
          <w:szCs w:val="24"/>
        </w:rPr>
        <w:tab/>
      </w:r>
      <w:r w:rsidR="008549B1" w:rsidRPr="00EB4A48">
        <w:rPr>
          <w:rFonts w:ascii="Times New Roman" w:hAnsi="Times New Roman" w:cs="Times New Roman"/>
          <w:szCs w:val="24"/>
        </w:rPr>
        <w:t>Ms. Andrews also provided a separate analysis (Exhibit EMA-1T</w:t>
      </w:r>
      <w:r w:rsidR="00A97125">
        <w:rPr>
          <w:rFonts w:ascii="Times New Roman" w:hAnsi="Times New Roman" w:cs="Times New Roman"/>
          <w:szCs w:val="24"/>
        </w:rPr>
        <w:t>, pp. 35-37</w:t>
      </w:r>
      <w:r w:rsidR="008549B1" w:rsidRPr="00EB4A48">
        <w:rPr>
          <w:rFonts w:ascii="Times New Roman" w:hAnsi="Times New Roman" w:cs="Times New Roman"/>
          <w:szCs w:val="24"/>
        </w:rPr>
        <w:t>), through the use of adjustments which presented an independent “cross-check” on the reasonableness of Dr. Lowry’s overall attrition-adjusted revenue requirement.  Ms. Andrews started with the unadjusted results of operations for 2011 and prepared specific restating and pro forma adjustments</w:t>
      </w:r>
      <w:r w:rsidR="006A4261" w:rsidRPr="00EB4A48">
        <w:rPr>
          <w:rFonts w:ascii="Times New Roman" w:hAnsi="Times New Roman" w:cs="Times New Roman"/>
          <w:szCs w:val="24"/>
        </w:rPr>
        <w:t xml:space="preserve"> to reflect 2012 and 2013 planned capital expenditures</w:t>
      </w:r>
      <w:r w:rsidR="008549B1" w:rsidRPr="00EB4A48">
        <w:rPr>
          <w:rFonts w:ascii="Times New Roman" w:hAnsi="Times New Roman" w:cs="Times New Roman"/>
          <w:szCs w:val="24"/>
        </w:rPr>
        <w:t>.  The end result of the two separate, independent methodologies provides a confirmation that the revenue requirement under either method is reasonable and supportable</w:t>
      </w:r>
      <w:r w:rsidR="00294805">
        <w:rPr>
          <w:rFonts w:ascii="Times New Roman" w:hAnsi="Times New Roman" w:cs="Times New Roman"/>
          <w:szCs w:val="24"/>
        </w:rPr>
        <w:t>, and well above the settlement rate increases for both 2013 and 2014</w:t>
      </w:r>
      <w:r w:rsidR="008549B1" w:rsidRPr="00EB4A48">
        <w:rPr>
          <w:rFonts w:ascii="Times New Roman" w:hAnsi="Times New Roman" w:cs="Times New Roman"/>
          <w:szCs w:val="24"/>
        </w:rPr>
        <w:t>.</w:t>
      </w:r>
    </w:p>
    <w:p w:rsidR="00BE7510" w:rsidRPr="00BE7510" w:rsidRDefault="00890CF7" w:rsidP="00BE7510">
      <w:pPr>
        <w:pStyle w:val="P31"/>
        <w:numPr>
          <w:ilvl w:val="0"/>
          <w:numId w:val="52"/>
        </w:numPr>
        <w:autoSpaceDE/>
        <w:autoSpaceDN/>
        <w:ind w:left="0" w:firstLine="0"/>
        <w:jc w:val="both"/>
      </w:pPr>
      <w:r>
        <w:rPr>
          <w:rFonts w:ascii="Times New Roman" w:hAnsi="Times New Roman" w:cs="Times New Roman"/>
        </w:rPr>
        <w:t xml:space="preserve">As explained by Mr. Norwood, </w:t>
      </w:r>
      <w:r w:rsidRPr="00BE7510">
        <w:rPr>
          <w:rFonts w:ascii="Times New Roman" w:hAnsi="Times New Roman" w:cs="Times New Roman"/>
          <w:u w:val="single"/>
        </w:rPr>
        <w:t>w</w:t>
      </w:r>
      <w:r w:rsidR="00B6077D" w:rsidRPr="00BE7510">
        <w:rPr>
          <w:rFonts w:ascii="Times New Roman" w:hAnsi="Times New Roman" w:cs="Times New Roman"/>
          <w:u w:val="single"/>
        </w:rPr>
        <w:t>ith regard to 2014</w:t>
      </w:r>
      <w:r w:rsidR="00B6077D" w:rsidRPr="001B32C8">
        <w:rPr>
          <w:rFonts w:ascii="Times New Roman" w:hAnsi="Times New Roman" w:cs="Times New Roman"/>
        </w:rPr>
        <w:t xml:space="preserve">, a simple extension of the trend analysis in the Attrition </w:t>
      </w:r>
      <w:r w:rsidR="00294805">
        <w:rPr>
          <w:rFonts w:ascii="Times New Roman" w:hAnsi="Times New Roman" w:cs="Times New Roman"/>
        </w:rPr>
        <w:t>S</w:t>
      </w:r>
      <w:r w:rsidR="00B6077D" w:rsidRPr="001B32C8">
        <w:rPr>
          <w:rFonts w:ascii="Times New Roman" w:hAnsi="Times New Roman" w:cs="Times New Roman"/>
        </w:rPr>
        <w:t xml:space="preserve">tudy to 2014 from 2013 would show a need for an </w:t>
      </w:r>
      <w:r w:rsidR="00B6077D" w:rsidRPr="00BE7510">
        <w:rPr>
          <w:rFonts w:ascii="Times New Roman" w:hAnsi="Times New Roman" w:cs="Times New Roman"/>
          <w:u w:val="single"/>
        </w:rPr>
        <w:t>incremental</w:t>
      </w:r>
      <w:r w:rsidR="00B6077D" w:rsidRPr="001B32C8">
        <w:rPr>
          <w:rFonts w:ascii="Times New Roman" w:hAnsi="Times New Roman" w:cs="Times New Roman"/>
        </w:rPr>
        <w:t xml:space="preserve"> electric</w:t>
      </w:r>
      <w:r w:rsidR="00BE7510">
        <w:rPr>
          <w:rFonts w:ascii="Times New Roman" w:hAnsi="Times New Roman" w:cs="Times New Roman"/>
        </w:rPr>
        <w:br w:type="page"/>
      </w:r>
    </w:p>
    <w:p w:rsidR="00665144" w:rsidRDefault="00B6077D" w:rsidP="00BE7510">
      <w:pPr>
        <w:pStyle w:val="P31"/>
        <w:ind w:firstLine="0"/>
        <w:jc w:val="both"/>
        <w:rPr>
          <w:rFonts w:ascii="Times New Roman" w:hAnsi="Times New Roman" w:cs="Times New Roman"/>
        </w:rPr>
      </w:pPr>
      <w:r w:rsidRPr="001B32C8">
        <w:rPr>
          <w:rFonts w:ascii="Times New Roman" w:hAnsi="Times New Roman" w:cs="Times New Roman"/>
        </w:rPr>
        <w:lastRenderedPageBreak/>
        <w:t xml:space="preserve"> revenue increase of approximately $14</w:t>
      </w:r>
      <w:r w:rsidR="00A97125">
        <w:rPr>
          <w:rFonts w:ascii="Times New Roman" w:hAnsi="Times New Roman" w:cs="Times New Roman"/>
        </w:rPr>
        <w:t>.5</w:t>
      </w:r>
      <w:r w:rsidR="00294805">
        <w:rPr>
          <w:rFonts w:ascii="Times New Roman" w:hAnsi="Times New Roman" w:cs="Times New Roman"/>
        </w:rPr>
        <w:t xml:space="preserve"> </w:t>
      </w:r>
      <w:r w:rsidR="00A85D1B">
        <w:rPr>
          <w:rFonts w:ascii="Times New Roman" w:hAnsi="Times New Roman" w:cs="Times New Roman"/>
        </w:rPr>
        <w:t>million</w:t>
      </w:r>
      <w:r w:rsidRPr="001B32C8">
        <w:rPr>
          <w:rFonts w:ascii="Times New Roman" w:hAnsi="Times New Roman" w:cs="Times New Roman"/>
        </w:rPr>
        <w:t xml:space="preserve"> for 2014.</w:t>
      </w:r>
      <w:r w:rsidR="008549B1">
        <w:rPr>
          <w:rStyle w:val="FootnoteReference"/>
          <w:rFonts w:ascii="Times New Roman" w:hAnsi="Times New Roman"/>
        </w:rPr>
        <w:footnoteReference w:id="5"/>
      </w:r>
      <w:r w:rsidRPr="001B32C8">
        <w:rPr>
          <w:rFonts w:ascii="Times New Roman" w:hAnsi="Times New Roman" w:cs="Times New Roman"/>
        </w:rPr>
        <w:t xml:space="preserve">  </w:t>
      </w:r>
      <w:r w:rsidR="00A97125">
        <w:rPr>
          <w:rFonts w:ascii="Times New Roman" w:hAnsi="Times New Roman" w:cs="Times New Roman"/>
        </w:rPr>
        <w:t xml:space="preserve">(Exhibit KON-7T, p. 10) </w:t>
      </w:r>
      <w:r w:rsidRPr="001B32C8">
        <w:rPr>
          <w:rFonts w:ascii="Times New Roman" w:hAnsi="Times New Roman" w:cs="Times New Roman"/>
        </w:rPr>
        <w:t xml:space="preserve">The incremental </w:t>
      </w:r>
      <w:r w:rsidRPr="00024C98">
        <w:rPr>
          <w:rFonts w:ascii="Times New Roman" w:hAnsi="Times New Roman" w:cs="Times New Roman"/>
          <w:u w:val="single"/>
        </w:rPr>
        <w:t>natural gas</w:t>
      </w:r>
      <w:r w:rsidRPr="001B32C8">
        <w:rPr>
          <w:rFonts w:ascii="Times New Roman" w:hAnsi="Times New Roman" w:cs="Times New Roman"/>
        </w:rPr>
        <w:t xml:space="preserve"> revenue need </w:t>
      </w:r>
      <w:r w:rsidR="00531B38">
        <w:rPr>
          <w:rFonts w:ascii="Times New Roman" w:hAnsi="Times New Roman" w:cs="Times New Roman"/>
        </w:rPr>
        <w:t>from 2013 to 2014</w:t>
      </w:r>
      <w:r w:rsidRPr="001B32C8">
        <w:rPr>
          <w:rFonts w:ascii="Times New Roman" w:hAnsi="Times New Roman" w:cs="Times New Roman"/>
        </w:rPr>
        <w:t xml:space="preserve"> would be </w:t>
      </w:r>
      <w:r w:rsidR="001B32C8" w:rsidRPr="001B32C8">
        <w:rPr>
          <w:rFonts w:ascii="Times New Roman" w:hAnsi="Times New Roman" w:cs="Times New Roman"/>
        </w:rPr>
        <w:t>$</w:t>
      </w:r>
      <w:r w:rsidR="001B32C8">
        <w:rPr>
          <w:rFonts w:ascii="Times New Roman" w:hAnsi="Times New Roman" w:cs="Times New Roman"/>
        </w:rPr>
        <w:t>4.2</w:t>
      </w:r>
      <w:r w:rsidR="001B32C8" w:rsidRPr="001B32C8">
        <w:rPr>
          <w:rFonts w:ascii="Times New Roman" w:hAnsi="Times New Roman" w:cs="Times New Roman"/>
        </w:rPr>
        <w:t xml:space="preserve"> </w:t>
      </w:r>
      <w:r w:rsidRPr="001B32C8">
        <w:rPr>
          <w:rFonts w:ascii="Times New Roman" w:hAnsi="Times New Roman" w:cs="Times New Roman"/>
        </w:rPr>
        <w:t>million.</w:t>
      </w:r>
      <w:r w:rsidR="00A97125">
        <w:rPr>
          <w:rFonts w:ascii="Times New Roman" w:hAnsi="Times New Roman" w:cs="Times New Roman"/>
        </w:rPr>
        <w:t>(</w:t>
      </w:r>
      <w:r w:rsidR="00A97125" w:rsidRPr="00A97125">
        <w:rPr>
          <w:rFonts w:ascii="Times New Roman" w:hAnsi="Times New Roman" w:cs="Times New Roman"/>
          <w:u w:val="single"/>
        </w:rPr>
        <w:t>Id.</w:t>
      </w:r>
      <w:r w:rsidR="00A97125">
        <w:rPr>
          <w:rFonts w:ascii="Times New Roman" w:hAnsi="Times New Roman" w:cs="Times New Roman"/>
        </w:rPr>
        <w:t>)</w:t>
      </w:r>
      <w:r w:rsidR="000B01C4">
        <w:rPr>
          <w:rFonts w:ascii="Times New Roman" w:hAnsi="Times New Roman" w:cs="Times New Roman"/>
        </w:rPr>
        <w:t xml:space="preserve"> As explained below, there is evidentiary support for using </w:t>
      </w:r>
      <w:r w:rsidR="000B01C4" w:rsidRPr="006A4261">
        <w:rPr>
          <w:rFonts w:ascii="Times New Roman" w:hAnsi="Times New Roman" w:cs="Times New Roman"/>
          <w:u w:val="single"/>
        </w:rPr>
        <w:t>this same trend</w:t>
      </w:r>
      <w:r w:rsidR="000B01C4" w:rsidRPr="00606CB6">
        <w:rPr>
          <w:rFonts w:ascii="Times New Roman" w:hAnsi="Times New Roman" w:cs="Times New Roman"/>
        </w:rPr>
        <w:t xml:space="preserve"> of revenues</w:t>
      </w:r>
      <w:r w:rsidR="000B01C4">
        <w:rPr>
          <w:rFonts w:ascii="Times New Roman" w:hAnsi="Times New Roman" w:cs="Times New Roman"/>
        </w:rPr>
        <w:t>, expenses and ratebase for purposes of 2014.</w:t>
      </w:r>
      <w:r w:rsidRPr="001B32C8">
        <w:rPr>
          <w:rFonts w:ascii="Times New Roman" w:hAnsi="Times New Roman" w:cs="Times New Roman"/>
        </w:rPr>
        <w:t xml:space="preserve">  </w:t>
      </w:r>
      <w:r w:rsidR="00A85D1B">
        <w:rPr>
          <w:rFonts w:ascii="Times New Roman" w:hAnsi="Times New Roman" w:cs="Times New Roman"/>
        </w:rPr>
        <w:t xml:space="preserve">Indeed, Staff Witness Elgin testified that he believed there is strong evidence that these prior trends will continue.  (Tr. </w:t>
      </w:r>
      <w:r w:rsidR="00294805">
        <w:rPr>
          <w:rFonts w:ascii="Times New Roman" w:hAnsi="Times New Roman" w:cs="Times New Roman"/>
        </w:rPr>
        <w:t>p</w:t>
      </w:r>
      <w:r w:rsidR="00A85D1B">
        <w:rPr>
          <w:rFonts w:ascii="Times New Roman" w:hAnsi="Times New Roman" w:cs="Times New Roman"/>
        </w:rPr>
        <w:t xml:space="preserve">. 281, ll. </w:t>
      </w:r>
      <w:r w:rsidR="00FA63B7" w:rsidRPr="00B30DEF">
        <w:rPr>
          <w:rFonts w:ascii="Times New Roman" w:hAnsi="Times New Roman" w:cs="Times New Roman"/>
        </w:rPr>
        <w:t>24</w:t>
      </w:r>
      <w:r w:rsidR="00A85D1B" w:rsidRPr="00B30DEF">
        <w:rPr>
          <w:rFonts w:ascii="Times New Roman" w:hAnsi="Times New Roman" w:cs="Times New Roman"/>
        </w:rPr>
        <w:t>-</w:t>
      </w:r>
      <w:r w:rsidR="0047535C">
        <w:rPr>
          <w:rFonts w:ascii="Times New Roman" w:hAnsi="Times New Roman" w:cs="Times New Roman"/>
        </w:rPr>
        <w:t xml:space="preserve">25, &amp; </w:t>
      </w:r>
      <w:r w:rsidR="00294805">
        <w:rPr>
          <w:rFonts w:ascii="Times New Roman" w:hAnsi="Times New Roman" w:cs="Times New Roman"/>
        </w:rPr>
        <w:t>p</w:t>
      </w:r>
      <w:r w:rsidR="0047535C">
        <w:rPr>
          <w:rFonts w:ascii="Times New Roman" w:hAnsi="Times New Roman" w:cs="Times New Roman"/>
        </w:rPr>
        <w:t>. 282, ll. 1-2)</w:t>
      </w:r>
    </w:p>
    <w:p w:rsidR="0037027B" w:rsidRPr="00EB4A48" w:rsidRDefault="0047535C" w:rsidP="00A718D7">
      <w:pPr>
        <w:pStyle w:val="P31"/>
        <w:numPr>
          <w:ilvl w:val="0"/>
          <w:numId w:val="52"/>
        </w:numPr>
        <w:ind w:left="0" w:hanging="180"/>
        <w:jc w:val="both"/>
        <w:rPr>
          <w:rFonts w:ascii="Times New Roman" w:hAnsi="Times New Roman" w:cs="Times New Roman"/>
        </w:rPr>
      </w:pPr>
      <w:r>
        <w:rPr>
          <w:rFonts w:ascii="Times New Roman" w:hAnsi="Times New Roman" w:cs="Times New Roman"/>
        </w:rPr>
        <w:tab/>
      </w:r>
      <w:r w:rsidRPr="00294805">
        <w:rPr>
          <w:rFonts w:ascii="Times New Roman" w:hAnsi="Times New Roman" w:cs="Times New Roman"/>
        </w:rPr>
        <w:t>Exp</w:t>
      </w:r>
      <w:r w:rsidR="00665144" w:rsidRPr="00294805">
        <w:rPr>
          <w:rFonts w:ascii="Times New Roman" w:hAnsi="Times New Roman" w:cs="Times New Roman"/>
        </w:rPr>
        <w:t>erience demonstrate</w:t>
      </w:r>
      <w:r w:rsidR="006A4261" w:rsidRPr="00294805">
        <w:rPr>
          <w:rFonts w:ascii="Times New Roman" w:hAnsi="Times New Roman" w:cs="Times New Roman"/>
        </w:rPr>
        <w:t>s</w:t>
      </w:r>
      <w:r w:rsidR="006A4261" w:rsidRPr="00B30DEF">
        <w:rPr>
          <w:rFonts w:ascii="Times New Roman" w:hAnsi="Times New Roman" w:cs="Times New Roman"/>
        </w:rPr>
        <w:t xml:space="preserve"> that </w:t>
      </w:r>
      <w:r w:rsidR="000B01C4" w:rsidRPr="00B30DEF">
        <w:rPr>
          <w:rFonts w:ascii="Times New Roman" w:hAnsi="Times New Roman" w:cs="Times New Roman"/>
        </w:rPr>
        <w:t>Avista</w:t>
      </w:r>
      <w:r>
        <w:rPr>
          <w:rFonts w:ascii="Times New Roman" w:hAnsi="Times New Roman" w:cs="Times New Roman"/>
        </w:rPr>
        <w:t xml:space="preserve"> will actually spend the budgeted capital expenditures.  Commissioner Jones inquired at the time of hearing about Company Witness DeFelice’s portrayal of </w:t>
      </w:r>
      <w:r w:rsidRPr="00294805">
        <w:rPr>
          <w:rFonts w:ascii="Times New Roman" w:hAnsi="Times New Roman" w:cs="Times New Roman"/>
          <w:u w:val="single"/>
        </w:rPr>
        <w:t>actual</w:t>
      </w:r>
      <w:r>
        <w:rPr>
          <w:rFonts w:ascii="Times New Roman" w:hAnsi="Times New Roman" w:cs="Times New Roman"/>
        </w:rPr>
        <w:t>, as well as</w:t>
      </w:r>
      <w:r w:rsidR="0037027B" w:rsidRPr="00EB4A48">
        <w:rPr>
          <w:rFonts w:ascii="Times New Roman" w:hAnsi="Times New Roman" w:cs="Times New Roman"/>
        </w:rPr>
        <w:t xml:space="preserve"> </w:t>
      </w:r>
      <w:r w:rsidR="0037027B" w:rsidRPr="00294805">
        <w:rPr>
          <w:rFonts w:ascii="Times New Roman" w:hAnsi="Times New Roman" w:cs="Times New Roman"/>
          <w:u w:val="single"/>
        </w:rPr>
        <w:t>planned</w:t>
      </w:r>
      <w:r w:rsidR="0037027B" w:rsidRPr="00B30DEF">
        <w:rPr>
          <w:rFonts w:ascii="Times New Roman" w:hAnsi="Times New Roman" w:cs="Times New Roman"/>
        </w:rPr>
        <w:t xml:space="preserve"> capital </w:t>
      </w:r>
      <w:r w:rsidR="0037027B" w:rsidRPr="00294805">
        <w:rPr>
          <w:rFonts w:ascii="Times New Roman" w:hAnsi="Times New Roman" w:cs="Times New Roman"/>
        </w:rPr>
        <w:t>ex</w:t>
      </w:r>
      <w:r w:rsidR="00665144" w:rsidRPr="00294805">
        <w:rPr>
          <w:rFonts w:ascii="Times New Roman" w:hAnsi="Times New Roman" w:cs="Times New Roman"/>
        </w:rPr>
        <w:t xml:space="preserve">penditures </w:t>
      </w:r>
      <w:r w:rsidR="0037027B" w:rsidRPr="00294805">
        <w:rPr>
          <w:rFonts w:ascii="Times New Roman" w:hAnsi="Times New Roman" w:cs="Times New Roman"/>
        </w:rPr>
        <w:t>in</w:t>
      </w:r>
      <w:r w:rsidR="0037027B" w:rsidRPr="00B30DEF">
        <w:rPr>
          <w:rFonts w:ascii="Times New Roman" w:hAnsi="Times New Roman" w:cs="Times New Roman"/>
        </w:rPr>
        <w:t xml:space="preserve"> the 2013 through 2014 time period.  </w:t>
      </w:r>
      <w:r w:rsidR="00A97125">
        <w:rPr>
          <w:rFonts w:ascii="Times New Roman" w:hAnsi="Times New Roman" w:cs="Times New Roman"/>
        </w:rPr>
        <w:t xml:space="preserve">(Tr. p. 279, ll. 7-20) </w:t>
      </w:r>
      <w:r w:rsidR="0037027B" w:rsidRPr="00B30DEF">
        <w:rPr>
          <w:rFonts w:ascii="Times New Roman" w:hAnsi="Times New Roman" w:cs="Times New Roman"/>
        </w:rPr>
        <w:t>He referred to M</w:t>
      </w:r>
      <w:r w:rsidR="000C6D3A" w:rsidRPr="00B30DEF">
        <w:rPr>
          <w:rFonts w:ascii="Times New Roman" w:hAnsi="Times New Roman" w:cs="Times New Roman"/>
        </w:rPr>
        <w:t>r. D</w:t>
      </w:r>
      <w:r>
        <w:rPr>
          <w:rFonts w:ascii="Times New Roman" w:hAnsi="Times New Roman" w:cs="Times New Roman"/>
        </w:rPr>
        <w:t xml:space="preserve">eFelice’s Exhibit No. DBD-2, a bar chart showing </w:t>
      </w:r>
      <w:r w:rsidRPr="00294805">
        <w:rPr>
          <w:rFonts w:ascii="Times New Roman" w:hAnsi="Times New Roman" w:cs="Times New Roman"/>
        </w:rPr>
        <w:t>levels</w:t>
      </w:r>
      <w:r w:rsidR="00665144" w:rsidRPr="00294805">
        <w:rPr>
          <w:rFonts w:ascii="Times New Roman" w:hAnsi="Times New Roman" w:cs="Times New Roman"/>
        </w:rPr>
        <w:t xml:space="preserve"> of planned cap</w:t>
      </w:r>
      <w:r w:rsidR="0037027B" w:rsidRPr="00294805">
        <w:rPr>
          <w:rFonts w:ascii="Times New Roman" w:hAnsi="Times New Roman" w:cs="Times New Roman"/>
        </w:rPr>
        <w:t>ital expenditures</w:t>
      </w:r>
      <w:r w:rsidR="00294805">
        <w:rPr>
          <w:rFonts w:ascii="Times New Roman" w:hAnsi="Times New Roman" w:cs="Times New Roman"/>
        </w:rPr>
        <w:t xml:space="preserve"> (by category)</w:t>
      </w:r>
      <w:r w:rsidR="0037027B" w:rsidRPr="00294805">
        <w:rPr>
          <w:rFonts w:ascii="Times New Roman" w:hAnsi="Times New Roman" w:cs="Times New Roman"/>
        </w:rPr>
        <w:t xml:space="preserve"> in 2013 and 2014 of </w:t>
      </w:r>
      <w:r w:rsidR="006A4261" w:rsidRPr="00294805">
        <w:rPr>
          <w:rFonts w:ascii="Times New Roman" w:hAnsi="Times New Roman" w:cs="Times New Roman"/>
        </w:rPr>
        <w:t>$</w:t>
      </w:r>
      <w:r w:rsidRPr="00294805">
        <w:rPr>
          <w:rFonts w:ascii="Times New Roman" w:hAnsi="Times New Roman" w:cs="Times New Roman"/>
        </w:rPr>
        <w:t>252 million and $258 million, respec</w:t>
      </w:r>
      <w:r>
        <w:rPr>
          <w:rFonts w:ascii="Times New Roman" w:hAnsi="Times New Roman" w:cs="Times New Roman"/>
        </w:rPr>
        <w:t xml:space="preserve">tively, </w:t>
      </w:r>
      <w:r w:rsidR="004A686D">
        <w:rPr>
          <w:rFonts w:ascii="Times New Roman" w:hAnsi="Times New Roman" w:cs="Times New Roman"/>
        </w:rPr>
        <w:t>which will result in rate base</w:t>
      </w:r>
      <w:r>
        <w:rPr>
          <w:rFonts w:ascii="Times New Roman" w:hAnsi="Times New Roman" w:cs="Times New Roman"/>
        </w:rPr>
        <w:t xml:space="preserve"> well in excess of the 2011 test period levels.</w:t>
      </w:r>
      <w:r w:rsidR="00A85D1B" w:rsidRPr="00B30DEF">
        <w:rPr>
          <w:rStyle w:val="FootnoteReference"/>
          <w:rFonts w:ascii="Times New Roman" w:hAnsi="Times New Roman"/>
        </w:rPr>
        <w:footnoteReference w:id="6"/>
      </w:r>
      <w:r w:rsidR="0037027B" w:rsidRPr="00B30DEF">
        <w:rPr>
          <w:rFonts w:ascii="Times New Roman" w:hAnsi="Times New Roman" w:cs="Times New Roman"/>
        </w:rPr>
        <w:t xml:space="preserve">  Mr. DeFelice also calculated the five year average </w:t>
      </w:r>
      <w:r>
        <w:rPr>
          <w:rFonts w:ascii="Times New Roman" w:hAnsi="Times New Roman" w:cs="Times New Roman"/>
        </w:rPr>
        <w:t xml:space="preserve">of </w:t>
      </w:r>
      <w:r w:rsidRPr="00294805">
        <w:rPr>
          <w:rFonts w:ascii="Times New Roman" w:hAnsi="Times New Roman" w:cs="Times New Roman"/>
        </w:rPr>
        <w:t xml:space="preserve">the </w:t>
      </w:r>
      <w:r w:rsidR="00294805" w:rsidRPr="00294805">
        <w:rPr>
          <w:rFonts w:ascii="Times New Roman" w:hAnsi="Times New Roman" w:cs="Times New Roman"/>
        </w:rPr>
        <w:t>planned-</w:t>
      </w:r>
      <w:r w:rsidRPr="00294805">
        <w:rPr>
          <w:rFonts w:ascii="Times New Roman" w:hAnsi="Times New Roman" w:cs="Times New Roman"/>
        </w:rPr>
        <w:t>versus</w:t>
      </w:r>
      <w:r w:rsidR="00294805" w:rsidRPr="00294805">
        <w:rPr>
          <w:rFonts w:ascii="Times New Roman" w:hAnsi="Times New Roman" w:cs="Times New Roman"/>
        </w:rPr>
        <w:t>-</w:t>
      </w:r>
      <w:r w:rsidR="0037027B" w:rsidRPr="00294805">
        <w:rPr>
          <w:rFonts w:ascii="Times New Roman" w:hAnsi="Times New Roman" w:cs="Times New Roman"/>
        </w:rPr>
        <w:t>actual expenditures from</w:t>
      </w:r>
      <w:r w:rsidR="0037027B" w:rsidRPr="00EB4A48">
        <w:rPr>
          <w:rFonts w:ascii="Times New Roman" w:hAnsi="Times New Roman" w:cs="Times New Roman"/>
        </w:rPr>
        <w:t xml:space="preserve"> 2007-2011, and </w:t>
      </w:r>
      <w:r w:rsidR="00F25623" w:rsidRPr="00EB4A48">
        <w:rPr>
          <w:rFonts w:ascii="Times New Roman" w:hAnsi="Times New Roman" w:cs="Times New Roman"/>
        </w:rPr>
        <w:t>observed</w:t>
      </w:r>
      <w:r w:rsidR="0037027B" w:rsidRPr="00EB4A48">
        <w:rPr>
          <w:rFonts w:ascii="Times New Roman" w:hAnsi="Times New Roman" w:cs="Times New Roman"/>
        </w:rPr>
        <w:t xml:space="preserve"> that 99.8% of planned capital expenditures actually occur.  (Exh DBD-1T, p. 7, ll. 3-4).</w:t>
      </w:r>
      <w:r w:rsidR="000B01C4" w:rsidRPr="00EB4A48">
        <w:rPr>
          <w:rFonts w:ascii="Times New Roman" w:hAnsi="Times New Roman" w:cs="Times New Roman"/>
        </w:rPr>
        <w:t xml:space="preserve">  Simply put, Avista’s history of </w:t>
      </w:r>
      <w:r w:rsidR="000B01C4" w:rsidRPr="00EB4A48">
        <w:rPr>
          <w:rFonts w:ascii="Times New Roman" w:hAnsi="Times New Roman" w:cs="Times New Roman"/>
          <w:u w:val="single"/>
        </w:rPr>
        <w:t>actual</w:t>
      </w:r>
      <w:r w:rsidR="000B01C4" w:rsidRPr="00EB4A48">
        <w:rPr>
          <w:rFonts w:ascii="Times New Roman" w:hAnsi="Times New Roman" w:cs="Times New Roman"/>
        </w:rPr>
        <w:t xml:space="preserve"> capital expenditures almost exactly mirrors its </w:t>
      </w:r>
      <w:r w:rsidR="000B01C4" w:rsidRPr="00EB4A48">
        <w:rPr>
          <w:rFonts w:ascii="Times New Roman" w:hAnsi="Times New Roman" w:cs="Times New Roman"/>
          <w:u w:val="single"/>
        </w:rPr>
        <w:t>planned</w:t>
      </w:r>
      <w:r w:rsidR="000B01C4" w:rsidRPr="00EB4A48">
        <w:rPr>
          <w:rFonts w:ascii="Times New Roman" w:hAnsi="Times New Roman" w:cs="Times New Roman"/>
        </w:rPr>
        <w:t xml:space="preserve"> expenditures.</w:t>
      </w:r>
    </w:p>
    <w:p w:rsidR="00294805" w:rsidRDefault="00A718D7" w:rsidP="00294805">
      <w:pPr>
        <w:pStyle w:val="P31"/>
        <w:numPr>
          <w:ilvl w:val="0"/>
          <w:numId w:val="52"/>
        </w:numPr>
        <w:ind w:left="0" w:hanging="180"/>
        <w:jc w:val="both"/>
        <w:rPr>
          <w:rStyle w:val="LineNumber"/>
        </w:rPr>
      </w:pPr>
      <w:r>
        <w:rPr>
          <w:rStyle w:val="LineNumber"/>
        </w:rPr>
        <w:tab/>
      </w:r>
      <w:r w:rsidR="00D354C7">
        <w:rPr>
          <w:rStyle w:val="LineNumber"/>
        </w:rPr>
        <w:t>T</w:t>
      </w:r>
      <w:r w:rsidR="001316F4" w:rsidRPr="00D354C7">
        <w:rPr>
          <w:rStyle w:val="LineNumber"/>
        </w:rPr>
        <w:t>he financial forecast information provided by the Company</w:t>
      </w:r>
      <w:r w:rsidR="00D354C7">
        <w:rPr>
          <w:rStyle w:val="LineNumber"/>
        </w:rPr>
        <w:t xml:space="preserve"> in Bench Request Nos. 7C and 8C also supports the </w:t>
      </w:r>
      <w:r w:rsidR="001316F4" w:rsidRPr="00D354C7">
        <w:rPr>
          <w:rStyle w:val="LineNumber"/>
        </w:rPr>
        <w:t>revenue increases in the Settlem</w:t>
      </w:r>
      <w:r w:rsidR="00D354C7">
        <w:rPr>
          <w:rStyle w:val="LineNumber"/>
        </w:rPr>
        <w:t>ent Agreement for 2013 and 2014</w:t>
      </w:r>
      <w:r w:rsidR="000B01C4">
        <w:rPr>
          <w:rStyle w:val="LineNumber"/>
        </w:rPr>
        <w:t xml:space="preserve">.  </w:t>
      </w:r>
      <w:r w:rsidR="0055694F">
        <w:rPr>
          <w:rStyle w:val="LineNumber"/>
        </w:rPr>
        <w:t xml:space="preserve">The </w:t>
      </w:r>
      <w:r w:rsidR="00A97125">
        <w:rPr>
          <w:rStyle w:val="LineNumber"/>
        </w:rPr>
        <w:t>t</w:t>
      </w:r>
      <w:r w:rsidR="0055694F">
        <w:rPr>
          <w:rStyle w:val="LineNumber"/>
        </w:rPr>
        <w:t xml:space="preserve">able below summarizes the </w:t>
      </w:r>
      <w:r w:rsidR="00A97125">
        <w:rPr>
          <w:rStyle w:val="LineNumber"/>
        </w:rPr>
        <w:t xml:space="preserve">August 21, 2012 </w:t>
      </w:r>
      <w:r w:rsidR="0055694F">
        <w:rPr>
          <w:rStyle w:val="LineNumber"/>
        </w:rPr>
        <w:t>forecast information</w:t>
      </w:r>
      <w:r w:rsidR="006732D3">
        <w:rPr>
          <w:rStyle w:val="LineNumber"/>
        </w:rPr>
        <w:t>, contained in</w:t>
      </w:r>
      <w:r w:rsidR="0055694F">
        <w:rPr>
          <w:rStyle w:val="LineNumber"/>
        </w:rPr>
        <w:t xml:space="preserve"> Bench Exhibit 8C</w:t>
      </w:r>
      <w:r w:rsidR="00A97125">
        <w:rPr>
          <w:rStyle w:val="LineNumber"/>
        </w:rPr>
        <w:t>,</w:t>
      </w:r>
      <w:r w:rsidR="0055694F">
        <w:rPr>
          <w:rStyle w:val="LineNumber"/>
        </w:rPr>
        <w:t xml:space="preserve"> of expenses</w:t>
      </w:r>
      <w:r w:rsidR="00BE7510">
        <w:rPr>
          <w:rStyle w:val="LineNumber"/>
        </w:rPr>
        <w:t xml:space="preserve"> and </w:t>
      </w:r>
      <w:r w:rsidR="0055694F">
        <w:rPr>
          <w:rStyle w:val="LineNumber"/>
        </w:rPr>
        <w:t>capital investment for</w:t>
      </w:r>
      <w:r w:rsidR="00173C62">
        <w:rPr>
          <w:rStyle w:val="LineNumber"/>
        </w:rPr>
        <w:t xml:space="preserve"> the period 2012-2014:</w:t>
      </w:r>
    </w:p>
    <w:p w:rsidR="00BE7510" w:rsidRDefault="00BE7510" w:rsidP="00BE7510">
      <w:pPr>
        <w:pStyle w:val="P31"/>
        <w:ind w:firstLine="0"/>
        <w:jc w:val="both"/>
        <w:rPr>
          <w:rStyle w:val="LineNumber"/>
        </w:rPr>
      </w:pPr>
    </w:p>
    <w:p w:rsidR="00C45D95" w:rsidRDefault="00C45D95" w:rsidP="00C45D95">
      <w:pPr>
        <w:pStyle w:val="P31"/>
        <w:spacing w:line="240" w:lineRule="auto"/>
        <w:ind w:firstLine="0"/>
        <w:jc w:val="both"/>
        <w:rPr>
          <w:rStyle w:val="LineNumber"/>
        </w:rPr>
      </w:pPr>
      <w:r>
        <w:rPr>
          <w:rStyle w:val="LineNumber"/>
        </w:rPr>
        <w:lastRenderedPageBreak/>
        <w:t>███████████████████████████████████████████████████████</w:t>
      </w:r>
    </w:p>
    <w:p w:rsidR="00C45D95" w:rsidRDefault="00C45D95" w:rsidP="00C45D95">
      <w:pPr>
        <w:pStyle w:val="P31"/>
        <w:spacing w:line="240" w:lineRule="auto"/>
        <w:ind w:firstLine="0"/>
        <w:jc w:val="both"/>
        <w:rPr>
          <w:rStyle w:val="LineNumber"/>
        </w:rPr>
      </w:pPr>
      <w:r>
        <w:rPr>
          <w:rStyle w:val="LineNumber"/>
        </w:rPr>
        <w:t>███████████████████████████████████████████████████████</w:t>
      </w:r>
    </w:p>
    <w:p w:rsidR="00C45D95" w:rsidRDefault="00B520F6" w:rsidP="00C45D95">
      <w:pPr>
        <w:pStyle w:val="P31"/>
        <w:spacing w:line="240" w:lineRule="auto"/>
        <w:ind w:firstLine="0"/>
        <w:jc w:val="both"/>
        <w:rPr>
          <w:rStyle w:val="LineNumber"/>
        </w:rPr>
      </w:pPr>
      <w:r w:rsidRPr="00B520F6">
        <w:rPr>
          <w:rStyle w:val="LineNumbe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4pt;width:305.25pt;height:35.55pt;z-index:251660288;mso-height-percent:200;mso-position-horizontal:center;mso-height-percent:200;mso-width-relative:margin;mso-height-relative:margin" fillcolor="black [3200]" strokecolor="#f2f2f2 [3041]" strokeweight="3pt">
            <v:shadow on="t" type="perspective" color="#7f7f7f [1601]" opacity=".5" offset="1pt" offset2="-1pt"/>
            <v:textbox style="mso-fit-shape-to-text:t">
              <w:txbxContent>
                <w:p w:rsidR="00B520F6" w:rsidRPr="00B520F6" w:rsidRDefault="00B520F6" w:rsidP="00B520F6">
                  <w:r w:rsidRPr="00616205">
                    <w:rPr>
                      <w:b/>
                    </w:rPr>
                    <w:t xml:space="preserve">Confidential </w:t>
                  </w:r>
                  <w:r>
                    <w:rPr>
                      <w:b/>
                    </w:rPr>
                    <w:t>per WAC 480-07-160 and RCW 80.04.095</w:t>
                  </w:r>
                </w:p>
              </w:txbxContent>
            </v:textbox>
          </v:shape>
        </w:pict>
      </w:r>
      <w:r w:rsidR="00C45D95">
        <w:rPr>
          <w:rStyle w:val="LineNumber"/>
        </w:rPr>
        <w:t>███████████████████████████████████████████████████████</w:t>
      </w:r>
    </w:p>
    <w:p w:rsidR="00C45D95" w:rsidRDefault="00C45D95" w:rsidP="00C45D95">
      <w:pPr>
        <w:pStyle w:val="P31"/>
        <w:spacing w:line="240" w:lineRule="auto"/>
        <w:ind w:firstLine="0"/>
        <w:jc w:val="both"/>
        <w:rPr>
          <w:rStyle w:val="LineNumber"/>
        </w:rPr>
      </w:pPr>
      <w:r>
        <w:rPr>
          <w:rStyle w:val="LineNumber"/>
        </w:rPr>
        <w:t>███████████████████████████████████████████████████████</w:t>
      </w:r>
    </w:p>
    <w:p w:rsidR="00C45D95" w:rsidRDefault="00C45D95" w:rsidP="00C45D95">
      <w:pPr>
        <w:pStyle w:val="P31"/>
        <w:spacing w:line="240" w:lineRule="auto"/>
        <w:ind w:firstLine="0"/>
        <w:jc w:val="both"/>
        <w:rPr>
          <w:rStyle w:val="LineNumber"/>
        </w:rPr>
      </w:pPr>
      <w:r>
        <w:rPr>
          <w:rStyle w:val="LineNumber"/>
        </w:rPr>
        <w:t>███████████████████████████████████████████████████████</w:t>
      </w:r>
    </w:p>
    <w:p w:rsidR="00C45D95" w:rsidRDefault="00C45D95" w:rsidP="00C45D95">
      <w:pPr>
        <w:pStyle w:val="P31"/>
        <w:spacing w:line="240" w:lineRule="auto"/>
        <w:ind w:firstLine="0"/>
        <w:jc w:val="both"/>
        <w:rPr>
          <w:rStyle w:val="LineNumber"/>
        </w:rPr>
      </w:pPr>
      <w:r>
        <w:rPr>
          <w:rStyle w:val="LineNumber"/>
        </w:rPr>
        <w:t>███████████████████████████████████████████████████████</w:t>
      </w:r>
    </w:p>
    <w:p w:rsidR="00C45D95" w:rsidRDefault="00C45D95" w:rsidP="00C45D95">
      <w:pPr>
        <w:pStyle w:val="P31"/>
        <w:spacing w:line="240" w:lineRule="auto"/>
        <w:ind w:firstLine="0"/>
        <w:jc w:val="both"/>
        <w:rPr>
          <w:rStyle w:val="LineNumber"/>
        </w:rPr>
      </w:pPr>
      <w:r>
        <w:rPr>
          <w:rStyle w:val="LineNumber"/>
        </w:rPr>
        <w:t>███████████████████████████████████████████████████████</w:t>
      </w:r>
    </w:p>
    <w:p w:rsidR="00C45D95" w:rsidRDefault="00C45D95" w:rsidP="00C45D95">
      <w:pPr>
        <w:pStyle w:val="P31"/>
        <w:spacing w:line="240" w:lineRule="auto"/>
        <w:ind w:firstLine="0"/>
        <w:jc w:val="both"/>
        <w:rPr>
          <w:rStyle w:val="LineNumber"/>
        </w:rPr>
      </w:pPr>
      <w:r>
        <w:rPr>
          <w:rStyle w:val="LineNumber"/>
        </w:rPr>
        <w:t>███████████████████████████████████████████████████████</w:t>
      </w:r>
    </w:p>
    <w:p w:rsidR="00C45D95" w:rsidRDefault="00C45D95" w:rsidP="00C45D95">
      <w:pPr>
        <w:pStyle w:val="P31"/>
        <w:spacing w:line="240" w:lineRule="auto"/>
        <w:ind w:firstLine="0"/>
        <w:jc w:val="both"/>
        <w:rPr>
          <w:rStyle w:val="LineNumber"/>
        </w:rPr>
      </w:pPr>
    </w:p>
    <w:p w:rsidR="0055694F" w:rsidRDefault="00A718D7" w:rsidP="00C45D95">
      <w:pPr>
        <w:pStyle w:val="P31"/>
        <w:numPr>
          <w:ilvl w:val="0"/>
          <w:numId w:val="52"/>
        </w:numPr>
        <w:spacing w:after="120"/>
        <w:ind w:left="0" w:hanging="187"/>
        <w:jc w:val="both"/>
        <w:rPr>
          <w:rStyle w:val="LineNumber"/>
        </w:rPr>
      </w:pPr>
      <w:r>
        <w:rPr>
          <w:rStyle w:val="LineNumber"/>
        </w:rPr>
        <w:tab/>
      </w:r>
      <w:r w:rsidR="00934542">
        <w:rPr>
          <w:rStyle w:val="LineNumber"/>
        </w:rPr>
        <w:t xml:space="preserve">Bench Request 7C contains </w:t>
      </w:r>
      <w:r w:rsidR="00AD3167">
        <w:rPr>
          <w:rStyle w:val="LineNumber"/>
        </w:rPr>
        <w:t>s</w:t>
      </w:r>
      <w:r w:rsidR="00606CB6">
        <w:rPr>
          <w:rStyle w:val="LineNumber"/>
        </w:rPr>
        <w:t xml:space="preserve">imilar </w:t>
      </w:r>
      <w:r w:rsidR="00934542">
        <w:rPr>
          <w:rStyle w:val="LineNumber"/>
        </w:rPr>
        <w:t>information from the earl</w:t>
      </w:r>
      <w:r w:rsidR="000D19F0">
        <w:rPr>
          <w:rStyle w:val="LineNumber"/>
        </w:rPr>
        <w:t xml:space="preserve">ier </w:t>
      </w:r>
      <w:r w:rsidR="00934542">
        <w:rPr>
          <w:rStyle w:val="LineNumber"/>
        </w:rPr>
        <w:t>February 29, 2012 forecast</w:t>
      </w:r>
      <w:r w:rsidR="000D19F0">
        <w:rPr>
          <w:rStyle w:val="LineNumber"/>
        </w:rPr>
        <w:t>,</w:t>
      </w:r>
      <w:r w:rsidR="00934542">
        <w:rPr>
          <w:rStyle w:val="LineNumber"/>
        </w:rPr>
        <w:t xml:space="preserve"> </w:t>
      </w:r>
      <w:r w:rsidR="005A32E5">
        <w:rPr>
          <w:rStyle w:val="LineNumber"/>
        </w:rPr>
        <w:t xml:space="preserve">while </w:t>
      </w:r>
      <w:r w:rsidR="00934542">
        <w:rPr>
          <w:rStyle w:val="LineNumber"/>
        </w:rPr>
        <w:t xml:space="preserve">Bench Request 8C </w:t>
      </w:r>
      <w:r w:rsidR="00ED1750">
        <w:rPr>
          <w:rStyle w:val="LineNumber"/>
        </w:rPr>
        <w:t>contains the updated forecast in August 21,</w:t>
      </w:r>
      <w:r w:rsidR="000D19F0">
        <w:rPr>
          <w:rStyle w:val="LineNumber"/>
        </w:rPr>
        <w:t xml:space="preserve"> 2012</w:t>
      </w:r>
      <w:r w:rsidR="00ED1750">
        <w:rPr>
          <w:rStyle w:val="LineNumber"/>
        </w:rPr>
        <w:t xml:space="preserve"> </w:t>
      </w:r>
      <w:r w:rsidR="00BE7510">
        <w:rPr>
          <w:rStyle w:val="LineNumber"/>
        </w:rPr>
        <w:t xml:space="preserve">(shown above), </w:t>
      </w:r>
      <w:r w:rsidR="00ED1750">
        <w:rPr>
          <w:rStyle w:val="LineNumber"/>
        </w:rPr>
        <w:t>as further revised on August 28, 2012</w:t>
      </w:r>
      <w:r w:rsidR="000D19F0">
        <w:rPr>
          <w:rStyle w:val="LineNumber"/>
        </w:rPr>
        <w:t>.  The</w:t>
      </w:r>
      <w:r w:rsidR="00BE7510">
        <w:rPr>
          <w:rStyle w:val="LineNumber"/>
        </w:rPr>
        <w:t>se</w:t>
      </w:r>
      <w:r w:rsidR="000D19F0">
        <w:rPr>
          <w:rStyle w:val="LineNumber"/>
        </w:rPr>
        <w:t xml:space="preserve"> </w:t>
      </w:r>
      <w:r w:rsidR="006732D3">
        <w:rPr>
          <w:rStyle w:val="LineNumber"/>
        </w:rPr>
        <w:t>most recent forecasts</w:t>
      </w:r>
      <w:r w:rsidR="000D19F0">
        <w:rPr>
          <w:rStyle w:val="LineNumber"/>
        </w:rPr>
        <w:t xml:space="preserve"> show </w:t>
      </w:r>
      <w:r w:rsidR="00ED1750">
        <w:rPr>
          <w:rStyle w:val="LineNumber"/>
        </w:rPr>
        <w:t>an even greater erosion in margin recovery for both 2013 and 2014 than the earlier February 29</w:t>
      </w:r>
      <w:r w:rsidR="00BE7510">
        <w:rPr>
          <w:rStyle w:val="LineNumber"/>
        </w:rPr>
        <w:t>, 2012</w:t>
      </w:r>
      <w:r w:rsidR="00ED1750">
        <w:rPr>
          <w:rStyle w:val="LineNumber"/>
        </w:rPr>
        <w:t xml:space="preserve"> forecast.</w:t>
      </w:r>
      <w:r w:rsidR="00665144" w:rsidRPr="00665144">
        <w:rPr>
          <w:rStyle w:val="FootnoteReference"/>
          <w:rFonts w:ascii="Times New Roman" w:hAnsi="Times New Roman"/>
        </w:rPr>
        <w:footnoteReference w:id="7"/>
      </w:r>
      <w:r w:rsidR="00ED1750" w:rsidRPr="00B30DEF">
        <w:rPr>
          <w:rStyle w:val="LineNumber"/>
        </w:rPr>
        <w:t xml:space="preserve"> </w:t>
      </w:r>
      <w:r w:rsidR="00ED1750">
        <w:rPr>
          <w:rStyle w:val="LineNumber"/>
        </w:rPr>
        <w:t xml:space="preserve"> </w:t>
      </w:r>
    </w:p>
    <w:p w:rsidR="00BD5E6B" w:rsidRDefault="00A718D7" w:rsidP="00BD5E6B">
      <w:pPr>
        <w:pStyle w:val="P31"/>
        <w:numPr>
          <w:ilvl w:val="0"/>
          <w:numId w:val="52"/>
        </w:numPr>
        <w:ind w:left="0" w:hanging="180"/>
        <w:jc w:val="both"/>
        <w:rPr>
          <w:rFonts w:ascii="Times New Roman" w:hAnsi="Times New Roman" w:cs="Times New Roman"/>
        </w:rPr>
      </w:pPr>
      <w:r w:rsidRPr="00BD5E6B">
        <w:rPr>
          <w:rFonts w:ascii="Times New Roman" w:hAnsi="Times New Roman" w:cs="Times New Roman"/>
        </w:rPr>
        <w:tab/>
      </w:r>
      <w:r w:rsidR="004727BE" w:rsidRPr="00BD5E6B">
        <w:rPr>
          <w:rFonts w:ascii="Times New Roman" w:hAnsi="Times New Roman" w:cs="Times New Roman"/>
        </w:rPr>
        <w:t xml:space="preserve">In the </w:t>
      </w:r>
      <w:r w:rsidR="006732D3" w:rsidRPr="00BD5E6B">
        <w:rPr>
          <w:rFonts w:ascii="Times New Roman" w:hAnsi="Times New Roman" w:cs="Times New Roman"/>
        </w:rPr>
        <w:t>August 2</w:t>
      </w:r>
      <w:r w:rsidR="00574C1F" w:rsidRPr="00BD5E6B">
        <w:rPr>
          <w:rFonts w:ascii="Times New Roman" w:hAnsi="Times New Roman" w:cs="Times New Roman"/>
        </w:rPr>
        <w:t>1</w:t>
      </w:r>
      <w:r w:rsidR="006732D3" w:rsidRPr="00BD5E6B">
        <w:rPr>
          <w:rFonts w:ascii="Times New Roman" w:hAnsi="Times New Roman" w:cs="Times New Roman"/>
        </w:rPr>
        <w:t xml:space="preserve"> forecast</w:t>
      </w:r>
      <w:r w:rsidR="005A32E5">
        <w:rPr>
          <w:rFonts w:ascii="Times New Roman" w:hAnsi="Times New Roman" w:cs="Times New Roman"/>
        </w:rPr>
        <w:t>,</w:t>
      </w:r>
      <w:r w:rsidR="006732D3" w:rsidRPr="00BD5E6B">
        <w:rPr>
          <w:rFonts w:ascii="Times New Roman" w:hAnsi="Times New Roman" w:cs="Times New Roman"/>
        </w:rPr>
        <w:t xml:space="preserve"> </w:t>
      </w:r>
      <w:r w:rsidR="004727BE" w:rsidRPr="00BD5E6B">
        <w:rPr>
          <w:rFonts w:ascii="Times New Roman" w:hAnsi="Times New Roman" w:cs="Times New Roman"/>
        </w:rPr>
        <w:t>u</w:t>
      </w:r>
      <w:r w:rsidR="00C86BF6" w:rsidRPr="00BD5E6B">
        <w:rPr>
          <w:rFonts w:ascii="Times New Roman" w:hAnsi="Times New Roman" w:cs="Times New Roman"/>
        </w:rPr>
        <w:t xml:space="preserve">pdated utility operating expenses </w:t>
      </w:r>
      <w:r w:rsidR="00E50A8B" w:rsidRPr="00BD5E6B">
        <w:rPr>
          <w:rFonts w:ascii="Times New Roman" w:hAnsi="Times New Roman" w:cs="Times New Roman"/>
          <w:u w:val="single"/>
        </w:rPr>
        <w:t>increased</w:t>
      </w:r>
      <w:r w:rsidR="00E50A8B" w:rsidRPr="00BD5E6B">
        <w:rPr>
          <w:rFonts w:ascii="Times New Roman" w:hAnsi="Times New Roman" w:cs="Times New Roman"/>
        </w:rPr>
        <w:t xml:space="preserve"> </w:t>
      </w:r>
      <w:r w:rsidR="00C86BF6" w:rsidRPr="00BD5E6B">
        <w:rPr>
          <w:rFonts w:ascii="Times New Roman" w:hAnsi="Times New Roman" w:cs="Times New Roman"/>
        </w:rPr>
        <w:t>approximately $14 million in 2013</w:t>
      </w:r>
      <w:r w:rsidR="00BE7510" w:rsidRPr="00BD5E6B">
        <w:rPr>
          <w:rFonts w:ascii="Times New Roman" w:hAnsi="Times New Roman" w:cs="Times New Roman"/>
        </w:rPr>
        <w:t xml:space="preserve"> and $12 million in 2014 </w:t>
      </w:r>
      <w:r w:rsidR="006732D3" w:rsidRPr="00BD5E6B">
        <w:rPr>
          <w:rFonts w:ascii="Times New Roman" w:hAnsi="Times New Roman" w:cs="Times New Roman"/>
        </w:rPr>
        <w:t>over the earlier February forecast,</w:t>
      </w:r>
      <w:r w:rsidR="00C86BF6" w:rsidRPr="00BD5E6B">
        <w:rPr>
          <w:rFonts w:ascii="Times New Roman" w:hAnsi="Times New Roman" w:cs="Times New Roman"/>
        </w:rPr>
        <w:t xml:space="preserve"> due, in part, to items such as pension expense, post-retirement medical costs, and power plant O&amp;M costs. </w:t>
      </w:r>
      <w:r w:rsidR="005A32E5">
        <w:rPr>
          <w:rFonts w:ascii="Times New Roman" w:hAnsi="Times New Roman" w:cs="Times New Roman"/>
        </w:rPr>
        <w:t xml:space="preserve">(Exhibit 8C, Att. F, p. 13 vs Exhibit 8C, Att. E, p. 13)  </w:t>
      </w:r>
      <w:r w:rsidR="00C86BF6" w:rsidRPr="00BD5E6B">
        <w:rPr>
          <w:rFonts w:ascii="Times New Roman" w:hAnsi="Times New Roman" w:cs="Times New Roman"/>
        </w:rPr>
        <w:t xml:space="preserve">The revised </w:t>
      </w:r>
      <w:r w:rsidR="005A32E5">
        <w:rPr>
          <w:rFonts w:ascii="Times New Roman" w:hAnsi="Times New Roman" w:cs="Times New Roman"/>
        </w:rPr>
        <w:t xml:space="preserve">retail </w:t>
      </w:r>
      <w:r w:rsidR="00C86BF6" w:rsidRPr="00BD5E6B">
        <w:rPr>
          <w:rFonts w:ascii="Times New Roman" w:hAnsi="Times New Roman" w:cs="Times New Roman"/>
        </w:rPr>
        <w:t xml:space="preserve">load forecast </w:t>
      </w:r>
      <w:r w:rsidR="0051541E" w:rsidRPr="00BD5E6B">
        <w:rPr>
          <w:rFonts w:ascii="Times New Roman" w:hAnsi="Times New Roman" w:cs="Times New Roman"/>
        </w:rPr>
        <w:t xml:space="preserve">also </w:t>
      </w:r>
      <w:r w:rsidR="00E50A8B" w:rsidRPr="00BD5E6B">
        <w:rPr>
          <w:rFonts w:ascii="Times New Roman" w:hAnsi="Times New Roman" w:cs="Times New Roman"/>
        </w:rPr>
        <w:t xml:space="preserve">reflects </w:t>
      </w:r>
      <w:r w:rsidR="00C86BF6" w:rsidRPr="00BD5E6B">
        <w:rPr>
          <w:rFonts w:ascii="Times New Roman" w:hAnsi="Times New Roman" w:cs="Times New Roman"/>
        </w:rPr>
        <w:t xml:space="preserve">a reduction in retail revenue in 2013 </w:t>
      </w:r>
      <w:r w:rsidR="005A32E5">
        <w:rPr>
          <w:rFonts w:ascii="Times New Roman" w:hAnsi="Times New Roman" w:cs="Times New Roman"/>
        </w:rPr>
        <w:t>and 2014</w:t>
      </w:r>
      <w:r w:rsidR="00E50A8B" w:rsidRPr="00BD5E6B">
        <w:rPr>
          <w:rFonts w:ascii="Times New Roman" w:hAnsi="Times New Roman" w:cs="Times New Roman"/>
        </w:rPr>
        <w:t xml:space="preserve"> as compared to the prior</w:t>
      </w:r>
      <w:r w:rsidR="006304E3" w:rsidRPr="00BD5E6B">
        <w:rPr>
          <w:rFonts w:ascii="Times New Roman" w:hAnsi="Times New Roman" w:cs="Times New Roman"/>
        </w:rPr>
        <w:t xml:space="preserve"> February 2012</w:t>
      </w:r>
      <w:r w:rsidR="00E50A8B" w:rsidRPr="00BD5E6B">
        <w:rPr>
          <w:rFonts w:ascii="Times New Roman" w:hAnsi="Times New Roman" w:cs="Times New Roman"/>
        </w:rPr>
        <w:t xml:space="preserve"> forecast</w:t>
      </w:r>
      <w:r w:rsidR="00574C1F" w:rsidRPr="00BD5E6B">
        <w:rPr>
          <w:rFonts w:ascii="Times New Roman" w:hAnsi="Times New Roman" w:cs="Times New Roman"/>
        </w:rPr>
        <w:t>,</w:t>
      </w:r>
      <w:r w:rsidR="00C86BF6" w:rsidRPr="00BD5E6B">
        <w:rPr>
          <w:rFonts w:ascii="Times New Roman" w:hAnsi="Times New Roman" w:cs="Times New Roman"/>
        </w:rPr>
        <w:t xml:space="preserve"> due primarily to an expectation that the recovery in the economy will not occur as quickly as we had previously expected</w:t>
      </w:r>
      <w:r w:rsidR="00E50A8B" w:rsidRPr="00BD5E6B">
        <w:rPr>
          <w:rFonts w:ascii="Times New Roman" w:hAnsi="Times New Roman" w:cs="Times New Roman"/>
        </w:rPr>
        <w:t>.</w:t>
      </w:r>
      <w:r w:rsidR="00C86BF6" w:rsidRPr="00BD5E6B">
        <w:rPr>
          <w:rFonts w:ascii="Times New Roman" w:hAnsi="Times New Roman" w:cs="Times New Roman"/>
        </w:rPr>
        <w:t xml:space="preserve"> </w:t>
      </w:r>
      <w:r w:rsidR="006304E3" w:rsidRPr="00BD5E6B">
        <w:rPr>
          <w:rFonts w:ascii="Times New Roman" w:hAnsi="Times New Roman" w:cs="Times New Roman"/>
        </w:rPr>
        <w:t>(</w:t>
      </w:r>
      <w:r w:rsidR="005A32E5" w:rsidRPr="005A32E5">
        <w:rPr>
          <w:rFonts w:ascii="Times New Roman" w:hAnsi="Times New Roman" w:cs="Times New Roman"/>
          <w:u w:val="single"/>
        </w:rPr>
        <w:t>Id.</w:t>
      </w:r>
      <w:r w:rsidR="006304E3" w:rsidRPr="00BD5E6B">
        <w:rPr>
          <w:rFonts w:ascii="Times New Roman" w:hAnsi="Times New Roman" w:cs="Times New Roman"/>
        </w:rPr>
        <w:t xml:space="preserve">)  </w:t>
      </w:r>
      <w:r w:rsidR="00C86BF6" w:rsidRPr="00BD5E6B">
        <w:rPr>
          <w:rFonts w:ascii="Times New Roman" w:hAnsi="Times New Roman" w:cs="Times New Roman"/>
        </w:rPr>
        <w:t xml:space="preserve">Therefore, since the Company filed its general rate case, expenses for 2013 </w:t>
      </w:r>
      <w:r w:rsidR="00BD5E6B" w:rsidRPr="00BD5E6B">
        <w:rPr>
          <w:rFonts w:ascii="Times New Roman" w:hAnsi="Times New Roman" w:cs="Times New Roman"/>
        </w:rPr>
        <w:t xml:space="preserve">and 2014 </w:t>
      </w:r>
      <w:r w:rsidR="00C86BF6" w:rsidRPr="00BD5E6B">
        <w:rPr>
          <w:rFonts w:ascii="Times New Roman" w:hAnsi="Times New Roman" w:cs="Times New Roman"/>
        </w:rPr>
        <w:t>increased significantly, while sales for 2013</w:t>
      </w:r>
      <w:r w:rsidR="00BD5E6B" w:rsidRPr="00BD5E6B">
        <w:rPr>
          <w:rFonts w:ascii="Times New Roman" w:hAnsi="Times New Roman" w:cs="Times New Roman"/>
        </w:rPr>
        <w:t xml:space="preserve"> and 2014</w:t>
      </w:r>
      <w:r w:rsidR="00C86BF6" w:rsidRPr="00BD5E6B">
        <w:rPr>
          <w:rFonts w:ascii="Times New Roman" w:hAnsi="Times New Roman" w:cs="Times New Roman"/>
        </w:rPr>
        <w:t xml:space="preserve"> decreased</w:t>
      </w:r>
      <w:r w:rsidR="00E50A8B" w:rsidRPr="00BD5E6B">
        <w:rPr>
          <w:rFonts w:ascii="Times New Roman" w:hAnsi="Times New Roman" w:cs="Times New Roman"/>
        </w:rPr>
        <w:t xml:space="preserve"> significantly</w:t>
      </w:r>
      <w:r w:rsidR="00C86BF6" w:rsidRPr="00BD5E6B">
        <w:rPr>
          <w:rFonts w:ascii="Times New Roman" w:hAnsi="Times New Roman" w:cs="Times New Roman"/>
        </w:rPr>
        <w:t>.</w:t>
      </w:r>
      <w:r w:rsidR="005A32E5" w:rsidRPr="005A32E5">
        <w:rPr>
          <w:rStyle w:val="FootnoteReference"/>
          <w:rFonts w:ascii="Times New Roman" w:hAnsi="Times New Roman"/>
        </w:rPr>
        <w:t xml:space="preserve"> </w:t>
      </w:r>
      <w:r w:rsidR="005A32E5" w:rsidRPr="00EB4A48">
        <w:rPr>
          <w:rStyle w:val="FootnoteReference"/>
          <w:rFonts w:ascii="Times New Roman" w:hAnsi="Times New Roman"/>
        </w:rPr>
        <w:footnoteReference w:id="8"/>
      </w:r>
      <w:r w:rsidR="00C86BF6" w:rsidRPr="00BD5E6B">
        <w:rPr>
          <w:rFonts w:ascii="Times New Roman" w:hAnsi="Times New Roman" w:cs="Times New Roman"/>
        </w:rPr>
        <w:t xml:space="preserve">  </w:t>
      </w:r>
      <w:r w:rsidR="006304E3" w:rsidRPr="00BD5E6B">
        <w:rPr>
          <w:rFonts w:ascii="Times New Roman" w:hAnsi="Times New Roman" w:cs="Times New Roman"/>
        </w:rPr>
        <w:t>(</w:t>
      </w:r>
      <w:r w:rsidR="006304E3" w:rsidRPr="00BD5E6B">
        <w:rPr>
          <w:rFonts w:ascii="Times New Roman" w:hAnsi="Times New Roman" w:cs="Times New Roman"/>
          <w:u w:val="single"/>
        </w:rPr>
        <w:t>Id</w:t>
      </w:r>
      <w:r w:rsidR="006304E3" w:rsidRPr="00BD5E6B">
        <w:rPr>
          <w:rFonts w:ascii="Times New Roman" w:hAnsi="Times New Roman" w:cs="Times New Roman"/>
        </w:rPr>
        <w:t>.)</w:t>
      </w:r>
    </w:p>
    <w:p w:rsidR="006304E3" w:rsidRPr="00BD5E6B" w:rsidRDefault="00C45D95" w:rsidP="00BD5E6B">
      <w:pPr>
        <w:pStyle w:val="P31"/>
        <w:numPr>
          <w:ilvl w:val="0"/>
          <w:numId w:val="52"/>
        </w:numPr>
        <w:ind w:left="0" w:hanging="1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F2CBE" w:rsidRPr="00BD5E6B">
        <w:rPr>
          <w:rFonts w:ascii="Times New Roman" w:hAnsi="Times New Roman" w:cs="Times New Roman"/>
        </w:rPr>
        <w:t>Moreover, t</w:t>
      </w:r>
      <w:r w:rsidR="00C86BF6" w:rsidRPr="00BD5E6B">
        <w:rPr>
          <w:rFonts w:ascii="Times New Roman" w:hAnsi="Times New Roman" w:cs="Times New Roman"/>
        </w:rPr>
        <w:t xml:space="preserve">he $14 million </w:t>
      </w:r>
      <w:r w:rsidR="00CF32F6" w:rsidRPr="00BD5E6B">
        <w:rPr>
          <w:rFonts w:ascii="Times New Roman" w:hAnsi="Times New Roman" w:cs="Times New Roman"/>
        </w:rPr>
        <w:t xml:space="preserve">planned reduction </w:t>
      </w:r>
      <w:r w:rsidR="00C86BF6" w:rsidRPr="00BD5E6B">
        <w:rPr>
          <w:rFonts w:ascii="Times New Roman" w:hAnsi="Times New Roman" w:cs="Times New Roman"/>
        </w:rPr>
        <w:t>in expense</w:t>
      </w:r>
      <w:r w:rsidR="00CF32F6" w:rsidRPr="00BD5E6B">
        <w:rPr>
          <w:rFonts w:ascii="Times New Roman" w:hAnsi="Times New Roman" w:cs="Times New Roman"/>
        </w:rPr>
        <w:t xml:space="preserve"> </w:t>
      </w:r>
      <w:r w:rsidR="00606CB6" w:rsidRPr="00BD5E6B">
        <w:rPr>
          <w:rFonts w:ascii="Times New Roman" w:hAnsi="Times New Roman" w:cs="Times New Roman"/>
        </w:rPr>
        <w:t xml:space="preserve">through initiatives like the voluntary severance program </w:t>
      </w:r>
      <w:r w:rsidR="00C86BF6" w:rsidRPr="00BD5E6B">
        <w:rPr>
          <w:rFonts w:ascii="Times New Roman" w:hAnsi="Times New Roman" w:cs="Times New Roman"/>
          <w:u w:val="single"/>
        </w:rPr>
        <w:t>will not</w:t>
      </w:r>
      <w:r w:rsidR="00C86BF6" w:rsidRPr="00BD5E6B">
        <w:rPr>
          <w:rFonts w:ascii="Times New Roman" w:hAnsi="Times New Roman" w:cs="Times New Roman"/>
        </w:rPr>
        <w:t xml:space="preserve"> reduce O&amp;M/A&amp;G costs below the level in 2011 or 2012, but it will s</w:t>
      </w:r>
      <w:r w:rsidR="006304E3" w:rsidRPr="00BD5E6B">
        <w:rPr>
          <w:rFonts w:ascii="Times New Roman" w:hAnsi="Times New Roman" w:cs="Times New Roman"/>
        </w:rPr>
        <w:t>erve to s</w:t>
      </w:r>
      <w:r w:rsidR="00C86BF6" w:rsidRPr="00BD5E6B">
        <w:rPr>
          <w:rFonts w:ascii="Times New Roman" w:hAnsi="Times New Roman" w:cs="Times New Roman"/>
        </w:rPr>
        <w:t>low the growth in expenses</w:t>
      </w:r>
      <w:r w:rsidR="009F2CBE" w:rsidRPr="00BD5E6B">
        <w:rPr>
          <w:rFonts w:ascii="Times New Roman" w:hAnsi="Times New Roman" w:cs="Times New Roman"/>
        </w:rPr>
        <w:t>, as explained by Mr. Norwood at Exh</w:t>
      </w:r>
      <w:r w:rsidR="00F73FC9" w:rsidRPr="00BD5E6B">
        <w:rPr>
          <w:rFonts w:ascii="Times New Roman" w:hAnsi="Times New Roman" w:cs="Times New Roman"/>
        </w:rPr>
        <w:t>.</w:t>
      </w:r>
      <w:r w:rsidR="009F2CBE" w:rsidRPr="00BD5E6B">
        <w:rPr>
          <w:rFonts w:ascii="Times New Roman" w:hAnsi="Times New Roman" w:cs="Times New Roman"/>
        </w:rPr>
        <w:t xml:space="preserve"> K</w:t>
      </w:r>
      <w:r w:rsidR="00F73FC9" w:rsidRPr="00BD5E6B">
        <w:rPr>
          <w:rFonts w:ascii="Times New Roman" w:hAnsi="Times New Roman" w:cs="Times New Roman"/>
        </w:rPr>
        <w:t>ON</w:t>
      </w:r>
      <w:r w:rsidR="009F2CBE" w:rsidRPr="00BD5E6B">
        <w:rPr>
          <w:rFonts w:ascii="Times New Roman" w:hAnsi="Times New Roman" w:cs="Times New Roman"/>
        </w:rPr>
        <w:t xml:space="preserve">-7T, </w:t>
      </w:r>
      <w:r w:rsidR="009F2CBE" w:rsidRPr="00BD5E6B">
        <w:rPr>
          <w:rFonts w:ascii="Times New Roman" w:hAnsi="Times New Roman" w:cs="Times New Roman"/>
        </w:rPr>
        <w:lastRenderedPageBreak/>
        <w:t>p. 20.</w:t>
      </w:r>
      <w:r w:rsidR="006304E3" w:rsidRPr="00BD5E6B">
        <w:rPr>
          <w:rFonts w:ascii="Times New Roman" w:hAnsi="Times New Roman" w:cs="Times New Roman"/>
        </w:rPr>
        <w:t xml:space="preserve">  </w:t>
      </w:r>
      <w:r w:rsidR="009F2CBE" w:rsidRPr="00BD5E6B">
        <w:rPr>
          <w:rFonts w:ascii="Times New Roman" w:hAnsi="Times New Roman" w:cs="Times New Roman"/>
        </w:rPr>
        <w:t>He demonstrated that i</w:t>
      </w:r>
      <w:r w:rsidR="00ED1750" w:rsidRPr="00BD5E6B">
        <w:rPr>
          <w:rFonts w:ascii="Times New Roman" w:hAnsi="Times New Roman" w:cs="Times New Roman"/>
        </w:rPr>
        <w:t>f the</w:t>
      </w:r>
      <w:r w:rsidR="00ED1750" w:rsidRPr="00BD5E6B">
        <w:rPr>
          <w:rFonts w:ascii="Times New Roman" w:hAnsi="Times New Roman" w:cs="Times New Roman"/>
          <w:b/>
        </w:rPr>
        <w:t xml:space="preserve"> </w:t>
      </w:r>
      <w:r w:rsidR="00ED1750" w:rsidRPr="00BD5E6B">
        <w:rPr>
          <w:rFonts w:ascii="Times New Roman" w:hAnsi="Times New Roman" w:cs="Times New Roman"/>
        </w:rPr>
        <w:t>Settlement is approved by the Commission, even with an additional $14 million of planned cost reductions,</w:t>
      </w:r>
      <w:r w:rsidR="00ED1750" w:rsidRPr="00BD5E6B">
        <w:rPr>
          <w:rFonts w:ascii="Times New Roman" w:hAnsi="Times New Roman" w:cs="Times New Roman"/>
          <w:b/>
        </w:rPr>
        <w:t xml:space="preserve"> </w:t>
      </w:r>
      <w:r w:rsidR="00EC7CEE" w:rsidRPr="00BD5E6B">
        <w:rPr>
          <w:rFonts w:ascii="Times New Roman" w:hAnsi="Times New Roman" w:cs="Times New Roman"/>
          <w:b/>
        </w:rPr>
        <w:t xml:space="preserve"> </w:t>
      </w:r>
      <w:r w:rsidR="00C86BF6" w:rsidRPr="00BD5E6B">
        <w:rPr>
          <w:rFonts w:ascii="Times New Roman" w:hAnsi="Times New Roman" w:cs="Times New Roman"/>
        </w:rPr>
        <w:t xml:space="preserve">Avista will have the opportunity to earn </w:t>
      </w:r>
      <w:r w:rsidR="00ED1750" w:rsidRPr="00BD5E6B">
        <w:rPr>
          <w:rFonts w:ascii="Times New Roman" w:hAnsi="Times New Roman" w:cs="Times New Roman"/>
        </w:rPr>
        <w:t>only</w:t>
      </w:r>
      <w:r w:rsidR="00ED1750" w:rsidRPr="00BD5E6B">
        <w:rPr>
          <w:rFonts w:ascii="Times New Roman" w:hAnsi="Times New Roman" w:cs="Times New Roman"/>
          <w:b/>
        </w:rPr>
        <w:t xml:space="preserve"> </w:t>
      </w:r>
      <w:r w:rsidR="00CF32F6" w:rsidRPr="00BD5E6B">
        <w:rPr>
          <w:rFonts w:ascii="Times New Roman" w:hAnsi="Times New Roman" w:cs="Times New Roman"/>
        </w:rPr>
        <w:t xml:space="preserve">an </w:t>
      </w:r>
      <w:r w:rsidR="00C86BF6" w:rsidRPr="00BD5E6B">
        <w:rPr>
          <w:rFonts w:ascii="Times New Roman" w:hAnsi="Times New Roman" w:cs="Times New Roman"/>
        </w:rPr>
        <w:t>8.45%</w:t>
      </w:r>
      <w:r w:rsidR="00CF32F6" w:rsidRPr="00BD5E6B">
        <w:rPr>
          <w:rFonts w:ascii="Times New Roman" w:hAnsi="Times New Roman" w:cs="Times New Roman"/>
        </w:rPr>
        <w:t xml:space="preserve"> ROE</w:t>
      </w:r>
      <w:r w:rsidR="006304E3" w:rsidRPr="00BD5E6B">
        <w:rPr>
          <w:rFonts w:ascii="Times New Roman" w:hAnsi="Times New Roman" w:cs="Times New Roman"/>
        </w:rPr>
        <w:t xml:space="preserve"> </w:t>
      </w:r>
      <w:r w:rsidR="006304E3" w:rsidRPr="00A718D7">
        <w:rPr>
          <w:rFonts w:ascii="Times New Roman" w:hAnsi="Times New Roman" w:cs="Times New Roman"/>
        </w:rPr>
        <w:sym w:font="Symbol" w:char="F0BE"/>
      </w:r>
      <w:r w:rsidR="006304E3" w:rsidRPr="00BD5E6B">
        <w:rPr>
          <w:rFonts w:ascii="Times New Roman" w:hAnsi="Times New Roman" w:cs="Times New Roman"/>
        </w:rPr>
        <w:t xml:space="preserve"> </w:t>
      </w:r>
      <w:r w:rsidR="00C86BF6" w:rsidRPr="00BD5E6B">
        <w:rPr>
          <w:rFonts w:ascii="Times New Roman" w:hAnsi="Times New Roman" w:cs="Times New Roman"/>
        </w:rPr>
        <w:t>still well below the agreed-upon ROE of 9.8%.</w:t>
      </w:r>
      <w:r w:rsidR="006304E3" w:rsidRPr="00A718D7">
        <w:rPr>
          <w:rStyle w:val="FootnoteReference"/>
          <w:rFonts w:ascii="Times New Roman" w:hAnsi="Times New Roman"/>
        </w:rPr>
        <w:footnoteReference w:id="9"/>
      </w:r>
      <w:r w:rsidR="00C86BF6" w:rsidRPr="00BD5E6B">
        <w:rPr>
          <w:rFonts w:ascii="Times New Roman" w:hAnsi="Times New Roman" w:cs="Times New Roman"/>
        </w:rPr>
        <w:t xml:space="preserve"> </w:t>
      </w:r>
      <w:r w:rsidR="005A32E5">
        <w:rPr>
          <w:rFonts w:ascii="Times New Roman" w:hAnsi="Times New Roman" w:cs="Times New Roman"/>
        </w:rPr>
        <w:t>(Exhibit Kon-7T, p. 21)</w:t>
      </w:r>
    </w:p>
    <w:p w:rsidR="00EC7CEE" w:rsidRPr="00B30DEF" w:rsidRDefault="00665144" w:rsidP="006304E3">
      <w:pPr>
        <w:spacing w:line="480" w:lineRule="auto"/>
        <w:jc w:val="center"/>
        <w:rPr>
          <w:u w:val="single"/>
        </w:rPr>
      </w:pPr>
      <w:r w:rsidRPr="00665144">
        <w:rPr>
          <w:rStyle w:val="LineNumber"/>
          <w:u w:val="single"/>
        </w:rPr>
        <w:t>II.  Conclusion</w:t>
      </w:r>
    </w:p>
    <w:p w:rsidR="005B65AC" w:rsidRPr="00A718D7" w:rsidRDefault="00C86BF6" w:rsidP="00A718D7">
      <w:pPr>
        <w:pStyle w:val="P31"/>
        <w:numPr>
          <w:ilvl w:val="0"/>
          <w:numId w:val="52"/>
        </w:numPr>
        <w:ind w:left="0" w:hanging="180"/>
        <w:jc w:val="both"/>
        <w:rPr>
          <w:rFonts w:ascii="Times New Roman" w:hAnsi="Times New Roman" w:cs="Times New Roman"/>
        </w:rPr>
      </w:pPr>
      <w:r w:rsidRPr="00A718D7">
        <w:rPr>
          <w:rFonts w:ascii="Times New Roman" w:hAnsi="Times New Roman" w:cs="Times New Roman"/>
        </w:rPr>
        <w:t xml:space="preserve">If the Commission </w:t>
      </w:r>
      <w:r w:rsidR="0027493D" w:rsidRPr="00A718D7">
        <w:rPr>
          <w:rFonts w:ascii="Times New Roman" w:hAnsi="Times New Roman" w:cs="Times New Roman"/>
        </w:rPr>
        <w:t>remains concerned</w:t>
      </w:r>
      <w:r w:rsidRPr="00A718D7">
        <w:rPr>
          <w:rFonts w:ascii="Times New Roman" w:hAnsi="Times New Roman" w:cs="Times New Roman"/>
        </w:rPr>
        <w:t xml:space="preserve"> that the Company may </w:t>
      </w:r>
      <w:r w:rsidR="0039020D" w:rsidRPr="00A718D7">
        <w:rPr>
          <w:rFonts w:ascii="Times New Roman" w:hAnsi="Times New Roman" w:cs="Times New Roman"/>
        </w:rPr>
        <w:t xml:space="preserve">earn more than the </w:t>
      </w:r>
      <w:r w:rsidR="00C0507E" w:rsidRPr="00A718D7">
        <w:rPr>
          <w:rFonts w:ascii="Times New Roman" w:hAnsi="Times New Roman" w:cs="Times New Roman"/>
        </w:rPr>
        <w:t xml:space="preserve">agreed-upon </w:t>
      </w:r>
      <w:r w:rsidR="0039020D" w:rsidRPr="00A718D7">
        <w:rPr>
          <w:rFonts w:ascii="Times New Roman" w:hAnsi="Times New Roman" w:cs="Times New Roman"/>
        </w:rPr>
        <w:t>9.8% return on equity (ROE) in the Settlement</w:t>
      </w:r>
      <w:r w:rsidRPr="00A718D7">
        <w:rPr>
          <w:rFonts w:ascii="Times New Roman" w:hAnsi="Times New Roman" w:cs="Times New Roman"/>
        </w:rPr>
        <w:t xml:space="preserve"> in 2013 or 2014, </w:t>
      </w:r>
      <w:r w:rsidR="00B7217B" w:rsidRPr="00A718D7">
        <w:rPr>
          <w:rFonts w:ascii="Times New Roman" w:hAnsi="Times New Roman" w:cs="Times New Roman"/>
        </w:rPr>
        <w:t>t</w:t>
      </w:r>
      <w:r w:rsidR="0039020D" w:rsidRPr="00A718D7">
        <w:rPr>
          <w:rFonts w:ascii="Times New Roman" w:hAnsi="Times New Roman" w:cs="Times New Roman"/>
        </w:rPr>
        <w:t xml:space="preserve">he Company would agree to </w:t>
      </w:r>
      <w:r w:rsidR="006304E3" w:rsidRPr="00A718D7">
        <w:rPr>
          <w:rFonts w:ascii="Times New Roman" w:hAnsi="Times New Roman" w:cs="Times New Roman"/>
        </w:rPr>
        <w:t xml:space="preserve">condition the </w:t>
      </w:r>
      <w:r w:rsidR="00BD5E6B">
        <w:rPr>
          <w:rFonts w:ascii="Times New Roman" w:hAnsi="Times New Roman" w:cs="Times New Roman"/>
        </w:rPr>
        <w:t>S</w:t>
      </w:r>
      <w:r w:rsidR="006304E3" w:rsidRPr="00A718D7">
        <w:rPr>
          <w:rFonts w:ascii="Times New Roman" w:hAnsi="Times New Roman" w:cs="Times New Roman"/>
        </w:rPr>
        <w:t xml:space="preserve">ettlement on </w:t>
      </w:r>
      <w:r w:rsidR="0039020D" w:rsidRPr="00A718D7">
        <w:rPr>
          <w:rFonts w:ascii="Times New Roman" w:hAnsi="Times New Roman" w:cs="Times New Roman"/>
        </w:rPr>
        <w:t>a</w:t>
      </w:r>
      <w:r w:rsidR="006304E3" w:rsidRPr="00A718D7">
        <w:rPr>
          <w:rFonts w:ascii="Times New Roman" w:hAnsi="Times New Roman" w:cs="Times New Roman"/>
        </w:rPr>
        <w:t>n after-the-fact earnings test,</w:t>
      </w:r>
      <w:r w:rsidR="0039020D" w:rsidRPr="00A718D7">
        <w:rPr>
          <w:rFonts w:ascii="Times New Roman" w:hAnsi="Times New Roman" w:cs="Times New Roman"/>
        </w:rPr>
        <w:t xml:space="preserve"> and would agree to </w:t>
      </w:r>
      <w:r w:rsidR="0039020D" w:rsidRPr="00A718D7">
        <w:rPr>
          <w:rFonts w:ascii="Times New Roman" w:hAnsi="Times New Roman" w:cs="Times New Roman"/>
          <w:u w:val="single"/>
        </w:rPr>
        <w:t>refund</w:t>
      </w:r>
      <w:r w:rsidR="0039020D" w:rsidRPr="00A718D7">
        <w:rPr>
          <w:rFonts w:ascii="Times New Roman" w:hAnsi="Times New Roman" w:cs="Times New Roman"/>
        </w:rPr>
        <w:t xml:space="preserve"> to customers any ear</w:t>
      </w:r>
      <w:r w:rsidR="0074245C" w:rsidRPr="00A718D7">
        <w:rPr>
          <w:rFonts w:ascii="Times New Roman" w:hAnsi="Times New Roman" w:cs="Times New Roman"/>
        </w:rPr>
        <w:t xml:space="preserve">nings in </w:t>
      </w:r>
      <w:r w:rsidR="0074245C" w:rsidRPr="00A718D7">
        <w:rPr>
          <w:rFonts w:ascii="Times New Roman" w:hAnsi="Times New Roman" w:cs="Times New Roman"/>
          <w:u w:val="single"/>
        </w:rPr>
        <w:t>excess</w:t>
      </w:r>
      <w:r w:rsidR="0074245C" w:rsidRPr="00A718D7">
        <w:rPr>
          <w:rFonts w:ascii="Times New Roman" w:hAnsi="Times New Roman" w:cs="Times New Roman"/>
        </w:rPr>
        <w:t xml:space="preserve"> of the 9.8% ROE for each of the years 2013 and 2014.</w:t>
      </w:r>
      <w:r w:rsidR="00C0507E" w:rsidRPr="00A718D7">
        <w:rPr>
          <w:rFonts w:ascii="Times New Roman" w:hAnsi="Times New Roman" w:cs="Times New Roman"/>
        </w:rPr>
        <w:t xml:space="preserve">  This should further allay any </w:t>
      </w:r>
      <w:r w:rsidR="006304E3" w:rsidRPr="00A718D7">
        <w:rPr>
          <w:rFonts w:ascii="Times New Roman" w:hAnsi="Times New Roman" w:cs="Times New Roman"/>
        </w:rPr>
        <w:t xml:space="preserve">remaining </w:t>
      </w:r>
      <w:r w:rsidR="00C0507E" w:rsidRPr="00A718D7">
        <w:rPr>
          <w:rFonts w:ascii="Times New Roman" w:hAnsi="Times New Roman" w:cs="Times New Roman"/>
        </w:rPr>
        <w:t>concerns that the base rate relief in 2013 and 2014, together with any additional cost-cutting, may allow the Company to exceed its authorized return.</w:t>
      </w:r>
    </w:p>
    <w:p w:rsidR="00914F08" w:rsidRPr="00A718D7" w:rsidRDefault="005B65AC" w:rsidP="00A718D7">
      <w:pPr>
        <w:pStyle w:val="P31"/>
        <w:numPr>
          <w:ilvl w:val="0"/>
          <w:numId w:val="52"/>
        </w:numPr>
        <w:ind w:left="0" w:hanging="180"/>
        <w:jc w:val="both"/>
        <w:rPr>
          <w:rFonts w:ascii="Times New Roman" w:hAnsi="Times New Roman" w:cs="Times New Roman"/>
        </w:rPr>
      </w:pPr>
      <w:r w:rsidRPr="00A718D7">
        <w:rPr>
          <w:rFonts w:ascii="Times New Roman" w:hAnsi="Times New Roman" w:cs="Times New Roman"/>
        </w:rPr>
        <w:t xml:space="preserve">The proposed settlement will lead to fair, just, reasonable and sufficient rates.  </w:t>
      </w:r>
      <w:r w:rsidR="00EC0C63" w:rsidRPr="00A718D7">
        <w:rPr>
          <w:rFonts w:ascii="Times New Roman" w:hAnsi="Times New Roman" w:cs="Times New Roman"/>
        </w:rPr>
        <w:t xml:space="preserve">As the Supreme Court explained in the </w:t>
      </w:r>
      <w:r w:rsidR="00EC0C63" w:rsidRPr="00A718D7">
        <w:rPr>
          <w:rFonts w:ascii="Times New Roman" w:hAnsi="Times New Roman" w:cs="Times New Roman"/>
          <w:u w:val="single"/>
        </w:rPr>
        <w:t>Hope Natural Gas</w:t>
      </w:r>
      <w:r w:rsidR="00EC0C63" w:rsidRPr="00A718D7">
        <w:rPr>
          <w:rFonts w:ascii="Times New Roman" w:hAnsi="Times New Roman" w:cs="Times New Roman"/>
        </w:rPr>
        <w:t xml:space="preserve"> case, the requirement that rates be “fair, just and reasonable” </w:t>
      </w:r>
      <w:r w:rsidR="00EC0C63" w:rsidRPr="00A718D7">
        <w:rPr>
          <w:rFonts w:ascii="Times New Roman" w:hAnsi="Times New Roman" w:cs="Times New Roman"/>
          <w:u w:val="single"/>
        </w:rPr>
        <w:t>does not define a method</w:t>
      </w:r>
      <w:r w:rsidR="00EC0C63" w:rsidRPr="00A718D7">
        <w:rPr>
          <w:rFonts w:ascii="Times New Roman" w:hAnsi="Times New Roman" w:cs="Times New Roman"/>
        </w:rPr>
        <w:t xml:space="preserve"> by which rates are to be calculated; instead, the fixing of fair, just and reasonable rates involves a balancing of investor and consumer interests.  Simply put, the “end result” must be reasonable</w:t>
      </w:r>
      <w:r w:rsidR="00EC7CEE" w:rsidRPr="00A718D7">
        <w:rPr>
          <w:rFonts w:ascii="Times New Roman" w:hAnsi="Times New Roman" w:cs="Times New Roman"/>
        </w:rPr>
        <w:t xml:space="preserve"> </w:t>
      </w:r>
      <w:r w:rsidR="00EC7CEE" w:rsidRPr="00A718D7">
        <w:rPr>
          <w:rFonts w:ascii="Times New Roman" w:hAnsi="Times New Roman" w:cs="Times New Roman"/>
        </w:rPr>
        <w:sym w:font="Symbol" w:char="F0BE"/>
      </w:r>
      <w:r w:rsidR="00EC7CEE" w:rsidRPr="00A718D7">
        <w:rPr>
          <w:rFonts w:ascii="Times New Roman" w:hAnsi="Times New Roman" w:cs="Times New Roman"/>
        </w:rPr>
        <w:t xml:space="preserve"> and it is under the terms of the Settlement</w:t>
      </w:r>
      <w:r w:rsidR="00EC0C63" w:rsidRPr="00A718D7">
        <w:rPr>
          <w:rFonts w:ascii="Times New Roman" w:hAnsi="Times New Roman" w:cs="Times New Roman"/>
        </w:rPr>
        <w:t>.</w:t>
      </w:r>
      <w:r w:rsidR="00EC0C63" w:rsidRPr="00A718D7">
        <w:rPr>
          <w:rStyle w:val="FootnoteReference"/>
          <w:rFonts w:ascii="Times New Roman" w:hAnsi="Times New Roman"/>
        </w:rPr>
        <w:footnoteReference w:id="10"/>
      </w:r>
      <w:r w:rsidR="00EC0C63" w:rsidRPr="00A718D7">
        <w:rPr>
          <w:rFonts w:ascii="Times New Roman" w:hAnsi="Times New Roman" w:cs="Times New Roman"/>
        </w:rPr>
        <w:t xml:space="preserve">  </w:t>
      </w:r>
    </w:p>
    <w:p w:rsidR="00606CB6" w:rsidRDefault="00606CB6" w:rsidP="00606CB6">
      <w:pPr>
        <w:jc w:val="both"/>
      </w:pPr>
      <w:r>
        <w:tab/>
      </w:r>
      <w:r>
        <w:tab/>
      </w:r>
      <w:r>
        <w:tab/>
        <w:t>Respectfully submitted this 7</w:t>
      </w:r>
      <w:r w:rsidRPr="00606CB6">
        <w:rPr>
          <w:vertAlign w:val="superscript"/>
        </w:rPr>
        <w:t>th</w:t>
      </w:r>
      <w:r>
        <w:t xml:space="preserve"> day of December, 2012</w:t>
      </w:r>
    </w:p>
    <w:p w:rsidR="00BD5E6B" w:rsidRDefault="00BD5E6B" w:rsidP="00606CB6">
      <w:pPr>
        <w:jc w:val="both"/>
      </w:pPr>
    </w:p>
    <w:p w:rsidR="00BD5E6B" w:rsidRDefault="00BD5E6B" w:rsidP="00606CB6">
      <w:pPr>
        <w:jc w:val="both"/>
      </w:pPr>
    </w:p>
    <w:p w:rsidR="00606CB6" w:rsidRDefault="00606CB6" w:rsidP="00606CB6">
      <w:pPr>
        <w:jc w:val="both"/>
      </w:pPr>
      <w:r>
        <w:tab/>
      </w:r>
      <w:r>
        <w:tab/>
      </w:r>
      <w:r>
        <w:tab/>
        <w:t>__________________________</w:t>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r>
      <w:r w:rsidR="00B30DEF">
        <w:softHyphen/>
        <w:t>__________</w:t>
      </w:r>
      <w:r>
        <w:t>______</w:t>
      </w:r>
    </w:p>
    <w:p w:rsidR="00606CB6" w:rsidRPr="00F72F9A" w:rsidRDefault="009005C2" w:rsidP="009005C2">
      <w:pPr>
        <w:ind w:left="1440"/>
        <w:jc w:val="both"/>
      </w:pPr>
      <w:r>
        <w:tab/>
        <w:t>David Meyer, VP Chief Counsel Regulatory &amp; Governmental Affairs</w:t>
      </w:r>
    </w:p>
    <w:sectPr w:rsidR="00606CB6" w:rsidRPr="00F72F9A" w:rsidSect="00B30DEF">
      <w:headerReference w:type="default" r:id="rId8"/>
      <w:footerReference w:type="default" r:id="rId9"/>
      <w:headerReference w:type="first" r:id="rId10"/>
      <w:footerReference w:type="first" r:id="rId11"/>
      <w:pgSz w:w="12240" w:h="15840" w:code="1"/>
      <w:pgMar w:top="1440" w:right="1440" w:bottom="1440" w:left="1440" w:header="72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E2" w:rsidRDefault="003E35E2">
      <w:r>
        <w:separator/>
      </w:r>
    </w:p>
  </w:endnote>
  <w:endnote w:type="continuationSeparator" w:id="0">
    <w:p w:rsidR="003E35E2" w:rsidRDefault="003E3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B5" w:rsidRPr="00C66B50" w:rsidRDefault="00C044B5">
    <w:pPr>
      <w:pStyle w:val="Footer"/>
      <w:tabs>
        <w:tab w:val="clear" w:pos="4320"/>
        <w:tab w:val="clear" w:pos="8640"/>
        <w:tab w:val="left" w:pos="180"/>
        <w:tab w:val="right" w:pos="9360"/>
      </w:tabs>
      <w:rPr>
        <w:sz w:val="22"/>
        <w:szCs w:val="22"/>
        <w:lang w:val="fr-FR"/>
      </w:rPr>
    </w:pPr>
    <w:r>
      <w:rPr>
        <w:sz w:val="22"/>
        <w:szCs w:val="22"/>
        <w:lang w:val="fr-FR"/>
      </w:rPr>
      <w:t>Post-Hearing Brief of Avista</w:t>
    </w:r>
    <w:r w:rsidR="00C45D95">
      <w:rPr>
        <w:sz w:val="22"/>
        <w:szCs w:val="22"/>
        <w:lang w:val="fr-FR"/>
      </w:rPr>
      <w:t xml:space="preserve"> [REDACTED]</w:t>
    </w:r>
    <w:r>
      <w:rPr>
        <w:sz w:val="22"/>
        <w:szCs w:val="22"/>
        <w:lang w:val="fr-FR"/>
      </w:rPr>
      <w:tab/>
    </w:r>
    <w:r w:rsidR="00A80DEB" w:rsidRPr="00650C72">
      <w:rPr>
        <w:sz w:val="22"/>
        <w:szCs w:val="22"/>
        <w:lang w:val="fr-FR"/>
      </w:rPr>
      <w:fldChar w:fldCharType="begin"/>
    </w:r>
    <w:r w:rsidRPr="00650C72">
      <w:rPr>
        <w:sz w:val="22"/>
        <w:szCs w:val="22"/>
        <w:lang w:val="fr-FR"/>
      </w:rPr>
      <w:instrText xml:space="preserve"> PAGE   \* MERGEFORMAT </w:instrText>
    </w:r>
    <w:r w:rsidR="00A80DEB" w:rsidRPr="00650C72">
      <w:rPr>
        <w:sz w:val="22"/>
        <w:szCs w:val="22"/>
        <w:lang w:val="fr-FR"/>
      </w:rPr>
      <w:fldChar w:fldCharType="separate"/>
    </w:r>
    <w:r w:rsidR="00B520F6">
      <w:rPr>
        <w:noProof/>
        <w:sz w:val="22"/>
        <w:szCs w:val="22"/>
        <w:lang w:val="fr-FR"/>
      </w:rPr>
      <w:t>4</w:t>
    </w:r>
    <w:r w:rsidR="00A80DEB" w:rsidRPr="00650C72">
      <w:rPr>
        <w:sz w:val="22"/>
        <w:szCs w:val="22"/>
        <w:lang w:val="fr-FR"/>
      </w:rPr>
      <w:fldChar w:fldCharType="end"/>
    </w:r>
    <w:r>
      <w:rPr>
        <w:sz w:val="22"/>
        <w:szCs w:val="22"/>
        <w:lang w:val="fr-F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B5" w:rsidRDefault="00C044B5">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E2" w:rsidRDefault="003E35E2">
      <w:r>
        <w:separator/>
      </w:r>
    </w:p>
  </w:footnote>
  <w:footnote w:type="continuationSeparator" w:id="0">
    <w:p w:rsidR="003E35E2" w:rsidRDefault="003E35E2">
      <w:r>
        <w:continuationSeparator/>
      </w:r>
    </w:p>
  </w:footnote>
  <w:footnote w:id="1">
    <w:p w:rsidR="00C044B5" w:rsidRDefault="00C044B5" w:rsidP="00E72310">
      <w:pPr>
        <w:pStyle w:val="FootnoteText"/>
        <w:jc w:val="both"/>
      </w:pPr>
      <w:r>
        <w:rPr>
          <w:rStyle w:val="FootnoteReference"/>
        </w:rPr>
        <w:footnoteRef/>
      </w:r>
      <w:r>
        <w:t xml:space="preserve"> </w:t>
      </w:r>
      <w:r>
        <w:rPr>
          <w:szCs w:val="24"/>
        </w:rPr>
        <w:t>It should be emphasized that the proposed Settlement was a “package”</w:t>
      </w:r>
      <w:r w:rsidRPr="003F2A81">
        <w:rPr>
          <w:rStyle w:val="FootnoteReference"/>
          <w:szCs w:val="24"/>
        </w:rPr>
        <w:t xml:space="preserve"> </w:t>
      </w:r>
      <w:r>
        <w:rPr>
          <w:szCs w:val="24"/>
        </w:rPr>
        <w:t xml:space="preserve">addressing more than just the 2014 rates; rather, it addressed the interests of the various constituencies throughout the two-year 2013 and 2014 rate-effective period.  For its part, the Company made several concessions to arrive at a settlement “package”: </w:t>
      </w:r>
      <w:r w:rsidRPr="00A97125">
        <w:rPr>
          <w:szCs w:val="24"/>
          <w:u w:val="single"/>
        </w:rPr>
        <w:t>e.g</w:t>
      </w:r>
      <w:r>
        <w:rPr>
          <w:szCs w:val="24"/>
        </w:rPr>
        <w:t>., eliminated the Colstrip/CSII thermal maintenance deferral mechanism; reduced cost of capital by $12.2 million dollars; and accepted “other black box” adjustments of $12.5 million. (See Exhibit KON-7T, p.21, ll. 17-21; Tr. p. 290, ll. 1-4.)</w:t>
      </w:r>
    </w:p>
  </w:footnote>
  <w:footnote w:id="2">
    <w:p w:rsidR="00C044B5" w:rsidRDefault="00C044B5" w:rsidP="00E72310">
      <w:pPr>
        <w:pStyle w:val="FootnoteText"/>
        <w:jc w:val="both"/>
      </w:pPr>
      <w:r>
        <w:rPr>
          <w:rStyle w:val="FootnoteReference"/>
        </w:rPr>
        <w:footnoteRef/>
      </w:r>
      <w:r>
        <w:t xml:space="preserve"> 2013 = $13.65 million electric and $5.3 million natural gas.  2014 = $14.0 million electric and $1.4 million natural gas.</w:t>
      </w:r>
    </w:p>
  </w:footnote>
  <w:footnote w:id="3">
    <w:p w:rsidR="00971018" w:rsidRDefault="00971018" w:rsidP="00E72310">
      <w:pPr>
        <w:pStyle w:val="FootnoteText"/>
        <w:jc w:val="both"/>
      </w:pPr>
      <w:r>
        <w:rPr>
          <w:rStyle w:val="FootnoteReference"/>
        </w:rPr>
        <w:footnoteRef/>
      </w:r>
      <w:r>
        <w:t xml:space="preserve"> In its Third Supplemental Order in Docket No. U-991832, this Commission approved a rate plan for PacifiCorp that provided for implementation of new rates over a three year period (3% on January 1, 2001;  3% on January 1, 2002; and 1% on January 1, 2003), in part to address “rate shock.”  (Id. at p. 12, ¶ 33).  In its Order, the Commission reasoned that:</w:t>
      </w:r>
    </w:p>
    <w:p w:rsidR="00971018" w:rsidRPr="00EB455E" w:rsidRDefault="00971018" w:rsidP="00E72310">
      <w:pPr>
        <w:pStyle w:val="FootnoteText"/>
        <w:ind w:left="720" w:right="864" w:hanging="720"/>
        <w:jc w:val="both"/>
      </w:pPr>
      <w:r>
        <w:tab/>
        <w:t xml:space="preserve">…The cumulative effect on customers under the settlement is a rate increase that </w:t>
      </w:r>
      <w:r>
        <w:rPr>
          <w:u w:val="single"/>
        </w:rPr>
        <w:t>is approximately one-half</w:t>
      </w:r>
      <w:r>
        <w:t xml:space="preserve"> what PacifiCorp </w:t>
      </w:r>
      <w:r>
        <w:rPr>
          <w:u w:val="single"/>
        </w:rPr>
        <w:t>requested in its filing</w:t>
      </w:r>
      <w:r>
        <w:t xml:space="preserve"> …  The </w:t>
      </w:r>
      <w:r>
        <w:rPr>
          <w:u w:val="single"/>
        </w:rPr>
        <w:t>cumulative increase</w:t>
      </w:r>
      <w:r>
        <w:t xml:space="preserve"> in rates at the third year under the settlement, results in the customers experiencing </w:t>
      </w:r>
      <w:r>
        <w:rPr>
          <w:u w:val="single"/>
        </w:rPr>
        <w:t>less of an increase</w:t>
      </w:r>
      <w:r>
        <w:t xml:space="preserve"> as of January1, 2003, </w:t>
      </w:r>
      <w:r>
        <w:rPr>
          <w:u w:val="single"/>
        </w:rPr>
        <w:t xml:space="preserve">than what PacifiCorp </w:t>
      </w:r>
      <w:r w:rsidRPr="00A97125">
        <w:rPr>
          <w:u w:val="single"/>
        </w:rPr>
        <w:t>proposed in its filing to implement</w:t>
      </w:r>
      <w:r>
        <w:rPr>
          <w:u w:val="single"/>
        </w:rPr>
        <w:t xml:space="preserve"> as of November 1, 2000</w:t>
      </w:r>
      <w:r>
        <w:t>.  (</w:t>
      </w:r>
      <w:r>
        <w:rPr>
          <w:u w:val="single"/>
        </w:rPr>
        <w:t>Id</w:t>
      </w:r>
      <w:r>
        <w:t>., at p. 19, ¶ 50) (Emphasis added)</w:t>
      </w:r>
    </w:p>
  </w:footnote>
  <w:footnote w:id="4">
    <w:p w:rsidR="00C044B5" w:rsidRDefault="00C044B5" w:rsidP="0074721D">
      <w:pPr>
        <w:pStyle w:val="FootnoteText"/>
        <w:jc w:val="both"/>
      </w:pPr>
      <w:r>
        <w:rPr>
          <w:rStyle w:val="FootnoteReference"/>
        </w:rPr>
        <w:footnoteRef/>
      </w:r>
      <w:r>
        <w:t xml:space="preserve"> See the pre-filed direct testimony of Kelly Norwood (Exhibit KON-1T beginning on page 3, including Illustration No. 1).</w:t>
      </w:r>
    </w:p>
  </w:footnote>
  <w:footnote w:id="5">
    <w:p w:rsidR="00C044B5" w:rsidRDefault="00C044B5" w:rsidP="0074721D">
      <w:pPr>
        <w:pStyle w:val="FootnoteText"/>
        <w:jc w:val="both"/>
      </w:pPr>
      <w:r>
        <w:rPr>
          <w:rStyle w:val="FootnoteReference"/>
        </w:rPr>
        <w:footnoteRef/>
      </w:r>
      <w:r>
        <w:t xml:space="preserve"> </w:t>
      </w:r>
      <w:r w:rsidRPr="001B32C8">
        <w:t xml:space="preserve">The trend analysis for 2013 shows an electric revenue need of $29 million, </w:t>
      </w:r>
      <w:r>
        <w:t xml:space="preserve">even </w:t>
      </w:r>
      <w:r w:rsidRPr="001B32C8">
        <w:t xml:space="preserve">using the cost of capital in the Settlement.  This $29 million represents the incremental revenue need for the two-year period from 2011 to 2013.  </w:t>
      </w:r>
      <w:r>
        <w:t>If we apply</w:t>
      </w:r>
      <w:r w:rsidRPr="001B32C8">
        <w:t xml:space="preserve"> this same trend of revenues, expenses and rate base for one additional period, from 2013 to 2014, the incremental </w:t>
      </w:r>
      <w:r w:rsidRPr="00024C98">
        <w:rPr>
          <w:u w:val="single"/>
        </w:rPr>
        <w:t>electric</w:t>
      </w:r>
      <w:r>
        <w:t xml:space="preserve"> </w:t>
      </w:r>
      <w:r w:rsidRPr="001B32C8">
        <w:t>revenue</w:t>
      </w:r>
      <w:r>
        <w:t xml:space="preserve"> need for 2014 is $14.5 million.</w:t>
      </w:r>
      <w:r w:rsidRPr="001B32C8">
        <w:t xml:space="preserve"> </w:t>
      </w:r>
      <w:r>
        <w:t>(Exhibit Kon-7T, p. 10)</w:t>
      </w:r>
    </w:p>
  </w:footnote>
  <w:footnote w:id="6">
    <w:p w:rsidR="00C044B5" w:rsidRDefault="00C044B5" w:rsidP="0074721D">
      <w:pPr>
        <w:pStyle w:val="FootnoteText"/>
        <w:jc w:val="both"/>
      </w:pPr>
      <w:r>
        <w:rPr>
          <w:rStyle w:val="FootnoteReference"/>
        </w:rPr>
        <w:footnoteRef/>
      </w:r>
      <w:r>
        <w:t xml:space="preserve"> Mr. Norwood testified that the Company has no plans to further scale back these necessary construction expenditures</w:t>
      </w:r>
      <w:r w:rsidR="004A686D">
        <w:t>.</w:t>
      </w:r>
      <w:r>
        <w:t xml:space="preserve"> (Tr. p. 256, ll. 23-24)</w:t>
      </w:r>
    </w:p>
  </w:footnote>
  <w:footnote w:id="7">
    <w:p w:rsidR="00C044B5" w:rsidRPr="000D19F0" w:rsidRDefault="00C044B5" w:rsidP="0074721D">
      <w:pPr>
        <w:pStyle w:val="FootnoteText"/>
        <w:jc w:val="both"/>
      </w:pPr>
      <w:r>
        <w:rPr>
          <w:rStyle w:val="FootnoteReference"/>
        </w:rPr>
        <w:footnoteRef/>
      </w:r>
      <w:r>
        <w:t xml:space="preserve"> </w:t>
      </w:r>
      <w:r w:rsidRPr="000D19F0">
        <w:rPr>
          <w:rStyle w:val="LineNumber"/>
          <w:sz w:val="20"/>
          <w:szCs w:val="20"/>
        </w:rPr>
        <w:t>Accordingly, the trends in net plant investment, non-fuel O&amp;M and sales through 2015, first shown in Mr. Morris’ Illustration No. 3 in h</w:t>
      </w:r>
      <w:r>
        <w:rPr>
          <w:rStyle w:val="LineNumber"/>
          <w:sz w:val="20"/>
          <w:szCs w:val="20"/>
        </w:rPr>
        <w:t>is</w:t>
      </w:r>
      <w:r w:rsidRPr="000D19F0">
        <w:rPr>
          <w:rStyle w:val="LineNumber"/>
          <w:sz w:val="20"/>
          <w:szCs w:val="20"/>
        </w:rPr>
        <w:t xml:space="preserve"> direct testimony </w:t>
      </w:r>
      <w:r>
        <w:rPr>
          <w:rStyle w:val="LineNumber"/>
          <w:sz w:val="20"/>
          <w:szCs w:val="20"/>
        </w:rPr>
        <w:t xml:space="preserve">(Exh SLM-1T, p. 10) </w:t>
      </w:r>
      <w:r w:rsidRPr="000D19F0">
        <w:rPr>
          <w:rStyle w:val="LineNumber"/>
          <w:sz w:val="20"/>
          <w:szCs w:val="20"/>
        </w:rPr>
        <w:t xml:space="preserve">based on the earlier February </w:t>
      </w:r>
      <w:r>
        <w:rPr>
          <w:rStyle w:val="LineNumber"/>
          <w:sz w:val="20"/>
          <w:szCs w:val="20"/>
        </w:rPr>
        <w:t xml:space="preserve">2012 </w:t>
      </w:r>
      <w:r w:rsidRPr="000D19F0">
        <w:rPr>
          <w:rStyle w:val="LineNumber"/>
          <w:sz w:val="20"/>
          <w:szCs w:val="20"/>
        </w:rPr>
        <w:t xml:space="preserve">forecast, have </w:t>
      </w:r>
      <w:r>
        <w:rPr>
          <w:rStyle w:val="LineNumber"/>
          <w:sz w:val="20"/>
          <w:szCs w:val="20"/>
        </w:rPr>
        <w:t>worsened, in terms of cost recovery,</w:t>
      </w:r>
      <w:r w:rsidRPr="000D19F0">
        <w:rPr>
          <w:rStyle w:val="LineNumber"/>
          <w:sz w:val="20"/>
          <w:szCs w:val="20"/>
        </w:rPr>
        <w:t xml:space="preserve"> in the more recent August </w:t>
      </w:r>
      <w:r>
        <w:rPr>
          <w:rStyle w:val="LineNumber"/>
          <w:sz w:val="20"/>
          <w:szCs w:val="20"/>
        </w:rPr>
        <w:t xml:space="preserve">2012 </w:t>
      </w:r>
      <w:r w:rsidRPr="000D19F0">
        <w:rPr>
          <w:rStyle w:val="LineNumber"/>
          <w:sz w:val="20"/>
          <w:szCs w:val="20"/>
        </w:rPr>
        <w:t>forecast</w:t>
      </w:r>
      <w:r>
        <w:rPr>
          <w:rStyle w:val="LineNumber"/>
          <w:sz w:val="20"/>
          <w:szCs w:val="20"/>
        </w:rPr>
        <w:t>s</w:t>
      </w:r>
      <w:r w:rsidRPr="000D19F0">
        <w:rPr>
          <w:rStyle w:val="LineNumber"/>
          <w:sz w:val="20"/>
          <w:szCs w:val="20"/>
        </w:rPr>
        <w:t>.</w:t>
      </w:r>
    </w:p>
  </w:footnote>
  <w:footnote w:id="8">
    <w:p w:rsidR="00C044B5" w:rsidRDefault="00C044B5" w:rsidP="005A32E5">
      <w:pPr>
        <w:jc w:val="both"/>
      </w:pPr>
      <w:r>
        <w:rPr>
          <w:rStyle w:val="FootnoteReference"/>
        </w:rPr>
        <w:footnoteRef/>
      </w:r>
      <w:r>
        <w:t xml:space="preserve"> </w:t>
      </w:r>
      <w:r w:rsidRPr="00ED1750">
        <w:rPr>
          <w:sz w:val="20"/>
          <w:szCs w:val="20"/>
        </w:rPr>
        <w:t xml:space="preserve">This level of increase in expenses for 2013 </w:t>
      </w:r>
      <w:r>
        <w:rPr>
          <w:sz w:val="20"/>
          <w:szCs w:val="20"/>
        </w:rPr>
        <w:t xml:space="preserve">and 2014, </w:t>
      </w:r>
      <w:r w:rsidRPr="00ED1750">
        <w:rPr>
          <w:sz w:val="20"/>
          <w:szCs w:val="20"/>
        </w:rPr>
        <w:t>and the expected lower growth in revenues for 2013</w:t>
      </w:r>
      <w:r>
        <w:rPr>
          <w:sz w:val="20"/>
          <w:szCs w:val="20"/>
        </w:rPr>
        <w:t xml:space="preserve"> and 2014</w:t>
      </w:r>
      <w:r w:rsidRPr="00ED1750">
        <w:rPr>
          <w:sz w:val="20"/>
          <w:szCs w:val="20"/>
        </w:rPr>
        <w:t xml:space="preserve"> were not reflected in the Company’s original rate case filing in April 2012.</w:t>
      </w:r>
      <w:r>
        <w:t xml:space="preserve">   </w:t>
      </w:r>
    </w:p>
  </w:footnote>
  <w:footnote w:id="9">
    <w:p w:rsidR="00C044B5" w:rsidRDefault="00C044B5" w:rsidP="006304E3">
      <w:pPr>
        <w:pStyle w:val="P31"/>
        <w:spacing w:line="240" w:lineRule="auto"/>
        <w:ind w:firstLine="0"/>
        <w:jc w:val="both"/>
      </w:pPr>
      <w:r w:rsidRPr="00665144">
        <w:rPr>
          <w:rStyle w:val="FootnoteReference"/>
          <w:rFonts w:ascii="Times New Roman" w:hAnsi="Times New Roman"/>
        </w:rPr>
        <w:footnoteRef/>
      </w:r>
      <w:r>
        <w:t xml:space="preserve"> </w:t>
      </w:r>
      <w:r>
        <w:rPr>
          <w:rFonts w:ascii="Times New Roman" w:hAnsi="Times New Roman" w:cs="Times New Roman"/>
          <w:sz w:val="20"/>
        </w:rPr>
        <w:t>O</w:t>
      </w:r>
      <w:r w:rsidRPr="006304E3">
        <w:rPr>
          <w:rFonts w:ascii="Times New Roman" w:hAnsi="Times New Roman" w:cs="Times New Roman"/>
          <w:sz w:val="20"/>
        </w:rPr>
        <w:t xml:space="preserve">ther information in the record also supports the need for the revenue increases in the Settlement </w:t>
      </w:r>
      <w:r>
        <w:rPr>
          <w:rFonts w:ascii="Times New Roman" w:hAnsi="Times New Roman" w:cs="Times New Roman"/>
          <w:sz w:val="20"/>
        </w:rPr>
        <w:t>A</w:t>
      </w:r>
      <w:r w:rsidRPr="006304E3">
        <w:rPr>
          <w:rFonts w:ascii="Times New Roman" w:hAnsi="Times New Roman" w:cs="Times New Roman"/>
          <w:sz w:val="20"/>
        </w:rPr>
        <w:t xml:space="preserve">greement.  In Mr. Norwood’s direct testimony (Exhibit  KON-1T), beginning on page 7, he discussed the persistent revenue short-fall the Company has experienced for the past five years.   (See Illustration #4, at p. 9 of Exh KON-7T)  </w:t>
      </w:r>
      <w:r w:rsidRPr="006304E3">
        <w:rPr>
          <w:rStyle w:val="LineNumber"/>
          <w:sz w:val="20"/>
          <w:szCs w:val="20"/>
        </w:rPr>
        <w:t>Based on the most recent ROEs authorized by the Commission, which would range from 9.8% to 10.2%, the Company is experiencing a short-fall in its earned ROE of at least 200 basis points.   This annual revenue shortfall of 200 basis points of ROE for Avista’s Washington utility operations is approximately $21 million.  (See KON-7T p.</w:t>
      </w:r>
      <w:r>
        <w:rPr>
          <w:rStyle w:val="LineNumber"/>
        </w:rPr>
        <w:t xml:space="preserve"> </w:t>
      </w:r>
      <w:r w:rsidRPr="006304E3">
        <w:rPr>
          <w:rStyle w:val="LineNumber"/>
          <w:sz w:val="20"/>
          <w:szCs w:val="20"/>
        </w:rPr>
        <w:t xml:space="preserve">14, ll. 4-7)  Accordingly, the Company needs a revenue increase of $21 million to address the revenue short-fall that is </w:t>
      </w:r>
      <w:r w:rsidRPr="006304E3">
        <w:rPr>
          <w:rStyle w:val="LineNumber"/>
          <w:sz w:val="20"/>
          <w:szCs w:val="20"/>
          <w:u w:val="single"/>
        </w:rPr>
        <w:t>already</w:t>
      </w:r>
      <w:r w:rsidRPr="006304E3">
        <w:rPr>
          <w:rStyle w:val="LineNumber"/>
          <w:sz w:val="20"/>
          <w:szCs w:val="20"/>
        </w:rPr>
        <w:t xml:space="preserve"> occurring, </w:t>
      </w:r>
      <w:r w:rsidRPr="006304E3">
        <w:rPr>
          <w:rStyle w:val="LineNumber"/>
          <w:sz w:val="20"/>
          <w:szCs w:val="20"/>
          <w:u w:val="single"/>
        </w:rPr>
        <w:t>prior</w:t>
      </w:r>
      <w:r w:rsidRPr="006304E3">
        <w:rPr>
          <w:rStyle w:val="LineNumber"/>
          <w:sz w:val="20"/>
          <w:szCs w:val="20"/>
        </w:rPr>
        <w:t xml:space="preserve"> to considering the incremental revenue increases that are needed for 2013 and 2014.</w:t>
      </w:r>
    </w:p>
  </w:footnote>
  <w:footnote w:id="10">
    <w:p w:rsidR="00C044B5" w:rsidRDefault="00C044B5" w:rsidP="00EC0C63">
      <w:pPr>
        <w:pStyle w:val="FootnoteText"/>
      </w:pPr>
      <w:r>
        <w:rPr>
          <w:rStyle w:val="FootnoteReference"/>
        </w:rPr>
        <w:footnoteRef/>
      </w:r>
      <w:r>
        <w:t xml:space="preserve"> </w:t>
      </w:r>
      <w:r w:rsidRPr="005A32E5">
        <w:rPr>
          <w:u w:val="single"/>
        </w:rPr>
        <w:t>Fed. Power Comm’n v. Hope Natural Gas Co</w:t>
      </w:r>
      <w:r>
        <w:t>., 320 U.S. 591, 603 (1944)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B5" w:rsidRDefault="00C044B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B5" w:rsidRDefault="00C044B5"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4967AE3"/>
    <w:multiLevelType w:val="hybridMultilevel"/>
    <w:tmpl w:val="58B4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9">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2">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4">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5">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7">
    <w:nsid w:val="234C5D8A"/>
    <w:multiLevelType w:val="hybridMultilevel"/>
    <w:tmpl w:val="971C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2">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4">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5">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6">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7">
    <w:nsid w:val="3DE95120"/>
    <w:multiLevelType w:val="hybridMultilevel"/>
    <w:tmpl w:val="28AA7860"/>
    <w:lvl w:ilvl="0" w:tplc="9002128E">
      <w:start w:val="1"/>
      <w:numFmt w:val="decimal"/>
      <w:lvlText w:val="%1."/>
      <w:lvlJc w:val="left"/>
      <w:pPr>
        <w:ind w:left="3335" w:hanging="360"/>
      </w:pPr>
      <w:rPr>
        <w:rFonts w:cs="Times New Roman" w:hint="default"/>
        <w:sz w:val="20"/>
        <w:vertAlign w:val="baseline"/>
      </w:rPr>
    </w:lvl>
    <w:lvl w:ilvl="1" w:tplc="04090019">
      <w:start w:val="1"/>
      <w:numFmt w:val="lowerLetter"/>
      <w:lvlText w:val="%2."/>
      <w:lvlJc w:val="left"/>
      <w:pPr>
        <w:ind w:left="4055" w:hanging="360"/>
      </w:pPr>
    </w:lvl>
    <w:lvl w:ilvl="2" w:tplc="0409001B" w:tentative="1">
      <w:start w:val="1"/>
      <w:numFmt w:val="lowerRoman"/>
      <w:lvlText w:val="%3."/>
      <w:lvlJc w:val="right"/>
      <w:pPr>
        <w:ind w:left="4775" w:hanging="180"/>
      </w:pPr>
    </w:lvl>
    <w:lvl w:ilvl="3" w:tplc="0409000F" w:tentative="1">
      <w:start w:val="1"/>
      <w:numFmt w:val="decimal"/>
      <w:lvlText w:val="%4."/>
      <w:lvlJc w:val="left"/>
      <w:pPr>
        <w:ind w:left="5495" w:hanging="360"/>
      </w:pPr>
    </w:lvl>
    <w:lvl w:ilvl="4" w:tplc="04090019" w:tentative="1">
      <w:start w:val="1"/>
      <w:numFmt w:val="lowerLetter"/>
      <w:lvlText w:val="%5."/>
      <w:lvlJc w:val="left"/>
      <w:pPr>
        <w:ind w:left="6215" w:hanging="360"/>
      </w:pPr>
    </w:lvl>
    <w:lvl w:ilvl="5" w:tplc="0409001B" w:tentative="1">
      <w:start w:val="1"/>
      <w:numFmt w:val="lowerRoman"/>
      <w:lvlText w:val="%6."/>
      <w:lvlJc w:val="right"/>
      <w:pPr>
        <w:ind w:left="6935" w:hanging="180"/>
      </w:pPr>
    </w:lvl>
    <w:lvl w:ilvl="6" w:tplc="0409000F" w:tentative="1">
      <w:start w:val="1"/>
      <w:numFmt w:val="decimal"/>
      <w:lvlText w:val="%7."/>
      <w:lvlJc w:val="left"/>
      <w:pPr>
        <w:ind w:left="7655" w:hanging="360"/>
      </w:pPr>
    </w:lvl>
    <w:lvl w:ilvl="7" w:tplc="04090019" w:tentative="1">
      <w:start w:val="1"/>
      <w:numFmt w:val="lowerLetter"/>
      <w:lvlText w:val="%8."/>
      <w:lvlJc w:val="left"/>
      <w:pPr>
        <w:ind w:left="8375" w:hanging="360"/>
      </w:pPr>
    </w:lvl>
    <w:lvl w:ilvl="8" w:tplc="0409001B" w:tentative="1">
      <w:start w:val="1"/>
      <w:numFmt w:val="lowerRoman"/>
      <w:lvlText w:val="%9."/>
      <w:lvlJc w:val="right"/>
      <w:pPr>
        <w:ind w:left="9095" w:hanging="180"/>
      </w:pPr>
    </w:lvl>
  </w:abstractNum>
  <w:abstractNum w:abstractNumId="28">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0">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3">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5">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2B0539"/>
    <w:multiLevelType w:val="hybridMultilevel"/>
    <w:tmpl w:val="FD0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8">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40">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41">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2">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60C3609E"/>
    <w:multiLevelType w:val="hybridMultilevel"/>
    <w:tmpl w:val="481CBC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6">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7">
    <w:nsid w:val="67B84C67"/>
    <w:multiLevelType w:val="hybridMultilevel"/>
    <w:tmpl w:val="A29C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50">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1">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9"/>
  </w:num>
  <w:num w:numId="2">
    <w:abstractNumId w:val="32"/>
  </w:num>
  <w:num w:numId="3">
    <w:abstractNumId w:val="2"/>
  </w:num>
  <w:num w:numId="4">
    <w:abstractNumId w:val="23"/>
  </w:num>
  <w:num w:numId="5">
    <w:abstractNumId w:val="6"/>
  </w:num>
  <w:num w:numId="6">
    <w:abstractNumId w:val="21"/>
  </w:num>
  <w:num w:numId="7">
    <w:abstractNumId w:val="11"/>
  </w:num>
  <w:num w:numId="8">
    <w:abstractNumId w:val="15"/>
  </w:num>
  <w:num w:numId="9">
    <w:abstractNumId w:val="26"/>
  </w:num>
  <w:num w:numId="10">
    <w:abstractNumId w:val="19"/>
  </w:num>
  <w:num w:numId="11">
    <w:abstractNumId w:val="9"/>
  </w:num>
  <w:num w:numId="12">
    <w:abstractNumId w:val="49"/>
  </w:num>
  <w:num w:numId="13">
    <w:abstractNumId w:val="46"/>
  </w:num>
  <w:num w:numId="14">
    <w:abstractNumId w:val="51"/>
  </w:num>
  <w:num w:numId="15">
    <w:abstractNumId w:val="14"/>
  </w:num>
  <w:num w:numId="16">
    <w:abstractNumId w:val="18"/>
  </w:num>
  <w:num w:numId="17">
    <w:abstractNumId w:val="25"/>
  </w:num>
  <w:num w:numId="18">
    <w:abstractNumId w:val="48"/>
  </w:num>
  <w:num w:numId="19">
    <w:abstractNumId w:val="20"/>
  </w:num>
  <w:num w:numId="20">
    <w:abstractNumId w:val="40"/>
  </w:num>
  <w:num w:numId="21">
    <w:abstractNumId w:val="1"/>
  </w:num>
  <w:num w:numId="22">
    <w:abstractNumId w:val="39"/>
  </w:num>
  <w:num w:numId="23">
    <w:abstractNumId w:val="31"/>
  </w:num>
  <w:num w:numId="24">
    <w:abstractNumId w:val="24"/>
  </w:num>
  <w:num w:numId="25">
    <w:abstractNumId w:val="4"/>
  </w:num>
  <w:num w:numId="26">
    <w:abstractNumId w:val="3"/>
  </w:num>
  <w:num w:numId="27">
    <w:abstractNumId w:val="13"/>
  </w:num>
  <w:num w:numId="28">
    <w:abstractNumId w:val="45"/>
  </w:num>
  <w:num w:numId="29">
    <w:abstractNumId w:val="12"/>
  </w:num>
  <w:num w:numId="30">
    <w:abstractNumId w:val="34"/>
  </w:num>
  <w:num w:numId="31">
    <w:abstractNumId w:val="41"/>
  </w:num>
  <w:num w:numId="32">
    <w:abstractNumId w:val="42"/>
  </w:num>
  <w:num w:numId="33">
    <w:abstractNumId w:val="35"/>
  </w:num>
  <w:num w:numId="34">
    <w:abstractNumId w:val="8"/>
  </w:num>
  <w:num w:numId="35">
    <w:abstractNumId w:val="37"/>
  </w:num>
  <w:num w:numId="36">
    <w:abstractNumId w:val="50"/>
  </w:num>
  <w:num w:numId="37">
    <w:abstractNumId w:val="5"/>
  </w:num>
  <w:num w:numId="38">
    <w:abstractNumId w:val="30"/>
  </w:num>
  <w:num w:numId="39">
    <w:abstractNumId w:val="16"/>
  </w:num>
  <w:num w:numId="40">
    <w:abstractNumId w:val="44"/>
  </w:num>
  <w:num w:numId="41">
    <w:abstractNumId w:val="28"/>
  </w:num>
  <w:num w:numId="42">
    <w:abstractNumId w:val="38"/>
  </w:num>
  <w:num w:numId="43">
    <w:abstractNumId w:val="0"/>
  </w:num>
  <w:num w:numId="44">
    <w:abstractNumId w:val="33"/>
  </w:num>
  <w:num w:numId="45">
    <w:abstractNumId w:val="10"/>
  </w:num>
  <w:num w:numId="46">
    <w:abstractNumId w:val="43"/>
  </w:num>
  <w:num w:numId="47">
    <w:abstractNumId w:val="22"/>
  </w:num>
  <w:num w:numId="48">
    <w:abstractNumId w:val="36"/>
  </w:num>
  <w:num w:numId="49">
    <w:abstractNumId w:val="47"/>
  </w:num>
  <w:num w:numId="50">
    <w:abstractNumId w:val="17"/>
  </w:num>
  <w:num w:numId="51">
    <w:abstractNumId w:val="7"/>
  </w:num>
  <w:num w:numId="52">
    <w:abstractNumId w:val="2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1781"/>
    <w:rsid w:val="00003068"/>
    <w:rsid w:val="000035A2"/>
    <w:rsid w:val="00003829"/>
    <w:rsid w:val="00005690"/>
    <w:rsid w:val="0000785F"/>
    <w:rsid w:val="00007E94"/>
    <w:rsid w:val="00010D42"/>
    <w:rsid w:val="00010D91"/>
    <w:rsid w:val="00010FB3"/>
    <w:rsid w:val="00011C3C"/>
    <w:rsid w:val="00012431"/>
    <w:rsid w:val="00012BE3"/>
    <w:rsid w:val="000137CE"/>
    <w:rsid w:val="00013DEE"/>
    <w:rsid w:val="00013EB7"/>
    <w:rsid w:val="000146F7"/>
    <w:rsid w:val="0001498B"/>
    <w:rsid w:val="00016F05"/>
    <w:rsid w:val="00017B48"/>
    <w:rsid w:val="00020856"/>
    <w:rsid w:val="000213D0"/>
    <w:rsid w:val="00024AC8"/>
    <w:rsid w:val="00024C98"/>
    <w:rsid w:val="00025488"/>
    <w:rsid w:val="00026686"/>
    <w:rsid w:val="0003347A"/>
    <w:rsid w:val="000334C5"/>
    <w:rsid w:val="00033662"/>
    <w:rsid w:val="00035368"/>
    <w:rsid w:val="0003620D"/>
    <w:rsid w:val="0003621B"/>
    <w:rsid w:val="00036918"/>
    <w:rsid w:val="000371EB"/>
    <w:rsid w:val="00037C01"/>
    <w:rsid w:val="00041A81"/>
    <w:rsid w:val="000426D8"/>
    <w:rsid w:val="00042739"/>
    <w:rsid w:val="00043442"/>
    <w:rsid w:val="00046323"/>
    <w:rsid w:val="000504EF"/>
    <w:rsid w:val="00051CF0"/>
    <w:rsid w:val="000526AD"/>
    <w:rsid w:val="00053024"/>
    <w:rsid w:val="00054A99"/>
    <w:rsid w:val="00054E98"/>
    <w:rsid w:val="00055C64"/>
    <w:rsid w:val="0006217D"/>
    <w:rsid w:val="00062F9C"/>
    <w:rsid w:val="00063918"/>
    <w:rsid w:val="00064145"/>
    <w:rsid w:val="000647FA"/>
    <w:rsid w:val="00066127"/>
    <w:rsid w:val="00066C73"/>
    <w:rsid w:val="000671FC"/>
    <w:rsid w:val="0006733F"/>
    <w:rsid w:val="00067420"/>
    <w:rsid w:val="00070A2E"/>
    <w:rsid w:val="00070CE4"/>
    <w:rsid w:val="00075515"/>
    <w:rsid w:val="00075612"/>
    <w:rsid w:val="00077FB6"/>
    <w:rsid w:val="000831A6"/>
    <w:rsid w:val="00083483"/>
    <w:rsid w:val="0008527C"/>
    <w:rsid w:val="00085808"/>
    <w:rsid w:val="000873A9"/>
    <w:rsid w:val="00090AC2"/>
    <w:rsid w:val="00091192"/>
    <w:rsid w:val="000913AA"/>
    <w:rsid w:val="00091B10"/>
    <w:rsid w:val="000925D0"/>
    <w:rsid w:val="000926CF"/>
    <w:rsid w:val="00093133"/>
    <w:rsid w:val="0009624A"/>
    <w:rsid w:val="0009730E"/>
    <w:rsid w:val="000974E2"/>
    <w:rsid w:val="00097B0F"/>
    <w:rsid w:val="000A0894"/>
    <w:rsid w:val="000A0959"/>
    <w:rsid w:val="000A1485"/>
    <w:rsid w:val="000A204F"/>
    <w:rsid w:val="000A2244"/>
    <w:rsid w:val="000A232B"/>
    <w:rsid w:val="000A2AD6"/>
    <w:rsid w:val="000A3548"/>
    <w:rsid w:val="000A4A15"/>
    <w:rsid w:val="000A4C44"/>
    <w:rsid w:val="000A502C"/>
    <w:rsid w:val="000A6665"/>
    <w:rsid w:val="000A6734"/>
    <w:rsid w:val="000A6BBC"/>
    <w:rsid w:val="000B01C4"/>
    <w:rsid w:val="000B339C"/>
    <w:rsid w:val="000B3869"/>
    <w:rsid w:val="000B550B"/>
    <w:rsid w:val="000B567E"/>
    <w:rsid w:val="000B59F0"/>
    <w:rsid w:val="000B6A29"/>
    <w:rsid w:val="000B783B"/>
    <w:rsid w:val="000C0C5B"/>
    <w:rsid w:val="000C4A3C"/>
    <w:rsid w:val="000C5321"/>
    <w:rsid w:val="000C5D08"/>
    <w:rsid w:val="000C64E4"/>
    <w:rsid w:val="000C6A44"/>
    <w:rsid w:val="000C6D3A"/>
    <w:rsid w:val="000D19F0"/>
    <w:rsid w:val="000D5132"/>
    <w:rsid w:val="000D6ABC"/>
    <w:rsid w:val="000D6BFD"/>
    <w:rsid w:val="000D7C83"/>
    <w:rsid w:val="000E0220"/>
    <w:rsid w:val="000E1227"/>
    <w:rsid w:val="000E2E27"/>
    <w:rsid w:val="000E53AD"/>
    <w:rsid w:val="000E643A"/>
    <w:rsid w:val="000E69A9"/>
    <w:rsid w:val="000E6F31"/>
    <w:rsid w:val="000E7AAE"/>
    <w:rsid w:val="000F0B81"/>
    <w:rsid w:val="000F0D8D"/>
    <w:rsid w:val="000F2A4D"/>
    <w:rsid w:val="000F3222"/>
    <w:rsid w:val="000F3263"/>
    <w:rsid w:val="000F3778"/>
    <w:rsid w:val="000F3897"/>
    <w:rsid w:val="000F3DC4"/>
    <w:rsid w:val="000F6CFB"/>
    <w:rsid w:val="000F6F69"/>
    <w:rsid w:val="000F6FA4"/>
    <w:rsid w:val="000F753A"/>
    <w:rsid w:val="00100091"/>
    <w:rsid w:val="00101E61"/>
    <w:rsid w:val="001020C1"/>
    <w:rsid w:val="00102C9F"/>
    <w:rsid w:val="00102DA5"/>
    <w:rsid w:val="00102DCE"/>
    <w:rsid w:val="00103D09"/>
    <w:rsid w:val="00103E4A"/>
    <w:rsid w:val="001046B6"/>
    <w:rsid w:val="00106FF3"/>
    <w:rsid w:val="001121FA"/>
    <w:rsid w:val="00112801"/>
    <w:rsid w:val="00114159"/>
    <w:rsid w:val="001147F5"/>
    <w:rsid w:val="001155C8"/>
    <w:rsid w:val="001210ED"/>
    <w:rsid w:val="0012193D"/>
    <w:rsid w:val="0012232D"/>
    <w:rsid w:val="00122BB9"/>
    <w:rsid w:val="0012369E"/>
    <w:rsid w:val="00123921"/>
    <w:rsid w:val="001247DB"/>
    <w:rsid w:val="00125450"/>
    <w:rsid w:val="001259AA"/>
    <w:rsid w:val="00125D14"/>
    <w:rsid w:val="001260D0"/>
    <w:rsid w:val="00127344"/>
    <w:rsid w:val="001276EF"/>
    <w:rsid w:val="001279B7"/>
    <w:rsid w:val="00127C71"/>
    <w:rsid w:val="00131598"/>
    <w:rsid w:val="001316F4"/>
    <w:rsid w:val="00131A33"/>
    <w:rsid w:val="00131B5F"/>
    <w:rsid w:val="00131E05"/>
    <w:rsid w:val="00133769"/>
    <w:rsid w:val="001345A0"/>
    <w:rsid w:val="00134E9E"/>
    <w:rsid w:val="00134FF0"/>
    <w:rsid w:val="0013752F"/>
    <w:rsid w:val="00137989"/>
    <w:rsid w:val="001410A7"/>
    <w:rsid w:val="00141F88"/>
    <w:rsid w:val="0014418F"/>
    <w:rsid w:val="00144549"/>
    <w:rsid w:val="00147D24"/>
    <w:rsid w:val="00150518"/>
    <w:rsid w:val="00150C19"/>
    <w:rsid w:val="00150DB0"/>
    <w:rsid w:val="001518A4"/>
    <w:rsid w:val="00153521"/>
    <w:rsid w:val="001537A5"/>
    <w:rsid w:val="00156651"/>
    <w:rsid w:val="00156D28"/>
    <w:rsid w:val="0015701E"/>
    <w:rsid w:val="00157C83"/>
    <w:rsid w:val="00161E73"/>
    <w:rsid w:val="00162D05"/>
    <w:rsid w:val="001634DE"/>
    <w:rsid w:val="00170A22"/>
    <w:rsid w:val="00171AC4"/>
    <w:rsid w:val="00171B4C"/>
    <w:rsid w:val="00173C62"/>
    <w:rsid w:val="00174FCE"/>
    <w:rsid w:val="0017674C"/>
    <w:rsid w:val="00176A74"/>
    <w:rsid w:val="00176E7A"/>
    <w:rsid w:val="00177866"/>
    <w:rsid w:val="00177CFC"/>
    <w:rsid w:val="00180508"/>
    <w:rsid w:val="00180519"/>
    <w:rsid w:val="001846C4"/>
    <w:rsid w:val="00187B6A"/>
    <w:rsid w:val="0019267A"/>
    <w:rsid w:val="00197840"/>
    <w:rsid w:val="001A02E8"/>
    <w:rsid w:val="001A127E"/>
    <w:rsid w:val="001A25E0"/>
    <w:rsid w:val="001A283F"/>
    <w:rsid w:val="001A3017"/>
    <w:rsid w:val="001A315C"/>
    <w:rsid w:val="001A3702"/>
    <w:rsid w:val="001A4278"/>
    <w:rsid w:val="001A60D6"/>
    <w:rsid w:val="001A72AC"/>
    <w:rsid w:val="001B059A"/>
    <w:rsid w:val="001B0FE3"/>
    <w:rsid w:val="001B1224"/>
    <w:rsid w:val="001B1774"/>
    <w:rsid w:val="001B1D39"/>
    <w:rsid w:val="001B1D4C"/>
    <w:rsid w:val="001B23F5"/>
    <w:rsid w:val="001B32C8"/>
    <w:rsid w:val="001B3BF7"/>
    <w:rsid w:val="001C0BD0"/>
    <w:rsid w:val="001C4645"/>
    <w:rsid w:val="001C57DE"/>
    <w:rsid w:val="001C5F10"/>
    <w:rsid w:val="001C6236"/>
    <w:rsid w:val="001C6565"/>
    <w:rsid w:val="001D224A"/>
    <w:rsid w:val="001D24FB"/>
    <w:rsid w:val="001D5262"/>
    <w:rsid w:val="001D75AD"/>
    <w:rsid w:val="001E12F2"/>
    <w:rsid w:val="001E3402"/>
    <w:rsid w:val="001E38D1"/>
    <w:rsid w:val="001E427B"/>
    <w:rsid w:val="001E65B2"/>
    <w:rsid w:val="001F0D77"/>
    <w:rsid w:val="001F4EC4"/>
    <w:rsid w:val="001F5C42"/>
    <w:rsid w:val="001F724E"/>
    <w:rsid w:val="00201063"/>
    <w:rsid w:val="0020111E"/>
    <w:rsid w:val="002027AF"/>
    <w:rsid w:val="00203679"/>
    <w:rsid w:val="002041A4"/>
    <w:rsid w:val="0020437B"/>
    <w:rsid w:val="00204C48"/>
    <w:rsid w:val="0020662F"/>
    <w:rsid w:val="00207AD7"/>
    <w:rsid w:val="00207D6E"/>
    <w:rsid w:val="00210494"/>
    <w:rsid w:val="002108BF"/>
    <w:rsid w:val="00210ABA"/>
    <w:rsid w:val="002112BF"/>
    <w:rsid w:val="00212F62"/>
    <w:rsid w:val="002132EC"/>
    <w:rsid w:val="0021358A"/>
    <w:rsid w:val="00216493"/>
    <w:rsid w:val="00221522"/>
    <w:rsid w:val="00221ACD"/>
    <w:rsid w:val="00224137"/>
    <w:rsid w:val="002276CC"/>
    <w:rsid w:val="00232747"/>
    <w:rsid w:val="002336F1"/>
    <w:rsid w:val="00233F30"/>
    <w:rsid w:val="00235C02"/>
    <w:rsid w:val="002369E0"/>
    <w:rsid w:val="00242C99"/>
    <w:rsid w:val="0025021B"/>
    <w:rsid w:val="00251072"/>
    <w:rsid w:val="002543B2"/>
    <w:rsid w:val="00257659"/>
    <w:rsid w:val="00265299"/>
    <w:rsid w:val="00265382"/>
    <w:rsid w:val="00265821"/>
    <w:rsid w:val="00266EF0"/>
    <w:rsid w:val="00271F03"/>
    <w:rsid w:val="00272E6B"/>
    <w:rsid w:val="002734F6"/>
    <w:rsid w:val="00273884"/>
    <w:rsid w:val="002746C1"/>
    <w:rsid w:val="0027493D"/>
    <w:rsid w:val="00275880"/>
    <w:rsid w:val="0027663F"/>
    <w:rsid w:val="00280678"/>
    <w:rsid w:val="002819BE"/>
    <w:rsid w:val="0028476F"/>
    <w:rsid w:val="00286572"/>
    <w:rsid w:val="0028794F"/>
    <w:rsid w:val="00290ADD"/>
    <w:rsid w:val="0029101F"/>
    <w:rsid w:val="00292D6F"/>
    <w:rsid w:val="00294805"/>
    <w:rsid w:val="00294B78"/>
    <w:rsid w:val="002954F7"/>
    <w:rsid w:val="0029596D"/>
    <w:rsid w:val="00296163"/>
    <w:rsid w:val="00296A64"/>
    <w:rsid w:val="0029770C"/>
    <w:rsid w:val="002A1F24"/>
    <w:rsid w:val="002A2752"/>
    <w:rsid w:val="002A433D"/>
    <w:rsid w:val="002A7059"/>
    <w:rsid w:val="002B3F3E"/>
    <w:rsid w:val="002B59E9"/>
    <w:rsid w:val="002B69F8"/>
    <w:rsid w:val="002B6EA3"/>
    <w:rsid w:val="002B738D"/>
    <w:rsid w:val="002C0C2F"/>
    <w:rsid w:val="002C1940"/>
    <w:rsid w:val="002C60CB"/>
    <w:rsid w:val="002D0D4E"/>
    <w:rsid w:val="002D2477"/>
    <w:rsid w:val="002D2AB3"/>
    <w:rsid w:val="002D3A39"/>
    <w:rsid w:val="002D4E89"/>
    <w:rsid w:val="002E1518"/>
    <w:rsid w:val="002E3025"/>
    <w:rsid w:val="002E3552"/>
    <w:rsid w:val="002E458A"/>
    <w:rsid w:val="002E6489"/>
    <w:rsid w:val="002F0D16"/>
    <w:rsid w:val="002F3BC3"/>
    <w:rsid w:val="002F3D1D"/>
    <w:rsid w:val="002F6688"/>
    <w:rsid w:val="00301EC5"/>
    <w:rsid w:val="003027F6"/>
    <w:rsid w:val="003032FC"/>
    <w:rsid w:val="00303EFC"/>
    <w:rsid w:val="003052B5"/>
    <w:rsid w:val="003063D4"/>
    <w:rsid w:val="00307234"/>
    <w:rsid w:val="00310B20"/>
    <w:rsid w:val="00313490"/>
    <w:rsid w:val="00315079"/>
    <w:rsid w:val="0031526F"/>
    <w:rsid w:val="003162C7"/>
    <w:rsid w:val="003165A9"/>
    <w:rsid w:val="003178E9"/>
    <w:rsid w:val="0031794F"/>
    <w:rsid w:val="00321C99"/>
    <w:rsid w:val="00322D07"/>
    <w:rsid w:val="00324118"/>
    <w:rsid w:val="00327413"/>
    <w:rsid w:val="003279B2"/>
    <w:rsid w:val="003334E7"/>
    <w:rsid w:val="00333F2A"/>
    <w:rsid w:val="00334A25"/>
    <w:rsid w:val="00334F95"/>
    <w:rsid w:val="00334FD0"/>
    <w:rsid w:val="00335265"/>
    <w:rsid w:val="00336AF4"/>
    <w:rsid w:val="00336CAF"/>
    <w:rsid w:val="00336FC6"/>
    <w:rsid w:val="003370D8"/>
    <w:rsid w:val="00337649"/>
    <w:rsid w:val="00342FD4"/>
    <w:rsid w:val="0034351E"/>
    <w:rsid w:val="00343EDF"/>
    <w:rsid w:val="00346019"/>
    <w:rsid w:val="00352B85"/>
    <w:rsid w:val="003538D4"/>
    <w:rsid w:val="00360347"/>
    <w:rsid w:val="003609EE"/>
    <w:rsid w:val="00360A43"/>
    <w:rsid w:val="003613D1"/>
    <w:rsid w:val="00365651"/>
    <w:rsid w:val="003668A7"/>
    <w:rsid w:val="0037016E"/>
    <w:rsid w:val="0037027B"/>
    <w:rsid w:val="003705A0"/>
    <w:rsid w:val="00371BF2"/>
    <w:rsid w:val="00372D5E"/>
    <w:rsid w:val="00375601"/>
    <w:rsid w:val="00376502"/>
    <w:rsid w:val="00377EEA"/>
    <w:rsid w:val="0038128A"/>
    <w:rsid w:val="003850C7"/>
    <w:rsid w:val="0038513A"/>
    <w:rsid w:val="003870DA"/>
    <w:rsid w:val="0039020D"/>
    <w:rsid w:val="00390507"/>
    <w:rsid w:val="00394617"/>
    <w:rsid w:val="0039559D"/>
    <w:rsid w:val="003A06A0"/>
    <w:rsid w:val="003A0CD1"/>
    <w:rsid w:val="003B133A"/>
    <w:rsid w:val="003B1B27"/>
    <w:rsid w:val="003B5F6B"/>
    <w:rsid w:val="003B5F9D"/>
    <w:rsid w:val="003C1BC6"/>
    <w:rsid w:val="003C1D6D"/>
    <w:rsid w:val="003C3120"/>
    <w:rsid w:val="003C50D7"/>
    <w:rsid w:val="003D1A88"/>
    <w:rsid w:val="003D1A9C"/>
    <w:rsid w:val="003D22B2"/>
    <w:rsid w:val="003D2E9A"/>
    <w:rsid w:val="003D560A"/>
    <w:rsid w:val="003D716B"/>
    <w:rsid w:val="003E0546"/>
    <w:rsid w:val="003E2C1F"/>
    <w:rsid w:val="003E35E2"/>
    <w:rsid w:val="003E4398"/>
    <w:rsid w:val="003E52DF"/>
    <w:rsid w:val="003E7787"/>
    <w:rsid w:val="003F11AC"/>
    <w:rsid w:val="003F2A81"/>
    <w:rsid w:val="003F392E"/>
    <w:rsid w:val="003F5EB7"/>
    <w:rsid w:val="003F766B"/>
    <w:rsid w:val="0040013A"/>
    <w:rsid w:val="00401FF2"/>
    <w:rsid w:val="00404246"/>
    <w:rsid w:val="004065AB"/>
    <w:rsid w:val="0040712D"/>
    <w:rsid w:val="004072A5"/>
    <w:rsid w:val="00410F1E"/>
    <w:rsid w:val="00411FE6"/>
    <w:rsid w:val="00415217"/>
    <w:rsid w:val="004156BA"/>
    <w:rsid w:val="004163BA"/>
    <w:rsid w:val="00416D8E"/>
    <w:rsid w:val="004215C0"/>
    <w:rsid w:val="004268E9"/>
    <w:rsid w:val="004273E7"/>
    <w:rsid w:val="004276B9"/>
    <w:rsid w:val="0042790F"/>
    <w:rsid w:val="00427A8C"/>
    <w:rsid w:val="00430E67"/>
    <w:rsid w:val="004335B9"/>
    <w:rsid w:val="0043473F"/>
    <w:rsid w:val="00434EE0"/>
    <w:rsid w:val="004374DA"/>
    <w:rsid w:val="00441A4E"/>
    <w:rsid w:val="00443A46"/>
    <w:rsid w:val="00444CC5"/>
    <w:rsid w:val="0044635D"/>
    <w:rsid w:val="00447B20"/>
    <w:rsid w:val="00451B1C"/>
    <w:rsid w:val="00453A4B"/>
    <w:rsid w:val="004543BC"/>
    <w:rsid w:val="00454FB2"/>
    <w:rsid w:val="004568E4"/>
    <w:rsid w:val="00460161"/>
    <w:rsid w:val="00460A8B"/>
    <w:rsid w:val="0046277C"/>
    <w:rsid w:val="00463254"/>
    <w:rsid w:val="0046767F"/>
    <w:rsid w:val="004701D5"/>
    <w:rsid w:val="004713C9"/>
    <w:rsid w:val="00471C3B"/>
    <w:rsid w:val="004727BE"/>
    <w:rsid w:val="00472CC6"/>
    <w:rsid w:val="0047361F"/>
    <w:rsid w:val="00474CF8"/>
    <w:rsid w:val="0047535C"/>
    <w:rsid w:val="00476E35"/>
    <w:rsid w:val="00476E68"/>
    <w:rsid w:val="00480950"/>
    <w:rsid w:val="00482478"/>
    <w:rsid w:val="00483330"/>
    <w:rsid w:val="004868D1"/>
    <w:rsid w:val="00490E38"/>
    <w:rsid w:val="00491820"/>
    <w:rsid w:val="004922F3"/>
    <w:rsid w:val="00492DD9"/>
    <w:rsid w:val="004940D3"/>
    <w:rsid w:val="00497EDA"/>
    <w:rsid w:val="004A222B"/>
    <w:rsid w:val="004A303E"/>
    <w:rsid w:val="004A3FBB"/>
    <w:rsid w:val="004A43E9"/>
    <w:rsid w:val="004A5E75"/>
    <w:rsid w:val="004A5E9F"/>
    <w:rsid w:val="004A686D"/>
    <w:rsid w:val="004B1B0F"/>
    <w:rsid w:val="004B1D0C"/>
    <w:rsid w:val="004B23F1"/>
    <w:rsid w:val="004B32C5"/>
    <w:rsid w:val="004B4017"/>
    <w:rsid w:val="004B6F76"/>
    <w:rsid w:val="004B736D"/>
    <w:rsid w:val="004C0758"/>
    <w:rsid w:val="004C1B9A"/>
    <w:rsid w:val="004C2025"/>
    <w:rsid w:val="004C3AEB"/>
    <w:rsid w:val="004C58FC"/>
    <w:rsid w:val="004C5C79"/>
    <w:rsid w:val="004D081B"/>
    <w:rsid w:val="004D0E04"/>
    <w:rsid w:val="004D102F"/>
    <w:rsid w:val="004D1B1A"/>
    <w:rsid w:val="004D1D4C"/>
    <w:rsid w:val="004D207D"/>
    <w:rsid w:val="004D28F2"/>
    <w:rsid w:val="004D5E40"/>
    <w:rsid w:val="004D7291"/>
    <w:rsid w:val="004D772E"/>
    <w:rsid w:val="004E0430"/>
    <w:rsid w:val="004E1F64"/>
    <w:rsid w:val="004E20BF"/>
    <w:rsid w:val="004E4650"/>
    <w:rsid w:val="004E5181"/>
    <w:rsid w:val="004F0603"/>
    <w:rsid w:val="004F1006"/>
    <w:rsid w:val="004F100D"/>
    <w:rsid w:val="004F3350"/>
    <w:rsid w:val="004F563A"/>
    <w:rsid w:val="004F5E34"/>
    <w:rsid w:val="004F713F"/>
    <w:rsid w:val="0050027E"/>
    <w:rsid w:val="0050032E"/>
    <w:rsid w:val="0050216C"/>
    <w:rsid w:val="00506CF8"/>
    <w:rsid w:val="0050736C"/>
    <w:rsid w:val="00512C92"/>
    <w:rsid w:val="005141FE"/>
    <w:rsid w:val="00515008"/>
    <w:rsid w:val="0051541E"/>
    <w:rsid w:val="00517717"/>
    <w:rsid w:val="00520E7C"/>
    <w:rsid w:val="00524793"/>
    <w:rsid w:val="00524EA6"/>
    <w:rsid w:val="00526207"/>
    <w:rsid w:val="0052766B"/>
    <w:rsid w:val="00531B38"/>
    <w:rsid w:val="00531D60"/>
    <w:rsid w:val="00531FE4"/>
    <w:rsid w:val="00532985"/>
    <w:rsid w:val="00537E98"/>
    <w:rsid w:val="00541BEB"/>
    <w:rsid w:val="0054237D"/>
    <w:rsid w:val="005426B3"/>
    <w:rsid w:val="00543725"/>
    <w:rsid w:val="00543D8E"/>
    <w:rsid w:val="005440E4"/>
    <w:rsid w:val="00544899"/>
    <w:rsid w:val="00545B95"/>
    <w:rsid w:val="005540EB"/>
    <w:rsid w:val="00554234"/>
    <w:rsid w:val="0055600C"/>
    <w:rsid w:val="0055620C"/>
    <w:rsid w:val="005565E5"/>
    <w:rsid w:val="005566BD"/>
    <w:rsid w:val="0055694F"/>
    <w:rsid w:val="005609C6"/>
    <w:rsid w:val="005617CF"/>
    <w:rsid w:val="00561A94"/>
    <w:rsid w:val="00562193"/>
    <w:rsid w:val="005625A3"/>
    <w:rsid w:val="00562BA7"/>
    <w:rsid w:val="0056366E"/>
    <w:rsid w:val="00565645"/>
    <w:rsid w:val="00567843"/>
    <w:rsid w:val="005678FA"/>
    <w:rsid w:val="00567A21"/>
    <w:rsid w:val="005739D2"/>
    <w:rsid w:val="00574C1F"/>
    <w:rsid w:val="00575AFD"/>
    <w:rsid w:val="005764A1"/>
    <w:rsid w:val="005766C8"/>
    <w:rsid w:val="00576E60"/>
    <w:rsid w:val="00577649"/>
    <w:rsid w:val="00577848"/>
    <w:rsid w:val="00577D33"/>
    <w:rsid w:val="00580834"/>
    <w:rsid w:val="00580EBD"/>
    <w:rsid w:val="00583ADD"/>
    <w:rsid w:val="00583C07"/>
    <w:rsid w:val="0058469D"/>
    <w:rsid w:val="00584C61"/>
    <w:rsid w:val="00585860"/>
    <w:rsid w:val="00586CB3"/>
    <w:rsid w:val="00587AC9"/>
    <w:rsid w:val="00591DAC"/>
    <w:rsid w:val="00592BD1"/>
    <w:rsid w:val="00593603"/>
    <w:rsid w:val="00593B68"/>
    <w:rsid w:val="00596611"/>
    <w:rsid w:val="005A10A8"/>
    <w:rsid w:val="005A18A0"/>
    <w:rsid w:val="005A200C"/>
    <w:rsid w:val="005A20D4"/>
    <w:rsid w:val="005A20F8"/>
    <w:rsid w:val="005A32E5"/>
    <w:rsid w:val="005A357C"/>
    <w:rsid w:val="005A6FF9"/>
    <w:rsid w:val="005B0B41"/>
    <w:rsid w:val="005B2B3C"/>
    <w:rsid w:val="005B4C72"/>
    <w:rsid w:val="005B5994"/>
    <w:rsid w:val="005B65AC"/>
    <w:rsid w:val="005B6E22"/>
    <w:rsid w:val="005B6FCD"/>
    <w:rsid w:val="005C1AB9"/>
    <w:rsid w:val="005C2C88"/>
    <w:rsid w:val="005C3EE2"/>
    <w:rsid w:val="005C4E2C"/>
    <w:rsid w:val="005C5D7C"/>
    <w:rsid w:val="005C60EB"/>
    <w:rsid w:val="005D0943"/>
    <w:rsid w:val="005D45EC"/>
    <w:rsid w:val="005D635C"/>
    <w:rsid w:val="005D77FF"/>
    <w:rsid w:val="005E25D7"/>
    <w:rsid w:val="005E2A31"/>
    <w:rsid w:val="005E35C7"/>
    <w:rsid w:val="005E5B68"/>
    <w:rsid w:val="005F04DD"/>
    <w:rsid w:val="005F0B42"/>
    <w:rsid w:val="005F150F"/>
    <w:rsid w:val="005F1CE5"/>
    <w:rsid w:val="005F363C"/>
    <w:rsid w:val="005F3735"/>
    <w:rsid w:val="005F763A"/>
    <w:rsid w:val="00600A63"/>
    <w:rsid w:val="00601181"/>
    <w:rsid w:val="00601C28"/>
    <w:rsid w:val="00603A2F"/>
    <w:rsid w:val="00604495"/>
    <w:rsid w:val="006057DA"/>
    <w:rsid w:val="00606CB6"/>
    <w:rsid w:val="0061080A"/>
    <w:rsid w:val="00611D9B"/>
    <w:rsid w:val="00612D84"/>
    <w:rsid w:val="0061401E"/>
    <w:rsid w:val="00614DB9"/>
    <w:rsid w:val="00615E1F"/>
    <w:rsid w:val="0061789A"/>
    <w:rsid w:val="00617AD8"/>
    <w:rsid w:val="00622437"/>
    <w:rsid w:val="00622880"/>
    <w:rsid w:val="00624091"/>
    <w:rsid w:val="00625666"/>
    <w:rsid w:val="00626114"/>
    <w:rsid w:val="00626A18"/>
    <w:rsid w:val="006304E3"/>
    <w:rsid w:val="00633F02"/>
    <w:rsid w:val="00634835"/>
    <w:rsid w:val="0063530A"/>
    <w:rsid w:val="006368E0"/>
    <w:rsid w:val="00641472"/>
    <w:rsid w:val="00642468"/>
    <w:rsid w:val="00643147"/>
    <w:rsid w:val="006435B7"/>
    <w:rsid w:val="00643CE5"/>
    <w:rsid w:val="00643EC3"/>
    <w:rsid w:val="0064485B"/>
    <w:rsid w:val="0064487F"/>
    <w:rsid w:val="00644E23"/>
    <w:rsid w:val="00645683"/>
    <w:rsid w:val="00645DD3"/>
    <w:rsid w:val="00646AA8"/>
    <w:rsid w:val="006470C2"/>
    <w:rsid w:val="00650C72"/>
    <w:rsid w:val="00651203"/>
    <w:rsid w:val="00654568"/>
    <w:rsid w:val="00655B91"/>
    <w:rsid w:val="00656D03"/>
    <w:rsid w:val="00661156"/>
    <w:rsid w:val="006639DA"/>
    <w:rsid w:val="0066470D"/>
    <w:rsid w:val="00664B41"/>
    <w:rsid w:val="00665144"/>
    <w:rsid w:val="00667220"/>
    <w:rsid w:val="006676B9"/>
    <w:rsid w:val="00672D65"/>
    <w:rsid w:val="006732D3"/>
    <w:rsid w:val="00675C4E"/>
    <w:rsid w:val="00676BCD"/>
    <w:rsid w:val="00676CEF"/>
    <w:rsid w:val="00677A3E"/>
    <w:rsid w:val="00680941"/>
    <w:rsid w:val="0068135D"/>
    <w:rsid w:val="00681CB2"/>
    <w:rsid w:val="00683DA6"/>
    <w:rsid w:val="0068497F"/>
    <w:rsid w:val="00684E34"/>
    <w:rsid w:val="00685D0C"/>
    <w:rsid w:val="00686872"/>
    <w:rsid w:val="00690866"/>
    <w:rsid w:val="00694980"/>
    <w:rsid w:val="006A2A4B"/>
    <w:rsid w:val="006A2F58"/>
    <w:rsid w:val="006A4225"/>
    <w:rsid w:val="006A4261"/>
    <w:rsid w:val="006A4F9C"/>
    <w:rsid w:val="006A7448"/>
    <w:rsid w:val="006B0AA9"/>
    <w:rsid w:val="006B1DF5"/>
    <w:rsid w:val="006B3037"/>
    <w:rsid w:val="006B4092"/>
    <w:rsid w:val="006B6BC2"/>
    <w:rsid w:val="006C1681"/>
    <w:rsid w:val="006C2F60"/>
    <w:rsid w:val="006C3950"/>
    <w:rsid w:val="006C681F"/>
    <w:rsid w:val="006C7D81"/>
    <w:rsid w:val="006D121E"/>
    <w:rsid w:val="006D1F2D"/>
    <w:rsid w:val="006D242F"/>
    <w:rsid w:val="006D3C1A"/>
    <w:rsid w:val="006D49EC"/>
    <w:rsid w:val="006D4AAC"/>
    <w:rsid w:val="006D6AAD"/>
    <w:rsid w:val="006D7229"/>
    <w:rsid w:val="006E11B2"/>
    <w:rsid w:val="006E18ED"/>
    <w:rsid w:val="006E2663"/>
    <w:rsid w:val="006E7E2A"/>
    <w:rsid w:val="006F42EC"/>
    <w:rsid w:val="006F4434"/>
    <w:rsid w:val="006F730C"/>
    <w:rsid w:val="00700EB6"/>
    <w:rsid w:val="0070165B"/>
    <w:rsid w:val="00702E30"/>
    <w:rsid w:val="00704982"/>
    <w:rsid w:val="00704EEB"/>
    <w:rsid w:val="007055A8"/>
    <w:rsid w:val="007077ED"/>
    <w:rsid w:val="00711833"/>
    <w:rsid w:val="00711D52"/>
    <w:rsid w:val="007129E2"/>
    <w:rsid w:val="00712A9B"/>
    <w:rsid w:val="00716271"/>
    <w:rsid w:val="00716A1E"/>
    <w:rsid w:val="00716C13"/>
    <w:rsid w:val="007171D3"/>
    <w:rsid w:val="00722392"/>
    <w:rsid w:val="0072424A"/>
    <w:rsid w:val="00724895"/>
    <w:rsid w:val="00724C38"/>
    <w:rsid w:val="007253EC"/>
    <w:rsid w:val="00725DEC"/>
    <w:rsid w:val="00726FE9"/>
    <w:rsid w:val="0073464C"/>
    <w:rsid w:val="007352B0"/>
    <w:rsid w:val="00736360"/>
    <w:rsid w:val="007378E7"/>
    <w:rsid w:val="00737CA1"/>
    <w:rsid w:val="00740E95"/>
    <w:rsid w:val="0074245C"/>
    <w:rsid w:val="00742B9F"/>
    <w:rsid w:val="00743B59"/>
    <w:rsid w:val="007441F4"/>
    <w:rsid w:val="00744D65"/>
    <w:rsid w:val="0074529E"/>
    <w:rsid w:val="00745873"/>
    <w:rsid w:val="007465A4"/>
    <w:rsid w:val="007466F8"/>
    <w:rsid w:val="00746D10"/>
    <w:rsid w:val="0074721D"/>
    <w:rsid w:val="00751B52"/>
    <w:rsid w:val="007645E8"/>
    <w:rsid w:val="00764904"/>
    <w:rsid w:val="0077014C"/>
    <w:rsid w:val="00770ECB"/>
    <w:rsid w:val="007723CF"/>
    <w:rsid w:val="007740A2"/>
    <w:rsid w:val="007748BD"/>
    <w:rsid w:val="00775966"/>
    <w:rsid w:val="00777ABD"/>
    <w:rsid w:val="00777F82"/>
    <w:rsid w:val="00780D3C"/>
    <w:rsid w:val="007814BE"/>
    <w:rsid w:val="00781BCB"/>
    <w:rsid w:val="00781DC3"/>
    <w:rsid w:val="00783211"/>
    <w:rsid w:val="007836C7"/>
    <w:rsid w:val="00786A12"/>
    <w:rsid w:val="0079049F"/>
    <w:rsid w:val="00790DAE"/>
    <w:rsid w:val="007917C5"/>
    <w:rsid w:val="00791822"/>
    <w:rsid w:val="007928C1"/>
    <w:rsid w:val="00794492"/>
    <w:rsid w:val="00794A8E"/>
    <w:rsid w:val="00796789"/>
    <w:rsid w:val="00796838"/>
    <w:rsid w:val="00797C30"/>
    <w:rsid w:val="007A075D"/>
    <w:rsid w:val="007A14C4"/>
    <w:rsid w:val="007A4667"/>
    <w:rsid w:val="007A5DCF"/>
    <w:rsid w:val="007B0DA5"/>
    <w:rsid w:val="007B13A5"/>
    <w:rsid w:val="007B48BC"/>
    <w:rsid w:val="007B5316"/>
    <w:rsid w:val="007B5402"/>
    <w:rsid w:val="007B5623"/>
    <w:rsid w:val="007B57BC"/>
    <w:rsid w:val="007B58C5"/>
    <w:rsid w:val="007B6DF9"/>
    <w:rsid w:val="007B72D8"/>
    <w:rsid w:val="007B7C07"/>
    <w:rsid w:val="007C1D7F"/>
    <w:rsid w:val="007C32EE"/>
    <w:rsid w:val="007C43B3"/>
    <w:rsid w:val="007C57D8"/>
    <w:rsid w:val="007C5AEC"/>
    <w:rsid w:val="007C65ED"/>
    <w:rsid w:val="007D031B"/>
    <w:rsid w:val="007D06E5"/>
    <w:rsid w:val="007D078F"/>
    <w:rsid w:val="007D3E24"/>
    <w:rsid w:val="007D6B40"/>
    <w:rsid w:val="007D6D2D"/>
    <w:rsid w:val="007E1E31"/>
    <w:rsid w:val="007E208F"/>
    <w:rsid w:val="007E74EA"/>
    <w:rsid w:val="007F042B"/>
    <w:rsid w:val="007F0D5B"/>
    <w:rsid w:val="007F2603"/>
    <w:rsid w:val="007F38A5"/>
    <w:rsid w:val="007F5651"/>
    <w:rsid w:val="007F6B5E"/>
    <w:rsid w:val="00804381"/>
    <w:rsid w:val="00805965"/>
    <w:rsid w:val="00806C7F"/>
    <w:rsid w:val="00807324"/>
    <w:rsid w:val="00811383"/>
    <w:rsid w:val="0081199D"/>
    <w:rsid w:val="00812DE4"/>
    <w:rsid w:val="008138B4"/>
    <w:rsid w:val="00814123"/>
    <w:rsid w:val="008142FB"/>
    <w:rsid w:val="008147B1"/>
    <w:rsid w:val="008153E3"/>
    <w:rsid w:val="00815D50"/>
    <w:rsid w:val="00816D5D"/>
    <w:rsid w:val="008202A5"/>
    <w:rsid w:val="00820881"/>
    <w:rsid w:val="00822186"/>
    <w:rsid w:val="00822E81"/>
    <w:rsid w:val="008232A4"/>
    <w:rsid w:val="008246E9"/>
    <w:rsid w:val="0082656C"/>
    <w:rsid w:val="0082661B"/>
    <w:rsid w:val="00830886"/>
    <w:rsid w:val="0083174B"/>
    <w:rsid w:val="00832132"/>
    <w:rsid w:val="00835990"/>
    <w:rsid w:val="008446B3"/>
    <w:rsid w:val="008447D1"/>
    <w:rsid w:val="00846017"/>
    <w:rsid w:val="00847CC8"/>
    <w:rsid w:val="008549B1"/>
    <w:rsid w:val="00862635"/>
    <w:rsid w:val="008629E5"/>
    <w:rsid w:val="008703EC"/>
    <w:rsid w:val="0087366D"/>
    <w:rsid w:val="00873DAE"/>
    <w:rsid w:val="00874B82"/>
    <w:rsid w:val="0087590A"/>
    <w:rsid w:val="008779F0"/>
    <w:rsid w:val="00882549"/>
    <w:rsid w:val="008832F2"/>
    <w:rsid w:val="00886C9D"/>
    <w:rsid w:val="00886E4E"/>
    <w:rsid w:val="00890CF7"/>
    <w:rsid w:val="00890EDF"/>
    <w:rsid w:val="008918EA"/>
    <w:rsid w:val="00891C90"/>
    <w:rsid w:val="00891D48"/>
    <w:rsid w:val="0089223C"/>
    <w:rsid w:val="00892BAC"/>
    <w:rsid w:val="008932A3"/>
    <w:rsid w:val="008940A4"/>
    <w:rsid w:val="00894CE2"/>
    <w:rsid w:val="008950DA"/>
    <w:rsid w:val="00896130"/>
    <w:rsid w:val="00897AAD"/>
    <w:rsid w:val="00897B8E"/>
    <w:rsid w:val="008A0F75"/>
    <w:rsid w:val="008A2355"/>
    <w:rsid w:val="008A37F6"/>
    <w:rsid w:val="008A7469"/>
    <w:rsid w:val="008B09FE"/>
    <w:rsid w:val="008B213A"/>
    <w:rsid w:val="008B2176"/>
    <w:rsid w:val="008B3DFD"/>
    <w:rsid w:val="008B41AB"/>
    <w:rsid w:val="008B4398"/>
    <w:rsid w:val="008B4769"/>
    <w:rsid w:val="008B4865"/>
    <w:rsid w:val="008B4EC7"/>
    <w:rsid w:val="008B5071"/>
    <w:rsid w:val="008B536F"/>
    <w:rsid w:val="008B5C02"/>
    <w:rsid w:val="008B6F30"/>
    <w:rsid w:val="008B744B"/>
    <w:rsid w:val="008C002B"/>
    <w:rsid w:val="008C32F3"/>
    <w:rsid w:val="008C49C5"/>
    <w:rsid w:val="008C7447"/>
    <w:rsid w:val="008D183B"/>
    <w:rsid w:val="008D18B6"/>
    <w:rsid w:val="008D1B9E"/>
    <w:rsid w:val="008D2B0C"/>
    <w:rsid w:val="008D308F"/>
    <w:rsid w:val="008D3161"/>
    <w:rsid w:val="008D46DE"/>
    <w:rsid w:val="008D4C2C"/>
    <w:rsid w:val="008D5C91"/>
    <w:rsid w:val="008D61CF"/>
    <w:rsid w:val="008E2946"/>
    <w:rsid w:val="008E31EE"/>
    <w:rsid w:val="008E48B0"/>
    <w:rsid w:val="008E5652"/>
    <w:rsid w:val="008E57BB"/>
    <w:rsid w:val="008E580F"/>
    <w:rsid w:val="008E6E5A"/>
    <w:rsid w:val="008E7886"/>
    <w:rsid w:val="008F11DF"/>
    <w:rsid w:val="008F3F62"/>
    <w:rsid w:val="008F58E1"/>
    <w:rsid w:val="008F6E36"/>
    <w:rsid w:val="008F70B5"/>
    <w:rsid w:val="008F7AC4"/>
    <w:rsid w:val="009005C2"/>
    <w:rsid w:val="00901A45"/>
    <w:rsid w:val="00902E70"/>
    <w:rsid w:val="009040A1"/>
    <w:rsid w:val="0090528A"/>
    <w:rsid w:val="0090529A"/>
    <w:rsid w:val="00905F18"/>
    <w:rsid w:val="00905F79"/>
    <w:rsid w:val="0091181E"/>
    <w:rsid w:val="0091216A"/>
    <w:rsid w:val="00912DB2"/>
    <w:rsid w:val="00914F08"/>
    <w:rsid w:val="009167B4"/>
    <w:rsid w:val="00916D0F"/>
    <w:rsid w:val="00923B3B"/>
    <w:rsid w:val="00924DFE"/>
    <w:rsid w:val="00925CE2"/>
    <w:rsid w:val="00926D2F"/>
    <w:rsid w:val="00930764"/>
    <w:rsid w:val="00931621"/>
    <w:rsid w:val="00931657"/>
    <w:rsid w:val="009334AE"/>
    <w:rsid w:val="00933735"/>
    <w:rsid w:val="00934542"/>
    <w:rsid w:val="00934B30"/>
    <w:rsid w:val="0093530C"/>
    <w:rsid w:val="009354C0"/>
    <w:rsid w:val="00935CE0"/>
    <w:rsid w:val="00936BE1"/>
    <w:rsid w:val="00942D55"/>
    <w:rsid w:val="00944313"/>
    <w:rsid w:val="009452FD"/>
    <w:rsid w:val="00946100"/>
    <w:rsid w:val="009466DB"/>
    <w:rsid w:val="00952B96"/>
    <w:rsid w:val="00955B19"/>
    <w:rsid w:val="00956E3C"/>
    <w:rsid w:val="00957E64"/>
    <w:rsid w:val="009605C7"/>
    <w:rsid w:val="00961303"/>
    <w:rsid w:val="00965197"/>
    <w:rsid w:val="00966A3C"/>
    <w:rsid w:val="00971018"/>
    <w:rsid w:val="00973290"/>
    <w:rsid w:val="00975821"/>
    <w:rsid w:val="00975FB9"/>
    <w:rsid w:val="009822AE"/>
    <w:rsid w:val="0098231D"/>
    <w:rsid w:val="00983877"/>
    <w:rsid w:val="00983992"/>
    <w:rsid w:val="00987322"/>
    <w:rsid w:val="00987E07"/>
    <w:rsid w:val="0099079A"/>
    <w:rsid w:val="009909E4"/>
    <w:rsid w:val="009924B1"/>
    <w:rsid w:val="00993E17"/>
    <w:rsid w:val="0099570D"/>
    <w:rsid w:val="009A1846"/>
    <w:rsid w:val="009A53FE"/>
    <w:rsid w:val="009A7A19"/>
    <w:rsid w:val="009B0E47"/>
    <w:rsid w:val="009B3593"/>
    <w:rsid w:val="009B3703"/>
    <w:rsid w:val="009B388A"/>
    <w:rsid w:val="009B6AD6"/>
    <w:rsid w:val="009B72E1"/>
    <w:rsid w:val="009B7E6A"/>
    <w:rsid w:val="009C07C5"/>
    <w:rsid w:val="009C3E11"/>
    <w:rsid w:val="009C52C8"/>
    <w:rsid w:val="009C54AD"/>
    <w:rsid w:val="009C62F3"/>
    <w:rsid w:val="009C76A0"/>
    <w:rsid w:val="009C7740"/>
    <w:rsid w:val="009D1A36"/>
    <w:rsid w:val="009D4F98"/>
    <w:rsid w:val="009E0C2A"/>
    <w:rsid w:val="009E0C65"/>
    <w:rsid w:val="009E1E4A"/>
    <w:rsid w:val="009E29E5"/>
    <w:rsid w:val="009E6376"/>
    <w:rsid w:val="009E7D25"/>
    <w:rsid w:val="009E7ED7"/>
    <w:rsid w:val="009F0D0F"/>
    <w:rsid w:val="009F117D"/>
    <w:rsid w:val="009F186A"/>
    <w:rsid w:val="009F2129"/>
    <w:rsid w:val="009F2CBE"/>
    <w:rsid w:val="009F3201"/>
    <w:rsid w:val="009F3480"/>
    <w:rsid w:val="009F3A16"/>
    <w:rsid w:val="009F5D6E"/>
    <w:rsid w:val="009F6A0D"/>
    <w:rsid w:val="009F6A4B"/>
    <w:rsid w:val="009F7C71"/>
    <w:rsid w:val="00A001E8"/>
    <w:rsid w:val="00A0337A"/>
    <w:rsid w:val="00A05EB6"/>
    <w:rsid w:val="00A06CF0"/>
    <w:rsid w:val="00A07AB7"/>
    <w:rsid w:val="00A11C96"/>
    <w:rsid w:val="00A152BC"/>
    <w:rsid w:val="00A20E3F"/>
    <w:rsid w:val="00A23220"/>
    <w:rsid w:val="00A25221"/>
    <w:rsid w:val="00A30514"/>
    <w:rsid w:val="00A309B9"/>
    <w:rsid w:val="00A317AB"/>
    <w:rsid w:val="00A31D31"/>
    <w:rsid w:val="00A3375D"/>
    <w:rsid w:val="00A33792"/>
    <w:rsid w:val="00A34E0B"/>
    <w:rsid w:val="00A359BB"/>
    <w:rsid w:val="00A36004"/>
    <w:rsid w:val="00A36295"/>
    <w:rsid w:val="00A37604"/>
    <w:rsid w:val="00A4037C"/>
    <w:rsid w:val="00A41722"/>
    <w:rsid w:val="00A42AF9"/>
    <w:rsid w:val="00A42F19"/>
    <w:rsid w:val="00A44669"/>
    <w:rsid w:val="00A44EB0"/>
    <w:rsid w:val="00A452C6"/>
    <w:rsid w:val="00A525C2"/>
    <w:rsid w:val="00A539B1"/>
    <w:rsid w:val="00A54220"/>
    <w:rsid w:val="00A54298"/>
    <w:rsid w:val="00A55DC6"/>
    <w:rsid w:val="00A55F28"/>
    <w:rsid w:val="00A6021E"/>
    <w:rsid w:val="00A65272"/>
    <w:rsid w:val="00A653AF"/>
    <w:rsid w:val="00A6594F"/>
    <w:rsid w:val="00A67FB6"/>
    <w:rsid w:val="00A718D7"/>
    <w:rsid w:val="00A7258C"/>
    <w:rsid w:val="00A7433F"/>
    <w:rsid w:val="00A75F4C"/>
    <w:rsid w:val="00A803C1"/>
    <w:rsid w:val="00A80D5B"/>
    <w:rsid w:val="00A80DEB"/>
    <w:rsid w:val="00A820C8"/>
    <w:rsid w:val="00A82848"/>
    <w:rsid w:val="00A83C97"/>
    <w:rsid w:val="00A85686"/>
    <w:rsid w:val="00A85863"/>
    <w:rsid w:val="00A85D1B"/>
    <w:rsid w:val="00A8627C"/>
    <w:rsid w:val="00A879CD"/>
    <w:rsid w:val="00A918B4"/>
    <w:rsid w:val="00A921E7"/>
    <w:rsid w:val="00A931A6"/>
    <w:rsid w:val="00A93BB7"/>
    <w:rsid w:val="00A96264"/>
    <w:rsid w:val="00A97125"/>
    <w:rsid w:val="00A97779"/>
    <w:rsid w:val="00AA0324"/>
    <w:rsid w:val="00AA14E8"/>
    <w:rsid w:val="00AA41A9"/>
    <w:rsid w:val="00AA7101"/>
    <w:rsid w:val="00AB15CB"/>
    <w:rsid w:val="00AB2B4E"/>
    <w:rsid w:val="00AB447F"/>
    <w:rsid w:val="00AB4F8E"/>
    <w:rsid w:val="00AB54DC"/>
    <w:rsid w:val="00AB59BB"/>
    <w:rsid w:val="00AB7E24"/>
    <w:rsid w:val="00AC1B51"/>
    <w:rsid w:val="00AC366B"/>
    <w:rsid w:val="00AC3ADC"/>
    <w:rsid w:val="00AC5626"/>
    <w:rsid w:val="00AC5FE0"/>
    <w:rsid w:val="00AC6208"/>
    <w:rsid w:val="00AD03A5"/>
    <w:rsid w:val="00AD03EF"/>
    <w:rsid w:val="00AD1968"/>
    <w:rsid w:val="00AD2C96"/>
    <w:rsid w:val="00AD2FA3"/>
    <w:rsid w:val="00AD3167"/>
    <w:rsid w:val="00AD4C05"/>
    <w:rsid w:val="00AE4671"/>
    <w:rsid w:val="00AE50FB"/>
    <w:rsid w:val="00AE52D4"/>
    <w:rsid w:val="00AE530E"/>
    <w:rsid w:val="00AE56DA"/>
    <w:rsid w:val="00AE6364"/>
    <w:rsid w:val="00AF0F02"/>
    <w:rsid w:val="00AF0FEB"/>
    <w:rsid w:val="00AF12CC"/>
    <w:rsid w:val="00AF2573"/>
    <w:rsid w:val="00AF4BC7"/>
    <w:rsid w:val="00B0120B"/>
    <w:rsid w:val="00B03C54"/>
    <w:rsid w:val="00B065DD"/>
    <w:rsid w:val="00B07C8E"/>
    <w:rsid w:val="00B10730"/>
    <w:rsid w:val="00B10A70"/>
    <w:rsid w:val="00B10D5E"/>
    <w:rsid w:val="00B10EE8"/>
    <w:rsid w:val="00B11BEF"/>
    <w:rsid w:val="00B17425"/>
    <w:rsid w:val="00B20310"/>
    <w:rsid w:val="00B21B27"/>
    <w:rsid w:val="00B21F13"/>
    <w:rsid w:val="00B232F9"/>
    <w:rsid w:val="00B24DD8"/>
    <w:rsid w:val="00B26158"/>
    <w:rsid w:val="00B265E5"/>
    <w:rsid w:val="00B30DEF"/>
    <w:rsid w:val="00B312FA"/>
    <w:rsid w:val="00B313D9"/>
    <w:rsid w:val="00B343CF"/>
    <w:rsid w:val="00B34EAB"/>
    <w:rsid w:val="00B35A40"/>
    <w:rsid w:val="00B366E4"/>
    <w:rsid w:val="00B36F8C"/>
    <w:rsid w:val="00B37AAC"/>
    <w:rsid w:val="00B41A6C"/>
    <w:rsid w:val="00B41F8F"/>
    <w:rsid w:val="00B42CAD"/>
    <w:rsid w:val="00B43057"/>
    <w:rsid w:val="00B44612"/>
    <w:rsid w:val="00B50BAD"/>
    <w:rsid w:val="00B51BBE"/>
    <w:rsid w:val="00B520F6"/>
    <w:rsid w:val="00B5246C"/>
    <w:rsid w:val="00B54997"/>
    <w:rsid w:val="00B56F17"/>
    <w:rsid w:val="00B6077D"/>
    <w:rsid w:val="00B62488"/>
    <w:rsid w:val="00B632D5"/>
    <w:rsid w:val="00B6598F"/>
    <w:rsid w:val="00B66576"/>
    <w:rsid w:val="00B67677"/>
    <w:rsid w:val="00B7217B"/>
    <w:rsid w:val="00B73C8F"/>
    <w:rsid w:val="00B73EB1"/>
    <w:rsid w:val="00B76917"/>
    <w:rsid w:val="00B77C46"/>
    <w:rsid w:val="00B830A1"/>
    <w:rsid w:val="00B84989"/>
    <w:rsid w:val="00B85AB9"/>
    <w:rsid w:val="00B87281"/>
    <w:rsid w:val="00B87733"/>
    <w:rsid w:val="00B9227F"/>
    <w:rsid w:val="00B9264E"/>
    <w:rsid w:val="00B95C29"/>
    <w:rsid w:val="00B96F12"/>
    <w:rsid w:val="00B97E2F"/>
    <w:rsid w:val="00BA203F"/>
    <w:rsid w:val="00BA4DEE"/>
    <w:rsid w:val="00BA766B"/>
    <w:rsid w:val="00BB1AEE"/>
    <w:rsid w:val="00BB21B2"/>
    <w:rsid w:val="00BB4514"/>
    <w:rsid w:val="00BB4B20"/>
    <w:rsid w:val="00BC0518"/>
    <w:rsid w:val="00BC27F3"/>
    <w:rsid w:val="00BC395A"/>
    <w:rsid w:val="00BC3EC9"/>
    <w:rsid w:val="00BC5C99"/>
    <w:rsid w:val="00BC6B5C"/>
    <w:rsid w:val="00BD33F9"/>
    <w:rsid w:val="00BD3B59"/>
    <w:rsid w:val="00BD40CE"/>
    <w:rsid w:val="00BD4FCB"/>
    <w:rsid w:val="00BD5AFF"/>
    <w:rsid w:val="00BD5DFB"/>
    <w:rsid w:val="00BD5E6B"/>
    <w:rsid w:val="00BD72AC"/>
    <w:rsid w:val="00BE3812"/>
    <w:rsid w:val="00BE4C92"/>
    <w:rsid w:val="00BE55C8"/>
    <w:rsid w:val="00BE592C"/>
    <w:rsid w:val="00BE710C"/>
    <w:rsid w:val="00BE7510"/>
    <w:rsid w:val="00BF0BE9"/>
    <w:rsid w:val="00BF220C"/>
    <w:rsid w:val="00BF36C1"/>
    <w:rsid w:val="00BF40D7"/>
    <w:rsid w:val="00BF6CAC"/>
    <w:rsid w:val="00BF7A34"/>
    <w:rsid w:val="00C00F25"/>
    <w:rsid w:val="00C01292"/>
    <w:rsid w:val="00C01D5D"/>
    <w:rsid w:val="00C01F0D"/>
    <w:rsid w:val="00C0218F"/>
    <w:rsid w:val="00C0375D"/>
    <w:rsid w:val="00C044B5"/>
    <w:rsid w:val="00C05050"/>
    <w:rsid w:val="00C0507E"/>
    <w:rsid w:val="00C057A2"/>
    <w:rsid w:val="00C05B48"/>
    <w:rsid w:val="00C06F9C"/>
    <w:rsid w:val="00C07A93"/>
    <w:rsid w:val="00C10845"/>
    <w:rsid w:val="00C10EB4"/>
    <w:rsid w:val="00C11597"/>
    <w:rsid w:val="00C120DA"/>
    <w:rsid w:val="00C14052"/>
    <w:rsid w:val="00C14562"/>
    <w:rsid w:val="00C14E85"/>
    <w:rsid w:val="00C152DF"/>
    <w:rsid w:val="00C17302"/>
    <w:rsid w:val="00C17ECC"/>
    <w:rsid w:val="00C20FFF"/>
    <w:rsid w:val="00C21346"/>
    <w:rsid w:val="00C22D33"/>
    <w:rsid w:val="00C324ED"/>
    <w:rsid w:val="00C32AD1"/>
    <w:rsid w:val="00C33829"/>
    <w:rsid w:val="00C34168"/>
    <w:rsid w:val="00C36442"/>
    <w:rsid w:val="00C367B6"/>
    <w:rsid w:val="00C42D5D"/>
    <w:rsid w:val="00C42FEB"/>
    <w:rsid w:val="00C44959"/>
    <w:rsid w:val="00C45D95"/>
    <w:rsid w:val="00C464CA"/>
    <w:rsid w:val="00C47B8A"/>
    <w:rsid w:val="00C531C2"/>
    <w:rsid w:val="00C53F95"/>
    <w:rsid w:val="00C55F2A"/>
    <w:rsid w:val="00C57A66"/>
    <w:rsid w:val="00C611B2"/>
    <w:rsid w:val="00C6244C"/>
    <w:rsid w:val="00C62791"/>
    <w:rsid w:val="00C645BA"/>
    <w:rsid w:val="00C668E4"/>
    <w:rsid w:val="00C669B6"/>
    <w:rsid w:val="00C66B50"/>
    <w:rsid w:val="00C67525"/>
    <w:rsid w:val="00C7099E"/>
    <w:rsid w:val="00C73089"/>
    <w:rsid w:val="00C75671"/>
    <w:rsid w:val="00C75DCA"/>
    <w:rsid w:val="00C832B3"/>
    <w:rsid w:val="00C84CF9"/>
    <w:rsid w:val="00C86BF6"/>
    <w:rsid w:val="00C86EA5"/>
    <w:rsid w:val="00C86EB1"/>
    <w:rsid w:val="00C91091"/>
    <w:rsid w:val="00C92E0A"/>
    <w:rsid w:val="00C931A9"/>
    <w:rsid w:val="00C9379A"/>
    <w:rsid w:val="00C93AF1"/>
    <w:rsid w:val="00C94D90"/>
    <w:rsid w:val="00C951DC"/>
    <w:rsid w:val="00C9610E"/>
    <w:rsid w:val="00C9671A"/>
    <w:rsid w:val="00CA1321"/>
    <w:rsid w:val="00CA394A"/>
    <w:rsid w:val="00CA4B97"/>
    <w:rsid w:val="00CA4CC3"/>
    <w:rsid w:val="00CB03C2"/>
    <w:rsid w:val="00CB3A2C"/>
    <w:rsid w:val="00CB4B74"/>
    <w:rsid w:val="00CB6133"/>
    <w:rsid w:val="00CB616E"/>
    <w:rsid w:val="00CB6730"/>
    <w:rsid w:val="00CB6B66"/>
    <w:rsid w:val="00CC6FB3"/>
    <w:rsid w:val="00CC74FB"/>
    <w:rsid w:val="00CD2356"/>
    <w:rsid w:val="00CD3B0C"/>
    <w:rsid w:val="00CD4936"/>
    <w:rsid w:val="00CD62BE"/>
    <w:rsid w:val="00CD6F19"/>
    <w:rsid w:val="00CE42EE"/>
    <w:rsid w:val="00CE5121"/>
    <w:rsid w:val="00CE6A59"/>
    <w:rsid w:val="00CF134C"/>
    <w:rsid w:val="00CF16F9"/>
    <w:rsid w:val="00CF1C5E"/>
    <w:rsid w:val="00CF32F6"/>
    <w:rsid w:val="00CF3A6E"/>
    <w:rsid w:val="00CF4396"/>
    <w:rsid w:val="00CF6646"/>
    <w:rsid w:val="00D00A5C"/>
    <w:rsid w:val="00D00E27"/>
    <w:rsid w:val="00D01E7B"/>
    <w:rsid w:val="00D05465"/>
    <w:rsid w:val="00D0568A"/>
    <w:rsid w:val="00D05A0A"/>
    <w:rsid w:val="00D05FDA"/>
    <w:rsid w:val="00D07D43"/>
    <w:rsid w:val="00D104D6"/>
    <w:rsid w:val="00D114C4"/>
    <w:rsid w:val="00D1154F"/>
    <w:rsid w:val="00D12B81"/>
    <w:rsid w:val="00D13BAA"/>
    <w:rsid w:val="00D13E26"/>
    <w:rsid w:val="00D211CA"/>
    <w:rsid w:val="00D211EE"/>
    <w:rsid w:val="00D21EC3"/>
    <w:rsid w:val="00D23105"/>
    <w:rsid w:val="00D23716"/>
    <w:rsid w:val="00D2392C"/>
    <w:rsid w:val="00D26BFF"/>
    <w:rsid w:val="00D30BF5"/>
    <w:rsid w:val="00D3297A"/>
    <w:rsid w:val="00D33F64"/>
    <w:rsid w:val="00D354C7"/>
    <w:rsid w:val="00D35C92"/>
    <w:rsid w:val="00D35F8A"/>
    <w:rsid w:val="00D408D9"/>
    <w:rsid w:val="00D41DA2"/>
    <w:rsid w:val="00D41DBF"/>
    <w:rsid w:val="00D4244E"/>
    <w:rsid w:val="00D4672C"/>
    <w:rsid w:val="00D469C0"/>
    <w:rsid w:val="00D503E1"/>
    <w:rsid w:val="00D507C6"/>
    <w:rsid w:val="00D515DB"/>
    <w:rsid w:val="00D53576"/>
    <w:rsid w:val="00D57AB3"/>
    <w:rsid w:val="00D602F1"/>
    <w:rsid w:val="00D608E3"/>
    <w:rsid w:val="00D60C38"/>
    <w:rsid w:val="00D6233E"/>
    <w:rsid w:val="00D6449A"/>
    <w:rsid w:val="00D64945"/>
    <w:rsid w:val="00D65965"/>
    <w:rsid w:val="00D65F38"/>
    <w:rsid w:val="00D665C6"/>
    <w:rsid w:val="00D70160"/>
    <w:rsid w:val="00D71083"/>
    <w:rsid w:val="00D739DA"/>
    <w:rsid w:val="00D73BA3"/>
    <w:rsid w:val="00D73F99"/>
    <w:rsid w:val="00D7592A"/>
    <w:rsid w:val="00D81685"/>
    <w:rsid w:val="00D8271E"/>
    <w:rsid w:val="00D830E7"/>
    <w:rsid w:val="00D84094"/>
    <w:rsid w:val="00D84EFB"/>
    <w:rsid w:val="00D84FF1"/>
    <w:rsid w:val="00D8567E"/>
    <w:rsid w:val="00D8699E"/>
    <w:rsid w:val="00D87060"/>
    <w:rsid w:val="00D8771A"/>
    <w:rsid w:val="00D90764"/>
    <w:rsid w:val="00D9150B"/>
    <w:rsid w:val="00D91E3B"/>
    <w:rsid w:val="00D9386C"/>
    <w:rsid w:val="00D951AB"/>
    <w:rsid w:val="00D95326"/>
    <w:rsid w:val="00D956CD"/>
    <w:rsid w:val="00D9742D"/>
    <w:rsid w:val="00D97C84"/>
    <w:rsid w:val="00DA1007"/>
    <w:rsid w:val="00DA1FA5"/>
    <w:rsid w:val="00DA25A6"/>
    <w:rsid w:val="00DA3323"/>
    <w:rsid w:val="00DA4A2B"/>
    <w:rsid w:val="00DB02B8"/>
    <w:rsid w:val="00DB05D3"/>
    <w:rsid w:val="00DB16CC"/>
    <w:rsid w:val="00DB68BA"/>
    <w:rsid w:val="00DB7625"/>
    <w:rsid w:val="00DB780C"/>
    <w:rsid w:val="00DB7F95"/>
    <w:rsid w:val="00DC078A"/>
    <w:rsid w:val="00DC2E66"/>
    <w:rsid w:val="00DC2FC8"/>
    <w:rsid w:val="00DC6F65"/>
    <w:rsid w:val="00DD0733"/>
    <w:rsid w:val="00DD0A5E"/>
    <w:rsid w:val="00DD318C"/>
    <w:rsid w:val="00DD73E8"/>
    <w:rsid w:val="00DE526C"/>
    <w:rsid w:val="00DE624F"/>
    <w:rsid w:val="00DE62CA"/>
    <w:rsid w:val="00DE6F92"/>
    <w:rsid w:val="00DF1AB0"/>
    <w:rsid w:val="00DF4126"/>
    <w:rsid w:val="00DF6D96"/>
    <w:rsid w:val="00DF771A"/>
    <w:rsid w:val="00DF77E6"/>
    <w:rsid w:val="00E00C1D"/>
    <w:rsid w:val="00E0406D"/>
    <w:rsid w:val="00E04C64"/>
    <w:rsid w:val="00E10C3E"/>
    <w:rsid w:val="00E13701"/>
    <w:rsid w:val="00E13F03"/>
    <w:rsid w:val="00E141BD"/>
    <w:rsid w:val="00E14F63"/>
    <w:rsid w:val="00E15C86"/>
    <w:rsid w:val="00E15EA0"/>
    <w:rsid w:val="00E16771"/>
    <w:rsid w:val="00E16D52"/>
    <w:rsid w:val="00E202F3"/>
    <w:rsid w:val="00E20428"/>
    <w:rsid w:val="00E204C6"/>
    <w:rsid w:val="00E2150F"/>
    <w:rsid w:val="00E22813"/>
    <w:rsid w:val="00E228B0"/>
    <w:rsid w:val="00E23A0A"/>
    <w:rsid w:val="00E23DEA"/>
    <w:rsid w:val="00E23F70"/>
    <w:rsid w:val="00E24E2A"/>
    <w:rsid w:val="00E252B9"/>
    <w:rsid w:val="00E25A12"/>
    <w:rsid w:val="00E25FC6"/>
    <w:rsid w:val="00E2663D"/>
    <w:rsid w:val="00E27335"/>
    <w:rsid w:val="00E27AD2"/>
    <w:rsid w:val="00E310E3"/>
    <w:rsid w:val="00E35B37"/>
    <w:rsid w:val="00E369DF"/>
    <w:rsid w:val="00E37562"/>
    <w:rsid w:val="00E408BE"/>
    <w:rsid w:val="00E426C2"/>
    <w:rsid w:val="00E42AAE"/>
    <w:rsid w:val="00E44DDD"/>
    <w:rsid w:val="00E50228"/>
    <w:rsid w:val="00E5022E"/>
    <w:rsid w:val="00E50A8B"/>
    <w:rsid w:val="00E50FA4"/>
    <w:rsid w:val="00E54BA8"/>
    <w:rsid w:val="00E56EEA"/>
    <w:rsid w:val="00E5738A"/>
    <w:rsid w:val="00E61794"/>
    <w:rsid w:val="00E6299D"/>
    <w:rsid w:val="00E63F35"/>
    <w:rsid w:val="00E64A57"/>
    <w:rsid w:val="00E657FC"/>
    <w:rsid w:val="00E67B50"/>
    <w:rsid w:val="00E70D8C"/>
    <w:rsid w:val="00E70F4F"/>
    <w:rsid w:val="00E72310"/>
    <w:rsid w:val="00E759B3"/>
    <w:rsid w:val="00E81689"/>
    <w:rsid w:val="00E86487"/>
    <w:rsid w:val="00E90160"/>
    <w:rsid w:val="00E90E6D"/>
    <w:rsid w:val="00E91F4A"/>
    <w:rsid w:val="00E92B3C"/>
    <w:rsid w:val="00E94537"/>
    <w:rsid w:val="00EA2588"/>
    <w:rsid w:val="00EA3789"/>
    <w:rsid w:val="00EB082C"/>
    <w:rsid w:val="00EB1E66"/>
    <w:rsid w:val="00EB1FFA"/>
    <w:rsid w:val="00EB338C"/>
    <w:rsid w:val="00EB4421"/>
    <w:rsid w:val="00EB455E"/>
    <w:rsid w:val="00EB4A48"/>
    <w:rsid w:val="00EB681F"/>
    <w:rsid w:val="00EB6F55"/>
    <w:rsid w:val="00EC0C63"/>
    <w:rsid w:val="00EC11AD"/>
    <w:rsid w:val="00EC26D8"/>
    <w:rsid w:val="00EC3F4F"/>
    <w:rsid w:val="00EC54EB"/>
    <w:rsid w:val="00EC7CEE"/>
    <w:rsid w:val="00ED1750"/>
    <w:rsid w:val="00ED638C"/>
    <w:rsid w:val="00ED6B0D"/>
    <w:rsid w:val="00EE36AE"/>
    <w:rsid w:val="00EE377F"/>
    <w:rsid w:val="00EE6D9F"/>
    <w:rsid w:val="00EF07BA"/>
    <w:rsid w:val="00EF09CC"/>
    <w:rsid w:val="00EF34F6"/>
    <w:rsid w:val="00EF50E8"/>
    <w:rsid w:val="00EF723C"/>
    <w:rsid w:val="00F00771"/>
    <w:rsid w:val="00F02242"/>
    <w:rsid w:val="00F02AD8"/>
    <w:rsid w:val="00F033AB"/>
    <w:rsid w:val="00F043CB"/>
    <w:rsid w:val="00F04603"/>
    <w:rsid w:val="00F05529"/>
    <w:rsid w:val="00F10C1F"/>
    <w:rsid w:val="00F10E61"/>
    <w:rsid w:val="00F12849"/>
    <w:rsid w:val="00F1471D"/>
    <w:rsid w:val="00F161AD"/>
    <w:rsid w:val="00F16DBE"/>
    <w:rsid w:val="00F17A6C"/>
    <w:rsid w:val="00F17ED7"/>
    <w:rsid w:val="00F20472"/>
    <w:rsid w:val="00F20CDF"/>
    <w:rsid w:val="00F22C45"/>
    <w:rsid w:val="00F2535B"/>
    <w:rsid w:val="00F25623"/>
    <w:rsid w:val="00F2593C"/>
    <w:rsid w:val="00F2799B"/>
    <w:rsid w:val="00F27A52"/>
    <w:rsid w:val="00F30209"/>
    <w:rsid w:val="00F318AD"/>
    <w:rsid w:val="00F31A4E"/>
    <w:rsid w:val="00F31BEF"/>
    <w:rsid w:val="00F31FEB"/>
    <w:rsid w:val="00F32F59"/>
    <w:rsid w:val="00F33810"/>
    <w:rsid w:val="00F34427"/>
    <w:rsid w:val="00F34EA0"/>
    <w:rsid w:val="00F35121"/>
    <w:rsid w:val="00F40195"/>
    <w:rsid w:val="00F40EED"/>
    <w:rsid w:val="00F4142D"/>
    <w:rsid w:val="00F41773"/>
    <w:rsid w:val="00F449F0"/>
    <w:rsid w:val="00F4546E"/>
    <w:rsid w:val="00F459BA"/>
    <w:rsid w:val="00F46CE8"/>
    <w:rsid w:val="00F47801"/>
    <w:rsid w:val="00F47A3C"/>
    <w:rsid w:val="00F47ADD"/>
    <w:rsid w:val="00F50FF3"/>
    <w:rsid w:val="00F51504"/>
    <w:rsid w:val="00F5324A"/>
    <w:rsid w:val="00F539AB"/>
    <w:rsid w:val="00F557D5"/>
    <w:rsid w:val="00F5669C"/>
    <w:rsid w:val="00F57F54"/>
    <w:rsid w:val="00F6235D"/>
    <w:rsid w:val="00F67CF6"/>
    <w:rsid w:val="00F71538"/>
    <w:rsid w:val="00F71AB7"/>
    <w:rsid w:val="00F72F9A"/>
    <w:rsid w:val="00F73FC9"/>
    <w:rsid w:val="00F7412B"/>
    <w:rsid w:val="00F765C1"/>
    <w:rsid w:val="00F76726"/>
    <w:rsid w:val="00F76CF8"/>
    <w:rsid w:val="00F76FDE"/>
    <w:rsid w:val="00F77A90"/>
    <w:rsid w:val="00F81580"/>
    <w:rsid w:val="00F81A57"/>
    <w:rsid w:val="00F820B5"/>
    <w:rsid w:val="00F829AF"/>
    <w:rsid w:val="00F82C76"/>
    <w:rsid w:val="00F84743"/>
    <w:rsid w:val="00F85036"/>
    <w:rsid w:val="00F90D7B"/>
    <w:rsid w:val="00F957E5"/>
    <w:rsid w:val="00F95A9B"/>
    <w:rsid w:val="00F97D0D"/>
    <w:rsid w:val="00FA0FAD"/>
    <w:rsid w:val="00FA63B7"/>
    <w:rsid w:val="00FA7F94"/>
    <w:rsid w:val="00FB30C0"/>
    <w:rsid w:val="00FB3A03"/>
    <w:rsid w:val="00FB5C2E"/>
    <w:rsid w:val="00FB789D"/>
    <w:rsid w:val="00FC006A"/>
    <w:rsid w:val="00FC216C"/>
    <w:rsid w:val="00FC2178"/>
    <w:rsid w:val="00FC2336"/>
    <w:rsid w:val="00FC2878"/>
    <w:rsid w:val="00FC3CEF"/>
    <w:rsid w:val="00FC3E7F"/>
    <w:rsid w:val="00FC52C1"/>
    <w:rsid w:val="00FC79A2"/>
    <w:rsid w:val="00FC7DB4"/>
    <w:rsid w:val="00FD0FCC"/>
    <w:rsid w:val="00FD193A"/>
    <w:rsid w:val="00FD52D0"/>
    <w:rsid w:val="00FD5ADD"/>
    <w:rsid w:val="00FE0690"/>
    <w:rsid w:val="00FE07FB"/>
    <w:rsid w:val="00FE0C74"/>
    <w:rsid w:val="00FE19A9"/>
    <w:rsid w:val="00FE2386"/>
    <w:rsid w:val="00FE31C3"/>
    <w:rsid w:val="00FE40A0"/>
    <w:rsid w:val="00FE7D45"/>
    <w:rsid w:val="00FF02B4"/>
    <w:rsid w:val="00FF0BFF"/>
    <w:rsid w:val="00FF2A84"/>
    <w:rsid w:val="00FF5068"/>
    <w:rsid w:val="00FF5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line number"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uiPriority w:val="99"/>
    <w:rsid w:val="008918EA"/>
    <w:rPr>
      <w:rFonts w:ascii="Times New Roman" w:hAnsi="Times New Roman" w:cs="Times New Roman"/>
      <w:sz w:val="24"/>
      <w:szCs w:val="24"/>
    </w:rPr>
  </w:style>
  <w:style w:type="character" w:styleId="LineNumber">
    <w:name w:val="line number"/>
    <w:basedOn w:val="DefaultParagraphFont"/>
    <w:uiPriority w:val="99"/>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8918E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8918EA"/>
    <w:rPr>
      <w:rFonts w:cs="Times New Roman"/>
      <w:vertAlign w:val="superscript"/>
    </w:rPr>
  </w:style>
  <w:style w:type="paragraph" w:styleId="BodyText">
    <w:name w:val="Body Text"/>
    <w:basedOn w:val="Normal"/>
    <w:link w:val="BodyTextChar"/>
    <w:uiPriority w:val="99"/>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link w:val="answerChar1"/>
    <w:uiPriority w:val="99"/>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paragraph" w:styleId="PlainText">
    <w:name w:val="Plain Text"/>
    <w:basedOn w:val="Normal"/>
    <w:link w:val="PlainTextChar"/>
    <w:uiPriority w:val="99"/>
    <w:unhideWhenUsed/>
    <w:rsid w:val="004543BC"/>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43BC"/>
    <w:rPr>
      <w:rFonts w:ascii="Consolas" w:eastAsiaTheme="minorHAnsi" w:hAnsi="Consolas" w:cstheme="minorBidi"/>
      <w:sz w:val="21"/>
      <w:szCs w:val="21"/>
    </w:rPr>
  </w:style>
  <w:style w:type="character" w:styleId="CommentReference">
    <w:name w:val="annotation reference"/>
    <w:basedOn w:val="DefaultParagraphFont"/>
    <w:rsid w:val="00B24DD8"/>
    <w:rPr>
      <w:sz w:val="16"/>
      <w:szCs w:val="16"/>
    </w:rPr>
  </w:style>
  <w:style w:type="paragraph" w:styleId="CommentText">
    <w:name w:val="annotation text"/>
    <w:basedOn w:val="Normal"/>
    <w:link w:val="CommentTextChar"/>
    <w:rsid w:val="00B24DD8"/>
    <w:rPr>
      <w:sz w:val="20"/>
      <w:szCs w:val="20"/>
    </w:rPr>
  </w:style>
  <w:style w:type="character" w:customStyle="1" w:styleId="CommentTextChar">
    <w:name w:val="Comment Text Char"/>
    <w:basedOn w:val="DefaultParagraphFont"/>
    <w:link w:val="CommentText"/>
    <w:rsid w:val="00B24DD8"/>
  </w:style>
  <w:style w:type="paragraph" w:styleId="CommentSubject">
    <w:name w:val="annotation subject"/>
    <w:basedOn w:val="CommentText"/>
    <w:next w:val="CommentText"/>
    <w:link w:val="CommentSubjectChar"/>
    <w:rsid w:val="00B24DD8"/>
    <w:rPr>
      <w:b/>
      <w:bCs/>
    </w:rPr>
  </w:style>
  <w:style w:type="character" w:customStyle="1" w:styleId="CommentSubjectChar">
    <w:name w:val="Comment Subject Char"/>
    <w:basedOn w:val="CommentTextChar"/>
    <w:link w:val="CommentSubject"/>
    <w:rsid w:val="00B24DD8"/>
    <w:rPr>
      <w:b/>
      <w:bCs/>
    </w:rPr>
  </w:style>
  <w:style w:type="paragraph" w:styleId="BodyTextIndent">
    <w:name w:val="Body Text Indent"/>
    <w:basedOn w:val="Normal"/>
    <w:link w:val="BodyTextIndentChar"/>
    <w:uiPriority w:val="99"/>
    <w:rsid w:val="00956E3C"/>
    <w:pPr>
      <w:spacing w:after="120"/>
      <w:ind w:left="360"/>
    </w:pPr>
  </w:style>
  <w:style w:type="character" w:customStyle="1" w:styleId="BodyTextIndentChar">
    <w:name w:val="Body Text Indent Char"/>
    <w:basedOn w:val="DefaultParagraphFont"/>
    <w:link w:val="BodyTextIndent"/>
    <w:uiPriority w:val="99"/>
    <w:rsid w:val="00956E3C"/>
    <w:rPr>
      <w:sz w:val="24"/>
      <w:szCs w:val="24"/>
    </w:rPr>
  </w:style>
  <w:style w:type="character" w:styleId="FollowedHyperlink">
    <w:name w:val="FollowedHyperlink"/>
    <w:basedOn w:val="DefaultParagraphFont"/>
    <w:rsid w:val="00012431"/>
    <w:rPr>
      <w:color w:val="800080" w:themeColor="followedHyperlink"/>
      <w:u w:val="single"/>
    </w:rPr>
  </w:style>
  <w:style w:type="character" w:customStyle="1" w:styleId="Heading4Char">
    <w:name w:val="Heading 4 Char"/>
    <w:basedOn w:val="DefaultParagraphFont"/>
    <w:link w:val="Heading4"/>
    <w:uiPriority w:val="9"/>
    <w:rsid w:val="00C86BF6"/>
    <w:rPr>
      <w:b/>
      <w:bCs/>
      <w:sz w:val="24"/>
      <w:szCs w:val="24"/>
    </w:rPr>
  </w:style>
  <w:style w:type="character" w:customStyle="1" w:styleId="BodyTextChar">
    <w:name w:val="Body Text Char"/>
    <w:basedOn w:val="DefaultParagraphFont"/>
    <w:link w:val="BodyText"/>
    <w:uiPriority w:val="99"/>
    <w:rsid w:val="00C86BF6"/>
    <w:rPr>
      <w:b/>
      <w:bCs/>
      <w:sz w:val="24"/>
      <w:szCs w:val="24"/>
    </w:rPr>
  </w:style>
  <w:style w:type="character" w:customStyle="1" w:styleId="answerChar1">
    <w:name w:val="answer Char1"/>
    <w:basedOn w:val="DefaultParagraphFont"/>
    <w:link w:val="answer"/>
    <w:uiPriority w:val="99"/>
    <w:rsid w:val="002819BE"/>
    <w:rPr>
      <w:rFonts w:eastAsia="Calibri"/>
      <w:sz w:val="24"/>
      <w:lang w:eastAsia="zh-CN"/>
    </w:rPr>
  </w:style>
  <w:style w:type="paragraph" w:customStyle="1" w:styleId="Answer0">
    <w:name w:val="Answer"/>
    <w:basedOn w:val="Normal"/>
    <w:rsid w:val="005617CF"/>
    <w:pPr>
      <w:tabs>
        <w:tab w:val="left" w:pos="720"/>
        <w:tab w:val="left" w:pos="1440"/>
      </w:tabs>
      <w:suppressAutoHyphens/>
      <w:autoSpaceDE/>
      <w:autoSpaceDN/>
      <w:spacing w:line="480" w:lineRule="auto"/>
      <w:ind w:firstLine="720"/>
    </w:pPr>
    <w:rPr>
      <w:rFonts w:ascii="Palatino Linotype" w:hAnsi="Palatino Linotype"/>
      <w:kern w:val="16"/>
      <w:szCs w:val="20"/>
    </w:rPr>
  </w:style>
  <w:style w:type="paragraph" w:customStyle="1" w:styleId="Question">
    <w:name w:val="Question"/>
    <w:basedOn w:val="Normal"/>
    <w:next w:val="Answer0"/>
    <w:rsid w:val="005617CF"/>
    <w:pPr>
      <w:keepNext/>
      <w:tabs>
        <w:tab w:val="left" w:pos="1440"/>
      </w:tabs>
      <w:suppressAutoHyphens/>
      <w:autoSpaceDE/>
      <w:autoSpaceDN/>
      <w:spacing w:before="120" w:line="360" w:lineRule="auto"/>
      <w:ind w:firstLine="720"/>
    </w:pPr>
    <w:rPr>
      <w:rFonts w:ascii="Palatino Linotype" w:hAnsi="Palatino Linotype"/>
      <w:b/>
      <w:kern w:val="16"/>
      <w:szCs w:val="20"/>
    </w:rPr>
  </w:style>
  <w:style w:type="paragraph" w:styleId="List">
    <w:name w:val="List"/>
    <w:basedOn w:val="Normal"/>
    <w:rsid w:val="00724895"/>
    <w:pPr>
      <w:widowControl w:val="0"/>
      <w:autoSpaceDE/>
      <w:autoSpaceDN/>
      <w:ind w:left="360"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162430626">
      <w:bodyDiv w:val="1"/>
      <w:marLeft w:val="0"/>
      <w:marRight w:val="0"/>
      <w:marTop w:val="0"/>
      <w:marBottom w:val="0"/>
      <w:divBdr>
        <w:top w:val="none" w:sz="0" w:space="0" w:color="auto"/>
        <w:left w:val="none" w:sz="0" w:space="0" w:color="auto"/>
        <w:bottom w:val="none" w:sz="0" w:space="0" w:color="auto"/>
        <w:right w:val="none" w:sz="0" w:space="0" w:color="auto"/>
      </w:divBdr>
    </w:div>
    <w:div w:id="975836945">
      <w:bodyDiv w:val="1"/>
      <w:marLeft w:val="0"/>
      <w:marRight w:val="0"/>
      <w:marTop w:val="0"/>
      <w:marBottom w:val="0"/>
      <w:divBdr>
        <w:top w:val="none" w:sz="0" w:space="0" w:color="auto"/>
        <w:left w:val="none" w:sz="0" w:space="0" w:color="auto"/>
        <w:bottom w:val="none" w:sz="0" w:space="0" w:color="auto"/>
        <w:right w:val="none" w:sz="0" w:space="0" w:color="auto"/>
      </w:divBdr>
    </w:div>
    <w:div w:id="1774669821">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1840148438">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F41167A-CE9E-4B23-8BFC-69D647466567}"/>
</file>

<file path=customXml/itemProps2.xml><?xml version="1.0" encoding="utf-8"?>
<ds:datastoreItem xmlns:ds="http://schemas.openxmlformats.org/officeDocument/2006/customXml" ds:itemID="{F488BFBA-EF1E-407E-804C-54E615CDA572}"/>
</file>

<file path=customXml/itemProps3.xml><?xml version="1.0" encoding="utf-8"?>
<ds:datastoreItem xmlns:ds="http://schemas.openxmlformats.org/officeDocument/2006/customXml" ds:itemID="{D447C9BF-639F-4615-A180-BE6E87D54F32}"/>
</file>

<file path=customXml/itemProps4.xml><?xml version="1.0" encoding="utf-8"?>
<ds:datastoreItem xmlns:ds="http://schemas.openxmlformats.org/officeDocument/2006/customXml" ds:itemID="{481C761D-09D5-49F8-ACC7-150DFF8965C4}"/>
</file>

<file path=customXml/itemProps5.xml><?xml version="1.0" encoding="utf-8"?>
<ds:datastoreItem xmlns:ds="http://schemas.openxmlformats.org/officeDocument/2006/customXml" ds:itemID="{56278B20-17B0-4B9B-B242-1C41FBBAA3E0}"/>
</file>

<file path=docProps/app.xml><?xml version="1.0" encoding="utf-8"?>
<Properties xmlns="http://schemas.openxmlformats.org/officeDocument/2006/extended-properties" xmlns:vt="http://schemas.openxmlformats.org/officeDocument/2006/docPropsVTypes">
  <Template>Normal.dotm</Template>
  <TotalTime>17</TotalTime>
  <Pages>5</Pages>
  <Words>1169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4</cp:revision>
  <cp:lastPrinted>2012-12-07T17:43:00Z</cp:lastPrinted>
  <dcterms:created xsi:type="dcterms:W3CDTF">2012-12-07T16:05:00Z</dcterms:created>
  <dcterms:modified xsi:type="dcterms:W3CDTF">2012-12-07T17:43:00Z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