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A3" w:rsidRDefault="00E245A3" w:rsidP="00B96011">
      <w:pPr>
        <w:jc w:val="center"/>
        <w:rPr>
          <w:b/>
          <w:caps/>
          <w:szCs w:val="24"/>
        </w:rPr>
      </w:pPr>
      <w:r>
        <w:rPr>
          <w:b/>
          <w:caps/>
          <w:szCs w:val="24"/>
        </w:rPr>
        <w:t>BEFORE THE WASHINGT</w:t>
      </w:r>
      <w:r w:rsidR="00B96011">
        <w:rPr>
          <w:b/>
          <w:caps/>
          <w:szCs w:val="24"/>
        </w:rPr>
        <w:t xml:space="preserve">ON </w:t>
      </w:r>
    </w:p>
    <w:p w:rsidR="00E245A3" w:rsidRDefault="00B96011" w:rsidP="00B96011">
      <w:pPr>
        <w:jc w:val="center"/>
        <w:rPr>
          <w:b/>
          <w:caps/>
          <w:szCs w:val="24"/>
        </w:rPr>
      </w:pPr>
      <w:r>
        <w:rPr>
          <w:b/>
          <w:caps/>
          <w:szCs w:val="24"/>
        </w:rPr>
        <w:t xml:space="preserve">UTILITIES AND TRANSPORTATION </w:t>
      </w:r>
      <w:r w:rsidR="00E245A3">
        <w:rPr>
          <w:b/>
          <w:caps/>
          <w:szCs w:val="24"/>
        </w:rPr>
        <w:t>COMMISSION</w:t>
      </w:r>
    </w:p>
    <w:p w:rsidR="00E245A3" w:rsidRDefault="00E245A3" w:rsidP="00E245A3">
      <w:pPr>
        <w:jc w:val="center"/>
        <w:rPr>
          <w:b/>
          <w:caps/>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88"/>
      </w:tblGrid>
      <w:tr w:rsidR="00E245A3" w:rsidTr="00B27A22">
        <w:tc>
          <w:tcPr>
            <w:tcW w:w="4968" w:type="dxa"/>
            <w:tcBorders>
              <w:top w:val="nil"/>
              <w:left w:val="nil"/>
              <w:bottom w:val="single" w:sz="4" w:space="0" w:color="auto"/>
              <w:right w:val="single" w:sz="4" w:space="0" w:color="auto"/>
            </w:tcBorders>
          </w:tcPr>
          <w:p w:rsidR="00E245A3" w:rsidRDefault="00E245A3" w:rsidP="00B27A22">
            <w:pPr>
              <w:rPr>
                <w:szCs w:val="24"/>
              </w:rPr>
            </w:pPr>
          </w:p>
          <w:p w:rsidR="00E245A3" w:rsidRPr="00F94D8E" w:rsidRDefault="00EE4546" w:rsidP="00B27A22">
            <w:pPr>
              <w:rPr>
                <w:caps/>
                <w:szCs w:val="24"/>
              </w:rPr>
            </w:pPr>
            <w:r w:rsidRPr="00F94D8E">
              <w:rPr>
                <w:caps/>
                <w:szCs w:val="24"/>
              </w:rPr>
              <w:t>Inquiry Into Issuing a Policy</w:t>
            </w:r>
            <w:r w:rsidRPr="00F94D8E">
              <w:rPr>
                <w:caps/>
                <w:szCs w:val="24"/>
              </w:rPr>
              <w:noBreakHyphen/>
              <w:t xml:space="preserve">Interpretative Statement Describing Commission Policy Related to Utility Investment in Electric Vehicle Supply Equipment Pursuant to RCW 80.28.360.  </w:t>
            </w:r>
          </w:p>
          <w:p w:rsidR="00E245A3" w:rsidRDefault="00E245A3" w:rsidP="00B27A22">
            <w:pPr>
              <w:rPr>
                <w:szCs w:val="24"/>
              </w:rPr>
            </w:pPr>
          </w:p>
        </w:tc>
        <w:tc>
          <w:tcPr>
            <w:tcW w:w="4788" w:type="dxa"/>
            <w:tcBorders>
              <w:top w:val="nil"/>
              <w:left w:val="single" w:sz="4" w:space="0" w:color="auto"/>
              <w:bottom w:val="nil"/>
              <w:right w:val="nil"/>
            </w:tcBorders>
          </w:tcPr>
          <w:p w:rsidR="00E245A3" w:rsidRDefault="00E245A3" w:rsidP="00B27A22">
            <w:pPr>
              <w:rPr>
                <w:szCs w:val="24"/>
              </w:rPr>
            </w:pPr>
          </w:p>
          <w:p w:rsidR="00E245A3" w:rsidRDefault="00FB74A3" w:rsidP="00FB74A3">
            <w:pPr>
              <w:tabs>
                <w:tab w:val="left" w:pos="254"/>
              </w:tabs>
              <w:rPr>
                <w:szCs w:val="24"/>
              </w:rPr>
            </w:pPr>
            <w:r>
              <w:rPr>
                <w:szCs w:val="24"/>
              </w:rPr>
              <w:tab/>
            </w:r>
            <w:r w:rsidR="00E245A3">
              <w:rPr>
                <w:szCs w:val="24"/>
              </w:rPr>
              <w:t>DOCKET NO.  UE-160799</w:t>
            </w:r>
          </w:p>
        </w:tc>
      </w:tr>
    </w:tbl>
    <w:p w:rsidR="00E245A3" w:rsidRDefault="00E245A3" w:rsidP="00FB74A3">
      <w:pPr>
        <w:spacing w:before="240" w:line="240" w:lineRule="auto"/>
        <w:rPr>
          <w:b/>
        </w:rPr>
      </w:pPr>
    </w:p>
    <w:p w:rsidR="00E245A3" w:rsidRDefault="006A3662" w:rsidP="002A75EA">
      <w:pPr>
        <w:spacing w:line="480" w:lineRule="auto"/>
        <w:jc w:val="center"/>
        <w:rPr>
          <w:b/>
        </w:rPr>
      </w:pPr>
      <w:r>
        <w:rPr>
          <w:b/>
        </w:rPr>
        <w:t xml:space="preserve">THIRD </w:t>
      </w:r>
      <w:r w:rsidR="00E245A3" w:rsidRPr="003E31E2">
        <w:rPr>
          <w:b/>
        </w:rPr>
        <w:t xml:space="preserve">COMMENTS OF PUBLIC COUNSEL </w:t>
      </w:r>
    </w:p>
    <w:p w:rsidR="00EF02A1" w:rsidRDefault="000A6987" w:rsidP="002A75EA">
      <w:pPr>
        <w:spacing w:line="480" w:lineRule="auto"/>
        <w:jc w:val="center"/>
        <w:rPr>
          <w:b/>
        </w:rPr>
      </w:pPr>
      <w:r>
        <w:rPr>
          <w:b/>
        </w:rPr>
        <w:t>March 30</w:t>
      </w:r>
      <w:r w:rsidR="001221F1">
        <w:rPr>
          <w:b/>
        </w:rPr>
        <w:t>, 2017</w:t>
      </w:r>
    </w:p>
    <w:p w:rsidR="006B2D39" w:rsidRPr="00FB74A3" w:rsidRDefault="00EF02A1" w:rsidP="002A75EA">
      <w:pPr>
        <w:pStyle w:val="Heading1"/>
      </w:pPr>
      <w:r w:rsidRPr="00FB74A3">
        <w:t>Introduction</w:t>
      </w:r>
    </w:p>
    <w:p w:rsidR="00A8222F" w:rsidRDefault="00A8222F" w:rsidP="002A75EA">
      <w:pPr>
        <w:pStyle w:val="ParNumber"/>
        <w:spacing w:line="480" w:lineRule="auto"/>
      </w:pPr>
      <w:r>
        <w:tab/>
      </w:r>
      <w:r w:rsidRPr="00A8222F">
        <w:t>On January 13, 2017</w:t>
      </w:r>
      <w:r w:rsidR="005D2DBD">
        <w:t>,</w:t>
      </w:r>
      <w:r w:rsidRPr="00A8222F">
        <w:t xml:space="preserve"> the Commission issued a Notice of Opportunity to File Written Comments on Draft Policy and Interpretive Statement Describing Commission Policy related to Utility Investment in Electric Vehicle Supply Equipment pursuant to RCW 80.28.360 and Commission Regulation of Electric Vehicle Charging Services. </w:t>
      </w:r>
      <w:r w:rsidR="002A75EA">
        <w:t xml:space="preserve"> </w:t>
      </w:r>
      <w:r w:rsidRPr="00A8222F">
        <w:t xml:space="preserve">Public Counsel files these comments </w:t>
      </w:r>
      <w:r w:rsidR="008122DF">
        <w:t>pursuant</w:t>
      </w:r>
      <w:r w:rsidRPr="00A8222F">
        <w:t xml:space="preserve"> to this Notice. </w:t>
      </w:r>
    </w:p>
    <w:p w:rsidR="00A8222F" w:rsidRDefault="00A8222F" w:rsidP="002A75EA">
      <w:pPr>
        <w:pStyle w:val="ParNumber"/>
        <w:spacing w:line="480" w:lineRule="auto"/>
      </w:pPr>
      <w:r>
        <w:tab/>
      </w:r>
      <w:r w:rsidRPr="00A8222F">
        <w:t xml:space="preserve">Public Counsel also </w:t>
      </w:r>
      <w:r w:rsidR="008122DF">
        <w:t>submitted comments in response to</w:t>
      </w:r>
      <w:r w:rsidRPr="00A8222F">
        <w:t xml:space="preserve"> the August 16, 2016</w:t>
      </w:r>
      <w:r w:rsidR="002A75EA">
        <w:t>,</w:t>
      </w:r>
      <w:r w:rsidRPr="00A8222F">
        <w:t xml:space="preserve"> Notice of Opportunity to File Written Comments in advance of the Commission’s September 13, 2016</w:t>
      </w:r>
      <w:r w:rsidR="002A75EA">
        <w:t>,</w:t>
      </w:r>
      <w:r w:rsidRPr="00A8222F">
        <w:t xml:space="preserve"> Recessed Open Meeting, as well as the October 31, 2016</w:t>
      </w:r>
      <w:r w:rsidR="002A75EA">
        <w:t>,</w:t>
      </w:r>
      <w:r w:rsidRPr="00A8222F">
        <w:t xml:space="preserve"> Office of the Code Reviser a Preproposal Statement of Inquiry (CR-101) for supplemental inquiries into the need for a policy statement or adoption of a rule for the implementation of RCW 80.28.360. </w:t>
      </w:r>
      <w:r w:rsidR="000A6987">
        <w:t xml:space="preserve"> </w:t>
      </w:r>
      <w:r w:rsidR="008122DF">
        <w:t xml:space="preserve">Those comments are not repeated here but remain </w:t>
      </w:r>
      <w:r w:rsidR="00161EDD">
        <w:t>relevant.</w:t>
      </w:r>
    </w:p>
    <w:p w:rsidR="00A8222F" w:rsidRDefault="00A8222F" w:rsidP="002A75EA">
      <w:pPr>
        <w:pStyle w:val="ParNumber"/>
        <w:spacing w:line="480" w:lineRule="auto"/>
      </w:pPr>
      <w:r>
        <w:tab/>
      </w:r>
      <w:r w:rsidRPr="00A8222F">
        <w:t xml:space="preserve">Public Counsel </w:t>
      </w:r>
      <w:r w:rsidR="000F2BC4">
        <w:t>supports</w:t>
      </w:r>
      <w:r w:rsidRPr="00A8222F">
        <w:t xml:space="preserve"> the Draft Policy and Interpretive Statement and offers the following comments.  </w:t>
      </w:r>
    </w:p>
    <w:p w:rsidR="00300749" w:rsidRPr="00A8222F" w:rsidRDefault="00300749" w:rsidP="00300749">
      <w:pPr>
        <w:pStyle w:val="ParNumber"/>
        <w:numPr>
          <w:ilvl w:val="0"/>
          <w:numId w:val="0"/>
        </w:numPr>
        <w:spacing w:line="480" w:lineRule="auto"/>
      </w:pPr>
    </w:p>
    <w:p w:rsidR="00A8222F" w:rsidRDefault="00A8222F" w:rsidP="00300749">
      <w:pPr>
        <w:pStyle w:val="Heading1"/>
        <w:spacing w:line="240" w:lineRule="auto"/>
      </w:pPr>
      <w:r w:rsidRPr="002A75EA">
        <w:lastRenderedPageBreak/>
        <w:t xml:space="preserve">General Comments </w:t>
      </w:r>
    </w:p>
    <w:p w:rsidR="00300749" w:rsidRPr="00300749" w:rsidRDefault="00300749" w:rsidP="00300749"/>
    <w:p w:rsidR="00A8222F" w:rsidRPr="00A8222F" w:rsidRDefault="00A8222F" w:rsidP="002A75EA">
      <w:pPr>
        <w:pStyle w:val="ParNumber"/>
        <w:spacing w:line="480" w:lineRule="auto"/>
      </w:pPr>
      <w:r>
        <w:tab/>
      </w:r>
      <w:r w:rsidRPr="00A8222F">
        <w:t xml:space="preserve">While there are many matters considered in the Draft Policy Statement, Public Counsel’s general comments are centered on: </w:t>
      </w:r>
      <w:r w:rsidR="00300749">
        <w:t xml:space="preserve"> </w:t>
      </w:r>
      <w:r w:rsidRPr="00A8222F">
        <w:t>(1) consumer protection</w:t>
      </w:r>
      <w:r w:rsidR="00300749">
        <w:t>s, (2) service quality, and (3) </w:t>
      </w:r>
      <w:r w:rsidRPr="00A8222F">
        <w:t xml:space="preserve">reporting requirements. </w:t>
      </w:r>
    </w:p>
    <w:p w:rsidR="00A8222F" w:rsidRPr="00A8222F" w:rsidRDefault="00A8222F" w:rsidP="002A75EA">
      <w:pPr>
        <w:pStyle w:val="Heading2"/>
        <w:numPr>
          <w:ilvl w:val="0"/>
          <w:numId w:val="18"/>
        </w:numPr>
      </w:pPr>
      <w:r>
        <w:t xml:space="preserve">  </w:t>
      </w:r>
      <w:r w:rsidRPr="00A8222F">
        <w:t>Consumer Protections</w:t>
      </w:r>
      <w:r w:rsidR="00300749">
        <w:t>.</w:t>
      </w:r>
      <w:r w:rsidRPr="00A8222F">
        <w:t xml:space="preserve"> </w:t>
      </w:r>
    </w:p>
    <w:p w:rsidR="00A8222F" w:rsidRDefault="00A8222F" w:rsidP="002A75EA">
      <w:pPr>
        <w:pStyle w:val="ParNumber"/>
        <w:spacing w:line="480" w:lineRule="auto"/>
      </w:pPr>
      <w:r>
        <w:tab/>
      </w:r>
      <w:r w:rsidRPr="00A8222F">
        <w:t xml:space="preserve">Public Counsel commends the Commission’s inclusion of consumer protections </w:t>
      </w:r>
      <w:r w:rsidR="00817E22">
        <w:t>throughout</w:t>
      </w:r>
      <w:r w:rsidRPr="00A8222F">
        <w:t xml:space="preserve"> </w:t>
      </w:r>
      <w:r w:rsidR="002208EE">
        <w:t xml:space="preserve">both Part I and Part II of </w:t>
      </w:r>
      <w:r w:rsidRPr="00A8222F">
        <w:t xml:space="preserve">the Draft Policy Statement. </w:t>
      </w:r>
      <w:r w:rsidR="000A6987">
        <w:t xml:space="preserve"> </w:t>
      </w:r>
      <w:r w:rsidRPr="00A8222F">
        <w:t xml:space="preserve">Public Counsel believes that the development of consumer protections within the </w:t>
      </w:r>
      <w:r w:rsidR="005D2DBD">
        <w:t>electric vehicle supply equipment (</w:t>
      </w:r>
      <w:r w:rsidRPr="00A8222F">
        <w:t>EVSE</w:t>
      </w:r>
      <w:r w:rsidR="005D2DBD">
        <w:t>)</w:t>
      </w:r>
      <w:r w:rsidRPr="00A8222F">
        <w:t xml:space="preserve"> propo</w:t>
      </w:r>
      <w:r w:rsidR="00030241">
        <w:t xml:space="preserve">sals is particularly important in </w:t>
      </w:r>
      <w:r w:rsidRPr="00A8222F">
        <w:t>meeting the requirement of fair competition as required by RCW</w:t>
      </w:r>
      <w:r w:rsidR="005D2DBD">
        <w:t> </w:t>
      </w:r>
      <w:r w:rsidRPr="00A8222F">
        <w:t xml:space="preserve">80.28.360(1). </w:t>
      </w:r>
    </w:p>
    <w:p w:rsidR="00B33C4F" w:rsidRDefault="00A8222F" w:rsidP="002A75EA">
      <w:pPr>
        <w:pStyle w:val="ParNumber"/>
        <w:spacing w:line="480" w:lineRule="auto"/>
      </w:pPr>
      <w:r>
        <w:tab/>
      </w:r>
      <w:r w:rsidR="00030241">
        <w:t>In regards</w:t>
      </w:r>
      <w:r w:rsidR="000F2BC4">
        <w:t xml:space="preserve"> to</w:t>
      </w:r>
      <w:r w:rsidRPr="00A8222F">
        <w:t xml:space="preserve"> the consumer protections</w:t>
      </w:r>
      <w:r w:rsidR="00745779">
        <w:t xml:space="preserve"> in Part I associated with </w:t>
      </w:r>
      <w:r w:rsidR="004B383F">
        <w:t>removal</w:t>
      </w:r>
      <w:r w:rsidRPr="00A8222F">
        <w:t xml:space="preserve"> of EVSE, the Draft Policy Statement proposes three options to the customer once an EVSE is fully depreciated</w:t>
      </w:r>
      <w:r w:rsidR="00643A8F">
        <w:t>, which are</w:t>
      </w:r>
      <w:r w:rsidRPr="00A8222F">
        <w:t xml:space="preserve">: </w:t>
      </w:r>
      <w:r w:rsidR="00300749">
        <w:t xml:space="preserve"> </w:t>
      </w:r>
      <w:r w:rsidRPr="00A8222F">
        <w:t>“</w:t>
      </w:r>
      <w:r w:rsidR="008E183D">
        <w:t>(a) the utility may “gift”</w:t>
      </w:r>
      <w:r w:rsidRPr="00A8222F">
        <w:t xml:space="preserve"> a fully depreciated electric vehicle charging station to a willing customer, (b) the utility may replace the electric vehicle charging station with a new charging stations, or (c) the utility may remove the electric vehicle charging station, per its policies and procedures for removing depreciated distribution facilities.”</w:t>
      </w:r>
      <w:r w:rsidRPr="00A8222F">
        <w:rPr>
          <w:rStyle w:val="FootnoteReference"/>
        </w:rPr>
        <w:footnoteReference w:id="1"/>
      </w:r>
      <w:r w:rsidRPr="00A8222F">
        <w:t xml:space="preserve"> </w:t>
      </w:r>
      <w:r w:rsidR="00300749">
        <w:t xml:space="preserve"> </w:t>
      </w:r>
      <w:r w:rsidR="009A7AA4">
        <w:t xml:space="preserve">Public Counsel agrees with the inclusion of this proposal in the Draft Policy Statement for the following reasons.  </w:t>
      </w:r>
    </w:p>
    <w:p w:rsidR="00A50EC4" w:rsidRDefault="002F752F" w:rsidP="009A7AA4">
      <w:pPr>
        <w:pStyle w:val="ParNumber"/>
        <w:spacing w:line="480" w:lineRule="auto"/>
      </w:pPr>
      <w:r>
        <w:t xml:space="preserve"> </w:t>
      </w:r>
      <w:r>
        <w:tab/>
      </w:r>
      <w:r w:rsidR="009A7AA4">
        <w:t xml:space="preserve">First, </w:t>
      </w:r>
      <w:r w:rsidR="00A8222F" w:rsidRPr="00A8222F">
        <w:t>Public Counsel believes this proposal provides a</w:t>
      </w:r>
      <w:r w:rsidR="00A50EC4">
        <w:t xml:space="preserve"> foundation</w:t>
      </w:r>
      <w:r>
        <w:t xml:space="preserve"> in which to begin addressing consumer protection issues relating to</w:t>
      </w:r>
      <w:r w:rsidR="00C01B7E">
        <w:t xml:space="preserve"> EVSE.</w:t>
      </w:r>
      <w:r>
        <w:t xml:space="preserve"> </w:t>
      </w:r>
      <w:r w:rsidR="000A6987">
        <w:t xml:space="preserve"> </w:t>
      </w:r>
      <w:r w:rsidR="009A7AA4">
        <w:t>Second</w:t>
      </w:r>
      <w:r>
        <w:t xml:space="preserve">, we </w:t>
      </w:r>
      <w:r w:rsidR="00C01B7E">
        <w:t>agree that</w:t>
      </w:r>
      <w:r>
        <w:t xml:space="preserve"> providing these options will</w:t>
      </w:r>
      <w:r w:rsidR="003F2A67">
        <w:t xml:space="preserve"> </w:t>
      </w:r>
      <w:r w:rsidR="00A8222F" w:rsidRPr="00A8222F">
        <w:t>remov</w:t>
      </w:r>
      <w:r w:rsidR="009A7AA4">
        <w:t>e</w:t>
      </w:r>
      <w:r w:rsidR="00A8222F" w:rsidRPr="00A8222F">
        <w:t xml:space="preserve"> the burden that may be placed on customers contemplat</w:t>
      </w:r>
      <w:r w:rsidR="00A50EC4">
        <w:t xml:space="preserve">ing the installation </w:t>
      </w:r>
      <w:r w:rsidR="00A50EC4">
        <w:lastRenderedPageBreak/>
        <w:t>of EVSE</w:t>
      </w:r>
      <w:r w:rsidR="000A6987">
        <w:t>.</w:t>
      </w:r>
      <w:r w:rsidR="00C01B7E">
        <w:rPr>
          <w:rStyle w:val="FootnoteReference"/>
        </w:rPr>
        <w:footnoteReference w:id="2"/>
      </w:r>
      <w:r w:rsidR="009A7AA4">
        <w:t xml:space="preserve"> </w:t>
      </w:r>
      <w:r w:rsidR="000A6987">
        <w:t xml:space="preserve"> </w:t>
      </w:r>
      <w:r w:rsidR="009A7AA4">
        <w:t>Th</w:t>
      </w:r>
      <w:r w:rsidR="00560575">
        <w:t>erefore</w:t>
      </w:r>
      <w:r w:rsidR="00A8222F" w:rsidRPr="00A8222F">
        <w:t xml:space="preserve">, </w:t>
      </w:r>
      <w:r w:rsidR="00B95269">
        <w:t>th</w:t>
      </w:r>
      <w:r w:rsidR="00560575">
        <w:t xml:space="preserve">e three </w:t>
      </w:r>
      <w:r w:rsidR="00B95269">
        <w:t xml:space="preserve">EVSE </w:t>
      </w:r>
      <w:r w:rsidR="00A50EC4">
        <w:t xml:space="preserve">options </w:t>
      </w:r>
      <w:r w:rsidR="00A8222F" w:rsidRPr="00A8222F">
        <w:t xml:space="preserve">should be placed in the customer agreement for </w:t>
      </w:r>
      <w:r w:rsidR="00673453">
        <w:t>an explicit explanation of the “gifting”</w:t>
      </w:r>
      <w:r w:rsidR="00A8222F" w:rsidRPr="00A8222F">
        <w:t xml:space="preserve"> process</w:t>
      </w:r>
      <w:r w:rsidR="002208EE">
        <w:t xml:space="preserve"> at the end of the depreciable life of the EV charging equipment</w:t>
      </w:r>
      <w:r w:rsidR="00A8222F" w:rsidRPr="00A8222F">
        <w:t>.</w:t>
      </w:r>
      <w:r w:rsidR="006200AF">
        <w:t xml:space="preserve"> </w:t>
      </w:r>
      <w:r w:rsidR="000A6987">
        <w:t xml:space="preserve"> </w:t>
      </w:r>
      <w:r w:rsidR="006200AF">
        <w:t xml:space="preserve">However, Public Counsel </w:t>
      </w:r>
      <w:r w:rsidR="00560575">
        <w:t>presumes</w:t>
      </w:r>
      <w:r w:rsidR="006200AF">
        <w:t xml:space="preserve"> that as EVSE programs develop and implementation commences, the proposed three options for “gifting” may need to be amended. </w:t>
      </w:r>
      <w:r w:rsidR="000A6987">
        <w:t xml:space="preserve"> </w:t>
      </w:r>
      <w:r w:rsidR="006200AF">
        <w:t xml:space="preserve">We believe that this will most likely occur as EVSE program designs evolve and technology changes. </w:t>
      </w:r>
    </w:p>
    <w:p w:rsidR="00A8222F" w:rsidRPr="00A8222F" w:rsidRDefault="00A8222F" w:rsidP="002A75EA">
      <w:pPr>
        <w:pStyle w:val="ParNumber"/>
        <w:spacing w:line="480" w:lineRule="auto"/>
      </w:pPr>
      <w:r>
        <w:tab/>
      </w:r>
      <w:r w:rsidRPr="00A8222F">
        <w:t>Part II of the Draft Policy Statement acknowledge</w:t>
      </w:r>
      <w:r w:rsidR="006D23E8">
        <w:t>s</w:t>
      </w:r>
      <w:r w:rsidRPr="00A8222F">
        <w:t xml:space="preserve"> that upon more experience in EVSE implementation, the need for more consumer protections may arise and a rulemaking proceeding may be required</w:t>
      </w:r>
      <w:r w:rsidR="00EE53F8">
        <w:t>.</w:t>
      </w:r>
      <w:r w:rsidRPr="00A8222F">
        <w:rPr>
          <w:rStyle w:val="FootnoteReference"/>
        </w:rPr>
        <w:footnoteReference w:id="3"/>
      </w:r>
      <w:r w:rsidRPr="00A8222F">
        <w:t xml:space="preserve"> </w:t>
      </w:r>
      <w:r w:rsidR="00AA1B90">
        <w:t xml:space="preserve"> </w:t>
      </w:r>
      <w:r w:rsidR="000B25B3">
        <w:t>Nevertheless, no direct guidance is given to utilities in addressing consumer protection issues that may arise during</w:t>
      </w:r>
      <w:r w:rsidR="00850181">
        <w:t xml:space="preserve"> this interim period</w:t>
      </w:r>
      <w:r w:rsidR="000B25B3">
        <w:t xml:space="preserve">. </w:t>
      </w:r>
      <w:r w:rsidR="006E0A97">
        <w:t xml:space="preserve"> </w:t>
      </w:r>
      <w:r w:rsidRPr="00A8222F">
        <w:t xml:space="preserve">Public Counsel believes that this gap between </w:t>
      </w:r>
      <w:r w:rsidR="00850181">
        <w:t>the EVSE implementation and a</w:t>
      </w:r>
      <w:r w:rsidR="00EC2F7B">
        <w:t xml:space="preserve"> possible </w:t>
      </w:r>
      <w:r w:rsidR="00850181">
        <w:t xml:space="preserve">rulemaking proceeding </w:t>
      </w:r>
      <w:r w:rsidRPr="00A8222F">
        <w:t>require</w:t>
      </w:r>
      <w:r w:rsidR="008F4222">
        <w:t>s</w:t>
      </w:r>
      <w:r w:rsidRPr="00A8222F">
        <w:t xml:space="preserve"> more clarity </w:t>
      </w:r>
      <w:r w:rsidR="00030241">
        <w:t xml:space="preserve">in </w:t>
      </w:r>
      <w:r w:rsidRPr="00A8222F">
        <w:t xml:space="preserve">determining </w:t>
      </w:r>
      <w:r w:rsidR="00030241">
        <w:t xml:space="preserve">additional </w:t>
      </w:r>
      <w:r w:rsidRPr="00A8222F">
        <w:t>consumer protections</w:t>
      </w:r>
      <w:r w:rsidR="00850181">
        <w:t xml:space="preserve"> within the Policy Statement</w:t>
      </w:r>
      <w:r w:rsidRPr="00A8222F">
        <w:t xml:space="preserve">. </w:t>
      </w:r>
      <w:r w:rsidR="006E0A97">
        <w:t xml:space="preserve"> </w:t>
      </w:r>
      <w:r w:rsidR="00850181">
        <w:t xml:space="preserve">Public Counsel </w:t>
      </w:r>
      <w:r w:rsidR="00D9354C">
        <w:t xml:space="preserve">proposes one </w:t>
      </w:r>
      <w:r w:rsidR="00EC2F7B">
        <w:t xml:space="preserve">solution to this dilemma. </w:t>
      </w:r>
      <w:r w:rsidR="006E0A97">
        <w:t xml:space="preserve"> </w:t>
      </w:r>
      <w:r w:rsidR="00D9354C">
        <w:t>W</w:t>
      </w:r>
      <w:r w:rsidR="002208EE">
        <w:t>e believe the role of stakeholders and their engagement in the EVSE joint stakeholder group may assist in developing solutions to any consumer protection issues within the development of EVSE proposals, such as on-bill repayment, equipment leasing and rentals, and other EV charging services proposed</w:t>
      </w:r>
      <w:r w:rsidR="002B5F91">
        <w:t xml:space="preserve"> by utilities. </w:t>
      </w:r>
      <w:r w:rsidR="002208EE">
        <w:t xml:space="preserve"> </w:t>
      </w:r>
    </w:p>
    <w:p w:rsidR="00A8222F" w:rsidRPr="00A8222F" w:rsidRDefault="00A8222F" w:rsidP="002A75EA">
      <w:pPr>
        <w:pStyle w:val="Heading2"/>
      </w:pPr>
      <w:r w:rsidRPr="00A8222F">
        <w:t>Service Quality</w:t>
      </w:r>
      <w:r w:rsidR="00EE53F8">
        <w:t>.</w:t>
      </w:r>
      <w:r w:rsidRPr="00A8222F">
        <w:t xml:space="preserve"> </w:t>
      </w:r>
    </w:p>
    <w:p w:rsidR="00A8222F" w:rsidRPr="00A8222F" w:rsidRDefault="002A75EA" w:rsidP="002A75EA">
      <w:pPr>
        <w:pStyle w:val="ParNumber"/>
        <w:spacing w:line="480" w:lineRule="auto"/>
      </w:pPr>
      <w:r>
        <w:tab/>
      </w:r>
      <w:r w:rsidR="00A8222F" w:rsidRPr="00A8222F">
        <w:t>Public Counsel firmly believes service quality standards should be created for EV charging services, regardless</w:t>
      </w:r>
      <w:r w:rsidR="008E183D">
        <w:t xml:space="preserve"> of whether the utility is the “provider” or the “manager</w:t>
      </w:r>
      <w:r w:rsidR="006A3662">
        <w:t>.</w:t>
      </w:r>
      <w:r w:rsidR="008E183D">
        <w:t>”</w:t>
      </w:r>
      <w:r w:rsidR="00A8222F" w:rsidRPr="00A8222F">
        <w:t xml:space="preserve"> </w:t>
      </w:r>
      <w:r w:rsidR="00055D91">
        <w:t xml:space="preserve"> </w:t>
      </w:r>
      <w:r w:rsidR="00A8222F" w:rsidRPr="00A8222F">
        <w:t xml:space="preserve">Nonetheless, we do acknowledge that the service quality standards may vary based on the </w:t>
      </w:r>
      <w:r w:rsidR="00A8222F" w:rsidRPr="00A8222F">
        <w:lastRenderedPageBreak/>
        <w:t>utility’s role, as stated in the Draft Policy Statement</w:t>
      </w:r>
      <w:r w:rsidR="00055D91">
        <w:t>.</w:t>
      </w:r>
      <w:r w:rsidR="00A8222F" w:rsidRPr="00A8222F">
        <w:rPr>
          <w:rStyle w:val="FootnoteReference"/>
        </w:rPr>
        <w:footnoteReference w:id="4"/>
      </w:r>
      <w:r w:rsidR="00055D91">
        <w:t xml:space="preserve"> </w:t>
      </w:r>
      <w:r w:rsidR="00A8222F" w:rsidRPr="00A8222F">
        <w:t xml:space="preserve"> Public Counsel </w:t>
      </w:r>
      <w:r w:rsidR="000E3212">
        <w:t>believes</w:t>
      </w:r>
      <w:r w:rsidR="00A8222F" w:rsidRPr="00A8222F">
        <w:t xml:space="preserve"> this discussion and the creation of service quality standards </w:t>
      </w:r>
      <w:r w:rsidR="000E3212">
        <w:t xml:space="preserve">may benefit from a collaborative setting, such as the joint </w:t>
      </w:r>
      <w:r w:rsidR="00A8222F" w:rsidRPr="00A8222F">
        <w:t>stakeholder group</w:t>
      </w:r>
      <w:r w:rsidR="000E3212">
        <w:t xml:space="preserve">, as well as from </w:t>
      </w:r>
      <w:r w:rsidR="00955FFC">
        <w:t xml:space="preserve">additional </w:t>
      </w:r>
      <w:r w:rsidR="000E3212">
        <w:t>Commission guidance in the Policy Statement</w:t>
      </w:r>
      <w:r w:rsidR="00A8222F" w:rsidRPr="00A8222F">
        <w:t xml:space="preserve">. </w:t>
      </w:r>
    </w:p>
    <w:p w:rsidR="00A8222F" w:rsidRPr="00A8222F" w:rsidRDefault="00A8222F" w:rsidP="002A75EA">
      <w:pPr>
        <w:pStyle w:val="Heading2"/>
      </w:pPr>
      <w:r w:rsidRPr="00A8222F">
        <w:t>Reporting Requirement</w:t>
      </w:r>
      <w:r w:rsidR="00EE53F8">
        <w:t xml:space="preserve">. </w:t>
      </w:r>
    </w:p>
    <w:p w:rsidR="00A8222F" w:rsidRPr="00A8222F" w:rsidRDefault="002A75EA" w:rsidP="002A75EA">
      <w:pPr>
        <w:pStyle w:val="ParNumber"/>
        <w:spacing w:line="480" w:lineRule="auto"/>
      </w:pPr>
      <w:r>
        <w:tab/>
      </w:r>
      <w:r w:rsidR="00A8222F" w:rsidRPr="00A8222F">
        <w:t>As Public Counsel has stated in both its August 16, 2016</w:t>
      </w:r>
      <w:r w:rsidR="00EE53F8">
        <w:t>,</w:t>
      </w:r>
      <w:r w:rsidR="00A8222F" w:rsidRPr="00A8222F">
        <w:t xml:space="preserve"> and its November 23, 2016</w:t>
      </w:r>
      <w:r w:rsidR="00EE53F8">
        <w:t xml:space="preserve">, </w:t>
      </w:r>
      <w:r w:rsidR="00A8222F" w:rsidRPr="00A8222F">
        <w:t>comments, reporting</w:t>
      </w:r>
      <w:r w:rsidR="00BF7CE3">
        <w:t>,</w:t>
      </w:r>
      <w:r w:rsidR="00A8222F" w:rsidRPr="00A8222F">
        <w:t xml:space="preserve"> and tracking requirements for EVSE are essential to proactively review issues related to participant behavior, reliability of the grid and infrastructure, and costs associated with EVSE. </w:t>
      </w:r>
      <w:r w:rsidR="006E0A97">
        <w:t xml:space="preserve"> </w:t>
      </w:r>
      <w:r w:rsidR="005D08A4">
        <w:t>Public Counsel believe</w:t>
      </w:r>
      <w:r w:rsidR="001262AD">
        <w:t>s</w:t>
      </w:r>
      <w:r w:rsidR="005D08A4">
        <w:t xml:space="preserve"> that it would be advantageous to add </w:t>
      </w:r>
      <w:r w:rsidR="00A8222F" w:rsidRPr="00A8222F">
        <w:t>reporting of participation and direct benefits</w:t>
      </w:r>
      <w:r w:rsidR="00EE53F8">
        <w:t xml:space="preserve"> of low-</w:t>
      </w:r>
      <w:r w:rsidR="00A8222F" w:rsidRPr="00A8222F">
        <w:t>income communities in EVSE.</w:t>
      </w:r>
      <w:r w:rsidR="006E0A97">
        <w:t xml:space="preserve"> </w:t>
      </w:r>
      <w:r w:rsidR="00A8222F" w:rsidRPr="00A8222F">
        <w:t xml:space="preserve"> </w:t>
      </w:r>
      <w:r w:rsidR="005B0868">
        <w:t xml:space="preserve">Furthermore, </w:t>
      </w:r>
      <w:r w:rsidR="001262AD">
        <w:t xml:space="preserve">additional reporting of </w:t>
      </w:r>
      <w:r w:rsidR="00DD05D5">
        <w:t>“</w:t>
      </w:r>
      <w:r w:rsidR="001262AD">
        <w:t>real and tangible</w:t>
      </w:r>
      <w:r w:rsidR="005B0868">
        <w:t xml:space="preserve"> benefits</w:t>
      </w:r>
      <w:r w:rsidR="00DD05D5">
        <w:t>”</w:t>
      </w:r>
      <w:r w:rsidR="005D08A4">
        <w:t xml:space="preserve"> </w:t>
      </w:r>
      <w:r w:rsidR="00DD05D5">
        <w:t xml:space="preserve">would </w:t>
      </w:r>
      <w:r w:rsidR="001262AD">
        <w:t xml:space="preserve">be </w:t>
      </w:r>
      <w:r w:rsidR="00EB0FB6">
        <w:t>of value</w:t>
      </w:r>
      <w:r w:rsidR="006D3535">
        <w:t xml:space="preserve"> </w:t>
      </w:r>
      <w:r w:rsidR="005D08A4">
        <w:t xml:space="preserve">for a </w:t>
      </w:r>
      <w:r w:rsidR="005B0868">
        <w:t xml:space="preserve">prudence review </w:t>
      </w:r>
      <w:r w:rsidR="005D08A4">
        <w:t xml:space="preserve">and </w:t>
      </w:r>
      <w:r w:rsidR="001262AD">
        <w:t>potential cost recovery, as required by RCW 80.28.360(3).</w:t>
      </w:r>
      <w:r w:rsidR="005D08A4">
        <w:t xml:space="preserve"> </w:t>
      </w:r>
      <w:r w:rsidR="006E0A97">
        <w:t xml:space="preserve"> </w:t>
      </w:r>
      <w:r w:rsidR="001262AD">
        <w:t xml:space="preserve">While Public Counsel understands that there is no industry-wide agreement on the benefits of EVSE, we do expect that there will be further discussion and quantifications of these </w:t>
      </w:r>
      <w:r w:rsidR="00EB0FB6">
        <w:t>benefits, which</w:t>
      </w:r>
      <w:r w:rsidR="008767E9">
        <w:t xml:space="preserve"> should be included in regular reporting to the Commission. </w:t>
      </w:r>
    </w:p>
    <w:p w:rsidR="00A8222F" w:rsidRPr="00A8222F" w:rsidRDefault="00A8222F" w:rsidP="002A75EA">
      <w:pPr>
        <w:pStyle w:val="Heading1"/>
      </w:pPr>
      <w:r w:rsidRPr="00A8222F">
        <w:t>Comments Addressing Requested Issues</w:t>
      </w:r>
    </w:p>
    <w:p w:rsidR="00A8222F" w:rsidRPr="00A8222F" w:rsidRDefault="00EE53F8" w:rsidP="00EE53F8">
      <w:pPr>
        <w:pStyle w:val="ParNumber"/>
        <w:spacing w:line="480" w:lineRule="auto"/>
      </w:pPr>
      <w:r>
        <w:tab/>
      </w:r>
      <w:r w:rsidR="00A8222F" w:rsidRPr="00A8222F">
        <w:t xml:space="preserve">The </w:t>
      </w:r>
      <w:r w:rsidR="009C1C87">
        <w:t xml:space="preserve">Commission requested comments to </w:t>
      </w:r>
      <w:r w:rsidR="00A8222F" w:rsidRPr="00A8222F">
        <w:t>specifically address issues relating to:</w:t>
      </w:r>
      <w:r w:rsidR="009C1C87">
        <w:t xml:space="preserve"> </w:t>
      </w:r>
      <w:r w:rsidR="00A8222F" w:rsidRPr="00A8222F">
        <w:t xml:space="preserve"> (1) the proposed portfolio approach to EV charging, (2) interoperability, and (3) stakeholder engagement. </w:t>
      </w:r>
      <w:r w:rsidR="009C1C87">
        <w:t xml:space="preserve"> </w:t>
      </w:r>
      <w:r w:rsidR="00A8222F" w:rsidRPr="00A8222F">
        <w:t xml:space="preserve">The following presents Public Counsel’s view.  </w:t>
      </w:r>
    </w:p>
    <w:p w:rsidR="00A8222F" w:rsidRPr="00A8222F" w:rsidRDefault="00A8222F" w:rsidP="002A75EA">
      <w:pPr>
        <w:pStyle w:val="Heading2"/>
        <w:numPr>
          <w:ilvl w:val="0"/>
          <w:numId w:val="20"/>
        </w:numPr>
      </w:pPr>
      <w:r w:rsidRPr="00A8222F">
        <w:lastRenderedPageBreak/>
        <w:t>Portfolio Approach</w:t>
      </w:r>
      <w:r w:rsidR="00EE53F8">
        <w:t xml:space="preserve">.  </w:t>
      </w:r>
    </w:p>
    <w:p w:rsidR="00A8222F" w:rsidRPr="00A8222F" w:rsidRDefault="009C1C87" w:rsidP="009C1C87">
      <w:pPr>
        <w:pStyle w:val="ParNumber"/>
        <w:spacing w:line="480" w:lineRule="auto"/>
      </w:pPr>
      <w:r>
        <w:tab/>
      </w:r>
      <w:r w:rsidR="00A8222F" w:rsidRPr="00A8222F">
        <w:t>Public Counsel agrees with the portfolio approach, as stated in the Draft Policy Statement, “[r]ather</w:t>
      </w:r>
      <w:r w:rsidR="008E183D">
        <w:t xml:space="preserve"> than a single “measure”</w:t>
      </w:r>
      <w:r w:rsidR="00A8222F" w:rsidRPr="00A8222F">
        <w:t xml:space="preserve"> or program offering, utilities should provide customers with multiple options for EV charging services, designed to serve a range of customer types, target multiple market segments, and evolve as technology changes.”</w:t>
      </w:r>
      <w:r w:rsidR="00A8222F" w:rsidRPr="00A8222F">
        <w:rPr>
          <w:rStyle w:val="FootnoteReference"/>
        </w:rPr>
        <w:footnoteReference w:id="5"/>
      </w:r>
      <w:r w:rsidR="00A8222F" w:rsidRPr="00A8222F">
        <w:t xml:space="preserve"> </w:t>
      </w:r>
      <w:r w:rsidR="00446328">
        <w:t xml:space="preserve"> </w:t>
      </w:r>
      <w:r w:rsidR="00A8222F" w:rsidRPr="00A8222F">
        <w:t xml:space="preserve">With this approach to utility investments in EVSE, customers will have the ability to participate in a multitude of available options. </w:t>
      </w:r>
      <w:r w:rsidR="00446328">
        <w:t xml:space="preserve"> </w:t>
      </w:r>
      <w:r w:rsidR="00A8222F" w:rsidRPr="00A8222F">
        <w:t xml:space="preserve">Public Counsel </w:t>
      </w:r>
      <w:r w:rsidR="00C74BFE">
        <w:t xml:space="preserve">also </w:t>
      </w:r>
      <w:r w:rsidR="00A8222F" w:rsidRPr="00A8222F">
        <w:t xml:space="preserve">agrees </w:t>
      </w:r>
      <w:r w:rsidR="00446328">
        <w:t xml:space="preserve">that </w:t>
      </w:r>
      <w:r w:rsidR="007016F6">
        <w:t xml:space="preserve">the utility’s EVSE </w:t>
      </w:r>
      <w:r w:rsidR="00A8222F" w:rsidRPr="00A8222F">
        <w:t xml:space="preserve">portfolio </w:t>
      </w:r>
      <w:r w:rsidR="00446328">
        <w:t>should contain offerings</w:t>
      </w:r>
      <w:r w:rsidR="00A8222F" w:rsidRPr="00A8222F">
        <w:t xml:space="preserve"> in which the utility </w:t>
      </w:r>
      <w:r w:rsidR="003A4C6F">
        <w:t>is both the “provider” and the “manager”</w:t>
      </w:r>
      <w:r w:rsidR="00A8222F" w:rsidRPr="00A8222F">
        <w:t xml:space="preserve">. </w:t>
      </w:r>
      <w:r w:rsidR="006E0A97">
        <w:t xml:space="preserve"> </w:t>
      </w:r>
      <w:r w:rsidR="00A8222F" w:rsidRPr="00A8222F">
        <w:t>We believe that this is a foundational element to a balanced portfolio</w:t>
      </w:r>
      <w:r w:rsidR="00DD05D5">
        <w:t>, and this approach complies with</w:t>
      </w:r>
      <w:r w:rsidR="007016F6">
        <w:t xml:space="preserve"> </w:t>
      </w:r>
      <w:r w:rsidR="006E0A97">
        <w:t>RCW </w:t>
      </w:r>
      <w:r w:rsidR="00A8222F" w:rsidRPr="00A8222F">
        <w:t xml:space="preserve">80.28.360(1). </w:t>
      </w:r>
    </w:p>
    <w:p w:rsidR="002A75EA" w:rsidRDefault="002A75EA" w:rsidP="002A75EA">
      <w:pPr>
        <w:pStyle w:val="ParNumber"/>
        <w:spacing w:line="480" w:lineRule="auto"/>
      </w:pPr>
      <w:r>
        <w:tab/>
      </w:r>
      <w:r w:rsidR="00A8222F" w:rsidRPr="00A8222F">
        <w:t xml:space="preserve">There are several additional elements which we believe are necessary in </w:t>
      </w:r>
      <w:r w:rsidR="00DD05D5">
        <w:t xml:space="preserve">developing and </w:t>
      </w:r>
      <w:r w:rsidR="006E75C6">
        <w:t xml:space="preserve">implementing </w:t>
      </w:r>
      <w:r w:rsidR="006E75C6" w:rsidRPr="00A8222F">
        <w:t>a</w:t>
      </w:r>
      <w:r w:rsidR="00A8222F" w:rsidRPr="00A8222F">
        <w:t xml:space="preserve"> balanced EV portfolio. </w:t>
      </w:r>
      <w:r w:rsidR="006E0A97">
        <w:t xml:space="preserve"> </w:t>
      </w:r>
      <w:r w:rsidR="00A8222F" w:rsidRPr="00A8222F">
        <w:t>First, the portfolio should allow and encourage a competitive market</w:t>
      </w:r>
      <w:r w:rsidR="004D1ECC">
        <w:t>.  The proposed Policy Statement expresses an expectation that utilities offer services under which the utility serves as both “provider” and “manager.”</w:t>
      </w:r>
      <w:r w:rsidR="00B54C54">
        <w:rPr>
          <w:rStyle w:val="FootnoteReference"/>
        </w:rPr>
        <w:footnoteReference w:id="6"/>
      </w:r>
      <w:r w:rsidR="004D1ECC">
        <w:t xml:space="preserve">  Public Counsel believes this approach appropriately enhances the ability of third-party providers to participate in the EVSE market.</w:t>
      </w:r>
    </w:p>
    <w:p w:rsidR="00204F3A" w:rsidRDefault="002A75EA" w:rsidP="002A75EA">
      <w:pPr>
        <w:pStyle w:val="ParNumber"/>
        <w:spacing w:line="480" w:lineRule="auto"/>
      </w:pPr>
      <w:r>
        <w:tab/>
      </w:r>
      <w:r w:rsidR="00A8222F" w:rsidRPr="002A75EA">
        <w:t xml:space="preserve">Second, Public Counsel believes that the EV portfolio should require some form of load management program for customers. </w:t>
      </w:r>
      <w:r w:rsidR="007E12AE">
        <w:t xml:space="preserve"> </w:t>
      </w:r>
      <w:r w:rsidR="00A8222F" w:rsidRPr="002A75EA">
        <w:t xml:space="preserve">We consider this an important aspect to proactively manage the influx of electric vehicles to the electric grid. </w:t>
      </w:r>
      <w:r w:rsidR="006E0A97">
        <w:t xml:space="preserve"> </w:t>
      </w:r>
      <w:r w:rsidR="00204F3A">
        <w:t>Avista Corporation’s (Avista) quarterly updates</w:t>
      </w:r>
      <w:r w:rsidR="00524EAA">
        <w:t xml:space="preserve"> on its </w:t>
      </w:r>
      <w:r w:rsidR="001833AB">
        <w:t>pilot has</w:t>
      </w:r>
      <w:r w:rsidR="00204F3A">
        <w:t xml:space="preserve"> already shown a pattern in usage that while at this time may not </w:t>
      </w:r>
      <w:r w:rsidR="00204F3A">
        <w:lastRenderedPageBreak/>
        <w:t>have an effect on peak load</w:t>
      </w:r>
      <w:r w:rsidR="00524EAA">
        <w:t>,</w:t>
      </w:r>
      <w:r w:rsidR="00204F3A">
        <w:t xml:space="preserve"> may result in system reliabil</w:t>
      </w:r>
      <w:r w:rsidR="00524EAA">
        <w:t>ity and infrastructure issues</w:t>
      </w:r>
      <w:r w:rsidR="00204F3A">
        <w:t xml:space="preserve"> as electric vehicle uptake continues</w:t>
      </w:r>
      <w:r w:rsidR="00074E6F">
        <w:t xml:space="preserve">. </w:t>
      </w:r>
      <w:r w:rsidR="006E0A97">
        <w:t xml:space="preserve"> </w:t>
      </w:r>
      <w:r w:rsidR="00074E6F">
        <w:t>This pattern consist</w:t>
      </w:r>
      <w:r w:rsidR="00646C6F">
        <w:t>s</w:t>
      </w:r>
      <w:r w:rsidR="00074E6F">
        <w:t xml:space="preserve"> of</w:t>
      </w:r>
      <w:r w:rsidR="00BC71AA">
        <w:t xml:space="preserve"> higher consumption levels between 3pm and </w:t>
      </w:r>
      <w:r w:rsidR="00524EAA">
        <w:t xml:space="preserve">10pm </w:t>
      </w:r>
      <w:r w:rsidR="000D788C">
        <w:t>compared to off</w:t>
      </w:r>
      <w:r w:rsidR="00B54C54">
        <w:t>-</w:t>
      </w:r>
      <w:r w:rsidR="006E0A97">
        <w:t>peak periods</w:t>
      </w:r>
      <w:r w:rsidR="000D788C">
        <w:t>.</w:t>
      </w:r>
      <w:r w:rsidR="00BC71AA">
        <w:rPr>
          <w:rStyle w:val="FootnoteReference"/>
        </w:rPr>
        <w:footnoteReference w:id="7"/>
      </w:r>
    </w:p>
    <w:p w:rsidR="002A75EA" w:rsidRDefault="00CA1A69" w:rsidP="002A75EA">
      <w:pPr>
        <w:pStyle w:val="ParNumber"/>
        <w:spacing w:line="480" w:lineRule="auto"/>
      </w:pPr>
      <w:r>
        <w:t xml:space="preserve"> </w:t>
      </w:r>
      <w:r>
        <w:tab/>
      </w:r>
      <w:r w:rsidR="00A8222F" w:rsidRPr="002A75EA">
        <w:t>As the Draft Policy Statement noted, “Load management is essential to ensure that electric vehicle charging services provide benefits to non-participating customers, and do not undermine utility conservation efforts.”</w:t>
      </w:r>
      <w:r w:rsidR="00A8222F" w:rsidRPr="00A8222F">
        <w:rPr>
          <w:rStyle w:val="FootnoteReference"/>
        </w:rPr>
        <w:footnoteReference w:id="8"/>
      </w:r>
      <w:r w:rsidRPr="002A75EA">
        <w:t xml:space="preserve"> </w:t>
      </w:r>
      <w:r w:rsidR="00326696">
        <w:t xml:space="preserve"> </w:t>
      </w:r>
      <w:r w:rsidR="00A8222F" w:rsidRPr="002A75EA">
        <w:t>Public Counsel believes that there is flexibility in the type of program included in the EVSE proposal, such as direct load control, demand response, dynamic pricing, o</w:t>
      </w:r>
      <w:r w:rsidR="002A75EA">
        <w:t>r tiered and time-of-use rates.</w:t>
      </w:r>
      <w:r w:rsidR="00614C2B">
        <w:t xml:space="preserve"> </w:t>
      </w:r>
      <w:r w:rsidR="00326696">
        <w:t xml:space="preserve"> </w:t>
      </w:r>
      <w:r w:rsidR="00D874AD">
        <w:t xml:space="preserve">As has been witnessed in other jurisdictions, customers are responsive to </w:t>
      </w:r>
      <w:r w:rsidR="00481919">
        <w:t>incentives and price signals in</w:t>
      </w:r>
      <w:r w:rsidR="00646C6F">
        <w:t xml:space="preserve"> </w:t>
      </w:r>
      <w:r w:rsidR="00D874AD">
        <w:t>shift</w:t>
      </w:r>
      <w:r w:rsidR="00646C6F">
        <w:t>ing</w:t>
      </w:r>
      <w:r w:rsidR="00D874AD">
        <w:t xml:space="preserve"> their load from peak load periods</w:t>
      </w:r>
      <w:r w:rsidR="00B54C54">
        <w:t>.</w:t>
      </w:r>
      <w:r w:rsidR="00D874AD">
        <w:rPr>
          <w:rStyle w:val="FootnoteReference"/>
        </w:rPr>
        <w:footnoteReference w:id="9"/>
      </w:r>
    </w:p>
    <w:p w:rsidR="00A8222F" w:rsidRPr="002A75EA" w:rsidRDefault="002A75EA" w:rsidP="002A75EA">
      <w:pPr>
        <w:pStyle w:val="ParNumber"/>
        <w:spacing w:line="480" w:lineRule="auto"/>
      </w:pPr>
      <w:r>
        <w:tab/>
      </w:r>
      <w:r w:rsidR="001833AB">
        <w:t xml:space="preserve">Third, program(s) for the direct participation of low-income customers and/or communities should be </w:t>
      </w:r>
      <w:r w:rsidR="006D23E8">
        <w:t>mandatory</w:t>
      </w:r>
      <w:r w:rsidR="001833AB">
        <w:t xml:space="preserve"> in each utility EVSE proposal. </w:t>
      </w:r>
      <w:r w:rsidR="00AF2CDE">
        <w:t xml:space="preserve"> </w:t>
      </w:r>
      <w:r w:rsidR="001833AB">
        <w:t xml:space="preserve">Public Counsel has stated in past comments and continues to support the notion that benefits </w:t>
      </w:r>
      <w:r w:rsidR="0002030B">
        <w:t xml:space="preserve">from EVSE </w:t>
      </w:r>
      <w:r w:rsidR="001833AB">
        <w:t xml:space="preserve">should flow to all </w:t>
      </w:r>
      <w:r w:rsidR="008F11DC">
        <w:t>customers</w:t>
      </w:r>
      <w:r w:rsidR="001833AB">
        <w:t>, as all ratepayers will bear the burden of the costs to implement EVSE programs</w:t>
      </w:r>
      <w:r w:rsidR="006D23E8">
        <w:t>.</w:t>
      </w:r>
      <w:r w:rsidR="001833AB">
        <w:rPr>
          <w:rStyle w:val="FootnoteReference"/>
        </w:rPr>
        <w:footnoteReference w:id="10"/>
      </w:r>
      <w:r w:rsidR="001833AB">
        <w:t xml:space="preserve"> </w:t>
      </w:r>
      <w:r w:rsidR="00AF2CDE">
        <w:t xml:space="preserve"> </w:t>
      </w:r>
      <w:r w:rsidR="001833AB">
        <w:t>This cannot be achieved without the inclusion of low-income programs in the utility’s EVSE proposal.</w:t>
      </w:r>
      <w:r w:rsidR="001833AB">
        <w:rPr>
          <w:i/>
          <w:color w:val="FF0000"/>
        </w:rPr>
        <w:t xml:space="preserve"> </w:t>
      </w:r>
      <w:r w:rsidR="001833AB">
        <w:t xml:space="preserve"> </w:t>
      </w:r>
    </w:p>
    <w:p w:rsidR="00A8222F" w:rsidRPr="00AD5AE2" w:rsidRDefault="00A8222F" w:rsidP="00AF2CDE">
      <w:pPr>
        <w:pStyle w:val="ParNumber"/>
        <w:spacing w:line="480" w:lineRule="auto"/>
        <w:rPr>
          <w:i/>
          <w:color w:val="FF0000"/>
        </w:rPr>
      </w:pPr>
      <w:r w:rsidRPr="00A8222F">
        <w:lastRenderedPageBreak/>
        <w:t xml:space="preserve">    </w:t>
      </w:r>
      <w:r w:rsidR="00AF2CDE">
        <w:tab/>
      </w:r>
      <w:r w:rsidR="000B3A0F">
        <w:t xml:space="preserve">Finally, Public Counsel believes that EVSE proposals </w:t>
      </w:r>
      <w:r w:rsidR="00AD5AE2">
        <w:t xml:space="preserve">and/or the individual programs </w:t>
      </w:r>
      <w:r w:rsidR="000B3A0F">
        <w:t xml:space="preserve">will need to pass some </w:t>
      </w:r>
      <w:r w:rsidR="00AD5AE2">
        <w:t>form</w:t>
      </w:r>
      <w:r w:rsidR="000B3A0F">
        <w:t xml:space="preserve"> of </w:t>
      </w:r>
      <w:r w:rsidR="00AD5AE2">
        <w:t xml:space="preserve">a </w:t>
      </w:r>
      <w:r w:rsidR="000B3A0F">
        <w:t xml:space="preserve">cost-effectiveness test or total resource </w:t>
      </w:r>
      <w:r w:rsidR="00AD5AE2">
        <w:t xml:space="preserve">cost test. </w:t>
      </w:r>
      <w:r w:rsidR="004D4477">
        <w:t xml:space="preserve"> </w:t>
      </w:r>
      <w:r w:rsidR="00AD5AE2">
        <w:t>While Public Counsel does not have a recommendation of wh</w:t>
      </w:r>
      <w:r w:rsidR="0002030B">
        <w:t xml:space="preserve">ich </w:t>
      </w:r>
      <w:r w:rsidR="00AD5AE2">
        <w:t xml:space="preserve">type of test is suitable for EVSE or EV charging service, we </w:t>
      </w:r>
      <w:r w:rsidR="00B54C54">
        <w:t>look forward to</w:t>
      </w:r>
      <w:r w:rsidR="00AD5AE2">
        <w:t xml:space="preserve"> working with Commission Staff, utilities, and other stakeholders on evaluating an appropriate test. </w:t>
      </w:r>
    </w:p>
    <w:p w:rsidR="00A8222F" w:rsidRPr="00A8222F" w:rsidRDefault="00A8222F" w:rsidP="002A75EA">
      <w:pPr>
        <w:pStyle w:val="Heading2"/>
      </w:pPr>
      <w:r w:rsidRPr="00A8222F">
        <w:t>Interoperability</w:t>
      </w:r>
      <w:r w:rsidR="002A75EA">
        <w:t>.</w:t>
      </w:r>
    </w:p>
    <w:p w:rsidR="00A8222F" w:rsidRPr="00A8222F" w:rsidRDefault="002A75EA" w:rsidP="002A75EA">
      <w:pPr>
        <w:pStyle w:val="ParNumber"/>
        <w:spacing w:line="480" w:lineRule="auto"/>
      </w:pPr>
      <w:r>
        <w:tab/>
      </w:r>
      <w:r w:rsidR="00A8222F" w:rsidRPr="00A8222F">
        <w:t xml:space="preserve">Public Counsel does not have any direct comments regarding issues on interoperability. </w:t>
      </w:r>
      <w:r w:rsidR="008E183D">
        <w:t xml:space="preserve"> </w:t>
      </w:r>
      <w:r w:rsidR="00A8222F" w:rsidRPr="00A8222F">
        <w:t>Nonetheless, we support the Commission’s requirement for utilities to include an interoperability analysis with their EV charging proposals</w:t>
      </w:r>
      <w:r w:rsidR="008E183D">
        <w:t>.</w:t>
      </w:r>
      <w:r w:rsidR="00A8222F" w:rsidRPr="00A8222F">
        <w:rPr>
          <w:rStyle w:val="FootnoteReference"/>
        </w:rPr>
        <w:footnoteReference w:id="11"/>
      </w:r>
      <w:r w:rsidR="00A8222F" w:rsidRPr="00A8222F">
        <w:t xml:space="preserve">  We look forward to further discussion</w:t>
      </w:r>
      <w:r w:rsidR="007127E5">
        <w:t>s</w:t>
      </w:r>
      <w:r w:rsidR="00A8222F" w:rsidRPr="00A8222F">
        <w:t xml:space="preserve"> and stakeholder engagement on this topic. </w:t>
      </w:r>
    </w:p>
    <w:p w:rsidR="00A8222F" w:rsidRPr="00A8222F" w:rsidRDefault="00A8222F" w:rsidP="002A75EA">
      <w:pPr>
        <w:pStyle w:val="Heading2"/>
      </w:pPr>
      <w:r w:rsidRPr="00A8222F">
        <w:t>Stakeholder Engagement</w:t>
      </w:r>
      <w:r w:rsidR="002A75EA">
        <w:t>.</w:t>
      </w:r>
      <w:r w:rsidRPr="00A8222F">
        <w:t xml:space="preserve"> </w:t>
      </w:r>
    </w:p>
    <w:p w:rsidR="004D4477" w:rsidRDefault="002A75EA" w:rsidP="00566729">
      <w:pPr>
        <w:pStyle w:val="ParNumber"/>
        <w:spacing w:line="480" w:lineRule="auto"/>
      </w:pPr>
      <w:r>
        <w:tab/>
      </w:r>
      <w:r w:rsidR="00A8222F" w:rsidRPr="00A8222F">
        <w:t xml:space="preserve">Public Counsel supports the Commission’s proposed policy of a single joint stakeholder group for </w:t>
      </w:r>
      <w:r w:rsidR="00B54C54">
        <w:t>EVSE planning</w:t>
      </w:r>
      <w:r w:rsidR="006674ED">
        <w:t xml:space="preserve"> and the 60</w:t>
      </w:r>
      <w:r w:rsidR="00B54C54">
        <w:t>-</w:t>
      </w:r>
      <w:r w:rsidR="006674ED">
        <w:t>day review period for EVSE proposals</w:t>
      </w:r>
      <w:r w:rsidR="00A8222F" w:rsidRPr="00A8222F">
        <w:t xml:space="preserve">. </w:t>
      </w:r>
      <w:r w:rsidR="004D4477">
        <w:t xml:space="preserve"> </w:t>
      </w:r>
      <w:r w:rsidR="00A8222F" w:rsidRPr="00A8222F">
        <w:t>We believe a single join</w:t>
      </w:r>
      <w:r w:rsidR="008E183D">
        <w:t>t</w:t>
      </w:r>
      <w:r w:rsidR="00A8222F" w:rsidRPr="00A8222F">
        <w:t xml:space="preserve"> stakeholder group will allow </w:t>
      </w:r>
      <w:r w:rsidR="005A4F0D">
        <w:t xml:space="preserve">for a more fluid </w:t>
      </w:r>
      <w:r w:rsidR="00A8222F" w:rsidRPr="00A8222F">
        <w:t xml:space="preserve">collaborative setting for </w:t>
      </w:r>
      <w:r w:rsidR="005A4F0D">
        <w:t>effective statewide</w:t>
      </w:r>
      <w:r w:rsidR="00A8222F" w:rsidRPr="00A8222F">
        <w:t xml:space="preserve"> implementation</w:t>
      </w:r>
      <w:r w:rsidR="005A4F0D">
        <w:t xml:space="preserve"> of EVSE</w:t>
      </w:r>
      <w:r w:rsidR="006674ED">
        <w:t>.</w:t>
      </w:r>
      <w:r w:rsidR="00A8222F" w:rsidRPr="00A8222F">
        <w:t xml:space="preserve"> </w:t>
      </w:r>
      <w:r w:rsidR="004D4477">
        <w:t xml:space="preserve"> </w:t>
      </w:r>
      <w:r w:rsidR="006674ED">
        <w:t xml:space="preserve">While the Draft Policy Statement does not describe the depth of stakeholder </w:t>
      </w:r>
      <w:r w:rsidR="006E1A76">
        <w:t>engagement,</w:t>
      </w:r>
      <w:r w:rsidR="006674ED">
        <w:t xml:space="preserve"> Public Counsel believes t</w:t>
      </w:r>
      <w:r w:rsidR="00297803">
        <w:t>hat this process would benefit from a similar</w:t>
      </w:r>
      <w:r w:rsidR="005215FA">
        <w:t xml:space="preserve"> practice as the</w:t>
      </w:r>
      <w:r w:rsidR="006E1A76">
        <w:t xml:space="preserve"> Conservation Advisory Groups, pursu</w:t>
      </w:r>
      <w:r w:rsidR="004D4477">
        <w:t xml:space="preserve">ant to WAC 480-109-110. </w:t>
      </w:r>
    </w:p>
    <w:p w:rsidR="00A8222F" w:rsidRPr="00A8222F" w:rsidRDefault="004D4477" w:rsidP="00566729">
      <w:pPr>
        <w:pStyle w:val="ParNumber"/>
        <w:spacing w:line="480" w:lineRule="auto"/>
      </w:pPr>
      <w:r>
        <w:tab/>
      </w:r>
      <w:r w:rsidR="006E1A76">
        <w:t xml:space="preserve">With more participation and stakeholder involvement </w:t>
      </w:r>
      <w:r w:rsidR="00297803">
        <w:t xml:space="preserve">prior to the </w:t>
      </w:r>
      <w:r w:rsidR="006E1A76">
        <w:t>6</w:t>
      </w:r>
      <w:r w:rsidR="00297803">
        <w:t>0</w:t>
      </w:r>
      <w:r w:rsidR="00660A6E">
        <w:t>-</w:t>
      </w:r>
      <w:r w:rsidR="00297803">
        <w:t>day</w:t>
      </w:r>
      <w:r w:rsidR="006E1A76">
        <w:t xml:space="preserve"> filing</w:t>
      </w:r>
      <w:r w:rsidR="00297803">
        <w:t xml:space="preserve"> date</w:t>
      </w:r>
      <w:r w:rsidR="006E1A76">
        <w:t xml:space="preserve">, </w:t>
      </w:r>
      <w:r w:rsidR="00297803">
        <w:t xml:space="preserve">interested parties and utilities can discuss </w:t>
      </w:r>
      <w:r w:rsidR="006E1A76">
        <w:t>program design and</w:t>
      </w:r>
      <w:r w:rsidR="00297803">
        <w:t xml:space="preserve"> </w:t>
      </w:r>
      <w:r w:rsidR="00660A6E">
        <w:t xml:space="preserve">implementation </w:t>
      </w:r>
      <w:r w:rsidR="00297803">
        <w:t>method with transparency</w:t>
      </w:r>
      <w:r w:rsidR="00660A6E">
        <w:t xml:space="preserve"> and candor</w:t>
      </w:r>
      <w:r w:rsidR="00566729">
        <w:t xml:space="preserve">. </w:t>
      </w:r>
      <w:r>
        <w:t xml:space="preserve"> </w:t>
      </w:r>
      <w:r w:rsidR="00A8222F" w:rsidRPr="00A8222F">
        <w:t>We look forward to participating in the stakeholder group, as well as reviewing the utilities</w:t>
      </w:r>
      <w:r w:rsidR="00660A6E">
        <w:t>’</w:t>
      </w:r>
      <w:r w:rsidR="00A8222F" w:rsidRPr="00A8222F">
        <w:t xml:space="preserve"> proposed programs.  </w:t>
      </w:r>
    </w:p>
    <w:p w:rsidR="00A8222F" w:rsidRPr="00A8222F" w:rsidRDefault="00A8222F" w:rsidP="002A75EA">
      <w:pPr>
        <w:pStyle w:val="Heading1"/>
      </w:pPr>
      <w:r w:rsidRPr="00A8222F">
        <w:lastRenderedPageBreak/>
        <w:t xml:space="preserve">Conclusion </w:t>
      </w:r>
    </w:p>
    <w:p w:rsidR="00A8222F" w:rsidRPr="0002030B" w:rsidRDefault="002A75EA" w:rsidP="0002030B">
      <w:pPr>
        <w:pStyle w:val="ParNumber"/>
        <w:spacing w:line="480" w:lineRule="auto"/>
      </w:pPr>
      <w:r>
        <w:tab/>
      </w:r>
      <w:r w:rsidR="00A8222F" w:rsidRPr="00A8222F">
        <w:t xml:space="preserve">Public Counsel appreciates the opportunity to submit these comments. </w:t>
      </w:r>
      <w:r w:rsidR="008E183D">
        <w:t xml:space="preserve"> </w:t>
      </w:r>
      <w:r w:rsidR="00660A6E">
        <w:t>Overall, we</w:t>
      </w:r>
      <w:r w:rsidR="00A8222F" w:rsidRPr="00A8222F">
        <w:t xml:space="preserve"> are supportive of the Commission’s Draft Policy and Interpretive Statement. </w:t>
      </w:r>
      <w:r w:rsidR="0002030B">
        <w:t xml:space="preserve"> </w:t>
      </w:r>
      <w:r w:rsidR="00A8222F" w:rsidRPr="00A8222F">
        <w:t xml:space="preserve">We look forward to reviewing comments of other stakeholders and further discussions with interested parties. </w:t>
      </w:r>
    </w:p>
    <w:p w:rsidR="00B27A22" w:rsidRPr="00A8222F" w:rsidRDefault="00B27A22" w:rsidP="002A75EA">
      <w:pPr>
        <w:pStyle w:val="ListParagraph"/>
        <w:spacing w:line="480" w:lineRule="auto"/>
        <w:ind w:left="0"/>
        <w:rPr>
          <w:szCs w:val="24"/>
        </w:rPr>
      </w:pPr>
    </w:p>
    <w:sectPr w:rsidR="00B27A22" w:rsidRPr="00A8222F" w:rsidSect="008B6D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1D" w:rsidRDefault="00EA721D" w:rsidP="00EF02A1">
      <w:pPr>
        <w:spacing w:line="240" w:lineRule="auto"/>
      </w:pPr>
      <w:r>
        <w:separator/>
      </w:r>
    </w:p>
  </w:endnote>
  <w:endnote w:type="continuationSeparator" w:id="0">
    <w:p w:rsidR="00EA721D" w:rsidRDefault="00EA721D" w:rsidP="00EF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08" w:type="dxa"/>
      <w:tblLayout w:type="fixed"/>
      <w:tblLook w:val="0000" w:firstRow="0" w:lastRow="0" w:firstColumn="0" w:lastColumn="0" w:noHBand="0" w:noVBand="0"/>
    </w:tblPr>
    <w:tblGrid>
      <w:gridCol w:w="3600"/>
      <w:gridCol w:w="1680"/>
      <w:gridCol w:w="4260"/>
    </w:tblGrid>
    <w:tr w:rsidR="00FB74A3" w:rsidRPr="006B2D39" w:rsidTr="00FB74A3">
      <w:tc>
        <w:tcPr>
          <w:tcW w:w="3600" w:type="dxa"/>
        </w:tcPr>
        <w:p w:rsidR="004D4477" w:rsidRDefault="002A75EA" w:rsidP="006B2D39">
          <w:pPr>
            <w:tabs>
              <w:tab w:val="center" w:pos="4320"/>
              <w:tab w:val="right" w:pos="8640"/>
            </w:tabs>
            <w:spacing w:line="240" w:lineRule="auto"/>
            <w:rPr>
              <w:caps/>
              <w:sz w:val="20"/>
            </w:rPr>
          </w:pPr>
          <w:r>
            <w:rPr>
              <w:caps/>
              <w:sz w:val="20"/>
            </w:rPr>
            <w:t xml:space="preserve">third </w:t>
          </w:r>
          <w:r w:rsidR="00FB74A3" w:rsidRPr="00FB74A3">
            <w:rPr>
              <w:caps/>
              <w:sz w:val="20"/>
            </w:rPr>
            <w:t xml:space="preserve">COMMENTS of </w:t>
          </w:r>
        </w:p>
        <w:p w:rsidR="00FB74A3" w:rsidRPr="00FB74A3" w:rsidRDefault="00FB74A3" w:rsidP="006B2D39">
          <w:pPr>
            <w:tabs>
              <w:tab w:val="center" w:pos="4320"/>
              <w:tab w:val="right" w:pos="8640"/>
            </w:tabs>
            <w:spacing w:line="240" w:lineRule="auto"/>
            <w:rPr>
              <w:caps/>
              <w:sz w:val="20"/>
            </w:rPr>
          </w:pPr>
          <w:r w:rsidRPr="00FB74A3">
            <w:rPr>
              <w:caps/>
              <w:sz w:val="20"/>
            </w:rPr>
            <w:t>Public Counsel</w:t>
          </w:r>
        </w:p>
        <w:p w:rsidR="00FB74A3" w:rsidRPr="00FB74A3" w:rsidRDefault="00FB74A3" w:rsidP="006B2D39">
          <w:pPr>
            <w:tabs>
              <w:tab w:val="center" w:pos="4320"/>
              <w:tab w:val="right" w:pos="8640"/>
            </w:tabs>
            <w:spacing w:line="240" w:lineRule="auto"/>
            <w:rPr>
              <w:caps/>
              <w:sz w:val="20"/>
            </w:rPr>
          </w:pPr>
          <w:r w:rsidRPr="00FB74A3">
            <w:rPr>
              <w:caps/>
              <w:sz w:val="20"/>
            </w:rPr>
            <w:t>docket uE-160799</w:t>
          </w:r>
        </w:p>
      </w:tc>
      <w:tc>
        <w:tcPr>
          <w:tcW w:w="1680" w:type="dxa"/>
        </w:tcPr>
        <w:p w:rsidR="00FB74A3" w:rsidRPr="00FB74A3" w:rsidRDefault="00FB74A3" w:rsidP="006B2D39">
          <w:pPr>
            <w:tabs>
              <w:tab w:val="center" w:pos="4320"/>
              <w:tab w:val="right" w:pos="8640"/>
            </w:tabs>
            <w:spacing w:line="240" w:lineRule="auto"/>
            <w:ind w:left="612"/>
            <w:rPr>
              <w:caps/>
              <w:sz w:val="20"/>
            </w:rPr>
          </w:pPr>
          <w:r w:rsidRPr="00FB74A3">
            <w:rPr>
              <w:caps/>
              <w:sz w:val="20"/>
            </w:rPr>
            <w:t xml:space="preserve">  </w:t>
          </w:r>
          <w:r w:rsidRPr="00FB74A3">
            <w:rPr>
              <w:caps/>
              <w:sz w:val="20"/>
            </w:rPr>
            <w:fldChar w:fldCharType="begin"/>
          </w:r>
          <w:r w:rsidRPr="00FB74A3">
            <w:rPr>
              <w:caps/>
              <w:sz w:val="20"/>
            </w:rPr>
            <w:instrText xml:space="preserve"> PAGE </w:instrText>
          </w:r>
          <w:r w:rsidRPr="00FB74A3">
            <w:rPr>
              <w:caps/>
              <w:sz w:val="20"/>
            </w:rPr>
            <w:fldChar w:fldCharType="separate"/>
          </w:r>
          <w:r w:rsidR="00150C8A">
            <w:rPr>
              <w:caps/>
              <w:noProof/>
              <w:sz w:val="20"/>
            </w:rPr>
            <w:t>6</w:t>
          </w:r>
          <w:r w:rsidRPr="00FB74A3">
            <w:rPr>
              <w:caps/>
              <w:sz w:val="20"/>
            </w:rPr>
            <w:fldChar w:fldCharType="end"/>
          </w:r>
        </w:p>
      </w:tc>
      <w:tc>
        <w:tcPr>
          <w:tcW w:w="4260" w:type="dxa"/>
        </w:tcPr>
        <w:p w:rsidR="00FB74A3" w:rsidRPr="00FB74A3" w:rsidRDefault="00FB74A3" w:rsidP="00FB74A3">
          <w:pPr>
            <w:tabs>
              <w:tab w:val="center" w:pos="4320"/>
              <w:tab w:val="right" w:pos="8640"/>
            </w:tabs>
            <w:spacing w:line="240" w:lineRule="auto"/>
            <w:jc w:val="center"/>
            <w:rPr>
              <w:caps/>
              <w:sz w:val="20"/>
            </w:rPr>
          </w:pPr>
          <w:r w:rsidRPr="00FB74A3">
            <w:rPr>
              <w:caps/>
              <w:sz w:val="20"/>
            </w:rPr>
            <w:t>ATTORNEY GENERAL OF WASHINGTON</w:t>
          </w:r>
        </w:p>
        <w:p w:rsidR="00FB74A3" w:rsidRPr="00FB74A3" w:rsidRDefault="00FB74A3" w:rsidP="00FB74A3">
          <w:pPr>
            <w:tabs>
              <w:tab w:val="right" w:pos="8640"/>
            </w:tabs>
            <w:spacing w:line="240" w:lineRule="auto"/>
            <w:jc w:val="center"/>
            <w:rPr>
              <w:caps/>
              <w:sz w:val="20"/>
            </w:rPr>
          </w:pPr>
          <w:r w:rsidRPr="00FB74A3">
            <w:rPr>
              <w:caps/>
              <w:sz w:val="20"/>
            </w:rPr>
            <w:t>Public Counsel</w:t>
          </w:r>
        </w:p>
        <w:p w:rsidR="00FB74A3" w:rsidRPr="00FB74A3" w:rsidRDefault="00FB74A3" w:rsidP="00FB74A3">
          <w:pPr>
            <w:tabs>
              <w:tab w:val="center" w:pos="4320"/>
              <w:tab w:val="right" w:pos="8640"/>
            </w:tabs>
            <w:spacing w:line="240" w:lineRule="auto"/>
            <w:jc w:val="center"/>
            <w:rPr>
              <w:caps/>
              <w:sz w:val="20"/>
            </w:rPr>
          </w:pPr>
          <w:r w:rsidRPr="00FB74A3">
            <w:rPr>
              <w:caps/>
              <w:sz w:val="20"/>
            </w:rPr>
            <w:t>800 5</w:t>
          </w:r>
          <w:r w:rsidRPr="00FB74A3">
            <w:rPr>
              <w:caps/>
              <w:sz w:val="20"/>
              <w:vertAlign w:val="superscript"/>
            </w:rPr>
            <w:t xml:space="preserve">th </w:t>
          </w:r>
          <w:r w:rsidRPr="00FB74A3">
            <w:rPr>
              <w:caps/>
              <w:sz w:val="20"/>
            </w:rPr>
            <w:t>Ave., Suite 2000</w:t>
          </w:r>
        </w:p>
        <w:p w:rsidR="00FB74A3" w:rsidRPr="00FB74A3" w:rsidRDefault="00FB74A3" w:rsidP="00FB74A3">
          <w:pPr>
            <w:tabs>
              <w:tab w:val="center" w:pos="4320"/>
              <w:tab w:val="right" w:pos="8640"/>
            </w:tabs>
            <w:spacing w:line="240" w:lineRule="auto"/>
            <w:jc w:val="center"/>
            <w:rPr>
              <w:caps/>
              <w:sz w:val="20"/>
            </w:rPr>
          </w:pPr>
          <w:r w:rsidRPr="00FB74A3">
            <w:rPr>
              <w:caps/>
              <w:sz w:val="20"/>
            </w:rPr>
            <w:t>Seattle, WA 98104-3188</w:t>
          </w:r>
        </w:p>
        <w:p w:rsidR="00FB74A3" w:rsidRPr="00FB74A3" w:rsidRDefault="00FB74A3" w:rsidP="00FB74A3">
          <w:pPr>
            <w:tabs>
              <w:tab w:val="center" w:pos="4320"/>
              <w:tab w:val="right" w:pos="8640"/>
            </w:tabs>
            <w:spacing w:line="240" w:lineRule="auto"/>
            <w:jc w:val="center"/>
            <w:rPr>
              <w:caps/>
              <w:sz w:val="15"/>
            </w:rPr>
          </w:pPr>
          <w:r w:rsidRPr="00FB74A3">
            <w:rPr>
              <w:caps/>
              <w:sz w:val="20"/>
            </w:rPr>
            <w:t>(206) 464-7744</w:t>
          </w:r>
        </w:p>
      </w:tc>
    </w:tr>
  </w:tbl>
  <w:p w:rsidR="00B27A22" w:rsidRDefault="00B27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1D" w:rsidRDefault="00EA721D" w:rsidP="00EF02A1">
      <w:pPr>
        <w:spacing w:line="240" w:lineRule="auto"/>
      </w:pPr>
      <w:r>
        <w:separator/>
      </w:r>
    </w:p>
  </w:footnote>
  <w:footnote w:type="continuationSeparator" w:id="0">
    <w:p w:rsidR="00EA721D" w:rsidRDefault="00EA721D" w:rsidP="00EF02A1">
      <w:pPr>
        <w:spacing w:line="240" w:lineRule="auto"/>
      </w:pPr>
      <w:r>
        <w:continuationSeparator/>
      </w:r>
    </w:p>
  </w:footnote>
  <w:footnote w:id="1">
    <w:p w:rsidR="00A8222F" w:rsidRDefault="00A8222F" w:rsidP="00A8222F">
      <w:pPr>
        <w:pStyle w:val="FootnoteText"/>
      </w:pPr>
      <w:r>
        <w:rPr>
          <w:rStyle w:val="FootnoteReference"/>
        </w:rPr>
        <w:footnoteRef/>
      </w:r>
      <w:r w:rsidR="00300749">
        <w:t xml:space="preserve"> Draft Policy Statement</w:t>
      </w:r>
      <w:r>
        <w:t xml:space="preserve"> ¶</w:t>
      </w:r>
      <w:r w:rsidR="00300749">
        <w:t xml:space="preserve"> </w:t>
      </w:r>
      <w:r>
        <w:t>45.</w:t>
      </w:r>
    </w:p>
  </w:footnote>
  <w:footnote w:id="2">
    <w:p w:rsidR="00C01B7E" w:rsidRDefault="00C01B7E">
      <w:pPr>
        <w:pStyle w:val="FootnoteText"/>
      </w:pPr>
      <w:r>
        <w:rPr>
          <w:rStyle w:val="FootnoteReference"/>
        </w:rPr>
        <w:footnoteRef/>
      </w:r>
      <w:r>
        <w:t xml:space="preserve"> Draft Policy Statement ¶ 45.</w:t>
      </w:r>
    </w:p>
  </w:footnote>
  <w:footnote w:id="3">
    <w:p w:rsidR="00A8222F" w:rsidRDefault="00A8222F" w:rsidP="00055D91">
      <w:pPr>
        <w:pStyle w:val="FootnoteText"/>
        <w:spacing w:after="0" w:line="240" w:lineRule="auto"/>
      </w:pPr>
      <w:r>
        <w:rPr>
          <w:rStyle w:val="FootnoteReference"/>
        </w:rPr>
        <w:footnoteRef/>
      </w:r>
      <w:r w:rsidR="00EE53F8">
        <w:t xml:space="preserve"> Draft Policy Statement</w:t>
      </w:r>
      <w:r>
        <w:t xml:space="preserve"> ¶ 83.</w:t>
      </w:r>
    </w:p>
    <w:p w:rsidR="000A6987" w:rsidRDefault="000A6987" w:rsidP="00055D91">
      <w:pPr>
        <w:pStyle w:val="FootnoteText"/>
        <w:spacing w:after="0" w:line="240" w:lineRule="auto"/>
      </w:pPr>
    </w:p>
  </w:footnote>
  <w:footnote w:id="4">
    <w:p w:rsidR="00A8222F" w:rsidRDefault="00A8222F" w:rsidP="00055D91">
      <w:pPr>
        <w:pStyle w:val="FootnoteText"/>
        <w:spacing w:line="240" w:lineRule="auto"/>
      </w:pPr>
      <w:r>
        <w:rPr>
          <w:rStyle w:val="FootnoteReference"/>
        </w:rPr>
        <w:footnoteRef/>
      </w:r>
      <w:r w:rsidR="00EE53F8">
        <w:t xml:space="preserve"> Draft Policy Statement</w:t>
      </w:r>
      <w:r>
        <w:t xml:space="preserve"> ¶ 84.</w:t>
      </w:r>
    </w:p>
  </w:footnote>
  <w:footnote w:id="5">
    <w:p w:rsidR="00A8222F" w:rsidRDefault="00A8222F" w:rsidP="00A8222F">
      <w:pPr>
        <w:pStyle w:val="FootnoteText"/>
      </w:pPr>
      <w:r>
        <w:rPr>
          <w:rStyle w:val="FootnoteReference"/>
        </w:rPr>
        <w:footnoteRef/>
      </w:r>
      <w:r w:rsidR="00446328">
        <w:t xml:space="preserve"> Draft Policy Statement </w:t>
      </w:r>
      <w:r>
        <w:t>¶</w:t>
      </w:r>
      <w:r w:rsidR="00446328">
        <w:t xml:space="preserve"> </w:t>
      </w:r>
      <w:r>
        <w:t xml:space="preserve">73. </w:t>
      </w:r>
    </w:p>
  </w:footnote>
  <w:footnote w:id="6">
    <w:p w:rsidR="00B54C54" w:rsidRDefault="00B54C54">
      <w:pPr>
        <w:pStyle w:val="FootnoteText"/>
      </w:pPr>
      <w:r>
        <w:rPr>
          <w:rStyle w:val="FootnoteReference"/>
        </w:rPr>
        <w:footnoteRef/>
      </w:r>
      <w:r>
        <w:t xml:space="preserve"> Draft Policy Statement ¶ 77.</w:t>
      </w:r>
    </w:p>
  </w:footnote>
  <w:footnote w:id="7">
    <w:p w:rsidR="00BC71AA" w:rsidRDefault="00BC71AA">
      <w:pPr>
        <w:pStyle w:val="FootnoteText"/>
      </w:pPr>
      <w:r>
        <w:rPr>
          <w:rStyle w:val="FootnoteReference"/>
        </w:rPr>
        <w:footnoteRef/>
      </w:r>
      <w:r>
        <w:t xml:space="preserve"> </w:t>
      </w:r>
      <w:r w:rsidR="006354DE">
        <w:rPr>
          <w:i/>
        </w:rPr>
        <w:t>Wash. Utils. &amp; Transp. Comm’n v. Avista Corp</w:t>
      </w:r>
      <w:r w:rsidR="006354DE">
        <w:rPr>
          <w:i/>
        </w:rPr>
        <w:t xml:space="preserve">., </w:t>
      </w:r>
      <w:r w:rsidR="006354DE">
        <w:t>Docket UE-160082,</w:t>
      </w:r>
      <w:r>
        <w:rPr>
          <w:i/>
        </w:rPr>
        <w:t xml:space="preserve"> Quarterly Report on Electric Vehicle Supply E</w:t>
      </w:r>
      <w:r w:rsidR="00326696">
        <w:rPr>
          <w:i/>
        </w:rPr>
        <w:t xml:space="preserve">quipment Pilot Program </w:t>
      </w:r>
      <w:r w:rsidR="00326696" w:rsidRPr="00326696">
        <w:t xml:space="preserve">(Feb. </w:t>
      </w:r>
      <w:r w:rsidRPr="00326696">
        <w:t>1, 2017</w:t>
      </w:r>
      <w:r w:rsidR="00326696" w:rsidRPr="00326696">
        <w:t>)</w:t>
      </w:r>
      <w:r>
        <w:rPr>
          <w:i/>
        </w:rPr>
        <w:t xml:space="preserve">. </w:t>
      </w:r>
    </w:p>
  </w:footnote>
  <w:footnote w:id="8">
    <w:p w:rsidR="00A8222F" w:rsidRDefault="00A8222F" w:rsidP="007E12AE">
      <w:pPr>
        <w:pStyle w:val="FootnoteText"/>
        <w:spacing w:after="0" w:line="240" w:lineRule="auto"/>
      </w:pPr>
      <w:r w:rsidRPr="007E12AE">
        <w:rPr>
          <w:rStyle w:val="FootnoteReference"/>
        </w:rPr>
        <w:footnoteRef/>
      </w:r>
      <w:r w:rsidR="007E12AE">
        <w:t xml:space="preserve"> Draft Policy Statement</w:t>
      </w:r>
      <w:r w:rsidRPr="007E12AE">
        <w:t xml:space="preserve"> ¶ 7</w:t>
      </w:r>
      <w:r>
        <w:t>8.</w:t>
      </w:r>
    </w:p>
    <w:p w:rsidR="007E12AE" w:rsidRDefault="007E12AE" w:rsidP="007E12AE">
      <w:pPr>
        <w:pStyle w:val="FootnoteText"/>
        <w:spacing w:after="0" w:line="240" w:lineRule="auto"/>
      </w:pPr>
    </w:p>
  </w:footnote>
  <w:footnote w:id="9">
    <w:p w:rsidR="00D874AD" w:rsidRDefault="00D874AD">
      <w:pPr>
        <w:pStyle w:val="FootnoteText"/>
      </w:pPr>
      <w:r>
        <w:rPr>
          <w:rStyle w:val="FootnoteReference"/>
        </w:rPr>
        <w:footnoteRef/>
      </w:r>
      <w:r>
        <w:t xml:space="preserve"> </w:t>
      </w:r>
      <w:r w:rsidR="00610CA2" w:rsidRPr="00610CA2">
        <w:t xml:space="preserve">Mike </w:t>
      </w:r>
      <w:r w:rsidRPr="00610CA2">
        <w:t>S</w:t>
      </w:r>
      <w:r w:rsidR="00610CA2" w:rsidRPr="00610CA2">
        <w:t>alisbury</w:t>
      </w:r>
      <w:r w:rsidRPr="00610CA2">
        <w:t xml:space="preserve"> &amp; </w:t>
      </w:r>
      <w:r w:rsidR="00610CA2" w:rsidRPr="00610CA2">
        <w:t xml:space="preserve">Will Toor, </w:t>
      </w:r>
      <w:r w:rsidR="00610CA2" w:rsidRPr="00610CA2">
        <w:rPr>
          <w:i/>
        </w:rPr>
        <w:t>How Leading Utilities Are Embracing Electric Vehicles</w:t>
      </w:r>
      <w:r w:rsidR="00610CA2" w:rsidRPr="00610CA2">
        <w:t xml:space="preserve"> (Feb.</w:t>
      </w:r>
      <w:r w:rsidRPr="00610CA2">
        <w:t xml:space="preserve"> 2016</w:t>
      </w:r>
      <w:r w:rsidR="00610CA2" w:rsidRPr="00610CA2">
        <w:t>)</w:t>
      </w:r>
      <w:r w:rsidRPr="00610CA2">
        <w:t xml:space="preserve">; </w:t>
      </w:r>
      <w:r w:rsidR="00610CA2" w:rsidRPr="00610CA2">
        <w:t>Dr. John Cook et al</w:t>
      </w:r>
      <w:r w:rsidR="00150C8A">
        <w:t>.</w:t>
      </w:r>
      <w:r w:rsidR="00610CA2" w:rsidRPr="00610CA2">
        <w:t>,</w:t>
      </w:r>
      <w:r w:rsidR="00204F3A" w:rsidRPr="00610CA2">
        <w:t xml:space="preserve"> </w:t>
      </w:r>
      <w:r w:rsidRPr="00610CA2">
        <w:rPr>
          <w:i/>
        </w:rPr>
        <w:t>Final Evaluatio</w:t>
      </w:r>
      <w:bookmarkStart w:id="0" w:name="_GoBack"/>
      <w:bookmarkEnd w:id="0"/>
      <w:r w:rsidRPr="00610CA2">
        <w:rPr>
          <w:i/>
        </w:rPr>
        <w:t>n for San Diego Gas and Electric’s Plug-in Electric Vehicle TOU Pricing and Technology Study</w:t>
      </w:r>
      <w:r w:rsidR="00610CA2">
        <w:rPr>
          <w:i/>
        </w:rPr>
        <w:t xml:space="preserve"> (</w:t>
      </w:r>
      <w:r w:rsidR="00610CA2">
        <w:t>Feb.</w:t>
      </w:r>
      <w:r w:rsidR="00204F3A" w:rsidRPr="00610CA2">
        <w:t xml:space="preserve"> 20, 2014</w:t>
      </w:r>
      <w:r w:rsidR="00610CA2">
        <w:t>)</w:t>
      </w:r>
      <w:r w:rsidR="00204F3A" w:rsidRPr="00610CA2">
        <w:t xml:space="preserve">. </w:t>
      </w:r>
    </w:p>
  </w:footnote>
  <w:footnote w:id="10">
    <w:p w:rsidR="001833AB" w:rsidRDefault="001833AB" w:rsidP="001833AB">
      <w:pPr>
        <w:pStyle w:val="FootnoteText"/>
      </w:pPr>
      <w:r>
        <w:rPr>
          <w:rStyle w:val="FootnoteReference"/>
        </w:rPr>
        <w:footnoteRef/>
      </w:r>
      <w:r>
        <w:t xml:space="preserve"> Public Counsel Comments at 11 (</w:t>
      </w:r>
      <w:r w:rsidR="00326696">
        <w:t>Aug.</w:t>
      </w:r>
      <w:r>
        <w:t xml:space="preserve"> 16, 2016); Public</w:t>
      </w:r>
      <w:r w:rsidR="00326696">
        <w:t xml:space="preserve"> Counsel Comments at 7 (Nov.</w:t>
      </w:r>
      <w:r>
        <w:t xml:space="preserve"> 23, 2016).  </w:t>
      </w:r>
    </w:p>
  </w:footnote>
  <w:footnote w:id="11">
    <w:p w:rsidR="00A8222F" w:rsidRPr="002A75EA" w:rsidRDefault="00A8222F" w:rsidP="00A8222F">
      <w:pPr>
        <w:pStyle w:val="FootnoteText"/>
      </w:pPr>
      <w:r w:rsidRPr="002A75EA">
        <w:rPr>
          <w:rStyle w:val="FootnoteReference"/>
        </w:rPr>
        <w:footnoteRef/>
      </w:r>
      <w:r w:rsidR="008E183D">
        <w:t xml:space="preserve"> Draft Policy Statement </w:t>
      </w:r>
      <w:r w:rsidRPr="002A75EA">
        <w:t>¶ 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665"/>
    <w:multiLevelType w:val="hybridMultilevel"/>
    <w:tmpl w:val="A69C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93B4B"/>
    <w:multiLevelType w:val="hybridMultilevel"/>
    <w:tmpl w:val="BDD65F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D5F07"/>
    <w:multiLevelType w:val="hybridMultilevel"/>
    <w:tmpl w:val="D83C296E"/>
    <w:lvl w:ilvl="0" w:tplc="A29C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D4390"/>
    <w:multiLevelType w:val="hybridMultilevel"/>
    <w:tmpl w:val="04C2D842"/>
    <w:lvl w:ilvl="0" w:tplc="D50EF5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7B7A9A"/>
    <w:multiLevelType w:val="hybridMultilevel"/>
    <w:tmpl w:val="CC22E3C0"/>
    <w:lvl w:ilvl="0" w:tplc="DA1270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8642F"/>
    <w:multiLevelType w:val="hybridMultilevel"/>
    <w:tmpl w:val="F6FCB396"/>
    <w:lvl w:ilvl="0" w:tplc="B218B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92360"/>
    <w:multiLevelType w:val="hybridMultilevel"/>
    <w:tmpl w:val="95961B18"/>
    <w:lvl w:ilvl="0" w:tplc="E2B86172">
      <w:start w:val="1"/>
      <w:numFmt w:val="decimal"/>
      <w:pStyle w:val="ParNumber"/>
      <w:lvlText w:val="%1."/>
      <w:lvlJc w:val="left"/>
      <w:pPr>
        <w:ind w:left="720" w:hanging="360"/>
      </w:pPr>
      <w:rPr>
        <w:rFonts w:hint="default"/>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A77DA2"/>
    <w:multiLevelType w:val="hybridMultilevel"/>
    <w:tmpl w:val="1E065782"/>
    <w:lvl w:ilvl="0" w:tplc="0A7A6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7624B"/>
    <w:multiLevelType w:val="hybridMultilevel"/>
    <w:tmpl w:val="63065FBA"/>
    <w:lvl w:ilvl="0" w:tplc="B5C6F6F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968D3"/>
    <w:multiLevelType w:val="hybridMultilevel"/>
    <w:tmpl w:val="8A1E14DC"/>
    <w:lvl w:ilvl="0" w:tplc="D52EFED2">
      <w:start w:val="1"/>
      <w:numFmt w:val="decimal"/>
      <w:lvlText w:val="%1."/>
      <w:lvlJc w:val="left"/>
      <w:pPr>
        <w:ind w:left="360" w:hanging="360"/>
      </w:pPr>
      <w:rPr>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A105A"/>
    <w:multiLevelType w:val="hybridMultilevel"/>
    <w:tmpl w:val="1466E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7218EA"/>
    <w:multiLevelType w:val="hybridMultilevel"/>
    <w:tmpl w:val="E27C2ACE"/>
    <w:lvl w:ilvl="0" w:tplc="A120DC50">
      <w:start w:val="2"/>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26D33"/>
    <w:multiLevelType w:val="hybridMultilevel"/>
    <w:tmpl w:val="EFF6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80F10"/>
    <w:multiLevelType w:val="hybridMultilevel"/>
    <w:tmpl w:val="1C066A10"/>
    <w:lvl w:ilvl="0" w:tplc="14E6183C">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EF22F03"/>
    <w:multiLevelType w:val="hybridMultilevel"/>
    <w:tmpl w:val="B7FA8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4B1644"/>
    <w:multiLevelType w:val="hybridMultilevel"/>
    <w:tmpl w:val="A5E27D14"/>
    <w:lvl w:ilvl="0" w:tplc="86A4B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80F81"/>
    <w:multiLevelType w:val="hybridMultilevel"/>
    <w:tmpl w:val="62C6A64A"/>
    <w:lvl w:ilvl="0" w:tplc="50E8619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25735"/>
    <w:multiLevelType w:val="hybridMultilevel"/>
    <w:tmpl w:val="C1E27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AA3290"/>
    <w:multiLevelType w:val="hybridMultilevel"/>
    <w:tmpl w:val="0826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7"/>
  </w:num>
  <w:num w:numId="4">
    <w:abstractNumId w:val="9"/>
  </w:num>
  <w:num w:numId="5">
    <w:abstractNumId w:val="5"/>
  </w:num>
  <w:num w:numId="6">
    <w:abstractNumId w:val="13"/>
  </w:num>
  <w:num w:numId="7">
    <w:abstractNumId w:val="2"/>
  </w:num>
  <w:num w:numId="8">
    <w:abstractNumId w:val="0"/>
  </w:num>
  <w:num w:numId="9">
    <w:abstractNumId w:val="14"/>
  </w:num>
  <w:num w:numId="10">
    <w:abstractNumId w:val="12"/>
  </w:num>
  <w:num w:numId="11">
    <w:abstractNumId w:val="18"/>
  </w:num>
  <w:num w:numId="12">
    <w:abstractNumId w:val="1"/>
  </w:num>
  <w:num w:numId="13">
    <w:abstractNumId w:val="8"/>
  </w:num>
  <w:num w:numId="14">
    <w:abstractNumId w:val="3"/>
  </w:num>
  <w:num w:numId="15">
    <w:abstractNumId w:val="16"/>
  </w:num>
  <w:num w:numId="16">
    <w:abstractNumId w:val="15"/>
  </w:num>
  <w:num w:numId="17">
    <w:abstractNumId w:val="6"/>
  </w:num>
  <w:num w:numId="18">
    <w:abstractNumId w:val="10"/>
  </w:num>
  <w:num w:numId="19">
    <w:abstractNumId w:val="11"/>
  </w:num>
  <w:num w:numId="2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A3"/>
    <w:rsid w:val="00001383"/>
    <w:rsid w:val="00013898"/>
    <w:rsid w:val="00015399"/>
    <w:rsid w:val="0002030B"/>
    <w:rsid w:val="0002464E"/>
    <w:rsid w:val="00027191"/>
    <w:rsid w:val="00030241"/>
    <w:rsid w:val="0003263F"/>
    <w:rsid w:val="00034283"/>
    <w:rsid w:val="00051784"/>
    <w:rsid w:val="00055D91"/>
    <w:rsid w:val="00063B81"/>
    <w:rsid w:val="00064346"/>
    <w:rsid w:val="00065B7A"/>
    <w:rsid w:val="00065FC6"/>
    <w:rsid w:val="000701BE"/>
    <w:rsid w:val="00074E6F"/>
    <w:rsid w:val="00092104"/>
    <w:rsid w:val="000A16F4"/>
    <w:rsid w:val="000A6987"/>
    <w:rsid w:val="000B004F"/>
    <w:rsid w:val="000B25B3"/>
    <w:rsid w:val="000B3A0F"/>
    <w:rsid w:val="000B3CF8"/>
    <w:rsid w:val="000B476F"/>
    <w:rsid w:val="000B6D4A"/>
    <w:rsid w:val="000C5AA4"/>
    <w:rsid w:val="000D33AF"/>
    <w:rsid w:val="000D788C"/>
    <w:rsid w:val="000E3212"/>
    <w:rsid w:val="000E5B6E"/>
    <w:rsid w:val="000F1386"/>
    <w:rsid w:val="000F2BC4"/>
    <w:rsid w:val="000F373D"/>
    <w:rsid w:val="000F663E"/>
    <w:rsid w:val="00107951"/>
    <w:rsid w:val="00112D13"/>
    <w:rsid w:val="001134DD"/>
    <w:rsid w:val="0011761A"/>
    <w:rsid w:val="001221F1"/>
    <w:rsid w:val="001262AD"/>
    <w:rsid w:val="00127A75"/>
    <w:rsid w:val="001326DC"/>
    <w:rsid w:val="00137D05"/>
    <w:rsid w:val="00140D92"/>
    <w:rsid w:val="001418C4"/>
    <w:rsid w:val="00150C8A"/>
    <w:rsid w:val="00161EDD"/>
    <w:rsid w:val="00165436"/>
    <w:rsid w:val="001778C7"/>
    <w:rsid w:val="00182C20"/>
    <w:rsid w:val="001833AB"/>
    <w:rsid w:val="00185FEC"/>
    <w:rsid w:val="00190A0D"/>
    <w:rsid w:val="00195342"/>
    <w:rsid w:val="001A149E"/>
    <w:rsid w:val="001B0217"/>
    <w:rsid w:val="001B208F"/>
    <w:rsid w:val="001B247E"/>
    <w:rsid w:val="001B7B0B"/>
    <w:rsid w:val="001D3D04"/>
    <w:rsid w:val="001D56A7"/>
    <w:rsid w:val="001E0D14"/>
    <w:rsid w:val="001E101E"/>
    <w:rsid w:val="001E6A4B"/>
    <w:rsid w:val="001E783A"/>
    <w:rsid w:val="00204F3A"/>
    <w:rsid w:val="002054F4"/>
    <w:rsid w:val="00210B6D"/>
    <w:rsid w:val="0021147F"/>
    <w:rsid w:val="002208EE"/>
    <w:rsid w:val="00220D28"/>
    <w:rsid w:val="002308C3"/>
    <w:rsid w:val="00232A6F"/>
    <w:rsid w:val="002336AD"/>
    <w:rsid w:val="002336F3"/>
    <w:rsid w:val="00233CDB"/>
    <w:rsid w:val="00235991"/>
    <w:rsid w:val="0024124B"/>
    <w:rsid w:val="0024675B"/>
    <w:rsid w:val="0024799C"/>
    <w:rsid w:val="002518E3"/>
    <w:rsid w:val="00252188"/>
    <w:rsid w:val="0025246A"/>
    <w:rsid w:val="0025527E"/>
    <w:rsid w:val="00260476"/>
    <w:rsid w:val="00260DE7"/>
    <w:rsid w:val="002621DC"/>
    <w:rsid w:val="00264350"/>
    <w:rsid w:val="002701B9"/>
    <w:rsid w:val="0027042A"/>
    <w:rsid w:val="002736E7"/>
    <w:rsid w:val="00274506"/>
    <w:rsid w:val="00277A7C"/>
    <w:rsid w:val="00285ED4"/>
    <w:rsid w:val="00290EAE"/>
    <w:rsid w:val="002932B4"/>
    <w:rsid w:val="00295E68"/>
    <w:rsid w:val="0029775C"/>
    <w:rsid w:val="00297803"/>
    <w:rsid w:val="002A4313"/>
    <w:rsid w:val="002A5F3B"/>
    <w:rsid w:val="002A75EA"/>
    <w:rsid w:val="002B2129"/>
    <w:rsid w:val="002B5F91"/>
    <w:rsid w:val="002B7195"/>
    <w:rsid w:val="002C3351"/>
    <w:rsid w:val="002C571A"/>
    <w:rsid w:val="002E6452"/>
    <w:rsid w:val="002F5315"/>
    <w:rsid w:val="002F752F"/>
    <w:rsid w:val="00300749"/>
    <w:rsid w:val="00302FFE"/>
    <w:rsid w:val="00304856"/>
    <w:rsid w:val="00313594"/>
    <w:rsid w:val="00315B93"/>
    <w:rsid w:val="00320A73"/>
    <w:rsid w:val="00320F89"/>
    <w:rsid w:val="00326696"/>
    <w:rsid w:val="0033080A"/>
    <w:rsid w:val="00331305"/>
    <w:rsid w:val="00334342"/>
    <w:rsid w:val="003400BE"/>
    <w:rsid w:val="0034094D"/>
    <w:rsid w:val="003463E0"/>
    <w:rsid w:val="003510E9"/>
    <w:rsid w:val="0035772F"/>
    <w:rsid w:val="00357CC8"/>
    <w:rsid w:val="003637F7"/>
    <w:rsid w:val="00365E79"/>
    <w:rsid w:val="00387686"/>
    <w:rsid w:val="00391453"/>
    <w:rsid w:val="00392294"/>
    <w:rsid w:val="003A4600"/>
    <w:rsid w:val="003A4C6F"/>
    <w:rsid w:val="003A6522"/>
    <w:rsid w:val="003A7FAF"/>
    <w:rsid w:val="003B0F13"/>
    <w:rsid w:val="003B2D04"/>
    <w:rsid w:val="003C225B"/>
    <w:rsid w:val="003C5054"/>
    <w:rsid w:val="003C5630"/>
    <w:rsid w:val="003D4221"/>
    <w:rsid w:val="003F2A67"/>
    <w:rsid w:val="003F317F"/>
    <w:rsid w:val="003F76F2"/>
    <w:rsid w:val="004011D8"/>
    <w:rsid w:val="00412538"/>
    <w:rsid w:val="0042443C"/>
    <w:rsid w:val="00427FBD"/>
    <w:rsid w:val="00430B5C"/>
    <w:rsid w:val="00431DD5"/>
    <w:rsid w:val="004400B0"/>
    <w:rsid w:val="0044014E"/>
    <w:rsid w:val="00441D8A"/>
    <w:rsid w:val="00446328"/>
    <w:rsid w:val="00463D67"/>
    <w:rsid w:val="004739DF"/>
    <w:rsid w:val="00475886"/>
    <w:rsid w:val="00481919"/>
    <w:rsid w:val="00482F71"/>
    <w:rsid w:val="00484481"/>
    <w:rsid w:val="00487DA9"/>
    <w:rsid w:val="0049420D"/>
    <w:rsid w:val="00495798"/>
    <w:rsid w:val="004B04A7"/>
    <w:rsid w:val="004B383F"/>
    <w:rsid w:val="004D1ECC"/>
    <w:rsid w:val="004D4477"/>
    <w:rsid w:val="004E09E9"/>
    <w:rsid w:val="004E2075"/>
    <w:rsid w:val="00501358"/>
    <w:rsid w:val="00505F0B"/>
    <w:rsid w:val="00516AEB"/>
    <w:rsid w:val="00517876"/>
    <w:rsid w:val="005215FA"/>
    <w:rsid w:val="00524EAA"/>
    <w:rsid w:val="005258A1"/>
    <w:rsid w:val="0053161F"/>
    <w:rsid w:val="00533569"/>
    <w:rsid w:val="0053740B"/>
    <w:rsid w:val="00540AC5"/>
    <w:rsid w:val="00560575"/>
    <w:rsid w:val="00564BD2"/>
    <w:rsid w:val="00566729"/>
    <w:rsid w:val="0057020A"/>
    <w:rsid w:val="00573978"/>
    <w:rsid w:val="005766CE"/>
    <w:rsid w:val="00595759"/>
    <w:rsid w:val="005A2238"/>
    <w:rsid w:val="005A4F0D"/>
    <w:rsid w:val="005B0868"/>
    <w:rsid w:val="005B723F"/>
    <w:rsid w:val="005D08A4"/>
    <w:rsid w:val="005D1C8B"/>
    <w:rsid w:val="005D2DBD"/>
    <w:rsid w:val="005E0B70"/>
    <w:rsid w:val="005E0BCD"/>
    <w:rsid w:val="005E7A72"/>
    <w:rsid w:val="005F2CA3"/>
    <w:rsid w:val="00600960"/>
    <w:rsid w:val="00610CA2"/>
    <w:rsid w:val="00614C2B"/>
    <w:rsid w:val="00617B85"/>
    <w:rsid w:val="006200AF"/>
    <w:rsid w:val="0062414F"/>
    <w:rsid w:val="00627785"/>
    <w:rsid w:val="00632F42"/>
    <w:rsid w:val="00634527"/>
    <w:rsid w:val="006354DE"/>
    <w:rsid w:val="00643A8F"/>
    <w:rsid w:val="00646C6F"/>
    <w:rsid w:val="00656206"/>
    <w:rsid w:val="00656BBB"/>
    <w:rsid w:val="00660A6E"/>
    <w:rsid w:val="006674ED"/>
    <w:rsid w:val="00670300"/>
    <w:rsid w:val="00673453"/>
    <w:rsid w:val="0068199B"/>
    <w:rsid w:val="0068290E"/>
    <w:rsid w:val="00686455"/>
    <w:rsid w:val="006A3662"/>
    <w:rsid w:val="006A52FA"/>
    <w:rsid w:val="006B2D39"/>
    <w:rsid w:val="006B65C2"/>
    <w:rsid w:val="006B753A"/>
    <w:rsid w:val="006C613B"/>
    <w:rsid w:val="006D1B51"/>
    <w:rsid w:val="006D23E8"/>
    <w:rsid w:val="006D3535"/>
    <w:rsid w:val="006D6599"/>
    <w:rsid w:val="006E051A"/>
    <w:rsid w:val="006E0A97"/>
    <w:rsid w:val="006E1A76"/>
    <w:rsid w:val="006E4254"/>
    <w:rsid w:val="006E4D7A"/>
    <w:rsid w:val="006E75C6"/>
    <w:rsid w:val="006F4BFA"/>
    <w:rsid w:val="007016F6"/>
    <w:rsid w:val="00702533"/>
    <w:rsid w:val="007059C3"/>
    <w:rsid w:val="007127E5"/>
    <w:rsid w:val="00712A88"/>
    <w:rsid w:val="00714332"/>
    <w:rsid w:val="0071657F"/>
    <w:rsid w:val="007323D6"/>
    <w:rsid w:val="00732F25"/>
    <w:rsid w:val="0073754B"/>
    <w:rsid w:val="00741688"/>
    <w:rsid w:val="00745779"/>
    <w:rsid w:val="00747ED0"/>
    <w:rsid w:val="00750763"/>
    <w:rsid w:val="0077151B"/>
    <w:rsid w:val="007762C2"/>
    <w:rsid w:val="007771E1"/>
    <w:rsid w:val="007900D8"/>
    <w:rsid w:val="00791FD1"/>
    <w:rsid w:val="00797034"/>
    <w:rsid w:val="007A4D36"/>
    <w:rsid w:val="007A6753"/>
    <w:rsid w:val="007B0C61"/>
    <w:rsid w:val="007B25AF"/>
    <w:rsid w:val="007B724C"/>
    <w:rsid w:val="007C7AE7"/>
    <w:rsid w:val="007D0F45"/>
    <w:rsid w:val="007E12AE"/>
    <w:rsid w:val="007E21F0"/>
    <w:rsid w:val="007E7B8A"/>
    <w:rsid w:val="007F18C5"/>
    <w:rsid w:val="008007CC"/>
    <w:rsid w:val="008122DF"/>
    <w:rsid w:val="00813371"/>
    <w:rsid w:val="00817E22"/>
    <w:rsid w:val="00817EB0"/>
    <w:rsid w:val="00821516"/>
    <w:rsid w:val="00831289"/>
    <w:rsid w:val="008338F3"/>
    <w:rsid w:val="00842E1C"/>
    <w:rsid w:val="008451A2"/>
    <w:rsid w:val="00850181"/>
    <w:rsid w:val="008579B7"/>
    <w:rsid w:val="00860937"/>
    <w:rsid w:val="00864CCD"/>
    <w:rsid w:val="008767E9"/>
    <w:rsid w:val="00880BD8"/>
    <w:rsid w:val="0088128B"/>
    <w:rsid w:val="00882554"/>
    <w:rsid w:val="00883DAC"/>
    <w:rsid w:val="0089112B"/>
    <w:rsid w:val="008A0673"/>
    <w:rsid w:val="008A262E"/>
    <w:rsid w:val="008A2984"/>
    <w:rsid w:val="008A639E"/>
    <w:rsid w:val="008B06E2"/>
    <w:rsid w:val="008B6DDA"/>
    <w:rsid w:val="008C161B"/>
    <w:rsid w:val="008C7031"/>
    <w:rsid w:val="008D55EB"/>
    <w:rsid w:val="008E183D"/>
    <w:rsid w:val="008F11DC"/>
    <w:rsid w:val="008F4222"/>
    <w:rsid w:val="008F57D5"/>
    <w:rsid w:val="0090555F"/>
    <w:rsid w:val="0091566C"/>
    <w:rsid w:val="00944C7D"/>
    <w:rsid w:val="0094724B"/>
    <w:rsid w:val="0095368F"/>
    <w:rsid w:val="00955FFC"/>
    <w:rsid w:val="0095752D"/>
    <w:rsid w:val="009627A1"/>
    <w:rsid w:val="00966408"/>
    <w:rsid w:val="00970E84"/>
    <w:rsid w:val="00972276"/>
    <w:rsid w:val="0097413A"/>
    <w:rsid w:val="00984E39"/>
    <w:rsid w:val="00992CEB"/>
    <w:rsid w:val="00995831"/>
    <w:rsid w:val="009960A4"/>
    <w:rsid w:val="009A19E3"/>
    <w:rsid w:val="009A5931"/>
    <w:rsid w:val="009A7AA4"/>
    <w:rsid w:val="009B43DE"/>
    <w:rsid w:val="009B44FA"/>
    <w:rsid w:val="009C1C87"/>
    <w:rsid w:val="009D7097"/>
    <w:rsid w:val="009E1DFC"/>
    <w:rsid w:val="009E6D2B"/>
    <w:rsid w:val="009E77C0"/>
    <w:rsid w:val="009F51D7"/>
    <w:rsid w:val="009F61F8"/>
    <w:rsid w:val="00A005FC"/>
    <w:rsid w:val="00A02E12"/>
    <w:rsid w:val="00A06D6A"/>
    <w:rsid w:val="00A1793C"/>
    <w:rsid w:val="00A21A97"/>
    <w:rsid w:val="00A3273B"/>
    <w:rsid w:val="00A34AE7"/>
    <w:rsid w:val="00A356AC"/>
    <w:rsid w:val="00A50EC4"/>
    <w:rsid w:val="00A50FEB"/>
    <w:rsid w:val="00A671B0"/>
    <w:rsid w:val="00A7404B"/>
    <w:rsid w:val="00A770EE"/>
    <w:rsid w:val="00A80057"/>
    <w:rsid w:val="00A810D2"/>
    <w:rsid w:val="00A8222F"/>
    <w:rsid w:val="00A8245D"/>
    <w:rsid w:val="00A84033"/>
    <w:rsid w:val="00AA1B90"/>
    <w:rsid w:val="00AA35DA"/>
    <w:rsid w:val="00AB0B7D"/>
    <w:rsid w:val="00AB17E5"/>
    <w:rsid w:val="00AB2EEC"/>
    <w:rsid w:val="00AB35D5"/>
    <w:rsid w:val="00AC2A4E"/>
    <w:rsid w:val="00AD13FE"/>
    <w:rsid w:val="00AD371D"/>
    <w:rsid w:val="00AD5AE2"/>
    <w:rsid w:val="00AD77F2"/>
    <w:rsid w:val="00AE186B"/>
    <w:rsid w:val="00AE2928"/>
    <w:rsid w:val="00AE526C"/>
    <w:rsid w:val="00AF1454"/>
    <w:rsid w:val="00AF2CDE"/>
    <w:rsid w:val="00AF4FF1"/>
    <w:rsid w:val="00B0343B"/>
    <w:rsid w:val="00B038BD"/>
    <w:rsid w:val="00B06B0C"/>
    <w:rsid w:val="00B074B8"/>
    <w:rsid w:val="00B15AAC"/>
    <w:rsid w:val="00B27A22"/>
    <w:rsid w:val="00B321C6"/>
    <w:rsid w:val="00B33C4F"/>
    <w:rsid w:val="00B33E7F"/>
    <w:rsid w:val="00B34EF2"/>
    <w:rsid w:val="00B46D33"/>
    <w:rsid w:val="00B5219D"/>
    <w:rsid w:val="00B52919"/>
    <w:rsid w:val="00B54C54"/>
    <w:rsid w:val="00B73DA3"/>
    <w:rsid w:val="00B75032"/>
    <w:rsid w:val="00B8067D"/>
    <w:rsid w:val="00B81CB8"/>
    <w:rsid w:val="00B84EA8"/>
    <w:rsid w:val="00B85767"/>
    <w:rsid w:val="00B86005"/>
    <w:rsid w:val="00B95269"/>
    <w:rsid w:val="00B96011"/>
    <w:rsid w:val="00BA071E"/>
    <w:rsid w:val="00BA0AE1"/>
    <w:rsid w:val="00BA3BA2"/>
    <w:rsid w:val="00BA4F8A"/>
    <w:rsid w:val="00BB03F7"/>
    <w:rsid w:val="00BC71AA"/>
    <w:rsid w:val="00BD2B60"/>
    <w:rsid w:val="00BD358F"/>
    <w:rsid w:val="00BE2E6B"/>
    <w:rsid w:val="00BE70C3"/>
    <w:rsid w:val="00BE7553"/>
    <w:rsid w:val="00BF1354"/>
    <w:rsid w:val="00BF7CE3"/>
    <w:rsid w:val="00C01B7E"/>
    <w:rsid w:val="00C05362"/>
    <w:rsid w:val="00C10DB9"/>
    <w:rsid w:val="00C13568"/>
    <w:rsid w:val="00C16905"/>
    <w:rsid w:val="00C223C5"/>
    <w:rsid w:val="00C268FC"/>
    <w:rsid w:val="00C43E57"/>
    <w:rsid w:val="00C458CD"/>
    <w:rsid w:val="00C56EB5"/>
    <w:rsid w:val="00C60EC2"/>
    <w:rsid w:val="00C62BC3"/>
    <w:rsid w:val="00C74BFE"/>
    <w:rsid w:val="00C86C1C"/>
    <w:rsid w:val="00C87732"/>
    <w:rsid w:val="00C9189B"/>
    <w:rsid w:val="00CA0F84"/>
    <w:rsid w:val="00CA1A69"/>
    <w:rsid w:val="00CA4695"/>
    <w:rsid w:val="00CA693E"/>
    <w:rsid w:val="00CB28CC"/>
    <w:rsid w:val="00CC1487"/>
    <w:rsid w:val="00CC6E83"/>
    <w:rsid w:val="00CD2F12"/>
    <w:rsid w:val="00CD4177"/>
    <w:rsid w:val="00CF37EB"/>
    <w:rsid w:val="00CF6905"/>
    <w:rsid w:val="00D00786"/>
    <w:rsid w:val="00D0198E"/>
    <w:rsid w:val="00D0587D"/>
    <w:rsid w:val="00D12170"/>
    <w:rsid w:val="00D23560"/>
    <w:rsid w:val="00D339EB"/>
    <w:rsid w:val="00D404B4"/>
    <w:rsid w:val="00D47183"/>
    <w:rsid w:val="00D50991"/>
    <w:rsid w:val="00D557F1"/>
    <w:rsid w:val="00D56423"/>
    <w:rsid w:val="00D67078"/>
    <w:rsid w:val="00D71FB1"/>
    <w:rsid w:val="00D72B78"/>
    <w:rsid w:val="00D7497D"/>
    <w:rsid w:val="00D874AD"/>
    <w:rsid w:val="00D92F7A"/>
    <w:rsid w:val="00D9354C"/>
    <w:rsid w:val="00DA0CF1"/>
    <w:rsid w:val="00DB5EF2"/>
    <w:rsid w:val="00DD05D5"/>
    <w:rsid w:val="00DD2A5C"/>
    <w:rsid w:val="00DD40F0"/>
    <w:rsid w:val="00DE0761"/>
    <w:rsid w:val="00DE305F"/>
    <w:rsid w:val="00DE324D"/>
    <w:rsid w:val="00DE7D6A"/>
    <w:rsid w:val="00DF041E"/>
    <w:rsid w:val="00DF2EBA"/>
    <w:rsid w:val="00DF416F"/>
    <w:rsid w:val="00DF4275"/>
    <w:rsid w:val="00DF7429"/>
    <w:rsid w:val="00E02CC7"/>
    <w:rsid w:val="00E0783E"/>
    <w:rsid w:val="00E10966"/>
    <w:rsid w:val="00E10C11"/>
    <w:rsid w:val="00E15BE8"/>
    <w:rsid w:val="00E16B88"/>
    <w:rsid w:val="00E205A4"/>
    <w:rsid w:val="00E245A3"/>
    <w:rsid w:val="00E33E64"/>
    <w:rsid w:val="00E428EE"/>
    <w:rsid w:val="00E43C71"/>
    <w:rsid w:val="00E550A6"/>
    <w:rsid w:val="00E55310"/>
    <w:rsid w:val="00E57EBC"/>
    <w:rsid w:val="00E61E89"/>
    <w:rsid w:val="00E6545B"/>
    <w:rsid w:val="00E71FEF"/>
    <w:rsid w:val="00E94E99"/>
    <w:rsid w:val="00E95BB7"/>
    <w:rsid w:val="00EA721D"/>
    <w:rsid w:val="00EB0786"/>
    <w:rsid w:val="00EB0FB6"/>
    <w:rsid w:val="00EB21A6"/>
    <w:rsid w:val="00EB3E95"/>
    <w:rsid w:val="00EC1B34"/>
    <w:rsid w:val="00EC25E5"/>
    <w:rsid w:val="00EC2F7B"/>
    <w:rsid w:val="00EC45F1"/>
    <w:rsid w:val="00ED35CB"/>
    <w:rsid w:val="00ED73EE"/>
    <w:rsid w:val="00EE243C"/>
    <w:rsid w:val="00EE4546"/>
    <w:rsid w:val="00EE53F8"/>
    <w:rsid w:val="00EF02A1"/>
    <w:rsid w:val="00EF5C90"/>
    <w:rsid w:val="00F11FDB"/>
    <w:rsid w:val="00F17C0D"/>
    <w:rsid w:val="00F17E0A"/>
    <w:rsid w:val="00F22C22"/>
    <w:rsid w:val="00F316C8"/>
    <w:rsid w:val="00F62F05"/>
    <w:rsid w:val="00F659C0"/>
    <w:rsid w:val="00F704E9"/>
    <w:rsid w:val="00F71626"/>
    <w:rsid w:val="00F72F86"/>
    <w:rsid w:val="00F94D8E"/>
    <w:rsid w:val="00F97E75"/>
    <w:rsid w:val="00FA10B9"/>
    <w:rsid w:val="00FB658D"/>
    <w:rsid w:val="00FB74A3"/>
    <w:rsid w:val="00FC093F"/>
    <w:rsid w:val="00FC0EA7"/>
    <w:rsid w:val="00FC3BEA"/>
    <w:rsid w:val="00FD0402"/>
    <w:rsid w:val="00FD61E5"/>
    <w:rsid w:val="00FE42B1"/>
    <w:rsid w:val="00FE6303"/>
    <w:rsid w:val="00FF287E"/>
    <w:rsid w:val="00FF58D4"/>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A3"/>
    <w:pPr>
      <w:spacing w:line="240" w:lineRule="exact"/>
    </w:pPr>
    <w:rPr>
      <w:sz w:val="24"/>
    </w:rPr>
  </w:style>
  <w:style w:type="paragraph" w:styleId="Heading1">
    <w:name w:val="heading 1"/>
    <w:basedOn w:val="Normal"/>
    <w:next w:val="Normal"/>
    <w:qFormat/>
    <w:rsid w:val="00FB74A3"/>
    <w:pPr>
      <w:keepNext/>
      <w:numPr>
        <w:numId w:val="13"/>
      </w:numPr>
      <w:spacing w:line="480" w:lineRule="auto"/>
      <w:jc w:val="center"/>
      <w:outlineLvl w:val="0"/>
    </w:pPr>
    <w:rPr>
      <w:b/>
      <w:caps/>
      <w:kern w:val="28"/>
    </w:rPr>
  </w:style>
  <w:style w:type="paragraph" w:styleId="Heading2">
    <w:name w:val="heading 2"/>
    <w:basedOn w:val="Normal"/>
    <w:next w:val="Normal"/>
    <w:qFormat/>
    <w:rsid w:val="00A8222F"/>
    <w:pPr>
      <w:keepNext/>
      <w:numPr>
        <w:numId w:val="19"/>
      </w:numPr>
      <w:spacing w:line="480" w:lineRule="auto"/>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link w:val="FootnoteTextChar"/>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link w:val="ListParagraphChar"/>
    <w:uiPriority w:val="34"/>
    <w:qFormat/>
    <w:rsid w:val="00EF02A1"/>
    <w:pPr>
      <w:ind w:left="720"/>
      <w:contextualSpacing/>
    </w:pPr>
  </w:style>
  <w:style w:type="paragraph" w:styleId="EndnoteText">
    <w:name w:val="endnote text"/>
    <w:basedOn w:val="Normal"/>
    <w:link w:val="EndnoteTextChar"/>
    <w:uiPriority w:val="99"/>
    <w:semiHidden/>
    <w:unhideWhenUsed/>
    <w:rsid w:val="008C161B"/>
    <w:pPr>
      <w:spacing w:line="240" w:lineRule="auto"/>
    </w:pPr>
    <w:rPr>
      <w:sz w:val="20"/>
    </w:rPr>
  </w:style>
  <w:style w:type="character" w:customStyle="1" w:styleId="EndnoteTextChar">
    <w:name w:val="Endnote Text Char"/>
    <w:basedOn w:val="DefaultParagraphFont"/>
    <w:link w:val="EndnoteText"/>
    <w:uiPriority w:val="99"/>
    <w:semiHidden/>
    <w:rsid w:val="008C161B"/>
  </w:style>
  <w:style w:type="character" w:styleId="EndnoteReference">
    <w:name w:val="endnote reference"/>
    <w:basedOn w:val="DefaultParagraphFont"/>
    <w:uiPriority w:val="99"/>
    <w:semiHidden/>
    <w:unhideWhenUsed/>
    <w:rsid w:val="008C161B"/>
    <w:rPr>
      <w:vertAlign w:val="superscript"/>
    </w:rPr>
  </w:style>
  <w:style w:type="character" w:customStyle="1" w:styleId="apple-converted-space">
    <w:name w:val="apple-converted-space"/>
    <w:basedOn w:val="DefaultParagraphFont"/>
    <w:rsid w:val="003637F7"/>
  </w:style>
  <w:style w:type="character" w:styleId="CommentReference">
    <w:name w:val="annotation reference"/>
    <w:basedOn w:val="DefaultParagraphFont"/>
    <w:uiPriority w:val="99"/>
    <w:semiHidden/>
    <w:unhideWhenUsed/>
    <w:rsid w:val="00632F42"/>
    <w:rPr>
      <w:sz w:val="16"/>
      <w:szCs w:val="16"/>
    </w:rPr>
  </w:style>
  <w:style w:type="paragraph" w:styleId="CommentText">
    <w:name w:val="annotation text"/>
    <w:basedOn w:val="Normal"/>
    <w:link w:val="CommentTextChar"/>
    <w:uiPriority w:val="99"/>
    <w:semiHidden/>
    <w:unhideWhenUsed/>
    <w:rsid w:val="00632F42"/>
    <w:pPr>
      <w:spacing w:line="240" w:lineRule="auto"/>
    </w:pPr>
    <w:rPr>
      <w:sz w:val="20"/>
    </w:rPr>
  </w:style>
  <w:style w:type="character" w:customStyle="1" w:styleId="CommentTextChar">
    <w:name w:val="Comment Text Char"/>
    <w:basedOn w:val="DefaultParagraphFont"/>
    <w:link w:val="CommentText"/>
    <w:uiPriority w:val="99"/>
    <w:semiHidden/>
    <w:rsid w:val="00632F42"/>
  </w:style>
  <w:style w:type="paragraph" w:styleId="CommentSubject">
    <w:name w:val="annotation subject"/>
    <w:basedOn w:val="CommentText"/>
    <w:next w:val="CommentText"/>
    <w:link w:val="CommentSubjectChar"/>
    <w:uiPriority w:val="99"/>
    <w:semiHidden/>
    <w:unhideWhenUsed/>
    <w:rsid w:val="00632F42"/>
    <w:rPr>
      <w:b/>
      <w:bCs/>
    </w:rPr>
  </w:style>
  <w:style w:type="character" w:customStyle="1" w:styleId="CommentSubjectChar">
    <w:name w:val="Comment Subject Char"/>
    <w:basedOn w:val="CommentTextChar"/>
    <w:link w:val="CommentSubject"/>
    <w:uiPriority w:val="99"/>
    <w:semiHidden/>
    <w:rsid w:val="00632F42"/>
    <w:rPr>
      <w:b/>
      <w:bCs/>
    </w:rPr>
  </w:style>
  <w:style w:type="paragraph" w:styleId="BalloonText">
    <w:name w:val="Balloon Text"/>
    <w:basedOn w:val="Normal"/>
    <w:link w:val="BalloonTextChar"/>
    <w:uiPriority w:val="99"/>
    <w:semiHidden/>
    <w:unhideWhenUsed/>
    <w:rsid w:val="00632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42"/>
    <w:rPr>
      <w:rFonts w:ascii="Tahoma" w:hAnsi="Tahoma" w:cs="Tahoma"/>
      <w:sz w:val="16"/>
      <w:szCs w:val="16"/>
    </w:rPr>
  </w:style>
  <w:style w:type="paragraph" w:customStyle="1" w:styleId="ParNumber">
    <w:name w:val="ParNumber"/>
    <w:basedOn w:val="ListParagraph"/>
    <w:link w:val="ParNumberChar"/>
    <w:qFormat/>
    <w:rsid w:val="00A8222F"/>
    <w:pPr>
      <w:numPr>
        <w:numId w:val="17"/>
      </w:numPr>
      <w:tabs>
        <w:tab w:val="left" w:pos="720"/>
      </w:tabs>
      <w:spacing w:line="360" w:lineRule="auto"/>
      <w:ind w:left="0" w:hanging="720"/>
    </w:pPr>
    <w:rPr>
      <w:szCs w:val="24"/>
    </w:rPr>
  </w:style>
  <w:style w:type="paragraph" w:styleId="Revision">
    <w:name w:val="Revision"/>
    <w:hidden/>
    <w:uiPriority w:val="99"/>
    <w:semiHidden/>
    <w:rsid w:val="007E12AE"/>
    <w:rPr>
      <w:sz w:val="24"/>
    </w:rPr>
  </w:style>
  <w:style w:type="character" w:customStyle="1" w:styleId="ListParagraphChar">
    <w:name w:val="List Paragraph Char"/>
    <w:basedOn w:val="DefaultParagraphFont"/>
    <w:link w:val="ListParagraph"/>
    <w:uiPriority w:val="34"/>
    <w:rsid w:val="00A8222F"/>
    <w:rPr>
      <w:sz w:val="24"/>
    </w:rPr>
  </w:style>
  <w:style w:type="character" w:customStyle="1" w:styleId="ParNumberChar">
    <w:name w:val="ParNumber Char"/>
    <w:basedOn w:val="ListParagraphChar"/>
    <w:link w:val="ParNumber"/>
    <w:rsid w:val="00A8222F"/>
    <w:rPr>
      <w:sz w:val="24"/>
      <w:szCs w:val="24"/>
    </w:rPr>
  </w:style>
  <w:style w:type="character" w:customStyle="1" w:styleId="FootnoteTextChar">
    <w:name w:val="Footnote Text Char"/>
    <w:basedOn w:val="DefaultParagraphFont"/>
    <w:link w:val="FootnoteText"/>
    <w:semiHidden/>
    <w:rsid w:val="00183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A3"/>
    <w:pPr>
      <w:spacing w:line="240" w:lineRule="exact"/>
    </w:pPr>
    <w:rPr>
      <w:sz w:val="24"/>
    </w:rPr>
  </w:style>
  <w:style w:type="paragraph" w:styleId="Heading1">
    <w:name w:val="heading 1"/>
    <w:basedOn w:val="Normal"/>
    <w:next w:val="Normal"/>
    <w:qFormat/>
    <w:rsid w:val="00FB74A3"/>
    <w:pPr>
      <w:keepNext/>
      <w:numPr>
        <w:numId w:val="13"/>
      </w:numPr>
      <w:spacing w:line="480" w:lineRule="auto"/>
      <w:jc w:val="center"/>
      <w:outlineLvl w:val="0"/>
    </w:pPr>
    <w:rPr>
      <w:b/>
      <w:caps/>
      <w:kern w:val="28"/>
    </w:rPr>
  </w:style>
  <w:style w:type="paragraph" w:styleId="Heading2">
    <w:name w:val="heading 2"/>
    <w:basedOn w:val="Normal"/>
    <w:next w:val="Normal"/>
    <w:qFormat/>
    <w:rsid w:val="00A8222F"/>
    <w:pPr>
      <w:keepNext/>
      <w:numPr>
        <w:numId w:val="19"/>
      </w:numPr>
      <w:spacing w:line="480" w:lineRule="auto"/>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link w:val="FootnoteTextChar"/>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ListParagraph">
    <w:name w:val="List Paragraph"/>
    <w:basedOn w:val="Normal"/>
    <w:link w:val="ListParagraphChar"/>
    <w:uiPriority w:val="34"/>
    <w:qFormat/>
    <w:rsid w:val="00EF02A1"/>
    <w:pPr>
      <w:ind w:left="720"/>
      <w:contextualSpacing/>
    </w:pPr>
  </w:style>
  <w:style w:type="paragraph" w:styleId="EndnoteText">
    <w:name w:val="endnote text"/>
    <w:basedOn w:val="Normal"/>
    <w:link w:val="EndnoteTextChar"/>
    <w:uiPriority w:val="99"/>
    <w:semiHidden/>
    <w:unhideWhenUsed/>
    <w:rsid w:val="008C161B"/>
    <w:pPr>
      <w:spacing w:line="240" w:lineRule="auto"/>
    </w:pPr>
    <w:rPr>
      <w:sz w:val="20"/>
    </w:rPr>
  </w:style>
  <w:style w:type="character" w:customStyle="1" w:styleId="EndnoteTextChar">
    <w:name w:val="Endnote Text Char"/>
    <w:basedOn w:val="DefaultParagraphFont"/>
    <w:link w:val="EndnoteText"/>
    <w:uiPriority w:val="99"/>
    <w:semiHidden/>
    <w:rsid w:val="008C161B"/>
  </w:style>
  <w:style w:type="character" w:styleId="EndnoteReference">
    <w:name w:val="endnote reference"/>
    <w:basedOn w:val="DefaultParagraphFont"/>
    <w:uiPriority w:val="99"/>
    <w:semiHidden/>
    <w:unhideWhenUsed/>
    <w:rsid w:val="008C161B"/>
    <w:rPr>
      <w:vertAlign w:val="superscript"/>
    </w:rPr>
  </w:style>
  <w:style w:type="character" w:customStyle="1" w:styleId="apple-converted-space">
    <w:name w:val="apple-converted-space"/>
    <w:basedOn w:val="DefaultParagraphFont"/>
    <w:rsid w:val="003637F7"/>
  </w:style>
  <w:style w:type="character" w:styleId="CommentReference">
    <w:name w:val="annotation reference"/>
    <w:basedOn w:val="DefaultParagraphFont"/>
    <w:uiPriority w:val="99"/>
    <w:semiHidden/>
    <w:unhideWhenUsed/>
    <w:rsid w:val="00632F42"/>
    <w:rPr>
      <w:sz w:val="16"/>
      <w:szCs w:val="16"/>
    </w:rPr>
  </w:style>
  <w:style w:type="paragraph" w:styleId="CommentText">
    <w:name w:val="annotation text"/>
    <w:basedOn w:val="Normal"/>
    <w:link w:val="CommentTextChar"/>
    <w:uiPriority w:val="99"/>
    <w:semiHidden/>
    <w:unhideWhenUsed/>
    <w:rsid w:val="00632F42"/>
    <w:pPr>
      <w:spacing w:line="240" w:lineRule="auto"/>
    </w:pPr>
    <w:rPr>
      <w:sz w:val="20"/>
    </w:rPr>
  </w:style>
  <w:style w:type="character" w:customStyle="1" w:styleId="CommentTextChar">
    <w:name w:val="Comment Text Char"/>
    <w:basedOn w:val="DefaultParagraphFont"/>
    <w:link w:val="CommentText"/>
    <w:uiPriority w:val="99"/>
    <w:semiHidden/>
    <w:rsid w:val="00632F42"/>
  </w:style>
  <w:style w:type="paragraph" w:styleId="CommentSubject">
    <w:name w:val="annotation subject"/>
    <w:basedOn w:val="CommentText"/>
    <w:next w:val="CommentText"/>
    <w:link w:val="CommentSubjectChar"/>
    <w:uiPriority w:val="99"/>
    <w:semiHidden/>
    <w:unhideWhenUsed/>
    <w:rsid w:val="00632F42"/>
    <w:rPr>
      <w:b/>
      <w:bCs/>
    </w:rPr>
  </w:style>
  <w:style w:type="character" w:customStyle="1" w:styleId="CommentSubjectChar">
    <w:name w:val="Comment Subject Char"/>
    <w:basedOn w:val="CommentTextChar"/>
    <w:link w:val="CommentSubject"/>
    <w:uiPriority w:val="99"/>
    <w:semiHidden/>
    <w:rsid w:val="00632F42"/>
    <w:rPr>
      <w:b/>
      <w:bCs/>
    </w:rPr>
  </w:style>
  <w:style w:type="paragraph" w:styleId="BalloonText">
    <w:name w:val="Balloon Text"/>
    <w:basedOn w:val="Normal"/>
    <w:link w:val="BalloonTextChar"/>
    <w:uiPriority w:val="99"/>
    <w:semiHidden/>
    <w:unhideWhenUsed/>
    <w:rsid w:val="00632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42"/>
    <w:rPr>
      <w:rFonts w:ascii="Tahoma" w:hAnsi="Tahoma" w:cs="Tahoma"/>
      <w:sz w:val="16"/>
      <w:szCs w:val="16"/>
    </w:rPr>
  </w:style>
  <w:style w:type="paragraph" w:customStyle="1" w:styleId="ParNumber">
    <w:name w:val="ParNumber"/>
    <w:basedOn w:val="ListParagraph"/>
    <w:link w:val="ParNumberChar"/>
    <w:qFormat/>
    <w:rsid w:val="00A8222F"/>
    <w:pPr>
      <w:numPr>
        <w:numId w:val="17"/>
      </w:numPr>
      <w:tabs>
        <w:tab w:val="left" w:pos="720"/>
      </w:tabs>
      <w:spacing w:line="360" w:lineRule="auto"/>
      <w:ind w:left="0" w:hanging="720"/>
    </w:pPr>
    <w:rPr>
      <w:szCs w:val="24"/>
    </w:rPr>
  </w:style>
  <w:style w:type="paragraph" w:styleId="Revision">
    <w:name w:val="Revision"/>
    <w:hidden/>
    <w:uiPriority w:val="99"/>
    <w:semiHidden/>
    <w:rsid w:val="007E12AE"/>
    <w:rPr>
      <w:sz w:val="24"/>
    </w:rPr>
  </w:style>
  <w:style w:type="character" w:customStyle="1" w:styleId="ListParagraphChar">
    <w:name w:val="List Paragraph Char"/>
    <w:basedOn w:val="DefaultParagraphFont"/>
    <w:link w:val="ListParagraph"/>
    <w:uiPriority w:val="34"/>
    <w:rsid w:val="00A8222F"/>
    <w:rPr>
      <w:sz w:val="24"/>
    </w:rPr>
  </w:style>
  <w:style w:type="character" w:customStyle="1" w:styleId="ParNumberChar">
    <w:name w:val="ParNumber Char"/>
    <w:basedOn w:val="ListParagraphChar"/>
    <w:link w:val="ParNumber"/>
    <w:rsid w:val="00A8222F"/>
    <w:rPr>
      <w:sz w:val="24"/>
      <w:szCs w:val="24"/>
    </w:rPr>
  </w:style>
  <w:style w:type="character" w:customStyle="1" w:styleId="FootnoteTextChar">
    <w:name w:val="Footnote Text Char"/>
    <w:basedOn w:val="DefaultParagraphFont"/>
    <w:link w:val="FootnoteText"/>
    <w:semiHidden/>
    <w:rsid w:val="0018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2017-03-30T07:00:00+00:00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160799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5DE75BC-91E0-42BF-8B21-3E678FDC4EC1}">
  <ds:schemaRefs>
    <ds:schemaRef ds:uri="http://schemas.openxmlformats.org/officeDocument/2006/bibliography"/>
  </ds:schemaRefs>
</ds:datastoreItem>
</file>

<file path=customXml/itemProps2.xml><?xml version="1.0" encoding="utf-8"?>
<ds:datastoreItem xmlns:ds="http://schemas.openxmlformats.org/officeDocument/2006/customXml" ds:itemID="{5B7D30B6-91C6-435E-A5C2-CC5C8B53DCA4}"/>
</file>

<file path=customXml/itemProps3.xml><?xml version="1.0" encoding="utf-8"?>
<ds:datastoreItem xmlns:ds="http://schemas.openxmlformats.org/officeDocument/2006/customXml" ds:itemID="{2056FFBB-D2B3-4079-96C7-2FF2604855B1}"/>
</file>

<file path=customXml/itemProps4.xml><?xml version="1.0" encoding="utf-8"?>
<ds:datastoreItem xmlns:ds="http://schemas.openxmlformats.org/officeDocument/2006/customXml" ds:itemID="{BCC1503D-344E-460E-81CC-82639B0D03BF}"/>
</file>

<file path=customXml/itemProps5.xml><?xml version="1.0" encoding="utf-8"?>
<ds:datastoreItem xmlns:ds="http://schemas.openxmlformats.org/officeDocument/2006/customXml" ds:itemID="{B173F182-0E7E-4F92-9894-CAEE3BCDF3C6}"/>
</file>

<file path=docProps/app.xml><?xml version="1.0" encoding="utf-8"?>
<Properties xmlns="http://schemas.openxmlformats.org/officeDocument/2006/extended-properties" xmlns:vt="http://schemas.openxmlformats.org/officeDocument/2006/docPropsVTypes">
  <Template>Normal.dotm</Template>
  <TotalTime>32</TotalTime>
  <Pages>8</Pages>
  <Words>1596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Colamonici, Carla (ATG)</dc:creator>
  <cp:lastModifiedBy>Mak, Chanda (ATG)</cp:lastModifiedBy>
  <cp:revision>15</cp:revision>
  <cp:lastPrinted>2016-08-16T19:22:00Z</cp:lastPrinted>
  <dcterms:created xsi:type="dcterms:W3CDTF">2017-03-30T23:09:00Z</dcterms:created>
  <dcterms:modified xsi:type="dcterms:W3CDTF">2017-03-30T23:40:00Z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431804156</vt:i4>
  </property>
  <property fmtid="{D5CDD505-2E9C-101B-9397-08002B2CF9AE}" pid="3" name="_NewReviewCycle">
    <vt:lpwstr/>
  </property>
  <property fmtid="{D5CDD505-2E9C-101B-9397-08002B2CF9AE}" pid="4" name="_EmailSubject">
    <vt:lpwstr>UE-160799 EVSE Comments </vt:lpwstr>
  </property>
  <property fmtid="{D5CDD505-2E9C-101B-9397-08002B2CF9AE}" pid="5" name="_AuthorEmail">
    <vt:lpwstr>CarlaC@ATG.WA.GOV</vt:lpwstr>
  </property>
  <property fmtid="{D5CDD505-2E9C-101B-9397-08002B2CF9AE}" pid="6" name="_AuthorEmailDisplayName">
    <vt:lpwstr>Colamonici, Carla (ATG)</vt:lpwstr>
  </property>
  <property fmtid="{D5CDD505-2E9C-101B-9397-08002B2CF9AE}" pid="7" name="_PreviousAdHocReviewCycleID">
    <vt:i4>1753181008</vt:i4>
  </property>
  <property fmtid="{D5CDD505-2E9C-101B-9397-08002B2CF9AE}" pid="8" name="_ReviewingToolsShownOnce">
    <vt:lpwstr/>
  </property>
  <property fmtid="{D5CDD505-2E9C-101B-9397-08002B2CF9AE}" pid="9" name="ContentTypeId">
    <vt:lpwstr>0x0101006E56B4D1795A2E4DB2F0B01679ED314A00D9EEA3871B2F2249BFED1F3C498698D3</vt:lpwstr>
  </property>
  <property fmtid="{D5CDD505-2E9C-101B-9397-08002B2CF9AE}" pid="10" name="_docset_NoMedatataSyncRequired">
    <vt:lpwstr>False</vt:lpwstr>
  </property>
  <property fmtid="{D5CDD505-2E9C-101B-9397-08002B2CF9AE}" pid="11" name="IsEFSEC">
    <vt:bool>false</vt:bool>
  </property>
</Properties>
</file>