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FD" w:rsidRDefault="0045460C" w:rsidP="00D36647">
      <w:pPr>
        <w:spacing w:after="0" w:line="240" w:lineRule="auto"/>
        <w:ind w:left="360" w:hanging="360"/>
        <w:jc w:val="center"/>
        <w:rPr>
          <w:b/>
          <w:sz w:val="32"/>
          <w:szCs w:val="32"/>
        </w:rPr>
      </w:pPr>
      <w:bookmarkStart w:id="0" w:name="_GoBack"/>
      <w:bookmarkEnd w:id="0"/>
      <w:r w:rsidRPr="00D15239">
        <w:rPr>
          <w:b/>
          <w:sz w:val="32"/>
          <w:szCs w:val="32"/>
        </w:rPr>
        <w:t xml:space="preserve">Joint </w:t>
      </w:r>
      <w:r w:rsidR="00C423FD" w:rsidRPr="00D15239">
        <w:rPr>
          <w:b/>
          <w:sz w:val="32"/>
          <w:szCs w:val="32"/>
        </w:rPr>
        <w:t xml:space="preserve">Comments of </w:t>
      </w:r>
      <w:r w:rsidR="00C50F6D" w:rsidRPr="00D15239">
        <w:rPr>
          <w:b/>
          <w:sz w:val="32"/>
          <w:szCs w:val="32"/>
        </w:rPr>
        <w:t xml:space="preserve">Lynn Anderson and </w:t>
      </w:r>
      <w:r w:rsidR="00C423FD" w:rsidRPr="00D15239">
        <w:rPr>
          <w:b/>
          <w:sz w:val="32"/>
          <w:szCs w:val="32"/>
        </w:rPr>
        <w:t>Jonathan Powell</w:t>
      </w:r>
      <w:r w:rsidR="00B82928">
        <w:rPr>
          <w:b/>
          <w:sz w:val="32"/>
          <w:szCs w:val="32"/>
        </w:rPr>
        <w:t xml:space="preserve"> Regarding</w:t>
      </w:r>
    </w:p>
    <w:p w:rsidR="000205D4" w:rsidRPr="00D15239" w:rsidRDefault="000205D4" w:rsidP="00D36647">
      <w:pPr>
        <w:spacing w:after="0" w:line="240" w:lineRule="auto"/>
        <w:ind w:left="360" w:hanging="360"/>
        <w:jc w:val="center"/>
        <w:rPr>
          <w:b/>
          <w:sz w:val="32"/>
          <w:szCs w:val="32"/>
        </w:rPr>
      </w:pPr>
      <w:r w:rsidRPr="00D15239">
        <w:rPr>
          <w:b/>
          <w:sz w:val="32"/>
          <w:szCs w:val="32"/>
        </w:rPr>
        <w:t>2014 / 2015 Avista Utilities Biennial Conservation Report (BCR)</w:t>
      </w:r>
    </w:p>
    <w:p w:rsidR="00C423FD" w:rsidRDefault="00C423FD" w:rsidP="00D36647">
      <w:pPr>
        <w:spacing w:after="0" w:line="240" w:lineRule="auto"/>
        <w:ind w:left="360" w:hanging="360"/>
        <w:jc w:val="center"/>
        <w:rPr>
          <w:b/>
          <w:sz w:val="32"/>
          <w:szCs w:val="32"/>
        </w:rPr>
      </w:pPr>
      <w:r w:rsidRPr="00D15239">
        <w:rPr>
          <w:b/>
          <w:sz w:val="32"/>
          <w:szCs w:val="32"/>
        </w:rPr>
        <w:t>Docket UE-13</w:t>
      </w:r>
      <w:r w:rsidR="00212D1D" w:rsidRPr="00D15239">
        <w:rPr>
          <w:b/>
          <w:sz w:val="32"/>
          <w:szCs w:val="32"/>
        </w:rPr>
        <w:t>2045</w:t>
      </w:r>
      <w:r w:rsidRPr="00D15239">
        <w:rPr>
          <w:b/>
          <w:sz w:val="32"/>
          <w:szCs w:val="32"/>
        </w:rPr>
        <w:t xml:space="preserve"> and UG-</w:t>
      </w:r>
      <w:r w:rsidR="0020736E" w:rsidRPr="00D15239">
        <w:rPr>
          <w:b/>
          <w:sz w:val="32"/>
          <w:szCs w:val="32"/>
        </w:rPr>
        <w:t>132046</w:t>
      </w:r>
    </w:p>
    <w:p w:rsidR="00B82928" w:rsidRPr="00D15239" w:rsidRDefault="00B82928" w:rsidP="00D36647">
      <w:pPr>
        <w:spacing w:after="0" w:line="240" w:lineRule="auto"/>
        <w:ind w:left="360" w:hanging="360"/>
        <w:jc w:val="center"/>
        <w:rPr>
          <w:b/>
          <w:sz w:val="32"/>
          <w:szCs w:val="32"/>
        </w:rPr>
      </w:pPr>
      <w:r>
        <w:rPr>
          <w:b/>
          <w:sz w:val="32"/>
          <w:szCs w:val="32"/>
        </w:rPr>
        <w:t>July 19, 2016</w:t>
      </w:r>
    </w:p>
    <w:p w:rsidR="00617CD2" w:rsidRPr="00D15239" w:rsidRDefault="00617CD2" w:rsidP="003467F6">
      <w:pPr>
        <w:spacing w:after="0" w:line="360" w:lineRule="auto"/>
        <w:ind w:left="360" w:hanging="360"/>
        <w:rPr>
          <w:sz w:val="24"/>
          <w:szCs w:val="24"/>
        </w:rPr>
      </w:pPr>
    </w:p>
    <w:p w:rsidR="00C423FD" w:rsidRPr="00D15239" w:rsidRDefault="00C423FD" w:rsidP="003467F6">
      <w:pPr>
        <w:spacing w:after="0" w:line="360" w:lineRule="auto"/>
        <w:rPr>
          <w:sz w:val="24"/>
          <w:szCs w:val="24"/>
          <w:u w:val="single"/>
        </w:rPr>
      </w:pPr>
      <w:r w:rsidRPr="00D15239">
        <w:rPr>
          <w:sz w:val="24"/>
          <w:szCs w:val="24"/>
          <w:u w:val="single"/>
        </w:rPr>
        <w:t>Introduction</w:t>
      </w:r>
    </w:p>
    <w:p w:rsidR="00D83EC5" w:rsidRPr="00D15239" w:rsidRDefault="00D83EC5" w:rsidP="003467F6">
      <w:pPr>
        <w:spacing w:after="0" w:line="360" w:lineRule="auto"/>
        <w:rPr>
          <w:sz w:val="24"/>
          <w:szCs w:val="24"/>
          <w:u w:val="single"/>
        </w:rPr>
      </w:pPr>
    </w:p>
    <w:p w:rsidR="00C423FD" w:rsidRPr="00D15239" w:rsidRDefault="00C423FD" w:rsidP="003467F6">
      <w:pPr>
        <w:spacing w:after="0" w:line="360" w:lineRule="auto"/>
        <w:rPr>
          <w:sz w:val="24"/>
          <w:szCs w:val="24"/>
        </w:rPr>
      </w:pPr>
      <w:r w:rsidRPr="00D15239">
        <w:rPr>
          <w:sz w:val="24"/>
          <w:szCs w:val="24"/>
        </w:rPr>
        <w:t>I appreciate this op</w:t>
      </w:r>
      <w:r w:rsidR="00522562" w:rsidRPr="00D15239">
        <w:rPr>
          <w:sz w:val="24"/>
          <w:szCs w:val="24"/>
        </w:rPr>
        <w:t xml:space="preserve">portunity to provide comments </w:t>
      </w:r>
      <w:r w:rsidRPr="00D15239">
        <w:rPr>
          <w:sz w:val="24"/>
          <w:szCs w:val="24"/>
        </w:rPr>
        <w:t xml:space="preserve">on the 2014 / 2015 Biennial Conservation Report (BCR) of Avista Utilities as part of docket UE-132045 and </w:t>
      </w:r>
      <w:r w:rsidR="00362DF9" w:rsidRPr="00D15239">
        <w:rPr>
          <w:sz w:val="24"/>
          <w:szCs w:val="24"/>
        </w:rPr>
        <w:t xml:space="preserve">the review of the regulatory prudence of their natural gas demand-side management (DSM) programs as part of docket </w:t>
      </w:r>
      <w:r w:rsidRPr="00D15239">
        <w:rPr>
          <w:sz w:val="24"/>
          <w:szCs w:val="24"/>
        </w:rPr>
        <w:t>UG-</w:t>
      </w:r>
      <w:r w:rsidR="0020736E" w:rsidRPr="00D15239">
        <w:rPr>
          <w:sz w:val="24"/>
          <w:szCs w:val="24"/>
        </w:rPr>
        <w:t>132046</w:t>
      </w:r>
      <w:r w:rsidRPr="00D15239">
        <w:rPr>
          <w:sz w:val="24"/>
          <w:szCs w:val="24"/>
        </w:rPr>
        <w:t>.  The</w:t>
      </w:r>
      <w:r w:rsidR="009E47BE" w:rsidRPr="00D15239">
        <w:rPr>
          <w:sz w:val="24"/>
          <w:szCs w:val="24"/>
        </w:rPr>
        <w:t xml:space="preserve"> electric portions of the</w:t>
      </w:r>
      <w:r w:rsidRPr="00D15239">
        <w:rPr>
          <w:sz w:val="24"/>
          <w:szCs w:val="24"/>
        </w:rPr>
        <w:t>se proceedings fulfill the obligations established in response to the 20</w:t>
      </w:r>
      <w:r w:rsidR="0020736E" w:rsidRPr="00D15239">
        <w:rPr>
          <w:sz w:val="24"/>
          <w:szCs w:val="24"/>
        </w:rPr>
        <w:t>06</w:t>
      </w:r>
      <w:r w:rsidRPr="00D15239">
        <w:rPr>
          <w:sz w:val="24"/>
          <w:szCs w:val="24"/>
        </w:rPr>
        <w:t xml:space="preserve"> Initiative 937 and the requirements specified within the Washington Administrative Code (WAC) sections 480-109-</w:t>
      </w:r>
      <w:r w:rsidR="0020736E" w:rsidRPr="00D15239">
        <w:rPr>
          <w:sz w:val="24"/>
          <w:szCs w:val="24"/>
        </w:rPr>
        <w:t>120 (4)</w:t>
      </w:r>
      <w:r w:rsidRPr="00D15239">
        <w:rPr>
          <w:sz w:val="24"/>
          <w:szCs w:val="24"/>
        </w:rPr>
        <w:t xml:space="preserve">.  </w:t>
      </w:r>
    </w:p>
    <w:p w:rsidR="00C423FD" w:rsidRPr="00D15239" w:rsidRDefault="00C423FD" w:rsidP="003467F6">
      <w:pPr>
        <w:spacing w:after="0" w:line="360" w:lineRule="auto"/>
        <w:rPr>
          <w:sz w:val="24"/>
          <w:szCs w:val="24"/>
        </w:rPr>
      </w:pPr>
    </w:p>
    <w:p w:rsidR="00C423FD" w:rsidRPr="00D15239" w:rsidRDefault="00C423FD" w:rsidP="003467F6">
      <w:pPr>
        <w:spacing w:after="0" w:line="360" w:lineRule="auto"/>
        <w:rPr>
          <w:sz w:val="24"/>
          <w:szCs w:val="24"/>
        </w:rPr>
      </w:pPr>
      <w:r w:rsidRPr="00D15239">
        <w:rPr>
          <w:sz w:val="24"/>
          <w:szCs w:val="24"/>
        </w:rPr>
        <w:t xml:space="preserve">My comments focus primarily upon </w:t>
      </w:r>
      <w:r w:rsidR="007700E5" w:rsidRPr="00D15239">
        <w:rPr>
          <w:sz w:val="24"/>
          <w:szCs w:val="24"/>
        </w:rPr>
        <w:t>four</w:t>
      </w:r>
      <w:r w:rsidRPr="00D15239">
        <w:rPr>
          <w:sz w:val="24"/>
          <w:szCs w:val="24"/>
        </w:rPr>
        <w:t xml:space="preserve"> issues:</w:t>
      </w:r>
    </w:p>
    <w:p w:rsidR="00373717" w:rsidRPr="00D15239" w:rsidRDefault="00373717" w:rsidP="00373717">
      <w:pPr>
        <w:pStyle w:val="ListParagraph"/>
        <w:numPr>
          <w:ilvl w:val="0"/>
          <w:numId w:val="1"/>
        </w:numPr>
        <w:spacing w:after="0" w:line="360" w:lineRule="auto"/>
        <w:rPr>
          <w:sz w:val="24"/>
          <w:szCs w:val="24"/>
        </w:rPr>
      </w:pPr>
      <w:r w:rsidRPr="00D15239">
        <w:rPr>
          <w:sz w:val="24"/>
          <w:szCs w:val="24"/>
        </w:rPr>
        <w:t xml:space="preserve">Significant discrepancies noted within the very limited work papers that were made available to the public as well as </w:t>
      </w:r>
      <w:r w:rsidR="001F3BCF" w:rsidRPr="00D15239">
        <w:rPr>
          <w:sz w:val="24"/>
          <w:szCs w:val="24"/>
        </w:rPr>
        <w:t xml:space="preserve">the </w:t>
      </w:r>
      <w:r w:rsidRPr="00D15239">
        <w:rPr>
          <w:sz w:val="24"/>
          <w:szCs w:val="24"/>
        </w:rPr>
        <w:t xml:space="preserve">misspecification of the Total Resource Cost test </w:t>
      </w:r>
      <w:r w:rsidR="001F3BCF" w:rsidRPr="00D15239">
        <w:rPr>
          <w:sz w:val="24"/>
          <w:szCs w:val="24"/>
        </w:rPr>
        <w:t xml:space="preserve">methodology </w:t>
      </w:r>
      <w:r w:rsidRPr="00D15239">
        <w:rPr>
          <w:sz w:val="24"/>
          <w:szCs w:val="24"/>
        </w:rPr>
        <w:t>within Avista’s Annual Conservation Report.</w:t>
      </w:r>
    </w:p>
    <w:p w:rsidR="00373717" w:rsidRPr="00D15239" w:rsidRDefault="00373717" w:rsidP="00373717">
      <w:pPr>
        <w:pStyle w:val="ListParagraph"/>
        <w:numPr>
          <w:ilvl w:val="0"/>
          <w:numId w:val="1"/>
        </w:numPr>
        <w:spacing w:after="0" w:line="360" w:lineRule="auto"/>
        <w:rPr>
          <w:sz w:val="24"/>
          <w:szCs w:val="24"/>
        </w:rPr>
      </w:pPr>
      <w:r w:rsidRPr="00D15239">
        <w:rPr>
          <w:sz w:val="24"/>
          <w:szCs w:val="24"/>
        </w:rPr>
        <w:t>The general lack of transparency to members of the public in regards to the analysis incorporated within this filing.</w:t>
      </w:r>
    </w:p>
    <w:p w:rsidR="00522562" w:rsidRPr="00D15239" w:rsidRDefault="003525E1" w:rsidP="003525E1">
      <w:pPr>
        <w:pStyle w:val="ListParagraph"/>
        <w:numPr>
          <w:ilvl w:val="0"/>
          <w:numId w:val="1"/>
        </w:numPr>
        <w:spacing w:after="0" w:line="360" w:lineRule="auto"/>
        <w:rPr>
          <w:sz w:val="24"/>
          <w:szCs w:val="24"/>
        </w:rPr>
      </w:pPr>
      <w:r w:rsidRPr="00D15239">
        <w:rPr>
          <w:sz w:val="24"/>
          <w:szCs w:val="24"/>
        </w:rPr>
        <w:t>The lack of meaningful independence in the evaluation</w:t>
      </w:r>
      <w:r w:rsidR="00E60E6A" w:rsidRPr="00D15239">
        <w:rPr>
          <w:sz w:val="24"/>
          <w:szCs w:val="24"/>
        </w:rPr>
        <w:t>, measurement and verification (EM&amp;V)</w:t>
      </w:r>
      <w:r w:rsidRPr="00D15239">
        <w:rPr>
          <w:sz w:val="24"/>
          <w:szCs w:val="24"/>
        </w:rPr>
        <w:t xml:space="preserve"> of Avista’s </w:t>
      </w:r>
      <w:r w:rsidR="00C423FD" w:rsidRPr="00D15239">
        <w:rPr>
          <w:sz w:val="24"/>
          <w:szCs w:val="24"/>
        </w:rPr>
        <w:t>DSM portfolio, as required under WAC 480-109-</w:t>
      </w:r>
      <w:r w:rsidR="0020736E" w:rsidRPr="00D15239">
        <w:rPr>
          <w:sz w:val="24"/>
          <w:szCs w:val="24"/>
        </w:rPr>
        <w:t>120 (4)</w:t>
      </w:r>
      <w:r w:rsidR="00C423FD" w:rsidRPr="00D15239">
        <w:rPr>
          <w:sz w:val="24"/>
          <w:szCs w:val="24"/>
        </w:rPr>
        <w:t xml:space="preserve">, </w:t>
      </w:r>
      <w:r w:rsidR="00E6349C" w:rsidRPr="00D15239">
        <w:rPr>
          <w:sz w:val="24"/>
          <w:szCs w:val="24"/>
        </w:rPr>
        <w:t xml:space="preserve">primarily but not solely </w:t>
      </w:r>
      <w:r w:rsidR="00522562" w:rsidRPr="00D15239">
        <w:rPr>
          <w:sz w:val="24"/>
          <w:szCs w:val="24"/>
        </w:rPr>
        <w:t xml:space="preserve">due to the evaluation being managed by those </w:t>
      </w:r>
      <w:r w:rsidRPr="00D15239">
        <w:rPr>
          <w:sz w:val="24"/>
          <w:szCs w:val="24"/>
        </w:rPr>
        <w:t xml:space="preserve">who are also </w:t>
      </w:r>
      <w:r w:rsidR="001F3BCF" w:rsidRPr="00D15239">
        <w:rPr>
          <w:sz w:val="24"/>
          <w:szCs w:val="24"/>
        </w:rPr>
        <w:t xml:space="preserve">responsible for </w:t>
      </w:r>
      <w:r w:rsidRPr="00D15239">
        <w:rPr>
          <w:sz w:val="24"/>
          <w:szCs w:val="24"/>
        </w:rPr>
        <w:t xml:space="preserve">the </w:t>
      </w:r>
      <w:r w:rsidR="001F3BCF" w:rsidRPr="00D15239">
        <w:rPr>
          <w:sz w:val="24"/>
          <w:szCs w:val="24"/>
        </w:rPr>
        <w:t xml:space="preserve">delivery of the </w:t>
      </w:r>
      <w:r w:rsidRPr="00D15239">
        <w:rPr>
          <w:sz w:val="24"/>
          <w:szCs w:val="24"/>
        </w:rPr>
        <w:t xml:space="preserve">programs </w:t>
      </w:r>
      <w:r w:rsidR="00C50F6D" w:rsidRPr="00D15239">
        <w:rPr>
          <w:sz w:val="24"/>
          <w:szCs w:val="24"/>
        </w:rPr>
        <w:t>being</w:t>
      </w:r>
      <w:r w:rsidRPr="00D15239">
        <w:rPr>
          <w:sz w:val="24"/>
          <w:szCs w:val="24"/>
        </w:rPr>
        <w:t xml:space="preserve"> evaluated</w:t>
      </w:r>
      <w:r w:rsidR="00522562" w:rsidRPr="00D15239">
        <w:rPr>
          <w:sz w:val="24"/>
          <w:szCs w:val="24"/>
        </w:rPr>
        <w:t>.</w:t>
      </w:r>
    </w:p>
    <w:p w:rsidR="00C423FD" w:rsidRPr="00D15239" w:rsidRDefault="00C423FD" w:rsidP="003467F6">
      <w:pPr>
        <w:spacing w:after="0" w:line="360" w:lineRule="auto"/>
        <w:rPr>
          <w:sz w:val="24"/>
          <w:szCs w:val="24"/>
        </w:rPr>
      </w:pPr>
    </w:p>
    <w:p w:rsidR="00373717" w:rsidRPr="00D15239" w:rsidRDefault="00373717" w:rsidP="00373717">
      <w:pPr>
        <w:spacing w:after="0" w:line="360" w:lineRule="auto"/>
        <w:rPr>
          <w:sz w:val="24"/>
          <w:szCs w:val="24"/>
          <w:u w:val="single"/>
        </w:rPr>
      </w:pPr>
      <w:r w:rsidRPr="00D15239">
        <w:rPr>
          <w:sz w:val="24"/>
          <w:szCs w:val="24"/>
          <w:u w:val="single"/>
        </w:rPr>
        <w:t xml:space="preserve">Technical Comments </w:t>
      </w:r>
    </w:p>
    <w:p w:rsidR="00D83EC5" w:rsidRPr="00D15239" w:rsidRDefault="00D83EC5" w:rsidP="00373717">
      <w:pPr>
        <w:spacing w:after="0" w:line="360" w:lineRule="auto"/>
        <w:rPr>
          <w:sz w:val="24"/>
          <w:szCs w:val="24"/>
          <w:u w:val="single"/>
        </w:rPr>
      </w:pPr>
    </w:p>
    <w:p w:rsidR="00373717" w:rsidRPr="00D15239" w:rsidRDefault="00F65268" w:rsidP="00F65268">
      <w:pPr>
        <w:spacing w:after="0" w:line="360" w:lineRule="auto"/>
        <w:rPr>
          <w:sz w:val="24"/>
          <w:szCs w:val="24"/>
        </w:rPr>
      </w:pPr>
      <w:r w:rsidRPr="00D15239">
        <w:rPr>
          <w:sz w:val="24"/>
          <w:szCs w:val="24"/>
        </w:rPr>
        <w:t xml:space="preserve">The opportunity to review the analysis leading up to Avista’s BCR has been very limited due to the lack of working papers available to the public.  The only publically available working paper is </w:t>
      </w:r>
      <w:r w:rsidRPr="00D15239">
        <w:rPr>
          <w:sz w:val="24"/>
          <w:szCs w:val="24"/>
        </w:rPr>
        <w:lastRenderedPageBreak/>
        <w:t xml:space="preserve">an incomplete </w:t>
      </w:r>
      <w:r w:rsidR="00522562" w:rsidRPr="00D15239">
        <w:rPr>
          <w:sz w:val="24"/>
          <w:szCs w:val="24"/>
        </w:rPr>
        <w:t xml:space="preserve">summary of </w:t>
      </w:r>
      <w:r w:rsidRPr="00D15239">
        <w:rPr>
          <w:sz w:val="24"/>
          <w:szCs w:val="24"/>
        </w:rPr>
        <w:t xml:space="preserve">the Company’s acquisition claim.  </w:t>
      </w:r>
      <w:r w:rsidR="001F3BCF" w:rsidRPr="00D15239">
        <w:rPr>
          <w:sz w:val="24"/>
          <w:szCs w:val="24"/>
        </w:rPr>
        <w:t>Nevertheless a</w:t>
      </w:r>
      <w:r w:rsidRPr="00D15239">
        <w:rPr>
          <w:sz w:val="24"/>
          <w:szCs w:val="24"/>
        </w:rPr>
        <w:t xml:space="preserve"> review of this sole work paper led to the discovery of several discrepancies</w:t>
      </w:r>
      <w:r w:rsidR="00373717" w:rsidRPr="00D15239">
        <w:rPr>
          <w:sz w:val="24"/>
          <w:szCs w:val="24"/>
        </w:rPr>
        <w:t xml:space="preserve"> to include:</w:t>
      </w:r>
    </w:p>
    <w:p w:rsidR="00373717" w:rsidRPr="00D15239" w:rsidRDefault="00373717" w:rsidP="00522562">
      <w:pPr>
        <w:pStyle w:val="ListParagraph"/>
        <w:numPr>
          <w:ilvl w:val="0"/>
          <w:numId w:val="26"/>
        </w:numPr>
        <w:spacing w:after="0" w:line="360" w:lineRule="auto"/>
        <w:rPr>
          <w:sz w:val="24"/>
          <w:szCs w:val="24"/>
        </w:rPr>
      </w:pPr>
      <w:r w:rsidRPr="00D15239">
        <w:rPr>
          <w:sz w:val="24"/>
          <w:szCs w:val="24"/>
        </w:rPr>
        <w:t>Three of 18 residential measures in the 2014 portfolio did not match to the annual acquisition summary.  Two of these measures (electric savings derived from a window measure in</w:t>
      </w:r>
      <w:r w:rsidR="00522562" w:rsidRPr="00D15239">
        <w:rPr>
          <w:sz w:val="24"/>
          <w:szCs w:val="24"/>
        </w:rPr>
        <w:t>stalled in</w:t>
      </w:r>
      <w:r w:rsidRPr="00D15239">
        <w:rPr>
          <w:sz w:val="24"/>
          <w:szCs w:val="24"/>
        </w:rPr>
        <w:t xml:space="preserve"> electrically heated homes and electric savings </w:t>
      </w:r>
      <w:r w:rsidR="006623CB" w:rsidRPr="00D15239">
        <w:rPr>
          <w:sz w:val="24"/>
          <w:szCs w:val="24"/>
        </w:rPr>
        <w:t xml:space="preserve">derived </w:t>
      </w:r>
      <w:r w:rsidRPr="00D15239">
        <w:rPr>
          <w:sz w:val="24"/>
          <w:szCs w:val="24"/>
        </w:rPr>
        <w:t xml:space="preserve">from a </w:t>
      </w:r>
      <w:r w:rsidR="00522562" w:rsidRPr="00D15239">
        <w:rPr>
          <w:sz w:val="24"/>
          <w:szCs w:val="24"/>
        </w:rPr>
        <w:t>different</w:t>
      </w:r>
      <w:r w:rsidR="006623CB" w:rsidRPr="00D15239">
        <w:rPr>
          <w:sz w:val="24"/>
          <w:szCs w:val="24"/>
        </w:rPr>
        <w:t xml:space="preserve"> </w:t>
      </w:r>
      <w:r w:rsidRPr="00D15239">
        <w:rPr>
          <w:sz w:val="24"/>
          <w:szCs w:val="24"/>
        </w:rPr>
        <w:t xml:space="preserve">window measure </w:t>
      </w:r>
      <w:r w:rsidR="00522562" w:rsidRPr="00D15239">
        <w:rPr>
          <w:sz w:val="24"/>
          <w:szCs w:val="24"/>
        </w:rPr>
        <w:t xml:space="preserve">installed </w:t>
      </w:r>
      <w:r w:rsidRPr="00D15239">
        <w:rPr>
          <w:sz w:val="24"/>
          <w:szCs w:val="24"/>
        </w:rPr>
        <w:t>in natural gas heated homes) we</w:t>
      </w:r>
      <w:r w:rsidR="006623CB" w:rsidRPr="00D15239">
        <w:rPr>
          <w:sz w:val="24"/>
          <w:szCs w:val="24"/>
        </w:rPr>
        <w:t>re</w:t>
      </w:r>
      <w:r w:rsidRPr="00D15239">
        <w:rPr>
          <w:sz w:val="24"/>
          <w:szCs w:val="24"/>
        </w:rPr>
        <w:t xml:space="preserve"> off by a total of 1.4 million kWh’s (25% of the total verified residential acquisition in that year)</w:t>
      </w:r>
      <w:r w:rsidRPr="00D15239">
        <w:rPr>
          <w:sz w:val="24"/>
          <w:szCs w:val="24"/>
          <w:vertAlign w:val="superscript"/>
        </w:rPr>
        <w:t>1</w:t>
      </w:r>
      <w:r w:rsidRPr="00D15239">
        <w:rPr>
          <w:sz w:val="24"/>
          <w:szCs w:val="24"/>
        </w:rPr>
        <w:t>.</w:t>
      </w:r>
    </w:p>
    <w:p w:rsidR="00373717" w:rsidRPr="00D15239" w:rsidRDefault="00373717" w:rsidP="00522562">
      <w:pPr>
        <w:pStyle w:val="ListParagraph"/>
        <w:numPr>
          <w:ilvl w:val="0"/>
          <w:numId w:val="26"/>
        </w:numPr>
        <w:spacing w:after="0" w:line="360" w:lineRule="auto"/>
        <w:rPr>
          <w:sz w:val="24"/>
          <w:szCs w:val="24"/>
        </w:rPr>
      </w:pPr>
      <w:r w:rsidRPr="00D15239">
        <w:rPr>
          <w:sz w:val="24"/>
          <w:szCs w:val="24"/>
        </w:rPr>
        <w:t xml:space="preserve">Three of the 19 residential measures in the 2015 portfolio also did not match to their annual acquisition summary, though the magnitude of the discrepancy was significantly less than those noted </w:t>
      </w:r>
      <w:r w:rsidR="00522562" w:rsidRPr="00D15239">
        <w:rPr>
          <w:sz w:val="24"/>
          <w:szCs w:val="24"/>
        </w:rPr>
        <w:t>in the 2014 claim</w:t>
      </w:r>
      <w:r w:rsidRPr="00D15239">
        <w:rPr>
          <w:sz w:val="24"/>
          <w:szCs w:val="24"/>
        </w:rPr>
        <w:t>.</w:t>
      </w:r>
    </w:p>
    <w:p w:rsidR="00373717" w:rsidRPr="00D15239" w:rsidRDefault="00373717" w:rsidP="00522562">
      <w:pPr>
        <w:pStyle w:val="ListParagraph"/>
        <w:numPr>
          <w:ilvl w:val="0"/>
          <w:numId w:val="26"/>
        </w:numPr>
        <w:spacing w:after="0" w:line="360" w:lineRule="auto"/>
        <w:rPr>
          <w:sz w:val="24"/>
          <w:szCs w:val="24"/>
        </w:rPr>
      </w:pPr>
      <w:r w:rsidRPr="00D15239">
        <w:rPr>
          <w:sz w:val="24"/>
          <w:szCs w:val="24"/>
        </w:rPr>
        <w:t>The acquisition from non-residential measures did not correspond to the annual summary of non-residential acquisition in the same spreadsheet.</w:t>
      </w:r>
    </w:p>
    <w:p w:rsidR="00373717" w:rsidRPr="00D15239" w:rsidRDefault="00373717" w:rsidP="00522562">
      <w:pPr>
        <w:pStyle w:val="ListParagraph"/>
        <w:numPr>
          <w:ilvl w:val="0"/>
          <w:numId w:val="26"/>
        </w:numPr>
        <w:spacing w:after="0" w:line="360" w:lineRule="auto"/>
        <w:rPr>
          <w:sz w:val="24"/>
          <w:szCs w:val="24"/>
        </w:rPr>
      </w:pPr>
      <w:r w:rsidRPr="00D15239">
        <w:rPr>
          <w:sz w:val="24"/>
          <w:szCs w:val="24"/>
        </w:rPr>
        <w:t xml:space="preserve">The acquisition claimed in Table 1-2 of the Nexant document “Impact Evaluation of Washington Electric 2014-2015 Energy Efficiency Programs” did not correspond to </w:t>
      </w:r>
      <w:r w:rsidR="00522562" w:rsidRPr="00D15239">
        <w:rPr>
          <w:sz w:val="24"/>
          <w:szCs w:val="24"/>
        </w:rPr>
        <w:t xml:space="preserve">the supporting work papers </w:t>
      </w:r>
      <w:r w:rsidR="003525E1" w:rsidRPr="00D15239">
        <w:rPr>
          <w:sz w:val="24"/>
          <w:szCs w:val="24"/>
        </w:rPr>
        <w:t xml:space="preserve">calculation of </w:t>
      </w:r>
      <w:r w:rsidR="001F3BCF" w:rsidRPr="00D15239">
        <w:rPr>
          <w:sz w:val="24"/>
          <w:szCs w:val="24"/>
        </w:rPr>
        <w:t xml:space="preserve">either </w:t>
      </w:r>
      <w:r w:rsidRPr="00D15239">
        <w:rPr>
          <w:sz w:val="24"/>
          <w:szCs w:val="24"/>
        </w:rPr>
        <w:t xml:space="preserve">(a) the sum of the 2014 and 2015 annual summaries or (b) the sum of the </w:t>
      </w:r>
      <w:r w:rsidR="00522562" w:rsidRPr="00D15239">
        <w:rPr>
          <w:sz w:val="24"/>
          <w:szCs w:val="24"/>
        </w:rPr>
        <w:t xml:space="preserve">2014 and 2015 </w:t>
      </w:r>
      <w:r w:rsidRPr="00D15239">
        <w:rPr>
          <w:sz w:val="24"/>
          <w:szCs w:val="24"/>
        </w:rPr>
        <w:t>individual projects.</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There is no reason that these calculations shouldn’t match to within a very small spreadsheet rounding error.</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 xml:space="preserve">These observations were shared with Avista.  In response to the first two observations above the Company </w:t>
      </w:r>
      <w:r w:rsidR="00522562" w:rsidRPr="00D15239">
        <w:rPr>
          <w:sz w:val="24"/>
          <w:szCs w:val="24"/>
        </w:rPr>
        <w:t xml:space="preserve">responded </w:t>
      </w:r>
      <w:r w:rsidRPr="00D15239">
        <w:rPr>
          <w:sz w:val="24"/>
          <w:szCs w:val="24"/>
        </w:rPr>
        <w:t xml:space="preserve">that there was a “database error”.  As of the date </w:t>
      </w:r>
      <w:r w:rsidR="00C218DF" w:rsidRPr="00D15239">
        <w:rPr>
          <w:sz w:val="24"/>
          <w:szCs w:val="24"/>
        </w:rPr>
        <w:t xml:space="preserve">of the filing of these comments </w:t>
      </w:r>
      <w:r w:rsidRPr="00D15239">
        <w:rPr>
          <w:sz w:val="24"/>
          <w:szCs w:val="24"/>
        </w:rPr>
        <w:t>the Company ha</w:t>
      </w:r>
      <w:r w:rsidR="00C218DF" w:rsidRPr="00D15239">
        <w:rPr>
          <w:sz w:val="24"/>
          <w:szCs w:val="24"/>
        </w:rPr>
        <w:t>s</w:t>
      </w:r>
      <w:r w:rsidRPr="00D15239">
        <w:rPr>
          <w:sz w:val="24"/>
          <w:szCs w:val="24"/>
        </w:rPr>
        <w:t xml:space="preserve"> not offered an explanation for the last two discrepancies.</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 xml:space="preserve">Depending </w:t>
      </w:r>
      <w:r w:rsidR="00522562" w:rsidRPr="00D15239">
        <w:rPr>
          <w:sz w:val="24"/>
          <w:szCs w:val="24"/>
        </w:rPr>
        <w:t>on where the</w:t>
      </w:r>
      <w:r w:rsidRPr="00D15239">
        <w:rPr>
          <w:sz w:val="24"/>
          <w:szCs w:val="24"/>
        </w:rPr>
        <w:t xml:space="preserve"> database error crept into calculation, these discrepancies could have impacted the </w:t>
      </w:r>
      <w:r w:rsidR="00C218DF" w:rsidRPr="00D15239">
        <w:rPr>
          <w:sz w:val="24"/>
          <w:szCs w:val="24"/>
        </w:rPr>
        <w:t xml:space="preserve">analysis of the </w:t>
      </w:r>
      <w:r w:rsidRPr="00D15239">
        <w:rPr>
          <w:sz w:val="24"/>
          <w:szCs w:val="24"/>
        </w:rPr>
        <w:t xml:space="preserve">acquisition, </w:t>
      </w:r>
      <w:r w:rsidR="00C218DF" w:rsidRPr="00D15239">
        <w:rPr>
          <w:sz w:val="24"/>
          <w:szCs w:val="24"/>
        </w:rPr>
        <w:t xml:space="preserve">the </w:t>
      </w:r>
      <w:r w:rsidRPr="00D15239">
        <w:rPr>
          <w:sz w:val="24"/>
          <w:szCs w:val="24"/>
        </w:rPr>
        <w:t>realization rate</w:t>
      </w:r>
      <w:r w:rsidR="00C218DF" w:rsidRPr="00D15239">
        <w:rPr>
          <w:sz w:val="24"/>
          <w:szCs w:val="24"/>
        </w:rPr>
        <w:t>,</w:t>
      </w:r>
      <w:r w:rsidRPr="00D15239">
        <w:rPr>
          <w:sz w:val="24"/>
          <w:szCs w:val="24"/>
        </w:rPr>
        <w:t xml:space="preserve"> or both.  It is also possible that the net impact </w:t>
      </w:r>
      <w:r w:rsidR="00B44FFF" w:rsidRPr="00D15239">
        <w:rPr>
          <w:sz w:val="24"/>
          <w:szCs w:val="24"/>
        </w:rPr>
        <w:t xml:space="preserve">of the discrepancy </w:t>
      </w:r>
      <w:r w:rsidRPr="00D15239">
        <w:rPr>
          <w:sz w:val="24"/>
          <w:szCs w:val="24"/>
        </w:rPr>
        <w:t>upon the claimed acquisition could be counter-intuitive</w:t>
      </w:r>
      <w:r w:rsidR="00B44FFF" w:rsidRPr="00D15239">
        <w:rPr>
          <w:sz w:val="24"/>
          <w:szCs w:val="24"/>
        </w:rPr>
        <w:t>.  F</w:t>
      </w:r>
      <w:r w:rsidRPr="00D15239">
        <w:rPr>
          <w:sz w:val="24"/>
          <w:szCs w:val="24"/>
        </w:rPr>
        <w:t>or example, a database error which reduces an excessive acquisition claim prior to the calculation of the realization rate will increase th</w:t>
      </w:r>
      <w:r w:rsidR="00B44FFF" w:rsidRPr="00D15239">
        <w:rPr>
          <w:sz w:val="24"/>
          <w:szCs w:val="24"/>
        </w:rPr>
        <w:t>e</w:t>
      </w:r>
      <w:r w:rsidRPr="00D15239">
        <w:rPr>
          <w:sz w:val="24"/>
          <w:szCs w:val="24"/>
        </w:rPr>
        <w:t xml:space="preserve"> realization rate, which will then be applied to not only </w:t>
      </w:r>
      <w:r w:rsidR="00B44FFF" w:rsidRPr="00D15239">
        <w:rPr>
          <w:sz w:val="24"/>
          <w:szCs w:val="24"/>
        </w:rPr>
        <w:t xml:space="preserve">to </w:t>
      </w:r>
      <w:r w:rsidRPr="00D15239">
        <w:rPr>
          <w:sz w:val="24"/>
          <w:szCs w:val="24"/>
        </w:rPr>
        <w:lastRenderedPageBreak/>
        <w:t>that program but also to all programs and measures within a much larger aggregation of programs.</w:t>
      </w:r>
      <w:r w:rsidR="00F65268" w:rsidRPr="00D15239">
        <w:rPr>
          <w:sz w:val="24"/>
          <w:szCs w:val="24"/>
        </w:rPr>
        <w:t xml:space="preserve">  </w:t>
      </w:r>
      <w:r w:rsidR="00B44FFF" w:rsidRPr="00D15239">
        <w:rPr>
          <w:sz w:val="24"/>
          <w:szCs w:val="24"/>
        </w:rPr>
        <w:t xml:space="preserve">If these discrepancies are the result of </w:t>
      </w:r>
      <w:r w:rsidR="001F3BCF" w:rsidRPr="00D15239">
        <w:rPr>
          <w:sz w:val="24"/>
          <w:szCs w:val="24"/>
        </w:rPr>
        <w:t xml:space="preserve">retroactive </w:t>
      </w:r>
      <w:r w:rsidR="00B44FFF" w:rsidRPr="00D15239">
        <w:rPr>
          <w:sz w:val="24"/>
          <w:szCs w:val="24"/>
        </w:rPr>
        <w:t xml:space="preserve">revisions to the utility database to match the verified acquisition the outcome would be to </w:t>
      </w:r>
      <w:r w:rsidR="001F3BCF" w:rsidRPr="00D15239">
        <w:rPr>
          <w:sz w:val="24"/>
          <w:szCs w:val="24"/>
        </w:rPr>
        <w:t xml:space="preserve">artificially </w:t>
      </w:r>
      <w:r w:rsidR="00B44FFF" w:rsidRPr="00D15239">
        <w:rPr>
          <w:sz w:val="24"/>
          <w:szCs w:val="24"/>
        </w:rPr>
        <w:t xml:space="preserve">create a realization rate at or close to 100%.  </w:t>
      </w:r>
      <w:r w:rsidR="00F65268" w:rsidRPr="00D15239">
        <w:rPr>
          <w:sz w:val="24"/>
          <w:szCs w:val="24"/>
        </w:rPr>
        <w:t>Due to the lack of public access to the working papers it is impossible to further determine what the impacts of these errors may have upon the BCR claims.</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 xml:space="preserve">Regardless of the source of these discrepancies, the inconsistencies cast sufficient doubt upon the acquisition claims to call for the creation of a clear summarization that is consistent from the collection of individual projects through the annual summarization </w:t>
      </w:r>
      <w:r w:rsidR="005814D0" w:rsidRPr="00D15239">
        <w:rPr>
          <w:sz w:val="24"/>
          <w:szCs w:val="24"/>
        </w:rPr>
        <w:t xml:space="preserve">and </w:t>
      </w:r>
      <w:r w:rsidRPr="00D15239">
        <w:rPr>
          <w:sz w:val="24"/>
          <w:szCs w:val="24"/>
        </w:rPr>
        <w:t>to the</w:t>
      </w:r>
      <w:r w:rsidR="005814D0" w:rsidRPr="00D15239">
        <w:rPr>
          <w:sz w:val="24"/>
          <w:szCs w:val="24"/>
        </w:rPr>
        <w:t xml:space="preserve"> final</w:t>
      </w:r>
      <w:r w:rsidRPr="00D15239">
        <w:rPr>
          <w:sz w:val="24"/>
          <w:szCs w:val="24"/>
        </w:rPr>
        <w:t xml:space="preserve"> biennial acquisition claim.  This summarization should include work papers supporting the realization rate calculations </w:t>
      </w:r>
      <w:r w:rsidR="00C218DF" w:rsidRPr="00D15239">
        <w:rPr>
          <w:sz w:val="24"/>
          <w:szCs w:val="24"/>
        </w:rPr>
        <w:t>at</w:t>
      </w:r>
      <w:r w:rsidRPr="00D15239">
        <w:rPr>
          <w:sz w:val="24"/>
          <w:szCs w:val="24"/>
        </w:rPr>
        <w:t xml:space="preserve"> each level of the acquisition summary.</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 xml:space="preserve">Any discrepancies in the acquisition summary will also impact the cost-effectiveness analysis.  Since there </w:t>
      </w:r>
      <w:r w:rsidR="005814D0" w:rsidRPr="00D15239">
        <w:rPr>
          <w:sz w:val="24"/>
          <w:szCs w:val="24"/>
        </w:rPr>
        <w:t>are</w:t>
      </w:r>
      <w:r w:rsidR="006623CB" w:rsidRPr="00D15239">
        <w:rPr>
          <w:sz w:val="24"/>
          <w:szCs w:val="24"/>
        </w:rPr>
        <w:t xml:space="preserve"> </w:t>
      </w:r>
      <w:r w:rsidRPr="00D15239">
        <w:rPr>
          <w:sz w:val="24"/>
          <w:szCs w:val="24"/>
        </w:rPr>
        <w:t>no publically available work papers supporting the cost-effectiveness calculations the magnitude of the impact cannot be ascertained.</w:t>
      </w:r>
    </w:p>
    <w:p w:rsidR="00373717" w:rsidRPr="00D15239" w:rsidRDefault="00373717" w:rsidP="00373717">
      <w:pPr>
        <w:spacing w:after="0" w:line="360" w:lineRule="auto"/>
        <w:rPr>
          <w:sz w:val="24"/>
          <w:szCs w:val="24"/>
        </w:rPr>
      </w:pPr>
    </w:p>
    <w:p w:rsidR="00373717" w:rsidRPr="00D15239" w:rsidRDefault="00C50F6D" w:rsidP="00373717">
      <w:pPr>
        <w:spacing w:after="0" w:line="360" w:lineRule="auto"/>
        <w:rPr>
          <w:sz w:val="24"/>
          <w:szCs w:val="24"/>
        </w:rPr>
      </w:pPr>
      <w:r w:rsidRPr="00D15239">
        <w:rPr>
          <w:sz w:val="24"/>
          <w:szCs w:val="24"/>
        </w:rPr>
        <w:t>Regarding</w:t>
      </w:r>
      <w:r w:rsidR="00373717" w:rsidRPr="00D15239">
        <w:rPr>
          <w:sz w:val="24"/>
          <w:szCs w:val="24"/>
        </w:rPr>
        <w:t xml:space="preserve"> the work papers that were publically available, and for the written record, I have committed to averting my eyes away from the large amount of customer confidential information (customer names, addresses, account numbers and specific project information) contained within the original work papers</w:t>
      </w:r>
      <w:r w:rsidR="006623CB" w:rsidRPr="00D15239">
        <w:rPr>
          <w:sz w:val="24"/>
          <w:szCs w:val="24"/>
        </w:rPr>
        <w:t xml:space="preserve"> provided to me in response to a records request</w:t>
      </w:r>
      <w:r w:rsidR="00373717" w:rsidRPr="00D15239">
        <w:rPr>
          <w:sz w:val="24"/>
          <w:szCs w:val="24"/>
        </w:rPr>
        <w:t xml:space="preserve">.  Avista inadvertently failed to mark the work papers as confidential when they were placed into the public domain.  Avista did subsequently provide work papers with </w:t>
      </w:r>
      <w:r w:rsidR="00C43A64" w:rsidRPr="00D15239">
        <w:rPr>
          <w:sz w:val="24"/>
          <w:szCs w:val="24"/>
        </w:rPr>
        <w:t xml:space="preserve">the </w:t>
      </w:r>
      <w:r w:rsidR="00373717" w:rsidRPr="00D15239">
        <w:rPr>
          <w:sz w:val="24"/>
          <w:szCs w:val="24"/>
        </w:rPr>
        <w:t xml:space="preserve">customer confidential information redacted.  The above analysis is based exclusively on the redacted version of those work papers.  I have erased the original Avista work papers containing customer confidential </w:t>
      </w:r>
      <w:r w:rsidR="00C218DF" w:rsidRPr="00D15239">
        <w:rPr>
          <w:sz w:val="24"/>
          <w:szCs w:val="24"/>
        </w:rPr>
        <w:t>information from my hard drive and committed to honor the confidentiality of this</w:t>
      </w:r>
      <w:r w:rsidR="001F3BCF" w:rsidRPr="00D15239">
        <w:rPr>
          <w:sz w:val="24"/>
          <w:szCs w:val="24"/>
        </w:rPr>
        <w:t xml:space="preserve"> customer</w:t>
      </w:r>
      <w:r w:rsidR="00C218DF" w:rsidRPr="00D15239">
        <w:rPr>
          <w:sz w:val="24"/>
          <w:szCs w:val="24"/>
        </w:rPr>
        <w:t xml:space="preserve"> information.</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 xml:space="preserve">Lastly, one of the measures contained in the work papers was a multifamily market transformation effort.  Schedule 90 permits granting higher incentives to support regional and </w:t>
      </w:r>
      <w:r w:rsidRPr="00D15239">
        <w:rPr>
          <w:sz w:val="24"/>
          <w:szCs w:val="24"/>
        </w:rPr>
        <w:lastRenderedPageBreak/>
        <w:t>local market transformation efforts</w:t>
      </w:r>
      <w:r w:rsidR="00DB3590" w:rsidRPr="00D15239">
        <w:rPr>
          <w:sz w:val="24"/>
          <w:szCs w:val="24"/>
          <w:vertAlign w:val="superscript"/>
        </w:rPr>
        <w:t>2</w:t>
      </w:r>
      <w:r w:rsidRPr="00D15239">
        <w:rPr>
          <w:sz w:val="24"/>
          <w:szCs w:val="24"/>
        </w:rPr>
        <w:t>.  However</w:t>
      </w:r>
      <w:r w:rsidR="00C43A64" w:rsidRPr="00D15239">
        <w:rPr>
          <w:sz w:val="24"/>
          <w:szCs w:val="24"/>
        </w:rPr>
        <w:t>,</w:t>
      </w:r>
      <w:r w:rsidRPr="00D15239">
        <w:rPr>
          <w:sz w:val="24"/>
          <w:szCs w:val="24"/>
        </w:rPr>
        <w:t xml:space="preserve"> this program has been represented as a market transformation effort since 2008.  There is no indication that there is a defined exit strategy, a key characteristic distinguishing market transformation programs from routine local DSM programs</w:t>
      </w:r>
      <w:r w:rsidR="005814D0" w:rsidRPr="00D15239">
        <w:rPr>
          <w:sz w:val="24"/>
          <w:szCs w:val="24"/>
        </w:rPr>
        <w:t xml:space="preserve"> subject to standard incentive funding</w:t>
      </w:r>
      <w:r w:rsidRPr="00D15239">
        <w:rPr>
          <w:sz w:val="24"/>
          <w:szCs w:val="24"/>
        </w:rPr>
        <w:t xml:space="preserve">, nor is there any mention in the program descriptions of </w:t>
      </w:r>
      <w:r w:rsidR="00C218DF" w:rsidRPr="00D15239">
        <w:rPr>
          <w:sz w:val="24"/>
          <w:szCs w:val="24"/>
        </w:rPr>
        <w:t xml:space="preserve">a </w:t>
      </w:r>
      <w:r w:rsidRPr="00D15239">
        <w:rPr>
          <w:sz w:val="24"/>
          <w:szCs w:val="24"/>
        </w:rPr>
        <w:t xml:space="preserve">defined trigger point for movement towards an exit strategy.  Now that the program is in its ninth year without any apparent application of market transformation program management techniques it would be worthwhile to discuss whether it is appropriate to continue to treat </w:t>
      </w:r>
      <w:r w:rsidR="00C43A64" w:rsidRPr="00D15239">
        <w:rPr>
          <w:sz w:val="24"/>
          <w:szCs w:val="24"/>
        </w:rPr>
        <w:t>this</w:t>
      </w:r>
      <w:r w:rsidRPr="00D15239">
        <w:rPr>
          <w:sz w:val="24"/>
          <w:szCs w:val="24"/>
        </w:rPr>
        <w:t xml:space="preserve"> as a market transformation program for purposes of applying Schedule 90 </w:t>
      </w:r>
      <w:r w:rsidR="00C218DF" w:rsidRPr="00D15239">
        <w:rPr>
          <w:sz w:val="24"/>
          <w:szCs w:val="24"/>
        </w:rPr>
        <w:t>tariff requirements</w:t>
      </w:r>
      <w:r w:rsidRPr="00D15239">
        <w:rPr>
          <w:sz w:val="24"/>
          <w:szCs w:val="24"/>
        </w:rPr>
        <w:t>.</w:t>
      </w:r>
    </w:p>
    <w:p w:rsidR="00EE0EB2" w:rsidRPr="00D15239" w:rsidRDefault="00EE0EB2" w:rsidP="003467F6">
      <w:pPr>
        <w:spacing w:after="0" w:line="360" w:lineRule="auto"/>
        <w:rPr>
          <w:sz w:val="24"/>
          <w:szCs w:val="24"/>
        </w:rPr>
      </w:pPr>
    </w:p>
    <w:p w:rsidR="00373717" w:rsidRPr="00D15239" w:rsidRDefault="00373717" w:rsidP="00373717">
      <w:pPr>
        <w:spacing w:after="0" w:line="360" w:lineRule="auto"/>
        <w:rPr>
          <w:sz w:val="24"/>
          <w:szCs w:val="24"/>
          <w:u w:val="single"/>
        </w:rPr>
      </w:pPr>
      <w:r w:rsidRPr="00D15239">
        <w:rPr>
          <w:sz w:val="24"/>
          <w:szCs w:val="24"/>
          <w:u w:val="single"/>
        </w:rPr>
        <w:t xml:space="preserve">Process Transparency </w:t>
      </w:r>
    </w:p>
    <w:p w:rsidR="00D83EC5" w:rsidRPr="00D15239" w:rsidRDefault="00D83EC5" w:rsidP="00373717">
      <w:pPr>
        <w:spacing w:after="0" w:line="360" w:lineRule="auto"/>
        <w:rPr>
          <w:sz w:val="24"/>
          <w:szCs w:val="24"/>
          <w:u w:val="single"/>
        </w:rPr>
      </w:pPr>
    </w:p>
    <w:p w:rsidR="00373717" w:rsidRPr="00D15239" w:rsidRDefault="00373717" w:rsidP="00373717">
      <w:pPr>
        <w:spacing w:after="0" w:line="360" w:lineRule="auto"/>
        <w:rPr>
          <w:sz w:val="24"/>
          <w:szCs w:val="24"/>
        </w:rPr>
      </w:pPr>
      <w:r w:rsidRPr="00D15239">
        <w:rPr>
          <w:sz w:val="24"/>
          <w:szCs w:val="24"/>
        </w:rPr>
        <w:t>The opportunity for public review of the methodologies and analysis incorporated within this filing has been very limited.  Though Avista has filed a large quantity of the findings of the Nexant evaluation, the work papers filed in support of those calculations have been quite limited.  There were essentially no available work papers to support the natural gas docket UG-132046.  No work papers have been filed to support several areas of significant importance to include, for example</w:t>
      </w:r>
      <w:r w:rsidR="0057695C" w:rsidRPr="00D15239">
        <w:rPr>
          <w:sz w:val="24"/>
          <w:szCs w:val="24"/>
        </w:rPr>
        <w:t>,</w:t>
      </w:r>
      <w:r w:rsidRPr="00D15239">
        <w:rPr>
          <w:sz w:val="24"/>
          <w:szCs w:val="24"/>
        </w:rPr>
        <w:t xml:space="preserve"> </w:t>
      </w:r>
      <w:r w:rsidR="0082487D" w:rsidRPr="00D15239">
        <w:rPr>
          <w:sz w:val="24"/>
          <w:szCs w:val="24"/>
        </w:rPr>
        <w:t xml:space="preserve">the </w:t>
      </w:r>
      <w:r w:rsidRPr="00D15239">
        <w:rPr>
          <w:sz w:val="24"/>
          <w:szCs w:val="24"/>
        </w:rPr>
        <w:t xml:space="preserve">Opower acquisition calculations to include </w:t>
      </w:r>
      <w:r w:rsidR="0082487D" w:rsidRPr="00D15239">
        <w:rPr>
          <w:sz w:val="24"/>
          <w:szCs w:val="24"/>
        </w:rPr>
        <w:t xml:space="preserve">the methodology for re-adoption of energy savings, </w:t>
      </w:r>
      <w:r w:rsidRPr="00D15239">
        <w:rPr>
          <w:sz w:val="24"/>
          <w:szCs w:val="24"/>
        </w:rPr>
        <w:t xml:space="preserve">cost-effectiveness calculations (discount rate, avoided cost stream, measure life etc.), calculation of net-to-gross factors for measures which do not have an established </w:t>
      </w:r>
      <w:r w:rsidR="00C50F6D" w:rsidRPr="00D15239">
        <w:rPr>
          <w:sz w:val="24"/>
          <w:szCs w:val="24"/>
        </w:rPr>
        <w:t>Northwest Power and Conservation Council (</w:t>
      </w:r>
      <w:r w:rsidRPr="00D15239">
        <w:rPr>
          <w:sz w:val="24"/>
          <w:szCs w:val="24"/>
        </w:rPr>
        <w:t>N</w:t>
      </w:r>
      <w:r w:rsidR="00C50F6D" w:rsidRPr="00D15239">
        <w:rPr>
          <w:sz w:val="24"/>
          <w:szCs w:val="24"/>
        </w:rPr>
        <w:t>W</w:t>
      </w:r>
      <w:r w:rsidRPr="00D15239">
        <w:rPr>
          <w:sz w:val="24"/>
          <w:szCs w:val="24"/>
        </w:rPr>
        <w:t>PCC</w:t>
      </w:r>
      <w:r w:rsidR="00C50F6D" w:rsidRPr="00D15239">
        <w:rPr>
          <w:sz w:val="24"/>
          <w:szCs w:val="24"/>
        </w:rPr>
        <w:t>)</w:t>
      </w:r>
      <w:r w:rsidRPr="00D15239">
        <w:rPr>
          <w:sz w:val="24"/>
          <w:szCs w:val="24"/>
        </w:rPr>
        <w:t xml:space="preserve"> Unit Energy Savings (UES) value, consistency in the N</w:t>
      </w:r>
      <w:r w:rsidR="00C50F6D" w:rsidRPr="00D15239">
        <w:rPr>
          <w:sz w:val="24"/>
          <w:szCs w:val="24"/>
        </w:rPr>
        <w:t>W</w:t>
      </w:r>
      <w:r w:rsidRPr="00D15239">
        <w:rPr>
          <w:sz w:val="24"/>
          <w:szCs w:val="24"/>
        </w:rPr>
        <w:t xml:space="preserve">PCC UES values and the </w:t>
      </w:r>
      <w:r w:rsidR="001131F0" w:rsidRPr="00D15239">
        <w:rPr>
          <w:sz w:val="24"/>
          <w:szCs w:val="24"/>
        </w:rPr>
        <w:t xml:space="preserve">other </w:t>
      </w:r>
      <w:r w:rsidRPr="00D15239">
        <w:rPr>
          <w:sz w:val="24"/>
          <w:szCs w:val="24"/>
        </w:rPr>
        <w:t xml:space="preserve">assumptions used in calculating Avista’s measure and portfolio cost-effectiveness, details regarding the realization rate calculations, the approach used to incorporate (or not incorporate) distribution </w:t>
      </w:r>
      <w:r w:rsidR="0057695C" w:rsidRPr="00D15239">
        <w:rPr>
          <w:sz w:val="24"/>
          <w:szCs w:val="24"/>
        </w:rPr>
        <w:t xml:space="preserve">and service line costs into the cost-effectiveness analysis of </w:t>
      </w:r>
      <w:r w:rsidRPr="00D15239">
        <w:rPr>
          <w:sz w:val="24"/>
          <w:szCs w:val="24"/>
        </w:rPr>
        <w:t>e</w:t>
      </w:r>
      <w:r w:rsidR="0057695C" w:rsidRPr="00D15239">
        <w:rPr>
          <w:sz w:val="24"/>
          <w:szCs w:val="24"/>
        </w:rPr>
        <w:t>lectric-to-natural gas measures,</w:t>
      </w:r>
      <w:r w:rsidRPr="00D15239">
        <w:rPr>
          <w:sz w:val="24"/>
          <w:szCs w:val="24"/>
        </w:rPr>
        <w:t xml:space="preserve"> and innumerable other critical details necessary to allow for meaningful public participation.  </w:t>
      </w:r>
      <w:r w:rsidR="00232213" w:rsidRPr="00D15239">
        <w:rPr>
          <w:sz w:val="24"/>
          <w:szCs w:val="24"/>
        </w:rPr>
        <w:t xml:space="preserve">There have been no </w:t>
      </w:r>
      <w:r w:rsidR="00D15239" w:rsidRPr="00D15239">
        <w:rPr>
          <w:sz w:val="24"/>
          <w:szCs w:val="24"/>
        </w:rPr>
        <w:t xml:space="preserve">formal </w:t>
      </w:r>
      <w:r w:rsidR="00232213" w:rsidRPr="00D15239">
        <w:rPr>
          <w:sz w:val="24"/>
          <w:szCs w:val="24"/>
        </w:rPr>
        <w:t xml:space="preserve">data requests within this filing and the Company has not always responded to questions regarding </w:t>
      </w:r>
      <w:r w:rsidR="0057695C" w:rsidRPr="00D15239">
        <w:rPr>
          <w:sz w:val="24"/>
          <w:szCs w:val="24"/>
        </w:rPr>
        <w:t xml:space="preserve">clarifications of </w:t>
      </w:r>
      <w:r w:rsidR="00232213" w:rsidRPr="00D15239">
        <w:rPr>
          <w:sz w:val="24"/>
          <w:szCs w:val="24"/>
        </w:rPr>
        <w:t>the</w:t>
      </w:r>
      <w:r w:rsidR="0057695C" w:rsidRPr="00D15239">
        <w:rPr>
          <w:sz w:val="24"/>
          <w:szCs w:val="24"/>
        </w:rPr>
        <w:t>ir</w:t>
      </w:r>
      <w:r w:rsidR="00232213" w:rsidRPr="00D15239">
        <w:rPr>
          <w:sz w:val="24"/>
          <w:szCs w:val="24"/>
        </w:rPr>
        <w:t xml:space="preserve"> analysis. </w:t>
      </w:r>
    </w:p>
    <w:p w:rsidR="00373717" w:rsidRPr="00D15239" w:rsidRDefault="00373717" w:rsidP="00373717">
      <w:pPr>
        <w:spacing w:after="0" w:line="360" w:lineRule="auto"/>
        <w:rPr>
          <w:sz w:val="24"/>
          <w:szCs w:val="24"/>
        </w:rPr>
      </w:pPr>
    </w:p>
    <w:p w:rsidR="00373717" w:rsidRPr="00D15239" w:rsidRDefault="00232213" w:rsidP="00373717">
      <w:pPr>
        <w:spacing w:after="0" w:line="360" w:lineRule="auto"/>
        <w:rPr>
          <w:sz w:val="24"/>
          <w:szCs w:val="24"/>
        </w:rPr>
      </w:pPr>
      <w:r w:rsidRPr="00D15239">
        <w:rPr>
          <w:sz w:val="24"/>
          <w:szCs w:val="24"/>
        </w:rPr>
        <w:t xml:space="preserve">It is especially important to perform such a review of this filing since, in </w:t>
      </w:r>
      <w:r w:rsidR="00373717" w:rsidRPr="00D15239">
        <w:rPr>
          <w:sz w:val="24"/>
          <w:szCs w:val="24"/>
        </w:rPr>
        <w:t>a very recent filing with the Idaho Public Utilities Commission</w:t>
      </w:r>
      <w:r w:rsidRPr="00D15239">
        <w:rPr>
          <w:sz w:val="24"/>
          <w:szCs w:val="24"/>
        </w:rPr>
        <w:t>,</w:t>
      </w:r>
      <w:r w:rsidR="00373717" w:rsidRPr="00D15239">
        <w:rPr>
          <w:sz w:val="24"/>
          <w:szCs w:val="24"/>
        </w:rPr>
        <w:t xml:space="preserve"> two members of the public (Lynn Anderson and Jonathan Powell) found that the Company applied a real discount rate to a nominal avoided cost stream </w:t>
      </w:r>
      <w:r w:rsidR="00F740B5" w:rsidRPr="00D15239">
        <w:rPr>
          <w:sz w:val="24"/>
          <w:szCs w:val="24"/>
        </w:rPr>
        <w:t>to calculate cost-effectiveness</w:t>
      </w:r>
      <w:r w:rsidR="00C50F6D" w:rsidRPr="00D15239">
        <w:rPr>
          <w:sz w:val="24"/>
          <w:szCs w:val="24"/>
        </w:rPr>
        <w:t>.  The Company also failed to perform net-to-gross adjustments to energy savings even though it had alluded to making such adjustments in its answer to a production request that specifically asked if it had made net-to-gross adjustments</w:t>
      </w:r>
      <w:r w:rsidR="00F419A7" w:rsidRPr="00D15239">
        <w:rPr>
          <w:sz w:val="24"/>
          <w:szCs w:val="24"/>
          <w:vertAlign w:val="superscript"/>
        </w:rPr>
        <w:t>3</w:t>
      </w:r>
      <w:r w:rsidR="00C50F6D" w:rsidRPr="00D15239">
        <w:rPr>
          <w:sz w:val="24"/>
          <w:szCs w:val="24"/>
        </w:rPr>
        <w:t xml:space="preserve">.  </w:t>
      </w:r>
      <w:r w:rsidR="00373717" w:rsidRPr="00D15239">
        <w:rPr>
          <w:sz w:val="24"/>
          <w:szCs w:val="24"/>
        </w:rPr>
        <w:t xml:space="preserve">Based upon these past analytical practices and the considerable opportunity for discretion within the complex Washington BCR filing it is essential to provide public access to working papers sufficient to support the filing.  </w:t>
      </w:r>
    </w:p>
    <w:p w:rsidR="00CD0CD2" w:rsidRPr="00D15239" w:rsidRDefault="00CD0CD2" w:rsidP="00373717">
      <w:pPr>
        <w:spacing w:after="0" w:line="360" w:lineRule="auto"/>
        <w:rPr>
          <w:sz w:val="24"/>
          <w:szCs w:val="24"/>
        </w:rPr>
      </w:pPr>
    </w:p>
    <w:p w:rsidR="00497316" w:rsidRPr="00D15239" w:rsidRDefault="00232213" w:rsidP="004479D9">
      <w:pPr>
        <w:spacing w:after="0" w:line="360" w:lineRule="auto"/>
        <w:rPr>
          <w:sz w:val="24"/>
          <w:szCs w:val="24"/>
        </w:rPr>
      </w:pPr>
      <w:r w:rsidRPr="00D15239">
        <w:rPr>
          <w:sz w:val="24"/>
          <w:szCs w:val="24"/>
        </w:rPr>
        <w:t>Additionally, t</w:t>
      </w:r>
      <w:r w:rsidR="00497316" w:rsidRPr="00D15239">
        <w:rPr>
          <w:sz w:val="24"/>
          <w:szCs w:val="24"/>
        </w:rPr>
        <w:t xml:space="preserve">he Company’s representation of their cost-effectiveness methodology for the four standard practice tests in both their </w:t>
      </w:r>
      <w:r w:rsidRPr="00D15239">
        <w:rPr>
          <w:sz w:val="24"/>
          <w:szCs w:val="24"/>
        </w:rPr>
        <w:t xml:space="preserve">2014 and 2015 </w:t>
      </w:r>
      <w:r w:rsidR="00497316" w:rsidRPr="00D15239">
        <w:rPr>
          <w:sz w:val="24"/>
          <w:szCs w:val="24"/>
        </w:rPr>
        <w:t>Annual Cost-Effectiveness Report</w:t>
      </w:r>
      <w:r w:rsidR="00FB1CC6" w:rsidRPr="00D15239">
        <w:rPr>
          <w:sz w:val="24"/>
          <w:szCs w:val="24"/>
        </w:rPr>
        <w:t>s (ACR)</w:t>
      </w:r>
      <w:r w:rsidR="00F419A7" w:rsidRPr="00D15239">
        <w:rPr>
          <w:sz w:val="24"/>
          <w:szCs w:val="24"/>
          <w:vertAlign w:val="superscript"/>
        </w:rPr>
        <w:t>4</w:t>
      </w:r>
      <w:r w:rsidR="00497316" w:rsidRPr="00D15239">
        <w:rPr>
          <w:sz w:val="24"/>
          <w:szCs w:val="24"/>
        </w:rPr>
        <w:t xml:space="preserve"> </w:t>
      </w:r>
      <w:r w:rsidRPr="00D15239">
        <w:rPr>
          <w:sz w:val="24"/>
          <w:szCs w:val="24"/>
        </w:rPr>
        <w:t>contains flaws</w:t>
      </w:r>
      <w:r w:rsidR="00497316" w:rsidRPr="00D15239">
        <w:rPr>
          <w:sz w:val="24"/>
          <w:szCs w:val="24"/>
        </w:rPr>
        <w:t>, though it is possible that this is restricted to th</w:t>
      </w:r>
      <w:r w:rsidR="00652521" w:rsidRPr="00D15239">
        <w:rPr>
          <w:sz w:val="24"/>
          <w:szCs w:val="24"/>
        </w:rPr>
        <w:t>e</w:t>
      </w:r>
      <w:r w:rsidR="00497316" w:rsidRPr="00D15239">
        <w:rPr>
          <w:sz w:val="24"/>
          <w:szCs w:val="24"/>
        </w:rPr>
        <w:t xml:space="preserve"> </w:t>
      </w:r>
      <w:r w:rsidRPr="00D15239">
        <w:rPr>
          <w:sz w:val="24"/>
          <w:szCs w:val="24"/>
        </w:rPr>
        <w:t xml:space="preserve">summary </w:t>
      </w:r>
      <w:r w:rsidR="00497316" w:rsidRPr="00D15239">
        <w:rPr>
          <w:sz w:val="24"/>
          <w:szCs w:val="24"/>
        </w:rPr>
        <w:t xml:space="preserve">table and not present in the </w:t>
      </w:r>
      <w:r w:rsidR="00652521" w:rsidRPr="00D15239">
        <w:rPr>
          <w:sz w:val="24"/>
          <w:szCs w:val="24"/>
        </w:rPr>
        <w:t xml:space="preserve">final </w:t>
      </w:r>
      <w:r w:rsidR="00497316" w:rsidRPr="00D15239">
        <w:rPr>
          <w:sz w:val="24"/>
          <w:szCs w:val="24"/>
        </w:rPr>
        <w:t>calculations.  There is</w:t>
      </w:r>
      <w:r w:rsidRPr="00D15239">
        <w:rPr>
          <w:sz w:val="24"/>
          <w:szCs w:val="24"/>
        </w:rPr>
        <w:t xml:space="preserve"> no </w:t>
      </w:r>
      <w:r w:rsidR="00497316" w:rsidRPr="00D15239">
        <w:rPr>
          <w:sz w:val="24"/>
          <w:szCs w:val="24"/>
        </w:rPr>
        <w:t xml:space="preserve">mention of the utility revenue impact of DSM programs, though it </w:t>
      </w:r>
      <w:r w:rsidR="00F740B5" w:rsidRPr="00D15239">
        <w:rPr>
          <w:sz w:val="24"/>
          <w:szCs w:val="24"/>
        </w:rPr>
        <w:t>may</w:t>
      </w:r>
      <w:r w:rsidR="00497316" w:rsidRPr="00D15239">
        <w:rPr>
          <w:sz w:val="24"/>
          <w:szCs w:val="24"/>
        </w:rPr>
        <w:t xml:space="preserve"> </w:t>
      </w:r>
      <w:r w:rsidRPr="00D15239">
        <w:rPr>
          <w:sz w:val="24"/>
          <w:szCs w:val="24"/>
        </w:rPr>
        <w:t xml:space="preserve">have </w:t>
      </w:r>
      <w:r w:rsidR="00497316" w:rsidRPr="00D15239">
        <w:rPr>
          <w:sz w:val="24"/>
          <w:szCs w:val="24"/>
        </w:rPr>
        <w:t>be</w:t>
      </w:r>
      <w:r w:rsidRPr="00D15239">
        <w:rPr>
          <w:sz w:val="24"/>
          <w:szCs w:val="24"/>
        </w:rPr>
        <w:t>en</w:t>
      </w:r>
      <w:r w:rsidR="00497316" w:rsidRPr="00D15239">
        <w:rPr>
          <w:sz w:val="24"/>
          <w:szCs w:val="24"/>
        </w:rPr>
        <w:t xml:space="preserve"> termed “Non-Utility Energy and Capacity Avoided Cost”</w:t>
      </w:r>
      <w:r w:rsidR="0057695C" w:rsidRPr="00D15239">
        <w:rPr>
          <w:sz w:val="24"/>
          <w:szCs w:val="24"/>
        </w:rPr>
        <w:t xml:space="preserve"> within their summary</w:t>
      </w:r>
      <w:r w:rsidR="00497316" w:rsidRPr="00D15239">
        <w:rPr>
          <w:sz w:val="24"/>
          <w:szCs w:val="24"/>
        </w:rPr>
        <w:t xml:space="preserve">.  </w:t>
      </w:r>
      <w:r w:rsidRPr="00D15239">
        <w:rPr>
          <w:sz w:val="24"/>
          <w:szCs w:val="24"/>
        </w:rPr>
        <w:t>I</w:t>
      </w:r>
      <w:r w:rsidR="00497316" w:rsidRPr="00D15239">
        <w:rPr>
          <w:sz w:val="24"/>
          <w:szCs w:val="24"/>
        </w:rPr>
        <w:t>f this is the case</w:t>
      </w:r>
      <w:r w:rsidRPr="00D15239">
        <w:rPr>
          <w:sz w:val="24"/>
          <w:szCs w:val="24"/>
        </w:rPr>
        <w:t>,</w:t>
      </w:r>
      <w:r w:rsidR="00497316" w:rsidRPr="00D15239">
        <w:rPr>
          <w:sz w:val="24"/>
          <w:szCs w:val="24"/>
        </w:rPr>
        <w:t xml:space="preserve"> </w:t>
      </w:r>
      <w:r w:rsidR="00FB1CC6" w:rsidRPr="00D15239">
        <w:rPr>
          <w:sz w:val="24"/>
          <w:szCs w:val="24"/>
        </w:rPr>
        <w:t xml:space="preserve">this </w:t>
      </w:r>
      <w:r w:rsidR="00652521" w:rsidRPr="00D15239">
        <w:rPr>
          <w:sz w:val="24"/>
          <w:szCs w:val="24"/>
        </w:rPr>
        <w:t>value</w:t>
      </w:r>
      <w:r w:rsidR="00FB1CC6" w:rsidRPr="00D15239">
        <w:rPr>
          <w:sz w:val="24"/>
          <w:szCs w:val="24"/>
        </w:rPr>
        <w:t xml:space="preserve"> </w:t>
      </w:r>
      <w:r w:rsidR="00497316" w:rsidRPr="00D15239">
        <w:rPr>
          <w:sz w:val="24"/>
          <w:szCs w:val="24"/>
        </w:rPr>
        <w:t xml:space="preserve">is improperly incorporated as a benefit in the </w:t>
      </w:r>
      <w:r w:rsidR="00E60E6A" w:rsidRPr="00D15239">
        <w:rPr>
          <w:sz w:val="24"/>
          <w:szCs w:val="24"/>
        </w:rPr>
        <w:t>Total Resource Cost (</w:t>
      </w:r>
      <w:r w:rsidR="00497316" w:rsidRPr="00D15239">
        <w:rPr>
          <w:sz w:val="24"/>
          <w:szCs w:val="24"/>
        </w:rPr>
        <w:t>TRC</w:t>
      </w:r>
      <w:r w:rsidR="00E60E6A" w:rsidRPr="00D15239">
        <w:rPr>
          <w:sz w:val="24"/>
          <w:szCs w:val="24"/>
        </w:rPr>
        <w:t>)</w:t>
      </w:r>
      <w:r w:rsidR="00497316" w:rsidRPr="00D15239">
        <w:rPr>
          <w:sz w:val="24"/>
          <w:szCs w:val="24"/>
        </w:rPr>
        <w:t xml:space="preserve"> test but omitted as a cos</w:t>
      </w:r>
      <w:r w:rsidR="00652521" w:rsidRPr="00D15239">
        <w:rPr>
          <w:sz w:val="24"/>
          <w:szCs w:val="24"/>
        </w:rPr>
        <w:t>t in the Rate Impact Measure</w:t>
      </w:r>
      <w:r w:rsidR="008A42E3" w:rsidRPr="00D15239">
        <w:rPr>
          <w:sz w:val="24"/>
          <w:szCs w:val="24"/>
        </w:rPr>
        <w:t xml:space="preserve"> </w:t>
      </w:r>
      <w:r w:rsidR="00F419A7" w:rsidRPr="00D15239">
        <w:rPr>
          <w:sz w:val="24"/>
          <w:szCs w:val="24"/>
          <w:vertAlign w:val="superscript"/>
        </w:rPr>
        <w:t>5</w:t>
      </w:r>
      <w:r w:rsidR="00652521" w:rsidRPr="00D15239">
        <w:rPr>
          <w:sz w:val="24"/>
          <w:szCs w:val="24"/>
        </w:rPr>
        <w:t xml:space="preserve">.  The value </w:t>
      </w:r>
      <w:r w:rsidR="00FB1CC6" w:rsidRPr="00D15239">
        <w:rPr>
          <w:sz w:val="24"/>
          <w:szCs w:val="24"/>
        </w:rPr>
        <w:t xml:space="preserve">is correctly included within the Participant Cost Test.  </w:t>
      </w:r>
      <w:r w:rsidRPr="00D15239">
        <w:rPr>
          <w:sz w:val="24"/>
          <w:szCs w:val="24"/>
        </w:rPr>
        <w:t>If the interpretation of the</w:t>
      </w:r>
      <w:r w:rsidR="0057695C" w:rsidRPr="00D15239">
        <w:rPr>
          <w:sz w:val="24"/>
          <w:szCs w:val="24"/>
        </w:rPr>
        <w:t>ir</w:t>
      </w:r>
      <w:r w:rsidRPr="00D15239">
        <w:rPr>
          <w:sz w:val="24"/>
          <w:szCs w:val="24"/>
        </w:rPr>
        <w:t xml:space="preserve"> terminology is </w:t>
      </w:r>
      <w:r w:rsidR="0057695C" w:rsidRPr="00D15239">
        <w:rPr>
          <w:sz w:val="24"/>
          <w:szCs w:val="24"/>
        </w:rPr>
        <w:t>different than assumed above</w:t>
      </w:r>
      <w:r w:rsidRPr="00D15239">
        <w:rPr>
          <w:sz w:val="24"/>
          <w:szCs w:val="24"/>
        </w:rPr>
        <w:t>, then it would appear that the revenue impact of DSM programs is omitted in its entirety.  G</w:t>
      </w:r>
      <w:r w:rsidR="00497316" w:rsidRPr="00D15239">
        <w:rPr>
          <w:sz w:val="24"/>
          <w:szCs w:val="24"/>
        </w:rPr>
        <w:t>iven that no work papers are provided for the cost-effectiveness calculations</w:t>
      </w:r>
      <w:r w:rsidR="00652521" w:rsidRPr="00D15239">
        <w:rPr>
          <w:sz w:val="24"/>
          <w:szCs w:val="24"/>
        </w:rPr>
        <w:t>,</w:t>
      </w:r>
      <w:r w:rsidR="00497316" w:rsidRPr="00D15239">
        <w:rPr>
          <w:sz w:val="24"/>
          <w:szCs w:val="24"/>
        </w:rPr>
        <w:t xml:space="preserve"> it is impossible determine if the </w:t>
      </w:r>
      <w:r w:rsidR="00BB1C24" w:rsidRPr="00D15239">
        <w:rPr>
          <w:sz w:val="24"/>
          <w:szCs w:val="24"/>
        </w:rPr>
        <w:t xml:space="preserve">cost-effectiveness standard practice tests </w:t>
      </w:r>
      <w:r w:rsidR="00497316" w:rsidRPr="00D15239">
        <w:rPr>
          <w:sz w:val="24"/>
          <w:szCs w:val="24"/>
        </w:rPr>
        <w:t>w</w:t>
      </w:r>
      <w:r w:rsidR="00BB1C24" w:rsidRPr="00D15239">
        <w:rPr>
          <w:sz w:val="24"/>
          <w:szCs w:val="24"/>
        </w:rPr>
        <w:t>ere</w:t>
      </w:r>
      <w:r w:rsidR="00497316" w:rsidRPr="00D15239">
        <w:rPr>
          <w:sz w:val="24"/>
          <w:szCs w:val="24"/>
        </w:rPr>
        <w:t xml:space="preserve"> properly calculated</w:t>
      </w:r>
      <w:r w:rsidR="00F419A7" w:rsidRPr="00D15239">
        <w:rPr>
          <w:sz w:val="24"/>
          <w:szCs w:val="24"/>
          <w:vertAlign w:val="superscript"/>
        </w:rPr>
        <w:t>6</w:t>
      </w:r>
      <w:r w:rsidR="00497316" w:rsidRPr="00D15239">
        <w:rPr>
          <w:sz w:val="24"/>
          <w:szCs w:val="24"/>
        </w:rPr>
        <w:t>.</w:t>
      </w:r>
      <w:r w:rsidR="00652521" w:rsidRPr="00D15239">
        <w:rPr>
          <w:sz w:val="24"/>
          <w:szCs w:val="24"/>
        </w:rPr>
        <w:t xml:space="preserve">  </w:t>
      </w:r>
    </w:p>
    <w:p w:rsidR="005B6580" w:rsidRPr="00D15239" w:rsidRDefault="005B6580"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 xml:space="preserve">The lack of publically available documents </w:t>
      </w:r>
      <w:r w:rsidR="000D7D4D" w:rsidRPr="00D15239">
        <w:rPr>
          <w:sz w:val="24"/>
          <w:szCs w:val="24"/>
        </w:rPr>
        <w:t xml:space="preserve">to </w:t>
      </w:r>
      <w:r w:rsidRPr="00D15239">
        <w:rPr>
          <w:sz w:val="24"/>
          <w:szCs w:val="24"/>
        </w:rPr>
        <w:t xml:space="preserve">support </w:t>
      </w:r>
      <w:r w:rsidR="000D7D4D" w:rsidRPr="00D15239">
        <w:rPr>
          <w:sz w:val="24"/>
          <w:szCs w:val="24"/>
        </w:rPr>
        <w:t xml:space="preserve">a review of </w:t>
      </w:r>
      <w:r w:rsidRPr="00D15239">
        <w:rPr>
          <w:sz w:val="24"/>
          <w:szCs w:val="24"/>
        </w:rPr>
        <w:t>the $27 million</w:t>
      </w:r>
      <w:r w:rsidR="00F419A7" w:rsidRPr="00D15239">
        <w:rPr>
          <w:sz w:val="24"/>
          <w:szCs w:val="24"/>
          <w:vertAlign w:val="superscript"/>
        </w:rPr>
        <w:t>7</w:t>
      </w:r>
      <w:r w:rsidR="001131F0" w:rsidRPr="00D15239">
        <w:rPr>
          <w:sz w:val="24"/>
          <w:szCs w:val="24"/>
        </w:rPr>
        <w:t xml:space="preserve"> </w:t>
      </w:r>
      <w:r w:rsidR="0057695C" w:rsidRPr="00D15239">
        <w:rPr>
          <w:sz w:val="24"/>
          <w:szCs w:val="24"/>
        </w:rPr>
        <w:t>of</w:t>
      </w:r>
      <w:r w:rsidRPr="00D15239">
        <w:rPr>
          <w:sz w:val="24"/>
          <w:szCs w:val="24"/>
        </w:rPr>
        <w:t xml:space="preserve"> electric and natural gas DSM expenditures during the biennium under review is inappropriate.  Avista’s </w:t>
      </w:r>
      <w:r w:rsidR="00464B34" w:rsidRPr="00D15239">
        <w:rPr>
          <w:sz w:val="24"/>
          <w:szCs w:val="24"/>
        </w:rPr>
        <w:t xml:space="preserve">past </w:t>
      </w:r>
      <w:r w:rsidRPr="00D15239">
        <w:rPr>
          <w:sz w:val="24"/>
          <w:szCs w:val="24"/>
        </w:rPr>
        <w:t>assertions that the public interest is represented through the involvement of Public Counsel and end-use customer representatives (customers selected at the sole discretion of Avista) in the DSM Advisory Group do</w:t>
      </w:r>
      <w:r w:rsidR="006623CB" w:rsidRPr="00D15239">
        <w:rPr>
          <w:sz w:val="24"/>
          <w:szCs w:val="24"/>
        </w:rPr>
        <w:t>es</w:t>
      </w:r>
      <w:r w:rsidRPr="00D15239">
        <w:rPr>
          <w:sz w:val="24"/>
          <w:szCs w:val="24"/>
        </w:rPr>
        <w:t xml:space="preserve"> not justify the unavailability of the information necessary </w:t>
      </w:r>
      <w:r w:rsidR="00464B34" w:rsidRPr="00D15239">
        <w:rPr>
          <w:sz w:val="24"/>
          <w:szCs w:val="24"/>
        </w:rPr>
        <w:t xml:space="preserve">for </w:t>
      </w:r>
      <w:r w:rsidRPr="00D15239">
        <w:rPr>
          <w:sz w:val="24"/>
          <w:szCs w:val="24"/>
        </w:rPr>
        <w:t>ot</w:t>
      </w:r>
      <w:r w:rsidR="00464B34" w:rsidRPr="00D15239">
        <w:rPr>
          <w:sz w:val="24"/>
          <w:szCs w:val="24"/>
        </w:rPr>
        <w:t>her ratepayers and stakeholders to comment upon the BCR.</w:t>
      </w:r>
    </w:p>
    <w:p w:rsidR="00F740B5" w:rsidRPr="00D15239" w:rsidRDefault="00F740B5" w:rsidP="00373717">
      <w:pPr>
        <w:spacing w:after="0" w:line="360" w:lineRule="auto"/>
        <w:rPr>
          <w:sz w:val="24"/>
          <w:szCs w:val="24"/>
        </w:rPr>
      </w:pPr>
    </w:p>
    <w:p w:rsidR="00F740B5" w:rsidRPr="00D15239" w:rsidRDefault="00F740B5" w:rsidP="00F740B5">
      <w:pPr>
        <w:spacing w:after="0" w:line="360" w:lineRule="auto"/>
        <w:rPr>
          <w:sz w:val="24"/>
          <w:szCs w:val="24"/>
        </w:rPr>
      </w:pPr>
      <w:r w:rsidRPr="00D15239">
        <w:rPr>
          <w:sz w:val="24"/>
          <w:szCs w:val="24"/>
        </w:rPr>
        <w:t>The lack of availability of these documents stands in stark contrast to the Company’s statement that “within customer confidentiality constraints, output from any EM&amp;V activity is available to external stakeholders”</w:t>
      </w:r>
      <w:r w:rsidR="00F419A7" w:rsidRPr="00D15239">
        <w:rPr>
          <w:sz w:val="24"/>
          <w:szCs w:val="24"/>
          <w:vertAlign w:val="superscript"/>
        </w:rPr>
        <w:t>8</w:t>
      </w:r>
      <w:r w:rsidRPr="00D15239">
        <w:rPr>
          <w:sz w:val="24"/>
          <w:szCs w:val="24"/>
        </w:rPr>
        <w:t>.</w:t>
      </w:r>
    </w:p>
    <w:p w:rsidR="00373717" w:rsidRPr="00D15239" w:rsidRDefault="00373717">
      <w:pPr>
        <w:rPr>
          <w:sz w:val="24"/>
          <w:szCs w:val="24"/>
          <w:u w:val="single"/>
        </w:rPr>
      </w:pPr>
    </w:p>
    <w:p w:rsidR="00373717" w:rsidRPr="00D15239" w:rsidRDefault="00373717" w:rsidP="00373717">
      <w:pPr>
        <w:spacing w:after="0" w:line="360" w:lineRule="auto"/>
        <w:rPr>
          <w:sz w:val="24"/>
          <w:szCs w:val="24"/>
          <w:u w:val="single"/>
        </w:rPr>
      </w:pPr>
      <w:r w:rsidRPr="00D15239">
        <w:rPr>
          <w:sz w:val="24"/>
          <w:szCs w:val="24"/>
          <w:u w:val="single"/>
        </w:rPr>
        <w:t>The Evaluation Process</w:t>
      </w:r>
    </w:p>
    <w:p w:rsidR="00D83EC5" w:rsidRPr="00D15239" w:rsidRDefault="00D83EC5" w:rsidP="00373717">
      <w:pPr>
        <w:spacing w:after="0" w:line="360" w:lineRule="auto"/>
        <w:rPr>
          <w:sz w:val="24"/>
          <w:szCs w:val="24"/>
          <w:u w:val="single"/>
        </w:rPr>
      </w:pPr>
    </w:p>
    <w:p w:rsidR="00373717" w:rsidRPr="00D15239" w:rsidRDefault="00373717" w:rsidP="00373717">
      <w:pPr>
        <w:spacing w:after="0" w:line="360" w:lineRule="auto"/>
        <w:rPr>
          <w:sz w:val="24"/>
          <w:szCs w:val="24"/>
        </w:rPr>
      </w:pPr>
      <w:r w:rsidRPr="00D15239">
        <w:rPr>
          <w:sz w:val="24"/>
          <w:szCs w:val="24"/>
        </w:rPr>
        <w:t>The regulation of utility DSM portfolios and the related public policy issues are critically dependent upon a thorough and ethical evaluation of all aspects of that portfolio.  This can only be achieved through an evaluation that is independent at each step of the process.  The insertion of self-interest into the evaluation process at any point severely compromises the value of the evaluation work product.  In the absence of a meaningful and fully independent evaluation</w:t>
      </w:r>
      <w:r w:rsidR="005A5CA2" w:rsidRPr="00D15239">
        <w:rPr>
          <w:sz w:val="24"/>
          <w:szCs w:val="24"/>
        </w:rPr>
        <w:t>,</w:t>
      </w:r>
      <w:r w:rsidRPr="00D15239">
        <w:rPr>
          <w:sz w:val="24"/>
          <w:szCs w:val="24"/>
        </w:rPr>
        <w:t xml:space="preserve"> the ability of Avista’s DSM Advisory Group to </w:t>
      </w:r>
      <w:r w:rsidR="00C50F6D" w:rsidRPr="00D15239">
        <w:rPr>
          <w:sz w:val="24"/>
          <w:szCs w:val="24"/>
        </w:rPr>
        <w:t xml:space="preserve">oversee Avista’s efficiency program is </w:t>
      </w:r>
      <w:r w:rsidRPr="00D15239">
        <w:rPr>
          <w:sz w:val="24"/>
          <w:szCs w:val="24"/>
        </w:rPr>
        <w:t xml:space="preserve">substantially handicapped.  </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The Commission has observed and acted upon previous deficiencies in the Company’s evaluation of DSM programs.  When the evaluation of DSM performance came under greater scrutiny within the 2006-2009 natural gas decoupling pilot</w:t>
      </w:r>
      <w:r w:rsidR="005A5CA2" w:rsidRPr="00D15239">
        <w:rPr>
          <w:sz w:val="24"/>
          <w:szCs w:val="24"/>
        </w:rPr>
        <w:t>,</w:t>
      </w:r>
      <w:r w:rsidRPr="00D15239">
        <w:rPr>
          <w:sz w:val="24"/>
          <w:szCs w:val="24"/>
        </w:rPr>
        <w:t xml:space="preserve"> the Commission found </w:t>
      </w:r>
      <w:r w:rsidR="00464B34" w:rsidRPr="00D15239">
        <w:rPr>
          <w:sz w:val="24"/>
          <w:szCs w:val="24"/>
        </w:rPr>
        <w:t xml:space="preserve">a </w:t>
      </w:r>
      <w:r w:rsidRPr="00D15239">
        <w:rPr>
          <w:sz w:val="24"/>
          <w:szCs w:val="24"/>
        </w:rPr>
        <w:t>“… lack of evaluation, measurement and verification (EM&amp;V) techniques for conservation programs”</w:t>
      </w:r>
      <w:r w:rsidR="00F419A7" w:rsidRPr="00D15239">
        <w:rPr>
          <w:sz w:val="24"/>
          <w:szCs w:val="24"/>
          <w:vertAlign w:val="superscript"/>
        </w:rPr>
        <w:t>9</w:t>
      </w:r>
      <w:r w:rsidR="0057695C" w:rsidRPr="00D15239">
        <w:rPr>
          <w:sz w:val="24"/>
          <w:szCs w:val="24"/>
        </w:rPr>
        <w:t xml:space="preserve"> a</w:t>
      </w:r>
      <w:r w:rsidRPr="00D15239">
        <w:rPr>
          <w:sz w:val="24"/>
          <w:szCs w:val="24"/>
        </w:rPr>
        <w:t>nd concluded that the “… Company’s EM&amp;V efforts need to be improved”</w:t>
      </w:r>
      <w:r w:rsidR="00DB3590" w:rsidRPr="00D15239">
        <w:rPr>
          <w:sz w:val="24"/>
          <w:szCs w:val="24"/>
          <w:vertAlign w:val="superscript"/>
        </w:rPr>
        <w:t>1</w:t>
      </w:r>
      <w:r w:rsidR="00F419A7" w:rsidRPr="00D15239">
        <w:rPr>
          <w:sz w:val="24"/>
          <w:szCs w:val="24"/>
          <w:vertAlign w:val="superscript"/>
        </w:rPr>
        <w:t>0</w:t>
      </w:r>
      <w:r w:rsidRPr="00D15239">
        <w:rPr>
          <w:sz w:val="24"/>
          <w:szCs w:val="24"/>
        </w:rPr>
        <w:t>.  The Commission</w:t>
      </w:r>
      <w:r w:rsidR="005A5CA2" w:rsidRPr="00D15239">
        <w:rPr>
          <w:sz w:val="24"/>
          <w:szCs w:val="24"/>
        </w:rPr>
        <w:t>’</w:t>
      </w:r>
      <w:r w:rsidRPr="00D15239">
        <w:rPr>
          <w:sz w:val="24"/>
          <w:szCs w:val="24"/>
        </w:rPr>
        <w:t>s response was to require “… the Company to file an EM&amp;V plan for its DSM programs by September 1, 2010” to address these observed deficiencies</w:t>
      </w:r>
      <w:r w:rsidR="00DB3590" w:rsidRPr="00D15239">
        <w:rPr>
          <w:sz w:val="24"/>
          <w:szCs w:val="24"/>
          <w:vertAlign w:val="superscript"/>
        </w:rPr>
        <w:t>1</w:t>
      </w:r>
      <w:r w:rsidR="00F419A7" w:rsidRPr="00D15239">
        <w:rPr>
          <w:sz w:val="24"/>
          <w:szCs w:val="24"/>
          <w:vertAlign w:val="superscript"/>
        </w:rPr>
        <w:t>1</w:t>
      </w:r>
      <w:r w:rsidRPr="00D15239">
        <w:rPr>
          <w:sz w:val="24"/>
          <w:szCs w:val="24"/>
        </w:rPr>
        <w:t xml:space="preserve">.  The Company engaged in an extensive year-long collaborative effort with considerable participation </w:t>
      </w:r>
      <w:r w:rsidR="00464B34" w:rsidRPr="00D15239">
        <w:rPr>
          <w:sz w:val="24"/>
          <w:szCs w:val="24"/>
        </w:rPr>
        <w:t xml:space="preserve">from stakeholders and nationally renowned experts to create </w:t>
      </w:r>
      <w:r w:rsidRPr="00D15239">
        <w:rPr>
          <w:sz w:val="24"/>
          <w:szCs w:val="24"/>
        </w:rPr>
        <w:t xml:space="preserve">an EM&amp;V Framework document that was responsive to the Order.  The EM&amp;V Framework became the guiding document for the </w:t>
      </w:r>
      <w:r w:rsidR="005A5CA2" w:rsidRPr="00D15239">
        <w:rPr>
          <w:sz w:val="24"/>
          <w:szCs w:val="24"/>
        </w:rPr>
        <w:t xml:space="preserve">independent </w:t>
      </w:r>
      <w:r w:rsidRPr="00D15239">
        <w:rPr>
          <w:sz w:val="24"/>
          <w:szCs w:val="24"/>
        </w:rPr>
        <w:t>internal and external evaluation of Avista’s DSM programs from that date forward.</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Avista’s EM&amp;V Framework</w:t>
      </w:r>
      <w:r w:rsidR="005A5CA2" w:rsidRPr="00D15239">
        <w:rPr>
          <w:sz w:val="24"/>
          <w:szCs w:val="24"/>
        </w:rPr>
        <w:t xml:space="preserve"> recognizes that “s</w:t>
      </w:r>
      <w:r w:rsidRPr="00D15239">
        <w:rPr>
          <w:sz w:val="24"/>
          <w:szCs w:val="24"/>
        </w:rPr>
        <w:t>ound evaluation of energy efficiency programs requires transparency and independence”</w:t>
      </w:r>
      <w:r w:rsidR="00F419A7" w:rsidRPr="00D15239">
        <w:rPr>
          <w:sz w:val="24"/>
          <w:szCs w:val="24"/>
          <w:vertAlign w:val="superscript"/>
        </w:rPr>
        <w:t>12</w:t>
      </w:r>
      <w:r w:rsidRPr="00D15239">
        <w:rPr>
          <w:sz w:val="24"/>
          <w:szCs w:val="24"/>
        </w:rPr>
        <w:t xml:space="preserve">.  Consequently the </w:t>
      </w:r>
      <w:r w:rsidR="0057695C" w:rsidRPr="00D15239">
        <w:rPr>
          <w:sz w:val="24"/>
          <w:szCs w:val="24"/>
        </w:rPr>
        <w:t>EM&amp;V F</w:t>
      </w:r>
      <w:r w:rsidRPr="00D15239">
        <w:rPr>
          <w:sz w:val="24"/>
          <w:szCs w:val="24"/>
        </w:rPr>
        <w:t xml:space="preserve">ramework document defined the </w:t>
      </w:r>
      <w:r w:rsidR="005A5CA2" w:rsidRPr="00D15239">
        <w:rPr>
          <w:sz w:val="24"/>
          <w:szCs w:val="24"/>
        </w:rPr>
        <w:t xml:space="preserve">independent </w:t>
      </w:r>
      <w:r w:rsidRPr="00D15239">
        <w:rPr>
          <w:sz w:val="24"/>
          <w:szCs w:val="24"/>
        </w:rPr>
        <w:t>internal evaluation team as “Avista employees who perform analysis and reporting in Demand Side Management but do not have energy savings targets as part of their goals or incentive structure”</w:t>
      </w:r>
      <w:r w:rsidR="00DB3590" w:rsidRPr="00D15239">
        <w:rPr>
          <w:sz w:val="24"/>
          <w:szCs w:val="24"/>
          <w:vertAlign w:val="superscript"/>
        </w:rPr>
        <w:t>1</w:t>
      </w:r>
      <w:r w:rsidR="00F419A7" w:rsidRPr="00D15239">
        <w:rPr>
          <w:sz w:val="24"/>
          <w:szCs w:val="24"/>
          <w:vertAlign w:val="superscript"/>
        </w:rPr>
        <w:t>3</w:t>
      </w:r>
      <w:r w:rsidRPr="00D15239">
        <w:rPr>
          <w:sz w:val="24"/>
          <w:szCs w:val="24"/>
        </w:rPr>
        <w:t xml:space="preserve"> to address the need to remove self-interest from the evaluation process. The EM&amp;V Framework also references the American Evaluation Association</w:t>
      </w:r>
      <w:r w:rsidR="005A5CA2" w:rsidRPr="00D15239">
        <w:rPr>
          <w:sz w:val="24"/>
          <w:szCs w:val="24"/>
        </w:rPr>
        <w:t>’</w:t>
      </w:r>
      <w:r w:rsidRPr="00D15239">
        <w:rPr>
          <w:sz w:val="24"/>
          <w:szCs w:val="24"/>
        </w:rPr>
        <w:t>s Guiding Principles for Evaluators which calls for “system</w:t>
      </w:r>
      <w:r w:rsidR="005A5CA2" w:rsidRPr="00D15239">
        <w:rPr>
          <w:sz w:val="24"/>
          <w:szCs w:val="24"/>
        </w:rPr>
        <w:t>atic inquiry” and the need to “t</w:t>
      </w:r>
      <w:r w:rsidRPr="00D15239">
        <w:rPr>
          <w:sz w:val="24"/>
          <w:szCs w:val="24"/>
        </w:rPr>
        <w:t>ake into account the public interest and good …”</w:t>
      </w:r>
      <w:r w:rsidR="00DB3590" w:rsidRPr="00D15239">
        <w:rPr>
          <w:sz w:val="24"/>
          <w:szCs w:val="24"/>
          <w:vertAlign w:val="superscript"/>
        </w:rPr>
        <w:t>1</w:t>
      </w:r>
      <w:r w:rsidR="00F419A7" w:rsidRPr="00D15239">
        <w:rPr>
          <w:sz w:val="24"/>
          <w:szCs w:val="24"/>
          <w:vertAlign w:val="superscript"/>
        </w:rPr>
        <w:t>4</w:t>
      </w:r>
      <w:r w:rsidRPr="00D15239">
        <w:rPr>
          <w:sz w:val="24"/>
          <w:szCs w:val="24"/>
        </w:rPr>
        <w:t xml:space="preserve">.  To operationalize these principles a 2010 re-organization assigned the duties of performing </w:t>
      </w:r>
      <w:r w:rsidR="005A5CA2" w:rsidRPr="00D15239">
        <w:rPr>
          <w:sz w:val="24"/>
          <w:szCs w:val="24"/>
        </w:rPr>
        <w:t xml:space="preserve">independent </w:t>
      </w:r>
      <w:r w:rsidRPr="00D15239">
        <w:rPr>
          <w:sz w:val="24"/>
          <w:szCs w:val="24"/>
        </w:rPr>
        <w:t xml:space="preserve">internal evaluation and </w:t>
      </w:r>
      <w:r w:rsidR="005A5CA2" w:rsidRPr="00D15239">
        <w:rPr>
          <w:sz w:val="24"/>
          <w:szCs w:val="24"/>
        </w:rPr>
        <w:t>management of</w:t>
      </w:r>
      <w:r w:rsidRPr="00D15239">
        <w:rPr>
          <w:sz w:val="24"/>
          <w:szCs w:val="24"/>
        </w:rPr>
        <w:t xml:space="preserve"> external evaluation activities to an organizational unit distinctly separate from those parts of the Company responsible for the management of the DSM programs.</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During the first two biennia of the I-937 process (2010-2011 and 2012-2013)</w:t>
      </w:r>
      <w:r w:rsidR="005A5CA2" w:rsidRPr="00D15239">
        <w:rPr>
          <w:sz w:val="24"/>
          <w:szCs w:val="24"/>
        </w:rPr>
        <w:t>,</w:t>
      </w:r>
      <w:r w:rsidRPr="00D15239">
        <w:rPr>
          <w:sz w:val="24"/>
          <w:szCs w:val="24"/>
        </w:rPr>
        <w:t xml:space="preserve"> the Company’s internal independent evaluation team managed an external evaluation consultant (Cadmus) to deliver the independent evaluation required per WAC 480-109-120 (4).  This evaluation approach revealed many and significant portfolio performance issues which, due to regulatory timing, were first recognized in Idaho Public Utilities Commission (IPUC) dockets AVU-E-13-09 and AVU-E-14-07 reviewing the regulatory prudence of Avista’s DSM programs.  </w:t>
      </w:r>
      <w:r w:rsidR="00BB1C24" w:rsidRPr="00D15239">
        <w:rPr>
          <w:sz w:val="24"/>
          <w:szCs w:val="24"/>
        </w:rPr>
        <w:t xml:space="preserve">The IPUC </w:t>
      </w:r>
      <w:r w:rsidRPr="00D15239">
        <w:rPr>
          <w:sz w:val="24"/>
          <w:szCs w:val="24"/>
        </w:rPr>
        <w:t>Staff was deeply concerned regarding what they termed “… lapses in reliable program management”</w:t>
      </w:r>
      <w:r w:rsidR="00CD0CD2" w:rsidRPr="00D15239">
        <w:rPr>
          <w:sz w:val="24"/>
          <w:szCs w:val="24"/>
          <w:vertAlign w:val="superscript"/>
        </w:rPr>
        <w:t>1</w:t>
      </w:r>
      <w:r w:rsidR="00F419A7" w:rsidRPr="00D15239">
        <w:rPr>
          <w:sz w:val="24"/>
          <w:szCs w:val="24"/>
          <w:vertAlign w:val="superscript"/>
        </w:rPr>
        <w:t>5</w:t>
      </w:r>
      <w:r w:rsidR="002D46D1" w:rsidRPr="00D15239">
        <w:rPr>
          <w:sz w:val="24"/>
          <w:szCs w:val="24"/>
        </w:rPr>
        <w:t xml:space="preserve"> and “… the Company’s loose program management”</w:t>
      </w:r>
      <w:r w:rsidR="000D7D4D" w:rsidRPr="00D15239">
        <w:rPr>
          <w:sz w:val="24"/>
          <w:szCs w:val="24"/>
          <w:vertAlign w:val="superscript"/>
        </w:rPr>
        <w:t>1</w:t>
      </w:r>
      <w:r w:rsidR="00F419A7" w:rsidRPr="00D15239">
        <w:rPr>
          <w:sz w:val="24"/>
          <w:szCs w:val="24"/>
          <w:vertAlign w:val="superscript"/>
        </w:rPr>
        <w:t>6</w:t>
      </w:r>
      <w:r w:rsidR="002D46D1" w:rsidRPr="00D15239">
        <w:rPr>
          <w:sz w:val="24"/>
          <w:szCs w:val="24"/>
        </w:rPr>
        <w:t xml:space="preserve">.  </w:t>
      </w:r>
      <w:r w:rsidRPr="00D15239">
        <w:rPr>
          <w:sz w:val="24"/>
          <w:szCs w:val="24"/>
        </w:rPr>
        <w:t xml:space="preserve">As a result of these </w:t>
      </w:r>
      <w:r w:rsidR="00D74262" w:rsidRPr="00D15239">
        <w:rPr>
          <w:sz w:val="24"/>
          <w:szCs w:val="24"/>
        </w:rPr>
        <w:t xml:space="preserve">and other </w:t>
      </w:r>
      <w:r w:rsidRPr="00D15239">
        <w:rPr>
          <w:sz w:val="24"/>
          <w:szCs w:val="24"/>
        </w:rPr>
        <w:t>adverse comments from IPUC Staff</w:t>
      </w:r>
      <w:r w:rsidR="005A5CA2" w:rsidRPr="00D15239">
        <w:rPr>
          <w:sz w:val="24"/>
          <w:szCs w:val="24"/>
        </w:rPr>
        <w:t>,</w:t>
      </w:r>
      <w:r w:rsidRPr="00D15239">
        <w:rPr>
          <w:sz w:val="24"/>
          <w:szCs w:val="24"/>
        </w:rPr>
        <w:t xml:space="preserve"> the Company submitted reply comments stating that:</w:t>
      </w:r>
    </w:p>
    <w:p w:rsidR="00373717" w:rsidRPr="00D15239" w:rsidRDefault="00373717" w:rsidP="00373717">
      <w:pPr>
        <w:spacing w:after="0" w:line="240" w:lineRule="auto"/>
        <w:ind w:left="720"/>
        <w:rPr>
          <w:rFonts w:eastAsia="Times New Roman" w:cs="Arial"/>
          <w:sz w:val="24"/>
          <w:szCs w:val="24"/>
        </w:rPr>
      </w:pPr>
      <w:r w:rsidRPr="00D15239">
        <w:rPr>
          <w:rFonts w:eastAsia="Times New Roman" w:cs="Arial"/>
          <w:sz w:val="24"/>
          <w:szCs w:val="24"/>
        </w:rPr>
        <w:t>Avista has carefully reviewed the specific suggestions of Staff regarding program management, which will be addressed in a wider overall program review that has already been initiated internally by Company senior management. This effort will include a thorough review of the Company's DSM implementation practices, as well as a renewed focus on the employment of utility best practices related to DSM program implementation and oversight.</w:t>
      </w:r>
    </w:p>
    <w:p w:rsidR="00373717" w:rsidRPr="00D15239" w:rsidRDefault="00373717" w:rsidP="00373717">
      <w:pPr>
        <w:spacing w:after="0" w:line="240" w:lineRule="auto"/>
        <w:ind w:left="720"/>
        <w:rPr>
          <w:rFonts w:eastAsia="Times New Roman" w:cs="Arial"/>
          <w:sz w:val="24"/>
          <w:szCs w:val="24"/>
        </w:rPr>
      </w:pPr>
    </w:p>
    <w:p w:rsidR="00373717" w:rsidRPr="00D15239" w:rsidRDefault="00373717" w:rsidP="00373717">
      <w:pPr>
        <w:tabs>
          <w:tab w:val="right" w:pos="9360"/>
        </w:tabs>
        <w:spacing w:after="0" w:line="240" w:lineRule="auto"/>
        <w:ind w:left="720"/>
        <w:rPr>
          <w:rFonts w:eastAsia="Times New Roman" w:cs="Arial"/>
          <w:sz w:val="24"/>
          <w:szCs w:val="24"/>
        </w:rPr>
      </w:pPr>
      <w:r w:rsidRPr="00D15239">
        <w:rPr>
          <w:rFonts w:eastAsia="Times New Roman" w:cs="Arial"/>
          <w:sz w:val="24"/>
          <w:szCs w:val="24"/>
        </w:rPr>
        <w:t xml:space="preserve">The Company looks forward to working with the Commission Staff and other </w:t>
      </w:r>
      <w:r w:rsidR="00464B34" w:rsidRPr="00D15239">
        <w:rPr>
          <w:rFonts w:eastAsia="Times New Roman" w:cs="Arial"/>
          <w:sz w:val="24"/>
          <w:szCs w:val="24"/>
        </w:rPr>
        <w:t>i</w:t>
      </w:r>
      <w:r w:rsidRPr="00D15239">
        <w:rPr>
          <w:rFonts w:eastAsia="Times New Roman" w:cs="Arial"/>
          <w:sz w:val="24"/>
          <w:szCs w:val="24"/>
        </w:rPr>
        <w:t>nterested parties in the implementation of the specific recommendations resulting from our review of internal controls and best practices.  Avista will furnish a report to the Commission, its Staff and other interested stakeholders on or before July 1, 2014, describing how it has addressed concerns raised in Staff’s comments</w:t>
      </w:r>
      <w:r w:rsidR="00F419A7" w:rsidRPr="00D15239">
        <w:rPr>
          <w:rFonts w:eastAsia="Times New Roman" w:cs="Arial"/>
          <w:sz w:val="24"/>
          <w:szCs w:val="24"/>
          <w:vertAlign w:val="superscript"/>
        </w:rPr>
        <w:t>17</w:t>
      </w:r>
      <w:r w:rsidRPr="00D15239">
        <w:rPr>
          <w:rFonts w:eastAsia="Times New Roman" w:cs="Arial"/>
          <w:sz w:val="24"/>
          <w:szCs w:val="24"/>
        </w:rPr>
        <w:t>.</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However, the remed</w:t>
      </w:r>
      <w:r w:rsidR="00BB1C24" w:rsidRPr="00D15239">
        <w:rPr>
          <w:sz w:val="24"/>
          <w:szCs w:val="24"/>
        </w:rPr>
        <w:t>y</w:t>
      </w:r>
      <w:r w:rsidRPr="00D15239">
        <w:rPr>
          <w:sz w:val="24"/>
          <w:szCs w:val="24"/>
        </w:rPr>
        <w:t xml:space="preserve"> that Avista chose to </w:t>
      </w:r>
      <w:r w:rsidR="00464B34" w:rsidRPr="00D15239">
        <w:rPr>
          <w:sz w:val="24"/>
          <w:szCs w:val="24"/>
        </w:rPr>
        <w:t>implement in response to their recognition of inadequacies in “… internal controls and best practices” with</w:t>
      </w:r>
      <w:r w:rsidRPr="00D15239">
        <w:rPr>
          <w:sz w:val="24"/>
          <w:szCs w:val="24"/>
        </w:rPr>
        <w:t xml:space="preserve">in the Company’s DSM implementation practices </w:t>
      </w:r>
      <w:r w:rsidR="00464B34" w:rsidRPr="00D15239">
        <w:rPr>
          <w:sz w:val="24"/>
          <w:szCs w:val="24"/>
        </w:rPr>
        <w:t xml:space="preserve">was </w:t>
      </w:r>
      <w:r w:rsidR="00F740B5" w:rsidRPr="00D15239">
        <w:rPr>
          <w:sz w:val="24"/>
          <w:szCs w:val="24"/>
        </w:rPr>
        <w:t xml:space="preserve">primarily </w:t>
      </w:r>
      <w:r w:rsidRPr="00D15239">
        <w:rPr>
          <w:sz w:val="24"/>
          <w:szCs w:val="24"/>
        </w:rPr>
        <w:t xml:space="preserve">focused upon </w:t>
      </w:r>
      <w:r w:rsidR="00F740B5" w:rsidRPr="00D15239">
        <w:rPr>
          <w:sz w:val="24"/>
          <w:szCs w:val="24"/>
        </w:rPr>
        <w:t xml:space="preserve">a </w:t>
      </w:r>
      <w:r w:rsidRPr="00D15239">
        <w:rPr>
          <w:sz w:val="24"/>
          <w:szCs w:val="24"/>
        </w:rPr>
        <w:t>re-organiz</w:t>
      </w:r>
      <w:r w:rsidR="00F740B5" w:rsidRPr="00D15239">
        <w:rPr>
          <w:sz w:val="24"/>
          <w:szCs w:val="24"/>
        </w:rPr>
        <w:t>ation that eliminated the independent na</w:t>
      </w:r>
      <w:r w:rsidRPr="00D15239">
        <w:rPr>
          <w:sz w:val="24"/>
          <w:szCs w:val="24"/>
        </w:rPr>
        <w:t>ture of the evaluation process</w:t>
      </w:r>
      <w:r w:rsidR="007D1176" w:rsidRPr="00D15239">
        <w:rPr>
          <w:sz w:val="24"/>
          <w:szCs w:val="24"/>
        </w:rPr>
        <w:t xml:space="preserve"> in the future</w:t>
      </w:r>
      <w:r w:rsidRPr="00D15239">
        <w:rPr>
          <w:sz w:val="24"/>
          <w:szCs w:val="24"/>
        </w:rPr>
        <w:t>.</w:t>
      </w:r>
      <w:r w:rsidR="002D46D1" w:rsidRPr="00D15239">
        <w:rPr>
          <w:sz w:val="24"/>
          <w:szCs w:val="24"/>
        </w:rPr>
        <w:t xml:space="preserve">  This seems </w:t>
      </w:r>
      <w:r w:rsidR="00BB1C24" w:rsidRPr="00D15239">
        <w:rPr>
          <w:sz w:val="24"/>
          <w:szCs w:val="24"/>
        </w:rPr>
        <w:t xml:space="preserve">to be </w:t>
      </w:r>
      <w:r w:rsidR="002D46D1" w:rsidRPr="00D15239">
        <w:rPr>
          <w:sz w:val="24"/>
          <w:szCs w:val="24"/>
        </w:rPr>
        <w:t xml:space="preserve">a particularly inappropriate remedy given the IPUC Staff’s recognition </w:t>
      </w:r>
      <w:r w:rsidR="00A72445" w:rsidRPr="00D15239">
        <w:rPr>
          <w:sz w:val="24"/>
          <w:szCs w:val="24"/>
        </w:rPr>
        <w:t>that</w:t>
      </w:r>
      <w:r w:rsidR="002D46D1" w:rsidRPr="00D15239">
        <w:rPr>
          <w:sz w:val="24"/>
          <w:szCs w:val="24"/>
        </w:rPr>
        <w:t xml:space="preserve"> the independent internal evaluation team </w:t>
      </w:r>
      <w:r w:rsidR="00BB1C24" w:rsidRPr="00D15239">
        <w:rPr>
          <w:sz w:val="24"/>
          <w:szCs w:val="24"/>
        </w:rPr>
        <w:t xml:space="preserve">played a key role in </w:t>
      </w:r>
      <w:r w:rsidR="00D74262" w:rsidRPr="00D15239">
        <w:rPr>
          <w:sz w:val="24"/>
          <w:szCs w:val="24"/>
        </w:rPr>
        <w:t>identifying</w:t>
      </w:r>
      <w:r w:rsidR="00A72445" w:rsidRPr="00D15239">
        <w:rPr>
          <w:sz w:val="24"/>
          <w:szCs w:val="24"/>
        </w:rPr>
        <w:t xml:space="preserve"> </w:t>
      </w:r>
      <w:r w:rsidR="002D46D1" w:rsidRPr="00D15239">
        <w:rPr>
          <w:sz w:val="24"/>
          <w:szCs w:val="24"/>
        </w:rPr>
        <w:t xml:space="preserve">many of the deficiencies that they cited within their comments </w:t>
      </w:r>
      <w:r w:rsidR="00F419A7" w:rsidRPr="00D15239">
        <w:rPr>
          <w:sz w:val="24"/>
          <w:szCs w:val="24"/>
          <w:vertAlign w:val="superscript"/>
        </w:rPr>
        <w:t>18</w:t>
      </w:r>
      <w:r w:rsidR="002D46D1" w:rsidRPr="00D15239">
        <w:rPr>
          <w:sz w:val="24"/>
          <w:szCs w:val="24"/>
        </w:rPr>
        <w:t>.</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 xml:space="preserve">The Company’s July 2014 re-organization shifted responsibility for internal evaluation and the management of external evaluation from the independent internal evaluation team created to address the 2006-2009 evaluation deficiencies back to being managed by the same individuals responsible for </w:t>
      </w:r>
      <w:r w:rsidR="00D74262" w:rsidRPr="00D15239">
        <w:rPr>
          <w:sz w:val="24"/>
          <w:szCs w:val="24"/>
        </w:rPr>
        <w:t>the d</w:t>
      </w:r>
      <w:r w:rsidRPr="00D15239">
        <w:rPr>
          <w:sz w:val="24"/>
          <w:szCs w:val="24"/>
        </w:rPr>
        <w:t>elivery</w:t>
      </w:r>
      <w:r w:rsidR="00D74262" w:rsidRPr="00D15239">
        <w:rPr>
          <w:sz w:val="24"/>
          <w:szCs w:val="24"/>
        </w:rPr>
        <w:t xml:space="preserve"> of the programs being evaluated</w:t>
      </w:r>
      <w:r w:rsidRPr="00D15239">
        <w:rPr>
          <w:sz w:val="24"/>
          <w:szCs w:val="24"/>
        </w:rPr>
        <w:t xml:space="preserve">.  This return to a previously failed management approach compromises the commitments that Avista made within their EM&amp;V collaborative process and the </w:t>
      </w:r>
      <w:r w:rsidR="005A5CA2" w:rsidRPr="00D15239">
        <w:rPr>
          <w:sz w:val="24"/>
          <w:szCs w:val="24"/>
        </w:rPr>
        <w:t xml:space="preserve">resulting </w:t>
      </w:r>
      <w:r w:rsidRPr="00D15239">
        <w:rPr>
          <w:sz w:val="24"/>
          <w:szCs w:val="24"/>
        </w:rPr>
        <w:t xml:space="preserve">EM&amp;V Framework document and invites </w:t>
      </w:r>
      <w:r w:rsidR="005A5CA2" w:rsidRPr="00D15239">
        <w:rPr>
          <w:sz w:val="24"/>
          <w:szCs w:val="24"/>
        </w:rPr>
        <w:t>a</w:t>
      </w:r>
      <w:r w:rsidRPr="00D15239">
        <w:rPr>
          <w:sz w:val="24"/>
          <w:szCs w:val="24"/>
        </w:rPr>
        <w:t xml:space="preserve"> repetition of same deficiencies </w:t>
      </w:r>
      <w:r w:rsidR="005A5CA2" w:rsidRPr="00D15239">
        <w:rPr>
          <w:sz w:val="24"/>
          <w:szCs w:val="24"/>
        </w:rPr>
        <w:t xml:space="preserve">that led to the </w:t>
      </w:r>
      <w:r w:rsidR="00BB1C24" w:rsidRPr="00D15239">
        <w:rPr>
          <w:sz w:val="24"/>
          <w:szCs w:val="24"/>
        </w:rPr>
        <w:t xml:space="preserve">2010 </w:t>
      </w:r>
      <w:r w:rsidR="005A5CA2" w:rsidRPr="00D15239">
        <w:rPr>
          <w:sz w:val="24"/>
          <w:szCs w:val="24"/>
        </w:rPr>
        <w:t>Collaborative</w:t>
      </w:r>
      <w:r w:rsidRPr="00D15239">
        <w:rPr>
          <w:sz w:val="24"/>
          <w:szCs w:val="24"/>
        </w:rPr>
        <w:t xml:space="preserve">.  Specifically, those responsible for program delivery are responsible for performing the internal evaluation assessing their </w:t>
      </w:r>
      <w:r w:rsidR="003C766D" w:rsidRPr="00D15239">
        <w:rPr>
          <w:sz w:val="24"/>
          <w:szCs w:val="24"/>
        </w:rPr>
        <w:t>own</w:t>
      </w:r>
      <w:r w:rsidR="007D1176" w:rsidRPr="00D15239">
        <w:rPr>
          <w:sz w:val="24"/>
          <w:szCs w:val="24"/>
        </w:rPr>
        <w:t xml:space="preserve"> </w:t>
      </w:r>
      <w:r w:rsidRPr="00D15239">
        <w:rPr>
          <w:sz w:val="24"/>
          <w:szCs w:val="24"/>
        </w:rPr>
        <w:t xml:space="preserve">performance as well as </w:t>
      </w:r>
      <w:r w:rsidR="007D1176" w:rsidRPr="00D15239">
        <w:rPr>
          <w:sz w:val="24"/>
          <w:szCs w:val="24"/>
        </w:rPr>
        <w:t>managing</w:t>
      </w:r>
      <w:r w:rsidRPr="00D15239">
        <w:rPr>
          <w:sz w:val="24"/>
          <w:szCs w:val="24"/>
        </w:rPr>
        <w:t xml:space="preserve"> the external evaluation </w:t>
      </w:r>
      <w:r w:rsidR="007D1176" w:rsidRPr="00D15239">
        <w:rPr>
          <w:sz w:val="24"/>
          <w:szCs w:val="24"/>
        </w:rPr>
        <w:t xml:space="preserve">of their performance </w:t>
      </w:r>
      <w:r w:rsidRPr="00D15239">
        <w:rPr>
          <w:sz w:val="24"/>
          <w:szCs w:val="24"/>
        </w:rPr>
        <w:t>to include:</w:t>
      </w:r>
    </w:p>
    <w:p w:rsidR="00373717" w:rsidRPr="00D15239" w:rsidRDefault="00373717" w:rsidP="00373717">
      <w:pPr>
        <w:pStyle w:val="ListParagraph"/>
        <w:numPr>
          <w:ilvl w:val="0"/>
          <w:numId w:val="2"/>
        </w:numPr>
        <w:spacing w:after="0" w:line="360" w:lineRule="auto"/>
        <w:rPr>
          <w:sz w:val="24"/>
          <w:szCs w:val="24"/>
        </w:rPr>
      </w:pPr>
      <w:r w:rsidRPr="00D15239">
        <w:rPr>
          <w:sz w:val="24"/>
          <w:szCs w:val="24"/>
        </w:rPr>
        <w:t>The selection of the current external evaluator</w:t>
      </w:r>
      <w:r w:rsidR="00F740B5" w:rsidRPr="00D15239">
        <w:rPr>
          <w:sz w:val="24"/>
          <w:szCs w:val="24"/>
        </w:rPr>
        <w:t>, the compensation of the evaluator, and whether to retain that evaluator for the following biennia.</w:t>
      </w:r>
    </w:p>
    <w:p w:rsidR="00F740B5" w:rsidRPr="00D15239" w:rsidRDefault="00F740B5" w:rsidP="00373717">
      <w:pPr>
        <w:pStyle w:val="ListParagraph"/>
        <w:numPr>
          <w:ilvl w:val="0"/>
          <w:numId w:val="2"/>
        </w:numPr>
        <w:spacing w:after="0" w:line="360" w:lineRule="auto"/>
        <w:rPr>
          <w:sz w:val="24"/>
          <w:szCs w:val="24"/>
        </w:rPr>
      </w:pPr>
      <w:r w:rsidRPr="00D15239">
        <w:rPr>
          <w:sz w:val="24"/>
          <w:szCs w:val="24"/>
        </w:rPr>
        <w:t>The content of the evaluation work plan.</w:t>
      </w:r>
    </w:p>
    <w:p w:rsidR="00373717" w:rsidRPr="00D15239" w:rsidRDefault="005A5CA2" w:rsidP="00373717">
      <w:pPr>
        <w:pStyle w:val="ListParagraph"/>
        <w:numPr>
          <w:ilvl w:val="0"/>
          <w:numId w:val="2"/>
        </w:numPr>
        <w:spacing w:after="0" w:line="360" w:lineRule="auto"/>
        <w:rPr>
          <w:sz w:val="24"/>
          <w:szCs w:val="24"/>
        </w:rPr>
      </w:pPr>
      <w:r w:rsidRPr="00D15239">
        <w:rPr>
          <w:sz w:val="24"/>
          <w:szCs w:val="24"/>
        </w:rPr>
        <w:t>The c</w:t>
      </w:r>
      <w:r w:rsidR="00373717" w:rsidRPr="00D15239">
        <w:rPr>
          <w:sz w:val="24"/>
          <w:szCs w:val="24"/>
        </w:rPr>
        <w:t>ollection</w:t>
      </w:r>
      <w:r w:rsidRPr="00D15239">
        <w:rPr>
          <w:sz w:val="24"/>
          <w:szCs w:val="24"/>
        </w:rPr>
        <w:t>,</w:t>
      </w:r>
      <w:r w:rsidR="007D1176" w:rsidRPr="00D15239">
        <w:rPr>
          <w:sz w:val="24"/>
          <w:szCs w:val="24"/>
        </w:rPr>
        <w:t xml:space="preserve"> screening and </w:t>
      </w:r>
      <w:r w:rsidR="00F740B5" w:rsidRPr="00D15239">
        <w:rPr>
          <w:sz w:val="24"/>
          <w:szCs w:val="24"/>
        </w:rPr>
        <w:t>interpretation</w:t>
      </w:r>
      <w:r w:rsidR="003C766D" w:rsidRPr="00D15239">
        <w:rPr>
          <w:sz w:val="24"/>
          <w:szCs w:val="24"/>
        </w:rPr>
        <w:t xml:space="preserve"> associated with the internal</w:t>
      </w:r>
      <w:r w:rsidRPr="00D15239">
        <w:rPr>
          <w:sz w:val="24"/>
          <w:szCs w:val="24"/>
        </w:rPr>
        <w:t xml:space="preserve"> </w:t>
      </w:r>
      <w:r w:rsidR="00373717" w:rsidRPr="00D15239">
        <w:rPr>
          <w:sz w:val="24"/>
          <w:szCs w:val="24"/>
        </w:rPr>
        <w:t xml:space="preserve">Avista data required to complete the </w:t>
      </w:r>
      <w:r w:rsidR="007D1176" w:rsidRPr="00D15239">
        <w:rPr>
          <w:sz w:val="24"/>
          <w:szCs w:val="24"/>
        </w:rPr>
        <w:t xml:space="preserve">external </w:t>
      </w:r>
      <w:r w:rsidR="00373717" w:rsidRPr="00D15239">
        <w:rPr>
          <w:sz w:val="24"/>
          <w:szCs w:val="24"/>
        </w:rPr>
        <w:t>evaluation.</w:t>
      </w:r>
    </w:p>
    <w:p w:rsidR="00373717" w:rsidRPr="00D15239" w:rsidRDefault="00373717" w:rsidP="00373717">
      <w:pPr>
        <w:pStyle w:val="ListParagraph"/>
        <w:numPr>
          <w:ilvl w:val="0"/>
          <w:numId w:val="2"/>
        </w:numPr>
        <w:spacing w:after="0" w:line="360" w:lineRule="auto"/>
        <w:rPr>
          <w:sz w:val="24"/>
          <w:szCs w:val="24"/>
        </w:rPr>
      </w:pPr>
      <w:r w:rsidRPr="00D15239">
        <w:rPr>
          <w:sz w:val="24"/>
          <w:szCs w:val="24"/>
        </w:rPr>
        <w:t xml:space="preserve">Specifying the evaluation issues that the external evaluator will be funded to investigate and, </w:t>
      </w:r>
      <w:r w:rsidRPr="00D15239">
        <w:rPr>
          <w:sz w:val="24"/>
          <w:szCs w:val="24"/>
          <w:u w:val="single"/>
        </w:rPr>
        <w:t>most importantly</w:t>
      </w:r>
      <w:r w:rsidRPr="00D15239">
        <w:rPr>
          <w:sz w:val="24"/>
          <w:szCs w:val="24"/>
        </w:rPr>
        <w:t xml:space="preserve">, </w:t>
      </w:r>
      <w:r w:rsidRPr="00D15239">
        <w:rPr>
          <w:sz w:val="24"/>
          <w:szCs w:val="24"/>
          <w:u w:val="single"/>
        </w:rPr>
        <w:t xml:space="preserve">having considerable </w:t>
      </w:r>
      <w:r w:rsidR="003C766D" w:rsidRPr="00D15239">
        <w:rPr>
          <w:sz w:val="24"/>
          <w:szCs w:val="24"/>
          <w:u w:val="single"/>
        </w:rPr>
        <w:t xml:space="preserve">and perhaps total </w:t>
      </w:r>
      <w:r w:rsidRPr="00D15239">
        <w:rPr>
          <w:sz w:val="24"/>
          <w:szCs w:val="24"/>
          <w:u w:val="single"/>
        </w:rPr>
        <w:t>discretion over the issues that will not be address within the evaluation</w:t>
      </w:r>
      <w:r w:rsidRPr="00D15239">
        <w:rPr>
          <w:sz w:val="24"/>
          <w:szCs w:val="24"/>
        </w:rPr>
        <w:t>.</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Clearly those who play key roles within the evaluation process have a high degree of self-interest in the outcome of the evaluation of their own performance.  It is worth noting that</w:t>
      </w:r>
      <w:r w:rsidR="003C766D" w:rsidRPr="00D15239">
        <w:rPr>
          <w:sz w:val="24"/>
          <w:szCs w:val="24"/>
        </w:rPr>
        <w:t>,</w:t>
      </w:r>
      <w:r w:rsidRPr="00D15239">
        <w:rPr>
          <w:sz w:val="24"/>
          <w:szCs w:val="24"/>
        </w:rPr>
        <w:t xml:space="preserve"> since placing the evaluation responsibilities </w:t>
      </w:r>
      <w:r w:rsidR="003C766D" w:rsidRPr="00D15239">
        <w:rPr>
          <w:sz w:val="24"/>
          <w:szCs w:val="24"/>
        </w:rPr>
        <w:t xml:space="preserve">back </w:t>
      </w:r>
      <w:r w:rsidRPr="00D15239">
        <w:rPr>
          <w:sz w:val="24"/>
          <w:szCs w:val="24"/>
        </w:rPr>
        <w:t>into the hands of those responsible for program delivery</w:t>
      </w:r>
      <w:r w:rsidR="005A5CA2" w:rsidRPr="00D15239">
        <w:rPr>
          <w:sz w:val="24"/>
          <w:szCs w:val="24"/>
        </w:rPr>
        <w:t>,</w:t>
      </w:r>
      <w:r w:rsidRPr="00D15239">
        <w:rPr>
          <w:sz w:val="24"/>
          <w:szCs w:val="24"/>
        </w:rPr>
        <w:t xml:space="preserve"> the evaluation findings have drastically improved when compared to those that caused so much distress in </w:t>
      </w:r>
      <w:r w:rsidR="00F740B5" w:rsidRPr="00D15239">
        <w:rPr>
          <w:sz w:val="24"/>
          <w:szCs w:val="24"/>
        </w:rPr>
        <w:t>recent</w:t>
      </w:r>
      <w:r w:rsidRPr="00D15239">
        <w:rPr>
          <w:sz w:val="24"/>
          <w:szCs w:val="24"/>
        </w:rPr>
        <w:t xml:space="preserve"> IPUC regulatory proceedings.  It would be reasonable to question the role that the elimination of an internal independent evaluation team had in achieving the </w:t>
      </w:r>
      <w:r w:rsidR="003C766D" w:rsidRPr="00D15239">
        <w:rPr>
          <w:sz w:val="24"/>
          <w:szCs w:val="24"/>
        </w:rPr>
        <w:t xml:space="preserve">sudden </w:t>
      </w:r>
      <w:r w:rsidRPr="00D15239">
        <w:rPr>
          <w:sz w:val="24"/>
          <w:szCs w:val="24"/>
        </w:rPr>
        <w:t>improvement in the evaluation</w:t>
      </w:r>
      <w:r w:rsidR="002D46D1" w:rsidRPr="00D15239">
        <w:rPr>
          <w:sz w:val="24"/>
          <w:szCs w:val="24"/>
        </w:rPr>
        <w:t>.</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 xml:space="preserve">This Commission has reviewed an early indication of the consequences of the </w:t>
      </w:r>
      <w:r w:rsidR="003C766D" w:rsidRPr="00D15239">
        <w:rPr>
          <w:sz w:val="24"/>
          <w:szCs w:val="24"/>
        </w:rPr>
        <w:t xml:space="preserve">movement away from </w:t>
      </w:r>
      <w:r w:rsidRPr="00D15239">
        <w:rPr>
          <w:sz w:val="24"/>
          <w:szCs w:val="24"/>
        </w:rPr>
        <w:t>a truly independent evaluation process.  Avista’s failure to provide timely updates regarding the delivery (or lack of delivery) of Opower behavioral programs is indicative of the lack of transparency that an independent evaluation process should deliver.  In this specific instance the program deficiencies did eventually become known, but only after a significant and potentially costly delay.   Avista respon</w:t>
      </w:r>
      <w:r w:rsidR="007D1176" w:rsidRPr="00D15239">
        <w:rPr>
          <w:sz w:val="24"/>
          <w:szCs w:val="24"/>
        </w:rPr>
        <w:t>d</w:t>
      </w:r>
      <w:r w:rsidRPr="00D15239">
        <w:rPr>
          <w:sz w:val="24"/>
          <w:szCs w:val="24"/>
        </w:rPr>
        <w:t>e</w:t>
      </w:r>
      <w:r w:rsidR="007D1176" w:rsidRPr="00D15239">
        <w:rPr>
          <w:sz w:val="24"/>
          <w:szCs w:val="24"/>
        </w:rPr>
        <w:t>d</w:t>
      </w:r>
      <w:r w:rsidRPr="00D15239">
        <w:rPr>
          <w:sz w:val="24"/>
          <w:szCs w:val="24"/>
        </w:rPr>
        <w:t xml:space="preserve"> to the discovery of the Opower hiatus with a series of remedies to </w:t>
      </w:r>
      <w:r w:rsidR="007D1176" w:rsidRPr="00D15239">
        <w:rPr>
          <w:sz w:val="24"/>
          <w:szCs w:val="24"/>
        </w:rPr>
        <w:t xml:space="preserve">address </w:t>
      </w:r>
      <w:r w:rsidRPr="00D15239">
        <w:rPr>
          <w:sz w:val="24"/>
          <w:szCs w:val="24"/>
        </w:rPr>
        <w:t xml:space="preserve">specific issues </w:t>
      </w:r>
      <w:r w:rsidR="007D1176" w:rsidRPr="00D15239">
        <w:rPr>
          <w:sz w:val="24"/>
          <w:szCs w:val="24"/>
        </w:rPr>
        <w:t xml:space="preserve">and communicated in </w:t>
      </w:r>
      <w:r w:rsidRPr="00D15239">
        <w:rPr>
          <w:sz w:val="24"/>
          <w:szCs w:val="24"/>
        </w:rPr>
        <w:t xml:space="preserve">the multi-party settlement </w:t>
      </w:r>
      <w:r w:rsidR="007D1176" w:rsidRPr="00D15239">
        <w:rPr>
          <w:sz w:val="24"/>
          <w:szCs w:val="24"/>
        </w:rPr>
        <w:t xml:space="preserve">contained </w:t>
      </w:r>
      <w:r w:rsidRPr="00D15239">
        <w:rPr>
          <w:sz w:val="24"/>
          <w:szCs w:val="24"/>
        </w:rPr>
        <w:t xml:space="preserve">within UE-151148, but there have been no revisions to the lack of a truly independent evaluation process that is the underlying source of the deficiencies.  Unfortunately the Avista </w:t>
      </w:r>
      <w:r w:rsidR="007D1176" w:rsidRPr="00D15239">
        <w:rPr>
          <w:sz w:val="24"/>
          <w:szCs w:val="24"/>
        </w:rPr>
        <w:t>DSM Advisory Group</w:t>
      </w:r>
      <w:r w:rsidRPr="00D15239">
        <w:rPr>
          <w:sz w:val="24"/>
          <w:szCs w:val="24"/>
        </w:rPr>
        <w:t xml:space="preserve"> lack the time and resources necessary develop </w:t>
      </w:r>
      <w:r w:rsidR="00F740B5" w:rsidRPr="00D15239">
        <w:rPr>
          <w:sz w:val="24"/>
          <w:szCs w:val="24"/>
        </w:rPr>
        <w:t>an</w:t>
      </w:r>
      <w:r w:rsidRPr="00D15239">
        <w:rPr>
          <w:sz w:val="24"/>
          <w:szCs w:val="24"/>
        </w:rPr>
        <w:t xml:space="preserve"> insight into the </w:t>
      </w:r>
      <w:r w:rsidR="00F740B5" w:rsidRPr="00D15239">
        <w:rPr>
          <w:sz w:val="24"/>
          <w:szCs w:val="24"/>
        </w:rPr>
        <w:t xml:space="preserve">fine </w:t>
      </w:r>
      <w:r w:rsidRPr="00D15239">
        <w:rPr>
          <w:sz w:val="24"/>
          <w:szCs w:val="24"/>
        </w:rPr>
        <w:t xml:space="preserve">details of the DSM portfolio that should be provided in a timely manner by a fully independent evaluation team.  </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Notably absent from Avista’s BCR filing was the process evaluation of Avista’s re-organization contained within the original evaluation work plan communicated to the DSM Advisory Group.  I was not able to find any disclosure within the filing or other public document that would indicate that the DSM Advisory Group was notified of the deletion of this portion of the original evaluation</w:t>
      </w:r>
      <w:r w:rsidR="00D74262" w:rsidRPr="00D15239">
        <w:rPr>
          <w:sz w:val="24"/>
          <w:szCs w:val="24"/>
        </w:rPr>
        <w:t xml:space="preserve"> work plan</w:t>
      </w:r>
      <w:r w:rsidRPr="00D15239">
        <w:rPr>
          <w:sz w:val="24"/>
          <w:szCs w:val="24"/>
        </w:rPr>
        <w:t>.  (Avista is required to inform the Advisory Group of such revisions to the evaluation</w:t>
      </w:r>
      <w:r w:rsidR="005A5CA2" w:rsidRPr="00D15239">
        <w:rPr>
          <w:sz w:val="24"/>
          <w:szCs w:val="24"/>
        </w:rPr>
        <w:t xml:space="preserve"> plan</w:t>
      </w:r>
      <w:r w:rsidRPr="00D15239">
        <w:rPr>
          <w:sz w:val="24"/>
          <w:szCs w:val="24"/>
        </w:rPr>
        <w:t xml:space="preserve"> per WAC 480-109-110 (1) (c)).  Avista has been unresponsive to my question as to whether this process evaluation was completed or not.</w:t>
      </w:r>
      <w:r w:rsidR="00F740B5" w:rsidRPr="00D15239">
        <w:rPr>
          <w:sz w:val="24"/>
          <w:szCs w:val="24"/>
        </w:rPr>
        <w:t xml:space="preserve">  The process evaluation, if it had been performed, should have included an assessment of the degree of independence of the evaluation process under the revised organizational structure.</w:t>
      </w:r>
    </w:p>
    <w:p w:rsidR="00373717" w:rsidRPr="00D15239" w:rsidRDefault="00373717" w:rsidP="00373717">
      <w:pPr>
        <w:spacing w:after="0" w:line="360" w:lineRule="auto"/>
        <w:rPr>
          <w:sz w:val="24"/>
          <w:szCs w:val="24"/>
        </w:rPr>
      </w:pPr>
    </w:p>
    <w:p w:rsidR="00373717" w:rsidRPr="00D15239" w:rsidRDefault="00373717" w:rsidP="00373717">
      <w:pPr>
        <w:spacing w:after="0" w:line="360" w:lineRule="auto"/>
        <w:rPr>
          <w:sz w:val="24"/>
          <w:szCs w:val="24"/>
        </w:rPr>
      </w:pPr>
      <w:r w:rsidRPr="00D15239">
        <w:rPr>
          <w:sz w:val="24"/>
          <w:szCs w:val="24"/>
        </w:rPr>
        <w:t>The evaluation that Avista has submitted in support of this BCR filing should be viewed within the context of the</w:t>
      </w:r>
      <w:r w:rsidR="007D1176" w:rsidRPr="00D15239">
        <w:rPr>
          <w:sz w:val="24"/>
          <w:szCs w:val="24"/>
        </w:rPr>
        <w:t xml:space="preserve"> evaluation process leading to the reports that Avista has submitted.</w:t>
      </w:r>
      <w:r w:rsidRPr="00D15239">
        <w:rPr>
          <w:sz w:val="24"/>
          <w:szCs w:val="24"/>
        </w:rPr>
        <w:t xml:space="preserve">  This docket provides the opportunity </w:t>
      </w:r>
      <w:r w:rsidR="007E0170" w:rsidRPr="00D15239">
        <w:rPr>
          <w:sz w:val="24"/>
          <w:szCs w:val="24"/>
        </w:rPr>
        <w:t>for</w:t>
      </w:r>
      <w:r w:rsidRPr="00D15239">
        <w:rPr>
          <w:sz w:val="24"/>
          <w:szCs w:val="24"/>
        </w:rPr>
        <w:t xml:space="preserve"> constructive guidance regarding Avista’s deviance from commitments to independent evaluation made within their EM&amp;V Framework document and the Company’s compliance with the letter and spirit of the requirements of WAC 480-109-120 (4).</w:t>
      </w:r>
    </w:p>
    <w:p w:rsidR="00373717" w:rsidRPr="00D15239" w:rsidRDefault="00373717">
      <w:pPr>
        <w:rPr>
          <w:sz w:val="24"/>
          <w:szCs w:val="24"/>
          <w:u w:val="single"/>
        </w:rPr>
      </w:pPr>
    </w:p>
    <w:p w:rsidR="00EE0EB2" w:rsidRPr="00D15239" w:rsidRDefault="00FC5BD6" w:rsidP="003467F6">
      <w:pPr>
        <w:spacing w:after="0" w:line="360" w:lineRule="auto"/>
        <w:rPr>
          <w:sz w:val="24"/>
          <w:szCs w:val="24"/>
          <w:u w:val="single"/>
        </w:rPr>
      </w:pPr>
      <w:r w:rsidRPr="00D15239">
        <w:rPr>
          <w:sz w:val="24"/>
          <w:szCs w:val="24"/>
          <w:u w:val="single"/>
        </w:rPr>
        <w:t>Summary</w:t>
      </w:r>
    </w:p>
    <w:p w:rsidR="00D83EC5" w:rsidRPr="00D15239" w:rsidRDefault="00D83EC5" w:rsidP="003467F6">
      <w:pPr>
        <w:spacing w:after="0" w:line="360" w:lineRule="auto"/>
        <w:rPr>
          <w:sz w:val="24"/>
          <w:szCs w:val="24"/>
          <w:u w:val="single"/>
        </w:rPr>
      </w:pPr>
    </w:p>
    <w:p w:rsidR="00FC5BD6" w:rsidRPr="00D15239" w:rsidRDefault="007B3875" w:rsidP="003467F6">
      <w:pPr>
        <w:spacing w:after="0" w:line="360" w:lineRule="auto"/>
        <w:rPr>
          <w:sz w:val="24"/>
          <w:szCs w:val="24"/>
        </w:rPr>
      </w:pPr>
      <w:r w:rsidRPr="00D15239">
        <w:rPr>
          <w:sz w:val="24"/>
          <w:szCs w:val="24"/>
        </w:rPr>
        <w:t>These</w:t>
      </w:r>
      <w:r w:rsidR="00FC5BD6" w:rsidRPr="00D15239">
        <w:rPr>
          <w:sz w:val="24"/>
          <w:szCs w:val="24"/>
        </w:rPr>
        <w:t xml:space="preserve"> comments have outlined my concern for the distressing lack of independence within Avista’s evaluation process, to include </w:t>
      </w:r>
      <w:r w:rsidR="005271E1" w:rsidRPr="00D15239">
        <w:rPr>
          <w:sz w:val="24"/>
          <w:szCs w:val="24"/>
        </w:rPr>
        <w:t xml:space="preserve">failing to </w:t>
      </w:r>
      <w:r w:rsidR="00CA156F" w:rsidRPr="00D15239">
        <w:rPr>
          <w:sz w:val="24"/>
          <w:szCs w:val="24"/>
        </w:rPr>
        <w:t>fulfill</w:t>
      </w:r>
      <w:r w:rsidR="005271E1" w:rsidRPr="00D15239">
        <w:rPr>
          <w:sz w:val="24"/>
          <w:szCs w:val="24"/>
        </w:rPr>
        <w:t xml:space="preserve"> the </w:t>
      </w:r>
      <w:r w:rsidR="00FC5BD6" w:rsidRPr="00D15239">
        <w:rPr>
          <w:sz w:val="24"/>
          <w:szCs w:val="24"/>
        </w:rPr>
        <w:t>commitments made within their EM&amp;V Framework document.  The EM&amp;V Framework document was created as Avista</w:t>
      </w:r>
      <w:r w:rsidR="005271E1" w:rsidRPr="00D15239">
        <w:rPr>
          <w:sz w:val="24"/>
          <w:szCs w:val="24"/>
        </w:rPr>
        <w:t xml:space="preserve">’s response to </w:t>
      </w:r>
      <w:r w:rsidR="00FC5BD6" w:rsidRPr="00D15239">
        <w:rPr>
          <w:sz w:val="24"/>
          <w:szCs w:val="24"/>
        </w:rPr>
        <w:t xml:space="preserve">similar </w:t>
      </w:r>
      <w:r w:rsidR="00332DD6" w:rsidRPr="00D15239">
        <w:rPr>
          <w:sz w:val="24"/>
          <w:szCs w:val="24"/>
        </w:rPr>
        <w:t xml:space="preserve">past </w:t>
      </w:r>
      <w:r w:rsidR="00FC5BD6" w:rsidRPr="00D15239">
        <w:rPr>
          <w:sz w:val="24"/>
          <w:szCs w:val="24"/>
        </w:rPr>
        <w:t xml:space="preserve">concerns regarding the legitimacy of their evaluation work product when evaluations were managed </w:t>
      </w:r>
      <w:r w:rsidR="00332DD6" w:rsidRPr="00D15239">
        <w:rPr>
          <w:sz w:val="24"/>
          <w:szCs w:val="24"/>
        </w:rPr>
        <w:t xml:space="preserve">by those who were also </w:t>
      </w:r>
      <w:r w:rsidR="00CA156F" w:rsidRPr="00D15239">
        <w:rPr>
          <w:sz w:val="24"/>
          <w:szCs w:val="24"/>
        </w:rPr>
        <w:t xml:space="preserve">responsible for </w:t>
      </w:r>
      <w:r w:rsidR="00332DD6" w:rsidRPr="00D15239">
        <w:rPr>
          <w:sz w:val="24"/>
          <w:szCs w:val="24"/>
        </w:rPr>
        <w:t xml:space="preserve">the successful </w:t>
      </w:r>
      <w:r w:rsidR="00CA156F" w:rsidRPr="00D15239">
        <w:rPr>
          <w:sz w:val="24"/>
          <w:szCs w:val="24"/>
        </w:rPr>
        <w:t>delivery of the programs under evaluation</w:t>
      </w:r>
      <w:r w:rsidR="00FC5BD6" w:rsidRPr="00D15239">
        <w:rPr>
          <w:sz w:val="24"/>
          <w:szCs w:val="24"/>
        </w:rPr>
        <w:t>.  The Company has returned to th</w:t>
      </w:r>
      <w:r w:rsidR="00332DD6" w:rsidRPr="00D15239">
        <w:rPr>
          <w:sz w:val="24"/>
          <w:szCs w:val="24"/>
        </w:rPr>
        <w:t xml:space="preserve">e same </w:t>
      </w:r>
      <w:r w:rsidR="00FC5BD6" w:rsidRPr="00D15239">
        <w:rPr>
          <w:sz w:val="24"/>
          <w:szCs w:val="24"/>
        </w:rPr>
        <w:t xml:space="preserve">flawed organizational approach </w:t>
      </w:r>
      <w:r w:rsidR="001F7B00" w:rsidRPr="00D15239">
        <w:rPr>
          <w:sz w:val="24"/>
          <w:szCs w:val="24"/>
        </w:rPr>
        <w:t>that failed</w:t>
      </w:r>
      <w:r w:rsidR="00332DD6" w:rsidRPr="00D15239">
        <w:rPr>
          <w:sz w:val="24"/>
          <w:szCs w:val="24"/>
        </w:rPr>
        <w:t xml:space="preserve"> in the past</w:t>
      </w:r>
      <w:r w:rsidR="00FC5BD6" w:rsidRPr="00D15239">
        <w:rPr>
          <w:sz w:val="24"/>
          <w:szCs w:val="24"/>
        </w:rPr>
        <w:t xml:space="preserve">.  The </w:t>
      </w:r>
      <w:r w:rsidR="007E0170" w:rsidRPr="00D15239">
        <w:rPr>
          <w:sz w:val="24"/>
          <w:szCs w:val="24"/>
        </w:rPr>
        <w:t xml:space="preserve">lack of transparency noted within UE-151148 is </w:t>
      </w:r>
      <w:r w:rsidR="002F355F" w:rsidRPr="00D15239">
        <w:rPr>
          <w:sz w:val="24"/>
          <w:szCs w:val="24"/>
        </w:rPr>
        <w:t xml:space="preserve">an early indication that this process is insufficient to </w:t>
      </w:r>
      <w:r w:rsidR="00332DD6" w:rsidRPr="00D15239">
        <w:rPr>
          <w:sz w:val="24"/>
          <w:szCs w:val="24"/>
        </w:rPr>
        <w:t>meet regulatory needs.  The r</w:t>
      </w:r>
      <w:r w:rsidR="002F355F" w:rsidRPr="00D15239">
        <w:rPr>
          <w:sz w:val="24"/>
          <w:szCs w:val="24"/>
        </w:rPr>
        <w:t xml:space="preserve">eluctance to provide supporting work papers for this BCR filing </w:t>
      </w:r>
      <w:r w:rsidR="00CA156F" w:rsidRPr="00D15239">
        <w:rPr>
          <w:sz w:val="24"/>
          <w:szCs w:val="24"/>
        </w:rPr>
        <w:t>tends to</w:t>
      </w:r>
      <w:r w:rsidR="002F355F" w:rsidRPr="00D15239">
        <w:rPr>
          <w:sz w:val="24"/>
          <w:szCs w:val="24"/>
        </w:rPr>
        <w:t xml:space="preserve"> indicate that there has </w:t>
      </w:r>
      <w:r w:rsidR="00A87275" w:rsidRPr="00D15239">
        <w:rPr>
          <w:sz w:val="24"/>
          <w:szCs w:val="24"/>
        </w:rPr>
        <w:t>been no</w:t>
      </w:r>
      <w:r w:rsidR="002F355F" w:rsidRPr="00D15239">
        <w:rPr>
          <w:sz w:val="24"/>
          <w:szCs w:val="24"/>
        </w:rPr>
        <w:t xml:space="preserve"> change </w:t>
      </w:r>
      <w:r w:rsidR="00A87275" w:rsidRPr="00D15239">
        <w:rPr>
          <w:sz w:val="24"/>
          <w:szCs w:val="24"/>
        </w:rPr>
        <w:t xml:space="preserve">in Avista’s level of transparency </w:t>
      </w:r>
      <w:r w:rsidR="002F355F" w:rsidRPr="00D15239">
        <w:rPr>
          <w:sz w:val="24"/>
          <w:szCs w:val="24"/>
        </w:rPr>
        <w:t xml:space="preserve">since the Commission Order in </w:t>
      </w:r>
      <w:r w:rsidR="00332DD6" w:rsidRPr="00D15239">
        <w:rPr>
          <w:sz w:val="24"/>
          <w:szCs w:val="24"/>
        </w:rPr>
        <w:t>UE-151148</w:t>
      </w:r>
      <w:r w:rsidR="002F355F" w:rsidRPr="00D15239">
        <w:rPr>
          <w:sz w:val="24"/>
          <w:szCs w:val="24"/>
        </w:rPr>
        <w:t>.</w:t>
      </w:r>
    </w:p>
    <w:p w:rsidR="00567BE8" w:rsidRPr="00D15239" w:rsidRDefault="00567BE8" w:rsidP="003467F6">
      <w:pPr>
        <w:spacing w:after="0" w:line="360" w:lineRule="auto"/>
        <w:rPr>
          <w:sz w:val="24"/>
          <w:szCs w:val="24"/>
        </w:rPr>
      </w:pPr>
    </w:p>
    <w:p w:rsidR="00567BE8" w:rsidRPr="00D15239" w:rsidRDefault="00567BE8" w:rsidP="003467F6">
      <w:pPr>
        <w:spacing w:after="0" w:line="360" w:lineRule="auto"/>
        <w:rPr>
          <w:sz w:val="24"/>
          <w:szCs w:val="24"/>
        </w:rPr>
      </w:pPr>
      <w:r w:rsidRPr="00D15239">
        <w:rPr>
          <w:sz w:val="24"/>
          <w:szCs w:val="24"/>
        </w:rPr>
        <w:t xml:space="preserve">An open dialogue with the DSM Advisory Group and interested stakeholders may lead to the ability to craft a resolution for these issues prior to </w:t>
      </w:r>
      <w:r w:rsidR="007B3875" w:rsidRPr="00D15239">
        <w:rPr>
          <w:sz w:val="24"/>
          <w:szCs w:val="24"/>
        </w:rPr>
        <w:t>them</w:t>
      </w:r>
      <w:r w:rsidRPr="00D15239">
        <w:rPr>
          <w:sz w:val="24"/>
          <w:szCs w:val="24"/>
        </w:rPr>
        <w:t xml:space="preserve"> becoming </w:t>
      </w:r>
      <w:r w:rsidR="007B3875" w:rsidRPr="00D15239">
        <w:rPr>
          <w:sz w:val="24"/>
          <w:szCs w:val="24"/>
        </w:rPr>
        <w:t xml:space="preserve">so damaging as to require another </w:t>
      </w:r>
      <w:r w:rsidRPr="00D15239">
        <w:rPr>
          <w:sz w:val="24"/>
          <w:szCs w:val="24"/>
        </w:rPr>
        <w:t>lengthy and costly collaborative effort similar to the one that the Commission ordered in 2010.</w:t>
      </w:r>
    </w:p>
    <w:p w:rsidR="00A87275" w:rsidRPr="00D15239" w:rsidRDefault="00A87275" w:rsidP="003467F6">
      <w:pPr>
        <w:spacing w:after="0" w:line="360" w:lineRule="auto"/>
        <w:rPr>
          <w:sz w:val="24"/>
          <w:szCs w:val="24"/>
        </w:rPr>
      </w:pPr>
    </w:p>
    <w:p w:rsidR="007B3875" w:rsidRPr="00D15239" w:rsidRDefault="007E0170" w:rsidP="003467F6">
      <w:pPr>
        <w:spacing w:after="0" w:line="360" w:lineRule="auto"/>
        <w:rPr>
          <w:sz w:val="24"/>
          <w:szCs w:val="24"/>
        </w:rPr>
      </w:pPr>
      <w:r w:rsidRPr="00D15239">
        <w:rPr>
          <w:sz w:val="24"/>
          <w:szCs w:val="24"/>
        </w:rPr>
        <w:t xml:space="preserve">Avista’s limited </w:t>
      </w:r>
      <w:r w:rsidR="00CA156F" w:rsidRPr="00D15239">
        <w:rPr>
          <w:sz w:val="24"/>
          <w:szCs w:val="24"/>
        </w:rPr>
        <w:t xml:space="preserve">work papers </w:t>
      </w:r>
      <w:r w:rsidR="00332DD6" w:rsidRPr="00D15239">
        <w:rPr>
          <w:sz w:val="24"/>
          <w:szCs w:val="24"/>
        </w:rPr>
        <w:t xml:space="preserve">also </w:t>
      </w:r>
      <w:r w:rsidRPr="00D15239">
        <w:rPr>
          <w:sz w:val="24"/>
          <w:szCs w:val="24"/>
        </w:rPr>
        <w:t xml:space="preserve">contain indications of </w:t>
      </w:r>
      <w:r w:rsidR="0045460C" w:rsidRPr="00D15239">
        <w:rPr>
          <w:sz w:val="24"/>
          <w:szCs w:val="24"/>
        </w:rPr>
        <w:t>discrepancies</w:t>
      </w:r>
      <w:r w:rsidRPr="00D15239">
        <w:rPr>
          <w:sz w:val="24"/>
          <w:szCs w:val="24"/>
        </w:rPr>
        <w:t xml:space="preserve"> and methodological issues sufficiently large so as to </w:t>
      </w:r>
      <w:r w:rsidR="00CA156F" w:rsidRPr="00D15239">
        <w:rPr>
          <w:sz w:val="24"/>
          <w:szCs w:val="24"/>
        </w:rPr>
        <w:t xml:space="preserve">cast </w:t>
      </w:r>
      <w:r w:rsidRPr="00D15239">
        <w:rPr>
          <w:sz w:val="24"/>
          <w:szCs w:val="24"/>
        </w:rPr>
        <w:t xml:space="preserve">doubt upon whether the Company achieved their acquisition target.  </w:t>
      </w:r>
      <w:r w:rsidR="00567BE8" w:rsidRPr="00D15239">
        <w:rPr>
          <w:sz w:val="24"/>
          <w:szCs w:val="24"/>
        </w:rPr>
        <w:t xml:space="preserve">As a consequence of these </w:t>
      </w:r>
      <w:r w:rsidRPr="00D15239">
        <w:rPr>
          <w:sz w:val="24"/>
          <w:szCs w:val="24"/>
        </w:rPr>
        <w:t>issues</w:t>
      </w:r>
      <w:r w:rsidR="00332DD6" w:rsidRPr="00D15239">
        <w:rPr>
          <w:sz w:val="24"/>
          <w:szCs w:val="24"/>
        </w:rPr>
        <w:t>,</w:t>
      </w:r>
      <w:r w:rsidR="00702D4B" w:rsidRPr="00D15239">
        <w:rPr>
          <w:sz w:val="24"/>
          <w:szCs w:val="24"/>
        </w:rPr>
        <w:t xml:space="preserve"> and since the Company</w:t>
      </w:r>
      <w:r w:rsidR="00332DD6" w:rsidRPr="00D15239">
        <w:rPr>
          <w:sz w:val="24"/>
          <w:szCs w:val="24"/>
        </w:rPr>
        <w:t xml:space="preserve">’s acquisition claim exceeds the </w:t>
      </w:r>
      <w:r w:rsidR="00702D4B" w:rsidRPr="00D15239">
        <w:rPr>
          <w:sz w:val="24"/>
          <w:szCs w:val="24"/>
        </w:rPr>
        <w:t xml:space="preserve">BCP target by </w:t>
      </w:r>
      <w:r w:rsidR="00332DD6" w:rsidRPr="00D15239">
        <w:rPr>
          <w:sz w:val="24"/>
          <w:szCs w:val="24"/>
        </w:rPr>
        <w:t>a mere</w:t>
      </w:r>
      <w:r w:rsidR="00702D4B" w:rsidRPr="00D15239">
        <w:rPr>
          <w:sz w:val="24"/>
          <w:szCs w:val="24"/>
        </w:rPr>
        <w:t xml:space="preserve"> 4%</w:t>
      </w:r>
      <w:r w:rsidR="00F419A7" w:rsidRPr="00D15239">
        <w:rPr>
          <w:sz w:val="24"/>
          <w:szCs w:val="24"/>
          <w:vertAlign w:val="superscript"/>
        </w:rPr>
        <w:t>19</w:t>
      </w:r>
      <w:r w:rsidR="00702D4B" w:rsidRPr="00D15239">
        <w:rPr>
          <w:sz w:val="24"/>
          <w:szCs w:val="24"/>
        </w:rPr>
        <w:t xml:space="preserve">, </w:t>
      </w:r>
      <w:r w:rsidR="003F0EC3" w:rsidRPr="00D15239">
        <w:rPr>
          <w:sz w:val="24"/>
          <w:szCs w:val="24"/>
        </w:rPr>
        <w:t xml:space="preserve">it is not possible to </w:t>
      </w:r>
      <w:r w:rsidR="00332DD6" w:rsidRPr="00D15239">
        <w:rPr>
          <w:sz w:val="24"/>
          <w:szCs w:val="24"/>
        </w:rPr>
        <w:t xml:space="preserve">reasonably </w:t>
      </w:r>
      <w:r w:rsidR="003F0EC3" w:rsidRPr="00D15239">
        <w:rPr>
          <w:sz w:val="24"/>
          <w:szCs w:val="24"/>
        </w:rPr>
        <w:t xml:space="preserve">conclude if the Company has or has not met the </w:t>
      </w:r>
      <w:r w:rsidR="00F419A7" w:rsidRPr="00D15239">
        <w:rPr>
          <w:sz w:val="24"/>
          <w:szCs w:val="24"/>
        </w:rPr>
        <w:t>Biennial Conservation Plan</w:t>
      </w:r>
      <w:r w:rsidR="003F0EC3" w:rsidRPr="00D15239">
        <w:rPr>
          <w:sz w:val="24"/>
          <w:szCs w:val="24"/>
        </w:rPr>
        <w:t xml:space="preserve"> acquisition target.  It would be appropriate </w:t>
      </w:r>
      <w:r w:rsidR="0045460C" w:rsidRPr="00D15239">
        <w:rPr>
          <w:sz w:val="24"/>
          <w:szCs w:val="24"/>
        </w:rPr>
        <w:t xml:space="preserve">for the Company to </w:t>
      </w:r>
      <w:r w:rsidR="00567BE8" w:rsidRPr="00D15239">
        <w:rPr>
          <w:sz w:val="24"/>
          <w:szCs w:val="24"/>
        </w:rPr>
        <w:t xml:space="preserve">revisit the calculation of verified acquisition in a manner that eliminates the apparent database errors </w:t>
      </w:r>
      <w:r w:rsidRPr="00D15239">
        <w:rPr>
          <w:sz w:val="24"/>
          <w:szCs w:val="24"/>
        </w:rPr>
        <w:t>and adjusts the realization rate as necessary for these revisions</w:t>
      </w:r>
      <w:r w:rsidR="00567BE8" w:rsidRPr="00D15239">
        <w:rPr>
          <w:sz w:val="24"/>
          <w:szCs w:val="24"/>
        </w:rPr>
        <w:t>.</w:t>
      </w:r>
      <w:r w:rsidR="007B3875" w:rsidRPr="00D15239">
        <w:rPr>
          <w:sz w:val="24"/>
          <w:szCs w:val="24"/>
        </w:rPr>
        <w:t xml:space="preserve">  </w:t>
      </w:r>
    </w:p>
    <w:p w:rsidR="007B3875" w:rsidRPr="00D15239" w:rsidRDefault="007B3875" w:rsidP="003467F6">
      <w:pPr>
        <w:spacing w:after="0" w:line="360" w:lineRule="auto"/>
        <w:rPr>
          <w:sz w:val="24"/>
          <w:szCs w:val="24"/>
        </w:rPr>
      </w:pPr>
    </w:p>
    <w:p w:rsidR="002F355F" w:rsidRPr="00D15239" w:rsidRDefault="007B3875" w:rsidP="003467F6">
      <w:pPr>
        <w:spacing w:after="0" w:line="360" w:lineRule="auto"/>
        <w:rPr>
          <w:sz w:val="24"/>
          <w:szCs w:val="24"/>
        </w:rPr>
      </w:pPr>
      <w:r w:rsidRPr="00D15239">
        <w:rPr>
          <w:sz w:val="24"/>
          <w:szCs w:val="24"/>
        </w:rPr>
        <w:t xml:space="preserve">At the same time, the Company should make available sufficient work papers to determine if they correctly calculated the TRC </w:t>
      </w:r>
      <w:r w:rsidR="00332DD6" w:rsidRPr="00D15239">
        <w:rPr>
          <w:sz w:val="24"/>
          <w:szCs w:val="24"/>
        </w:rPr>
        <w:t xml:space="preserve">and Program Administrator Cost test </w:t>
      </w:r>
      <w:r w:rsidRPr="00D15239">
        <w:rPr>
          <w:sz w:val="24"/>
          <w:szCs w:val="24"/>
        </w:rPr>
        <w:t>metric</w:t>
      </w:r>
      <w:r w:rsidR="00332DD6" w:rsidRPr="00D15239">
        <w:rPr>
          <w:sz w:val="24"/>
          <w:szCs w:val="24"/>
        </w:rPr>
        <w:t>s</w:t>
      </w:r>
      <w:r w:rsidRPr="00D15239">
        <w:rPr>
          <w:sz w:val="24"/>
          <w:szCs w:val="24"/>
        </w:rPr>
        <w:t>.</w:t>
      </w:r>
      <w:r w:rsidR="00567BE8" w:rsidRPr="00D15239">
        <w:rPr>
          <w:sz w:val="24"/>
          <w:szCs w:val="24"/>
        </w:rPr>
        <w:t xml:space="preserve"> </w:t>
      </w:r>
      <w:r w:rsidRPr="00D15239">
        <w:rPr>
          <w:sz w:val="24"/>
          <w:szCs w:val="24"/>
        </w:rPr>
        <w:t xml:space="preserve"> </w:t>
      </w:r>
      <w:r w:rsidR="00567BE8" w:rsidRPr="00D15239">
        <w:rPr>
          <w:sz w:val="24"/>
          <w:szCs w:val="24"/>
        </w:rPr>
        <w:t>Th</w:t>
      </w:r>
      <w:r w:rsidR="00332DD6" w:rsidRPr="00D15239">
        <w:rPr>
          <w:sz w:val="24"/>
          <w:szCs w:val="24"/>
        </w:rPr>
        <w:t xml:space="preserve">ese are two of the most </w:t>
      </w:r>
      <w:r w:rsidR="00567BE8" w:rsidRPr="00D15239">
        <w:rPr>
          <w:sz w:val="24"/>
          <w:szCs w:val="24"/>
        </w:rPr>
        <w:t xml:space="preserve">important metrics necessary for </w:t>
      </w:r>
      <w:r w:rsidR="00332DD6" w:rsidRPr="00D15239">
        <w:rPr>
          <w:sz w:val="24"/>
          <w:szCs w:val="24"/>
        </w:rPr>
        <w:t xml:space="preserve">reaching </w:t>
      </w:r>
      <w:r w:rsidR="00567BE8" w:rsidRPr="00D15239">
        <w:rPr>
          <w:sz w:val="24"/>
          <w:szCs w:val="24"/>
        </w:rPr>
        <w:t xml:space="preserve">a finding of regulatory prudence.  </w:t>
      </w:r>
    </w:p>
    <w:p w:rsidR="007B3875" w:rsidRPr="00D15239" w:rsidRDefault="007B3875" w:rsidP="003467F6">
      <w:pPr>
        <w:spacing w:after="0" w:line="360" w:lineRule="auto"/>
        <w:rPr>
          <w:sz w:val="24"/>
          <w:szCs w:val="24"/>
        </w:rPr>
      </w:pPr>
    </w:p>
    <w:p w:rsidR="007E0170" w:rsidRPr="00D15239" w:rsidRDefault="007E0170" w:rsidP="003467F6">
      <w:pPr>
        <w:spacing w:after="0" w:line="360" w:lineRule="auto"/>
        <w:rPr>
          <w:sz w:val="24"/>
          <w:szCs w:val="24"/>
        </w:rPr>
      </w:pPr>
    </w:p>
    <w:p w:rsidR="00C423FD" w:rsidRPr="00D15239" w:rsidRDefault="00C376B6" w:rsidP="00ED7575">
      <w:pPr>
        <w:spacing w:after="0" w:line="240" w:lineRule="auto"/>
        <w:rPr>
          <w:sz w:val="24"/>
          <w:szCs w:val="24"/>
        </w:rPr>
      </w:pPr>
      <w:r w:rsidRPr="00D15239">
        <w:rPr>
          <w:sz w:val="24"/>
          <w:szCs w:val="24"/>
        </w:rPr>
        <w:t>These c</w:t>
      </w:r>
      <w:r w:rsidR="00C423FD" w:rsidRPr="00D15239">
        <w:rPr>
          <w:sz w:val="24"/>
          <w:szCs w:val="24"/>
        </w:rPr>
        <w:t>omments respectfully submitted by</w:t>
      </w:r>
      <w:r w:rsidR="00B71E74" w:rsidRPr="00D15239">
        <w:rPr>
          <w:sz w:val="24"/>
          <w:szCs w:val="24"/>
        </w:rPr>
        <w:t>:</w:t>
      </w:r>
    </w:p>
    <w:p w:rsidR="00C423FD" w:rsidRPr="00D15239" w:rsidRDefault="00C423FD" w:rsidP="00ED7575">
      <w:pPr>
        <w:spacing w:after="0" w:line="240" w:lineRule="auto"/>
        <w:rPr>
          <w:sz w:val="24"/>
          <w:szCs w:val="24"/>
        </w:rPr>
      </w:pPr>
    </w:p>
    <w:p w:rsidR="00C423FD" w:rsidRPr="00D15239" w:rsidRDefault="00B71E74" w:rsidP="00B71E74">
      <w:pPr>
        <w:tabs>
          <w:tab w:val="left" w:pos="5040"/>
        </w:tabs>
        <w:spacing w:after="0" w:line="240" w:lineRule="auto"/>
        <w:rPr>
          <w:sz w:val="24"/>
          <w:szCs w:val="24"/>
        </w:rPr>
      </w:pPr>
      <w:r w:rsidRPr="00D15239">
        <w:rPr>
          <w:sz w:val="24"/>
          <w:szCs w:val="24"/>
        </w:rPr>
        <w:t>Lynn Anderson</w:t>
      </w:r>
      <w:r w:rsidRPr="00D15239">
        <w:rPr>
          <w:sz w:val="24"/>
          <w:szCs w:val="24"/>
        </w:rPr>
        <w:tab/>
      </w:r>
      <w:r w:rsidR="00C423FD" w:rsidRPr="00D15239">
        <w:rPr>
          <w:sz w:val="24"/>
          <w:szCs w:val="24"/>
        </w:rPr>
        <w:t>Jonathan Powell</w:t>
      </w:r>
    </w:p>
    <w:p w:rsidR="00EF58F4" w:rsidRPr="00D15239" w:rsidRDefault="00B71E74" w:rsidP="00B71E74">
      <w:pPr>
        <w:tabs>
          <w:tab w:val="left" w:pos="5040"/>
        </w:tabs>
        <w:spacing w:after="0" w:line="240" w:lineRule="auto"/>
        <w:rPr>
          <w:sz w:val="24"/>
          <w:szCs w:val="24"/>
        </w:rPr>
      </w:pPr>
      <w:r w:rsidRPr="00D15239">
        <w:rPr>
          <w:sz w:val="24"/>
          <w:szCs w:val="24"/>
        </w:rPr>
        <w:t>720 Bacon Drive</w:t>
      </w:r>
      <w:r w:rsidRPr="00D15239">
        <w:rPr>
          <w:sz w:val="24"/>
          <w:szCs w:val="24"/>
        </w:rPr>
        <w:tab/>
      </w:r>
      <w:r w:rsidR="00EF58F4" w:rsidRPr="00D15239">
        <w:rPr>
          <w:sz w:val="24"/>
          <w:szCs w:val="24"/>
        </w:rPr>
        <w:t>PMB #288</w:t>
      </w:r>
    </w:p>
    <w:p w:rsidR="00EF58F4" w:rsidRPr="00D15239" w:rsidRDefault="00B71E74" w:rsidP="00B71E74">
      <w:pPr>
        <w:tabs>
          <w:tab w:val="left" w:pos="5040"/>
        </w:tabs>
        <w:spacing w:after="0" w:line="240" w:lineRule="auto"/>
        <w:rPr>
          <w:sz w:val="24"/>
          <w:szCs w:val="24"/>
        </w:rPr>
      </w:pPr>
      <w:r w:rsidRPr="00D15239">
        <w:rPr>
          <w:sz w:val="24"/>
          <w:szCs w:val="24"/>
        </w:rPr>
        <w:t>Boise, Idaho  83712</w:t>
      </w:r>
      <w:r w:rsidRPr="00D15239">
        <w:rPr>
          <w:sz w:val="24"/>
          <w:szCs w:val="24"/>
        </w:rPr>
        <w:tab/>
      </w:r>
      <w:r w:rsidR="00EF58F4" w:rsidRPr="00D15239">
        <w:rPr>
          <w:sz w:val="24"/>
          <w:szCs w:val="24"/>
        </w:rPr>
        <w:t>12402 N. Division</w:t>
      </w:r>
    </w:p>
    <w:p w:rsidR="00EF58F4" w:rsidRPr="00D15239" w:rsidRDefault="00B71E74" w:rsidP="00B71E74">
      <w:pPr>
        <w:tabs>
          <w:tab w:val="left" w:pos="5040"/>
        </w:tabs>
        <w:spacing w:after="0" w:line="240" w:lineRule="auto"/>
        <w:rPr>
          <w:sz w:val="24"/>
          <w:szCs w:val="24"/>
        </w:rPr>
      </w:pPr>
      <w:r w:rsidRPr="00D15239">
        <w:rPr>
          <w:sz w:val="24"/>
          <w:szCs w:val="24"/>
        </w:rPr>
        <w:tab/>
      </w:r>
      <w:r w:rsidR="00EF58F4" w:rsidRPr="00D15239">
        <w:rPr>
          <w:sz w:val="24"/>
          <w:szCs w:val="24"/>
        </w:rPr>
        <w:t>Spokane, WA 99208</w:t>
      </w:r>
    </w:p>
    <w:p w:rsidR="00EF58F4" w:rsidRPr="00D15239" w:rsidRDefault="00EF58F4" w:rsidP="00B71E74">
      <w:pPr>
        <w:tabs>
          <w:tab w:val="left" w:pos="5040"/>
        </w:tabs>
        <w:spacing w:after="0" w:line="240" w:lineRule="auto"/>
        <w:rPr>
          <w:sz w:val="24"/>
          <w:szCs w:val="24"/>
        </w:rPr>
      </w:pPr>
    </w:p>
    <w:p w:rsidR="00C423FD" w:rsidRPr="00D15239" w:rsidRDefault="00B71E74" w:rsidP="00B71E74">
      <w:pPr>
        <w:tabs>
          <w:tab w:val="left" w:pos="5040"/>
        </w:tabs>
        <w:spacing w:after="0" w:line="240" w:lineRule="auto"/>
        <w:rPr>
          <w:sz w:val="24"/>
          <w:szCs w:val="24"/>
        </w:rPr>
      </w:pPr>
      <w:r w:rsidRPr="00D15239">
        <w:rPr>
          <w:sz w:val="24"/>
          <w:szCs w:val="24"/>
        </w:rPr>
        <w:t>Telephone: 208-342-6317</w:t>
      </w:r>
      <w:r w:rsidRPr="00D15239">
        <w:rPr>
          <w:sz w:val="24"/>
          <w:szCs w:val="24"/>
        </w:rPr>
        <w:tab/>
      </w:r>
      <w:r w:rsidR="00EF58F4" w:rsidRPr="00D15239">
        <w:rPr>
          <w:sz w:val="24"/>
          <w:szCs w:val="24"/>
        </w:rPr>
        <w:t xml:space="preserve">Telephone: </w:t>
      </w:r>
      <w:r w:rsidR="00C423FD" w:rsidRPr="00D15239">
        <w:rPr>
          <w:sz w:val="24"/>
          <w:szCs w:val="24"/>
        </w:rPr>
        <w:t>509-466-6117</w:t>
      </w:r>
    </w:p>
    <w:p w:rsidR="00C423FD" w:rsidRPr="00D15239" w:rsidRDefault="00B71E74" w:rsidP="00B71E74">
      <w:pPr>
        <w:tabs>
          <w:tab w:val="left" w:pos="5040"/>
        </w:tabs>
        <w:spacing w:after="0" w:line="240" w:lineRule="auto"/>
        <w:rPr>
          <w:sz w:val="24"/>
          <w:szCs w:val="24"/>
        </w:rPr>
      </w:pPr>
      <w:r w:rsidRPr="00D15239">
        <w:rPr>
          <w:sz w:val="24"/>
          <w:szCs w:val="24"/>
        </w:rPr>
        <w:t>E-mail: dlaadvisor@yahoo.com</w:t>
      </w:r>
      <w:r w:rsidRPr="00D15239">
        <w:rPr>
          <w:sz w:val="24"/>
          <w:szCs w:val="24"/>
        </w:rPr>
        <w:tab/>
      </w:r>
      <w:r w:rsidR="00EF58F4" w:rsidRPr="00D15239">
        <w:rPr>
          <w:sz w:val="24"/>
          <w:szCs w:val="24"/>
        </w:rPr>
        <w:t xml:space="preserve">E-mail: </w:t>
      </w:r>
      <w:r w:rsidR="00C423FD" w:rsidRPr="00D15239">
        <w:rPr>
          <w:sz w:val="24"/>
          <w:szCs w:val="24"/>
        </w:rPr>
        <w:t>powellacres@aol.com</w:t>
      </w:r>
    </w:p>
    <w:p w:rsidR="006B3145" w:rsidRPr="00D15239" w:rsidRDefault="006B3145" w:rsidP="003467F6">
      <w:pPr>
        <w:spacing w:after="0" w:line="360" w:lineRule="auto"/>
        <w:rPr>
          <w:sz w:val="24"/>
          <w:szCs w:val="24"/>
        </w:rPr>
      </w:pPr>
    </w:p>
    <w:p w:rsidR="00B71E74" w:rsidRPr="00D15239" w:rsidRDefault="00B71E74" w:rsidP="003467F6">
      <w:pPr>
        <w:spacing w:after="0" w:line="360" w:lineRule="auto"/>
        <w:rPr>
          <w:sz w:val="24"/>
          <w:szCs w:val="24"/>
        </w:rPr>
      </w:pPr>
    </w:p>
    <w:p w:rsidR="005A7439" w:rsidRPr="00D15239" w:rsidRDefault="00ED7575" w:rsidP="00C92557">
      <w:pPr>
        <w:spacing w:after="0" w:line="360" w:lineRule="auto"/>
        <w:rPr>
          <w:sz w:val="24"/>
          <w:szCs w:val="24"/>
          <w:u w:val="single"/>
        </w:rPr>
      </w:pPr>
      <w:r w:rsidRPr="00D15239">
        <w:rPr>
          <w:sz w:val="24"/>
          <w:szCs w:val="24"/>
          <w:u w:val="single"/>
        </w:rPr>
        <w:t>End</w:t>
      </w:r>
      <w:r w:rsidR="00F11BC0" w:rsidRPr="00D15239">
        <w:rPr>
          <w:sz w:val="24"/>
          <w:szCs w:val="24"/>
          <w:u w:val="single"/>
        </w:rPr>
        <w:t>notes</w:t>
      </w:r>
    </w:p>
    <w:p w:rsidR="00DB3590" w:rsidRPr="00D15239" w:rsidRDefault="00DB3590" w:rsidP="00DB3590">
      <w:pPr>
        <w:tabs>
          <w:tab w:val="left" w:pos="540"/>
        </w:tabs>
        <w:spacing w:after="0" w:line="360" w:lineRule="auto"/>
        <w:ind w:left="540" w:hanging="540"/>
        <w:rPr>
          <w:sz w:val="24"/>
          <w:szCs w:val="24"/>
        </w:rPr>
      </w:pPr>
      <w:r w:rsidRPr="00D15239">
        <w:rPr>
          <w:sz w:val="24"/>
          <w:szCs w:val="24"/>
        </w:rPr>
        <w:t xml:space="preserve">1. </w:t>
      </w:r>
      <w:r w:rsidRPr="00D15239">
        <w:rPr>
          <w:sz w:val="24"/>
          <w:szCs w:val="24"/>
        </w:rPr>
        <w:tab/>
        <w:t xml:space="preserve">Calculated from </w:t>
      </w:r>
      <w:r w:rsidR="0004141A" w:rsidRPr="00D15239">
        <w:rPr>
          <w:sz w:val="24"/>
          <w:szCs w:val="24"/>
        </w:rPr>
        <w:t xml:space="preserve">Avista </w:t>
      </w:r>
      <w:r w:rsidRPr="00D15239">
        <w:rPr>
          <w:sz w:val="24"/>
          <w:szCs w:val="24"/>
        </w:rPr>
        <w:t xml:space="preserve">work papers.  </w:t>
      </w:r>
    </w:p>
    <w:p w:rsidR="00DB3590" w:rsidRPr="00D15239" w:rsidRDefault="00DB3590" w:rsidP="00DB3590">
      <w:pPr>
        <w:tabs>
          <w:tab w:val="left" w:pos="540"/>
        </w:tabs>
        <w:spacing w:after="0" w:line="360" w:lineRule="auto"/>
        <w:ind w:left="540" w:hanging="540"/>
        <w:rPr>
          <w:sz w:val="24"/>
          <w:szCs w:val="24"/>
        </w:rPr>
      </w:pPr>
      <w:r w:rsidRPr="00D15239">
        <w:rPr>
          <w:sz w:val="24"/>
          <w:szCs w:val="24"/>
        </w:rPr>
        <w:t xml:space="preserve">2.  </w:t>
      </w:r>
      <w:r w:rsidRPr="00D15239">
        <w:rPr>
          <w:sz w:val="24"/>
          <w:szCs w:val="24"/>
        </w:rPr>
        <w:tab/>
        <w:t>Section 4.1.3 of Avista’s Schedule 90 governing electric DSM operations.</w:t>
      </w:r>
    </w:p>
    <w:p w:rsidR="00DB3590" w:rsidRPr="00D15239" w:rsidRDefault="00F419A7" w:rsidP="00DB3590">
      <w:pPr>
        <w:tabs>
          <w:tab w:val="left" w:pos="540"/>
        </w:tabs>
        <w:spacing w:after="0" w:line="360" w:lineRule="auto"/>
        <w:ind w:left="540" w:hanging="540"/>
        <w:rPr>
          <w:sz w:val="24"/>
          <w:szCs w:val="24"/>
        </w:rPr>
      </w:pPr>
      <w:r w:rsidRPr="00D15239">
        <w:rPr>
          <w:sz w:val="24"/>
          <w:szCs w:val="24"/>
        </w:rPr>
        <w:t>3</w:t>
      </w:r>
      <w:r w:rsidR="00DB3590" w:rsidRPr="00D15239">
        <w:rPr>
          <w:sz w:val="24"/>
          <w:szCs w:val="24"/>
        </w:rPr>
        <w:t xml:space="preserve">.  </w:t>
      </w:r>
      <w:r w:rsidR="00DB3590" w:rsidRPr="00D15239">
        <w:rPr>
          <w:sz w:val="24"/>
          <w:szCs w:val="24"/>
        </w:rPr>
        <w:tab/>
      </w:r>
      <w:r w:rsidR="000036DA" w:rsidRPr="00D15239">
        <w:rPr>
          <w:sz w:val="24"/>
          <w:szCs w:val="24"/>
        </w:rPr>
        <w:t xml:space="preserve">Contained within the individual comments of </w:t>
      </w:r>
      <w:r w:rsidR="00DB3590" w:rsidRPr="00D15239">
        <w:rPr>
          <w:sz w:val="24"/>
          <w:szCs w:val="24"/>
        </w:rPr>
        <w:t>Lynn Anderson and Jonathan Powell, collectively referred to as the “technical commenters” by the Idaho Public Utilities Commission</w:t>
      </w:r>
      <w:r w:rsidR="000036DA" w:rsidRPr="00D15239">
        <w:rPr>
          <w:sz w:val="24"/>
          <w:szCs w:val="24"/>
        </w:rPr>
        <w:t>,</w:t>
      </w:r>
      <w:r w:rsidR="00DB3590" w:rsidRPr="00D15239">
        <w:rPr>
          <w:sz w:val="24"/>
          <w:szCs w:val="24"/>
        </w:rPr>
        <w:t xml:space="preserve"> </w:t>
      </w:r>
      <w:r w:rsidR="000036DA" w:rsidRPr="00D15239">
        <w:rPr>
          <w:sz w:val="24"/>
          <w:szCs w:val="24"/>
        </w:rPr>
        <w:t xml:space="preserve">and their joint Request for Reconsideration </w:t>
      </w:r>
      <w:r w:rsidR="00DB3590" w:rsidRPr="00D15239">
        <w:rPr>
          <w:sz w:val="24"/>
          <w:szCs w:val="24"/>
        </w:rPr>
        <w:t>in AVU-G-15-03.</w:t>
      </w:r>
      <w:r w:rsidR="00F740B5" w:rsidRPr="00D15239">
        <w:rPr>
          <w:sz w:val="24"/>
          <w:szCs w:val="24"/>
        </w:rPr>
        <w:t xml:space="preserve"> </w:t>
      </w:r>
    </w:p>
    <w:p w:rsidR="00DB3590" w:rsidRPr="00D15239" w:rsidRDefault="00F419A7" w:rsidP="00DB3590">
      <w:pPr>
        <w:tabs>
          <w:tab w:val="left" w:pos="540"/>
        </w:tabs>
        <w:spacing w:after="0" w:line="360" w:lineRule="auto"/>
        <w:ind w:left="540" w:hanging="540"/>
        <w:rPr>
          <w:sz w:val="24"/>
          <w:szCs w:val="24"/>
        </w:rPr>
      </w:pPr>
      <w:r w:rsidRPr="00D15239">
        <w:rPr>
          <w:sz w:val="24"/>
          <w:szCs w:val="24"/>
        </w:rPr>
        <w:t>4</w:t>
      </w:r>
      <w:r w:rsidR="00DB3590" w:rsidRPr="00D15239">
        <w:rPr>
          <w:sz w:val="24"/>
          <w:szCs w:val="24"/>
        </w:rPr>
        <w:t>.</w:t>
      </w:r>
      <w:r w:rsidR="00DB3590" w:rsidRPr="00D15239">
        <w:rPr>
          <w:sz w:val="24"/>
          <w:szCs w:val="24"/>
        </w:rPr>
        <w:tab/>
        <w:t>Avista’s 2014 Annual Conservation Report, table 2-1, page 3 and Avista’s 2015 Annual Conservation Report, table 2-1, page 6.</w:t>
      </w:r>
    </w:p>
    <w:p w:rsidR="008A42E3" w:rsidRPr="00D15239" w:rsidRDefault="00F419A7" w:rsidP="00DB3590">
      <w:pPr>
        <w:tabs>
          <w:tab w:val="left" w:pos="540"/>
        </w:tabs>
        <w:spacing w:after="0" w:line="360" w:lineRule="auto"/>
        <w:ind w:left="540" w:hanging="540"/>
        <w:rPr>
          <w:sz w:val="24"/>
          <w:szCs w:val="24"/>
        </w:rPr>
      </w:pPr>
      <w:r w:rsidRPr="00D15239">
        <w:rPr>
          <w:sz w:val="24"/>
          <w:szCs w:val="24"/>
        </w:rPr>
        <w:t>5</w:t>
      </w:r>
      <w:r w:rsidR="008A42E3" w:rsidRPr="00D15239">
        <w:rPr>
          <w:sz w:val="24"/>
          <w:szCs w:val="24"/>
        </w:rPr>
        <w:t>.</w:t>
      </w:r>
      <w:r w:rsidR="008A42E3" w:rsidRPr="00D15239">
        <w:rPr>
          <w:sz w:val="24"/>
          <w:szCs w:val="24"/>
        </w:rPr>
        <w:tab/>
        <w:t>The numerical detail of the Rate Impact Measure within both ACR’s does include the value despite the previous representations of the cost-effectiveness methodology.  Thus it seems likely that the Rate Impact Measure was correctly calculated, though this does not shed light upon the correct calculation of the TRC calculation.</w:t>
      </w:r>
    </w:p>
    <w:p w:rsidR="00DB3590" w:rsidRPr="00D15239" w:rsidRDefault="00F419A7" w:rsidP="00DB3590">
      <w:pPr>
        <w:tabs>
          <w:tab w:val="left" w:pos="540"/>
        </w:tabs>
        <w:spacing w:after="0" w:line="360" w:lineRule="auto"/>
        <w:ind w:left="540" w:hanging="540"/>
        <w:rPr>
          <w:sz w:val="24"/>
          <w:szCs w:val="24"/>
        </w:rPr>
      </w:pPr>
      <w:r w:rsidRPr="00D15239">
        <w:rPr>
          <w:sz w:val="24"/>
          <w:szCs w:val="24"/>
        </w:rPr>
        <w:t>6</w:t>
      </w:r>
      <w:r w:rsidR="00DB3590" w:rsidRPr="00D15239">
        <w:rPr>
          <w:sz w:val="24"/>
          <w:szCs w:val="24"/>
        </w:rPr>
        <w:t>.</w:t>
      </w:r>
      <w:r w:rsidR="00DB3590" w:rsidRPr="00D15239">
        <w:rPr>
          <w:sz w:val="24"/>
          <w:szCs w:val="24"/>
        </w:rPr>
        <w:tab/>
        <w:t>A summary of the appropriate benefits and costs for the calculation of the Total Resource Cost test is contained in the National Action Plan for Energy Efficiency document “Understanding Cost-Effectiveness of Energy Efficiency Programs”, Table 3-1 on page 3-2.  The same calculation is also explained in the California Energy Commissions “California Standard Practice Manual, Economic Analysis of Demand-Side Management Programs and Projects”, October 2001, page 18.</w:t>
      </w:r>
      <w:r w:rsidR="0004141A" w:rsidRPr="00D15239">
        <w:rPr>
          <w:sz w:val="24"/>
          <w:szCs w:val="24"/>
        </w:rPr>
        <w:t xml:space="preserve">  The TRC test is a very close companion to the cost-effectiveness metric used by the N</w:t>
      </w:r>
      <w:r w:rsidR="00C50F6D" w:rsidRPr="00D15239">
        <w:rPr>
          <w:sz w:val="24"/>
          <w:szCs w:val="24"/>
        </w:rPr>
        <w:t>W</w:t>
      </w:r>
      <w:r w:rsidR="0004141A" w:rsidRPr="00D15239">
        <w:rPr>
          <w:sz w:val="24"/>
          <w:szCs w:val="24"/>
        </w:rPr>
        <w:t>PCC.</w:t>
      </w:r>
    </w:p>
    <w:p w:rsidR="00DB3590" w:rsidRPr="00D15239" w:rsidRDefault="0045460C" w:rsidP="00DB3590">
      <w:pPr>
        <w:tabs>
          <w:tab w:val="left" w:pos="540"/>
        </w:tabs>
        <w:spacing w:after="0" w:line="360" w:lineRule="auto"/>
        <w:ind w:left="540" w:hanging="540"/>
        <w:rPr>
          <w:sz w:val="24"/>
          <w:szCs w:val="24"/>
        </w:rPr>
      </w:pPr>
      <w:r w:rsidRPr="00D15239">
        <w:rPr>
          <w:sz w:val="24"/>
          <w:szCs w:val="24"/>
        </w:rPr>
        <w:t>7</w:t>
      </w:r>
      <w:r w:rsidR="00DB3590" w:rsidRPr="00D15239">
        <w:rPr>
          <w:sz w:val="24"/>
          <w:szCs w:val="24"/>
        </w:rPr>
        <w:t xml:space="preserve">. </w:t>
      </w:r>
      <w:r w:rsidR="00DB3590" w:rsidRPr="00D15239">
        <w:rPr>
          <w:sz w:val="24"/>
          <w:szCs w:val="24"/>
        </w:rPr>
        <w:tab/>
        <w:t>The following table summarizes Avista’s 2014 and 2015 expenditures for electric and natural gas according to the Program Administrator Cost (PAC) tests contained within the Company’s 2014 and 2015 Annual Conservation Reports.</w:t>
      </w:r>
    </w:p>
    <w:tbl>
      <w:tblPr>
        <w:tblW w:w="6064" w:type="dxa"/>
        <w:tblInd w:w="855" w:type="dxa"/>
        <w:tblLook w:val="04A0" w:firstRow="1" w:lastRow="0" w:firstColumn="1" w:lastColumn="0" w:noHBand="0" w:noVBand="1"/>
      </w:tblPr>
      <w:tblGrid>
        <w:gridCol w:w="1000"/>
        <w:gridCol w:w="1878"/>
        <w:gridCol w:w="1766"/>
        <w:gridCol w:w="1420"/>
      </w:tblGrid>
      <w:tr w:rsidR="00DB3590" w:rsidRPr="00D15239" w:rsidTr="00232213">
        <w:trPr>
          <w:trHeight w:val="300"/>
        </w:trPr>
        <w:tc>
          <w:tcPr>
            <w:tcW w:w="100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p>
        </w:tc>
        <w:tc>
          <w:tcPr>
            <w:tcW w:w="1878"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Electric </w:t>
            </w:r>
          </w:p>
        </w:tc>
        <w:tc>
          <w:tcPr>
            <w:tcW w:w="1766"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Natural Gas </w:t>
            </w:r>
          </w:p>
        </w:tc>
        <w:tc>
          <w:tcPr>
            <w:tcW w:w="142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Elec/Gas </w:t>
            </w:r>
          </w:p>
        </w:tc>
      </w:tr>
      <w:tr w:rsidR="00DB3590" w:rsidRPr="00D15239" w:rsidTr="00232213">
        <w:trPr>
          <w:trHeight w:val="300"/>
        </w:trPr>
        <w:tc>
          <w:tcPr>
            <w:tcW w:w="100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2014</w:t>
            </w:r>
          </w:p>
        </w:tc>
        <w:tc>
          <w:tcPr>
            <w:tcW w:w="1878"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9,609,210 </w:t>
            </w:r>
          </w:p>
        </w:tc>
        <w:tc>
          <w:tcPr>
            <w:tcW w:w="1766"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3,775,011 </w:t>
            </w:r>
          </w:p>
        </w:tc>
        <w:tc>
          <w:tcPr>
            <w:tcW w:w="142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13,384,221 </w:t>
            </w:r>
          </w:p>
        </w:tc>
      </w:tr>
      <w:tr w:rsidR="00DB3590" w:rsidRPr="00D15239" w:rsidTr="00232213">
        <w:trPr>
          <w:trHeight w:val="300"/>
        </w:trPr>
        <w:tc>
          <w:tcPr>
            <w:tcW w:w="100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2015</w:t>
            </w:r>
          </w:p>
        </w:tc>
        <w:tc>
          <w:tcPr>
            <w:tcW w:w="1878"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9,949,160 </w:t>
            </w:r>
          </w:p>
        </w:tc>
        <w:tc>
          <w:tcPr>
            <w:tcW w:w="1766"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3,712,845 </w:t>
            </w:r>
          </w:p>
        </w:tc>
        <w:tc>
          <w:tcPr>
            <w:tcW w:w="142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13,662,005 </w:t>
            </w:r>
          </w:p>
        </w:tc>
      </w:tr>
      <w:tr w:rsidR="00DB3590" w:rsidRPr="00D15239" w:rsidTr="00232213">
        <w:trPr>
          <w:trHeight w:val="300"/>
        </w:trPr>
        <w:tc>
          <w:tcPr>
            <w:tcW w:w="100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'14/'15 </w:t>
            </w:r>
          </w:p>
        </w:tc>
        <w:tc>
          <w:tcPr>
            <w:tcW w:w="1878"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19,558,370 </w:t>
            </w:r>
          </w:p>
        </w:tc>
        <w:tc>
          <w:tcPr>
            <w:tcW w:w="1766"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7,487,856 </w:t>
            </w:r>
          </w:p>
        </w:tc>
        <w:tc>
          <w:tcPr>
            <w:tcW w:w="142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jc w:val="right"/>
              <w:rPr>
                <w:rFonts w:ascii="Calibri" w:eastAsia="Times New Roman" w:hAnsi="Calibri" w:cs="Times New Roman"/>
                <w:sz w:val="20"/>
                <w:szCs w:val="20"/>
              </w:rPr>
            </w:pPr>
            <w:r w:rsidRPr="00D15239">
              <w:rPr>
                <w:rFonts w:ascii="Calibri" w:eastAsia="Times New Roman" w:hAnsi="Calibri" w:cs="Times New Roman"/>
                <w:sz w:val="20"/>
                <w:szCs w:val="20"/>
              </w:rPr>
              <w:t xml:space="preserve">       27,046,226 </w:t>
            </w:r>
          </w:p>
        </w:tc>
      </w:tr>
      <w:tr w:rsidR="00DB3590" w:rsidRPr="00D15239" w:rsidTr="00232213">
        <w:trPr>
          <w:trHeight w:val="300"/>
        </w:trPr>
        <w:tc>
          <w:tcPr>
            <w:tcW w:w="1000" w:type="dxa"/>
            <w:tcBorders>
              <w:top w:val="nil"/>
              <w:left w:val="nil"/>
              <w:bottom w:val="nil"/>
              <w:right w:val="nil"/>
            </w:tcBorders>
            <w:shd w:val="clear" w:color="auto" w:fill="auto"/>
            <w:noWrap/>
            <w:vAlign w:val="bottom"/>
          </w:tcPr>
          <w:p w:rsidR="00DB3590" w:rsidRPr="00D15239" w:rsidRDefault="00DB3590" w:rsidP="00232213">
            <w:pPr>
              <w:spacing w:after="0" w:line="240" w:lineRule="auto"/>
              <w:rPr>
                <w:rFonts w:ascii="Calibri" w:eastAsia="Times New Roman" w:hAnsi="Calibri" w:cs="Times New Roman"/>
                <w:sz w:val="20"/>
                <w:szCs w:val="20"/>
              </w:rPr>
            </w:pPr>
          </w:p>
        </w:tc>
        <w:tc>
          <w:tcPr>
            <w:tcW w:w="1878" w:type="dxa"/>
            <w:tcBorders>
              <w:top w:val="nil"/>
              <w:left w:val="nil"/>
              <w:bottom w:val="nil"/>
              <w:right w:val="nil"/>
            </w:tcBorders>
            <w:shd w:val="clear" w:color="auto" w:fill="auto"/>
            <w:noWrap/>
            <w:vAlign w:val="bottom"/>
          </w:tcPr>
          <w:p w:rsidR="00DB3590" w:rsidRPr="00D15239" w:rsidRDefault="00DB3590" w:rsidP="00232213">
            <w:pPr>
              <w:spacing w:after="0" w:line="240" w:lineRule="auto"/>
              <w:rPr>
                <w:rFonts w:ascii="Calibri" w:eastAsia="Times New Roman" w:hAnsi="Calibri" w:cs="Times New Roman"/>
                <w:sz w:val="20"/>
                <w:szCs w:val="20"/>
              </w:rPr>
            </w:pPr>
          </w:p>
        </w:tc>
        <w:tc>
          <w:tcPr>
            <w:tcW w:w="1766" w:type="dxa"/>
            <w:tcBorders>
              <w:top w:val="nil"/>
              <w:left w:val="nil"/>
              <w:bottom w:val="nil"/>
              <w:right w:val="nil"/>
            </w:tcBorders>
            <w:shd w:val="clear" w:color="auto" w:fill="auto"/>
            <w:noWrap/>
            <w:vAlign w:val="bottom"/>
          </w:tcPr>
          <w:p w:rsidR="00DB3590" w:rsidRPr="00D15239" w:rsidRDefault="00DB3590" w:rsidP="00232213">
            <w:pPr>
              <w:spacing w:after="0" w:line="240" w:lineRule="auto"/>
              <w:rPr>
                <w:rFonts w:ascii="Calibri" w:eastAsia="Times New Roman" w:hAnsi="Calibri" w:cs="Times New Roman"/>
                <w:sz w:val="20"/>
                <w:szCs w:val="20"/>
              </w:rPr>
            </w:pPr>
          </w:p>
        </w:tc>
        <w:tc>
          <w:tcPr>
            <w:tcW w:w="1420" w:type="dxa"/>
            <w:tcBorders>
              <w:top w:val="nil"/>
              <w:left w:val="nil"/>
              <w:bottom w:val="nil"/>
              <w:right w:val="nil"/>
            </w:tcBorders>
            <w:shd w:val="clear" w:color="auto" w:fill="auto"/>
            <w:noWrap/>
            <w:vAlign w:val="bottom"/>
          </w:tcPr>
          <w:p w:rsidR="00DB3590" w:rsidRPr="00D15239" w:rsidRDefault="00DB3590" w:rsidP="00232213">
            <w:pPr>
              <w:spacing w:after="0" w:line="240" w:lineRule="auto"/>
              <w:rPr>
                <w:rFonts w:ascii="Calibri" w:eastAsia="Times New Roman" w:hAnsi="Calibri" w:cs="Times New Roman"/>
                <w:sz w:val="20"/>
                <w:szCs w:val="20"/>
              </w:rPr>
            </w:pPr>
          </w:p>
        </w:tc>
      </w:tr>
      <w:tr w:rsidR="00DB3590" w:rsidRPr="00D15239" w:rsidTr="00232213">
        <w:trPr>
          <w:trHeight w:val="300"/>
        </w:trPr>
        <w:tc>
          <w:tcPr>
            <w:tcW w:w="100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rPr>
                <w:rFonts w:ascii="Calibri" w:eastAsia="Times New Roman" w:hAnsi="Calibri" w:cs="Times New Roman"/>
                <w:sz w:val="20"/>
                <w:szCs w:val="20"/>
              </w:rPr>
            </w:pPr>
            <w:r w:rsidRPr="00D15239">
              <w:rPr>
                <w:rFonts w:ascii="Calibri" w:eastAsia="Times New Roman" w:hAnsi="Calibri" w:cs="Times New Roman"/>
                <w:sz w:val="20"/>
                <w:szCs w:val="20"/>
              </w:rPr>
              <w:t>Sources:</w:t>
            </w:r>
          </w:p>
        </w:tc>
        <w:tc>
          <w:tcPr>
            <w:tcW w:w="1878"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rPr>
                <w:rFonts w:ascii="Calibri" w:eastAsia="Times New Roman" w:hAnsi="Calibri" w:cs="Times New Roman"/>
                <w:sz w:val="20"/>
                <w:szCs w:val="20"/>
              </w:rPr>
            </w:pPr>
          </w:p>
        </w:tc>
        <w:tc>
          <w:tcPr>
            <w:tcW w:w="1766"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rPr>
                <w:rFonts w:ascii="Calibri" w:eastAsia="Times New Roman" w:hAnsi="Calibri" w:cs="Times New Roman"/>
                <w:sz w:val="20"/>
                <w:szCs w:val="20"/>
              </w:rPr>
            </w:pPr>
          </w:p>
        </w:tc>
        <w:tc>
          <w:tcPr>
            <w:tcW w:w="1420" w:type="dxa"/>
            <w:tcBorders>
              <w:top w:val="nil"/>
              <w:left w:val="nil"/>
              <w:bottom w:val="nil"/>
              <w:right w:val="nil"/>
            </w:tcBorders>
            <w:shd w:val="clear" w:color="auto" w:fill="auto"/>
            <w:noWrap/>
            <w:vAlign w:val="bottom"/>
            <w:hideMark/>
          </w:tcPr>
          <w:p w:rsidR="00DB3590" w:rsidRPr="00D15239" w:rsidRDefault="00DB3590" w:rsidP="00232213">
            <w:pPr>
              <w:spacing w:after="0" w:line="240" w:lineRule="auto"/>
              <w:rPr>
                <w:rFonts w:ascii="Calibri" w:eastAsia="Times New Roman" w:hAnsi="Calibri" w:cs="Times New Roman"/>
                <w:sz w:val="20"/>
                <w:szCs w:val="20"/>
              </w:rPr>
            </w:pPr>
          </w:p>
        </w:tc>
      </w:tr>
      <w:tr w:rsidR="00DB3590" w:rsidRPr="00D15239" w:rsidTr="00232213">
        <w:trPr>
          <w:trHeight w:val="300"/>
        </w:trPr>
        <w:tc>
          <w:tcPr>
            <w:tcW w:w="6064" w:type="dxa"/>
            <w:gridSpan w:val="4"/>
            <w:vMerge w:val="restart"/>
            <w:tcBorders>
              <w:top w:val="nil"/>
              <w:left w:val="nil"/>
              <w:bottom w:val="nil"/>
              <w:right w:val="nil"/>
            </w:tcBorders>
            <w:shd w:val="clear" w:color="auto" w:fill="auto"/>
            <w:vAlign w:val="bottom"/>
            <w:hideMark/>
          </w:tcPr>
          <w:p w:rsidR="00DB3590" w:rsidRPr="00D15239" w:rsidRDefault="00DB3590" w:rsidP="00232213">
            <w:pPr>
              <w:spacing w:after="0" w:line="240" w:lineRule="auto"/>
              <w:rPr>
                <w:rFonts w:ascii="Calibri" w:eastAsia="Times New Roman" w:hAnsi="Calibri" w:cs="Times New Roman"/>
                <w:sz w:val="20"/>
                <w:szCs w:val="20"/>
              </w:rPr>
            </w:pPr>
            <w:r w:rsidRPr="00D15239">
              <w:rPr>
                <w:rFonts w:ascii="Calibri" w:eastAsia="Times New Roman" w:hAnsi="Calibri" w:cs="Times New Roman"/>
                <w:sz w:val="20"/>
                <w:szCs w:val="20"/>
              </w:rPr>
              <w:t>2014 values from Avista 2014 ACR, electric PAC total cost (page 5, table 2-3) and gas PAC total costs (page 7, table 2-7).</w:t>
            </w:r>
          </w:p>
        </w:tc>
      </w:tr>
      <w:tr w:rsidR="00DB3590" w:rsidRPr="00D15239" w:rsidTr="00232213">
        <w:trPr>
          <w:trHeight w:val="300"/>
        </w:trPr>
        <w:tc>
          <w:tcPr>
            <w:tcW w:w="6064" w:type="dxa"/>
            <w:gridSpan w:val="4"/>
            <w:vMerge/>
            <w:tcBorders>
              <w:top w:val="nil"/>
              <w:left w:val="nil"/>
              <w:bottom w:val="nil"/>
              <w:right w:val="nil"/>
            </w:tcBorders>
            <w:vAlign w:val="center"/>
            <w:hideMark/>
          </w:tcPr>
          <w:p w:rsidR="00DB3590" w:rsidRPr="00D15239" w:rsidRDefault="00DB3590" w:rsidP="00232213">
            <w:pPr>
              <w:spacing w:after="0" w:line="240" w:lineRule="auto"/>
              <w:rPr>
                <w:rFonts w:ascii="Calibri" w:eastAsia="Times New Roman" w:hAnsi="Calibri" w:cs="Times New Roman"/>
              </w:rPr>
            </w:pPr>
          </w:p>
        </w:tc>
      </w:tr>
      <w:tr w:rsidR="00DB3590" w:rsidRPr="00D15239" w:rsidTr="00232213">
        <w:trPr>
          <w:trHeight w:val="300"/>
        </w:trPr>
        <w:tc>
          <w:tcPr>
            <w:tcW w:w="6064" w:type="dxa"/>
            <w:gridSpan w:val="4"/>
            <w:tcBorders>
              <w:top w:val="nil"/>
              <w:left w:val="nil"/>
              <w:bottom w:val="nil"/>
              <w:right w:val="nil"/>
            </w:tcBorders>
            <w:shd w:val="clear" w:color="auto" w:fill="auto"/>
            <w:vAlign w:val="bottom"/>
            <w:hideMark/>
          </w:tcPr>
          <w:p w:rsidR="00DB3590" w:rsidRPr="00D15239" w:rsidRDefault="00DB3590" w:rsidP="00232213">
            <w:pPr>
              <w:spacing w:after="0" w:line="240" w:lineRule="auto"/>
              <w:rPr>
                <w:rFonts w:ascii="Calibri" w:eastAsia="Times New Roman" w:hAnsi="Calibri" w:cs="Times New Roman"/>
                <w:sz w:val="20"/>
                <w:szCs w:val="20"/>
              </w:rPr>
            </w:pPr>
            <w:r w:rsidRPr="00D15239">
              <w:rPr>
                <w:rFonts w:ascii="Calibri" w:eastAsia="Times New Roman" w:hAnsi="Calibri" w:cs="Times New Roman"/>
                <w:sz w:val="20"/>
                <w:szCs w:val="20"/>
              </w:rPr>
              <w:t>2015 values from Avista 2015 ACR, electric PAC total cost (page 8, table 2-3) and gas PAC total costs (page 10, table 2-7).</w:t>
            </w:r>
          </w:p>
        </w:tc>
      </w:tr>
    </w:tbl>
    <w:p w:rsidR="00DB3590" w:rsidRPr="00D15239" w:rsidRDefault="00DB3590" w:rsidP="00801613">
      <w:pPr>
        <w:tabs>
          <w:tab w:val="left" w:pos="540"/>
        </w:tabs>
        <w:spacing w:after="0" w:line="360" w:lineRule="auto"/>
        <w:ind w:left="540" w:hanging="540"/>
        <w:rPr>
          <w:sz w:val="24"/>
          <w:szCs w:val="24"/>
        </w:rPr>
      </w:pPr>
    </w:p>
    <w:p w:rsidR="008A42E3" w:rsidRPr="00D15239" w:rsidRDefault="0045460C" w:rsidP="008A42E3">
      <w:pPr>
        <w:tabs>
          <w:tab w:val="left" w:pos="540"/>
        </w:tabs>
        <w:spacing w:after="0" w:line="360" w:lineRule="auto"/>
        <w:ind w:left="540" w:hanging="540"/>
        <w:rPr>
          <w:sz w:val="24"/>
          <w:szCs w:val="24"/>
        </w:rPr>
      </w:pPr>
      <w:r w:rsidRPr="00D15239">
        <w:rPr>
          <w:sz w:val="24"/>
          <w:szCs w:val="24"/>
        </w:rPr>
        <w:t>8</w:t>
      </w:r>
      <w:r w:rsidR="008A42E3" w:rsidRPr="00D15239">
        <w:rPr>
          <w:sz w:val="24"/>
          <w:szCs w:val="24"/>
        </w:rPr>
        <w:t>.</w:t>
      </w:r>
      <w:r w:rsidR="008A42E3" w:rsidRPr="00D15239">
        <w:rPr>
          <w:sz w:val="24"/>
          <w:szCs w:val="24"/>
        </w:rPr>
        <w:tab/>
        <w:t>Page 16 of Avista’s “Evaluation, Measurement and Verification Framework” document filed in response to UE-090134 / UG-090135 and UG-060518.</w:t>
      </w:r>
    </w:p>
    <w:p w:rsidR="008D4347" w:rsidRPr="00D15239" w:rsidRDefault="0045460C" w:rsidP="00801613">
      <w:pPr>
        <w:tabs>
          <w:tab w:val="left" w:pos="540"/>
        </w:tabs>
        <w:spacing w:after="0" w:line="360" w:lineRule="auto"/>
        <w:ind w:left="540" w:hanging="540"/>
        <w:rPr>
          <w:sz w:val="24"/>
          <w:szCs w:val="24"/>
        </w:rPr>
      </w:pPr>
      <w:r w:rsidRPr="00D15239">
        <w:rPr>
          <w:sz w:val="24"/>
          <w:szCs w:val="24"/>
        </w:rPr>
        <w:t>9</w:t>
      </w:r>
      <w:r w:rsidR="005A7439" w:rsidRPr="00D15239">
        <w:rPr>
          <w:sz w:val="24"/>
          <w:szCs w:val="24"/>
        </w:rPr>
        <w:t xml:space="preserve">. </w:t>
      </w:r>
      <w:r w:rsidR="00801613" w:rsidRPr="00D15239">
        <w:rPr>
          <w:sz w:val="24"/>
          <w:szCs w:val="24"/>
        </w:rPr>
        <w:tab/>
      </w:r>
      <w:r w:rsidR="008D4347" w:rsidRPr="00D15239">
        <w:rPr>
          <w:sz w:val="24"/>
          <w:szCs w:val="24"/>
        </w:rPr>
        <w:t>From Order 10 in Consolidated Dockets UE-090134, UG-090135 and UG-060518, section #304.</w:t>
      </w:r>
    </w:p>
    <w:p w:rsidR="005A7439" w:rsidRPr="00D15239" w:rsidRDefault="00DB3590" w:rsidP="00801613">
      <w:pPr>
        <w:tabs>
          <w:tab w:val="left" w:pos="540"/>
        </w:tabs>
        <w:spacing w:after="0" w:line="360" w:lineRule="auto"/>
        <w:ind w:left="540" w:hanging="540"/>
        <w:rPr>
          <w:sz w:val="24"/>
          <w:szCs w:val="24"/>
        </w:rPr>
      </w:pPr>
      <w:r w:rsidRPr="00D15239">
        <w:rPr>
          <w:sz w:val="24"/>
          <w:szCs w:val="24"/>
        </w:rPr>
        <w:t>1</w:t>
      </w:r>
      <w:r w:rsidR="0045460C" w:rsidRPr="00D15239">
        <w:rPr>
          <w:sz w:val="24"/>
          <w:szCs w:val="24"/>
        </w:rPr>
        <w:t>0</w:t>
      </w:r>
      <w:r w:rsidR="008D4347" w:rsidRPr="00D15239">
        <w:rPr>
          <w:sz w:val="24"/>
          <w:szCs w:val="24"/>
        </w:rPr>
        <w:t>.</w:t>
      </w:r>
      <w:r w:rsidR="008D4347" w:rsidRPr="00D15239">
        <w:rPr>
          <w:sz w:val="24"/>
          <w:szCs w:val="24"/>
        </w:rPr>
        <w:tab/>
      </w:r>
      <w:r w:rsidR="005A7439" w:rsidRPr="00D15239">
        <w:rPr>
          <w:sz w:val="24"/>
          <w:szCs w:val="24"/>
        </w:rPr>
        <w:t>From Order 10 in Consolidated Dockets UE-090134, UG-090135 and UG-060518, section #305.</w:t>
      </w:r>
    </w:p>
    <w:p w:rsidR="005A7439" w:rsidRPr="00D15239" w:rsidRDefault="008A42E3" w:rsidP="00801613">
      <w:pPr>
        <w:tabs>
          <w:tab w:val="left" w:pos="540"/>
        </w:tabs>
        <w:spacing w:after="0" w:line="360" w:lineRule="auto"/>
        <w:ind w:left="540" w:hanging="540"/>
        <w:rPr>
          <w:sz w:val="24"/>
          <w:szCs w:val="24"/>
        </w:rPr>
      </w:pPr>
      <w:r w:rsidRPr="00D15239">
        <w:rPr>
          <w:sz w:val="24"/>
          <w:szCs w:val="24"/>
        </w:rPr>
        <w:t>1</w:t>
      </w:r>
      <w:r w:rsidR="0045460C" w:rsidRPr="00D15239">
        <w:rPr>
          <w:sz w:val="24"/>
          <w:szCs w:val="24"/>
        </w:rPr>
        <w:t>1</w:t>
      </w:r>
      <w:r w:rsidR="005A7439" w:rsidRPr="00D15239">
        <w:rPr>
          <w:sz w:val="24"/>
          <w:szCs w:val="24"/>
        </w:rPr>
        <w:t xml:space="preserve">. </w:t>
      </w:r>
      <w:r w:rsidR="00801613" w:rsidRPr="00D15239">
        <w:rPr>
          <w:sz w:val="24"/>
          <w:szCs w:val="24"/>
        </w:rPr>
        <w:tab/>
      </w:r>
      <w:r w:rsidR="005A7439" w:rsidRPr="00D15239">
        <w:rPr>
          <w:sz w:val="24"/>
          <w:szCs w:val="24"/>
        </w:rPr>
        <w:t>From Order 10 in Consolidated Dockets UE-090134, UG-090135 and UG-060518, section #305.</w:t>
      </w:r>
    </w:p>
    <w:p w:rsidR="005A7439" w:rsidRPr="00D15239" w:rsidRDefault="00DB3590" w:rsidP="00801613">
      <w:pPr>
        <w:tabs>
          <w:tab w:val="left" w:pos="540"/>
        </w:tabs>
        <w:spacing w:after="0" w:line="360" w:lineRule="auto"/>
        <w:ind w:left="540" w:hanging="540"/>
        <w:rPr>
          <w:sz w:val="24"/>
          <w:szCs w:val="24"/>
        </w:rPr>
      </w:pPr>
      <w:r w:rsidRPr="00D15239">
        <w:rPr>
          <w:sz w:val="24"/>
          <w:szCs w:val="24"/>
        </w:rPr>
        <w:t>1</w:t>
      </w:r>
      <w:r w:rsidR="0045460C" w:rsidRPr="00D15239">
        <w:rPr>
          <w:sz w:val="24"/>
          <w:szCs w:val="24"/>
        </w:rPr>
        <w:t>2</w:t>
      </w:r>
      <w:r w:rsidR="005A7439" w:rsidRPr="00D15239">
        <w:rPr>
          <w:sz w:val="24"/>
          <w:szCs w:val="24"/>
        </w:rPr>
        <w:t xml:space="preserve">.  </w:t>
      </w:r>
      <w:r w:rsidR="00801613" w:rsidRPr="00D15239">
        <w:rPr>
          <w:sz w:val="24"/>
          <w:szCs w:val="24"/>
        </w:rPr>
        <w:tab/>
      </w:r>
      <w:r w:rsidR="00221679" w:rsidRPr="00D15239">
        <w:rPr>
          <w:sz w:val="24"/>
          <w:szCs w:val="24"/>
        </w:rPr>
        <w:t>P</w:t>
      </w:r>
      <w:r w:rsidR="005A7439" w:rsidRPr="00D15239">
        <w:rPr>
          <w:sz w:val="24"/>
          <w:szCs w:val="24"/>
        </w:rPr>
        <w:t xml:space="preserve">age 16 of Avista’s “Evaluation, Measurement and Verification Framework” document filed in response to UE-090134 / UG-090135 and UG-060518. </w:t>
      </w:r>
    </w:p>
    <w:p w:rsidR="005A7439" w:rsidRPr="00D15239" w:rsidRDefault="00DB3590" w:rsidP="00801613">
      <w:pPr>
        <w:tabs>
          <w:tab w:val="left" w:pos="540"/>
        </w:tabs>
        <w:spacing w:after="0" w:line="360" w:lineRule="auto"/>
        <w:ind w:left="540" w:hanging="540"/>
        <w:rPr>
          <w:sz w:val="24"/>
          <w:szCs w:val="24"/>
        </w:rPr>
      </w:pPr>
      <w:r w:rsidRPr="00D15239">
        <w:rPr>
          <w:sz w:val="24"/>
          <w:szCs w:val="24"/>
        </w:rPr>
        <w:t>1</w:t>
      </w:r>
      <w:r w:rsidR="0045460C" w:rsidRPr="00D15239">
        <w:rPr>
          <w:sz w:val="24"/>
          <w:szCs w:val="24"/>
        </w:rPr>
        <w:t>3</w:t>
      </w:r>
      <w:r w:rsidR="005A7439" w:rsidRPr="00D15239">
        <w:rPr>
          <w:sz w:val="24"/>
          <w:szCs w:val="24"/>
        </w:rPr>
        <w:t xml:space="preserve">. </w:t>
      </w:r>
      <w:r w:rsidR="00801613" w:rsidRPr="00D15239">
        <w:rPr>
          <w:sz w:val="24"/>
          <w:szCs w:val="24"/>
        </w:rPr>
        <w:tab/>
      </w:r>
      <w:r w:rsidR="005A7439" w:rsidRPr="00D15239">
        <w:rPr>
          <w:sz w:val="24"/>
          <w:szCs w:val="24"/>
        </w:rPr>
        <w:t xml:space="preserve">Page 6 of Avista’s “Evaluation, Measurement and Verification Framework” document filed in response to UE-090134 / UG-090135 and UG-060518. </w:t>
      </w:r>
    </w:p>
    <w:p w:rsidR="005A7439" w:rsidRPr="00D15239" w:rsidRDefault="00DB3590" w:rsidP="00801613">
      <w:pPr>
        <w:tabs>
          <w:tab w:val="left" w:pos="540"/>
        </w:tabs>
        <w:spacing w:after="0" w:line="360" w:lineRule="auto"/>
        <w:ind w:left="540" w:hanging="540"/>
        <w:rPr>
          <w:rStyle w:val="Hyperlink"/>
          <w:color w:val="auto"/>
          <w:sz w:val="24"/>
          <w:szCs w:val="24"/>
        </w:rPr>
      </w:pPr>
      <w:r w:rsidRPr="00D15239">
        <w:rPr>
          <w:sz w:val="24"/>
          <w:szCs w:val="24"/>
        </w:rPr>
        <w:t>1</w:t>
      </w:r>
      <w:r w:rsidR="0045460C" w:rsidRPr="00D15239">
        <w:rPr>
          <w:sz w:val="24"/>
          <w:szCs w:val="24"/>
        </w:rPr>
        <w:t>4</w:t>
      </w:r>
      <w:r w:rsidR="005A7439" w:rsidRPr="00D15239">
        <w:rPr>
          <w:sz w:val="24"/>
          <w:szCs w:val="24"/>
        </w:rPr>
        <w:t xml:space="preserve">. </w:t>
      </w:r>
      <w:r w:rsidR="00801613" w:rsidRPr="00D15239">
        <w:rPr>
          <w:sz w:val="24"/>
          <w:szCs w:val="24"/>
        </w:rPr>
        <w:tab/>
      </w:r>
      <w:r w:rsidR="005A7439" w:rsidRPr="00D15239">
        <w:rPr>
          <w:sz w:val="24"/>
          <w:szCs w:val="24"/>
        </w:rPr>
        <w:t xml:space="preserve">Available in PDF at the American Evaluation Association website at </w:t>
      </w:r>
      <w:hyperlink r:id="rId7" w:history="1">
        <w:r w:rsidR="005A7439" w:rsidRPr="00D15239">
          <w:rPr>
            <w:rStyle w:val="Hyperlink"/>
            <w:color w:val="auto"/>
            <w:sz w:val="24"/>
            <w:szCs w:val="24"/>
          </w:rPr>
          <w:t>http://www.eval.org/p/cm/ld/fid=51</w:t>
        </w:r>
      </w:hyperlink>
      <w:r w:rsidR="005A7439" w:rsidRPr="00D15239">
        <w:rPr>
          <w:rStyle w:val="Hyperlink"/>
          <w:color w:val="auto"/>
          <w:sz w:val="24"/>
          <w:szCs w:val="24"/>
        </w:rPr>
        <w:t>.</w:t>
      </w:r>
    </w:p>
    <w:p w:rsidR="00D36647" w:rsidRPr="00D15239" w:rsidRDefault="00DB3590" w:rsidP="00801613">
      <w:pPr>
        <w:tabs>
          <w:tab w:val="left" w:pos="540"/>
        </w:tabs>
        <w:spacing w:after="0" w:line="360" w:lineRule="auto"/>
        <w:ind w:left="540" w:hanging="540"/>
        <w:rPr>
          <w:rStyle w:val="Hyperlink"/>
          <w:color w:val="auto"/>
          <w:sz w:val="24"/>
          <w:szCs w:val="24"/>
          <w:u w:val="none"/>
        </w:rPr>
      </w:pPr>
      <w:r w:rsidRPr="00D15239">
        <w:rPr>
          <w:rStyle w:val="Hyperlink"/>
          <w:color w:val="auto"/>
          <w:sz w:val="24"/>
          <w:szCs w:val="24"/>
          <w:u w:val="none"/>
        </w:rPr>
        <w:t>1</w:t>
      </w:r>
      <w:r w:rsidR="0045460C" w:rsidRPr="00D15239">
        <w:rPr>
          <w:rStyle w:val="Hyperlink"/>
          <w:color w:val="auto"/>
          <w:sz w:val="24"/>
          <w:szCs w:val="24"/>
          <w:u w:val="none"/>
        </w:rPr>
        <w:t>5</w:t>
      </w:r>
      <w:r w:rsidR="00D36647" w:rsidRPr="00D15239">
        <w:rPr>
          <w:rStyle w:val="Hyperlink"/>
          <w:color w:val="auto"/>
          <w:sz w:val="24"/>
          <w:szCs w:val="24"/>
          <w:u w:val="none"/>
        </w:rPr>
        <w:t>.</w:t>
      </w:r>
      <w:r w:rsidR="00D36647" w:rsidRPr="00D15239">
        <w:rPr>
          <w:rStyle w:val="Hyperlink"/>
          <w:color w:val="auto"/>
          <w:sz w:val="24"/>
          <w:szCs w:val="24"/>
          <w:u w:val="none"/>
        </w:rPr>
        <w:tab/>
        <w:t>March 6</w:t>
      </w:r>
      <w:r w:rsidR="00D36647" w:rsidRPr="00D15239">
        <w:rPr>
          <w:rStyle w:val="Hyperlink"/>
          <w:color w:val="auto"/>
          <w:sz w:val="24"/>
          <w:szCs w:val="24"/>
          <w:u w:val="none"/>
          <w:vertAlign w:val="superscript"/>
        </w:rPr>
        <w:t>th</w:t>
      </w:r>
      <w:r w:rsidR="00D36647" w:rsidRPr="00D15239">
        <w:rPr>
          <w:rStyle w:val="Hyperlink"/>
          <w:color w:val="auto"/>
          <w:sz w:val="24"/>
          <w:szCs w:val="24"/>
          <w:u w:val="none"/>
        </w:rPr>
        <w:t>, 2014 IPUC Staff comments in AVU-E-13-09, page 7.</w:t>
      </w:r>
    </w:p>
    <w:p w:rsidR="000D7D4D" w:rsidRPr="00D15239" w:rsidRDefault="000D7D4D" w:rsidP="00801613">
      <w:pPr>
        <w:tabs>
          <w:tab w:val="left" w:pos="540"/>
        </w:tabs>
        <w:spacing w:after="0" w:line="360" w:lineRule="auto"/>
        <w:ind w:left="540" w:hanging="540"/>
        <w:rPr>
          <w:sz w:val="24"/>
          <w:szCs w:val="24"/>
        </w:rPr>
      </w:pPr>
      <w:r w:rsidRPr="00D15239">
        <w:rPr>
          <w:rStyle w:val="Hyperlink"/>
          <w:color w:val="auto"/>
          <w:sz w:val="24"/>
          <w:szCs w:val="24"/>
          <w:u w:val="none"/>
        </w:rPr>
        <w:t>1</w:t>
      </w:r>
      <w:r w:rsidR="0045460C" w:rsidRPr="00D15239">
        <w:rPr>
          <w:rStyle w:val="Hyperlink"/>
          <w:color w:val="auto"/>
          <w:sz w:val="24"/>
          <w:szCs w:val="24"/>
          <w:u w:val="none"/>
        </w:rPr>
        <w:t>6</w:t>
      </w:r>
      <w:r w:rsidRPr="00D15239">
        <w:rPr>
          <w:rStyle w:val="Hyperlink"/>
          <w:color w:val="auto"/>
          <w:sz w:val="24"/>
          <w:szCs w:val="24"/>
          <w:u w:val="none"/>
        </w:rPr>
        <w:t>.</w:t>
      </w:r>
      <w:r w:rsidRPr="00D15239">
        <w:rPr>
          <w:rStyle w:val="Hyperlink"/>
          <w:color w:val="auto"/>
          <w:sz w:val="24"/>
          <w:szCs w:val="24"/>
          <w:u w:val="none"/>
        </w:rPr>
        <w:tab/>
        <w:t>March 6</w:t>
      </w:r>
      <w:r w:rsidRPr="00D15239">
        <w:rPr>
          <w:rStyle w:val="Hyperlink"/>
          <w:color w:val="auto"/>
          <w:sz w:val="24"/>
          <w:szCs w:val="24"/>
          <w:u w:val="none"/>
          <w:vertAlign w:val="superscript"/>
        </w:rPr>
        <w:t>th</w:t>
      </w:r>
      <w:r w:rsidRPr="00D15239">
        <w:rPr>
          <w:rStyle w:val="Hyperlink"/>
          <w:color w:val="auto"/>
          <w:sz w:val="24"/>
          <w:szCs w:val="24"/>
          <w:u w:val="none"/>
        </w:rPr>
        <w:t>, 2014 IPUC Staff comments in AVU-E-13-09, page 12.</w:t>
      </w:r>
    </w:p>
    <w:p w:rsidR="005A7439" w:rsidRPr="00D15239" w:rsidRDefault="0045460C" w:rsidP="00801613">
      <w:pPr>
        <w:tabs>
          <w:tab w:val="left" w:pos="540"/>
        </w:tabs>
        <w:spacing w:after="0" w:line="360" w:lineRule="auto"/>
        <w:ind w:left="540" w:hanging="540"/>
      </w:pPr>
      <w:r w:rsidRPr="00D15239">
        <w:rPr>
          <w:sz w:val="24"/>
          <w:szCs w:val="24"/>
        </w:rPr>
        <w:t>17</w:t>
      </w:r>
      <w:r w:rsidR="005A7439" w:rsidRPr="00D15239">
        <w:rPr>
          <w:sz w:val="24"/>
          <w:szCs w:val="24"/>
        </w:rPr>
        <w:t xml:space="preserve">. </w:t>
      </w:r>
      <w:r w:rsidR="00801613" w:rsidRPr="00D15239">
        <w:rPr>
          <w:sz w:val="24"/>
          <w:szCs w:val="24"/>
        </w:rPr>
        <w:tab/>
      </w:r>
      <w:r w:rsidR="005A7439" w:rsidRPr="00D15239">
        <w:t>Avista</w:t>
      </w:r>
      <w:r w:rsidR="00221679" w:rsidRPr="00D15239">
        <w:t xml:space="preserve">’s </w:t>
      </w:r>
      <w:r w:rsidR="005A7439" w:rsidRPr="00D15239">
        <w:t xml:space="preserve"> reply comments in AVU-E-13-09 and AVU-G-13-02</w:t>
      </w:r>
      <w:r w:rsidR="00F11BC0" w:rsidRPr="00D15239">
        <w:t>.</w:t>
      </w:r>
    </w:p>
    <w:p w:rsidR="000D7D4D" w:rsidRPr="00D15239" w:rsidRDefault="0045460C" w:rsidP="000D7D4D">
      <w:pPr>
        <w:tabs>
          <w:tab w:val="left" w:pos="540"/>
          <w:tab w:val="left" w:pos="1080"/>
        </w:tabs>
        <w:ind w:left="540" w:hanging="540"/>
      </w:pPr>
      <w:r w:rsidRPr="00D15239">
        <w:t>18</w:t>
      </w:r>
      <w:r w:rsidR="000D7D4D" w:rsidRPr="00D15239">
        <w:t>.</w:t>
      </w:r>
      <w:r w:rsidR="000D7D4D" w:rsidRPr="00D15239">
        <w:tab/>
        <w:t>The IPUC Staff comments of March 6</w:t>
      </w:r>
      <w:r w:rsidR="000D7D4D" w:rsidRPr="00D15239">
        <w:rPr>
          <w:vertAlign w:val="superscript"/>
        </w:rPr>
        <w:t>th</w:t>
      </w:r>
      <w:r w:rsidR="000D7D4D" w:rsidRPr="00D15239">
        <w:t>, 2014 con AVU-E-13-09 and AVU-G-13-02 contain the following references to the role that the independent internal evaluation team had in identifying program delivery issues:</w:t>
      </w:r>
    </w:p>
    <w:p w:rsidR="000D7D4D" w:rsidRPr="00D15239" w:rsidRDefault="000D7D4D" w:rsidP="000D7D4D">
      <w:pPr>
        <w:ind w:left="1080"/>
      </w:pPr>
      <w:r w:rsidRPr="00D15239">
        <w:t>“Staff is concerned that these lapses in reliable program management occurred in two of the three program years included in this filing.  Avista’s internal evaluation team reached similar conclusions about program management for the last year of this prudency review, 2012”.   Page 7 of IPUC Staff comments in AVU-E-13-09 and AVU-G-13-02.</w:t>
      </w:r>
    </w:p>
    <w:p w:rsidR="000D7D4D" w:rsidRPr="00D15239" w:rsidRDefault="0004141A" w:rsidP="000D7D4D">
      <w:pPr>
        <w:ind w:left="1080"/>
      </w:pPr>
      <w:r w:rsidRPr="00D15239">
        <w:t>“</w:t>
      </w:r>
      <w:r w:rsidR="000D7D4D" w:rsidRPr="00D15239">
        <w:t>Cadmus summarized the findings of Avista’s internal evaluation, which reported an “overall reliance on customer-supplied data and the need for a reliable and replicable approach to source that data”.  Page 7 of IPUC Staff comments in AVU-E-13-09 and AVU-G-13-02.</w:t>
      </w:r>
    </w:p>
    <w:p w:rsidR="000D7D4D" w:rsidRPr="00D15239" w:rsidRDefault="0004141A" w:rsidP="000D7D4D">
      <w:pPr>
        <w:ind w:left="1080"/>
      </w:pPr>
      <w:r w:rsidRPr="00D15239">
        <w:t>“</w:t>
      </w:r>
      <w:r w:rsidR="000D7D4D" w:rsidRPr="00D15239">
        <w:t>Because Cadmus and Avista’s internal review found deficiencies with the engineering  implementation practices, having those members check their own work is unlikely to improve accuracy”.  Page 8 of IPUC Staff comments in AVU-E-13-09 and AVU-G-13-02.</w:t>
      </w:r>
    </w:p>
    <w:p w:rsidR="000D7D4D" w:rsidRPr="00D15239" w:rsidRDefault="000D7D4D" w:rsidP="000D7D4D">
      <w:pPr>
        <w:ind w:left="1080"/>
      </w:pPr>
      <w:r w:rsidRPr="00D15239">
        <w:t>“In response to 2010 evaluation, measurement and verification (EM&amp;V) concerns, Avista created a process under which an independent internal evaluation team would review all site-specific projects with potential incentives over $50,000.  This process was in place from August 2011 through December 2012 before Avista suspended it without notice</w:t>
      </w:r>
      <w:r w:rsidR="0004141A" w:rsidRPr="00D15239">
        <w:t>”</w:t>
      </w:r>
      <w:r w:rsidRPr="00D15239">
        <w:t xml:space="preserve">.  Page 7 of IPUC Staff comments in AVU-E-13-09 and AVU-G-13-02”. </w:t>
      </w:r>
    </w:p>
    <w:p w:rsidR="000D7D4D" w:rsidRPr="00D15239" w:rsidRDefault="000D7D4D" w:rsidP="000D7D4D">
      <w:pPr>
        <w:tabs>
          <w:tab w:val="left" w:pos="540"/>
          <w:tab w:val="left" w:pos="1080"/>
        </w:tabs>
        <w:ind w:left="540" w:hanging="540"/>
      </w:pPr>
      <w:r w:rsidRPr="00D15239">
        <w:tab/>
        <w:t>These comments demonstrate the effectiveness of the independent internal evaluation team in examining program delivery practices and identifying deficiencies in a timely manner.  Avista disbanded the independent evaluation team as part of their re-organization to address the deficiencies noted by the IPUC Staff.</w:t>
      </w:r>
    </w:p>
    <w:p w:rsidR="00DE4C92" w:rsidRPr="0045460C" w:rsidRDefault="0045460C" w:rsidP="00801613">
      <w:pPr>
        <w:tabs>
          <w:tab w:val="left" w:pos="540"/>
        </w:tabs>
        <w:spacing w:after="0" w:line="360" w:lineRule="auto"/>
        <w:ind w:left="540" w:hanging="540"/>
      </w:pPr>
      <w:r w:rsidRPr="00D15239">
        <w:rPr>
          <w:sz w:val="24"/>
          <w:szCs w:val="24"/>
        </w:rPr>
        <w:t>19</w:t>
      </w:r>
      <w:r w:rsidR="00DB3590" w:rsidRPr="00D15239">
        <w:rPr>
          <w:sz w:val="24"/>
          <w:szCs w:val="24"/>
        </w:rPr>
        <w:t>.</w:t>
      </w:r>
      <w:r w:rsidR="00DB3590" w:rsidRPr="00D15239">
        <w:rPr>
          <w:sz w:val="24"/>
          <w:szCs w:val="24"/>
        </w:rPr>
        <w:tab/>
        <w:t>Per the Company’s May 31</w:t>
      </w:r>
      <w:r w:rsidR="00DB3590" w:rsidRPr="00D15239">
        <w:rPr>
          <w:sz w:val="24"/>
          <w:szCs w:val="24"/>
          <w:vertAlign w:val="superscript"/>
        </w:rPr>
        <w:t>st</w:t>
      </w:r>
      <w:r w:rsidR="00DB3590" w:rsidRPr="00D15239">
        <w:rPr>
          <w:sz w:val="24"/>
          <w:szCs w:val="24"/>
        </w:rPr>
        <w:t>, 2016 cover letter in Docket UE-132045.</w:t>
      </w:r>
    </w:p>
    <w:sectPr w:rsidR="00DE4C92" w:rsidRPr="004546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50" w:rsidRDefault="00954A50" w:rsidP="00B976C2">
      <w:pPr>
        <w:spacing w:after="0" w:line="240" w:lineRule="auto"/>
      </w:pPr>
      <w:r>
        <w:separator/>
      </w:r>
    </w:p>
  </w:endnote>
  <w:endnote w:type="continuationSeparator" w:id="0">
    <w:p w:rsidR="00954A50" w:rsidRDefault="00954A50" w:rsidP="00B9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840606"/>
      <w:docPartObj>
        <w:docPartGallery w:val="Page Numbers (Bottom of Page)"/>
        <w:docPartUnique/>
      </w:docPartObj>
    </w:sdtPr>
    <w:sdtEndPr>
      <w:rPr>
        <w:color w:val="808080" w:themeColor="background1" w:themeShade="80"/>
        <w:spacing w:val="60"/>
      </w:rPr>
    </w:sdtEndPr>
    <w:sdtContent>
      <w:p w:rsidR="003000BE" w:rsidRDefault="003000B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03E38" w:rsidRPr="00403E38">
          <w:rPr>
            <w:b/>
            <w:bCs/>
            <w:noProof/>
          </w:rPr>
          <w:t>1</w:t>
        </w:r>
        <w:r>
          <w:rPr>
            <w:b/>
            <w:bCs/>
            <w:noProof/>
          </w:rPr>
          <w:fldChar w:fldCharType="end"/>
        </w:r>
        <w:r>
          <w:rPr>
            <w:b/>
            <w:bCs/>
          </w:rPr>
          <w:t xml:space="preserve"> | </w:t>
        </w:r>
        <w:r>
          <w:rPr>
            <w:color w:val="808080" w:themeColor="background1" w:themeShade="80"/>
            <w:spacing w:val="60"/>
          </w:rPr>
          <w:t>Page</w:t>
        </w:r>
      </w:p>
    </w:sdtContent>
  </w:sdt>
  <w:p w:rsidR="003000BE" w:rsidRDefault="00300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50" w:rsidRDefault="00954A50" w:rsidP="00B976C2">
      <w:pPr>
        <w:spacing w:after="0" w:line="240" w:lineRule="auto"/>
      </w:pPr>
      <w:r>
        <w:separator/>
      </w:r>
    </w:p>
  </w:footnote>
  <w:footnote w:type="continuationSeparator" w:id="0">
    <w:p w:rsidR="00954A50" w:rsidRDefault="00954A50" w:rsidP="00B97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0CAC"/>
    <w:multiLevelType w:val="hybridMultilevel"/>
    <w:tmpl w:val="AFCA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C72D3"/>
    <w:multiLevelType w:val="hybridMultilevel"/>
    <w:tmpl w:val="A658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320D"/>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526C9"/>
    <w:multiLevelType w:val="multilevel"/>
    <w:tmpl w:val="67BA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D4930"/>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6740E"/>
    <w:multiLevelType w:val="hybridMultilevel"/>
    <w:tmpl w:val="4094D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C4799"/>
    <w:multiLevelType w:val="hybridMultilevel"/>
    <w:tmpl w:val="FBFC82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E1AAD"/>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95FB1"/>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033D7"/>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A4314"/>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D640B"/>
    <w:multiLevelType w:val="hybridMultilevel"/>
    <w:tmpl w:val="872E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B4143"/>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F2E81"/>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A2D44"/>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D330B"/>
    <w:multiLevelType w:val="multilevel"/>
    <w:tmpl w:val="D332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6646B"/>
    <w:multiLevelType w:val="multilevel"/>
    <w:tmpl w:val="4FC4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670A1"/>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A18EF"/>
    <w:multiLevelType w:val="hybridMultilevel"/>
    <w:tmpl w:val="64E4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87430"/>
    <w:multiLevelType w:val="hybridMultilevel"/>
    <w:tmpl w:val="6A20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E7AB4"/>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A2DCB"/>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96C40"/>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027D5"/>
    <w:multiLevelType w:val="hybridMultilevel"/>
    <w:tmpl w:val="BB16B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A0BEF"/>
    <w:multiLevelType w:val="hybridMultilevel"/>
    <w:tmpl w:val="7EB6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93BA4"/>
    <w:multiLevelType w:val="multilevel"/>
    <w:tmpl w:val="65F29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9"/>
  </w:num>
  <w:num w:numId="4">
    <w:abstractNumId w:val="23"/>
  </w:num>
  <w:num w:numId="5">
    <w:abstractNumId w:val="11"/>
  </w:num>
  <w:num w:numId="6">
    <w:abstractNumId w:val="21"/>
  </w:num>
  <w:num w:numId="7">
    <w:abstractNumId w:val="17"/>
  </w:num>
  <w:num w:numId="8">
    <w:abstractNumId w:val="22"/>
  </w:num>
  <w:num w:numId="9">
    <w:abstractNumId w:val="20"/>
  </w:num>
  <w:num w:numId="10">
    <w:abstractNumId w:val="4"/>
  </w:num>
  <w:num w:numId="11">
    <w:abstractNumId w:val="7"/>
  </w:num>
  <w:num w:numId="12">
    <w:abstractNumId w:val="24"/>
  </w:num>
  <w:num w:numId="13">
    <w:abstractNumId w:val="10"/>
  </w:num>
  <w:num w:numId="14">
    <w:abstractNumId w:val="2"/>
  </w:num>
  <w:num w:numId="15">
    <w:abstractNumId w:val="8"/>
  </w:num>
  <w:num w:numId="16">
    <w:abstractNumId w:val="12"/>
  </w:num>
  <w:num w:numId="17">
    <w:abstractNumId w:val="14"/>
  </w:num>
  <w:num w:numId="18">
    <w:abstractNumId w:val="9"/>
  </w:num>
  <w:num w:numId="19">
    <w:abstractNumId w:val="13"/>
  </w:num>
  <w:num w:numId="20">
    <w:abstractNumId w:val="16"/>
  </w:num>
  <w:num w:numId="21">
    <w:abstractNumId w:val="15"/>
  </w:num>
  <w:num w:numId="22">
    <w:abstractNumId w:val="3"/>
  </w:num>
  <w:num w:numId="23">
    <w:abstractNumId w:val="25"/>
  </w:num>
  <w:num w:numId="24">
    <w:abstractNumId w:val="1"/>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FD"/>
    <w:rsid w:val="000009F7"/>
    <w:rsid w:val="00001303"/>
    <w:rsid w:val="000036DA"/>
    <w:rsid w:val="0000415A"/>
    <w:rsid w:val="00010086"/>
    <w:rsid w:val="00017002"/>
    <w:rsid w:val="000201CC"/>
    <w:rsid w:val="000205D4"/>
    <w:rsid w:val="00027F18"/>
    <w:rsid w:val="0004141A"/>
    <w:rsid w:val="00060AE8"/>
    <w:rsid w:val="0006265D"/>
    <w:rsid w:val="00072CB3"/>
    <w:rsid w:val="00073C9E"/>
    <w:rsid w:val="000744C2"/>
    <w:rsid w:val="000762D0"/>
    <w:rsid w:val="0009674D"/>
    <w:rsid w:val="00097C16"/>
    <w:rsid w:val="000D7D4D"/>
    <w:rsid w:val="000E07D4"/>
    <w:rsid w:val="000E6A89"/>
    <w:rsid w:val="000F72B2"/>
    <w:rsid w:val="001131F0"/>
    <w:rsid w:val="00113E3A"/>
    <w:rsid w:val="001200F4"/>
    <w:rsid w:val="0014313D"/>
    <w:rsid w:val="001565A3"/>
    <w:rsid w:val="00175D9E"/>
    <w:rsid w:val="00176623"/>
    <w:rsid w:val="001A4447"/>
    <w:rsid w:val="001C3CBE"/>
    <w:rsid w:val="001D0B98"/>
    <w:rsid w:val="001F3BCF"/>
    <w:rsid w:val="001F4983"/>
    <w:rsid w:val="001F7B00"/>
    <w:rsid w:val="00205D8E"/>
    <w:rsid w:val="0020736E"/>
    <w:rsid w:val="00212D1D"/>
    <w:rsid w:val="00221679"/>
    <w:rsid w:val="00225BE7"/>
    <w:rsid w:val="00232213"/>
    <w:rsid w:val="00245414"/>
    <w:rsid w:val="00246460"/>
    <w:rsid w:val="00262A27"/>
    <w:rsid w:val="002818BA"/>
    <w:rsid w:val="002B4E91"/>
    <w:rsid w:val="002B73D4"/>
    <w:rsid w:val="002B7CAA"/>
    <w:rsid w:val="002C0FF0"/>
    <w:rsid w:val="002C3803"/>
    <w:rsid w:val="002D46D1"/>
    <w:rsid w:val="002E248F"/>
    <w:rsid w:val="002F355F"/>
    <w:rsid w:val="003000BE"/>
    <w:rsid w:val="0032457D"/>
    <w:rsid w:val="00330A35"/>
    <w:rsid w:val="00332DD6"/>
    <w:rsid w:val="003425CB"/>
    <w:rsid w:val="00346644"/>
    <w:rsid w:val="003467F6"/>
    <w:rsid w:val="003525E1"/>
    <w:rsid w:val="00353A32"/>
    <w:rsid w:val="003602ED"/>
    <w:rsid w:val="00362DF9"/>
    <w:rsid w:val="00372557"/>
    <w:rsid w:val="00373717"/>
    <w:rsid w:val="0039533F"/>
    <w:rsid w:val="003C766D"/>
    <w:rsid w:val="003D772A"/>
    <w:rsid w:val="003E72A4"/>
    <w:rsid w:val="003F0EC3"/>
    <w:rsid w:val="00402766"/>
    <w:rsid w:val="00403E38"/>
    <w:rsid w:val="0040574C"/>
    <w:rsid w:val="004061BD"/>
    <w:rsid w:val="00413F4C"/>
    <w:rsid w:val="00416350"/>
    <w:rsid w:val="004479D9"/>
    <w:rsid w:val="0045460C"/>
    <w:rsid w:val="00464B34"/>
    <w:rsid w:val="00474ADC"/>
    <w:rsid w:val="004839B8"/>
    <w:rsid w:val="00486CAD"/>
    <w:rsid w:val="00491250"/>
    <w:rsid w:val="004928E2"/>
    <w:rsid w:val="00497316"/>
    <w:rsid w:val="004B3D3C"/>
    <w:rsid w:val="004B5BCF"/>
    <w:rsid w:val="004C288E"/>
    <w:rsid w:val="004D3F2B"/>
    <w:rsid w:val="004F161D"/>
    <w:rsid w:val="00522562"/>
    <w:rsid w:val="005271E1"/>
    <w:rsid w:val="00554501"/>
    <w:rsid w:val="00567BE8"/>
    <w:rsid w:val="0057695C"/>
    <w:rsid w:val="005814D0"/>
    <w:rsid w:val="00595342"/>
    <w:rsid w:val="005A46EE"/>
    <w:rsid w:val="005A5942"/>
    <w:rsid w:val="005A5CA2"/>
    <w:rsid w:val="005A7439"/>
    <w:rsid w:val="005B1744"/>
    <w:rsid w:val="005B6580"/>
    <w:rsid w:val="005C0446"/>
    <w:rsid w:val="005C6D1A"/>
    <w:rsid w:val="00603571"/>
    <w:rsid w:val="00617CD2"/>
    <w:rsid w:val="0062194F"/>
    <w:rsid w:val="006238C0"/>
    <w:rsid w:val="00623EEB"/>
    <w:rsid w:val="006502D7"/>
    <w:rsid w:val="00652521"/>
    <w:rsid w:val="006623CB"/>
    <w:rsid w:val="006A481B"/>
    <w:rsid w:val="006B3145"/>
    <w:rsid w:val="006B6E43"/>
    <w:rsid w:val="006C5391"/>
    <w:rsid w:val="006D1445"/>
    <w:rsid w:val="006F052B"/>
    <w:rsid w:val="006F6C43"/>
    <w:rsid w:val="00702D4B"/>
    <w:rsid w:val="00736C1F"/>
    <w:rsid w:val="00744197"/>
    <w:rsid w:val="0075639B"/>
    <w:rsid w:val="00757B20"/>
    <w:rsid w:val="007700E5"/>
    <w:rsid w:val="00771A83"/>
    <w:rsid w:val="0077424C"/>
    <w:rsid w:val="007A5659"/>
    <w:rsid w:val="007A62F5"/>
    <w:rsid w:val="007B3875"/>
    <w:rsid w:val="007D1176"/>
    <w:rsid w:val="007D3F26"/>
    <w:rsid w:val="007D6BC3"/>
    <w:rsid w:val="007E0170"/>
    <w:rsid w:val="007E1DE9"/>
    <w:rsid w:val="007E6BF4"/>
    <w:rsid w:val="00801613"/>
    <w:rsid w:val="008103EE"/>
    <w:rsid w:val="008144A0"/>
    <w:rsid w:val="008160E2"/>
    <w:rsid w:val="00824525"/>
    <w:rsid w:val="0082487D"/>
    <w:rsid w:val="008456D7"/>
    <w:rsid w:val="00845939"/>
    <w:rsid w:val="008837A8"/>
    <w:rsid w:val="00893DD5"/>
    <w:rsid w:val="008A42E3"/>
    <w:rsid w:val="008B2EAD"/>
    <w:rsid w:val="008D4347"/>
    <w:rsid w:val="00901AE1"/>
    <w:rsid w:val="009063DB"/>
    <w:rsid w:val="00945C72"/>
    <w:rsid w:val="00954A50"/>
    <w:rsid w:val="00971569"/>
    <w:rsid w:val="009A1CC9"/>
    <w:rsid w:val="009D087D"/>
    <w:rsid w:val="009D2209"/>
    <w:rsid w:val="009D77B1"/>
    <w:rsid w:val="009E3607"/>
    <w:rsid w:val="009E47BE"/>
    <w:rsid w:val="00A04BDC"/>
    <w:rsid w:val="00A05195"/>
    <w:rsid w:val="00A3354C"/>
    <w:rsid w:val="00A50859"/>
    <w:rsid w:val="00A70E7C"/>
    <w:rsid w:val="00A72445"/>
    <w:rsid w:val="00A73415"/>
    <w:rsid w:val="00A87275"/>
    <w:rsid w:val="00AA0858"/>
    <w:rsid w:val="00AD2D56"/>
    <w:rsid w:val="00AE6872"/>
    <w:rsid w:val="00AF498C"/>
    <w:rsid w:val="00B001D4"/>
    <w:rsid w:val="00B231C4"/>
    <w:rsid w:val="00B27824"/>
    <w:rsid w:val="00B4448C"/>
    <w:rsid w:val="00B44FFF"/>
    <w:rsid w:val="00B604D5"/>
    <w:rsid w:val="00B71E74"/>
    <w:rsid w:val="00B77348"/>
    <w:rsid w:val="00B82928"/>
    <w:rsid w:val="00B976C2"/>
    <w:rsid w:val="00BA7AB4"/>
    <w:rsid w:val="00BB1C24"/>
    <w:rsid w:val="00BD43C0"/>
    <w:rsid w:val="00BD63D2"/>
    <w:rsid w:val="00BD72E4"/>
    <w:rsid w:val="00BD75C7"/>
    <w:rsid w:val="00BE6590"/>
    <w:rsid w:val="00C11A2D"/>
    <w:rsid w:val="00C16107"/>
    <w:rsid w:val="00C218DF"/>
    <w:rsid w:val="00C325AD"/>
    <w:rsid w:val="00C3460E"/>
    <w:rsid w:val="00C376B6"/>
    <w:rsid w:val="00C423FD"/>
    <w:rsid w:val="00C43A64"/>
    <w:rsid w:val="00C44376"/>
    <w:rsid w:val="00C44D4A"/>
    <w:rsid w:val="00C50F6D"/>
    <w:rsid w:val="00C64C24"/>
    <w:rsid w:val="00C64F37"/>
    <w:rsid w:val="00C7527C"/>
    <w:rsid w:val="00C92557"/>
    <w:rsid w:val="00C9782B"/>
    <w:rsid w:val="00CA156F"/>
    <w:rsid w:val="00CC0EE2"/>
    <w:rsid w:val="00CD0CD2"/>
    <w:rsid w:val="00CF439E"/>
    <w:rsid w:val="00D15239"/>
    <w:rsid w:val="00D16022"/>
    <w:rsid w:val="00D172A7"/>
    <w:rsid w:val="00D177E0"/>
    <w:rsid w:val="00D22A90"/>
    <w:rsid w:val="00D26403"/>
    <w:rsid w:val="00D36647"/>
    <w:rsid w:val="00D575C8"/>
    <w:rsid w:val="00D74262"/>
    <w:rsid w:val="00D81CA6"/>
    <w:rsid w:val="00D83EC5"/>
    <w:rsid w:val="00D86135"/>
    <w:rsid w:val="00D877A4"/>
    <w:rsid w:val="00DB3590"/>
    <w:rsid w:val="00DD65A6"/>
    <w:rsid w:val="00DE4C92"/>
    <w:rsid w:val="00E20D44"/>
    <w:rsid w:val="00E60E6A"/>
    <w:rsid w:val="00E6147B"/>
    <w:rsid w:val="00E6349C"/>
    <w:rsid w:val="00E839CD"/>
    <w:rsid w:val="00E873A8"/>
    <w:rsid w:val="00EC3072"/>
    <w:rsid w:val="00ED35DA"/>
    <w:rsid w:val="00ED7575"/>
    <w:rsid w:val="00EE0EB2"/>
    <w:rsid w:val="00EF58F4"/>
    <w:rsid w:val="00F019E3"/>
    <w:rsid w:val="00F11BC0"/>
    <w:rsid w:val="00F24733"/>
    <w:rsid w:val="00F4013E"/>
    <w:rsid w:val="00F419A7"/>
    <w:rsid w:val="00F65268"/>
    <w:rsid w:val="00F70BF4"/>
    <w:rsid w:val="00F740B5"/>
    <w:rsid w:val="00F75BCB"/>
    <w:rsid w:val="00F979BA"/>
    <w:rsid w:val="00FB1CC6"/>
    <w:rsid w:val="00FC5BD6"/>
    <w:rsid w:val="00FD11F1"/>
    <w:rsid w:val="00FD727F"/>
    <w:rsid w:val="00FF6CE5"/>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B373F-8BE4-4B68-89E3-6F547444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3FD"/>
  </w:style>
  <w:style w:type="paragraph" w:styleId="Heading1">
    <w:name w:val="heading 1"/>
    <w:basedOn w:val="Normal"/>
    <w:link w:val="Heading1Char"/>
    <w:uiPriority w:val="9"/>
    <w:qFormat/>
    <w:rsid w:val="002454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54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54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3FD"/>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uiPriority w:val="99"/>
    <w:rsid w:val="00B976C2"/>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uiPriority w:val="99"/>
    <w:semiHidden/>
    <w:rsid w:val="00B976C2"/>
    <w:rPr>
      <w:sz w:val="20"/>
      <w:szCs w:val="20"/>
    </w:rPr>
  </w:style>
  <w:style w:type="character" w:styleId="FootnoteReference">
    <w:name w:val="footnote reference"/>
    <w:basedOn w:val="DefaultParagraphFont"/>
    <w:uiPriority w:val="99"/>
    <w:semiHidden/>
    <w:rsid w:val="00B976C2"/>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B976C2"/>
    <w:rPr>
      <w:rFonts w:ascii="Times New Roman" w:eastAsia="Times New Roman" w:hAnsi="Times New Roman" w:cs="Times New Roman"/>
      <w:szCs w:val="20"/>
    </w:rPr>
  </w:style>
  <w:style w:type="character" w:styleId="Hyperlink">
    <w:name w:val="Hyperlink"/>
    <w:basedOn w:val="DefaultParagraphFont"/>
    <w:uiPriority w:val="99"/>
    <w:unhideWhenUsed/>
    <w:rsid w:val="00413F4C"/>
    <w:rPr>
      <w:color w:val="0000FF" w:themeColor="hyperlink"/>
      <w:u w:val="single"/>
    </w:rPr>
  </w:style>
  <w:style w:type="character" w:customStyle="1" w:styleId="Heading1Char">
    <w:name w:val="Heading 1 Char"/>
    <w:basedOn w:val="DefaultParagraphFont"/>
    <w:link w:val="Heading1"/>
    <w:uiPriority w:val="9"/>
    <w:rsid w:val="002454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54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5414"/>
    <w:rPr>
      <w:rFonts w:ascii="Times New Roman" w:eastAsia="Times New Roman" w:hAnsi="Times New Roman" w:cs="Times New Roman"/>
      <w:b/>
      <w:bCs/>
      <w:sz w:val="27"/>
      <w:szCs w:val="27"/>
    </w:rPr>
  </w:style>
  <w:style w:type="paragraph" w:customStyle="1" w:styleId="ms-rteelement-p">
    <w:name w:val="ms-rteelement-p"/>
    <w:basedOn w:val="Normal"/>
    <w:rsid w:val="002454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54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4B"/>
  </w:style>
  <w:style w:type="paragraph" w:styleId="Footer">
    <w:name w:val="footer"/>
    <w:basedOn w:val="Normal"/>
    <w:link w:val="FooterChar"/>
    <w:uiPriority w:val="99"/>
    <w:unhideWhenUsed/>
    <w:rsid w:val="0070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4B"/>
  </w:style>
  <w:style w:type="paragraph" w:styleId="BalloonText">
    <w:name w:val="Balloon Text"/>
    <w:basedOn w:val="Normal"/>
    <w:link w:val="BalloonTextChar"/>
    <w:uiPriority w:val="99"/>
    <w:semiHidden/>
    <w:unhideWhenUsed/>
    <w:rsid w:val="0035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19892">
      <w:bodyDiv w:val="1"/>
      <w:marLeft w:val="0"/>
      <w:marRight w:val="0"/>
      <w:marTop w:val="0"/>
      <w:marBottom w:val="0"/>
      <w:divBdr>
        <w:top w:val="none" w:sz="0" w:space="0" w:color="auto"/>
        <w:left w:val="none" w:sz="0" w:space="0" w:color="auto"/>
        <w:bottom w:val="none" w:sz="0" w:space="0" w:color="auto"/>
        <w:right w:val="none" w:sz="0" w:space="0" w:color="auto"/>
      </w:divBdr>
    </w:div>
    <w:div w:id="1692877787">
      <w:bodyDiv w:val="1"/>
      <w:marLeft w:val="0"/>
      <w:marRight w:val="0"/>
      <w:marTop w:val="0"/>
      <w:marBottom w:val="0"/>
      <w:divBdr>
        <w:top w:val="none" w:sz="0" w:space="0" w:color="auto"/>
        <w:left w:val="none" w:sz="0" w:space="0" w:color="auto"/>
        <w:bottom w:val="none" w:sz="0" w:space="0" w:color="auto"/>
        <w:right w:val="none" w:sz="0" w:space="0" w:color="auto"/>
      </w:divBdr>
      <w:divsChild>
        <w:div w:id="1778062213">
          <w:marLeft w:val="0"/>
          <w:marRight w:val="0"/>
          <w:marTop w:val="0"/>
          <w:marBottom w:val="0"/>
          <w:divBdr>
            <w:top w:val="none" w:sz="0" w:space="0" w:color="auto"/>
            <w:left w:val="none" w:sz="0" w:space="0" w:color="auto"/>
            <w:bottom w:val="none" w:sz="0" w:space="0" w:color="auto"/>
            <w:right w:val="none" w:sz="0" w:space="0" w:color="auto"/>
          </w:divBdr>
        </w:div>
        <w:div w:id="1321882099">
          <w:marLeft w:val="0"/>
          <w:marRight w:val="0"/>
          <w:marTop w:val="0"/>
          <w:marBottom w:val="0"/>
          <w:divBdr>
            <w:top w:val="none" w:sz="0" w:space="0" w:color="auto"/>
            <w:left w:val="none" w:sz="0" w:space="0" w:color="auto"/>
            <w:bottom w:val="none" w:sz="0" w:space="0" w:color="auto"/>
            <w:right w:val="none" w:sz="0" w:space="0" w:color="auto"/>
          </w:divBdr>
          <w:divsChild>
            <w:div w:id="1855918907">
              <w:marLeft w:val="0"/>
              <w:marRight w:val="0"/>
              <w:marTop w:val="0"/>
              <w:marBottom w:val="0"/>
              <w:divBdr>
                <w:top w:val="none" w:sz="0" w:space="0" w:color="auto"/>
                <w:left w:val="none" w:sz="0" w:space="0" w:color="auto"/>
                <w:bottom w:val="none" w:sz="0" w:space="0" w:color="auto"/>
                <w:right w:val="none" w:sz="0" w:space="0" w:color="auto"/>
              </w:divBdr>
              <w:divsChild>
                <w:div w:id="1001473969">
                  <w:marLeft w:val="0"/>
                  <w:marRight w:val="0"/>
                  <w:marTop w:val="0"/>
                  <w:marBottom w:val="0"/>
                  <w:divBdr>
                    <w:top w:val="none" w:sz="0" w:space="0" w:color="auto"/>
                    <w:left w:val="none" w:sz="0" w:space="0" w:color="auto"/>
                    <w:bottom w:val="none" w:sz="0" w:space="0" w:color="auto"/>
                    <w:right w:val="none" w:sz="0" w:space="0" w:color="auto"/>
                  </w:divBdr>
                  <w:divsChild>
                    <w:div w:id="1142427987">
                      <w:marLeft w:val="0"/>
                      <w:marRight w:val="0"/>
                      <w:marTop w:val="0"/>
                      <w:marBottom w:val="0"/>
                      <w:divBdr>
                        <w:top w:val="none" w:sz="0" w:space="0" w:color="auto"/>
                        <w:left w:val="none" w:sz="0" w:space="0" w:color="auto"/>
                        <w:bottom w:val="none" w:sz="0" w:space="0" w:color="auto"/>
                        <w:right w:val="none" w:sz="0" w:space="0" w:color="auto"/>
                      </w:divBdr>
                      <w:divsChild>
                        <w:div w:id="781075219">
                          <w:marLeft w:val="0"/>
                          <w:marRight w:val="0"/>
                          <w:marTop w:val="0"/>
                          <w:marBottom w:val="0"/>
                          <w:divBdr>
                            <w:top w:val="none" w:sz="0" w:space="0" w:color="auto"/>
                            <w:left w:val="none" w:sz="0" w:space="0" w:color="auto"/>
                            <w:bottom w:val="none" w:sz="0" w:space="0" w:color="auto"/>
                            <w:right w:val="none" w:sz="0" w:space="0" w:color="auto"/>
                          </w:divBdr>
                          <w:divsChild>
                            <w:div w:id="1921014940">
                              <w:marLeft w:val="0"/>
                              <w:marRight w:val="0"/>
                              <w:marTop w:val="0"/>
                              <w:marBottom w:val="0"/>
                              <w:divBdr>
                                <w:top w:val="none" w:sz="0" w:space="0" w:color="auto"/>
                                <w:left w:val="none" w:sz="0" w:space="0" w:color="auto"/>
                                <w:bottom w:val="none" w:sz="0" w:space="0" w:color="auto"/>
                                <w:right w:val="none" w:sz="0" w:space="0" w:color="auto"/>
                              </w:divBdr>
                              <w:divsChild>
                                <w:div w:id="1579942998">
                                  <w:marLeft w:val="0"/>
                                  <w:marRight w:val="0"/>
                                  <w:marTop w:val="0"/>
                                  <w:marBottom w:val="0"/>
                                  <w:divBdr>
                                    <w:top w:val="none" w:sz="0" w:space="0" w:color="auto"/>
                                    <w:left w:val="none" w:sz="0" w:space="0" w:color="auto"/>
                                    <w:bottom w:val="none" w:sz="0" w:space="0" w:color="auto"/>
                                    <w:right w:val="none" w:sz="0" w:space="0" w:color="auto"/>
                                  </w:divBdr>
                                  <w:divsChild>
                                    <w:div w:id="1839226062">
                                      <w:marLeft w:val="0"/>
                                      <w:marRight w:val="0"/>
                                      <w:marTop w:val="0"/>
                                      <w:marBottom w:val="0"/>
                                      <w:divBdr>
                                        <w:top w:val="none" w:sz="0" w:space="0" w:color="auto"/>
                                        <w:left w:val="none" w:sz="0" w:space="0" w:color="auto"/>
                                        <w:bottom w:val="none" w:sz="0" w:space="0" w:color="auto"/>
                                        <w:right w:val="none" w:sz="0" w:space="0" w:color="auto"/>
                                      </w:divBdr>
                                      <w:divsChild>
                                        <w:div w:id="1223253168">
                                          <w:marLeft w:val="0"/>
                                          <w:marRight w:val="0"/>
                                          <w:marTop w:val="0"/>
                                          <w:marBottom w:val="0"/>
                                          <w:divBdr>
                                            <w:top w:val="none" w:sz="0" w:space="0" w:color="auto"/>
                                            <w:left w:val="none" w:sz="0" w:space="0" w:color="auto"/>
                                            <w:bottom w:val="none" w:sz="0" w:space="0" w:color="auto"/>
                                            <w:right w:val="none" w:sz="0" w:space="0" w:color="auto"/>
                                          </w:divBdr>
                                          <w:divsChild>
                                            <w:div w:id="1164932197">
                                              <w:marLeft w:val="0"/>
                                              <w:marRight w:val="0"/>
                                              <w:marTop w:val="0"/>
                                              <w:marBottom w:val="0"/>
                                              <w:divBdr>
                                                <w:top w:val="none" w:sz="0" w:space="0" w:color="auto"/>
                                                <w:left w:val="none" w:sz="0" w:space="0" w:color="auto"/>
                                                <w:bottom w:val="none" w:sz="0" w:space="0" w:color="auto"/>
                                                <w:right w:val="none" w:sz="0" w:space="0" w:color="auto"/>
                                              </w:divBdr>
                                              <w:divsChild>
                                                <w:div w:id="1916353232">
                                                  <w:marLeft w:val="0"/>
                                                  <w:marRight w:val="0"/>
                                                  <w:marTop w:val="0"/>
                                                  <w:marBottom w:val="0"/>
                                                  <w:divBdr>
                                                    <w:top w:val="none" w:sz="0" w:space="0" w:color="auto"/>
                                                    <w:left w:val="none" w:sz="0" w:space="0" w:color="auto"/>
                                                    <w:bottom w:val="none" w:sz="0" w:space="0" w:color="auto"/>
                                                    <w:right w:val="none" w:sz="0" w:space="0" w:color="auto"/>
                                                  </w:divBdr>
                                                </w:div>
                                                <w:div w:id="1541629037">
                                                  <w:marLeft w:val="0"/>
                                                  <w:marRight w:val="0"/>
                                                  <w:marTop w:val="0"/>
                                                  <w:marBottom w:val="0"/>
                                                  <w:divBdr>
                                                    <w:top w:val="none" w:sz="0" w:space="0" w:color="auto"/>
                                                    <w:left w:val="none" w:sz="0" w:space="0" w:color="auto"/>
                                                    <w:bottom w:val="none" w:sz="0" w:space="0" w:color="auto"/>
                                                    <w:right w:val="none" w:sz="0" w:space="0" w:color="auto"/>
                                                  </w:divBdr>
                                                  <w:divsChild>
                                                    <w:div w:id="1454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1867">
                                              <w:marLeft w:val="0"/>
                                              <w:marRight w:val="0"/>
                                              <w:marTop w:val="0"/>
                                              <w:marBottom w:val="0"/>
                                              <w:divBdr>
                                                <w:top w:val="none" w:sz="0" w:space="0" w:color="auto"/>
                                                <w:left w:val="none" w:sz="0" w:space="0" w:color="auto"/>
                                                <w:bottom w:val="none" w:sz="0" w:space="0" w:color="auto"/>
                                                <w:right w:val="none" w:sz="0" w:space="0" w:color="auto"/>
                                              </w:divBdr>
                                              <w:divsChild>
                                                <w:div w:id="1625189473">
                                                  <w:marLeft w:val="0"/>
                                                  <w:marRight w:val="0"/>
                                                  <w:marTop w:val="0"/>
                                                  <w:marBottom w:val="0"/>
                                                  <w:divBdr>
                                                    <w:top w:val="none" w:sz="0" w:space="0" w:color="auto"/>
                                                    <w:left w:val="none" w:sz="0" w:space="0" w:color="auto"/>
                                                    <w:bottom w:val="none" w:sz="0" w:space="0" w:color="auto"/>
                                                    <w:right w:val="none" w:sz="0" w:space="0" w:color="auto"/>
                                                  </w:divBdr>
                                                </w:div>
                                                <w:div w:id="1526096870">
                                                  <w:marLeft w:val="0"/>
                                                  <w:marRight w:val="0"/>
                                                  <w:marTop w:val="0"/>
                                                  <w:marBottom w:val="0"/>
                                                  <w:divBdr>
                                                    <w:top w:val="none" w:sz="0" w:space="0" w:color="auto"/>
                                                    <w:left w:val="none" w:sz="0" w:space="0" w:color="auto"/>
                                                    <w:bottom w:val="none" w:sz="0" w:space="0" w:color="auto"/>
                                                    <w:right w:val="none" w:sz="0" w:space="0" w:color="auto"/>
                                                  </w:divBdr>
                                                  <w:divsChild>
                                                    <w:div w:id="13560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5298">
                                              <w:marLeft w:val="0"/>
                                              <w:marRight w:val="0"/>
                                              <w:marTop w:val="0"/>
                                              <w:marBottom w:val="0"/>
                                              <w:divBdr>
                                                <w:top w:val="none" w:sz="0" w:space="0" w:color="auto"/>
                                                <w:left w:val="none" w:sz="0" w:space="0" w:color="auto"/>
                                                <w:bottom w:val="none" w:sz="0" w:space="0" w:color="auto"/>
                                                <w:right w:val="none" w:sz="0" w:space="0" w:color="auto"/>
                                              </w:divBdr>
                                              <w:divsChild>
                                                <w:div w:id="222329432">
                                                  <w:marLeft w:val="0"/>
                                                  <w:marRight w:val="0"/>
                                                  <w:marTop w:val="0"/>
                                                  <w:marBottom w:val="0"/>
                                                  <w:divBdr>
                                                    <w:top w:val="none" w:sz="0" w:space="0" w:color="auto"/>
                                                    <w:left w:val="none" w:sz="0" w:space="0" w:color="auto"/>
                                                    <w:bottom w:val="none" w:sz="0" w:space="0" w:color="auto"/>
                                                    <w:right w:val="none" w:sz="0" w:space="0" w:color="auto"/>
                                                  </w:divBdr>
                                                </w:div>
                                                <w:div w:id="787895566">
                                                  <w:marLeft w:val="0"/>
                                                  <w:marRight w:val="0"/>
                                                  <w:marTop w:val="0"/>
                                                  <w:marBottom w:val="0"/>
                                                  <w:divBdr>
                                                    <w:top w:val="none" w:sz="0" w:space="0" w:color="auto"/>
                                                    <w:left w:val="none" w:sz="0" w:space="0" w:color="auto"/>
                                                    <w:bottom w:val="none" w:sz="0" w:space="0" w:color="auto"/>
                                                    <w:right w:val="none" w:sz="0" w:space="0" w:color="auto"/>
                                                  </w:divBdr>
                                                  <w:divsChild>
                                                    <w:div w:id="19671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587295">
                              <w:marLeft w:val="0"/>
                              <w:marRight w:val="0"/>
                              <w:marTop w:val="0"/>
                              <w:marBottom w:val="0"/>
                              <w:divBdr>
                                <w:top w:val="none" w:sz="0" w:space="0" w:color="auto"/>
                                <w:left w:val="none" w:sz="0" w:space="0" w:color="auto"/>
                                <w:bottom w:val="none" w:sz="0" w:space="0" w:color="auto"/>
                                <w:right w:val="none" w:sz="0" w:space="0" w:color="auto"/>
                              </w:divBdr>
                              <w:divsChild>
                                <w:div w:id="792821615">
                                  <w:marLeft w:val="0"/>
                                  <w:marRight w:val="0"/>
                                  <w:marTop w:val="0"/>
                                  <w:marBottom w:val="0"/>
                                  <w:divBdr>
                                    <w:top w:val="none" w:sz="0" w:space="0" w:color="auto"/>
                                    <w:left w:val="none" w:sz="0" w:space="0" w:color="auto"/>
                                    <w:bottom w:val="none" w:sz="0" w:space="0" w:color="auto"/>
                                    <w:right w:val="none" w:sz="0" w:space="0" w:color="auto"/>
                                  </w:divBdr>
                                  <w:divsChild>
                                    <w:div w:id="3501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053260">
      <w:bodyDiv w:val="1"/>
      <w:marLeft w:val="0"/>
      <w:marRight w:val="0"/>
      <w:marTop w:val="0"/>
      <w:marBottom w:val="0"/>
      <w:divBdr>
        <w:top w:val="none" w:sz="0" w:space="0" w:color="auto"/>
        <w:left w:val="none" w:sz="0" w:space="0" w:color="auto"/>
        <w:bottom w:val="none" w:sz="0" w:space="0" w:color="auto"/>
        <w:right w:val="none" w:sz="0" w:space="0" w:color="auto"/>
      </w:divBdr>
      <w:divsChild>
        <w:div w:id="1131702541">
          <w:marLeft w:val="0"/>
          <w:marRight w:val="0"/>
          <w:marTop w:val="0"/>
          <w:marBottom w:val="0"/>
          <w:divBdr>
            <w:top w:val="none" w:sz="0" w:space="0" w:color="auto"/>
            <w:left w:val="none" w:sz="0" w:space="0" w:color="auto"/>
            <w:bottom w:val="none" w:sz="0" w:space="0" w:color="auto"/>
            <w:right w:val="none" w:sz="0" w:space="0" w:color="auto"/>
          </w:divBdr>
        </w:div>
        <w:div w:id="938410335">
          <w:marLeft w:val="0"/>
          <w:marRight w:val="0"/>
          <w:marTop w:val="0"/>
          <w:marBottom w:val="0"/>
          <w:divBdr>
            <w:top w:val="none" w:sz="0" w:space="0" w:color="auto"/>
            <w:left w:val="none" w:sz="0" w:space="0" w:color="auto"/>
            <w:bottom w:val="none" w:sz="0" w:space="0" w:color="auto"/>
            <w:right w:val="none" w:sz="0" w:space="0" w:color="auto"/>
          </w:divBdr>
        </w:div>
        <w:div w:id="644356513">
          <w:marLeft w:val="0"/>
          <w:marRight w:val="0"/>
          <w:marTop w:val="0"/>
          <w:marBottom w:val="0"/>
          <w:divBdr>
            <w:top w:val="none" w:sz="0" w:space="0" w:color="auto"/>
            <w:left w:val="none" w:sz="0" w:space="0" w:color="auto"/>
            <w:bottom w:val="none" w:sz="0" w:space="0" w:color="auto"/>
            <w:right w:val="none" w:sz="0" w:space="0" w:color="auto"/>
          </w:divBdr>
        </w:div>
        <w:div w:id="974259363">
          <w:marLeft w:val="0"/>
          <w:marRight w:val="0"/>
          <w:marTop w:val="0"/>
          <w:marBottom w:val="0"/>
          <w:divBdr>
            <w:top w:val="none" w:sz="0" w:space="0" w:color="auto"/>
            <w:left w:val="none" w:sz="0" w:space="0" w:color="auto"/>
            <w:bottom w:val="none" w:sz="0" w:space="0" w:color="auto"/>
            <w:right w:val="none" w:sz="0" w:space="0" w:color="auto"/>
          </w:divBdr>
        </w:div>
      </w:divsChild>
    </w:div>
    <w:div w:id="2139376151">
      <w:bodyDiv w:val="1"/>
      <w:marLeft w:val="0"/>
      <w:marRight w:val="0"/>
      <w:marTop w:val="0"/>
      <w:marBottom w:val="0"/>
      <w:divBdr>
        <w:top w:val="none" w:sz="0" w:space="0" w:color="auto"/>
        <w:left w:val="none" w:sz="0" w:space="0" w:color="auto"/>
        <w:bottom w:val="none" w:sz="0" w:space="0" w:color="auto"/>
        <w:right w:val="none" w:sz="0" w:space="0" w:color="auto"/>
      </w:divBdr>
      <w:divsChild>
        <w:div w:id="1063792328">
          <w:marLeft w:val="0"/>
          <w:marRight w:val="0"/>
          <w:marTop w:val="0"/>
          <w:marBottom w:val="0"/>
          <w:divBdr>
            <w:top w:val="none" w:sz="0" w:space="0" w:color="auto"/>
            <w:left w:val="none" w:sz="0" w:space="0" w:color="auto"/>
            <w:bottom w:val="none" w:sz="0" w:space="0" w:color="auto"/>
            <w:right w:val="none" w:sz="0" w:space="0" w:color="auto"/>
          </w:divBdr>
        </w:div>
        <w:div w:id="1404722160">
          <w:marLeft w:val="0"/>
          <w:marRight w:val="0"/>
          <w:marTop w:val="0"/>
          <w:marBottom w:val="0"/>
          <w:divBdr>
            <w:top w:val="none" w:sz="0" w:space="0" w:color="auto"/>
            <w:left w:val="none" w:sz="0" w:space="0" w:color="auto"/>
            <w:bottom w:val="none" w:sz="0" w:space="0" w:color="auto"/>
            <w:right w:val="none" w:sz="0" w:space="0" w:color="auto"/>
          </w:divBdr>
        </w:div>
        <w:div w:id="838277841">
          <w:marLeft w:val="0"/>
          <w:marRight w:val="0"/>
          <w:marTop w:val="0"/>
          <w:marBottom w:val="0"/>
          <w:divBdr>
            <w:top w:val="none" w:sz="0" w:space="0" w:color="auto"/>
            <w:left w:val="none" w:sz="0" w:space="0" w:color="auto"/>
            <w:bottom w:val="none" w:sz="0" w:space="0" w:color="auto"/>
            <w:right w:val="none" w:sz="0" w:space="0" w:color="auto"/>
          </w:divBdr>
        </w:div>
        <w:div w:id="1696226496">
          <w:marLeft w:val="0"/>
          <w:marRight w:val="0"/>
          <w:marTop w:val="0"/>
          <w:marBottom w:val="0"/>
          <w:divBdr>
            <w:top w:val="none" w:sz="0" w:space="0" w:color="auto"/>
            <w:left w:val="none" w:sz="0" w:space="0" w:color="auto"/>
            <w:bottom w:val="none" w:sz="0" w:space="0" w:color="auto"/>
            <w:right w:val="none" w:sz="0" w:space="0" w:color="auto"/>
          </w:divBdr>
        </w:div>
        <w:div w:id="1565946951">
          <w:marLeft w:val="0"/>
          <w:marRight w:val="0"/>
          <w:marTop w:val="0"/>
          <w:marBottom w:val="0"/>
          <w:divBdr>
            <w:top w:val="none" w:sz="0" w:space="0" w:color="auto"/>
            <w:left w:val="none" w:sz="0" w:space="0" w:color="auto"/>
            <w:bottom w:val="none" w:sz="0" w:space="0" w:color="auto"/>
            <w:right w:val="none" w:sz="0" w:space="0" w:color="auto"/>
          </w:divBdr>
        </w:div>
        <w:div w:id="1867909734">
          <w:marLeft w:val="0"/>
          <w:marRight w:val="0"/>
          <w:marTop w:val="0"/>
          <w:marBottom w:val="0"/>
          <w:divBdr>
            <w:top w:val="none" w:sz="0" w:space="0" w:color="auto"/>
            <w:left w:val="none" w:sz="0" w:space="0" w:color="auto"/>
            <w:bottom w:val="none" w:sz="0" w:space="0" w:color="auto"/>
            <w:right w:val="none" w:sz="0" w:space="0" w:color="auto"/>
          </w:divBdr>
        </w:div>
        <w:div w:id="61342086">
          <w:marLeft w:val="0"/>
          <w:marRight w:val="0"/>
          <w:marTop w:val="0"/>
          <w:marBottom w:val="0"/>
          <w:divBdr>
            <w:top w:val="none" w:sz="0" w:space="0" w:color="auto"/>
            <w:left w:val="none" w:sz="0" w:space="0" w:color="auto"/>
            <w:bottom w:val="none" w:sz="0" w:space="0" w:color="auto"/>
            <w:right w:val="none" w:sz="0" w:space="0" w:color="auto"/>
          </w:divBdr>
        </w:div>
        <w:div w:id="1886331768">
          <w:marLeft w:val="0"/>
          <w:marRight w:val="0"/>
          <w:marTop w:val="0"/>
          <w:marBottom w:val="0"/>
          <w:divBdr>
            <w:top w:val="none" w:sz="0" w:space="0" w:color="auto"/>
            <w:left w:val="none" w:sz="0" w:space="0" w:color="auto"/>
            <w:bottom w:val="none" w:sz="0" w:space="0" w:color="auto"/>
            <w:right w:val="none" w:sz="0" w:space="0" w:color="auto"/>
          </w:divBdr>
        </w:div>
        <w:div w:id="1327828612">
          <w:marLeft w:val="0"/>
          <w:marRight w:val="0"/>
          <w:marTop w:val="0"/>
          <w:marBottom w:val="0"/>
          <w:divBdr>
            <w:top w:val="none" w:sz="0" w:space="0" w:color="auto"/>
            <w:left w:val="none" w:sz="0" w:space="0" w:color="auto"/>
            <w:bottom w:val="none" w:sz="0" w:space="0" w:color="auto"/>
            <w:right w:val="none" w:sz="0" w:space="0" w:color="auto"/>
          </w:divBdr>
        </w:div>
        <w:div w:id="1833834577">
          <w:marLeft w:val="0"/>
          <w:marRight w:val="0"/>
          <w:marTop w:val="0"/>
          <w:marBottom w:val="0"/>
          <w:divBdr>
            <w:top w:val="none" w:sz="0" w:space="0" w:color="auto"/>
            <w:left w:val="none" w:sz="0" w:space="0" w:color="auto"/>
            <w:bottom w:val="none" w:sz="0" w:space="0" w:color="auto"/>
            <w:right w:val="none" w:sz="0" w:space="0" w:color="auto"/>
          </w:divBdr>
        </w:div>
        <w:div w:id="1751154463">
          <w:marLeft w:val="0"/>
          <w:marRight w:val="0"/>
          <w:marTop w:val="0"/>
          <w:marBottom w:val="0"/>
          <w:divBdr>
            <w:top w:val="none" w:sz="0" w:space="0" w:color="auto"/>
            <w:left w:val="none" w:sz="0" w:space="0" w:color="auto"/>
            <w:bottom w:val="none" w:sz="0" w:space="0" w:color="auto"/>
            <w:right w:val="none" w:sz="0" w:space="0" w:color="auto"/>
          </w:divBdr>
        </w:div>
        <w:div w:id="1912420966">
          <w:marLeft w:val="0"/>
          <w:marRight w:val="0"/>
          <w:marTop w:val="0"/>
          <w:marBottom w:val="0"/>
          <w:divBdr>
            <w:top w:val="none" w:sz="0" w:space="0" w:color="auto"/>
            <w:left w:val="none" w:sz="0" w:space="0" w:color="auto"/>
            <w:bottom w:val="none" w:sz="0" w:space="0" w:color="auto"/>
            <w:right w:val="none" w:sz="0" w:space="0" w:color="auto"/>
          </w:divBdr>
        </w:div>
        <w:div w:id="1646399704">
          <w:marLeft w:val="0"/>
          <w:marRight w:val="0"/>
          <w:marTop w:val="0"/>
          <w:marBottom w:val="0"/>
          <w:divBdr>
            <w:top w:val="none" w:sz="0" w:space="0" w:color="auto"/>
            <w:left w:val="none" w:sz="0" w:space="0" w:color="auto"/>
            <w:bottom w:val="none" w:sz="0" w:space="0" w:color="auto"/>
            <w:right w:val="none" w:sz="0" w:space="0" w:color="auto"/>
          </w:divBdr>
        </w:div>
        <w:div w:id="1132140639">
          <w:marLeft w:val="0"/>
          <w:marRight w:val="0"/>
          <w:marTop w:val="0"/>
          <w:marBottom w:val="0"/>
          <w:divBdr>
            <w:top w:val="none" w:sz="0" w:space="0" w:color="auto"/>
            <w:left w:val="none" w:sz="0" w:space="0" w:color="auto"/>
            <w:bottom w:val="none" w:sz="0" w:space="0" w:color="auto"/>
            <w:right w:val="none" w:sz="0" w:space="0" w:color="auto"/>
          </w:divBdr>
        </w:div>
        <w:div w:id="2085762062">
          <w:marLeft w:val="0"/>
          <w:marRight w:val="0"/>
          <w:marTop w:val="0"/>
          <w:marBottom w:val="0"/>
          <w:divBdr>
            <w:top w:val="none" w:sz="0" w:space="0" w:color="auto"/>
            <w:left w:val="none" w:sz="0" w:space="0" w:color="auto"/>
            <w:bottom w:val="none" w:sz="0" w:space="0" w:color="auto"/>
            <w:right w:val="none" w:sz="0" w:space="0" w:color="auto"/>
          </w:divBdr>
        </w:div>
        <w:div w:id="142237237">
          <w:marLeft w:val="0"/>
          <w:marRight w:val="0"/>
          <w:marTop w:val="0"/>
          <w:marBottom w:val="0"/>
          <w:divBdr>
            <w:top w:val="none" w:sz="0" w:space="0" w:color="auto"/>
            <w:left w:val="none" w:sz="0" w:space="0" w:color="auto"/>
            <w:bottom w:val="none" w:sz="0" w:space="0" w:color="auto"/>
            <w:right w:val="none" w:sz="0" w:space="0" w:color="auto"/>
          </w:divBdr>
        </w:div>
        <w:div w:id="702822645">
          <w:marLeft w:val="0"/>
          <w:marRight w:val="0"/>
          <w:marTop w:val="0"/>
          <w:marBottom w:val="0"/>
          <w:divBdr>
            <w:top w:val="none" w:sz="0" w:space="0" w:color="auto"/>
            <w:left w:val="none" w:sz="0" w:space="0" w:color="auto"/>
            <w:bottom w:val="none" w:sz="0" w:space="0" w:color="auto"/>
            <w:right w:val="none" w:sz="0" w:space="0" w:color="auto"/>
          </w:divBdr>
        </w:div>
        <w:div w:id="720596011">
          <w:marLeft w:val="0"/>
          <w:marRight w:val="0"/>
          <w:marTop w:val="0"/>
          <w:marBottom w:val="0"/>
          <w:divBdr>
            <w:top w:val="none" w:sz="0" w:space="0" w:color="auto"/>
            <w:left w:val="none" w:sz="0" w:space="0" w:color="auto"/>
            <w:bottom w:val="none" w:sz="0" w:space="0" w:color="auto"/>
            <w:right w:val="none" w:sz="0" w:space="0" w:color="auto"/>
          </w:divBdr>
        </w:div>
        <w:div w:id="1671251387">
          <w:marLeft w:val="0"/>
          <w:marRight w:val="0"/>
          <w:marTop w:val="0"/>
          <w:marBottom w:val="0"/>
          <w:divBdr>
            <w:top w:val="none" w:sz="0" w:space="0" w:color="auto"/>
            <w:left w:val="none" w:sz="0" w:space="0" w:color="auto"/>
            <w:bottom w:val="none" w:sz="0" w:space="0" w:color="auto"/>
            <w:right w:val="none" w:sz="0" w:space="0" w:color="auto"/>
          </w:divBdr>
        </w:div>
        <w:div w:id="944656531">
          <w:marLeft w:val="0"/>
          <w:marRight w:val="0"/>
          <w:marTop w:val="0"/>
          <w:marBottom w:val="0"/>
          <w:divBdr>
            <w:top w:val="none" w:sz="0" w:space="0" w:color="auto"/>
            <w:left w:val="none" w:sz="0" w:space="0" w:color="auto"/>
            <w:bottom w:val="none" w:sz="0" w:space="0" w:color="auto"/>
            <w:right w:val="none" w:sz="0" w:space="0" w:color="auto"/>
          </w:divBdr>
        </w:div>
        <w:div w:id="714158287">
          <w:marLeft w:val="0"/>
          <w:marRight w:val="0"/>
          <w:marTop w:val="0"/>
          <w:marBottom w:val="0"/>
          <w:divBdr>
            <w:top w:val="none" w:sz="0" w:space="0" w:color="auto"/>
            <w:left w:val="none" w:sz="0" w:space="0" w:color="auto"/>
            <w:bottom w:val="none" w:sz="0" w:space="0" w:color="auto"/>
            <w:right w:val="none" w:sz="0" w:space="0" w:color="auto"/>
          </w:divBdr>
        </w:div>
        <w:div w:id="204373871">
          <w:marLeft w:val="0"/>
          <w:marRight w:val="0"/>
          <w:marTop w:val="0"/>
          <w:marBottom w:val="0"/>
          <w:divBdr>
            <w:top w:val="none" w:sz="0" w:space="0" w:color="auto"/>
            <w:left w:val="none" w:sz="0" w:space="0" w:color="auto"/>
            <w:bottom w:val="none" w:sz="0" w:space="0" w:color="auto"/>
            <w:right w:val="none" w:sz="0" w:space="0" w:color="auto"/>
          </w:divBdr>
        </w:div>
        <w:div w:id="29308666">
          <w:marLeft w:val="0"/>
          <w:marRight w:val="0"/>
          <w:marTop w:val="0"/>
          <w:marBottom w:val="0"/>
          <w:divBdr>
            <w:top w:val="none" w:sz="0" w:space="0" w:color="auto"/>
            <w:left w:val="none" w:sz="0" w:space="0" w:color="auto"/>
            <w:bottom w:val="none" w:sz="0" w:space="0" w:color="auto"/>
            <w:right w:val="none" w:sz="0" w:space="0" w:color="auto"/>
          </w:divBdr>
        </w:div>
        <w:div w:id="894196184">
          <w:marLeft w:val="0"/>
          <w:marRight w:val="0"/>
          <w:marTop w:val="0"/>
          <w:marBottom w:val="0"/>
          <w:divBdr>
            <w:top w:val="none" w:sz="0" w:space="0" w:color="auto"/>
            <w:left w:val="none" w:sz="0" w:space="0" w:color="auto"/>
            <w:bottom w:val="none" w:sz="0" w:space="0" w:color="auto"/>
            <w:right w:val="none" w:sz="0" w:space="0" w:color="auto"/>
          </w:divBdr>
        </w:div>
        <w:div w:id="1151408437">
          <w:marLeft w:val="0"/>
          <w:marRight w:val="0"/>
          <w:marTop w:val="0"/>
          <w:marBottom w:val="0"/>
          <w:divBdr>
            <w:top w:val="none" w:sz="0" w:space="0" w:color="auto"/>
            <w:left w:val="none" w:sz="0" w:space="0" w:color="auto"/>
            <w:bottom w:val="none" w:sz="0" w:space="0" w:color="auto"/>
            <w:right w:val="none" w:sz="0" w:space="0" w:color="auto"/>
          </w:divBdr>
        </w:div>
        <w:div w:id="210191496">
          <w:marLeft w:val="0"/>
          <w:marRight w:val="0"/>
          <w:marTop w:val="0"/>
          <w:marBottom w:val="0"/>
          <w:divBdr>
            <w:top w:val="none" w:sz="0" w:space="0" w:color="auto"/>
            <w:left w:val="none" w:sz="0" w:space="0" w:color="auto"/>
            <w:bottom w:val="none" w:sz="0" w:space="0" w:color="auto"/>
            <w:right w:val="none" w:sz="0" w:space="0" w:color="auto"/>
          </w:divBdr>
        </w:div>
        <w:div w:id="557128593">
          <w:marLeft w:val="0"/>
          <w:marRight w:val="0"/>
          <w:marTop w:val="0"/>
          <w:marBottom w:val="0"/>
          <w:divBdr>
            <w:top w:val="none" w:sz="0" w:space="0" w:color="auto"/>
            <w:left w:val="none" w:sz="0" w:space="0" w:color="auto"/>
            <w:bottom w:val="none" w:sz="0" w:space="0" w:color="auto"/>
            <w:right w:val="none" w:sz="0" w:space="0" w:color="auto"/>
          </w:divBdr>
        </w:div>
        <w:div w:id="665672758">
          <w:marLeft w:val="0"/>
          <w:marRight w:val="0"/>
          <w:marTop w:val="0"/>
          <w:marBottom w:val="0"/>
          <w:divBdr>
            <w:top w:val="none" w:sz="0" w:space="0" w:color="auto"/>
            <w:left w:val="none" w:sz="0" w:space="0" w:color="auto"/>
            <w:bottom w:val="none" w:sz="0" w:space="0" w:color="auto"/>
            <w:right w:val="none" w:sz="0" w:space="0" w:color="auto"/>
          </w:divBdr>
        </w:div>
        <w:div w:id="757562015">
          <w:marLeft w:val="0"/>
          <w:marRight w:val="0"/>
          <w:marTop w:val="0"/>
          <w:marBottom w:val="0"/>
          <w:divBdr>
            <w:top w:val="none" w:sz="0" w:space="0" w:color="auto"/>
            <w:left w:val="none" w:sz="0" w:space="0" w:color="auto"/>
            <w:bottom w:val="none" w:sz="0" w:space="0" w:color="auto"/>
            <w:right w:val="none" w:sz="0" w:space="0" w:color="auto"/>
          </w:divBdr>
        </w:div>
        <w:div w:id="1109617154">
          <w:marLeft w:val="0"/>
          <w:marRight w:val="0"/>
          <w:marTop w:val="0"/>
          <w:marBottom w:val="0"/>
          <w:divBdr>
            <w:top w:val="none" w:sz="0" w:space="0" w:color="auto"/>
            <w:left w:val="none" w:sz="0" w:space="0" w:color="auto"/>
            <w:bottom w:val="none" w:sz="0" w:space="0" w:color="auto"/>
            <w:right w:val="none" w:sz="0" w:space="0" w:color="auto"/>
          </w:divBdr>
        </w:div>
        <w:div w:id="109858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val.org/p/cm/ld/fid=5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2016-07-19T07:00:00+00:00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66EFC9-AD43-40D0-B1EA-A04BE779637D}"/>
</file>

<file path=customXml/itemProps2.xml><?xml version="1.0" encoding="utf-8"?>
<ds:datastoreItem xmlns:ds="http://schemas.openxmlformats.org/officeDocument/2006/customXml" ds:itemID="{6D8BF09C-021D-4ED8-A635-1235A74382C0}"/>
</file>

<file path=customXml/itemProps3.xml><?xml version="1.0" encoding="utf-8"?>
<ds:datastoreItem xmlns:ds="http://schemas.openxmlformats.org/officeDocument/2006/customXml" ds:itemID="{68DD5F2D-DEB4-4525-8155-CA3A9CD83BD0}"/>
</file>

<file path=customXml/itemProps4.xml><?xml version="1.0" encoding="utf-8"?>
<ds:datastoreItem xmlns:ds="http://schemas.openxmlformats.org/officeDocument/2006/customXml" ds:itemID="{2B3A6B07-3028-4F3C-99E3-5B3B818BB35E}"/>
</file>

<file path=docProps/app.xml><?xml version="1.0" encoding="utf-8"?>
<Properties xmlns="http://schemas.openxmlformats.org/officeDocument/2006/extended-properties" xmlns:vt="http://schemas.openxmlformats.org/officeDocument/2006/docPropsVTypes">
  <Template>Normal</Template>
  <TotalTime>1</TotalTime>
  <Pages>4</Pages>
  <Words>4074</Words>
  <Characters>23227</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Kredel, Ashley (UTC)</cp:lastModifiedBy>
  <cp:revision>2</cp:revision>
  <cp:lastPrinted>2016-07-18T01:45:00Z</cp:lastPrinted>
  <dcterms:created xsi:type="dcterms:W3CDTF">2016-07-19T18:34:00Z</dcterms:created>
  <dcterms:modified xsi:type="dcterms:W3CDTF">2016-07-19T18:34:00Z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