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7569E" w14:textId="77777777" w:rsidR="008A4054" w:rsidRPr="005440CF" w:rsidRDefault="00657DEE" w:rsidP="00FF75F4">
      <w:bookmarkStart w:id="0" w:name="_GoBack"/>
      <w:bookmarkEnd w:id="0"/>
      <w:r w:rsidRPr="005440CF">
        <w:t>Agenda Date:</w:t>
      </w:r>
      <w:r w:rsidRPr="005440CF">
        <w:tab/>
      </w:r>
      <w:r w:rsidR="00744C90" w:rsidRPr="005440CF">
        <w:tab/>
      </w:r>
      <w:r w:rsidR="00040CE3">
        <w:t>December</w:t>
      </w:r>
      <w:r w:rsidR="007B7BB4" w:rsidRPr="005440CF">
        <w:t xml:space="preserve"> </w:t>
      </w:r>
      <w:r w:rsidR="00D75C47">
        <w:t>21</w:t>
      </w:r>
      <w:r w:rsidR="008A4054" w:rsidRPr="005440CF">
        <w:t>, 201</w:t>
      </w:r>
      <w:r w:rsidR="00D75C47">
        <w:t>2</w:t>
      </w:r>
    </w:p>
    <w:p w14:paraId="2197569F" w14:textId="0E1D20D5" w:rsidR="00657DEE" w:rsidRPr="005440CF" w:rsidRDefault="00657DEE" w:rsidP="00FF75F4">
      <w:r w:rsidRPr="005440CF">
        <w:t>Item Number:</w:t>
      </w:r>
      <w:r w:rsidRPr="005440CF">
        <w:tab/>
      </w:r>
      <w:r w:rsidR="00E03C1A">
        <w:tab/>
      </w:r>
      <w:r w:rsidR="00163505">
        <w:t>D</w:t>
      </w:r>
      <w:r w:rsidR="00650411">
        <w:t>1</w:t>
      </w:r>
    </w:p>
    <w:p w14:paraId="219756A0" w14:textId="77777777" w:rsidR="00657DEE" w:rsidRPr="005440CF" w:rsidRDefault="00657DEE" w:rsidP="00FF75F4"/>
    <w:p w14:paraId="219756A1" w14:textId="7C3CD996" w:rsidR="00657DEE" w:rsidRPr="00204A52" w:rsidRDefault="00657DEE" w:rsidP="002C648F">
      <w:pPr>
        <w:rPr>
          <w:b/>
        </w:rPr>
      </w:pPr>
      <w:r w:rsidRPr="00204A52">
        <w:rPr>
          <w:b/>
        </w:rPr>
        <w:t>Docket</w:t>
      </w:r>
      <w:r w:rsidR="002C648F">
        <w:rPr>
          <w:b/>
        </w:rPr>
        <w:t>:</w:t>
      </w:r>
      <w:r w:rsidR="002C648F">
        <w:rPr>
          <w:b/>
        </w:rPr>
        <w:tab/>
      </w:r>
      <w:r w:rsidR="002C648F">
        <w:rPr>
          <w:b/>
        </w:rPr>
        <w:tab/>
      </w:r>
      <w:r w:rsidR="004231EF">
        <w:rPr>
          <w:b/>
        </w:rPr>
        <w:t>UG</w:t>
      </w:r>
      <w:r w:rsidR="00CF5C63" w:rsidRPr="00204A52">
        <w:rPr>
          <w:b/>
        </w:rPr>
        <w:t>-</w:t>
      </w:r>
      <w:r w:rsidR="000C1877">
        <w:rPr>
          <w:b/>
        </w:rPr>
        <w:t>1</w:t>
      </w:r>
      <w:r w:rsidR="00650411">
        <w:rPr>
          <w:b/>
        </w:rPr>
        <w:t>21207</w:t>
      </w:r>
    </w:p>
    <w:p w14:paraId="219756A2" w14:textId="77777777" w:rsidR="00040CE3" w:rsidRDefault="00040CE3" w:rsidP="00FF75F4"/>
    <w:p w14:paraId="219756A3" w14:textId="77777777" w:rsidR="00657DEE" w:rsidRPr="005440CF" w:rsidRDefault="001841F2" w:rsidP="00FF75F4">
      <w:r>
        <w:t>Company</w:t>
      </w:r>
      <w:r w:rsidR="00657DEE" w:rsidRPr="005440CF">
        <w:t>:</w:t>
      </w:r>
      <w:r w:rsidR="00657DEE" w:rsidRPr="005440CF">
        <w:tab/>
      </w:r>
      <w:r w:rsidR="00657DEE" w:rsidRPr="005440CF">
        <w:tab/>
      </w:r>
      <w:r w:rsidR="00163505">
        <w:t>Cascade Natural Gas</w:t>
      </w:r>
      <w:r w:rsidR="005A7B7E" w:rsidRPr="005440CF">
        <w:t xml:space="preserve"> Corporation</w:t>
      </w:r>
    </w:p>
    <w:p w14:paraId="219756A4" w14:textId="77777777" w:rsidR="00657DEE" w:rsidRPr="005440CF" w:rsidRDefault="00657DEE" w:rsidP="00FF75F4"/>
    <w:p w14:paraId="219756A5" w14:textId="77777777" w:rsidR="003329DB" w:rsidRPr="005440CF" w:rsidRDefault="00657DEE" w:rsidP="00FF75F4">
      <w:r w:rsidRPr="005440CF">
        <w:t>Staff:</w:t>
      </w:r>
      <w:r w:rsidRPr="005440CF">
        <w:tab/>
      </w:r>
      <w:r w:rsidRPr="005440CF">
        <w:tab/>
      </w:r>
      <w:r w:rsidRPr="005440CF">
        <w:tab/>
      </w:r>
      <w:r w:rsidR="00163505">
        <w:t>Vanda Novak</w:t>
      </w:r>
      <w:r w:rsidR="003329DB" w:rsidRPr="005440CF">
        <w:t>, Regulatory Analyst</w:t>
      </w:r>
    </w:p>
    <w:p w14:paraId="219756A6" w14:textId="77777777" w:rsidR="001923BA" w:rsidRPr="005440CF" w:rsidRDefault="00D75C47" w:rsidP="00FF75F4">
      <w:r>
        <w:tab/>
      </w:r>
      <w:r>
        <w:tab/>
      </w:r>
    </w:p>
    <w:p w14:paraId="219756A7" w14:textId="77777777" w:rsidR="009363BA" w:rsidRPr="00204A52" w:rsidRDefault="00BF3D13" w:rsidP="00204A52">
      <w:pPr>
        <w:pStyle w:val="Heading1"/>
      </w:pPr>
      <w:r w:rsidRPr="00204A52">
        <w:t>Recommendation</w:t>
      </w:r>
    </w:p>
    <w:p w14:paraId="219756A8" w14:textId="6EDCB62B" w:rsidR="009652E7" w:rsidRPr="005440CF" w:rsidRDefault="00040CE3" w:rsidP="009652E7">
      <w:pPr>
        <w:rPr>
          <w:color w:val="1F497D"/>
        </w:rPr>
      </w:pPr>
      <w:r w:rsidRPr="00040CE3">
        <w:t xml:space="preserve">Take no </w:t>
      </w:r>
      <w:r w:rsidR="00262F57">
        <w:t>action</w:t>
      </w:r>
      <w:r w:rsidR="00F51155">
        <w:t>, acknowledging the receipt of Cascade</w:t>
      </w:r>
      <w:r w:rsidR="00F5182D">
        <w:t xml:space="preserve"> Natural Gas Corporation</w:t>
      </w:r>
      <w:r w:rsidR="00F51155">
        <w:t>’s</w:t>
      </w:r>
      <w:r w:rsidR="00C224BC">
        <w:t xml:space="preserve"> </w:t>
      </w:r>
      <w:r w:rsidR="00F51155">
        <w:t>updated conservation budget and target information</w:t>
      </w:r>
      <w:r w:rsidR="00262F57">
        <w:t>.</w:t>
      </w:r>
      <w:r w:rsidR="009652E7" w:rsidRPr="00040CE3">
        <w:t xml:space="preserve"> </w:t>
      </w:r>
    </w:p>
    <w:p w14:paraId="219756A9" w14:textId="77777777" w:rsidR="00CA45F4" w:rsidRPr="00204A52" w:rsidRDefault="00092E6A" w:rsidP="00204A52">
      <w:pPr>
        <w:pStyle w:val="Heading1"/>
      </w:pPr>
      <w:r w:rsidRPr="00204A52">
        <w:t>Background</w:t>
      </w:r>
    </w:p>
    <w:p w14:paraId="219756AA" w14:textId="531224BE" w:rsidR="0084102A" w:rsidRDefault="00304156" w:rsidP="00FF75F4">
      <w:r w:rsidRPr="00E3641A">
        <w:t xml:space="preserve">The </w:t>
      </w:r>
      <w:r w:rsidR="00FC66BD" w:rsidRPr="00E3641A">
        <w:t>201</w:t>
      </w:r>
      <w:r w:rsidR="00B411EB" w:rsidRPr="00E3641A">
        <w:t>2</w:t>
      </w:r>
      <w:r w:rsidR="00FC66BD" w:rsidRPr="00E3641A">
        <w:t xml:space="preserve"> </w:t>
      </w:r>
      <w:r w:rsidRPr="00E3641A">
        <w:t xml:space="preserve">natural gas target </w:t>
      </w:r>
      <w:r w:rsidR="00FA3F57">
        <w:t xml:space="preserve">is based upon the </w:t>
      </w:r>
      <w:r w:rsidR="00C224BC">
        <w:t>Cascade</w:t>
      </w:r>
      <w:r w:rsidR="00F5182D">
        <w:t xml:space="preserve"> Natural Gas Corporation</w:t>
      </w:r>
      <w:r w:rsidR="00FA3F57">
        <w:t xml:space="preserve">’s </w:t>
      </w:r>
      <w:r w:rsidR="00250D8E">
        <w:t>(</w:t>
      </w:r>
      <w:r w:rsidR="00F5182D">
        <w:t>Cascade or company</w:t>
      </w:r>
      <w:r w:rsidR="00C224BC">
        <w:t xml:space="preserve">) </w:t>
      </w:r>
      <w:r w:rsidR="00EA3B7B">
        <w:t xml:space="preserve">2010 </w:t>
      </w:r>
      <w:r w:rsidR="00A13F08">
        <w:t>Integrated</w:t>
      </w:r>
      <w:r w:rsidR="00EA3B7B">
        <w:t xml:space="preserve"> Resources Plan</w:t>
      </w:r>
      <w:r w:rsidR="00D81138">
        <w:t xml:space="preserve"> (IRP)</w:t>
      </w:r>
      <w:r w:rsidR="00FA3F57">
        <w:t>. The</w:t>
      </w:r>
      <w:r w:rsidR="0084102A">
        <w:t>se</w:t>
      </w:r>
      <w:r w:rsidR="00FA3F57">
        <w:t xml:space="preserve"> IRP targets are</w:t>
      </w:r>
      <w:r w:rsidR="00E3641A" w:rsidRPr="00E3641A">
        <w:t xml:space="preserve"> </w:t>
      </w:r>
      <w:r w:rsidR="00EA3B7B">
        <w:t xml:space="preserve">396,845 therms for its Residential Program, 456,237 therms for its </w:t>
      </w:r>
      <w:r w:rsidR="00A13F08">
        <w:t>Commercial</w:t>
      </w:r>
      <w:r w:rsidR="008D0D84">
        <w:t xml:space="preserve"> Program, and 45,000</w:t>
      </w:r>
      <w:r w:rsidR="00EA3B7B">
        <w:t xml:space="preserve"> therms for its Low Income Program</w:t>
      </w:r>
      <w:r w:rsidR="00E3641A" w:rsidRPr="00E3641A">
        <w:t>.</w:t>
      </w:r>
      <w:r w:rsidR="00250D8E">
        <w:t xml:space="preserve"> </w:t>
      </w:r>
      <w:r w:rsidR="00EA3B7B">
        <w:t xml:space="preserve">These estimated annual targets represent the </w:t>
      </w:r>
      <w:r w:rsidR="00D81138">
        <w:t>c</w:t>
      </w:r>
      <w:r w:rsidR="001841F2">
        <w:t>ompany</w:t>
      </w:r>
      <w:r w:rsidR="00EA3B7B">
        <w:t xml:space="preserve">’s best case scenario for annual </w:t>
      </w:r>
      <w:r w:rsidR="00FA09A3">
        <w:t>therm</w:t>
      </w:r>
      <w:r w:rsidR="00EA3B7B">
        <w:t xml:space="preserve"> savings; the </w:t>
      </w:r>
      <w:r w:rsidR="00D81138">
        <w:t>c</w:t>
      </w:r>
      <w:r w:rsidR="001841F2">
        <w:t>ompany</w:t>
      </w:r>
      <w:r w:rsidR="00EA3B7B">
        <w:t>’s “stretch goal.” Cascade more realistically anticipates achieving approximately 75</w:t>
      </w:r>
      <w:r w:rsidR="00250D8E">
        <w:t xml:space="preserve"> percent </w:t>
      </w:r>
      <w:r w:rsidR="00EA3B7B">
        <w:t xml:space="preserve">of these targets. The </w:t>
      </w:r>
      <w:r w:rsidR="00D81138">
        <w:t>c</w:t>
      </w:r>
      <w:r w:rsidR="001841F2">
        <w:t>ompany</w:t>
      </w:r>
      <w:r w:rsidR="00EA3B7B">
        <w:t xml:space="preserve"> strives to meet these internal goals in good faith and has made strong efforts in its community to achieve all cost effective natural gas conservation possible.  </w:t>
      </w:r>
    </w:p>
    <w:p w14:paraId="219756AB" w14:textId="77777777" w:rsidR="0084102A" w:rsidRDefault="0084102A" w:rsidP="00FF75F4"/>
    <w:p w14:paraId="219756AC" w14:textId="32C351C2" w:rsidR="00EA3B7B" w:rsidRDefault="00E3641A" w:rsidP="00FF75F4">
      <w:r w:rsidRPr="00E3641A">
        <w:t xml:space="preserve">The </w:t>
      </w:r>
      <w:r w:rsidR="00C66457">
        <w:t>c</w:t>
      </w:r>
      <w:r w:rsidR="001841F2">
        <w:t>ompany</w:t>
      </w:r>
      <w:r w:rsidRPr="00E3641A">
        <w:t xml:space="preserve"> </w:t>
      </w:r>
      <w:r w:rsidR="00F335B7">
        <w:t>currently has</w:t>
      </w:r>
      <w:r w:rsidRPr="00E3641A">
        <w:t xml:space="preserve"> a</w:t>
      </w:r>
      <w:r w:rsidR="00EA3B7B">
        <w:t xml:space="preserve">n </w:t>
      </w:r>
      <w:r w:rsidR="00A13F08">
        <w:t>internal</w:t>
      </w:r>
      <w:r w:rsidRPr="00E3641A">
        <w:t xml:space="preserve"> 2013 target</w:t>
      </w:r>
      <w:r w:rsidR="00EA3B7B">
        <w:t xml:space="preserve"> which mirrors the number submitted in its 2012 </w:t>
      </w:r>
      <w:r w:rsidR="00A13F08">
        <w:t>Integrated</w:t>
      </w:r>
      <w:r w:rsidR="00EA3B7B">
        <w:t xml:space="preserve"> Resources Plan.</w:t>
      </w:r>
      <w:r w:rsidR="00250D8E">
        <w:t xml:space="preserve"> </w:t>
      </w:r>
      <w:r w:rsidR="00F335B7">
        <w:t xml:space="preserve">These numbers are 252,825 therms for its Residential Program, 427,856 therms for its </w:t>
      </w:r>
      <w:r w:rsidR="00A13F08">
        <w:t>Commercial</w:t>
      </w:r>
      <w:r w:rsidR="000770E0">
        <w:t xml:space="preserve"> Program, and 35,000</w:t>
      </w:r>
      <w:r w:rsidR="00F335B7">
        <w:t xml:space="preserve"> therms for its Low Income Program.</w:t>
      </w:r>
      <w:r w:rsidR="00250D8E">
        <w:t xml:space="preserve"> </w:t>
      </w:r>
      <w:r w:rsidR="00E66BE4">
        <w:t>Again, Cascade more realistically anticipates achieving appro</w:t>
      </w:r>
      <w:r w:rsidR="003A5456">
        <w:t>ximately 75</w:t>
      </w:r>
      <w:r w:rsidR="00250D8E">
        <w:t xml:space="preserve"> percent</w:t>
      </w:r>
      <w:r w:rsidR="003A5456">
        <w:t xml:space="preserve"> of these targets, as noted in its 2012 IRP.</w:t>
      </w:r>
    </w:p>
    <w:p w14:paraId="219756AD" w14:textId="77777777" w:rsidR="00EA3B7B" w:rsidRDefault="00EA3B7B" w:rsidP="00FF75F4"/>
    <w:p w14:paraId="219756AE" w14:textId="613DF80A" w:rsidR="00EA0CE0" w:rsidRPr="005440CF" w:rsidRDefault="00F31A95" w:rsidP="00FF75F4">
      <w:r>
        <w:t>N</w:t>
      </w:r>
      <w:r w:rsidR="00520CC1" w:rsidRPr="00E3641A">
        <w:t>atural gas targets are based on an assessment of the conservation potential in its service area.</w:t>
      </w:r>
      <w:r w:rsidR="00250D8E">
        <w:t xml:space="preserve"> </w:t>
      </w:r>
      <w:r w:rsidR="00E66BE4">
        <w:t xml:space="preserve">Cascade </w:t>
      </w:r>
      <w:r w:rsidR="00A13F08">
        <w:t xml:space="preserve">intends </w:t>
      </w:r>
      <w:r w:rsidR="00F5182D">
        <w:t>to circulate</w:t>
      </w:r>
      <w:r w:rsidR="00E66BE4">
        <w:t xml:space="preserve"> a Request for Proposals in early 2013 in order to identify and obtain a qualified contractor to perform </w:t>
      </w:r>
      <w:r w:rsidR="00A13F08">
        <w:t>a comprehensive re</w:t>
      </w:r>
      <w:r w:rsidR="00E66BE4">
        <w:t xml:space="preserve">assessment of the </w:t>
      </w:r>
      <w:r w:rsidR="00C224BC">
        <w:t>c</w:t>
      </w:r>
      <w:r w:rsidR="001841F2">
        <w:t>ompany</w:t>
      </w:r>
      <w:r w:rsidR="00E66BE4">
        <w:t>’s</w:t>
      </w:r>
      <w:r w:rsidR="00A13F08">
        <w:t xml:space="preserve"> </w:t>
      </w:r>
      <w:r w:rsidR="00F5182D">
        <w:t>c</w:t>
      </w:r>
      <w:r w:rsidR="00A13F08">
        <w:t xml:space="preserve">onservation </w:t>
      </w:r>
      <w:r w:rsidR="00F5182D">
        <w:t>p</w:t>
      </w:r>
      <w:r w:rsidR="00A13F08">
        <w:t xml:space="preserve">otential and </w:t>
      </w:r>
      <w:r w:rsidR="00F5182D">
        <w:t xml:space="preserve">possibly </w:t>
      </w:r>
      <w:r w:rsidR="00A13F08">
        <w:t>engage in a</w:t>
      </w:r>
      <w:r w:rsidR="00D36F46">
        <w:t>n</w:t>
      </w:r>
      <w:r w:rsidR="00A13F08">
        <w:t xml:space="preserve"> evaluation of previous program achievements.</w:t>
      </w:r>
    </w:p>
    <w:p w14:paraId="219756AF" w14:textId="77777777" w:rsidR="00001805" w:rsidRDefault="00001805" w:rsidP="00FF75F4"/>
    <w:p w14:paraId="219756B0" w14:textId="62004C91" w:rsidR="002C648F" w:rsidRDefault="00385F85" w:rsidP="0081564A">
      <w:r>
        <w:t xml:space="preserve">Cascade’s conservation programs were originally established under </w:t>
      </w:r>
      <w:r w:rsidR="00F5182D">
        <w:t xml:space="preserve">Docket </w:t>
      </w:r>
      <w:r>
        <w:t xml:space="preserve">UG-060256. The program costs have since been </w:t>
      </w:r>
      <w:r w:rsidR="00F5182D">
        <w:t xml:space="preserve">recovered </w:t>
      </w:r>
      <w:r>
        <w:t xml:space="preserve">within the </w:t>
      </w:r>
      <w:r w:rsidR="00C224BC">
        <w:t>c</w:t>
      </w:r>
      <w:r w:rsidR="001841F2">
        <w:t>ompany</w:t>
      </w:r>
      <w:r>
        <w:t xml:space="preserve">’s Purchased Gas Adjustment (PGA) mechanism. Cascade currently does not file </w:t>
      </w:r>
      <w:r w:rsidR="00F5182D">
        <w:t>a</w:t>
      </w:r>
      <w:r>
        <w:t xml:space="preserve"> </w:t>
      </w:r>
      <w:r w:rsidR="00F5182D">
        <w:t>conservation p</w:t>
      </w:r>
      <w:r>
        <w:t xml:space="preserve">lan with the commission, </w:t>
      </w:r>
      <w:r w:rsidR="00A13F08">
        <w:t xml:space="preserve">but has historically provided a list of all </w:t>
      </w:r>
      <w:r>
        <w:t xml:space="preserve">therms savings </w:t>
      </w:r>
      <w:r w:rsidR="00A13F08">
        <w:t xml:space="preserve">targets, environmental externalities, emerging technologies, and an assessment of the </w:t>
      </w:r>
      <w:r w:rsidR="00C224BC">
        <w:t>c</w:t>
      </w:r>
      <w:r w:rsidR="001841F2">
        <w:t>ompany</w:t>
      </w:r>
      <w:r w:rsidR="00C224BC">
        <w:t xml:space="preserve">’s </w:t>
      </w:r>
      <w:r w:rsidR="00F5182D">
        <w:t>conservation p</w:t>
      </w:r>
      <w:r w:rsidR="00A13F08">
        <w:t xml:space="preserve">otential </w:t>
      </w:r>
      <w:r>
        <w:t>withi</w:t>
      </w:r>
      <w:r w:rsidR="00C224BC">
        <w:t>n its IRP</w:t>
      </w:r>
      <w:r>
        <w:t>.</w:t>
      </w:r>
      <w:r w:rsidR="00250D8E">
        <w:t xml:space="preserve"> </w:t>
      </w:r>
      <w:r w:rsidR="00A13F08">
        <w:t xml:space="preserve">The </w:t>
      </w:r>
      <w:r w:rsidR="00C224BC">
        <w:t>c</w:t>
      </w:r>
      <w:r w:rsidR="001841F2">
        <w:t>ompany</w:t>
      </w:r>
      <w:r w:rsidR="00A13F08">
        <w:t xml:space="preserve"> </w:t>
      </w:r>
      <w:r w:rsidR="00F5182D">
        <w:t>intends</w:t>
      </w:r>
      <w:r w:rsidR="00A13F08">
        <w:t xml:space="preserve"> to include </w:t>
      </w:r>
      <w:r w:rsidR="00F5182D">
        <w:t xml:space="preserve">its </w:t>
      </w:r>
      <w:r w:rsidR="00A13F08">
        <w:t xml:space="preserve">conservation budget and a more detailed list of current program measures in </w:t>
      </w:r>
      <w:r w:rsidR="000C1877">
        <w:t>its 2012 IRP</w:t>
      </w:r>
      <w:r w:rsidR="00F5182D">
        <w:t>, which will be filed on December 14, 2012</w:t>
      </w:r>
      <w:r w:rsidR="00250D8E">
        <w:t xml:space="preserve">. </w:t>
      </w:r>
    </w:p>
    <w:p w14:paraId="219756B1" w14:textId="77777777" w:rsidR="00520CC1" w:rsidRPr="005B5A78" w:rsidRDefault="00520CC1" w:rsidP="00520CC1"/>
    <w:p w14:paraId="20DF9C84" w14:textId="77777777" w:rsidR="00A12126" w:rsidRDefault="00A12126" w:rsidP="00520CC1"/>
    <w:p w14:paraId="3D843B5C" w14:textId="77777777" w:rsidR="00A12126" w:rsidRDefault="00A12126" w:rsidP="00520CC1"/>
    <w:p w14:paraId="219756B2" w14:textId="77777777" w:rsidR="00520CC1" w:rsidRDefault="00BF3466" w:rsidP="00520CC1">
      <w:r>
        <w:lastRenderedPageBreak/>
        <w:t>Cascade</w:t>
      </w:r>
      <w:r w:rsidR="00520CC1" w:rsidRPr="005B5A78">
        <w:t xml:space="preserve"> serves approximately </w:t>
      </w:r>
      <w:r w:rsidR="00F31A95">
        <w:t>260,000</w:t>
      </w:r>
      <w:r w:rsidR="00505AB1">
        <w:t xml:space="preserve"> </w:t>
      </w:r>
      <w:r w:rsidR="00F31A95">
        <w:t>natural gas</w:t>
      </w:r>
      <w:r w:rsidR="00520CC1" w:rsidRPr="005B5A78">
        <w:t xml:space="preserve"> customers in</w:t>
      </w:r>
      <w:r w:rsidR="00F31A95">
        <w:t xml:space="preserve"> 96 communities </w:t>
      </w:r>
      <w:r w:rsidR="0065149E">
        <w:t>throughout Washington and Oregon</w:t>
      </w:r>
      <w:r w:rsidR="00520CC1" w:rsidRPr="005B5A78">
        <w:t>.</w:t>
      </w:r>
      <w:r w:rsidR="0065149E">
        <w:t xml:space="preserve"> This is about 226,000 residential customers and 33,000 commercial customers. Cascade’s sales volumes are approximately 75 percent in Washington and 25 percent in Oregon.</w:t>
      </w:r>
    </w:p>
    <w:p w14:paraId="219756B3" w14:textId="77777777" w:rsidR="00505AB1" w:rsidRPr="005B5A78" w:rsidRDefault="00505AB1" w:rsidP="00520CC1"/>
    <w:p w14:paraId="219756B4" w14:textId="77777777" w:rsidR="00520CC1" w:rsidRPr="000F018D" w:rsidRDefault="00D01A79" w:rsidP="00520CC1">
      <w:pPr>
        <w:rPr>
          <w:b/>
          <w:i/>
        </w:rPr>
      </w:pPr>
      <w:r>
        <w:rPr>
          <w:b/>
          <w:i/>
        </w:rPr>
        <w:t>Gas</w:t>
      </w:r>
      <w:r w:rsidR="00520CC1" w:rsidRPr="000F018D">
        <w:rPr>
          <w:b/>
          <w:i/>
        </w:rPr>
        <w:t xml:space="preserve"> Conservation Program Changes</w:t>
      </w:r>
    </w:p>
    <w:p w14:paraId="219756B5" w14:textId="77777777" w:rsidR="000F018D" w:rsidRDefault="000F018D" w:rsidP="00520CC1">
      <w:pPr>
        <w:pStyle w:val="NoSpacing"/>
        <w:rPr>
          <w:szCs w:val="24"/>
        </w:rPr>
      </w:pPr>
    </w:p>
    <w:p w14:paraId="219756B6" w14:textId="69C3EB29" w:rsidR="00A91B74" w:rsidRDefault="00A91B74" w:rsidP="00520CC1">
      <w:pPr>
        <w:pStyle w:val="NoSpacing"/>
        <w:rPr>
          <w:szCs w:val="24"/>
        </w:rPr>
      </w:pPr>
      <w:r>
        <w:rPr>
          <w:szCs w:val="24"/>
        </w:rPr>
        <w:t>Cascade anticipates a decrease</w:t>
      </w:r>
      <w:r w:rsidR="00CC2205">
        <w:rPr>
          <w:szCs w:val="24"/>
        </w:rPr>
        <w:t xml:space="preserve"> in its 2013 conservation budget commensurate with the avoided costs identified in its 2012 </w:t>
      </w:r>
      <w:r w:rsidR="000B69BC">
        <w:rPr>
          <w:szCs w:val="24"/>
        </w:rPr>
        <w:t>Integrated</w:t>
      </w:r>
      <w:r w:rsidR="00CC2205">
        <w:rPr>
          <w:szCs w:val="24"/>
        </w:rPr>
        <w:t xml:space="preserve"> Resources Plan.</w:t>
      </w:r>
      <w:r w:rsidR="00250D8E">
        <w:rPr>
          <w:szCs w:val="24"/>
        </w:rPr>
        <w:t xml:space="preserve"> </w:t>
      </w:r>
      <w:r w:rsidR="000B69BC">
        <w:rPr>
          <w:szCs w:val="24"/>
        </w:rPr>
        <w:t>Adjustments to programmatic expenditures will be</w:t>
      </w:r>
      <w:r w:rsidR="00D602F4">
        <w:rPr>
          <w:szCs w:val="24"/>
        </w:rPr>
        <w:t xml:space="preserve"> made</w:t>
      </w:r>
      <w:r w:rsidR="000B69BC">
        <w:rPr>
          <w:szCs w:val="24"/>
        </w:rPr>
        <w:t xml:space="preserve"> commensurate with </w:t>
      </w:r>
      <w:r w:rsidR="00D602F4">
        <w:rPr>
          <w:szCs w:val="24"/>
        </w:rPr>
        <w:t>maintaining a cost-effective conservation portfolio during the 2013 calendar year.</w:t>
      </w:r>
    </w:p>
    <w:p w14:paraId="219756B7" w14:textId="77777777" w:rsidR="00A91B74" w:rsidRDefault="00A91B74" w:rsidP="00520CC1">
      <w:pPr>
        <w:pStyle w:val="NoSpacing"/>
        <w:rPr>
          <w:szCs w:val="24"/>
        </w:rPr>
      </w:pPr>
    </w:p>
    <w:p w14:paraId="219756B8" w14:textId="77777777" w:rsidR="00520CC1" w:rsidRPr="00D602F4" w:rsidRDefault="00D602F4" w:rsidP="00520CC1">
      <w:r w:rsidRPr="00D602F4">
        <w:t xml:space="preserve">A summary of </w:t>
      </w:r>
      <w:r>
        <w:t xml:space="preserve">the </w:t>
      </w:r>
      <w:r w:rsidR="001841F2">
        <w:t>Company</w:t>
      </w:r>
      <w:r>
        <w:t>’s 2012 and 2013 budgets can be found below:</w:t>
      </w:r>
    </w:p>
    <w:p w14:paraId="219756B9" w14:textId="77777777" w:rsidR="00E1104B" w:rsidRPr="000E4231" w:rsidRDefault="00E1104B" w:rsidP="00520CC1"/>
    <w:tbl>
      <w:tblPr>
        <w:tblW w:w="9576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3523"/>
        <w:gridCol w:w="1745"/>
        <w:gridCol w:w="2279"/>
        <w:gridCol w:w="2029"/>
      </w:tblGrid>
      <w:tr w:rsidR="0026174A" w:rsidRPr="000E4231" w14:paraId="219756BE" w14:textId="77777777" w:rsidTr="002B08EC">
        <w:trPr>
          <w:trHeight w:val="279"/>
        </w:trPr>
        <w:tc>
          <w:tcPr>
            <w:tcW w:w="3523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</w:tcPr>
          <w:p w14:paraId="219756BA" w14:textId="77777777" w:rsidR="0026174A" w:rsidRPr="002B08EC" w:rsidRDefault="0026174A" w:rsidP="00C91FF7">
            <w:pPr>
              <w:rPr>
                <w:b/>
                <w:bCs/>
              </w:rPr>
            </w:pPr>
            <w:r w:rsidRPr="002B08EC">
              <w:rPr>
                <w:b/>
                <w:bCs/>
              </w:rPr>
              <w:t>Natural Gas Efficiency Services</w:t>
            </w:r>
          </w:p>
        </w:tc>
        <w:tc>
          <w:tcPr>
            <w:tcW w:w="1745" w:type="dxa"/>
            <w:tcBorders>
              <w:top w:val="single" w:sz="12" w:space="0" w:color="000000"/>
              <w:bottom w:val="single" w:sz="12" w:space="0" w:color="000000"/>
            </w:tcBorders>
          </w:tcPr>
          <w:p w14:paraId="219756BB" w14:textId="77777777" w:rsidR="0026174A" w:rsidRPr="002B08EC" w:rsidRDefault="0026174A" w:rsidP="009C4F77">
            <w:pPr>
              <w:jc w:val="right"/>
              <w:rPr>
                <w:b/>
                <w:bCs/>
              </w:rPr>
            </w:pPr>
            <w:r w:rsidRPr="002B08EC">
              <w:rPr>
                <w:b/>
                <w:bCs/>
              </w:rPr>
              <w:t>2012 Budget</w:t>
            </w:r>
          </w:p>
        </w:tc>
        <w:tc>
          <w:tcPr>
            <w:tcW w:w="2279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219756BC" w14:textId="77777777" w:rsidR="0026174A" w:rsidRPr="002B08EC" w:rsidRDefault="0026174A" w:rsidP="009C4F77">
            <w:pPr>
              <w:jc w:val="right"/>
              <w:rPr>
                <w:b/>
                <w:bCs/>
              </w:rPr>
            </w:pPr>
            <w:r w:rsidRPr="002B08EC">
              <w:rPr>
                <w:b/>
                <w:bCs/>
              </w:rPr>
              <w:t>2013 Budget</w:t>
            </w:r>
          </w:p>
        </w:tc>
        <w:tc>
          <w:tcPr>
            <w:tcW w:w="202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19756BD" w14:textId="77777777" w:rsidR="0026174A" w:rsidRPr="002B08EC" w:rsidRDefault="0026174A" w:rsidP="009C4F77">
            <w:pPr>
              <w:jc w:val="right"/>
              <w:rPr>
                <w:b/>
                <w:bCs/>
              </w:rPr>
            </w:pPr>
            <w:r w:rsidRPr="002B08EC">
              <w:rPr>
                <w:b/>
                <w:bCs/>
              </w:rPr>
              <w:t>Percent Change</w:t>
            </w:r>
          </w:p>
        </w:tc>
      </w:tr>
      <w:tr w:rsidR="0026174A" w:rsidRPr="000E4231" w14:paraId="219756C4" w14:textId="77777777" w:rsidTr="002B08EC">
        <w:trPr>
          <w:trHeight w:val="291"/>
        </w:trPr>
        <w:tc>
          <w:tcPr>
            <w:tcW w:w="3523" w:type="dxa"/>
            <w:tcBorders>
              <w:left w:val="nil"/>
            </w:tcBorders>
            <w:shd w:val="clear" w:color="auto" w:fill="auto"/>
          </w:tcPr>
          <w:p w14:paraId="219756BF" w14:textId="77777777" w:rsidR="0026174A" w:rsidRPr="000E4231" w:rsidRDefault="0026174A" w:rsidP="00C91FF7">
            <w:r w:rsidRPr="000E4231">
              <w:t>Residential, Commercial/Industrial</w:t>
            </w:r>
          </w:p>
        </w:tc>
        <w:tc>
          <w:tcPr>
            <w:tcW w:w="1745" w:type="dxa"/>
          </w:tcPr>
          <w:p w14:paraId="219756C0" w14:textId="77777777" w:rsidR="0026174A" w:rsidRPr="000E4231" w:rsidRDefault="0026174A" w:rsidP="006F4FF6">
            <w:pPr>
              <w:jc w:val="right"/>
            </w:pPr>
            <w:r>
              <w:t>$1,</w:t>
            </w:r>
            <w:r w:rsidRPr="000E4231">
              <w:t>7</w:t>
            </w:r>
            <w:r>
              <w:t>00,000</w:t>
            </w:r>
            <w:r w:rsidRPr="000E4231">
              <w:t xml:space="preserve"> (rounded)</w:t>
            </w:r>
          </w:p>
        </w:tc>
        <w:tc>
          <w:tcPr>
            <w:tcW w:w="2279" w:type="dxa"/>
            <w:tcBorders>
              <w:right w:val="nil"/>
            </w:tcBorders>
          </w:tcPr>
          <w:p w14:paraId="219756C1" w14:textId="77777777" w:rsidR="0026174A" w:rsidRPr="00A91B74" w:rsidRDefault="0026174A" w:rsidP="00F31A95">
            <w:pPr>
              <w:jc w:val="right"/>
            </w:pPr>
            <w:r w:rsidRPr="00A91B74">
              <w:t>Approx $</w:t>
            </w:r>
            <w:r>
              <w:rPr>
                <w:sz w:val="23"/>
                <w:szCs w:val="23"/>
              </w:rPr>
              <w:t xml:space="preserve"> 600,000</w:t>
            </w:r>
            <w:r w:rsidRPr="00A91B74">
              <w:rPr>
                <w:sz w:val="23"/>
                <w:szCs w:val="23"/>
              </w:rPr>
              <w:t xml:space="preserve"> – </w:t>
            </w:r>
            <w:r>
              <w:rPr>
                <w:sz w:val="23"/>
                <w:szCs w:val="23"/>
              </w:rPr>
              <w:t>$1,000,000</w:t>
            </w:r>
          </w:p>
        </w:tc>
        <w:tc>
          <w:tcPr>
            <w:tcW w:w="2029" w:type="dxa"/>
            <w:tcBorders>
              <w:left w:val="nil"/>
              <w:right w:val="nil"/>
            </w:tcBorders>
          </w:tcPr>
          <w:p w14:paraId="62C3971F" w14:textId="77777777" w:rsidR="00250D8E" w:rsidRDefault="00250D8E" w:rsidP="00250D8E">
            <w:pPr>
              <w:jc w:val="right"/>
            </w:pPr>
          </w:p>
          <w:p w14:paraId="219756C3" w14:textId="79085237" w:rsidR="00C357B6" w:rsidRPr="00A91B74" w:rsidRDefault="00C357B6" w:rsidP="00F5182D">
            <w:pPr>
              <w:jc w:val="right"/>
            </w:pPr>
            <w:r w:rsidRPr="00C357B6">
              <w:t>-</w:t>
            </w:r>
            <w:r w:rsidR="00F5182D">
              <w:t>65</w:t>
            </w:r>
            <w:r w:rsidRPr="00C357B6">
              <w:t>%</w:t>
            </w:r>
            <w:r>
              <w:t xml:space="preserve"> to </w:t>
            </w:r>
            <w:r w:rsidRPr="00C357B6">
              <w:t>-41%</w:t>
            </w:r>
          </w:p>
        </w:tc>
      </w:tr>
      <w:tr w:rsidR="0026174A" w:rsidRPr="000E4231" w14:paraId="219756C9" w14:textId="77777777" w:rsidTr="002B08EC">
        <w:trPr>
          <w:trHeight w:val="291"/>
        </w:trPr>
        <w:tc>
          <w:tcPr>
            <w:tcW w:w="3523" w:type="dxa"/>
            <w:tcBorders>
              <w:left w:val="nil"/>
            </w:tcBorders>
            <w:shd w:val="clear" w:color="auto" w:fill="auto"/>
          </w:tcPr>
          <w:p w14:paraId="1C2181B4" w14:textId="77777777" w:rsidR="00250D8E" w:rsidRDefault="00250D8E" w:rsidP="00C91FF7"/>
          <w:p w14:paraId="4C7988E4" w14:textId="77777777" w:rsidR="00250D8E" w:rsidRDefault="00250D8E" w:rsidP="00C91FF7"/>
          <w:p w14:paraId="219756C5" w14:textId="77777777" w:rsidR="0026174A" w:rsidRPr="000E4231" w:rsidRDefault="0026174A" w:rsidP="00C91FF7">
            <w:r w:rsidRPr="000E4231">
              <w:t>Commercial/Industrial Incentives</w:t>
            </w:r>
          </w:p>
        </w:tc>
        <w:tc>
          <w:tcPr>
            <w:tcW w:w="1745" w:type="dxa"/>
          </w:tcPr>
          <w:p w14:paraId="6D857D00" w14:textId="77777777" w:rsidR="00250D8E" w:rsidRDefault="00250D8E" w:rsidP="000E4231">
            <w:pPr>
              <w:jc w:val="right"/>
            </w:pPr>
          </w:p>
          <w:p w14:paraId="219756C6" w14:textId="77777777" w:rsidR="0026174A" w:rsidRPr="000E4231" w:rsidRDefault="0026174A" w:rsidP="000E4231">
            <w:pPr>
              <w:jc w:val="right"/>
            </w:pPr>
            <w:r>
              <w:t>$620,000</w:t>
            </w:r>
            <w:r w:rsidRPr="000E4231">
              <w:t xml:space="preserve"> (rounded)</w:t>
            </w:r>
          </w:p>
        </w:tc>
        <w:tc>
          <w:tcPr>
            <w:tcW w:w="2279" w:type="dxa"/>
            <w:tcBorders>
              <w:right w:val="nil"/>
            </w:tcBorders>
          </w:tcPr>
          <w:p w14:paraId="219756C7" w14:textId="77777777" w:rsidR="0026174A" w:rsidRPr="000E4231" w:rsidRDefault="0026174A" w:rsidP="000E4231">
            <w:pPr>
              <w:jc w:val="right"/>
            </w:pPr>
            <w:r w:rsidRPr="000E4231">
              <w:t>TBD</w:t>
            </w:r>
            <w:r>
              <w:t xml:space="preserve"> Pending final estimates from vendor</w:t>
            </w:r>
          </w:p>
        </w:tc>
        <w:tc>
          <w:tcPr>
            <w:tcW w:w="2029" w:type="dxa"/>
            <w:tcBorders>
              <w:left w:val="nil"/>
              <w:right w:val="nil"/>
            </w:tcBorders>
          </w:tcPr>
          <w:p w14:paraId="3519519A" w14:textId="77777777" w:rsidR="00250D8E" w:rsidRDefault="00250D8E" w:rsidP="000E4231">
            <w:pPr>
              <w:jc w:val="right"/>
            </w:pPr>
          </w:p>
          <w:p w14:paraId="275C4A4D" w14:textId="77777777" w:rsidR="00250D8E" w:rsidRDefault="00250D8E" w:rsidP="000E4231">
            <w:pPr>
              <w:jc w:val="right"/>
            </w:pPr>
          </w:p>
          <w:p w14:paraId="219756C8" w14:textId="77777777" w:rsidR="0026174A" w:rsidRPr="000E4231" w:rsidRDefault="0026174A" w:rsidP="000E4231">
            <w:pPr>
              <w:jc w:val="right"/>
            </w:pPr>
            <w:r>
              <w:t>Not available</w:t>
            </w:r>
          </w:p>
        </w:tc>
      </w:tr>
      <w:tr w:rsidR="0026174A" w:rsidRPr="000E4231" w14:paraId="219756CE" w14:textId="77777777" w:rsidTr="002B08EC">
        <w:trPr>
          <w:trHeight w:val="291"/>
        </w:trPr>
        <w:tc>
          <w:tcPr>
            <w:tcW w:w="3523" w:type="dxa"/>
            <w:tcBorders>
              <w:left w:val="nil"/>
            </w:tcBorders>
            <w:shd w:val="clear" w:color="auto" w:fill="auto"/>
          </w:tcPr>
          <w:p w14:paraId="1A9B3F25" w14:textId="77777777" w:rsidR="00250D8E" w:rsidRDefault="00250D8E" w:rsidP="00C91FF7"/>
          <w:p w14:paraId="50D239BE" w14:textId="77777777" w:rsidR="00250D8E" w:rsidRDefault="00250D8E" w:rsidP="00C91FF7"/>
          <w:p w14:paraId="219756CA" w14:textId="77777777" w:rsidR="0026174A" w:rsidRPr="000E4231" w:rsidRDefault="0026174A" w:rsidP="00C91FF7">
            <w:r w:rsidRPr="000E4231">
              <w:t>Residential Incentives</w:t>
            </w:r>
          </w:p>
        </w:tc>
        <w:tc>
          <w:tcPr>
            <w:tcW w:w="1745" w:type="dxa"/>
          </w:tcPr>
          <w:p w14:paraId="2BFE1CEB" w14:textId="77777777" w:rsidR="00250D8E" w:rsidRDefault="00250D8E" w:rsidP="00F31A95">
            <w:pPr>
              <w:jc w:val="right"/>
            </w:pPr>
          </w:p>
          <w:p w14:paraId="219756CB" w14:textId="77777777" w:rsidR="0026174A" w:rsidRPr="000E4231" w:rsidRDefault="0026174A" w:rsidP="00F31A95">
            <w:pPr>
              <w:jc w:val="right"/>
            </w:pPr>
            <w:r>
              <w:t>$890,000</w:t>
            </w:r>
            <w:r w:rsidRPr="000E4231">
              <w:t xml:space="preserve"> (rounded)</w:t>
            </w:r>
          </w:p>
        </w:tc>
        <w:tc>
          <w:tcPr>
            <w:tcW w:w="2279" w:type="dxa"/>
            <w:tcBorders>
              <w:right w:val="nil"/>
            </w:tcBorders>
          </w:tcPr>
          <w:p w14:paraId="219756CC" w14:textId="77777777" w:rsidR="0026174A" w:rsidRPr="000E4231" w:rsidRDefault="0026174A" w:rsidP="00F31A95">
            <w:pPr>
              <w:jc w:val="right"/>
            </w:pPr>
            <w:r w:rsidRPr="000E4231">
              <w:t>TBD</w:t>
            </w:r>
            <w:r>
              <w:t xml:space="preserve"> Pending final estimates from vendor</w:t>
            </w:r>
          </w:p>
        </w:tc>
        <w:tc>
          <w:tcPr>
            <w:tcW w:w="2029" w:type="dxa"/>
            <w:tcBorders>
              <w:left w:val="nil"/>
              <w:right w:val="nil"/>
            </w:tcBorders>
          </w:tcPr>
          <w:p w14:paraId="4EA8369E" w14:textId="77777777" w:rsidR="00250D8E" w:rsidRDefault="00250D8E" w:rsidP="00F31A95">
            <w:pPr>
              <w:jc w:val="right"/>
            </w:pPr>
          </w:p>
          <w:p w14:paraId="26441DAC" w14:textId="77777777" w:rsidR="00250D8E" w:rsidRDefault="00250D8E" w:rsidP="00F31A95">
            <w:pPr>
              <w:jc w:val="right"/>
            </w:pPr>
          </w:p>
          <w:p w14:paraId="219756CD" w14:textId="77777777" w:rsidR="0026174A" w:rsidRPr="000E4231" w:rsidRDefault="0026174A" w:rsidP="00F31A95">
            <w:pPr>
              <w:jc w:val="right"/>
            </w:pPr>
            <w:r>
              <w:t>Not available</w:t>
            </w:r>
          </w:p>
        </w:tc>
      </w:tr>
      <w:tr w:rsidR="0026174A" w:rsidRPr="00E45628" w14:paraId="219756D3" w14:textId="77777777" w:rsidTr="002B08EC">
        <w:trPr>
          <w:trHeight w:val="291"/>
        </w:trPr>
        <w:tc>
          <w:tcPr>
            <w:tcW w:w="3523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14:paraId="1E3313E5" w14:textId="77777777" w:rsidR="00250D8E" w:rsidRDefault="00250D8E" w:rsidP="00C91FF7"/>
          <w:p w14:paraId="288F0BD0" w14:textId="77777777" w:rsidR="00250D8E" w:rsidRDefault="00250D8E" w:rsidP="00C91FF7"/>
          <w:p w14:paraId="219756CF" w14:textId="77777777" w:rsidR="0026174A" w:rsidRPr="000E4231" w:rsidRDefault="0026174A" w:rsidP="00C91FF7">
            <w:r w:rsidRPr="000E4231">
              <w:t>EM&amp;V &amp; Potential Reassessment</w:t>
            </w:r>
          </w:p>
        </w:tc>
        <w:tc>
          <w:tcPr>
            <w:tcW w:w="1745" w:type="dxa"/>
            <w:tcBorders>
              <w:bottom w:val="single" w:sz="12" w:space="0" w:color="000000"/>
            </w:tcBorders>
          </w:tcPr>
          <w:p w14:paraId="219756D0" w14:textId="77777777" w:rsidR="0026174A" w:rsidRPr="000E4231" w:rsidRDefault="0026174A" w:rsidP="000E4231">
            <w:pPr>
              <w:jc w:val="right"/>
            </w:pPr>
            <w:r>
              <w:t>Efforts blended into general budget</w:t>
            </w:r>
          </w:p>
        </w:tc>
        <w:tc>
          <w:tcPr>
            <w:tcW w:w="2279" w:type="dxa"/>
            <w:tcBorders>
              <w:bottom w:val="single" w:sz="12" w:space="0" w:color="000000"/>
              <w:right w:val="nil"/>
            </w:tcBorders>
          </w:tcPr>
          <w:p w14:paraId="12C4F951" w14:textId="77777777" w:rsidR="00250D8E" w:rsidRDefault="00250D8E" w:rsidP="00F31A95">
            <w:pPr>
              <w:jc w:val="right"/>
            </w:pPr>
          </w:p>
          <w:p w14:paraId="219756D1" w14:textId="77777777" w:rsidR="0026174A" w:rsidRPr="000E4231" w:rsidRDefault="0026174A" w:rsidP="00F31A95">
            <w:pPr>
              <w:jc w:val="right"/>
            </w:pPr>
            <w:r w:rsidRPr="000E4231">
              <w:t>TBD</w:t>
            </w:r>
            <w:r>
              <w:t xml:space="preserve"> Pending RFP Responses</w:t>
            </w:r>
          </w:p>
        </w:tc>
        <w:tc>
          <w:tcPr>
            <w:tcW w:w="2029" w:type="dxa"/>
            <w:tcBorders>
              <w:left w:val="nil"/>
              <w:bottom w:val="single" w:sz="12" w:space="0" w:color="000000"/>
              <w:right w:val="nil"/>
            </w:tcBorders>
          </w:tcPr>
          <w:p w14:paraId="299D483B" w14:textId="77777777" w:rsidR="00250D8E" w:rsidRDefault="00250D8E" w:rsidP="00F31A95">
            <w:pPr>
              <w:jc w:val="right"/>
            </w:pPr>
          </w:p>
          <w:p w14:paraId="11E8D4EE" w14:textId="77777777" w:rsidR="00250D8E" w:rsidRDefault="00250D8E" w:rsidP="00F31A95">
            <w:pPr>
              <w:jc w:val="right"/>
            </w:pPr>
          </w:p>
          <w:p w14:paraId="219756D2" w14:textId="77777777" w:rsidR="0026174A" w:rsidRPr="000E4231" w:rsidRDefault="0026174A" w:rsidP="00F31A95">
            <w:pPr>
              <w:jc w:val="right"/>
            </w:pPr>
            <w:r>
              <w:t>Not available</w:t>
            </w:r>
          </w:p>
        </w:tc>
      </w:tr>
    </w:tbl>
    <w:p w14:paraId="219756D4" w14:textId="77777777" w:rsidR="00170970" w:rsidRDefault="00170970" w:rsidP="00520CC1"/>
    <w:p w14:paraId="219756D5" w14:textId="4F46F6B9" w:rsidR="00E1104B" w:rsidRDefault="006C3315" w:rsidP="00520CC1">
      <w:r>
        <w:t xml:space="preserve">The </w:t>
      </w:r>
      <w:r w:rsidR="006038B6">
        <w:t>c</w:t>
      </w:r>
      <w:r w:rsidR="001841F2">
        <w:t>ompany</w:t>
      </w:r>
      <w:r>
        <w:t xml:space="preserve"> anticipates that programmatic and budgetary changes for 2013 will </w:t>
      </w:r>
      <w:r w:rsidR="00BF661F">
        <w:t>allow it to maintain a cost-effectiveness ratio of</w:t>
      </w:r>
      <w:r w:rsidR="00D01A79">
        <w:t xml:space="preserve"> </w:t>
      </w:r>
      <w:r w:rsidR="00BF661F">
        <w:t>1.0</w:t>
      </w:r>
      <w:r w:rsidR="00520CC1" w:rsidRPr="005C3300">
        <w:t>.</w:t>
      </w:r>
      <w:r w:rsidR="00520CC1" w:rsidRPr="005C3300">
        <w:rPr>
          <w:rStyle w:val="FootnoteReference"/>
        </w:rPr>
        <w:footnoteReference w:id="1"/>
      </w:r>
      <w:r w:rsidR="00CA08E2" w:rsidRPr="005C3300">
        <w:t xml:space="preserve"> </w:t>
      </w:r>
      <w:r w:rsidR="00520CC1" w:rsidRPr="005C3300">
        <w:t>All of the programs are</w:t>
      </w:r>
      <w:r w:rsidR="00520CC1" w:rsidRPr="005B5A78">
        <w:t xml:space="preserve"> funded through the </w:t>
      </w:r>
      <w:r w:rsidR="001841F2">
        <w:t>company</w:t>
      </w:r>
      <w:r w:rsidR="00520CC1" w:rsidRPr="005B5A78">
        <w:t xml:space="preserve">’s </w:t>
      </w:r>
      <w:r w:rsidR="00243263">
        <w:t>PGA.</w:t>
      </w:r>
      <w:r w:rsidR="00520CC1" w:rsidRPr="005B5A78">
        <w:t xml:space="preserve"> </w:t>
      </w:r>
    </w:p>
    <w:p w14:paraId="219756D6" w14:textId="77777777" w:rsidR="00CD50CA" w:rsidRDefault="00CD50CA" w:rsidP="00520CC1"/>
    <w:p w14:paraId="219756D7" w14:textId="77777777" w:rsidR="00CD50CA" w:rsidRDefault="00CD50CA" w:rsidP="00520CC1">
      <w:r>
        <w:t>A summary of the company’s 2012 and 2013 therm savings estimates can be found below:</w:t>
      </w:r>
    </w:p>
    <w:p w14:paraId="219756D8" w14:textId="77777777" w:rsidR="00CD50CA" w:rsidRDefault="00CD50CA" w:rsidP="00520CC1"/>
    <w:tbl>
      <w:tblPr>
        <w:tblW w:w="9671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3558"/>
        <w:gridCol w:w="1762"/>
        <w:gridCol w:w="2302"/>
        <w:gridCol w:w="2049"/>
      </w:tblGrid>
      <w:tr w:rsidR="00A06914" w:rsidRPr="000E4231" w14:paraId="219756DD" w14:textId="77777777" w:rsidTr="002B08EC">
        <w:trPr>
          <w:trHeight w:val="281"/>
        </w:trPr>
        <w:tc>
          <w:tcPr>
            <w:tcW w:w="3558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</w:tcPr>
          <w:p w14:paraId="191B2C2D" w14:textId="77777777" w:rsidR="00807470" w:rsidRPr="002B08EC" w:rsidRDefault="00807470" w:rsidP="00250D8E">
            <w:pPr>
              <w:rPr>
                <w:b/>
                <w:bCs/>
              </w:rPr>
            </w:pPr>
          </w:p>
          <w:p w14:paraId="219756D9" w14:textId="77777777" w:rsidR="00A06914" w:rsidRPr="002B08EC" w:rsidRDefault="00A06914" w:rsidP="00250D8E">
            <w:pPr>
              <w:rPr>
                <w:b/>
                <w:bCs/>
              </w:rPr>
            </w:pPr>
            <w:r w:rsidRPr="002B08EC">
              <w:rPr>
                <w:b/>
                <w:bCs/>
              </w:rPr>
              <w:t>Natural Gas Efficiency Services</w:t>
            </w:r>
          </w:p>
        </w:tc>
        <w:tc>
          <w:tcPr>
            <w:tcW w:w="1762" w:type="dxa"/>
            <w:tcBorders>
              <w:top w:val="single" w:sz="12" w:space="0" w:color="000000"/>
              <w:bottom w:val="single" w:sz="12" w:space="0" w:color="000000"/>
            </w:tcBorders>
          </w:tcPr>
          <w:p w14:paraId="219756DA" w14:textId="77777777" w:rsidR="00A06914" w:rsidRPr="002B08EC" w:rsidRDefault="00A06914" w:rsidP="00250D8E">
            <w:pPr>
              <w:jc w:val="right"/>
              <w:rPr>
                <w:b/>
                <w:bCs/>
              </w:rPr>
            </w:pPr>
            <w:r w:rsidRPr="002B08EC">
              <w:rPr>
                <w:b/>
                <w:bCs/>
              </w:rPr>
              <w:t>2012 Projected Savings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219756DB" w14:textId="77777777" w:rsidR="00A06914" w:rsidRPr="002B08EC" w:rsidRDefault="00A06914" w:rsidP="00250D8E">
            <w:pPr>
              <w:jc w:val="right"/>
              <w:rPr>
                <w:b/>
                <w:bCs/>
              </w:rPr>
            </w:pPr>
            <w:r w:rsidRPr="002B08EC">
              <w:rPr>
                <w:b/>
                <w:bCs/>
              </w:rPr>
              <w:t>2013 Projected Savings</w:t>
            </w:r>
          </w:p>
        </w:tc>
        <w:tc>
          <w:tcPr>
            <w:tcW w:w="204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27A862D" w14:textId="77777777" w:rsidR="00807470" w:rsidRPr="002B08EC" w:rsidRDefault="00807470" w:rsidP="00250D8E">
            <w:pPr>
              <w:jc w:val="right"/>
              <w:rPr>
                <w:b/>
                <w:bCs/>
              </w:rPr>
            </w:pPr>
          </w:p>
          <w:p w14:paraId="219756DC" w14:textId="77777777" w:rsidR="00A06914" w:rsidRPr="002B08EC" w:rsidRDefault="00A06914" w:rsidP="00250D8E">
            <w:pPr>
              <w:jc w:val="right"/>
              <w:rPr>
                <w:b/>
                <w:bCs/>
              </w:rPr>
            </w:pPr>
            <w:r w:rsidRPr="002B08EC">
              <w:rPr>
                <w:b/>
                <w:bCs/>
              </w:rPr>
              <w:t>Percent Change</w:t>
            </w:r>
          </w:p>
        </w:tc>
      </w:tr>
      <w:tr w:rsidR="00A06914" w:rsidRPr="000E4231" w14:paraId="219756E3" w14:textId="77777777" w:rsidTr="002B08EC">
        <w:trPr>
          <w:trHeight w:val="293"/>
        </w:trPr>
        <w:tc>
          <w:tcPr>
            <w:tcW w:w="3558" w:type="dxa"/>
            <w:tcBorders>
              <w:left w:val="nil"/>
            </w:tcBorders>
            <w:shd w:val="clear" w:color="auto" w:fill="auto"/>
          </w:tcPr>
          <w:p w14:paraId="219756DE" w14:textId="77777777" w:rsidR="00A06914" w:rsidRPr="000E4231" w:rsidRDefault="00A06914" w:rsidP="00A06914">
            <w:r>
              <w:t>R</w:t>
            </w:r>
            <w:r w:rsidRPr="000E4231">
              <w:t>esidential</w:t>
            </w:r>
            <w:r>
              <w:t xml:space="preserve"> Program</w:t>
            </w:r>
          </w:p>
        </w:tc>
        <w:tc>
          <w:tcPr>
            <w:tcW w:w="1762" w:type="dxa"/>
          </w:tcPr>
          <w:p w14:paraId="219756DF" w14:textId="77777777" w:rsidR="00A06914" w:rsidRPr="000E4231" w:rsidRDefault="00A06914" w:rsidP="00250D8E">
            <w:pPr>
              <w:jc w:val="right"/>
            </w:pPr>
            <w:r>
              <w:t>396,845 therms</w:t>
            </w:r>
          </w:p>
        </w:tc>
        <w:tc>
          <w:tcPr>
            <w:tcW w:w="2302" w:type="dxa"/>
            <w:tcBorders>
              <w:right w:val="nil"/>
            </w:tcBorders>
          </w:tcPr>
          <w:p w14:paraId="219756E0" w14:textId="77777777" w:rsidR="00A06914" w:rsidRPr="00A91B74" w:rsidRDefault="00A06914" w:rsidP="00250D8E">
            <w:pPr>
              <w:jc w:val="right"/>
            </w:pPr>
            <w:r>
              <w:t>252,825 therms</w:t>
            </w:r>
          </w:p>
        </w:tc>
        <w:tc>
          <w:tcPr>
            <w:tcW w:w="2049" w:type="dxa"/>
            <w:tcBorders>
              <w:left w:val="nil"/>
              <w:right w:val="nil"/>
            </w:tcBorders>
          </w:tcPr>
          <w:p w14:paraId="219756E2" w14:textId="04896CB0" w:rsidR="00A06914" w:rsidRPr="00A91B74" w:rsidRDefault="00E32ADA" w:rsidP="00250D8E">
            <w:pPr>
              <w:jc w:val="right"/>
            </w:pPr>
            <w:r w:rsidRPr="00E32ADA">
              <w:t>-36.3%</w:t>
            </w:r>
          </w:p>
        </w:tc>
      </w:tr>
      <w:tr w:rsidR="00A06914" w:rsidRPr="000E4231" w14:paraId="219756E8" w14:textId="77777777" w:rsidTr="002B08EC">
        <w:trPr>
          <w:trHeight w:val="293"/>
        </w:trPr>
        <w:tc>
          <w:tcPr>
            <w:tcW w:w="3558" w:type="dxa"/>
            <w:tcBorders>
              <w:left w:val="nil"/>
            </w:tcBorders>
            <w:shd w:val="clear" w:color="auto" w:fill="auto"/>
          </w:tcPr>
          <w:p w14:paraId="219756E4" w14:textId="77777777" w:rsidR="00A06914" w:rsidRPr="000E4231" w:rsidRDefault="00A06914" w:rsidP="00A06914">
            <w:r w:rsidRPr="000E4231">
              <w:t>Commercial</w:t>
            </w:r>
            <w:r>
              <w:t xml:space="preserve"> Programs</w:t>
            </w:r>
          </w:p>
        </w:tc>
        <w:tc>
          <w:tcPr>
            <w:tcW w:w="1762" w:type="dxa"/>
          </w:tcPr>
          <w:p w14:paraId="219756E5" w14:textId="77777777" w:rsidR="00A06914" w:rsidRPr="000E4231" w:rsidRDefault="00A06914" w:rsidP="00250D8E">
            <w:pPr>
              <w:jc w:val="right"/>
            </w:pPr>
            <w:r>
              <w:t>456,237 therms</w:t>
            </w:r>
          </w:p>
        </w:tc>
        <w:tc>
          <w:tcPr>
            <w:tcW w:w="2302" w:type="dxa"/>
            <w:tcBorders>
              <w:right w:val="nil"/>
            </w:tcBorders>
          </w:tcPr>
          <w:p w14:paraId="219756E6" w14:textId="77777777" w:rsidR="00A06914" w:rsidRPr="000E4231" w:rsidRDefault="00A06914" w:rsidP="00250D8E">
            <w:pPr>
              <w:jc w:val="right"/>
            </w:pPr>
            <w:r>
              <w:t>427,856 therms</w:t>
            </w:r>
          </w:p>
        </w:tc>
        <w:tc>
          <w:tcPr>
            <w:tcW w:w="2049" w:type="dxa"/>
            <w:tcBorders>
              <w:left w:val="nil"/>
              <w:right w:val="nil"/>
            </w:tcBorders>
          </w:tcPr>
          <w:p w14:paraId="219756E7" w14:textId="77777777" w:rsidR="00A06914" w:rsidRPr="000E4231" w:rsidRDefault="00E32ADA" w:rsidP="00250D8E">
            <w:pPr>
              <w:jc w:val="right"/>
            </w:pPr>
            <w:r w:rsidRPr="00E32ADA">
              <w:t>-6.2%</w:t>
            </w:r>
          </w:p>
        </w:tc>
      </w:tr>
      <w:tr w:rsidR="00A06914" w:rsidRPr="000E4231" w14:paraId="219756ED" w14:textId="77777777" w:rsidTr="002B08EC">
        <w:trPr>
          <w:trHeight w:val="293"/>
        </w:trPr>
        <w:tc>
          <w:tcPr>
            <w:tcW w:w="3558" w:type="dxa"/>
            <w:tcBorders>
              <w:left w:val="nil"/>
            </w:tcBorders>
            <w:shd w:val="clear" w:color="auto" w:fill="auto"/>
          </w:tcPr>
          <w:p w14:paraId="219756E9" w14:textId="77777777" w:rsidR="00A06914" w:rsidRPr="000E4231" w:rsidRDefault="00A06914" w:rsidP="00250D8E">
            <w:r>
              <w:t>Low Income Program</w:t>
            </w:r>
          </w:p>
        </w:tc>
        <w:tc>
          <w:tcPr>
            <w:tcW w:w="1762" w:type="dxa"/>
          </w:tcPr>
          <w:p w14:paraId="219756EA" w14:textId="717A3F4A" w:rsidR="00A06914" w:rsidRPr="000E4231" w:rsidRDefault="00A06914" w:rsidP="00250D8E">
            <w:pPr>
              <w:jc w:val="right"/>
            </w:pPr>
            <w:r>
              <w:t>45,000 therms</w:t>
            </w:r>
          </w:p>
        </w:tc>
        <w:tc>
          <w:tcPr>
            <w:tcW w:w="2302" w:type="dxa"/>
            <w:tcBorders>
              <w:right w:val="nil"/>
            </w:tcBorders>
          </w:tcPr>
          <w:p w14:paraId="219756EB" w14:textId="77777777" w:rsidR="00A06914" w:rsidRPr="000E4231" w:rsidRDefault="00A06914" w:rsidP="00250D8E">
            <w:pPr>
              <w:jc w:val="right"/>
            </w:pPr>
            <w:r w:rsidRPr="00A06914">
              <w:t>35,000 therms</w:t>
            </w:r>
          </w:p>
        </w:tc>
        <w:tc>
          <w:tcPr>
            <w:tcW w:w="2049" w:type="dxa"/>
            <w:tcBorders>
              <w:left w:val="nil"/>
              <w:right w:val="nil"/>
            </w:tcBorders>
          </w:tcPr>
          <w:p w14:paraId="219756EC" w14:textId="77777777" w:rsidR="00A06914" w:rsidRPr="000E4231" w:rsidRDefault="00E32ADA" w:rsidP="00250D8E">
            <w:pPr>
              <w:jc w:val="right"/>
            </w:pPr>
            <w:r w:rsidRPr="00E32ADA">
              <w:t>-22.2%</w:t>
            </w:r>
          </w:p>
        </w:tc>
      </w:tr>
      <w:tr w:rsidR="00A06914" w:rsidRPr="00E45628" w14:paraId="219756F2" w14:textId="77777777" w:rsidTr="002B08EC">
        <w:trPr>
          <w:trHeight w:val="293"/>
        </w:trPr>
        <w:tc>
          <w:tcPr>
            <w:tcW w:w="3558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14:paraId="219756EE" w14:textId="77777777" w:rsidR="00A06914" w:rsidRPr="000E4231" w:rsidRDefault="003D668E" w:rsidP="00250D8E">
            <w:r>
              <w:t xml:space="preserve">Expected Savings </w:t>
            </w:r>
            <w:r w:rsidR="00F14524">
              <w:t>Achieved</w:t>
            </w:r>
          </w:p>
        </w:tc>
        <w:tc>
          <w:tcPr>
            <w:tcW w:w="1762" w:type="dxa"/>
            <w:tcBorders>
              <w:bottom w:val="single" w:sz="12" w:space="0" w:color="000000"/>
            </w:tcBorders>
          </w:tcPr>
          <w:p w14:paraId="219756EF" w14:textId="77777777" w:rsidR="00A06914" w:rsidRPr="000E4231" w:rsidRDefault="00CE4D0E" w:rsidP="00CE4D0E">
            <w:r>
              <w:t>75% of targets</w:t>
            </w:r>
          </w:p>
        </w:tc>
        <w:tc>
          <w:tcPr>
            <w:tcW w:w="2302" w:type="dxa"/>
            <w:tcBorders>
              <w:bottom w:val="single" w:sz="12" w:space="0" w:color="000000"/>
              <w:right w:val="nil"/>
            </w:tcBorders>
          </w:tcPr>
          <w:p w14:paraId="219756F0" w14:textId="77777777" w:rsidR="00A06914" w:rsidRPr="000E4231" w:rsidRDefault="00CE4D0E" w:rsidP="00250D8E">
            <w:pPr>
              <w:jc w:val="right"/>
            </w:pPr>
            <w:r>
              <w:t>75% of targets</w:t>
            </w:r>
          </w:p>
        </w:tc>
        <w:tc>
          <w:tcPr>
            <w:tcW w:w="2049" w:type="dxa"/>
            <w:tcBorders>
              <w:left w:val="nil"/>
              <w:bottom w:val="single" w:sz="12" w:space="0" w:color="000000"/>
              <w:right w:val="nil"/>
            </w:tcBorders>
          </w:tcPr>
          <w:p w14:paraId="219756F1" w14:textId="77777777" w:rsidR="00A06914" w:rsidRPr="000E4231" w:rsidRDefault="00CE4D0E" w:rsidP="00250D8E">
            <w:pPr>
              <w:jc w:val="right"/>
            </w:pPr>
            <w:r>
              <w:t>N/A</w:t>
            </w:r>
          </w:p>
        </w:tc>
      </w:tr>
    </w:tbl>
    <w:p w14:paraId="219756F3" w14:textId="77777777" w:rsidR="00787019" w:rsidRPr="005440CF" w:rsidRDefault="00787019" w:rsidP="00204A52">
      <w:pPr>
        <w:pStyle w:val="Heading1"/>
      </w:pPr>
      <w:r w:rsidRPr="005440CF">
        <w:lastRenderedPageBreak/>
        <w:t>Discussion</w:t>
      </w:r>
    </w:p>
    <w:p w14:paraId="219756F4" w14:textId="141F13B1" w:rsidR="009E2624" w:rsidRDefault="00240D31" w:rsidP="00FF75F4">
      <w:r>
        <w:t xml:space="preserve">The </w:t>
      </w:r>
      <w:r w:rsidR="006038B6">
        <w:t>c</w:t>
      </w:r>
      <w:r w:rsidR="001841F2">
        <w:t>ompany</w:t>
      </w:r>
      <w:r w:rsidR="00572966">
        <w:t xml:space="preserve"> has traditionally provided</w:t>
      </w:r>
      <w:r w:rsidR="009E2624">
        <w:t xml:space="preserve"> conservation targets</w:t>
      </w:r>
      <w:r w:rsidR="00572966">
        <w:t xml:space="preserve"> </w:t>
      </w:r>
      <w:r w:rsidR="00250D8E">
        <w:t>through its IRP.</w:t>
      </w:r>
      <w:r w:rsidR="009E2624">
        <w:t xml:space="preserve"> Responses to </w:t>
      </w:r>
      <w:r w:rsidR="005C6AF9">
        <w:t>commission s</w:t>
      </w:r>
      <w:r w:rsidR="00C05648">
        <w:t>taff inquiries</w:t>
      </w:r>
      <w:r w:rsidR="00DE7E68">
        <w:t xml:space="preserve"> regarding Cascade’s c</w:t>
      </w:r>
      <w:r w:rsidR="009E2624">
        <w:t>onservation efforts have been provided promptly upon request.</w:t>
      </w:r>
    </w:p>
    <w:p w14:paraId="219756F5" w14:textId="77777777" w:rsidR="009E2624" w:rsidRDefault="009E2624" w:rsidP="00FF75F4"/>
    <w:p w14:paraId="219756F6" w14:textId="73E3DF23" w:rsidR="007D0C27" w:rsidRDefault="00C8153C" w:rsidP="00FF75F4">
      <w:r>
        <w:t>Commission st</w:t>
      </w:r>
      <w:r w:rsidR="001D5680">
        <w:t>aff notes that Cascade plans</w:t>
      </w:r>
      <w:r w:rsidR="009E2624">
        <w:t xml:space="preserve"> to include </w:t>
      </w:r>
      <w:r w:rsidR="00F14524">
        <w:t>specifically</w:t>
      </w:r>
      <w:r w:rsidR="009E2624" w:rsidRPr="009E2624">
        <w:rPr>
          <w:i/>
        </w:rPr>
        <w:t xml:space="preserve"> </w:t>
      </w:r>
      <w:r w:rsidR="00C05648" w:rsidRPr="00F14524">
        <w:t>highlighted</w:t>
      </w:r>
      <w:r w:rsidR="009E2624">
        <w:t xml:space="preserve"> conservation target and budget</w:t>
      </w:r>
      <w:r>
        <w:t xml:space="preserve"> information </w:t>
      </w:r>
      <w:r w:rsidR="009E2624">
        <w:t xml:space="preserve">for the two year planning period </w:t>
      </w:r>
      <w:r w:rsidR="000709DB">
        <w:t xml:space="preserve">within its IRP </w:t>
      </w:r>
      <w:r>
        <w:t>document.</w:t>
      </w:r>
    </w:p>
    <w:p w14:paraId="219756F7" w14:textId="77777777" w:rsidR="00233031" w:rsidRDefault="00233031" w:rsidP="00FF75F4"/>
    <w:p w14:paraId="219756F8" w14:textId="77777777" w:rsidR="00A94652" w:rsidRDefault="00A94652" w:rsidP="00FF75F4">
      <w:pPr>
        <w:rPr>
          <w:b/>
          <w:i/>
        </w:rPr>
      </w:pPr>
      <w:r w:rsidRPr="000F018D">
        <w:rPr>
          <w:b/>
          <w:i/>
        </w:rPr>
        <w:t>Public Involvement</w:t>
      </w:r>
    </w:p>
    <w:p w14:paraId="219756F9" w14:textId="77777777" w:rsidR="005247BC" w:rsidRPr="000F018D" w:rsidRDefault="005247BC" w:rsidP="00FF75F4">
      <w:pPr>
        <w:rPr>
          <w:b/>
          <w:i/>
        </w:rPr>
      </w:pPr>
    </w:p>
    <w:p w14:paraId="219756FA" w14:textId="3F7AFCA3" w:rsidR="00A94652" w:rsidRDefault="00243263" w:rsidP="00FF75F4">
      <w:r>
        <w:t xml:space="preserve">Although the </w:t>
      </w:r>
      <w:r w:rsidR="004E5966">
        <w:t>c</w:t>
      </w:r>
      <w:r w:rsidR="001841F2">
        <w:t>ompany</w:t>
      </w:r>
      <w:r>
        <w:t xml:space="preserve"> is no </w:t>
      </w:r>
      <w:r w:rsidR="00572966">
        <w:t xml:space="preserve">longer obligated to </w:t>
      </w:r>
      <w:r w:rsidR="00C8153C">
        <w:t>conduct</w:t>
      </w:r>
      <w:r w:rsidR="00572966">
        <w:t xml:space="preserve"> </w:t>
      </w:r>
      <w:r w:rsidR="00C8153C">
        <w:t xml:space="preserve">any Conservation </w:t>
      </w:r>
      <w:r w:rsidR="00A94652">
        <w:t>Advisory Group</w:t>
      </w:r>
      <w:r w:rsidR="00C8153C">
        <w:t xml:space="preserve"> (CAG) meetings</w:t>
      </w:r>
      <w:r w:rsidR="00572966">
        <w:t>, following the expiration of its decoupling pilot on October 1, 2010</w:t>
      </w:r>
      <w:r w:rsidR="000C1877">
        <w:t>,</w:t>
      </w:r>
      <w:r w:rsidR="00572966">
        <w:t xml:space="preserve"> under </w:t>
      </w:r>
      <w:r w:rsidR="00250D8E">
        <w:t>D</w:t>
      </w:r>
      <w:r w:rsidR="00572966">
        <w:t>ocket UG-060256, Cascade did ho</w:t>
      </w:r>
      <w:r w:rsidR="005C690C">
        <w:t>ld</w:t>
      </w:r>
      <w:r w:rsidR="00572966">
        <w:t xml:space="preserve"> an Advisory Group meeting on February 29 regarding planned updates to its Residential and </w:t>
      </w:r>
      <w:r w:rsidR="00C05648">
        <w:t>Commercial</w:t>
      </w:r>
      <w:r w:rsidR="00250D8E">
        <w:t xml:space="preserve"> Conservation tariffs. </w:t>
      </w:r>
      <w:r w:rsidR="00572966">
        <w:t xml:space="preserve">The </w:t>
      </w:r>
      <w:r w:rsidR="004E5966">
        <w:t>c</w:t>
      </w:r>
      <w:r w:rsidR="001841F2">
        <w:t>ompany</w:t>
      </w:r>
      <w:r w:rsidR="00572966">
        <w:t xml:space="preserve"> also circulated several electronic communications to the CAG including a copy of its 2011 Conservation Achievement Report.</w:t>
      </w:r>
      <w:r w:rsidR="00250D8E">
        <w:t xml:space="preserve"> </w:t>
      </w:r>
      <w:r w:rsidR="004E5966">
        <w:t>This r</w:t>
      </w:r>
      <w:r w:rsidR="00C7013B">
        <w:t>eport is also provided as an infor</w:t>
      </w:r>
      <w:r w:rsidR="00C161DE">
        <w:t>mational filing under Docket UG-</w:t>
      </w:r>
      <w:r w:rsidR="00C7013B">
        <w:t>060256.</w:t>
      </w:r>
    </w:p>
    <w:p w14:paraId="219756FB" w14:textId="77777777" w:rsidR="005C3300" w:rsidRDefault="005C3300" w:rsidP="00FF75F4">
      <w:pPr>
        <w:rPr>
          <w:b/>
          <w:i/>
        </w:rPr>
      </w:pPr>
    </w:p>
    <w:p w14:paraId="219756FC" w14:textId="77777777" w:rsidR="00B06DC7" w:rsidRDefault="0028215A" w:rsidP="00FF75F4">
      <w:pPr>
        <w:rPr>
          <w:b/>
          <w:i/>
        </w:rPr>
      </w:pPr>
      <w:r w:rsidRPr="000F018D">
        <w:rPr>
          <w:b/>
          <w:i/>
        </w:rPr>
        <w:t>Evaluation</w:t>
      </w:r>
      <w:r w:rsidR="003139AE" w:rsidRPr="000F018D">
        <w:rPr>
          <w:b/>
          <w:i/>
        </w:rPr>
        <w:t>,</w:t>
      </w:r>
      <w:r w:rsidRPr="000F018D">
        <w:rPr>
          <w:b/>
          <w:i/>
        </w:rPr>
        <w:t xml:space="preserve"> </w:t>
      </w:r>
      <w:r w:rsidR="003139AE" w:rsidRPr="000F018D">
        <w:rPr>
          <w:b/>
          <w:i/>
        </w:rPr>
        <w:t>Measurement and Verification (EM&amp;V) Plan</w:t>
      </w:r>
    </w:p>
    <w:p w14:paraId="219756FD" w14:textId="77777777" w:rsidR="005247BC" w:rsidRPr="000F018D" w:rsidRDefault="005247BC" w:rsidP="00FF75F4">
      <w:pPr>
        <w:rPr>
          <w:b/>
          <w:i/>
        </w:rPr>
      </w:pPr>
    </w:p>
    <w:p w14:paraId="219756FE" w14:textId="07F44345" w:rsidR="003776C2" w:rsidRDefault="00CE2BB3" w:rsidP="00FF75F4">
      <w:r w:rsidRPr="00C8153C">
        <w:t>T</w:t>
      </w:r>
      <w:r w:rsidR="009A6FAA" w:rsidRPr="00C8153C">
        <w:t>he</w:t>
      </w:r>
      <w:r w:rsidR="008F651A" w:rsidRPr="00C8153C">
        <w:t xml:space="preserve"> </w:t>
      </w:r>
      <w:r w:rsidR="0024540E">
        <w:t>c</w:t>
      </w:r>
      <w:r w:rsidR="001841F2">
        <w:t>ompany</w:t>
      </w:r>
      <w:r w:rsidRPr="00C8153C">
        <w:t xml:space="preserve"> is </w:t>
      </w:r>
      <w:r w:rsidR="00267400" w:rsidRPr="00C8153C">
        <w:t xml:space="preserve">planning </w:t>
      </w:r>
      <w:r w:rsidR="00F5182D">
        <w:t>to issue</w:t>
      </w:r>
      <w:r w:rsidR="00C012C6">
        <w:t xml:space="preserve"> a</w:t>
      </w:r>
      <w:r w:rsidR="00F5182D">
        <w:t xml:space="preserve"> request for</w:t>
      </w:r>
      <w:r w:rsidR="00C012C6">
        <w:t xml:space="preserve"> proposal</w:t>
      </w:r>
      <w:r w:rsidR="00F5182D">
        <w:t>s</w:t>
      </w:r>
      <w:r w:rsidR="00C012C6">
        <w:t xml:space="preserve"> to conduct a comprehensive reassessment of its conservation potential </w:t>
      </w:r>
      <w:r w:rsidR="00661D51">
        <w:t xml:space="preserve">which </w:t>
      </w:r>
      <w:r w:rsidR="000C1877">
        <w:t xml:space="preserve">may </w:t>
      </w:r>
      <w:r w:rsidR="00661D51">
        <w:t>include</w:t>
      </w:r>
      <w:r w:rsidR="00277007">
        <w:t xml:space="preserve"> some</w:t>
      </w:r>
      <w:r w:rsidR="009A6FAA" w:rsidRPr="00C8153C">
        <w:t xml:space="preserve"> </w:t>
      </w:r>
      <w:r w:rsidR="0072754F" w:rsidRPr="00C8153C">
        <w:t>independent, third-party EM&amp;</w:t>
      </w:r>
      <w:r w:rsidR="00BF7B1B">
        <w:t xml:space="preserve">V. </w:t>
      </w:r>
      <w:r w:rsidR="00C012C6">
        <w:t>This analysis</w:t>
      </w:r>
      <w:r w:rsidR="009A6FAA" w:rsidRPr="00C8153C">
        <w:t xml:space="preserve"> </w:t>
      </w:r>
      <w:r w:rsidR="00267400" w:rsidRPr="00C8153C">
        <w:t xml:space="preserve">is proposed to </w:t>
      </w:r>
      <w:r w:rsidR="009A6FAA" w:rsidRPr="00C8153C">
        <w:t xml:space="preserve">include </w:t>
      </w:r>
      <w:r w:rsidR="009A6FAA" w:rsidRPr="00C012C6">
        <w:t>impact, process, market and cost test analyses</w:t>
      </w:r>
      <w:r w:rsidR="00EC6952">
        <w:t xml:space="preserve">, as long as this can be reasonably </w:t>
      </w:r>
      <w:r w:rsidR="00C05648">
        <w:t>accommodated</w:t>
      </w:r>
      <w:r w:rsidR="00EC6952">
        <w:t xml:space="preserve"> in the program budget without </w:t>
      </w:r>
      <w:r w:rsidR="00C05648">
        <w:t>jeopardizing</w:t>
      </w:r>
      <w:r w:rsidR="00EC6952">
        <w:t xml:space="preserve"> the overall cost effectiveness of the </w:t>
      </w:r>
      <w:r w:rsidR="001841F2">
        <w:t>Company</w:t>
      </w:r>
      <w:r w:rsidR="00EC6952">
        <w:t>’s conservation efforts.</w:t>
      </w:r>
      <w:r w:rsidR="000C1877">
        <w:t xml:space="preserve"> </w:t>
      </w:r>
    </w:p>
    <w:p w14:paraId="219756FF" w14:textId="77777777" w:rsidR="000E2D0C" w:rsidRPr="005440CF" w:rsidRDefault="000E2D0C" w:rsidP="00FF75F4"/>
    <w:p w14:paraId="21975700" w14:textId="77777777" w:rsidR="0072754F" w:rsidRDefault="00271B9B" w:rsidP="00FF75F4">
      <w:pPr>
        <w:rPr>
          <w:b/>
          <w:i/>
        </w:rPr>
      </w:pPr>
      <w:r w:rsidRPr="000F018D">
        <w:rPr>
          <w:b/>
          <w:i/>
        </w:rPr>
        <w:t>Program Outreach</w:t>
      </w:r>
    </w:p>
    <w:p w14:paraId="21975701" w14:textId="77777777" w:rsidR="005247BC" w:rsidRPr="000F018D" w:rsidRDefault="005247BC" w:rsidP="00FF75F4">
      <w:pPr>
        <w:rPr>
          <w:b/>
          <w:i/>
        </w:rPr>
      </w:pPr>
    </w:p>
    <w:p w14:paraId="21975702" w14:textId="40C563CA" w:rsidR="00661D51" w:rsidRDefault="009249F0" w:rsidP="00FF75F4">
      <w:r w:rsidRPr="009652E7">
        <w:t xml:space="preserve">The </w:t>
      </w:r>
      <w:r w:rsidR="001841F2">
        <w:t>company</w:t>
      </w:r>
      <w:r w:rsidRPr="009652E7">
        <w:t xml:space="preserve">’s </w:t>
      </w:r>
      <w:r w:rsidR="00661D51">
        <w:t xml:space="preserve">Conservation Incentive Program </w:t>
      </w:r>
      <w:r w:rsidR="000C1877">
        <w:t xml:space="preserve">(CIP) </w:t>
      </w:r>
      <w:r w:rsidR="00F5182D">
        <w:t xml:space="preserve">uses </w:t>
      </w:r>
      <w:r w:rsidR="00661D51">
        <w:t>consumer-focused incentives to encourage customers to purchase high-eff</w:t>
      </w:r>
      <w:r w:rsidR="009D4FA4">
        <w:t>iciency</w:t>
      </w:r>
      <w:r w:rsidR="00661D51">
        <w:t xml:space="preserve"> natural gas equipment and weatherization upgrades</w:t>
      </w:r>
      <w:r w:rsidR="00807470">
        <w:t xml:space="preserve">. </w:t>
      </w:r>
      <w:r w:rsidR="00DA31AB">
        <w:t>These rebates are promoted through strategic program outreach</w:t>
      </w:r>
      <w:r w:rsidR="009D4FA4">
        <w:t xml:space="preserve"> which includes the use of </w:t>
      </w:r>
      <w:r w:rsidR="00DA31AB">
        <w:t>bill inserts,</w:t>
      </w:r>
      <w:r w:rsidR="000B05ED">
        <w:t xml:space="preserve"> sponsorships</w:t>
      </w:r>
      <w:r w:rsidR="00DA31AB">
        <w:t xml:space="preserve"> and public speaking engagements designed to </w:t>
      </w:r>
      <w:r w:rsidR="000B05ED">
        <w:t>increase community awareness and participation in the Cascade CIP.</w:t>
      </w:r>
    </w:p>
    <w:p w14:paraId="21975703" w14:textId="77777777" w:rsidR="0011135E" w:rsidRDefault="0011135E" w:rsidP="00FF75F4">
      <w:pPr>
        <w:rPr>
          <w:b/>
          <w:i/>
        </w:rPr>
      </w:pPr>
    </w:p>
    <w:p w14:paraId="21975704" w14:textId="7B79341C" w:rsidR="005B42FE" w:rsidRDefault="00F5182D" w:rsidP="00FF75F4">
      <w:pPr>
        <w:rPr>
          <w:b/>
          <w:i/>
        </w:rPr>
      </w:pPr>
      <w:r>
        <w:rPr>
          <w:b/>
          <w:i/>
        </w:rPr>
        <w:t xml:space="preserve">Future Tariff </w:t>
      </w:r>
      <w:r w:rsidR="00AC7A6F" w:rsidRPr="000F018D">
        <w:rPr>
          <w:b/>
          <w:i/>
        </w:rPr>
        <w:t xml:space="preserve">Revisions </w:t>
      </w:r>
    </w:p>
    <w:p w14:paraId="21975705" w14:textId="77777777" w:rsidR="00660DE4" w:rsidRDefault="00660DE4" w:rsidP="00FF75F4">
      <w:pPr>
        <w:rPr>
          <w:b/>
          <w:i/>
        </w:rPr>
      </w:pPr>
    </w:p>
    <w:p w14:paraId="21975706" w14:textId="55E6B979" w:rsidR="00BF7B1B" w:rsidRDefault="00C51C13" w:rsidP="00FF75F4">
      <w:r>
        <w:t xml:space="preserve">Although Cascade has not currently provided </w:t>
      </w:r>
      <w:r w:rsidR="00AC0FF8">
        <w:t>any p</w:t>
      </w:r>
      <w:r w:rsidR="001841F2">
        <w:t>roposed tariff changes for its conservation programs, the company</w:t>
      </w:r>
      <w:r w:rsidR="00AC0FF8">
        <w:t xml:space="preserve"> </w:t>
      </w:r>
      <w:r w:rsidR="00AB354D">
        <w:t>anticipates that it will be</w:t>
      </w:r>
      <w:r w:rsidR="00AC0FF8">
        <w:t xml:space="preserve"> </w:t>
      </w:r>
      <w:r w:rsidR="008E0C66">
        <w:t>submitting proposed revisions</w:t>
      </w:r>
      <w:r w:rsidR="00F5182D">
        <w:t xml:space="preserve">  to its </w:t>
      </w:r>
      <w:r w:rsidR="00F5182D" w:rsidRPr="00F5182D">
        <w:t>Residential Conservation Incentive Program (Tariff 300), Low Income Weatherization Incentive Program (Tariff 301) and Commercial Industrial Conservation Program (Tariff 302)</w:t>
      </w:r>
      <w:r w:rsidR="008E0C66">
        <w:t xml:space="preserve"> in order to maintain program cost effectiveness</w:t>
      </w:r>
      <w:r w:rsidR="00AB354D">
        <w:t xml:space="preserve"> and respond to updated program data</w:t>
      </w:r>
      <w:r w:rsidR="000C1877">
        <w:t xml:space="preserve"> includ</w:t>
      </w:r>
      <w:r w:rsidR="004567B3">
        <w:t xml:space="preserve">ing </w:t>
      </w:r>
      <w:r w:rsidR="000C1877">
        <w:t>updated avoided cost calculations</w:t>
      </w:r>
      <w:r w:rsidR="00AB354D">
        <w:t>.</w:t>
      </w:r>
    </w:p>
    <w:p w14:paraId="11EA4B7D" w14:textId="77777777" w:rsidR="00A12126" w:rsidRDefault="00A12126" w:rsidP="00FF75F4">
      <w:pPr>
        <w:rPr>
          <w:b/>
          <w:i/>
        </w:rPr>
      </w:pPr>
    </w:p>
    <w:p w14:paraId="21975708" w14:textId="73D118B2" w:rsidR="00385F85" w:rsidRDefault="00595317" w:rsidP="00FF75F4">
      <w:pPr>
        <w:rPr>
          <w:b/>
          <w:i/>
        </w:rPr>
      </w:pPr>
      <w:r>
        <w:rPr>
          <w:b/>
          <w:i/>
        </w:rPr>
        <w:t>2012</w:t>
      </w:r>
      <w:r w:rsidRPr="00385F85">
        <w:rPr>
          <w:b/>
          <w:i/>
        </w:rPr>
        <w:t xml:space="preserve"> </w:t>
      </w:r>
      <w:r w:rsidR="00385F85" w:rsidRPr="00385F85">
        <w:rPr>
          <w:b/>
          <w:i/>
        </w:rPr>
        <w:t>Program Changes</w:t>
      </w:r>
    </w:p>
    <w:p w14:paraId="21975709" w14:textId="77777777" w:rsidR="00F42228" w:rsidRDefault="00F42228" w:rsidP="00FF75F4">
      <w:pPr>
        <w:rPr>
          <w:b/>
          <w:i/>
        </w:rPr>
      </w:pPr>
    </w:p>
    <w:p w14:paraId="2197570A" w14:textId="0C8C44EC" w:rsidR="00F42228" w:rsidRDefault="00024AD3" w:rsidP="00FF75F4">
      <w:r>
        <w:t>Cascade update</w:t>
      </w:r>
      <w:r w:rsidR="00595317">
        <w:t>d its conservation programs</w:t>
      </w:r>
      <w:r>
        <w:t xml:space="preserve"> in early 2012 </w:t>
      </w:r>
      <w:r w:rsidR="00595317">
        <w:t>in D</w:t>
      </w:r>
      <w:r>
        <w:t>ocket UG</w:t>
      </w:r>
      <w:r w:rsidR="000C1877">
        <w:t>-</w:t>
      </w:r>
      <w:r w:rsidR="005A1B72">
        <w:t>120279</w:t>
      </w:r>
      <w:r>
        <w:t>. The updates included replacement of</w:t>
      </w:r>
      <w:r w:rsidR="00595317">
        <w:t xml:space="preserve"> incentives for</w:t>
      </w:r>
      <w:r>
        <w:t xml:space="preserve"> water heaters meeting the 0.62 EF water heaters with </w:t>
      </w:r>
      <w:r w:rsidR="00595317">
        <w:t xml:space="preserve">incentives for </w:t>
      </w:r>
      <w:r>
        <w:t>models which meet the 0.64 EF standard; an inclusion of rebates for the 0.91 EF tankless water heaters; additions to the Commercial Kitchen and Foodservice Sectors of the CIP; and the modification of Cascade’s custom program in order to include energy efficiency implementation on residential structures that are part of a larger commercial project.</w:t>
      </w:r>
    </w:p>
    <w:p w14:paraId="2197570B" w14:textId="77777777" w:rsidR="00024AD3" w:rsidRDefault="00024AD3" w:rsidP="00FF75F4"/>
    <w:p w14:paraId="2197570C" w14:textId="4B814A4F" w:rsidR="00024AD3" w:rsidRDefault="008B319C" w:rsidP="00FF75F4">
      <w:r>
        <w:t>Table 3</w:t>
      </w:r>
      <w:r w:rsidR="00024AD3">
        <w:t xml:space="preserve"> outlines the current changes to Cascade’s conservation programs.</w:t>
      </w:r>
    </w:p>
    <w:p w14:paraId="2197570D" w14:textId="77777777" w:rsidR="00024AD3" w:rsidRDefault="00024AD3" w:rsidP="00FF75F4"/>
    <w:p w14:paraId="2197570E" w14:textId="2BFFB109" w:rsidR="00024AD3" w:rsidRPr="00024AD3" w:rsidRDefault="008B319C" w:rsidP="00024AD3">
      <w:pPr>
        <w:jc w:val="center"/>
        <w:rPr>
          <w:b/>
        </w:rPr>
      </w:pPr>
      <w:r>
        <w:rPr>
          <w:b/>
        </w:rPr>
        <w:t>Table 3</w:t>
      </w:r>
    </w:p>
    <w:p w14:paraId="2197570F" w14:textId="77777777" w:rsidR="00024AD3" w:rsidRDefault="00024AD3" w:rsidP="00FF75F4"/>
    <w:tbl>
      <w:tblPr>
        <w:tblStyle w:val="LightList-Accent1"/>
        <w:tblW w:w="0" w:type="auto"/>
        <w:tblBorders>
          <w:left w:val="none" w:sz="0" w:space="0" w:color="auto"/>
          <w:right w:val="none" w:sz="0" w:space="0" w:color="auto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B08EC" w:rsidRPr="002B08EC" w14:paraId="21975714" w14:textId="77777777" w:rsidTr="002B0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</w:tcPr>
          <w:p w14:paraId="142E919B" w14:textId="77777777" w:rsidR="00807470" w:rsidRPr="002B08EC" w:rsidRDefault="00807470" w:rsidP="00FF75F4">
            <w:pPr>
              <w:rPr>
                <w:color w:val="auto"/>
              </w:rPr>
            </w:pPr>
          </w:p>
          <w:p w14:paraId="21975710" w14:textId="77777777" w:rsidR="00024AD3" w:rsidRPr="002B08EC" w:rsidRDefault="00024AD3" w:rsidP="00FF75F4">
            <w:pPr>
              <w:rPr>
                <w:b w:val="0"/>
                <w:color w:val="auto"/>
              </w:rPr>
            </w:pPr>
            <w:r w:rsidRPr="002B08EC">
              <w:rPr>
                <w:color w:val="auto"/>
              </w:rPr>
              <w:t>Additions</w:t>
            </w:r>
          </w:p>
        </w:tc>
        <w:tc>
          <w:tcPr>
            <w:tcW w:w="2394" w:type="dxa"/>
            <w:shd w:val="clear" w:color="auto" w:fill="auto"/>
          </w:tcPr>
          <w:p w14:paraId="45602314" w14:textId="77777777" w:rsidR="00807470" w:rsidRPr="002B08EC" w:rsidRDefault="00807470" w:rsidP="00FF75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1975711" w14:textId="77777777" w:rsidR="00024AD3" w:rsidRPr="002B08EC" w:rsidRDefault="00024AD3" w:rsidP="00FF75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2B08EC">
              <w:rPr>
                <w:color w:val="auto"/>
              </w:rPr>
              <w:t>Replacements</w:t>
            </w:r>
          </w:p>
        </w:tc>
        <w:tc>
          <w:tcPr>
            <w:tcW w:w="2394" w:type="dxa"/>
            <w:shd w:val="clear" w:color="auto" w:fill="auto"/>
          </w:tcPr>
          <w:p w14:paraId="5994AAE5" w14:textId="77777777" w:rsidR="00807470" w:rsidRPr="002B08EC" w:rsidRDefault="00807470" w:rsidP="00FF75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1975712" w14:textId="77777777" w:rsidR="00024AD3" w:rsidRPr="002B08EC" w:rsidRDefault="00024AD3" w:rsidP="00FF75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2B08EC">
              <w:rPr>
                <w:color w:val="auto"/>
              </w:rPr>
              <w:t>Modifications</w:t>
            </w:r>
          </w:p>
        </w:tc>
        <w:tc>
          <w:tcPr>
            <w:tcW w:w="2394" w:type="dxa"/>
            <w:shd w:val="clear" w:color="auto" w:fill="auto"/>
          </w:tcPr>
          <w:p w14:paraId="21975713" w14:textId="77777777" w:rsidR="00024AD3" w:rsidRPr="002B08EC" w:rsidRDefault="00024AD3" w:rsidP="00FF75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2B08EC">
              <w:rPr>
                <w:color w:val="auto"/>
              </w:rPr>
              <w:t>Additional Custom Incentives</w:t>
            </w:r>
          </w:p>
        </w:tc>
      </w:tr>
      <w:tr w:rsidR="00024AD3" w14:paraId="21975719" w14:textId="77777777" w:rsidTr="002B0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975715" w14:textId="77777777" w:rsidR="00024AD3" w:rsidRPr="005E6ACB" w:rsidRDefault="00024AD3" w:rsidP="00FF75F4">
            <w:pPr>
              <w:rPr>
                <w:b w:val="0"/>
              </w:rPr>
            </w:pPr>
            <w:r w:rsidRPr="005E6ACB">
              <w:rPr>
                <w:b w:val="0"/>
              </w:rPr>
              <w:t>Condensing Residential 0.91 EF Tankless Water heaters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</w:tcBorders>
          </w:tcPr>
          <w:p w14:paraId="21975716" w14:textId="77777777" w:rsidR="00024AD3" w:rsidRDefault="00241FF3" w:rsidP="00FF7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Residential 0.62 EF Water Heater Incentive with 0.64 EF Incentive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</w:tcBorders>
          </w:tcPr>
          <w:p w14:paraId="21975717" w14:textId="77777777" w:rsidR="00024AD3" w:rsidRDefault="00241FF3" w:rsidP="00FF7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Adjusted the incremental cost and therm savings data for Commercial EE Condensing Boilers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975718" w14:textId="77777777" w:rsidR="00024AD3" w:rsidRDefault="00241FF3" w:rsidP="00FF7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Residential rate schedule 503</w:t>
            </w:r>
          </w:p>
        </w:tc>
      </w:tr>
      <w:tr w:rsidR="00024AD3" w14:paraId="2197571E" w14:textId="77777777" w:rsidTr="002B0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197571A" w14:textId="77777777" w:rsidR="00024AD3" w:rsidRPr="005E6ACB" w:rsidRDefault="00024AD3" w:rsidP="00FF75F4">
            <w:pPr>
              <w:rPr>
                <w:b w:val="0"/>
              </w:rPr>
            </w:pPr>
            <w:r w:rsidRPr="005E6ACB">
              <w:rPr>
                <w:b w:val="0"/>
              </w:rPr>
              <w:t>Commercial Energy Star and CEE Rated High Efficiency 3 and 6 Pan Gas Steamers</w:t>
            </w:r>
          </w:p>
        </w:tc>
        <w:tc>
          <w:tcPr>
            <w:tcW w:w="2394" w:type="dxa"/>
          </w:tcPr>
          <w:p w14:paraId="2197571B" w14:textId="77777777" w:rsidR="00024AD3" w:rsidRDefault="00241FF3" w:rsidP="00FF7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Commercial Domestic Tankless Water Heater with Standing Pilot and Electric Ignition with DHW Energy Star Tankless Water Heater Incentive</w:t>
            </w:r>
          </w:p>
        </w:tc>
        <w:tc>
          <w:tcPr>
            <w:tcW w:w="2394" w:type="dxa"/>
          </w:tcPr>
          <w:p w14:paraId="2197571C" w14:textId="77777777" w:rsidR="00024AD3" w:rsidRDefault="00241FF3" w:rsidP="00FF7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Adjusted the standards, incremental cost and savings data, and reduced the incentive for Commercial gas Convection Ovens</w:t>
            </w:r>
          </w:p>
        </w:tc>
        <w:tc>
          <w:tcPr>
            <w:tcW w:w="2394" w:type="dxa"/>
          </w:tcPr>
          <w:p w14:paraId="2197571D" w14:textId="77777777" w:rsidR="00024AD3" w:rsidRDefault="00241FF3" w:rsidP="00FF7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Qualifying rate schedules 504, 505, 511, 570, and 577</w:t>
            </w:r>
          </w:p>
        </w:tc>
      </w:tr>
      <w:tr w:rsidR="00024AD3" w14:paraId="21975723" w14:textId="77777777" w:rsidTr="002B0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97571F" w14:textId="77777777" w:rsidR="00024AD3" w:rsidRPr="005E6ACB" w:rsidRDefault="00024AD3" w:rsidP="00FF75F4">
            <w:pPr>
              <w:rPr>
                <w:b w:val="0"/>
              </w:rPr>
            </w:pPr>
            <w:r w:rsidRPr="005E6ACB">
              <w:rPr>
                <w:b w:val="0"/>
              </w:rPr>
              <w:t xml:space="preserve">Commercial Food </w:t>
            </w:r>
            <w:r w:rsidR="00241FF3" w:rsidRPr="005E6ACB">
              <w:rPr>
                <w:b w:val="0"/>
              </w:rPr>
              <w:t>Service Technology Center Qualified Double Rack Ovens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</w:tcBorders>
          </w:tcPr>
          <w:p w14:paraId="21975720" w14:textId="77777777" w:rsidR="00024AD3" w:rsidRDefault="00024AD3" w:rsidP="00FF7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</w:tcBorders>
          </w:tcPr>
          <w:p w14:paraId="21975721" w14:textId="77777777" w:rsidR="00024AD3" w:rsidRDefault="00241FF3" w:rsidP="00FF7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Adjusted the standards, incremental cost and savings data, and reduced the incentive for High Efficiency Commercial Infrared Gas Griddles</w:t>
            </w:r>
          </w:p>
        </w:tc>
        <w:tc>
          <w:tcPr>
            <w:tcW w:w="23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975722" w14:textId="77777777" w:rsidR="00024AD3" w:rsidRDefault="00024AD3" w:rsidP="00FF7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AD3" w14:paraId="21975728" w14:textId="77777777" w:rsidTr="002B0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1975724" w14:textId="77777777" w:rsidR="00024AD3" w:rsidRPr="005E6ACB" w:rsidRDefault="00241FF3" w:rsidP="00FF75F4">
            <w:pPr>
              <w:rPr>
                <w:b w:val="0"/>
              </w:rPr>
            </w:pPr>
            <w:r w:rsidRPr="005E6ACB">
              <w:rPr>
                <w:b w:val="0"/>
              </w:rPr>
              <w:t xml:space="preserve">Energy Star Rated </w:t>
            </w:r>
            <w:r w:rsidR="00F14524" w:rsidRPr="005E6ACB">
              <w:rPr>
                <w:b w:val="0"/>
              </w:rPr>
              <w:t>Commercial</w:t>
            </w:r>
            <w:r w:rsidRPr="005E6ACB">
              <w:rPr>
                <w:b w:val="0"/>
              </w:rPr>
              <w:t xml:space="preserve"> High Efficiency Door Type and Multi-tank Conveyor Dishwa</w:t>
            </w:r>
            <w:r w:rsidR="00DF4542" w:rsidRPr="005E6ACB">
              <w:rPr>
                <w:b w:val="0"/>
              </w:rPr>
              <w:t>s</w:t>
            </w:r>
            <w:r w:rsidRPr="005E6ACB">
              <w:rPr>
                <w:b w:val="0"/>
              </w:rPr>
              <w:t>hers</w:t>
            </w:r>
          </w:p>
        </w:tc>
        <w:tc>
          <w:tcPr>
            <w:tcW w:w="2394" w:type="dxa"/>
          </w:tcPr>
          <w:p w14:paraId="21975725" w14:textId="77777777" w:rsidR="00024AD3" w:rsidRDefault="00024AD3" w:rsidP="00FF7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1975726" w14:textId="77777777" w:rsidR="00024AD3" w:rsidRDefault="00024AD3" w:rsidP="00FF7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1975727" w14:textId="77777777" w:rsidR="00024AD3" w:rsidRDefault="00024AD3" w:rsidP="00FF7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975729" w14:textId="77777777" w:rsidR="00385F85" w:rsidRDefault="00385F85" w:rsidP="00FF75F4"/>
    <w:p w14:paraId="2197572B" w14:textId="77777777" w:rsidR="004A2726" w:rsidRDefault="004A2726" w:rsidP="004A2726">
      <w:pPr>
        <w:rPr>
          <w:b/>
          <w:i/>
        </w:rPr>
      </w:pPr>
      <w:r>
        <w:rPr>
          <w:b/>
          <w:i/>
        </w:rPr>
        <w:t>Program Changes for 2013</w:t>
      </w:r>
    </w:p>
    <w:p w14:paraId="2197572C" w14:textId="77777777" w:rsidR="00AA020F" w:rsidRDefault="00AA020F" w:rsidP="004A2726">
      <w:pPr>
        <w:rPr>
          <w:b/>
          <w:i/>
        </w:rPr>
      </w:pPr>
    </w:p>
    <w:p w14:paraId="2197572D" w14:textId="67E2682E" w:rsidR="00464CC7" w:rsidRDefault="00C05648" w:rsidP="004A2726">
      <w:r>
        <w:t>As stated earlier in this document, Cascade anticipates that several program adjustments will be needed in order to maintain the cost-effectiveness of its con</w:t>
      </w:r>
      <w:r w:rsidR="00807470">
        <w:t>servation efforts.</w:t>
      </w:r>
      <w:r>
        <w:t xml:space="preserve"> These changes may include budget reductions, a comprehensive reassessment of program potential, and a series of changes to rebate offerings and cost-caps as appropriate.</w:t>
      </w:r>
    </w:p>
    <w:p w14:paraId="2197572E" w14:textId="77777777" w:rsidR="005F020A" w:rsidRPr="00C05648" w:rsidRDefault="005F020A" w:rsidP="004A2726"/>
    <w:p w14:paraId="2197572F" w14:textId="77777777" w:rsidR="00D60E7F" w:rsidRPr="005440CF" w:rsidRDefault="0028215A" w:rsidP="00204A52">
      <w:pPr>
        <w:pStyle w:val="Heading1"/>
      </w:pPr>
      <w:r w:rsidRPr="005440CF">
        <w:t>Conclusion</w:t>
      </w:r>
    </w:p>
    <w:p w14:paraId="21975730" w14:textId="77777777" w:rsidR="00C75312" w:rsidRPr="005440CF" w:rsidRDefault="00C75312" w:rsidP="00C75312">
      <w:pPr>
        <w:rPr>
          <w:color w:val="1F497D"/>
        </w:rPr>
      </w:pPr>
      <w:r w:rsidRPr="00040CE3">
        <w:t>Take no action</w:t>
      </w:r>
      <w:r w:rsidR="00AA020F">
        <w:t>, acknowledging the receipt of Cascade’s conservation update</w:t>
      </w:r>
      <w:r w:rsidRPr="00040CE3">
        <w:t>.</w:t>
      </w:r>
      <w:r>
        <w:t xml:space="preserve"> </w:t>
      </w:r>
    </w:p>
    <w:sectPr w:rsidR="00C75312" w:rsidRPr="005440CF" w:rsidSect="002B08EC">
      <w:headerReference w:type="default" r:id="rId13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75733" w14:textId="77777777" w:rsidR="00F5182D" w:rsidRDefault="00F5182D" w:rsidP="00FF75F4">
      <w:r>
        <w:separator/>
      </w:r>
    </w:p>
  </w:endnote>
  <w:endnote w:type="continuationSeparator" w:id="0">
    <w:p w14:paraId="21975734" w14:textId="77777777" w:rsidR="00F5182D" w:rsidRDefault="00F5182D" w:rsidP="00FF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75731" w14:textId="77777777" w:rsidR="00F5182D" w:rsidRDefault="00F5182D" w:rsidP="00FF75F4">
      <w:r>
        <w:separator/>
      </w:r>
    </w:p>
  </w:footnote>
  <w:footnote w:type="continuationSeparator" w:id="0">
    <w:p w14:paraId="21975732" w14:textId="77777777" w:rsidR="00F5182D" w:rsidRDefault="00F5182D" w:rsidP="00FF75F4">
      <w:r>
        <w:continuationSeparator/>
      </w:r>
    </w:p>
  </w:footnote>
  <w:footnote w:id="1">
    <w:p w14:paraId="21975739" w14:textId="77777777" w:rsidR="00F5182D" w:rsidRPr="00DF3F1E" w:rsidRDefault="00F5182D" w:rsidP="00520CC1">
      <w:pPr>
        <w:pStyle w:val="FootnoteText"/>
      </w:pPr>
      <w:r w:rsidRPr="00DF3F1E">
        <w:rPr>
          <w:rStyle w:val="FootnoteReference"/>
        </w:rPr>
        <w:footnoteRef/>
      </w:r>
      <w:r w:rsidRPr="00DF3F1E">
        <w:t xml:space="preserve"> The Total Resource Cost test result must be greater than 1 to demonstrate cost-effectiveness.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75735" w14:textId="77777777" w:rsidR="00F5182D" w:rsidRPr="00777586" w:rsidRDefault="00F5182D" w:rsidP="002C648F">
    <w:pPr>
      <w:pStyle w:val="Header"/>
      <w:rPr>
        <w:sz w:val="20"/>
        <w:szCs w:val="20"/>
      </w:rPr>
    </w:pPr>
    <w:r w:rsidRPr="00777586">
      <w:rPr>
        <w:sz w:val="20"/>
        <w:szCs w:val="20"/>
      </w:rPr>
      <w:t>D</w:t>
    </w:r>
    <w:r>
      <w:rPr>
        <w:sz w:val="20"/>
        <w:szCs w:val="20"/>
      </w:rPr>
      <w:t>OCKET UG-121207</w:t>
    </w:r>
  </w:p>
  <w:p w14:paraId="21975736" w14:textId="77777777" w:rsidR="00F5182D" w:rsidRPr="00777586" w:rsidRDefault="00F5182D" w:rsidP="002C648F">
    <w:pPr>
      <w:pStyle w:val="Header"/>
      <w:rPr>
        <w:sz w:val="20"/>
        <w:szCs w:val="20"/>
      </w:rPr>
    </w:pPr>
    <w:r>
      <w:rPr>
        <w:sz w:val="20"/>
        <w:szCs w:val="20"/>
      </w:rPr>
      <w:t>December 21, 2012</w:t>
    </w:r>
  </w:p>
  <w:p w14:paraId="21975737" w14:textId="77777777" w:rsidR="00F5182D" w:rsidRPr="00777586" w:rsidRDefault="00F5182D" w:rsidP="002C648F">
    <w:pPr>
      <w:pStyle w:val="Header"/>
      <w:rPr>
        <w:rStyle w:val="PageNumber"/>
        <w:sz w:val="20"/>
        <w:szCs w:val="20"/>
      </w:rPr>
    </w:pPr>
    <w:r w:rsidRPr="00777586">
      <w:rPr>
        <w:sz w:val="20"/>
        <w:szCs w:val="20"/>
      </w:rPr>
      <w:t xml:space="preserve">Page </w:t>
    </w:r>
    <w:r w:rsidRPr="00777586">
      <w:rPr>
        <w:rStyle w:val="PageNumber"/>
        <w:sz w:val="20"/>
        <w:szCs w:val="20"/>
      </w:rPr>
      <w:fldChar w:fldCharType="begin"/>
    </w:r>
    <w:r w:rsidRPr="00777586">
      <w:rPr>
        <w:rStyle w:val="PageNumber"/>
        <w:sz w:val="20"/>
        <w:szCs w:val="20"/>
      </w:rPr>
      <w:instrText xml:space="preserve"> PAGE </w:instrText>
    </w:r>
    <w:r w:rsidRPr="00777586">
      <w:rPr>
        <w:rStyle w:val="PageNumber"/>
        <w:sz w:val="20"/>
        <w:szCs w:val="20"/>
      </w:rPr>
      <w:fldChar w:fldCharType="separate"/>
    </w:r>
    <w:r w:rsidR="0085662F">
      <w:rPr>
        <w:rStyle w:val="PageNumber"/>
        <w:noProof/>
        <w:sz w:val="20"/>
        <w:szCs w:val="20"/>
      </w:rPr>
      <w:t>5</w:t>
    </w:r>
    <w:r w:rsidRPr="00777586">
      <w:rPr>
        <w:rStyle w:val="PageNumber"/>
        <w:sz w:val="20"/>
        <w:szCs w:val="20"/>
      </w:rPr>
      <w:fldChar w:fldCharType="end"/>
    </w:r>
  </w:p>
  <w:p w14:paraId="2E7A7ABA" w14:textId="77777777" w:rsidR="00A12126" w:rsidRPr="00E05888" w:rsidRDefault="00A12126" w:rsidP="00FF75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1DB"/>
    <w:multiLevelType w:val="hybridMultilevel"/>
    <w:tmpl w:val="09E4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36C12"/>
    <w:multiLevelType w:val="hybridMultilevel"/>
    <w:tmpl w:val="89DA0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32C44"/>
    <w:multiLevelType w:val="multilevel"/>
    <w:tmpl w:val="8268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B93792C"/>
    <w:multiLevelType w:val="hybridMultilevel"/>
    <w:tmpl w:val="A0649F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B416B"/>
    <w:multiLevelType w:val="hybridMultilevel"/>
    <w:tmpl w:val="E128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F5"/>
    <w:rsid w:val="0000078C"/>
    <w:rsid w:val="00001805"/>
    <w:rsid w:val="000126E3"/>
    <w:rsid w:val="00013E26"/>
    <w:rsid w:val="00024AD3"/>
    <w:rsid w:val="00025FA6"/>
    <w:rsid w:val="00040CE3"/>
    <w:rsid w:val="00041921"/>
    <w:rsid w:val="00042271"/>
    <w:rsid w:val="00043283"/>
    <w:rsid w:val="00046219"/>
    <w:rsid w:val="00047427"/>
    <w:rsid w:val="00054659"/>
    <w:rsid w:val="00057A1C"/>
    <w:rsid w:val="000709DB"/>
    <w:rsid w:val="0007323E"/>
    <w:rsid w:val="000770E0"/>
    <w:rsid w:val="00082655"/>
    <w:rsid w:val="00086F2E"/>
    <w:rsid w:val="000922E4"/>
    <w:rsid w:val="00092E6A"/>
    <w:rsid w:val="00093F47"/>
    <w:rsid w:val="0009761D"/>
    <w:rsid w:val="000A1774"/>
    <w:rsid w:val="000A302B"/>
    <w:rsid w:val="000A36EF"/>
    <w:rsid w:val="000A4EDF"/>
    <w:rsid w:val="000A6695"/>
    <w:rsid w:val="000A7F7C"/>
    <w:rsid w:val="000B05ED"/>
    <w:rsid w:val="000B69BC"/>
    <w:rsid w:val="000C1877"/>
    <w:rsid w:val="000C561A"/>
    <w:rsid w:val="000C641A"/>
    <w:rsid w:val="000C6F30"/>
    <w:rsid w:val="000D120B"/>
    <w:rsid w:val="000D2AAE"/>
    <w:rsid w:val="000D335F"/>
    <w:rsid w:val="000E2D0C"/>
    <w:rsid w:val="000E4231"/>
    <w:rsid w:val="000E5A4A"/>
    <w:rsid w:val="000F018D"/>
    <w:rsid w:val="000F41CD"/>
    <w:rsid w:val="00100426"/>
    <w:rsid w:val="00100726"/>
    <w:rsid w:val="00103C30"/>
    <w:rsid w:val="00104E99"/>
    <w:rsid w:val="00106E5E"/>
    <w:rsid w:val="0011135E"/>
    <w:rsid w:val="00115F20"/>
    <w:rsid w:val="001162AB"/>
    <w:rsid w:val="00124A6F"/>
    <w:rsid w:val="001261D0"/>
    <w:rsid w:val="00144549"/>
    <w:rsid w:val="00146617"/>
    <w:rsid w:val="00147639"/>
    <w:rsid w:val="00152793"/>
    <w:rsid w:val="001621A5"/>
    <w:rsid w:val="00162E85"/>
    <w:rsid w:val="00163505"/>
    <w:rsid w:val="00163DC7"/>
    <w:rsid w:val="00170495"/>
    <w:rsid w:val="00170726"/>
    <w:rsid w:val="00170970"/>
    <w:rsid w:val="0017204A"/>
    <w:rsid w:val="00177433"/>
    <w:rsid w:val="00180D93"/>
    <w:rsid w:val="001841F2"/>
    <w:rsid w:val="00186DE5"/>
    <w:rsid w:val="001916C0"/>
    <w:rsid w:val="001923BA"/>
    <w:rsid w:val="00192AD1"/>
    <w:rsid w:val="00194217"/>
    <w:rsid w:val="00194C72"/>
    <w:rsid w:val="001B4AC2"/>
    <w:rsid w:val="001C41E2"/>
    <w:rsid w:val="001C424C"/>
    <w:rsid w:val="001C5930"/>
    <w:rsid w:val="001C78C3"/>
    <w:rsid w:val="001D0D50"/>
    <w:rsid w:val="001D5680"/>
    <w:rsid w:val="001E5D16"/>
    <w:rsid w:val="001F4BAA"/>
    <w:rsid w:val="001F5226"/>
    <w:rsid w:val="0020370D"/>
    <w:rsid w:val="00204A52"/>
    <w:rsid w:val="0020635F"/>
    <w:rsid w:val="0021048E"/>
    <w:rsid w:val="00220A9A"/>
    <w:rsid w:val="002215D4"/>
    <w:rsid w:val="002245E8"/>
    <w:rsid w:val="00225BAA"/>
    <w:rsid w:val="0022715D"/>
    <w:rsid w:val="00227F90"/>
    <w:rsid w:val="00233031"/>
    <w:rsid w:val="00236427"/>
    <w:rsid w:val="00240D31"/>
    <w:rsid w:val="00241B8C"/>
    <w:rsid w:val="00241FF3"/>
    <w:rsid w:val="00242044"/>
    <w:rsid w:val="00243263"/>
    <w:rsid w:val="0024540E"/>
    <w:rsid w:val="00246541"/>
    <w:rsid w:val="00250D8E"/>
    <w:rsid w:val="00252D7E"/>
    <w:rsid w:val="0025719E"/>
    <w:rsid w:val="00257374"/>
    <w:rsid w:val="0026174A"/>
    <w:rsid w:val="00262872"/>
    <w:rsid w:val="00262F57"/>
    <w:rsid w:val="00267400"/>
    <w:rsid w:val="00270333"/>
    <w:rsid w:val="00270C65"/>
    <w:rsid w:val="00271B9B"/>
    <w:rsid w:val="00271BAD"/>
    <w:rsid w:val="00271DF6"/>
    <w:rsid w:val="00272EAF"/>
    <w:rsid w:val="00277007"/>
    <w:rsid w:val="00277399"/>
    <w:rsid w:val="00280F8A"/>
    <w:rsid w:val="00281461"/>
    <w:rsid w:val="0028215A"/>
    <w:rsid w:val="00284E91"/>
    <w:rsid w:val="002970C4"/>
    <w:rsid w:val="002A17DE"/>
    <w:rsid w:val="002A2DC0"/>
    <w:rsid w:val="002A36C0"/>
    <w:rsid w:val="002A3F3D"/>
    <w:rsid w:val="002A67A9"/>
    <w:rsid w:val="002A7D14"/>
    <w:rsid w:val="002B08EC"/>
    <w:rsid w:val="002C0730"/>
    <w:rsid w:val="002C40C5"/>
    <w:rsid w:val="002C5999"/>
    <w:rsid w:val="002C648F"/>
    <w:rsid w:val="002C74B0"/>
    <w:rsid w:val="002D3A0F"/>
    <w:rsid w:val="002D7FAC"/>
    <w:rsid w:val="002E69E9"/>
    <w:rsid w:val="002E7662"/>
    <w:rsid w:val="002E7CC5"/>
    <w:rsid w:val="002F156B"/>
    <w:rsid w:val="002F1FA7"/>
    <w:rsid w:val="002F303C"/>
    <w:rsid w:val="002F5A33"/>
    <w:rsid w:val="002F7D05"/>
    <w:rsid w:val="002F7FCC"/>
    <w:rsid w:val="00304156"/>
    <w:rsid w:val="00304D53"/>
    <w:rsid w:val="003109C9"/>
    <w:rsid w:val="003139AE"/>
    <w:rsid w:val="00322A9D"/>
    <w:rsid w:val="0032544B"/>
    <w:rsid w:val="003326BC"/>
    <w:rsid w:val="003329DB"/>
    <w:rsid w:val="00332D84"/>
    <w:rsid w:val="0033757E"/>
    <w:rsid w:val="00340117"/>
    <w:rsid w:val="00340AA0"/>
    <w:rsid w:val="003432D1"/>
    <w:rsid w:val="00343B9D"/>
    <w:rsid w:val="003607EF"/>
    <w:rsid w:val="003614F9"/>
    <w:rsid w:val="003626DD"/>
    <w:rsid w:val="00367F1C"/>
    <w:rsid w:val="003702DA"/>
    <w:rsid w:val="0037080B"/>
    <w:rsid w:val="00372101"/>
    <w:rsid w:val="003776C2"/>
    <w:rsid w:val="00385F85"/>
    <w:rsid w:val="0038660C"/>
    <w:rsid w:val="003904AE"/>
    <w:rsid w:val="00391AB8"/>
    <w:rsid w:val="003927A9"/>
    <w:rsid w:val="00394387"/>
    <w:rsid w:val="003A28AD"/>
    <w:rsid w:val="003A5456"/>
    <w:rsid w:val="003A683D"/>
    <w:rsid w:val="003B0E4C"/>
    <w:rsid w:val="003B1607"/>
    <w:rsid w:val="003B2045"/>
    <w:rsid w:val="003B741B"/>
    <w:rsid w:val="003C7708"/>
    <w:rsid w:val="003D21C9"/>
    <w:rsid w:val="003D3A3A"/>
    <w:rsid w:val="003D668E"/>
    <w:rsid w:val="003E7551"/>
    <w:rsid w:val="003F05EC"/>
    <w:rsid w:val="003F1BDE"/>
    <w:rsid w:val="003F2771"/>
    <w:rsid w:val="004019C9"/>
    <w:rsid w:val="00405C03"/>
    <w:rsid w:val="00413A8F"/>
    <w:rsid w:val="004148E7"/>
    <w:rsid w:val="0042262E"/>
    <w:rsid w:val="004231EF"/>
    <w:rsid w:val="004242A1"/>
    <w:rsid w:val="004358D6"/>
    <w:rsid w:val="004511F7"/>
    <w:rsid w:val="004551A5"/>
    <w:rsid w:val="00455FBA"/>
    <w:rsid w:val="004563C6"/>
    <w:rsid w:val="004567B3"/>
    <w:rsid w:val="00456917"/>
    <w:rsid w:val="0045798A"/>
    <w:rsid w:val="004600EE"/>
    <w:rsid w:val="004638DF"/>
    <w:rsid w:val="00464CC7"/>
    <w:rsid w:val="00465007"/>
    <w:rsid w:val="00465904"/>
    <w:rsid w:val="00471B11"/>
    <w:rsid w:val="00473E34"/>
    <w:rsid w:val="00482FF7"/>
    <w:rsid w:val="00483226"/>
    <w:rsid w:val="004878D0"/>
    <w:rsid w:val="00491392"/>
    <w:rsid w:val="00491D88"/>
    <w:rsid w:val="00493DC1"/>
    <w:rsid w:val="00494B89"/>
    <w:rsid w:val="004A2726"/>
    <w:rsid w:val="004A3142"/>
    <w:rsid w:val="004B2C53"/>
    <w:rsid w:val="004B4DA1"/>
    <w:rsid w:val="004C207B"/>
    <w:rsid w:val="004C2614"/>
    <w:rsid w:val="004C3617"/>
    <w:rsid w:val="004C3E8A"/>
    <w:rsid w:val="004D2FEB"/>
    <w:rsid w:val="004D4B4E"/>
    <w:rsid w:val="004E443D"/>
    <w:rsid w:val="004E5966"/>
    <w:rsid w:val="004F36CA"/>
    <w:rsid w:val="004F5242"/>
    <w:rsid w:val="004F77EA"/>
    <w:rsid w:val="005024F9"/>
    <w:rsid w:val="00505AB1"/>
    <w:rsid w:val="00511608"/>
    <w:rsid w:val="0051363C"/>
    <w:rsid w:val="00514B14"/>
    <w:rsid w:val="00514DF5"/>
    <w:rsid w:val="00514E29"/>
    <w:rsid w:val="00520170"/>
    <w:rsid w:val="00520CC1"/>
    <w:rsid w:val="00520D0B"/>
    <w:rsid w:val="00521DDB"/>
    <w:rsid w:val="00522C40"/>
    <w:rsid w:val="005247BC"/>
    <w:rsid w:val="00524B4F"/>
    <w:rsid w:val="005426DF"/>
    <w:rsid w:val="005440CF"/>
    <w:rsid w:val="0055621D"/>
    <w:rsid w:val="00566C61"/>
    <w:rsid w:val="00572966"/>
    <w:rsid w:val="00582C07"/>
    <w:rsid w:val="0058597F"/>
    <w:rsid w:val="0059285C"/>
    <w:rsid w:val="00593784"/>
    <w:rsid w:val="00595317"/>
    <w:rsid w:val="005A0A09"/>
    <w:rsid w:val="005A1B72"/>
    <w:rsid w:val="005A496B"/>
    <w:rsid w:val="005A4A28"/>
    <w:rsid w:val="005A7B7E"/>
    <w:rsid w:val="005B42FE"/>
    <w:rsid w:val="005B75FE"/>
    <w:rsid w:val="005C3300"/>
    <w:rsid w:val="005C36BA"/>
    <w:rsid w:val="005C690C"/>
    <w:rsid w:val="005C6AF9"/>
    <w:rsid w:val="005D2A45"/>
    <w:rsid w:val="005D3A54"/>
    <w:rsid w:val="005D4DC5"/>
    <w:rsid w:val="005D5411"/>
    <w:rsid w:val="005D7576"/>
    <w:rsid w:val="005E2430"/>
    <w:rsid w:val="005E3549"/>
    <w:rsid w:val="005E4477"/>
    <w:rsid w:val="005E6ACB"/>
    <w:rsid w:val="005F020A"/>
    <w:rsid w:val="005F0821"/>
    <w:rsid w:val="005F47B0"/>
    <w:rsid w:val="006017F3"/>
    <w:rsid w:val="006038B6"/>
    <w:rsid w:val="00605644"/>
    <w:rsid w:val="006135B4"/>
    <w:rsid w:val="00624FC0"/>
    <w:rsid w:val="00625424"/>
    <w:rsid w:val="00630E56"/>
    <w:rsid w:val="00632EAB"/>
    <w:rsid w:val="00633D62"/>
    <w:rsid w:val="006348A7"/>
    <w:rsid w:val="00642F98"/>
    <w:rsid w:val="00645F4C"/>
    <w:rsid w:val="00650411"/>
    <w:rsid w:val="00651161"/>
    <w:rsid w:val="0065149E"/>
    <w:rsid w:val="0065373E"/>
    <w:rsid w:val="006546F8"/>
    <w:rsid w:val="00657DEE"/>
    <w:rsid w:val="00660DE4"/>
    <w:rsid w:val="00661D51"/>
    <w:rsid w:val="00667FB8"/>
    <w:rsid w:val="006733D9"/>
    <w:rsid w:val="00673770"/>
    <w:rsid w:val="0068542C"/>
    <w:rsid w:val="0069060A"/>
    <w:rsid w:val="00697EBD"/>
    <w:rsid w:val="006A0FC1"/>
    <w:rsid w:val="006A28C2"/>
    <w:rsid w:val="006A53CF"/>
    <w:rsid w:val="006A5F45"/>
    <w:rsid w:val="006A6A1D"/>
    <w:rsid w:val="006B2981"/>
    <w:rsid w:val="006B44A2"/>
    <w:rsid w:val="006B5368"/>
    <w:rsid w:val="006C19C3"/>
    <w:rsid w:val="006C1A2B"/>
    <w:rsid w:val="006C3315"/>
    <w:rsid w:val="006D2279"/>
    <w:rsid w:val="006D4BCC"/>
    <w:rsid w:val="006E0ACD"/>
    <w:rsid w:val="006E2FCC"/>
    <w:rsid w:val="006E356D"/>
    <w:rsid w:val="006E4394"/>
    <w:rsid w:val="006E79D6"/>
    <w:rsid w:val="006F1159"/>
    <w:rsid w:val="006F4FF6"/>
    <w:rsid w:val="006F7BF2"/>
    <w:rsid w:val="00701D51"/>
    <w:rsid w:val="007043A0"/>
    <w:rsid w:val="007110E6"/>
    <w:rsid w:val="007221E3"/>
    <w:rsid w:val="007228CB"/>
    <w:rsid w:val="0072391F"/>
    <w:rsid w:val="0072754F"/>
    <w:rsid w:val="007338D7"/>
    <w:rsid w:val="00735874"/>
    <w:rsid w:val="007364B4"/>
    <w:rsid w:val="0074247D"/>
    <w:rsid w:val="00744C90"/>
    <w:rsid w:val="007453CD"/>
    <w:rsid w:val="00750034"/>
    <w:rsid w:val="007507D2"/>
    <w:rsid w:val="00752C89"/>
    <w:rsid w:val="00754E12"/>
    <w:rsid w:val="00757194"/>
    <w:rsid w:val="00764E50"/>
    <w:rsid w:val="0076670E"/>
    <w:rsid w:val="00767FFB"/>
    <w:rsid w:val="007711F0"/>
    <w:rsid w:val="00774C1D"/>
    <w:rsid w:val="00776B7B"/>
    <w:rsid w:val="00777EFE"/>
    <w:rsid w:val="0078584E"/>
    <w:rsid w:val="00787019"/>
    <w:rsid w:val="00790F7E"/>
    <w:rsid w:val="00792708"/>
    <w:rsid w:val="00797A54"/>
    <w:rsid w:val="00797D07"/>
    <w:rsid w:val="007A2B2C"/>
    <w:rsid w:val="007A3FFE"/>
    <w:rsid w:val="007A6C79"/>
    <w:rsid w:val="007A76D8"/>
    <w:rsid w:val="007B0D24"/>
    <w:rsid w:val="007B7BB4"/>
    <w:rsid w:val="007C66EB"/>
    <w:rsid w:val="007C7855"/>
    <w:rsid w:val="007C7A4B"/>
    <w:rsid w:val="007D0C27"/>
    <w:rsid w:val="007D1FCB"/>
    <w:rsid w:val="007D3D1A"/>
    <w:rsid w:val="007D409B"/>
    <w:rsid w:val="007D4E7F"/>
    <w:rsid w:val="007D50DE"/>
    <w:rsid w:val="007D674F"/>
    <w:rsid w:val="007D6A75"/>
    <w:rsid w:val="007E0EB5"/>
    <w:rsid w:val="007E55FF"/>
    <w:rsid w:val="007E5710"/>
    <w:rsid w:val="007F0A61"/>
    <w:rsid w:val="007F5144"/>
    <w:rsid w:val="00800F62"/>
    <w:rsid w:val="00803182"/>
    <w:rsid w:val="00803942"/>
    <w:rsid w:val="00807470"/>
    <w:rsid w:val="008152F2"/>
    <w:rsid w:val="0081564A"/>
    <w:rsid w:val="00820643"/>
    <w:rsid w:val="00820A0A"/>
    <w:rsid w:val="00820CA8"/>
    <w:rsid w:val="008256DC"/>
    <w:rsid w:val="00832824"/>
    <w:rsid w:val="00832C63"/>
    <w:rsid w:val="00837009"/>
    <w:rsid w:val="0084102A"/>
    <w:rsid w:val="00842F1A"/>
    <w:rsid w:val="00844A65"/>
    <w:rsid w:val="00845AFC"/>
    <w:rsid w:val="00845BDF"/>
    <w:rsid w:val="00846CE4"/>
    <w:rsid w:val="0085662F"/>
    <w:rsid w:val="00862939"/>
    <w:rsid w:val="00862FFC"/>
    <w:rsid w:val="0086422D"/>
    <w:rsid w:val="00864FDF"/>
    <w:rsid w:val="008745FE"/>
    <w:rsid w:val="00876F19"/>
    <w:rsid w:val="008771C3"/>
    <w:rsid w:val="00880D77"/>
    <w:rsid w:val="008900C9"/>
    <w:rsid w:val="008A2CAB"/>
    <w:rsid w:val="008A4054"/>
    <w:rsid w:val="008A49C8"/>
    <w:rsid w:val="008A4EE5"/>
    <w:rsid w:val="008A61AF"/>
    <w:rsid w:val="008B319C"/>
    <w:rsid w:val="008B5111"/>
    <w:rsid w:val="008C08ED"/>
    <w:rsid w:val="008C6FA8"/>
    <w:rsid w:val="008D0D84"/>
    <w:rsid w:val="008D2D64"/>
    <w:rsid w:val="008E0C66"/>
    <w:rsid w:val="008E517E"/>
    <w:rsid w:val="008E75AD"/>
    <w:rsid w:val="008F1CEC"/>
    <w:rsid w:val="008F50EB"/>
    <w:rsid w:val="008F651A"/>
    <w:rsid w:val="009003B9"/>
    <w:rsid w:val="009041C3"/>
    <w:rsid w:val="00904645"/>
    <w:rsid w:val="00907168"/>
    <w:rsid w:val="0091069F"/>
    <w:rsid w:val="00915206"/>
    <w:rsid w:val="009249F0"/>
    <w:rsid w:val="0092524C"/>
    <w:rsid w:val="00931127"/>
    <w:rsid w:val="0093145C"/>
    <w:rsid w:val="009363BA"/>
    <w:rsid w:val="00947A1D"/>
    <w:rsid w:val="00947AAF"/>
    <w:rsid w:val="00947D39"/>
    <w:rsid w:val="00956BA6"/>
    <w:rsid w:val="00962AF7"/>
    <w:rsid w:val="00963D1F"/>
    <w:rsid w:val="009652E7"/>
    <w:rsid w:val="009702DA"/>
    <w:rsid w:val="009712CC"/>
    <w:rsid w:val="009742A7"/>
    <w:rsid w:val="00980023"/>
    <w:rsid w:val="00980095"/>
    <w:rsid w:val="00980D01"/>
    <w:rsid w:val="00981691"/>
    <w:rsid w:val="009828A2"/>
    <w:rsid w:val="0098532A"/>
    <w:rsid w:val="00985D0D"/>
    <w:rsid w:val="00992B48"/>
    <w:rsid w:val="00993829"/>
    <w:rsid w:val="00993D47"/>
    <w:rsid w:val="009A6FAA"/>
    <w:rsid w:val="009C3A9C"/>
    <w:rsid w:val="009C4479"/>
    <w:rsid w:val="009C4F77"/>
    <w:rsid w:val="009D3809"/>
    <w:rsid w:val="009D4411"/>
    <w:rsid w:val="009D4FA4"/>
    <w:rsid w:val="009D6358"/>
    <w:rsid w:val="009E2624"/>
    <w:rsid w:val="009E6921"/>
    <w:rsid w:val="009F7605"/>
    <w:rsid w:val="00A0516E"/>
    <w:rsid w:val="00A06914"/>
    <w:rsid w:val="00A12126"/>
    <w:rsid w:val="00A13F08"/>
    <w:rsid w:val="00A31724"/>
    <w:rsid w:val="00A32572"/>
    <w:rsid w:val="00A33C8A"/>
    <w:rsid w:val="00A413E1"/>
    <w:rsid w:val="00A50F3F"/>
    <w:rsid w:val="00A55508"/>
    <w:rsid w:val="00A56593"/>
    <w:rsid w:val="00A633F2"/>
    <w:rsid w:val="00A72A8F"/>
    <w:rsid w:val="00A734AE"/>
    <w:rsid w:val="00A91B74"/>
    <w:rsid w:val="00A92875"/>
    <w:rsid w:val="00A92BA7"/>
    <w:rsid w:val="00A93116"/>
    <w:rsid w:val="00A94652"/>
    <w:rsid w:val="00A97894"/>
    <w:rsid w:val="00A97A07"/>
    <w:rsid w:val="00AA020F"/>
    <w:rsid w:val="00AA20F7"/>
    <w:rsid w:val="00AA2EF9"/>
    <w:rsid w:val="00AA482F"/>
    <w:rsid w:val="00AA510D"/>
    <w:rsid w:val="00AB0136"/>
    <w:rsid w:val="00AB157C"/>
    <w:rsid w:val="00AB354D"/>
    <w:rsid w:val="00AC0212"/>
    <w:rsid w:val="00AC0FF8"/>
    <w:rsid w:val="00AC3647"/>
    <w:rsid w:val="00AC4BD9"/>
    <w:rsid w:val="00AC6B2D"/>
    <w:rsid w:val="00AC7A6F"/>
    <w:rsid w:val="00AD4D61"/>
    <w:rsid w:val="00AD4E0E"/>
    <w:rsid w:val="00AE1F3A"/>
    <w:rsid w:val="00AE28EC"/>
    <w:rsid w:val="00AE2E47"/>
    <w:rsid w:val="00AE343A"/>
    <w:rsid w:val="00AF628C"/>
    <w:rsid w:val="00AF717D"/>
    <w:rsid w:val="00B01ACF"/>
    <w:rsid w:val="00B0370F"/>
    <w:rsid w:val="00B04BF8"/>
    <w:rsid w:val="00B06DC7"/>
    <w:rsid w:val="00B10EF1"/>
    <w:rsid w:val="00B24201"/>
    <w:rsid w:val="00B25711"/>
    <w:rsid w:val="00B25850"/>
    <w:rsid w:val="00B26F22"/>
    <w:rsid w:val="00B306DE"/>
    <w:rsid w:val="00B3359A"/>
    <w:rsid w:val="00B33E84"/>
    <w:rsid w:val="00B34B7A"/>
    <w:rsid w:val="00B411EB"/>
    <w:rsid w:val="00B41876"/>
    <w:rsid w:val="00B52024"/>
    <w:rsid w:val="00B651F3"/>
    <w:rsid w:val="00B657E9"/>
    <w:rsid w:val="00B83011"/>
    <w:rsid w:val="00B838ED"/>
    <w:rsid w:val="00B85C3E"/>
    <w:rsid w:val="00B938AD"/>
    <w:rsid w:val="00B93F9E"/>
    <w:rsid w:val="00B97781"/>
    <w:rsid w:val="00BA26E8"/>
    <w:rsid w:val="00BA441B"/>
    <w:rsid w:val="00BA4E08"/>
    <w:rsid w:val="00BA6F57"/>
    <w:rsid w:val="00BB1556"/>
    <w:rsid w:val="00BB173D"/>
    <w:rsid w:val="00BB1C75"/>
    <w:rsid w:val="00BB5E73"/>
    <w:rsid w:val="00BB5ED3"/>
    <w:rsid w:val="00BB6C46"/>
    <w:rsid w:val="00BB6D0A"/>
    <w:rsid w:val="00BC2095"/>
    <w:rsid w:val="00BC59BE"/>
    <w:rsid w:val="00BC7C16"/>
    <w:rsid w:val="00BD0618"/>
    <w:rsid w:val="00BD6CA0"/>
    <w:rsid w:val="00BF3466"/>
    <w:rsid w:val="00BF3D13"/>
    <w:rsid w:val="00BF5E4A"/>
    <w:rsid w:val="00BF661F"/>
    <w:rsid w:val="00BF7B1B"/>
    <w:rsid w:val="00C00012"/>
    <w:rsid w:val="00C012C6"/>
    <w:rsid w:val="00C026E9"/>
    <w:rsid w:val="00C05648"/>
    <w:rsid w:val="00C12B6F"/>
    <w:rsid w:val="00C14375"/>
    <w:rsid w:val="00C161DE"/>
    <w:rsid w:val="00C224BC"/>
    <w:rsid w:val="00C30885"/>
    <w:rsid w:val="00C357B6"/>
    <w:rsid w:val="00C516C4"/>
    <w:rsid w:val="00C51C13"/>
    <w:rsid w:val="00C531D9"/>
    <w:rsid w:val="00C5784F"/>
    <w:rsid w:val="00C66457"/>
    <w:rsid w:val="00C67384"/>
    <w:rsid w:val="00C7013B"/>
    <w:rsid w:val="00C75312"/>
    <w:rsid w:val="00C75742"/>
    <w:rsid w:val="00C8153C"/>
    <w:rsid w:val="00C843D3"/>
    <w:rsid w:val="00C85316"/>
    <w:rsid w:val="00C85FA1"/>
    <w:rsid w:val="00C91FF7"/>
    <w:rsid w:val="00CA08E2"/>
    <w:rsid w:val="00CA45F4"/>
    <w:rsid w:val="00CA4811"/>
    <w:rsid w:val="00CA65F5"/>
    <w:rsid w:val="00CB403A"/>
    <w:rsid w:val="00CB42AA"/>
    <w:rsid w:val="00CB655F"/>
    <w:rsid w:val="00CC094F"/>
    <w:rsid w:val="00CC2205"/>
    <w:rsid w:val="00CC2E05"/>
    <w:rsid w:val="00CC6D50"/>
    <w:rsid w:val="00CD1FE9"/>
    <w:rsid w:val="00CD50CA"/>
    <w:rsid w:val="00CE2BB3"/>
    <w:rsid w:val="00CE3F94"/>
    <w:rsid w:val="00CE4D0E"/>
    <w:rsid w:val="00CE6B26"/>
    <w:rsid w:val="00CF2459"/>
    <w:rsid w:val="00CF5C63"/>
    <w:rsid w:val="00D010ED"/>
    <w:rsid w:val="00D01507"/>
    <w:rsid w:val="00D0152D"/>
    <w:rsid w:val="00D01A79"/>
    <w:rsid w:val="00D0379E"/>
    <w:rsid w:val="00D06B3E"/>
    <w:rsid w:val="00D14912"/>
    <w:rsid w:val="00D23AE1"/>
    <w:rsid w:val="00D24828"/>
    <w:rsid w:val="00D36F46"/>
    <w:rsid w:val="00D5111E"/>
    <w:rsid w:val="00D602F4"/>
    <w:rsid w:val="00D60E7F"/>
    <w:rsid w:val="00D61F01"/>
    <w:rsid w:val="00D6600B"/>
    <w:rsid w:val="00D66B54"/>
    <w:rsid w:val="00D718C4"/>
    <w:rsid w:val="00D75620"/>
    <w:rsid w:val="00D75C47"/>
    <w:rsid w:val="00D81138"/>
    <w:rsid w:val="00D81519"/>
    <w:rsid w:val="00D83AEA"/>
    <w:rsid w:val="00D87D4B"/>
    <w:rsid w:val="00D90789"/>
    <w:rsid w:val="00D910DE"/>
    <w:rsid w:val="00D95927"/>
    <w:rsid w:val="00DA31AB"/>
    <w:rsid w:val="00DC2128"/>
    <w:rsid w:val="00DC60B0"/>
    <w:rsid w:val="00DD089E"/>
    <w:rsid w:val="00DE7DEB"/>
    <w:rsid w:val="00DE7E68"/>
    <w:rsid w:val="00DF3F2B"/>
    <w:rsid w:val="00DF4542"/>
    <w:rsid w:val="00DF5FA6"/>
    <w:rsid w:val="00E02B1B"/>
    <w:rsid w:val="00E03C1A"/>
    <w:rsid w:val="00E04F57"/>
    <w:rsid w:val="00E05888"/>
    <w:rsid w:val="00E06EB3"/>
    <w:rsid w:val="00E1104B"/>
    <w:rsid w:val="00E122FA"/>
    <w:rsid w:val="00E17064"/>
    <w:rsid w:val="00E203D1"/>
    <w:rsid w:val="00E23FC8"/>
    <w:rsid w:val="00E24DA3"/>
    <w:rsid w:val="00E24F64"/>
    <w:rsid w:val="00E25C93"/>
    <w:rsid w:val="00E27118"/>
    <w:rsid w:val="00E316CB"/>
    <w:rsid w:val="00E32ADA"/>
    <w:rsid w:val="00E363F5"/>
    <w:rsid w:val="00E3641A"/>
    <w:rsid w:val="00E42633"/>
    <w:rsid w:val="00E45628"/>
    <w:rsid w:val="00E459B5"/>
    <w:rsid w:val="00E6146E"/>
    <w:rsid w:val="00E61812"/>
    <w:rsid w:val="00E63B8D"/>
    <w:rsid w:val="00E64CF5"/>
    <w:rsid w:val="00E654BE"/>
    <w:rsid w:val="00E66BE4"/>
    <w:rsid w:val="00E7401F"/>
    <w:rsid w:val="00E812CF"/>
    <w:rsid w:val="00E82FC5"/>
    <w:rsid w:val="00E85664"/>
    <w:rsid w:val="00E865F4"/>
    <w:rsid w:val="00E901C0"/>
    <w:rsid w:val="00E95A72"/>
    <w:rsid w:val="00EA0CE0"/>
    <w:rsid w:val="00EA2CB5"/>
    <w:rsid w:val="00EA3B7B"/>
    <w:rsid w:val="00EA4F1D"/>
    <w:rsid w:val="00EA5094"/>
    <w:rsid w:val="00EB0C9C"/>
    <w:rsid w:val="00EB4B12"/>
    <w:rsid w:val="00EB72D4"/>
    <w:rsid w:val="00EC4490"/>
    <w:rsid w:val="00EC6592"/>
    <w:rsid w:val="00EC6952"/>
    <w:rsid w:val="00EC725D"/>
    <w:rsid w:val="00ED2BC8"/>
    <w:rsid w:val="00ED5305"/>
    <w:rsid w:val="00EE1AEE"/>
    <w:rsid w:val="00EF20DB"/>
    <w:rsid w:val="00F075E4"/>
    <w:rsid w:val="00F13A37"/>
    <w:rsid w:val="00F14524"/>
    <w:rsid w:val="00F14C6E"/>
    <w:rsid w:val="00F17292"/>
    <w:rsid w:val="00F22536"/>
    <w:rsid w:val="00F277B5"/>
    <w:rsid w:val="00F27D92"/>
    <w:rsid w:val="00F3080F"/>
    <w:rsid w:val="00F31A95"/>
    <w:rsid w:val="00F335B7"/>
    <w:rsid w:val="00F361C8"/>
    <w:rsid w:val="00F42228"/>
    <w:rsid w:val="00F45647"/>
    <w:rsid w:val="00F47B23"/>
    <w:rsid w:val="00F51155"/>
    <w:rsid w:val="00F5182D"/>
    <w:rsid w:val="00F52E3D"/>
    <w:rsid w:val="00F5398C"/>
    <w:rsid w:val="00F62B90"/>
    <w:rsid w:val="00F67F4A"/>
    <w:rsid w:val="00F7673B"/>
    <w:rsid w:val="00F857AF"/>
    <w:rsid w:val="00F94663"/>
    <w:rsid w:val="00FA09A3"/>
    <w:rsid w:val="00FA3F57"/>
    <w:rsid w:val="00FA57A3"/>
    <w:rsid w:val="00FA5E32"/>
    <w:rsid w:val="00FA7B38"/>
    <w:rsid w:val="00FB2F88"/>
    <w:rsid w:val="00FB56F9"/>
    <w:rsid w:val="00FC0DE2"/>
    <w:rsid w:val="00FC5ECC"/>
    <w:rsid w:val="00FC66BD"/>
    <w:rsid w:val="00FD019B"/>
    <w:rsid w:val="00FD2DAA"/>
    <w:rsid w:val="00FD668C"/>
    <w:rsid w:val="00FD6D96"/>
    <w:rsid w:val="00FF0115"/>
    <w:rsid w:val="00FF3FE9"/>
    <w:rsid w:val="00FF6599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1975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2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4A52"/>
    <w:pPr>
      <w:spacing w:before="240" w:after="24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4E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4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4E08"/>
  </w:style>
  <w:style w:type="paragraph" w:styleId="FootnoteText">
    <w:name w:val="footnote text"/>
    <w:basedOn w:val="Normal"/>
    <w:link w:val="FootnoteTextChar"/>
    <w:uiPriority w:val="99"/>
    <w:rsid w:val="00A50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0F3F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A50F3F"/>
    <w:rPr>
      <w:vertAlign w:val="superscript"/>
    </w:rPr>
  </w:style>
  <w:style w:type="character" w:styleId="CommentReference">
    <w:name w:val="annotation reference"/>
    <w:basedOn w:val="DefaultParagraphFont"/>
    <w:rsid w:val="00BF3D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D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3D1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BF3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3D13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F3D1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BF3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rsid w:val="002C073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21C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D21C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04A52"/>
    <w:rPr>
      <w:b/>
      <w:sz w:val="24"/>
      <w:szCs w:val="24"/>
    </w:rPr>
  </w:style>
  <w:style w:type="paragraph" w:styleId="NoSpacing">
    <w:name w:val="No Spacing"/>
    <w:uiPriority w:val="1"/>
    <w:qFormat/>
    <w:rsid w:val="00520CC1"/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rsid w:val="002C648F"/>
    <w:rPr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5E6ACB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5E6ACB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5E6ACB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E6AC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2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4A52"/>
    <w:pPr>
      <w:spacing w:before="240" w:after="24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4E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4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4E08"/>
  </w:style>
  <w:style w:type="paragraph" w:styleId="FootnoteText">
    <w:name w:val="footnote text"/>
    <w:basedOn w:val="Normal"/>
    <w:link w:val="FootnoteTextChar"/>
    <w:uiPriority w:val="99"/>
    <w:rsid w:val="00A50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0F3F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A50F3F"/>
    <w:rPr>
      <w:vertAlign w:val="superscript"/>
    </w:rPr>
  </w:style>
  <w:style w:type="character" w:styleId="CommentReference">
    <w:name w:val="annotation reference"/>
    <w:basedOn w:val="DefaultParagraphFont"/>
    <w:rsid w:val="00BF3D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D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3D1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BF3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3D13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F3D1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BF3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rsid w:val="002C073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21C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D21C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04A52"/>
    <w:rPr>
      <w:b/>
      <w:sz w:val="24"/>
      <w:szCs w:val="24"/>
    </w:rPr>
  </w:style>
  <w:style w:type="paragraph" w:styleId="NoSpacing">
    <w:name w:val="No Spacing"/>
    <w:uiPriority w:val="1"/>
    <w:qFormat/>
    <w:rsid w:val="00520CC1"/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rsid w:val="002C648F"/>
    <w:rPr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5E6ACB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5E6ACB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5E6ACB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E6AC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150</IndustryCode>
    <CaseStatus xmlns="dc463f71-b30c-4ab2-9473-d307f9d35888">Pending</CaseStatus>
    <OpenedDate xmlns="dc463f71-b30c-4ab2-9473-d307f9d35888">2012-07-20T07:00:00+00:00</OpenedDate>
    <Date1 xmlns="dc463f71-b30c-4ab2-9473-d307f9d35888">2012-12-21T08:00:00+00:00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121207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69DF439E91CC498A0358A75D779F91" ma:contentTypeVersion="139" ma:contentTypeDescription="" ma:contentTypeScope="" ma:versionID="3deab1e24ae15a9d4f350e9ab809c7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73BE-E641-4965-A66A-58A7478C6C8E}"/>
</file>

<file path=customXml/itemProps2.xml><?xml version="1.0" encoding="utf-8"?>
<ds:datastoreItem xmlns:ds="http://schemas.openxmlformats.org/officeDocument/2006/customXml" ds:itemID="{C7FCE323-5B34-4132-8CFD-57B0A55F0070}"/>
</file>

<file path=customXml/itemProps3.xml><?xml version="1.0" encoding="utf-8"?>
<ds:datastoreItem xmlns:ds="http://schemas.openxmlformats.org/officeDocument/2006/customXml" ds:itemID="{61DF372F-5F23-4DD6-BCCA-FBFC671B0AFD}"/>
</file>

<file path=customXml/itemProps4.xml><?xml version="1.0" encoding="utf-8"?>
<ds:datastoreItem xmlns:ds="http://schemas.openxmlformats.org/officeDocument/2006/customXml" ds:itemID="{7AFF0D8A-3BC8-45BC-9685-5E72E25230AE}"/>
</file>

<file path=customXml/itemProps5.xml><?xml version="1.0" encoding="utf-8"?>
<ds:datastoreItem xmlns:ds="http://schemas.openxmlformats.org/officeDocument/2006/customXml" ds:itemID="{4F29D926-015C-4700-B90A-9A63ACB79AD3}"/>
</file>

<file path=customXml/itemProps6.xml><?xml version="1.0" encoding="utf-8"?>
<ds:datastoreItem xmlns:ds="http://schemas.openxmlformats.org/officeDocument/2006/customXml" ds:itemID="{ED48B7AA-9E9A-45ED-A369-C816F5456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Cascade Conservation Update</vt:lpstr>
    </vt:vector>
  </TitlesOfParts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Cascade Conservation Update</dc:title>
  <dc:creator/>
  <cp:lastModifiedBy/>
  <cp:revision>1</cp:revision>
  <dcterms:created xsi:type="dcterms:W3CDTF">2012-12-17T19:02:00Z</dcterms:created>
  <dcterms:modified xsi:type="dcterms:W3CDTF">2012-12-17T19:02:00Z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0x0101006E56B4D1795A2E4DB2F0B01679ED314A00D569DF439E91CC498A0358A75D779F91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