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11472A">
      <w:pPr>
        <w:pStyle w:val="BodyText"/>
        <w:tabs>
          <w:tab w:val="left" w:pos="720"/>
          <w:tab w:val="left" w:pos="1440"/>
        </w:tabs>
        <w:spacing w:line="240" w:lineRule="auto"/>
        <w:jc w:val="left"/>
        <w:rPr>
          <w:b w:val="0"/>
          <w:bCs w:val="0"/>
        </w:rPr>
      </w:pPr>
    </w:p>
    <w:p w:rsidR="00D77F98" w:rsidRDefault="00D77F98" w:rsidP="00E310AF">
      <w:pPr>
        <w:pStyle w:val="BodyText"/>
        <w:tabs>
          <w:tab w:val="left" w:pos="720"/>
          <w:tab w:val="left" w:pos="1440"/>
        </w:tabs>
        <w:spacing w:line="240" w:lineRule="auto"/>
        <w:ind w:left="-720"/>
        <w:jc w:val="left"/>
        <w:rPr>
          <w:b w:val="0"/>
          <w:bCs w:val="0"/>
        </w:rPr>
      </w:pPr>
    </w:p>
    <w:p w:rsidR="002B60EC" w:rsidRDefault="002B60EC" w:rsidP="00E310AF">
      <w:pPr>
        <w:pStyle w:val="BodyText"/>
        <w:tabs>
          <w:tab w:val="left" w:pos="720"/>
          <w:tab w:val="left" w:pos="1440"/>
        </w:tabs>
        <w:spacing w:line="240" w:lineRule="auto"/>
        <w:ind w:left="-720"/>
        <w:jc w:val="left"/>
        <w:rPr>
          <w:b w:val="0"/>
          <w:bCs w:val="0"/>
        </w:rPr>
      </w:pPr>
    </w:p>
    <w:p w:rsidR="002B60EC" w:rsidRDefault="002B60EC" w:rsidP="00E310AF">
      <w:pPr>
        <w:pStyle w:val="BodyText"/>
        <w:tabs>
          <w:tab w:val="left" w:pos="720"/>
          <w:tab w:val="left" w:pos="1440"/>
        </w:tabs>
        <w:spacing w:line="240" w:lineRule="auto"/>
        <w:ind w:left="-720"/>
        <w:jc w:val="left"/>
        <w:rPr>
          <w:b w:val="0"/>
          <w:bCs w:val="0"/>
        </w:rPr>
      </w:pPr>
    </w:p>
    <w:p w:rsidR="002B60EC" w:rsidRDefault="002B60EC" w:rsidP="00E310AF">
      <w:pPr>
        <w:pStyle w:val="BodyText"/>
        <w:tabs>
          <w:tab w:val="left" w:pos="720"/>
          <w:tab w:val="left" w:pos="1440"/>
        </w:tabs>
        <w:spacing w:line="240" w:lineRule="auto"/>
        <w:ind w:left="-720"/>
        <w:jc w:val="left"/>
        <w:rPr>
          <w:b w:val="0"/>
          <w:bCs w:val="0"/>
        </w:rPr>
      </w:pPr>
    </w:p>
    <w:p w:rsidR="002B60EC" w:rsidRPr="00BD4B85" w:rsidRDefault="002B60EC" w:rsidP="00E310AF">
      <w:pPr>
        <w:pStyle w:val="BodyText"/>
        <w:tabs>
          <w:tab w:val="left" w:pos="720"/>
          <w:tab w:val="left" w:pos="1440"/>
        </w:tabs>
        <w:spacing w:line="240" w:lineRule="auto"/>
        <w:ind w:left="-720"/>
        <w:jc w:val="left"/>
        <w:rPr>
          <w:b w:val="0"/>
          <w:bCs w:val="0"/>
        </w:rPr>
      </w:pPr>
    </w:p>
    <w:p w:rsidR="00D77F98" w:rsidRPr="00BD4B85" w:rsidRDefault="00D77F98" w:rsidP="00E310AF">
      <w:pPr>
        <w:pStyle w:val="BodyText"/>
        <w:tabs>
          <w:tab w:val="left" w:pos="720"/>
          <w:tab w:val="left" w:pos="1440"/>
          <w:tab w:val="left" w:pos="1710"/>
        </w:tabs>
        <w:spacing w:line="240" w:lineRule="auto"/>
        <w:jc w:val="left"/>
        <w:rPr>
          <w:b w:val="0"/>
          <w:bCs w:val="0"/>
        </w:rPr>
      </w:pPr>
    </w:p>
    <w:p w:rsidR="00D77F98" w:rsidRPr="00BD4B85" w:rsidRDefault="00D77F98" w:rsidP="00E310AF">
      <w:pPr>
        <w:tabs>
          <w:tab w:val="left" w:pos="720"/>
          <w:tab w:val="left" w:pos="1440"/>
        </w:tabs>
      </w:pPr>
    </w:p>
    <w:p w:rsidR="00D77F98" w:rsidRDefault="00D77F98" w:rsidP="00E310AF">
      <w:pPr>
        <w:tabs>
          <w:tab w:val="left" w:pos="720"/>
          <w:tab w:val="left" w:pos="1440"/>
        </w:tabs>
      </w:pPr>
    </w:p>
    <w:p w:rsidR="002B60EC" w:rsidRDefault="002B60EC" w:rsidP="00E310AF">
      <w:pPr>
        <w:tabs>
          <w:tab w:val="left" w:pos="720"/>
          <w:tab w:val="left" w:pos="1440"/>
        </w:tabs>
      </w:pPr>
    </w:p>
    <w:p w:rsidR="002B60EC" w:rsidRPr="00BD4B85" w:rsidRDefault="002B60EC"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pStyle w:val="Header"/>
        <w:tabs>
          <w:tab w:val="clear" w:pos="4320"/>
          <w:tab w:val="clear" w:pos="8640"/>
          <w:tab w:val="left" w:pos="720"/>
          <w:tab w:val="left" w:pos="1440"/>
        </w:tabs>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smartTag w:uri="urn:schemas-microsoft-com:office:smarttags" w:element="State">
        <w:smartTag w:uri="urn:schemas-microsoft-com:office:smarttags" w:element="place">
          <w:r w:rsidR="00B25DEB">
            <w:rPr>
              <w:b w:val="0"/>
              <w:bCs w:val="0"/>
            </w:rPr>
            <w:t>WASHINGTON</w:t>
          </w:r>
        </w:smartTag>
      </w:smartTag>
      <w:r w:rsidRPr="00BC1828">
        <w:rPr>
          <w:b w:val="0"/>
          <w:bCs w:val="0"/>
        </w:rPr>
        <w:t xml:space="preserve"> UTILITIES</w:t>
      </w:r>
      <w:r w:rsidRPr="00BD4B85">
        <w:rPr>
          <w:b w:val="0"/>
          <w:bCs w:val="0"/>
        </w:rPr>
        <w:t xml:space="preserve"> AND TRANSPORTATION COMMISSION</w:t>
      </w:r>
    </w:p>
    <w:p w:rsidR="00D77F98" w:rsidRPr="00BD4B85" w:rsidRDefault="00D77F98" w:rsidP="00E310AF">
      <w:pPr>
        <w:tabs>
          <w:tab w:val="left" w:pos="720"/>
          <w:tab w:val="left" w:pos="1440"/>
        </w:tabs>
        <w:suppressAutoHyphens/>
        <w:ind w:firstLine="720"/>
      </w:pPr>
    </w:p>
    <w:p w:rsidR="00D77F98" w:rsidRPr="00BD4B85" w:rsidRDefault="00D77F98" w:rsidP="00E310AF">
      <w:pPr>
        <w:tabs>
          <w:tab w:val="left" w:pos="720"/>
          <w:tab w:val="left" w:pos="1440"/>
        </w:tabs>
        <w:suppressAutoHyphens/>
        <w:ind w:firstLine="720"/>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10</w:t>
      </w:r>
      <w:r w:rsidRPr="00BD4B85">
        <w:rPr>
          <w:b w:val="0"/>
          <w:bCs w:val="0"/>
        </w:rPr>
        <w:t>______</w:t>
      </w:r>
    </w:p>
    <w:p w:rsidR="00D77F98" w:rsidRPr="00BD4B85" w:rsidRDefault="00D77F98" w:rsidP="00E310AF"/>
    <w:p w:rsidR="00D77F98" w:rsidRPr="00BD4B85" w:rsidRDefault="00D77F98" w:rsidP="00E310AF">
      <w:pPr>
        <w:tabs>
          <w:tab w:val="left" w:pos="720"/>
          <w:tab w:val="left" w:pos="1440"/>
        </w:tabs>
        <w:suppressAutoHyphens/>
        <w:ind w:firstLine="720"/>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8A4EBD">
      <w:pPr>
        <w:pStyle w:val="Header"/>
        <w:tabs>
          <w:tab w:val="clear" w:pos="4320"/>
          <w:tab w:val="clear" w:pos="8640"/>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E310AF">
      <w:pPr>
        <w:tabs>
          <w:tab w:val="left" w:pos="720"/>
          <w:tab w:val="left" w:pos="1440"/>
        </w:tabs>
        <w:ind w:left="-720"/>
      </w:pPr>
    </w:p>
    <w:p w:rsidR="00D77F98" w:rsidRPr="00BD4B85" w:rsidRDefault="00D77F98" w:rsidP="00BC49A9">
      <w:pPr>
        <w:tabs>
          <w:tab w:val="left" w:pos="720"/>
          <w:tab w:val="left" w:pos="1440"/>
        </w:tabs>
        <w:spacing w:line="480" w:lineRule="auto"/>
        <w:ind w:firstLine="720"/>
        <w:jc w:val="center"/>
      </w:pPr>
    </w:p>
    <w:p w:rsidR="00D77F98" w:rsidRPr="00BD4B85" w:rsidRDefault="00D77F98">
      <w:pPr>
        <w:tabs>
          <w:tab w:val="left" w:pos="720"/>
          <w:tab w:val="left" w:pos="1440"/>
        </w:tabs>
        <w:sectPr w:rsidR="00D77F98" w:rsidRPr="00BD4B85" w:rsidSect="002E6A4F">
          <w:headerReference w:type="default" r:id="rId9"/>
          <w:footerReference w:type="default" r:id="rId10"/>
          <w:headerReference w:type="first" r:id="rId11"/>
          <w:footerReference w:type="first" r:id="rId12"/>
          <w:type w:val="continuous"/>
          <w:pgSz w:w="12240" w:h="15840" w:code="1"/>
          <w:pgMar w:top="1440" w:right="1166"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pPr>
        <w:pStyle w:val="Heading2"/>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Planning &amp; Power Supply Analyses,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w:t>
      </w:r>
      <w:proofErr w:type="spellStart"/>
      <w:r w:rsidRPr="00BD4B85">
        <w:t>EES</w:t>
      </w:r>
      <w:proofErr w:type="spellEnd"/>
      <w:r w:rsidRPr="00BD4B85">
        <w:t xml:space="preserve"> Consulting, Inc.), a Northwest management-consulting firm located in Bellevue, Washington.  While employed by </w:t>
      </w:r>
      <w:proofErr w:type="spellStart"/>
      <w:r w:rsidRPr="00BD4B85">
        <w:t>EES</w:t>
      </w:r>
      <w:proofErr w:type="spellEnd"/>
      <w:r w:rsidRPr="00BD4B85">
        <w:t xml:space="preserve">,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lastRenderedPageBreak/>
        <w:t xml:space="preserve">In mid-2000 I joined </w:t>
      </w:r>
      <w:r w:rsidR="00FF2BAA">
        <w:t xml:space="preserve">the Company </w:t>
      </w:r>
      <w:r w:rsidR="00C20AF3">
        <w:t xml:space="preserve">and </w:t>
      </w:r>
      <w:r w:rsidRPr="00BD4B85">
        <w:t>accepted my current position assist</w:t>
      </w:r>
      <w:r w:rsidR="007C5CE8">
        <w:t>ing</w:t>
      </w:r>
      <w:r w:rsidRPr="00BD4B85">
        <w:t xml:space="preserve">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pPr>
        <w:pStyle w:val="Heading2"/>
        <w:tabs>
          <w:tab w:val="clear" w:pos="1260"/>
          <w:tab w:val="left" w:pos="720"/>
          <w:tab w:val="left" w:pos="1440"/>
        </w:tabs>
      </w:pPr>
      <w:r w:rsidRPr="00BD4B85">
        <w:t>Q.</w:t>
      </w:r>
      <w:r w:rsidRPr="00BD4B85">
        <w:tab/>
        <w:t>What is the scope of your testimony in this proceeding?</w:t>
      </w:r>
    </w:p>
    <w:p w:rsidR="000C5B59" w:rsidRPr="00BD4B85" w:rsidRDefault="000C5B59" w:rsidP="000C5B59">
      <w:pPr>
        <w:tabs>
          <w:tab w:val="left" w:pos="720"/>
          <w:tab w:val="left" w:pos="1440"/>
        </w:tabs>
        <w:spacing w:line="480" w:lineRule="auto"/>
        <w:ind w:firstLine="720"/>
        <w:jc w:val="both"/>
      </w:pPr>
      <w:r w:rsidRPr="00BD4B85">
        <w:t>A.</w:t>
      </w:r>
      <w:r w:rsidRPr="00BD4B85">
        <w:tab/>
        <w:t xml:space="preserve">My testimony </w:t>
      </w:r>
      <w:r w:rsidR="00D77F98" w:rsidRPr="00BD4B85">
        <w:t xml:space="preserve">will </w:t>
      </w:r>
      <w:r w:rsidRPr="00BD4B85">
        <w:t xml:space="preserve">describe the Company’s use of the </w:t>
      </w:r>
      <w:proofErr w:type="spellStart"/>
      <w:r w:rsidRPr="00BD4B85">
        <w:t>AURORA</w:t>
      </w:r>
      <w:r w:rsidRPr="00946E37">
        <w:rPr>
          <w:vertAlign w:val="subscript"/>
        </w:rPr>
        <w:t>XMP</w:t>
      </w:r>
      <w:proofErr w:type="spellEnd"/>
      <w:r w:rsidRPr="00BD4B85">
        <w:t xml:space="preserve"> dispatch model, </w:t>
      </w:r>
      <w:r>
        <w:t xml:space="preserve">or </w:t>
      </w:r>
      <w:r w:rsidRPr="00BD4B85">
        <w:t>“Dispatch Model</w:t>
      </w:r>
      <w:r w:rsidR="00D77F98" w:rsidRPr="00BD4B85">
        <w:t>.”</w:t>
      </w:r>
      <w:r w:rsidR="004C176D" w:rsidRPr="00BD4B85">
        <w:t xml:space="preserve">  I will explain</w:t>
      </w:r>
      <w:r w:rsidRPr="00BD4B85">
        <w:t xml:space="preserve"> the key assumptions driving the Dispatch Model’s market forecast of electricity prices.  The discussion includes </w:t>
      </w:r>
      <w:r w:rsidR="004C176D" w:rsidRPr="00BD4B85">
        <w:t xml:space="preserve">the variables of </w:t>
      </w:r>
      <w:r w:rsidRPr="00BD4B85">
        <w:t>natural gas, We</w:t>
      </w:r>
      <w:r>
        <w:t>stern Interconnect</w:t>
      </w:r>
      <w:r w:rsidRPr="00BD4B85">
        <w:t xml:space="preserve"> loads and resources, and hydroelectric conditions.  </w:t>
      </w:r>
      <w:r w:rsidR="009C4EB0">
        <w:t>I will</w:t>
      </w:r>
      <w:r>
        <w:t xml:space="preserve"> discuss why Hydro Biasing, as suggested </w:t>
      </w:r>
      <w:r w:rsidR="00FF2BAA">
        <w:t xml:space="preserve">in previous cases by </w:t>
      </w:r>
      <w:r w:rsidR="00A37CBF">
        <w:t>some</w:t>
      </w:r>
      <w:r w:rsidR="00FF2BAA">
        <w:t xml:space="preserve"> parties,</w:t>
      </w:r>
      <w:r>
        <w:t xml:space="preserve"> </w:t>
      </w:r>
      <w:r w:rsidR="00FF2BAA">
        <w:t xml:space="preserve">leads to under-recovery of costs </w:t>
      </w:r>
      <w:r w:rsidR="00B226A7">
        <w:t xml:space="preserve">and is unnecessary because of </w:t>
      </w:r>
      <w:r w:rsidR="00FF2BAA">
        <w:t xml:space="preserve">recent modifications to </w:t>
      </w:r>
      <w:r w:rsidR="00B226A7">
        <w:t>the Energy Recovery Mechanism (ERM)</w:t>
      </w:r>
      <w:r>
        <w:t xml:space="preserve">.  </w:t>
      </w:r>
      <w:r w:rsidR="004C176D" w:rsidRPr="00BD4B85">
        <w:t>I will describe</w:t>
      </w:r>
      <w:r w:rsidRPr="00BD4B85">
        <w:t xml:space="preserve"> how the model dispatches our resources and contracts in a manner that maximizes benefits to customers and tracks their values for use in pro</w:t>
      </w:r>
      <w:r>
        <w:t xml:space="preserve"> </w:t>
      </w:r>
      <w:r w:rsidRPr="00BD4B85">
        <w:t xml:space="preserve">forma calculations.  </w:t>
      </w:r>
      <w:r w:rsidR="004C176D" w:rsidRPr="00BD4B85">
        <w:t xml:space="preserve">I will </w:t>
      </w:r>
      <w:r w:rsidR="00B226A7">
        <w:t xml:space="preserve">then </w:t>
      </w:r>
      <w:r w:rsidR="00BD4B85" w:rsidRPr="00BD4B85">
        <w:t>present</w:t>
      </w:r>
      <w:r w:rsidR="004C176D" w:rsidRPr="00BD4B85">
        <w:t xml:space="preserve"> the</w:t>
      </w:r>
      <w:r w:rsidRPr="00BD4B85">
        <w:t xml:space="preserve"> modeling results provided to </w:t>
      </w:r>
      <w:r>
        <w:t>Company w</w:t>
      </w:r>
      <w:r w:rsidRPr="00BD4B85">
        <w:t xml:space="preserve">itness </w:t>
      </w:r>
      <w:r>
        <w:t xml:space="preserve">Mr. </w:t>
      </w:r>
      <w:r w:rsidRPr="00BD4B85">
        <w:t xml:space="preserve">Johnson for his power supply </w:t>
      </w:r>
      <w:r>
        <w:t>pro forma</w:t>
      </w:r>
      <w:r w:rsidRPr="00BD4B85">
        <w:t xml:space="preserve"> adjustment calculations.</w:t>
      </w:r>
      <w:r w:rsidR="00B226A7">
        <w:t xml:space="preserve">  Addit</w:t>
      </w:r>
      <w:r w:rsidR="00CB2615">
        <w:t>ionally, in support of Company w</w:t>
      </w:r>
      <w:r w:rsidR="00B226A7">
        <w:t xml:space="preserve">itness </w:t>
      </w:r>
      <w:r w:rsidR="00A37CBF">
        <w:t xml:space="preserve">Ms. </w:t>
      </w:r>
      <w:r w:rsidR="00B226A7">
        <w:t>Knox, I detail the Company’s demand classification calculations.</w:t>
      </w:r>
    </w:p>
    <w:p w:rsidR="00D77F98" w:rsidRPr="00BD4B85" w:rsidRDefault="00D77F98">
      <w:pPr>
        <w:pStyle w:val="Heading2"/>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77F98" w:rsidRDefault="00D77F98">
      <w:pPr>
        <w:tabs>
          <w:tab w:val="left" w:pos="720"/>
          <w:tab w:val="left" w:pos="1440"/>
        </w:tabs>
        <w:spacing w:line="480" w:lineRule="auto"/>
        <w:ind w:firstLine="720"/>
        <w:jc w:val="both"/>
      </w:pPr>
      <w:r w:rsidRPr="00BD4B85">
        <w:t>A.</w:t>
      </w:r>
      <w:r w:rsidRPr="00BD4B85">
        <w:tab/>
        <w:t>Yes.  I am sponsoring t</w:t>
      </w:r>
      <w:r w:rsidR="00263C2C">
        <w:t>hree</w:t>
      </w:r>
      <w:r w:rsidRPr="00BD4B85">
        <w:t xml:space="preserve"> exhibits marked Exhibit No. ___(CGK-2)</w:t>
      </w:r>
      <w:r w:rsidR="00263C2C">
        <w:t>,</w:t>
      </w:r>
      <w:r w:rsidR="000C5B59">
        <w:t xml:space="preserve"> Exhibit No. ___(CGK-</w:t>
      </w:r>
      <w:r w:rsidR="00050DD6" w:rsidRPr="00BD4B85">
        <w:t>3</w:t>
      </w:r>
      <w:r w:rsidR="000C5B59" w:rsidRPr="00BD4B85">
        <w:t>)</w:t>
      </w:r>
      <w:r w:rsidR="00263C2C">
        <w:t xml:space="preserve">, and </w:t>
      </w:r>
      <w:r w:rsidR="00A77788">
        <w:t xml:space="preserve">Confidential </w:t>
      </w:r>
      <w:r w:rsidR="00263C2C">
        <w:t>Exhibit No. ___(CGK-</w:t>
      </w:r>
      <w:proofErr w:type="spellStart"/>
      <w:r w:rsidR="00263C2C">
        <w:t>4</w:t>
      </w:r>
      <w:r w:rsidR="00A77788">
        <w:t>C</w:t>
      </w:r>
      <w:proofErr w:type="spellEnd"/>
      <w:r w:rsidR="00263C2C" w:rsidRPr="00BD4B85">
        <w:t>)</w:t>
      </w:r>
      <w:r w:rsidR="00050DD6">
        <w:t xml:space="preserve">.  </w:t>
      </w:r>
      <w:r w:rsidR="00050DD6" w:rsidRPr="00BD4B85">
        <w:t>Exhibit No. ___(CGK-2)</w:t>
      </w:r>
      <w:r w:rsidR="00050DD6">
        <w:t xml:space="preserve"> provides a forecast of Company load and resource positions from 20</w:t>
      </w:r>
      <w:r w:rsidR="00364FE9">
        <w:t>1</w:t>
      </w:r>
      <w:r w:rsidR="00CF142E">
        <w:t>1</w:t>
      </w:r>
      <w:r w:rsidR="00050DD6">
        <w:t xml:space="preserve"> through 20</w:t>
      </w:r>
      <w:r w:rsidR="00364FE9">
        <w:t>20</w:t>
      </w:r>
      <w:r w:rsidR="00050DD6">
        <w:t xml:space="preserve">.  </w:t>
      </w:r>
      <w:r w:rsidR="00263C2C" w:rsidRPr="00BD4B85">
        <w:t xml:space="preserve">Exhibit No. </w:t>
      </w:r>
      <w:r w:rsidR="00263C2C">
        <w:t>___(CGK-3</w:t>
      </w:r>
      <w:r w:rsidR="00263C2C" w:rsidRPr="00BD4B85">
        <w:t>)</w:t>
      </w:r>
      <w:r w:rsidR="00263C2C">
        <w:t xml:space="preserve"> is the spreadsheet used to calculate the demand classification</w:t>
      </w:r>
      <w:r w:rsidR="00263C2C" w:rsidRPr="00BD4B85">
        <w:t>.</w:t>
      </w:r>
      <w:r w:rsidR="00263C2C">
        <w:t xml:space="preserve">  </w:t>
      </w:r>
      <w:r w:rsidR="00A77788">
        <w:t xml:space="preserve">Confidential </w:t>
      </w:r>
      <w:r w:rsidR="000C5B59" w:rsidRPr="00BD4B85">
        <w:t xml:space="preserve">Exhibit No. </w:t>
      </w:r>
      <w:r w:rsidR="00050DD6">
        <w:t>___(CGK-</w:t>
      </w:r>
      <w:proofErr w:type="spellStart"/>
      <w:r w:rsidR="00263C2C">
        <w:t>4</w:t>
      </w:r>
      <w:r w:rsidR="00A77788">
        <w:t>C</w:t>
      </w:r>
      <w:proofErr w:type="spellEnd"/>
      <w:r w:rsidR="00050DD6" w:rsidRPr="00BD4B85">
        <w:t>)</w:t>
      </w:r>
      <w:r w:rsidR="00050DD6">
        <w:t xml:space="preserve"> provides summary output from the </w:t>
      </w:r>
      <w:r w:rsidR="008875B1">
        <w:t>Dispatch M</w:t>
      </w:r>
      <w:r w:rsidR="00050DD6">
        <w:t>odel</w:t>
      </w:r>
      <w:r w:rsidRPr="00BD4B85">
        <w:t xml:space="preserve">.  All information contained in the exhibits was prepared </w:t>
      </w:r>
      <w:r w:rsidR="00263C2C">
        <w:t xml:space="preserve">by me or prepared </w:t>
      </w:r>
      <w:r w:rsidRPr="00BD4B85">
        <w:t>under my direction.</w:t>
      </w:r>
    </w:p>
    <w:p w:rsidR="00D77F98" w:rsidRPr="002B60EC" w:rsidRDefault="007C5CE8">
      <w:pPr>
        <w:pStyle w:val="BodyTextIndent3"/>
        <w:tabs>
          <w:tab w:val="clear" w:pos="1260"/>
        </w:tabs>
        <w:ind w:firstLine="0"/>
        <w:jc w:val="center"/>
        <w:rPr>
          <w:u w:val="single"/>
        </w:rPr>
      </w:pPr>
      <w:r>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Company uses </w:t>
      </w:r>
      <w:proofErr w:type="spellStart"/>
      <w:r w:rsidRPr="00BD4B85">
        <w:rPr>
          <w:rFonts w:ascii="Times New Roman" w:hAnsi="Times New Roman"/>
        </w:rPr>
        <w:t>EPIS</w:t>
      </w:r>
      <w:proofErr w:type="spellEnd"/>
      <w:r w:rsidR="007C5CE8">
        <w:rPr>
          <w:rFonts w:ascii="Times New Roman" w:hAnsi="Times New Roman"/>
        </w:rPr>
        <w:t>, Inc.</w:t>
      </w:r>
      <w:r w:rsidRPr="00BD4B85">
        <w:rPr>
          <w:rFonts w:ascii="Times New Roman" w:hAnsi="Times New Roman"/>
        </w:rPr>
        <w:t xml:space="preserve">’s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 xml:space="preserve">odel for </w:t>
      </w:r>
      <w:r w:rsidR="0006585C">
        <w:rPr>
          <w:rFonts w:ascii="Times New Roman" w:hAnsi="Times New Roman"/>
        </w:rPr>
        <w:t>determining</w:t>
      </w:r>
      <w:r w:rsidRPr="00BD4B85">
        <w:rPr>
          <w:rFonts w:ascii="Times New Roman" w:hAnsi="Times New Roman"/>
        </w:rPr>
        <w:t xml:space="preserve"> power supply costs.  The model optimizes dispatch of Company-owned resources and contracts in each hour of the </w:t>
      </w:r>
      <w:r w:rsidR="00D5609D">
        <w:rPr>
          <w:rFonts w:ascii="Times New Roman" w:hAnsi="Times New Roman"/>
        </w:rPr>
        <w:t>pro forma</w:t>
      </w:r>
      <w:r w:rsidRPr="00BD4B85">
        <w:rPr>
          <w:rFonts w:ascii="Times New Roman" w:hAnsi="Times New Roman"/>
        </w:rPr>
        <w:t xml:space="preserve"> year.  </w:t>
      </w:r>
      <w:r w:rsidR="007C5CE8">
        <w:rPr>
          <w:rFonts w:ascii="Times New Roman" w:hAnsi="Times New Roman"/>
        </w:rPr>
        <w:t xml:space="preserve">The </w:t>
      </w:r>
      <w:r w:rsidR="00D5609D" w:rsidRPr="00BC1828">
        <w:rPr>
          <w:rFonts w:ascii="Times New Roman" w:hAnsi="Times New Roman"/>
        </w:rPr>
        <w:t>pro forma</w:t>
      </w:r>
      <w:r w:rsidR="007C5CE8" w:rsidRPr="00BC1828">
        <w:rPr>
          <w:rFonts w:ascii="Times New Roman" w:hAnsi="Times New Roman"/>
        </w:rPr>
        <w:t xml:space="preserve"> period is </w:t>
      </w:r>
      <w:r w:rsidR="003568D2">
        <w:rPr>
          <w:rFonts w:ascii="Times New Roman" w:hAnsi="Times New Roman"/>
        </w:rPr>
        <w:t>January 1, 2011</w:t>
      </w:r>
      <w:r w:rsidR="00DD66D5">
        <w:rPr>
          <w:rFonts w:ascii="Times New Roman" w:hAnsi="Times New Roman"/>
        </w:rPr>
        <w:t xml:space="preserve"> through December 31, 201</w:t>
      </w:r>
      <w:r w:rsidR="003568D2">
        <w:rPr>
          <w:rFonts w:ascii="Times New Roman" w:hAnsi="Times New Roman"/>
        </w:rPr>
        <w:t>1</w:t>
      </w:r>
      <w:r w:rsidR="007C5CE8" w:rsidRPr="00BC1828">
        <w:rPr>
          <w:rFonts w:ascii="Times New Roman" w:hAnsi="Times New Roman"/>
        </w:rPr>
        <w:t xml:space="preserve">.  </w:t>
      </w:r>
      <w:r w:rsidR="0006585C" w:rsidRPr="00BC1828">
        <w:rPr>
          <w:rFonts w:ascii="Times New Roman" w:hAnsi="Times New Roman"/>
        </w:rPr>
        <w:t>It</w:t>
      </w:r>
      <w:r w:rsidR="0006585C">
        <w:rPr>
          <w:rFonts w:ascii="Times New Roman" w:hAnsi="Times New Roman"/>
        </w:rPr>
        <w:t xml:space="preserve"> </w:t>
      </w:r>
      <w:r w:rsidRPr="00BD4B85">
        <w:rPr>
          <w:rFonts w:ascii="Times New Roman" w:hAnsi="Times New Roman"/>
        </w:rPr>
        <w:t xml:space="preserve">reflects true system </w:t>
      </w:r>
      <w:r w:rsidR="0006585C">
        <w:rPr>
          <w:rFonts w:ascii="Times New Roman" w:hAnsi="Times New Roman"/>
        </w:rPr>
        <w:t xml:space="preserve">operations </w:t>
      </w:r>
      <w:r w:rsidRPr="00BD4B85">
        <w:rPr>
          <w:rFonts w:ascii="Times New Roman" w:hAnsi="Times New Roman"/>
        </w:rPr>
        <w:t>by evaluating future resource decisions on an hourly basis.</w:t>
      </w:r>
    </w:p>
    <w:p w:rsidR="004C176D" w:rsidRPr="00BD4B85" w:rsidRDefault="004C176D" w:rsidP="004C176D">
      <w:pPr>
        <w:pStyle w:val="BodyTextIndent3"/>
        <w:tabs>
          <w:tab w:val="clear" w:pos="1260"/>
          <w:tab w:val="left" w:pos="1440"/>
        </w:tabs>
        <w:rPr>
          <w:bCs w:val="0"/>
        </w:rPr>
      </w:pPr>
      <w:r w:rsidRPr="00BD4B85">
        <w:rPr>
          <w:bCs w:val="0"/>
        </w:rPr>
        <w:t>Q.</w:t>
      </w:r>
      <w:r w:rsidRPr="00BD4B85">
        <w:rPr>
          <w:bCs w:val="0"/>
        </w:rPr>
        <w:tab/>
      </w:r>
      <w:r w:rsidR="0060532F">
        <w:rPr>
          <w:bCs w:val="0"/>
        </w:rPr>
        <w:t>What AURORA version and database is the Company using for this case</w:t>
      </w:r>
      <w:r w:rsidRPr="00BD4B85">
        <w:rPr>
          <w:bCs w:val="0"/>
        </w:rPr>
        <w:t>?</w:t>
      </w:r>
    </w:p>
    <w:p w:rsidR="0060532F" w:rsidRDefault="004C176D" w:rsidP="004C176D">
      <w:pPr>
        <w:pStyle w:val="TestBody"/>
        <w:tabs>
          <w:tab w:val="num" w:pos="720"/>
        </w:tabs>
        <w:spacing w:line="480" w:lineRule="auto"/>
        <w:ind w:left="0" w:firstLine="720"/>
        <w:rPr>
          <w:rFonts w:ascii="Times New Roman" w:hAnsi="Times New Roman"/>
          <w:bCs/>
        </w:rPr>
      </w:pPr>
      <w:r w:rsidRPr="00BD4B85">
        <w:rPr>
          <w:rFonts w:ascii="Times New Roman" w:hAnsi="Times New Roman"/>
          <w:bCs/>
        </w:rPr>
        <w:t>A.</w:t>
      </w:r>
      <w:r w:rsidRPr="00BD4B85">
        <w:rPr>
          <w:rFonts w:ascii="Times New Roman" w:hAnsi="Times New Roman"/>
          <w:bCs/>
        </w:rPr>
        <w:tab/>
      </w:r>
      <w:r w:rsidR="0060532F">
        <w:rPr>
          <w:rFonts w:ascii="Times New Roman" w:hAnsi="Times New Roman"/>
          <w:bCs/>
        </w:rPr>
        <w:t xml:space="preserve">The Company is using </w:t>
      </w:r>
      <w:proofErr w:type="spellStart"/>
      <w:r w:rsidR="00BD224E" w:rsidRPr="00BD4B85">
        <w:rPr>
          <w:rFonts w:ascii="Times New Roman" w:hAnsi="Times New Roman"/>
        </w:rPr>
        <w:t>AURORA</w:t>
      </w:r>
      <w:r w:rsidR="00BD224E" w:rsidRPr="00BD224E">
        <w:rPr>
          <w:rFonts w:ascii="Times New Roman" w:hAnsi="Times New Roman"/>
          <w:vertAlign w:val="subscript"/>
        </w:rPr>
        <w:t>XMP</w:t>
      </w:r>
      <w:proofErr w:type="spellEnd"/>
      <w:r w:rsidR="0060532F">
        <w:rPr>
          <w:rFonts w:ascii="Times New Roman" w:hAnsi="Times New Roman"/>
          <w:bCs/>
        </w:rPr>
        <w:t xml:space="preserve"> v</w:t>
      </w:r>
      <w:r w:rsidR="006C12C0">
        <w:rPr>
          <w:rFonts w:ascii="Times New Roman" w:hAnsi="Times New Roman"/>
          <w:bCs/>
        </w:rPr>
        <w:t xml:space="preserve">ersion </w:t>
      </w:r>
      <w:r w:rsidR="00B03920">
        <w:rPr>
          <w:rFonts w:ascii="Times New Roman" w:hAnsi="Times New Roman"/>
          <w:bCs/>
        </w:rPr>
        <w:t>9</w:t>
      </w:r>
      <w:r w:rsidR="0060532F">
        <w:rPr>
          <w:rFonts w:ascii="Times New Roman" w:hAnsi="Times New Roman"/>
          <w:bCs/>
        </w:rPr>
        <w:t>.</w:t>
      </w:r>
      <w:r w:rsidR="00364FE9">
        <w:rPr>
          <w:rFonts w:ascii="Times New Roman" w:hAnsi="Times New Roman"/>
          <w:bCs/>
        </w:rPr>
        <w:t>6</w:t>
      </w:r>
      <w:r w:rsidR="008875B1">
        <w:rPr>
          <w:rFonts w:ascii="Times New Roman" w:hAnsi="Times New Roman"/>
          <w:bCs/>
        </w:rPr>
        <w:t>.10</w:t>
      </w:r>
      <w:r w:rsidR="00364FE9">
        <w:rPr>
          <w:rFonts w:ascii="Times New Roman" w:hAnsi="Times New Roman"/>
          <w:bCs/>
        </w:rPr>
        <w:t>33</w:t>
      </w:r>
      <w:r w:rsidR="006C12C0">
        <w:rPr>
          <w:rFonts w:ascii="Times New Roman" w:hAnsi="Times New Roman"/>
          <w:bCs/>
        </w:rPr>
        <w:t>,</w:t>
      </w:r>
      <w:r w:rsidR="0060532F">
        <w:rPr>
          <w:rFonts w:ascii="Times New Roman" w:hAnsi="Times New Roman"/>
          <w:bCs/>
        </w:rPr>
        <w:t xml:space="preserve"> and </w:t>
      </w:r>
      <w:r w:rsidR="00364FE9">
        <w:rPr>
          <w:rFonts w:ascii="Times New Roman" w:hAnsi="Times New Roman"/>
          <w:bCs/>
        </w:rPr>
        <w:t xml:space="preserve">its associated </w:t>
      </w:r>
      <w:r w:rsidR="0060532F">
        <w:rPr>
          <w:rFonts w:ascii="Times New Roman" w:hAnsi="Times New Roman"/>
          <w:bCs/>
        </w:rPr>
        <w:t>database</w:t>
      </w:r>
      <w:r w:rsidR="00D809B2">
        <w:rPr>
          <w:rFonts w:ascii="Times New Roman" w:hAnsi="Times New Roman"/>
          <w:bCs/>
        </w:rPr>
        <w:t xml:space="preserve"> </w:t>
      </w:r>
      <w:r w:rsidR="006C12C0">
        <w:rPr>
          <w:rFonts w:ascii="Times New Roman" w:hAnsi="Times New Roman"/>
          <w:bCs/>
        </w:rPr>
        <w:t>(</w:t>
      </w:r>
      <w:proofErr w:type="spellStart"/>
      <w:r w:rsidR="00D809B2" w:rsidRPr="00D809B2">
        <w:rPr>
          <w:rFonts w:ascii="Times New Roman" w:hAnsi="Times New Roman"/>
          <w:bCs/>
        </w:rPr>
        <w:t>North_American_DB_200</w:t>
      </w:r>
      <w:r w:rsidR="00364FE9">
        <w:rPr>
          <w:rFonts w:ascii="Times New Roman" w:hAnsi="Times New Roman"/>
          <w:bCs/>
        </w:rPr>
        <w:t>9</w:t>
      </w:r>
      <w:proofErr w:type="spellEnd"/>
      <w:r w:rsidR="008875B1">
        <w:rPr>
          <w:rFonts w:ascii="Times New Roman" w:hAnsi="Times New Roman"/>
          <w:bCs/>
        </w:rPr>
        <w:t>-0</w:t>
      </w:r>
      <w:r w:rsidR="00364FE9">
        <w:rPr>
          <w:rFonts w:ascii="Times New Roman" w:hAnsi="Times New Roman"/>
          <w:bCs/>
        </w:rPr>
        <w:t>2</w:t>
      </w:r>
      <w:r w:rsidR="00D809B2">
        <w:rPr>
          <w:rFonts w:ascii="Times New Roman" w:hAnsi="Times New Roman"/>
          <w:bCs/>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CF608F" w:rsidRPr="00BD4B85" w:rsidRDefault="00CF608F" w:rsidP="00CF608F">
      <w:pPr>
        <w:spacing w:line="480" w:lineRule="auto"/>
        <w:ind w:firstLine="720"/>
        <w:jc w:val="both"/>
        <w:rPr>
          <w:color w:val="000000"/>
        </w:rPr>
      </w:pPr>
      <w:r w:rsidRPr="00BD4B85">
        <w:t>A.</w:t>
      </w:r>
      <w:r w:rsidRPr="00BD4B85">
        <w:tab/>
        <w:t xml:space="preserve">The </w:t>
      </w:r>
      <w:r w:rsidR="008875B1">
        <w:t>Dispatch M</w:t>
      </w:r>
      <w:r w:rsidRPr="00BD4B85">
        <w:t xml:space="preserve">odel was developed by </w:t>
      </w:r>
      <w:proofErr w:type="spellStart"/>
      <w:r w:rsidRPr="00BD4B85">
        <w:t>EPIS</w:t>
      </w:r>
      <w:proofErr w:type="spellEnd"/>
      <w:r w:rsidRPr="00BD4B85">
        <w:t xml:space="preserve">,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w:t>
      </w:r>
      <w:r w:rsidR="00C76B2B">
        <w:t xml:space="preserve">the </w:t>
      </w:r>
      <w:r>
        <w:t xml:space="preserve">entire </w:t>
      </w:r>
      <w:r w:rsidR="00C52752">
        <w:t xml:space="preserve">Western </w:t>
      </w:r>
      <w:r w:rsidR="00064788">
        <w:t>Interconnect</w:t>
      </w:r>
      <w:r w:rsidR="00FF2BAA">
        <w:t>.  It e</w:t>
      </w:r>
      <w:r w:rsidRPr="00BD4B85">
        <w:t>mploys multi-area, transmission-constrained dispatch logic to simulate real market conditions.  Its true economic dispatch captures the dynamics and economics of electricity markets—both short-term (hourly, daily, monthly) and long-term.  On an hourly basis</w:t>
      </w:r>
      <w:r w:rsidR="00FF2BAA">
        <w:t>,</w:t>
      </w:r>
      <w:r w:rsidRPr="00BD4B85">
        <w:t xml:space="preserve">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BD4B85" w:rsidRDefault="00CF608F" w:rsidP="00CF608F">
      <w:pPr>
        <w:pStyle w:val="Heading2"/>
        <w:tabs>
          <w:tab w:val="clear" w:pos="1260"/>
        </w:tabs>
        <w:rPr>
          <w:bCs w:val="0"/>
        </w:rPr>
      </w:pPr>
      <w:r w:rsidRPr="00BD4B85">
        <w:rPr>
          <w:bCs w:val="0"/>
        </w:rPr>
        <w:lastRenderedPageBreak/>
        <w:t>Q.</w:t>
      </w:r>
      <w:r w:rsidRPr="00BD4B85">
        <w:rPr>
          <w:bCs w:val="0"/>
        </w:rPr>
        <w:tab/>
        <w:t xml:space="preserve">What experience does the Company have using </w:t>
      </w:r>
      <w:proofErr w:type="spellStart"/>
      <w:r w:rsidR="00BD224E" w:rsidRPr="00BD4B85">
        <w:t>AURORA</w:t>
      </w:r>
      <w:r w:rsidR="00BD224E" w:rsidRPr="00BD224E">
        <w:rPr>
          <w:vertAlign w:val="subscript"/>
        </w:rPr>
        <w:t>XMP</w:t>
      </w:r>
      <w:proofErr w:type="spellEnd"/>
      <w:r w:rsidRPr="00BD4B85">
        <w:rPr>
          <w:bCs w:val="0"/>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proofErr w:type="spellStart"/>
      <w:r w:rsidR="00BD224E" w:rsidRPr="00BC1828">
        <w:rPr>
          <w:rFonts w:ascii="Times New Roman" w:hAnsi="Times New Roman"/>
        </w:rPr>
        <w:t>AURORA</w:t>
      </w:r>
      <w:r w:rsidR="00BD224E" w:rsidRPr="00BC1828">
        <w:rPr>
          <w:rFonts w:ascii="Times New Roman" w:hAnsi="Times New Roman"/>
          <w:vertAlign w:val="subscript"/>
        </w:rPr>
        <w:t>XMP</w:t>
      </w:r>
      <w:proofErr w:type="spellEnd"/>
      <w:r w:rsidR="00C76B2B" w:rsidRPr="00BC1828">
        <w:rPr>
          <w:rFonts w:ascii="Times New Roman" w:hAnsi="Times New Roman"/>
        </w:rPr>
        <w:t xml:space="preserve"> </w:t>
      </w:r>
      <w:r w:rsidRPr="00BC1828">
        <w:rPr>
          <w:rFonts w:ascii="Times New Roman" w:hAnsi="Times New Roman"/>
        </w:rPr>
        <w:t xml:space="preserve">has been used for numerous studies, including </w:t>
      </w:r>
      <w:r w:rsidR="00263C2C">
        <w:rPr>
          <w:rFonts w:ascii="Times New Roman" w:hAnsi="Times New Roman"/>
        </w:rPr>
        <w:t xml:space="preserve">all of our </w:t>
      </w:r>
      <w:r w:rsidR="003568D2">
        <w:rPr>
          <w:rFonts w:ascii="Times New Roman" w:hAnsi="Times New Roman"/>
        </w:rPr>
        <w:t>integrated resource plans</w:t>
      </w:r>
      <w:r w:rsidR="00C76B2B">
        <w:rPr>
          <w:rFonts w:ascii="Times New Roman" w:hAnsi="Times New Roman"/>
        </w:rPr>
        <w:t xml:space="preserve"> </w:t>
      </w:r>
      <w:r w:rsidR="00263C2C">
        <w:rPr>
          <w:rFonts w:ascii="Times New Roman" w:hAnsi="Times New Roman"/>
        </w:rPr>
        <w:t xml:space="preserve">and rate filings </w:t>
      </w:r>
      <w:r w:rsidR="003568D2">
        <w:rPr>
          <w:rFonts w:ascii="Times New Roman" w:hAnsi="Times New Roman"/>
        </w:rPr>
        <w:t>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p>
    <w:p w:rsidR="00664403" w:rsidRPr="00BC1828" w:rsidRDefault="00664403" w:rsidP="00664403">
      <w:pPr>
        <w:pStyle w:val="Heading2"/>
        <w:tabs>
          <w:tab w:val="clear" w:pos="1260"/>
        </w:tabs>
        <w:rPr>
          <w:bCs w:val="0"/>
        </w:rPr>
      </w:pPr>
      <w:r w:rsidRPr="00BC1828">
        <w:t>Q.</w:t>
      </w:r>
      <w:r w:rsidRPr="00BC1828">
        <w:tab/>
      </w:r>
      <w:r w:rsidRPr="00BC1828">
        <w:rPr>
          <w:bCs w:val="0"/>
        </w:rPr>
        <w:t xml:space="preserve">Who else uses </w:t>
      </w:r>
      <w:proofErr w:type="spellStart"/>
      <w:r w:rsidRPr="00BC1828">
        <w:t>AURORA</w:t>
      </w:r>
      <w:r w:rsidRPr="00BC1828">
        <w:rPr>
          <w:vertAlign w:val="subscript"/>
        </w:rPr>
        <w:t>XMP</w:t>
      </w:r>
      <w:proofErr w:type="spellEnd"/>
      <w:r w:rsidRPr="00BC1828">
        <w:rPr>
          <w:bCs w:val="0"/>
        </w:rPr>
        <w:t>?</w:t>
      </w:r>
    </w:p>
    <w:p w:rsidR="00664403" w:rsidRPr="00BC1828" w:rsidRDefault="00664403" w:rsidP="00C438E2">
      <w:pPr>
        <w:spacing w:line="480" w:lineRule="auto"/>
        <w:jc w:val="both"/>
      </w:pPr>
      <w:r w:rsidRPr="00BC1828">
        <w:tab/>
        <w:t>A.</w:t>
      </w:r>
      <w:r w:rsidRPr="00BC1828">
        <w:tab/>
      </w:r>
      <w:proofErr w:type="spellStart"/>
      <w:r w:rsidRPr="00BC1828">
        <w:t>AURORA</w:t>
      </w:r>
      <w:r w:rsidRPr="00BC1828">
        <w:rPr>
          <w:vertAlign w:val="subscript"/>
        </w:rPr>
        <w:t>XMP</w:t>
      </w:r>
      <w:proofErr w:type="spellEnd"/>
      <w:r w:rsidR="00C76B2B" w:rsidRPr="00BC1828">
        <w:t xml:space="preserve"> </w:t>
      </w:r>
      <w:r w:rsidR="000C5B59">
        <w:t xml:space="preserve">is used </w:t>
      </w:r>
      <w:r w:rsidRPr="00BC1828">
        <w:t>all across North America</w:t>
      </w:r>
      <w:r w:rsidR="003568D2">
        <w:t xml:space="preserve"> and in Europe</w:t>
      </w:r>
      <w:r w:rsidRPr="00BC1828">
        <w:t xml:space="preserve">.  In the Northwest specifically, </w:t>
      </w:r>
      <w:proofErr w:type="spellStart"/>
      <w:r w:rsidRPr="00BC1828">
        <w:t>AURORA</w:t>
      </w:r>
      <w:r w:rsidRPr="00BC1828">
        <w:rPr>
          <w:vertAlign w:val="subscript"/>
        </w:rPr>
        <w:t>XMP</w:t>
      </w:r>
      <w:proofErr w:type="spellEnd"/>
      <w:r w:rsidRPr="00BC1828">
        <w:t xml:space="preserve"> is used by the Bonneville Power Administration, the Northwest Power and Conservation Council, Puget Sound Energy, Idaho Power, </w:t>
      </w:r>
      <w:r w:rsidR="00B03920" w:rsidRPr="00BC1828">
        <w:t xml:space="preserve">Portland General Electric, </w:t>
      </w:r>
      <w:r w:rsidRPr="00BC1828">
        <w:t>Seattle City Light,</w:t>
      </w:r>
      <w:r w:rsidR="00C52752" w:rsidRPr="00BC1828">
        <w:t xml:space="preserve"> Grant County </w:t>
      </w:r>
      <w:proofErr w:type="spellStart"/>
      <w:r w:rsidR="00C52752" w:rsidRPr="00BC1828">
        <w:t>PUD</w:t>
      </w:r>
      <w:proofErr w:type="spellEnd"/>
      <w:r w:rsidR="00C52752" w:rsidRPr="00BC1828">
        <w:t>,</w:t>
      </w:r>
      <w:r w:rsidRPr="00BC1828">
        <w:t xml:space="preserve"> </w:t>
      </w:r>
      <w:r w:rsidR="00D078C5" w:rsidRPr="00BC1828">
        <w:t xml:space="preserve">Snohomish County </w:t>
      </w:r>
      <w:proofErr w:type="spellStart"/>
      <w:r w:rsidR="00D078C5" w:rsidRPr="00BC1828">
        <w:t>PUD</w:t>
      </w:r>
      <w:proofErr w:type="spellEnd"/>
      <w:r w:rsidR="00D078C5" w:rsidRPr="00BC1828">
        <w:t xml:space="preserve">, </w:t>
      </w:r>
      <w:r w:rsidRPr="00BC1828">
        <w:t>and Tacoma Power.</w:t>
      </w:r>
    </w:p>
    <w:p w:rsidR="00664403" w:rsidRPr="00BC1828" w:rsidRDefault="00664403" w:rsidP="00664403">
      <w:pPr>
        <w:pStyle w:val="TestBody"/>
        <w:tabs>
          <w:tab w:val="num" w:pos="720"/>
        </w:tabs>
        <w:spacing w:line="480" w:lineRule="auto"/>
        <w:ind w:left="0" w:firstLine="720"/>
        <w:rPr>
          <w:rFonts w:ascii="Times New Roman" w:hAnsi="Times New Roman"/>
          <w:b/>
        </w:rPr>
      </w:pPr>
      <w:r w:rsidRPr="00BC1828">
        <w:rPr>
          <w:rFonts w:ascii="Times New Roman" w:hAnsi="Times New Roman"/>
          <w:b/>
        </w:rPr>
        <w:t>Q</w:t>
      </w:r>
      <w:r w:rsidR="0038680F" w:rsidRPr="00BC1828">
        <w:rPr>
          <w:rFonts w:ascii="Times New Roman" w:hAnsi="Times New Roman"/>
          <w:b/>
        </w:rPr>
        <w:t>.</w:t>
      </w:r>
      <w:r w:rsidRPr="00BC1828">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CF608F" w:rsidRPr="00BC1828" w:rsidRDefault="00CF608F" w:rsidP="00CF608F">
      <w:pPr>
        <w:tabs>
          <w:tab w:val="left" w:pos="1440"/>
        </w:tabs>
        <w:spacing w:line="480" w:lineRule="auto"/>
        <w:ind w:firstLine="720"/>
        <w:jc w:val="both"/>
        <w:rPr>
          <w:bCs/>
          <w:iCs/>
        </w:rPr>
      </w:pPr>
      <w:r w:rsidRPr="00BC1828">
        <w:rPr>
          <w:bCs/>
        </w:rPr>
        <w:t xml:space="preserve">The Company owns a number of resources, including hydroelectric plants and natural gas-fired peaking units, which serve customer loads during more valuable on-peak hours.  By optimizing resource operation on an hourly basis, the Dispatch Model is able to appropriately value the capabilities of these assets.  </w:t>
      </w:r>
      <w:r w:rsidRPr="00BC1828">
        <w:rPr>
          <w:bCs/>
          <w:iCs/>
        </w:rPr>
        <w:t xml:space="preserve">For example, actual </w:t>
      </w:r>
      <w:r w:rsidR="00364FE9">
        <w:rPr>
          <w:bCs/>
          <w:iCs/>
        </w:rPr>
        <w:t xml:space="preserve">2008 and </w:t>
      </w:r>
      <w:r w:rsidR="00C52752" w:rsidRPr="00BC1828">
        <w:rPr>
          <w:bCs/>
          <w:iCs/>
        </w:rPr>
        <w:t>200</w:t>
      </w:r>
      <w:r w:rsidR="00364FE9">
        <w:rPr>
          <w:bCs/>
          <w:iCs/>
        </w:rPr>
        <w:t>9</w:t>
      </w:r>
      <w:r w:rsidR="00C52752" w:rsidRPr="00BC1828">
        <w:rPr>
          <w:bCs/>
          <w:iCs/>
        </w:rPr>
        <w:t xml:space="preserve"> </w:t>
      </w:r>
      <w:r w:rsidRPr="00BC1828">
        <w:rPr>
          <w:bCs/>
          <w:iCs/>
        </w:rPr>
        <w:t xml:space="preserve">on-peak prices were </w:t>
      </w:r>
      <w:r w:rsidR="00391C5B" w:rsidRPr="00BC1828">
        <w:rPr>
          <w:bCs/>
          <w:iCs/>
        </w:rPr>
        <w:t>23</w:t>
      </w:r>
      <w:r w:rsidR="00940D7B">
        <w:rPr>
          <w:bCs/>
          <w:iCs/>
        </w:rPr>
        <w:t xml:space="preserve"> percent</w:t>
      </w:r>
      <w:r w:rsidRPr="00BC1828">
        <w:rPr>
          <w:bCs/>
          <w:iCs/>
        </w:rPr>
        <w:t xml:space="preserve"> </w:t>
      </w:r>
      <w:r w:rsidR="000C3967" w:rsidRPr="00BC1828">
        <w:rPr>
          <w:bCs/>
          <w:iCs/>
        </w:rPr>
        <w:t>higher</w:t>
      </w:r>
      <w:r w:rsidRPr="00BC1828">
        <w:rPr>
          <w:bCs/>
          <w:iCs/>
        </w:rPr>
        <w:t xml:space="preserve"> than off-peak prices.  </w:t>
      </w:r>
      <w:r w:rsidR="00364FE9">
        <w:rPr>
          <w:bCs/>
          <w:iCs/>
        </w:rPr>
        <w:t xml:space="preserve">2007 </w:t>
      </w:r>
      <w:r w:rsidR="00FD5DD3">
        <w:rPr>
          <w:bCs/>
          <w:iCs/>
        </w:rPr>
        <w:t>on-peak prices were 25</w:t>
      </w:r>
      <w:r w:rsidR="00940D7B">
        <w:rPr>
          <w:bCs/>
          <w:iCs/>
        </w:rPr>
        <w:t xml:space="preserve"> percent</w:t>
      </w:r>
      <w:r w:rsidR="00FD5DD3">
        <w:rPr>
          <w:bCs/>
          <w:iCs/>
        </w:rPr>
        <w:t xml:space="preserve"> higher.  </w:t>
      </w:r>
      <w:r w:rsidR="00C36BF8" w:rsidRPr="00BC1828">
        <w:rPr>
          <w:bCs/>
          <w:iCs/>
        </w:rPr>
        <w:t xml:space="preserve">Forward </w:t>
      </w:r>
      <w:r w:rsidR="00263C2C">
        <w:rPr>
          <w:bCs/>
          <w:iCs/>
        </w:rPr>
        <w:t xml:space="preserve">on-peak </w:t>
      </w:r>
      <w:r w:rsidR="00C36BF8" w:rsidRPr="00BC1828">
        <w:rPr>
          <w:bCs/>
          <w:iCs/>
        </w:rPr>
        <w:t xml:space="preserve">prices </w:t>
      </w:r>
      <w:r w:rsidR="00FD5DD3">
        <w:rPr>
          <w:bCs/>
          <w:iCs/>
        </w:rPr>
        <w:t>for 2011 were</w:t>
      </w:r>
      <w:r w:rsidR="00C36BF8" w:rsidRPr="00BC1828">
        <w:rPr>
          <w:bCs/>
          <w:iCs/>
        </w:rPr>
        <w:t xml:space="preserve"> 2</w:t>
      </w:r>
      <w:r w:rsidR="00364FE9">
        <w:rPr>
          <w:bCs/>
          <w:iCs/>
        </w:rPr>
        <w:t>7</w:t>
      </w:r>
      <w:r w:rsidR="00940D7B">
        <w:rPr>
          <w:bCs/>
          <w:iCs/>
        </w:rPr>
        <w:t xml:space="preserve"> percent</w:t>
      </w:r>
      <w:r w:rsidR="00434D7E" w:rsidRPr="00BC1828">
        <w:rPr>
          <w:bCs/>
          <w:iCs/>
        </w:rPr>
        <w:t xml:space="preserve"> </w:t>
      </w:r>
      <w:r w:rsidR="00263C2C">
        <w:rPr>
          <w:bCs/>
          <w:iCs/>
        </w:rPr>
        <w:t xml:space="preserve">higher than off-peak prices </w:t>
      </w:r>
      <w:r w:rsidR="00434D7E" w:rsidRPr="00BC1828">
        <w:rPr>
          <w:bCs/>
          <w:iCs/>
        </w:rPr>
        <w:t xml:space="preserve">at the time this case was prepared.  </w:t>
      </w:r>
      <w:r w:rsidR="00903BEB" w:rsidRPr="00BC1828">
        <w:rPr>
          <w:bCs/>
          <w:iCs/>
        </w:rPr>
        <w:t xml:space="preserve">For </w:t>
      </w:r>
      <w:r w:rsidRPr="00BC1828">
        <w:rPr>
          <w:bCs/>
          <w:iCs/>
        </w:rPr>
        <w:t xml:space="preserve">comparison, Dispatch Model on-peak prices for the </w:t>
      </w:r>
      <w:r w:rsidR="00D5609D" w:rsidRPr="00BC1828">
        <w:rPr>
          <w:bCs/>
          <w:iCs/>
        </w:rPr>
        <w:t>pro forma</w:t>
      </w:r>
      <w:r w:rsidRPr="00BC1828">
        <w:rPr>
          <w:bCs/>
          <w:iCs/>
        </w:rPr>
        <w:t xml:space="preserve"> period average </w:t>
      </w:r>
      <w:r w:rsidR="00C36BF8" w:rsidRPr="00BC1828">
        <w:rPr>
          <w:bCs/>
          <w:iCs/>
        </w:rPr>
        <w:t>28</w:t>
      </w:r>
      <w:r w:rsidR="00940D7B">
        <w:rPr>
          <w:bCs/>
          <w:iCs/>
        </w:rPr>
        <w:t xml:space="preserve"> </w:t>
      </w:r>
      <w:r w:rsidR="00940D7B">
        <w:rPr>
          <w:bCs/>
          <w:iCs/>
        </w:rPr>
        <w:lastRenderedPageBreak/>
        <w:t>percent</w:t>
      </w:r>
      <w:r w:rsidRPr="00BC1828">
        <w:rPr>
          <w:b/>
          <w:iCs/>
        </w:rPr>
        <w:t xml:space="preserve"> </w:t>
      </w:r>
      <w:r w:rsidRPr="00BC1828">
        <w:rPr>
          <w:bCs/>
          <w:iCs/>
        </w:rPr>
        <w:t>higher than off-peak prices.  In summary, the Dispatch Model appropriately values the energy from Avista’s resources during on-peak periods in a manner similar to that recently experienced in the Northwest region.</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0C5B59" w:rsidRPr="00BD4B85" w:rsidRDefault="00CF608F" w:rsidP="000C5B59">
      <w:pPr>
        <w:pStyle w:val="TestBody"/>
        <w:spacing w:line="480" w:lineRule="auto"/>
        <w:ind w:left="0" w:firstLine="0"/>
        <w:rPr>
          <w:rFonts w:ascii="Times New Roman" w:hAnsi="Times New Roman"/>
        </w:rPr>
      </w:pPr>
      <w:r w:rsidRPr="00BC1828">
        <w:rPr>
          <w:rFonts w:ascii="Times New Roman" w:hAnsi="Times New Roman"/>
        </w:rPr>
        <w:tab/>
        <w:t>A.</w:t>
      </w:r>
      <w:r w:rsidRPr="00BC1828">
        <w:rPr>
          <w:rFonts w:ascii="Times New Roman" w:hAnsi="Times New Roman"/>
        </w:rPr>
        <w:tab/>
      </w:r>
      <w:r w:rsidR="000C5B59" w:rsidRPr="00BC1828">
        <w:rPr>
          <w:rFonts w:ascii="Times New Roman" w:hAnsi="Times New Roman"/>
        </w:rPr>
        <w:t xml:space="preserve">The Dispatch Model’s goal is to minimize overall system operating costs across the Western Interconnect, including Avista’s portfolio of loads and resources.  The dispatch model generates a wholesale electric market price forecast by evaluating all Western Interconnect resources simultaneously </w:t>
      </w:r>
      <w:r w:rsidRPr="00BC1828">
        <w:rPr>
          <w:rFonts w:ascii="Times New Roman" w:hAnsi="Times New Roman"/>
        </w:rPr>
        <w:t xml:space="preserve">in </w:t>
      </w:r>
      <w:r w:rsidR="000C5B59" w:rsidRPr="00BC1828">
        <w:rPr>
          <w:rFonts w:ascii="Times New Roman" w:hAnsi="Times New Roman"/>
        </w:rPr>
        <w:t>a least-cost equation to meet regional loads.  As the Dispatch Model progresses from hour</w:t>
      </w:r>
      <w:r w:rsidRPr="00BC1828">
        <w:rPr>
          <w:rFonts w:ascii="Times New Roman" w:hAnsi="Times New Roman"/>
        </w:rPr>
        <w:t xml:space="preserve"> </w:t>
      </w:r>
      <w:r w:rsidR="000C5B59" w:rsidRPr="00BC1828">
        <w:rPr>
          <w:rFonts w:ascii="Times New Roman" w:hAnsi="Times New Roman"/>
        </w:rPr>
        <w:t>to</w:t>
      </w:r>
      <w:r w:rsidRPr="00BC1828">
        <w:rPr>
          <w:rFonts w:ascii="Times New Roman" w:hAnsi="Times New Roman"/>
        </w:rPr>
        <w:t xml:space="preserve"> </w:t>
      </w:r>
      <w:r w:rsidR="000C5B59" w:rsidRPr="00BC1828">
        <w:rPr>
          <w:rFonts w:ascii="Times New Roman" w:hAnsi="Times New Roman"/>
        </w:rPr>
        <w:t xml:space="preserve">hour, it “operates” those least-cost resources necessary to meet load.  With respect to the Company’s portfolio, the Dispatch Model tracks </w:t>
      </w:r>
      <w:r w:rsidRPr="00BC1828">
        <w:rPr>
          <w:rFonts w:ascii="Times New Roman" w:hAnsi="Times New Roman"/>
        </w:rPr>
        <w:t xml:space="preserve">the </w:t>
      </w:r>
      <w:r w:rsidR="000C5B59" w:rsidRPr="00BC1828">
        <w:rPr>
          <w:rFonts w:ascii="Times New Roman" w:hAnsi="Times New Roman"/>
        </w:rPr>
        <w:t xml:space="preserve">hourly output and fuel costs associated with portfolio generation. </w:t>
      </w:r>
      <w:r w:rsidRPr="00BC1828">
        <w:rPr>
          <w:rFonts w:ascii="Times New Roman" w:hAnsi="Times New Roman"/>
        </w:rPr>
        <w:t xml:space="preserve"> It</w:t>
      </w:r>
      <w:r w:rsidR="000C5B59" w:rsidRPr="00BC1828">
        <w:rPr>
          <w:rFonts w:ascii="Times New Roman" w:hAnsi="Times New Roman"/>
        </w:rPr>
        <w:t xml:space="preserve"> also calculates hourly energy quantities and values for the Company’s contractual rights and obligations.</w:t>
      </w:r>
      <w:r w:rsidRPr="00BC1828">
        <w:rPr>
          <w:rFonts w:ascii="Times New Roman" w:hAnsi="Times New Roman"/>
        </w:rPr>
        <w:t xml:space="preserve">  In every hour the</w:t>
      </w:r>
      <w:r w:rsidR="000C5B59" w:rsidRPr="00BC1828">
        <w:rPr>
          <w:rFonts w:ascii="Times New Roman" w:hAnsi="Times New Roman"/>
        </w:rPr>
        <w:t xml:space="preserve"> Company’s loads </w:t>
      </w:r>
      <w:r w:rsidR="000C5B59">
        <w:rPr>
          <w:rFonts w:ascii="Times New Roman" w:hAnsi="Times New Roman"/>
        </w:rPr>
        <w:t xml:space="preserve">and obligations </w:t>
      </w:r>
      <w:r w:rsidR="000C5B59" w:rsidRPr="00BC1828">
        <w:rPr>
          <w:rFonts w:ascii="Times New Roman" w:hAnsi="Times New Roman"/>
        </w:rPr>
        <w:t xml:space="preserve">are compared to </w:t>
      </w:r>
      <w:r w:rsidR="000C5B59">
        <w:rPr>
          <w:rFonts w:ascii="Times New Roman" w:hAnsi="Times New Roman"/>
        </w:rPr>
        <w:t xml:space="preserve">available resources to </w:t>
      </w:r>
      <w:r w:rsidR="000C5B59" w:rsidRPr="00BC1828">
        <w:rPr>
          <w:rFonts w:ascii="Times New Roman" w:hAnsi="Times New Roman"/>
        </w:rPr>
        <w:t>determine a net position.  This position is balanced using the simulated wholesale electricity market.  The cost of energy purchased from or sold into the market is determined</w:t>
      </w:r>
      <w:r w:rsidR="000C5B59" w:rsidRPr="00BD4B85">
        <w:rPr>
          <w:rFonts w:ascii="Times New Roman" w:hAnsi="Times New Roman"/>
        </w:rPr>
        <w:t xml:space="preserve"> based on the electric market-clearing price for the specified hour and the amount of energy necessary to balance loads and resources.</w:t>
      </w:r>
    </w:p>
    <w:p w:rsidR="00CF608F" w:rsidRPr="00BD4B85" w:rsidRDefault="00CF608F" w:rsidP="00A161D9">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 market prices?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corridors, to determine </w:t>
      </w:r>
      <w:r>
        <w:rPr>
          <w:b w:val="0"/>
          <w:bCs w:val="0"/>
        </w:rPr>
        <w:t xml:space="preserve">the </w:t>
      </w:r>
      <w:r>
        <w:rPr>
          <w:b w:val="0"/>
          <w:bCs w:val="0"/>
        </w:rPr>
        <w:lastRenderedPageBreak/>
        <w:t xml:space="preserve">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w:t>
      </w:r>
      <w:r w:rsidR="000C5B59">
        <w:rPr>
          <w:b w:val="0"/>
          <w:bCs w:val="0"/>
        </w:rPr>
        <w:t xml:space="preserve"> </w:t>
      </w:r>
      <w:r w:rsidRPr="00BD4B85">
        <w:rPr>
          <w:b w:val="0"/>
          <w:bCs w:val="0"/>
        </w:rPr>
        <w:t>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0C5B59" w:rsidRPr="00BD4B85" w:rsidRDefault="00CF608F" w:rsidP="000C5B59">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000C5B59" w:rsidRPr="00BD4B85">
        <w:rPr>
          <w:rFonts w:ascii="Times New Roman" w:hAnsi="Times New Roman"/>
        </w:rPr>
        <w:t>The model begins by “peak shav</w:t>
      </w:r>
      <w:r w:rsidR="000C5B59">
        <w:rPr>
          <w:rFonts w:ascii="Times New Roman" w:hAnsi="Times New Roman"/>
        </w:rPr>
        <w:t>ing</w:t>
      </w:r>
      <w:r w:rsidR="000C5B59" w:rsidRPr="00BD4B85">
        <w:rPr>
          <w:rFonts w:ascii="Times New Roman" w:hAnsi="Times New Roman"/>
        </w:rPr>
        <w:t>” loads using system hydro resources.  When peak shaving</w:t>
      </w:r>
      <w:r w:rsidR="000C5B59">
        <w:rPr>
          <w:rFonts w:ascii="Times New Roman" w:hAnsi="Times New Roman"/>
        </w:rPr>
        <w:t>,</w:t>
      </w:r>
      <w:r w:rsidR="000C5B59" w:rsidRPr="00BD4B85">
        <w:rPr>
          <w:rFonts w:ascii="Times New Roman" w:hAnsi="Times New Roman"/>
        </w:rPr>
        <w:t xml:space="preserve"> the Dispatch Model determines which hours contain the highest loads and allocates to them as much hydroelectric energy as possible.</w:t>
      </w:r>
      <w:r w:rsidR="000C5B59">
        <w:rPr>
          <w:rFonts w:ascii="Times New Roman" w:hAnsi="Times New Roman"/>
        </w:rPr>
        <w:t xml:space="preserve">  Remaining loads are</w:t>
      </w:r>
      <w:r w:rsidR="006C12C0">
        <w:rPr>
          <w:rFonts w:ascii="Times New Roman" w:hAnsi="Times New Roman"/>
        </w:rPr>
        <w:t xml:space="preserve"> then</w:t>
      </w:r>
      <w:r w:rsidR="000C5B59">
        <w:rPr>
          <w:rFonts w:ascii="Times New Roman" w:hAnsi="Times New Roman"/>
        </w:rPr>
        <w:t xml:space="preserve"> met with other available resources.</w:t>
      </w:r>
    </w:p>
    <w:p w:rsidR="0060532F" w:rsidRPr="000C5B59" w:rsidRDefault="0060532F" w:rsidP="00A161D9">
      <w:pPr>
        <w:pStyle w:val="BodyTextIndent3"/>
        <w:tabs>
          <w:tab w:val="clear" w:pos="1260"/>
          <w:tab w:val="left" w:pos="1440"/>
        </w:tabs>
      </w:pPr>
      <w:r w:rsidRPr="000C5B59">
        <w:t>Q.</w:t>
      </w:r>
      <w:r w:rsidRPr="000C5B59">
        <w:tab/>
        <w:t>Has the Company made any modifications to the database for this case?</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B03920">
        <w:rPr>
          <w:rFonts w:ascii="Times New Roman" w:hAnsi="Times New Roman"/>
          <w:bCs/>
        </w:rPr>
        <w:t>Avista</w:t>
      </w:r>
      <w:r>
        <w:rPr>
          <w:rFonts w:ascii="Times New Roman" w:hAnsi="Times New Roman"/>
          <w:bCs/>
        </w:rPr>
        <w:t xml:space="preserve">’s portfolio of resources </w:t>
      </w:r>
      <w:r w:rsidR="00F84BAC">
        <w:rPr>
          <w:rFonts w:ascii="Times New Roman" w:hAnsi="Times New Roman"/>
          <w:bCs/>
        </w:rPr>
        <w:t>is modified</w:t>
      </w:r>
      <w:r>
        <w:rPr>
          <w:rFonts w:ascii="Times New Roman" w:hAnsi="Times New Roman"/>
          <w:bCs/>
        </w:rPr>
        <w:t xml:space="preserve"> </w:t>
      </w:r>
      <w:r w:rsidR="00B03920">
        <w:rPr>
          <w:rFonts w:ascii="Times New Roman" w:hAnsi="Times New Roman"/>
          <w:bCs/>
        </w:rPr>
        <w:t xml:space="preserve">to reflect </w:t>
      </w:r>
      <w:r w:rsidR="00C47504">
        <w:rPr>
          <w:rFonts w:ascii="Times New Roman" w:hAnsi="Times New Roman"/>
          <w:bCs/>
        </w:rPr>
        <w:t xml:space="preserve">actual operating </w:t>
      </w:r>
      <w:r w:rsidR="00F84BAC">
        <w:rPr>
          <w:rFonts w:ascii="Times New Roman" w:hAnsi="Times New Roman"/>
          <w:bCs/>
        </w:rPr>
        <w:t>characteristics</w:t>
      </w:r>
      <w:r w:rsidR="00C47504">
        <w:rPr>
          <w:rFonts w:ascii="Times New Roman" w:hAnsi="Times New Roman"/>
          <w:bCs/>
        </w:rPr>
        <w:t>,</w:t>
      </w:r>
      <w:r w:rsidR="00B03920">
        <w:rPr>
          <w:rFonts w:ascii="Times New Roman" w:hAnsi="Times New Roman"/>
          <w:bCs/>
        </w:rPr>
        <w:t xml:space="preserve"> </w:t>
      </w:r>
      <w:r>
        <w:rPr>
          <w:rFonts w:ascii="Times New Roman" w:hAnsi="Times New Roman"/>
          <w:bCs/>
        </w:rPr>
        <w:t xml:space="preserve">natural gas </w:t>
      </w:r>
      <w:r w:rsidR="00422DF7">
        <w:rPr>
          <w:rFonts w:ascii="Times New Roman" w:hAnsi="Times New Roman"/>
          <w:bCs/>
        </w:rPr>
        <w:t>prices</w:t>
      </w:r>
      <w:r w:rsidR="00C47504">
        <w:rPr>
          <w:rFonts w:ascii="Times New Roman" w:hAnsi="Times New Roman"/>
          <w:bCs/>
        </w:rPr>
        <w:t xml:space="preserve"> </w:t>
      </w:r>
      <w:r w:rsidR="00304A23">
        <w:rPr>
          <w:rFonts w:ascii="Times New Roman" w:hAnsi="Times New Roman"/>
          <w:bCs/>
        </w:rPr>
        <w:t xml:space="preserve">are modified </w:t>
      </w:r>
      <w:r w:rsidR="00C47504">
        <w:rPr>
          <w:rFonts w:ascii="Times New Roman" w:hAnsi="Times New Roman"/>
          <w:bCs/>
        </w:rPr>
        <w:t xml:space="preserve">to match </w:t>
      </w:r>
      <w:r w:rsidR="00304A23">
        <w:rPr>
          <w:rFonts w:ascii="Times New Roman" w:hAnsi="Times New Roman"/>
          <w:bCs/>
        </w:rPr>
        <w:t xml:space="preserve">projected </w:t>
      </w:r>
      <w:r w:rsidR="00C47504">
        <w:rPr>
          <w:rFonts w:ascii="Times New Roman" w:hAnsi="Times New Roman"/>
          <w:bCs/>
        </w:rPr>
        <w:t xml:space="preserve">forward prices </w:t>
      </w:r>
      <w:r w:rsidR="00304A23">
        <w:rPr>
          <w:rFonts w:ascii="Times New Roman" w:hAnsi="Times New Roman"/>
          <w:bCs/>
        </w:rPr>
        <w:t>over</w:t>
      </w:r>
      <w:r w:rsidR="00C47504">
        <w:rPr>
          <w:rFonts w:ascii="Times New Roman" w:hAnsi="Times New Roman"/>
          <w:bCs/>
        </w:rPr>
        <w:t xml:space="preserve"> the pro-forma period</w:t>
      </w:r>
      <w:r w:rsidR="00422DF7">
        <w:rPr>
          <w:rFonts w:ascii="Times New Roman" w:hAnsi="Times New Roman"/>
          <w:bCs/>
        </w:rPr>
        <w:t>,</w:t>
      </w:r>
      <w:r w:rsidR="00F84BAC">
        <w:rPr>
          <w:rFonts w:ascii="Times New Roman" w:hAnsi="Times New Roman"/>
          <w:bCs/>
        </w:rPr>
        <w:t xml:space="preserve"> regional resources</w:t>
      </w:r>
      <w:r w:rsidR="00304A23">
        <w:rPr>
          <w:rFonts w:ascii="Times New Roman" w:hAnsi="Times New Roman"/>
          <w:bCs/>
        </w:rPr>
        <w:t xml:space="preserve"> are modified where better information is known</w:t>
      </w:r>
      <w:r w:rsidR="00F84BAC">
        <w:rPr>
          <w:rFonts w:ascii="Times New Roman" w:hAnsi="Times New Roman"/>
          <w:bCs/>
        </w:rPr>
        <w:t>,</w:t>
      </w:r>
      <w:r w:rsidR="00C47504">
        <w:rPr>
          <w:rFonts w:ascii="Times New Roman" w:hAnsi="Times New Roman"/>
          <w:bCs/>
        </w:rPr>
        <w:t xml:space="preserve"> </w:t>
      </w:r>
      <w:r w:rsidR="00170EBC">
        <w:rPr>
          <w:rFonts w:ascii="Times New Roman" w:hAnsi="Times New Roman"/>
          <w:bCs/>
        </w:rPr>
        <w:t>and N</w:t>
      </w:r>
      <w:r w:rsidR="00D649F7">
        <w:rPr>
          <w:rFonts w:ascii="Times New Roman" w:hAnsi="Times New Roman"/>
          <w:bCs/>
        </w:rPr>
        <w:t>orthwest</w:t>
      </w:r>
      <w:r>
        <w:rPr>
          <w:rFonts w:ascii="Times New Roman" w:hAnsi="Times New Roman"/>
          <w:bCs/>
        </w:rPr>
        <w:t xml:space="preserve"> hydro data</w:t>
      </w:r>
      <w:r w:rsidR="00C47504">
        <w:rPr>
          <w:rFonts w:ascii="Times New Roman" w:hAnsi="Times New Roman"/>
          <w:bCs/>
        </w:rPr>
        <w:t xml:space="preserve"> </w:t>
      </w:r>
      <w:r w:rsidR="00304A23">
        <w:rPr>
          <w:rFonts w:ascii="Times New Roman" w:hAnsi="Times New Roman"/>
          <w:bCs/>
        </w:rPr>
        <w:t>is replaced with Northwest Power Pool data</w:t>
      </w:r>
      <w:r w:rsidR="00304A23" w:rsidRPr="00050DD6">
        <w:rPr>
          <w:rFonts w:ascii="Times New Roman" w:hAnsi="Times New Roman"/>
          <w:bCs/>
        </w:rPr>
        <w:t>.</w:t>
      </w:r>
    </w:p>
    <w:p w:rsidR="00263C2C" w:rsidRPr="00050DD6" w:rsidRDefault="00263C2C" w:rsidP="00304A23">
      <w:pPr>
        <w:pStyle w:val="TestBody"/>
        <w:tabs>
          <w:tab w:val="num" w:pos="720"/>
        </w:tabs>
        <w:spacing w:line="480" w:lineRule="auto"/>
        <w:ind w:left="0" w:firstLine="720"/>
        <w:rPr>
          <w:rFonts w:ascii="Times New Roman" w:hAnsi="Times New Roman"/>
          <w:bCs/>
        </w:rPr>
      </w:pPr>
    </w:p>
    <w:p w:rsidR="00A9200C" w:rsidRPr="002B60EC" w:rsidRDefault="00A9200C" w:rsidP="00A9200C">
      <w:pPr>
        <w:pStyle w:val="BodyTextIndent3"/>
        <w:tabs>
          <w:tab w:val="clear" w:pos="1260"/>
        </w:tabs>
        <w:ind w:firstLine="0"/>
        <w:jc w:val="center"/>
        <w:rPr>
          <w:u w:val="single"/>
        </w:rPr>
      </w:pPr>
      <w:r>
        <w:rPr>
          <w:u w:val="single"/>
        </w:rPr>
        <w:t>I</w:t>
      </w:r>
      <w:r w:rsidR="002F239B">
        <w:rPr>
          <w:u w:val="single"/>
        </w:rPr>
        <w:t>II</w:t>
      </w:r>
      <w:r w:rsidRPr="002B60EC">
        <w:rPr>
          <w:u w:val="single"/>
        </w:rPr>
        <w:t xml:space="preserve">. </w:t>
      </w:r>
      <w:r w:rsidR="00285E86">
        <w:rPr>
          <w:u w:val="single"/>
        </w:rPr>
        <w:t xml:space="preserve"> </w:t>
      </w:r>
      <w:r>
        <w:rPr>
          <w:u w:val="single"/>
        </w:rPr>
        <w:t>HYDRO MODELING ASSUMPTIONS</w:t>
      </w:r>
    </w:p>
    <w:p w:rsidR="00A9200C" w:rsidRPr="00A9200C" w:rsidRDefault="00A9200C" w:rsidP="00A9200C">
      <w:pPr>
        <w:pStyle w:val="BodyTextIndent3"/>
        <w:tabs>
          <w:tab w:val="left" w:pos="1440"/>
        </w:tabs>
      </w:pPr>
      <w:r w:rsidRPr="00A9200C">
        <w:t>Q.</w:t>
      </w:r>
      <w:r w:rsidRPr="00A9200C">
        <w:tab/>
        <w:t>How has the Company modeled hydroelectric generation for this case?</w:t>
      </w:r>
    </w:p>
    <w:p w:rsidR="00A9200C" w:rsidRPr="00A9200C" w:rsidRDefault="00A9200C" w:rsidP="00A9200C">
      <w:pPr>
        <w:pStyle w:val="BodyTextIndent3"/>
        <w:tabs>
          <w:tab w:val="left" w:pos="1440"/>
        </w:tabs>
        <w:rPr>
          <w:b w:val="0"/>
        </w:rPr>
      </w:pPr>
      <w:r w:rsidRPr="00A9200C">
        <w:rPr>
          <w:b w:val="0"/>
        </w:rPr>
        <w:t>A.</w:t>
      </w:r>
      <w:r w:rsidRPr="00A9200C">
        <w:rPr>
          <w:b w:val="0"/>
        </w:rPr>
        <w:tab/>
        <w:t>As in the past, Avista use</w:t>
      </w:r>
      <w:r w:rsidR="00C2708C">
        <w:rPr>
          <w:b w:val="0"/>
        </w:rPr>
        <w:t>s</w:t>
      </w:r>
      <w:r w:rsidRPr="00A9200C">
        <w:rPr>
          <w:b w:val="0"/>
        </w:rPr>
        <w:t xml:space="preserve"> historical stream flow data from the Northwest Power Pool </w:t>
      </w:r>
      <w:r w:rsidR="000C5B59">
        <w:rPr>
          <w:b w:val="0"/>
        </w:rPr>
        <w:t>(</w:t>
      </w:r>
      <w:proofErr w:type="spellStart"/>
      <w:r w:rsidR="000C5B59">
        <w:rPr>
          <w:b w:val="0"/>
        </w:rPr>
        <w:t>NWPP</w:t>
      </w:r>
      <w:proofErr w:type="spellEnd"/>
      <w:r w:rsidR="000C5B59">
        <w:rPr>
          <w:b w:val="0"/>
        </w:rPr>
        <w:t xml:space="preserve">) </w:t>
      </w:r>
      <w:r w:rsidRPr="00A9200C">
        <w:rPr>
          <w:b w:val="0"/>
        </w:rPr>
        <w:t xml:space="preserve">to determine hydroelectric generation for its Clark Fork and Spokane River systems.  Certain adjustments to the </w:t>
      </w:r>
      <w:proofErr w:type="spellStart"/>
      <w:r w:rsidRPr="00A9200C">
        <w:rPr>
          <w:b w:val="0"/>
        </w:rPr>
        <w:t>NWPP</w:t>
      </w:r>
      <w:proofErr w:type="spellEnd"/>
      <w:r w:rsidRPr="00A9200C">
        <w:rPr>
          <w:b w:val="0"/>
        </w:rPr>
        <w:t xml:space="preserve"> data are necessary to yield a proper estimate of generation from the model.  These </w:t>
      </w:r>
      <w:r w:rsidR="008523C6">
        <w:rPr>
          <w:b w:val="0"/>
        </w:rPr>
        <w:t>adjustments</w:t>
      </w:r>
      <w:r w:rsidRPr="00A9200C">
        <w:rPr>
          <w:b w:val="0"/>
        </w:rPr>
        <w:t xml:space="preserve"> include changes to address the </w:t>
      </w:r>
      <w:proofErr w:type="spellStart"/>
      <w:r w:rsidRPr="00A9200C">
        <w:rPr>
          <w:b w:val="0"/>
        </w:rPr>
        <w:t>NWPP’s</w:t>
      </w:r>
      <w:proofErr w:type="spellEnd"/>
      <w:r w:rsidRPr="00A9200C">
        <w:rPr>
          <w:b w:val="0"/>
        </w:rPr>
        <w:t xml:space="preserve"> tendency to overstate generation in high-flow periods, to account for recent upgrades at our </w:t>
      </w:r>
      <w:r w:rsidR="008523C6">
        <w:rPr>
          <w:b w:val="0"/>
        </w:rPr>
        <w:t xml:space="preserve">hydroelectric </w:t>
      </w:r>
      <w:r w:rsidRPr="00A9200C">
        <w:rPr>
          <w:b w:val="0"/>
        </w:rPr>
        <w:lastRenderedPageBreak/>
        <w:t>projects, to maintain year-to-year consistency in project operations, to account for encroachment on our Mid-Columbia project shares, and to allow for 2000 irrigation depletion levels.</w:t>
      </w:r>
    </w:p>
    <w:p w:rsidR="00A9200C" w:rsidRPr="00A9200C" w:rsidRDefault="00A9200C" w:rsidP="00A9200C">
      <w:pPr>
        <w:pStyle w:val="BodyTextIndent3"/>
        <w:tabs>
          <w:tab w:val="left" w:pos="1440"/>
        </w:tabs>
      </w:pPr>
      <w:r w:rsidRPr="00A9200C">
        <w:t>Q.</w:t>
      </w:r>
      <w:r w:rsidRPr="00A9200C">
        <w:tab/>
      </w:r>
      <w:r>
        <w:t xml:space="preserve">Why </w:t>
      </w:r>
      <w:r w:rsidRPr="00A9200C">
        <w:t xml:space="preserve">does the </w:t>
      </w:r>
      <w:proofErr w:type="spellStart"/>
      <w:r w:rsidRPr="00A9200C">
        <w:t>NWPP</w:t>
      </w:r>
      <w:proofErr w:type="spellEnd"/>
      <w:r w:rsidRPr="00A9200C">
        <w:t xml:space="preserve"> overstate generation on the Company’s hydroelectric facilities?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proofErr w:type="spellStart"/>
      <w:r w:rsidRPr="00A9200C">
        <w:rPr>
          <w:b w:val="0"/>
        </w:rPr>
        <w:t>NWPP’s</w:t>
      </w:r>
      <w:proofErr w:type="spellEnd"/>
      <w:r w:rsidRPr="00A9200C">
        <w:rPr>
          <w:b w:val="0"/>
        </w:rPr>
        <w:t xml:space="preserve"> regional hydroelectric model </w:t>
      </w:r>
      <w:r w:rsidR="00263C2C">
        <w:rPr>
          <w:b w:val="0"/>
        </w:rPr>
        <w:t xml:space="preserve">is in many ways simplified and therefore </w:t>
      </w:r>
      <w:r w:rsidR="00A161D9">
        <w:rPr>
          <w:b w:val="0"/>
        </w:rPr>
        <w:t>does</w:t>
      </w:r>
      <w:r w:rsidR="00263C2C">
        <w:rPr>
          <w:b w:val="0"/>
        </w:rPr>
        <w:t xml:space="preserve"> </w:t>
      </w:r>
      <w:r w:rsidR="00A161D9">
        <w:rPr>
          <w:b w:val="0"/>
        </w:rPr>
        <w:t>n</w:t>
      </w:r>
      <w:r w:rsidR="00263C2C">
        <w:rPr>
          <w:b w:val="0"/>
        </w:rPr>
        <w:t>o</w:t>
      </w:r>
      <w:r w:rsidR="00A161D9">
        <w:rPr>
          <w:b w:val="0"/>
        </w:rPr>
        <w:t xml:space="preserve">t </w:t>
      </w:r>
      <w:r w:rsidRPr="00A9200C">
        <w:rPr>
          <w:b w:val="0"/>
        </w:rPr>
        <w:t xml:space="preserve">account for </w:t>
      </w:r>
      <w:r w:rsidR="00263C2C">
        <w:rPr>
          <w:b w:val="0"/>
        </w:rPr>
        <w:t xml:space="preserve">various </w:t>
      </w:r>
      <w:r>
        <w:rPr>
          <w:b w:val="0"/>
        </w:rPr>
        <w:t xml:space="preserve">project </w:t>
      </w:r>
      <w:r w:rsidRPr="00A9200C">
        <w:rPr>
          <w:b w:val="0"/>
        </w:rPr>
        <w:t xml:space="preserve">operating characteristics.  The </w:t>
      </w:r>
      <w:proofErr w:type="spellStart"/>
      <w:r w:rsidR="008523C6">
        <w:rPr>
          <w:b w:val="0"/>
        </w:rPr>
        <w:t>NWPP</w:t>
      </w:r>
      <w:proofErr w:type="spellEnd"/>
      <w:r w:rsidRPr="00A9200C">
        <w:rPr>
          <w:b w:val="0"/>
        </w:rPr>
        <w:t xml:space="preserve"> model is not granular enough to account for </w:t>
      </w:r>
      <w:r w:rsidR="00263C2C">
        <w:rPr>
          <w:b w:val="0"/>
        </w:rPr>
        <w:t>intra-month flow changes</w:t>
      </w:r>
      <w:r w:rsidRPr="00A9200C">
        <w:rPr>
          <w:b w:val="0"/>
        </w:rPr>
        <w:t xml:space="preserve">.  This impact is most significant during the spring months.  For example, </w:t>
      </w:r>
      <w:r w:rsidR="00EB2E6A">
        <w:rPr>
          <w:b w:val="0"/>
        </w:rPr>
        <w:t>the</w:t>
      </w:r>
      <w:r w:rsidRPr="00A9200C">
        <w:rPr>
          <w:b w:val="0"/>
        </w:rPr>
        <w:t xml:space="preserve"> Noxon Rapids project has a maximum turbine flow </w:t>
      </w:r>
      <w:r w:rsidR="00C2708C">
        <w:rPr>
          <w:b w:val="0"/>
        </w:rPr>
        <w:t xml:space="preserve">capability </w:t>
      </w:r>
      <w:r w:rsidRPr="00A9200C">
        <w:rPr>
          <w:b w:val="0"/>
        </w:rPr>
        <w:t xml:space="preserve">of approximately 50,000 </w:t>
      </w:r>
      <w:r w:rsidR="00E23CF3">
        <w:rPr>
          <w:b w:val="0"/>
        </w:rPr>
        <w:t>cubic feet per second (</w:t>
      </w:r>
      <w:proofErr w:type="spellStart"/>
      <w:r w:rsidRPr="00A9200C">
        <w:rPr>
          <w:b w:val="0"/>
        </w:rPr>
        <w:t>cfs</w:t>
      </w:r>
      <w:proofErr w:type="spellEnd"/>
      <w:r w:rsidR="00E23CF3">
        <w:rPr>
          <w:b w:val="0"/>
        </w:rPr>
        <w:t>)</w:t>
      </w:r>
      <w:r w:rsidRPr="00A9200C">
        <w:rPr>
          <w:b w:val="0"/>
        </w:rPr>
        <w:t xml:space="preserve">.  The </w:t>
      </w:r>
      <w:proofErr w:type="spellStart"/>
      <w:r w:rsidRPr="00A9200C">
        <w:rPr>
          <w:b w:val="0"/>
        </w:rPr>
        <w:t>NWPP</w:t>
      </w:r>
      <w:proofErr w:type="spellEnd"/>
      <w:r w:rsidRPr="00A9200C">
        <w:rPr>
          <w:b w:val="0"/>
        </w:rPr>
        <w:t xml:space="preserve"> model will use all water up to 50,000 </w:t>
      </w:r>
      <w:proofErr w:type="spellStart"/>
      <w:r w:rsidRPr="00A9200C">
        <w:rPr>
          <w:b w:val="0"/>
        </w:rPr>
        <w:t>cfs</w:t>
      </w:r>
      <w:proofErr w:type="spellEnd"/>
      <w:r w:rsidRPr="00A9200C">
        <w:rPr>
          <w:b w:val="0"/>
        </w:rPr>
        <w:t xml:space="preserve"> in a given month to generate </w:t>
      </w:r>
      <w:r w:rsidR="00EB2E6A">
        <w:rPr>
          <w:b w:val="0"/>
        </w:rPr>
        <w:t>power</w:t>
      </w:r>
      <w:r w:rsidRPr="00A9200C">
        <w:rPr>
          <w:b w:val="0"/>
        </w:rPr>
        <w:t xml:space="preserve">.  However, a 50,000 </w:t>
      </w:r>
      <w:proofErr w:type="spellStart"/>
      <w:r w:rsidRPr="00A9200C">
        <w:rPr>
          <w:b w:val="0"/>
        </w:rPr>
        <w:t>cfs</w:t>
      </w:r>
      <w:proofErr w:type="spellEnd"/>
      <w:r w:rsidRPr="00A9200C">
        <w:rPr>
          <w:b w:val="0"/>
        </w:rPr>
        <w:t xml:space="preserve"> month is not comprised of 28, 29, 30 or 31 days of 50,000 </w:t>
      </w:r>
      <w:proofErr w:type="spellStart"/>
      <w:r w:rsidRPr="00A9200C">
        <w:rPr>
          <w:b w:val="0"/>
        </w:rPr>
        <w:t>cfs</w:t>
      </w:r>
      <w:proofErr w:type="spellEnd"/>
      <w:r w:rsidRPr="00A9200C">
        <w:rPr>
          <w:b w:val="0"/>
        </w:rPr>
        <w:t xml:space="preserve">.  Instead it is </w:t>
      </w:r>
      <w:r w:rsidR="00C2708C">
        <w:rPr>
          <w:b w:val="0"/>
        </w:rPr>
        <w:t xml:space="preserve">made up </w:t>
      </w:r>
      <w:r w:rsidRPr="00A9200C">
        <w:rPr>
          <w:b w:val="0"/>
        </w:rPr>
        <w:t xml:space="preserve">of flows that range below and above 50,000 </w:t>
      </w:r>
      <w:proofErr w:type="spellStart"/>
      <w:r w:rsidRPr="00A9200C">
        <w:rPr>
          <w:b w:val="0"/>
        </w:rPr>
        <w:t>cfs</w:t>
      </w:r>
      <w:proofErr w:type="spellEnd"/>
      <w:r w:rsidRPr="00A9200C">
        <w:rPr>
          <w:b w:val="0"/>
        </w:rPr>
        <w:t xml:space="preserve">.  For example, where flows are 20,000 </w:t>
      </w:r>
      <w:proofErr w:type="spellStart"/>
      <w:r w:rsidRPr="00A9200C">
        <w:rPr>
          <w:b w:val="0"/>
        </w:rPr>
        <w:t>cfs</w:t>
      </w:r>
      <w:proofErr w:type="spellEnd"/>
      <w:r w:rsidRPr="00A9200C">
        <w:rPr>
          <w:b w:val="0"/>
        </w:rPr>
        <w:t xml:space="preserve"> for </w:t>
      </w:r>
      <w:r w:rsidR="00C2708C">
        <w:rPr>
          <w:b w:val="0"/>
        </w:rPr>
        <w:t xml:space="preserve">the first </w:t>
      </w:r>
      <w:r w:rsidRPr="00A9200C">
        <w:rPr>
          <w:b w:val="0"/>
        </w:rPr>
        <w:t xml:space="preserve">half of the month and 80,000 </w:t>
      </w:r>
      <w:proofErr w:type="spellStart"/>
      <w:r w:rsidRPr="00A9200C">
        <w:rPr>
          <w:b w:val="0"/>
        </w:rPr>
        <w:t>cfs</w:t>
      </w:r>
      <w:proofErr w:type="spellEnd"/>
      <w:r w:rsidRPr="00A9200C">
        <w:rPr>
          <w:b w:val="0"/>
        </w:rPr>
        <w:t xml:space="preserve"> the second half, the average flow for the period is 50,000 </w:t>
      </w:r>
      <w:proofErr w:type="spellStart"/>
      <w:r w:rsidRPr="00A9200C">
        <w:rPr>
          <w:b w:val="0"/>
        </w:rPr>
        <w:t>cfs</w:t>
      </w:r>
      <w:proofErr w:type="spellEnd"/>
      <w:r w:rsidRPr="00A9200C">
        <w:rPr>
          <w:b w:val="0"/>
        </w:rPr>
        <w:t xml:space="preserve">.  The </w:t>
      </w:r>
      <w:proofErr w:type="spellStart"/>
      <w:r w:rsidRPr="00A9200C">
        <w:rPr>
          <w:b w:val="0"/>
        </w:rPr>
        <w:t>NWPP</w:t>
      </w:r>
      <w:proofErr w:type="spellEnd"/>
      <w:r w:rsidRPr="00A9200C">
        <w:rPr>
          <w:b w:val="0"/>
        </w:rPr>
        <w:t xml:space="preserve"> would assume all of this water went through the generation turbines and made </w:t>
      </w:r>
      <w:r w:rsidR="00EB2E6A">
        <w:rPr>
          <w:b w:val="0"/>
        </w:rPr>
        <w:t>power</w:t>
      </w:r>
      <w:r w:rsidRPr="00A9200C">
        <w:rPr>
          <w:b w:val="0"/>
        </w:rPr>
        <w:t xml:space="preserve">.  In fact, the project would in the first half of the </w:t>
      </w:r>
      <w:r w:rsidR="00C2708C">
        <w:rPr>
          <w:b w:val="0"/>
        </w:rPr>
        <w:t>month</w:t>
      </w:r>
      <w:r w:rsidR="00C2708C" w:rsidRPr="00A9200C">
        <w:rPr>
          <w:b w:val="0"/>
        </w:rPr>
        <w:t xml:space="preserve"> </w:t>
      </w:r>
      <w:r w:rsidR="001D5F05">
        <w:rPr>
          <w:b w:val="0"/>
        </w:rPr>
        <w:t xml:space="preserve">generate with </w:t>
      </w:r>
      <w:r w:rsidRPr="00A9200C">
        <w:rPr>
          <w:b w:val="0"/>
        </w:rPr>
        <w:t xml:space="preserve">20,000 </w:t>
      </w:r>
      <w:proofErr w:type="spellStart"/>
      <w:r w:rsidR="001D5F05">
        <w:rPr>
          <w:b w:val="0"/>
        </w:rPr>
        <w:t>cfs</w:t>
      </w:r>
      <w:proofErr w:type="spellEnd"/>
      <w:r w:rsidR="001D5F05">
        <w:rPr>
          <w:b w:val="0"/>
        </w:rPr>
        <w:t xml:space="preserve"> </w:t>
      </w:r>
      <w:r w:rsidR="00E23CF3">
        <w:rPr>
          <w:b w:val="0"/>
        </w:rPr>
        <w:t>and in</w:t>
      </w:r>
      <w:r w:rsidRPr="00A9200C">
        <w:rPr>
          <w:b w:val="0"/>
        </w:rPr>
        <w:t xml:space="preserve"> the second half of the month it would generate with 50,000 </w:t>
      </w:r>
      <w:proofErr w:type="spellStart"/>
      <w:r w:rsidRPr="00A9200C">
        <w:rPr>
          <w:b w:val="0"/>
        </w:rPr>
        <w:t>cfs</w:t>
      </w:r>
      <w:proofErr w:type="spellEnd"/>
      <w:r w:rsidRPr="00A9200C">
        <w:rPr>
          <w:b w:val="0"/>
        </w:rPr>
        <w:t xml:space="preserve">.  The additional 30,000 </w:t>
      </w:r>
      <w:proofErr w:type="spellStart"/>
      <w:r w:rsidRPr="00A9200C">
        <w:rPr>
          <w:b w:val="0"/>
        </w:rPr>
        <w:t>cfs</w:t>
      </w:r>
      <w:proofErr w:type="spellEnd"/>
      <w:r w:rsidR="00C2708C">
        <w:rPr>
          <w:b w:val="0"/>
        </w:rPr>
        <w:t xml:space="preserve"> in the second half of the month (80,000 – 50,000 = 30,000)</w:t>
      </w:r>
      <w:r w:rsidRPr="00A9200C">
        <w:rPr>
          <w:b w:val="0"/>
        </w:rPr>
        <w:t xml:space="preserve">, or nearly 30 </w:t>
      </w:r>
      <w:r w:rsidR="00E23CF3">
        <w:rPr>
          <w:b w:val="0"/>
        </w:rPr>
        <w:t>percent</w:t>
      </w:r>
      <w:r w:rsidRPr="00A9200C">
        <w:rPr>
          <w:b w:val="0"/>
        </w:rPr>
        <w:t xml:space="preserve"> of the monthly total, would be spilled</w:t>
      </w:r>
      <w:r w:rsidR="00E23CF3">
        <w:rPr>
          <w:b w:val="0"/>
        </w:rPr>
        <w:t xml:space="preserve"> in the actual operation of the project</w:t>
      </w:r>
      <w:r w:rsidRPr="00A9200C">
        <w:rPr>
          <w:b w:val="0"/>
        </w:rPr>
        <w:t>.</w:t>
      </w:r>
    </w:p>
    <w:p w:rsidR="00A9200C" w:rsidRPr="00A9200C" w:rsidRDefault="00A9200C" w:rsidP="00A9200C">
      <w:pPr>
        <w:pStyle w:val="BodyTextIndent3"/>
        <w:tabs>
          <w:tab w:val="left" w:pos="1440"/>
        </w:tabs>
      </w:pPr>
      <w:r w:rsidRPr="00A9200C">
        <w:t>Q.</w:t>
      </w:r>
      <w:r w:rsidRPr="00A9200C">
        <w:tab/>
      </w:r>
      <w:r w:rsidR="00E23CF3">
        <w:t>Does</w:t>
      </w:r>
      <w:r w:rsidRPr="00A9200C">
        <w:t xml:space="preserve"> Noxon </w:t>
      </w:r>
      <w:r w:rsidR="00EB2E6A">
        <w:t xml:space="preserve">Rapids </w:t>
      </w:r>
      <w:r w:rsidRPr="00A9200C">
        <w:t>have storage capability to account for such variations in flows?</w:t>
      </w:r>
    </w:p>
    <w:p w:rsidR="00A9200C" w:rsidRPr="00A9200C" w:rsidRDefault="00A9200C" w:rsidP="00A9200C">
      <w:pPr>
        <w:pStyle w:val="BodyTextIndent3"/>
        <w:tabs>
          <w:tab w:val="left" w:pos="1440"/>
        </w:tabs>
        <w:rPr>
          <w:b w:val="0"/>
        </w:rPr>
      </w:pPr>
      <w:r w:rsidRPr="00A9200C">
        <w:rPr>
          <w:b w:val="0"/>
        </w:rPr>
        <w:t>A.</w:t>
      </w:r>
      <w:r w:rsidRPr="00A9200C">
        <w:rPr>
          <w:b w:val="0"/>
        </w:rPr>
        <w:tab/>
      </w:r>
      <w:r w:rsidR="00A37CBF">
        <w:rPr>
          <w:b w:val="0"/>
        </w:rPr>
        <w:t>Noxon does have some storage, but not near enough to convert all of the intra-month variability of flows into electric energy</w:t>
      </w:r>
      <w:r w:rsidRPr="00A9200C">
        <w:rPr>
          <w:b w:val="0"/>
        </w:rPr>
        <w:t xml:space="preserve">.  A study completed by </w:t>
      </w:r>
      <w:proofErr w:type="spellStart"/>
      <w:r w:rsidRPr="00A9200C">
        <w:rPr>
          <w:b w:val="0"/>
        </w:rPr>
        <w:t>BorisMetrics</w:t>
      </w:r>
      <w:proofErr w:type="spellEnd"/>
      <w:r w:rsidR="00C2708C">
        <w:rPr>
          <w:b w:val="0"/>
        </w:rPr>
        <w:t xml:space="preserve"> </w:t>
      </w:r>
      <w:r w:rsidRPr="00A9200C">
        <w:rPr>
          <w:b w:val="0"/>
        </w:rPr>
        <w:t xml:space="preserve">explained that on average our hydroelectric dams on the Spokane and Clark Fork Rivers generate 3.7 </w:t>
      </w:r>
      <w:proofErr w:type="spellStart"/>
      <w:r w:rsidR="00C2708C">
        <w:rPr>
          <w:b w:val="0"/>
        </w:rPr>
        <w:t>aMW</w:t>
      </w:r>
      <w:proofErr w:type="spellEnd"/>
      <w:r w:rsidR="00C2708C">
        <w:rPr>
          <w:b w:val="0"/>
        </w:rPr>
        <w:t xml:space="preserve"> </w:t>
      </w:r>
      <w:r w:rsidR="00C2708C">
        <w:rPr>
          <w:b w:val="0"/>
        </w:rPr>
        <w:lastRenderedPageBreak/>
        <w:t xml:space="preserve">less than the </w:t>
      </w:r>
      <w:proofErr w:type="spellStart"/>
      <w:r w:rsidR="00C2708C">
        <w:rPr>
          <w:b w:val="0"/>
        </w:rPr>
        <w:t>NWPP</w:t>
      </w:r>
      <w:proofErr w:type="spellEnd"/>
      <w:r w:rsidR="00C2708C">
        <w:rPr>
          <w:b w:val="0"/>
        </w:rPr>
        <w:t xml:space="preserve"> estimates</w:t>
      </w:r>
      <w:r w:rsidRPr="00A9200C">
        <w:rPr>
          <w:b w:val="0"/>
        </w:rPr>
        <w:t>.  This study was reviewed and accepted in the 2005 rate case</w:t>
      </w:r>
      <w:r w:rsidR="00E23CF3">
        <w:rPr>
          <w:b w:val="0"/>
        </w:rPr>
        <w:t xml:space="preserve"> (</w:t>
      </w:r>
      <w:r w:rsidR="00E23CF3" w:rsidRPr="00E23CF3">
        <w:rPr>
          <w:b w:val="0"/>
        </w:rPr>
        <w:t>UE-050482)</w:t>
      </w:r>
      <w:r w:rsidRPr="00A9200C">
        <w:rPr>
          <w:b w:val="0"/>
        </w:rPr>
        <w:t xml:space="preserve">.  Its results have been used </w:t>
      </w:r>
      <w:r w:rsidR="00E23CF3">
        <w:rPr>
          <w:b w:val="0"/>
        </w:rPr>
        <w:t xml:space="preserve">in the Company’s rate filings </w:t>
      </w:r>
      <w:r w:rsidRPr="00A9200C">
        <w:rPr>
          <w:b w:val="0"/>
        </w:rPr>
        <w:t>since that time</w:t>
      </w:r>
      <w:r w:rsidR="00E23CF3">
        <w:rPr>
          <w:b w:val="0"/>
        </w:rPr>
        <w:t>.</w:t>
      </w:r>
    </w:p>
    <w:p w:rsidR="00A9200C" w:rsidRPr="00A9200C" w:rsidRDefault="00A9200C" w:rsidP="00A9200C">
      <w:pPr>
        <w:pStyle w:val="BodyTextIndent3"/>
        <w:tabs>
          <w:tab w:val="left" w:pos="1440"/>
        </w:tabs>
      </w:pPr>
      <w:r w:rsidRPr="00A9200C">
        <w:t>Q.</w:t>
      </w:r>
      <w:r w:rsidRPr="00A9200C">
        <w:tab/>
      </w:r>
      <w:r w:rsidR="00A37CBF">
        <w:t xml:space="preserve">Is the Company now experiencing an even greater difference between actual hydroelectric generation and generation from the </w:t>
      </w:r>
      <w:proofErr w:type="spellStart"/>
      <w:r w:rsidR="00A37CBF">
        <w:t>NWPP</w:t>
      </w:r>
      <w:proofErr w:type="spellEnd"/>
      <w:r w:rsidR="00A37CBF">
        <w:t xml:space="preserve"> model, than that quantified by </w:t>
      </w:r>
      <w:proofErr w:type="spellStart"/>
      <w:r w:rsidR="00A37CBF">
        <w:t>BorisMetrics</w:t>
      </w:r>
      <w:proofErr w:type="spellEnd"/>
      <w:r w:rsidRPr="00A9200C">
        <w:t>?</w:t>
      </w:r>
    </w:p>
    <w:p w:rsidR="00A9200C" w:rsidRDefault="00A9200C" w:rsidP="00A9200C">
      <w:pPr>
        <w:pStyle w:val="BodyTextIndent3"/>
        <w:tabs>
          <w:tab w:val="left" w:pos="1440"/>
        </w:tabs>
        <w:rPr>
          <w:b w:val="0"/>
        </w:rPr>
      </w:pPr>
      <w:r w:rsidRPr="00A9200C">
        <w:rPr>
          <w:b w:val="0"/>
        </w:rPr>
        <w:t>A.</w:t>
      </w:r>
      <w:r w:rsidRPr="00A9200C">
        <w:rPr>
          <w:b w:val="0"/>
        </w:rPr>
        <w:tab/>
      </w:r>
      <w:r w:rsidR="00A37CBF">
        <w:rPr>
          <w:b w:val="0"/>
        </w:rPr>
        <w:t xml:space="preserve">Yes.  </w:t>
      </w:r>
      <w:r w:rsidRPr="00A9200C">
        <w:rPr>
          <w:b w:val="0"/>
        </w:rPr>
        <w:t xml:space="preserve">Relative to the </w:t>
      </w:r>
      <w:proofErr w:type="spellStart"/>
      <w:r w:rsidRPr="00A9200C">
        <w:rPr>
          <w:b w:val="0"/>
        </w:rPr>
        <w:t>NWPP</w:t>
      </w:r>
      <w:proofErr w:type="spellEnd"/>
      <w:r w:rsidRPr="00A9200C">
        <w:rPr>
          <w:b w:val="0"/>
        </w:rPr>
        <w:t xml:space="preserve"> data used in previous cases, hydro generation on the Clark Fork projects has been overstated </w:t>
      </w:r>
      <w:r w:rsidR="00E23CF3" w:rsidRPr="00A9200C">
        <w:rPr>
          <w:b w:val="0"/>
        </w:rPr>
        <w:t xml:space="preserve">by a significant amount </w:t>
      </w:r>
      <w:r w:rsidRPr="00A9200C">
        <w:rPr>
          <w:b w:val="0"/>
        </w:rPr>
        <w:t xml:space="preserve">on average.  Over the past 20 years actual hydroelectric generation has been </w:t>
      </w:r>
      <w:r>
        <w:rPr>
          <w:b w:val="0"/>
        </w:rPr>
        <w:t>319.72</w:t>
      </w:r>
      <w:r w:rsidRPr="00A9200C">
        <w:rPr>
          <w:b w:val="0"/>
        </w:rPr>
        <w:t xml:space="preserve"> </w:t>
      </w:r>
      <w:proofErr w:type="spellStart"/>
      <w:r w:rsidRPr="00A9200C">
        <w:rPr>
          <w:b w:val="0"/>
        </w:rPr>
        <w:t>aMW</w:t>
      </w:r>
      <w:proofErr w:type="spellEnd"/>
      <w:r w:rsidR="001D7D3C">
        <w:rPr>
          <w:b w:val="0"/>
        </w:rPr>
        <w:t>,</w:t>
      </w:r>
      <w:r w:rsidRPr="00A9200C">
        <w:rPr>
          <w:b w:val="0"/>
        </w:rPr>
        <w:t xml:space="preserve"> </w:t>
      </w:r>
      <w:r>
        <w:rPr>
          <w:b w:val="0"/>
        </w:rPr>
        <w:t>3.2</w:t>
      </w:r>
      <w:r w:rsidR="00E23CF3">
        <w:rPr>
          <w:b w:val="0"/>
        </w:rPr>
        <w:t xml:space="preserve"> percent</w:t>
      </w:r>
      <w:r w:rsidRPr="00A9200C">
        <w:rPr>
          <w:b w:val="0"/>
        </w:rPr>
        <w:t xml:space="preserve"> </w:t>
      </w:r>
      <w:r w:rsidR="001D7D3C">
        <w:rPr>
          <w:b w:val="0"/>
        </w:rPr>
        <w:t xml:space="preserve">(10 </w:t>
      </w:r>
      <w:proofErr w:type="spellStart"/>
      <w:r w:rsidR="001D7D3C">
        <w:rPr>
          <w:b w:val="0"/>
        </w:rPr>
        <w:t>aMW</w:t>
      </w:r>
      <w:proofErr w:type="spellEnd"/>
      <w:r w:rsidR="001D7D3C">
        <w:rPr>
          <w:b w:val="0"/>
        </w:rPr>
        <w:t xml:space="preserve">) </w:t>
      </w:r>
      <w:r w:rsidR="00C2708C">
        <w:rPr>
          <w:b w:val="0"/>
        </w:rPr>
        <w:t xml:space="preserve">below the </w:t>
      </w:r>
      <w:proofErr w:type="spellStart"/>
      <w:r w:rsidR="00C2708C">
        <w:rPr>
          <w:b w:val="0"/>
        </w:rPr>
        <w:t>NWPP</w:t>
      </w:r>
      <w:proofErr w:type="spellEnd"/>
      <w:r w:rsidR="00C2708C">
        <w:rPr>
          <w:b w:val="0"/>
        </w:rPr>
        <w:t xml:space="preserve"> model</w:t>
      </w:r>
      <w:r w:rsidRPr="00A9200C">
        <w:rPr>
          <w:b w:val="0"/>
        </w:rPr>
        <w:t xml:space="preserve"> results for the 50-year period used in rate modeling.  Over the past 10 years generation has been </w:t>
      </w:r>
      <w:r w:rsidR="001D7D3C">
        <w:rPr>
          <w:b w:val="0"/>
        </w:rPr>
        <w:t xml:space="preserve">299.08 </w:t>
      </w:r>
      <w:proofErr w:type="spellStart"/>
      <w:r w:rsidR="001D7D3C">
        <w:rPr>
          <w:b w:val="0"/>
        </w:rPr>
        <w:t>aMW</w:t>
      </w:r>
      <w:proofErr w:type="spellEnd"/>
      <w:r w:rsidR="001D7D3C">
        <w:rPr>
          <w:b w:val="0"/>
        </w:rPr>
        <w:t xml:space="preserve">, or </w:t>
      </w:r>
      <w:r w:rsidRPr="00A9200C">
        <w:rPr>
          <w:b w:val="0"/>
        </w:rPr>
        <w:t>10.3</w:t>
      </w:r>
      <w:r w:rsidR="001D7D3C">
        <w:rPr>
          <w:b w:val="0"/>
        </w:rPr>
        <w:t xml:space="preserve"> </w:t>
      </w:r>
      <w:r w:rsidR="00E23CF3">
        <w:rPr>
          <w:b w:val="0"/>
        </w:rPr>
        <w:t>percent</w:t>
      </w:r>
      <w:r w:rsidR="001D7D3C">
        <w:rPr>
          <w:b w:val="0"/>
        </w:rPr>
        <w:t xml:space="preserve"> (31 </w:t>
      </w:r>
      <w:proofErr w:type="spellStart"/>
      <w:r w:rsidR="001D7D3C">
        <w:rPr>
          <w:b w:val="0"/>
        </w:rPr>
        <w:t>aMW</w:t>
      </w:r>
      <w:proofErr w:type="spellEnd"/>
      <w:r w:rsidR="001D7D3C">
        <w:rPr>
          <w:b w:val="0"/>
        </w:rPr>
        <w:t>)</w:t>
      </w:r>
      <w:r w:rsidRPr="00A9200C">
        <w:rPr>
          <w:b w:val="0"/>
        </w:rPr>
        <w:t xml:space="preserve"> below the </w:t>
      </w:r>
      <w:proofErr w:type="spellStart"/>
      <w:r w:rsidRPr="00A9200C">
        <w:rPr>
          <w:b w:val="0"/>
        </w:rPr>
        <w:t>NWPP</w:t>
      </w:r>
      <w:proofErr w:type="spellEnd"/>
      <w:r w:rsidRPr="00A9200C">
        <w:rPr>
          <w:b w:val="0"/>
        </w:rPr>
        <w:t xml:space="preserve"> modeled results.</w:t>
      </w:r>
      <w:r w:rsidR="000609B7">
        <w:rPr>
          <w:b w:val="0"/>
        </w:rPr>
        <w:t xml:space="preserve">  Lower results in the past 10 years have been driven </w:t>
      </w:r>
      <w:r w:rsidR="00FF2BAA">
        <w:rPr>
          <w:b w:val="0"/>
        </w:rPr>
        <w:t xml:space="preserve">primarily </w:t>
      </w:r>
      <w:r w:rsidR="000609B7">
        <w:rPr>
          <w:b w:val="0"/>
        </w:rPr>
        <w:t xml:space="preserve">by lower-than-average stream flows; however, not all of the reduction is driven by lower stream flows.  A portion of the overstatement is caused by the </w:t>
      </w:r>
      <w:r w:rsidR="00FF2BAA">
        <w:rPr>
          <w:b w:val="0"/>
        </w:rPr>
        <w:t xml:space="preserve">design limitations </w:t>
      </w:r>
      <w:r w:rsidR="000609B7">
        <w:rPr>
          <w:b w:val="0"/>
        </w:rPr>
        <w:t>of the model itself.</w:t>
      </w:r>
    </w:p>
    <w:p w:rsidR="007830AF" w:rsidRDefault="007830AF" w:rsidP="00A9200C">
      <w:pPr>
        <w:pStyle w:val="BodyTextIndent3"/>
        <w:tabs>
          <w:tab w:val="left" w:pos="1440"/>
        </w:tabs>
        <w:rPr>
          <w:b w:val="0"/>
        </w:rPr>
      </w:pPr>
      <w:r>
        <w:t>Q.</w:t>
      </w:r>
      <w:r>
        <w:tab/>
      </w:r>
      <w:r w:rsidR="00FF2BAA">
        <w:t>Please provide additional detail as to why the 10- and 20-year averages were below the 5</w:t>
      </w:r>
      <w:r>
        <w:t xml:space="preserve">0-year </w:t>
      </w:r>
      <w:proofErr w:type="spellStart"/>
      <w:r w:rsidR="00FF2BAA">
        <w:t>NWPP</w:t>
      </w:r>
      <w:proofErr w:type="spellEnd"/>
      <w:r w:rsidR="00FF2BAA">
        <w:t xml:space="preserve"> study period average</w:t>
      </w:r>
      <w:r>
        <w:t>?</w:t>
      </w:r>
    </w:p>
    <w:p w:rsidR="007830AF" w:rsidRPr="007830AF" w:rsidRDefault="007830AF" w:rsidP="00A9200C">
      <w:pPr>
        <w:pStyle w:val="BodyTextIndent3"/>
        <w:tabs>
          <w:tab w:val="left" w:pos="1440"/>
        </w:tabs>
        <w:rPr>
          <w:b w:val="0"/>
        </w:rPr>
      </w:pPr>
      <w:r>
        <w:rPr>
          <w:b w:val="0"/>
        </w:rPr>
        <w:t>A.</w:t>
      </w:r>
      <w:r>
        <w:rPr>
          <w:b w:val="0"/>
        </w:rPr>
        <w:tab/>
        <w:t xml:space="preserve">There are a number of reasons.  </w:t>
      </w:r>
      <w:r w:rsidR="000609B7">
        <w:rPr>
          <w:b w:val="0"/>
        </w:rPr>
        <w:t xml:space="preserve">Flows in the </w:t>
      </w:r>
      <w:proofErr w:type="spellStart"/>
      <w:r w:rsidR="000609B7">
        <w:rPr>
          <w:b w:val="0"/>
        </w:rPr>
        <w:t>1990s</w:t>
      </w:r>
      <w:proofErr w:type="spellEnd"/>
      <w:r w:rsidR="000609B7">
        <w:rPr>
          <w:b w:val="0"/>
        </w:rPr>
        <w:t xml:space="preserve"> were high relative to history, whereas flows in the most recent 10 years have been low relative to average.  Also, </w:t>
      </w:r>
      <w:r>
        <w:rPr>
          <w:b w:val="0"/>
        </w:rPr>
        <w:t xml:space="preserve">half of the 20-year average is </w:t>
      </w:r>
      <w:r w:rsidR="00FF2BAA">
        <w:rPr>
          <w:b w:val="0"/>
        </w:rPr>
        <w:t xml:space="preserve">affected </w:t>
      </w:r>
      <w:r>
        <w:rPr>
          <w:b w:val="0"/>
        </w:rPr>
        <w:t>by</w:t>
      </w:r>
      <w:r w:rsidR="00FF2BAA">
        <w:rPr>
          <w:b w:val="0"/>
        </w:rPr>
        <w:t xml:space="preserve"> the use of operating assumptions from </w:t>
      </w:r>
      <w:r>
        <w:rPr>
          <w:b w:val="0"/>
        </w:rPr>
        <w:t xml:space="preserve">our old </w:t>
      </w:r>
      <w:r w:rsidR="00E23CF3">
        <w:rPr>
          <w:b w:val="0"/>
        </w:rPr>
        <w:t xml:space="preserve">Clark Fork </w:t>
      </w:r>
      <w:r>
        <w:rPr>
          <w:b w:val="0"/>
        </w:rPr>
        <w:t xml:space="preserve">operating license.  New licensing requirements implemented in 2001 have negatively affected </w:t>
      </w:r>
      <w:r w:rsidR="00C2708C">
        <w:rPr>
          <w:b w:val="0"/>
        </w:rPr>
        <w:t xml:space="preserve">power production on the </w:t>
      </w:r>
      <w:r>
        <w:rPr>
          <w:b w:val="0"/>
        </w:rPr>
        <w:t xml:space="preserve">Clark Fork projects.  Poor hydroelectric conditions also </w:t>
      </w:r>
      <w:r w:rsidR="00C2708C">
        <w:rPr>
          <w:b w:val="0"/>
        </w:rPr>
        <w:t xml:space="preserve">have </w:t>
      </w:r>
      <w:r>
        <w:rPr>
          <w:b w:val="0"/>
        </w:rPr>
        <w:t xml:space="preserve">played a role in a number of recent years.  Additionally, the Company continues to shift reserve obligations to the Clark Fork as we lose </w:t>
      </w:r>
      <w:r w:rsidR="0083586C">
        <w:rPr>
          <w:b w:val="0"/>
        </w:rPr>
        <w:t>Mid-C</w:t>
      </w:r>
      <w:r w:rsidR="00C2708C">
        <w:rPr>
          <w:b w:val="0"/>
        </w:rPr>
        <w:t>olumbia</w:t>
      </w:r>
      <w:r w:rsidR="0083586C">
        <w:rPr>
          <w:b w:val="0"/>
        </w:rPr>
        <w:t xml:space="preserve"> generation capacity</w:t>
      </w:r>
      <w:r w:rsidR="00C2708C">
        <w:rPr>
          <w:b w:val="0"/>
        </w:rPr>
        <w:t>,</w:t>
      </w:r>
      <w:r w:rsidR="0083586C">
        <w:rPr>
          <w:b w:val="0"/>
        </w:rPr>
        <w:t xml:space="preserve"> and </w:t>
      </w:r>
      <w:r w:rsidR="00FF2BAA">
        <w:rPr>
          <w:b w:val="0"/>
        </w:rPr>
        <w:t xml:space="preserve">as </w:t>
      </w:r>
      <w:r w:rsidR="0083586C">
        <w:rPr>
          <w:b w:val="0"/>
        </w:rPr>
        <w:t xml:space="preserve">we respond to a marketplace greatly affected by new variable generation resources </w:t>
      </w:r>
      <w:r w:rsidR="00C2708C">
        <w:rPr>
          <w:b w:val="0"/>
        </w:rPr>
        <w:t xml:space="preserve">(i.e., </w:t>
      </w:r>
      <w:r w:rsidR="0083586C">
        <w:rPr>
          <w:b w:val="0"/>
        </w:rPr>
        <w:t>wind</w:t>
      </w:r>
      <w:r w:rsidR="00C2708C">
        <w:rPr>
          <w:b w:val="0"/>
        </w:rPr>
        <w:t>)</w:t>
      </w:r>
      <w:r w:rsidR="0083586C">
        <w:rPr>
          <w:b w:val="0"/>
        </w:rPr>
        <w:t xml:space="preserve">.  Upgrades at </w:t>
      </w:r>
      <w:r w:rsidR="0083586C">
        <w:rPr>
          <w:b w:val="0"/>
        </w:rPr>
        <w:lastRenderedPageBreak/>
        <w:t>Cabinet Gorge and Noxon</w:t>
      </w:r>
      <w:r w:rsidR="00EB2E6A">
        <w:rPr>
          <w:b w:val="0"/>
        </w:rPr>
        <w:t xml:space="preserve"> Rapids</w:t>
      </w:r>
      <w:r w:rsidR="0083586C">
        <w:rPr>
          <w:b w:val="0"/>
        </w:rPr>
        <w:t xml:space="preserve"> have helped to offset these losses, but the statistics explain that generation levels continue to fall over time.</w:t>
      </w:r>
    </w:p>
    <w:p w:rsidR="00A9200C" w:rsidRPr="001D7D3C" w:rsidRDefault="00A9200C" w:rsidP="00A9200C">
      <w:pPr>
        <w:pStyle w:val="BodyTextIndent3"/>
        <w:tabs>
          <w:tab w:val="left" w:pos="1440"/>
        </w:tabs>
      </w:pPr>
      <w:r w:rsidRPr="001D7D3C">
        <w:t>Q.</w:t>
      </w:r>
      <w:r w:rsidRPr="001D7D3C">
        <w:tab/>
        <w:t xml:space="preserve">How is hydro generation calculated in this </w:t>
      </w:r>
      <w:r w:rsidR="00EB2E6A">
        <w:t>proceeding</w:t>
      </w:r>
      <w:r w:rsidRPr="001D7D3C">
        <w:t>?</w:t>
      </w:r>
    </w:p>
    <w:p w:rsidR="00A9200C" w:rsidRPr="00A9200C" w:rsidRDefault="00A9200C" w:rsidP="00A9200C">
      <w:pPr>
        <w:pStyle w:val="BodyTextIndent3"/>
        <w:tabs>
          <w:tab w:val="left" w:pos="1440"/>
        </w:tabs>
        <w:rPr>
          <w:b w:val="0"/>
        </w:rPr>
      </w:pPr>
      <w:r w:rsidRPr="00A9200C">
        <w:rPr>
          <w:b w:val="0"/>
        </w:rPr>
        <w:t>A.</w:t>
      </w:r>
      <w:r w:rsidRPr="00A9200C">
        <w:rPr>
          <w:b w:val="0"/>
        </w:rPr>
        <w:tab/>
        <w:t>For our Mid-Columbia shares</w:t>
      </w:r>
      <w:r w:rsidR="001D7D3C">
        <w:rPr>
          <w:b w:val="0"/>
        </w:rPr>
        <w:t>,</w:t>
      </w:r>
      <w:r w:rsidRPr="00A9200C">
        <w:rPr>
          <w:b w:val="0"/>
        </w:rPr>
        <w:t xml:space="preserve"> and for the Spokane River</w:t>
      </w:r>
      <w:r w:rsidR="001D7D3C">
        <w:rPr>
          <w:b w:val="0"/>
        </w:rPr>
        <w:t>,</w:t>
      </w:r>
      <w:r w:rsidRPr="00A9200C">
        <w:rPr>
          <w:b w:val="0"/>
        </w:rPr>
        <w:t xml:space="preserve"> there is no change from previous filings.  Generation data are taken from the </w:t>
      </w:r>
      <w:proofErr w:type="spellStart"/>
      <w:r w:rsidRPr="00A9200C">
        <w:rPr>
          <w:b w:val="0"/>
        </w:rPr>
        <w:t>NWPP</w:t>
      </w:r>
      <w:proofErr w:type="spellEnd"/>
      <w:r w:rsidRPr="00A9200C">
        <w:rPr>
          <w:b w:val="0"/>
        </w:rPr>
        <w:t xml:space="preserve"> Headwater Benefits Study, adjusted downward by the results of the </w:t>
      </w:r>
      <w:proofErr w:type="spellStart"/>
      <w:r w:rsidRPr="00A9200C">
        <w:rPr>
          <w:b w:val="0"/>
        </w:rPr>
        <w:t>BorisMetrics</w:t>
      </w:r>
      <w:proofErr w:type="spellEnd"/>
      <w:r w:rsidRPr="00A9200C">
        <w:rPr>
          <w:b w:val="0"/>
        </w:rPr>
        <w:t xml:space="preserve"> study</w:t>
      </w:r>
      <w:r w:rsidR="00EB2E6A">
        <w:rPr>
          <w:b w:val="0"/>
        </w:rPr>
        <w:t xml:space="preserve"> for the Spokane River and </w:t>
      </w:r>
      <w:r w:rsidR="00FF2BAA">
        <w:rPr>
          <w:b w:val="0"/>
        </w:rPr>
        <w:t>E</w:t>
      </w:r>
      <w:r w:rsidR="00EB2E6A">
        <w:rPr>
          <w:b w:val="0"/>
        </w:rPr>
        <w:t>ncroachment for the Mid-Columbia projects</w:t>
      </w:r>
      <w:r w:rsidRPr="00A9200C">
        <w:rPr>
          <w:b w:val="0"/>
        </w:rPr>
        <w:t xml:space="preserve">.  For the Clark Fork River projects we continue to use </w:t>
      </w:r>
      <w:proofErr w:type="spellStart"/>
      <w:r w:rsidRPr="00A9200C">
        <w:rPr>
          <w:b w:val="0"/>
        </w:rPr>
        <w:t>NWPP</w:t>
      </w:r>
      <w:proofErr w:type="spellEnd"/>
      <w:r w:rsidRPr="00A9200C">
        <w:rPr>
          <w:b w:val="0"/>
        </w:rPr>
        <w:t xml:space="preserve"> data for the historical record (1929-1978).  However, instead of using energy levels calculated </w:t>
      </w:r>
      <w:r w:rsidR="00C2708C">
        <w:rPr>
          <w:b w:val="0"/>
        </w:rPr>
        <w:t>by their model</w:t>
      </w:r>
      <w:r w:rsidRPr="00A9200C">
        <w:rPr>
          <w:b w:val="0"/>
        </w:rPr>
        <w:t xml:space="preserve">, </w:t>
      </w:r>
      <w:r w:rsidR="00C2708C">
        <w:rPr>
          <w:b w:val="0"/>
        </w:rPr>
        <w:t xml:space="preserve">and </w:t>
      </w:r>
      <w:r w:rsidRPr="00A9200C">
        <w:rPr>
          <w:b w:val="0"/>
        </w:rPr>
        <w:t xml:space="preserve">adjusted by the </w:t>
      </w:r>
      <w:proofErr w:type="spellStart"/>
      <w:r w:rsidRPr="00A9200C">
        <w:rPr>
          <w:b w:val="0"/>
        </w:rPr>
        <w:t>BorisMetrics</w:t>
      </w:r>
      <w:proofErr w:type="spellEnd"/>
      <w:r w:rsidRPr="00A9200C">
        <w:rPr>
          <w:b w:val="0"/>
        </w:rPr>
        <w:t xml:space="preserve"> study for overstated generation, the </w:t>
      </w:r>
      <w:proofErr w:type="spellStart"/>
      <w:r w:rsidRPr="00A9200C">
        <w:rPr>
          <w:b w:val="0"/>
        </w:rPr>
        <w:t>N</w:t>
      </w:r>
      <w:r w:rsidR="002D0935">
        <w:rPr>
          <w:b w:val="0"/>
        </w:rPr>
        <w:t>WPP</w:t>
      </w:r>
      <w:proofErr w:type="spellEnd"/>
      <w:r w:rsidRPr="00A9200C">
        <w:rPr>
          <w:b w:val="0"/>
        </w:rPr>
        <w:t xml:space="preserve"> flow data is </w:t>
      </w:r>
      <w:r w:rsidR="00EB2E6A">
        <w:rPr>
          <w:b w:val="0"/>
        </w:rPr>
        <w:t>used as an input in</w:t>
      </w:r>
      <w:r w:rsidRPr="00A9200C">
        <w:rPr>
          <w:b w:val="0"/>
        </w:rPr>
        <w:t xml:space="preserve"> </w:t>
      </w:r>
      <w:r w:rsidR="00EB2E6A">
        <w:rPr>
          <w:b w:val="0"/>
        </w:rPr>
        <w:t>a new model</w:t>
      </w:r>
      <w:r w:rsidR="000609B7">
        <w:rPr>
          <w:b w:val="0"/>
        </w:rPr>
        <w:t>:</w:t>
      </w:r>
      <w:r w:rsidR="00EB2E6A">
        <w:rPr>
          <w:b w:val="0"/>
        </w:rPr>
        <w:t xml:space="preserve"> </w:t>
      </w:r>
      <w:r w:rsidR="000609B7">
        <w:rPr>
          <w:b w:val="0"/>
        </w:rPr>
        <w:t xml:space="preserve"> </w:t>
      </w:r>
      <w:r w:rsidRPr="00A9200C">
        <w:rPr>
          <w:b w:val="0"/>
        </w:rPr>
        <w:t>the Clark Fork Optimization Package.</w:t>
      </w:r>
    </w:p>
    <w:p w:rsidR="00A9200C" w:rsidRPr="001D7D3C" w:rsidRDefault="00A9200C" w:rsidP="00A9200C">
      <w:pPr>
        <w:pStyle w:val="BodyTextIndent3"/>
        <w:tabs>
          <w:tab w:val="left" w:pos="1440"/>
        </w:tabs>
      </w:pPr>
      <w:r w:rsidRPr="001D7D3C">
        <w:t>Q.</w:t>
      </w:r>
      <w:r w:rsidRPr="001D7D3C">
        <w:tab/>
        <w:t>Please describe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a mixed-integer linear programming-based system </w:t>
      </w:r>
      <w:r w:rsidR="00C2708C">
        <w:rPr>
          <w:b w:val="0"/>
        </w:rPr>
        <w:t>emulating</w:t>
      </w:r>
      <w:r w:rsidRPr="00A9200C">
        <w:rPr>
          <w:b w:val="0"/>
        </w:rPr>
        <w:t xml:space="preserve"> the operation of the </w:t>
      </w:r>
      <w:r w:rsidR="00C2708C">
        <w:rPr>
          <w:b w:val="0"/>
        </w:rPr>
        <w:t xml:space="preserve">Company’s </w:t>
      </w:r>
      <w:r w:rsidRPr="00A9200C">
        <w:rPr>
          <w:b w:val="0"/>
        </w:rPr>
        <w:t xml:space="preserve">Clark Fork projects.  It was developed in support of </w:t>
      </w:r>
      <w:r w:rsidR="002D0935">
        <w:rPr>
          <w:b w:val="0"/>
        </w:rPr>
        <w:t>the Company’s</w:t>
      </w:r>
      <w:r w:rsidRPr="00A9200C">
        <w:rPr>
          <w:b w:val="0"/>
        </w:rPr>
        <w:t xml:space="preserve"> system operations, financial forecasting, and hydro upgrade efforts.  Operating on an hourly time-step, it accurately represents individual turbine and reservoir operations.  License constraints (e.g., minimum flows, elevation limits) are honored in all periods.  The Clark Fork Optimization Package is comprised of </w:t>
      </w:r>
      <w:r w:rsidR="002D0935">
        <w:rPr>
          <w:b w:val="0"/>
        </w:rPr>
        <w:t>four</w:t>
      </w:r>
      <w:r w:rsidR="002D0935" w:rsidRPr="00A9200C">
        <w:rPr>
          <w:b w:val="0"/>
        </w:rPr>
        <w:t xml:space="preserve"> </w:t>
      </w:r>
      <w:r w:rsidRPr="00A9200C">
        <w:rPr>
          <w:b w:val="0"/>
        </w:rPr>
        <w:t>components</w:t>
      </w:r>
      <w:r w:rsidR="002D0935">
        <w:rPr>
          <w:b w:val="0"/>
        </w:rPr>
        <w:t xml:space="preserve"> which are described below</w:t>
      </w:r>
      <w:r w:rsidRPr="00A9200C">
        <w:rPr>
          <w:b w:val="0"/>
        </w:rPr>
        <w:t>.</w:t>
      </w:r>
    </w:p>
    <w:p w:rsidR="00A9200C" w:rsidRPr="001D7D3C" w:rsidRDefault="00A9200C" w:rsidP="00A9200C">
      <w:pPr>
        <w:pStyle w:val="BodyTextIndent3"/>
        <w:tabs>
          <w:tab w:val="left" w:pos="1440"/>
        </w:tabs>
      </w:pPr>
      <w:r w:rsidRPr="001D7D3C">
        <w:t>Q.</w:t>
      </w:r>
      <w:r w:rsidRPr="001D7D3C">
        <w:tab/>
        <w:t>In what programming language was the model developed?</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a suite of database (Microsoft Access) and spreadsheet (Microsoft Excel) programs.  The Excel programs benefit from </w:t>
      </w:r>
      <w:proofErr w:type="spellStart"/>
      <w:r w:rsidRPr="00A9200C">
        <w:rPr>
          <w:b w:val="0"/>
        </w:rPr>
        <w:t>WhatsBEST</w:t>
      </w:r>
      <w:proofErr w:type="spellEnd"/>
      <w:r w:rsidRPr="00A9200C">
        <w:rPr>
          <w:b w:val="0"/>
        </w:rPr>
        <w:t xml:space="preserve">!, an Excel Add-In for Linear, Nonlinear, and Integer Modeling and Optimization.  </w:t>
      </w:r>
      <w:proofErr w:type="spellStart"/>
      <w:r w:rsidRPr="00A9200C">
        <w:rPr>
          <w:b w:val="0"/>
        </w:rPr>
        <w:t>WhatsBEST</w:t>
      </w:r>
      <w:proofErr w:type="spellEnd"/>
      <w:r w:rsidRPr="00A9200C">
        <w:rPr>
          <w:b w:val="0"/>
        </w:rPr>
        <w:t xml:space="preserve">! was developed by </w:t>
      </w:r>
      <w:proofErr w:type="spellStart"/>
      <w:r w:rsidRPr="00A9200C">
        <w:rPr>
          <w:b w:val="0"/>
        </w:rPr>
        <w:t>Lind</w:t>
      </w:r>
      <w:r w:rsidR="00C2708C">
        <w:rPr>
          <w:b w:val="0"/>
        </w:rPr>
        <w:t>o</w:t>
      </w:r>
      <w:proofErr w:type="spellEnd"/>
      <w:r w:rsidR="00C2708C">
        <w:rPr>
          <w:b w:val="0"/>
        </w:rPr>
        <w:t xml:space="preserve"> Systems of Chicago, Illinois</w:t>
      </w:r>
      <w:r w:rsidR="002D0935">
        <w:rPr>
          <w:b w:val="0"/>
        </w:rPr>
        <w:t xml:space="preserve"> </w:t>
      </w:r>
      <w:r w:rsidR="00C2708C">
        <w:rPr>
          <w:b w:val="0"/>
        </w:rPr>
        <w:t>in 1979.</w:t>
      </w:r>
    </w:p>
    <w:p w:rsidR="00A9200C" w:rsidRPr="001D7D3C" w:rsidRDefault="00A9200C" w:rsidP="00A9200C">
      <w:pPr>
        <w:pStyle w:val="BodyTextIndent3"/>
        <w:tabs>
          <w:tab w:val="left" w:pos="1440"/>
        </w:tabs>
      </w:pPr>
      <w:r w:rsidRPr="001D7D3C">
        <w:lastRenderedPageBreak/>
        <w:t>Q.</w:t>
      </w:r>
      <w:r w:rsidRPr="001D7D3C">
        <w:tab/>
        <w:t>What is the first component of the Clark Fork Optimization Package?</w:t>
      </w:r>
    </w:p>
    <w:p w:rsidR="001D5F05" w:rsidRDefault="00A9200C" w:rsidP="001D5F05">
      <w:pPr>
        <w:pStyle w:val="BodyTextIndent3"/>
        <w:tabs>
          <w:tab w:val="left" w:pos="1440"/>
        </w:tabs>
        <w:rPr>
          <w:b w:val="0"/>
        </w:rPr>
      </w:pPr>
      <w:r w:rsidRPr="00A9200C">
        <w:rPr>
          <w:b w:val="0"/>
        </w:rPr>
        <w:t>A.</w:t>
      </w:r>
      <w:r w:rsidRPr="00A9200C">
        <w:rPr>
          <w:b w:val="0"/>
        </w:rPr>
        <w:tab/>
        <w:t xml:space="preserve">The first component is the Clark Fork Water Budget Model.  </w:t>
      </w:r>
      <w:r w:rsidR="001D5F05">
        <w:rPr>
          <w:b w:val="0"/>
        </w:rPr>
        <w:t>It looks over the long-term</w:t>
      </w:r>
      <w:r w:rsidR="001D5F05" w:rsidRPr="00A9200C">
        <w:rPr>
          <w:b w:val="0"/>
        </w:rPr>
        <w:t xml:space="preserve"> record </w:t>
      </w:r>
      <w:r w:rsidR="001D5F05">
        <w:rPr>
          <w:b w:val="0"/>
        </w:rPr>
        <w:t xml:space="preserve">and </w:t>
      </w:r>
      <w:r w:rsidR="001D5F05" w:rsidRPr="00A9200C">
        <w:rPr>
          <w:b w:val="0"/>
        </w:rPr>
        <w:t>optimize</w:t>
      </w:r>
      <w:r w:rsidR="001D5F05">
        <w:rPr>
          <w:b w:val="0"/>
        </w:rPr>
        <w:t>s</w:t>
      </w:r>
      <w:r w:rsidR="001D5F05" w:rsidRPr="00A9200C">
        <w:rPr>
          <w:b w:val="0"/>
        </w:rPr>
        <w:t xml:space="preserve"> water flow through the projects</w:t>
      </w:r>
      <w:r w:rsidR="001D5F05">
        <w:rPr>
          <w:b w:val="0"/>
        </w:rPr>
        <w:t xml:space="preserve"> to maximize generation values</w:t>
      </w:r>
      <w:r w:rsidR="001D5F05" w:rsidRPr="00A9200C">
        <w:rPr>
          <w:b w:val="0"/>
        </w:rPr>
        <w:t xml:space="preserve">.  </w:t>
      </w:r>
      <w:r w:rsidR="001D5F05">
        <w:rPr>
          <w:b w:val="0"/>
        </w:rPr>
        <w:t xml:space="preserve">This step is necessary to recognize the storage capabilities inherent in a hydro project.  The long-term optimization is simplified to </w:t>
      </w:r>
      <w:r w:rsidR="00FF2BAA">
        <w:rPr>
          <w:b w:val="0"/>
        </w:rPr>
        <w:t xml:space="preserve">provide </w:t>
      </w:r>
      <w:r w:rsidR="001D5F05">
        <w:rPr>
          <w:b w:val="0"/>
        </w:rPr>
        <w:t xml:space="preserve">present-day computers </w:t>
      </w:r>
      <w:r w:rsidR="00FF2BAA">
        <w:rPr>
          <w:b w:val="0"/>
        </w:rPr>
        <w:t xml:space="preserve">with </w:t>
      </w:r>
      <w:r w:rsidR="001D5F05">
        <w:rPr>
          <w:b w:val="0"/>
        </w:rPr>
        <w:t xml:space="preserve">the ability to </w:t>
      </w:r>
      <w:r w:rsidR="00FF2BAA">
        <w:rPr>
          <w:b w:val="0"/>
        </w:rPr>
        <w:t xml:space="preserve">efficiently </w:t>
      </w:r>
      <w:r w:rsidR="001D5F05">
        <w:rPr>
          <w:b w:val="0"/>
        </w:rPr>
        <w:t>solve the equations.</w:t>
      </w:r>
      <w:r w:rsidRPr="00A9200C">
        <w:rPr>
          <w:b w:val="0"/>
        </w:rPr>
        <w:t xml:space="preserve"> </w:t>
      </w:r>
      <w:r w:rsidR="001D5F05">
        <w:rPr>
          <w:b w:val="0"/>
        </w:rPr>
        <w:t xml:space="preserve"> </w:t>
      </w:r>
      <w:r w:rsidRPr="00A9200C">
        <w:rPr>
          <w:b w:val="0"/>
        </w:rPr>
        <w:t xml:space="preserve">Each project is represented by one power curve instead of multiple </w:t>
      </w:r>
      <w:r w:rsidR="00C2708C">
        <w:rPr>
          <w:b w:val="0"/>
        </w:rPr>
        <w:t xml:space="preserve">curves representing individual </w:t>
      </w:r>
      <w:r w:rsidRPr="00A9200C">
        <w:rPr>
          <w:b w:val="0"/>
        </w:rPr>
        <w:t xml:space="preserve">turbines.  Model granularity is daily </w:t>
      </w:r>
      <w:r w:rsidR="00387298">
        <w:rPr>
          <w:b w:val="0"/>
        </w:rPr>
        <w:t xml:space="preserve">instead of </w:t>
      </w:r>
      <w:r w:rsidRPr="00A9200C">
        <w:rPr>
          <w:b w:val="0"/>
        </w:rPr>
        <w:t>hourly.  Project elevation and flow constraints are retained.</w:t>
      </w:r>
    </w:p>
    <w:p w:rsidR="00A9200C" w:rsidRPr="00A9200C" w:rsidRDefault="00A9200C" w:rsidP="001D5F05">
      <w:pPr>
        <w:pStyle w:val="BodyTextIndent3"/>
        <w:tabs>
          <w:tab w:val="left" w:pos="1440"/>
        </w:tabs>
        <w:rPr>
          <w:b w:val="0"/>
        </w:rPr>
      </w:pPr>
      <w:r w:rsidRPr="00A9200C">
        <w:rPr>
          <w:b w:val="0"/>
        </w:rPr>
        <w:t xml:space="preserve">Outputs </w:t>
      </w:r>
      <w:r w:rsidR="001D5F05">
        <w:rPr>
          <w:b w:val="0"/>
        </w:rPr>
        <w:t xml:space="preserve">of the Clark Fork Water Budget Model </w:t>
      </w:r>
      <w:r w:rsidRPr="00A9200C">
        <w:rPr>
          <w:b w:val="0"/>
        </w:rPr>
        <w:t xml:space="preserve">are weekly beginning and ending project elevations for the Noxon </w:t>
      </w:r>
      <w:r w:rsidR="008444FA">
        <w:rPr>
          <w:b w:val="0"/>
        </w:rPr>
        <w:t xml:space="preserve">Rapids </w:t>
      </w:r>
      <w:r w:rsidRPr="00A9200C">
        <w:rPr>
          <w:b w:val="0"/>
        </w:rPr>
        <w:t>and Cabinet Gorge projects.  The</w:t>
      </w:r>
      <w:r w:rsidR="008444FA">
        <w:rPr>
          <w:b w:val="0"/>
        </w:rPr>
        <w:t>se</w:t>
      </w:r>
      <w:r w:rsidRPr="00A9200C">
        <w:rPr>
          <w:b w:val="0"/>
        </w:rPr>
        <w:t xml:space="preserve"> elevations are exported to the second </w:t>
      </w:r>
      <w:r w:rsidR="008444FA">
        <w:rPr>
          <w:b w:val="0"/>
        </w:rPr>
        <w:t xml:space="preserve">module </w:t>
      </w:r>
      <w:r w:rsidRPr="00A9200C">
        <w:rPr>
          <w:b w:val="0"/>
        </w:rPr>
        <w:t>of the Clark Fork Optimization Package—the Clark Fork Optimization Model Input Database</w:t>
      </w:r>
      <w:r w:rsidR="00FF2BAA">
        <w:rPr>
          <w:b w:val="0"/>
        </w:rPr>
        <w:t>.  It is discussed below</w:t>
      </w:r>
      <w:r w:rsidRPr="00A9200C">
        <w:rPr>
          <w:b w:val="0"/>
        </w:rPr>
        <w:t>.</w:t>
      </w:r>
    </w:p>
    <w:p w:rsidR="00A9200C" w:rsidRPr="001D7D3C" w:rsidRDefault="00A9200C" w:rsidP="00A9200C">
      <w:pPr>
        <w:pStyle w:val="BodyTextIndent3"/>
        <w:tabs>
          <w:tab w:val="left" w:pos="1440"/>
        </w:tabs>
      </w:pPr>
      <w:r w:rsidRPr="001D7D3C">
        <w:t>Q.</w:t>
      </w:r>
      <w:r w:rsidRPr="001D7D3C">
        <w:tab/>
        <w:t>What is the source for hydroelectric flows in the Clark Fork Water Budget Model?</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source is the </w:t>
      </w:r>
      <w:r w:rsidR="00387298">
        <w:rPr>
          <w:b w:val="0"/>
        </w:rPr>
        <w:t xml:space="preserve">2007-08 </w:t>
      </w:r>
      <w:proofErr w:type="spellStart"/>
      <w:r w:rsidRPr="00A9200C">
        <w:rPr>
          <w:b w:val="0"/>
        </w:rPr>
        <w:t>NWPP</w:t>
      </w:r>
      <w:proofErr w:type="spellEnd"/>
      <w:r w:rsidRPr="00A9200C">
        <w:rPr>
          <w:b w:val="0"/>
        </w:rPr>
        <w:t xml:space="preserve"> Headwater Benefits Study.  To shape the monthly </w:t>
      </w:r>
      <w:proofErr w:type="spellStart"/>
      <w:r w:rsidRPr="00A9200C">
        <w:rPr>
          <w:b w:val="0"/>
        </w:rPr>
        <w:t>NWPP</w:t>
      </w:r>
      <w:proofErr w:type="spellEnd"/>
      <w:r w:rsidRPr="00A9200C">
        <w:rPr>
          <w:b w:val="0"/>
        </w:rPr>
        <w:t xml:space="preserve"> data Avista used a daily study obtained from the Bonneville Power Administration (BPA).  The BPA data were from the U.S. Army Corp of Engineers study re-creating daily historical flows on the Clark Fork River back to 1929 based on today’s river system.  </w:t>
      </w:r>
    </w:p>
    <w:p w:rsidR="00A9200C" w:rsidRPr="00A9200C" w:rsidRDefault="00A9200C" w:rsidP="00A9200C">
      <w:pPr>
        <w:pStyle w:val="BodyTextIndent3"/>
        <w:tabs>
          <w:tab w:val="left" w:pos="1440"/>
        </w:tabs>
        <w:rPr>
          <w:b w:val="0"/>
        </w:rPr>
      </w:pPr>
      <w:r w:rsidRPr="00A9200C">
        <w:rPr>
          <w:b w:val="0"/>
        </w:rPr>
        <w:tab/>
        <w:t xml:space="preserve">Because of the need for daily inflow values that the </w:t>
      </w:r>
      <w:proofErr w:type="spellStart"/>
      <w:r w:rsidRPr="00A9200C">
        <w:rPr>
          <w:b w:val="0"/>
        </w:rPr>
        <w:t>NWPP</w:t>
      </w:r>
      <w:proofErr w:type="spellEnd"/>
      <w:r w:rsidRPr="00A9200C">
        <w:rPr>
          <w:b w:val="0"/>
        </w:rPr>
        <w:t xml:space="preserve"> does not provide, and the fact that the BPA data is daily, Avista elected to shape the </w:t>
      </w:r>
      <w:proofErr w:type="spellStart"/>
      <w:r w:rsidRPr="00A9200C">
        <w:rPr>
          <w:b w:val="0"/>
        </w:rPr>
        <w:t>NWPP</w:t>
      </w:r>
      <w:proofErr w:type="spellEnd"/>
      <w:r w:rsidRPr="00A9200C">
        <w:rPr>
          <w:b w:val="0"/>
        </w:rPr>
        <w:t xml:space="preserve"> monthly data using the daily shapes of the BPA study in each month.</w:t>
      </w:r>
    </w:p>
    <w:p w:rsidR="00A9200C" w:rsidRPr="001D7D3C" w:rsidRDefault="00A9200C" w:rsidP="00A9200C">
      <w:pPr>
        <w:pStyle w:val="BodyTextIndent3"/>
        <w:tabs>
          <w:tab w:val="left" w:pos="1440"/>
        </w:tabs>
      </w:pPr>
      <w:r w:rsidRPr="001D7D3C">
        <w:t>Q.</w:t>
      </w:r>
      <w:r w:rsidRPr="001D7D3C">
        <w:tab/>
        <w:t>What data does the Clark Fork Optimization Model Input Database contain?</w:t>
      </w:r>
    </w:p>
    <w:p w:rsidR="00A9200C" w:rsidRPr="00A9200C" w:rsidRDefault="00A9200C" w:rsidP="00A9200C">
      <w:pPr>
        <w:pStyle w:val="BodyTextIndent3"/>
        <w:tabs>
          <w:tab w:val="left" w:pos="1440"/>
        </w:tabs>
        <w:rPr>
          <w:b w:val="0"/>
        </w:rPr>
      </w:pPr>
      <w:r w:rsidRPr="00A9200C">
        <w:rPr>
          <w:b w:val="0"/>
        </w:rPr>
        <w:lastRenderedPageBreak/>
        <w:t>A.</w:t>
      </w:r>
      <w:r w:rsidRPr="00A9200C">
        <w:rPr>
          <w:b w:val="0"/>
        </w:rPr>
        <w:tab/>
        <w:t>The Clark Fork Optimization Model Input Database contains the daily inflows and side flows into the Company’s Clark Fork River projects described</w:t>
      </w:r>
      <w:r w:rsidR="00FF2BAA">
        <w:rPr>
          <w:b w:val="0"/>
        </w:rPr>
        <w:t xml:space="preserve"> above</w:t>
      </w:r>
      <w:r w:rsidRPr="00A9200C">
        <w:rPr>
          <w:b w:val="0"/>
        </w:rPr>
        <w:t>.  It also contains representative hourly market prices enabling the model to maximize generation levels in the higher-valued on-peak periods.</w:t>
      </w:r>
    </w:p>
    <w:p w:rsidR="00A9200C" w:rsidRPr="001D7D3C" w:rsidRDefault="00A9200C" w:rsidP="00A9200C">
      <w:pPr>
        <w:pStyle w:val="BodyTextIndent3"/>
        <w:tabs>
          <w:tab w:val="left" w:pos="1440"/>
        </w:tabs>
      </w:pPr>
      <w:r w:rsidRPr="001D7D3C">
        <w:t>Q.</w:t>
      </w:r>
      <w:r w:rsidRPr="001D7D3C">
        <w:tab/>
        <w:t>What is the third element of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The third element is the Clark Fork Optimization Model itself.  This hourly model uses a mixed-integer optimization routine to maximize the value of the Clark Fork projects over time.  Each project is represented in detail, including individual turbine efficiency curve</w:t>
      </w:r>
      <w:r w:rsidR="00387298">
        <w:rPr>
          <w:b w:val="0"/>
        </w:rPr>
        <w:t>s</w:t>
      </w:r>
      <w:r w:rsidRPr="00A9200C">
        <w:rPr>
          <w:b w:val="0"/>
        </w:rPr>
        <w:t>, physical and license-constrained reservoir elevations, tailrace elevations, and minimum and maximum flow constraints.</w:t>
      </w:r>
    </w:p>
    <w:p w:rsidR="00A9200C" w:rsidRPr="00A9200C" w:rsidRDefault="00A9200C" w:rsidP="00A9200C">
      <w:pPr>
        <w:pStyle w:val="BodyTextIndent3"/>
        <w:tabs>
          <w:tab w:val="left" w:pos="1440"/>
        </w:tabs>
        <w:rPr>
          <w:b w:val="0"/>
        </w:rPr>
      </w:pPr>
      <w:r w:rsidRPr="00A9200C">
        <w:rPr>
          <w:b w:val="0"/>
        </w:rPr>
        <w:tab/>
        <w:t xml:space="preserve">The Clark Fork Optimization Model shapes generation into the most </w:t>
      </w:r>
      <w:r w:rsidR="002D0935">
        <w:rPr>
          <w:b w:val="0"/>
        </w:rPr>
        <w:t xml:space="preserve">economically </w:t>
      </w:r>
      <w:r w:rsidRPr="00A9200C">
        <w:rPr>
          <w:b w:val="0"/>
        </w:rPr>
        <w:t xml:space="preserve">beneficial time periods using the </w:t>
      </w:r>
      <w:r w:rsidR="008444FA">
        <w:rPr>
          <w:b w:val="0"/>
        </w:rPr>
        <w:t xml:space="preserve">projects’ </w:t>
      </w:r>
      <w:r w:rsidRPr="00A9200C">
        <w:rPr>
          <w:b w:val="0"/>
        </w:rPr>
        <w:t>storage reservoirs.  It also maximizes the value of generation by flowing water through the turbines at their most economically efficient point</w:t>
      </w:r>
      <w:r w:rsidR="008444FA">
        <w:rPr>
          <w:b w:val="0"/>
        </w:rPr>
        <w:t>s</w:t>
      </w:r>
      <w:r w:rsidRPr="00A9200C">
        <w:rPr>
          <w:b w:val="0"/>
        </w:rPr>
        <w:t xml:space="preserve"> on the power curves.</w:t>
      </w:r>
    </w:p>
    <w:p w:rsidR="00A9200C" w:rsidRPr="001D7D3C" w:rsidRDefault="00A9200C" w:rsidP="00A9200C">
      <w:pPr>
        <w:pStyle w:val="BodyTextIndent3"/>
        <w:tabs>
          <w:tab w:val="left" w:pos="1440"/>
        </w:tabs>
      </w:pPr>
      <w:r w:rsidRPr="001D7D3C">
        <w:t>Q.</w:t>
      </w:r>
      <w:r w:rsidRPr="001D7D3C">
        <w:tab/>
        <w:t>What is the fourth element of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The fourth element is the Clark Fork Optimization Model Output Database.  This database contains results from the Clark Fork Optimization Model, including hourly turbine discharge and spill flows, hourly generation levels, hourly generation values, and hourly reservoir elevations.</w:t>
      </w:r>
    </w:p>
    <w:p w:rsidR="00A9200C" w:rsidRPr="00755E53" w:rsidRDefault="00C1226C" w:rsidP="00A9200C">
      <w:pPr>
        <w:pStyle w:val="BodyTextIndent3"/>
        <w:tabs>
          <w:tab w:val="left" w:pos="1440"/>
        </w:tabs>
      </w:pPr>
      <w:r w:rsidRPr="00C1226C">
        <w:t>Q.</w:t>
      </w:r>
      <w:r w:rsidRPr="00C1226C">
        <w:tab/>
        <w:t>How did the Company ensure the Clark Fork Optimization Package accurately reflects the operations and value of the Clark Fork projects?</w:t>
      </w:r>
    </w:p>
    <w:p w:rsidR="00A9200C" w:rsidRPr="00A9200C" w:rsidRDefault="00A9200C" w:rsidP="00A9200C">
      <w:pPr>
        <w:pStyle w:val="BodyTextIndent3"/>
        <w:tabs>
          <w:tab w:val="left" w:pos="1440"/>
        </w:tabs>
        <w:rPr>
          <w:b w:val="0"/>
        </w:rPr>
      </w:pPr>
      <w:r w:rsidRPr="00A9200C">
        <w:rPr>
          <w:b w:val="0"/>
        </w:rPr>
        <w:lastRenderedPageBreak/>
        <w:t>A.</w:t>
      </w:r>
      <w:r w:rsidRPr="00A9200C">
        <w:rPr>
          <w:b w:val="0"/>
        </w:rPr>
        <w:tab/>
        <w:t>Once the Clark Fork Optimization Package models were completed, it was benchmarked against the Company’s 2000-2009 actual results at the Clark Fork projects to ensure its accuracy.</w:t>
      </w:r>
    </w:p>
    <w:p w:rsidR="00A9200C" w:rsidRPr="001D7D3C" w:rsidRDefault="00A9200C" w:rsidP="00A9200C">
      <w:pPr>
        <w:pStyle w:val="BodyTextIndent3"/>
        <w:tabs>
          <w:tab w:val="left" w:pos="1440"/>
        </w:tabs>
      </w:pPr>
      <w:r w:rsidRPr="001D7D3C">
        <w:t>Q.</w:t>
      </w:r>
      <w:r w:rsidRPr="001D7D3C">
        <w:tab/>
        <w:t>How did the results compare?</w:t>
      </w:r>
    </w:p>
    <w:p w:rsidR="00755E53" w:rsidRDefault="00A9200C" w:rsidP="00755E53">
      <w:pPr>
        <w:pStyle w:val="BodyTextIndent3"/>
        <w:tabs>
          <w:tab w:val="left" w:pos="1440"/>
        </w:tabs>
      </w:pPr>
      <w:r w:rsidRPr="00A9200C">
        <w:rPr>
          <w:b w:val="0"/>
        </w:rPr>
        <w:t>A.</w:t>
      </w:r>
      <w:r w:rsidRPr="00A9200C">
        <w:rPr>
          <w:b w:val="0"/>
        </w:rPr>
        <w:tab/>
        <w:t xml:space="preserve">The Clark Fork Optimization Package initially over-estimated generation relative to the 2000-2009 periods by approximately 6 percent.  This result was expected, as Avista does not operate its projects in isolation.  Instead the Company </w:t>
      </w:r>
      <w:r w:rsidR="00755E53">
        <w:rPr>
          <w:b w:val="0"/>
        </w:rPr>
        <w:t>uses</w:t>
      </w:r>
      <w:r w:rsidRPr="00A9200C">
        <w:rPr>
          <w:b w:val="0"/>
        </w:rPr>
        <w:t xml:space="preserve"> the Clark Fork projects to meet </w:t>
      </w:r>
      <w:r w:rsidR="00755E53">
        <w:rPr>
          <w:b w:val="0"/>
        </w:rPr>
        <w:t>its load</w:t>
      </w:r>
      <w:r w:rsidR="00387298">
        <w:rPr>
          <w:b w:val="0"/>
        </w:rPr>
        <w:t xml:space="preserve"> </w:t>
      </w:r>
      <w:r w:rsidR="00755E53">
        <w:rPr>
          <w:b w:val="0"/>
        </w:rPr>
        <w:t>and</w:t>
      </w:r>
      <w:r w:rsidR="00755E53" w:rsidRPr="00A9200C">
        <w:rPr>
          <w:b w:val="0"/>
        </w:rPr>
        <w:t xml:space="preserve"> </w:t>
      </w:r>
      <w:r w:rsidR="00387298">
        <w:rPr>
          <w:b w:val="0"/>
        </w:rPr>
        <w:t>reserve needs</w:t>
      </w:r>
      <w:r w:rsidRPr="00A9200C">
        <w:rPr>
          <w:b w:val="0"/>
        </w:rPr>
        <w:t xml:space="preserve">.  There are also times where units are </w:t>
      </w:r>
      <w:r w:rsidR="00387298">
        <w:rPr>
          <w:b w:val="0"/>
        </w:rPr>
        <w:t xml:space="preserve">down for </w:t>
      </w:r>
      <w:r w:rsidRPr="00A9200C">
        <w:rPr>
          <w:b w:val="0"/>
        </w:rPr>
        <w:t xml:space="preserve">maintenance or forced outage.  To </w:t>
      </w:r>
      <w:r w:rsidR="00FF2BAA">
        <w:rPr>
          <w:b w:val="0"/>
        </w:rPr>
        <w:t xml:space="preserve">reconcile </w:t>
      </w:r>
      <w:r w:rsidRPr="00A9200C">
        <w:rPr>
          <w:b w:val="0"/>
        </w:rPr>
        <w:t xml:space="preserve">the Clark Fork Optimization Package </w:t>
      </w:r>
      <w:r w:rsidR="00FF2BAA">
        <w:rPr>
          <w:b w:val="0"/>
        </w:rPr>
        <w:t xml:space="preserve">with actual operating </w:t>
      </w:r>
      <w:r w:rsidRPr="00A9200C">
        <w:rPr>
          <w:b w:val="0"/>
        </w:rPr>
        <w:t>history</w:t>
      </w:r>
      <w:r w:rsidR="00FF2BAA">
        <w:rPr>
          <w:b w:val="0"/>
        </w:rPr>
        <w:t>,</w:t>
      </w:r>
      <w:r w:rsidRPr="00A9200C">
        <w:rPr>
          <w:b w:val="0"/>
        </w:rPr>
        <w:t xml:space="preserve"> the power curves for each project were </w:t>
      </w:r>
      <w:r w:rsidR="008444FA">
        <w:rPr>
          <w:b w:val="0"/>
        </w:rPr>
        <w:t xml:space="preserve">therefore </w:t>
      </w:r>
      <w:r w:rsidRPr="00A9200C">
        <w:rPr>
          <w:b w:val="0"/>
        </w:rPr>
        <w:t xml:space="preserve">reduced by </w:t>
      </w:r>
      <w:r w:rsidR="008444FA">
        <w:rPr>
          <w:b w:val="0"/>
        </w:rPr>
        <w:t>t</w:t>
      </w:r>
      <w:r w:rsidRPr="00A9200C">
        <w:rPr>
          <w:b w:val="0"/>
        </w:rPr>
        <w:t>he 6 percent</w:t>
      </w:r>
      <w:r w:rsidR="008444FA">
        <w:rPr>
          <w:b w:val="0"/>
        </w:rPr>
        <w:t xml:space="preserve"> difference</w:t>
      </w:r>
      <w:r w:rsidRPr="00A9200C">
        <w:rPr>
          <w:b w:val="0"/>
        </w:rPr>
        <w:t>.  After the benchmarking process, the model generated just over 100</w:t>
      </w:r>
      <w:r w:rsidR="00186EE8">
        <w:rPr>
          <w:b w:val="0"/>
        </w:rPr>
        <w:t xml:space="preserve"> percent</w:t>
      </w:r>
      <w:r w:rsidRPr="00A9200C">
        <w:rPr>
          <w:b w:val="0"/>
        </w:rPr>
        <w:t xml:space="preserve"> of actual generation levels during the 2000-2009 period.</w:t>
      </w:r>
      <w:r w:rsidR="00755E53" w:rsidRPr="00755E53">
        <w:t xml:space="preserve"> </w:t>
      </w:r>
    </w:p>
    <w:p w:rsidR="00A161D9" w:rsidRPr="001D7D3C" w:rsidRDefault="00A161D9" w:rsidP="00A161D9">
      <w:pPr>
        <w:pStyle w:val="BodyTextIndent3"/>
        <w:tabs>
          <w:tab w:val="left" w:pos="1440"/>
        </w:tabs>
      </w:pPr>
      <w:r w:rsidRPr="001D7D3C">
        <w:t>Q.</w:t>
      </w:r>
      <w:r w:rsidRPr="001D7D3C">
        <w:tab/>
        <w:t>How is the generation then used for ratemaking purposes?</w:t>
      </w:r>
    </w:p>
    <w:p w:rsidR="00A161D9" w:rsidRPr="00A9200C" w:rsidRDefault="00A161D9" w:rsidP="00A161D9">
      <w:pPr>
        <w:pStyle w:val="BodyTextIndent3"/>
        <w:tabs>
          <w:tab w:val="left" w:pos="1440"/>
        </w:tabs>
        <w:rPr>
          <w:b w:val="0"/>
        </w:rPr>
      </w:pPr>
      <w:r w:rsidRPr="00A9200C">
        <w:rPr>
          <w:b w:val="0"/>
        </w:rPr>
        <w:t>A.</w:t>
      </w:r>
      <w:r w:rsidRPr="00A9200C">
        <w:rPr>
          <w:b w:val="0"/>
        </w:rPr>
        <w:tab/>
        <w:t>The generation levels for each project (Mid-Columbia, Spokane River, and Clark Fork) are input into the dispatch model (</w:t>
      </w:r>
      <w:proofErr w:type="spellStart"/>
      <w:r w:rsidRPr="00A9200C">
        <w:rPr>
          <w:b w:val="0"/>
        </w:rPr>
        <w:t>AURORAxmp</w:t>
      </w:r>
      <w:proofErr w:type="spellEnd"/>
      <w:r w:rsidRPr="00A9200C">
        <w:rPr>
          <w:b w:val="0"/>
        </w:rPr>
        <w:t xml:space="preserve">) where Avista’s portfolio value is </w:t>
      </w:r>
      <w:r>
        <w:rPr>
          <w:b w:val="0"/>
        </w:rPr>
        <w:t xml:space="preserve">quantified </w:t>
      </w:r>
      <w:r w:rsidRPr="00A9200C">
        <w:rPr>
          <w:b w:val="0"/>
        </w:rPr>
        <w:t>for ratemaking purposes.</w:t>
      </w:r>
    </w:p>
    <w:p w:rsidR="00A9200C" w:rsidRPr="001D7D3C" w:rsidRDefault="00A9200C" w:rsidP="00A9200C">
      <w:pPr>
        <w:pStyle w:val="BodyTextIndent3"/>
        <w:tabs>
          <w:tab w:val="left" w:pos="1440"/>
        </w:tabs>
      </w:pPr>
      <w:r w:rsidRPr="001D7D3C">
        <w:t>Q.</w:t>
      </w:r>
      <w:r w:rsidRPr="001D7D3C">
        <w:tab/>
        <w:t>Are the models included in the Company’s filing?</w:t>
      </w:r>
    </w:p>
    <w:p w:rsidR="00A9200C" w:rsidRPr="00A9200C" w:rsidRDefault="00A9200C" w:rsidP="00A9200C">
      <w:pPr>
        <w:pStyle w:val="BodyTextIndent3"/>
        <w:tabs>
          <w:tab w:val="left" w:pos="1440"/>
        </w:tabs>
        <w:rPr>
          <w:b w:val="0"/>
        </w:rPr>
      </w:pPr>
      <w:r w:rsidRPr="00A9200C">
        <w:rPr>
          <w:b w:val="0"/>
        </w:rPr>
        <w:t>A.</w:t>
      </w:r>
      <w:r w:rsidRPr="00A9200C">
        <w:rPr>
          <w:b w:val="0"/>
        </w:rPr>
        <w:tab/>
        <w:t>Yes.  All four components of the Clark Fork Optimization Package are included in my workpapers, including all input and output data.</w:t>
      </w:r>
    </w:p>
    <w:p w:rsidR="00A9200C" w:rsidRPr="001D7D3C" w:rsidRDefault="00A9200C" w:rsidP="00A9200C">
      <w:pPr>
        <w:pStyle w:val="BodyTextIndent3"/>
        <w:tabs>
          <w:tab w:val="left" w:pos="1440"/>
        </w:tabs>
      </w:pPr>
      <w:r w:rsidRPr="001D7D3C">
        <w:t>Q.</w:t>
      </w:r>
      <w:r w:rsidRPr="001D7D3C">
        <w:tab/>
        <w:t>Does the Clark Fork Optimization Package account for recent upgrades at the Noxon Rapids project?</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Yes.  Once the original model was benchmarked against recent generation years that did not benefit from upgrades at Noxon, the three newly upgraded units (1, 2, and 3) were </w:t>
      </w:r>
      <w:r w:rsidRPr="00A9200C">
        <w:rPr>
          <w:b w:val="0"/>
        </w:rPr>
        <w:lastRenderedPageBreak/>
        <w:t xml:space="preserve">input into the model to reflect the higher anticipated generation levels.  As Unit 2 will not enter service until April 1, 2011, all </w:t>
      </w:r>
      <w:proofErr w:type="spellStart"/>
      <w:r w:rsidRPr="00A9200C">
        <w:rPr>
          <w:b w:val="0"/>
        </w:rPr>
        <w:t>proforma</w:t>
      </w:r>
      <w:proofErr w:type="spellEnd"/>
      <w:r w:rsidRPr="00A9200C">
        <w:rPr>
          <w:b w:val="0"/>
        </w:rPr>
        <w:t xml:space="preserve"> periods prior to April 2011 include upgrades only to Units 1 and 3.</w:t>
      </w:r>
    </w:p>
    <w:p w:rsidR="00A9200C" w:rsidRPr="001D7D3C" w:rsidRDefault="00A9200C" w:rsidP="00A9200C">
      <w:pPr>
        <w:pStyle w:val="BodyTextIndent3"/>
        <w:tabs>
          <w:tab w:val="left" w:pos="1440"/>
        </w:tabs>
      </w:pPr>
      <w:r w:rsidRPr="001D7D3C">
        <w:t>Q.</w:t>
      </w:r>
      <w:r w:rsidRPr="001D7D3C">
        <w:tab/>
        <w:t>How much additional generation did the new units provide based on your modeling?</w:t>
      </w:r>
    </w:p>
    <w:p w:rsidR="00A9200C" w:rsidRDefault="00A9200C" w:rsidP="00A9200C">
      <w:pPr>
        <w:pStyle w:val="BodyTextIndent3"/>
        <w:tabs>
          <w:tab w:val="left" w:pos="1440"/>
        </w:tabs>
        <w:rPr>
          <w:b w:val="0"/>
        </w:rPr>
      </w:pPr>
      <w:r w:rsidRPr="00A9200C">
        <w:rPr>
          <w:b w:val="0"/>
        </w:rPr>
        <w:t>A.</w:t>
      </w:r>
      <w:r w:rsidRPr="00A9200C">
        <w:rPr>
          <w:b w:val="0"/>
        </w:rPr>
        <w:tab/>
        <w:t>The Company evaluated generation levels with the old Noxon units 1</w:t>
      </w:r>
      <w:r w:rsidR="001D7D3C">
        <w:rPr>
          <w:b w:val="0"/>
        </w:rPr>
        <w:t xml:space="preserve"> through </w:t>
      </w:r>
      <w:r w:rsidRPr="00A9200C">
        <w:rPr>
          <w:b w:val="0"/>
        </w:rPr>
        <w:t xml:space="preserve">3, and the newly upgraded units over the </w:t>
      </w:r>
      <w:r w:rsidR="0083586C">
        <w:rPr>
          <w:b w:val="0"/>
        </w:rPr>
        <w:t>5</w:t>
      </w:r>
      <w:r w:rsidRPr="00A9200C">
        <w:rPr>
          <w:b w:val="0"/>
        </w:rPr>
        <w:t>0-year period</w:t>
      </w:r>
      <w:r w:rsidR="0083586C">
        <w:rPr>
          <w:b w:val="0"/>
        </w:rPr>
        <w:t xml:space="preserve"> for this case</w:t>
      </w:r>
      <w:r w:rsidRPr="00A9200C">
        <w:rPr>
          <w:b w:val="0"/>
        </w:rPr>
        <w:t>.  Generation levels</w:t>
      </w:r>
      <w:r w:rsidR="0083586C">
        <w:rPr>
          <w:b w:val="0"/>
        </w:rPr>
        <w:t xml:space="preserve"> </w:t>
      </w:r>
      <w:r w:rsidR="008444FA">
        <w:rPr>
          <w:b w:val="0"/>
        </w:rPr>
        <w:t xml:space="preserve">from the upgrades </w:t>
      </w:r>
      <w:r w:rsidR="0083586C">
        <w:rPr>
          <w:b w:val="0"/>
        </w:rPr>
        <w:t>increased by a total of 35</w:t>
      </w:r>
      <w:r w:rsidR="004942D5" w:rsidRPr="004942D5">
        <w:rPr>
          <w:b w:val="0"/>
        </w:rPr>
        <w:t>,778</w:t>
      </w:r>
      <w:r w:rsidR="0083586C" w:rsidRPr="004942D5">
        <w:rPr>
          <w:b w:val="0"/>
        </w:rPr>
        <w:t xml:space="preserve"> </w:t>
      </w:r>
      <w:proofErr w:type="spellStart"/>
      <w:r w:rsidRPr="004942D5">
        <w:rPr>
          <w:b w:val="0"/>
        </w:rPr>
        <w:t>MWh</w:t>
      </w:r>
      <w:proofErr w:type="spellEnd"/>
      <w:r w:rsidR="004942D5">
        <w:rPr>
          <w:b w:val="0"/>
        </w:rPr>
        <w:t xml:space="preserve"> (4.08 </w:t>
      </w:r>
      <w:proofErr w:type="spellStart"/>
      <w:r w:rsidR="004942D5">
        <w:rPr>
          <w:b w:val="0"/>
        </w:rPr>
        <w:t>aMW</w:t>
      </w:r>
      <w:proofErr w:type="spellEnd"/>
      <w:r w:rsidR="004942D5">
        <w:rPr>
          <w:b w:val="0"/>
        </w:rPr>
        <w:t>),</w:t>
      </w:r>
      <w:r w:rsidRPr="004942D5">
        <w:rPr>
          <w:b w:val="0"/>
        </w:rPr>
        <w:t xml:space="preserve"> or </w:t>
      </w:r>
      <w:r w:rsidR="0083586C" w:rsidRPr="004942D5">
        <w:rPr>
          <w:b w:val="0"/>
        </w:rPr>
        <w:t>1.3</w:t>
      </w:r>
      <w:r w:rsidR="00186EE8" w:rsidRPr="004942D5">
        <w:rPr>
          <w:b w:val="0"/>
        </w:rPr>
        <w:t xml:space="preserve"> percent</w:t>
      </w:r>
      <w:r w:rsidRPr="004942D5">
        <w:rPr>
          <w:b w:val="0"/>
        </w:rPr>
        <w:t>.</w:t>
      </w:r>
    </w:p>
    <w:p w:rsidR="00D53905" w:rsidRDefault="00D53905" w:rsidP="00A9200C">
      <w:pPr>
        <w:pStyle w:val="BodyTextIndent3"/>
        <w:tabs>
          <w:tab w:val="left" w:pos="1440"/>
        </w:tabs>
      </w:pPr>
      <w:r w:rsidRPr="00D53905">
        <w:t>Q.</w:t>
      </w:r>
      <w:r w:rsidRPr="00D53905">
        <w:tab/>
        <w:t>How much additional generation does the new Unit 2 provide?</w:t>
      </w:r>
    </w:p>
    <w:p w:rsidR="00D53905" w:rsidRPr="00D53905" w:rsidRDefault="00D53905" w:rsidP="00A9200C">
      <w:pPr>
        <w:pStyle w:val="BodyTextIndent3"/>
        <w:tabs>
          <w:tab w:val="left" w:pos="1440"/>
        </w:tabs>
        <w:rPr>
          <w:b w:val="0"/>
        </w:rPr>
      </w:pPr>
      <w:r>
        <w:rPr>
          <w:b w:val="0"/>
        </w:rPr>
        <w:t>A.</w:t>
      </w:r>
      <w:r>
        <w:rPr>
          <w:b w:val="0"/>
        </w:rPr>
        <w:tab/>
        <w:t>On an annual basis the new Unit 2 included in this case generates 10,</w:t>
      </w:r>
      <w:r w:rsidR="004942D5">
        <w:rPr>
          <w:b w:val="0"/>
        </w:rPr>
        <w:t>326</w:t>
      </w:r>
      <w:r>
        <w:rPr>
          <w:b w:val="0"/>
        </w:rPr>
        <w:t xml:space="preserve"> </w:t>
      </w:r>
      <w:proofErr w:type="spellStart"/>
      <w:r>
        <w:rPr>
          <w:b w:val="0"/>
        </w:rPr>
        <w:t>MWh</w:t>
      </w:r>
      <w:proofErr w:type="spellEnd"/>
      <w:r>
        <w:rPr>
          <w:b w:val="0"/>
        </w:rPr>
        <w:t xml:space="preserve"> on average over the 50-year period, or 1.</w:t>
      </w:r>
      <w:r w:rsidR="004942D5">
        <w:rPr>
          <w:b w:val="0"/>
        </w:rPr>
        <w:t>18</w:t>
      </w:r>
      <w:r>
        <w:rPr>
          <w:b w:val="0"/>
        </w:rPr>
        <w:t xml:space="preserve"> </w:t>
      </w:r>
      <w:proofErr w:type="spellStart"/>
      <w:r>
        <w:rPr>
          <w:b w:val="0"/>
        </w:rPr>
        <w:t>aMW</w:t>
      </w:r>
      <w:proofErr w:type="spellEnd"/>
      <w:r>
        <w:rPr>
          <w:b w:val="0"/>
        </w:rPr>
        <w:t>.</w:t>
      </w:r>
    </w:p>
    <w:p w:rsidR="00A9200C" w:rsidRPr="001D7D3C" w:rsidRDefault="00A9200C" w:rsidP="00A9200C">
      <w:pPr>
        <w:pStyle w:val="BodyTextIndent3"/>
        <w:tabs>
          <w:tab w:val="left" w:pos="1440"/>
        </w:tabs>
      </w:pPr>
      <w:r w:rsidRPr="001D7D3C">
        <w:t>Q.</w:t>
      </w:r>
      <w:r w:rsidRPr="001D7D3C">
        <w:tab/>
        <w:t xml:space="preserve">Why did the Company </w:t>
      </w:r>
      <w:r w:rsidR="00186EE8">
        <w:t>not</w:t>
      </w:r>
      <w:r w:rsidRPr="001D7D3C">
        <w:t xml:space="preserve"> use similar models in this case for the Spokane River and Mid-Columbia projects?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the product of </w:t>
      </w:r>
      <w:r w:rsidR="00186EE8">
        <w:rPr>
          <w:b w:val="0"/>
        </w:rPr>
        <w:t>several</w:t>
      </w:r>
      <w:r w:rsidR="00186EE8" w:rsidRPr="00A9200C">
        <w:rPr>
          <w:b w:val="0"/>
        </w:rPr>
        <w:t xml:space="preserve"> </w:t>
      </w:r>
      <w:r w:rsidRPr="00A9200C">
        <w:rPr>
          <w:b w:val="0"/>
        </w:rPr>
        <w:t>years of work by Avista.  The Company has not yet attempted to build a model for the Mid-Columbia due to those projects’ significant reliance on upstream (e.g., Grand Coulee Dam) project</w:t>
      </w:r>
      <w:r w:rsidR="00387298">
        <w:rPr>
          <w:b w:val="0"/>
        </w:rPr>
        <w:t>s</w:t>
      </w:r>
      <w:r w:rsidRPr="00A9200C">
        <w:rPr>
          <w:b w:val="0"/>
        </w:rPr>
        <w:t xml:space="preserve"> that greatly affect their output.  A model for the Spokane River projects is under development but </w:t>
      </w:r>
      <w:r w:rsidR="008444FA">
        <w:rPr>
          <w:b w:val="0"/>
        </w:rPr>
        <w:t xml:space="preserve">is </w:t>
      </w:r>
      <w:r w:rsidRPr="00A9200C">
        <w:rPr>
          <w:b w:val="0"/>
        </w:rPr>
        <w:t xml:space="preserve">not </w:t>
      </w:r>
      <w:r w:rsidR="008444FA">
        <w:rPr>
          <w:b w:val="0"/>
        </w:rPr>
        <w:t xml:space="preserve">yet </w:t>
      </w:r>
      <w:r w:rsidRPr="00A9200C">
        <w:rPr>
          <w:b w:val="0"/>
        </w:rPr>
        <w:t xml:space="preserve">ready for </w:t>
      </w:r>
      <w:r w:rsidR="008444FA">
        <w:rPr>
          <w:b w:val="0"/>
        </w:rPr>
        <w:t>use</w:t>
      </w:r>
      <w:r w:rsidRPr="00A9200C">
        <w:rPr>
          <w:b w:val="0"/>
        </w:rPr>
        <w:t xml:space="preserve">.  The Company hopes to have a working version for the Spokane River system prior to its next </w:t>
      </w:r>
      <w:r w:rsidR="00755E53">
        <w:rPr>
          <w:b w:val="0"/>
        </w:rPr>
        <w:t>rate proceeding</w:t>
      </w:r>
      <w:r w:rsidRPr="00A9200C">
        <w:rPr>
          <w:b w:val="0"/>
        </w:rPr>
        <w:t xml:space="preserve">.  </w:t>
      </w:r>
      <w:r w:rsidR="001D5F05">
        <w:rPr>
          <w:b w:val="0"/>
        </w:rPr>
        <w:t>We w</w:t>
      </w:r>
      <w:r w:rsidR="00FF2BAA">
        <w:rPr>
          <w:b w:val="0"/>
        </w:rPr>
        <w:t xml:space="preserve">ill </w:t>
      </w:r>
      <w:r w:rsidR="001D5F05">
        <w:rPr>
          <w:b w:val="0"/>
        </w:rPr>
        <w:t xml:space="preserve">subsequently </w:t>
      </w:r>
      <w:r w:rsidR="00FF2BAA">
        <w:rPr>
          <w:b w:val="0"/>
        </w:rPr>
        <w:t xml:space="preserve">examine </w:t>
      </w:r>
      <w:r w:rsidR="001D5F05">
        <w:rPr>
          <w:b w:val="0"/>
        </w:rPr>
        <w:t xml:space="preserve">a model for </w:t>
      </w:r>
      <w:r w:rsidR="00B42A96">
        <w:rPr>
          <w:b w:val="0"/>
        </w:rPr>
        <w:t xml:space="preserve">the </w:t>
      </w:r>
      <w:r w:rsidRPr="00A9200C">
        <w:rPr>
          <w:b w:val="0"/>
        </w:rPr>
        <w:t>Mid-Columbia projects.</w:t>
      </w:r>
    </w:p>
    <w:p w:rsidR="00A9200C" w:rsidRPr="001D7D3C" w:rsidRDefault="00A9200C" w:rsidP="00A9200C">
      <w:pPr>
        <w:pStyle w:val="BodyTextIndent3"/>
        <w:tabs>
          <w:tab w:val="left" w:pos="1440"/>
        </w:tabs>
      </w:pPr>
      <w:r w:rsidRPr="001D7D3C">
        <w:t>Q.</w:t>
      </w:r>
      <w:r w:rsidRPr="001D7D3C">
        <w:tab/>
        <w:t>Please explain why the Company developed the Clark Fork 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w:t>
      </w:r>
      <w:r w:rsidR="008444FA">
        <w:rPr>
          <w:b w:val="0"/>
        </w:rPr>
        <w:t>the</w:t>
      </w:r>
      <w:r w:rsidRPr="00A9200C">
        <w:rPr>
          <w:b w:val="0"/>
        </w:rPr>
        <w:t xml:space="preserve"> culmination of nearly ten years of work by the Company to bring in-house a tool to enable true optimization of </w:t>
      </w:r>
      <w:r w:rsidR="008444FA">
        <w:rPr>
          <w:b w:val="0"/>
        </w:rPr>
        <w:t>our</w:t>
      </w:r>
      <w:r w:rsidRPr="00A9200C">
        <w:rPr>
          <w:b w:val="0"/>
        </w:rPr>
        <w:t xml:space="preserve"> hydro facilities.  In </w:t>
      </w:r>
      <w:r w:rsidRPr="00A9200C">
        <w:rPr>
          <w:b w:val="0"/>
        </w:rPr>
        <w:lastRenderedPageBreak/>
        <w:t xml:space="preserve">2002 the Company acquired the Vista suite from </w:t>
      </w:r>
      <w:proofErr w:type="spellStart"/>
      <w:r w:rsidRPr="00A9200C">
        <w:rPr>
          <w:b w:val="0"/>
        </w:rPr>
        <w:t>Synexus</w:t>
      </w:r>
      <w:proofErr w:type="spellEnd"/>
      <w:r w:rsidRPr="00A9200C">
        <w:rPr>
          <w:b w:val="0"/>
        </w:rPr>
        <w:t xml:space="preserve"> Global.  This tool was used to evaluate system operations and support upgrades at our Noxon </w:t>
      </w:r>
      <w:r w:rsidR="00C64C55">
        <w:rPr>
          <w:b w:val="0"/>
        </w:rPr>
        <w:t xml:space="preserve">Rapids </w:t>
      </w:r>
      <w:r w:rsidRPr="00A9200C">
        <w:rPr>
          <w:b w:val="0"/>
        </w:rPr>
        <w:t xml:space="preserve">and Cabinet </w:t>
      </w:r>
      <w:r w:rsidR="00C64C55">
        <w:rPr>
          <w:b w:val="0"/>
        </w:rPr>
        <w:t>Gorge</w:t>
      </w:r>
      <w:r w:rsidRPr="00A9200C">
        <w:rPr>
          <w:b w:val="0"/>
        </w:rPr>
        <w:t xml:space="preserve"> projects.  It also was used to evaluate various Spokane River </w:t>
      </w:r>
      <w:r w:rsidR="00C64C55">
        <w:rPr>
          <w:b w:val="0"/>
        </w:rPr>
        <w:t xml:space="preserve">project </w:t>
      </w:r>
      <w:r w:rsidRPr="00A9200C">
        <w:rPr>
          <w:b w:val="0"/>
        </w:rPr>
        <w:t xml:space="preserve">upgrades.  Because of some problems inherent to </w:t>
      </w:r>
      <w:r w:rsidR="00C42835">
        <w:rPr>
          <w:b w:val="0"/>
        </w:rPr>
        <w:t xml:space="preserve">the Vista </w:t>
      </w:r>
      <w:r w:rsidR="00D53905">
        <w:rPr>
          <w:b w:val="0"/>
        </w:rPr>
        <w:t>model, and</w:t>
      </w:r>
      <w:r w:rsidR="001D7D3C">
        <w:rPr>
          <w:b w:val="0"/>
        </w:rPr>
        <w:t xml:space="preserve"> </w:t>
      </w:r>
      <w:r w:rsidR="00387298">
        <w:rPr>
          <w:b w:val="0"/>
        </w:rPr>
        <w:t xml:space="preserve">very </w:t>
      </w:r>
      <w:r w:rsidR="001D7D3C">
        <w:rPr>
          <w:b w:val="0"/>
        </w:rPr>
        <w:t>slow solution</w:t>
      </w:r>
      <w:r w:rsidRPr="00A9200C">
        <w:rPr>
          <w:b w:val="0"/>
        </w:rPr>
        <w:t xml:space="preserve"> times, it was retired in the middle of </w:t>
      </w:r>
      <w:r w:rsidR="00C42835">
        <w:rPr>
          <w:b w:val="0"/>
        </w:rPr>
        <w:t>the</w:t>
      </w:r>
      <w:r w:rsidRPr="00A9200C">
        <w:rPr>
          <w:b w:val="0"/>
        </w:rPr>
        <w:t xml:space="preserve"> last decade.  </w:t>
      </w:r>
      <w:r w:rsidR="00387298">
        <w:rPr>
          <w:b w:val="0"/>
        </w:rPr>
        <w:t>We then evaluated</w:t>
      </w:r>
      <w:r w:rsidRPr="00A9200C">
        <w:rPr>
          <w:b w:val="0"/>
        </w:rPr>
        <w:t xml:space="preserve"> other options in the marketplace, </w:t>
      </w:r>
      <w:r w:rsidR="00387298">
        <w:rPr>
          <w:b w:val="0"/>
        </w:rPr>
        <w:t xml:space="preserve">and </w:t>
      </w:r>
      <w:r w:rsidRPr="00A9200C">
        <w:rPr>
          <w:b w:val="0"/>
        </w:rPr>
        <w:t xml:space="preserve">the Company acquired </w:t>
      </w:r>
      <w:proofErr w:type="spellStart"/>
      <w:r w:rsidRPr="00A9200C">
        <w:rPr>
          <w:b w:val="0"/>
        </w:rPr>
        <w:t>Riverware</w:t>
      </w:r>
      <w:proofErr w:type="spellEnd"/>
      <w:r w:rsidRPr="00A9200C">
        <w:rPr>
          <w:b w:val="0"/>
        </w:rPr>
        <w:t xml:space="preserve"> from the University of Colorado</w:t>
      </w:r>
      <w:r w:rsidR="008444FA">
        <w:rPr>
          <w:b w:val="0"/>
        </w:rPr>
        <w:t xml:space="preserve"> at</w:t>
      </w:r>
      <w:r w:rsidRPr="00A9200C">
        <w:rPr>
          <w:b w:val="0"/>
        </w:rPr>
        <w:t xml:space="preserve"> Boulder.  After working with this tool over a number of years it became apparent that it cannot meet our need for efficient unit-level dispatch</w:t>
      </w:r>
      <w:r w:rsidR="008444FA">
        <w:rPr>
          <w:b w:val="0"/>
        </w:rPr>
        <w:t xml:space="preserve"> modeling</w:t>
      </w:r>
      <w:r w:rsidRPr="00A9200C">
        <w:rPr>
          <w:b w:val="0"/>
        </w:rPr>
        <w:t>.</w:t>
      </w:r>
    </w:p>
    <w:p w:rsidR="00A9200C" w:rsidRPr="00A9200C" w:rsidRDefault="00A9200C" w:rsidP="00A9200C">
      <w:pPr>
        <w:pStyle w:val="BodyTextIndent3"/>
        <w:tabs>
          <w:tab w:val="left" w:pos="1440"/>
        </w:tabs>
        <w:rPr>
          <w:b w:val="0"/>
        </w:rPr>
      </w:pPr>
      <w:r w:rsidRPr="00A9200C">
        <w:rPr>
          <w:b w:val="0"/>
        </w:rPr>
        <w:tab/>
        <w:t>Due to the apparent lack of a strong package for hydro modeling in the marketplace, the Company began developing the Clark Fork Optimization Package in the middle of 2009.</w:t>
      </w:r>
    </w:p>
    <w:p w:rsidR="00A9200C" w:rsidRPr="0083586C" w:rsidRDefault="00A9200C" w:rsidP="00A9200C">
      <w:pPr>
        <w:pStyle w:val="BodyTextIndent3"/>
        <w:tabs>
          <w:tab w:val="left" w:pos="1440"/>
        </w:tabs>
      </w:pPr>
      <w:r w:rsidRPr="0083586C">
        <w:t>Q.</w:t>
      </w:r>
      <w:r w:rsidRPr="0083586C">
        <w:tab/>
        <w:t>How is the Company using the new Clark Fork Optimization Package in its business operations, and how does it intend to use the tool into the future?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Clark Fork Optimization Package is an essential tool to assist the Company with optimizing </w:t>
      </w:r>
      <w:r w:rsidR="00C42835">
        <w:rPr>
          <w:b w:val="0"/>
        </w:rPr>
        <w:t>hydro</w:t>
      </w:r>
      <w:r w:rsidRPr="00A9200C">
        <w:rPr>
          <w:b w:val="0"/>
        </w:rPr>
        <w:t xml:space="preserve"> system operations, both in short- and long-term planning.  Its results are</w:t>
      </w:r>
      <w:r w:rsidR="004942D5">
        <w:rPr>
          <w:b w:val="0"/>
        </w:rPr>
        <w:t xml:space="preserve"> also used for Company budgets</w:t>
      </w:r>
      <w:r w:rsidR="00ED312D">
        <w:rPr>
          <w:b w:val="0"/>
        </w:rPr>
        <w:t>,</w:t>
      </w:r>
      <w:r w:rsidRPr="00A9200C">
        <w:rPr>
          <w:b w:val="0"/>
        </w:rPr>
        <w:t xml:space="preserve"> hydro project market valuation studies</w:t>
      </w:r>
      <w:r w:rsidR="00C42835">
        <w:rPr>
          <w:b w:val="0"/>
        </w:rPr>
        <w:t xml:space="preserve">, </w:t>
      </w:r>
      <w:r w:rsidR="00B42A96">
        <w:rPr>
          <w:b w:val="0"/>
        </w:rPr>
        <w:t xml:space="preserve">and </w:t>
      </w:r>
      <w:r w:rsidR="00ED312D">
        <w:rPr>
          <w:b w:val="0"/>
        </w:rPr>
        <w:t>upgrade</w:t>
      </w:r>
      <w:r w:rsidRPr="00A9200C">
        <w:rPr>
          <w:b w:val="0"/>
        </w:rPr>
        <w:t xml:space="preserve"> studies.  Given its </w:t>
      </w:r>
      <w:r w:rsidR="002C1D71">
        <w:rPr>
          <w:b w:val="0"/>
        </w:rPr>
        <w:t xml:space="preserve">solution efficiency, </w:t>
      </w:r>
      <w:r w:rsidRPr="00A9200C">
        <w:rPr>
          <w:b w:val="0"/>
        </w:rPr>
        <w:t xml:space="preserve">it is possible to run large hydro-flow records through it, as is necessary for rate filings such </w:t>
      </w:r>
      <w:r w:rsidR="00ED312D">
        <w:rPr>
          <w:b w:val="0"/>
        </w:rPr>
        <w:t>this</w:t>
      </w:r>
      <w:r w:rsidRPr="00A9200C">
        <w:rPr>
          <w:b w:val="0"/>
        </w:rPr>
        <w:t>.</w:t>
      </w:r>
    </w:p>
    <w:p w:rsidR="006640EA" w:rsidRDefault="00A9200C" w:rsidP="006640EA">
      <w:pPr>
        <w:pStyle w:val="BodyTextIndent3"/>
        <w:tabs>
          <w:tab w:val="clear" w:pos="1260"/>
          <w:tab w:val="left" w:pos="1440"/>
        </w:tabs>
        <w:rPr>
          <w:b w:val="0"/>
        </w:rPr>
      </w:pPr>
      <w:r w:rsidRPr="00A9200C">
        <w:rPr>
          <w:b w:val="0"/>
        </w:rPr>
        <w:t xml:space="preserve">The Company anticipates using its new model to </w:t>
      </w:r>
      <w:r w:rsidR="000609B7">
        <w:rPr>
          <w:b w:val="0"/>
        </w:rPr>
        <w:t xml:space="preserve">analyze opportunities to increase the </w:t>
      </w:r>
      <w:r w:rsidRPr="00A9200C">
        <w:rPr>
          <w:b w:val="0"/>
        </w:rPr>
        <w:t xml:space="preserve">value of the Clark Fork projects and lower overall system costs to customers.  With this model there is now a potential to </w:t>
      </w:r>
      <w:r w:rsidR="000609B7">
        <w:rPr>
          <w:b w:val="0"/>
        </w:rPr>
        <w:t xml:space="preserve">analyze </w:t>
      </w:r>
      <w:r w:rsidRPr="00A9200C">
        <w:rPr>
          <w:b w:val="0"/>
        </w:rPr>
        <w:t xml:space="preserve">a coordination agreement between Clark Fork River project operators that would be similar to the Pacific Northwest Coordination Agreement.  </w:t>
      </w:r>
      <w:r w:rsidR="006640EA" w:rsidRPr="006640EA">
        <w:rPr>
          <w:b w:val="0"/>
        </w:rPr>
        <w:t xml:space="preserve">Initiation of discussions on this a potential agreement between the various parties with projects on the river </w:t>
      </w:r>
      <w:r w:rsidR="006640EA" w:rsidRPr="006640EA">
        <w:rPr>
          <w:b w:val="0"/>
        </w:rPr>
        <w:lastRenderedPageBreak/>
        <w:t>has been hampered to a large extent by the lack of a good means to model the values of coordination.</w:t>
      </w:r>
    </w:p>
    <w:p w:rsidR="00A9200C" w:rsidRPr="00BD4B85" w:rsidRDefault="00A9200C" w:rsidP="006640EA">
      <w:pPr>
        <w:pStyle w:val="BodyTextIndent3"/>
        <w:tabs>
          <w:tab w:val="clear" w:pos="1260"/>
          <w:tab w:val="left" w:pos="1440"/>
        </w:tabs>
        <w:rPr>
          <w:b w:val="0"/>
          <w:bCs w:val="0"/>
        </w:rPr>
      </w:pPr>
      <w:r w:rsidRPr="00BD4B85">
        <w:t>Q.</w:t>
      </w:r>
      <w:r w:rsidRPr="00BD4B85">
        <w:tab/>
        <w:t xml:space="preserve">How does the </w:t>
      </w:r>
      <w:proofErr w:type="spellStart"/>
      <w:r w:rsidR="001D7D3C">
        <w:t>AURORAxmp</w:t>
      </w:r>
      <w:proofErr w:type="spellEnd"/>
      <w:r w:rsidR="001D7D3C">
        <w:t xml:space="preserve"> </w:t>
      </w:r>
      <w:r w:rsidRPr="00BD4B85">
        <w:t xml:space="preserve">Dispatch Model </w:t>
      </w:r>
      <w:r w:rsidR="00FF2BAA">
        <w:rPr>
          <w:b w:val="0"/>
          <w:bCs w:val="0"/>
        </w:rPr>
        <w:t>o</w:t>
      </w:r>
      <w:r w:rsidRPr="00BD4B85">
        <w:t>perate Company-controlled hydroelectric generation resources?</w:t>
      </w:r>
    </w:p>
    <w:p w:rsidR="00A9200C" w:rsidRPr="00BD4B85" w:rsidRDefault="00A9200C" w:rsidP="00A9200C">
      <w:pPr>
        <w:pStyle w:val="BodyTextIndent3"/>
        <w:tabs>
          <w:tab w:val="clear" w:pos="1260"/>
        </w:tabs>
        <w:rPr>
          <w:b w:val="0"/>
        </w:rPr>
      </w:pPr>
      <w:r w:rsidRPr="002B60EC">
        <w:rPr>
          <w:b w:val="0"/>
        </w:rPr>
        <w:t>A.</w:t>
      </w:r>
      <w:r w:rsidRPr="002B60EC">
        <w:rPr>
          <w:b w:val="0"/>
        </w:rPr>
        <w:tab/>
      </w:r>
      <w:r>
        <w:rPr>
          <w:b w:val="0"/>
        </w:rPr>
        <w:t>T</w:t>
      </w:r>
      <w:r w:rsidRPr="00BD4B85">
        <w:rPr>
          <w:b w:val="0"/>
        </w:rPr>
        <w:t>he Dispatch Model treats all hydroelectric generation plants within a load area as a single large plant.  The Company’s hydroelectric plants are</w:t>
      </w:r>
      <w:r>
        <w:rPr>
          <w:b w:val="0"/>
        </w:rPr>
        <w:t xml:space="preserve"> </w:t>
      </w:r>
      <w:r w:rsidRPr="00BD4B85">
        <w:rPr>
          <w:b w:val="0"/>
        </w:rPr>
        <w:t xml:space="preserve">on average, </w:t>
      </w:r>
      <w:r>
        <w:rPr>
          <w:b w:val="0"/>
        </w:rPr>
        <w:t xml:space="preserve">however, </w:t>
      </w:r>
      <w:r w:rsidRPr="00BD4B85">
        <w:rPr>
          <w:b w:val="0"/>
        </w:rPr>
        <w:t>more flexible than the average plant used in each load area</w:t>
      </w:r>
      <w:r>
        <w:rPr>
          <w:b w:val="0"/>
        </w:rPr>
        <w:t>.</w:t>
      </w:r>
      <w:r w:rsidRPr="00BD4B85">
        <w:rPr>
          <w:b w:val="0"/>
        </w:rPr>
        <w:t xml:space="preserve"> </w:t>
      </w:r>
      <w:r>
        <w:rPr>
          <w:b w:val="0"/>
        </w:rPr>
        <w:t xml:space="preserve"> </w:t>
      </w:r>
      <w:r w:rsidRPr="00BD4B85">
        <w:rPr>
          <w:b w:val="0"/>
        </w:rPr>
        <w:t>To account for this additional flexibility, the Company algebraically extracts its plants from the region and develops individual hydro operations logic for them.  Company-</w:t>
      </w:r>
      <w:r w:rsidR="00ED312D">
        <w:rPr>
          <w:b w:val="0"/>
        </w:rPr>
        <w:t xml:space="preserve">controlled </w:t>
      </w:r>
      <w:r w:rsidRPr="00BD4B85">
        <w:rPr>
          <w:b w:val="0"/>
        </w:rPr>
        <w:t xml:space="preserve">hydroelectric resources are separated into three river systems:  </w:t>
      </w:r>
      <w:r>
        <w:rPr>
          <w:b w:val="0"/>
        </w:rPr>
        <w:t xml:space="preserve">the </w:t>
      </w:r>
      <w:r w:rsidRPr="00BD4B85">
        <w:rPr>
          <w:b w:val="0"/>
        </w:rPr>
        <w:t>Spokane River, the Clark Fork River</w:t>
      </w:r>
      <w:r>
        <w:rPr>
          <w:b w:val="0"/>
        </w:rPr>
        <w:t>, and individually separate the Mid-Columbia projects</w:t>
      </w:r>
      <w:r w:rsidRPr="00BD4B85">
        <w:rPr>
          <w:b w:val="0"/>
        </w:rPr>
        <w:t>.  This separation ensures that the flexibility inherent in these resources</w:t>
      </w:r>
      <w:r w:rsidR="00ED312D">
        <w:rPr>
          <w:b w:val="0"/>
        </w:rPr>
        <w:t xml:space="preserve"> is </w:t>
      </w:r>
      <w:r w:rsidRPr="00BD4B85">
        <w:rPr>
          <w:b w:val="0"/>
        </w:rPr>
        <w:t>credited</w:t>
      </w:r>
      <w:r w:rsidR="00ED312D">
        <w:rPr>
          <w:b w:val="0"/>
        </w:rPr>
        <w:t xml:space="preserve"> to </w:t>
      </w:r>
      <w:r w:rsidRPr="00BD4B85">
        <w:rPr>
          <w:b w:val="0"/>
        </w:rPr>
        <w:t xml:space="preserve">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w:t>
      </w:r>
      <w:r w:rsidR="00ED312D" w:rsidRPr="00A161D9">
        <w:rPr>
          <w:rFonts w:ascii="Times New Roman" w:hAnsi="Times New Roman"/>
          <w:b/>
        </w:rPr>
        <w:t xml:space="preserve"> historical </w:t>
      </w:r>
      <w:r w:rsidRPr="00BD4B85">
        <w:rPr>
          <w:rFonts w:ascii="Times New Roman" w:hAnsi="Times New Roman"/>
          <w:b/>
          <w:bCs/>
        </w:rPr>
        <w:t>hydro</w:t>
      </w:r>
      <w:r>
        <w:rPr>
          <w:rFonts w:ascii="Times New Roman" w:hAnsi="Times New Roman"/>
          <w:b/>
          <w:bCs/>
        </w:rPr>
        <w:t xml:space="preserve">electric </w:t>
      </w:r>
      <w:r w:rsidRPr="00BD4B85">
        <w:rPr>
          <w:rFonts w:ascii="Times New Roman" w:hAnsi="Times New Roman"/>
          <w:b/>
          <w:bCs/>
        </w:rPr>
        <w:t>plant operations.</w:t>
      </w:r>
    </w:p>
    <w:p w:rsidR="00A77788" w:rsidRPr="00A77788" w:rsidRDefault="00A161D9" w:rsidP="00A77788">
      <w:pPr>
        <w:pStyle w:val="BodyTextIndent3"/>
        <w:tabs>
          <w:tab w:val="clear" w:pos="1260"/>
        </w:tabs>
        <w:rPr>
          <w:b w:val="0"/>
          <w:bCs w:val="0"/>
        </w:rPr>
      </w:pPr>
      <w:r>
        <w:rPr>
          <w:b w:val="0"/>
        </w:rPr>
        <w:t>A.</w:t>
      </w:r>
      <w:r>
        <w:rPr>
          <w:b w:val="0"/>
        </w:rPr>
        <w:tab/>
      </w:r>
      <w:r w:rsidR="00A9200C" w:rsidRPr="002B60EC">
        <w:rPr>
          <w:b w:val="0"/>
        </w:rPr>
        <w:t xml:space="preserve">Over the </w:t>
      </w:r>
      <w:r w:rsidR="00A9200C">
        <w:rPr>
          <w:b w:val="0"/>
        </w:rPr>
        <w:t>pro forma</w:t>
      </w:r>
      <w:r w:rsidR="00A9200C" w:rsidRPr="002B60EC">
        <w:rPr>
          <w:b w:val="0"/>
        </w:rPr>
        <w:t xml:space="preserve"> period the Dispatch Model </w:t>
      </w:r>
      <w:r w:rsidR="00A9200C">
        <w:rPr>
          <w:b w:val="0"/>
        </w:rPr>
        <w:t>generates</w:t>
      </w:r>
      <w:r w:rsidR="00A9200C" w:rsidRPr="00774D74">
        <w:rPr>
          <w:b w:val="0"/>
        </w:rPr>
        <w:t xml:space="preserve"> </w:t>
      </w:r>
      <w:r w:rsidR="00A9200C">
        <w:rPr>
          <w:b w:val="0"/>
        </w:rPr>
        <w:t>69</w:t>
      </w:r>
      <w:r w:rsidR="00C42835">
        <w:rPr>
          <w:b w:val="0"/>
        </w:rPr>
        <w:t xml:space="preserve"> percent</w:t>
      </w:r>
      <w:r w:rsidR="00A9200C" w:rsidRPr="002B60EC">
        <w:rPr>
          <w:b w:val="0"/>
        </w:rPr>
        <w:t xml:space="preserve"> of </w:t>
      </w:r>
      <w:r w:rsidR="00A9200C">
        <w:rPr>
          <w:b w:val="0"/>
        </w:rPr>
        <w:t xml:space="preserve">Clark Fork </w:t>
      </w:r>
      <w:r w:rsidR="00A9200C" w:rsidRPr="002B60EC">
        <w:rPr>
          <w:b w:val="0"/>
        </w:rPr>
        <w:t>hydro generation during on-peak hours</w:t>
      </w:r>
      <w:r w:rsidR="00A9200C">
        <w:rPr>
          <w:b w:val="0"/>
        </w:rPr>
        <w:t xml:space="preserve"> (based on </w:t>
      </w:r>
      <w:r w:rsidR="00ED312D">
        <w:rPr>
          <w:b w:val="0"/>
        </w:rPr>
        <w:t xml:space="preserve">the </w:t>
      </w:r>
      <w:r w:rsidR="00A9200C">
        <w:rPr>
          <w:b w:val="0"/>
        </w:rPr>
        <w:t xml:space="preserve">average </w:t>
      </w:r>
      <w:r w:rsidR="00ED312D">
        <w:rPr>
          <w:b w:val="0"/>
        </w:rPr>
        <w:t>of the 50 year hydro record</w:t>
      </w:r>
      <w:r w:rsidR="00A9200C">
        <w:rPr>
          <w:b w:val="0"/>
        </w:rPr>
        <w:t>)</w:t>
      </w:r>
      <w:r w:rsidR="00A9200C" w:rsidRPr="002B60EC">
        <w:rPr>
          <w:b w:val="0"/>
        </w:rPr>
        <w:t>.  Since on-peak hours represent only 57</w:t>
      </w:r>
      <w:r w:rsidR="00C42835">
        <w:rPr>
          <w:b w:val="0"/>
        </w:rPr>
        <w:t xml:space="preserve"> percent</w:t>
      </w:r>
      <w:r w:rsidR="00A9200C" w:rsidRPr="002B60EC">
        <w:rPr>
          <w:b w:val="0"/>
        </w:rPr>
        <w:t xml:space="preserve"> of the year, this demonstrates a substantial shift of hydro resources to the more </w:t>
      </w:r>
      <w:r w:rsidR="00C42835">
        <w:rPr>
          <w:b w:val="0"/>
        </w:rPr>
        <w:t>valuable</w:t>
      </w:r>
      <w:r w:rsidR="00A9200C" w:rsidRPr="002B60EC">
        <w:rPr>
          <w:b w:val="0"/>
        </w:rPr>
        <w:t xml:space="preserve"> on-peak hours.  </w:t>
      </w:r>
      <w:r w:rsidR="00A9200C">
        <w:rPr>
          <w:b w:val="0"/>
        </w:rPr>
        <w:t xml:space="preserve">This is identical to the </w:t>
      </w:r>
      <w:r w:rsidR="00A9200C" w:rsidRPr="002B60EC">
        <w:rPr>
          <w:b w:val="0"/>
        </w:rPr>
        <w:t xml:space="preserve">5-year average of on-peak hydroelectric generation </w:t>
      </w:r>
      <w:r w:rsidR="00A9200C">
        <w:rPr>
          <w:b w:val="0"/>
        </w:rPr>
        <w:t xml:space="preserve">at the Clark Fork </w:t>
      </w:r>
      <w:r w:rsidR="00A9200C" w:rsidRPr="002B60EC">
        <w:rPr>
          <w:b w:val="0"/>
        </w:rPr>
        <w:t>through 200</w:t>
      </w:r>
      <w:r w:rsidR="00A9200C">
        <w:rPr>
          <w:b w:val="0"/>
        </w:rPr>
        <w:t>9</w:t>
      </w:r>
      <w:r w:rsidR="00A9200C" w:rsidRPr="002B60EC">
        <w:rPr>
          <w:b w:val="0"/>
        </w:rPr>
        <w:t>.</w:t>
      </w:r>
      <w:r w:rsidR="00A9200C">
        <w:rPr>
          <w:b w:val="0"/>
        </w:rPr>
        <w:t xml:space="preserve">  Similar performance is achieved for the Spokane and Mid-Columbia projects</w:t>
      </w:r>
      <w:r w:rsidR="00A77788">
        <w:rPr>
          <w:b w:val="0"/>
        </w:rPr>
        <w:t>.</w:t>
      </w:r>
      <w:r w:rsidR="00A77788">
        <w:rPr>
          <w:u w:val="single"/>
        </w:rPr>
        <w:br w:type="page"/>
      </w:r>
    </w:p>
    <w:p w:rsidR="002F239B" w:rsidRPr="002B60EC" w:rsidRDefault="002F239B" w:rsidP="002F239B">
      <w:pPr>
        <w:pStyle w:val="BodyTextIndent3"/>
        <w:tabs>
          <w:tab w:val="clear" w:pos="1260"/>
        </w:tabs>
        <w:ind w:firstLine="0"/>
        <w:jc w:val="center"/>
        <w:rPr>
          <w:u w:val="single"/>
        </w:rPr>
      </w:pPr>
      <w:r>
        <w:rPr>
          <w:u w:val="single"/>
        </w:rPr>
        <w:lastRenderedPageBreak/>
        <w:t>IV</w:t>
      </w:r>
      <w:r w:rsidRPr="002B60EC">
        <w:rPr>
          <w:u w:val="single"/>
        </w:rPr>
        <w:t xml:space="preserve">. </w:t>
      </w:r>
      <w:r w:rsidR="00285E86">
        <w:rPr>
          <w:u w:val="single"/>
        </w:rPr>
        <w:t xml:space="preserve"> </w:t>
      </w:r>
      <w:r>
        <w:rPr>
          <w:u w:val="single"/>
        </w:rPr>
        <w:t xml:space="preserve">HYDRO </w:t>
      </w:r>
      <w:r w:rsidR="00764092">
        <w:rPr>
          <w:u w:val="single"/>
        </w:rPr>
        <w:t>BIASING</w:t>
      </w:r>
    </w:p>
    <w:p w:rsidR="002F239B" w:rsidRPr="00A9200C" w:rsidRDefault="002C1D71" w:rsidP="00D47744">
      <w:pPr>
        <w:pStyle w:val="BodyTextIndent3"/>
        <w:tabs>
          <w:tab w:val="clear" w:pos="1260"/>
          <w:tab w:val="left" w:pos="1440"/>
        </w:tabs>
      </w:pPr>
      <w:r>
        <w:t>Q.</w:t>
      </w:r>
      <w:r>
        <w:tab/>
      </w:r>
      <w:r w:rsidR="00C42835">
        <w:t xml:space="preserve">What </w:t>
      </w:r>
      <w:r w:rsidR="00F049B6">
        <w:t>is Hydro Biasing</w:t>
      </w:r>
      <w:r w:rsidR="00FF2BAA">
        <w:t>,</w:t>
      </w:r>
      <w:r>
        <w:t xml:space="preserve"> and what </w:t>
      </w:r>
      <w:r w:rsidR="00FF2BAA">
        <w:t>is the Company’s position on it</w:t>
      </w:r>
      <w:r w:rsidR="001B1148">
        <w:t>?</w:t>
      </w:r>
    </w:p>
    <w:p w:rsidR="002F239B" w:rsidRDefault="002C1D71" w:rsidP="00D47744">
      <w:pPr>
        <w:pStyle w:val="BodyTextIndent3"/>
        <w:tabs>
          <w:tab w:val="clear" w:pos="1260"/>
        </w:tabs>
        <w:rPr>
          <w:b w:val="0"/>
        </w:rPr>
      </w:pPr>
      <w:r>
        <w:rPr>
          <w:b w:val="0"/>
        </w:rPr>
        <w:t>A.</w:t>
      </w:r>
      <w:r>
        <w:rPr>
          <w:b w:val="0"/>
        </w:rPr>
        <w:tab/>
      </w:r>
      <w:r w:rsidR="00F049B6">
        <w:rPr>
          <w:b w:val="0"/>
        </w:rPr>
        <w:t xml:space="preserve">In recent cases certain parties have proposed </w:t>
      </w:r>
      <w:r w:rsidR="001B1148">
        <w:rPr>
          <w:b w:val="0"/>
        </w:rPr>
        <w:t>selective</w:t>
      </w:r>
      <w:r w:rsidR="00F049B6">
        <w:rPr>
          <w:b w:val="0"/>
        </w:rPr>
        <w:t>ly removing</w:t>
      </w:r>
      <w:r w:rsidR="001B1148">
        <w:rPr>
          <w:b w:val="0"/>
        </w:rPr>
        <w:t xml:space="preserve"> portions of the full </w:t>
      </w:r>
      <w:r>
        <w:rPr>
          <w:b w:val="0"/>
        </w:rPr>
        <w:t>stream f</w:t>
      </w:r>
      <w:r w:rsidR="001B1148">
        <w:rPr>
          <w:b w:val="0"/>
        </w:rPr>
        <w:t xml:space="preserve">low record if those portions exceed certain </w:t>
      </w:r>
      <w:r w:rsidR="00CB2615">
        <w:rPr>
          <w:b w:val="0"/>
        </w:rPr>
        <w:t>criteria, hereinafter referred to as “Hydro Biasing</w:t>
      </w:r>
      <w:r w:rsidR="001B1148">
        <w:rPr>
          <w:b w:val="0"/>
        </w:rPr>
        <w:t>.</w:t>
      </w:r>
      <w:r w:rsidR="00CB2615">
        <w:rPr>
          <w:b w:val="0"/>
        </w:rPr>
        <w:t>”</w:t>
      </w:r>
      <w:r w:rsidR="001B1148">
        <w:rPr>
          <w:b w:val="0"/>
        </w:rPr>
        <w:t xml:space="preserve">  </w:t>
      </w:r>
      <w:r>
        <w:rPr>
          <w:b w:val="0"/>
        </w:rPr>
        <w:t xml:space="preserve">With </w:t>
      </w:r>
      <w:r w:rsidR="00CB2615">
        <w:rPr>
          <w:b w:val="0"/>
        </w:rPr>
        <w:t xml:space="preserve">recent modifications to incorporate asymmetry in the sharing bands of </w:t>
      </w:r>
      <w:r>
        <w:rPr>
          <w:b w:val="0"/>
        </w:rPr>
        <w:t xml:space="preserve">the Energy Recovery Mechanism, Hydro Biasing is a solution to a problem that no longer exists. </w:t>
      </w:r>
      <w:r w:rsidRPr="002C1D71">
        <w:rPr>
          <w:b w:val="0"/>
        </w:rPr>
        <w:t xml:space="preserve"> </w:t>
      </w:r>
      <w:r>
        <w:rPr>
          <w:b w:val="0"/>
        </w:rPr>
        <w:t xml:space="preserve">Further, Hydro Biasing creates a </w:t>
      </w:r>
      <w:r w:rsidR="00CB2615">
        <w:rPr>
          <w:b w:val="0"/>
        </w:rPr>
        <w:t xml:space="preserve">continuing </w:t>
      </w:r>
      <w:r>
        <w:rPr>
          <w:b w:val="0"/>
        </w:rPr>
        <w:t>under-representation of our expected future costs, and it thereby prevents the Company from a reasonable opportunity to earn a fair return on its investments.</w:t>
      </w:r>
    </w:p>
    <w:p w:rsidR="002F239B" w:rsidRDefault="002F239B" w:rsidP="00D47744">
      <w:pPr>
        <w:pStyle w:val="BodyTextIndent3"/>
        <w:tabs>
          <w:tab w:val="clear" w:pos="1260"/>
        </w:tabs>
        <w:rPr>
          <w:b w:val="0"/>
        </w:rPr>
      </w:pPr>
      <w:r>
        <w:t>Q.</w:t>
      </w:r>
      <w:r>
        <w:tab/>
      </w:r>
      <w:r w:rsidR="00F049B6">
        <w:t>What is the nature of the recent Hydro Biasing proposals?</w:t>
      </w:r>
    </w:p>
    <w:p w:rsidR="00305D48" w:rsidRDefault="002F239B" w:rsidP="00D47744">
      <w:pPr>
        <w:pStyle w:val="BodyTextIndent3"/>
        <w:tabs>
          <w:tab w:val="clear" w:pos="1260"/>
        </w:tabs>
        <w:rPr>
          <w:b w:val="0"/>
        </w:rPr>
      </w:pPr>
      <w:r>
        <w:rPr>
          <w:b w:val="0"/>
        </w:rPr>
        <w:t>A.</w:t>
      </w:r>
      <w:r>
        <w:rPr>
          <w:b w:val="0"/>
        </w:rPr>
        <w:tab/>
      </w:r>
      <w:r w:rsidR="00F049B6">
        <w:rPr>
          <w:b w:val="0"/>
        </w:rPr>
        <w:t>T</w:t>
      </w:r>
      <w:r>
        <w:rPr>
          <w:b w:val="0"/>
        </w:rPr>
        <w:t xml:space="preserve">wo approaches </w:t>
      </w:r>
      <w:r w:rsidR="00F049B6">
        <w:rPr>
          <w:b w:val="0"/>
        </w:rPr>
        <w:t>have be</w:t>
      </w:r>
      <w:r w:rsidR="001B1148">
        <w:rPr>
          <w:b w:val="0"/>
        </w:rPr>
        <w:t>e</w:t>
      </w:r>
      <w:r w:rsidR="00F049B6">
        <w:rPr>
          <w:b w:val="0"/>
        </w:rPr>
        <w:t>n</w:t>
      </w:r>
      <w:r w:rsidR="001B1148">
        <w:rPr>
          <w:b w:val="0"/>
        </w:rPr>
        <w:t xml:space="preserve"> </w:t>
      </w:r>
      <w:r w:rsidR="00CB2615">
        <w:rPr>
          <w:b w:val="0"/>
        </w:rPr>
        <w:t>previously suggested</w:t>
      </w:r>
      <w:r w:rsidR="001B1148">
        <w:rPr>
          <w:b w:val="0"/>
        </w:rPr>
        <w:t>.</w:t>
      </w:r>
      <w:r>
        <w:rPr>
          <w:b w:val="0"/>
        </w:rPr>
        <w:t xml:space="preserve">  The first </w:t>
      </w:r>
      <w:r w:rsidR="001B1148">
        <w:rPr>
          <w:b w:val="0"/>
        </w:rPr>
        <w:t xml:space="preserve">approach </w:t>
      </w:r>
      <w:r>
        <w:rPr>
          <w:b w:val="0"/>
        </w:rPr>
        <w:t xml:space="preserve">is a simple </w:t>
      </w:r>
      <w:r w:rsidR="00764092">
        <w:rPr>
          <w:b w:val="0"/>
        </w:rPr>
        <w:t>removal</w:t>
      </w:r>
      <w:r>
        <w:rPr>
          <w:b w:val="0"/>
        </w:rPr>
        <w:t xml:space="preserve"> </w:t>
      </w:r>
      <w:r w:rsidR="00305D48">
        <w:rPr>
          <w:b w:val="0"/>
        </w:rPr>
        <w:t xml:space="preserve">of </w:t>
      </w:r>
      <w:r w:rsidR="00101535">
        <w:rPr>
          <w:b w:val="0"/>
        </w:rPr>
        <w:t>all</w:t>
      </w:r>
      <w:r w:rsidR="00305D48">
        <w:rPr>
          <w:b w:val="0"/>
        </w:rPr>
        <w:t xml:space="preserve"> </w:t>
      </w:r>
      <w:r w:rsidR="00764092">
        <w:rPr>
          <w:b w:val="0"/>
        </w:rPr>
        <w:t xml:space="preserve">water </w:t>
      </w:r>
      <w:r w:rsidR="00764092" w:rsidRPr="000609B7">
        <w:rPr>
          <w:b w:val="0"/>
          <w:u w:val="single"/>
        </w:rPr>
        <w:t>years</w:t>
      </w:r>
      <w:r w:rsidR="00764092">
        <w:rPr>
          <w:b w:val="0"/>
        </w:rPr>
        <w:t xml:space="preserve"> in </w:t>
      </w:r>
      <w:r w:rsidR="00305D48">
        <w:rPr>
          <w:b w:val="0"/>
        </w:rPr>
        <w:t>the hydroelectric record</w:t>
      </w:r>
      <w:r w:rsidR="00764092">
        <w:rPr>
          <w:b w:val="0"/>
        </w:rPr>
        <w:t xml:space="preserve"> that fall outside of some </w:t>
      </w:r>
      <w:r w:rsidR="001B1148">
        <w:rPr>
          <w:b w:val="0"/>
        </w:rPr>
        <w:t xml:space="preserve">specified </w:t>
      </w:r>
      <w:r w:rsidR="00764092">
        <w:rPr>
          <w:b w:val="0"/>
        </w:rPr>
        <w:t>range</w:t>
      </w:r>
      <w:r w:rsidR="00305D48">
        <w:rPr>
          <w:b w:val="0"/>
        </w:rPr>
        <w:t xml:space="preserve">.  The second </w:t>
      </w:r>
      <w:r w:rsidR="001B1148">
        <w:rPr>
          <w:b w:val="0"/>
        </w:rPr>
        <w:t xml:space="preserve">approach </w:t>
      </w:r>
      <w:r w:rsidR="00305D48">
        <w:rPr>
          <w:b w:val="0"/>
        </w:rPr>
        <w:t xml:space="preserve">is </w:t>
      </w:r>
      <w:r w:rsidR="00764092">
        <w:rPr>
          <w:b w:val="0"/>
        </w:rPr>
        <w:t xml:space="preserve">removing specific </w:t>
      </w:r>
      <w:r w:rsidR="002C1D71" w:rsidRPr="000609B7">
        <w:rPr>
          <w:b w:val="0"/>
          <w:u w:val="single"/>
        </w:rPr>
        <w:t>months</w:t>
      </w:r>
      <w:r w:rsidR="002C1D71">
        <w:rPr>
          <w:b w:val="0"/>
        </w:rPr>
        <w:t xml:space="preserve"> from</w:t>
      </w:r>
      <w:r w:rsidR="00305D48">
        <w:rPr>
          <w:b w:val="0"/>
        </w:rPr>
        <w:t xml:space="preserve"> the hydroelectric record</w:t>
      </w:r>
      <w:r w:rsidR="00764092">
        <w:rPr>
          <w:b w:val="0"/>
        </w:rPr>
        <w:t xml:space="preserve"> where </w:t>
      </w:r>
      <w:r w:rsidR="00101535">
        <w:rPr>
          <w:b w:val="0"/>
        </w:rPr>
        <w:t xml:space="preserve">they fall </w:t>
      </w:r>
      <w:r w:rsidR="00764092">
        <w:rPr>
          <w:b w:val="0"/>
        </w:rPr>
        <w:t xml:space="preserve">outside of </w:t>
      </w:r>
      <w:r w:rsidR="001B1148">
        <w:rPr>
          <w:b w:val="0"/>
        </w:rPr>
        <w:t xml:space="preserve">a given </w:t>
      </w:r>
      <w:r w:rsidR="00764092">
        <w:rPr>
          <w:b w:val="0"/>
        </w:rPr>
        <w:t>range</w:t>
      </w:r>
      <w:r w:rsidR="00305D48">
        <w:rPr>
          <w:b w:val="0"/>
        </w:rPr>
        <w:t>.</w:t>
      </w:r>
    </w:p>
    <w:p w:rsidR="00EF753A" w:rsidRDefault="00305D48" w:rsidP="00D47744">
      <w:pPr>
        <w:pStyle w:val="BodyTextIndent3"/>
        <w:tabs>
          <w:tab w:val="clear" w:pos="1260"/>
        </w:tabs>
        <w:rPr>
          <w:b w:val="0"/>
        </w:rPr>
      </w:pPr>
      <w:r>
        <w:rPr>
          <w:b w:val="0"/>
        </w:rPr>
        <w:t xml:space="preserve">Once an approach has been identified, the level of </w:t>
      </w:r>
      <w:r w:rsidR="00764092">
        <w:rPr>
          <w:b w:val="0"/>
        </w:rPr>
        <w:t xml:space="preserve">biasing </w:t>
      </w:r>
      <w:r>
        <w:rPr>
          <w:b w:val="0"/>
        </w:rPr>
        <w:t xml:space="preserve">has to be decided.  For example, </w:t>
      </w:r>
      <w:r w:rsidR="00CB2615">
        <w:rPr>
          <w:b w:val="0"/>
        </w:rPr>
        <w:t xml:space="preserve">using </w:t>
      </w:r>
      <w:r w:rsidR="00CB2615" w:rsidRPr="00CB2615">
        <w:rPr>
          <w:b w:val="0"/>
          <w:u w:val="single"/>
        </w:rPr>
        <w:t>annual</w:t>
      </w:r>
      <w:r w:rsidR="00CB2615">
        <w:rPr>
          <w:b w:val="0"/>
        </w:rPr>
        <w:t xml:space="preserve"> </w:t>
      </w:r>
      <w:r w:rsidR="00D313D7">
        <w:rPr>
          <w:b w:val="0"/>
        </w:rPr>
        <w:t>Hydro B</w:t>
      </w:r>
      <w:r w:rsidR="00764092">
        <w:rPr>
          <w:b w:val="0"/>
        </w:rPr>
        <w:t xml:space="preserve">iasing </w:t>
      </w:r>
      <w:r>
        <w:rPr>
          <w:b w:val="0"/>
        </w:rPr>
        <w:t xml:space="preserve">at </w:t>
      </w:r>
      <w:r w:rsidR="00CB2615">
        <w:rPr>
          <w:b w:val="0"/>
        </w:rPr>
        <w:t>“</w:t>
      </w:r>
      <w:r>
        <w:rPr>
          <w:b w:val="0"/>
        </w:rPr>
        <w:t>one standard deviation</w:t>
      </w:r>
      <w:r w:rsidR="00CB2615">
        <w:rPr>
          <w:b w:val="0"/>
        </w:rPr>
        <w:t>”</w:t>
      </w:r>
      <w:r>
        <w:rPr>
          <w:b w:val="0"/>
        </w:rPr>
        <w:t xml:space="preserve"> would eliminate nearly half </w:t>
      </w:r>
      <w:r w:rsidR="00F049B6">
        <w:rPr>
          <w:b w:val="0"/>
        </w:rPr>
        <w:t>(</w:t>
      </w:r>
      <w:r w:rsidR="00D53905">
        <w:rPr>
          <w:b w:val="0"/>
        </w:rPr>
        <w:t xml:space="preserve">23 years, or </w:t>
      </w:r>
      <w:r w:rsidR="00F049B6" w:rsidRPr="00CB2615">
        <w:rPr>
          <w:b w:val="0"/>
          <w:u w:val="single"/>
        </w:rPr>
        <w:t>46</w:t>
      </w:r>
      <w:r w:rsidR="00940D7B" w:rsidRPr="00CB2615">
        <w:rPr>
          <w:b w:val="0"/>
          <w:u w:val="single"/>
        </w:rPr>
        <w:t xml:space="preserve"> percent</w:t>
      </w:r>
      <w:r w:rsidR="00F049B6">
        <w:rPr>
          <w:b w:val="0"/>
        </w:rPr>
        <w:t xml:space="preserve">) </w:t>
      </w:r>
      <w:r>
        <w:rPr>
          <w:b w:val="0"/>
        </w:rPr>
        <w:t>of the 50-year hydroelectric record</w:t>
      </w:r>
      <w:r w:rsidR="00EF753A">
        <w:rPr>
          <w:b w:val="0"/>
        </w:rPr>
        <w:t xml:space="preserve"> accepted by this Commission.</w:t>
      </w:r>
      <w:r w:rsidR="00CB2615">
        <w:rPr>
          <w:rStyle w:val="FootnoteReference"/>
          <w:b w:val="0"/>
        </w:rPr>
        <w:footnoteReference w:id="1"/>
      </w:r>
      <w:r w:rsidR="00EF753A">
        <w:rPr>
          <w:b w:val="0"/>
        </w:rPr>
        <w:t xml:space="preserve">  </w:t>
      </w:r>
      <w:r w:rsidR="00D313D7">
        <w:rPr>
          <w:b w:val="0"/>
        </w:rPr>
        <w:t xml:space="preserve">Hydro </w:t>
      </w:r>
      <w:r w:rsidR="00764092">
        <w:rPr>
          <w:b w:val="0"/>
        </w:rPr>
        <w:t xml:space="preserve">Biasing </w:t>
      </w:r>
      <w:r>
        <w:rPr>
          <w:b w:val="0"/>
        </w:rPr>
        <w:t xml:space="preserve">at the same level on a </w:t>
      </w:r>
      <w:r w:rsidRPr="00D313D7">
        <w:rPr>
          <w:b w:val="0"/>
          <w:u w:val="single"/>
        </w:rPr>
        <w:t>monthly</w:t>
      </w:r>
      <w:r>
        <w:rPr>
          <w:b w:val="0"/>
        </w:rPr>
        <w:t xml:space="preserve"> basis eliminates between 16</w:t>
      </w:r>
      <w:r w:rsidR="001B1148">
        <w:rPr>
          <w:b w:val="0"/>
        </w:rPr>
        <w:t xml:space="preserve"> percent</w:t>
      </w:r>
      <w:r w:rsidR="002C1D71">
        <w:rPr>
          <w:b w:val="0"/>
        </w:rPr>
        <w:t xml:space="preserve"> and 4</w:t>
      </w:r>
      <w:r w:rsidR="00F049B6">
        <w:rPr>
          <w:b w:val="0"/>
        </w:rPr>
        <w:t>4</w:t>
      </w:r>
      <w:r w:rsidR="001B1148">
        <w:rPr>
          <w:b w:val="0"/>
        </w:rPr>
        <w:t xml:space="preserve"> percent</w:t>
      </w:r>
      <w:r>
        <w:rPr>
          <w:b w:val="0"/>
        </w:rPr>
        <w:t xml:space="preserve"> of the </w:t>
      </w:r>
      <w:r w:rsidR="00EF753A">
        <w:rPr>
          <w:b w:val="0"/>
        </w:rPr>
        <w:t xml:space="preserve">50-year hydrological </w:t>
      </w:r>
      <w:r>
        <w:rPr>
          <w:b w:val="0"/>
        </w:rPr>
        <w:t>record</w:t>
      </w:r>
      <w:r w:rsidR="00EF753A">
        <w:rPr>
          <w:b w:val="0"/>
        </w:rPr>
        <w:t xml:space="preserve">, </w:t>
      </w:r>
      <w:r>
        <w:rPr>
          <w:b w:val="0"/>
        </w:rPr>
        <w:t xml:space="preserve">depending upon the month.  In total, nearly a third of the months are removed when looked at from a </w:t>
      </w:r>
      <w:r w:rsidRPr="00D313D7">
        <w:rPr>
          <w:b w:val="0"/>
          <w:u w:val="single"/>
        </w:rPr>
        <w:t>monthly</w:t>
      </w:r>
      <w:r>
        <w:rPr>
          <w:b w:val="0"/>
        </w:rPr>
        <w:t xml:space="preserve"> </w:t>
      </w:r>
      <w:r w:rsidR="00D313D7">
        <w:rPr>
          <w:b w:val="0"/>
        </w:rPr>
        <w:t>Hydro B</w:t>
      </w:r>
      <w:r w:rsidR="00764092">
        <w:rPr>
          <w:b w:val="0"/>
        </w:rPr>
        <w:t xml:space="preserve">iasing </w:t>
      </w:r>
      <w:r>
        <w:rPr>
          <w:b w:val="0"/>
        </w:rPr>
        <w:t>basis at one standard deviation</w:t>
      </w:r>
      <w:r w:rsidR="00AF4C55">
        <w:rPr>
          <w:b w:val="0"/>
        </w:rPr>
        <w:t>.</w:t>
      </w:r>
    </w:p>
    <w:p w:rsidR="00305D48" w:rsidRDefault="00305D48" w:rsidP="00D47744">
      <w:pPr>
        <w:pStyle w:val="BodyTextIndent3"/>
        <w:tabs>
          <w:tab w:val="clear" w:pos="1260"/>
        </w:tabs>
        <w:rPr>
          <w:b w:val="0"/>
        </w:rPr>
      </w:pPr>
      <w:r>
        <w:lastRenderedPageBreak/>
        <w:t>Q.</w:t>
      </w:r>
      <w:r>
        <w:tab/>
      </w:r>
      <w:r w:rsidR="008F6BDE">
        <w:t>Does the Company believe it makes sense to eliminate as much as 4</w:t>
      </w:r>
      <w:r w:rsidR="00F049B6">
        <w:t>6</w:t>
      </w:r>
      <w:r w:rsidR="001B1148">
        <w:t xml:space="preserve"> percent</w:t>
      </w:r>
      <w:r w:rsidR="008F6BDE">
        <w:t xml:space="preserve"> of the historical record in setting rates?</w:t>
      </w:r>
      <w:r w:rsidR="001B1148">
        <w:t xml:space="preserve"> </w:t>
      </w:r>
    </w:p>
    <w:p w:rsidR="008F6BDE" w:rsidRDefault="008F6BDE" w:rsidP="00D47744">
      <w:pPr>
        <w:pStyle w:val="BodyTextIndent3"/>
        <w:tabs>
          <w:tab w:val="clear" w:pos="1260"/>
        </w:tabs>
        <w:rPr>
          <w:b w:val="0"/>
        </w:rPr>
      </w:pPr>
      <w:r>
        <w:rPr>
          <w:b w:val="0"/>
        </w:rPr>
        <w:t>A.</w:t>
      </w:r>
      <w:r>
        <w:rPr>
          <w:b w:val="0"/>
        </w:rPr>
        <w:tab/>
        <w:t xml:space="preserve">No.  </w:t>
      </w:r>
      <w:r w:rsidR="00AF4C55">
        <w:rPr>
          <w:b w:val="0"/>
        </w:rPr>
        <w:t>Hard bargaining in recent cases has</w:t>
      </w:r>
      <w:r w:rsidR="00CB2615">
        <w:rPr>
          <w:b w:val="0"/>
        </w:rPr>
        <w:t xml:space="preserve"> resulted in </w:t>
      </w:r>
      <w:r w:rsidR="00A37CBF">
        <w:rPr>
          <w:b w:val="0"/>
        </w:rPr>
        <w:t xml:space="preserve">settlements that </w:t>
      </w:r>
      <w:r w:rsidR="00CB2615">
        <w:rPr>
          <w:b w:val="0"/>
        </w:rPr>
        <w:t>use a water-</w:t>
      </w:r>
      <w:r w:rsidR="00AF4C55">
        <w:rPr>
          <w:b w:val="0"/>
        </w:rPr>
        <w:t xml:space="preserve">year record from 1929 through 1978.  This period excludes a substantial percentage of the </w:t>
      </w:r>
      <w:r>
        <w:rPr>
          <w:b w:val="0"/>
        </w:rPr>
        <w:t>historical record after 1978, or 38</w:t>
      </w:r>
      <w:r w:rsidR="001B1148">
        <w:rPr>
          <w:b w:val="0"/>
        </w:rPr>
        <w:t xml:space="preserve"> percent</w:t>
      </w:r>
      <w:r>
        <w:rPr>
          <w:b w:val="0"/>
        </w:rPr>
        <w:t xml:space="preserve"> (31 years) of </w:t>
      </w:r>
      <w:r w:rsidR="002C1D71">
        <w:rPr>
          <w:b w:val="0"/>
        </w:rPr>
        <w:t xml:space="preserve">available </w:t>
      </w:r>
      <w:r>
        <w:rPr>
          <w:b w:val="0"/>
        </w:rPr>
        <w:t>data.  Eliminating another 4</w:t>
      </w:r>
      <w:r w:rsidR="00F049B6">
        <w:rPr>
          <w:b w:val="0"/>
        </w:rPr>
        <w:t>6</w:t>
      </w:r>
      <w:r w:rsidR="001B1148">
        <w:rPr>
          <w:b w:val="0"/>
        </w:rPr>
        <w:t xml:space="preserve"> percent</w:t>
      </w:r>
      <w:r>
        <w:rPr>
          <w:b w:val="0"/>
        </w:rPr>
        <w:t xml:space="preserve"> through </w:t>
      </w:r>
      <w:r w:rsidR="001C6AD1">
        <w:rPr>
          <w:b w:val="0"/>
        </w:rPr>
        <w:t>Hydro Biasing</w:t>
      </w:r>
      <w:r>
        <w:rPr>
          <w:b w:val="0"/>
        </w:rPr>
        <w:t xml:space="preserve"> </w:t>
      </w:r>
      <w:r w:rsidR="00D313D7">
        <w:rPr>
          <w:b w:val="0"/>
        </w:rPr>
        <w:t xml:space="preserve">as described above </w:t>
      </w:r>
      <w:r>
        <w:rPr>
          <w:b w:val="0"/>
        </w:rPr>
        <w:t xml:space="preserve">would mean that the Commission would be setting rates for the Company based on </w:t>
      </w:r>
      <w:r w:rsidR="00AF4C55">
        <w:rPr>
          <w:b w:val="0"/>
        </w:rPr>
        <w:t xml:space="preserve">one </w:t>
      </w:r>
      <w:r>
        <w:rPr>
          <w:b w:val="0"/>
        </w:rPr>
        <w:t>one-third (</w:t>
      </w:r>
      <w:r w:rsidR="00F049B6">
        <w:rPr>
          <w:b w:val="0"/>
        </w:rPr>
        <w:t>27 years</w:t>
      </w:r>
      <w:r>
        <w:rPr>
          <w:b w:val="0"/>
        </w:rPr>
        <w:t xml:space="preserve">) of the 81-year historical record.  </w:t>
      </w:r>
      <w:r w:rsidR="00AF4C55">
        <w:rPr>
          <w:b w:val="0"/>
        </w:rPr>
        <w:t xml:space="preserve">We believe this is not reasonable or statistically supportable for ratemaking purposes.  It </w:t>
      </w:r>
      <w:r w:rsidR="000609B7">
        <w:rPr>
          <w:b w:val="0"/>
        </w:rPr>
        <w:t xml:space="preserve">also has adverse economic </w:t>
      </w:r>
      <w:r w:rsidR="00AF4C55">
        <w:rPr>
          <w:b w:val="0"/>
        </w:rPr>
        <w:t>consequences for the Company that I will explain later in my testimony</w:t>
      </w:r>
      <w:r>
        <w:rPr>
          <w:b w:val="0"/>
        </w:rPr>
        <w:t>.</w:t>
      </w:r>
      <w:r w:rsidR="002C1D71">
        <w:rPr>
          <w:b w:val="0"/>
        </w:rPr>
        <w:t xml:space="preserve"> </w:t>
      </w:r>
      <w:r w:rsidR="001B1148">
        <w:rPr>
          <w:b w:val="0"/>
        </w:rPr>
        <w:t xml:space="preserve"> </w:t>
      </w:r>
      <w:r>
        <w:rPr>
          <w:b w:val="0"/>
        </w:rPr>
        <w:t xml:space="preserve">Further, the present Energy Recovery Mechanism (ERM) </w:t>
      </w:r>
      <w:r w:rsidR="000609B7">
        <w:rPr>
          <w:b w:val="0"/>
        </w:rPr>
        <w:t xml:space="preserve">already addresses the </w:t>
      </w:r>
      <w:r>
        <w:rPr>
          <w:b w:val="0"/>
        </w:rPr>
        <w:t>concern</w:t>
      </w:r>
      <w:r w:rsidR="00AF4C55">
        <w:rPr>
          <w:b w:val="0"/>
        </w:rPr>
        <w:t>s</w:t>
      </w:r>
      <w:r>
        <w:rPr>
          <w:b w:val="0"/>
        </w:rPr>
        <w:t xml:space="preserve"> that </w:t>
      </w:r>
      <w:r w:rsidR="00AF4C55">
        <w:rPr>
          <w:b w:val="0"/>
        </w:rPr>
        <w:t xml:space="preserve">these parties </w:t>
      </w:r>
      <w:r>
        <w:rPr>
          <w:b w:val="0"/>
        </w:rPr>
        <w:t xml:space="preserve">believe </w:t>
      </w:r>
      <w:r w:rsidR="00AF4C55">
        <w:rPr>
          <w:b w:val="0"/>
        </w:rPr>
        <w:t xml:space="preserve">are corrected by using a </w:t>
      </w:r>
      <w:r w:rsidR="001C6AD1">
        <w:rPr>
          <w:b w:val="0"/>
        </w:rPr>
        <w:t>Hydro Biasing</w:t>
      </w:r>
      <w:r w:rsidR="00764092">
        <w:rPr>
          <w:b w:val="0"/>
        </w:rPr>
        <w:t xml:space="preserve"> </w:t>
      </w:r>
      <w:r w:rsidR="00AF4C55">
        <w:rPr>
          <w:b w:val="0"/>
        </w:rPr>
        <w:t>concept</w:t>
      </w:r>
      <w:r>
        <w:rPr>
          <w:b w:val="0"/>
        </w:rPr>
        <w:t>.</w:t>
      </w:r>
    </w:p>
    <w:p w:rsidR="008F6BDE" w:rsidRDefault="008F6BDE" w:rsidP="00D47744">
      <w:pPr>
        <w:pStyle w:val="BodyTextIndent3"/>
        <w:tabs>
          <w:tab w:val="clear" w:pos="1260"/>
        </w:tabs>
      </w:pPr>
      <w:r>
        <w:t>Q.</w:t>
      </w:r>
      <w:r>
        <w:tab/>
        <w:t xml:space="preserve">What </w:t>
      </w:r>
      <w:r w:rsidR="00AF4C55">
        <w:t>are</w:t>
      </w:r>
      <w:r>
        <w:t xml:space="preserve"> the concern</w:t>
      </w:r>
      <w:r w:rsidR="00AF4C55">
        <w:t>s</w:t>
      </w:r>
      <w:r>
        <w:t xml:space="preserve"> that </w:t>
      </w:r>
      <w:r w:rsidR="00AF4C55">
        <w:t xml:space="preserve">have </w:t>
      </w:r>
      <w:r>
        <w:t>been remedied by the ERM?</w:t>
      </w:r>
    </w:p>
    <w:p w:rsidR="00505E42" w:rsidRDefault="008F6BDE" w:rsidP="00D47744">
      <w:pPr>
        <w:pStyle w:val="BodyTextIndent3"/>
        <w:tabs>
          <w:tab w:val="clear" w:pos="1260"/>
        </w:tabs>
        <w:rPr>
          <w:b w:val="0"/>
        </w:rPr>
      </w:pPr>
      <w:r w:rsidRPr="008F6BDE">
        <w:rPr>
          <w:b w:val="0"/>
        </w:rPr>
        <w:t>A.</w:t>
      </w:r>
      <w:r w:rsidRPr="008F6BDE">
        <w:rPr>
          <w:b w:val="0"/>
        </w:rPr>
        <w:tab/>
      </w:r>
      <w:r w:rsidR="00505E42">
        <w:rPr>
          <w:b w:val="0"/>
        </w:rPr>
        <w:t xml:space="preserve">The Company is aware of two primary concerns related to the over-collection of revenue relative to </w:t>
      </w:r>
      <w:proofErr w:type="spellStart"/>
      <w:r w:rsidR="00505E42">
        <w:rPr>
          <w:b w:val="0"/>
        </w:rPr>
        <w:t>proforma</w:t>
      </w:r>
      <w:proofErr w:type="spellEnd"/>
      <w:r w:rsidR="00505E42">
        <w:rPr>
          <w:b w:val="0"/>
        </w:rPr>
        <w:t xml:space="preserve"> expenses.  The first concern is that</w:t>
      </w:r>
      <w:r w:rsidR="00D313D7">
        <w:rPr>
          <w:b w:val="0"/>
        </w:rPr>
        <w:t>,</w:t>
      </w:r>
      <w:r w:rsidR="00505E42">
        <w:rPr>
          <w:b w:val="0"/>
        </w:rPr>
        <w:t xml:space="preserve"> </w:t>
      </w:r>
      <w:r w:rsidR="00D313D7">
        <w:rPr>
          <w:b w:val="0"/>
        </w:rPr>
        <w:t>without a Hydro B</w:t>
      </w:r>
      <w:r w:rsidR="00764092">
        <w:rPr>
          <w:b w:val="0"/>
        </w:rPr>
        <w:t>iasing</w:t>
      </w:r>
      <w:r w:rsidR="00D313D7">
        <w:rPr>
          <w:b w:val="0"/>
        </w:rPr>
        <w:t xml:space="preserve"> method in place,</w:t>
      </w:r>
      <w:r w:rsidR="00764092">
        <w:rPr>
          <w:b w:val="0"/>
        </w:rPr>
        <w:t xml:space="preserve"> </w:t>
      </w:r>
      <w:r>
        <w:rPr>
          <w:b w:val="0"/>
        </w:rPr>
        <w:t xml:space="preserve">the Company </w:t>
      </w:r>
      <w:r w:rsidR="00505E42">
        <w:rPr>
          <w:b w:val="0"/>
        </w:rPr>
        <w:t xml:space="preserve">would have the opportunity to </w:t>
      </w:r>
      <w:r>
        <w:rPr>
          <w:b w:val="0"/>
        </w:rPr>
        <w:t>be</w:t>
      </w:r>
      <w:r w:rsidR="00505E42">
        <w:rPr>
          <w:b w:val="0"/>
        </w:rPr>
        <w:t>nefit</w:t>
      </w:r>
      <w:r>
        <w:rPr>
          <w:b w:val="0"/>
        </w:rPr>
        <w:t xml:space="preserve"> from </w:t>
      </w:r>
      <w:r w:rsidR="00505E42">
        <w:rPr>
          <w:b w:val="0"/>
        </w:rPr>
        <w:t>near-</w:t>
      </w:r>
      <w:r>
        <w:rPr>
          <w:b w:val="0"/>
        </w:rPr>
        <w:t xml:space="preserve">average hydro in most years, </w:t>
      </w:r>
      <w:r w:rsidR="00505E42">
        <w:rPr>
          <w:b w:val="0"/>
        </w:rPr>
        <w:t>but then approach</w:t>
      </w:r>
      <w:r>
        <w:rPr>
          <w:b w:val="0"/>
        </w:rPr>
        <w:t xml:space="preserve"> the Commission for additional recovery in the worst hydro years.  </w:t>
      </w:r>
      <w:r w:rsidR="00505E42">
        <w:rPr>
          <w:b w:val="0"/>
        </w:rPr>
        <w:t>The second concern is that the ERM mechanism itself causes over-collection to occur.</w:t>
      </w:r>
    </w:p>
    <w:p w:rsidR="00A37CBF" w:rsidRDefault="00505E42" w:rsidP="00A37CBF">
      <w:pPr>
        <w:pStyle w:val="BodyTextIndent3"/>
        <w:tabs>
          <w:tab w:val="clear" w:pos="1260"/>
        </w:tabs>
        <w:rPr>
          <w:b w:val="0"/>
        </w:rPr>
      </w:pPr>
      <w:r>
        <w:rPr>
          <w:b w:val="0"/>
        </w:rPr>
        <w:t xml:space="preserve">Parties have argued that additional cost recovery during </w:t>
      </w:r>
      <w:r w:rsidR="00C16E1C">
        <w:rPr>
          <w:b w:val="0"/>
        </w:rPr>
        <w:t xml:space="preserve">extremely adverse </w:t>
      </w:r>
      <w:r>
        <w:rPr>
          <w:b w:val="0"/>
        </w:rPr>
        <w:t>hydro conditions represents a second bite at the apple</w:t>
      </w:r>
      <w:r w:rsidR="0034312C">
        <w:rPr>
          <w:b w:val="0"/>
        </w:rPr>
        <w:t xml:space="preserve"> for Avista</w:t>
      </w:r>
      <w:r>
        <w:rPr>
          <w:b w:val="0"/>
        </w:rPr>
        <w:t>.  In other words, the Company recovers costs based on the average of the historical record</w:t>
      </w:r>
      <w:r w:rsidR="00C16E1C">
        <w:rPr>
          <w:b w:val="0"/>
        </w:rPr>
        <w:t xml:space="preserve"> in most years, but in an extremely adverse </w:t>
      </w:r>
      <w:r>
        <w:rPr>
          <w:b w:val="0"/>
        </w:rPr>
        <w:t xml:space="preserve">condition the Company comes back for additional recovery instead of bearing the bad year that helped set the average revenue requirement.  </w:t>
      </w:r>
      <w:r w:rsidR="00C16E1C">
        <w:rPr>
          <w:b w:val="0"/>
        </w:rPr>
        <w:t>Absent the ERM t</w:t>
      </w:r>
      <w:r>
        <w:rPr>
          <w:b w:val="0"/>
        </w:rPr>
        <w:t xml:space="preserve">his additional recovery </w:t>
      </w:r>
      <w:r w:rsidR="00C16E1C">
        <w:rPr>
          <w:b w:val="0"/>
        </w:rPr>
        <w:lastRenderedPageBreak/>
        <w:t>would mean</w:t>
      </w:r>
      <w:r>
        <w:rPr>
          <w:b w:val="0"/>
        </w:rPr>
        <w:t xml:space="preserve"> that over a longer period of time the Company would over-collect.  This concept is best conveyed in an example.  Please refer to Table </w:t>
      </w:r>
      <w:r w:rsidR="00737EC0">
        <w:rPr>
          <w:b w:val="0"/>
        </w:rPr>
        <w:t>1</w:t>
      </w:r>
      <w:r>
        <w:rPr>
          <w:b w:val="0"/>
        </w:rPr>
        <w:t xml:space="preserve"> below.</w:t>
      </w:r>
    </w:p>
    <w:p w:rsidR="00737EC0" w:rsidRPr="003A4DAD" w:rsidRDefault="00737EC0" w:rsidP="00737EC0">
      <w:pPr>
        <w:spacing w:line="480" w:lineRule="auto"/>
        <w:jc w:val="both"/>
        <w:rPr>
          <w:b/>
        </w:rPr>
      </w:pPr>
      <w:r w:rsidRPr="003A4DAD">
        <w:rPr>
          <w:b/>
        </w:rPr>
        <w:t xml:space="preserve">Table </w:t>
      </w:r>
      <w:r>
        <w:rPr>
          <w:b/>
        </w:rPr>
        <w:t>No. 1 – Revenue Requirement Illustration 1</w:t>
      </w:r>
    </w:p>
    <w:p w:rsidR="00737EC0" w:rsidRDefault="00C16E1C" w:rsidP="00C16E1C">
      <w:pPr>
        <w:pStyle w:val="BodyTextIndent3"/>
        <w:tabs>
          <w:tab w:val="clear" w:pos="1260"/>
        </w:tabs>
        <w:ind w:firstLine="0"/>
        <w:jc w:val="center"/>
        <w:rPr>
          <w:b w:val="0"/>
        </w:rPr>
      </w:pPr>
      <w:r w:rsidRPr="00C16E1C">
        <w:rPr>
          <w:noProof/>
        </w:rPr>
        <w:drawing>
          <wp:inline distT="0" distB="0" distL="0" distR="0">
            <wp:extent cx="3752850" cy="1552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52850" cy="1552575"/>
                    </a:xfrm>
                    <a:prstGeom prst="rect">
                      <a:avLst/>
                    </a:prstGeom>
                    <a:noFill/>
                    <a:ln w="9525">
                      <a:noFill/>
                      <a:miter lim="800000"/>
                      <a:headEnd/>
                      <a:tailEnd/>
                    </a:ln>
                  </pic:spPr>
                </pic:pic>
              </a:graphicData>
            </a:graphic>
          </wp:inline>
        </w:drawing>
      </w:r>
    </w:p>
    <w:p w:rsidR="00737EC0" w:rsidRDefault="00D313D7" w:rsidP="00D47744">
      <w:pPr>
        <w:pStyle w:val="BodyTextIndent3"/>
        <w:tabs>
          <w:tab w:val="clear" w:pos="1260"/>
        </w:tabs>
        <w:rPr>
          <w:b w:val="0"/>
        </w:rPr>
      </w:pPr>
      <w:r>
        <w:rPr>
          <w:b w:val="0"/>
        </w:rPr>
        <w:t>This t</w:t>
      </w:r>
      <w:r w:rsidR="00737EC0">
        <w:rPr>
          <w:b w:val="0"/>
        </w:rPr>
        <w:t xml:space="preserve">able shows a 5-year historical hydro record with an average revenue requirement of $130.  Actual costs year to year vary from a low of $95 (Company incurs costs $35 below the authorized revenue level) to a high of $200 (Company incurs costs $70 above the authorized level), but on average the revenue requirement is equal to the authorized level.  Assuming that the Company does not request additional compensation in Year 5 where costs are greatly above other years, customers are </w:t>
      </w:r>
      <w:r>
        <w:rPr>
          <w:b w:val="0"/>
        </w:rPr>
        <w:t xml:space="preserve">made </w:t>
      </w:r>
      <w:r w:rsidR="00737EC0">
        <w:rPr>
          <w:b w:val="0"/>
        </w:rPr>
        <w:t>whole</w:t>
      </w:r>
      <w:r w:rsidR="006640EA">
        <w:rPr>
          <w:b w:val="0"/>
        </w:rPr>
        <w:t xml:space="preserve"> over the five-year period</w:t>
      </w:r>
      <w:r w:rsidR="00737EC0">
        <w:rPr>
          <w:b w:val="0"/>
        </w:rPr>
        <w:t>.</w:t>
      </w:r>
      <w:r w:rsidR="0034312C">
        <w:rPr>
          <w:b w:val="0"/>
        </w:rPr>
        <w:t xml:space="preserve">  However, if the Commission provided additional recovery in Year 5 equal to the difference between the authorized level and actua</w:t>
      </w:r>
      <w:r>
        <w:rPr>
          <w:b w:val="0"/>
        </w:rPr>
        <w:t>l costs, the Company would over-</w:t>
      </w:r>
      <w:r w:rsidR="0034312C">
        <w:rPr>
          <w:b w:val="0"/>
        </w:rPr>
        <w:t>collect $70 in that year, or an amount equal to $14 if averaged over the 5 years of the example.</w:t>
      </w:r>
    </w:p>
    <w:p w:rsidR="00C16E1C" w:rsidRDefault="00C16E1C" w:rsidP="00D47744">
      <w:pPr>
        <w:pStyle w:val="BodyTextIndent3"/>
        <w:tabs>
          <w:tab w:val="clear" w:pos="1260"/>
        </w:tabs>
        <w:rPr>
          <w:b w:val="0"/>
        </w:rPr>
      </w:pPr>
      <w:r>
        <w:rPr>
          <w:b w:val="0"/>
        </w:rPr>
        <w:t xml:space="preserve">However, the ERM is designed to address the full range of the variability of costs reflected in the Dispatch Model.  The Dispatch Model calculates average net power cost </w:t>
      </w:r>
      <w:r w:rsidR="00BB18FA">
        <w:rPr>
          <w:b w:val="0"/>
        </w:rPr>
        <w:t xml:space="preserve">in this case </w:t>
      </w:r>
      <w:r>
        <w:rPr>
          <w:b w:val="0"/>
        </w:rPr>
        <w:t>as $97.6 million (WA share), and under the most adverse hydroelectric condition, the net cost is $135.5 million (WA share).  If this extreme adverse condition were to occur, the additional costs would flow through the ERM, with the Company absorbing $9.8 million.  The remaining $28.1 million would be deferred with an opportunity for rate recovery.</w:t>
      </w:r>
    </w:p>
    <w:p w:rsidR="00D313D7" w:rsidRDefault="00C16E1C" w:rsidP="00D47744">
      <w:pPr>
        <w:pStyle w:val="BodyTextIndent3"/>
        <w:tabs>
          <w:tab w:val="clear" w:pos="1260"/>
        </w:tabs>
        <w:rPr>
          <w:b w:val="0"/>
        </w:rPr>
      </w:pPr>
      <w:r>
        <w:rPr>
          <w:b w:val="0"/>
        </w:rPr>
        <w:lastRenderedPageBreak/>
        <w:t xml:space="preserve">A proposal to arbitrarily throw out a portion of the hydroelectric record that the Company could reasonably expect to reoccur over time would inappropriately bias the determination of the average.  Furthermore, </w:t>
      </w:r>
      <w:r w:rsidR="00D313D7">
        <w:rPr>
          <w:b w:val="0"/>
        </w:rPr>
        <w:t xml:space="preserve">references </w:t>
      </w:r>
      <w:r w:rsidR="00BB18FA">
        <w:rPr>
          <w:b w:val="0"/>
        </w:rPr>
        <w:t xml:space="preserve">to </w:t>
      </w:r>
      <w:r>
        <w:rPr>
          <w:b w:val="0"/>
        </w:rPr>
        <w:t xml:space="preserve">power supply costs </w:t>
      </w:r>
      <w:r w:rsidR="00D313D7">
        <w:rPr>
          <w:b w:val="0"/>
        </w:rPr>
        <w:t xml:space="preserve">incurred </w:t>
      </w:r>
      <w:r>
        <w:rPr>
          <w:b w:val="0"/>
        </w:rPr>
        <w:t>during the 2000</w:t>
      </w:r>
      <w:r w:rsidR="00D313D7">
        <w:rPr>
          <w:b w:val="0"/>
        </w:rPr>
        <w:t>-</w:t>
      </w:r>
      <w:r>
        <w:rPr>
          <w:b w:val="0"/>
        </w:rPr>
        <w:t xml:space="preserve">01 </w:t>
      </w:r>
      <w:r w:rsidR="00D313D7">
        <w:rPr>
          <w:b w:val="0"/>
        </w:rPr>
        <w:t>Energy C</w:t>
      </w:r>
      <w:r>
        <w:rPr>
          <w:b w:val="0"/>
        </w:rPr>
        <w:t xml:space="preserve">risis should </w:t>
      </w:r>
      <w:r w:rsidR="00D313D7">
        <w:rPr>
          <w:b w:val="0"/>
        </w:rPr>
        <w:t xml:space="preserve">not </w:t>
      </w:r>
      <w:r>
        <w:rPr>
          <w:b w:val="0"/>
        </w:rPr>
        <w:t xml:space="preserve">be </w:t>
      </w:r>
      <w:r w:rsidR="00D313D7">
        <w:rPr>
          <w:b w:val="0"/>
        </w:rPr>
        <w:t>used to modify modeled costs in this case; t</w:t>
      </w:r>
      <w:r w:rsidR="007C1E2B">
        <w:rPr>
          <w:b w:val="0"/>
        </w:rPr>
        <w:t xml:space="preserve">he unique circumstances of the </w:t>
      </w:r>
      <w:r w:rsidR="00D313D7">
        <w:rPr>
          <w:b w:val="0"/>
        </w:rPr>
        <w:t>E</w:t>
      </w:r>
      <w:r w:rsidR="007C1E2B">
        <w:rPr>
          <w:b w:val="0"/>
        </w:rPr>
        <w:t xml:space="preserve">nergy </w:t>
      </w:r>
      <w:r w:rsidR="00D313D7">
        <w:rPr>
          <w:b w:val="0"/>
        </w:rPr>
        <w:t>C</w:t>
      </w:r>
      <w:r w:rsidR="007C1E2B">
        <w:rPr>
          <w:b w:val="0"/>
        </w:rPr>
        <w:t>risis are well beyond anything modeled</w:t>
      </w:r>
      <w:r w:rsidR="00D313D7">
        <w:rPr>
          <w:b w:val="0"/>
        </w:rPr>
        <w:t xml:space="preserve"> here</w:t>
      </w:r>
      <w:r w:rsidR="007C1E2B">
        <w:rPr>
          <w:b w:val="0"/>
        </w:rPr>
        <w:t xml:space="preserve">.  </w:t>
      </w:r>
      <w:r w:rsidR="00D313D7">
        <w:rPr>
          <w:b w:val="0"/>
        </w:rPr>
        <w:t>T</w:t>
      </w:r>
      <w:r w:rsidR="007C1E2B">
        <w:rPr>
          <w:b w:val="0"/>
        </w:rPr>
        <w:t xml:space="preserve">he 50-year record </w:t>
      </w:r>
      <w:r w:rsidR="00D313D7">
        <w:rPr>
          <w:b w:val="0"/>
        </w:rPr>
        <w:t xml:space="preserve">used in this case </w:t>
      </w:r>
      <w:r w:rsidR="007C1E2B">
        <w:rPr>
          <w:b w:val="0"/>
        </w:rPr>
        <w:t>reflects normal variation that would be expected to occur in the marketplace when fundamentals are in balance (i.e., loads and resources are similarly matched, as was not the case during the energy crisis).</w:t>
      </w:r>
    </w:p>
    <w:p w:rsidR="0034312C" w:rsidRDefault="0034312C" w:rsidP="00D47744">
      <w:pPr>
        <w:pStyle w:val="BodyTextIndent3"/>
        <w:tabs>
          <w:tab w:val="clear" w:pos="1260"/>
        </w:tabs>
        <w:rPr>
          <w:b w:val="0"/>
        </w:rPr>
      </w:pPr>
      <w:r>
        <w:t>Q.</w:t>
      </w:r>
      <w:r>
        <w:tab/>
        <w:t>Please explain the second concern.</w:t>
      </w:r>
    </w:p>
    <w:p w:rsidR="00AF4C55" w:rsidRDefault="0034312C" w:rsidP="00D47744">
      <w:pPr>
        <w:pStyle w:val="BodyTextIndent3"/>
        <w:tabs>
          <w:tab w:val="clear" w:pos="1260"/>
        </w:tabs>
        <w:rPr>
          <w:b w:val="0"/>
        </w:rPr>
      </w:pPr>
      <w:r>
        <w:rPr>
          <w:b w:val="0"/>
        </w:rPr>
        <w:t>A.</w:t>
      </w:r>
      <w:r>
        <w:rPr>
          <w:b w:val="0"/>
        </w:rPr>
        <w:tab/>
      </w:r>
      <w:r w:rsidR="00AF4C55">
        <w:rPr>
          <w:b w:val="0"/>
        </w:rPr>
        <w:t xml:space="preserve">The second concern that </w:t>
      </w:r>
      <w:r w:rsidR="00D41F12">
        <w:rPr>
          <w:b w:val="0"/>
        </w:rPr>
        <w:t xml:space="preserve">some </w:t>
      </w:r>
      <w:r w:rsidR="00AF4C55">
        <w:rPr>
          <w:b w:val="0"/>
        </w:rPr>
        <w:t xml:space="preserve">parties have </w:t>
      </w:r>
      <w:r w:rsidR="00D41F12">
        <w:rPr>
          <w:b w:val="0"/>
        </w:rPr>
        <w:t xml:space="preserve">is </w:t>
      </w:r>
      <w:r w:rsidR="007C1E2B">
        <w:rPr>
          <w:b w:val="0"/>
        </w:rPr>
        <w:t xml:space="preserve">the perception </w:t>
      </w:r>
      <w:r w:rsidR="00D41F12">
        <w:rPr>
          <w:b w:val="0"/>
        </w:rPr>
        <w:t xml:space="preserve">that the ERM mechanism </w:t>
      </w:r>
      <w:r>
        <w:rPr>
          <w:b w:val="0"/>
        </w:rPr>
        <w:t xml:space="preserve">creates </w:t>
      </w:r>
      <w:r w:rsidR="00D41F12">
        <w:rPr>
          <w:b w:val="0"/>
        </w:rPr>
        <w:t xml:space="preserve">an opportunity </w:t>
      </w:r>
      <w:r>
        <w:rPr>
          <w:b w:val="0"/>
        </w:rPr>
        <w:t xml:space="preserve">for the Company </w:t>
      </w:r>
      <w:r w:rsidR="00D41F12">
        <w:rPr>
          <w:b w:val="0"/>
        </w:rPr>
        <w:t xml:space="preserve">to over-collect </w:t>
      </w:r>
      <w:r>
        <w:rPr>
          <w:b w:val="0"/>
        </w:rPr>
        <w:t xml:space="preserve">its costs </w:t>
      </w:r>
      <w:r w:rsidR="00D41F12">
        <w:rPr>
          <w:b w:val="0"/>
        </w:rPr>
        <w:t xml:space="preserve">relative to </w:t>
      </w:r>
      <w:r>
        <w:rPr>
          <w:b w:val="0"/>
        </w:rPr>
        <w:t>authorized levels</w:t>
      </w:r>
      <w:r w:rsidR="0065557B">
        <w:rPr>
          <w:b w:val="0"/>
        </w:rPr>
        <w:t>,</w:t>
      </w:r>
      <w:r>
        <w:rPr>
          <w:b w:val="0"/>
        </w:rPr>
        <w:t xml:space="preserve"> even where the Company does not request additional recovery </w:t>
      </w:r>
      <w:r w:rsidR="0065557B">
        <w:rPr>
          <w:b w:val="0"/>
        </w:rPr>
        <w:t>in bad water years</w:t>
      </w:r>
      <w:r w:rsidR="00D41F12">
        <w:rPr>
          <w:b w:val="0"/>
        </w:rPr>
        <w:t>.</w:t>
      </w:r>
      <w:r w:rsidR="0065557B">
        <w:rPr>
          <w:b w:val="0"/>
        </w:rPr>
        <w:t xml:space="preserve">  </w:t>
      </w:r>
      <w:r w:rsidR="007C1E2B">
        <w:rPr>
          <w:b w:val="0"/>
        </w:rPr>
        <w:t>As I will illustrate and explain below, this is simply not true.</w:t>
      </w:r>
      <w:r w:rsidR="0065557B">
        <w:rPr>
          <w:b w:val="0"/>
        </w:rPr>
        <w:t xml:space="preserve"> </w:t>
      </w:r>
      <w:r w:rsidR="007C1E2B">
        <w:rPr>
          <w:b w:val="0"/>
        </w:rPr>
        <w:t xml:space="preserve"> Table 2 below illustrates three scenarios based on our filing.</w:t>
      </w:r>
    </w:p>
    <w:p w:rsidR="0065557B" w:rsidRDefault="0065557B" w:rsidP="002F239B">
      <w:pPr>
        <w:pStyle w:val="BodyTextIndent3"/>
        <w:tabs>
          <w:tab w:val="clear" w:pos="1260"/>
        </w:tabs>
        <w:jc w:val="left"/>
        <w:rPr>
          <w:b w:val="0"/>
        </w:rPr>
      </w:pPr>
      <w:r w:rsidRPr="003A4DAD">
        <w:t xml:space="preserve">Table </w:t>
      </w:r>
      <w:r>
        <w:t xml:space="preserve">No. 2 – </w:t>
      </w:r>
      <w:r w:rsidRPr="0065557B">
        <w:t>ERM</w:t>
      </w:r>
      <w:r>
        <w:t xml:space="preserve"> Scenarios</w:t>
      </w:r>
      <w:r w:rsidR="00722BFC">
        <w:t xml:space="preserve"> (Washington Share Only)</w:t>
      </w:r>
    </w:p>
    <w:p w:rsidR="0065557B" w:rsidRDefault="006610DE" w:rsidP="00482E9F">
      <w:pPr>
        <w:pStyle w:val="BodyTextIndent3"/>
        <w:tabs>
          <w:tab w:val="clear" w:pos="1260"/>
        </w:tabs>
        <w:ind w:firstLine="0"/>
        <w:jc w:val="center"/>
        <w:rPr>
          <w:b w:val="0"/>
        </w:rPr>
      </w:pPr>
      <w:r w:rsidRPr="006610DE">
        <w:rPr>
          <w:noProof/>
        </w:rPr>
        <w:drawing>
          <wp:inline distT="0" distB="0" distL="0" distR="0">
            <wp:extent cx="3543300" cy="981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43300" cy="981075"/>
                    </a:xfrm>
                    <a:prstGeom prst="rect">
                      <a:avLst/>
                    </a:prstGeom>
                    <a:noFill/>
                    <a:ln w="9525">
                      <a:noFill/>
                      <a:miter lim="800000"/>
                      <a:headEnd/>
                      <a:tailEnd/>
                    </a:ln>
                  </pic:spPr>
                </pic:pic>
              </a:graphicData>
            </a:graphic>
          </wp:inline>
        </w:drawing>
      </w:r>
    </w:p>
    <w:p w:rsidR="004B742D" w:rsidRDefault="0065557B" w:rsidP="00D47744">
      <w:pPr>
        <w:pStyle w:val="BodyTextIndent3"/>
        <w:tabs>
          <w:tab w:val="clear" w:pos="1260"/>
        </w:tabs>
        <w:rPr>
          <w:b w:val="0"/>
        </w:rPr>
      </w:pPr>
      <w:r>
        <w:rPr>
          <w:b w:val="0"/>
        </w:rPr>
        <w:t>The 50-year average power supply expense is $</w:t>
      </w:r>
      <w:r w:rsidR="007C1E2B">
        <w:rPr>
          <w:b w:val="0"/>
        </w:rPr>
        <w:t>97.</w:t>
      </w:r>
      <w:r w:rsidR="006610DE">
        <w:rPr>
          <w:b w:val="0"/>
        </w:rPr>
        <w:t>571</w:t>
      </w:r>
      <w:r>
        <w:rPr>
          <w:b w:val="0"/>
        </w:rPr>
        <w:t xml:space="preserve"> million</w:t>
      </w:r>
      <w:r w:rsidR="007C1E2B">
        <w:rPr>
          <w:b w:val="0"/>
        </w:rPr>
        <w:t xml:space="preserve"> (WA share)</w:t>
      </w:r>
      <w:r>
        <w:rPr>
          <w:b w:val="0"/>
        </w:rPr>
        <w:t xml:space="preserve">.  Absent an ERM mechanism the average revenue requirement over </w:t>
      </w:r>
      <w:r w:rsidR="003F07CE">
        <w:rPr>
          <w:b w:val="0"/>
        </w:rPr>
        <w:t>the</w:t>
      </w:r>
      <w:r>
        <w:rPr>
          <w:b w:val="0"/>
        </w:rPr>
        <w:t xml:space="preserve"> 50-year study period is exactly $</w:t>
      </w:r>
      <w:r w:rsidR="003F07CE">
        <w:rPr>
          <w:b w:val="0"/>
        </w:rPr>
        <w:t>97.571</w:t>
      </w:r>
      <w:r>
        <w:rPr>
          <w:b w:val="0"/>
        </w:rPr>
        <w:t xml:space="preserve"> million; </w:t>
      </w:r>
      <w:r w:rsidR="006640EA">
        <w:rPr>
          <w:b w:val="0"/>
        </w:rPr>
        <w:t xml:space="preserve">in this scenario </w:t>
      </w:r>
      <w:r>
        <w:rPr>
          <w:b w:val="0"/>
        </w:rPr>
        <w:t xml:space="preserve">the Company earns exactly what its average costs are (see “No </w:t>
      </w:r>
      <w:r w:rsidR="006610DE">
        <w:rPr>
          <w:b w:val="0"/>
        </w:rPr>
        <w:t>Biasing</w:t>
      </w:r>
      <w:r>
        <w:rPr>
          <w:b w:val="0"/>
        </w:rPr>
        <w:t xml:space="preserve">” column).  However, </w:t>
      </w:r>
      <w:r w:rsidR="006640EA">
        <w:rPr>
          <w:b w:val="0"/>
        </w:rPr>
        <w:t xml:space="preserve">in the scenario </w:t>
      </w:r>
      <w:r>
        <w:rPr>
          <w:b w:val="0"/>
        </w:rPr>
        <w:t xml:space="preserve">where the original </w:t>
      </w:r>
      <w:r w:rsidR="007C1E2B">
        <w:rPr>
          <w:b w:val="0"/>
        </w:rPr>
        <w:t xml:space="preserve">symmetrical </w:t>
      </w:r>
      <w:r>
        <w:rPr>
          <w:b w:val="0"/>
        </w:rPr>
        <w:t xml:space="preserve">ERM sharing bands were in place (i.e., a 50/50 split of costs in the second band), the Company would incur expenses </w:t>
      </w:r>
      <w:r>
        <w:rPr>
          <w:b w:val="0"/>
        </w:rPr>
        <w:lastRenderedPageBreak/>
        <w:t>equal to $4</w:t>
      </w:r>
      <w:r w:rsidR="003F07CE">
        <w:rPr>
          <w:b w:val="0"/>
        </w:rPr>
        <w:t>1</w:t>
      </w:r>
      <w:r>
        <w:rPr>
          <w:b w:val="0"/>
        </w:rPr>
        <w:t xml:space="preserve">4,000 less than the modeled power supply expenses that base rates were set upon.  In other words, the Company would recover </w:t>
      </w:r>
      <w:r w:rsidR="003F07CE">
        <w:rPr>
          <w:b w:val="0"/>
        </w:rPr>
        <w:t>$41</w:t>
      </w:r>
      <w:r>
        <w:rPr>
          <w:b w:val="0"/>
        </w:rPr>
        <w:t xml:space="preserve">4,000 more than authorized </w:t>
      </w:r>
      <w:r w:rsidR="00722BFC">
        <w:rPr>
          <w:b w:val="0"/>
        </w:rPr>
        <w:t>on</w:t>
      </w:r>
      <w:r>
        <w:rPr>
          <w:b w:val="0"/>
        </w:rPr>
        <w:t xml:space="preserve"> average</w:t>
      </w:r>
      <w:r w:rsidR="00D313D7">
        <w:rPr>
          <w:b w:val="0"/>
        </w:rPr>
        <w:t xml:space="preserve"> over time</w:t>
      </w:r>
      <w:r w:rsidR="007C1E2B">
        <w:rPr>
          <w:b w:val="0"/>
        </w:rPr>
        <w:t xml:space="preserve"> with 50/50 symmetrical sharing bands</w:t>
      </w:r>
      <w:r>
        <w:rPr>
          <w:b w:val="0"/>
        </w:rPr>
        <w:t>.</w:t>
      </w:r>
    </w:p>
    <w:p w:rsidR="0065557B" w:rsidRDefault="007C1E2B" w:rsidP="00D47744">
      <w:pPr>
        <w:pStyle w:val="BodyTextIndent3"/>
        <w:tabs>
          <w:tab w:val="clear" w:pos="1260"/>
        </w:tabs>
        <w:rPr>
          <w:b w:val="0"/>
        </w:rPr>
      </w:pPr>
      <w:r>
        <w:rPr>
          <w:b w:val="0"/>
        </w:rPr>
        <w:t xml:space="preserve">Through a settlement agreement approved by the Commission in Docket No. </w:t>
      </w:r>
      <w:r w:rsidR="00561991">
        <w:rPr>
          <w:b w:val="0"/>
        </w:rPr>
        <w:t>UE-080416</w:t>
      </w:r>
      <w:r>
        <w:rPr>
          <w:b w:val="0"/>
        </w:rPr>
        <w:t xml:space="preserve">, </w:t>
      </w:r>
      <w:r w:rsidR="00BB18FA">
        <w:rPr>
          <w:b w:val="0"/>
        </w:rPr>
        <w:t xml:space="preserve">however, </w:t>
      </w:r>
      <w:r>
        <w:rPr>
          <w:b w:val="0"/>
        </w:rPr>
        <w:t xml:space="preserve">Avista agreed to </w:t>
      </w:r>
      <w:r w:rsidRPr="00D313D7">
        <w:rPr>
          <w:b w:val="0"/>
          <w:u w:val="single"/>
        </w:rPr>
        <w:t>asymmetrical</w:t>
      </w:r>
      <w:r>
        <w:rPr>
          <w:b w:val="0"/>
        </w:rPr>
        <w:t xml:space="preserve"> sharing bands to address this specific issue.</w:t>
      </w:r>
      <w:r w:rsidR="0065557B">
        <w:rPr>
          <w:b w:val="0"/>
        </w:rPr>
        <w:t xml:space="preserve"> </w:t>
      </w:r>
      <w:r w:rsidR="004B742D">
        <w:rPr>
          <w:b w:val="0"/>
        </w:rPr>
        <w:t xml:space="preserve"> </w:t>
      </w:r>
      <w:r w:rsidR="006640EA">
        <w:rPr>
          <w:b w:val="0"/>
        </w:rPr>
        <w:t>Under this scenario, t</w:t>
      </w:r>
      <w:r w:rsidR="0065557B">
        <w:rPr>
          <w:b w:val="0"/>
        </w:rPr>
        <w:t>he sharing in years with higher costs remain at 50</w:t>
      </w:r>
      <w:r w:rsidR="00940D7B">
        <w:rPr>
          <w:b w:val="0"/>
        </w:rPr>
        <w:t xml:space="preserve"> percent</w:t>
      </w:r>
      <w:r w:rsidR="0065557B">
        <w:rPr>
          <w:b w:val="0"/>
        </w:rPr>
        <w:t xml:space="preserve"> for customers and the Company, but in years where the Company ha</w:t>
      </w:r>
      <w:r w:rsidR="00BB18FA">
        <w:rPr>
          <w:b w:val="0"/>
        </w:rPr>
        <w:t>s</w:t>
      </w:r>
      <w:r w:rsidR="0065557B">
        <w:rPr>
          <w:b w:val="0"/>
        </w:rPr>
        <w:t xml:space="preserve"> lower than average costs due to high</w:t>
      </w:r>
      <w:r w:rsidR="00D313D7">
        <w:rPr>
          <w:b w:val="0"/>
        </w:rPr>
        <w:t>er</w:t>
      </w:r>
      <w:r w:rsidR="0065557B">
        <w:rPr>
          <w:b w:val="0"/>
        </w:rPr>
        <w:t xml:space="preserve"> hydro or other events, customers retain 75</w:t>
      </w:r>
      <w:r w:rsidR="00940D7B">
        <w:rPr>
          <w:b w:val="0"/>
        </w:rPr>
        <w:t xml:space="preserve"> percent</w:t>
      </w:r>
      <w:r w:rsidR="0065557B">
        <w:rPr>
          <w:b w:val="0"/>
        </w:rPr>
        <w:t xml:space="preserve"> of the value and the Company only retain 25</w:t>
      </w:r>
      <w:r w:rsidR="00940D7B">
        <w:rPr>
          <w:b w:val="0"/>
        </w:rPr>
        <w:t xml:space="preserve"> percent</w:t>
      </w:r>
      <w:r w:rsidR="0065557B">
        <w:rPr>
          <w:b w:val="0"/>
        </w:rPr>
        <w:t xml:space="preserve">.  The revised </w:t>
      </w:r>
      <w:r w:rsidR="006640EA">
        <w:rPr>
          <w:b w:val="0"/>
        </w:rPr>
        <w:t xml:space="preserve">ERM sharing </w:t>
      </w:r>
      <w:r w:rsidR="0065557B">
        <w:rPr>
          <w:b w:val="0"/>
        </w:rPr>
        <w:t>mechanism reversed the over-recovery and</w:t>
      </w:r>
      <w:r w:rsidR="00BB18FA">
        <w:rPr>
          <w:b w:val="0"/>
        </w:rPr>
        <w:t>,</w:t>
      </w:r>
      <w:r w:rsidR="0065557B">
        <w:rPr>
          <w:b w:val="0"/>
        </w:rPr>
        <w:t xml:space="preserve"> in fact</w:t>
      </w:r>
      <w:r w:rsidR="00BB18FA">
        <w:rPr>
          <w:b w:val="0"/>
        </w:rPr>
        <w:t>,</w:t>
      </w:r>
      <w:r w:rsidR="0065557B">
        <w:rPr>
          <w:b w:val="0"/>
        </w:rPr>
        <w:t xml:space="preserve"> now has a modest bias against the utility of $1</w:t>
      </w:r>
      <w:r w:rsidR="003F07CE">
        <w:rPr>
          <w:b w:val="0"/>
        </w:rPr>
        <w:t>25</w:t>
      </w:r>
      <w:r w:rsidR="0065557B">
        <w:rPr>
          <w:b w:val="0"/>
        </w:rPr>
        <w:t>,000 per year</w:t>
      </w:r>
      <w:r w:rsidR="00BB18FA">
        <w:rPr>
          <w:b w:val="0"/>
        </w:rPr>
        <w:t>, as shown in Table 2 above</w:t>
      </w:r>
      <w:r w:rsidR="0065557B">
        <w:rPr>
          <w:b w:val="0"/>
        </w:rPr>
        <w:t>.  I</w:t>
      </w:r>
      <w:r w:rsidR="00D313D7">
        <w:rPr>
          <w:b w:val="0"/>
        </w:rPr>
        <w:t>n other words, the initial over-</w:t>
      </w:r>
      <w:r w:rsidR="0065557B">
        <w:rPr>
          <w:b w:val="0"/>
        </w:rPr>
        <w:t xml:space="preserve">collection </w:t>
      </w:r>
      <w:r w:rsidR="004B742D">
        <w:rPr>
          <w:b w:val="0"/>
        </w:rPr>
        <w:t xml:space="preserve">with the symmetrical sharing bands </w:t>
      </w:r>
      <w:r w:rsidR="00722BFC">
        <w:rPr>
          <w:b w:val="0"/>
        </w:rPr>
        <w:t xml:space="preserve">has been changed to </w:t>
      </w:r>
      <w:r w:rsidR="0065557B">
        <w:rPr>
          <w:b w:val="0"/>
        </w:rPr>
        <w:t>a</w:t>
      </w:r>
      <w:r w:rsidR="004B742D">
        <w:rPr>
          <w:b w:val="0"/>
        </w:rPr>
        <w:t>n</w:t>
      </w:r>
      <w:r w:rsidR="00D313D7">
        <w:rPr>
          <w:b w:val="0"/>
        </w:rPr>
        <w:t xml:space="preserve"> under-</w:t>
      </w:r>
      <w:r w:rsidR="0065557B">
        <w:rPr>
          <w:b w:val="0"/>
        </w:rPr>
        <w:t>collection</w:t>
      </w:r>
      <w:r w:rsidR="00722BFC">
        <w:rPr>
          <w:b w:val="0"/>
        </w:rPr>
        <w:t xml:space="preserve"> </w:t>
      </w:r>
      <w:r w:rsidR="004B742D">
        <w:rPr>
          <w:b w:val="0"/>
        </w:rPr>
        <w:t>as a result of the application of the asymmetrical bands.</w:t>
      </w:r>
    </w:p>
    <w:p w:rsidR="004B742D" w:rsidRDefault="004B742D" w:rsidP="00D47744">
      <w:pPr>
        <w:pStyle w:val="BodyTextIndent3"/>
        <w:tabs>
          <w:tab w:val="clear" w:pos="1260"/>
        </w:tabs>
        <w:rPr>
          <w:b w:val="0"/>
        </w:rPr>
      </w:pPr>
      <w:r>
        <w:rPr>
          <w:b w:val="0"/>
        </w:rPr>
        <w:t xml:space="preserve">Therefore, the following conclusions can be drawn from Table 2 above where Hydro Biasing is </w:t>
      </w:r>
      <w:r w:rsidRPr="00D313D7">
        <w:rPr>
          <w:b w:val="0"/>
          <w:u w:val="single"/>
        </w:rPr>
        <w:t>not adopted</w:t>
      </w:r>
      <w:r>
        <w:rPr>
          <w:b w:val="0"/>
        </w:rPr>
        <w:t xml:space="preserve"> for the 50-year hydro study:</w:t>
      </w:r>
    </w:p>
    <w:p w:rsidR="004B742D" w:rsidRDefault="004B742D" w:rsidP="00D47744">
      <w:pPr>
        <w:pStyle w:val="BodyTextIndent3"/>
        <w:numPr>
          <w:ilvl w:val="0"/>
          <w:numId w:val="22"/>
        </w:numPr>
        <w:tabs>
          <w:tab w:val="clear" w:pos="1260"/>
        </w:tabs>
        <w:rPr>
          <w:b w:val="0"/>
        </w:rPr>
      </w:pPr>
      <w:r>
        <w:rPr>
          <w:b w:val="0"/>
        </w:rPr>
        <w:t>Without the ERM, the Company would recover its cost</w:t>
      </w:r>
      <w:r w:rsidR="00D313D7">
        <w:rPr>
          <w:b w:val="0"/>
        </w:rPr>
        <w:t>s</w:t>
      </w:r>
      <w:r>
        <w:rPr>
          <w:b w:val="0"/>
        </w:rPr>
        <w:t xml:space="preserve"> over time using the 50-year average;</w:t>
      </w:r>
    </w:p>
    <w:p w:rsidR="004B742D" w:rsidRDefault="004B742D" w:rsidP="00D47744">
      <w:pPr>
        <w:pStyle w:val="BodyTextIndent3"/>
        <w:numPr>
          <w:ilvl w:val="0"/>
          <w:numId w:val="22"/>
        </w:numPr>
        <w:tabs>
          <w:tab w:val="clear" w:pos="1260"/>
        </w:tabs>
        <w:rPr>
          <w:b w:val="0"/>
        </w:rPr>
      </w:pPr>
      <w:r>
        <w:rPr>
          <w:b w:val="0"/>
        </w:rPr>
        <w:t>The ERM, with 50/50 symmetrical sharing bands would allow the Company, on average</w:t>
      </w:r>
      <w:r w:rsidR="00D313D7">
        <w:rPr>
          <w:b w:val="0"/>
        </w:rPr>
        <w:t xml:space="preserve"> over time</w:t>
      </w:r>
      <w:r>
        <w:rPr>
          <w:b w:val="0"/>
        </w:rPr>
        <w:t>, to over-recover its costs by $414,000 per year; and</w:t>
      </w:r>
    </w:p>
    <w:p w:rsidR="004B742D" w:rsidRDefault="004B742D" w:rsidP="00D47744">
      <w:pPr>
        <w:pStyle w:val="BodyTextIndent3"/>
        <w:numPr>
          <w:ilvl w:val="0"/>
          <w:numId w:val="22"/>
        </w:numPr>
        <w:tabs>
          <w:tab w:val="clear" w:pos="1260"/>
        </w:tabs>
        <w:rPr>
          <w:b w:val="0"/>
        </w:rPr>
      </w:pPr>
      <w:r>
        <w:rPr>
          <w:b w:val="0"/>
        </w:rPr>
        <w:t>The current asymmetrical sharing bands (50/50 customer/Company for higher costs, and 75/25 customer/Company for lower costs) will cause the Company, on average</w:t>
      </w:r>
      <w:r w:rsidR="00D313D7">
        <w:rPr>
          <w:b w:val="0"/>
        </w:rPr>
        <w:t xml:space="preserve"> over time</w:t>
      </w:r>
      <w:r>
        <w:rPr>
          <w:b w:val="0"/>
        </w:rPr>
        <w:t>, to under-recover its costs by $125,000 per year.</w:t>
      </w:r>
    </w:p>
    <w:p w:rsidR="004B742D" w:rsidRPr="004B742D" w:rsidRDefault="004B742D" w:rsidP="00D47744">
      <w:pPr>
        <w:pStyle w:val="BodyTextIndent3"/>
        <w:tabs>
          <w:tab w:val="clear" w:pos="1260"/>
        </w:tabs>
        <w:rPr>
          <w:b w:val="0"/>
        </w:rPr>
      </w:pPr>
      <w:r w:rsidRPr="004B742D">
        <w:rPr>
          <w:b w:val="0"/>
        </w:rPr>
        <w:t>The asymmetrical sharing bands</w:t>
      </w:r>
      <w:r>
        <w:rPr>
          <w:b w:val="0"/>
        </w:rPr>
        <w:t>,</w:t>
      </w:r>
      <w:r w:rsidRPr="004B742D">
        <w:rPr>
          <w:b w:val="0"/>
        </w:rPr>
        <w:t xml:space="preserve"> </w:t>
      </w:r>
      <w:r w:rsidRPr="004B742D">
        <w:rPr>
          <w:b w:val="0"/>
          <w:u w:val="single"/>
        </w:rPr>
        <w:t>plus</w:t>
      </w:r>
      <w:r w:rsidRPr="004B742D">
        <w:rPr>
          <w:b w:val="0"/>
        </w:rPr>
        <w:t xml:space="preserve"> a </w:t>
      </w:r>
      <w:r w:rsidR="006610DE">
        <w:rPr>
          <w:b w:val="0"/>
        </w:rPr>
        <w:t>H</w:t>
      </w:r>
      <w:r w:rsidRPr="004B742D">
        <w:rPr>
          <w:b w:val="0"/>
        </w:rPr>
        <w:t xml:space="preserve">ydro </w:t>
      </w:r>
      <w:r w:rsidR="006610DE">
        <w:rPr>
          <w:b w:val="0"/>
        </w:rPr>
        <w:t>B</w:t>
      </w:r>
      <w:r w:rsidRPr="004B742D">
        <w:rPr>
          <w:b w:val="0"/>
        </w:rPr>
        <w:t>ias</w:t>
      </w:r>
      <w:r>
        <w:rPr>
          <w:b w:val="0"/>
        </w:rPr>
        <w:t>ing</w:t>
      </w:r>
      <w:r w:rsidRPr="004B742D">
        <w:rPr>
          <w:b w:val="0"/>
        </w:rPr>
        <w:t xml:space="preserve"> adjus</w:t>
      </w:r>
      <w:r w:rsidR="00D313D7">
        <w:rPr>
          <w:b w:val="0"/>
        </w:rPr>
        <w:t xml:space="preserve">tment, would </w:t>
      </w:r>
      <w:r w:rsidR="00BB18FA">
        <w:rPr>
          <w:b w:val="0"/>
        </w:rPr>
        <w:t xml:space="preserve">further </w:t>
      </w:r>
      <w:r w:rsidR="00D313D7">
        <w:rPr>
          <w:b w:val="0"/>
        </w:rPr>
        <w:t>compound the under-</w:t>
      </w:r>
      <w:r w:rsidRPr="004B742D">
        <w:rPr>
          <w:b w:val="0"/>
        </w:rPr>
        <w:t>recovery of costs for the Company</w:t>
      </w:r>
      <w:r>
        <w:rPr>
          <w:b w:val="0"/>
        </w:rPr>
        <w:t xml:space="preserve"> and cause the Company, on average, to </w:t>
      </w:r>
      <w:r>
        <w:rPr>
          <w:b w:val="0"/>
        </w:rPr>
        <w:lastRenderedPageBreak/>
        <w:t>under-recover its costs by $1.8</w:t>
      </w:r>
      <w:r w:rsidR="00D313D7">
        <w:rPr>
          <w:b w:val="0"/>
        </w:rPr>
        <w:t>30</w:t>
      </w:r>
      <w:r>
        <w:rPr>
          <w:b w:val="0"/>
        </w:rPr>
        <w:t xml:space="preserve"> million per year</w:t>
      </w:r>
      <w:r w:rsidR="00DB7BCD">
        <w:rPr>
          <w:b w:val="0"/>
        </w:rPr>
        <w:t xml:space="preserve"> (see Column 6 of Table No. 2)</w:t>
      </w:r>
      <w:r>
        <w:rPr>
          <w:b w:val="0"/>
        </w:rPr>
        <w:t>.  This is explained further below.</w:t>
      </w:r>
    </w:p>
    <w:p w:rsidR="00764092" w:rsidRDefault="008F6BDE" w:rsidP="00D47744">
      <w:pPr>
        <w:pStyle w:val="BodyTextIndent3"/>
        <w:tabs>
          <w:tab w:val="clear" w:pos="1260"/>
        </w:tabs>
        <w:rPr>
          <w:b w:val="0"/>
        </w:rPr>
      </w:pPr>
      <w:r>
        <w:t>Q.</w:t>
      </w:r>
      <w:r>
        <w:tab/>
      </w:r>
      <w:r w:rsidR="00764092">
        <w:t>How does Hydro Biasing negatively affect the Company?</w:t>
      </w:r>
    </w:p>
    <w:p w:rsidR="009C4EB0" w:rsidRDefault="00764092" w:rsidP="00D47744">
      <w:pPr>
        <w:pStyle w:val="BodyTextIndent3"/>
        <w:tabs>
          <w:tab w:val="clear" w:pos="1260"/>
        </w:tabs>
        <w:rPr>
          <w:b w:val="0"/>
        </w:rPr>
      </w:pPr>
      <w:r>
        <w:rPr>
          <w:b w:val="0"/>
        </w:rPr>
        <w:t>A.</w:t>
      </w:r>
      <w:r>
        <w:rPr>
          <w:b w:val="0"/>
        </w:rPr>
        <w:tab/>
        <w:t xml:space="preserve">Hydro </w:t>
      </w:r>
      <w:r w:rsidR="001C6AD1">
        <w:rPr>
          <w:b w:val="0"/>
        </w:rPr>
        <w:t>B</w:t>
      </w:r>
      <w:r>
        <w:rPr>
          <w:b w:val="0"/>
        </w:rPr>
        <w:t xml:space="preserve">iasing on </w:t>
      </w:r>
      <w:r w:rsidR="001C6AD1">
        <w:rPr>
          <w:b w:val="0"/>
        </w:rPr>
        <w:t xml:space="preserve">a </w:t>
      </w:r>
      <w:r w:rsidR="00133ED6" w:rsidRPr="006610DE">
        <w:rPr>
          <w:b w:val="0"/>
          <w:u w:val="single"/>
        </w:rPr>
        <w:t>monthly</w:t>
      </w:r>
      <w:r w:rsidR="00133ED6">
        <w:rPr>
          <w:b w:val="0"/>
        </w:rPr>
        <w:t xml:space="preserve"> </w:t>
      </w:r>
      <w:r>
        <w:rPr>
          <w:b w:val="0"/>
        </w:rPr>
        <w:t>basis at the one standard deviation</w:t>
      </w:r>
      <w:r w:rsidR="005266DE">
        <w:rPr>
          <w:b w:val="0"/>
        </w:rPr>
        <w:t xml:space="preserve"> level</w:t>
      </w:r>
      <w:r w:rsidR="00133ED6">
        <w:rPr>
          <w:b w:val="0"/>
        </w:rPr>
        <w:t xml:space="preserve">, the </w:t>
      </w:r>
      <w:r>
        <w:rPr>
          <w:b w:val="0"/>
        </w:rPr>
        <w:t xml:space="preserve">preferred </w:t>
      </w:r>
      <w:r w:rsidR="00133ED6">
        <w:rPr>
          <w:b w:val="0"/>
        </w:rPr>
        <w:t xml:space="preserve">method of </w:t>
      </w:r>
      <w:r>
        <w:rPr>
          <w:b w:val="0"/>
        </w:rPr>
        <w:t xml:space="preserve">Commission Staff and </w:t>
      </w:r>
      <w:proofErr w:type="spellStart"/>
      <w:r>
        <w:rPr>
          <w:b w:val="0"/>
        </w:rPr>
        <w:t>ICNU</w:t>
      </w:r>
      <w:proofErr w:type="spellEnd"/>
      <w:r>
        <w:rPr>
          <w:b w:val="0"/>
        </w:rPr>
        <w:t xml:space="preserve"> </w:t>
      </w:r>
      <w:r w:rsidR="00133ED6">
        <w:rPr>
          <w:b w:val="0"/>
        </w:rPr>
        <w:t xml:space="preserve">in our previous two </w:t>
      </w:r>
      <w:r w:rsidR="00E25478">
        <w:rPr>
          <w:b w:val="0"/>
        </w:rPr>
        <w:t>rate proceedings</w:t>
      </w:r>
      <w:r w:rsidR="00133ED6">
        <w:rPr>
          <w:b w:val="0"/>
        </w:rPr>
        <w:t xml:space="preserve">, </w:t>
      </w:r>
      <w:r>
        <w:rPr>
          <w:b w:val="0"/>
        </w:rPr>
        <w:t xml:space="preserve">would increase generation by </w:t>
      </w:r>
      <w:r w:rsidR="007F078B">
        <w:rPr>
          <w:b w:val="0"/>
        </w:rPr>
        <w:t>1.</w:t>
      </w:r>
      <w:r w:rsidR="003F07CE">
        <w:rPr>
          <w:b w:val="0"/>
        </w:rPr>
        <w:t>5</w:t>
      </w:r>
      <w:r>
        <w:rPr>
          <w:b w:val="0"/>
        </w:rPr>
        <w:t xml:space="preserve"> </w:t>
      </w:r>
      <w:proofErr w:type="spellStart"/>
      <w:r>
        <w:rPr>
          <w:b w:val="0"/>
        </w:rPr>
        <w:t>aMW</w:t>
      </w:r>
      <w:proofErr w:type="spellEnd"/>
      <w:r w:rsidR="00133ED6">
        <w:rPr>
          <w:b w:val="0"/>
        </w:rPr>
        <w:t>,</w:t>
      </w:r>
      <w:r>
        <w:rPr>
          <w:b w:val="0"/>
        </w:rPr>
        <w:t xml:space="preserve"> and lower </w:t>
      </w:r>
      <w:r w:rsidR="004B742D">
        <w:rPr>
          <w:b w:val="0"/>
        </w:rPr>
        <w:t xml:space="preserve">filed </w:t>
      </w:r>
      <w:r>
        <w:rPr>
          <w:b w:val="0"/>
        </w:rPr>
        <w:t xml:space="preserve">costs by </w:t>
      </w:r>
      <w:r w:rsidR="007F078B">
        <w:rPr>
          <w:b w:val="0"/>
        </w:rPr>
        <w:t xml:space="preserve">approximately $614,000 </w:t>
      </w:r>
      <w:r w:rsidR="000A56A1">
        <w:rPr>
          <w:b w:val="0"/>
        </w:rPr>
        <w:t xml:space="preserve">on a </w:t>
      </w:r>
      <w:r w:rsidR="009C4EB0">
        <w:rPr>
          <w:b w:val="0"/>
        </w:rPr>
        <w:t>system</w:t>
      </w:r>
      <w:r w:rsidR="000A56A1">
        <w:rPr>
          <w:b w:val="0"/>
        </w:rPr>
        <w:t xml:space="preserve"> basis</w:t>
      </w:r>
      <w:r>
        <w:rPr>
          <w:b w:val="0"/>
        </w:rPr>
        <w:t xml:space="preserve">.  </w:t>
      </w:r>
      <w:r w:rsidR="009C4EB0">
        <w:rPr>
          <w:b w:val="0"/>
        </w:rPr>
        <w:t>Under a biasing approach, the Company would expect to under-collect its costs over time by this amount.</w:t>
      </w:r>
    </w:p>
    <w:p w:rsidR="00764092" w:rsidRDefault="00133ED6" w:rsidP="00D47744">
      <w:pPr>
        <w:pStyle w:val="BodyTextIndent3"/>
        <w:tabs>
          <w:tab w:val="clear" w:pos="1260"/>
        </w:tabs>
        <w:rPr>
          <w:b w:val="0"/>
        </w:rPr>
      </w:pPr>
      <w:r w:rsidRPr="00D313D7">
        <w:rPr>
          <w:b w:val="0"/>
          <w:u w:val="single"/>
        </w:rPr>
        <w:t xml:space="preserve">Annual </w:t>
      </w:r>
      <w:r w:rsidR="00D313D7">
        <w:rPr>
          <w:b w:val="0"/>
          <w:u w:val="single"/>
        </w:rPr>
        <w:t>Hydro B</w:t>
      </w:r>
      <w:r w:rsidR="009C4EB0" w:rsidRPr="00D313D7">
        <w:rPr>
          <w:b w:val="0"/>
          <w:u w:val="single"/>
        </w:rPr>
        <w:t>iasing</w:t>
      </w:r>
      <w:r w:rsidR="006610DE" w:rsidRPr="006610DE">
        <w:rPr>
          <w:b w:val="0"/>
        </w:rPr>
        <w:t>, as illustrated in Table No. 2 above,</w:t>
      </w:r>
      <w:r>
        <w:rPr>
          <w:b w:val="0"/>
        </w:rPr>
        <w:t xml:space="preserve"> is </w:t>
      </w:r>
      <w:r w:rsidR="00482E9F">
        <w:rPr>
          <w:b w:val="0"/>
        </w:rPr>
        <w:t xml:space="preserve">even </w:t>
      </w:r>
      <w:r>
        <w:rPr>
          <w:b w:val="0"/>
        </w:rPr>
        <w:t>more costly to the Company because of the times of the year where hydroelectric generation is reduced.</w:t>
      </w:r>
      <w:r w:rsidR="009C4EB0">
        <w:rPr>
          <w:b w:val="0"/>
        </w:rPr>
        <w:t xml:space="preserve">  </w:t>
      </w:r>
      <w:r w:rsidR="00722BFC">
        <w:rPr>
          <w:b w:val="0"/>
        </w:rPr>
        <w:t xml:space="preserve">As shown in Table 2, the impact of </w:t>
      </w:r>
      <w:r w:rsidR="00482E9F">
        <w:rPr>
          <w:b w:val="0"/>
        </w:rPr>
        <w:t xml:space="preserve">Hydro Biasing </w:t>
      </w:r>
      <w:r w:rsidR="006610DE">
        <w:rPr>
          <w:b w:val="0"/>
        </w:rPr>
        <w:t xml:space="preserve">alone (i.e., before application of the ERM) </w:t>
      </w:r>
      <w:r w:rsidR="00722BFC">
        <w:rPr>
          <w:b w:val="0"/>
        </w:rPr>
        <w:t xml:space="preserve">is </w:t>
      </w:r>
      <w:r w:rsidR="00D313D7">
        <w:rPr>
          <w:b w:val="0"/>
        </w:rPr>
        <w:t xml:space="preserve">a $1.391 million </w:t>
      </w:r>
      <w:r w:rsidR="00722BFC">
        <w:rPr>
          <w:b w:val="0"/>
        </w:rPr>
        <w:t xml:space="preserve">lower </w:t>
      </w:r>
      <w:r w:rsidR="00D313D7">
        <w:rPr>
          <w:b w:val="0"/>
        </w:rPr>
        <w:t xml:space="preserve">annual </w:t>
      </w:r>
      <w:r w:rsidR="003F07CE">
        <w:rPr>
          <w:b w:val="0"/>
        </w:rPr>
        <w:t xml:space="preserve">Washington </w:t>
      </w:r>
      <w:r w:rsidR="00722BFC">
        <w:rPr>
          <w:b w:val="0"/>
        </w:rPr>
        <w:t xml:space="preserve">revenue requirement, </w:t>
      </w:r>
      <w:r w:rsidR="00246B0F">
        <w:rPr>
          <w:b w:val="0"/>
        </w:rPr>
        <w:t xml:space="preserve">reflecting </w:t>
      </w:r>
      <w:r w:rsidR="00722BFC">
        <w:rPr>
          <w:b w:val="0"/>
        </w:rPr>
        <w:t xml:space="preserve">the difference between the 50-year average and the </w:t>
      </w:r>
      <w:r w:rsidR="00482E9F">
        <w:rPr>
          <w:b w:val="0"/>
        </w:rPr>
        <w:t xml:space="preserve">average where periods with hydroelectric conditions above or below </w:t>
      </w:r>
      <w:r w:rsidR="006610DE">
        <w:rPr>
          <w:b w:val="0"/>
        </w:rPr>
        <w:t>one</w:t>
      </w:r>
      <w:r w:rsidR="00482E9F">
        <w:rPr>
          <w:b w:val="0"/>
        </w:rPr>
        <w:t xml:space="preserve"> standard deviation are removed</w:t>
      </w:r>
      <w:r w:rsidR="00DB7BCD">
        <w:rPr>
          <w:b w:val="0"/>
        </w:rPr>
        <w:t xml:space="preserve"> (refer to Column 4 of Table No. 2)</w:t>
      </w:r>
      <w:r w:rsidR="00722BFC">
        <w:rPr>
          <w:b w:val="0"/>
        </w:rPr>
        <w:t xml:space="preserve">.  </w:t>
      </w:r>
      <w:r w:rsidR="007D1E1F">
        <w:rPr>
          <w:b w:val="0"/>
        </w:rPr>
        <w:t xml:space="preserve">Generation is increased by 3.7 </w:t>
      </w:r>
      <w:proofErr w:type="spellStart"/>
      <w:r w:rsidR="007D1E1F">
        <w:rPr>
          <w:b w:val="0"/>
        </w:rPr>
        <w:t>aMW</w:t>
      </w:r>
      <w:proofErr w:type="spellEnd"/>
      <w:r w:rsidR="007D1E1F">
        <w:rPr>
          <w:b w:val="0"/>
        </w:rPr>
        <w:t xml:space="preserve"> from the 50-year average.  </w:t>
      </w:r>
      <w:r w:rsidR="00DB7BCD">
        <w:rPr>
          <w:b w:val="0"/>
        </w:rPr>
        <w:t>L</w:t>
      </w:r>
      <w:r w:rsidR="00201207">
        <w:rPr>
          <w:b w:val="0"/>
        </w:rPr>
        <w:t>owering the ave</w:t>
      </w:r>
      <w:r w:rsidR="003F07CE">
        <w:rPr>
          <w:b w:val="0"/>
        </w:rPr>
        <w:t>rage revenue requirement for Washington by $1.391</w:t>
      </w:r>
      <w:r w:rsidR="00201207">
        <w:rPr>
          <w:b w:val="0"/>
        </w:rPr>
        <w:t xml:space="preserve"> million per year </w:t>
      </w:r>
      <w:r w:rsidR="00482E9F">
        <w:rPr>
          <w:b w:val="0"/>
        </w:rPr>
        <w:t xml:space="preserve">compounds the under-recovery of costs.  </w:t>
      </w:r>
      <w:r w:rsidR="00201207">
        <w:rPr>
          <w:b w:val="0"/>
        </w:rPr>
        <w:t>It is important to note that this level of under</w:t>
      </w:r>
      <w:r w:rsidR="00624F0F">
        <w:rPr>
          <w:b w:val="0"/>
        </w:rPr>
        <w:t>-</w:t>
      </w:r>
      <w:r w:rsidR="00201207">
        <w:rPr>
          <w:b w:val="0"/>
        </w:rPr>
        <w:t xml:space="preserve">recovery falls entirely within the </w:t>
      </w:r>
      <w:r w:rsidR="00482E9F">
        <w:rPr>
          <w:b w:val="0"/>
        </w:rPr>
        <w:t xml:space="preserve">dead band </w:t>
      </w:r>
      <w:r w:rsidR="00201207">
        <w:rPr>
          <w:b w:val="0"/>
        </w:rPr>
        <w:t>where the</w:t>
      </w:r>
      <w:r w:rsidR="003F07CE">
        <w:rPr>
          <w:b w:val="0"/>
        </w:rPr>
        <w:t xml:space="preserve"> Company absorbs all of the $1.391</w:t>
      </w:r>
      <w:r w:rsidR="00201207">
        <w:rPr>
          <w:b w:val="0"/>
        </w:rPr>
        <w:t xml:space="preserve"> million impact.  The Company </w:t>
      </w:r>
      <w:r w:rsidR="00624F0F">
        <w:rPr>
          <w:b w:val="0"/>
        </w:rPr>
        <w:t xml:space="preserve">would have </w:t>
      </w:r>
      <w:r w:rsidR="00201207">
        <w:rPr>
          <w:b w:val="0"/>
        </w:rPr>
        <w:t>no means to recover all of its power supply expenses.</w:t>
      </w:r>
      <w:r w:rsidR="006610DE">
        <w:rPr>
          <w:b w:val="0"/>
        </w:rPr>
        <w:t xml:space="preserve">  Applying the ERM magnifies the impact from $1.391 million to $1.830 million of under-recovery under the present sharing methodology. </w:t>
      </w:r>
    </w:p>
    <w:p w:rsidR="009C4EB0" w:rsidRDefault="009C4EB0" w:rsidP="00D47744">
      <w:pPr>
        <w:pStyle w:val="BodyTextIndent3"/>
        <w:tabs>
          <w:tab w:val="clear" w:pos="1260"/>
        </w:tabs>
        <w:rPr>
          <w:b w:val="0"/>
        </w:rPr>
      </w:pPr>
      <w:r>
        <w:t>Q.</w:t>
      </w:r>
      <w:r>
        <w:tab/>
        <w:t>Should the Commission adopt Hydro Biasing?</w:t>
      </w:r>
    </w:p>
    <w:p w:rsidR="009C4EB0" w:rsidRDefault="001C6AD1" w:rsidP="00D47744">
      <w:pPr>
        <w:pStyle w:val="BodyTextIndent3"/>
        <w:tabs>
          <w:tab w:val="clear" w:pos="1260"/>
        </w:tabs>
        <w:rPr>
          <w:b w:val="0"/>
        </w:rPr>
      </w:pPr>
      <w:r>
        <w:rPr>
          <w:b w:val="0"/>
        </w:rPr>
        <w:t>A.</w:t>
      </w:r>
      <w:r>
        <w:rPr>
          <w:b w:val="0"/>
        </w:rPr>
        <w:tab/>
        <w:t>No</w:t>
      </w:r>
      <w:r w:rsidR="000A56A1">
        <w:rPr>
          <w:b w:val="0"/>
        </w:rPr>
        <w:t xml:space="preserve">.  </w:t>
      </w:r>
      <w:r w:rsidR="00201207">
        <w:rPr>
          <w:b w:val="0"/>
        </w:rPr>
        <w:t>First, t</w:t>
      </w:r>
      <w:r w:rsidR="000A56A1">
        <w:rPr>
          <w:b w:val="0"/>
        </w:rPr>
        <w:t xml:space="preserve">he ERM </w:t>
      </w:r>
      <w:r w:rsidR="00482E9F">
        <w:rPr>
          <w:b w:val="0"/>
        </w:rPr>
        <w:t xml:space="preserve">is designed to address all of the variability modeled in the 50-year hydro study included in the Dispatch Model.  And with the recent adoption of the </w:t>
      </w:r>
      <w:r w:rsidR="00482E9F">
        <w:rPr>
          <w:b w:val="0"/>
        </w:rPr>
        <w:lastRenderedPageBreak/>
        <w:t xml:space="preserve">asymmetrical sharing band, the Company already under-recovers its costs.  </w:t>
      </w:r>
      <w:r w:rsidR="00201207">
        <w:rPr>
          <w:b w:val="0"/>
        </w:rPr>
        <w:t>Therefore</w:t>
      </w:r>
      <w:r w:rsidR="00482E9F">
        <w:rPr>
          <w:b w:val="0"/>
        </w:rPr>
        <w:t>,</w:t>
      </w:r>
      <w:r w:rsidR="00201207">
        <w:rPr>
          <w:b w:val="0"/>
        </w:rPr>
        <w:t xml:space="preserve"> the only result of </w:t>
      </w:r>
      <w:r>
        <w:rPr>
          <w:b w:val="0"/>
        </w:rPr>
        <w:t>Hydro B</w:t>
      </w:r>
      <w:r w:rsidR="009C4EB0">
        <w:rPr>
          <w:b w:val="0"/>
        </w:rPr>
        <w:t xml:space="preserve">iasing </w:t>
      </w:r>
      <w:r w:rsidR="00201207">
        <w:rPr>
          <w:b w:val="0"/>
        </w:rPr>
        <w:t xml:space="preserve">will be a </w:t>
      </w:r>
      <w:r w:rsidR="00482E9F">
        <w:rPr>
          <w:b w:val="0"/>
        </w:rPr>
        <w:t xml:space="preserve">further </w:t>
      </w:r>
      <w:r w:rsidR="00201207">
        <w:rPr>
          <w:b w:val="0"/>
        </w:rPr>
        <w:t>under</w:t>
      </w:r>
      <w:r w:rsidR="00246B0F">
        <w:rPr>
          <w:b w:val="0"/>
        </w:rPr>
        <w:t>-</w:t>
      </w:r>
      <w:r w:rsidR="009C4EB0">
        <w:rPr>
          <w:b w:val="0"/>
        </w:rPr>
        <w:t>collect</w:t>
      </w:r>
      <w:r w:rsidR="00201207">
        <w:rPr>
          <w:b w:val="0"/>
        </w:rPr>
        <w:t>ion</w:t>
      </w:r>
      <w:r w:rsidR="009C4EB0">
        <w:rPr>
          <w:b w:val="0"/>
        </w:rPr>
        <w:t xml:space="preserve"> </w:t>
      </w:r>
      <w:r w:rsidR="00201207">
        <w:rPr>
          <w:b w:val="0"/>
        </w:rPr>
        <w:t xml:space="preserve">of </w:t>
      </w:r>
      <w:r w:rsidR="009C4EB0">
        <w:rPr>
          <w:b w:val="0"/>
        </w:rPr>
        <w:t xml:space="preserve">costs </w:t>
      </w:r>
      <w:r w:rsidR="00201207">
        <w:rPr>
          <w:b w:val="0"/>
        </w:rPr>
        <w:t>by the Company</w:t>
      </w:r>
      <w:r w:rsidR="009C4EB0">
        <w:rPr>
          <w:b w:val="0"/>
        </w:rPr>
        <w:t xml:space="preserve">.  </w:t>
      </w:r>
      <w:r w:rsidR="00201207">
        <w:rPr>
          <w:b w:val="0"/>
        </w:rPr>
        <w:t>As t</w:t>
      </w:r>
      <w:r>
        <w:rPr>
          <w:b w:val="0"/>
        </w:rPr>
        <w:t xml:space="preserve">he impact falls within the </w:t>
      </w:r>
      <w:r w:rsidR="00482E9F">
        <w:rPr>
          <w:b w:val="0"/>
        </w:rPr>
        <w:t xml:space="preserve">dead </w:t>
      </w:r>
      <w:r>
        <w:rPr>
          <w:b w:val="0"/>
        </w:rPr>
        <w:t>band</w:t>
      </w:r>
      <w:r w:rsidR="00201207">
        <w:rPr>
          <w:b w:val="0"/>
        </w:rPr>
        <w:t>,</w:t>
      </w:r>
      <w:r>
        <w:rPr>
          <w:b w:val="0"/>
        </w:rPr>
        <w:t xml:space="preserve"> where the Company absorb</w:t>
      </w:r>
      <w:r w:rsidR="00482E9F">
        <w:rPr>
          <w:b w:val="0"/>
        </w:rPr>
        <w:t>s</w:t>
      </w:r>
      <w:r>
        <w:rPr>
          <w:b w:val="0"/>
        </w:rPr>
        <w:t xml:space="preserve"> the entire </w:t>
      </w:r>
      <w:r w:rsidR="000A56A1">
        <w:rPr>
          <w:b w:val="0"/>
        </w:rPr>
        <w:t xml:space="preserve">impact </w:t>
      </w:r>
      <w:r>
        <w:rPr>
          <w:b w:val="0"/>
        </w:rPr>
        <w:t>of Hydro Biasing</w:t>
      </w:r>
      <w:r w:rsidR="00201207">
        <w:rPr>
          <w:b w:val="0"/>
        </w:rPr>
        <w:t>, the net impact of Hydro Biasing is c</w:t>
      </w:r>
      <w:r w:rsidR="00246B0F">
        <w:rPr>
          <w:b w:val="0"/>
        </w:rPr>
        <w:t>ontinuing</w:t>
      </w:r>
      <w:r w:rsidR="00201207">
        <w:rPr>
          <w:b w:val="0"/>
        </w:rPr>
        <w:t xml:space="preserve"> under</w:t>
      </w:r>
      <w:r w:rsidR="00246B0F">
        <w:rPr>
          <w:b w:val="0"/>
        </w:rPr>
        <w:t>-</w:t>
      </w:r>
      <w:r w:rsidR="00201207">
        <w:rPr>
          <w:b w:val="0"/>
        </w:rPr>
        <w:t>recovery</w:t>
      </w:r>
      <w:r>
        <w:rPr>
          <w:b w:val="0"/>
        </w:rPr>
        <w:t>.</w:t>
      </w:r>
    </w:p>
    <w:p w:rsidR="00624F0F" w:rsidRPr="00624F0F" w:rsidRDefault="00624F0F" w:rsidP="00D47744">
      <w:pPr>
        <w:pStyle w:val="BodyTextIndent3"/>
        <w:tabs>
          <w:tab w:val="clear" w:pos="1260"/>
        </w:tabs>
      </w:pPr>
      <w:r w:rsidRPr="00624F0F">
        <w:t>Q.</w:t>
      </w:r>
      <w:r w:rsidRPr="00624F0F">
        <w:tab/>
        <w:t>Did this Commission previously address the use of Hydro Biasing in the context of a power cost adjustment mechanism?</w:t>
      </w:r>
    </w:p>
    <w:p w:rsidR="00624F0F" w:rsidRDefault="00624F0F" w:rsidP="00D47744">
      <w:pPr>
        <w:pStyle w:val="BodyTextIndent3"/>
        <w:tabs>
          <w:tab w:val="clear" w:pos="1260"/>
        </w:tabs>
        <w:rPr>
          <w:b w:val="0"/>
        </w:rPr>
      </w:pPr>
      <w:r>
        <w:rPr>
          <w:b w:val="0"/>
        </w:rPr>
        <w:t>A.</w:t>
      </w:r>
      <w:r>
        <w:rPr>
          <w:b w:val="0"/>
        </w:rPr>
        <w:tab/>
        <w:t xml:space="preserve">Yes.  In its Order 08, dated </w:t>
      </w:r>
      <w:r w:rsidR="00084AB4">
        <w:rPr>
          <w:b w:val="0"/>
        </w:rPr>
        <w:t>June 21, 2007,</w:t>
      </w:r>
      <w:r>
        <w:rPr>
          <w:b w:val="0"/>
        </w:rPr>
        <w:t xml:space="preserve"> in </w:t>
      </w:r>
      <w:r w:rsidR="00084AB4">
        <w:rPr>
          <w:b w:val="0"/>
        </w:rPr>
        <w:t xml:space="preserve">PacifiCorp’s rate case </w:t>
      </w:r>
      <w:r>
        <w:rPr>
          <w:b w:val="0"/>
        </w:rPr>
        <w:t>(Docket No.(s) UE-061546/UE-060817)</w:t>
      </w:r>
      <w:r w:rsidR="00084AB4">
        <w:rPr>
          <w:b w:val="0"/>
        </w:rPr>
        <w:t>, the Commission commented on the use of Hydro Biasing, then termed “water-year filtering”, in the context of a power cost adjustment mechanism:</w:t>
      </w:r>
    </w:p>
    <w:p w:rsidR="00084AB4" w:rsidRDefault="00084AB4" w:rsidP="00D47744">
      <w:pPr>
        <w:pStyle w:val="BodyTextIndent3"/>
        <w:tabs>
          <w:tab w:val="clear" w:pos="1260"/>
        </w:tabs>
        <w:ind w:left="720" w:firstLine="0"/>
        <w:rPr>
          <w:b w:val="0"/>
        </w:rPr>
      </w:pPr>
    </w:p>
    <w:p w:rsidR="00084AB4" w:rsidRPr="00246B0F" w:rsidRDefault="00084AB4" w:rsidP="00246B0F">
      <w:pPr>
        <w:pStyle w:val="BodyTextIndent3"/>
        <w:tabs>
          <w:tab w:val="clear" w:pos="1260"/>
        </w:tabs>
        <w:spacing w:line="240" w:lineRule="auto"/>
        <w:ind w:left="720" w:firstLine="0"/>
        <w:rPr>
          <w:b w:val="0"/>
        </w:rPr>
      </w:pPr>
      <w:r w:rsidRPr="00246B0F">
        <w:rPr>
          <w:b w:val="0"/>
        </w:rPr>
        <w:t xml:space="preserve">We find that filtering water years is appropriate in the context of a </w:t>
      </w:r>
      <w:proofErr w:type="spellStart"/>
      <w:r w:rsidRPr="00246B0F">
        <w:rPr>
          <w:b w:val="0"/>
        </w:rPr>
        <w:t>PCAM</w:t>
      </w:r>
      <w:proofErr w:type="spellEnd"/>
      <w:r w:rsidRPr="00246B0F">
        <w:rPr>
          <w:b w:val="0"/>
        </w:rPr>
        <w:t>, but that such filtering must reflect whether the distribution of variability in power costs is symmetrical or skewed as well as how the dead band and sharing bands are designed to reflect asymmetry in the risks and benefits that may accrue to both customers and Com</w:t>
      </w:r>
      <w:r w:rsidR="00246B0F">
        <w:rPr>
          <w:b w:val="0"/>
        </w:rPr>
        <w:t xml:space="preserve">pany. (Order 08, </w:t>
      </w:r>
      <w:proofErr w:type="spellStart"/>
      <w:r w:rsidR="00246B0F">
        <w:rPr>
          <w:b w:val="0"/>
        </w:rPr>
        <w:t>para</w:t>
      </w:r>
      <w:proofErr w:type="spellEnd"/>
      <w:r w:rsidR="00246B0F">
        <w:rPr>
          <w:b w:val="0"/>
        </w:rPr>
        <w:t>. 101)</w:t>
      </w:r>
    </w:p>
    <w:p w:rsidR="00084AB4" w:rsidRDefault="00084AB4" w:rsidP="00084AB4">
      <w:pPr>
        <w:pStyle w:val="BodyTextIndent3"/>
        <w:tabs>
          <w:tab w:val="clear" w:pos="1260"/>
        </w:tabs>
        <w:ind w:left="720" w:firstLine="0"/>
        <w:jc w:val="left"/>
        <w:rPr>
          <w:b w:val="0"/>
        </w:rPr>
      </w:pPr>
    </w:p>
    <w:p w:rsidR="00A77788" w:rsidRPr="00A77788" w:rsidRDefault="00084AB4" w:rsidP="00A77788">
      <w:pPr>
        <w:pStyle w:val="BodyTextIndent3"/>
        <w:tabs>
          <w:tab w:val="clear" w:pos="1260"/>
        </w:tabs>
        <w:rPr>
          <w:b w:val="0"/>
        </w:rPr>
      </w:pPr>
      <w:r>
        <w:rPr>
          <w:b w:val="0"/>
        </w:rPr>
        <w:t xml:space="preserve">It went on to conclude that “any water-year adjustment for power cost normalization must be consistent with the way the </w:t>
      </w:r>
      <w:proofErr w:type="spellStart"/>
      <w:r>
        <w:rPr>
          <w:b w:val="0"/>
        </w:rPr>
        <w:t>PCAM</w:t>
      </w:r>
      <w:proofErr w:type="spellEnd"/>
      <w:r>
        <w:rPr>
          <w:b w:val="0"/>
        </w:rPr>
        <w:t xml:space="preserve"> design reflects the asymmetric power cost distribution</w:t>
      </w:r>
      <w:r w:rsidR="00246B0F">
        <w:rPr>
          <w:b w:val="0"/>
        </w:rPr>
        <w:t>.”</w:t>
      </w:r>
      <w:r>
        <w:rPr>
          <w:b w:val="0"/>
        </w:rPr>
        <w:t xml:space="preserve"> (Id., </w:t>
      </w:r>
      <w:proofErr w:type="spellStart"/>
      <w:r>
        <w:rPr>
          <w:b w:val="0"/>
        </w:rPr>
        <w:t>para</w:t>
      </w:r>
      <w:proofErr w:type="spellEnd"/>
      <w:r w:rsidR="00246B0F">
        <w:rPr>
          <w:b w:val="0"/>
        </w:rPr>
        <w:t>.</w:t>
      </w:r>
      <w:r>
        <w:rPr>
          <w:b w:val="0"/>
        </w:rPr>
        <w:t xml:space="preserve"> 111)  With the recent adoption of </w:t>
      </w:r>
      <w:r w:rsidRPr="00084AB4">
        <w:rPr>
          <w:b w:val="0"/>
          <w:u w:val="single"/>
        </w:rPr>
        <w:t>asymmetrical</w:t>
      </w:r>
      <w:r>
        <w:rPr>
          <w:b w:val="0"/>
        </w:rPr>
        <w:t xml:space="preserve"> sharing band</w:t>
      </w:r>
      <w:r w:rsidR="00246B0F">
        <w:rPr>
          <w:b w:val="0"/>
        </w:rPr>
        <w:t>s</w:t>
      </w:r>
      <w:r>
        <w:rPr>
          <w:b w:val="0"/>
        </w:rPr>
        <w:t xml:space="preserve"> in Avista’s ERM (Docket No. UE-080416), the additional use of Hydro Biasing (i.e., filtering of water years) would only compound the Company’s under-recovery of costs.</w:t>
      </w:r>
      <w:r w:rsidR="00A77788">
        <w:rPr>
          <w:u w:val="single"/>
        </w:rPr>
        <w:br w:type="page"/>
      </w:r>
    </w:p>
    <w:p w:rsidR="00A9200C" w:rsidRPr="002B60EC" w:rsidRDefault="00A9200C" w:rsidP="00D47744">
      <w:pPr>
        <w:pStyle w:val="BodyTextIndent3"/>
        <w:tabs>
          <w:tab w:val="clear" w:pos="1260"/>
        </w:tabs>
        <w:ind w:firstLine="0"/>
        <w:rPr>
          <w:u w:val="single"/>
        </w:rPr>
      </w:pPr>
      <w:r>
        <w:rPr>
          <w:u w:val="single"/>
        </w:rPr>
        <w:lastRenderedPageBreak/>
        <w:t>V</w:t>
      </w:r>
      <w:r w:rsidRPr="002B60EC">
        <w:rPr>
          <w:u w:val="single"/>
        </w:rPr>
        <w:t>.</w:t>
      </w:r>
      <w:r w:rsidR="00285E86">
        <w:rPr>
          <w:u w:val="single"/>
        </w:rPr>
        <w:t xml:space="preserve"> </w:t>
      </w:r>
      <w:r>
        <w:rPr>
          <w:u w:val="single"/>
        </w:rPr>
        <w:t>OTHER KEY MODELING ASSUMPTIONS</w:t>
      </w:r>
    </w:p>
    <w:p w:rsidR="00D04BEB" w:rsidRPr="00050DD6" w:rsidRDefault="00D04BEB" w:rsidP="00D47744">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482E9F" w:rsidRDefault="00D04BEB" w:rsidP="00246B0F">
      <w:pPr>
        <w:spacing w:line="480" w:lineRule="auto"/>
        <w:ind w:firstLine="720"/>
        <w:jc w:val="both"/>
      </w:pPr>
      <w:r w:rsidRPr="00050DD6">
        <w:rPr>
          <w:bCs/>
        </w:rPr>
        <w:t>A.</w:t>
      </w:r>
      <w:r w:rsidRPr="00050DD6">
        <w:rPr>
          <w:bCs/>
        </w:rPr>
        <w:tab/>
      </w:r>
      <w:r w:rsidR="00162436" w:rsidRPr="00050DD6">
        <w:rPr>
          <w:bCs/>
        </w:rPr>
        <w:t>Natura</w:t>
      </w:r>
      <w:r w:rsidR="00162436" w:rsidRPr="00BC1828">
        <w:rPr>
          <w:bCs/>
        </w:rPr>
        <w:t xml:space="preserve">l gas prices for this filing are based on a 3-month average </w:t>
      </w:r>
      <w:r w:rsidR="00170EBC" w:rsidRPr="00BC1828">
        <w:rPr>
          <w:bCs/>
        </w:rPr>
        <w:t xml:space="preserve">from </w:t>
      </w:r>
      <w:r w:rsidR="00BE3E02">
        <w:rPr>
          <w:bCs/>
        </w:rPr>
        <w:t xml:space="preserve">October </w:t>
      </w:r>
      <w:r w:rsidR="00170EBC" w:rsidRPr="00BC1828">
        <w:rPr>
          <w:bCs/>
        </w:rPr>
        <w:t>1, 200</w:t>
      </w:r>
      <w:r w:rsidR="00BE3E02">
        <w:rPr>
          <w:bCs/>
        </w:rPr>
        <w:t>9</w:t>
      </w:r>
      <w:r w:rsidR="00170EBC" w:rsidRPr="00BC1828">
        <w:rPr>
          <w:bCs/>
        </w:rPr>
        <w:t xml:space="preserve"> to </w:t>
      </w:r>
      <w:r w:rsidR="00BE3E02">
        <w:rPr>
          <w:bCs/>
        </w:rPr>
        <w:t xml:space="preserve">December </w:t>
      </w:r>
      <w:r w:rsidR="00170EBC" w:rsidRPr="00BC1828">
        <w:rPr>
          <w:bCs/>
        </w:rPr>
        <w:t>3</w:t>
      </w:r>
      <w:r w:rsidR="00BE3E02">
        <w:rPr>
          <w:bCs/>
        </w:rPr>
        <w:t>1</w:t>
      </w:r>
      <w:r w:rsidR="001C6AD1">
        <w:rPr>
          <w:bCs/>
        </w:rPr>
        <w:t>, 2009</w:t>
      </w:r>
      <w:r w:rsidR="00170EBC">
        <w:rPr>
          <w:bCs/>
        </w:rPr>
        <w:t xml:space="preserve"> of </w:t>
      </w:r>
      <w:r w:rsidR="00B22814">
        <w:rPr>
          <w:bCs/>
        </w:rPr>
        <w:t xml:space="preserve">calendar-year </w:t>
      </w:r>
      <w:r w:rsidR="00AA2E3D">
        <w:rPr>
          <w:bCs/>
        </w:rPr>
        <w:t>201</w:t>
      </w:r>
      <w:r w:rsidR="00BE3E02">
        <w:rPr>
          <w:bCs/>
        </w:rPr>
        <w:t>1</w:t>
      </w:r>
      <w:r w:rsidR="00D321AE"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246B0F">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482E9F">
        <w:t>presented below in Table No 3</w:t>
      </w:r>
      <w:r w:rsidR="00162436">
        <w:t>.</w:t>
      </w:r>
    </w:p>
    <w:p w:rsidR="00162436" w:rsidRPr="003A4DAD" w:rsidRDefault="00162436" w:rsidP="0083586C">
      <w:pPr>
        <w:spacing w:line="480" w:lineRule="auto"/>
        <w:jc w:val="both"/>
        <w:rPr>
          <w:b/>
        </w:rPr>
      </w:pPr>
      <w:r w:rsidRPr="003A4DAD">
        <w:rPr>
          <w:b/>
        </w:rPr>
        <w:t xml:space="preserve">Table </w:t>
      </w:r>
      <w:r w:rsidR="00B446B2">
        <w:rPr>
          <w:b/>
        </w:rPr>
        <w:t xml:space="preserve">No. </w:t>
      </w:r>
      <w:r w:rsidR="00201207">
        <w:rPr>
          <w:b/>
        </w:rPr>
        <w:t>3</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162436" w:rsidRDefault="000B7682" w:rsidP="007D1E1F">
      <w:pPr>
        <w:pStyle w:val="BodyTextIndent3"/>
        <w:tabs>
          <w:tab w:val="clear" w:pos="1260"/>
          <w:tab w:val="left" w:pos="1440"/>
        </w:tabs>
        <w:jc w:val="center"/>
        <w:rPr>
          <w:bCs w:val="0"/>
        </w:rPr>
      </w:pPr>
      <w:r w:rsidRPr="000B7682">
        <w:rPr>
          <w:noProof/>
        </w:rPr>
        <w:drawing>
          <wp:inline distT="0" distB="0" distL="0" distR="0">
            <wp:extent cx="2857500" cy="13144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57500" cy="1314450"/>
                    </a:xfrm>
                    <a:prstGeom prst="rect">
                      <a:avLst/>
                    </a:prstGeom>
                    <a:noFill/>
                    <a:ln w="9525">
                      <a:noFill/>
                      <a:miter lim="800000"/>
                      <a:headEnd/>
                      <a:tailEnd/>
                    </a:ln>
                  </pic:spPr>
                </pic:pic>
              </a:graphicData>
            </a:graphic>
          </wp:inline>
        </w:drawing>
      </w: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B5793D">
      <w:pPr>
        <w:pStyle w:val="BodyTextIndent3"/>
        <w:tabs>
          <w:tab w:val="clear" w:pos="1260"/>
        </w:tabs>
        <w:ind w:firstLine="0"/>
        <w:rPr>
          <w:b w:val="0"/>
        </w:rPr>
      </w:pPr>
      <w:r>
        <w:rPr>
          <w:b w:val="0"/>
          <w:bCs w:val="0"/>
        </w:rPr>
        <w:tab/>
        <w:t>A.</w:t>
      </w:r>
      <w:r>
        <w:rPr>
          <w:b w:val="0"/>
          <w:bCs w:val="0"/>
        </w:rPr>
        <w:tab/>
        <w:t xml:space="preserve">Rate period loads </w:t>
      </w:r>
      <w:r w:rsidR="001C4C22">
        <w:rPr>
          <w:b w:val="0"/>
          <w:bCs w:val="0"/>
        </w:rPr>
        <w:t>(J</w:t>
      </w:r>
      <w:r w:rsidR="004B593F">
        <w:rPr>
          <w:b w:val="0"/>
          <w:bCs w:val="0"/>
        </w:rPr>
        <w:t>anuary</w:t>
      </w:r>
      <w:r w:rsidR="001C4C22">
        <w:rPr>
          <w:b w:val="0"/>
          <w:bCs w:val="0"/>
        </w:rPr>
        <w:t xml:space="preserve"> 20</w:t>
      </w:r>
      <w:r w:rsidR="004B593F">
        <w:rPr>
          <w:b w:val="0"/>
          <w:bCs w:val="0"/>
        </w:rPr>
        <w:t>1</w:t>
      </w:r>
      <w:r w:rsidR="00BE3E02">
        <w:rPr>
          <w:b w:val="0"/>
          <w:bCs w:val="0"/>
        </w:rPr>
        <w:t>1</w:t>
      </w:r>
      <w:r w:rsidR="001C4C22">
        <w:rPr>
          <w:b w:val="0"/>
          <w:bCs w:val="0"/>
        </w:rPr>
        <w:t xml:space="preserve"> through </w:t>
      </w:r>
      <w:r w:rsidR="004B593F">
        <w:rPr>
          <w:b w:val="0"/>
          <w:bCs w:val="0"/>
        </w:rPr>
        <w:t xml:space="preserve">December </w:t>
      </w:r>
      <w:r w:rsidR="00BE3E02">
        <w:rPr>
          <w:b w:val="0"/>
          <w:bCs w:val="0"/>
        </w:rPr>
        <w:t>2011</w:t>
      </w:r>
      <w:r w:rsidR="001C4C22">
        <w:rPr>
          <w:b w:val="0"/>
          <w:bCs w:val="0"/>
        </w:rPr>
        <w:t xml:space="preserve">) </w:t>
      </w:r>
      <w:r>
        <w:rPr>
          <w:b w:val="0"/>
          <w:bCs w:val="0"/>
        </w:rPr>
        <w:t xml:space="preserve">used in this case are taken from </w:t>
      </w:r>
      <w:r w:rsidRPr="00BD4B85">
        <w:rPr>
          <w:b w:val="0"/>
          <w:bCs w:val="0"/>
        </w:rPr>
        <w:t>the Company’s load forecast completed in July 200</w:t>
      </w:r>
      <w:r w:rsidR="00BE3E02">
        <w:rPr>
          <w:b w:val="0"/>
          <w:bCs w:val="0"/>
        </w:rPr>
        <w:t>9</w:t>
      </w:r>
      <w:r w:rsidRPr="00BD4B85">
        <w:rPr>
          <w:b w:val="0"/>
          <w:bCs w:val="0"/>
        </w:rPr>
        <w:t xml:space="preserve">. </w:t>
      </w:r>
      <w:r>
        <w:rPr>
          <w:b w:val="0"/>
          <w:bCs w:val="0"/>
        </w:rPr>
        <w:t xml:space="preserve"> </w:t>
      </w:r>
      <w:r w:rsidRPr="00BD4B85">
        <w:rPr>
          <w:b w:val="0"/>
          <w:bCs w:val="0"/>
        </w:rPr>
        <w:t xml:space="preserve">As </w:t>
      </w:r>
      <w:r>
        <w:rPr>
          <w:b w:val="0"/>
          <w:bCs w:val="0"/>
        </w:rPr>
        <w:t xml:space="preserve">this load </w:t>
      </w:r>
      <w:r w:rsidRPr="00BD4B85">
        <w:rPr>
          <w:b w:val="0"/>
          <w:bCs w:val="0"/>
        </w:rPr>
        <w:t xml:space="preserve">is generated using “normal weather,” </w:t>
      </w:r>
      <w:r>
        <w:rPr>
          <w:b w:val="0"/>
          <w:bCs w:val="0"/>
        </w:rPr>
        <w:t xml:space="preserve">it </w:t>
      </w:r>
      <w:r w:rsidRPr="00BD4B85">
        <w:rPr>
          <w:b w:val="0"/>
          <w:bCs w:val="0"/>
        </w:rPr>
        <w:t xml:space="preserve">eliminates the need for a weather-normalization </w:t>
      </w:r>
      <w:r>
        <w:rPr>
          <w:b w:val="0"/>
          <w:bCs w:val="0"/>
        </w:rPr>
        <w:t>adjustment</w:t>
      </w:r>
      <w:r w:rsidRPr="00BD4B85">
        <w:rPr>
          <w:b w:val="0"/>
          <w:bCs w:val="0"/>
        </w:rPr>
        <w:t>.</w:t>
      </w:r>
      <w:r>
        <w:rPr>
          <w:b w:val="0"/>
          <w:bCs w:val="0"/>
        </w:rPr>
        <w:t xml:space="preserve">  </w:t>
      </w:r>
      <w:r>
        <w:rPr>
          <w:b w:val="0"/>
        </w:rPr>
        <w:t>The Company’s latest energy and capacity loads and resources tabulations (</w:t>
      </w:r>
      <w:proofErr w:type="spellStart"/>
      <w:r>
        <w:rPr>
          <w:b w:val="0"/>
        </w:rPr>
        <w:t>L&amp;Rs</w:t>
      </w:r>
      <w:proofErr w:type="spellEnd"/>
      <w:r>
        <w:rPr>
          <w:b w:val="0"/>
        </w:rPr>
        <w:t xml:space="preserve">) are attached in Exhibit No.___(CGK-2).  As the </w:t>
      </w:r>
      <w:proofErr w:type="spellStart"/>
      <w:r>
        <w:rPr>
          <w:b w:val="0"/>
        </w:rPr>
        <w:t>L&amp;Rs</w:t>
      </w:r>
      <w:proofErr w:type="spellEnd"/>
      <w:r>
        <w:rPr>
          <w:b w:val="0"/>
        </w:rPr>
        <w:t xml:space="preserve"> show, system loads are expected to equal </w:t>
      </w:r>
      <w:r w:rsidR="00B5528A">
        <w:rPr>
          <w:b w:val="0"/>
        </w:rPr>
        <w:t>1,</w:t>
      </w:r>
      <w:r w:rsidR="00246B0F">
        <w:rPr>
          <w:b w:val="0"/>
        </w:rPr>
        <w:t>130</w:t>
      </w:r>
      <w:r w:rsidR="00CF142E">
        <w:rPr>
          <w:b w:val="0"/>
        </w:rPr>
        <w:t xml:space="preserve"> </w:t>
      </w:r>
      <w:proofErr w:type="spellStart"/>
      <w:r w:rsidR="00B72F4D">
        <w:rPr>
          <w:b w:val="0"/>
        </w:rPr>
        <w:t>aMW</w:t>
      </w:r>
      <w:proofErr w:type="spellEnd"/>
      <w:r w:rsidR="00B72F4D">
        <w:rPr>
          <w:b w:val="0"/>
        </w:rPr>
        <w:t xml:space="preserve"> </w:t>
      </w:r>
      <w:r w:rsidR="00CF142E">
        <w:rPr>
          <w:b w:val="0"/>
        </w:rPr>
        <w:t xml:space="preserve">in 2011.  Removing the </w:t>
      </w:r>
      <w:r w:rsidR="00E25478">
        <w:rPr>
          <w:b w:val="0"/>
        </w:rPr>
        <w:t>2009 actual</w:t>
      </w:r>
      <w:r w:rsidR="00CF142E">
        <w:rPr>
          <w:b w:val="0"/>
        </w:rPr>
        <w:t xml:space="preserve"> </w:t>
      </w:r>
      <w:r w:rsidR="00E25478">
        <w:rPr>
          <w:b w:val="0"/>
        </w:rPr>
        <w:t xml:space="preserve">(test year) </w:t>
      </w:r>
      <w:r w:rsidR="00CF142E">
        <w:rPr>
          <w:b w:val="0"/>
        </w:rPr>
        <w:t>generation from the Clearwater (previously known as Potlatch) cogeneration facility</w:t>
      </w:r>
      <w:r w:rsidR="00B5528A">
        <w:rPr>
          <w:b w:val="0"/>
        </w:rPr>
        <w:t xml:space="preserve">, </w:t>
      </w:r>
      <w:r w:rsidR="00CF142E">
        <w:rPr>
          <w:b w:val="0"/>
        </w:rPr>
        <w:t xml:space="preserve">system loads are </w:t>
      </w:r>
      <w:r>
        <w:rPr>
          <w:b w:val="0"/>
        </w:rPr>
        <w:t>1,</w:t>
      </w:r>
      <w:r w:rsidR="00BE3E02">
        <w:rPr>
          <w:b w:val="0"/>
        </w:rPr>
        <w:t>077.9</w:t>
      </w:r>
      <w:r>
        <w:rPr>
          <w:b w:val="0"/>
        </w:rPr>
        <w:t xml:space="preserve"> </w:t>
      </w:r>
      <w:proofErr w:type="spellStart"/>
      <w:r>
        <w:rPr>
          <w:b w:val="0"/>
        </w:rPr>
        <w:t>aMW</w:t>
      </w:r>
      <w:proofErr w:type="spellEnd"/>
      <w:r w:rsidR="008C39DA">
        <w:rPr>
          <w:b w:val="0"/>
        </w:rPr>
        <w:t xml:space="preserve"> </w:t>
      </w:r>
      <w:r w:rsidR="00E25478">
        <w:rPr>
          <w:b w:val="0"/>
        </w:rPr>
        <w:t>as filed in this proceeding</w:t>
      </w:r>
      <w:r>
        <w:rPr>
          <w:b w:val="0"/>
        </w:rPr>
        <w:t>.</w:t>
      </w:r>
    </w:p>
    <w:p w:rsidR="00940D7B" w:rsidRDefault="008C39DA" w:rsidP="00482E9F">
      <w:pPr>
        <w:pStyle w:val="BodyTextIndent3"/>
        <w:tabs>
          <w:tab w:val="clear" w:pos="1260"/>
        </w:tabs>
        <w:ind w:firstLine="0"/>
        <w:rPr>
          <w:b w:val="0"/>
        </w:rPr>
      </w:pPr>
      <w:r>
        <w:rPr>
          <w:b w:val="0"/>
        </w:rPr>
        <w:tab/>
      </w:r>
      <w:r w:rsidR="00F24F45">
        <w:t>Q.</w:t>
      </w:r>
      <w:r w:rsidR="00F24F45">
        <w:tab/>
        <w:t xml:space="preserve">Please discuss </w:t>
      </w:r>
      <w:r w:rsidR="00B01A18">
        <w:t xml:space="preserve">the availability </w:t>
      </w:r>
      <w:r w:rsidR="00F24F45">
        <w:t xml:space="preserve">assumptions for </w:t>
      </w:r>
      <w:r w:rsidR="00B01A18">
        <w:t xml:space="preserve">your thermal </w:t>
      </w:r>
      <w:r w:rsidR="00940D7B">
        <w:t xml:space="preserve">and gas </w:t>
      </w:r>
      <w:r w:rsidR="00B01A18">
        <w:t xml:space="preserve">generating </w:t>
      </w:r>
      <w:r w:rsidR="00940D7B">
        <w:t>facilities</w:t>
      </w:r>
      <w:r w:rsidR="00B01A18">
        <w:t xml:space="preserve">.  </w:t>
      </w:r>
    </w:p>
    <w:p w:rsidR="00482E9F" w:rsidRPr="00482E9F" w:rsidRDefault="00940D7B" w:rsidP="00482E9F">
      <w:pPr>
        <w:tabs>
          <w:tab w:val="left" w:pos="720"/>
          <w:tab w:val="left" w:pos="1440"/>
        </w:tabs>
        <w:spacing w:line="480" w:lineRule="auto"/>
        <w:ind w:firstLine="720"/>
        <w:jc w:val="both"/>
      </w:pPr>
      <w:r w:rsidRPr="00940D7B">
        <w:t>A.</w:t>
      </w:r>
      <w:r w:rsidRPr="00940D7B">
        <w:tab/>
      </w:r>
      <w:r w:rsidR="00E25478">
        <w:t xml:space="preserve">For </w:t>
      </w:r>
      <w:proofErr w:type="spellStart"/>
      <w:r w:rsidR="00E25478">
        <w:t>baseload</w:t>
      </w:r>
      <w:proofErr w:type="spellEnd"/>
      <w:r w:rsidR="00E25478">
        <w:t xml:space="preserve"> generating facilities such as Coyote Springs 2, Kettle Falls Generating Station, and Colstrip</w:t>
      </w:r>
      <w:r w:rsidR="00F24F45">
        <w:t>, we use a 5-year average through 2009 to estimate long-run</w:t>
      </w:r>
      <w:r w:rsidR="00E25478">
        <w:t xml:space="preserve"> </w:t>
      </w:r>
      <w:r w:rsidR="00E25478">
        <w:lastRenderedPageBreak/>
        <w:t>operating</w:t>
      </w:r>
      <w:r w:rsidR="00F24F45">
        <w:t xml:space="preserve"> performance.</w:t>
      </w:r>
      <w:r w:rsidR="00084AB4">
        <w:t xml:space="preserve">  The following table summarizes the average forced outage rates for each of the Company’s thermal and gas generation facilities.</w:t>
      </w:r>
    </w:p>
    <w:p w:rsidR="00940D7B" w:rsidRPr="003A4DAD" w:rsidRDefault="00940D7B" w:rsidP="00940D7B">
      <w:pPr>
        <w:spacing w:line="480" w:lineRule="auto"/>
        <w:jc w:val="both"/>
        <w:rPr>
          <w:b/>
        </w:rPr>
      </w:pPr>
      <w:r w:rsidRPr="003A4DAD">
        <w:rPr>
          <w:b/>
        </w:rPr>
        <w:t xml:space="preserve">Table </w:t>
      </w:r>
      <w:r>
        <w:rPr>
          <w:b/>
        </w:rPr>
        <w:t xml:space="preserve">No.  4 – Equivalent Forced Outage Rates </w:t>
      </w:r>
      <w:r w:rsidR="00084AB4">
        <w:rPr>
          <w:b/>
        </w:rPr>
        <w:t>(</w:t>
      </w:r>
      <w:proofErr w:type="spellStart"/>
      <w:r w:rsidR="00084AB4">
        <w:rPr>
          <w:b/>
        </w:rPr>
        <w:t>EFOR</w:t>
      </w:r>
      <w:proofErr w:type="spellEnd"/>
      <w:r w:rsidR="00084AB4">
        <w:rPr>
          <w:b/>
        </w:rPr>
        <w:t xml:space="preserve">) </w:t>
      </w:r>
      <w:r>
        <w:rPr>
          <w:b/>
        </w:rPr>
        <w:t>Of Avista Thermal and Gas Plants</w:t>
      </w:r>
    </w:p>
    <w:p w:rsidR="00940D7B" w:rsidRDefault="00940D7B" w:rsidP="00084AB4">
      <w:pPr>
        <w:spacing w:line="480" w:lineRule="auto"/>
        <w:jc w:val="center"/>
      </w:pPr>
      <w:r w:rsidRPr="00940D7B">
        <w:rPr>
          <w:noProof/>
        </w:rPr>
        <w:drawing>
          <wp:inline distT="0" distB="0" distL="0" distR="0">
            <wp:extent cx="2752725" cy="98107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752725" cy="981075"/>
                    </a:xfrm>
                    <a:prstGeom prst="rect">
                      <a:avLst/>
                    </a:prstGeom>
                    <a:noFill/>
                    <a:ln w="9525">
                      <a:noFill/>
                      <a:miter lim="800000"/>
                      <a:headEnd/>
                      <a:tailEnd/>
                    </a:ln>
                  </pic:spPr>
                </pic:pic>
              </a:graphicData>
            </a:graphic>
          </wp:inline>
        </w:drawing>
      </w:r>
    </w:p>
    <w:p w:rsidR="00F24F45" w:rsidRDefault="00F24F45" w:rsidP="00246A68">
      <w:pPr>
        <w:tabs>
          <w:tab w:val="left" w:pos="720"/>
          <w:tab w:val="left" w:pos="1440"/>
        </w:tabs>
        <w:spacing w:line="480" w:lineRule="auto"/>
        <w:ind w:firstLine="720"/>
        <w:jc w:val="both"/>
      </w:pPr>
      <w:r>
        <w:rPr>
          <w:b/>
        </w:rPr>
        <w:t>Q.</w:t>
      </w:r>
      <w:r>
        <w:rPr>
          <w:b/>
        </w:rPr>
        <w:tab/>
      </w:r>
      <w:r w:rsidR="00B01A18">
        <w:rPr>
          <w:b/>
        </w:rPr>
        <w:t xml:space="preserve">Colstrip had an extended </w:t>
      </w:r>
      <w:r>
        <w:rPr>
          <w:b/>
        </w:rPr>
        <w:t>outage in 2009.  Would it be reasonable to exclude this single year from the average?</w:t>
      </w:r>
    </w:p>
    <w:p w:rsidR="00F24F45" w:rsidRDefault="00F24F45" w:rsidP="00246A68">
      <w:pPr>
        <w:tabs>
          <w:tab w:val="left" w:pos="720"/>
          <w:tab w:val="left" w:pos="1440"/>
        </w:tabs>
        <w:spacing w:line="480" w:lineRule="auto"/>
        <w:ind w:firstLine="720"/>
        <w:jc w:val="both"/>
      </w:pPr>
      <w:r>
        <w:t>A.</w:t>
      </w:r>
      <w:r>
        <w:tab/>
        <w:t>No.  In the past</w:t>
      </w:r>
      <w:r w:rsidR="00E25478">
        <w:t>,</w:t>
      </w:r>
      <w:r>
        <w:t xml:space="preserve"> various parties have advocated </w:t>
      </w:r>
      <w:r w:rsidR="001C6AD1">
        <w:t>elimination of</w:t>
      </w:r>
      <w:r>
        <w:t xml:space="preserve"> years where the Colstrip plant had a high forced outage rate, assuming that such years were abnormal </w:t>
      </w:r>
      <w:r w:rsidR="001C6AD1">
        <w:t>and</w:t>
      </w:r>
      <w:r>
        <w:t xml:space="preserve"> should </w:t>
      </w:r>
      <w:r w:rsidR="00B72F4D">
        <w:t>not</w:t>
      </w:r>
      <w:r>
        <w:t xml:space="preserve"> be expected to re-occur.  This is in fact not the case.  The 5-year average </w:t>
      </w:r>
      <w:r w:rsidR="00940D7B">
        <w:t xml:space="preserve">of 9.36 percent </w:t>
      </w:r>
      <w:r>
        <w:t>falls well below the 11.6</w:t>
      </w:r>
      <w:r w:rsidR="00B72F4D">
        <w:t xml:space="preserve"> percent</w:t>
      </w:r>
      <w:r>
        <w:t xml:space="preserve"> lifetime plant average.  In the 25-year history of Colstrip operations there have been seven years (one event every 3.7 years) where forced outage rates exceed 10</w:t>
      </w:r>
      <w:r w:rsidR="00B72F4D">
        <w:t xml:space="preserve"> percent</w:t>
      </w:r>
      <w:r>
        <w:t xml:space="preserve">.  It is therefore </w:t>
      </w:r>
      <w:r w:rsidR="00B01A18">
        <w:t xml:space="preserve">not uncommon </w:t>
      </w:r>
      <w:r>
        <w:t>for some years to have outages like the one experienced in 2009.  See Chart No. 1 for a history of forced outages at Colstrip.</w:t>
      </w:r>
    </w:p>
    <w:p w:rsidR="00F24F45" w:rsidRPr="003A4DAD" w:rsidRDefault="001C6AD1" w:rsidP="0083586C">
      <w:pPr>
        <w:spacing w:line="480" w:lineRule="auto"/>
        <w:jc w:val="both"/>
        <w:rPr>
          <w:b/>
        </w:rPr>
      </w:pPr>
      <w:r>
        <w:rPr>
          <w:b/>
        </w:rPr>
        <w:br w:type="page"/>
      </w:r>
      <w:r w:rsidR="00F24F45">
        <w:rPr>
          <w:b/>
        </w:rPr>
        <w:lastRenderedPageBreak/>
        <w:t>Chart No. 1 – Colstrip Forced Outage History</w:t>
      </w:r>
    </w:p>
    <w:p w:rsidR="00F24F45" w:rsidRPr="00F24F45" w:rsidRDefault="006A5ADA" w:rsidP="00F24F45">
      <w:pPr>
        <w:tabs>
          <w:tab w:val="left" w:pos="720"/>
          <w:tab w:val="left" w:pos="1440"/>
        </w:tabs>
        <w:spacing w:line="480" w:lineRule="auto"/>
        <w:ind w:firstLine="720"/>
      </w:pPr>
      <w:r>
        <w:rPr>
          <w:noProof/>
        </w:rPr>
        <w:drawing>
          <wp:inline distT="0" distB="0" distL="0" distR="0">
            <wp:extent cx="4714875" cy="3429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714875" cy="3429000"/>
                    </a:xfrm>
                    <a:prstGeom prst="rect">
                      <a:avLst/>
                    </a:prstGeom>
                    <a:noFill/>
                    <a:ln w="9525">
                      <a:noFill/>
                      <a:miter lim="800000"/>
                      <a:headEnd/>
                      <a:tailEnd/>
                    </a:ln>
                  </pic:spPr>
                </pic:pic>
              </a:graphicData>
            </a:graphic>
          </wp:inline>
        </w:drawing>
      </w:r>
    </w:p>
    <w:p w:rsidR="00246A68" w:rsidRDefault="00246A68" w:rsidP="00246A68">
      <w:pPr>
        <w:tabs>
          <w:tab w:val="left" w:pos="720"/>
          <w:tab w:val="left" w:pos="1440"/>
        </w:tabs>
        <w:spacing w:line="480" w:lineRule="auto"/>
        <w:ind w:firstLine="720"/>
        <w:jc w:val="both"/>
      </w:pPr>
      <w:r w:rsidRPr="00246A68">
        <w:rPr>
          <w:b/>
        </w:rPr>
        <w:t>Q.</w:t>
      </w:r>
      <w:r>
        <w:rPr>
          <w:b/>
        </w:rPr>
        <w:tab/>
      </w:r>
      <w:r w:rsidR="00B446B2">
        <w:rPr>
          <w:b/>
        </w:rPr>
        <w:t xml:space="preserve">Please provide a summary of the monthly and average Northwest </w:t>
      </w:r>
      <w:r w:rsidR="001C6AD1">
        <w:rPr>
          <w:b/>
        </w:rPr>
        <w:t>f</w:t>
      </w:r>
      <w:r w:rsidR="007B1D5D">
        <w:rPr>
          <w:b/>
        </w:rPr>
        <w:t xml:space="preserve">orward </w:t>
      </w:r>
      <w:r w:rsidR="00B446B2">
        <w:rPr>
          <w:b/>
        </w:rPr>
        <w:t>natural gas and electricity prices</w:t>
      </w:r>
      <w:r w:rsidR="001C6AD1">
        <w:rPr>
          <w:b/>
        </w:rPr>
        <w:t xml:space="preserve"> that directly affect </w:t>
      </w:r>
      <w:proofErr w:type="spellStart"/>
      <w:r w:rsidR="001C6AD1">
        <w:rPr>
          <w:b/>
        </w:rPr>
        <w:t>proforma</w:t>
      </w:r>
      <w:proofErr w:type="spellEnd"/>
      <w:r w:rsidR="001C6AD1">
        <w:rPr>
          <w:b/>
        </w:rPr>
        <w:t xml:space="preserve"> costs.</w:t>
      </w:r>
    </w:p>
    <w:p w:rsidR="00862FDD" w:rsidRDefault="00C27416" w:rsidP="00C668DB">
      <w:pPr>
        <w:tabs>
          <w:tab w:val="left" w:pos="720"/>
          <w:tab w:val="left" w:pos="1440"/>
        </w:tabs>
        <w:spacing w:line="480" w:lineRule="auto"/>
        <w:ind w:firstLine="720"/>
        <w:jc w:val="both"/>
      </w:pPr>
      <w:r>
        <w:t>A.</w:t>
      </w:r>
      <w:r>
        <w:tab/>
        <w:t>Table No. 5</w:t>
      </w:r>
      <w:r w:rsidR="00246A68">
        <w:t xml:space="preserve"> presents </w:t>
      </w:r>
      <w:r w:rsidR="00D579F8">
        <w:t xml:space="preserve">monthly </w:t>
      </w:r>
      <w:r w:rsidR="00246A68">
        <w:t>modeled natural gas and electricity prices</w:t>
      </w:r>
      <w:r w:rsidR="00B72F4D">
        <w:t xml:space="preserve"> for this case</w:t>
      </w:r>
      <w:r w:rsidR="00246A68">
        <w:t>.</w:t>
      </w:r>
    </w:p>
    <w:p w:rsidR="00246A68" w:rsidRPr="00246A68" w:rsidRDefault="00246A68" w:rsidP="00FC4AC8">
      <w:pPr>
        <w:tabs>
          <w:tab w:val="left" w:pos="720"/>
          <w:tab w:val="left" w:pos="1440"/>
        </w:tabs>
        <w:spacing w:line="480" w:lineRule="auto"/>
        <w:jc w:val="both"/>
        <w:rPr>
          <w:b/>
        </w:rPr>
      </w:pPr>
      <w:r>
        <w:rPr>
          <w:b/>
        </w:rPr>
        <w:t xml:space="preserve">Table </w:t>
      </w:r>
      <w:r w:rsidR="00940D7B">
        <w:rPr>
          <w:b/>
        </w:rPr>
        <w:t>No. 5</w:t>
      </w:r>
      <w:r>
        <w:rPr>
          <w:b/>
        </w:rPr>
        <w:t xml:space="preserve"> – Dispatch Model </w:t>
      </w:r>
      <w:r w:rsidR="006F3705">
        <w:rPr>
          <w:b/>
        </w:rPr>
        <w:t>Prices Summary</w:t>
      </w:r>
    </w:p>
    <w:tbl>
      <w:tblPr>
        <w:tblW w:w="8584" w:type="dxa"/>
        <w:jc w:val="center"/>
        <w:tblInd w:w="586" w:type="dxa"/>
        <w:tblLook w:val="04A0"/>
      </w:tblPr>
      <w:tblGrid>
        <w:gridCol w:w="807"/>
        <w:gridCol w:w="1236"/>
        <w:gridCol w:w="1236"/>
        <w:gridCol w:w="929"/>
        <w:gridCol w:w="872"/>
        <w:gridCol w:w="1236"/>
        <w:gridCol w:w="1236"/>
        <w:gridCol w:w="1032"/>
      </w:tblGrid>
      <w:tr w:rsidR="00765632" w:rsidRPr="006F3705" w:rsidTr="00D579F8">
        <w:trPr>
          <w:trHeight w:val="255"/>
          <w:jc w:val="center"/>
        </w:trPr>
        <w:tc>
          <w:tcPr>
            <w:tcW w:w="807" w:type="dxa"/>
            <w:tcBorders>
              <w:top w:val="single" w:sz="8" w:space="0" w:color="000000"/>
              <w:left w:val="single" w:sz="8" w:space="0" w:color="000000"/>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CSII</w:t>
            </w:r>
            <w:proofErr w:type="spellEnd"/>
            <w:r w:rsidRPr="006F3705">
              <w:rPr>
                <w:b/>
                <w:bCs/>
                <w:sz w:val="16"/>
                <w:szCs w:val="16"/>
              </w:rPr>
              <w:t xml:space="preserve"> &amp;</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NE/BP/</w:t>
            </w:r>
          </w:p>
        </w:tc>
        <w:tc>
          <w:tcPr>
            <w:tcW w:w="929"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Pr>
                <w:b/>
                <w:bCs/>
                <w:sz w:val="16"/>
                <w:szCs w:val="16"/>
              </w:rPr>
              <w:t>Flat</w:t>
            </w:r>
          </w:p>
        </w:tc>
        <w:tc>
          <w:tcPr>
            <w:tcW w:w="872"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CSII</w:t>
            </w:r>
            <w:proofErr w:type="spellEnd"/>
            <w:r w:rsidRPr="006F3705">
              <w:rPr>
                <w:b/>
                <w:bCs/>
                <w:sz w:val="16"/>
                <w:szCs w:val="16"/>
              </w:rPr>
              <w:t xml:space="preserve"> &amp;</w:t>
            </w:r>
          </w:p>
        </w:tc>
        <w:tc>
          <w:tcPr>
            <w:tcW w:w="1236" w:type="dxa"/>
            <w:tcBorders>
              <w:top w:val="single" w:sz="8" w:space="0" w:color="000000"/>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NE/BP/</w:t>
            </w:r>
          </w:p>
        </w:tc>
        <w:tc>
          <w:tcPr>
            <w:tcW w:w="1032" w:type="dxa"/>
            <w:tcBorders>
              <w:top w:val="single" w:sz="8" w:space="0" w:color="000000"/>
              <w:left w:val="nil"/>
              <w:bottom w:val="nil"/>
              <w:right w:val="single" w:sz="8" w:space="0" w:color="000000"/>
            </w:tcBorders>
            <w:shd w:val="clear" w:color="000000" w:fill="FFFFFF"/>
          </w:tcPr>
          <w:p w:rsidR="00765632" w:rsidRPr="006F3705" w:rsidRDefault="00765632" w:rsidP="00407B62">
            <w:pPr>
              <w:autoSpaceDE/>
              <w:autoSpaceDN/>
              <w:jc w:val="center"/>
              <w:rPr>
                <w:b/>
                <w:bCs/>
                <w:sz w:val="16"/>
                <w:szCs w:val="16"/>
              </w:rPr>
            </w:pPr>
            <w:r>
              <w:rPr>
                <w:b/>
                <w:bCs/>
                <w:sz w:val="16"/>
                <w:szCs w:val="16"/>
              </w:rPr>
              <w:t>Flat</w:t>
            </w:r>
          </w:p>
        </w:tc>
      </w:tr>
      <w:tr w:rsidR="00765632" w:rsidRPr="006F3705" w:rsidTr="00D579F8">
        <w:trPr>
          <w:trHeight w:val="255"/>
          <w:jc w:val="center"/>
        </w:trPr>
        <w:tc>
          <w:tcPr>
            <w:tcW w:w="807" w:type="dxa"/>
            <w:tcBorders>
              <w:top w:val="nil"/>
              <w:left w:val="single" w:sz="8" w:space="0" w:color="000000"/>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Rathdrum</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KFCT</w:t>
            </w:r>
            <w:proofErr w:type="spellEnd"/>
          </w:p>
        </w:tc>
        <w:tc>
          <w:tcPr>
            <w:tcW w:w="929"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Pr>
                <w:b/>
                <w:bCs/>
                <w:sz w:val="16"/>
                <w:szCs w:val="16"/>
              </w:rPr>
              <w:t>7x24</w:t>
            </w:r>
            <w:proofErr w:type="spellEnd"/>
          </w:p>
        </w:tc>
        <w:tc>
          <w:tcPr>
            <w:tcW w:w="872"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Rathdrum</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proofErr w:type="spellStart"/>
            <w:r w:rsidRPr="006F3705">
              <w:rPr>
                <w:b/>
                <w:bCs/>
                <w:sz w:val="16"/>
                <w:szCs w:val="16"/>
              </w:rPr>
              <w:t>KFCT</w:t>
            </w:r>
            <w:proofErr w:type="spellEnd"/>
          </w:p>
        </w:tc>
        <w:tc>
          <w:tcPr>
            <w:tcW w:w="1032" w:type="dxa"/>
            <w:tcBorders>
              <w:top w:val="nil"/>
              <w:left w:val="nil"/>
              <w:bottom w:val="nil"/>
              <w:right w:val="single" w:sz="8" w:space="0" w:color="000000"/>
            </w:tcBorders>
            <w:shd w:val="clear" w:color="000000" w:fill="FFFFFF"/>
          </w:tcPr>
          <w:p w:rsidR="00765632" w:rsidRPr="006F3705" w:rsidRDefault="00765632" w:rsidP="00407B62">
            <w:pPr>
              <w:autoSpaceDE/>
              <w:autoSpaceDN/>
              <w:jc w:val="center"/>
              <w:rPr>
                <w:b/>
                <w:bCs/>
                <w:sz w:val="16"/>
                <w:szCs w:val="16"/>
              </w:rPr>
            </w:pPr>
            <w:proofErr w:type="spellStart"/>
            <w:r>
              <w:rPr>
                <w:b/>
                <w:bCs/>
                <w:sz w:val="16"/>
                <w:szCs w:val="16"/>
              </w:rPr>
              <w:t>7x24</w:t>
            </w:r>
            <w:proofErr w:type="spellEnd"/>
          </w:p>
        </w:tc>
      </w:tr>
      <w:tr w:rsidR="00765632" w:rsidRPr="006F3705" w:rsidTr="00D579F8">
        <w:trPr>
          <w:trHeight w:val="255"/>
          <w:jc w:val="center"/>
        </w:trPr>
        <w:tc>
          <w:tcPr>
            <w:tcW w:w="807" w:type="dxa"/>
            <w:tcBorders>
              <w:top w:val="nil"/>
              <w:left w:val="single" w:sz="8" w:space="0" w:color="000000"/>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Gas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Gas</w:t>
            </w:r>
          </w:p>
        </w:tc>
        <w:tc>
          <w:tcPr>
            <w:tcW w:w="929"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Mid-C</w:t>
            </w:r>
          </w:p>
        </w:tc>
        <w:tc>
          <w:tcPr>
            <w:tcW w:w="872"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Gas </w:t>
            </w:r>
          </w:p>
        </w:tc>
        <w:tc>
          <w:tcPr>
            <w:tcW w:w="1236"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Gas</w:t>
            </w:r>
          </w:p>
        </w:tc>
        <w:tc>
          <w:tcPr>
            <w:tcW w:w="1032" w:type="dxa"/>
            <w:tcBorders>
              <w:top w:val="nil"/>
              <w:left w:val="nil"/>
              <w:bottom w:val="nil"/>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Mid-C</w:t>
            </w:r>
          </w:p>
        </w:tc>
      </w:tr>
      <w:tr w:rsidR="00765632"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Month</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dth</w:t>
            </w:r>
            <w:proofErr w:type="spellEnd"/>
            <w:r w:rsidRPr="006F3705">
              <w:rPr>
                <w:b/>
                <w:bCs/>
                <w:sz w:val="16"/>
                <w:szCs w:val="16"/>
              </w:rPr>
              <w:t>)</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 ($/</w:t>
            </w:r>
            <w:proofErr w:type="spellStart"/>
            <w:r w:rsidRPr="006F3705">
              <w:rPr>
                <w:b/>
                <w:bCs/>
                <w:sz w:val="16"/>
                <w:szCs w:val="16"/>
              </w:rPr>
              <w:t>dth</w:t>
            </w:r>
            <w:proofErr w:type="spellEnd"/>
            <w:r w:rsidRPr="006F3705">
              <w:rPr>
                <w:b/>
                <w:bCs/>
                <w:sz w:val="16"/>
                <w:szCs w:val="16"/>
              </w:rPr>
              <w:t>)</w:t>
            </w:r>
          </w:p>
        </w:tc>
        <w:tc>
          <w:tcPr>
            <w:tcW w:w="929"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MWh</w:t>
            </w:r>
            <w:proofErr w:type="spellEnd"/>
            <w:r w:rsidRPr="006F3705">
              <w:rPr>
                <w:b/>
                <w:bCs/>
                <w:sz w:val="16"/>
                <w:szCs w:val="16"/>
              </w:rPr>
              <w:t>)</w:t>
            </w:r>
          </w:p>
        </w:tc>
        <w:tc>
          <w:tcPr>
            <w:tcW w:w="872"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Month</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dth</w:t>
            </w:r>
            <w:proofErr w:type="spellEnd"/>
            <w:r w:rsidRPr="006F3705">
              <w:rPr>
                <w:b/>
                <w:bCs/>
                <w:sz w:val="16"/>
                <w:szCs w:val="16"/>
              </w:rPr>
              <w:t>)</w:t>
            </w:r>
          </w:p>
        </w:tc>
        <w:tc>
          <w:tcPr>
            <w:tcW w:w="1236"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 xml:space="preserve"> ($/</w:t>
            </w:r>
            <w:proofErr w:type="spellStart"/>
            <w:r w:rsidRPr="006F3705">
              <w:rPr>
                <w:b/>
                <w:bCs/>
                <w:sz w:val="16"/>
                <w:szCs w:val="16"/>
              </w:rPr>
              <w:t>dth</w:t>
            </w:r>
            <w:proofErr w:type="spellEnd"/>
            <w:r w:rsidRPr="006F3705">
              <w:rPr>
                <w:b/>
                <w:bCs/>
                <w:sz w:val="16"/>
                <w:szCs w:val="16"/>
              </w:rPr>
              <w:t>)</w:t>
            </w:r>
          </w:p>
        </w:tc>
        <w:tc>
          <w:tcPr>
            <w:tcW w:w="1032" w:type="dxa"/>
            <w:tcBorders>
              <w:top w:val="nil"/>
              <w:left w:val="nil"/>
              <w:bottom w:val="single" w:sz="8" w:space="0" w:color="000000"/>
              <w:right w:val="single" w:sz="8" w:space="0" w:color="000000"/>
            </w:tcBorders>
            <w:shd w:val="clear" w:color="000000" w:fill="FFFFFF"/>
          </w:tcPr>
          <w:p w:rsidR="00765632" w:rsidRPr="006F3705" w:rsidRDefault="00765632" w:rsidP="006F3705">
            <w:pPr>
              <w:autoSpaceDE/>
              <w:autoSpaceDN/>
              <w:jc w:val="center"/>
              <w:rPr>
                <w:b/>
                <w:bCs/>
                <w:sz w:val="16"/>
                <w:szCs w:val="16"/>
              </w:rPr>
            </w:pPr>
            <w:r w:rsidRPr="006F3705">
              <w:rPr>
                <w:b/>
                <w:bCs/>
                <w:sz w:val="16"/>
                <w:szCs w:val="16"/>
              </w:rPr>
              <w:t>($/</w:t>
            </w:r>
            <w:proofErr w:type="spellStart"/>
            <w:r w:rsidRPr="006F3705">
              <w:rPr>
                <w:b/>
                <w:bCs/>
                <w:sz w:val="16"/>
                <w:szCs w:val="16"/>
              </w:rPr>
              <w:t>MWh</w:t>
            </w:r>
            <w:proofErr w:type="spellEnd"/>
            <w:r w:rsidRPr="006F3705">
              <w:rPr>
                <w:b/>
                <w:bCs/>
                <w:sz w:val="16"/>
                <w:szCs w:val="16"/>
              </w:rPr>
              <w:t>)</w:t>
            </w:r>
          </w:p>
        </w:tc>
      </w:tr>
      <w:tr w:rsidR="00D579F8" w:rsidRPr="006F3705" w:rsidTr="00D579F8">
        <w:trPr>
          <w:trHeight w:val="223"/>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Jan-11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6.70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7.02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56.56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Jul-11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6.14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6.44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47.13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Feb-11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6.70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7.02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55.92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Aug-11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6.21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6.50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56.66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Mar-11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6.53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6.84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50.94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Sep-11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6.24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6.54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54.61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Apr-11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6.05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6.34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40.84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Oct-11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6.64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50.23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May-11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6.01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6.30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32.57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Nov-11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6.64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6.95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56.16 </w:t>
            </w:r>
          </w:p>
        </w:tc>
      </w:tr>
      <w:tr w:rsidR="00D579F8" w:rsidRPr="006F3705" w:rsidTr="00D579F8">
        <w:trPr>
          <w:trHeight w:val="270"/>
          <w:jc w:val="center"/>
        </w:trPr>
        <w:tc>
          <w:tcPr>
            <w:tcW w:w="807" w:type="dxa"/>
            <w:tcBorders>
              <w:top w:val="nil"/>
              <w:left w:val="single" w:sz="8" w:space="0" w:color="000000"/>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Jun-11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6.07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6.36 </w:t>
            </w: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32.27 </w:t>
            </w: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center"/>
              <w:rPr>
                <w:sz w:val="16"/>
                <w:szCs w:val="16"/>
              </w:rPr>
            </w:pPr>
            <w:r w:rsidRPr="00D579F8">
              <w:rPr>
                <w:sz w:val="16"/>
                <w:szCs w:val="16"/>
              </w:rPr>
              <w:t>Dec-11</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6.98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sz w:val="16"/>
                <w:szCs w:val="16"/>
              </w:rPr>
            </w:pPr>
            <w:r w:rsidRPr="00D579F8">
              <w:rPr>
                <w:sz w:val="16"/>
                <w:szCs w:val="16"/>
              </w:rPr>
              <w:t xml:space="preserve">               7.30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color w:val="000000"/>
                <w:sz w:val="16"/>
                <w:szCs w:val="16"/>
              </w:rPr>
            </w:pPr>
            <w:r w:rsidRPr="00D579F8">
              <w:rPr>
                <w:color w:val="000000"/>
                <w:sz w:val="16"/>
                <w:szCs w:val="16"/>
              </w:rPr>
              <w:t xml:space="preserve">62.13 </w:t>
            </w:r>
          </w:p>
        </w:tc>
      </w:tr>
      <w:tr w:rsidR="00D579F8" w:rsidRPr="006F3705" w:rsidTr="00D579F8">
        <w:trPr>
          <w:trHeight w:val="385"/>
          <w:jc w:val="center"/>
        </w:trPr>
        <w:tc>
          <w:tcPr>
            <w:tcW w:w="807" w:type="dxa"/>
            <w:tcBorders>
              <w:top w:val="single" w:sz="4" w:space="0" w:color="000000"/>
              <w:left w:val="single" w:sz="8" w:space="0" w:color="000000"/>
              <w:bottom w:val="single" w:sz="8" w:space="0" w:color="000000"/>
              <w:right w:val="single" w:sz="8" w:space="0" w:color="000000"/>
            </w:tcBorders>
            <w:shd w:val="clear" w:color="auto" w:fill="auto"/>
            <w:vAlign w:val="bottom"/>
          </w:tcPr>
          <w:p w:rsidR="00D579F8" w:rsidRPr="00D579F8" w:rsidRDefault="00D579F8" w:rsidP="00862FDD">
            <w:pPr>
              <w:autoSpaceDE/>
              <w:autoSpaceDN/>
              <w:rPr>
                <w:b/>
                <w:bCs/>
                <w:sz w:val="16"/>
                <w:szCs w:val="16"/>
              </w:rPr>
            </w:pP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1C4C22">
            <w:pPr>
              <w:autoSpaceDE/>
              <w:autoSpaceDN/>
              <w:jc w:val="right"/>
              <w:rPr>
                <w:b/>
                <w:bCs/>
                <w:sz w:val="16"/>
                <w:szCs w:val="16"/>
              </w:rPr>
            </w:pP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6F3705">
            <w:pPr>
              <w:autoSpaceDE/>
              <w:autoSpaceDN/>
              <w:jc w:val="right"/>
              <w:rPr>
                <w:b/>
                <w:bCs/>
                <w:sz w:val="16"/>
                <w:szCs w:val="16"/>
              </w:rPr>
            </w:pPr>
          </w:p>
        </w:tc>
        <w:tc>
          <w:tcPr>
            <w:tcW w:w="929" w:type="dxa"/>
            <w:tcBorders>
              <w:top w:val="nil"/>
              <w:left w:val="nil"/>
              <w:bottom w:val="single" w:sz="8" w:space="0" w:color="000000"/>
              <w:right w:val="single" w:sz="8" w:space="0" w:color="000000"/>
            </w:tcBorders>
            <w:shd w:val="clear" w:color="auto" w:fill="auto"/>
            <w:vAlign w:val="bottom"/>
          </w:tcPr>
          <w:p w:rsidR="00D579F8" w:rsidRPr="00D579F8" w:rsidRDefault="00D579F8" w:rsidP="006F3705">
            <w:pPr>
              <w:autoSpaceDE/>
              <w:autoSpaceDN/>
              <w:jc w:val="right"/>
              <w:rPr>
                <w:b/>
                <w:bCs/>
                <w:sz w:val="16"/>
                <w:szCs w:val="16"/>
              </w:rPr>
            </w:pPr>
          </w:p>
        </w:tc>
        <w:tc>
          <w:tcPr>
            <w:tcW w:w="872" w:type="dxa"/>
            <w:tcBorders>
              <w:top w:val="nil"/>
              <w:left w:val="nil"/>
              <w:bottom w:val="single" w:sz="8" w:space="0" w:color="000000"/>
              <w:right w:val="single" w:sz="8" w:space="0" w:color="000000"/>
            </w:tcBorders>
            <w:shd w:val="clear" w:color="auto" w:fill="auto"/>
            <w:vAlign w:val="bottom"/>
          </w:tcPr>
          <w:p w:rsidR="00D579F8" w:rsidRPr="00D579F8" w:rsidRDefault="00D579F8" w:rsidP="006F3705">
            <w:pPr>
              <w:autoSpaceDE/>
              <w:autoSpaceDN/>
              <w:jc w:val="center"/>
              <w:rPr>
                <w:b/>
                <w:bCs/>
                <w:sz w:val="16"/>
                <w:szCs w:val="16"/>
              </w:rPr>
            </w:pPr>
            <w:r w:rsidRPr="00D579F8">
              <w:rPr>
                <w:b/>
                <w:bCs/>
                <w:sz w:val="16"/>
                <w:szCs w:val="16"/>
              </w:rPr>
              <w:t>Average</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right"/>
              <w:rPr>
                <w:b/>
                <w:sz w:val="16"/>
                <w:szCs w:val="16"/>
              </w:rPr>
            </w:pPr>
            <w:r w:rsidRPr="00D579F8">
              <w:rPr>
                <w:b/>
                <w:sz w:val="16"/>
                <w:szCs w:val="16"/>
              </w:rPr>
              <w:t xml:space="preserve">6.38 </w:t>
            </w:r>
          </w:p>
        </w:tc>
        <w:tc>
          <w:tcPr>
            <w:tcW w:w="1236"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autoSpaceDE/>
              <w:autoSpaceDN/>
              <w:jc w:val="right"/>
              <w:rPr>
                <w:b/>
                <w:sz w:val="16"/>
                <w:szCs w:val="16"/>
              </w:rPr>
            </w:pPr>
            <w:r w:rsidRPr="00D579F8">
              <w:rPr>
                <w:b/>
                <w:sz w:val="16"/>
                <w:szCs w:val="16"/>
              </w:rPr>
              <w:t xml:space="preserve">6.69 </w:t>
            </w:r>
          </w:p>
        </w:tc>
        <w:tc>
          <w:tcPr>
            <w:tcW w:w="1032" w:type="dxa"/>
            <w:tcBorders>
              <w:top w:val="nil"/>
              <w:left w:val="nil"/>
              <w:bottom w:val="single" w:sz="8" w:space="0" w:color="000000"/>
              <w:right w:val="single" w:sz="8" w:space="0" w:color="000000"/>
            </w:tcBorders>
            <w:shd w:val="clear" w:color="auto" w:fill="auto"/>
            <w:vAlign w:val="bottom"/>
          </w:tcPr>
          <w:p w:rsidR="00D579F8" w:rsidRPr="00D579F8" w:rsidRDefault="00D579F8" w:rsidP="00D579F8">
            <w:pPr>
              <w:jc w:val="right"/>
              <w:rPr>
                <w:b/>
                <w:bCs/>
                <w:color w:val="000000"/>
                <w:sz w:val="16"/>
                <w:szCs w:val="16"/>
              </w:rPr>
            </w:pPr>
            <w:r w:rsidRPr="00D579F8">
              <w:rPr>
                <w:b/>
                <w:bCs/>
                <w:color w:val="000000"/>
                <w:sz w:val="16"/>
                <w:szCs w:val="16"/>
              </w:rPr>
              <w:t xml:space="preserve">        49.66 </w:t>
            </w:r>
          </w:p>
        </w:tc>
      </w:tr>
    </w:tbl>
    <w:p w:rsidR="006F3705" w:rsidRDefault="006F3705" w:rsidP="007B1D5D">
      <w:pPr>
        <w:tabs>
          <w:tab w:val="left" w:pos="720"/>
          <w:tab w:val="left" w:pos="1440"/>
        </w:tabs>
        <w:spacing w:line="480" w:lineRule="auto"/>
        <w:ind w:firstLine="720"/>
        <w:jc w:val="both"/>
        <w:rPr>
          <w:b/>
        </w:rPr>
      </w:pPr>
    </w:p>
    <w:p w:rsidR="007B1D5D" w:rsidRDefault="007B1D5D" w:rsidP="007B1D5D">
      <w:pPr>
        <w:tabs>
          <w:tab w:val="left" w:pos="720"/>
          <w:tab w:val="left" w:pos="1440"/>
        </w:tabs>
        <w:spacing w:line="480" w:lineRule="auto"/>
        <w:ind w:firstLine="720"/>
        <w:jc w:val="both"/>
      </w:pPr>
      <w:r w:rsidRPr="00246A68">
        <w:rPr>
          <w:b/>
        </w:rPr>
        <w:lastRenderedPageBreak/>
        <w:t>Q.</w:t>
      </w:r>
      <w:r w:rsidR="00050DD6">
        <w:rPr>
          <w:b/>
        </w:rPr>
        <w:tab/>
        <w:t>Are Mid-</w:t>
      </w:r>
      <w:r>
        <w:rPr>
          <w:b/>
        </w:rPr>
        <w:t xml:space="preserve">Columbia electric prices from the Dispatch </w:t>
      </w:r>
      <w:r w:rsidR="001C6AD1">
        <w:rPr>
          <w:b/>
        </w:rPr>
        <w:t>M</w:t>
      </w:r>
      <w:r>
        <w:rPr>
          <w:b/>
        </w:rPr>
        <w:t>odel the same as the Forward Market?</w:t>
      </w:r>
    </w:p>
    <w:p w:rsidR="007B1D5D" w:rsidRDefault="00050DD6" w:rsidP="007B1D5D">
      <w:pPr>
        <w:tabs>
          <w:tab w:val="left" w:pos="720"/>
          <w:tab w:val="left" w:pos="1440"/>
        </w:tabs>
        <w:spacing w:line="480" w:lineRule="auto"/>
        <w:ind w:firstLine="720"/>
        <w:jc w:val="both"/>
      </w:pPr>
      <w:r>
        <w:t>A.</w:t>
      </w:r>
      <w:r>
        <w:tab/>
        <w:t>No, Mid-</w:t>
      </w:r>
      <w:r w:rsidR="007B1D5D">
        <w:t xml:space="preserve">Columbia electric prices from the Dispatch Model differ from the </w:t>
      </w:r>
      <w:r w:rsidR="00FB3624">
        <w:t>f</w:t>
      </w:r>
      <w:r w:rsidR="007B1D5D">
        <w:t xml:space="preserve">orward </w:t>
      </w:r>
      <w:r w:rsidR="00FB3624">
        <w:t>m</w:t>
      </w:r>
      <w:r w:rsidR="007B1D5D">
        <w:t>arket for a variety of reasons.</w:t>
      </w:r>
      <w:r w:rsidR="00D579F8">
        <w:t xml:space="preserve"> </w:t>
      </w:r>
      <w:r w:rsidR="007B1D5D">
        <w:t xml:space="preserve"> </w:t>
      </w:r>
      <w:r w:rsidR="00D579F8">
        <w:t xml:space="preserve">This being said, they generally are very close as in this filing.  </w:t>
      </w:r>
      <w:r w:rsidR="001C6AD1">
        <w:t>F</w:t>
      </w:r>
      <w:r w:rsidR="007B1D5D">
        <w:t xml:space="preserve">orward </w:t>
      </w:r>
      <w:r w:rsidR="00FB3624">
        <w:t>m</w:t>
      </w:r>
      <w:r w:rsidR="007B1D5D">
        <w:t xml:space="preserve">arket prices are not only an expectation of future prices, but </w:t>
      </w:r>
      <w:r w:rsidR="00344498">
        <w:t xml:space="preserve">they contain an </w:t>
      </w:r>
      <w:r w:rsidR="007B1D5D">
        <w:t>adjustment for risk or unknown future conditions</w:t>
      </w:r>
      <w:r w:rsidR="00FB3624">
        <w:t>, based on the premise you can “lock in” prices</w:t>
      </w:r>
      <w:r w:rsidR="007B1D5D">
        <w:t xml:space="preserve">.  The Dispatch </w:t>
      </w:r>
      <w:r w:rsidR="00FB3624">
        <w:t>M</w:t>
      </w:r>
      <w:r w:rsidR="007B1D5D">
        <w:t>odel is a spot market model that forecasts prices for a specific time in the future given load, hydro, and fuel price</w:t>
      </w:r>
      <w:r w:rsidR="00344498">
        <w:t xml:space="preserve"> conditions</w:t>
      </w:r>
      <w:r w:rsidR="007B1D5D">
        <w:t>.</w:t>
      </w:r>
      <w:r w:rsidR="00942DBB">
        <w:t xml:space="preserve"> </w:t>
      </w:r>
      <w:r w:rsidR="00B72F4D">
        <w:t xml:space="preserve"> </w:t>
      </w:r>
      <w:r w:rsidR="00344498">
        <w:t>A</w:t>
      </w:r>
      <w:r w:rsidR="00942DBB">
        <w:t>verage annual Mid-Columbia price</w:t>
      </w:r>
      <w:r w:rsidR="00344498">
        <w:t>s</w:t>
      </w:r>
      <w:r w:rsidR="00942DBB">
        <w:t xml:space="preserve"> </w:t>
      </w:r>
      <w:r w:rsidR="006F3705">
        <w:t>in the forward market are $</w:t>
      </w:r>
      <w:r w:rsidR="00D579F8">
        <w:t>54.90</w:t>
      </w:r>
      <w:r w:rsidR="00942DBB">
        <w:t>/</w:t>
      </w:r>
      <w:proofErr w:type="spellStart"/>
      <w:r w:rsidR="00942DBB">
        <w:t>MWh</w:t>
      </w:r>
      <w:proofErr w:type="spellEnd"/>
      <w:r w:rsidR="00942DBB">
        <w:t xml:space="preserve"> on-peak and $</w:t>
      </w:r>
      <w:r w:rsidR="00D579F8">
        <w:t>43.11</w:t>
      </w:r>
      <w:r w:rsidR="006F3705">
        <w:t>/</w:t>
      </w:r>
      <w:proofErr w:type="spellStart"/>
      <w:r w:rsidR="00942DBB">
        <w:t>MWh</w:t>
      </w:r>
      <w:proofErr w:type="spellEnd"/>
      <w:r w:rsidR="00942DBB">
        <w:t xml:space="preserve"> off-peak (based on average forwards between </w:t>
      </w:r>
      <w:r w:rsidR="00D579F8">
        <w:t>10</w:t>
      </w:r>
      <w:r w:rsidR="00942DBB">
        <w:t>/1/200</w:t>
      </w:r>
      <w:r w:rsidR="00D579F8">
        <w:t>9</w:t>
      </w:r>
      <w:r w:rsidR="00942DBB">
        <w:t xml:space="preserve"> and </w:t>
      </w:r>
      <w:r w:rsidR="006F3705">
        <w:t>1</w:t>
      </w:r>
      <w:r w:rsidR="00D579F8">
        <w:t>2</w:t>
      </w:r>
      <w:r w:rsidR="00942DBB">
        <w:t>/3</w:t>
      </w:r>
      <w:r w:rsidR="00D579F8">
        <w:t>1</w:t>
      </w:r>
      <w:r w:rsidR="00942DBB">
        <w:t>/200</w:t>
      </w:r>
      <w:r w:rsidR="00D579F8">
        <w:t>9</w:t>
      </w:r>
      <w:r w:rsidR="00344498">
        <w:t>)</w:t>
      </w:r>
      <w:r w:rsidR="00942DBB">
        <w:t xml:space="preserve">. </w:t>
      </w:r>
      <w:r w:rsidR="00B72F4D">
        <w:t xml:space="preserve"> </w:t>
      </w:r>
      <w:r w:rsidR="00942DBB">
        <w:t xml:space="preserve">The average Mid-Columbia price from the Dispatch Model is </w:t>
      </w:r>
      <w:r w:rsidR="00942DBB" w:rsidRPr="00C130C2">
        <w:t>$</w:t>
      </w:r>
      <w:r w:rsidR="00D579F8">
        <w:t>54.76</w:t>
      </w:r>
      <w:r w:rsidR="00765632">
        <w:t>/</w:t>
      </w:r>
      <w:proofErr w:type="spellStart"/>
      <w:r w:rsidR="00765632">
        <w:t>MWh</w:t>
      </w:r>
      <w:proofErr w:type="spellEnd"/>
      <w:r w:rsidR="00765632">
        <w:t xml:space="preserve"> on-peak and $</w:t>
      </w:r>
      <w:r w:rsidR="00D579F8">
        <w:t>42.83</w:t>
      </w:r>
      <w:r w:rsidR="00942DBB" w:rsidRPr="00C130C2">
        <w:t>/</w:t>
      </w:r>
      <w:proofErr w:type="spellStart"/>
      <w:r w:rsidR="00942DBB" w:rsidRPr="00C130C2">
        <w:t>MWh</w:t>
      </w:r>
      <w:proofErr w:type="spellEnd"/>
      <w:r w:rsidR="00942DBB" w:rsidRPr="00C130C2">
        <w:t xml:space="preserve"> off-peak</w:t>
      </w:r>
      <w:r w:rsidR="00C130C2">
        <w:t>.</w:t>
      </w:r>
    </w:p>
    <w:p w:rsidR="00285E86" w:rsidRDefault="00285E86" w:rsidP="007B1D5D">
      <w:pPr>
        <w:tabs>
          <w:tab w:val="left" w:pos="720"/>
          <w:tab w:val="left" w:pos="1440"/>
        </w:tabs>
        <w:spacing w:line="480" w:lineRule="auto"/>
        <w:ind w:firstLine="720"/>
        <w:jc w:val="both"/>
      </w:pPr>
    </w:p>
    <w:p w:rsidR="00285E86" w:rsidRPr="00FF6C24" w:rsidRDefault="00285E86" w:rsidP="00285E86">
      <w:pPr>
        <w:pStyle w:val="BodyTextIndent3"/>
        <w:tabs>
          <w:tab w:val="clear" w:pos="1260"/>
        </w:tabs>
        <w:ind w:firstLine="0"/>
        <w:jc w:val="center"/>
        <w:rPr>
          <w:b w:val="0"/>
          <w:u w:val="single"/>
        </w:rPr>
      </w:pPr>
      <w:r w:rsidRPr="00FF6C24">
        <w:rPr>
          <w:u w:val="single"/>
        </w:rPr>
        <w:t>V</w:t>
      </w:r>
      <w:r>
        <w:rPr>
          <w:u w:val="single"/>
        </w:rPr>
        <w:t>I</w:t>
      </w:r>
      <w:r w:rsidRPr="00FF6C24">
        <w:rPr>
          <w:u w:val="single"/>
        </w:rPr>
        <w:t>.</w:t>
      </w:r>
      <w:r>
        <w:rPr>
          <w:u w:val="single"/>
        </w:rPr>
        <w:t xml:space="preserve"> DEMAND </w:t>
      </w:r>
      <w:r w:rsidR="00D10936">
        <w:rPr>
          <w:u w:val="single"/>
        </w:rPr>
        <w:t>CLASSIFICATION</w:t>
      </w:r>
    </w:p>
    <w:p w:rsidR="0048225E" w:rsidRDefault="0048225E" w:rsidP="00285E86">
      <w:pPr>
        <w:tabs>
          <w:tab w:val="left" w:pos="720"/>
          <w:tab w:val="left" w:pos="1440"/>
        </w:tabs>
        <w:spacing w:line="480" w:lineRule="auto"/>
        <w:ind w:firstLine="720"/>
        <w:jc w:val="both"/>
      </w:pPr>
      <w:r>
        <w:rPr>
          <w:b/>
        </w:rPr>
        <w:t>Q.</w:t>
      </w:r>
      <w:r>
        <w:rPr>
          <w:b/>
        </w:rPr>
        <w:tab/>
      </w:r>
      <w:r w:rsidR="004E4322">
        <w:rPr>
          <w:b/>
        </w:rPr>
        <w:t>Witness Knox explains that the Company is changing its methodology for allocating production costs between capacity and energy based on your work.  Please explain your concerns with the present methodology and what you propose as a better way to allocate production costs.</w:t>
      </w:r>
    </w:p>
    <w:p w:rsidR="004E4322" w:rsidRDefault="004E4322" w:rsidP="00285E86">
      <w:pPr>
        <w:tabs>
          <w:tab w:val="left" w:pos="720"/>
          <w:tab w:val="left" w:pos="1440"/>
        </w:tabs>
        <w:spacing w:line="480" w:lineRule="auto"/>
        <w:ind w:firstLine="720"/>
        <w:jc w:val="both"/>
      </w:pPr>
      <w:r>
        <w:t>A.</w:t>
      </w:r>
      <w:r>
        <w:tab/>
      </w:r>
      <w:r w:rsidR="00B01A18">
        <w:t xml:space="preserve">The historical method to allocate production costs </w:t>
      </w:r>
      <w:r>
        <w:t xml:space="preserve">goes through the various FERC accounts and attempts to determine which costs are for demand and which are for energy.  As an example, all </w:t>
      </w:r>
      <w:r w:rsidR="004F0902">
        <w:t xml:space="preserve">thermal </w:t>
      </w:r>
      <w:r>
        <w:t>fuel in FERC account 5</w:t>
      </w:r>
      <w:r w:rsidR="004F0902">
        <w:t>01</w:t>
      </w:r>
      <w:r>
        <w:t xml:space="preserve"> </w:t>
      </w:r>
      <w:r w:rsidR="004F0902">
        <w:t>is</w:t>
      </w:r>
      <w:r>
        <w:t xml:space="preserve"> allocated to energy produc</w:t>
      </w:r>
      <w:r w:rsidR="004F0902">
        <w:t>tion</w:t>
      </w:r>
      <w:r w:rsidR="00084AB4">
        <w:t>, a</w:t>
      </w:r>
      <w:r w:rsidR="004F0902">
        <w:t xml:space="preserve">nd all “Other” production costs </w:t>
      </w:r>
      <w:r>
        <w:t xml:space="preserve">are allocated to demand.  </w:t>
      </w:r>
      <w:r w:rsidR="00246B0F">
        <w:t>Unfortunately</w:t>
      </w:r>
      <w:r>
        <w:t xml:space="preserve">, the problem is not this simple.  Some </w:t>
      </w:r>
      <w:r w:rsidR="004F0902">
        <w:t xml:space="preserve">of the “Other” </w:t>
      </w:r>
      <w:r>
        <w:t xml:space="preserve">costs are </w:t>
      </w:r>
      <w:r w:rsidR="004F0902">
        <w:t xml:space="preserve">almost certainly </w:t>
      </w:r>
      <w:r>
        <w:t>related to the production of energy and, possibly more surprising</w:t>
      </w:r>
      <w:r w:rsidR="009868C7">
        <w:t xml:space="preserve"> to some</w:t>
      </w:r>
      <w:r>
        <w:t xml:space="preserve">, </w:t>
      </w:r>
      <w:r w:rsidR="009868C7">
        <w:t xml:space="preserve">various </w:t>
      </w:r>
      <w:r>
        <w:t>fuel costs can be related to providing capacity (demand).</w:t>
      </w:r>
    </w:p>
    <w:p w:rsidR="004E4322" w:rsidRPr="004E4322" w:rsidRDefault="004E4322" w:rsidP="00285E86">
      <w:pPr>
        <w:tabs>
          <w:tab w:val="left" w:pos="720"/>
          <w:tab w:val="left" w:pos="1440"/>
        </w:tabs>
        <w:spacing w:line="480" w:lineRule="auto"/>
        <w:ind w:firstLine="720"/>
        <w:jc w:val="both"/>
        <w:rPr>
          <w:b/>
        </w:rPr>
      </w:pPr>
      <w:r w:rsidRPr="004E4322">
        <w:rPr>
          <w:b/>
        </w:rPr>
        <w:lastRenderedPageBreak/>
        <w:t>Q.</w:t>
      </w:r>
      <w:r w:rsidRPr="004E4322">
        <w:rPr>
          <w:b/>
        </w:rPr>
        <w:tab/>
        <w:t>How can some of the costs in your example be considered energy?</w:t>
      </w:r>
    </w:p>
    <w:p w:rsidR="003F67F0" w:rsidRDefault="004E4322" w:rsidP="00285E86">
      <w:pPr>
        <w:tabs>
          <w:tab w:val="left" w:pos="720"/>
          <w:tab w:val="left" w:pos="1440"/>
        </w:tabs>
        <w:spacing w:line="480" w:lineRule="auto"/>
        <w:ind w:firstLine="720"/>
        <w:jc w:val="both"/>
      </w:pPr>
      <w:r>
        <w:t>A.</w:t>
      </w:r>
      <w:r>
        <w:tab/>
        <w:t xml:space="preserve">To produce energy it is necessary to maintain a generation plant in a ready state to do so.  </w:t>
      </w:r>
      <w:r w:rsidR="00AB3580">
        <w:t xml:space="preserve">The “Other” category </w:t>
      </w:r>
      <w:r w:rsidR="003F67F0">
        <w:t xml:space="preserve">is an excellent example of a somewhat arbitrary allocation to demand that is done for lack of any better approach.  </w:t>
      </w:r>
      <w:r w:rsidR="009868C7">
        <w:t xml:space="preserve">The “Other” category for both production plant (300 series) and </w:t>
      </w:r>
      <w:proofErr w:type="spellStart"/>
      <w:r w:rsidR="009868C7">
        <w:t>O&amp;M</w:t>
      </w:r>
      <w:proofErr w:type="spellEnd"/>
      <w:r w:rsidR="009868C7">
        <w:t xml:space="preserve"> (500 series) includes our gas-fired plants and the Lancaster agreement.  The “Other” category is allocated 100</w:t>
      </w:r>
      <w:r w:rsidR="00940D7B">
        <w:t xml:space="preserve"> percent</w:t>
      </w:r>
      <w:r w:rsidR="009868C7">
        <w:t xml:space="preserve"> demand.  Because of this the Company has historically </w:t>
      </w:r>
      <w:r w:rsidR="00084AB4">
        <w:t xml:space="preserve">removed </w:t>
      </w:r>
      <w:r w:rsidR="009868C7">
        <w:t xml:space="preserve">our Coyote Springs 2 gas-fired </w:t>
      </w:r>
      <w:proofErr w:type="spellStart"/>
      <w:r w:rsidR="009868C7">
        <w:t>CCCT</w:t>
      </w:r>
      <w:proofErr w:type="spellEnd"/>
      <w:r w:rsidR="009868C7">
        <w:t xml:space="preserve"> plant from the “Other” category and instead allocated its costs based on the overall Thermal Peak Credit figure.  But other plants are not broken out this way.  Boulder Park, Rathdrum and Northeast are all allocated 100</w:t>
      </w:r>
      <w:r w:rsidR="00940D7B">
        <w:t xml:space="preserve"> percent</w:t>
      </w:r>
      <w:r w:rsidR="009868C7">
        <w:t xml:space="preserve"> to demand by being in the “Other” category, yet clearly a portion of their plant and </w:t>
      </w:r>
      <w:proofErr w:type="spellStart"/>
      <w:r w:rsidR="009868C7">
        <w:t>O&amp;M</w:t>
      </w:r>
      <w:proofErr w:type="spellEnd"/>
      <w:r w:rsidR="009868C7">
        <w:t xml:space="preserve"> costs are attributable to energy production.  </w:t>
      </w:r>
      <w:r w:rsidR="003F67F0">
        <w:t>It is likely that a portion of “Other” expenses are indeed to the benefit of energy production, yet the old allocation method assumed all such costs are attributable to demand</w:t>
      </w:r>
      <w:r w:rsidR="009868C7">
        <w:t>.</w:t>
      </w:r>
    </w:p>
    <w:p w:rsidR="004E4322" w:rsidRDefault="004E4322" w:rsidP="00285E86">
      <w:pPr>
        <w:tabs>
          <w:tab w:val="left" w:pos="720"/>
          <w:tab w:val="left" w:pos="1440"/>
        </w:tabs>
        <w:spacing w:line="480" w:lineRule="auto"/>
        <w:ind w:firstLine="720"/>
        <w:jc w:val="both"/>
      </w:pPr>
      <w:r>
        <w:rPr>
          <w:b/>
        </w:rPr>
        <w:t>Q.</w:t>
      </w:r>
      <w:r>
        <w:rPr>
          <w:b/>
        </w:rPr>
        <w:tab/>
        <w:t>How can a fuel cost be classified as demand?</w:t>
      </w:r>
    </w:p>
    <w:p w:rsidR="004E4322" w:rsidRDefault="004E4322" w:rsidP="00285E86">
      <w:pPr>
        <w:tabs>
          <w:tab w:val="left" w:pos="720"/>
          <w:tab w:val="left" w:pos="1440"/>
        </w:tabs>
        <w:spacing w:line="480" w:lineRule="auto"/>
        <w:ind w:firstLine="720"/>
        <w:jc w:val="both"/>
      </w:pPr>
      <w:r>
        <w:t>A.</w:t>
      </w:r>
      <w:r>
        <w:tab/>
        <w:t>Demand, or capacity, is really the production of energy at the time of system peak.  Fuel is consumed during periods of peak operation.  It would be unreasonable to not consider this fact.  And simply because the majority of a fuel expense is incu</w:t>
      </w:r>
      <w:r w:rsidR="00940D7B">
        <w:t>rred outside of peak operating</w:t>
      </w:r>
      <w:r>
        <w:t xml:space="preserve"> periods does not mean that </w:t>
      </w:r>
      <w:r w:rsidR="009868C7">
        <w:t>no</w:t>
      </w:r>
      <w:r>
        <w:t xml:space="preserve"> fuel should be allocated to demand.</w:t>
      </w:r>
    </w:p>
    <w:p w:rsidR="004E4322" w:rsidRDefault="004E4322" w:rsidP="00285E86">
      <w:pPr>
        <w:tabs>
          <w:tab w:val="left" w:pos="720"/>
          <w:tab w:val="left" w:pos="1440"/>
        </w:tabs>
        <w:spacing w:line="480" w:lineRule="auto"/>
        <w:ind w:firstLine="720"/>
        <w:jc w:val="both"/>
        <w:rPr>
          <w:b/>
        </w:rPr>
      </w:pPr>
      <w:r>
        <w:rPr>
          <w:b/>
        </w:rPr>
        <w:t>Q.</w:t>
      </w:r>
      <w:r>
        <w:rPr>
          <w:b/>
        </w:rPr>
        <w:tab/>
        <w:t>Do you have any other concerns about the present demand allocation methodology?</w:t>
      </w:r>
    </w:p>
    <w:p w:rsidR="004E4322" w:rsidRDefault="004E4322" w:rsidP="00285E86">
      <w:pPr>
        <w:tabs>
          <w:tab w:val="left" w:pos="720"/>
          <w:tab w:val="left" w:pos="1440"/>
        </w:tabs>
        <w:spacing w:line="480" w:lineRule="auto"/>
        <w:ind w:firstLine="720"/>
        <w:jc w:val="both"/>
      </w:pPr>
      <w:r>
        <w:t>A.</w:t>
      </w:r>
      <w:r>
        <w:tab/>
        <w:t xml:space="preserve">Yes.  Presently all of our generation assets are melded together to create an allocation.  Further, a </w:t>
      </w:r>
      <w:r w:rsidR="00A837E1">
        <w:t>simple</w:t>
      </w:r>
      <w:r>
        <w:t xml:space="preserve"> accounting methodology is employed to estimate what it might cost to construct our older facilities today.  But it is not realistic to assume that historical investments </w:t>
      </w:r>
      <w:r>
        <w:lastRenderedPageBreak/>
        <w:t>represent our present costs of capacity (demand).  Such allocations should be based on the decisions we are making today</w:t>
      </w:r>
      <w:r w:rsidR="009868C7">
        <w:t xml:space="preserve">, and </w:t>
      </w:r>
      <w:r>
        <w:t xml:space="preserve">on </w:t>
      </w:r>
      <w:r w:rsidR="009868C7">
        <w:t xml:space="preserve">the </w:t>
      </w:r>
      <w:r>
        <w:t xml:space="preserve">costs we incur today </w:t>
      </w:r>
      <w:r w:rsidR="009868C7">
        <w:t>when customers consume</w:t>
      </w:r>
      <w:r>
        <w:t xml:space="preserve"> electrical energy during times of system peak.</w:t>
      </w:r>
      <w:r w:rsidR="00C3452C">
        <w:t xml:space="preserve">  Instead of trying to create an incremental demand cost through a complicated and potentially inaccurate escalation of historical </w:t>
      </w:r>
      <w:r w:rsidR="009868C7">
        <w:t>expenses</w:t>
      </w:r>
      <w:r w:rsidR="00C3452C">
        <w:t xml:space="preserve">, we should instead use </w:t>
      </w:r>
      <w:r w:rsidR="009868C7">
        <w:t xml:space="preserve">present </w:t>
      </w:r>
      <w:r w:rsidR="00C3452C">
        <w:t xml:space="preserve">information </w:t>
      </w:r>
      <w:r w:rsidR="009868C7">
        <w:t xml:space="preserve">for </w:t>
      </w:r>
      <w:r w:rsidR="00C3452C">
        <w:t>plants we are building to meet new customer demand</w:t>
      </w:r>
      <w:r w:rsidR="009868C7">
        <w:t>s</w:t>
      </w:r>
      <w:r w:rsidR="00C3452C">
        <w:t>.</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 xml:space="preserve">Please explain the Company’s </w:t>
      </w:r>
      <w:r w:rsidR="009868C7">
        <w:rPr>
          <w:b/>
        </w:rPr>
        <w:t xml:space="preserve">recommended </w:t>
      </w:r>
      <w:r w:rsidRPr="00285E86">
        <w:rPr>
          <w:b/>
        </w:rPr>
        <w:t>method for classifying electricity production costs between energy and demand.</w:t>
      </w:r>
    </w:p>
    <w:p w:rsidR="0048225E" w:rsidRDefault="00285E86" w:rsidP="00285E86">
      <w:pPr>
        <w:tabs>
          <w:tab w:val="left" w:pos="720"/>
          <w:tab w:val="left" w:pos="1440"/>
        </w:tabs>
        <w:spacing w:line="480" w:lineRule="auto"/>
        <w:ind w:firstLine="720"/>
        <w:jc w:val="both"/>
      </w:pPr>
      <w:r>
        <w:t>A.</w:t>
      </w:r>
      <w:r>
        <w:tab/>
        <w:t xml:space="preserve">The Company </w:t>
      </w:r>
      <w:r w:rsidR="009868C7">
        <w:t>believes we should link</w:t>
      </w:r>
      <w:r>
        <w:t xml:space="preserve"> </w:t>
      </w:r>
      <w:r w:rsidR="009868C7">
        <w:t>the</w:t>
      </w:r>
      <w:r>
        <w:t xml:space="preserve"> classification methodology to </w:t>
      </w:r>
      <w:r w:rsidR="009868C7">
        <w:t>the</w:t>
      </w:r>
      <w:r>
        <w:t xml:space="preserve"> Integrated Resource Plan</w:t>
      </w:r>
      <w:r w:rsidR="009868C7">
        <w:t xml:space="preserve"> (</w:t>
      </w:r>
      <w:proofErr w:type="spellStart"/>
      <w:r w:rsidR="009868C7">
        <w:t>IRP</w:t>
      </w:r>
      <w:proofErr w:type="spellEnd"/>
      <w:r w:rsidR="009868C7">
        <w:t>)</w:t>
      </w:r>
      <w:r>
        <w:t xml:space="preserve">.  The </w:t>
      </w:r>
      <w:proofErr w:type="spellStart"/>
      <w:r>
        <w:t>IRP</w:t>
      </w:r>
      <w:proofErr w:type="spellEnd"/>
      <w:r>
        <w:t xml:space="preserve"> process is an exercise to meet customer load growth in a least-cost fashion.  Central to the equation is the level of our customers’ coincident peak demand.  We construct a least-cost mix of resources providing both the energy and capacity.</w:t>
      </w:r>
    </w:p>
    <w:p w:rsidR="0048225E" w:rsidRPr="0048225E" w:rsidRDefault="0048225E" w:rsidP="00285E86">
      <w:pPr>
        <w:tabs>
          <w:tab w:val="left" w:pos="720"/>
          <w:tab w:val="left" w:pos="1440"/>
        </w:tabs>
        <w:spacing w:line="480" w:lineRule="auto"/>
        <w:ind w:firstLine="720"/>
        <w:jc w:val="both"/>
        <w:rPr>
          <w:b/>
        </w:rPr>
      </w:pPr>
      <w:r w:rsidRPr="0048225E">
        <w:rPr>
          <w:b/>
        </w:rPr>
        <w:t>Q.</w:t>
      </w:r>
      <w:r w:rsidRPr="0048225E">
        <w:rPr>
          <w:b/>
        </w:rPr>
        <w:tab/>
      </w:r>
      <w:r>
        <w:rPr>
          <w:b/>
        </w:rPr>
        <w:t>What resource does the Compa</w:t>
      </w:r>
      <w:r w:rsidR="00C3452C">
        <w:rPr>
          <w:b/>
        </w:rPr>
        <w:t>n</w:t>
      </w:r>
      <w:r>
        <w:rPr>
          <w:b/>
        </w:rPr>
        <w:t>y propose be used for splitting demand and energy costs from overall production expenses?</w:t>
      </w:r>
    </w:p>
    <w:p w:rsidR="00285E86" w:rsidRDefault="0048225E" w:rsidP="00285E86">
      <w:pPr>
        <w:tabs>
          <w:tab w:val="left" w:pos="720"/>
          <w:tab w:val="left" w:pos="1440"/>
        </w:tabs>
        <w:spacing w:line="480" w:lineRule="auto"/>
        <w:ind w:firstLine="720"/>
        <w:jc w:val="both"/>
      </w:pPr>
      <w:r>
        <w:t>A.</w:t>
      </w:r>
      <w:r>
        <w:tab/>
        <w:t>We believe that we should use t</w:t>
      </w:r>
      <w:r w:rsidR="00285E86">
        <w:t xml:space="preserve">he incremental capacity resource from our latest </w:t>
      </w:r>
      <w:proofErr w:type="spellStart"/>
      <w:r>
        <w:t>IRP</w:t>
      </w:r>
      <w:proofErr w:type="spellEnd"/>
      <w:r>
        <w:t>—</w:t>
      </w:r>
      <w:r w:rsidR="00285E86">
        <w:t xml:space="preserve">a gas-fired </w:t>
      </w:r>
      <w:proofErr w:type="spellStart"/>
      <w:r w:rsidR="00285E86">
        <w:t>CCCT</w:t>
      </w:r>
      <w:proofErr w:type="spellEnd"/>
      <w:r w:rsidR="00285E86">
        <w:t xml:space="preserve">.  The Company, using its </w:t>
      </w:r>
      <w:proofErr w:type="spellStart"/>
      <w:r w:rsidR="00285E86">
        <w:t>IRP</w:t>
      </w:r>
      <w:proofErr w:type="spellEnd"/>
      <w:r w:rsidR="00285E86">
        <w:t xml:space="preserve"> models, calculated the costs of capacity and energy from this resource, and used that figure to allocate overall production costs.</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 xml:space="preserve">How did the Company determine </w:t>
      </w:r>
      <w:r w:rsidR="00A837E1">
        <w:rPr>
          <w:b/>
        </w:rPr>
        <w:t>a</w:t>
      </w:r>
      <w:r w:rsidRPr="00285E86">
        <w:rPr>
          <w:b/>
        </w:rPr>
        <w:t xml:space="preserve"> split between energy and capacity for the incremental resource?</w:t>
      </w:r>
    </w:p>
    <w:p w:rsidR="00285E86" w:rsidRDefault="00285E86" w:rsidP="00285E86">
      <w:pPr>
        <w:tabs>
          <w:tab w:val="left" w:pos="720"/>
          <w:tab w:val="left" w:pos="1440"/>
        </w:tabs>
        <w:spacing w:line="480" w:lineRule="auto"/>
        <w:ind w:firstLine="720"/>
        <w:jc w:val="both"/>
      </w:pPr>
      <w:r>
        <w:t>A.</w:t>
      </w:r>
      <w:r>
        <w:tab/>
        <w:t xml:space="preserve">For the </w:t>
      </w:r>
      <w:proofErr w:type="spellStart"/>
      <w:r>
        <w:t>IRP</w:t>
      </w:r>
      <w:proofErr w:type="spellEnd"/>
      <w:r>
        <w:t xml:space="preserve"> the Company models the Western Interconnect wholesale power marketplace using </w:t>
      </w:r>
      <w:proofErr w:type="spellStart"/>
      <w:r>
        <w:t>AURORAxmp</w:t>
      </w:r>
      <w:proofErr w:type="spellEnd"/>
      <w:r>
        <w:t xml:space="preserve">.  </w:t>
      </w:r>
      <w:proofErr w:type="spellStart"/>
      <w:r>
        <w:t>AURORAxmp</w:t>
      </w:r>
      <w:proofErr w:type="spellEnd"/>
      <w:r>
        <w:t xml:space="preserve"> dispatches available resources against electricity loads on an hourly basis.  The </w:t>
      </w:r>
      <w:proofErr w:type="spellStart"/>
      <w:r>
        <w:t>IRP</w:t>
      </w:r>
      <w:proofErr w:type="spellEnd"/>
      <w:r>
        <w:t xml:space="preserve"> uses </w:t>
      </w:r>
      <w:proofErr w:type="spellStart"/>
      <w:r>
        <w:t>AURORAxmp</w:t>
      </w:r>
      <w:proofErr w:type="spellEnd"/>
      <w:r>
        <w:t xml:space="preserve"> to look at costs out 20 years and “mark-to-market” (</w:t>
      </w:r>
      <w:proofErr w:type="spellStart"/>
      <w:r>
        <w:t>MTM</w:t>
      </w:r>
      <w:proofErr w:type="spellEnd"/>
      <w:r>
        <w:t xml:space="preserve">) each potential resource option reasonably available to the </w:t>
      </w:r>
      <w:r>
        <w:lastRenderedPageBreak/>
        <w:t xml:space="preserve">Company in the future.  The dispatched value of the </w:t>
      </w:r>
      <w:proofErr w:type="spellStart"/>
      <w:r>
        <w:t>CCCT</w:t>
      </w:r>
      <w:proofErr w:type="spellEnd"/>
      <w:r>
        <w:t xml:space="preserve"> (i.e., market sales price less fuel and variable maintenance and operation costs) is tracked hourly over the 20-year </w:t>
      </w:r>
      <w:proofErr w:type="spellStart"/>
      <w:r>
        <w:t>IRP</w:t>
      </w:r>
      <w:proofErr w:type="spellEnd"/>
      <w:r>
        <w:t xml:space="preserve"> timeframe.  Additionally, for the </w:t>
      </w:r>
      <w:proofErr w:type="spellStart"/>
      <w:r>
        <w:t>IRP</w:t>
      </w:r>
      <w:proofErr w:type="spellEnd"/>
      <w:r>
        <w:t xml:space="preserve"> the Company models the 20-year future over 250 Monte Carlo iterations to reflect volatility created by various factors including natural gas prices, load variability and forced outage rates.  In other words, for each of the 20 years evaluated for the </w:t>
      </w:r>
      <w:proofErr w:type="spellStart"/>
      <w:r>
        <w:t>IRP</w:t>
      </w:r>
      <w:proofErr w:type="spellEnd"/>
      <w:r>
        <w:t xml:space="preserve"> there are 250 </w:t>
      </w:r>
      <w:proofErr w:type="spellStart"/>
      <w:r>
        <w:t>MTM</w:t>
      </w:r>
      <w:proofErr w:type="spellEnd"/>
      <w:r>
        <w:t xml:space="preserve"> values for the </w:t>
      </w:r>
      <w:proofErr w:type="spellStart"/>
      <w:r>
        <w:t>CCCT</w:t>
      </w:r>
      <w:proofErr w:type="spellEnd"/>
      <w:r>
        <w:t xml:space="preserve">.  The annual average </w:t>
      </w:r>
      <w:proofErr w:type="spellStart"/>
      <w:r>
        <w:t>MTM</w:t>
      </w:r>
      <w:proofErr w:type="spellEnd"/>
      <w:r>
        <w:t xml:space="preserve"> figures represent the energy value generated by the plant.  Remaining costs not recovered in the wholesale marketplace are defined as capacity.  The ratio of those costs remaining after dispatch into the wholesale marketplace (</w:t>
      </w:r>
      <w:proofErr w:type="spellStart"/>
      <w:r>
        <w:t>MTM</w:t>
      </w:r>
      <w:proofErr w:type="spellEnd"/>
      <w:r>
        <w:t xml:space="preserve"> values) relative to the entire cost of the </w:t>
      </w:r>
      <w:proofErr w:type="spellStart"/>
      <w:r>
        <w:t>CCCT</w:t>
      </w:r>
      <w:proofErr w:type="spellEnd"/>
      <w:r>
        <w:t xml:space="preserve"> plant equals the share of production costs then attributed to demand in the cost of service models.</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What were the results of your analysis?</w:t>
      </w:r>
    </w:p>
    <w:p w:rsidR="00A837E1" w:rsidRDefault="00285E86" w:rsidP="00285E86">
      <w:pPr>
        <w:tabs>
          <w:tab w:val="left" w:pos="720"/>
          <w:tab w:val="left" w:pos="1440"/>
        </w:tabs>
        <w:spacing w:line="480" w:lineRule="auto"/>
        <w:ind w:firstLine="720"/>
        <w:jc w:val="both"/>
      </w:pPr>
      <w:r>
        <w:t>A.</w:t>
      </w:r>
      <w:r>
        <w:tab/>
        <w:t xml:space="preserve">The analysis allocates </w:t>
      </w:r>
      <w:r w:rsidR="0048225E">
        <w:t>38</w:t>
      </w:r>
      <w:r>
        <w:t>.1</w:t>
      </w:r>
      <w:r w:rsidR="00940D7B">
        <w:t xml:space="preserve"> percent</w:t>
      </w:r>
      <w:r>
        <w:t xml:space="preserve"> of production costs to demand</w:t>
      </w:r>
      <w:r w:rsidR="00940D7B">
        <w:t>.</w:t>
      </w:r>
      <w:r w:rsidR="006640EA">
        <w:t xml:space="preserve">  Company witness Knox discusses how this demand allocator compares with that derived from the prior peak-credit methodology.</w:t>
      </w:r>
    </w:p>
    <w:p w:rsidR="00285E86" w:rsidRPr="00285E86" w:rsidRDefault="00285E86" w:rsidP="00285E86">
      <w:pPr>
        <w:tabs>
          <w:tab w:val="left" w:pos="720"/>
          <w:tab w:val="left" w:pos="1440"/>
        </w:tabs>
        <w:spacing w:line="480" w:lineRule="auto"/>
        <w:ind w:firstLine="720"/>
        <w:jc w:val="both"/>
        <w:rPr>
          <w:b/>
        </w:rPr>
      </w:pPr>
      <w:r w:rsidRPr="00285E86">
        <w:rPr>
          <w:b/>
        </w:rPr>
        <w:t>Q.</w:t>
      </w:r>
      <w:r w:rsidRPr="00285E86">
        <w:rPr>
          <w:b/>
        </w:rPr>
        <w:tab/>
        <w:t>Where are the calculations referenced above contained?</w:t>
      </w:r>
    </w:p>
    <w:p w:rsidR="00285E86" w:rsidRDefault="00285E86" w:rsidP="00285E86">
      <w:pPr>
        <w:tabs>
          <w:tab w:val="left" w:pos="720"/>
          <w:tab w:val="left" w:pos="1440"/>
        </w:tabs>
        <w:spacing w:line="480" w:lineRule="auto"/>
        <w:ind w:firstLine="720"/>
        <w:jc w:val="both"/>
      </w:pPr>
      <w:r>
        <w:t>A.</w:t>
      </w:r>
      <w:r>
        <w:tab/>
        <w:t>The calculations are contained in my work</w:t>
      </w:r>
      <w:r w:rsidR="00057C64">
        <w:t xml:space="preserve"> </w:t>
      </w:r>
      <w:r>
        <w:t>papers in an Excel file called “</w:t>
      </w:r>
      <w:proofErr w:type="spellStart"/>
      <w:r w:rsidR="00057C64">
        <w:t>Demand_Classification_Final</w:t>
      </w:r>
      <w:proofErr w:type="spellEnd"/>
      <w:r>
        <w:t xml:space="preserve">.”  A summary of the results is presented in </w:t>
      </w:r>
      <w:r w:rsidRPr="00BD4B85">
        <w:t>Exhibit No. ___(CGK</w:t>
      </w:r>
      <w:r>
        <w:t>-3)</w:t>
      </w:r>
    </w:p>
    <w:p w:rsidR="00285E86" w:rsidRPr="00285E86" w:rsidRDefault="00285E86" w:rsidP="00285E86">
      <w:pPr>
        <w:tabs>
          <w:tab w:val="left" w:pos="720"/>
          <w:tab w:val="left" w:pos="1440"/>
        </w:tabs>
        <w:spacing w:line="480" w:lineRule="auto"/>
        <w:ind w:firstLine="720"/>
        <w:jc w:val="both"/>
        <w:rPr>
          <w:b/>
        </w:rPr>
      </w:pPr>
      <w:r w:rsidRPr="00285E86">
        <w:rPr>
          <w:b/>
        </w:rPr>
        <w:t xml:space="preserve"> Q.</w:t>
      </w:r>
      <w:r w:rsidRPr="00285E86">
        <w:rPr>
          <w:b/>
        </w:rPr>
        <w:tab/>
        <w:t>How should the demand allocation be applied to production costs?</w:t>
      </w:r>
    </w:p>
    <w:p w:rsidR="001D7D3C" w:rsidRPr="00CF64E5" w:rsidRDefault="00285E86" w:rsidP="00CF64E5">
      <w:pPr>
        <w:tabs>
          <w:tab w:val="left" w:pos="720"/>
          <w:tab w:val="left" w:pos="1440"/>
        </w:tabs>
        <w:spacing w:line="480" w:lineRule="auto"/>
        <w:ind w:firstLine="720"/>
        <w:jc w:val="both"/>
      </w:pPr>
      <w:r>
        <w:t>A.</w:t>
      </w:r>
      <w:r>
        <w:tab/>
        <w:t>Because the analysis does not differentiate between fixed and variable costs, but instead evaluates all such costs, it should be applied across the board to all production</w:t>
      </w:r>
      <w:r w:rsidR="00A837E1">
        <w:t xml:space="preserve"> costs</w:t>
      </w:r>
      <w:r>
        <w:t>.</w:t>
      </w:r>
      <w:r w:rsidR="00CF64E5">
        <w:rPr>
          <w:u w:val="single"/>
        </w:rPr>
        <w:br w:type="page"/>
      </w:r>
    </w:p>
    <w:p w:rsidR="004A3E3B" w:rsidRPr="00FF6C24" w:rsidRDefault="004A3E3B" w:rsidP="004A3E3B">
      <w:pPr>
        <w:pStyle w:val="BodyTextIndent3"/>
        <w:tabs>
          <w:tab w:val="clear" w:pos="1260"/>
        </w:tabs>
        <w:ind w:firstLine="0"/>
        <w:jc w:val="center"/>
        <w:rPr>
          <w:b w:val="0"/>
          <w:u w:val="single"/>
        </w:rPr>
      </w:pPr>
      <w:r w:rsidRPr="00FF6C24">
        <w:rPr>
          <w:u w:val="single"/>
        </w:rPr>
        <w:lastRenderedPageBreak/>
        <w:t>V</w:t>
      </w:r>
      <w:r w:rsidR="00285E86">
        <w:rPr>
          <w:u w:val="single"/>
        </w:rPr>
        <w:t>II</w:t>
      </w:r>
      <w:r w:rsidRPr="00FF6C24">
        <w:rPr>
          <w:u w:val="single"/>
        </w:rPr>
        <w:t xml:space="preserve">. </w:t>
      </w:r>
      <w:r w:rsidR="00285E86">
        <w:rPr>
          <w:u w:val="single"/>
        </w:rPr>
        <w:t xml:space="preserve"> </w:t>
      </w:r>
      <w:r w:rsidRPr="00FF6C24">
        <w:rPr>
          <w:u w:val="single"/>
        </w:rPr>
        <w:t>RESULTS</w:t>
      </w:r>
    </w:p>
    <w:p w:rsidR="004A3E3B" w:rsidRPr="00BD4B85" w:rsidRDefault="004A3E3B" w:rsidP="004A3E3B">
      <w:pPr>
        <w:pStyle w:val="TestBody"/>
        <w:spacing w:line="480" w:lineRule="auto"/>
        <w:ind w:left="0" w:firstLine="0"/>
        <w:rPr>
          <w:rFonts w:ascii="Times New Roman" w:hAnsi="Times New Roman"/>
        </w:rPr>
      </w:pPr>
      <w:r w:rsidRPr="00BD4B85">
        <w:rPr>
          <w:rFonts w:ascii="Times New Roman" w:hAnsi="Times New Roman"/>
          <w:b/>
          <w:bCs/>
        </w:rPr>
        <w:tab/>
        <w:t>Q.</w:t>
      </w:r>
      <w:r w:rsidRPr="00BD4B85">
        <w:rPr>
          <w:rFonts w:ascii="Times New Roman" w:hAnsi="Times New Roman"/>
          <w:b/>
          <w:bCs/>
        </w:rPr>
        <w:tab/>
        <w:t>Please summarize the results from the Dispatch Model that are used for ratemaking.</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A77788">
        <w:rPr>
          <w:rFonts w:ascii="Times New Roman" w:hAnsi="Times New Roman"/>
        </w:rPr>
        <w:t xml:space="preserve">Confidential </w:t>
      </w:r>
      <w:r w:rsidR="00555BB6" w:rsidRPr="00BD4B85">
        <w:rPr>
          <w:rFonts w:ascii="Times New Roman" w:hAnsi="Times New Roman"/>
        </w:rPr>
        <w:t>Exhibit No. ___(CGK</w:t>
      </w:r>
      <w:r w:rsidR="00285E86">
        <w:rPr>
          <w:rFonts w:ascii="Times New Roman" w:hAnsi="Times New Roman"/>
        </w:rPr>
        <w:t>-</w:t>
      </w:r>
      <w:proofErr w:type="spellStart"/>
      <w:r w:rsidR="00285E86">
        <w:rPr>
          <w:rFonts w:ascii="Times New Roman" w:hAnsi="Times New Roman"/>
        </w:rPr>
        <w:t>4</w:t>
      </w:r>
      <w:r w:rsidR="00A77788">
        <w:rPr>
          <w:rFonts w:ascii="Times New Roman" w:hAnsi="Times New Roman"/>
        </w:rPr>
        <w:t>C</w:t>
      </w:r>
      <w:proofErr w:type="spellEnd"/>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4A3E3B" w:rsidP="004A3E3B">
      <w:pPr>
        <w:pStyle w:val="BodyTextIndent3"/>
        <w:tabs>
          <w:tab w:val="clear" w:pos="1260"/>
        </w:tabs>
        <w:rPr>
          <w:rStyle w:val="LineNumber"/>
        </w:rPr>
      </w:pPr>
      <w:r w:rsidRPr="00BD4B85">
        <w:rPr>
          <w:rStyle w:val="LineNumber"/>
        </w:rPr>
        <w:t xml:space="preserve">Q. </w:t>
      </w:r>
      <w:r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831D2C">
      <w:headerReference w:type="default" r:id="rId18"/>
      <w:pgSz w:w="12240" w:h="15840" w:code="1"/>
      <w:pgMar w:top="1440" w:right="1008"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BF" w:rsidRDefault="00A37CBF">
      <w:r>
        <w:separator/>
      </w:r>
    </w:p>
  </w:endnote>
  <w:endnote w:type="continuationSeparator" w:id="0">
    <w:p w:rsidR="00A37CBF" w:rsidRDefault="00A37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rsidP="00084F18">
    <w:pPr>
      <w:pStyle w:val="Footer"/>
      <w:framePr w:wrap="auto" w:vAnchor="text" w:hAnchor="page" w:x="10582" w:y="-49"/>
      <w:ind w:right="-60" w:hanging="90"/>
      <w:rPr>
        <w:rStyle w:val="PageNumber"/>
      </w:rPr>
    </w:pPr>
  </w:p>
  <w:p w:rsidR="00A37CBF" w:rsidRDefault="00A37CBF" w:rsidP="00831D2C">
    <w:pPr>
      <w:pStyle w:val="Footer"/>
      <w:tabs>
        <w:tab w:val="clear" w:pos="4320"/>
        <w:tab w:val="clear" w:pos="8640"/>
        <w:tab w:val="right" w:pos="9540"/>
      </w:tabs>
      <w:ind w:right="480"/>
    </w:pPr>
    <w:r>
      <w:t>Direct Testimony of Clint G. Kalich</w:t>
    </w:r>
    <w:r>
      <w:tab/>
      <w:t xml:space="preserve">   Page   </w:t>
    </w:r>
    <w:r w:rsidR="001A32DE">
      <w:rPr>
        <w:rStyle w:val="PageNumber"/>
      </w:rPr>
      <w:fldChar w:fldCharType="begin"/>
    </w:r>
    <w:r>
      <w:rPr>
        <w:rStyle w:val="PageNumber"/>
      </w:rPr>
      <w:instrText xml:space="preserve"> PAGE </w:instrText>
    </w:r>
    <w:r w:rsidR="001A32DE">
      <w:rPr>
        <w:rStyle w:val="PageNumber"/>
      </w:rPr>
      <w:fldChar w:fldCharType="separate"/>
    </w:r>
    <w:r w:rsidR="00A77788">
      <w:rPr>
        <w:rStyle w:val="PageNumber"/>
        <w:noProof/>
      </w:rPr>
      <w:t>30</w:t>
    </w:r>
    <w:r w:rsidR="001A32DE">
      <w:rPr>
        <w:rStyle w:val="PageNumber"/>
      </w:rPr>
      <w:fldChar w:fldCharType="end"/>
    </w:r>
  </w:p>
  <w:p w:rsidR="00A37CBF" w:rsidRDefault="00A37CBF" w:rsidP="007A56E2">
    <w:pPr>
      <w:pStyle w:val="Footer"/>
      <w:tabs>
        <w:tab w:val="clear" w:pos="4320"/>
      </w:tabs>
      <w:ind w:right="360"/>
      <w:rPr>
        <w:rStyle w:val="PageNumber"/>
      </w:rPr>
    </w:pPr>
    <w:r>
      <w:rPr>
        <w:rStyle w:val="PageNumber"/>
      </w:rPr>
      <w:t>Avista Corporation</w:t>
    </w:r>
  </w:p>
  <w:p w:rsidR="00A37CBF" w:rsidRDefault="00A37CBF" w:rsidP="00084F18">
    <w:pPr>
      <w:pStyle w:val="Footer"/>
      <w:tabs>
        <w:tab w:val="clear" w:pos="4320"/>
        <w:tab w:val="clear" w:pos="8640"/>
        <w:tab w:val="left" w:pos="6120"/>
      </w:tabs>
      <w:ind w:right="180"/>
    </w:pPr>
    <w:r>
      <w:rPr>
        <w:rStyle w:val="PageNumber"/>
      </w:rPr>
      <w:t>Docket No. UE-10____</w:t>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BF" w:rsidRDefault="00A37CBF">
      <w:r>
        <w:separator/>
      </w:r>
    </w:p>
  </w:footnote>
  <w:footnote w:type="continuationSeparator" w:id="0">
    <w:p w:rsidR="00A37CBF" w:rsidRDefault="00A37CBF">
      <w:r>
        <w:continuationSeparator/>
      </w:r>
    </w:p>
  </w:footnote>
  <w:footnote w:id="1">
    <w:p w:rsidR="00A37CBF" w:rsidRDefault="00A37CBF">
      <w:pPr>
        <w:pStyle w:val="FootnoteText"/>
      </w:pPr>
      <w:r>
        <w:rPr>
          <w:rStyle w:val="FootnoteReference"/>
        </w:rPr>
        <w:footnoteRef/>
      </w:r>
      <w:r>
        <w:t xml:space="preserve"> A standard deviation describes the underlying variability of population’s data set.  One standard deviation from the mean, or average, contains approximately 2/3 of the population.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rsidP="00BA1F0F">
    <w:pPr>
      <w:pStyle w:val="Header"/>
      <w:jc w:val="right"/>
    </w:pPr>
    <w:r>
      <w:t>Exhibit No. ___(CGK-</w:t>
    </w:r>
    <w:proofErr w:type="spellStart"/>
    <w:r>
      <w:t>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Default="00A37CBF" w:rsidP="00D5609D">
    <w:pPr>
      <w:pStyle w:val="Header"/>
      <w:ind w:right="-360"/>
    </w:pPr>
    <w:r>
      <w:t xml:space="preserve">                                                                                                                Exhibit No. ___(CGK-</w:t>
    </w:r>
    <w:proofErr w:type="spellStart"/>
    <w:r>
      <w:t>1T</w:t>
    </w:r>
    <w:proofErr w:type="spellEnd"/>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BF" w:rsidRPr="004B593F" w:rsidRDefault="00A37CBF" w:rsidP="004B593F">
    <w:pPr>
      <w:pStyle w:val="Header"/>
      <w:jc w:val="right"/>
    </w:pPr>
    <w:r>
      <w:t>Exhibit No. ___(CGK-</w:t>
    </w:r>
    <w:proofErr w:type="spellStart"/>
    <w:r>
      <w:t>1T</w:t>
    </w:r>
    <w:proofErr w:type="spellEnd"/>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487633"/>
    <w:multiLevelType w:val="hybridMultilevel"/>
    <w:tmpl w:val="9F12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7">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1"/>
  </w:num>
  <w:num w:numId="4">
    <w:abstractNumId w:val="0"/>
  </w:num>
  <w:num w:numId="5">
    <w:abstractNumId w:val="9"/>
  </w:num>
  <w:num w:numId="6">
    <w:abstractNumId w:val="17"/>
  </w:num>
  <w:num w:numId="7">
    <w:abstractNumId w:val="20"/>
  </w:num>
  <w:num w:numId="8">
    <w:abstractNumId w:val="10"/>
  </w:num>
  <w:num w:numId="9">
    <w:abstractNumId w:val="19"/>
  </w:num>
  <w:num w:numId="10">
    <w:abstractNumId w:val="2"/>
  </w:num>
  <w:num w:numId="11">
    <w:abstractNumId w:val="7"/>
  </w:num>
  <w:num w:numId="12">
    <w:abstractNumId w:val="13"/>
  </w:num>
  <w:num w:numId="13">
    <w:abstractNumId w:val="21"/>
  </w:num>
  <w:num w:numId="14">
    <w:abstractNumId w:val="5"/>
  </w:num>
  <w:num w:numId="15">
    <w:abstractNumId w:val="18"/>
  </w:num>
  <w:num w:numId="16">
    <w:abstractNumId w:val="8"/>
  </w:num>
  <w:num w:numId="17">
    <w:abstractNumId w:val="12"/>
  </w:num>
  <w:num w:numId="18">
    <w:abstractNumId w:val="4"/>
  </w:num>
  <w:num w:numId="19">
    <w:abstractNumId w:val="15"/>
  </w:num>
  <w:num w:numId="20">
    <w:abstractNumId w:val="14"/>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Pr>
  <w:endnotePr>
    <w:endnote w:id="-1"/>
    <w:endnote w:id="0"/>
  </w:endnotePr>
  <w:compat/>
  <w:rsids>
    <w:rsidRoot w:val="00710FAD"/>
    <w:rsid w:val="00000E61"/>
    <w:rsid w:val="00001CE2"/>
    <w:rsid w:val="00012D41"/>
    <w:rsid w:val="00022688"/>
    <w:rsid w:val="00022FED"/>
    <w:rsid w:val="00031395"/>
    <w:rsid w:val="0003448D"/>
    <w:rsid w:val="00050DD6"/>
    <w:rsid w:val="00057345"/>
    <w:rsid w:val="00057C64"/>
    <w:rsid w:val="000609B7"/>
    <w:rsid w:val="00064231"/>
    <w:rsid w:val="00064788"/>
    <w:rsid w:val="0006585C"/>
    <w:rsid w:val="0006605F"/>
    <w:rsid w:val="00077D12"/>
    <w:rsid w:val="0008317C"/>
    <w:rsid w:val="00084AB4"/>
    <w:rsid w:val="00084F18"/>
    <w:rsid w:val="000965BD"/>
    <w:rsid w:val="00096D9B"/>
    <w:rsid w:val="000A55F3"/>
    <w:rsid w:val="000A56A1"/>
    <w:rsid w:val="000B1507"/>
    <w:rsid w:val="000B7682"/>
    <w:rsid w:val="000B7990"/>
    <w:rsid w:val="000C3967"/>
    <w:rsid w:val="000C5B59"/>
    <w:rsid w:val="000C7D53"/>
    <w:rsid w:val="000D3484"/>
    <w:rsid w:val="000D6736"/>
    <w:rsid w:val="000F39D6"/>
    <w:rsid w:val="00101535"/>
    <w:rsid w:val="0010165A"/>
    <w:rsid w:val="00104A60"/>
    <w:rsid w:val="00110829"/>
    <w:rsid w:val="001116E3"/>
    <w:rsid w:val="0011472A"/>
    <w:rsid w:val="00114F7A"/>
    <w:rsid w:val="00115239"/>
    <w:rsid w:val="00123084"/>
    <w:rsid w:val="00125288"/>
    <w:rsid w:val="00133ED6"/>
    <w:rsid w:val="001367BF"/>
    <w:rsid w:val="00143281"/>
    <w:rsid w:val="00143458"/>
    <w:rsid w:val="00143D96"/>
    <w:rsid w:val="001452F8"/>
    <w:rsid w:val="00147769"/>
    <w:rsid w:val="00152027"/>
    <w:rsid w:val="00153C13"/>
    <w:rsid w:val="00162436"/>
    <w:rsid w:val="00170EBC"/>
    <w:rsid w:val="001715A9"/>
    <w:rsid w:val="001722D7"/>
    <w:rsid w:val="001736F5"/>
    <w:rsid w:val="0018139B"/>
    <w:rsid w:val="00185854"/>
    <w:rsid w:val="00186EE8"/>
    <w:rsid w:val="001A1A76"/>
    <w:rsid w:val="001A32DE"/>
    <w:rsid w:val="001B1148"/>
    <w:rsid w:val="001B47FA"/>
    <w:rsid w:val="001C15CB"/>
    <w:rsid w:val="001C4C22"/>
    <w:rsid w:val="001C6AD1"/>
    <w:rsid w:val="001D250C"/>
    <w:rsid w:val="001D5F05"/>
    <w:rsid w:val="001D68CD"/>
    <w:rsid w:val="001D7D3C"/>
    <w:rsid w:val="001E7258"/>
    <w:rsid w:val="00201207"/>
    <w:rsid w:val="00202AE7"/>
    <w:rsid w:val="00211AFB"/>
    <w:rsid w:val="00213673"/>
    <w:rsid w:val="00215B5B"/>
    <w:rsid w:val="0023717C"/>
    <w:rsid w:val="00246A68"/>
    <w:rsid w:val="00246B0F"/>
    <w:rsid w:val="00252F21"/>
    <w:rsid w:val="00257222"/>
    <w:rsid w:val="00260585"/>
    <w:rsid w:val="00263C2C"/>
    <w:rsid w:val="00275355"/>
    <w:rsid w:val="002754B7"/>
    <w:rsid w:val="00285E86"/>
    <w:rsid w:val="002A08DC"/>
    <w:rsid w:val="002A1E29"/>
    <w:rsid w:val="002B60EC"/>
    <w:rsid w:val="002B6895"/>
    <w:rsid w:val="002C1D71"/>
    <w:rsid w:val="002D0935"/>
    <w:rsid w:val="002D2532"/>
    <w:rsid w:val="002D403A"/>
    <w:rsid w:val="002D7B99"/>
    <w:rsid w:val="002E6A4F"/>
    <w:rsid w:val="002F178D"/>
    <w:rsid w:val="002F239B"/>
    <w:rsid w:val="002F72CF"/>
    <w:rsid w:val="00300FAB"/>
    <w:rsid w:val="00304A23"/>
    <w:rsid w:val="00305D48"/>
    <w:rsid w:val="00306943"/>
    <w:rsid w:val="0030746A"/>
    <w:rsid w:val="00313681"/>
    <w:rsid w:val="00326825"/>
    <w:rsid w:val="003423D4"/>
    <w:rsid w:val="003428BB"/>
    <w:rsid w:val="0034312C"/>
    <w:rsid w:val="00344498"/>
    <w:rsid w:val="00352DA7"/>
    <w:rsid w:val="003568D2"/>
    <w:rsid w:val="00364FE9"/>
    <w:rsid w:val="00372B40"/>
    <w:rsid w:val="003767A4"/>
    <w:rsid w:val="003837DE"/>
    <w:rsid w:val="0038680F"/>
    <w:rsid w:val="00387298"/>
    <w:rsid w:val="00391C5B"/>
    <w:rsid w:val="0039668E"/>
    <w:rsid w:val="003A4DAD"/>
    <w:rsid w:val="003A79DF"/>
    <w:rsid w:val="003B30FE"/>
    <w:rsid w:val="003B6B6C"/>
    <w:rsid w:val="003C35B3"/>
    <w:rsid w:val="003D002E"/>
    <w:rsid w:val="003E07F2"/>
    <w:rsid w:val="003E0B56"/>
    <w:rsid w:val="003E3E70"/>
    <w:rsid w:val="003E5B80"/>
    <w:rsid w:val="003F07CE"/>
    <w:rsid w:val="003F32F6"/>
    <w:rsid w:val="003F3E7E"/>
    <w:rsid w:val="003F67F0"/>
    <w:rsid w:val="003F7E0D"/>
    <w:rsid w:val="00407036"/>
    <w:rsid w:val="00407B62"/>
    <w:rsid w:val="00407BC3"/>
    <w:rsid w:val="004132B5"/>
    <w:rsid w:val="00422644"/>
    <w:rsid w:val="00422D81"/>
    <w:rsid w:val="00422DF7"/>
    <w:rsid w:val="00431454"/>
    <w:rsid w:val="0043473E"/>
    <w:rsid w:val="00434D7E"/>
    <w:rsid w:val="00435825"/>
    <w:rsid w:val="004553EC"/>
    <w:rsid w:val="00460CD6"/>
    <w:rsid w:val="00462715"/>
    <w:rsid w:val="0046730F"/>
    <w:rsid w:val="00472E0F"/>
    <w:rsid w:val="00474D2B"/>
    <w:rsid w:val="0048225E"/>
    <w:rsid w:val="00482E9F"/>
    <w:rsid w:val="0049378A"/>
    <w:rsid w:val="004942D5"/>
    <w:rsid w:val="00495623"/>
    <w:rsid w:val="00497ADA"/>
    <w:rsid w:val="004A3E3B"/>
    <w:rsid w:val="004B32C5"/>
    <w:rsid w:val="004B407B"/>
    <w:rsid w:val="004B593F"/>
    <w:rsid w:val="004B5E3D"/>
    <w:rsid w:val="004B742D"/>
    <w:rsid w:val="004C176D"/>
    <w:rsid w:val="004E2068"/>
    <w:rsid w:val="004E2D43"/>
    <w:rsid w:val="004E4322"/>
    <w:rsid w:val="004E5B23"/>
    <w:rsid w:val="004E641C"/>
    <w:rsid w:val="004F0902"/>
    <w:rsid w:val="004F144B"/>
    <w:rsid w:val="004F3BCF"/>
    <w:rsid w:val="004F51BA"/>
    <w:rsid w:val="00505622"/>
    <w:rsid w:val="00505E42"/>
    <w:rsid w:val="0050605A"/>
    <w:rsid w:val="005132B0"/>
    <w:rsid w:val="00521BDC"/>
    <w:rsid w:val="00521E1B"/>
    <w:rsid w:val="00521F05"/>
    <w:rsid w:val="0052245E"/>
    <w:rsid w:val="005266DE"/>
    <w:rsid w:val="00530786"/>
    <w:rsid w:val="00536E2D"/>
    <w:rsid w:val="00537A6C"/>
    <w:rsid w:val="005460BE"/>
    <w:rsid w:val="00555BB6"/>
    <w:rsid w:val="00561991"/>
    <w:rsid w:val="00563619"/>
    <w:rsid w:val="005758D5"/>
    <w:rsid w:val="00577C31"/>
    <w:rsid w:val="00590DFD"/>
    <w:rsid w:val="005A3D13"/>
    <w:rsid w:val="005C26BF"/>
    <w:rsid w:val="005D0EF9"/>
    <w:rsid w:val="005D3FD9"/>
    <w:rsid w:val="005E228B"/>
    <w:rsid w:val="005E253C"/>
    <w:rsid w:val="005F5AC1"/>
    <w:rsid w:val="0060532F"/>
    <w:rsid w:val="00611499"/>
    <w:rsid w:val="00614ED9"/>
    <w:rsid w:val="006154EA"/>
    <w:rsid w:val="00622A45"/>
    <w:rsid w:val="00623CC2"/>
    <w:rsid w:val="00624F0F"/>
    <w:rsid w:val="00627940"/>
    <w:rsid w:val="00650FFA"/>
    <w:rsid w:val="0065557B"/>
    <w:rsid w:val="00656655"/>
    <w:rsid w:val="006610DE"/>
    <w:rsid w:val="006610E8"/>
    <w:rsid w:val="006640EA"/>
    <w:rsid w:val="00664403"/>
    <w:rsid w:val="00673777"/>
    <w:rsid w:val="00677D0F"/>
    <w:rsid w:val="00692FB0"/>
    <w:rsid w:val="00693DFF"/>
    <w:rsid w:val="00695FDE"/>
    <w:rsid w:val="00696359"/>
    <w:rsid w:val="006A5ADA"/>
    <w:rsid w:val="006B231D"/>
    <w:rsid w:val="006B3005"/>
    <w:rsid w:val="006C12C0"/>
    <w:rsid w:val="006C1BE8"/>
    <w:rsid w:val="006D4332"/>
    <w:rsid w:val="006D7007"/>
    <w:rsid w:val="006D72DF"/>
    <w:rsid w:val="006E6014"/>
    <w:rsid w:val="006F3705"/>
    <w:rsid w:val="006F65F0"/>
    <w:rsid w:val="00702914"/>
    <w:rsid w:val="00710FAD"/>
    <w:rsid w:val="00722BFC"/>
    <w:rsid w:val="00723DB8"/>
    <w:rsid w:val="00737EC0"/>
    <w:rsid w:val="0074080E"/>
    <w:rsid w:val="00743050"/>
    <w:rsid w:val="007467CD"/>
    <w:rsid w:val="007529D2"/>
    <w:rsid w:val="00755E53"/>
    <w:rsid w:val="00756828"/>
    <w:rsid w:val="00763B01"/>
    <w:rsid w:val="00764092"/>
    <w:rsid w:val="00765632"/>
    <w:rsid w:val="00766535"/>
    <w:rsid w:val="00774D74"/>
    <w:rsid w:val="007830AF"/>
    <w:rsid w:val="00784859"/>
    <w:rsid w:val="00785131"/>
    <w:rsid w:val="00793399"/>
    <w:rsid w:val="00793B5D"/>
    <w:rsid w:val="007A56E2"/>
    <w:rsid w:val="007A657D"/>
    <w:rsid w:val="007B0C69"/>
    <w:rsid w:val="007B12A8"/>
    <w:rsid w:val="007B1D5D"/>
    <w:rsid w:val="007B48AC"/>
    <w:rsid w:val="007C1E2B"/>
    <w:rsid w:val="007C5CE8"/>
    <w:rsid w:val="007C5EC7"/>
    <w:rsid w:val="007C7C8F"/>
    <w:rsid w:val="007D1E1F"/>
    <w:rsid w:val="007D7E48"/>
    <w:rsid w:val="007E20E3"/>
    <w:rsid w:val="007E59D3"/>
    <w:rsid w:val="007F020E"/>
    <w:rsid w:val="007F078B"/>
    <w:rsid w:val="007F59AF"/>
    <w:rsid w:val="00817113"/>
    <w:rsid w:val="00824B8F"/>
    <w:rsid w:val="00824CA3"/>
    <w:rsid w:val="00824D3D"/>
    <w:rsid w:val="00831D2C"/>
    <w:rsid w:val="0083586C"/>
    <w:rsid w:val="00837EF4"/>
    <w:rsid w:val="008444FA"/>
    <w:rsid w:val="00850711"/>
    <w:rsid w:val="008521F7"/>
    <w:rsid w:val="008523C6"/>
    <w:rsid w:val="00852D5B"/>
    <w:rsid w:val="00856BB3"/>
    <w:rsid w:val="00861E4A"/>
    <w:rsid w:val="00862FDD"/>
    <w:rsid w:val="00871FD5"/>
    <w:rsid w:val="00874DDD"/>
    <w:rsid w:val="0088333F"/>
    <w:rsid w:val="008875B1"/>
    <w:rsid w:val="008A32AB"/>
    <w:rsid w:val="008A4EBD"/>
    <w:rsid w:val="008B7075"/>
    <w:rsid w:val="008C39DA"/>
    <w:rsid w:val="008C4587"/>
    <w:rsid w:val="008C5F36"/>
    <w:rsid w:val="008D52CE"/>
    <w:rsid w:val="008E0E15"/>
    <w:rsid w:val="008E2A2A"/>
    <w:rsid w:val="008F6BDE"/>
    <w:rsid w:val="00903BEB"/>
    <w:rsid w:val="00912FB4"/>
    <w:rsid w:val="00940A3E"/>
    <w:rsid w:val="00940D7B"/>
    <w:rsid w:val="00942DBB"/>
    <w:rsid w:val="00946E37"/>
    <w:rsid w:val="00947FA3"/>
    <w:rsid w:val="009547B9"/>
    <w:rsid w:val="00955D38"/>
    <w:rsid w:val="009651C3"/>
    <w:rsid w:val="00966216"/>
    <w:rsid w:val="00976AE8"/>
    <w:rsid w:val="009868C7"/>
    <w:rsid w:val="009962B6"/>
    <w:rsid w:val="009A035D"/>
    <w:rsid w:val="009A5413"/>
    <w:rsid w:val="009B75E6"/>
    <w:rsid w:val="009C4EB0"/>
    <w:rsid w:val="009C6C08"/>
    <w:rsid w:val="009D0718"/>
    <w:rsid w:val="009D17EC"/>
    <w:rsid w:val="009D5689"/>
    <w:rsid w:val="009E78D6"/>
    <w:rsid w:val="00A00597"/>
    <w:rsid w:val="00A05012"/>
    <w:rsid w:val="00A161D9"/>
    <w:rsid w:val="00A16ED2"/>
    <w:rsid w:val="00A2038F"/>
    <w:rsid w:val="00A23344"/>
    <w:rsid w:val="00A24EC8"/>
    <w:rsid w:val="00A303B1"/>
    <w:rsid w:val="00A32EF9"/>
    <w:rsid w:val="00A37CBF"/>
    <w:rsid w:val="00A43834"/>
    <w:rsid w:val="00A43B25"/>
    <w:rsid w:val="00A61385"/>
    <w:rsid w:val="00A626B0"/>
    <w:rsid w:val="00A70C04"/>
    <w:rsid w:val="00A77788"/>
    <w:rsid w:val="00A80062"/>
    <w:rsid w:val="00A837E1"/>
    <w:rsid w:val="00A84C59"/>
    <w:rsid w:val="00A852FD"/>
    <w:rsid w:val="00A9200C"/>
    <w:rsid w:val="00A9258E"/>
    <w:rsid w:val="00AA2E3D"/>
    <w:rsid w:val="00AB3580"/>
    <w:rsid w:val="00AC11DA"/>
    <w:rsid w:val="00AC3446"/>
    <w:rsid w:val="00AC400D"/>
    <w:rsid w:val="00AC6533"/>
    <w:rsid w:val="00AE6A3B"/>
    <w:rsid w:val="00AE7381"/>
    <w:rsid w:val="00AF1F0D"/>
    <w:rsid w:val="00AF4C55"/>
    <w:rsid w:val="00AF528F"/>
    <w:rsid w:val="00B01A18"/>
    <w:rsid w:val="00B03920"/>
    <w:rsid w:val="00B14AC3"/>
    <w:rsid w:val="00B21535"/>
    <w:rsid w:val="00B21E6D"/>
    <w:rsid w:val="00B226A7"/>
    <w:rsid w:val="00B22814"/>
    <w:rsid w:val="00B25AA5"/>
    <w:rsid w:val="00B25DEB"/>
    <w:rsid w:val="00B368C4"/>
    <w:rsid w:val="00B37C35"/>
    <w:rsid w:val="00B42A96"/>
    <w:rsid w:val="00B446B2"/>
    <w:rsid w:val="00B51AEA"/>
    <w:rsid w:val="00B5528A"/>
    <w:rsid w:val="00B5793D"/>
    <w:rsid w:val="00B72F4D"/>
    <w:rsid w:val="00B730C8"/>
    <w:rsid w:val="00B76E55"/>
    <w:rsid w:val="00B77AA1"/>
    <w:rsid w:val="00B922F7"/>
    <w:rsid w:val="00BA1F0F"/>
    <w:rsid w:val="00BA4B46"/>
    <w:rsid w:val="00BA5BCB"/>
    <w:rsid w:val="00BA5E79"/>
    <w:rsid w:val="00BA62EF"/>
    <w:rsid w:val="00BB18FA"/>
    <w:rsid w:val="00BB2E71"/>
    <w:rsid w:val="00BB46FF"/>
    <w:rsid w:val="00BC091D"/>
    <w:rsid w:val="00BC1828"/>
    <w:rsid w:val="00BC1C4A"/>
    <w:rsid w:val="00BC49A9"/>
    <w:rsid w:val="00BD224E"/>
    <w:rsid w:val="00BD4B0E"/>
    <w:rsid w:val="00BD4B85"/>
    <w:rsid w:val="00BD5A95"/>
    <w:rsid w:val="00BE3E02"/>
    <w:rsid w:val="00BE3EA5"/>
    <w:rsid w:val="00BE7E66"/>
    <w:rsid w:val="00C06994"/>
    <w:rsid w:val="00C1226C"/>
    <w:rsid w:val="00C130C2"/>
    <w:rsid w:val="00C13E64"/>
    <w:rsid w:val="00C16E1C"/>
    <w:rsid w:val="00C17F4F"/>
    <w:rsid w:val="00C20AF3"/>
    <w:rsid w:val="00C2708C"/>
    <w:rsid w:val="00C27416"/>
    <w:rsid w:val="00C3452C"/>
    <w:rsid w:val="00C36BF8"/>
    <w:rsid w:val="00C42835"/>
    <w:rsid w:val="00C438E2"/>
    <w:rsid w:val="00C45DCF"/>
    <w:rsid w:val="00C47504"/>
    <w:rsid w:val="00C52752"/>
    <w:rsid w:val="00C60548"/>
    <w:rsid w:val="00C64C55"/>
    <w:rsid w:val="00C668DB"/>
    <w:rsid w:val="00C6719E"/>
    <w:rsid w:val="00C76B2B"/>
    <w:rsid w:val="00C80B0B"/>
    <w:rsid w:val="00C94F1A"/>
    <w:rsid w:val="00CA3FD8"/>
    <w:rsid w:val="00CB2615"/>
    <w:rsid w:val="00CC78C5"/>
    <w:rsid w:val="00CD4E46"/>
    <w:rsid w:val="00CD786F"/>
    <w:rsid w:val="00CF05A6"/>
    <w:rsid w:val="00CF142E"/>
    <w:rsid w:val="00CF1CE7"/>
    <w:rsid w:val="00CF348E"/>
    <w:rsid w:val="00CF608F"/>
    <w:rsid w:val="00CF64E5"/>
    <w:rsid w:val="00D04BEB"/>
    <w:rsid w:val="00D05184"/>
    <w:rsid w:val="00D078C5"/>
    <w:rsid w:val="00D10936"/>
    <w:rsid w:val="00D10D7B"/>
    <w:rsid w:val="00D21675"/>
    <w:rsid w:val="00D2199C"/>
    <w:rsid w:val="00D24A39"/>
    <w:rsid w:val="00D27943"/>
    <w:rsid w:val="00D313D7"/>
    <w:rsid w:val="00D321AE"/>
    <w:rsid w:val="00D41F12"/>
    <w:rsid w:val="00D47744"/>
    <w:rsid w:val="00D51F0E"/>
    <w:rsid w:val="00D53905"/>
    <w:rsid w:val="00D5609D"/>
    <w:rsid w:val="00D579F8"/>
    <w:rsid w:val="00D649F7"/>
    <w:rsid w:val="00D70447"/>
    <w:rsid w:val="00D70741"/>
    <w:rsid w:val="00D71F55"/>
    <w:rsid w:val="00D72CA0"/>
    <w:rsid w:val="00D77F98"/>
    <w:rsid w:val="00D809B2"/>
    <w:rsid w:val="00D8532B"/>
    <w:rsid w:val="00D9751D"/>
    <w:rsid w:val="00D979A4"/>
    <w:rsid w:val="00DA2D10"/>
    <w:rsid w:val="00DA7C50"/>
    <w:rsid w:val="00DB4D27"/>
    <w:rsid w:val="00DB4FAD"/>
    <w:rsid w:val="00DB7BCD"/>
    <w:rsid w:val="00DC7649"/>
    <w:rsid w:val="00DD66D5"/>
    <w:rsid w:val="00DD7C46"/>
    <w:rsid w:val="00DE4289"/>
    <w:rsid w:val="00DF1A60"/>
    <w:rsid w:val="00DF5323"/>
    <w:rsid w:val="00E047D7"/>
    <w:rsid w:val="00E10ADA"/>
    <w:rsid w:val="00E13816"/>
    <w:rsid w:val="00E23CF3"/>
    <w:rsid w:val="00E25478"/>
    <w:rsid w:val="00E310AF"/>
    <w:rsid w:val="00E31D8D"/>
    <w:rsid w:val="00E51279"/>
    <w:rsid w:val="00E54027"/>
    <w:rsid w:val="00E54091"/>
    <w:rsid w:val="00E565FA"/>
    <w:rsid w:val="00E62013"/>
    <w:rsid w:val="00E6317C"/>
    <w:rsid w:val="00E64E10"/>
    <w:rsid w:val="00E77DC9"/>
    <w:rsid w:val="00E81784"/>
    <w:rsid w:val="00E8671C"/>
    <w:rsid w:val="00E87CE7"/>
    <w:rsid w:val="00E92330"/>
    <w:rsid w:val="00EB2812"/>
    <w:rsid w:val="00EB2E6A"/>
    <w:rsid w:val="00EB39BF"/>
    <w:rsid w:val="00EB54E5"/>
    <w:rsid w:val="00EB79D3"/>
    <w:rsid w:val="00EC2524"/>
    <w:rsid w:val="00EC2B92"/>
    <w:rsid w:val="00EC7007"/>
    <w:rsid w:val="00ED123E"/>
    <w:rsid w:val="00ED312D"/>
    <w:rsid w:val="00ED5452"/>
    <w:rsid w:val="00ED576C"/>
    <w:rsid w:val="00ED58C6"/>
    <w:rsid w:val="00ED5C99"/>
    <w:rsid w:val="00ED6890"/>
    <w:rsid w:val="00EE43C9"/>
    <w:rsid w:val="00EE71D7"/>
    <w:rsid w:val="00EF753A"/>
    <w:rsid w:val="00EF7FE4"/>
    <w:rsid w:val="00F0246B"/>
    <w:rsid w:val="00F049B6"/>
    <w:rsid w:val="00F0553E"/>
    <w:rsid w:val="00F10FBC"/>
    <w:rsid w:val="00F1132A"/>
    <w:rsid w:val="00F15920"/>
    <w:rsid w:val="00F16E7D"/>
    <w:rsid w:val="00F24F45"/>
    <w:rsid w:val="00F33117"/>
    <w:rsid w:val="00F34FD1"/>
    <w:rsid w:val="00F4471E"/>
    <w:rsid w:val="00F4518A"/>
    <w:rsid w:val="00F46E00"/>
    <w:rsid w:val="00F544E0"/>
    <w:rsid w:val="00F84BAC"/>
    <w:rsid w:val="00F866B0"/>
    <w:rsid w:val="00F90D83"/>
    <w:rsid w:val="00F97CC5"/>
    <w:rsid w:val="00FA6D70"/>
    <w:rsid w:val="00FB211C"/>
    <w:rsid w:val="00FB3624"/>
    <w:rsid w:val="00FB5D54"/>
    <w:rsid w:val="00FB6D59"/>
    <w:rsid w:val="00FC0F04"/>
    <w:rsid w:val="00FC4AC8"/>
    <w:rsid w:val="00FD0F34"/>
    <w:rsid w:val="00FD5DD3"/>
    <w:rsid w:val="00FD637E"/>
    <w:rsid w:val="00FE56BC"/>
    <w:rsid w:val="00FF0DD2"/>
    <w:rsid w:val="00FF2BAA"/>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26C"/>
    <w:pPr>
      <w:autoSpaceDE w:val="0"/>
      <w:autoSpaceDN w:val="0"/>
    </w:pPr>
    <w:rPr>
      <w:sz w:val="24"/>
      <w:szCs w:val="24"/>
    </w:rPr>
  </w:style>
  <w:style w:type="paragraph" w:styleId="Heading1">
    <w:name w:val="heading 1"/>
    <w:basedOn w:val="Normal"/>
    <w:next w:val="Normal"/>
    <w:qFormat/>
    <w:rsid w:val="00C1226C"/>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1226C"/>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1226C"/>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1226C"/>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1226C"/>
    <w:pPr>
      <w:keepNext/>
      <w:spacing w:line="480" w:lineRule="auto"/>
      <w:jc w:val="center"/>
      <w:outlineLvl w:val="4"/>
    </w:pPr>
    <w:rPr>
      <w:b/>
      <w:bCs/>
    </w:rPr>
  </w:style>
  <w:style w:type="paragraph" w:styleId="Heading6">
    <w:name w:val="heading 6"/>
    <w:basedOn w:val="Normal"/>
    <w:next w:val="Normal"/>
    <w:qFormat/>
    <w:rsid w:val="00C1226C"/>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1226C"/>
    <w:pPr>
      <w:keepNext/>
      <w:tabs>
        <w:tab w:val="left" w:pos="1260"/>
      </w:tabs>
      <w:jc w:val="right"/>
      <w:outlineLvl w:val="6"/>
    </w:pPr>
    <w:rPr>
      <w:sz w:val="20"/>
      <w:szCs w:val="20"/>
    </w:rPr>
  </w:style>
  <w:style w:type="paragraph" w:styleId="Heading8">
    <w:name w:val="heading 8"/>
    <w:basedOn w:val="Normal"/>
    <w:next w:val="Normal"/>
    <w:qFormat/>
    <w:rsid w:val="00C1226C"/>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1226C"/>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226C"/>
    <w:pPr>
      <w:tabs>
        <w:tab w:val="center" w:pos="4320"/>
        <w:tab w:val="right" w:pos="8640"/>
      </w:tabs>
    </w:pPr>
  </w:style>
  <w:style w:type="paragraph" w:styleId="Footer">
    <w:name w:val="footer"/>
    <w:basedOn w:val="Normal"/>
    <w:rsid w:val="00C1226C"/>
    <w:pPr>
      <w:tabs>
        <w:tab w:val="center" w:pos="4320"/>
        <w:tab w:val="right" w:pos="8640"/>
      </w:tabs>
    </w:pPr>
  </w:style>
  <w:style w:type="character" w:styleId="PageNumber">
    <w:name w:val="page number"/>
    <w:basedOn w:val="DefaultParagraphFont"/>
    <w:rsid w:val="00C1226C"/>
    <w:rPr>
      <w:rFonts w:ascii="Times New Roman" w:hAnsi="Times New Roman" w:cs="Times New Roman"/>
    </w:rPr>
  </w:style>
  <w:style w:type="character" w:styleId="LineNumber">
    <w:name w:val="line number"/>
    <w:basedOn w:val="DefaultParagraphFont"/>
    <w:rsid w:val="00C1226C"/>
    <w:rPr>
      <w:rFonts w:ascii="Times New Roman" w:hAnsi="Times New Roman" w:cs="Times New Roman"/>
      <w:sz w:val="24"/>
      <w:szCs w:val="24"/>
    </w:rPr>
  </w:style>
  <w:style w:type="paragraph" w:styleId="BodyTextIndent">
    <w:name w:val="Body Text Indent"/>
    <w:basedOn w:val="Normal"/>
    <w:rsid w:val="00C1226C"/>
    <w:pPr>
      <w:spacing w:line="480" w:lineRule="auto"/>
      <w:jc w:val="both"/>
    </w:pPr>
  </w:style>
  <w:style w:type="paragraph" w:styleId="BodyTextIndent2">
    <w:name w:val="Body Text Indent 2"/>
    <w:basedOn w:val="Normal"/>
    <w:rsid w:val="00C1226C"/>
    <w:pPr>
      <w:tabs>
        <w:tab w:val="left" w:pos="1260"/>
      </w:tabs>
      <w:spacing w:line="480" w:lineRule="auto"/>
      <w:ind w:left="540" w:hanging="540"/>
      <w:jc w:val="both"/>
    </w:pPr>
  </w:style>
  <w:style w:type="paragraph" w:styleId="BodyTextIndent3">
    <w:name w:val="Body Text Indent 3"/>
    <w:basedOn w:val="Normal"/>
    <w:rsid w:val="00C1226C"/>
    <w:pPr>
      <w:tabs>
        <w:tab w:val="left" w:pos="1260"/>
      </w:tabs>
      <w:spacing w:line="480" w:lineRule="auto"/>
      <w:ind w:firstLine="720"/>
      <w:jc w:val="both"/>
    </w:pPr>
    <w:rPr>
      <w:b/>
      <w:bCs/>
    </w:rPr>
  </w:style>
  <w:style w:type="paragraph" w:styleId="FootnoteText">
    <w:name w:val="footnote text"/>
    <w:basedOn w:val="Normal"/>
    <w:semiHidden/>
    <w:rsid w:val="00C1226C"/>
    <w:rPr>
      <w:sz w:val="20"/>
      <w:szCs w:val="20"/>
    </w:rPr>
  </w:style>
  <w:style w:type="character" w:styleId="FootnoteReference">
    <w:name w:val="footnote reference"/>
    <w:basedOn w:val="DefaultParagraphFont"/>
    <w:semiHidden/>
    <w:rsid w:val="00C1226C"/>
    <w:rPr>
      <w:vertAlign w:val="superscript"/>
    </w:rPr>
  </w:style>
  <w:style w:type="paragraph" w:styleId="BodyText">
    <w:name w:val="Body Text"/>
    <w:basedOn w:val="Normal"/>
    <w:rsid w:val="00C1226C"/>
    <w:pPr>
      <w:spacing w:line="360" w:lineRule="auto"/>
      <w:jc w:val="center"/>
    </w:pPr>
    <w:rPr>
      <w:b/>
      <w:bCs/>
    </w:rPr>
  </w:style>
  <w:style w:type="paragraph" w:styleId="DocumentMap">
    <w:name w:val="Document Map"/>
    <w:basedOn w:val="Normal"/>
    <w:semiHidden/>
    <w:rsid w:val="00C1226C"/>
    <w:pPr>
      <w:shd w:val="clear" w:color="auto" w:fill="000080"/>
    </w:pPr>
    <w:rPr>
      <w:rFonts w:ascii="Tahoma" w:hAnsi="Tahoma" w:cs="Tahoma"/>
    </w:rPr>
  </w:style>
  <w:style w:type="paragraph" w:customStyle="1" w:styleId="TestBody">
    <w:name w:val="Test Body"/>
    <w:rsid w:val="00C1226C"/>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C1226C"/>
    <w:pPr>
      <w:numPr>
        <w:numId w:val="1"/>
      </w:numPr>
    </w:pPr>
  </w:style>
  <w:style w:type="character" w:styleId="CommentReference">
    <w:name w:val="annotation reference"/>
    <w:basedOn w:val="DefaultParagraphFont"/>
    <w:semiHidden/>
    <w:rsid w:val="00C1226C"/>
    <w:rPr>
      <w:sz w:val="16"/>
      <w:szCs w:val="16"/>
    </w:rPr>
  </w:style>
  <w:style w:type="paragraph" w:styleId="CommentText">
    <w:name w:val="annotation text"/>
    <w:basedOn w:val="Normal"/>
    <w:link w:val="CommentTextChar"/>
    <w:semiHidden/>
    <w:rsid w:val="00C1226C"/>
    <w:rPr>
      <w:sz w:val="20"/>
      <w:szCs w:val="20"/>
    </w:rPr>
  </w:style>
  <w:style w:type="paragraph" w:styleId="ListBullet">
    <w:name w:val="List Bullet"/>
    <w:basedOn w:val="Normal"/>
    <w:autoRedefine/>
    <w:rsid w:val="00C1226C"/>
    <w:pPr>
      <w:numPr>
        <w:numId w:val="4"/>
      </w:numPr>
    </w:pPr>
  </w:style>
  <w:style w:type="paragraph" w:styleId="BodyText2">
    <w:name w:val="Body Text 2"/>
    <w:basedOn w:val="Normal"/>
    <w:rsid w:val="00C1226C"/>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CommentSubject">
    <w:name w:val="annotation subject"/>
    <w:basedOn w:val="CommentText"/>
    <w:next w:val="CommentText"/>
    <w:link w:val="CommentSubjectChar"/>
    <w:rsid w:val="00ED312D"/>
    <w:rPr>
      <w:b/>
      <w:bCs/>
    </w:rPr>
  </w:style>
  <w:style w:type="character" w:customStyle="1" w:styleId="CommentTextChar">
    <w:name w:val="Comment Text Char"/>
    <w:basedOn w:val="DefaultParagraphFont"/>
    <w:link w:val="CommentText"/>
    <w:semiHidden/>
    <w:rsid w:val="00ED312D"/>
  </w:style>
  <w:style w:type="character" w:customStyle="1" w:styleId="CommentSubjectChar">
    <w:name w:val="Comment Subject Char"/>
    <w:basedOn w:val="CommentTextChar"/>
    <w:link w:val="CommentSubject"/>
    <w:rsid w:val="00ED312D"/>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560294591">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F2578-AB93-41F7-A9D9-9E4A36BC932B}"/>
</file>

<file path=customXml/itemProps2.xml><?xml version="1.0" encoding="utf-8"?>
<ds:datastoreItem xmlns:ds="http://schemas.openxmlformats.org/officeDocument/2006/customXml" ds:itemID="{52C65328-9652-4DBE-B2F7-283BE8D00379}"/>
</file>

<file path=customXml/itemProps3.xml><?xml version="1.0" encoding="utf-8"?>
<ds:datastoreItem xmlns:ds="http://schemas.openxmlformats.org/officeDocument/2006/customXml" ds:itemID="{F2081940-0F56-41EF-A4AC-0659A0CFE801}"/>
</file>

<file path=customXml/itemProps4.xml><?xml version="1.0" encoding="utf-8"?>
<ds:datastoreItem xmlns:ds="http://schemas.openxmlformats.org/officeDocument/2006/customXml" ds:itemID="{3EBFF6CE-A449-47D1-AF9A-CF8523086124}"/>
</file>

<file path=customXml/itemProps5.xml><?xml version="1.0" encoding="utf-8"?>
<ds:datastoreItem xmlns:ds="http://schemas.openxmlformats.org/officeDocument/2006/customXml" ds:itemID="{BEE83F4F-8933-4BC9-BB1B-9CAC8ACF092E}"/>
</file>

<file path=customXml/itemProps6.xml><?xml version="1.0" encoding="utf-8"?>
<ds:datastoreItem xmlns:ds="http://schemas.openxmlformats.org/officeDocument/2006/customXml" ds:itemID="{C6BCB00E-1596-4E89-9189-5C58BCF13087}"/>
</file>

<file path=docProps/app.xml><?xml version="1.0" encoding="utf-8"?>
<Properties xmlns="http://schemas.openxmlformats.org/officeDocument/2006/extended-properties" xmlns:vt="http://schemas.openxmlformats.org/officeDocument/2006/docPropsVTypes">
  <Template>Normal.dotm</Template>
  <TotalTime>38</TotalTime>
  <Pages>31</Pages>
  <Words>7662</Words>
  <Characters>41631</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rzk7kq</dc:creator>
  <cp:keywords/>
  <dc:description/>
  <cp:lastModifiedBy>Patrick Ehrbar</cp:lastModifiedBy>
  <cp:revision>10</cp:revision>
  <cp:lastPrinted>2010-03-15T21:46:00Z</cp:lastPrinted>
  <dcterms:created xsi:type="dcterms:W3CDTF">2010-03-15T18:56:00Z</dcterms:created>
  <dcterms:modified xsi:type="dcterms:W3CDTF">2010-03-16T17:38:00Z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0x0101006E56B4D1795A2E4DB2F0B01679ED314A002530B3ED862F30408938449DB841F55F</vt:lpwstr>
  </property>
  <property fmtid="{D5CDD505-2E9C-101B-9397-08002B2CF9AE}" pid="4" name="_docset_NoMedatataSyncRequired">
    <vt:lpwstr>False</vt:lpwstr>
  </property>
</Properties>
</file>