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6C" w:rsidRDefault="00093B6C" w:rsidP="00093B6C">
      <w:bookmarkStart w:id="0" w:name="_GoBack"/>
      <w:bookmarkEnd w:id="0"/>
    </w:p>
    <w:p w:rsidR="00093B6C" w:rsidRDefault="00093B6C" w:rsidP="00093B6C"/>
    <w:p w:rsidR="00093B6C" w:rsidRDefault="00093B6C" w:rsidP="00093B6C"/>
    <w:p w:rsidR="00093B6C" w:rsidRDefault="00093B6C" w:rsidP="00093B6C"/>
    <w:p w:rsidR="00093B6C" w:rsidRDefault="00093B6C" w:rsidP="00093B6C"/>
    <w:p w:rsidR="00093B6C" w:rsidRDefault="00093B6C" w:rsidP="00093B6C"/>
    <w:p w:rsidR="00093B6C" w:rsidRDefault="00093B6C" w:rsidP="00093B6C">
      <w:pPr>
        <w:jc w:val="center"/>
      </w:pPr>
      <w:r>
        <w:t xml:space="preserve">UTILITIES AND TRANSPORTATION COMMISSION </w:t>
      </w:r>
    </w:p>
    <w:p w:rsidR="00093B6C" w:rsidRDefault="00093B6C" w:rsidP="00093B6C">
      <w:pPr>
        <w:jc w:val="center"/>
      </w:pPr>
      <w:r>
        <w:t>STATE OF WASHINGTON</w:t>
      </w:r>
    </w:p>
    <w:p w:rsidR="00093B6C" w:rsidRDefault="00093B6C" w:rsidP="00093B6C">
      <w:pPr>
        <w:jc w:val="center"/>
      </w:pPr>
    </w:p>
    <w:tbl>
      <w:tblPr>
        <w:tblW w:w="0" w:type="auto"/>
        <w:tblLayout w:type="fixed"/>
        <w:tblCellMar>
          <w:left w:w="0" w:type="dxa"/>
          <w:right w:w="0" w:type="dxa"/>
        </w:tblCellMar>
        <w:tblLook w:val="0000" w:firstRow="0" w:lastRow="0" w:firstColumn="0" w:lastColumn="0" w:noHBand="0" w:noVBand="0"/>
      </w:tblPr>
      <w:tblGrid>
        <w:gridCol w:w="4950"/>
        <w:gridCol w:w="360"/>
        <w:gridCol w:w="360"/>
        <w:gridCol w:w="3960"/>
      </w:tblGrid>
      <w:tr w:rsidR="00093B6C" w:rsidTr="0026145B">
        <w:tc>
          <w:tcPr>
            <w:tcW w:w="4950" w:type="dxa"/>
            <w:tcBorders>
              <w:bottom w:val="single" w:sz="6" w:space="0" w:color="auto"/>
            </w:tcBorders>
          </w:tcPr>
          <w:p w:rsidR="00093B6C" w:rsidRDefault="00093B6C" w:rsidP="0026145B">
            <w:r>
              <w:t>CITY OF WOODINVILLE, a Washington municipal corporation,</w:t>
            </w:r>
          </w:p>
          <w:p w:rsidR="00093B6C" w:rsidRDefault="00093B6C" w:rsidP="0026145B"/>
          <w:p w:rsidR="00093B6C" w:rsidRDefault="00093B6C" w:rsidP="0026145B">
            <w:pPr>
              <w:jc w:val="right"/>
            </w:pPr>
            <w:r>
              <w:t>Plaintiff,</w:t>
            </w:r>
          </w:p>
          <w:p w:rsidR="00093B6C" w:rsidRDefault="00093B6C" w:rsidP="0026145B"/>
          <w:p w:rsidR="00093B6C" w:rsidRDefault="00093B6C" w:rsidP="0026145B">
            <w:r>
              <w:tab/>
            </w:r>
            <w:r>
              <w:tab/>
              <w:t>vs.</w:t>
            </w:r>
          </w:p>
          <w:p w:rsidR="00093B6C" w:rsidRDefault="00093B6C" w:rsidP="0026145B"/>
          <w:p w:rsidR="00093B6C" w:rsidRDefault="00093B6C" w:rsidP="0026145B">
            <w:r>
              <w:t>EASTSIDE COMMUNITY RAIL and BALLARD TERMINAL RAILROAD COMPANY, both Washington limited liability companies,</w:t>
            </w:r>
          </w:p>
          <w:p w:rsidR="00093B6C" w:rsidRDefault="00093B6C" w:rsidP="0026145B"/>
          <w:p w:rsidR="00093B6C" w:rsidRDefault="00093B6C" w:rsidP="0026145B">
            <w:pPr>
              <w:jc w:val="right"/>
            </w:pPr>
            <w:r>
              <w:t>Defendant.</w:t>
            </w:r>
          </w:p>
          <w:p w:rsidR="00093B6C" w:rsidRDefault="00093B6C" w:rsidP="0026145B"/>
        </w:tc>
        <w:tc>
          <w:tcPr>
            <w:tcW w:w="360" w:type="dxa"/>
            <w:tcBorders>
              <w:bottom w:val="single" w:sz="6" w:space="0" w:color="auto"/>
            </w:tcBorders>
          </w:tcPr>
          <w:p w:rsidR="00093B6C" w:rsidRDefault="00093B6C" w:rsidP="0026145B">
            <w:pPr>
              <w:tabs>
                <w:tab w:val="left" w:pos="2880"/>
              </w:tabs>
            </w:pPr>
          </w:p>
        </w:tc>
        <w:tc>
          <w:tcPr>
            <w:tcW w:w="360" w:type="dxa"/>
          </w:tcPr>
          <w:p w:rsidR="00093B6C" w:rsidRDefault="00093B6C" w:rsidP="0026145B">
            <w:r>
              <w:t>)</w:t>
            </w:r>
          </w:p>
          <w:p w:rsidR="00093B6C" w:rsidRDefault="00093B6C" w:rsidP="0026145B">
            <w:r>
              <w:t>)</w:t>
            </w:r>
            <w:r>
              <w:br/>
              <w:t>)</w:t>
            </w:r>
            <w:r>
              <w:br/>
              <w:t>)</w:t>
            </w:r>
            <w:r>
              <w:br/>
              <w:t>)</w:t>
            </w:r>
            <w:r>
              <w:br/>
              <w:t>)</w:t>
            </w:r>
            <w:r>
              <w:br/>
              <w:t>)</w:t>
            </w:r>
            <w:r>
              <w:br/>
              <w:t>)</w:t>
            </w:r>
            <w:r>
              <w:br/>
              <w:t>)</w:t>
            </w:r>
            <w:r>
              <w:br/>
              <w:t>)</w:t>
            </w:r>
            <w:r>
              <w:br/>
              <w:t>)</w:t>
            </w:r>
          </w:p>
          <w:p w:rsidR="00093B6C" w:rsidRDefault="00093B6C" w:rsidP="0026145B">
            <w:r>
              <w:t>)</w:t>
            </w:r>
          </w:p>
          <w:p w:rsidR="00093B6C" w:rsidRDefault="00093B6C" w:rsidP="0026145B">
            <w:r>
              <w:t>)</w:t>
            </w:r>
          </w:p>
        </w:tc>
        <w:tc>
          <w:tcPr>
            <w:tcW w:w="3960" w:type="dxa"/>
          </w:tcPr>
          <w:p w:rsidR="00093B6C" w:rsidRDefault="00093B6C" w:rsidP="0026145B"/>
          <w:p w:rsidR="00093B6C" w:rsidRDefault="00093B6C" w:rsidP="0026145B"/>
          <w:p w:rsidR="00093B6C" w:rsidRDefault="00093B6C" w:rsidP="0026145B">
            <w:r>
              <w:t>Dockets: TR-143902 and TR-143903</w:t>
            </w:r>
          </w:p>
          <w:p w:rsidR="00093B6C" w:rsidRDefault="00093B6C" w:rsidP="0026145B"/>
          <w:p w:rsidR="00093B6C" w:rsidRDefault="00093B6C" w:rsidP="0026145B"/>
          <w:p w:rsidR="00093B6C" w:rsidRDefault="002C25E7" w:rsidP="0026145B">
            <w:bookmarkStart w:id="1" w:name="BeginTitle"/>
            <w:bookmarkEnd w:id="1"/>
            <w:r>
              <w:t>KING COUNTY’S BRIEF TO CLARIFY CERTAIN POINTS OF FACT</w:t>
            </w:r>
          </w:p>
          <w:p w:rsidR="00093B6C" w:rsidRDefault="00093B6C" w:rsidP="0026145B">
            <w:bookmarkStart w:id="2" w:name="EndTitle"/>
            <w:bookmarkEnd w:id="2"/>
          </w:p>
        </w:tc>
      </w:tr>
    </w:tbl>
    <w:p w:rsidR="00093B6C" w:rsidRPr="003C50E8" w:rsidRDefault="00093B6C" w:rsidP="00093B6C">
      <w:bookmarkStart w:id="3" w:name="pldgbody"/>
      <w:bookmarkEnd w:id="3"/>
    </w:p>
    <w:p w:rsidR="00093B6C" w:rsidRPr="00DB6B5E" w:rsidRDefault="00093B6C" w:rsidP="00093B6C">
      <w:pPr>
        <w:rPr>
          <w:b/>
          <w:szCs w:val="24"/>
        </w:rPr>
      </w:pPr>
      <w:r>
        <w:rPr>
          <w:b/>
          <w:szCs w:val="24"/>
        </w:rPr>
        <w:t>I.</w:t>
      </w:r>
      <w:r>
        <w:rPr>
          <w:b/>
          <w:szCs w:val="24"/>
        </w:rPr>
        <w:tab/>
      </w:r>
      <w:r w:rsidRPr="00DB6B5E">
        <w:rPr>
          <w:b/>
          <w:szCs w:val="24"/>
        </w:rPr>
        <w:t>Introduction</w:t>
      </w:r>
      <w:r>
        <w:rPr>
          <w:b/>
          <w:szCs w:val="24"/>
        </w:rPr>
        <w:t>.</w:t>
      </w:r>
    </w:p>
    <w:p w:rsidR="00093B6C" w:rsidRDefault="00093B6C" w:rsidP="00093B6C">
      <w:pPr>
        <w:spacing w:line="480" w:lineRule="exact"/>
        <w:ind w:firstLine="720"/>
        <w:rPr>
          <w:szCs w:val="24"/>
        </w:rPr>
      </w:pPr>
      <w:r>
        <w:rPr>
          <w:szCs w:val="24"/>
        </w:rPr>
        <w:t>King County submits this brief to clarify a point of fact in the responsive brief filed by Eastside Community Rail and Ballard Terminal Railroad on October 2, 2015 (“Ballard’s Response”), and in so doing to form a more complete and accurate record in these proceedings.  To the extent that submittal of this brief deviates from the Commission’s ordinary briefing process, King County respectfully requests that the Commission exercise its administrative discretion to grant King County leave to file this brief.</w:t>
      </w:r>
    </w:p>
    <w:p w:rsidR="00093B6C" w:rsidRPr="00DB6B5E" w:rsidRDefault="00093B6C" w:rsidP="00093B6C">
      <w:pPr>
        <w:spacing w:line="480" w:lineRule="exact"/>
        <w:ind w:left="720" w:hanging="720"/>
        <w:rPr>
          <w:b/>
          <w:szCs w:val="24"/>
        </w:rPr>
      </w:pPr>
      <w:r>
        <w:rPr>
          <w:b/>
          <w:szCs w:val="24"/>
        </w:rPr>
        <w:t>II.</w:t>
      </w:r>
      <w:r>
        <w:rPr>
          <w:b/>
          <w:szCs w:val="24"/>
        </w:rPr>
        <w:tab/>
        <w:t>The City acquired NE 195</w:t>
      </w:r>
      <w:r w:rsidRPr="006630CC">
        <w:rPr>
          <w:b/>
          <w:szCs w:val="24"/>
          <w:vertAlign w:val="superscript"/>
        </w:rPr>
        <w:t>th</w:t>
      </w:r>
      <w:r>
        <w:rPr>
          <w:b/>
          <w:szCs w:val="24"/>
        </w:rPr>
        <w:t xml:space="preserve"> Street and NE 190</w:t>
      </w:r>
      <w:r w:rsidRPr="006630CC">
        <w:rPr>
          <w:b/>
          <w:szCs w:val="24"/>
          <w:vertAlign w:val="superscript"/>
        </w:rPr>
        <w:t>th</w:t>
      </w:r>
      <w:r>
        <w:rPr>
          <w:b/>
          <w:szCs w:val="24"/>
        </w:rPr>
        <w:t xml:space="preserve"> Street upon incorporation in 1993.</w:t>
      </w:r>
    </w:p>
    <w:p w:rsidR="00093B6C" w:rsidRDefault="00093B6C" w:rsidP="00093B6C">
      <w:pPr>
        <w:spacing w:line="480" w:lineRule="exact"/>
        <w:ind w:firstLine="720"/>
        <w:rPr>
          <w:szCs w:val="24"/>
        </w:rPr>
      </w:pPr>
      <w:r>
        <w:rPr>
          <w:szCs w:val="24"/>
        </w:rPr>
        <w:t>Page 2 of Ballard’s Response states that “[t]he 195</w:t>
      </w:r>
      <w:r w:rsidRPr="005B2653">
        <w:rPr>
          <w:szCs w:val="24"/>
          <w:vertAlign w:val="superscript"/>
        </w:rPr>
        <w:t>th</w:t>
      </w:r>
      <w:r>
        <w:rPr>
          <w:szCs w:val="24"/>
        </w:rPr>
        <w:t xml:space="preserve"> street crossing in Woodinville is totally the responsibility of the </w:t>
      </w:r>
      <w:r w:rsidR="00C61C4F">
        <w:rPr>
          <w:szCs w:val="24"/>
        </w:rPr>
        <w:t>‘</w:t>
      </w:r>
      <w:r>
        <w:rPr>
          <w:szCs w:val="24"/>
        </w:rPr>
        <w:t>Agency,</w:t>
      </w:r>
      <w:r w:rsidR="00C61C4F">
        <w:rPr>
          <w:szCs w:val="24"/>
        </w:rPr>
        <w:t>’</w:t>
      </w:r>
      <w:r>
        <w:rPr>
          <w:szCs w:val="24"/>
        </w:rPr>
        <w:t xml:space="preserve"> </w:t>
      </w:r>
      <w:r w:rsidRPr="00C61C4F">
        <w:rPr>
          <w:szCs w:val="24"/>
        </w:rPr>
        <w:t>King County</w:t>
      </w:r>
      <w:r>
        <w:rPr>
          <w:szCs w:val="24"/>
        </w:rPr>
        <w:t>.”  A copy of a document apparently dating from 1989 is attached to Ballard’s Response as the first eleven pages of Exhibit B, purporting to be a copy of an agreement between King County and BNSF Railway Company and relating to the intersection of 195</w:t>
      </w:r>
      <w:r w:rsidRPr="005B2653">
        <w:rPr>
          <w:szCs w:val="24"/>
          <w:vertAlign w:val="superscript"/>
        </w:rPr>
        <w:t>th</w:t>
      </w:r>
      <w:r>
        <w:rPr>
          <w:szCs w:val="24"/>
        </w:rPr>
        <w:t xml:space="preserve"> Street and the Woodinville Subdivision rail line in Woodinville, Washington.  The remainder of Exhibit B </w:t>
      </w:r>
      <w:r w:rsidR="00F668DF">
        <w:rPr>
          <w:szCs w:val="24"/>
        </w:rPr>
        <w:t>purports</w:t>
      </w:r>
      <w:r>
        <w:rPr>
          <w:szCs w:val="24"/>
        </w:rPr>
        <w:t xml:space="preserve"> to be a copy of an easement </w:t>
      </w:r>
      <w:r>
        <w:rPr>
          <w:szCs w:val="24"/>
        </w:rPr>
        <w:lastRenderedPageBreak/>
        <w:t>from BNSF Railway Company to King County for a road crossing for 195</w:t>
      </w:r>
      <w:r w:rsidRPr="003C1184">
        <w:rPr>
          <w:szCs w:val="24"/>
          <w:vertAlign w:val="superscript"/>
        </w:rPr>
        <w:t>th</w:t>
      </w:r>
      <w:r>
        <w:rPr>
          <w:szCs w:val="24"/>
        </w:rPr>
        <w:t xml:space="preserve"> Street where it crosses the Woodinville Subdivision within the City of Woodinville, Washington (the “City”).  </w:t>
      </w:r>
      <w:r w:rsidRPr="005F3268">
        <w:rPr>
          <w:i/>
          <w:szCs w:val="24"/>
        </w:rPr>
        <w:t>See</w:t>
      </w:r>
      <w:r>
        <w:rPr>
          <w:szCs w:val="24"/>
        </w:rPr>
        <w:t xml:space="preserve"> Ballard Response at Exhibit B.  Exhibit C appears to be similar to Exhibit B, but is dated from 1991 and purports to address the intersection of the railroad line and NE 190</w:t>
      </w:r>
      <w:r w:rsidRPr="00DB6B5E">
        <w:rPr>
          <w:szCs w:val="24"/>
          <w:vertAlign w:val="superscript"/>
        </w:rPr>
        <w:t>th</w:t>
      </w:r>
      <w:r>
        <w:rPr>
          <w:szCs w:val="24"/>
        </w:rPr>
        <w:t xml:space="preserve"> Street in the City.  </w:t>
      </w:r>
      <w:r w:rsidRPr="00DB6B5E">
        <w:rPr>
          <w:i/>
          <w:szCs w:val="24"/>
        </w:rPr>
        <w:t>See</w:t>
      </w:r>
      <w:r>
        <w:rPr>
          <w:szCs w:val="24"/>
        </w:rPr>
        <w:t xml:space="preserve"> Ballard Response at Exhibit C.</w:t>
      </w:r>
      <w:r w:rsidR="00C61C4F">
        <w:rPr>
          <w:rStyle w:val="FootnoteReference"/>
          <w:szCs w:val="24"/>
        </w:rPr>
        <w:footnoteReference w:id="1"/>
      </w:r>
    </w:p>
    <w:p w:rsidR="00093B6C" w:rsidRDefault="00093B6C" w:rsidP="00093B6C">
      <w:pPr>
        <w:spacing w:after="240" w:line="480" w:lineRule="exact"/>
        <w:ind w:firstLine="720"/>
        <w:rPr>
          <w:szCs w:val="24"/>
        </w:rPr>
      </w:pPr>
      <w:r>
        <w:rPr>
          <w:szCs w:val="24"/>
        </w:rPr>
        <w:t>It is a matter of public record that the City of Woodinville incorporated effective March 31, 1993.  See Declaration of Andrew Marcuse, attached hereto, at Exhibit A (City of Woodinville Resolution No. 31).  The locations where the Woodinville Subdivision rail line intersects with NE 195</w:t>
      </w:r>
      <w:r w:rsidRPr="00AD4449">
        <w:rPr>
          <w:szCs w:val="24"/>
          <w:vertAlign w:val="superscript"/>
        </w:rPr>
        <w:t>th</w:t>
      </w:r>
      <w:r>
        <w:rPr>
          <w:szCs w:val="24"/>
        </w:rPr>
        <w:t xml:space="preserve"> Street and NE 190</w:t>
      </w:r>
      <w:r w:rsidRPr="00DB6B5E">
        <w:rPr>
          <w:szCs w:val="24"/>
          <w:vertAlign w:val="superscript"/>
        </w:rPr>
        <w:t>th</w:t>
      </w:r>
      <w:r>
        <w:rPr>
          <w:szCs w:val="24"/>
        </w:rPr>
        <w:t xml:space="preserve"> Street are within the City’s incorporated limits.  See Marcuse Dec. Exhibit B (illustration of City of Woodinville </w:t>
      </w:r>
      <w:r w:rsidR="00F668DF">
        <w:rPr>
          <w:szCs w:val="24"/>
        </w:rPr>
        <w:t xml:space="preserve">streets and </w:t>
      </w:r>
      <w:r>
        <w:rPr>
          <w:szCs w:val="24"/>
        </w:rPr>
        <w:t xml:space="preserve">boundaries).  </w:t>
      </w:r>
    </w:p>
    <w:p w:rsidR="00093B6C" w:rsidRPr="00DB6B5E" w:rsidRDefault="00093B6C" w:rsidP="00093B6C">
      <w:pPr>
        <w:ind w:left="720" w:hanging="720"/>
        <w:rPr>
          <w:b/>
          <w:szCs w:val="24"/>
        </w:rPr>
      </w:pPr>
      <w:r>
        <w:rPr>
          <w:b/>
          <w:szCs w:val="24"/>
        </w:rPr>
        <w:t>III.</w:t>
      </w:r>
      <w:r>
        <w:rPr>
          <w:b/>
          <w:szCs w:val="24"/>
        </w:rPr>
        <w:tab/>
        <w:t>The City’s incorporation relieved King County of responsibility for NE 195</w:t>
      </w:r>
      <w:r w:rsidRPr="006630CC">
        <w:rPr>
          <w:b/>
          <w:szCs w:val="24"/>
          <w:vertAlign w:val="superscript"/>
        </w:rPr>
        <w:t>th</w:t>
      </w:r>
      <w:r>
        <w:rPr>
          <w:b/>
          <w:szCs w:val="24"/>
        </w:rPr>
        <w:t xml:space="preserve"> Street and NE 190</w:t>
      </w:r>
      <w:r w:rsidRPr="006630CC">
        <w:rPr>
          <w:b/>
          <w:szCs w:val="24"/>
          <w:vertAlign w:val="superscript"/>
        </w:rPr>
        <w:t>th</w:t>
      </w:r>
      <w:r>
        <w:rPr>
          <w:b/>
          <w:szCs w:val="24"/>
        </w:rPr>
        <w:t xml:space="preserve"> Street within the City.</w:t>
      </w:r>
    </w:p>
    <w:p w:rsidR="00093B6C" w:rsidRDefault="00093B6C" w:rsidP="00093B6C">
      <w:pPr>
        <w:spacing w:line="480" w:lineRule="exact"/>
        <w:ind w:firstLine="720"/>
        <w:rPr>
          <w:szCs w:val="24"/>
        </w:rPr>
      </w:pPr>
      <w:r w:rsidRPr="00AD4449">
        <w:rPr>
          <w:szCs w:val="24"/>
        </w:rPr>
        <w:t>By law</w:t>
      </w:r>
      <w:r>
        <w:rPr>
          <w:szCs w:val="24"/>
        </w:rPr>
        <w:t>,</w:t>
      </w:r>
      <w:r w:rsidRPr="00AD4449">
        <w:rPr>
          <w:szCs w:val="24"/>
        </w:rPr>
        <w:t xml:space="preserve"> all county roads within </w:t>
      </w:r>
      <w:r>
        <w:rPr>
          <w:szCs w:val="24"/>
        </w:rPr>
        <w:t>a newly-</w:t>
      </w:r>
      <w:r w:rsidRPr="00AD4449">
        <w:rPr>
          <w:szCs w:val="24"/>
        </w:rPr>
        <w:t xml:space="preserve">incorporated city become city streets as of the official date of incorporation.  </w:t>
      </w:r>
      <w:r w:rsidRPr="007B69CB">
        <w:rPr>
          <w:i/>
          <w:szCs w:val="24"/>
        </w:rPr>
        <w:t>See</w:t>
      </w:r>
      <w:r>
        <w:rPr>
          <w:szCs w:val="24"/>
        </w:rPr>
        <w:t xml:space="preserve"> </w:t>
      </w:r>
      <w:r w:rsidRPr="00AD4449">
        <w:rPr>
          <w:szCs w:val="24"/>
        </w:rPr>
        <w:t>RCW 35.02.180</w:t>
      </w:r>
      <w:r>
        <w:rPr>
          <w:szCs w:val="24"/>
        </w:rPr>
        <w:t xml:space="preserve">; </w:t>
      </w:r>
      <w:r w:rsidRPr="007B69CB">
        <w:rPr>
          <w:i/>
          <w:szCs w:val="24"/>
        </w:rPr>
        <w:t>see also</w:t>
      </w:r>
      <w:r>
        <w:rPr>
          <w:szCs w:val="24"/>
        </w:rPr>
        <w:t xml:space="preserve"> RCW 36.75.010(4), (6) (defining “city street” to mean “every highway or part thereof, located </w:t>
      </w:r>
      <w:r w:rsidRPr="007B69CB">
        <w:rPr>
          <w:i/>
          <w:szCs w:val="24"/>
        </w:rPr>
        <w:t>within</w:t>
      </w:r>
      <w:r>
        <w:rPr>
          <w:szCs w:val="24"/>
        </w:rPr>
        <w:t xml:space="preserve"> the limits of incorporated cities and towns,” and defining “county road” to mean “every highway or part thereof, </w:t>
      </w:r>
      <w:r w:rsidRPr="007B69CB">
        <w:rPr>
          <w:i/>
          <w:szCs w:val="24"/>
        </w:rPr>
        <w:t>outside</w:t>
      </w:r>
      <w:r>
        <w:rPr>
          <w:szCs w:val="24"/>
        </w:rPr>
        <w:t xml:space="preserve"> the limits of incorporated cities and towns and which has not been designated as a state highway”) (italics added)</w:t>
      </w:r>
      <w:r w:rsidRPr="00AD4449">
        <w:rPr>
          <w:szCs w:val="24"/>
        </w:rPr>
        <w:t>.</w:t>
      </w:r>
      <w:r>
        <w:rPr>
          <w:szCs w:val="24"/>
        </w:rPr>
        <w:t xml:space="preserve">  </w:t>
      </w:r>
    </w:p>
    <w:p w:rsidR="00093B6C" w:rsidRDefault="00093B6C" w:rsidP="00093B6C">
      <w:pPr>
        <w:spacing w:after="240" w:line="480" w:lineRule="exact"/>
        <w:ind w:firstLine="720"/>
        <w:rPr>
          <w:szCs w:val="24"/>
        </w:rPr>
      </w:pPr>
      <w:r>
        <w:rPr>
          <w:szCs w:val="24"/>
        </w:rPr>
        <w:t>As a result, and consistent with RCW 35.02.180, from and after the effective date of incorporation NE 195</w:t>
      </w:r>
      <w:r w:rsidRPr="003C1184">
        <w:rPr>
          <w:szCs w:val="24"/>
          <w:vertAlign w:val="superscript"/>
        </w:rPr>
        <w:t>th</w:t>
      </w:r>
      <w:r>
        <w:rPr>
          <w:szCs w:val="24"/>
        </w:rPr>
        <w:t xml:space="preserve"> Street and NE 190</w:t>
      </w:r>
      <w:r w:rsidRPr="00DB6B5E">
        <w:rPr>
          <w:szCs w:val="24"/>
          <w:vertAlign w:val="superscript"/>
        </w:rPr>
        <w:t>th</w:t>
      </w:r>
      <w:r>
        <w:rPr>
          <w:szCs w:val="24"/>
        </w:rPr>
        <w:t xml:space="preserve"> Street became city streets within the City, and King County was relieved of any responsibility to maintain those streets within the City, including </w:t>
      </w:r>
      <w:r>
        <w:rPr>
          <w:szCs w:val="24"/>
        </w:rPr>
        <w:lastRenderedPageBreak/>
        <w:t>adjacent to the Woodinville Subdivision railroad crossings at NE 195</w:t>
      </w:r>
      <w:r w:rsidRPr="00121A9D">
        <w:rPr>
          <w:szCs w:val="24"/>
          <w:vertAlign w:val="superscript"/>
        </w:rPr>
        <w:t>th</w:t>
      </w:r>
      <w:r>
        <w:rPr>
          <w:szCs w:val="24"/>
        </w:rPr>
        <w:t xml:space="preserve"> and NE 190</w:t>
      </w:r>
      <w:r w:rsidRPr="00DB6B5E">
        <w:rPr>
          <w:szCs w:val="24"/>
          <w:vertAlign w:val="superscript"/>
        </w:rPr>
        <w:t>th</w:t>
      </w:r>
      <w:r>
        <w:rPr>
          <w:szCs w:val="24"/>
        </w:rPr>
        <w:t>.</w:t>
      </w:r>
      <w:r>
        <w:rPr>
          <w:rStyle w:val="FootnoteReference"/>
          <w:szCs w:val="24"/>
        </w:rPr>
        <w:footnoteReference w:id="2"/>
      </w:r>
      <w:r>
        <w:rPr>
          <w:szCs w:val="24"/>
        </w:rPr>
        <w:t xml:space="preserve"> </w:t>
      </w:r>
      <w:r w:rsidRPr="006630CC">
        <w:rPr>
          <w:i/>
          <w:szCs w:val="24"/>
        </w:rPr>
        <w:t>See</w:t>
      </w:r>
      <w:r>
        <w:rPr>
          <w:szCs w:val="24"/>
        </w:rPr>
        <w:t xml:space="preserve"> RCW 81.53.090.</w:t>
      </w:r>
      <w:r>
        <w:rPr>
          <w:rStyle w:val="FootnoteReference"/>
          <w:szCs w:val="24"/>
        </w:rPr>
        <w:footnoteReference w:id="3"/>
      </w:r>
      <w:r>
        <w:rPr>
          <w:szCs w:val="24"/>
        </w:rPr>
        <w:t xml:space="preserve">  </w:t>
      </w:r>
    </w:p>
    <w:p w:rsidR="00093B6C" w:rsidRPr="00DB6B5E" w:rsidRDefault="00093B6C" w:rsidP="00093B6C">
      <w:pPr>
        <w:ind w:left="720" w:hanging="720"/>
        <w:rPr>
          <w:b/>
          <w:szCs w:val="24"/>
        </w:rPr>
      </w:pPr>
      <w:r>
        <w:rPr>
          <w:b/>
          <w:szCs w:val="24"/>
        </w:rPr>
        <w:t>IV.</w:t>
      </w:r>
      <w:r>
        <w:rPr>
          <w:b/>
          <w:szCs w:val="24"/>
        </w:rPr>
        <w:tab/>
        <w:t>King County does not own 195</w:t>
      </w:r>
      <w:r w:rsidRPr="006630CC">
        <w:rPr>
          <w:b/>
          <w:szCs w:val="24"/>
          <w:vertAlign w:val="superscript"/>
        </w:rPr>
        <w:t>th</w:t>
      </w:r>
      <w:r>
        <w:rPr>
          <w:b/>
          <w:szCs w:val="24"/>
        </w:rPr>
        <w:t xml:space="preserve"> Street or 190</w:t>
      </w:r>
      <w:r w:rsidRPr="006630CC">
        <w:rPr>
          <w:b/>
          <w:szCs w:val="24"/>
          <w:vertAlign w:val="superscript"/>
        </w:rPr>
        <w:t>th</w:t>
      </w:r>
      <w:r>
        <w:rPr>
          <w:b/>
          <w:szCs w:val="24"/>
        </w:rPr>
        <w:t xml:space="preserve"> Street in the City and has no duty to maintain them or any railroad crossings over them.</w:t>
      </w:r>
    </w:p>
    <w:p w:rsidR="00093B6C" w:rsidRDefault="00093B6C" w:rsidP="00093B6C">
      <w:pPr>
        <w:spacing w:line="480" w:lineRule="exact"/>
        <w:ind w:firstLine="720"/>
        <w:rPr>
          <w:szCs w:val="24"/>
        </w:rPr>
      </w:pPr>
      <w:r>
        <w:rPr>
          <w:szCs w:val="24"/>
        </w:rPr>
        <w:t>These streets have been City property for over twenty-two years. King County expresses no opinion as to whether Ballard Terminal Railroad, Eastside Community Rail, the City</w:t>
      </w:r>
      <w:r w:rsidR="00F668DF">
        <w:rPr>
          <w:szCs w:val="24"/>
        </w:rPr>
        <w:t>, or some other entity</w:t>
      </w:r>
      <w:r>
        <w:rPr>
          <w:szCs w:val="24"/>
        </w:rPr>
        <w:t xml:space="preserve"> is required to maintain the NE 195</w:t>
      </w:r>
      <w:r w:rsidRPr="005F3268">
        <w:rPr>
          <w:szCs w:val="24"/>
          <w:vertAlign w:val="superscript"/>
        </w:rPr>
        <w:t>th</w:t>
      </w:r>
      <w:r>
        <w:rPr>
          <w:szCs w:val="24"/>
        </w:rPr>
        <w:t xml:space="preserve"> Street railroad crossing, the NE 190</w:t>
      </w:r>
      <w:r w:rsidRPr="00DB6B5E">
        <w:rPr>
          <w:szCs w:val="24"/>
          <w:vertAlign w:val="superscript"/>
        </w:rPr>
        <w:t>th</w:t>
      </w:r>
      <w:r>
        <w:rPr>
          <w:szCs w:val="24"/>
        </w:rPr>
        <w:t xml:space="preserve"> Street railroad crossing, or any other railroad crossing within the City, including the crossings at issue in these proceedings.  King County merely desires to clarify for the record that King County </w:t>
      </w:r>
      <w:r w:rsidR="00F668DF">
        <w:rPr>
          <w:szCs w:val="24"/>
        </w:rPr>
        <w:t xml:space="preserve">presently </w:t>
      </w:r>
      <w:r>
        <w:rPr>
          <w:szCs w:val="24"/>
        </w:rPr>
        <w:t>has no duty to maintain NE 195</w:t>
      </w:r>
      <w:r w:rsidRPr="005F3268">
        <w:rPr>
          <w:szCs w:val="24"/>
          <w:vertAlign w:val="superscript"/>
        </w:rPr>
        <w:t>th</w:t>
      </w:r>
      <w:r>
        <w:rPr>
          <w:szCs w:val="24"/>
        </w:rPr>
        <w:t xml:space="preserve"> Street or NE 190</w:t>
      </w:r>
      <w:r w:rsidRPr="00DB6B5E">
        <w:rPr>
          <w:szCs w:val="24"/>
          <w:vertAlign w:val="superscript"/>
        </w:rPr>
        <w:t>th</w:t>
      </w:r>
      <w:r>
        <w:rPr>
          <w:szCs w:val="24"/>
        </w:rPr>
        <w:t xml:space="preserve"> Street in the City, or to maintain any railroad crossing located upon those streets within the City.</w:t>
      </w:r>
    </w:p>
    <w:p w:rsidR="00093B6C" w:rsidRDefault="00093B6C" w:rsidP="00093B6C">
      <w:pPr>
        <w:ind w:firstLine="720"/>
        <w:rPr>
          <w:szCs w:val="24"/>
        </w:rPr>
      </w:pPr>
    </w:p>
    <w:p w:rsidR="00093B6C" w:rsidRDefault="00093B6C" w:rsidP="00093B6C"/>
    <w:p w:rsidR="00093B6C" w:rsidRDefault="00093B6C" w:rsidP="00093B6C"/>
    <w:p w:rsidR="00093B6C" w:rsidRDefault="00093B6C" w:rsidP="00093B6C">
      <w:pPr>
        <w:tabs>
          <w:tab w:val="left" w:pos="-720"/>
        </w:tabs>
        <w:jc w:val="both"/>
        <w:rPr>
          <w:spacing w:val="-3"/>
        </w:rPr>
      </w:pPr>
      <w:r>
        <w:tab/>
      </w:r>
      <w:r>
        <w:tab/>
      </w:r>
      <w:r>
        <w:tab/>
      </w:r>
      <w:r>
        <w:rPr>
          <w:spacing w:val="-3"/>
        </w:rPr>
        <w:tab/>
        <w:t>DATED this _____ day of October, 2015.</w:t>
      </w:r>
    </w:p>
    <w:p w:rsidR="00093B6C" w:rsidRDefault="00093B6C" w:rsidP="00093B6C">
      <w:pPr>
        <w:tabs>
          <w:tab w:val="left" w:pos="-720"/>
        </w:tabs>
        <w:jc w:val="both"/>
        <w:rPr>
          <w:spacing w:val="-3"/>
        </w:rPr>
      </w:pPr>
    </w:p>
    <w:p w:rsidR="00093B6C" w:rsidRDefault="00093B6C" w:rsidP="00093B6C">
      <w:pPr>
        <w:tabs>
          <w:tab w:val="left" w:pos="-720"/>
          <w:tab w:val="left" w:pos="4320"/>
        </w:tabs>
        <w:ind w:left="4320"/>
        <w:rPr>
          <w:spacing w:val="-3"/>
        </w:rPr>
      </w:pPr>
      <w:r>
        <w:rPr>
          <w:spacing w:val="-3"/>
        </w:rPr>
        <w:t>DANIEL T. SATTERBERG</w:t>
      </w:r>
    </w:p>
    <w:p w:rsidR="00093B6C" w:rsidRPr="00187BF1" w:rsidRDefault="00093B6C" w:rsidP="00093B6C">
      <w:pPr>
        <w:tabs>
          <w:tab w:val="left" w:pos="-720"/>
          <w:tab w:val="left" w:pos="4320"/>
        </w:tabs>
        <w:ind w:left="4320"/>
        <w:rPr>
          <w:spacing w:val="-3"/>
        </w:rPr>
      </w:pPr>
      <w:r>
        <w:rPr>
          <w:spacing w:val="-3"/>
        </w:rPr>
        <w:t>King County Prosecuting Attorney</w:t>
      </w:r>
    </w:p>
    <w:p w:rsidR="00093B6C" w:rsidRDefault="00093B6C" w:rsidP="00093B6C">
      <w:pPr>
        <w:tabs>
          <w:tab w:val="left" w:pos="-720"/>
          <w:tab w:val="left" w:pos="4320"/>
        </w:tabs>
        <w:rPr>
          <w:spacing w:val="-3"/>
        </w:rPr>
      </w:pPr>
    </w:p>
    <w:p w:rsidR="00093B6C" w:rsidRDefault="00093B6C" w:rsidP="00093B6C">
      <w:pPr>
        <w:tabs>
          <w:tab w:val="left" w:pos="-720"/>
          <w:tab w:val="left" w:pos="4320"/>
        </w:tabs>
        <w:rPr>
          <w:spacing w:val="-3"/>
        </w:rPr>
      </w:pPr>
    </w:p>
    <w:p w:rsidR="00093B6C" w:rsidRDefault="00093B6C" w:rsidP="00093B6C">
      <w:pPr>
        <w:tabs>
          <w:tab w:val="left" w:pos="-720"/>
          <w:tab w:val="left" w:pos="4320"/>
        </w:tabs>
        <w:rPr>
          <w:spacing w:val="-3"/>
        </w:rPr>
      </w:pPr>
    </w:p>
    <w:p w:rsidR="00093B6C" w:rsidRDefault="00093B6C" w:rsidP="00093B6C">
      <w:pPr>
        <w:tabs>
          <w:tab w:val="left" w:pos="-720"/>
          <w:tab w:val="left" w:pos="4320"/>
        </w:tabs>
        <w:rPr>
          <w:spacing w:val="-3"/>
        </w:rPr>
      </w:pPr>
      <w:r>
        <w:rPr>
          <w:spacing w:val="-3"/>
        </w:rPr>
        <w:tab/>
        <w:t>By: ______________________________</w:t>
      </w:r>
    </w:p>
    <w:p w:rsidR="00093B6C" w:rsidRDefault="00093B6C" w:rsidP="00093B6C">
      <w:pPr>
        <w:tabs>
          <w:tab w:val="left" w:pos="-720"/>
          <w:tab w:val="left" w:pos="4320"/>
        </w:tabs>
        <w:rPr>
          <w:spacing w:val="-3"/>
        </w:rPr>
      </w:pPr>
      <w:r>
        <w:rPr>
          <w:spacing w:val="-3"/>
        </w:rPr>
        <w:tab/>
        <w:t>ANDREW MARCUSE, WSBA #27552</w:t>
      </w:r>
    </w:p>
    <w:p w:rsidR="00093B6C" w:rsidRDefault="00093B6C" w:rsidP="00093B6C">
      <w:pPr>
        <w:tabs>
          <w:tab w:val="left" w:pos="-720"/>
          <w:tab w:val="left" w:pos="4320"/>
        </w:tabs>
        <w:rPr>
          <w:spacing w:val="-3"/>
        </w:rPr>
      </w:pPr>
      <w:r>
        <w:rPr>
          <w:spacing w:val="-3"/>
        </w:rPr>
        <w:tab/>
      </w:r>
      <w:r>
        <w:rPr>
          <w:color w:val="000000"/>
          <w:spacing w:val="-3"/>
        </w:rPr>
        <w:t xml:space="preserve">Senior </w:t>
      </w:r>
      <w:r>
        <w:rPr>
          <w:spacing w:val="-3"/>
        </w:rPr>
        <w:t>Deputy Prosecuting Attorney</w:t>
      </w:r>
    </w:p>
    <w:p w:rsidR="00BC6353" w:rsidRPr="002A66E3" w:rsidRDefault="00093B6C" w:rsidP="002A66E3">
      <w:pPr>
        <w:tabs>
          <w:tab w:val="left" w:pos="-720"/>
          <w:tab w:val="left" w:pos="4320"/>
        </w:tabs>
        <w:rPr>
          <w:color w:val="000000"/>
        </w:rPr>
      </w:pPr>
      <w:r>
        <w:tab/>
        <w:t xml:space="preserve">Attorneys for </w:t>
      </w:r>
      <w:r>
        <w:rPr>
          <w:color w:val="000000"/>
        </w:rPr>
        <w:t>King County</w:t>
      </w:r>
    </w:p>
    <w:sectPr w:rsidR="00BC6353" w:rsidRPr="002A66E3" w:rsidSect="00093B6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83" w:right="1440" w:bottom="1440" w:left="1440" w:header="144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6C" w:rsidRDefault="00093B6C">
      <w:pPr>
        <w:spacing w:line="20" w:lineRule="exact"/>
      </w:pPr>
    </w:p>
  </w:endnote>
  <w:endnote w:type="continuationSeparator" w:id="0">
    <w:p w:rsidR="00093B6C" w:rsidRDefault="00093B6C">
      <w:r>
        <w:t xml:space="preserve"> </w:t>
      </w:r>
    </w:p>
  </w:endnote>
  <w:endnote w:type="continuationNotice" w:id="1">
    <w:p w:rsidR="00093B6C" w:rsidRDefault="00093B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FF" w:rsidRDefault="00AA2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FF" w:rsidRDefault="00AA2AFF">
    <w:pPr>
      <w:pStyle w:val="Footer"/>
    </w:pPr>
    <w:r>
      <w:t xml:space="preserve">King County’s Clarification of Facts - </w:t>
    </w:r>
    <w:r>
      <w:fldChar w:fldCharType="begin"/>
    </w:r>
    <w:r>
      <w:instrText xml:space="preserve"> PAGE   \* MERGEFORMAT </w:instrText>
    </w:r>
    <w:r>
      <w:fldChar w:fldCharType="separate"/>
    </w:r>
    <w:r w:rsidR="003C42D7">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FF" w:rsidRDefault="00AA2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6C" w:rsidRDefault="00093B6C">
      <w:r>
        <w:separator/>
      </w:r>
    </w:p>
  </w:footnote>
  <w:footnote w:type="continuationSeparator" w:id="0">
    <w:p w:rsidR="00093B6C" w:rsidRDefault="00093B6C">
      <w:r>
        <w:continuationSeparator/>
      </w:r>
    </w:p>
  </w:footnote>
  <w:footnote w:id="1">
    <w:p w:rsidR="00C61C4F" w:rsidRDefault="00C61C4F">
      <w:pPr>
        <w:pStyle w:val="FootnoteText"/>
      </w:pPr>
      <w:r>
        <w:rPr>
          <w:rStyle w:val="FootnoteReference"/>
        </w:rPr>
        <w:footnoteRef/>
      </w:r>
      <w:r>
        <w:t xml:space="preserve"> It is unclear whether Exhibits B and C to Ballard’s Response are properly before the Commission, because Ballard’s Response does not lay a</w:t>
      </w:r>
      <w:r w:rsidR="002A66E3">
        <w:t>ny</w:t>
      </w:r>
      <w:r>
        <w:t xml:space="preserve"> evidentiary foundation for those exhibits, such as a declaration or other affidavit demonstrating that those exhibits are true and correct copies of the documents that they purport to represent.  However, for purposes of this brief only, King County will assume for the sake of argument that the exhibits are what they appear to be and that they are admissible to establish the facts asserted in Ballard’s Response.</w:t>
      </w:r>
    </w:p>
  </w:footnote>
  <w:footnote w:id="2">
    <w:p w:rsidR="00093B6C" w:rsidRPr="00966D89" w:rsidRDefault="00093B6C" w:rsidP="00093B6C">
      <w:pPr>
        <w:spacing w:after="120"/>
      </w:pPr>
      <w:r w:rsidRPr="00966D89">
        <w:rPr>
          <w:rStyle w:val="FootnoteReference"/>
          <w:szCs w:val="24"/>
        </w:rPr>
        <w:footnoteRef/>
      </w:r>
      <w:r w:rsidRPr="00966D89">
        <w:rPr>
          <w:szCs w:val="24"/>
        </w:rPr>
        <w:t xml:space="preserve"> While King County may provide road maintenance services to the City on a contract basis (</w:t>
      </w:r>
      <w:r w:rsidRPr="00966D89">
        <w:rPr>
          <w:i/>
          <w:szCs w:val="24"/>
        </w:rPr>
        <w:t xml:space="preserve">see generally </w:t>
      </w:r>
      <w:r w:rsidRPr="00966D89">
        <w:rPr>
          <w:szCs w:val="24"/>
        </w:rPr>
        <w:t xml:space="preserve">RCW 35.77.020-.040; </w:t>
      </w:r>
      <w:r w:rsidRPr="00966D89">
        <w:rPr>
          <w:i/>
          <w:szCs w:val="24"/>
        </w:rPr>
        <w:t>see also</w:t>
      </w:r>
      <w:r w:rsidRPr="00966D89">
        <w:rPr>
          <w:szCs w:val="24"/>
        </w:rPr>
        <w:t xml:space="preserve"> </w:t>
      </w:r>
      <w:hyperlink r:id="rId1" w:history="1">
        <w:r w:rsidRPr="00966D89">
          <w:rPr>
            <w:rStyle w:val="Hyperlink"/>
            <w:szCs w:val="24"/>
          </w:rPr>
          <w:t>http://www.kingcounty.gov/depts/transportation/roads/contract-cities.aspx</w:t>
        </w:r>
      </w:hyperlink>
      <w:r w:rsidRPr="00966D89">
        <w:rPr>
          <w:szCs w:val="24"/>
        </w:rPr>
        <w:t xml:space="preserve"> (visited October 8, 2015; listing cities for which King County provides road-related services on a contract basis, including the City), as explained in the main text of this brief, from and after the date of incorporation roads within city limits belong to the City, not King County. </w:t>
      </w:r>
    </w:p>
  </w:footnote>
  <w:footnote w:id="3">
    <w:p w:rsidR="00093B6C" w:rsidRPr="00966D89" w:rsidRDefault="00093B6C" w:rsidP="00093B6C">
      <w:pPr>
        <w:pStyle w:val="FootnoteText"/>
        <w:spacing w:after="120"/>
        <w:rPr>
          <w:szCs w:val="24"/>
        </w:rPr>
      </w:pPr>
      <w:r w:rsidRPr="00966D89">
        <w:rPr>
          <w:rStyle w:val="FootnoteReference"/>
          <w:szCs w:val="24"/>
        </w:rPr>
        <w:footnoteRef/>
      </w:r>
      <w:r w:rsidRPr="00966D89">
        <w:rPr>
          <w:szCs w:val="24"/>
        </w:rPr>
        <w:t xml:space="preserve"> </w:t>
      </w:r>
      <w:r w:rsidRPr="00966D89">
        <w:rPr>
          <w:i/>
          <w:szCs w:val="24"/>
        </w:rPr>
        <w:t xml:space="preserve">See </w:t>
      </w:r>
      <w:r>
        <w:rPr>
          <w:i/>
          <w:szCs w:val="24"/>
        </w:rPr>
        <w:t xml:space="preserve">also </w:t>
      </w:r>
      <w:r w:rsidRPr="00966D89">
        <w:rPr>
          <w:i/>
          <w:szCs w:val="24"/>
        </w:rPr>
        <w:t>Olson v. City of Bellevue</w:t>
      </w:r>
      <w:r w:rsidRPr="00966D89">
        <w:rPr>
          <w:szCs w:val="24"/>
        </w:rPr>
        <w:t>, 93 Wn. App. 154, 163</w:t>
      </w:r>
      <w:r>
        <w:rPr>
          <w:szCs w:val="24"/>
        </w:rPr>
        <w:t>-64</w:t>
      </w:r>
      <w:r w:rsidRPr="00966D89">
        <w:rPr>
          <w:szCs w:val="24"/>
        </w:rPr>
        <w:t xml:space="preserve">, 968 P.2d 894 (Div. I 1998) (adopting rule that “[w]here a municipality annexes a roadway from another </w:t>
      </w:r>
      <w:r>
        <w:rPr>
          <w:szCs w:val="24"/>
        </w:rPr>
        <w:t>municipality</w:t>
      </w:r>
      <w:r w:rsidRPr="00966D89">
        <w:rPr>
          <w:szCs w:val="24"/>
        </w:rPr>
        <w:t>, the annexed municipality’s potential liability for any unsafe conditions in the roadway ends after the annexing municipalit</w:t>
      </w:r>
      <w:r>
        <w:rPr>
          <w:szCs w:val="24"/>
        </w:rPr>
        <w:t>y has been afforded a reasonable</w:t>
      </w:r>
      <w:r w:rsidRPr="00966D89">
        <w:rPr>
          <w:szCs w:val="24"/>
        </w:rPr>
        <w:t xml:space="preserve"> opportunity to discover a</w:t>
      </w:r>
      <w:r>
        <w:rPr>
          <w:szCs w:val="24"/>
        </w:rPr>
        <w:t>nd remedy the unsafe conditions;”</w:t>
      </w:r>
      <w:r w:rsidRPr="00966D89">
        <w:rPr>
          <w:szCs w:val="24"/>
        </w:rPr>
        <w:t xml:space="preserve"> determining that a nearly two-year period had afforded city a reasonabl</w:t>
      </w:r>
      <w:r>
        <w:rPr>
          <w:szCs w:val="24"/>
        </w:rPr>
        <w:t>e</w:t>
      </w:r>
      <w:r w:rsidRPr="00966D89">
        <w:rPr>
          <w:szCs w:val="24"/>
        </w:rPr>
        <w:t xml:space="preserve"> opportunity</w:t>
      </w:r>
      <w:r>
        <w:rPr>
          <w:szCs w:val="24"/>
        </w:rPr>
        <w:t xml:space="preserve"> to discover the alleged unsafe condition at issue in that case</w:t>
      </w:r>
      <w:r w:rsidRPr="00966D89">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FF" w:rsidRDefault="00AA2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6C" w:rsidRDefault="00093B6C" w:rsidP="00093B6C">
    <w:pPr>
      <w:framePr w:w="3385" w:h="1411" w:hRule="exact" w:hSpace="187" w:wrap="around" w:vAnchor="page" w:hAnchor="page" w:x="7823" w:y="14225"/>
      <w:tabs>
        <w:tab w:val="left" w:pos="6480"/>
      </w:tabs>
      <w:suppressAutoHyphens/>
      <w:rPr>
        <w:b/>
        <w:sz w:val="18"/>
        <w:szCs w:val="18"/>
      </w:rPr>
    </w:pPr>
  </w:p>
  <w:p w:rsidR="00093B6C" w:rsidRPr="00093B6C" w:rsidRDefault="00093B6C" w:rsidP="00093B6C">
    <w:pPr>
      <w:framePr w:w="3385" w:h="1411" w:hRule="exact" w:hSpace="187" w:wrap="around" w:vAnchor="page" w:hAnchor="page" w:x="7823" w:y="14225"/>
      <w:tabs>
        <w:tab w:val="left" w:pos="6480"/>
      </w:tabs>
      <w:suppressAutoHyphens/>
      <w:rPr>
        <w:sz w:val="18"/>
        <w:szCs w:val="18"/>
      </w:rPr>
    </w:pPr>
    <w:r>
      <w:rPr>
        <w:b/>
        <w:sz w:val="18"/>
        <w:szCs w:val="18"/>
      </w:rPr>
      <w:t>Daniel T. Satterberg</w:t>
    </w:r>
    <w:r>
      <w:rPr>
        <w:sz w:val="18"/>
        <w:szCs w:val="18"/>
      </w:rPr>
      <w:t>, Prosecuting Attorney</w:t>
    </w:r>
  </w:p>
  <w:p w:rsidR="00093B6C" w:rsidRDefault="00093B6C" w:rsidP="00093B6C">
    <w:pPr>
      <w:framePr w:w="3385" w:h="1411" w:hRule="exact" w:hSpace="187" w:wrap="around" w:vAnchor="page" w:hAnchor="page" w:x="7823" w:y="14225"/>
      <w:tabs>
        <w:tab w:val="left" w:pos="6480"/>
      </w:tabs>
      <w:suppressAutoHyphens/>
      <w:rPr>
        <w:sz w:val="16"/>
      </w:rPr>
    </w:pPr>
    <w:r>
      <w:rPr>
        <w:sz w:val="16"/>
      </w:rPr>
      <w:t>CIVIL DIVISION</w:t>
    </w:r>
  </w:p>
  <w:p w:rsidR="00093B6C" w:rsidRDefault="00093B6C" w:rsidP="00093B6C">
    <w:pPr>
      <w:framePr w:w="3385" w:h="1411" w:hRule="exact" w:hSpace="187" w:wrap="around" w:vAnchor="page" w:hAnchor="page" w:x="7823" w:y="14225"/>
      <w:tabs>
        <w:tab w:val="left" w:pos="6480"/>
        <w:tab w:val="center" w:pos="9450"/>
      </w:tabs>
      <w:suppressAutoHyphens/>
      <w:rPr>
        <w:sz w:val="16"/>
      </w:rPr>
    </w:pPr>
    <w:r>
      <w:rPr>
        <w:sz w:val="16"/>
      </w:rPr>
      <w:t>W400 King County Courthouse</w:t>
    </w:r>
  </w:p>
  <w:p w:rsidR="00093B6C" w:rsidRDefault="00093B6C" w:rsidP="00093B6C">
    <w:pPr>
      <w:framePr w:w="3385" w:h="1411" w:hRule="exact" w:hSpace="187" w:wrap="around" w:vAnchor="page" w:hAnchor="page" w:x="7823" w:y="14225"/>
      <w:tabs>
        <w:tab w:val="left" w:pos="6480"/>
        <w:tab w:val="center" w:pos="9450"/>
      </w:tabs>
      <w:suppressAutoHyphens/>
      <w:rPr>
        <w:sz w:val="16"/>
      </w:rPr>
    </w:pPr>
    <w:r>
      <w:rPr>
        <w:sz w:val="16"/>
      </w:rPr>
      <w:t xml:space="preserve">516 Third Avenue </w:t>
    </w:r>
  </w:p>
  <w:p w:rsidR="00093B6C" w:rsidRDefault="00093B6C" w:rsidP="00093B6C">
    <w:pPr>
      <w:framePr w:w="3385" w:h="1411" w:hRule="exact" w:hSpace="187" w:wrap="around" w:vAnchor="page" w:hAnchor="page" w:x="7823" w:y="14225"/>
      <w:tabs>
        <w:tab w:val="left" w:pos="6480"/>
        <w:tab w:val="center" w:pos="9450"/>
      </w:tabs>
      <w:suppressAutoHyphens/>
      <w:rPr>
        <w:sz w:val="16"/>
      </w:rPr>
    </w:pPr>
    <w:r>
      <w:rPr>
        <w:sz w:val="16"/>
      </w:rPr>
      <w:t>Seattle, Washington 98104</w:t>
    </w:r>
  </w:p>
  <w:p w:rsidR="00093B6C" w:rsidRPr="00093B6C" w:rsidRDefault="00093B6C" w:rsidP="00093B6C">
    <w:pPr>
      <w:framePr w:w="3385" w:h="1411" w:hRule="exact" w:hSpace="187" w:wrap="around" w:vAnchor="page" w:hAnchor="page" w:x="7823" w:y="14225"/>
      <w:tabs>
        <w:tab w:val="left" w:pos="6480"/>
        <w:tab w:val="center" w:pos="9450"/>
      </w:tabs>
      <w:suppressAutoHyphens/>
      <w:rPr>
        <w:sz w:val="16"/>
      </w:rPr>
    </w:pPr>
    <w:r>
      <w:rPr>
        <w:sz w:val="16"/>
      </w:rPr>
      <w:t>(206) 477-1120/FAX (206) 296-0191</w:t>
    </w:r>
  </w:p>
  <w:p w:rsidR="00093B6C" w:rsidRDefault="00093B6C" w:rsidP="00093B6C">
    <w:pPr>
      <w:tabs>
        <w:tab w:val="left" w:pos="-720"/>
      </w:tabs>
      <w:suppressAutoHyphens/>
      <w:spacing w:line="480" w:lineRule="auto"/>
      <w:ind w:hanging="504"/>
    </w:pPr>
    <w:r>
      <w:rPr>
        <w:noProof/>
      </w:rPr>
      <mc:AlternateContent>
        <mc:Choice Requires="wps">
          <w:drawing>
            <wp:anchor distT="0" distB="0" distL="114300" distR="114300" simplePos="0" relativeHeight="251661312" behindDoc="1" locked="0" layoutInCell="0" allowOverlap="1" wp14:anchorId="321A1F56" wp14:editId="2F30E64F">
              <wp:simplePos x="0" y="0"/>
              <wp:positionH relativeFrom="margin">
                <wp:posOffset>-91440</wp:posOffset>
              </wp:positionH>
              <wp:positionV relativeFrom="page">
                <wp:posOffset>228600</wp:posOffset>
              </wp:positionV>
              <wp:extent cx="8890" cy="955548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2pt;margin-top:18pt;width:.7pt;height:75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60288" behindDoc="1" locked="0" layoutInCell="0" allowOverlap="1" wp14:anchorId="020023CB" wp14:editId="5A69D3F9">
              <wp:simplePos x="0" y="0"/>
              <wp:positionH relativeFrom="margin">
                <wp:posOffset>-118745</wp:posOffset>
              </wp:positionH>
              <wp:positionV relativeFrom="page">
                <wp:posOffset>228600</wp:posOffset>
              </wp:positionV>
              <wp:extent cx="8890" cy="955548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35pt;margin-top:18pt;width:.7pt;height:75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9264" behindDoc="1" locked="0" layoutInCell="0" allowOverlap="1" wp14:anchorId="28F5DE43" wp14:editId="7B5C82E8">
              <wp:simplePos x="0" y="0"/>
              <wp:positionH relativeFrom="margin">
                <wp:posOffset>6249670</wp:posOffset>
              </wp:positionH>
              <wp:positionV relativeFrom="page">
                <wp:posOffset>228600</wp:posOffset>
              </wp:positionV>
              <wp:extent cx="4445" cy="955548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955548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2.1pt;margin-top:18pt;width:.35pt;height:75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" o:allowincell="f" fillcolor="black" stroked="f" strokeweight=".1pt">
              <w10:wrap anchorx="margin" anchory="page"/>
            </v:rect>
          </w:pict>
        </mc:Fallback>
      </mc:AlternateContent>
    </w:r>
    <w:r>
      <w:t xml:space="preserve"> </w:t>
    </w:r>
    <w:r>
      <w:fldChar w:fldCharType="begin"/>
    </w:r>
    <w:r>
      <w:instrText xml:space="preserve"> ADVANCE \d 1 </w:instrText>
    </w:r>
    <w:r>
      <w:fldChar w:fldCharType="end"/>
    </w:r>
    <w:r>
      <w:t>1</w:t>
    </w:r>
  </w:p>
  <w:p w:rsidR="00093B6C" w:rsidRDefault="00093B6C" w:rsidP="00093B6C">
    <w:pPr>
      <w:tabs>
        <w:tab w:val="left" w:pos="-720"/>
      </w:tabs>
      <w:suppressAutoHyphens/>
      <w:spacing w:line="480" w:lineRule="auto"/>
      <w:ind w:hanging="504"/>
    </w:pPr>
    <w:r>
      <w:t xml:space="preserve"> 2</w:t>
    </w:r>
  </w:p>
  <w:p w:rsidR="00093B6C" w:rsidRDefault="00093B6C" w:rsidP="00093B6C">
    <w:pPr>
      <w:tabs>
        <w:tab w:val="left" w:pos="-720"/>
      </w:tabs>
      <w:suppressAutoHyphens/>
      <w:spacing w:line="480" w:lineRule="auto"/>
      <w:ind w:hanging="504"/>
    </w:pPr>
    <w:r>
      <w:t xml:space="preserve"> 3</w:t>
    </w:r>
  </w:p>
  <w:p w:rsidR="00093B6C" w:rsidRDefault="00093B6C" w:rsidP="00093B6C">
    <w:pPr>
      <w:tabs>
        <w:tab w:val="left" w:pos="-720"/>
      </w:tabs>
      <w:suppressAutoHyphens/>
      <w:spacing w:line="480" w:lineRule="auto"/>
      <w:ind w:hanging="504"/>
    </w:pPr>
    <w:r>
      <w:t xml:space="preserve"> 4</w:t>
    </w:r>
  </w:p>
  <w:p w:rsidR="00093B6C" w:rsidRDefault="00093B6C" w:rsidP="00093B6C">
    <w:pPr>
      <w:tabs>
        <w:tab w:val="left" w:pos="-720"/>
      </w:tabs>
      <w:suppressAutoHyphens/>
      <w:spacing w:line="480" w:lineRule="auto"/>
      <w:ind w:hanging="504"/>
    </w:pPr>
    <w:r>
      <w:t xml:space="preserve"> 5</w:t>
    </w:r>
  </w:p>
  <w:p w:rsidR="00093B6C" w:rsidRDefault="00093B6C" w:rsidP="00093B6C">
    <w:pPr>
      <w:tabs>
        <w:tab w:val="left" w:pos="-720"/>
      </w:tabs>
      <w:suppressAutoHyphens/>
      <w:spacing w:line="480" w:lineRule="auto"/>
      <w:ind w:hanging="504"/>
    </w:pPr>
    <w:r>
      <w:t xml:space="preserve"> 6</w:t>
    </w:r>
  </w:p>
  <w:p w:rsidR="00093B6C" w:rsidRDefault="00093B6C" w:rsidP="00093B6C">
    <w:pPr>
      <w:tabs>
        <w:tab w:val="left" w:pos="-720"/>
      </w:tabs>
      <w:suppressAutoHyphens/>
      <w:spacing w:line="480" w:lineRule="auto"/>
      <w:ind w:hanging="504"/>
    </w:pPr>
    <w:r>
      <w:t xml:space="preserve"> 7</w:t>
    </w:r>
  </w:p>
  <w:p w:rsidR="00093B6C" w:rsidRDefault="00093B6C" w:rsidP="00093B6C">
    <w:pPr>
      <w:tabs>
        <w:tab w:val="left" w:pos="-720"/>
      </w:tabs>
      <w:suppressAutoHyphens/>
      <w:spacing w:line="480" w:lineRule="auto"/>
      <w:ind w:hanging="504"/>
    </w:pPr>
    <w:r>
      <w:t xml:space="preserve"> 8</w:t>
    </w:r>
  </w:p>
  <w:p w:rsidR="00093B6C" w:rsidRDefault="00093B6C" w:rsidP="00093B6C">
    <w:pPr>
      <w:tabs>
        <w:tab w:val="left" w:pos="-720"/>
      </w:tabs>
      <w:suppressAutoHyphens/>
      <w:spacing w:line="480" w:lineRule="auto"/>
      <w:ind w:hanging="504"/>
    </w:pPr>
    <w:r>
      <w:t xml:space="preserve"> 9</w:t>
    </w:r>
  </w:p>
  <w:p w:rsidR="00093B6C" w:rsidRDefault="00093B6C" w:rsidP="00093B6C">
    <w:pPr>
      <w:tabs>
        <w:tab w:val="left" w:pos="-720"/>
      </w:tabs>
      <w:suppressAutoHyphens/>
      <w:spacing w:line="480" w:lineRule="auto"/>
      <w:ind w:hanging="504"/>
    </w:pPr>
    <w:r>
      <w:t>10</w:t>
    </w:r>
  </w:p>
  <w:p w:rsidR="00093B6C" w:rsidRDefault="00093B6C" w:rsidP="00093B6C">
    <w:pPr>
      <w:tabs>
        <w:tab w:val="left" w:pos="-720"/>
      </w:tabs>
      <w:suppressAutoHyphens/>
      <w:spacing w:line="480" w:lineRule="auto"/>
      <w:ind w:hanging="504"/>
    </w:pPr>
    <w:r>
      <w:t>11</w:t>
    </w:r>
  </w:p>
  <w:p w:rsidR="00093B6C" w:rsidRDefault="00093B6C" w:rsidP="00093B6C">
    <w:pPr>
      <w:tabs>
        <w:tab w:val="left" w:pos="-720"/>
      </w:tabs>
      <w:suppressAutoHyphens/>
      <w:spacing w:line="480" w:lineRule="auto"/>
      <w:ind w:hanging="504"/>
    </w:pPr>
    <w:r>
      <w:t>12</w:t>
    </w:r>
  </w:p>
  <w:p w:rsidR="00093B6C" w:rsidRDefault="00093B6C" w:rsidP="00093B6C">
    <w:pPr>
      <w:tabs>
        <w:tab w:val="left" w:pos="-720"/>
      </w:tabs>
      <w:suppressAutoHyphens/>
      <w:spacing w:line="480" w:lineRule="auto"/>
      <w:ind w:hanging="504"/>
    </w:pPr>
    <w:r>
      <w:t>13</w:t>
    </w:r>
  </w:p>
  <w:p w:rsidR="00093B6C" w:rsidRDefault="00093B6C" w:rsidP="00093B6C">
    <w:pPr>
      <w:tabs>
        <w:tab w:val="left" w:pos="-720"/>
      </w:tabs>
      <w:suppressAutoHyphens/>
      <w:spacing w:line="480" w:lineRule="auto"/>
      <w:ind w:hanging="504"/>
    </w:pPr>
    <w:r>
      <w:t>14</w:t>
    </w:r>
  </w:p>
  <w:p w:rsidR="00093B6C" w:rsidRDefault="00093B6C" w:rsidP="00093B6C">
    <w:pPr>
      <w:tabs>
        <w:tab w:val="left" w:pos="-720"/>
      </w:tabs>
      <w:suppressAutoHyphens/>
      <w:spacing w:line="480" w:lineRule="auto"/>
      <w:ind w:hanging="504"/>
    </w:pPr>
    <w:r>
      <w:t>15</w:t>
    </w:r>
  </w:p>
  <w:p w:rsidR="00093B6C" w:rsidRDefault="00093B6C" w:rsidP="00093B6C">
    <w:pPr>
      <w:tabs>
        <w:tab w:val="left" w:pos="-720"/>
      </w:tabs>
      <w:suppressAutoHyphens/>
      <w:spacing w:line="480" w:lineRule="auto"/>
      <w:ind w:hanging="504"/>
    </w:pPr>
    <w:r>
      <w:t>16</w:t>
    </w:r>
  </w:p>
  <w:p w:rsidR="00093B6C" w:rsidRDefault="00093B6C" w:rsidP="00093B6C">
    <w:pPr>
      <w:tabs>
        <w:tab w:val="left" w:pos="-720"/>
      </w:tabs>
      <w:suppressAutoHyphens/>
      <w:spacing w:line="480" w:lineRule="auto"/>
      <w:ind w:hanging="504"/>
    </w:pPr>
    <w:r>
      <w:t>17</w:t>
    </w:r>
  </w:p>
  <w:p w:rsidR="00093B6C" w:rsidRDefault="00093B6C" w:rsidP="00093B6C">
    <w:pPr>
      <w:tabs>
        <w:tab w:val="left" w:pos="-720"/>
      </w:tabs>
      <w:suppressAutoHyphens/>
      <w:spacing w:line="480" w:lineRule="auto"/>
      <w:ind w:hanging="504"/>
    </w:pPr>
    <w:r>
      <w:t>18</w:t>
    </w:r>
  </w:p>
  <w:p w:rsidR="00093B6C" w:rsidRDefault="00093B6C" w:rsidP="00093B6C">
    <w:pPr>
      <w:tabs>
        <w:tab w:val="left" w:pos="-720"/>
      </w:tabs>
      <w:suppressAutoHyphens/>
      <w:spacing w:line="480" w:lineRule="auto"/>
      <w:ind w:hanging="504"/>
    </w:pPr>
    <w:r>
      <w:t>19</w:t>
    </w:r>
  </w:p>
  <w:p w:rsidR="00093B6C" w:rsidRDefault="00093B6C" w:rsidP="00093B6C">
    <w:pPr>
      <w:tabs>
        <w:tab w:val="left" w:pos="-720"/>
      </w:tabs>
      <w:suppressAutoHyphens/>
      <w:spacing w:line="480" w:lineRule="auto"/>
      <w:ind w:hanging="504"/>
    </w:pPr>
    <w:r>
      <w:t>20</w:t>
    </w:r>
  </w:p>
  <w:p w:rsidR="00093B6C" w:rsidRDefault="00093B6C" w:rsidP="00093B6C">
    <w:pPr>
      <w:tabs>
        <w:tab w:val="left" w:pos="-720"/>
      </w:tabs>
      <w:suppressAutoHyphens/>
      <w:spacing w:line="480" w:lineRule="auto"/>
      <w:ind w:hanging="504"/>
    </w:pPr>
    <w:r>
      <w:t>21</w:t>
    </w:r>
  </w:p>
  <w:p w:rsidR="00093B6C" w:rsidRDefault="00093B6C" w:rsidP="00093B6C">
    <w:pPr>
      <w:tabs>
        <w:tab w:val="left" w:pos="-720"/>
      </w:tabs>
      <w:suppressAutoHyphens/>
      <w:spacing w:line="480" w:lineRule="auto"/>
      <w:ind w:hanging="504"/>
    </w:pPr>
    <w:r>
      <w:t>22</w:t>
    </w:r>
  </w:p>
  <w:p w:rsidR="00093B6C" w:rsidRDefault="00093B6C" w:rsidP="00093B6C">
    <w:pPr>
      <w:tabs>
        <w:tab w:val="left" w:pos="-720"/>
      </w:tabs>
      <w:suppressAutoHyphens/>
      <w:spacing w:line="480" w:lineRule="auto"/>
      <w:ind w:hanging="504"/>
    </w:pPr>
    <w:r>
      <w:t>23</w:t>
    </w:r>
  </w:p>
  <w:p w:rsidR="00093B6C" w:rsidRDefault="00093B6C" w:rsidP="00093B6C">
    <w:pPr>
      <w:pStyle w:val="Header"/>
    </w:pPr>
  </w:p>
  <w:p w:rsidR="00093B6C" w:rsidRDefault="00093B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FF" w:rsidRDefault="00AA2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A06"/>
    <w:multiLevelType w:val="multilevel"/>
    <w:tmpl w:val="929E2CF2"/>
    <w:lvl w:ilvl="0">
      <w:start w:val="1"/>
      <w:numFmt w:val="upperLetter"/>
      <w:pStyle w:val="Heading1"/>
      <w:lvlText w:val="%1."/>
      <w:lvlJc w:val="left"/>
      <w:pPr>
        <w:tabs>
          <w:tab w:val="num" w:pos="720"/>
        </w:tabs>
        <w:ind w:left="720" w:hanging="720"/>
      </w:pPr>
      <w:rPr>
        <w:rFonts w:ascii="Times New Roman" w:hAnsi="Times New Roman" w:hint="default"/>
        <w:b/>
        <w:i w:val="0"/>
        <w:sz w:val="24"/>
        <w:u w:val="none"/>
      </w:rPr>
    </w:lvl>
    <w:lvl w:ilvl="1">
      <w:start w:val="1"/>
      <w:numFmt w:val="decimal"/>
      <w:pStyle w:val="Heading2"/>
      <w:lvlText w:val="%2."/>
      <w:lvlJc w:val="left"/>
      <w:pPr>
        <w:tabs>
          <w:tab w:val="num" w:pos="1440"/>
        </w:tabs>
        <w:ind w:left="1440" w:hanging="720"/>
      </w:pPr>
      <w:rPr>
        <w:rFonts w:ascii="Times New Roman" w:hAnsi="Times New Roman" w:hint="default"/>
        <w:b/>
        <w:i w:val="0"/>
        <w:sz w:val="24"/>
        <w:u w:val="none"/>
      </w:rPr>
    </w:lvl>
    <w:lvl w:ilvl="2">
      <w:start w:val="1"/>
      <w:numFmt w:val="lowerLetter"/>
      <w:lvlText w:val="%3."/>
      <w:lvlJc w:val="left"/>
      <w:pPr>
        <w:tabs>
          <w:tab w:val="num" w:pos="1080"/>
        </w:tabs>
        <w:ind w:left="1080" w:hanging="360"/>
      </w:pPr>
    </w:lvl>
    <w:lvl w:ilvl="3">
      <w:start w:val="1"/>
      <w:numFmt w:val="low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
    <w:nsid w:val="2AEC5FFA"/>
    <w:multiLevelType w:val="multilevel"/>
    <w:tmpl w:val="CCBCD7CC"/>
    <w:lvl w:ilvl="0">
      <w:start w:val="1"/>
      <w:numFmt w:val="upperLetter"/>
      <w:lvlText w:val="%1."/>
      <w:lvlJc w:val="left"/>
      <w:pPr>
        <w:tabs>
          <w:tab w:val="num" w:pos="360"/>
        </w:tabs>
        <w:ind w:left="360" w:hanging="360"/>
      </w:pPr>
      <w:rPr>
        <w:rFonts w:ascii="Times New Roman" w:hAnsi="Times New Roman" w:hint="default"/>
        <w:b/>
        <w:i w:val="0"/>
        <w:sz w:val="24"/>
        <w:u w:val="none"/>
      </w:rPr>
    </w:lvl>
    <w:lvl w:ilvl="1">
      <w:start w:val="1"/>
      <w:numFmt w:val="decimal"/>
      <w:lvlText w:val="%2."/>
      <w:lvlJc w:val="left"/>
      <w:pPr>
        <w:tabs>
          <w:tab w:val="num" w:pos="720"/>
        </w:tabs>
        <w:ind w:left="720" w:hanging="360"/>
      </w:pPr>
      <w:rPr>
        <w:rFonts w:ascii="Times New Roman" w:hAnsi="Times New Roman" w:hint="default"/>
        <w:b/>
        <w:i w:val="0"/>
        <w:sz w:val="24"/>
        <w:u w:val="none"/>
      </w:rPr>
    </w:lvl>
    <w:lvl w:ilvl="2">
      <w:start w:val="1"/>
      <w:numFmt w:val="lowerLetter"/>
      <w:pStyle w:val="Heading3"/>
      <w:lvlText w:val="%3."/>
      <w:lvlJc w:val="left"/>
      <w:pPr>
        <w:tabs>
          <w:tab w:val="num" w:pos="2160"/>
        </w:tabs>
        <w:ind w:left="2160" w:hanging="720"/>
      </w:pPr>
    </w:lvl>
    <w:lvl w:ilvl="3">
      <w:start w:val="1"/>
      <w:numFmt w:val="lowerRoman"/>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040"/>
        </w:tabs>
        <w:ind w:left="5040" w:hanging="720"/>
      </w:pPr>
    </w:lvl>
    <w:lvl w:ilvl="8">
      <w:start w:val="1"/>
      <w:numFmt w:val="lowerRoman"/>
      <w:lvlText w:val="(%9)"/>
      <w:lvlJc w:val="left"/>
      <w:pPr>
        <w:tabs>
          <w:tab w:val="num" w:pos="5040"/>
        </w:tabs>
        <w:ind w:left="5040" w:hanging="720"/>
      </w:pPr>
    </w:lvl>
  </w:abstractNum>
  <w:abstractNum w:abstractNumId="2">
    <w:nsid w:val="515A3140"/>
    <w:multiLevelType w:val="multilevel"/>
    <w:tmpl w:val="3DD0D5DA"/>
    <w:lvl w:ilvl="0">
      <w:start w:val="1"/>
      <w:numFmt w:val="upperLetter"/>
      <w:lvlText w:val="%1."/>
      <w:lvlJc w:val="left"/>
      <w:pPr>
        <w:tabs>
          <w:tab w:val="num" w:pos="360"/>
        </w:tabs>
        <w:ind w:left="360" w:hanging="360"/>
      </w:pPr>
      <w:rPr>
        <w:rFonts w:ascii="Times New Roman" w:hAnsi="Times New Roman" w:hint="default"/>
        <w:b/>
        <w:i w:val="0"/>
        <w:sz w:val="24"/>
        <w:u w:val="none"/>
      </w:rPr>
    </w:lvl>
    <w:lvl w:ilvl="1">
      <w:start w:val="1"/>
      <w:numFmt w:val="decimal"/>
      <w:lvlText w:val="%2."/>
      <w:lvlJc w:val="left"/>
      <w:pPr>
        <w:tabs>
          <w:tab w:val="num" w:pos="720"/>
        </w:tabs>
        <w:ind w:left="720" w:hanging="360"/>
      </w:pPr>
      <w:rPr>
        <w:rFonts w:ascii="Times New Roman" w:hAnsi="Times New Roman" w:hint="default"/>
        <w:b/>
        <w:i w:val="0"/>
        <w:sz w:val="24"/>
        <w:u w:val="none"/>
      </w:r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040"/>
        </w:tabs>
        <w:ind w:left="5040" w:hanging="720"/>
      </w:pPr>
    </w:lvl>
    <w:lvl w:ilvl="8">
      <w:start w:val="1"/>
      <w:numFmt w:val="lowerRoman"/>
      <w:lvlText w:val="(%9)"/>
      <w:lvlJc w:val="left"/>
      <w:pPr>
        <w:tabs>
          <w:tab w:val="num" w:pos="5040"/>
        </w:tabs>
        <w:ind w:left="504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idden" w:val="False"/>
    <w:docVar w:name="SmartPaste" w:val="False"/>
  </w:docVars>
  <w:rsids>
    <w:rsidRoot w:val="00093B6C"/>
    <w:rsid w:val="00093B6C"/>
    <w:rsid w:val="002A66E3"/>
    <w:rsid w:val="002C25E7"/>
    <w:rsid w:val="003C42D7"/>
    <w:rsid w:val="00AA2AFF"/>
    <w:rsid w:val="00BC6353"/>
    <w:rsid w:val="00C61C4F"/>
    <w:rsid w:val="00D177E8"/>
    <w:rsid w:val="00ED230E"/>
    <w:rsid w:val="00F6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3"/>
      </w:numPr>
      <w:spacing w:after="240"/>
      <w:outlineLvl w:val="0"/>
    </w:pPr>
    <w:rPr>
      <w:b/>
      <w:caps/>
      <w:kern w:val="28"/>
      <w:u w:val="single"/>
    </w:rPr>
  </w:style>
  <w:style w:type="paragraph" w:styleId="Heading2">
    <w:name w:val="heading 2"/>
    <w:basedOn w:val="Normal"/>
    <w:next w:val="Normal"/>
    <w:qFormat/>
    <w:pPr>
      <w:keepNext/>
      <w:numPr>
        <w:ilvl w:val="1"/>
        <w:numId w:val="3"/>
      </w:numPr>
      <w:spacing w:after="240"/>
      <w:outlineLvl w:val="1"/>
    </w:pPr>
    <w:rPr>
      <w:b/>
      <w:caps/>
    </w:rPr>
  </w:style>
  <w:style w:type="paragraph" w:styleId="Heading3">
    <w:name w:val="heading 3"/>
    <w:basedOn w:val="Normal"/>
    <w:next w:val="Normal"/>
    <w:qFormat/>
    <w:pPr>
      <w:keepNext/>
      <w:numPr>
        <w:ilvl w:val="2"/>
        <w:numId w:val="2"/>
      </w:numPr>
      <w:spacing w:after="240"/>
      <w:outlineLvl w:val="2"/>
    </w:pPr>
  </w:style>
  <w:style w:type="paragraph" w:styleId="Heading4">
    <w:name w:val="heading 4"/>
    <w:basedOn w:val="Normal"/>
    <w:next w:val="Normal"/>
    <w:qFormat/>
    <w:pPr>
      <w:keepNext/>
      <w:numPr>
        <w:ilvl w:val="3"/>
        <w:numId w:val="2"/>
      </w:numPr>
      <w:spacing w:after="240"/>
      <w:outlineLvl w:val="3"/>
    </w:pPr>
  </w:style>
  <w:style w:type="paragraph" w:styleId="Heading5">
    <w:name w:val="heading 5"/>
    <w:basedOn w:val="Normal"/>
    <w:next w:val="Normal"/>
    <w:qFormat/>
    <w:pPr>
      <w:numPr>
        <w:ilvl w:val="4"/>
        <w:numId w:val="2"/>
      </w:numPr>
      <w:spacing w:after="240"/>
      <w:outlineLvl w:val="4"/>
    </w:pPr>
  </w:style>
  <w:style w:type="paragraph" w:styleId="Heading6">
    <w:name w:val="heading 6"/>
    <w:basedOn w:val="Normal"/>
    <w:next w:val="Normal"/>
    <w:qFormat/>
    <w:pPr>
      <w:numPr>
        <w:ilvl w:val="5"/>
        <w:numId w:val="2"/>
      </w:num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widowControl w:val="0"/>
      <w:tabs>
        <w:tab w:val="center" w:pos="4320"/>
        <w:tab w:val="right" w:pos="8640"/>
      </w:tabs>
    </w:pPr>
  </w:style>
  <w:style w:type="paragraph" w:styleId="EndnoteText">
    <w:name w:val="endnote text"/>
    <w:basedOn w:val="Normal"/>
    <w:semiHidden/>
    <w:pPr>
      <w:widowControl w:val="0"/>
    </w:pPr>
  </w:style>
  <w:style w:type="paragraph" w:styleId="TOC9">
    <w:name w:val="toc 9"/>
    <w:basedOn w:val="Normal"/>
    <w:next w:val="Normal"/>
    <w:autoRedefine/>
    <w:semiHidden/>
    <w:pPr>
      <w:tabs>
        <w:tab w:val="right" w:leader="dot" w:pos="7200"/>
      </w:tabs>
      <w:suppressAutoHyphens/>
      <w:spacing w:after="240"/>
      <w:ind w:left="2592" w:hanging="288"/>
    </w:pPr>
  </w:style>
  <w:style w:type="character" w:styleId="PageNumber">
    <w:name w:val="page number"/>
    <w:basedOn w:val="DefaultParagraphFont"/>
  </w:style>
  <w:style w:type="paragraph" w:styleId="TOC1">
    <w:name w:val="toc 1"/>
    <w:basedOn w:val="Normal"/>
    <w:next w:val="Normal"/>
    <w:autoRedefine/>
    <w:semiHidden/>
    <w:pPr>
      <w:tabs>
        <w:tab w:val="right" w:leader="dot" w:pos="7200"/>
      </w:tabs>
      <w:spacing w:after="240"/>
      <w:ind w:left="720" w:hanging="720"/>
    </w:pPr>
    <w:rPr>
      <w:caps/>
    </w:rPr>
  </w:style>
  <w:style w:type="paragraph" w:styleId="TOC2">
    <w:name w:val="toc 2"/>
    <w:basedOn w:val="Normal"/>
    <w:next w:val="Normal"/>
    <w:autoRedefine/>
    <w:semiHidden/>
    <w:pPr>
      <w:tabs>
        <w:tab w:val="right" w:leader="dot" w:pos="7200"/>
      </w:tabs>
      <w:suppressAutoHyphens/>
      <w:spacing w:after="240"/>
      <w:ind w:left="1440" w:hanging="720"/>
    </w:pPr>
    <w:rPr>
      <w:caps/>
    </w:rPr>
  </w:style>
  <w:style w:type="paragraph" w:styleId="TOC3">
    <w:name w:val="toc 3"/>
    <w:basedOn w:val="Normal"/>
    <w:next w:val="Normal"/>
    <w:autoRedefine/>
    <w:semiHidden/>
    <w:pPr>
      <w:tabs>
        <w:tab w:val="right" w:leader="dot" w:pos="7200"/>
      </w:tabs>
      <w:suppressAutoHyphens/>
      <w:spacing w:after="240"/>
      <w:ind w:left="2160" w:hanging="720"/>
    </w:pPr>
  </w:style>
  <w:style w:type="paragraph" w:styleId="TOC4">
    <w:name w:val="toc 4"/>
    <w:basedOn w:val="Normal"/>
    <w:next w:val="Normal"/>
    <w:autoRedefine/>
    <w:semiHidden/>
    <w:pPr>
      <w:tabs>
        <w:tab w:val="right" w:leader="dot" w:pos="7200"/>
      </w:tabs>
      <w:suppressAutoHyphens/>
      <w:spacing w:after="240"/>
      <w:ind w:left="2880" w:hanging="720"/>
    </w:pPr>
  </w:style>
  <w:style w:type="paragraph" w:styleId="TOC5">
    <w:name w:val="toc 5"/>
    <w:basedOn w:val="Normal"/>
    <w:next w:val="Normal"/>
    <w:autoRedefine/>
    <w:semiHidden/>
    <w:pPr>
      <w:tabs>
        <w:tab w:val="right" w:leader="dot" w:pos="7200"/>
      </w:tabs>
      <w:suppressAutoHyphens/>
      <w:spacing w:after="240"/>
      <w:ind w:left="3600" w:hanging="720"/>
    </w:pPr>
  </w:style>
  <w:style w:type="paragraph" w:styleId="TOC6">
    <w:name w:val="toc 6"/>
    <w:basedOn w:val="Normal"/>
    <w:next w:val="Normal"/>
    <w:autoRedefine/>
    <w:semiHidden/>
    <w:pPr>
      <w:tabs>
        <w:tab w:val="right" w:leader="dot" w:pos="7200"/>
      </w:tabs>
      <w:suppressAutoHyphens/>
      <w:spacing w:after="240"/>
      <w:ind w:left="4320" w:hanging="720"/>
    </w:pPr>
  </w:style>
  <w:style w:type="paragraph" w:styleId="TOC7">
    <w:name w:val="toc 7"/>
    <w:basedOn w:val="Normal"/>
    <w:next w:val="Normal"/>
    <w:autoRedefine/>
    <w:semiHidden/>
    <w:pPr>
      <w:tabs>
        <w:tab w:val="right" w:leader="dot" w:pos="7200"/>
      </w:tabs>
      <w:suppressAutoHyphens/>
      <w:spacing w:after="240"/>
      <w:ind w:left="2016" w:hanging="288"/>
    </w:pPr>
  </w:style>
  <w:style w:type="paragraph" w:styleId="TOC8">
    <w:name w:val="toc 8"/>
    <w:basedOn w:val="Normal"/>
    <w:next w:val="Normal"/>
    <w:autoRedefine/>
    <w:semiHidden/>
    <w:pPr>
      <w:tabs>
        <w:tab w:val="right" w:leader="dot" w:pos="7200"/>
      </w:tabs>
      <w:suppressAutoHyphens/>
      <w:spacing w:after="240"/>
      <w:ind w:left="2304" w:hanging="288"/>
    </w:pPr>
  </w:style>
  <w:style w:type="paragraph" w:styleId="TableofAuthorities">
    <w:name w:val="table of authorities"/>
    <w:basedOn w:val="Normal"/>
    <w:next w:val="Normal"/>
    <w:semiHidden/>
    <w:pPr>
      <w:tabs>
        <w:tab w:val="right" w:leader="dot" w:pos="7200"/>
      </w:tabs>
      <w:spacing w:after="240"/>
      <w:ind w:left="720" w:hanging="720"/>
    </w:pPr>
  </w:style>
  <w:style w:type="paragraph" w:styleId="TOAHeading">
    <w:name w:val="toa heading"/>
    <w:basedOn w:val="Normal"/>
    <w:next w:val="Normal"/>
    <w:semiHidden/>
  </w:style>
  <w:style w:type="paragraph" w:styleId="FootnoteText">
    <w:name w:val="footnote text"/>
    <w:basedOn w:val="Normal"/>
    <w:link w:val="FootnoteTextChar"/>
    <w:pPr>
      <w:widowControl w:val="0"/>
    </w:pPr>
  </w:style>
  <w:style w:type="character" w:styleId="FootnoteReference">
    <w:name w:val="footnote reference"/>
    <w:basedOn w:val="DefaultParagraphFont"/>
    <w:rPr>
      <w:vertAlign w:val="superscript"/>
    </w:rPr>
  </w:style>
  <w:style w:type="character" w:customStyle="1" w:styleId="HeaderChar">
    <w:name w:val="Header Char"/>
    <w:basedOn w:val="DefaultParagraphFont"/>
    <w:link w:val="Header"/>
    <w:rsid w:val="00093B6C"/>
    <w:rPr>
      <w:sz w:val="24"/>
    </w:rPr>
  </w:style>
  <w:style w:type="character" w:styleId="Hyperlink">
    <w:name w:val="Hyperlink"/>
    <w:basedOn w:val="DefaultParagraphFont"/>
    <w:rsid w:val="00093B6C"/>
    <w:rPr>
      <w:color w:val="0000FF" w:themeColor="hyperlink"/>
      <w:u w:val="single"/>
    </w:rPr>
  </w:style>
  <w:style w:type="character" w:customStyle="1" w:styleId="FootnoteTextChar">
    <w:name w:val="Footnote Text Char"/>
    <w:basedOn w:val="DefaultParagraphFont"/>
    <w:link w:val="FootnoteText"/>
    <w:rsid w:val="00093B6C"/>
    <w:rPr>
      <w:sz w:val="24"/>
    </w:rPr>
  </w:style>
  <w:style w:type="paragraph" w:styleId="BalloonText">
    <w:name w:val="Balloon Text"/>
    <w:basedOn w:val="Normal"/>
    <w:link w:val="BalloonTextChar"/>
    <w:rsid w:val="00AA2AFF"/>
    <w:rPr>
      <w:rFonts w:ascii="Tahoma" w:hAnsi="Tahoma" w:cs="Tahoma"/>
      <w:sz w:val="16"/>
      <w:szCs w:val="16"/>
    </w:rPr>
  </w:style>
  <w:style w:type="character" w:customStyle="1" w:styleId="BalloonTextChar">
    <w:name w:val="Balloon Text Char"/>
    <w:basedOn w:val="DefaultParagraphFont"/>
    <w:link w:val="BalloonText"/>
    <w:rsid w:val="00AA2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3"/>
      </w:numPr>
      <w:spacing w:after="240"/>
      <w:outlineLvl w:val="0"/>
    </w:pPr>
    <w:rPr>
      <w:b/>
      <w:caps/>
      <w:kern w:val="28"/>
      <w:u w:val="single"/>
    </w:rPr>
  </w:style>
  <w:style w:type="paragraph" w:styleId="Heading2">
    <w:name w:val="heading 2"/>
    <w:basedOn w:val="Normal"/>
    <w:next w:val="Normal"/>
    <w:qFormat/>
    <w:pPr>
      <w:keepNext/>
      <w:numPr>
        <w:ilvl w:val="1"/>
        <w:numId w:val="3"/>
      </w:numPr>
      <w:spacing w:after="240"/>
      <w:outlineLvl w:val="1"/>
    </w:pPr>
    <w:rPr>
      <w:b/>
      <w:caps/>
    </w:rPr>
  </w:style>
  <w:style w:type="paragraph" w:styleId="Heading3">
    <w:name w:val="heading 3"/>
    <w:basedOn w:val="Normal"/>
    <w:next w:val="Normal"/>
    <w:qFormat/>
    <w:pPr>
      <w:keepNext/>
      <w:numPr>
        <w:ilvl w:val="2"/>
        <w:numId w:val="2"/>
      </w:numPr>
      <w:spacing w:after="240"/>
      <w:outlineLvl w:val="2"/>
    </w:pPr>
  </w:style>
  <w:style w:type="paragraph" w:styleId="Heading4">
    <w:name w:val="heading 4"/>
    <w:basedOn w:val="Normal"/>
    <w:next w:val="Normal"/>
    <w:qFormat/>
    <w:pPr>
      <w:keepNext/>
      <w:numPr>
        <w:ilvl w:val="3"/>
        <w:numId w:val="2"/>
      </w:numPr>
      <w:spacing w:after="240"/>
      <w:outlineLvl w:val="3"/>
    </w:pPr>
  </w:style>
  <w:style w:type="paragraph" w:styleId="Heading5">
    <w:name w:val="heading 5"/>
    <w:basedOn w:val="Normal"/>
    <w:next w:val="Normal"/>
    <w:qFormat/>
    <w:pPr>
      <w:numPr>
        <w:ilvl w:val="4"/>
        <w:numId w:val="2"/>
      </w:numPr>
      <w:spacing w:after="240"/>
      <w:outlineLvl w:val="4"/>
    </w:pPr>
  </w:style>
  <w:style w:type="paragraph" w:styleId="Heading6">
    <w:name w:val="heading 6"/>
    <w:basedOn w:val="Normal"/>
    <w:next w:val="Normal"/>
    <w:qFormat/>
    <w:pPr>
      <w:numPr>
        <w:ilvl w:val="5"/>
        <w:numId w:val="2"/>
      </w:num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widowControl w:val="0"/>
      <w:tabs>
        <w:tab w:val="center" w:pos="4320"/>
        <w:tab w:val="right" w:pos="8640"/>
      </w:tabs>
    </w:pPr>
  </w:style>
  <w:style w:type="paragraph" w:styleId="EndnoteText">
    <w:name w:val="endnote text"/>
    <w:basedOn w:val="Normal"/>
    <w:semiHidden/>
    <w:pPr>
      <w:widowControl w:val="0"/>
    </w:pPr>
  </w:style>
  <w:style w:type="paragraph" w:styleId="TOC9">
    <w:name w:val="toc 9"/>
    <w:basedOn w:val="Normal"/>
    <w:next w:val="Normal"/>
    <w:autoRedefine/>
    <w:semiHidden/>
    <w:pPr>
      <w:tabs>
        <w:tab w:val="right" w:leader="dot" w:pos="7200"/>
      </w:tabs>
      <w:suppressAutoHyphens/>
      <w:spacing w:after="240"/>
      <w:ind w:left="2592" w:hanging="288"/>
    </w:pPr>
  </w:style>
  <w:style w:type="character" w:styleId="PageNumber">
    <w:name w:val="page number"/>
    <w:basedOn w:val="DefaultParagraphFont"/>
  </w:style>
  <w:style w:type="paragraph" w:styleId="TOC1">
    <w:name w:val="toc 1"/>
    <w:basedOn w:val="Normal"/>
    <w:next w:val="Normal"/>
    <w:autoRedefine/>
    <w:semiHidden/>
    <w:pPr>
      <w:tabs>
        <w:tab w:val="right" w:leader="dot" w:pos="7200"/>
      </w:tabs>
      <w:spacing w:after="240"/>
      <w:ind w:left="720" w:hanging="720"/>
    </w:pPr>
    <w:rPr>
      <w:caps/>
    </w:rPr>
  </w:style>
  <w:style w:type="paragraph" w:styleId="TOC2">
    <w:name w:val="toc 2"/>
    <w:basedOn w:val="Normal"/>
    <w:next w:val="Normal"/>
    <w:autoRedefine/>
    <w:semiHidden/>
    <w:pPr>
      <w:tabs>
        <w:tab w:val="right" w:leader="dot" w:pos="7200"/>
      </w:tabs>
      <w:suppressAutoHyphens/>
      <w:spacing w:after="240"/>
      <w:ind w:left="1440" w:hanging="720"/>
    </w:pPr>
    <w:rPr>
      <w:caps/>
    </w:rPr>
  </w:style>
  <w:style w:type="paragraph" w:styleId="TOC3">
    <w:name w:val="toc 3"/>
    <w:basedOn w:val="Normal"/>
    <w:next w:val="Normal"/>
    <w:autoRedefine/>
    <w:semiHidden/>
    <w:pPr>
      <w:tabs>
        <w:tab w:val="right" w:leader="dot" w:pos="7200"/>
      </w:tabs>
      <w:suppressAutoHyphens/>
      <w:spacing w:after="240"/>
      <w:ind w:left="2160" w:hanging="720"/>
    </w:pPr>
  </w:style>
  <w:style w:type="paragraph" w:styleId="TOC4">
    <w:name w:val="toc 4"/>
    <w:basedOn w:val="Normal"/>
    <w:next w:val="Normal"/>
    <w:autoRedefine/>
    <w:semiHidden/>
    <w:pPr>
      <w:tabs>
        <w:tab w:val="right" w:leader="dot" w:pos="7200"/>
      </w:tabs>
      <w:suppressAutoHyphens/>
      <w:spacing w:after="240"/>
      <w:ind w:left="2880" w:hanging="720"/>
    </w:pPr>
  </w:style>
  <w:style w:type="paragraph" w:styleId="TOC5">
    <w:name w:val="toc 5"/>
    <w:basedOn w:val="Normal"/>
    <w:next w:val="Normal"/>
    <w:autoRedefine/>
    <w:semiHidden/>
    <w:pPr>
      <w:tabs>
        <w:tab w:val="right" w:leader="dot" w:pos="7200"/>
      </w:tabs>
      <w:suppressAutoHyphens/>
      <w:spacing w:after="240"/>
      <w:ind w:left="3600" w:hanging="720"/>
    </w:pPr>
  </w:style>
  <w:style w:type="paragraph" w:styleId="TOC6">
    <w:name w:val="toc 6"/>
    <w:basedOn w:val="Normal"/>
    <w:next w:val="Normal"/>
    <w:autoRedefine/>
    <w:semiHidden/>
    <w:pPr>
      <w:tabs>
        <w:tab w:val="right" w:leader="dot" w:pos="7200"/>
      </w:tabs>
      <w:suppressAutoHyphens/>
      <w:spacing w:after="240"/>
      <w:ind w:left="4320" w:hanging="720"/>
    </w:pPr>
  </w:style>
  <w:style w:type="paragraph" w:styleId="TOC7">
    <w:name w:val="toc 7"/>
    <w:basedOn w:val="Normal"/>
    <w:next w:val="Normal"/>
    <w:autoRedefine/>
    <w:semiHidden/>
    <w:pPr>
      <w:tabs>
        <w:tab w:val="right" w:leader="dot" w:pos="7200"/>
      </w:tabs>
      <w:suppressAutoHyphens/>
      <w:spacing w:after="240"/>
      <w:ind w:left="2016" w:hanging="288"/>
    </w:pPr>
  </w:style>
  <w:style w:type="paragraph" w:styleId="TOC8">
    <w:name w:val="toc 8"/>
    <w:basedOn w:val="Normal"/>
    <w:next w:val="Normal"/>
    <w:autoRedefine/>
    <w:semiHidden/>
    <w:pPr>
      <w:tabs>
        <w:tab w:val="right" w:leader="dot" w:pos="7200"/>
      </w:tabs>
      <w:suppressAutoHyphens/>
      <w:spacing w:after="240"/>
      <w:ind w:left="2304" w:hanging="288"/>
    </w:pPr>
  </w:style>
  <w:style w:type="paragraph" w:styleId="TableofAuthorities">
    <w:name w:val="table of authorities"/>
    <w:basedOn w:val="Normal"/>
    <w:next w:val="Normal"/>
    <w:semiHidden/>
    <w:pPr>
      <w:tabs>
        <w:tab w:val="right" w:leader="dot" w:pos="7200"/>
      </w:tabs>
      <w:spacing w:after="240"/>
      <w:ind w:left="720" w:hanging="720"/>
    </w:pPr>
  </w:style>
  <w:style w:type="paragraph" w:styleId="TOAHeading">
    <w:name w:val="toa heading"/>
    <w:basedOn w:val="Normal"/>
    <w:next w:val="Normal"/>
    <w:semiHidden/>
  </w:style>
  <w:style w:type="paragraph" w:styleId="FootnoteText">
    <w:name w:val="footnote text"/>
    <w:basedOn w:val="Normal"/>
    <w:link w:val="FootnoteTextChar"/>
    <w:pPr>
      <w:widowControl w:val="0"/>
    </w:pPr>
  </w:style>
  <w:style w:type="character" w:styleId="FootnoteReference">
    <w:name w:val="footnote reference"/>
    <w:basedOn w:val="DefaultParagraphFont"/>
    <w:rPr>
      <w:vertAlign w:val="superscript"/>
    </w:rPr>
  </w:style>
  <w:style w:type="character" w:customStyle="1" w:styleId="HeaderChar">
    <w:name w:val="Header Char"/>
    <w:basedOn w:val="DefaultParagraphFont"/>
    <w:link w:val="Header"/>
    <w:rsid w:val="00093B6C"/>
    <w:rPr>
      <w:sz w:val="24"/>
    </w:rPr>
  </w:style>
  <w:style w:type="character" w:styleId="Hyperlink">
    <w:name w:val="Hyperlink"/>
    <w:basedOn w:val="DefaultParagraphFont"/>
    <w:rsid w:val="00093B6C"/>
    <w:rPr>
      <w:color w:val="0000FF" w:themeColor="hyperlink"/>
      <w:u w:val="single"/>
    </w:rPr>
  </w:style>
  <w:style w:type="character" w:customStyle="1" w:styleId="FootnoteTextChar">
    <w:name w:val="Footnote Text Char"/>
    <w:basedOn w:val="DefaultParagraphFont"/>
    <w:link w:val="FootnoteText"/>
    <w:rsid w:val="00093B6C"/>
    <w:rPr>
      <w:sz w:val="24"/>
    </w:rPr>
  </w:style>
  <w:style w:type="paragraph" w:styleId="BalloonText">
    <w:name w:val="Balloon Text"/>
    <w:basedOn w:val="Normal"/>
    <w:link w:val="BalloonTextChar"/>
    <w:rsid w:val="00AA2AFF"/>
    <w:rPr>
      <w:rFonts w:ascii="Tahoma" w:hAnsi="Tahoma" w:cs="Tahoma"/>
      <w:sz w:val="16"/>
      <w:szCs w:val="16"/>
    </w:rPr>
  </w:style>
  <w:style w:type="character" w:customStyle="1" w:styleId="BalloonTextChar">
    <w:name w:val="Balloon Text Char"/>
    <w:basedOn w:val="DefaultParagraphFont"/>
    <w:link w:val="BalloonText"/>
    <w:rsid w:val="00AA2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ingcounty.gov/depts/transportation/roads/contract-c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2015-10-16T07:00:00+00:00</Date1>
    <IsDocumentOrder xmlns="dc463f71-b30c-4ab2-9473-d307f9d35888" xsi:nil="true"/>
    <IsHighlyConfidential xmlns="dc463f71-b30c-4ab2-9473-d307f9d35888">false</IsHighlyConfidential>
    <CaseCompanyNames xmlns="dc463f71-b30c-4ab2-9473-d307f9d35888">City of Woodinville</CaseCompanyNames>
    <DocketNumber xmlns="dc463f71-b30c-4ab2-9473-d307f9d35888">143902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DA96355AB3CE4BB24C8503C0E6F6FF" ma:contentTypeVersion="175" ma:contentTypeDescription="" ma:contentTypeScope="" ma:versionID="40fc06686d94615064fcc94f3938ed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E88297-0DC8-4D08-8240-DAE745DB7415}"/>
</file>

<file path=customXml/itemProps2.xml><?xml version="1.0" encoding="utf-8"?>
<ds:datastoreItem xmlns:ds="http://schemas.openxmlformats.org/officeDocument/2006/customXml" ds:itemID="{4F0D63FA-7270-4CDD-AAB7-9469937C4AE1}"/>
</file>

<file path=customXml/itemProps3.xml><?xml version="1.0" encoding="utf-8"?>
<ds:datastoreItem xmlns:ds="http://schemas.openxmlformats.org/officeDocument/2006/customXml" ds:itemID="{882A3592-C39F-47AB-BD61-43DE726A8FD2}"/>
</file>

<file path=customXml/itemProps4.xml><?xml version="1.0" encoding="utf-8"?>
<ds:datastoreItem xmlns:ds="http://schemas.openxmlformats.org/officeDocument/2006/customXml" ds:itemID="{B8FFB2ED-F567-41E3-A31F-3E6935E201D8}"/>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3719</Characters>
  <Application>Microsoft Office Word</Application>
  <DocSecurity>0</DocSecurity>
  <Lines>30</Lines>
  <Paragraphs>8</Paragraphs>
  <ScaleCrop>false</ScaleCrop>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2015-10-16T20:51:00Z</dcterms:created>
  <dcterms:modified xsi:type="dcterms:W3CDTF">2015-10-16T20:51:00Z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0x0101006E56B4D1795A2E4DB2F0B01679ED314A0056DA96355AB3CE4BB24C8503C0E6F6FF</vt:lpwstr>
  </property>
  <property fmtid="{D5CDD505-2E9C-101B-9397-08002B2CF9AE}" pid="3" name="_docset_NoMedatataSyncRequired">
    <vt:lpwstr>False</vt:lpwstr>
  </property>
</Properties>
</file>