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6A5F9" w14:textId="77777777" w:rsidR="00295601" w:rsidRPr="006406DE" w:rsidRDefault="00295601">
      <w:pPr>
        <w:pStyle w:val="BodyText"/>
        <w:jc w:val="center"/>
        <w:rPr>
          <w:b/>
          <w:bCs/>
        </w:rPr>
      </w:pPr>
      <w:r w:rsidRPr="006406DE">
        <w:rPr>
          <w:b/>
          <w:bCs/>
        </w:rPr>
        <w:t>BEFORE THE WASHINGTON STATE</w:t>
      </w:r>
    </w:p>
    <w:p w14:paraId="3786A5FA" w14:textId="77777777" w:rsidR="00295601" w:rsidRPr="006406DE" w:rsidRDefault="00295601">
      <w:pPr>
        <w:pStyle w:val="BodyText"/>
        <w:jc w:val="center"/>
        <w:rPr>
          <w:b/>
          <w:bCs/>
        </w:rPr>
      </w:pPr>
      <w:r w:rsidRPr="006406DE">
        <w:rPr>
          <w:b/>
          <w:bCs/>
        </w:rPr>
        <w:t xml:space="preserve">UTILITIES AND TRANSPORTATION </w:t>
      </w:r>
      <w:r w:rsidR="00542E9B">
        <w:rPr>
          <w:b/>
          <w:bCs/>
        </w:rPr>
        <w:t>COMMISSION</w:t>
      </w:r>
    </w:p>
    <w:p w14:paraId="3786A5FB" w14:textId="77777777" w:rsidR="00295601" w:rsidRPr="006406DE" w:rsidRDefault="00295601">
      <w:pPr>
        <w:pStyle w:val="BodyText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08"/>
        <w:gridCol w:w="500"/>
        <w:gridCol w:w="4048"/>
      </w:tblGrid>
      <w:tr w:rsidR="00295601" w:rsidRPr="006406DE" w14:paraId="3786A612" w14:textId="77777777">
        <w:tc>
          <w:tcPr>
            <w:tcW w:w="4308" w:type="dxa"/>
          </w:tcPr>
          <w:p w14:paraId="3786A5FC" w14:textId="77777777" w:rsidR="00295601" w:rsidRPr="006406DE" w:rsidRDefault="00A0742C">
            <w:pPr>
              <w:rPr>
                <w:bCs/>
              </w:rPr>
            </w:pPr>
            <w:r w:rsidRPr="006406DE">
              <w:rPr>
                <w:bCs/>
              </w:rPr>
              <w:t>In the Matter of the Petition of</w:t>
            </w:r>
            <w:r w:rsidR="00295601" w:rsidRPr="006406DE">
              <w:rPr>
                <w:bCs/>
              </w:rPr>
              <w:t xml:space="preserve"> </w:t>
            </w:r>
          </w:p>
          <w:p w14:paraId="3786A5FD" w14:textId="77777777" w:rsidR="00295601" w:rsidRPr="006406DE" w:rsidRDefault="00295601">
            <w:pPr>
              <w:rPr>
                <w:bCs/>
              </w:rPr>
            </w:pPr>
          </w:p>
          <w:p w14:paraId="3786A5FE" w14:textId="18474FE0" w:rsidR="00F0693C" w:rsidRPr="00542E9B" w:rsidRDefault="00542E9B" w:rsidP="00A0742C">
            <w:pPr>
              <w:rPr>
                <w:bCs/>
                <w:caps/>
              </w:rPr>
            </w:pPr>
            <w:r w:rsidRPr="00542E9B">
              <w:rPr>
                <w:bCs/>
                <w:caps/>
              </w:rPr>
              <w:t>New Cingular Wireless PCS, LLC and AT&amp;T Mobility Wireless Operations Holdings, Inc.</w:t>
            </w:r>
            <w:r w:rsidR="00A144FD">
              <w:rPr>
                <w:bCs/>
                <w:caps/>
              </w:rPr>
              <w:t xml:space="preserve"> (collectively “AT&amp;T Mobility”)</w:t>
            </w:r>
          </w:p>
          <w:p w14:paraId="3786A5FF" w14:textId="77777777" w:rsidR="007818F9" w:rsidRPr="006406DE" w:rsidRDefault="007818F9" w:rsidP="00A0742C">
            <w:pPr>
              <w:rPr>
                <w:bCs/>
              </w:rPr>
            </w:pPr>
          </w:p>
          <w:p w14:paraId="3786A600" w14:textId="77777777" w:rsidR="00295601" w:rsidRPr="006406DE" w:rsidRDefault="00295601">
            <w:pPr>
              <w:rPr>
                <w:bCs/>
              </w:rPr>
            </w:pPr>
            <w:r w:rsidRPr="006406DE">
              <w:rPr>
                <w:bCs/>
              </w:rPr>
              <w:t xml:space="preserve">               </w:t>
            </w:r>
            <w:r w:rsidR="00CA6CCC" w:rsidRPr="006406DE">
              <w:fldChar w:fldCharType="begin"/>
            </w:r>
            <w:r w:rsidR="002C405B" w:rsidRPr="006406DE">
              <w:instrText xml:space="preserve"> ASK company1_name "Enter Full Company 1 Name</w:instrText>
            </w:r>
            <w:r w:rsidR="00CA6CCC" w:rsidRPr="006406DE">
              <w:fldChar w:fldCharType="separate"/>
            </w:r>
            <w:bookmarkStart w:id="0" w:name="company1_name"/>
            <w:r w:rsidR="007F5215" w:rsidRPr="006406DE">
              <w:t>RCC Minnesota, Inc.</w:t>
            </w:r>
            <w:bookmarkEnd w:id="0"/>
            <w:r w:rsidR="00CA6CCC" w:rsidRPr="006406DE">
              <w:fldChar w:fldCharType="end"/>
            </w:r>
            <w:r w:rsidRPr="006406DE">
              <w:rPr>
                <w:bCs/>
              </w:rPr>
              <w:t xml:space="preserve"> </w:t>
            </w:r>
          </w:p>
          <w:p w14:paraId="3786A601" w14:textId="629846D2" w:rsidR="00295601" w:rsidRPr="006406DE" w:rsidRDefault="002B39B8">
            <w:pPr>
              <w:pStyle w:val="Header"/>
              <w:tabs>
                <w:tab w:val="clear" w:pos="8300"/>
              </w:tabs>
              <w:rPr>
                <w:bCs/>
              </w:rPr>
            </w:pPr>
            <w:r>
              <w:rPr>
                <w:bCs/>
              </w:rPr>
              <w:t xml:space="preserve">For Permanent Waiver or in the Alternate a Temporary Waiver of WAC 480-123-070(6) </w:t>
            </w:r>
            <w:r w:rsidR="00B717A3">
              <w:rPr>
                <w:bCs/>
              </w:rPr>
              <w:t xml:space="preserve">[and WAC 480-123-030(1)(g)] </w:t>
            </w:r>
            <w:r>
              <w:rPr>
                <w:bCs/>
              </w:rPr>
              <w:t xml:space="preserve">Regarding </w:t>
            </w:r>
            <w:proofErr w:type="spellStart"/>
            <w:r>
              <w:rPr>
                <w:bCs/>
              </w:rPr>
              <w:t>Eligibile</w:t>
            </w:r>
            <w:proofErr w:type="spellEnd"/>
            <w:r>
              <w:rPr>
                <w:bCs/>
              </w:rPr>
              <w:t xml:space="preserve"> Telecommunications Carrier Requirements</w:t>
            </w:r>
          </w:p>
          <w:p w14:paraId="3786A602" w14:textId="77777777" w:rsidR="00295601" w:rsidRPr="006406DE" w:rsidRDefault="00295601" w:rsidP="00E365AC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6406DE">
              <w:rPr>
                <w:bCs/>
              </w:rPr>
              <w:t xml:space="preserve"> . . . . . . . . . . . . . . . . . . . . . . . . . . . . . . .</w:t>
            </w:r>
          </w:p>
        </w:tc>
        <w:tc>
          <w:tcPr>
            <w:tcW w:w="500" w:type="dxa"/>
          </w:tcPr>
          <w:p w14:paraId="3786A603" w14:textId="77777777" w:rsidR="00B0441A" w:rsidRPr="006406DE" w:rsidRDefault="00A0742C" w:rsidP="00A0742C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 w:rsidRPr="006406DE">
              <w:rPr>
                <w:bCs/>
              </w:rPr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</w:r>
            <w:r w:rsidR="00B0441A" w:rsidRPr="006406DE">
              <w:rPr>
                <w:bCs/>
              </w:rPr>
              <w:t>)</w:t>
            </w:r>
          </w:p>
          <w:p w14:paraId="3786A604" w14:textId="77777777" w:rsidR="00B0441A" w:rsidRPr="006406DE" w:rsidRDefault="00B0441A" w:rsidP="00A0742C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 w:rsidRPr="006406DE">
              <w:rPr>
                <w:bCs/>
              </w:rPr>
              <w:t>)</w:t>
            </w:r>
          </w:p>
          <w:p w14:paraId="3786A605" w14:textId="77777777" w:rsidR="00724613" w:rsidRPr="006406DE" w:rsidRDefault="00724613" w:rsidP="00A0742C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 w:rsidRPr="006406DE">
              <w:rPr>
                <w:bCs/>
              </w:rPr>
              <w:t>)</w:t>
            </w:r>
          </w:p>
          <w:p w14:paraId="3786A606" w14:textId="77777777" w:rsidR="00944D2E" w:rsidRPr="006406DE" w:rsidRDefault="00944D2E" w:rsidP="00944D2E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 w:rsidRPr="006406DE">
              <w:rPr>
                <w:bCs/>
              </w:rPr>
              <w:t>)</w:t>
            </w:r>
          </w:p>
          <w:p w14:paraId="3786A607" w14:textId="77777777" w:rsidR="00944D2E" w:rsidRPr="006406DE" w:rsidRDefault="00944D2E" w:rsidP="00944D2E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 w:rsidRPr="006406DE">
              <w:rPr>
                <w:bCs/>
              </w:rPr>
              <w:t>)</w:t>
            </w:r>
          </w:p>
          <w:p w14:paraId="3786A608" w14:textId="77777777" w:rsidR="00944D2E" w:rsidRPr="006406DE" w:rsidRDefault="00944D2E" w:rsidP="00944D2E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 w:rsidRPr="006406DE">
              <w:rPr>
                <w:bCs/>
              </w:rPr>
              <w:t>)</w:t>
            </w:r>
          </w:p>
          <w:p w14:paraId="3786A609" w14:textId="22EB6347" w:rsidR="00295601" w:rsidRPr="006406DE" w:rsidRDefault="00321E1B" w:rsidP="00A0742C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>
              <w:rPr>
                <w:bCs/>
              </w:rPr>
              <w:t>)</w:t>
            </w:r>
          </w:p>
        </w:tc>
        <w:tc>
          <w:tcPr>
            <w:tcW w:w="4048" w:type="dxa"/>
          </w:tcPr>
          <w:p w14:paraId="3786A60A" w14:textId="77777777" w:rsidR="00295601" w:rsidRPr="006406DE" w:rsidRDefault="001B0766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6406DE">
              <w:rPr>
                <w:bCs/>
              </w:rPr>
              <w:t>DOCKET</w:t>
            </w:r>
            <w:r w:rsidR="00D34631" w:rsidRPr="006406DE">
              <w:rPr>
                <w:bCs/>
              </w:rPr>
              <w:t xml:space="preserve"> UT-</w:t>
            </w:r>
            <w:r w:rsidR="008A7C1D" w:rsidRPr="006406DE">
              <w:rPr>
                <w:bCs/>
              </w:rPr>
              <w:t>063060</w:t>
            </w:r>
            <w:r w:rsidR="00CA6CCC" w:rsidRPr="006406DE">
              <w:rPr>
                <w:bCs/>
              </w:rPr>
              <w:fldChar w:fldCharType="begin"/>
            </w:r>
            <w:r w:rsidR="002C405B" w:rsidRPr="006406DE">
              <w:rPr>
                <w:bCs/>
              </w:rPr>
              <w:instrText>ASK docket_no "Enter Docket Number using XX=XXXXXX Format</w:instrText>
            </w:r>
            <w:r w:rsidR="00CA6CCC" w:rsidRPr="006406DE">
              <w:rPr>
                <w:bCs/>
              </w:rPr>
              <w:fldChar w:fldCharType="separate"/>
            </w:r>
            <w:bookmarkStart w:id="1" w:name="docket_no"/>
            <w:r w:rsidR="00A0742C" w:rsidRPr="006406DE">
              <w:rPr>
                <w:bCs/>
              </w:rPr>
              <w:t>UT-023033</w:t>
            </w:r>
            <w:bookmarkEnd w:id="1"/>
            <w:r w:rsidR="00CA6CCC" w:rsidRPr="006406DE">
              <w:rPr>
                <w:bCs/>
              </w:rPr>
              <w:fldChar w:fldCharType="end"/>
            </w:r>
          </w:p>
          <w:p w14:paraId="3786A60B" w14:textId="77777777" w:rsidR="00295601" w:rsidRPr="006406DE" w:rsidRDefault="00295601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14:paraId="3786A60C" w14:textId="77777777" w:rsidR="00295601" w:rsidRPr="006406DE" w:rsidRDefault="001B0766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6406DE">
              <w:rPr>
                <w:bCs/>
              </w:rPr>
              <w:t>ORDER</w:t>
            </w:r>
            <w:r w:rsidR="00D34631" w:rsidRPr="006406DE">
              <w:rPr>
                <w:bCs/>
              </w:rPr>
              <w:t xml:space="preserve"> 0</w:t>
            </w:r>
            <w:r w:rsidR="00542E9B">
              <w:rPr>
                <w:bCs/>
              </w:rPr>
              <w:t>4</w:t>
            </w:r>
            <w:r w:rsidR="00CA6CCC" w:rsidRPr="006406DE">
              <w:rPr>
                <w:bCs/>
              </w:rPr>
              <w:fldChar w:fldCharType="begin"/>
            </w:r>
            <w:r w:rsidR="002C405B" w:rsidRPr="006406DE">
              <w:rPr>
                <w:bCs/>
              </w:rPr>
              <w:instrText xml:space="preserve"> ASK order_no "Enter Order Number"</w:instrText>
            </w:r>
            <w:r w:rsidR="00CA6CCC" w:rsidRPr="006406DE">
              <w:rPr>
                <w:bCs/>
              </w:rPr>
              <w:fldChar w:fldCharType="separate"/>
            </w:r>
            <w:bookmarkStart w:id="2" w:name="order_no"/>
            <w:r w:rsidR="00A0742C" w:rsidRPr="006406DE">
              <w:rPr>
                <w:bCs/>
              </w:rPr>
              <w:t>04</w:t>
            </w:r>
            <w:bookmarkEnd w:id="2"/>
            <w:r w:rsidR="00CA6CCC" w:rsidRPr="006406DE">
              <w:rPr>
                <w:bCs/>
              </w:rPr>
              <w:fldChar w:fldCharType="end"/>
            </w:r>
          </w:p>
          <w:p w14:paraId="3786A60D" w14:textId="77777777" w:rsidR="00295601" w:rsidRPr="006406DE" w:rsidRDefault="00295601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14:paraId="3786A60E" w14:textId="77777777" w:rsidR="00B0441A" w:rsidRPr="006406DE" w:rsidRDefault="00B0441A" w:rsidP="00BD66DE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14:paraId="3786A60F" w14:textId="77777777" w:rsidR="00B0441A" w:rsidRPr="006406DE" w:rsidRDefault="00B0441A" w:rsidP="00BD66DE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14:paraId="3786A610" w14:textId="77777777" w:rsidR="000C3FF8" w:rsidRPr="006406DE" w:rsidRDefault="000C3FF8" w:rsidP="007A5639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14:paraId="3786A611" w14:textId="2109DBD4" w:rsidR="00295601" w:rsidRPr="006406DE" w:rsidRDefault="00E64568" w:rsidP="002B39B8">
            <w:pPr>
              <w:pStyle w:val="Header"/>
              <w:tabs>
                <w:tab w:val="clear" w:pos="8300"/>
              </w:tabs>
              <w:rPr>
                <w:bCs/>
              </w:rPr>
            </w:pPr>
            <w:r>
              <w:rPr>
                <w:bCs/>
              </w:rPr>
              <w:t xml:space="preserve">ORDER </w:t>
            </w:r>
            <w:r w:rsidR="00750AD2" w:rsidRPr="006406DE">
              <w:rPr>
                <w:bCs/>
              </w:rPr>
              <w:t xml:space="preserve">GRANTING </w:t>
            </w:r>
            <w:r w:rsidR="00166F9A" w:rsidRPr="006406DE">
              <w:rPr>
                <w:bCs/>
              </w:rPr>
              <w:t xml:space="preserve">A </w:t>
            </w:r>
            <w:r w:rsidR="00F07574">
              <w:rPr>
                <w:bCs/>
              </w:rPr>
              <w:t>TEMPORARY</w:t>
            </w:r>
            <w:r w:rsidR="002B534D" w:rsidRPr="006406DE">
              <w:rPr>
                <w:bCs/>
              </w:rPr>
              <w:t xml:space="preserve"> </w:t>
            </w:r>
            <w:r w:rsidR="00BC4F58" w:rsidRPr="006406DE">
              <w:rPr>
                <w:bCs/>
              </w:rPr>
              <w:t xml:space="preserve">EXEMPTION </w:t>
            </w:r>
            <w:r w:rsidR="001558BC">
              <w:rPr>
                <w:bCs/>
              </w:rPr>
              <w:t xml:space="preserve">OF ONE YEAR </w:t>
            </w:r>
            <w:r w:rsidR="00BC4F58" w:rsidRPr="006406DE">
              <w:rPr>
                <w:bCs/>
              </w:rPr>
              <w:t xml:space="preserve">FROM </w:t>
            </w:r>
            <w:r w:rsidR="00E6110C" w:rsidRPr="006406DE">
              <w:rPr>
                <w:bCs/>
              </w:rPr>
              <w:t xml:space="preserve">THE </w:t>
            </w:r>
            <w:r w:rsidR="00116117" w:rsidRPr="006406DE">
              <w:rPr>
                <w:bCs/>
              </w:rPr>
              <w:t xml:space="preserve">REQUIREMENT </w:t>
            </w:r>
            <w:r w:rsidR="00E6110C" w:rsidRPr="006406DE">
              <w:rPr>
                <w:bCs/>
              </w:rPr>
              <w:t>OF FOUR HOURS OF BACK</w:t>
            </w:r>
            <w:r w:rsidR="007C6BE0">
              <w:rPr>
                <w:bCs/>
              </w:rPr>
              <w:t>-</w:t>
            </w:r>
            <w:r w:rsidR="00E6110C" w:rsidRPr="006406DE">
              <w:rPr>
                <w:bCs/>
              </w:rPr>
              <w:t xml:space="preserve">UP BATTERY POWER </w:t>
            </w:r>
            <w:r w:rsidR="002B39B8">
              <w:rPr>
                <w:bCs/>
              </w:rPr>
              <w:t>FOR TWO NON-PRIORITY CELL SITES</w:t>
            </w:r>
          </w:p>
        </w:tc>
      </w:tr>
      <w:tr w:rsidR="001558BC" w:rsidRPr="006406DE" w14:paraId="0BAA3059" w14:textId="77777777">
        <w:tc>
          <w:tcPr>
            <w:tcW w:w="4308" w:type="dxa"/>
          </w:tcPr>
          <w:p w14:paraId="6CCEFC48" w14:textId="77777777" w:rsidR="001558BC" w:rsidRPr="006406DE" w:rsidRDefault="001558BC">
            <w:pPr>
              <w:rPr>
                <w:bCs/>
              </w:rPr>
            </w:pPr>
          </w:p>
        </w:tc>
        <w:tc>
          <w:tcPr>
            <w:tcW w:w="500" w:type="dxa"/>
          </w:tcPr>
          <w:p w14:paraId="5BB144F9" w14:textId="77777777" w:rsidR="001558BC" w:rsidRPr="006406DE" w:rsidRDefault="001558BC" w:rsidP="00A0742C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</w:p>
        </w:tc>
        <w:tc>
          <w:tcPr>
            <w:tcW w:w="4048" w:type="dxa"/>
          </w:tcPr>
          <w:p w14:paraId="3AAFF72C" w14:textId="77777777" w:rsidR="001558BC" w:rsidRPr="006406DE" w:rsidRDefault="001558BC">
            <w:pPr>
              <w:pStyle w:val="Header"/>
              <w:tabs>
                <w:tab w:val="clear" w:pos="8300"/>
              </w:tabs>
              <w:rPr>
                <w:bCs/>
              </w:rPr>
            </w:pPr>
          </w:p>
        </w:tc>
      </w:tr>
    </w:tbl>
    <w:p w14:paraId="3786A613" w14:textId="77777777" w:rsidR="00295601" w:rsidRPr="006406DE" w:rsidRDefault="00295601">
      <w:pPr>
        <w:pStyle w:val="Header"/>
        <w:tabs>
          <w:tab w:val="clear" w:pos="8300"/>
        </w:tabs>
        <w:rPr>
          <w:bCs/>
        </w:rPr>
      </w:pPr>
    </w:p>
    <w:p w14:paraId="3786A614" w14:textId="77777777" w:rsidR="00295601" w:rsidRPr="006406DE" w:rsidRDefault="00D74D0A">
      <w:pPr>
        <w:pStyle w:val="SectionHeading"/>
        <w:rPr>
          <w:bCs w:val="0"/>
          <w:szCs w:val="24"/>
        </w:rPr>
      </w:pPr>
      <w:r w:rsidRPr="006406DE">
        <w:rPr>
          <w:bCs w:val="0"/>
          <w:szCs w:val="24"/>
        </w:rPr>
        <w:t xml:space="preserve">INTRODUCTION AND </w:t>
      </w:r>
      <w:r w:rsidR="00295601" w:rsidRPr="006406DE">
        <w:rPr>
          <w:bCs w:val="0"/>
          <w:szCs w:val="24"/>
        </w:rPr>
        <w:t>BACKGROUND</w:t>
      </w:r>
    </w:p>
    <w:p w14:paraId="3786A615" w14:textId="77777777" w:rsidR="00295601" w:rsidRPr="006406DE" w:rsidRDefault="00295601">
      <w:pPr>
        <w:rPr>
          <w:bCs/>
        </w:rPr>
      </w:pPr>
    </w:p>
    <w:p w14:paraId="537F833C" w14:textId="7D6D6BBE" w:rsidR="00F07574" w:rsidRDefault="00F07574" w:rsidP="00F07574">
      <w:pPr>
        <w:pStyle w:val="ListParagraph"/>
        <w:numPr>
          <w:ilvl w:val="0"/>
          <w:numId w:val="15"/>
        </w:numPr>
      </w:pPr>
      <w:r>
        <w:t xml:space="preserve">On April 16, 2012, New Cingular Wireless PCS, LLC and AT&amp;T Mobility Wireless Operations Holdings, Inc., </w:t>
      </w:r>
      <w:r w:rsidR="00A144FD">
        <w:t>(</w:t>
      </w:r>
      <w:r>
        <w:t xml:space="preserve">collectively </w:t>
      </w:r>
      <w:r w:rsidR="00A144FD">
        <w:t>“</w:t>
      </w:r>
      <w:r>
        <w:t>AT&amp;T Mobility</w:t>
      </w:r>
      <w:r w:rsidR="00A144FD">
        <w:t>”)</w:t>
      </w:r>
      <w:r>
        <w:t xml:space="preserve"> (AT&amp;T Mobility or </w:t>
      </w:r>
      <w:r w:rsidR="00667AAB">
        <w:t>Company</w:t>
      </w:r>
      <w:r>
        <w:t>) filed a request for a permanent exemption for 16 cell sites or</w:t>
      </w:r>
      <w:r w:rsidR="00F814AF">
        <w:t>,</w:t>
      </w:r>
      <w:r>
        <w:t xml:space="preserve"> in the alternat</w:t>
      </w:r>
      <w:r w:rsidR="00211704">
        <w:t>iv</w:t>
      </w:r>
      <w:r>
        <w:t>e</w:t>
      </w:r>
      <w:r w:rsidR="00211704">
        <w:t>,</w:t>
      </w:r>
      <w:r>
        <w:t xml:space="preserve"> a one-year extension from the cell site battery back-up requirement under WAC 480-123-030(1)(g) and WAC 480-123-070(6). </w:t>
      </w:r>
      <w:r w:rsidR="005C3AA9">
        <w:t xml:space="preserve"> </w:t>
      </w:r>
      <w:r>
        <w:t>WAC 480-123-030(1)(g) provides, among other things, that a wireless Eligible Telecommunications Carrier (ETC) applicant must demonstrate that it has at least four hours of back-up battery power at each cell site. WAC 480-123-070(6) provides that an ETC must certify that it has the ability to function in emergency situations based on continued adherence to the standards found in WAC 480-123-030(1</w:t>
      </w:r>
      <w:proofErr w:type="gramStart"/>
      <w:r>
        <w:t>)(</w:t>
      </w:r>
      <w:proofErr w:type="gramEnd"/>
      <w:r>
        <w:t>g).</w:t>
      </w:r>
    </w:p>
    <w:p w14:paraId="1E8E6381" w14:textId="77777777" w:rsidR="00F07574" w:rsidRDefault="00F07574" w:rsidP="00F07574">
      <w:pPr>
        <w:pStyle w:val="ListParagraph"/>
        <w:ind w:left="0"/>
      </w:pPr>
    </w:p>
    <w:p w14:paraId="5B894671" w14:textId="358962E9" w:rsidR="00F07574" w:rsidRDefault="00F07574" w:rsidP="00F07574">
      <w:pPr>
        <w:pStyle w:val="ListParagraph"/>
        <w:numPr>
          <w:ilvl w:val="0"/>
          <w:numId w:val="15"/>
        </w:numPr>
      </w:pPr>
      <w:r>
        <w:t>On May16, 2012, AT&amp;T Mobility filed an amendment to the original petition.</w:t>
      </w:r>
      <w:r w:rsidR="005C3AA9">
        <w:t xml:space="preserve"> </w:t>
      </w:r>
      <w:r>
        <w:t xml:space="preserve"> The </w:t>
      </w:r>
      <w:r w:rsidR="00667AAB">
        <w:t>Company</w:t>
      </w:r>
      <w:r>
        <w:t xml:space="preserve"> informed the </w:t>
      </w:r>
      <w:r w:rsidR="00667AAB">
        <w:t>Commission</w:t>
      </w:r>
      <w:r>
        <w:t xml:space="preserve"> that it has completed battery upgrade</w:t>
      </w:r>
      <w:r w:rsidR="00211704">
        <w:t>s</w:t>
      </w:r>
      <w:r>
        <w:t xml:space="preserve"> in 14 cell sites and now only needs to request </w:t>
      </w:r>
      <w:r w:rsidR="00211704">
        <w:t xml:space="preserve">an </w:t>
      </w:r>
      <w:r>
        <w:t>exemption for two cell sites.</w:t>
      </w:r>
      <w:r w:rsidR="005C3AA9">
        <w:t xml:space="preserve"> </w:t>
      </w:r>
      <w:r>
        <w:t xml:space="preserve"> The </w:t>
      </w:r>
      <w:r w:rsidR="00667AAB">
        <w:t>Company</w:t>
      </w:r>
      <w:r>
        <w:t xml:space="preserve"> provided updated cost information along with </w:t>
      </w:r>
      <w:r w:rsidR="00211704">
        <w:t xml:space="preserve">an </w:t>
      </w:r>
      <w:r>
        <w:t xml:space="preserve">explanation of the situation for each site. </w:t>
      </w:r>
    </w:p>
    <w:p w14:paraId="52743702" w14:textId="77777777" w:rsidR="00F07574" w:rsidRDefault="00F07574" w:rsidP="00F07574">
      <w:pPr>
        <w:pStyle w:val="ListParagraph"/>
      </w:pPr>
    </w:p>
    <w:p w14:paraId="47D313A6" w14:textId="6CF5A756" w:rsidR="00F07574" w:rsidRDefault="00F07574" w:rsidP="00F07574">
      <w:pPr>
        <w:pStyle w:val="ListParagraph"/>
        <w:numPr>
          <w:ilvl w:val="0"/>
          <w:numId w:val="15"/>
        </w:numPr>
      </w:pPr>
      <w:r>
        <w:t xml:space="preserve">AT&amp;T Mobility is a Commercial Mobile Radio Service provider licensed by the Federal Communications Commission (FCC). </w:t>
      </w:r>
      <w:r w:rsidR="00211704">
        <w:t xml:space="preserve"> </w:t>
      </w:r>
      <w:r>
        <w:t xml:space="preserve">AT&amp;T Mobility was designated by the Washington Utilities and Transportation </w:t>
      </w:r>
      <w:r w:rsidR="00667AAB">
        <w:t>Commission</w:t>
      </w:r>
      <w:r>
        <w:t xml:space="preserve"> (UTC or the </w:t>
      </w:r>
      <w:r w:rsidR="00667AAB">
        <w:t>Commission</w:t>
      </w:r>
      <w:r>
        <w:t>) as an ETC in Washington in 2004 and 2005.</w:t>
      </w:r>
      <w:r>
        <w:rPr>
          <w:rStyle w:val="FootnoteReference"/>
        </w:rPr>
        <w:footnoteReference w:id="1"/>
      </w:r>
    </w:p>
    <w:p w14:paraId="792F2E15" w14:textId="77777777" w:rsidR="00F07574" w:rsidRDefault="00F07574" w:rsidP="00F07574">
      <w:pPr>
        <w:pStyle w:val="ListParagraph"/>
      </w:pPr>
    </w:p>
    <w:p w14:paraId="589E7478" w14:textId="35B342B3" w:rsidR="00F07574" w:rsidRDefault="00F07574" w:rsidP="00F07574">
      <w:pPr>
        <w:pStyle w:val="ListParagraph"/>
        <w:numPr>
          <w:ilvl w:val="0"/>
          <w:numId w:val="15"/>
        </w:numPr>
      </w:pPr>
      <w:r w:rsidRPr="00FA3EB9">
        <w:lastRenderedPageBreak/>
        <w:t xml:space="preserve">As a wireless ETC, AT&amp;T Mobility receives federal High Cost Support that enhances its capability to provide extended network coverage and reliable service quality in </w:t>
      </w:r>
      <w:r>
        <w:t xml:space="preserve">ETC </w:t>
      </w:r>
      <w:r w:rsidRPr="00FA3EB9">
        <w:t xml:space="preserve">designated service areas. </w:t>
      </w:r>
      <w:r w:rsidR="00211704">
        <w:t xml:space="preserve"> </w:t>
      </w:r>
      <w:r w:rsidRPr="00FA3EB9">
        <w:t xml:space="preserve">In order to receive federal High Cost Support, the </w:t>
      </w:r>
      <w:r w:rsidR="00667AAB">
        <w:t>Commission</w:t>
      </w:r>
      <w:r w:rsidRPr="00FA3EB9">
        <w:t xml:space="preserve"> must certify </w:t>
      </w:r>
      <w:r w:rsidR="00211704" w:rsidRPr="00FA3EB9">
        <w:t xml:space="preserve">annually </w:t>
      </w:r>
      <w:r w:rsidRPr="00FA3EB9">
        <w:t>to the FCC and the Universal Service Administrative Company (USAC) that AT&amp;T Mobility will use federal support for the provision, maintenance, and upgrading of facilities and services for which the support is intended.</w:t>
      </w:r>
      <w:r w:rsidRPr="00FA3EB9">
        <w:rPr>
          <w:rStyle w:val="FootnoteReference"/>
        </w:rPr>
        <w:footnoteReference w:id="2"/>
      </w:r>
      <w:r w:rsidRPr="00FA3EB9">
        <w:t xml:space="preserve"> </w:t>
      </w:r>
    </w:p>
    <w:p w14:paraId="26889727" w14:textId="77777777" w:rsidR="00F07574" w:rsidRDefault="00F07574" w:rsidP="00F07574">
      <w:pPr>
        <w:pStyle w:val="ListParagraph"/>
      </w:pPr>
    </w:p>
    <w:p w14:paraId="38A4D263" w14:textId="6C09BF37" w:rsidR="00F07574" w:rsidRDefault="00F07574" w:rsidP="00F07574">
      <w:pPr>
        <w:pStyle w:val="ListParagraph"/>
        <w:numPr>
          <w:ilvl w:val="0"/>
          <w:numId w:val="15"/>
        </w:numPr>
      </w:pPr>
      <w:r>
        <w:t xml:space="preserve">On June 28, 2006, the </w:t>
      </w:r>
      <w:r w:rsidR="00211704">
        <w:t>C</w:t>
      </w:r>
      <w:r>
        <w:t xml:space="preserve">ommission adopted </w:t>
      </w:r>
      <w:r w:rsidR="00211704">
        <w:t>WAC 480-123</w:t>
      </w:r>
      <w:r>
        <w:t xml:space="preserve"> on ETC designation and annual certification, effective July 29, 2006. </w:t>
      </w:r>
      <w:r w:rsidR="00211704">
        <w:t xml:space="preserve"> </w:t>
      </w:r>
      <w:r w:rsidRPr="00FA3EB9">
        <w:t>AT&amp;T Mobility must meet all requirements in WAC 480-123-0</w:t>
      </w:r>
      <w:r>
        <w:t>7</w:t>
      </w:r>
      <w:r w:rsidRPr="00FA3EB9">
        <w:t>0 and WAC 480-123-0</w:t>
      </w:r>
      <w:r>
        <w:t>8</w:t>
      </w:r>
      <w:r w:rsidRPr="00FA3EB9">
        <w:t xml:space="preserve">0 to obtain the </w:t>
      </w:r>
      <w:r w:rsidR="00667AAB">
        <w:t>Commission</w:t>
      </w:r>
      <w:r w:rsidRPr="00FA3EB9">
        <w:t xml:space="preserve">’s annual certification </w:t>
      </w:r>
      <w:r>
        <w:t>to the FCC and the USAC</w:t>
      </w:r>
      <w:r>
        <w:rPr>
          <w:rStyle w:val="FootnoteReference"/>
        </w:rPr>
        <w:footnoteReference w:id="3"/>
      </w:r>
      <w:r>
        <w:t xml:space="preserve"> </w:t>
      </w:r>
      <w:r w:rsidRPr="00FA3EB9">
        <w:t xml:space="preserve">or </w:t>
      </w:r>
      <w:r w:rsidR="0085324E" w:rsidRPr="00FA3EB9">
        <w:t>receive</w:t>
      </w:r>
      <w:r w:rsidR="0085324E">
        <w:t xml:space="preserve"> approval from the Commission that allows the Company </w:t>
      </w:r>
      <w:r w:rsidRPr="00FA3EB9">
        <w:t xml:space="preserve">an exemption from specific </w:t>
      </w:r>
      <w:r>
        <w:t>requirements</w:t>
      </w:r>
      <w:r w:rsidRPr="00FA3EB9">
        <w:t>.</w:t>
      </w:r>
    </w:p>
    <w:p w14:paraId="67FA563F" w14:textId="77777777" w:rsidR="00F07574" w:rsidRDefault="00F07574" w:rsidP="00F07574">
      <w:pPr>
        <w:pStyle w:val="ListParagraph"/>
      </w:pPr>
    </w:p>
    <w:p w14:paraId="1FBD96BD" w14:textId="53BB709B" w:rsidR="00F07574" w:rsidRDefault="00F07574" w:rsidP="00F07574">
      <w:pPr>
        <w:pStyle w:val="ListParagraph"/>
        <w:numPr>
          <w:ilvl w:val="0"/>
          <w:numId w:val="15"/>
        </w:numPr>
      </w:pPr>
      <w:r>
        <w:t xml:space="preserve">On July 31, 2006, AT&amp;T Mobility submitted a petition to the </w:t>
      </w:r>
      <w:r w:rsidR="00667AAB">
        <w:t>Commission</w:t>
      </w:r>
      <w:r>
        <w:t xml:space="preserve"> requesting a permanent exemption or</w:t>
      </w:r>
      <w:r w:rsidR="00F814AF">
        <w:t>,</w:t>
      </w:r>
      <w:r>
        <w:t xml:space="preserve"> in the alternat</w:t>
      </w:r>
      <w:r w:rsidR="00211704">
        <w:t>iv</w:t>
      </w:r>
      <w:r>
        <w:t>e, a partial exemption from WAC 480-123-070(6) and WAC 480-123-030(1</w:t>
      </w:r>
      <w:proofErr w:type="gramStart"/>
      <w:r>
        <w:t>)(</w:t>
      </w:r>
      <w:proofErr w:type="gramEnd"/>
      <w:r>
        <w:t xml:space="preserve">g). </w:t>
      </w:r>
      <w:r w:rsidR="00211704">
        <w:t xml:space="preserve"> </w:t>
      </w:r>
      <w:r>
        <w:t xml:space="preserve">The </w:t>
      </w:r>
      <w:r w:rsidR="00667AAB">
        <w:t>Commission</w:t>
      </w:r>
      <w:r>
        <w:t xml:space="preserve"> denied the </w:t>
      </w:r>
      <w:r w:rsidR="00667AAB">
        <w:t>Company</w:t>
      </w:r>
      <w:r>
        <w:t xml:space="preserve">’s request for a permanent exemption; but granted a temporary exemption subject to the condition that the </w:t>
      </w:r>
      <w:r w:rsidR="00667AAB">
        <w:t>Company</w:t>
      </w:r>
      <w:r>
        <w:t xml:space="preserve"> provide four hours of back-up power at all Priority 1 and -98 decibel (</w:t>
      </w:r>
      <w:proofErr w:type="spellStart"/>
      <w:r>
        <w:t>db</w:t>
      </w:r>
      <w:proofErr w:type="spellEnd"/>
      <w:r>
        <w:t>) cell sites</w:t>
      </w:r>
      <w:r>
        <w:rPr>
          <w:rStyle w:val="FootnoteReference"/>
        </w:rPr>
        <w:footnoteReference w:id="4"/>
      </w:r>
      <w:r>
        <w:t xml:space="preserve"> using reliable power sources including battery, fixed generator or fuel cells within two years.</w:t>
      </w:r>
      <w:r>
        <w:rPr>
          <w:rStyle w:val="FootnoteReference"/>
        </w:rPr>
        <w:footnoteReference w:id="5"/>
      </w:r>
      <w:r>
        <w:t xml:space="preserve"> </w:t>
      </w:r>
      <w:r w:rsidR="00211704">
        <w:t xml:space="preserve"> </w:t>
      </w:r>
      <w:r>
        <w:t>The exemption expired on February 15, 2009.</w:t>
      </w:r>
    </w:p>
    <w:p w14:paraId="618C554F" w14:textId="77777777" w:rsidR="00F07574" w:rsidRDefault="00F07574" w:rsidP="00F07574">
      <w:pPr>
        <w:pStyle w:val="ListParagraph"/>
      </w:pPr>
    </w:p>
    <w:p w14:paraId="48C0CF26" w14:textId="6E096528" w:rsidR="00F07574" w:rsidRDefault="00F07574" w:rsidP="00F07574">
      <w:pPr>
        <w:pStyle w:val="ListParagraph"/>
        <w:numPr>
          <w:ilvl w:val="0"/>
          <w:numId w:val="15"/>
        </w:numPr>
      </w:pPr>
      <w:r>
        <w:t xml:space="preserve">On March 6, 2009, AT&amp;T Mobility filed a compliance report and requested a limited extension of the partial exemption. </w:t>
      </w:r>
      <w:r w:rsidR="00211704">
        <w:t xml:space="preserve"> </w:t>
      </w:r>
      <w:r>
        <w:t xml:space="preserve">It reported that all but three Priority 1 and -98 </w:t>
      </w:r>
      <w:proofErr w:type="spellStart"/>
      <w:r>
        <w:t>db</w:t>
      </w:r>
      <w:proofErr w:type="spellEnd"/>
      <w:r>
        <w:t xml:space="preserve"> coverage cell sites have complied with the four-hour back-up power requirement. </w:t>
      </w:r>
      <w:r w:rsidR="00211704">
        <w:t xml:space="preserve"> </w:t>
      </w:r>
      <w:r>
        <w:t xml:space="preserve">It requested either a permanent exemption or a temporary exemption for the three </w:t>
      </w:r>
      <w:proofErr w:type="gramStart"/>
      <w:r>
        <w:t>priority</w:t>
      </w:r>
      <w:proofErr w:type="gramEnd"/>
      <w:r>
        <w:t xml:space="preserve"> and coverage cell sites. </w:t>
      </w:r>
      <w:r w:rsidR="00211704">
        <w:t xml:space="preserve"> </w:t>
      </w:r>
      <w:r>
        <w:t xml:space="preserve">The </w:t>
      </w:r>
      <w:r w:rsidR="00667AAB">
        <w:t>Commission</w:t>
      </w:r>
      <w:r>
        <w:t xml:space="preserve"> granted a temporary exemption for the three cell sites until September 10, 2010</w:t>
      </w:r>
      <w:r>
        <w:rPr>
          <w:rStyle w:val="FootnoteReference"/>
        </w:rPr>
        <w:footnoteReference w:id="6"/>
      </w:r>
      <w:r>
        <w:t xml:space="preserve"> (Phase I).</w:t>
      </w:r>
      <w:r w:rsidR="00211704">
        <w:t xml:space="preserve"> </w:t>
      </w:r>
      <w:r>
        <w:t xml:space="preserve"> On July 30, 2010, the </w:t>
      </w:r>
      <w:r w:rsidR="00667AAB">
        <w:t>Company</w:t>
      </w:r>
      <w:r>
        <w:t xml:space="preserve"> reported that the required upgrades to the three previously non-compliant cell sites were completed before the deadline. </w:t>
      </w:r>
    </w:p>
    <w:p w14:paraId="1BF2E385" w14:textId="77777777" w:rsidR="00F07574" w:rsidRDefault="00F07574" w:rsidP="00F07574">
      <w:pPr>
        <w:pStyle w:val="ListParagraph"/>
      </w:pPr>
    </w:p>
    <w:p w14:paraId="5FB564F8" w14:textId="01C8BE65" w:rsidR="00F07574" w:rsidRPr="0052244B" w:rsidRDefault="00F07574" w:rsidP="00F07574">
      <w:pPr>
        <w:pStyle w:val="ListParagraph"/>
        <w:numPr>
          <w:ilvl w:val="0"/>
          <w:numId w:val="15"/>
        </w:numPr>
      </w:pPr>
      <w:r>
        <w:t>On August 3, 2009, AT&amp;T Mobility filed a request for clarification</w:t>
      </w:r>
      <w:r>
        <w:rPr>
          <w:rStyle w:val="FootnoteReference"/>
        </w:rPr>
        <w:footnoteReference w:id="7"/>
      </w:r>
      <w:r>
        <w:t xml:space="preserve"> or</w:t>
      </w:r>
      <w:r w:rsidR="00F814AF">
        <w:t>,</w:t>
      </w:r>
      <w:r>
        <w:t xml:space="preserve"> in the alternat</w:t>
      </w:r>
      <w:r w:rsidR="0085324E">
        <w:t>iv</w:t>
      </w:r>
      <w:r>
        <w:t>e</w:t>
      </w:r>
      <w:r w:rsidR="00F814AF">
        <w:t>,</w:t>
      </w:r>
      <w:r>
        <w:t xml:space="preserve"> an extension to bring all its non-priority cell sites within its ETC designated area in compliance.</w:t>
      </w:r>
      <w:r w:rsidR="00211704">
        <w:t xml:space="preserve"> </w:t>
      </w:r>
      <w:r>
        <w:t xml:space="preserve"> </w:t>
      </w:r>
      <w:r w:rsidRPr="0052244B">
        <w:t xml:space="preserve">The </w:t>
      </w:r>
      <w:r w:rsidR="00667AAB">
        <w:t>Commission</w:t>
      </w:r>
      <w:r>
        <w:t xml:space="preserve"> granted </w:t>
      </w:r>
      <w:r w:rsidRPr="0052244B">
        <w:t xml:space="preserve">a temporary exemption from </w:t>
      </w:r>
      <w:r>
        <w:t>the battery back-up requirement</w:t>
      </w:r>
      <w:r w:rsidRPr="0052244B">
        <w:t xml:space="preserve"> for all non-priority cell sites until July 1, 2012</w:t>
      </w:r>
      <w:r>
        <w:t xml:space="preserve"> (Phase II) with three conditions: (1) </w:t>
      </w:r>
      <w:r w:rsidRPr="0052244B">
        <w:t xml:space="preserve">AT&amp;T Mobility must provide </w:t>
      </w:r>
      <w:r>
        <w:t>four hour</w:t>
      </w:r>
      <w:r w:rsidRPr="0052244B">
        <w:t xml:space="preserve">s of back-up power at all new cell </w:t>
      </w:r>
      <w:r w:rsidRPr="0052244B">
        <w:lastRenderedPageBreak/>
        <w:t>sites</w:t>
      </w:r>
      <w:r>
        <w:t xml:space="preserve"> constructed during this period; (2) </w:t>
      </w:r>
      <w:r w:rsidRPr="0052244B">
        <w:t xml:space="preserve">AT&amp;T Mobility must include a compliance status report on back-up power upgrades in its annual ETC filing with the </w:t>
      </w:r>
      <w:r w:rsidR="00667AAB">
        <w:t>Commission</w:t>
      </w:r>
      <w:r>
        <w:t xml:space="preserve">; </w:t>
      </w:r>
      <w:r w:rsidR="00211704">
        <w:t xml:space="preserve">and </w:t>
      </w:r>
      <w:r>
        <w:t xml:space="preserve">(3) </w:t>
      </w:r>
      <w:r w:rsidRPr="0052244B">
        <w:t xml:space="preserve">AT&amp;T Mobility must file a final compliance report upon completion of the back-up power upgrades or </w:t>
      </w:r>
      <w:r w:rsidR="0085324E">
        <w:t>on</w:t>
      </w:r>
      <w:r w:rsidRPr="0052244B">
        <w:t xml:space="preserve"> the expiration of the temporary exemption, whichever occurs first.</w:t>
      </w:r>
      <w:r>
        <w:rPr>
          <w:rStyle w:val="FootnoteReference"/>
        </w:rPr>
        <w:footnoteReference w:id="8"/>
      </w:r>
      <w:r>
        <w:t xml:space="preserve"> </w:t>
      </w:r>
    </w:p>
    <w:p w14:paraId="3786A623" w14:textId="77777777" w:rsidR="001B5D4D" w:rsidRPr="006406DE" w:rsidRDefault="00CA6CCC" w:rsidP="009720E2">
      <w:r w:rsidRPr="006406DE">
        <w:rPr>
          <w:bCs/>
        </w:rPr>
        <w:fldChar w:fldCharType="begin"/>
      </w:r>
      <w:r w:rsidR="002C405B" w:rsidRPr="006406DE">
        <w:rPr>
          <w:bCs/>
        </w:rPr>
        <w:instrText xml:space="preserve"> ASK Action_date "Enter Date of Prior Commission Action" </w:instrText>
      </w:r>
      <w:r w:rsidRPr="006406DE">
        <w:rPr>
          <w:bCs/>
        </w:rPr>
        <w:fldChar w:fldCharType="end"/>
      </w:r>
    </w:p>
    <w:p w14:paraId="3786A624" w14:textId="77777777" w:rsidR="00B6701A" w:rsidRPr="006406DE" w:rsidRDefault="00B6701A" w:rsidP="00B6701A">
      <w:pPr>
        <w:pStyle w:val="SectionHeading"/>
        <w:rPr>
          <w:bCs w:val="0"/>
          <w:szCs w:val="24"/>
        </w:rPr>
      </w:pPr>
      <w:r w:rsidRPr="006406DE">
        <w:rPr>
          <w:bCs w:val="0"/>
          <w:szCs w:val="24"/>
        </w:rPr>
        <w:t>DISCUSSION</w:t>
      </w:r>
    </w:p>
    <w:p w14:paraId="3786A625" w14:textId="77777777" w:rsidR="00B6701A" w:rsidRPr="006406DE" w:rsidRDefault="00B6701A" w:rsidP="00B6701A">
      <w:pPr>
        <w:rPr>
          <w:bCs/>
        </w:rPr>
      </w:pPr>
    </w:p>
    <w:p w14:paraId="5D582258" w14:textId="04E935FC" w:rsidR="00F07574" w:rsidRDefault="00F07574" w:rsidP="00F07574">
      <w:pPr>
        <w:pStyle w:val="ListParagraph"/>
        <w:numPr>
          <w:ilvl w:val="0"/>
          <w:numId w:val="15"/>
        </w:numPr>
      </w:pPr>
      <w:r>
        <w:t>AT&amp;T Mobility now seeks a permanent exemption or</w:t>
      </w:r>
      <w:r w:rsidR="00211704">
        <w:t>,</w:t>
      </w:r>
      <w:r>
        <w:t xml:space="preserve"> in the alternat</w:t>
      </w:r>
      <w:r w:rsidR="00211704">
        <w:t>iv</w:t>
      </w:r>
      <w:r>
        <w:t>e</w:t>
      </w:r>
      <w:r w:rsidR="00F814AF">
        <w:t>,</w:t>
      </w:r>
      <w:r>
        <w:t xml:space="preserve"> a one-year extension from the back-up power requirement for two cell sites. </w:t>
      </w:r>
      <w:r w:rsidR="00211704">
        <w:t xml:space="preserve"> </w:t>
      </w:r>
      <w:r>
        <w:t xml:space="preserve">The </w:t>
      </w:r>
      <w:r w:rsidR="00667AAB">
        <w:t>Company</w:t>
      </w:r>
      <w:r>
        <w:t xml:space="preserve"> states that upgrading back-up power at non-priority cell sites in Phase II is generally very difficult and costly. </w:t>
      </w:r>
      <w:r w:rsidR="00211704">
        <w:t xml:space="preserve"> </w:t>
      </w:r>
      <w:r>
        <w:t xml:space="preserve">The </w:t>
      </w:r>
      <w:r w:rsidR="00667AAB">
        <w:t>Company</w:t>
      </w:r>
      <w:r>
        <w:t xml:space="preserve"> encountered challenges due to zoning restrictions, structural limitation and lease expansion. </w:t>
      </w:r>
    </w:p>
    <w:p w14:paraId="192A66CF" w14:textId="77777777" w:rsidR="00F07574" w:rsidRDefault="00F07574" w:rsidP="00F07574">
      <w:pPr>
        <w:pStyle w:val="ListParagraph"/>
        <w:ind w:left="0"/>
      </w:pPr>
    </w:p>
    <w:p w14:paraId="0AB6C8B4" w14:textId="0900BC15" w:rsidR="00F07574" w:rsidRDefault="00F07574" w:rsidP="00F07574">
      <w:pPr>
        <w:pStyle w:val="ListParagraph"/>
        <w:numPr>
          <w:ilvl w:val="0"/>
          <w:numId w:val="15"/>
        </w:numPr>
      </w:pPr>
      <w:r>
        <w:t xml:space="preserve">Staff agrees with the </w:t>
      </w:r>
      <w:r w:rsidR="00667AAB">
        <w:t>Company</w:t>
      </w:r>
      <w:r>
        <w:t xml:space="preserve"> that an exemption is warranted for several reasons. </w:t>
      </w:r>
      <w:r w:rsidR="00211704">
        <w:t xml:space="preserve"> </w:t>
      </w:r>
      <w:r>
        <w:t xml:space="preserve">First, the two cell sites provide additional capacity but not additional cellular signal coverage. </w:t>
      </w:r>
      <w:r w:rsidR="00211704">
        <w:t xml:space="preserve"> </w:t>
      </w:r>
      <w:r>
        <w:t xml:space="preserve">There is one hundred percent coverage overlap between each of the cell sites and their adjacent cell sites that all meet the minimum four-hour back-up rule. </w:t>
      </w:r>
      <w:r w:rsidR="00211704">
        <w:t xml:space="preserve"> </w:t>
      </w:r>
      <w:r>
        <w:t xml:space="preserve">Second, in case of emergency power outages, the </w:t>
      </w:r>
      <w:r w:rsidR="00667AAB">
        <w:t>Company</w:t>
      </w:r>
      <w:r>
        <w:t xml:space="preserve"> has a number of portable generators and several </w:t>
      </w:r>
      <w:r w:rsidR="00E15CAA">
        <w:t>“</w:t>
      </w:r>
      <w:r>
        <w:t>Cells on Wheels</w:t>
      </w:r>
      <w:r w:rsidR="00E15CAA">
        <w:t>”</w:t>
      </w:r>
      <w:r>
        <w:t xml:space="preserve"> which can be readily deployed to these locations </w:t>
      </w:r>
      <w:r w:rsidR="008254AF">
        <w:t xml:space="preserve">to </w:t>
      </w:r>
      <w:r>
        <w:t xml:space="preserve">alleviate the risk of </w:t>
      </w:r>
      <w:r w:rsidR="008254AF">
        <w:t xml:space="preserve">an </w:t>
      </w:r>
      <w:r>
        <w:t xml:space="preserve">extended power outage and communication failure. </w:t>
      </w:r>
    </w:p>
    <w:p w14:paraId="213E4908" w14:textId="77777777" w:rsidR="00F07574" w:rsidRDefault="00F07574" w:rsidP="00F07574">
      <w:pPr>
        <w:pStyle w:val="ListParagraph"/>
        <w:ind w:left="0"/>
      </w:pPr>
    </w:p>
    <w:p w14:paraId="6D846EC0" w14:textId="23BE8FC5" w:rsidR="00F07574" w:rsidRDefault="00F07574" w:rsidP="00F07574">
      <w:pPr>
        <w:pStyle w:val="ListParagraph"/>
        <w:numPr>
          <w:ilvl w:val="0"/>
          <w:numId w:val="15"/>
        </w:numPr>
      </w:pPr>
      <w:r>
        <w:t>Furthermore, the FCC recently implemented the intercarrier compensation and universal service fund reform.</w:t>
      </w:r>
      <w:r w:rsidR="008254AF">
        <w:t xml:space="preserve"> </w:t>
      </w:r>
      <w:r>
        <w:t xml:space="preserve"> The reform will phase out the traditional federal High Cost Support for competitive ETCs from July 1, 2012</w:t>
      </w:r>
      <w:r w:rsidR="005C3AA9">
        <w:t>,</w:t>
      </w:r>
      <w:r>
        <w:t xml:space="preserve"> to June 30, 2016. </w:t>
      </w:r>
      <w:r w:rsidR="008254AF">
        <w:t xml:space="preserve"> </w:t>
      </w:r>
      <w:r>
        <w:t xml:space="preserve">AT&amp;T Mobility anticipates that it will receive less federal High Cost Support in 2012 as a result. </w:t>
      </w:r>
    </w:p>
    <w:p w14:paraId="0C99BA75" w14:textId="77777777" w:rsidR="00F07574" w:rsidRDefault="00F07574" w:rsidP="00F07574">
      <w:pPr>
        <w:pStyle w:val="ListParagraph"/>
        <w:ind w:left="0"/>
      </w:pPr>
    </w:p>
    <w:p w14:paraId="0092D3FA" w14:textId="305DD63A" w:rsidR="00F07574" w:rsidRDefault="00F07574" w:rsidP="00F07574">
      <w:pPr>
        <w:pStyle w:val="ListParagraph"/>
        <w:numPr>
          <w:ilvl w:val="0"/>
          <w:numId w:val="15"/>
        </w:numPr>
      </w:pPr>
      <w:r>
        <w:t xml:space="preserve">The </w:t>
      </w:r>
      <w:r w:rsidR="00667AAB">
        <w:t>Company</w:t>
      </w:r>
      <w:r>
        <w:t xml:space="preserve"> informed </w:t>
      </w:r>
      <w:r w:rsidR="00023D1A">
        <w:t>Staff</w:t>
      </w:r>
      <w:r>
        <w:t xml:space="preserve"> that it </w:t>
      </w:r>
      <w:r w:rsidR="008944B1">
        <w:t xml:space="preserve">will have </w:t>
      </w:r>
      <w:r w:rsidR="00667AAB">
        <w:t xml:space="preserve">a </w:t>
      </w:r>
      <w:r>
        <w:t xml:space="preserve">temporary solution for the two cell sites. </w:t>
      </w:r>
      <w:r w:rsidR="008254AF">
        <w:t xml:space="preserve"> </w:t>
      </w:r>
      <w:r>
        <w:t xml:space="preserve">A one-year period should give the </w:t>
      </w:r>
      <w:r w:rsidR="00667AAB">
        <w:t>Company</w:t>
      </w:r>
      <w:r>
        <w:t xml:space="preserve"> sufficient time to upgrade the back-up power.</w:t>
      </w:r>
      <w:r w:rsidR="005075EC">
        <w:t xml:space="preserve"> </w:t>
      </w:r>
      <w:r w:rsidR="008944B1">
        <w:t xml:space="preserve"> </w:t>
      </w:r>
      <w:r w:rsidR="005075EC">
        <w:t xml:space="preserve">Staff finds </w:t>
      </w:r>
      <w:r w:rsidR="00B717A3">
        <w:t>that</w:t>
      </w:r>
      <w:r w:rsidR="005075EC">
        <w:t xml:space="preserve"> a one</w:t>
      </w:r>
      <w:r w:rsidR="00B717A3">
        <w:t>-</w:t>
      </w:r>
      <w:r w:rsidR="005075EC">
        <w:t xml:space="preserve">year extension </w:t>
      </w:r>
      <w:r w:rsidR="00B717A3">
        <w:t>of the exemption</w:t>
      </w:r>
      <w:r w:rsidRPr="004678C3">
        <w:t xml:space="preserve"> is consistent with the public interest, the purposes underlying regulation, and applicable statutes</w:t>
      </w:r>
      <w:r w:rsidR="005075EC">
        <w:t xml:space="preserve"> and </w:t>
      </w:r>
      <w:r w:rsidR="008944B1">
        <w:t xml:space="preserve">that </w:t>
      </w:r>
      <w:r w:rsidR="005075EC">
        <w:t>the extension should be granted</w:t>
      </w:r>
      <w:r w:rsidRPr="004678C3">
        <w:t>.</w:t>
      </w:r>
    </w:p>
    <w:p w14:paraId="65568EF2" w14:textId="77777777" w:rsidR="002D6501" w:rsidRDefault="002D6501" w:rsidP="002D6501">
      <w:pPr>
        <w:pStyle w:val="ListParagraph"/>
      </w:pPr>
    </w:p>
    <w:p w14:paraId="559F8FA5" w14:textId="5D5ABF65" w:rsidR="002D6501" w:rsidRPr="00C36438" w:rsidRDefault="002D6501" w:rsidP="00F07574">
      <w:pPr>
        <w:pStyle w:val="ListParagraph"/>
        <w:numPr>
          <w:ilvl w:val="0"/>
          <w:numId w:val="15"/>
        </w:numPr>
      </w:pPr>
      <w:r w:rsidRPr="00C36438">
        <w:t xml:space="preserve">Staff recommends a one-year extension of the exemption for the two cell sites instead of a permanent exemption.  WAC 480-07-110 provides that </w:t>
      </w:r>
      <w:r w:rsidR="00F4322A">
        <w:t xml:space="preserve">the </w:t>
      </w:r>
      <w:r w:rsidR="00750760" w:rsidRPr="00C36438">
        <w:t>C</w:t>
      </w:r>
      <w:r w:rsidRPr="00C36438">
        <w:t>ommission may grant an exemption from or modify the application of its rules in individual cases. </w:t>
      </w:r>
      <w:r w:rsidR="005C3AA9">
        <w:t xml:space="preserve"> </w:t>
      </w:r>
      <w:r w:rsidRPr="00C36438">
        <w:t xml:space="preserve"> The Commission refrains from granting blanket, permanent exemptions from its rules because circumstances may change in the future.   </w:t>
      </w:r>
    </w:p>
    <w:p w14:paraId="3F507460" w14:textId="77777777" w:rsidR="002D6501" w:rsidRDefault="002D6501">
      <w:pPr>
        <w:pStyle w:val="SectionHeading"/>
        <w:spacing w:line="288" w:lineRule="auto"/>
        <w:rPr>
          <w:bCs w:val="0"/>
          <w:szCs w:val="24"/>
        </w:rPr>
      </w:pPr>
    </w:p>
    <w:p w14:paraId="6C91439E" w14:textId="77777777" w:rsidR="00C36438" w:rsidRPr="00C36438" w:rsidRDefault="00C36438" w:rsidP="00C36438">
      <w:pPr>
        <w:pStyle w:val="NumberedParagraph"/>
        <w:numPr>
          <w:ilvl w:val="0"/>
          <w:numId w:val="0"/>
        </w:numPr>
      </w:pPr>
    </w:p>
    <w:p w14:paraId="3786A62E" w14:textId="77777777" w:rsidR="00295601" w:rsidRPr="006406DE" w:rsidRDefault="00295601">
      <w:pPr>
        <w:pStyle w:val="SectionHeading"/>
        <w:spacing w:line="288" w:lineRule="auto"/>
        <w:rPr>
          <w:bCs w:val="0"/>
          <w:szCs w:val="24"/>
        </w:rPr>
      </w:pPr>
      <w:r w:rsidRPr="006406DE">
        <w:rPr>
          <w:bCs w:val="0"/>
          <w:szCs w:val="24"/>
        </w:rPr>
        <w:lastRenderedPageBreak/>
        <w:t>FINDINGS AND CONCLUSIONS</w:t>
      </w:r>
    </w:p>
    <w:p w14:paraId="3786A62F" w14:textId="77777777" w:rsidR="00295601" w:rsidRPr="006406DE" w:rsidRDefault="00295601">
      <w:pPr>
        <w:pStyle w:val="Header"/>
        <w:spacing w:line="288" w:lineRule="auto"/>
        <w:rPr>
          <w:bCs/>
        </w:rPr>
      </w:pPr>
    </w:p>
    <w:p w14:paraId="3786A630" w14:textId="77777777" w:rsidR="001B0766" w:rsidRPr="00542E9B" w:rsidRDefault="00295601" w:rsidP="00C57418">
      <w:pPr>
        <w:numPr>
          <w:ilvl w:val="0"/>
          <w:numId w:val="15"/>
        </w:numPr>
        <w:spacing w:line="288" w:lineRule="auto"/>
        <w:ind w:left="700" w:hanging="1420"/>
        <w:rPr>
          <w:bCs/>
          <w:i/>
          <w:iCs/>
        </w:rPr>
      </w:pPr>
      <w:r w:rsidRPr="00542E9B">
        <w:rPr>
          <w:bCs/>
        </w:rPr>
        <w:t>(1)</w:t>
      </w:r>
      <w:r w:rsidRPr="00542E9B">
        <w:rPr>
          <w:bCs/>
        </w:rPr>
        <w:tab/>
      </w:r>
      <w:r w:rsidR="00614E0D" w:rsidRPr="00542E9B">
        <w:rPr>
          <w:bCs/>
        </w:rPr>
        <w:t xml:space="preserve">The </w:t>
      </w:r>
      <w:r w:rsidR="00542E9B" w:rsidRPr="00542E9B">
        <w:rPr>
          <w:bCs/>
        </w:rPr>
        <w:t>Commission</w:t>
      </w:r>
      <w:r w:rsidR="00614E0D" w:rsidRPr="00542E9B">
        <w:rPr>
          <w:bCs/>
        </w:rPr>
        <w:t xml:space="preserve"> has jurisdiction over </w:t>
      </w:r>
      <w:r w:rsidR="0068688A" w:rsidRPr="00542E9B">
        <w:rPr>
          <w:bCs/>
        </w:rPr>
        <w:t>Eligible</w:t>
      </w:r>
      <w:r w:rsidR="00772B60" w:rsidRPr="00542E9B">
        <w:rPr>
          <w:bCs/>
        </w:rPr>
        <w:t xml:space="preserve"> Telecommunications Carriers in Washington and </w:t>
      </w:r>
      <w:r w:rsidR="00614E0D" w:rsidRPr="00542E9B">
        <w:rPr>
          <w:bCs/>
        </w:rPr>
        <w:t>the subject matter</w:t>
      </w:r>
      <w:r w:rsidR="003C74AA" w:rsidRPr="00542E9B">
        <w:rPr>
          <w:bCs/>
        </w:rPr>
        <w:t xml:space="preserve"> </w:t>
      </w:r>
      <w:r w:rsidR="00EA5FBC" w:rsidRPr="00542E9B">
        <w:rPr>
          <w:bCs/>
        </w:rPr>
        <w:t xml:space="preserve">of this Order </w:t>
      </w:r>
      <w:r w:rsidR="003C74AA" w:rsidRPr="00542E9B">
        <w:rPr>
          <w:bCs/>
        </w:rPr>
        <w:t xml:space="preserve">pursuant to </w:t>
      </w:r>
      <w:r w:rsidR="00F75620" w:rsidRPr="00542E9B">
        <w:rPr>
          <w:bCs/>
        </w:rPr>
        <w:t>WAC 480-123</w:t>
      </w:r>
      <w:r w:rsidR="001B0766" w:rsidRPr="00542E9B">
        <w:rPr>
          <w:bCs/>
        </w:rPr>
        <w:t>.</w:t>
      </w:r>
    </w:p>
    <w:p w14:paraId="3786A631" w14:textId="77777777" w:rsidR="00295601" w:rsidRPr="00542E9B" w:rsidRDefault="00295601" w:rsidP="00C57418">
      <w:pPr>
        <w:spacing w:line="288" w:lineRule="auto"/>
        <w:rPr>
          <w:bCs/>
        </w:rPr>
      </w:pPr>
    </w:p>
    <w:p w14:paraId="3786A632" w14:textId="77777777" w:rsidR="005507E2" w:rsidRPr="00542E9B" w:rsidRDefault="00295601" w:rsidP="00031824">
      <w:pPr>
        <w:numPr>
          <w:ilvl w:val="0"/>
          <w:numId w:val="15"/>
        </w:numPr>
        <w:spacing w:line="288" w:lineRule="auto"/>
        <w:ind w:left="700" w:hanging="1420"/>
        <w:rPr>
          <w:bCs/>
        </w:rPr>
      </w:pPr>
      <w:r w:rsidRPr="00542E9B">
        <w:rPr>
          <w:bCs/>
        </w:rPr>
        <w:t>(2)</w:t>
      </w:r>
      <w:r w:rsidRPr="00542E9B">
        <w:rPr>
          <w:bCs/>
        </w:rPr>
        <w:tab/>
      </w:r>
      <w:r w:rsidR="00A75B54" w:rsidRPr="00542E9B">
        <w:rPr>
          <w:bCs/>
        </w:rPr>
        <w:t xml:space="preserve">AT&amp;T Mobility is </w:t>
      </w:r>
      <w:r w:rsidR="008A7C1D" w:rsidRPr="00542E9B">
        <w:rPr>
          <w:bCs/>
        </w:rPr>
        <w:t xml:space="preserve">an </w:t>
      </w:r>
      <w:r w:rsidR="006406DE" w:rsidRPr="00542E9B">
        <w:rPr>
          <w:bCs/>
        </w:rPr>
        <w:t>ETC</w:t>
      </w:r>
      <w:r w:rsidR="008A7C1D" w:rsidRPr="00542E9B">
        <w:rPr>
          <w:bCs/>
        </w:rPr>
        <w:t xml:space="preserve"> </w:t>
      </w:r>
      <w:r w:rsidR="002C75CE" w:rsidRPr="00542E9B">
        <w:rPr>
          <w:bCs/>
        </w:rPr>
        <w:t xml:space="preserve">designated </w:t>
      </w:r>
      <w:r w:rsidR="00A75B54" w:rsidRPr="00542E9B">
        <w:rPr>
          <w:bCs/>
        </w:rPr>
        <w:t xml:space="preserve">by the </w:t>
      </w:r>
      <w:r w:rsidR="00542E9B" w:rsidRPr="00542E9B">
        <w:rPr>
          <w:bCs/>
        </w:rPr>
        <w:t>Commission</w:t>
      </w:r>
      <w:r w:rsidR="00A75B54" w:rsidRPr="00542E9B">
        <w:rPr>
          <w:bCs/>
        </w:rPr>
        <w:t>.</w:t>
      </w:r>
      <w:r w:rsidR="005507E2" w:rsidRPr="00542E9B">
        <w:rPr>
          <w:bCs/>
        </w:rPr>
        <w:t xml:space="preserve"> </w:t>
      </w:r>
    </w:p>
    <w:p w14:paraId="3786A633" w14:textId="77777777" w:rsidR="005507E2" w:rsidRPr="007D5693" w:rsidRDefault="005507E2" w:rsidP="007D5693">
      <w:pPr>
        <w:rPr>
          <w:bCs/>
        </w:rPr>
      </w:pPr>
    </w:p>
    <w:p w14:paraId="3786A634" w14:textId="77777777" w:rsidR="00E10AD8" w:rsidRPr="007D5693" w:rsidRDefault="005507E2" w:rsidP="00031824">
      <w:pPr>
        <w:numPr>
          <w:ilvl w:val="0"/>
          <w:numId w:val="15"/>
        </w:numPr>
        <w:spacing w:line="288" w:lineRule="auto"/>
        <w:ind w:left="700" w:hanging="1420"/>
        <w:rPr>
          <w:bCs/>
        </w:rPr>
      </w:pPr>
      <w:r w:rsidRPr="007D5693">
        <w:rPr>
          <w:bCs/>
        </w:rPr>
        <w:t>(4)</w:t>
      </w:r>
      <w:r w:rsidRPr="007D5693">
        <w:rPr>
          <w:bCs/>
        </w:rPr>
        <w:tab/>
      </w:r>
      <w:r w:rsidR="00FA289A" w:rsidRPr="007D5693">
        <w:rPr>
          <w:bCs/>
        </w:rPr>
        <w:t>In</w:t>
      </w:r>
      <w:r w:rsidR="00E77F9A" w:rsidRPr="007D5693">
        <w:rPr>
          <w:bCs/>
        </w:rPr>
        <w:t xml:space="preserve"> Docket UT-063060, </w:t>
      </w:r>
      <w:r w:rsidR="00FA289A" w:rsidRPr="007D5693">
        <w:rPr>
          <w:bCs/>
        </w:rPr>
        <w:t>Order 0</w:t>
      </w:r>
      <w:r w:rsidR="007D5693" w:rsidRPr="007D5693">
        <w:rPr>
          <w:bCs/>
        </w:rPr>
        <w:t>3</w:t>
      </w:r>
      <w:r w:rsidR="00FA289A" w:rsidRPr="007D5693">
        <w:rPr>
          <w:bCs/>
        </w:rPr>
        <w:t xml:space="preserve">, </w:t>
      </w:r>
      <w:r w:rsidR="002F01F5" w:rsidRPr="007D5693">
        <w:rPr>
          <w:bCs/>
        </w:rPr>
        <w:t xml:space="preserve">the </w:t>
      </w:r>
      <w:r w:rsidR="00542E9B" w:rsidRPr="007D5693">
        <w:rPr>
          <w:bCs/>
        </w:rPr>
        <w:t>Commission</w:t>
      </w:r>
      <w:r w:rsidR="002F01F5" w:rsidRPr="007D5693">
        <w:rPr>
          <w:bCs/>
        </w:rPr>
        <w:t xml:space="preserve"> granted </w:t>
      </w:r>
      <w:r w:rsidR="008A7C1D" w:rsidRPr="007D5693">
        <w:rPr>
          <w:bCs/>
        </w:rPr>
        <w:t xml:space="preserve">AT&amp;T Mobility </w:t>
      </w:r>
      <w:r w:rsidR="00A75B54" w:rsidRPr="007D5693">
        <w:rPr>
          <w:bCs/>
        </w:rPr>
        <w:t xml:space="preserve">a </w:t>
      </w:r>
      <w:r w:rsidR="008A7C1D" w:rsidRPr="007D5693">
        <w:rPr>
          <w:bCs/>
        </w:rPr>
        <w:t xml:space="preserve">temporary </w:t>
      </w:r>
      <w:r w:rsidR="00A75B54" w:rsidRPr="007D5693">
        <w:rPr>
          <w:bCs/>
        </w:rPr>
        <w:t xml:space="preserve">exemption </w:t>
      </w:r>
      <w:r w:rsidR="007D5693" w:rsidRPr="007D5693">
        <w:rPr>
          <w:bCs/>
        </w:rPr>
        <w:t xml:space="preserve">for all non-priority cell sites </w:t>
      </w:r>
      <w:r w:rsidR="00A75B54" w:rsidRPr="007D5693">
        <w:rPr>
          <w:bCs/>
        </w:rPr>
        <w:t>from the back</w:t>
      </w:r>
      <w:r w:rsidR="007C6BE0" w:rsidRPr="007D5693">
        <w:rPr>
          <w:bCs/>
        </w:rPr>
        <w:t>-</w:t>
      </w:r>
      <w:r w:rsidR="00A75B54" w:rsidRPr="007D5693">
        <w:rPr>
          <w:bCs/>
        </w:rPr>
        <w:t>up power requirement</w:t>
      </w:r>
      <w:r w:rsidR="002F01F5" w:rsidRPr="007D5693">
        <w:rPr>
          <w:bCs/>
        </w:rPr>
        <w:t>s</w:t>
      </w:r>
      <w:r w:rsidR="00A75B54" w:rsidRPr="007D5693">
        <w:rPr>
          <w:bCs/>
        </w:rPr>
        <w:t xml:space="preserve"> </w:t>
      </w:r>
      <w:r w:rsidR="002F01F5" w:rsidRPr="007D5693">
        <w:rPr>
          <w:bCs/>
        </w:rPr>
        <w:t>of</w:t>
      </w:r>
      <w:r w:rsidR="00A75B54" w:rsidRPr="007D5693">
        <w:rPr>
          <w:bCs/>
        </w:rPr>
        <w:t xml:space="preserve"> WAC 480-123-030(1</w:t>
      </w:r>
      <w:r w:rsidR="0068688A" w:rsidRPr="007D5693">
        <w:rPr>
          <w:bCs/>
        </w:rPr>
        <w:t>)(</w:t>
      </w:r>
      <w:r w:rsidR="00A75B54" w:rsidRPr="007D5693">
        <w:rPr>
          <w:bCs/>
        </w:rPr>
        <w:t xml:space="preserve">g) and WAC 480-123-070(6) </w:t>
      </w:r>
      <w:r w:rsidR="007D5693" w:rsidRPr="007D5693">
        <w:t>until July 1, 2012.</w:t>
      </w:r>
    </w:p>
    <w:p w14:paraId="3786A635" w14:textId="77777777" w:rsidR="00E10AD8" w:rsidRPr="007D5693" w:rsidRDefault="00E10AD8" w:rsidP="00E10AD8">
      <w:pPr>
        <w:pStyle w:val="ListParagraph"/>
        <w:rPr>
          <w:bCs/>
        </w:rPr>
      </w:pPr>
    </w:p>
    <w:p w14:paraId="3786A636" w14:textId="5FF19931" w:rsidR="00FE1EC6" w:rsidRDefault="00E10AD8" w:rsidP="00031824">
      <w:pPr>
        <w:numPr>
          <w:ilvl w:val="0"/>
          <w:numId w:val="15"/>
        </w:numPr>
        <w:spacing w:line="288" w:lineRule="auto"/>
        <w:ind w:left="700" w:hanging="1420"/>
        <w:rPr>
          <w:bCs/>
        </w:rPr>
      </w:pPr>
      <w:r w:rsidRPr="007D5693">
        <w:rPr>
          <w:bCs/>
        </w:rPr>
        <w:t>(5)</w:t>
      </w:r>
      <w:r w:rsidRPr="007D5693">
        <w:rPr>
          <w:bCs/>
        </w:rPr>
        <w:tab/>
      </w:r>
      <w:r w:rsidR="00FE1EC6" w:rsidRPr="007D5693">
        <w:t xml:space="preserve">With the exception of </w:t>
      </w:r>
      <w:r w:rsidR="00F07574">
        <w:t>two</w:t>
      </w:r>
      <w:r w:rsidR="00FE1EC6" w:rsidRPr="007D5693">
        <w:t xml:space="preserve"> </w:t>
      </w:r>
      <w:r w:rsidR="007D5693" w:rsidRPr="007D5693">
        <w:t xml:space="preserve">cell sites identified in the </w:t>
      </w:r>
      <w:r w:rsidR="00F07574">
        <w:t xml:space="preserve">amended </w:t>
      </w:r>
      <w:r w:rsidR="007D5693" w:rsidRPr="007D5693">
        <w:t>Petition</w:t>
      </w:r>
      <w:r w:rsidR="00FE1EC6" w:rsidRPr="007D5693">
        <w:t xml:space="preserve">, </w:t>
      </w:r>
      <w:r w:rsidR="00FE1EC6" w:rsidRPr="007D5693">
        <w:rPr>
          <w:bCs/>
        </w:rPr>
        <w:t>AT&amp;T Mobility</w:t>
      </w:r>
      <w:r w:rsidR="00DB1DB2">
        <w:rPr>
          <w:bCs/>
        </w:rPr>
        <w:t xml:space="preserve"> has</w:t>
      </w:r>
      <w:r w:rsidR="00FE1EC6" w:rsidRPr="007D5693">
        <w:rPr>
          <w:bCs/>
        </w:rPr>
        <w:t xml:space="preserve"> complied with Order 0</w:t>
      </w:r>
      <w:r w:rsidR="007D5693" w:rsidRPr="007D5693">
        <w:rPr>
          <w:bCs/>
        </w:rPr>
        <w:t>3</w:t>
      </w:r>
      <w:r w:rsidR="00FE1EC6" w:rsidRPr="007D5693">
        <w:rPr>
          <w:bCs/>
        </w:rPr>
        <w:t xml:space="preserve">. </w:t>
      </w:r>
    </w:p>
    <w:p w14:paraId="3786A639" w14:textId="77777777" w:rsidR="00FE1EC6" w:rsidRPr="007D5693" w:rsidRDefault="00FE1EC6" w:rsidP="00FE1EC6">
      <w:pPr>
        <w:pStyle w:val="ListParagraph"/>
        <w:rPr>
          <w:bCs/>
        </w:rPr>
      </w:pPr>
    </w:p>
    <w:p w14:paraId="75045C7F" w14:textId="77777777" w:rsidR="00DD27E1" w:rsidRDefault="00E10AD8" w:rsidP="00DD27E1">
      <w:pPr>
        <w:numPr>
          <w:ilvl w:val="0"/>
          <w:numId w:val="15"/>
        </w:numPr>
        <w:spacing w:line="288" w:lineRule="auto"/>
        <w:ind w:left="700" w:hanging="1420"/>
        <w:rPr>
          <w:bCs/>
        </w:rPr>
      </w:pPr>
      <w:r w:rsidRPr="00542E9B">
        <w:t>(7</w:t>
      </w:r>
      <w:r w:rsidR="005507E2" w:rsidRPr="00542E9B">
        <w:t>)</w:t>
      </w:r>
      <w:r w:rsidR="005507E2" w:rsidRPr="00542E9B">
        <w:tab/>
      </w:r>
      <w:r w:rsidR="005075EC">
        <w:t xml:space="preserve">The </w:t>
      </w:r>
      <w:proofErr w:type="spellStart"/>
      <w:r w:rsidR="005075EC">
        <w:t>Comission</w:t>
      </w:r>
      <w:proofErr w:type="spellEnd"/>
      <w:r w:rsidR="005075EC">
        <w:t xml:space="preserve"> has reviewed the request and the supporting data and</w:t>
      </w:r>
      <w:r w:rsidR="00844279">
        <w:t xml:space="preserve"> finds the request of a one-year extension of the </w:t>
      </w:r>
      <w:r w:rsidR="00542E9B" w:rsidRPr="00542E9B">
        <w:t xml:space="preserve"> </w:t>
      </w:r>
      <w:r w:rsidR="00A75B54" w:rsidRPr="00542E9B">
        <w:t xml:space="preserve">exemption </w:t>
      </w:r>
      <w:r w:rsidR="00CD0C01" w:rsidRPr="00542E9B">
        <w:t xml:space="preserve">from WAC 480-123-070(6) and WAC 480-123-030(1)(g) </w:t>
      </w:r>
      <w:r w:rsidR="00542E9B" w:rsidRPr="00542E9B">
        <w:t xml:space="preserve">for the </w:t>
      </w:r>
      <w:r w:rsidR="00F07574">
        <w:t>two</w:t>
      </w:r>
      <w:r w:rsidR="00542E9B" w:rsidRPr="00542E9B">
        <w:t xml:space="preserve"> cell sites identified in the Company’s petition</w:t>
      </w:r>
      <w:r w:rsidR="00844279">
        <w:t xml:space="preserve"> reasonable and</w:t>
      </w:r>
      <w:r w:rsidR="00A75B54" w:rsidRPr="00542E9B">
        <w:t xml:space="preserve"> consistent with the public interest</w:t>
      </w:r>
      <w:r w:rsidR="00D214B2" w:rsidRPr="00542E9B">
        <w:rPr>
          <w:bCs/>
        </w:rPr>
        <w:t>.</w:t>
      </w:r>
      <w:r w:rsidR="001D28A3" w:rsidRPr="00542E9B">
        <w:rPr>
          <w:bCs/>
        </w:rPr>
        <w:t xml:space="preserve"> </w:t>
      </w:r>
    </w:p>
    <w:p w14:paraId="3C051997" w14:textId="3B1FFFA7" w:rsidR="00DD27E1" w:rsidRPr="00DD27E1" w:rsidRDefault="00DD27E1" w:rsidP="002D6501">
      <w:pPr>
        <w:spacing w:line="288" w:lineRule="auto"/>
      </w:pPr>
      <w:r w:rsidRPr="00DD27E1">
        <w:t xml:space="preserve"> </w:t>
      </w:r>
    </w:p>
    <w:p w14:paraId="3786A63B" w14:textId="77777777" w:rsidR="001E36FF" w:rsidRPr="007D5693" w:rsidRDefault="001E36FF">
      <w:pPr>
        <w:pStyle w:val="Heading3"/>
        <w:spacing w:line="288" w:lineRule="auto"/>
        <w:rPr>
          <w:bCs w:val="0"/>
        </w:rPr>
      </w:pPr>
    </w:p>
    <w:p w14:paraId="3786A63C" w14:textId="77777777" w:rsidR="00295601" w:rsidRPr="006406DE" w:rsidRDefault="00295601">
      <w:pPr>
        <w:pStyle w:val="Heading3"/>
        <w:spacing w:line="288" w:lineRule="auto"/>
        <w:rPr>
          <w:bCs w:val="0"/>
        </w:rPr>
      </w:pPr>
      <w:r w:rsidRPr="006406DE">
        <w:rPr>
          <w:bCs w:val="0"/>
        </w:rPr>
        <w:t>O R D E R</w:t>
      </w:r>
    </w:p>
    <w:p w14:paraId="3786A63D" w14:textId="77777777" w:rsidR="00295601" w:rsidRPr="006406DE" w:rsidRDefault="00295601">
      <w:pPr>
        <w:spacing w:line="288" w:lineRule="auto"/>
        <w:jc w:val="center"/>
        <w:rPr>
          <w:bCs/>
        </w:rPr>
      </w:pPr>
    </w:p>
    <w:p w14:paraId="3786A63E" w14:textId="77777777" w:rsidR="00D52D0C" w:rsidRPr="006406DE" w:rsidRDefault="00295601" w:rsidP="007A1382">
      <w:pPr>
        <w:spacing w:line="288" w:lineRule="auto"/>
        <w:ind w:left="-720" w:firstLine="720"/>
        <w:rPr>
          <w:b/>
          <w:bCs/>
        </w:rPr>
      </w:pPr>
      <w:r w:rsidRPr="006406DE">
        <w:rPr>
          <w:b/>
          <w:bCs/>
        </w:rPr>
        <w:t xml:space="preserve">THE </w:t>
      </w:r>
      <w:r w:rsidR="00542E9B">
        <w:rPr>
          <w:b/>
          <w:bCs/>
        </w:rPr>
        <w:t>COMMISSION</w:t>
      </w:r>
      <w:r w:rsidRPr="006406DE">
        <w:rPr>
          <w:b/>
          <w:bCs/>
        </w:rPr>
        <w:t xml:space="preserve"> ORDERS</w:t>
      </w:r>
      <w:r w:rsidR="00D52D0C" w:rsidRPr="006406DE">
        <w:rPr>
          <w:b/>
          <w:bCs/>
        </w:rPr>
        <w:t>:</w:t>
      </w:r>
    </w:p>
    <w:p w14:paraId="3786A63F" w14:textId="77777777" w:rsidR="00295601" w:rsidRPr="006406DE" w:rsidRDefault="00295601" w:rsidP="004132BF">
      <w:pPr>
        <w:spacing w:line="288" w:lineRule="auto"/>
        <w:rPr>
          <w:bCs/>
        </w:rPr>
      </w:pPr>
    </w:p>
    <w:p w14:paraId="638D490D" w14:textId="77777777" w:rsidR="00F07574" w:rsidRPr="00F07574" w:rsidRDefault="00295601" w:rsidP="00F07574">
      <w:pPr>
        <w:numPr>
          <w:ilvl w:val="0"/>
          <w:numId w:val="15"/>
        </w:numPr>
        <w:spacing w:line="288" w:lineRule="auto"/>
        <w:ind w:left="720" w:hanging="1440"/>
        <w:rPr>
          <w:u w:val="single"/>
        </w:rPr>
      </w:pPr>
      <w:r w:rsidRPr="007D5693">
        <w:rPr>
          <w:bCs/>
        </w:rPr>
        <w:t>(1)</w:t>
      </w:r>
      <w:r w:rsidRPr="007D5693">
        <w:rPr>
          <w:bCs/>
        </w:rPr>
        <w:tab/>
      </w:r>
      <w:r w:rsidR="00F07574">
        <w:rPr>
          <w:bCs/>
        </w:rPr>
        <w:t xml:space="preserve">The petition for a permanent exemption </w:t>
      </w:r>
      <w:r w:rsidR="00F07574" w:rsidRPr="007D5693">
        <w:rPr>
          <w:bCs/>
        </w:rPr>
        <w:t>from WAC 480-123-070(6) and WAC 480-123-030(1</w:t>
      </w:r>
      <w:proofErr w:type="gramStart"/>
      <w:r w:rsidR="00F07574" w:rsidRPr="007D5693">
        <w:rPr>
          <w:bCs/>
        </w:rPr>
        <w:t>)(</w:t>
      </w:r>
      <w:proofErr w:type="gramEnd"/>
      <w:r w:rsidR="00F07574" w:rsidRPr="007D5693">
        <w:rPr>
          <w:bCs/>
        </w:rPr>
        <w:t xml:space="preserve">g) for the </w:t>
      </w:r>
      <w:r w:rsidR="00F07574">
        <w:rPr>
          <w:bCs/>
        </w:rPr>
        <w:t>two</w:t>
      </w:r>
      <w:r w:rsidR="00F07574" w:rsidRPr="007D5693">
        <w:rPr>
          <w:bCs/>
        </w:rPr>
        <w:t xml:space="preserve"> non-priority </w:t>
      </w:r>
      <w:r w:rsidR="00F07574">
        <w:rPr>
          <w:bCs/>
        </w:rPr>
        <w:t xml:space="preserve">capacity </w:t>
      </w:r>
      <w:r w:rsidR="00F07574" w:rsidRPr="007D5693">
        <w:rPr>
          <w:bCs/>
        </w:rPr>
        <w:t xml:space="preserve">cell sites </w:t>
      </w:r>
      <w:r w:rsidR="00F07574">
        <w:rPr>
          <w:bCs/>
        </w:rPr>
        <w:t>is denied.</w:t>
      </w:r>
    </w:p>
    <w:p w14:paraId="50D649CD" w14:textId="77777777" w:rsidR="00F07574" w:rsidRDefault="00F07574" w:rsidP="00F07574">
      <w:pPr>
        <w:spacing w:line="288" w:lineRule="auto"/>
        <w:ind w:left="720"/>
        <w:rPr>
          <w:u w:val="single"/>
        </w:rPr>
      </w:pPr>
    </w:p>
    <w:p w14:paraId="3786A640" w14:textId="4A667072" w:rsidR="00BB00E3" w:rsidRPr="00F07574" w:rsidRDefault="00F07574" w:rsidP="00F07574">
      <w:pPr>
        <w:numPr>
          <w:ilvl w:val="0"/>
          <w:numId w:val="15"/>
        </w:numPr>
        <w:spacing w:line="288" w:lineRule="auto"/>
        <w:ind w:left="720" w:hanging="1440"/>
        <w:rPr>
          <w:u w:val="single"/>
        </w:rPr>
      </w:pPr>
      <w:r w:rsidRPr="00F07574">
        <w:t>(2)</w:t>
      </w:r>
      <w:r w:rsidRPr="00F07574">
        <w:tab/>
      </w:r>
      <w:r w:rsidR="007D5693" w:rsidRPr="00F07574">
        <w:rPr>
          <w:bCs/>
        </w:rPr>
        <w:t>T</w:t>
      </w:r>
      <w:r w:rsidR="00614E0D" w:rsidRPr="00F07574">
        <w:rPr>
          <w:bCs/>
        </w:rPr>
        <w:t xml:space="preserve">he </w:t>
      </w:r>
      <w:r w:rsidR="00A75B54" w:rsidRPr="00F07574">
        <w:rPr>
          <w:bCs/>
        </w:rPr>
        <w:t>p</w:t>
      </w:r>
      <w:r w:rsidR="002D758C" w:rsidRPr="00F07574">
        <w:rPr>
          <w:bCs/>
        </w:rPr>
        <w:t xml:space="preserve">etition for </w:t>
      </w:r>
      <w:r w:rsidR="001558BC">
        <w:rPr>
          <w:bCs/>
        </w:rPr>
        <w:t>a</w:t>
      </w:r>
      <w:r w:rsidRPr="00F07574">
        <w:rPr>
          <w:bCs/>
        </w:rPr>
        <w:t xml:space="preserve"> temporary</w:t>
      </w:r>
      <w:r w:rsidR="00CD0C01" w:rsidRPr="00F07574">
        <w:rPr>
          <w:bCs/>
        </w:rPr>
        <w:t xml:space="preserve"> </w:t>
      </w:r>
      <w:r w:rsidR="008A7C1D" w:rsidRPr="00F07574">
        <w:rPr>
          <w:bCs/>
        </w:rPr>
        <w:t xml:space="preserve">exemption </w:t>
      </w:r>
      <w:r w:rsidR="001558BC">
        <w:rPr>
          <w:bCs/>
        </w:rPr>
        <w:t xml:space="preserve">of one year </w:t>
      </w:r>
      <w:r w:rsidR="008A7C1D" w:rsidRPr="00F07574">
        <w:rPr>
          <w:bCs/>
        </w:rPr>
        <w:t xml:space="preserve">from WAC 480-123-070(6) and WAC 480-123-030(1)(g) for </w:t>
      </w:r>
      <w:r w:rsidR="00C31FA7" w:rsidRPr="00F07574">
        <w:rPr>
          <w:bCs/>
        </w:rPr>
        <w:t xml:space="preserve">the </w:t>
      </w:r>
      <w:r w:rsidRPr="00F07574">
        <w:rPr>
          <w:bCs/>
        </w:rPr>
        <w:t>two</w:t>
      </w:r>
      <w:r w:rsidR="007D5693" w:rsidRPr="00F07574">
        <w:rPr>
          <w:bCs/>
        </w:rPr>
        <w:t xml:space="preserve"> non-priority</w:t>
      </w:r>
      <w:r w:rsidR="008A7C1D" w:rsidRPr="00F07574">
        <w:rPr>
          <w:bCs/>
        </w:rPr>
        <w:t xml:space="preserve"> </w:t>
      </w:r>
      <w:r w:rsidR="007D5693" w:rsidRPr="00F07574">
        <w:rPr>
          <w:bCs/>
        </w:rPr>
        <w:t xml:space="preserve">capacity </w:t>
      </w:r>
      <w:r w:rsidR="008A7C1D" w:rsidRPr="00F07574">
        <w:rPr>
          <w:bCs/>
        </w:rPr>
        <w:t xml:space="preserve">cell sites </w:t>
      </w:r>
      <w:r w:rsidR="00A75B54" w:rsidRPr="00F07574">
        <w:rPr>
          <w:bCs/>
        </w:rPr>
        <w:t>is granted</w:t>
      </w:r>
      <w:r w:rsidR="004028D1" w:rsidRPr="007D5693">
        <w:t>, subj</w:t>
      </w:r>
      <w:r w:rsidR="00B00191" w:rsidRPr="007D5693">
        <w:t>ect to the condition</w:t>
      </w:r>
      <w:r w:rsidR="006406DE" w:rsidRPr="007D5693">
        <w:t xml:space="preserve"> that t</w:t>
      </w:r>
      <w:r w:rsidR="00A75B54" w:rsidRPr="007D5693">
        <w:t xml:space="preserve">he </w:t>
      </w:r>
      <w:r w:rsidR="00542E9B" w:rsidRPr="007D5693">
        <w:t>Company</w:t>
      </w:r>
      <w:r w:rsidR="00A75B54" w:rsidRPr="007D5693">
        <w:t xml:space="preserve"> </w:t>
      </w:r>
      <w:r w:rsidR="005B425D" w:rsidRPr="007D5693">
        <w:t>must</w:t>
      </w:r>
      <w:r w:rsidR="00A75B54" w:rsidRPr="007D5693">
        <w:t xml:space="preserve"> </w:t>
      </w:r>
      <w:r w:rsidR="007D5693" w:rsidRPr="007D5693">
        <w:t>provide a minimum of four hours of back-up power at all new cell sites</w:t>
      </w:r>
      <w:r w:rsidR="007818F9" w:rsidRPr="00F07574">
        <w:rPr>
          <w:bCs/>
        </w:rPr>
        <w:t xml:space="preserve">. </w:t>
      </w:r>
      <w:r w:rsidR="00F02D68" w:rsidRPr="00F07574">
        <w:rPr>
          <w:bCs/>
        </w:rPr>
        <w:br/>
      </w:r>
    </w:p>
    <w:p w14:paraId="3786A641" w14:textId="77777777" w:rsidR="00295601" w:rsidRPr="007D5693" w:rsidRDefault="00BB00E3" w:rsidP="00BB00E3">
      <w:pPr>
        <w:numPr>
          <w:ilvl w:val="0"/>
          <w:numId w:val="15"/>
        </w:numPr>
        <w:spacing w:line="288" w:lineRule="auto"/>
        <w:ind w:left="700" w:hanging="1420"/>
        <w:rPr>
          <w:bCs/>
        </w:rPr>
      </w:pPr>
      <w:r w:rsidRPr="007D5693">
        <w:rPr>
          <w:bCs/>
        </w:rPr>
        <w:t>(</w:t>
      </w:r>
      <w:r w:rsidR="007D5693" w:rsidRPr="007D5693">
        <w:rPr>
          <w:bCs/>
        </w:rPr>
        <w:t>2</w:t>
      </w:r>
      <w:r w:rsidRPr="007D5693">
        <w:rPr>
          <w:bCs/>
        </w:rPr>
        <w:t>)</w:t>
      </w:r>
      <w:r w:rsidRPr="007D5693">
        <w:rPr>
          <w:bCs/>
        </w:rPr>
        <w:tab/>
        <w:t xml:space="preserve">The </w:t>
      </w:r>
      <w:r w:rsidR="00542E9B" w:rsidRPr="007D5693">
        <w:rPr>
          <w:bCs/>
        </w:rPr>
        <w:t>Commission</w:t>
      </w:r>
      <w:r w:rsidRPr="007D5693">
        <w:rPr>
          <w:bCs/>
        </w:rPr>
        <w:t xml:space="preserve"> retains jurisdiction over AT&amp;T Mobility</w:t>
      </w:r>
      <w:r w:rsidR="00FC2CCF" w:rsidRPr="007D5693">
        <w:rPr>
          <w:bCs/>
        </w:rPr>
        <w:t>’s</w:t>
      </w:r>
      <w:r w:rsidR="0058267A" w:rsidRPr="007D5693">
        <w:rPr>
          <w:bCs/>
        </w:rPr>
        <w:t xml:space="preserve"> </w:t>
      </w:r>
      <w:r w:rsidR="00165CC4" w:rsidRPr="007D5693">
        <w:rPr>
          <w:bCs/>
        </w:rPr>
        <w:t>ETC</w:t>
      </w:r>
      <w:r w:rsidR="0058267A" w:rsidRPr="007D5693">
        <w:rPr>
          <w:bCs/>
        </w:rPr>
        <w:t xml:space="preserve"> designation</w:t>
      </w:r>
      <w:r w:rsidRPr="007D5693">
        <w:rPr>
          <w:bCs/>
        </w:rPr>
        <w:t xml:space="preserve"> and the subject matter of this Order.  </w:t>
      </w:r>
    </w:p>
    <w:p w14:paraId="3786A642" w14:textId="39BF119A" w:rsidR="00BB00E3" w:rsidRPr="006406DE" w:rsidRDefault="00BB00E3" w:rsidP="00BB00E3">
      <w:pPr>
        <w:spacing w:line="288" w:lineRule="auto"/>
        <w:ind w:left="700"/>
        <w:rPr>
          <w:bCs/>
        </w:rPr>
      </w:pPr>
    </w:p>
    <w:p w14:paraId="3786A643" w14:textId="0AAD64AE" w:rsidR="000D47E0" w:rsidRDefault="000D47E0">
      <w:pPr>
        <w:spacing w:line="288" w:lineRule="auto"/>
        <w:rPr>
          <w:bCs/>
        </w:rPr>
      </w:pPr>
    </w:p>
    <w:p w14:paraId="3786A648" w14:textId="1DFC5B39" w:rsidR="00295601" w:rsidRPr="006406DE" w:rsidRDefault="00295601">
      <w:pPr>
        <w:spacing w:line="288" w:lineRule="auto"/>
        <w:rPr>
          <w:bCs/>
        </w:rPr>
      </w:pPr>
      <w:bookmarkStart w:id="3" w:name="_GoBack"/>
      <w:bookmarkEnd w:id="3"/>
      <w:proofErr w:type="gramStart"/>
      <w:r w:rsidRPr="006406DE">
        <w:rPr>
          <w:bCs/>
        </w:rPr>
        <w:lastRenderedPageBreak/>
        <w:t>DATED at Olympia, Washington</w:t>
      </w:r>
      <w:r w:rsidR="001B0766" w:rsidRPr="006406DE">
        <w:rPr>
          <w:bCs/>
        </w:rPr>
        <w:t>, and effective</w:t>
      </w:r>
      <w:r w:rsidR="00B107F3" w:rsidRPr="006406DE">
        <w:rPr>
          <w:bCs/>
          <w:color w:val="FF0000"/>
        </w:rPr>
        <w:t xml:space="preserve"> </w:t>
      </w:r>
      <w:r w:rsidR="00542E9B">
        <w:rPr>
          <w:bCs/>
        </w:rPr>
        <w:t xml:space="preserve">May </w:t>
      </w:r>
      <w:r w:rsidR="001558BC">
        <w:rPr>
          <w:bCs/>
        </w:rPr>
        <w:t>31</w:t>
      </w:r>
      <w:r w:rsidR="00542E9B">
        <w:rPr>
          <w:bCs/>
        </w:rPr>
        <w:t>, 2012</w:t>
      </w:r>
      <w:r w:rsidR="00CA6CCC" w:rsidRPr="006406DE">
        <w:rPr>
          <w:bCs/>
        </w:rPr>
        <w:fldChar w:fldCharType="begin"/>
      </w:r>
      <w:r w:rsidR="00813AB1" w:rsidRPr="006406DE">
        <w:rPr>
          <w:bCs/>
        </w:rPr>
        <w:instrText xml:space="preserve"> ASK effect_date "Enter Effective Date"</w:instrText>
      </w:r>
      <w:r w:rsidR="00CA6CCC" w:rsidRPr="006406DE">
        <w:rPr>
          <w:bCs/>
        </w:rPr>
        <w:fldChar w:fldCharType="separate"/>
      </w:r>
      <w:bookmarkStart w:id="4" w:name="effect_date"/>
      <w:r w:rsidR="00A0742C" w:rsidRPr="006406DE">
        <w:rPr>
          <w:bCs/>
        </w:rPr>
        <w:t>February 26, 2009</w:t>
      </w:r>
      <w:bookmarkEnd w:id="4"/>
      <w:r w:rsidR="00CA6CCC" w:rsidRPr="006406DE">
        <w:rPr>
          <w:bCs/>
        </w:rPr>
        <w:fldChar w:fldCharType="end"/>
      </w:r>
      <w:r w:rsidR="00B107F3" w:rsidRPr="006406DE">
        <w:rPr>
          <w:bCs/>
        </w:rPr>
        <w:t>.</w:t>
      </w:r>
      <w:proofErr w:type="gramEnd"/>
    </w:p>
    <w:p w14:paraId="3786A649" w14:textId="77777777" w:rsidR="00F0693C" w:rsidRPr="006406DE" w:rsidRDefault="00F0693C">
      <w:pPr>
        <w:spacing w:line="288" w:lineRule="auto"/>
        <w:rPr>
          <w:bCs/>
        </w:rPr>
      </w:pPr>
    </w:p>
    <w:p w14:paraId="3786A64A" w14:textId="77777777" w:rsidR="00295601" w:rsidRPr="006406DE" w:rsidRDefault="00295601" w:rsidP="0061408C">
      <w:pPr>
        <w:spacing w:line="288" w:lineRule="auto"/>
        <w:rPr>
          <w:bCs/>
        </w:rPr>
      </w:pPr>
      <w:r w:rsidRPr="006406DE">
        <w:rPr>
          <w:bCs/>
        </w:rPr>
        <w:t xml:space="preserve">WASHINGTON UTILITIES AND TRANSPORTATION </w:t>
      </w:r>
      <w:r w:rsidR="00542E9B">
        <w:rPr>
          <w:bCs/>
        </w:rPr>
        <w:t>COMMISSION</w:t>
      </w:r>
    </w:p>
    <w:p w14:paraId="3786A64B" w14:textId="77777777" w:rsidR="000C3FF8" w:rsidRPr="006406DE" w:rsidRDefault="000C3FF8" w:rsidP="0061408C">
      <w:pPr>
        <w:spacing w:line="288" w:lineRule="auto"/>
        <w:rPr>
          <w:bCs/>
        </w:rPr>
      </w:pPr>
    </w:p>
    <w:p w14:paraId="3786A64C" w14:textId="77777777" w:rsidR="000C3FF8" w:rsidRPr="006406DE" w:rsidRDefault="000C3FF8" w:rsidP="0061408C">
      <w:pPr>
        <w:spacing w:line="288" w:lineRule="auto"/>
        <w:rPr>
          <w:bCs/>
        </w:rPr>
      </w:pPr>
    </w:p>
    <w:p w14:paraId="3786A64D" w14:textId="77777777" w:rsidR="0061408C" w:rsidRPr="006406DE" w:rsidRDefault="0061408C" w:rsidP="0061408C">
      <w:pPr>
        <w:spacing w:line="288" w:lineRule="auto"/>
        <w:jc w:val="center"/>
      </w:pPr>
      <w:r w:rsidRPr="006406DE">
        <w:tab/>
      </w:r>
    </w:p>
    <w:p w14:paraId="3786A652" w14:textId="77777777" w:rsidR="005D41D5" w:rsidRPr="006406DE" w:rsidRDefault="005D41D5" w:rsidP="005D41D5">
      <w:pPr>
        <w:spacing w:line="288" w:lineRule="auto"/>
      </w:pPr>
      <w:r w:rsidRPr="006406DE">
        <w:tab/>
      </w:r>
      <w:r w:rsidRPr="006406DE">
        <w:tab/>
      </w:r>
      <w:r w:rsidRPr="006406DE">
        <w:tab/>
      </w:r>
      <w:r w:rsidRPr="006406DE">
        <w:tab/>
      </w:r>
      <w:r w:rsidRPr="006406DE">
        <w:tab/>
      </w:r>
      <w:r w:rsidRPr="006406DE">
        <w:tab/>
        <w:t xml:space="preserve">PATRICK J. OSHIE, </w:t>
      </w:r>
      <w:r w:rsidR="00542E9B">
        <w:t>Commission</w:t>
      </w:r>
      <w:r w:rsidRPr="006406DE">
        <w:t>er</w:t>
      </w:r>
    </w:p>
    <w:p w14:paraId="3786A653" w14:textId="77777777" w:rsidR="005D41D5" w:rsidRPr="006406DE" w:rsidRDefault="005D41D5" w:rsidP="005D41D5">
      <w:pPr>
        <w:spacing w:line="288" w:lineRule="auto"/>
      </w:pPr>
    </w:p>
    <w:p w14:paraId="3786A654" w14:textId="77777777" w:rsidR="005D41D5" w:rsidRPr="006406DE" w:rsidRDefault="005D41D5" w:rsidP="005D41D5">
      <w:pPr>
        <w:spacing w:line="288" w:lineRule="auto"/>
      </w:pPr>
    </w:p>
    <w:p w14:paraId="3786A655" w14:textId="77777777" w:rsidR="005D41D5" w:rsidRPr="006406DE" w:rsidRDefault="005D41D5" w:rsidP="005D41D5">
      <w:pPr>
        <w:spacing w:line="288" w:lineRule="auto"/>
      </w:pPr>
    </w:p>
    <w:p w14:paraId="3786A656" w14:textId="77777777" w:rsidR="0061408C" w:rsidRPr="006406DE" w:rsidRDefault="005D41D5" w:rsidP="005D41D5">
      <w:pPr>
        <w:spacing w:line="288" w:lineRule="auto"/>
      </w:pPr>
      <w:r w:rsidRPr="006406DE">
        <w:tab/>
      </w:r>
      <w:r w:rsidRPr="006406DE">
        <w:tab/>
      </w:r>
      <w:r w:rsidRPr="006406DE">
        <w:tab/>
      </w:r>
      <w:r w:rsidRPr="006406DE">
        <w:tab/>
      </w:r>
      <w:r w:rsidRPr="006406DE">
        <w:tab/>
      </w:r>
      <w:r w:rsidRPr="006406DE">
        <w:tab/>
        <w:t xml:space="preserve">PHILIP B. JONES, </w:t>
      </w:r>
      <w:r w:rsidR="00542E9B">
        <w:t>Commission</w:t>
      </w:r>
      <w:r w:rsidRPr="006406DE">
        <w:t>er</w:t>
      </w:r>
    </w:p>
    <w:p w14:paraId="3786A657" w14:textId="77777777" w:rsidR="00614E0D" w:rsidRDefault="00614E0D" w:rsidP="002D758C">
      <w:pPr>
        <w:spacing w:line="288" w:lineRule="auto"/>
        <w:ind w:right="-360"/>
      </w:pPr>
    </w:p>
    <w:p w14:paraId="3786A658" w14:textId="77777777" w:rsidR="00CE34AD" w:rsidRDefault="00CE34AD" w:rsidP="002D758C">
      <w:pPr>
        <w:spacing w:line="288" w:lineRule="auto"/>
        <w:ind w:right="-360"/>
      </w:pPr>
    </w:p>
    <w:p w14:paraId="3786A659" w14:textId="77777777" w:rsidR="00CE34AD" w:rsidRPr="006406DE" w:rsidRDefault="00CE34AD" w:rsidP="002D758C">
      <w:pPr>
        <w:spacing w:line="288" w:lineRule="auto"/>
        <w:ind w:right="-360"/>
      </w:pPr>
    </w:p>
    <w:sectPr w:rsidR="00CE34AD" w:rsidRPr="006406DE" w:rsidSect="00CA6CCC">
      <w:headerReference w:type="default" r:id="rId13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7C56F" w14:textId="77777777" w:rsidR="00BA6761" w:rsidRDefault="00BA6761">
      <w:r>
        <w:separator/>
      </w:r>
    </w:p>
  </w:endnote>
  <w:endnote w:type="continuationSeparator" w:id="0">
    <w:p w14:paraId="06147BB2" w14:textId="77777777" w:rsidR="00BA6761" w:rsidRDefault="00BA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90484" w14:textId="77777777" w:rsidR="00BA6761" w:rsidRDefault="00BA6761">
      <w:r>
        <w:separator/>
      </w:r>
    </w:p>
  </w:footnote>
  <w:footnote w:type="continuationSeparator" w:id="0">
    <w:p w14:paraId="5938DB50" w14:textId="77777777" w:rsidR="00BA6761" w:rsidRDefault="00BA6761">
      <w:r>
        <w:continuationSeparator/>
      </w:r>
    </w:p>
  </w:footnote>
  <w:footnote w:id="1">
    <w:p w14:paraId="4CEF6186" w14:textId="77777777" w:rsidR="00BA6761" w:rsidRPr="006C0A02" w:rsidRDefault="00BA6761" w:rsidP="00F07574">
      <w:pPr>
        <w:pStyle w:val="FootnoteText"/>
      </w:pPr>
      <w:r w:rsidRPr="006C0A02">
        <w:rPr>
          <w:rStyle w:val="FootnoteReference"/>
        </w:rPr>
        <w:footnoteRef/>
      </w:r>
      <w:r w:rsidRPr="006C0A02">
        <w:t xml:space="preserve"> </w:t>
      </w:r>
      <w:proofErr w:type="gramStart"/>
      <w:r w:rsidRPr="006C0A02">
        <w:t>UT-043011</w:t>
      </w:r>
      <w:r>
        <w:t>,</w:t>
      </w:r>
      <w:r w:rsidRPr="006C0A02">
        <w:t xml:space="preserve"> Order 01 (AT&amp;T Wireless) and Order 02 (Cingular Wireless, for identical service area</w:t>
      </w:r>
      <w:r>
        <w:t>s</w:t>
      </w:r>
      <w:r w:rsidRPr="006C0A02">
        <w:t>).</w:t>
      </w:r>
      <w:proofErr w:type="gramEnd"/>
      <w:r w:rsidRPr="006C0A02">
        <w:t xml:space="preserve"> </w:t>
      </w:r>
    </w:p>
  </w:footnote>
  <w:footnote w:id="2">
    <w:p w14:paraId="167D2CF2" w14:textId="77777777" w:rsidR="00BA6761" w:rsidRDefault="00BA6761" w:rsidP="00F07574">
      <w:pPr>
        <w:pStyle w:val="FootnoteText"/>
      </w:pPr>
      <w:r>
        <w:rPr>
          <w:rStyle w:val="FootnoteReference"/>
        </w:rPr>
        <w:footnoteRef/>
      </w:r>
      <w:r>
        <w:t xml:space="preserve"> 47 C.F.R. § 54.313-314.</w:t>
      </w:r>
    </w:p>
  </w:footnote>
  <w:footnote w:id="3">
    <w:p w14:paraId="5B31FC88" w14:textId="77777777" w:rsidR="00BA6761" w:rsidRDefault="00BA6761" w:rsidP="00F075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WAC 480-123-060.</w:t>
      </w:r>
      <w:proofErr w:type="gramEnd"/>
    </w:p>
  </w:footnote>
  <w:footnote w:id="4">
    <w:p w14:paraId="27B1C539" w14:textId="77777777" w:rsidR="00BA6761" w:rsidRPr="006C0A02" w:rsidRDefault="00BA6761" w:rsidP="00F07574">
      <w:pPr>
        <w:pStyle w:val="FootnoteText"/>
        <w:tabs>
          <w:tab w:val="left" w:pos="6210"/>
        </w:tabs>
      </w:pPr>
      <w:r w:rsidRPr="006C0A02">
        <w:rPr>
          <w:rStyle w:val="FootnoteReference"/>
        </w:rPr>
        <w:footnoteRef/>
      </w:r>
      <w:r w:rsidRPr="006C0A02">
        <w:t xml:space="preserve"> </w:t>
      </w:r>
      <w:r w:rsidRPr="00583843">
        <w:t>AT&amp;T Mobility classifies cell sites into two categories: (1) Priority 1 and -98</w:t>
      </w:r>
      <w:r>
        <w:t xml:space="preserve"> decibel (</w:t>
      </w:r>
      <w:proofErr w:type="spellStart"/>
      <w:r>
        <w:t>db</w:t>
      </w:r>
      <w:proofErr w:type="spellEnd"/>
      <w:r>
        <w:t>)</w:t>
      </w:r>
      <w:r w:rsidRPr="00583843">
        <w:t xml:space="preserve"> cell sites; (2) non-priority cell</w:t>
      </w:r>
      <w:r>
        <w:t xml:space="preserve"> sites or capacity cell sites. </w:t>
      </w:r>
    </w:p>
  </w:footnote>
  <w:footnote w:id="5">
    <w:p w14:paraId="69E7F10C" w14:textId="77777777" w:rsidR="00BA6761" w:rsidRPr="006C0A02" w:rsidRDefault="00BA6761" w:rsidP="00F07574">
      <w:pPr>
        <w:pStyle w:val="FootnoteText"/>
      </w:pPr>
      <w:r w:rsidRPr="006C0A02">
        <w:rPr>
          <w:rStyle w:val="FootnoteReference"/>
        </w:rPr>
        <w:footnoteRef/>
      </w:r>
      <w:r w:rsidRPr="006C0A02">
        <w:t xml:space="preserve"> </w:t>
      </w:r>
      <w:proofErr w:type="gramStart"/>
      <w:r w:rsidRPr="006C0A02">
        <w:t>UT-063060</w:t>
      </w:r>
      <w:r>
        <w:t>,</w:t>
      </w:r>
      <w:r w:rsidRPr="006C0A02">
        <w:t xml:space="preserve"> Order 01.</w:t>
      </w:r>
      <w:proofErr w:type="gramEnd"/>
      <w:r w:rsidRPr="006C0A02">
        <w:t xml:space="preserve"> </w:t>
      </w:r>
    </w:p>
  </w:footnote>
  <w:footnote w:id="6">
    <w:p w14:paraId="0217554B" w14:textId="77777777" w:rsidR="00BA6761" w:rsidRDefault="00BA6761" w:rsidP="00F075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Docket </w:t>
      </w:r>
      <w:r w:rsidRPr="006C0A02">
        <w:t>UT-063060</w:t>
      </w:r>
      <w:r>
        <w:t>, Order 03</w:t>
      </w:r>
      <w:r w:rsidRPr="006C0A02">
        <w:t>.</w:t>
      </w:r>
      <w:proofErr w:type="gramEnd"/>
    </w:p>
  </w:footnote>
  <w:footnote w:id="7">
    <w:p w14:paraId="542FE25B" w14:textId="77777777" w:rsidR="00BA6761" w:rsidRDefault="00BA6761" w:rsidP="00F07574">
      <w:pPr>
        <w:pStyle w:val="FootnoteText"/>
      </w:pPr>
      <w:r>
        <w:rPr>
          <w:rStyle w:val="FootnoteReference"/>
        </w:rPr>
        <w:footnoteRef/>
      </w:r>
      <w:r>
        <w:t xml:space="preserve"> In its petition, AT&amp;T Mobility asked the commission to clarify whether UT-063060 Order 01 required AT&amp;T Mobility to install any additional back-up power at its existing non-priority cell sites within its ETC designated area.</w:t>
      </w:r>
    </w:p>
  </w:footnote>
  <w:footnote w:id="8">
    <w:p w14:paraId="4C0B9B2C" w14:textId="77777777" w:rsidR="00BA6761" w:rsidRDefault="00BA6761" w:rsidP="00F075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2244B">
        <w:rPr>
          <w:i/>
        </w:rPr>
        <w:t>Id.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6A65E" w14:textId="77777777" w:rsidR="00BA6761" w:rsidRPr="002375CA" w:rsidRDefault="00BA6761" w:rsidP="00185955">
    <w:pPr>
      <w:pStyle w:val="Header"/>
      <w:tabs>
        <w:tab w:val="left" w:pos="7000"/>
      </w:tabs>
      <w:rPr>
        <w:rStyle w:val="PageNumber"/>
        <w:b/>
        <w:sz w:val="20"/>
      </w:rPr>
    </w:pPr>
    <w:r w:rsidRPr="002375CA">
      <w:rPr>
        <w:b/>
        <w:sz w:val="20"/>
      </w:rPr>
      <w:t xml:space="preserve">DOCKET </w:t>
    </w:r>
    <w:r>
      <w:rPr>
        <w:b/>
        <w:sz w:val="20"/>
      </w:rPr>
      <w:t>UT-063060</w:t>
    </w:r>
    <w:r w:rsidRPr="002375CA">
      <w:rPr>
        <w:b/>
        <w:sz w:val="20"/>
      </w:rPr>
      <w:tab/>
    </w:r>
    <w:r w:rsidRPr="002375CA">
      <w:rPr>
        <w:b/>
        <w:sz w:val="20"/>
      </w:rPr>
      <w:tab/>
      <w:t xml:space="preserve">                 PAGE </w:t>
    </w:r>
    <w:r w:rsidRPr="002375CA">
      <w:rPr>
        <w:rStyle w:val="PageNumber"/>
        <w:b/>
        <w:sz w:val="20"/>
      </w:rPr>
      <w:fldChar w:fldCharType="begin"/>
    </w:r>
    <w:r w:rsidRPr="002375CA">
      <w:rPr>
        <w:rStyle w:val="PageNumber"/>
        <w:b/>
        <w:sz w:val="20"/>
      </w:rPr>
      <w:instrText xml:space="preserve"> PAGE </w:instrText>
    </w:r>
    <w:r w:rsidRPr="002375CA">
      <w:rPr>
        <w:rStyle w:val="PageNumber"/>
        <w:b/>
        <w:sz w:val="20"/>
      </w:rPr>
      <w:fldChar w:fldCharType="separate"/>
    </w:r>
    <w:r w:rsidR="005E6DDE">
      <w:rPr>
        <w:rStyle w:val="PageNumber"/>
        <w:b/>
        <w:noProof/>
        <w:sz w:val="20"/>
      </w:rPr>
      <w:t>2</w:t>
    </w:r>
    <w:r w:rsidRPr="002375CA">
      <w:rPr>
        <w:rStyle w:val="PageNumber"/>
        <w:b/>
        <w:sz w:val="20"/>
      </w:rPr>
      <w:fldChar w:fldCharType="end"/>
    </w:r>
  </w:p>
  <w:p w14:paraId="3786A65F" w14:textId="0AF3874C" w:rsidR="00BA6761" w:rsidRPr="002375CA" w:rsidRDefault="00BA6761" w:rsidP="00185955">
    <w:pPr>
      <w:pStyle w:val="Header"/>
      <w:rPr>
        <w:rStyle w:val="PageNumber"/>
        <w:b/>
        <w:sz w:val="20"/>
      </w:rPr>
    </w:pPr>
    <w:r w:rsidRPr="002375CA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04</w:t>
    </w:r>
  </w:p>
  <w:p w14:paraId="3786A660" w14:textId="77777777" w:rsidR="00BA6761" w:rsidRDefault="00BA6761">
    <w:pPr>
      <w:pStyle w:val="Header"/>
      <w:rPr>
        <w:sz w:val="20"/>
      </w:rPr>
    </w:pPr>
  </w:p>
  <w:p w14:paraId="3786A661" w14:textId="77777777" w:rsidR="00BA6761" w:rsidRPr="007350DB" w:rsidRDefault="00BA6761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A90"/>
    <w:multiLevelType w:val="hybridMultilevel"/>
    <w:tmpl w:val="E474F9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243798"/>
    <w:multiLevelType w:val="hybridMultilevel"/>
    <w:tmpl w:val="5D365556"/>
    <w:lvl w:ilvl="0" w:tplc="07C8C67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64204C"/>
    <w:multiLevelType w:val="multilevel"/>
    <w:tmpl w:val="6B60B774"/>
    <w:lvl w:ilvl="0">
      <w:start w:val="1"/>
      <w:numFmt w:val="decimal"/>
      <w:pStyle w:val="NumberedParagraph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05299"/>
    <w:multiLevelType w:val="hybridMultilevel"/>
    <w:tmpl w:val="2250E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EE5829"/>
    <w:multiLevelType w:val="hybridMultilevel"/>
    <w:tmpl w:val="E9F4EE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064830"/>
    <w:multiLevelType w:val="multilevel"/>
    <w:tmpl w:val="164E3154"/>
    <w:lvl w:ilvl="0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E0F5B86"/>
    <w:multiLevelType w:val="hybridMultilevel"/>
    <w:tmpl w:val="52586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6"/>
  </w:num>
  <w:num w:numId="5">
    <w:abstractNumId w:val="3"/>
  </w:num>
  <w:num w:numId="6">
    <w:abstractNumId w:val="12"/>
  </w:num>
  <w:num w:numId="7">
    <w:abstractNumId w:val="5"/>
  </w:num>
  <w:num w:numId="8">
    <w:abstractNumId w:val="15"/>
  </w:num>
  <w:num w:numId="9">
    <w:abstractNumId w:val="8"/>
  </w:num>
  <w:num w:numId="10">
    <w:abstractNumId w:val="4"/>
  </w:num>
  <w:num w:numId="11">
    <w:abstractNumId w:val="10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14"/>
  </w:num>
  <w:num w:numId="17">
    <w:abstractNumId w:val="17"/>
  </w:num>
  <w:num w:numId="18">
    <w:abstractNumId w:val="0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15"/>
    <w:rsid w:val="00015FAC"/>
    <w:rsid w:val="00023D1A"/>
    <w:rsid w:val="00030056"/>
    <w:rsid w:val="00031824"/>
    <w:rsid w:val="00036ADE"/>
    <w:rsid w:val="00037F2C"/>
    <w:rsid w:val="000439F5"/>
    <w:rsid w:val="00050EBF"/>
    <w:rsid w:val="00052E65"/>
    <w:rsid w:val="00061EE2"/>
    <w:rsid w:val="00063664"/>
    <w:rsid w:val="000739F0"/>
    <w:rsid w:val="00074152"/>
    <w:rsid w:val="00075755"/>
    <w:rsid w:val="00080F36"/>
    <w:rsid w:val="00086495"/>
    <w:rsid w:val="00087518"/>
    <w:rsid w:val="00087A74"/>
    <w:rsid w:val="00090340"/>
    <w:rsid w:val="00093DAB"/>
    <w:rsid w:val="00095162"/>
    <w:rsid w:val="000A0F4C"/>
    <w:rsid w:val="000A5BCE"/>
    <w:rsid w:val="000B0239"/>
    <w:rsid w:val="000B081D"/>
    <w:rsid w:val="000C0AE7"/>
    <w:rsid w:val="000C3698"/>
    <w:rsid w:val="000C3FF8"/>
    <w:rsid w:val="000D1628"/>
    <w:rsid w:val="000D47E0"/>
    <w:rsid w:val="000D7024"/>
    <w:rsid w:val="000E0BFF"/>
    <w:rsid w:val="000F75DD"/>
    <w:rsid w:val="00101463"/>
    <w:rsid w:val="00104CD3"/>
    <w:rsid w:val="00107B14"/>
    <w:rsid w:val="00111F55"/>
    <w:rsid w:val="00113DB9"/>
    <w:rsid w:val="00116117"/>
    <w:rsid w:val="00117CFC"/>
    <w:rsid w:val="00123FAE"/>
    <w:rsid w:val="00125150"/>
    <w:rsid w:val="00135D77"/>
    <w:rsid w:val="00141FF0"/>
    <w:rsid w:val="00144FA5"/>
    <w:rsid w:val="00147548"/>
    <w:rsid w:val="0015220F"/>
    <w:rsid w:val="001558BC"/>
    <w:rsid w:val="00156DA4"/>
    <w:rsid w:val="001600C6"/>
    <w:rsid w:val="001608D0"/>
    <w:rsid w:val="00165CC4"/>
    <w:rsid w:val="00166F9A"/>
    <w:rsid w:val="00173957"/>
    <w:rsid w:val="001839E9"/>
    <w:rsid w:val="00185955"/>
    <w:rsid w:val="001863E8"/>
    <w:rsid w:val="001A33C4"/>
    <w:rsid w:val="001B0766"/>
    <w:rsid w:val="001B2983"/>
    <w:rsid w:val="001B5D4D"/>
    <w:rsid w:val="001B6A62"/>
    <w:rsid w:val="001B7D65"/>
    <w:rsid w:val="001C513D"/>
    <w:rsid w:val="001D28A3"/>
    <w:rsid w:val="001D58EE"/>
    <w:rsid w:val="001E228C"/>
    <w:rsid w:val="001E36FF"/>
    <w:rsid w:val="001F02C2"/>
    <w:rsid w:val="0020254E"/>
    <w:rsid w:val="0020440C"/>
    <w:rsid w:val="00211704"/>
    <w:rsid w:val="00214BDA"/>
    <w:rsid w:val="00217902"/>
    <w:rsid w:val="00221226"/>
    <w:rsid w:val="0023275D"/>
    <w:rsid w:val="002357F7"/>
    <w:rsid w:val="002375CA"/>
    <w:rsid w:val="00241906"/>
    <w:rsid w:val="00244155"/>
    <w:rsid w:val="00256BAD"/>
    <w:rsid w:val="00285F56"/>
    <w:rsid w:val="00287FA6"/>
    <w:rsid w:val="00295601"/>
    <w:rsid w:val="00296D8C"/>
    <w:rsid w:val="00297923"/>
    <w:rsid w:val="002A0F51"/>
    <w:rsid w:val="002A225D"/>
    <w:rsid w:val="002A2C29"/>
    <w:rsid w:val="002A60DE"/>
    <w:rsid w:val="002A7F8B"/>
    <w:rsid w:val="002B39B8"/>
    <w:rsid w:val="002B534D"/>
    <w:rsid w:val="002C13B7"/>
    <w:rsid w:val="002C405B"/>
    <w:rsid w:val="002C4737"/>
    <w:rsid w:val="002C67EF"/>
    <w:rsid w:val="002C75CE"/>
    <w:rsid w:val="002D2994"/>
    <w:rsid w:val="002D4399"/>
    <w:rsid w:val="002D6501"/>
    <w:rsid w:val="002D758C"/>
    <w:rsid w:val="002D7E5C"/>
    <w:rsid w:val="002E42B0"/>
    <w:rsid w:val="002F01F5"/>
    <w:rsid w:val="002F05B1"/>
    <w:rsid w:val="003040DE"/>
    <w:rsid w:val="003070FE"/>
    <w:rsid w:val="00311C68"/>
    <w:rsid w:val="00313FD6"/>
    <w:rsid w:val="00316B0E"/>
    <w:rsid w:val="00321E1B"/>
    <w:rsid w:val="0032391B"/>
    <w:rsid w:val="0032392C"/>
    <w:rsid w:val="003256EF"/>
    <w:rsid w:val="00341774"/>
    <w:rsid w:val="00341C37"/>
    <w:rsid w:val="00342CEB"/>
    <w:rsid w:val="0035714B"/>
    <w:rsid w:val="00363C20"/>
    <w:rsid w:val="00377184"/>
    <w:rsid w:val="0038218D"/>
    <w:rsid w:val="00383AAE"/>
    <w:rsid w:val="003861EF"/>
    <w:rsid w:val="003921F4"/>
    <w:rsid w:val="00392FA1"/>
    <w:rsid w:val="003B5F7F"/>
    <w:rsid w:val="003C4A50"/>
    <w:rsid w:val="003C74AA"/>
    <w:rsid w:val="003C7968"/>
    <w:rsid w:val="003D1EF7"/>
    <w:rsid w:val="003D3C05"/>
    <w:rsid w:val="003D5924"/>
    <w:rsid w:val="003E297A"/>
    <w:rsid w:val="003E5E64"/>
    <w:rsid w:val="003F6297"/>
    <w:rsid w:val="004028D1"/>
    <w:rsid w:val="00406EB3"/>
    <w:rsid w:val="004109C1"/>
    <w:rsid w:val="00410C86"/>
    <w:rsid w:val="004132BF"/>
    <w:rsid w:val="00417A56"/>
    <w:rsid w:val="00417F8F"/>
    <w:rsid w:val="004213FC"/>
    <w:rsid w:val="00445F73"/>
    <w:rsid w:val="00453D36"/>
    <w:rsid w:val="00467C61"/>
    <w:rsid w:val="00471F9D"/>
    <w:rsid w:val="00472A52"/>
    <w:rsid w:val="004758D4"/>
    <w:rsid w:val="00475AC6"/>
    <w:rsid w:val="00480F57"/>
    <w:rsid w:val="00481D14"/>
    <w:rsid w:val="00484429"/>
    <w:rsid w:val="00484992"/>
    <w:rsid w:val="00491DED"/>
    <w:rsid w:val="00495715"/>
    <w:rsid w:val="004977ED"/>
    <w:rsid w:val="004B198B"/>
    <w:rsid w:val="004B2698"/>
    <w:rsid w:val="004B2AB0"/>
    <w:rsid w:val="004C3123"/>
    <w:rsid w:val="004C34A8"/>
    <w:rsid w:val="004C3A48"/>
    <w:rsid w:val="004C5121"/>
    <w:rsid w:val="004D1E4B"/>
    <w:rsid w:val="004D3435"/>
    <w:rsid w:val="004E4115"/>
    <w:rsid w:val="004E610C"/>
    <w:rsid w:val="005075EC"/>
    <w:rsid w:val="0051257A"/>
    <w:rsid w:val="00517B55"/>
    <w:rsid w:val="00522702"/>
    <w:rsid w:val="00522A1D"/>
    <w:rsid w:val="00522D11"/>
    <w:rsid w:val="00527642"/>
    <w:rsid w:val="005322DD"/>
    <w:rsid w:val="0053547A"/>
    <w:rsid w:val="005415EB"/>
    <w:rsid w:val="00542E9B"/>
    <w:rsid w:val="005507E2"/>
    <w:rsid w:val="0056261E"/>
    <w:rsid w:val="005659E5"/>
    <w:rsid w:val="00570DD9"/>
    <w:rsid w:val="00571ECA"/>
    <w:rsid w:val="00573694"/>
    <w:rsid w:val="00576602"/>
    <w:rsid w:val="00580BE3"/>
    <w:rsid w:val="0058267A"/>
    <w:rsid w:val="00584E11"/>
    <w:rsid w:val="00585B36"/>
    <w:rsid w:val="005936B7"/>
    <w:rsid w:val="00595779"/>
    <w:rsid w:val="005A1403"/>
    <w:rsid w:val="005A3DE4"/>
    <w:rsid w:val="005A7D2D"/>
    <w:rsid w:val="005B425D"/>
    <w:rsid w:val="005B664F"/>
    <w:rsid w:val="005C2BDA"/>
    <w:rsid w:val="005C3AA9"/>
    <w:rsid w:val="005D3C25"/>
    <w:rsid w:val="005D410B"/>
    <w:rsid w:val="005D41D5"/>
    <w:rsid w:val="005E2ACC"/>
    <w:rsid w:val="005E6DDE"/>
    <w:rsid w:val="005E7E0E"/>
    <w:rsid w:val="005F6D40"/>
    <w:rsid w:val="005F7D9C"/>
    <w:rsid w:val="00603090"/>
    <w:rsid w:val="006068EE"/>
    <w:rsid w:val="00607D97"/>
    <w:rsid w:val="006118C6"/>
    <w:rsid w:val="00612B4C"/>
    <w:rsid w:val="0061408C"/>
    <w:rsid w:val="00614C87"/>
    <w:rsid w:val="00614E0D"/>
    <w:rsid w:val="0062458E"/>
    <w:rsid w:val="00627E8E"/>
    <w:rsid w:val="00631844"/>
    <w:rsid w:val="006369B2"/>
    <w:rsid w:val="00640348"/>
    <w:rsid w:val="006406DE"/>
    <w:rsid w:val="006426F9"/>
    <w:rsid w:val="00653DCA"/>
    <w:rsid w:val="00653E27"/>
    <w:rsid w:val="00655976"/>
    <w:rsid w:val="006625A7"/>
    <w:rsid w:val="00664F28"/>
    <w:rsid w:val="00667AAB"/>
    <w:rsid w:val="00680933"/>
    <w:rsid w:val="00680DE9"/>
    <w:rsid w:val="00680E39"/>
    <w:rsid w:val="00680EB7"/>
    <w:rsid w:val="0068688A"/>
    <w:rsid w:val="00692881"/>
    <w:rsid w:val="00693120"/>
    <w:rsid w:val="00695FCF"/>
    <w:rsid w:val="006A172A"/>
    <w:rsid w:val="006A173B"/>
    <w:rsid w:val="006B08EC"/>
    <w:rsid w:val="006B255F"/>
    <w:rsid w:val="006B66DA"/>
    <w:rsid w:val="006C034C"/>
    <w:rsid w:val="006C2553"/>
    <w:rsid w:val="006D42EE"/>
    <w:rsid w:val="006E1F6F"/>
    <w:rsid w:val="006E2CED"/>
    <w:rsid w:val="006F0A0A"/>
    <w:rsid w:val="007050C0"/>
    <w:rsid w:val="00712888"/>
    <w:rsid w:val="0071349E"/>
    <w:rsid w:val="00716377"/>
    <w:rsid w:val="0072113C"/>
    <w:rsid w:val="007234DA"/>
    <w:rsid w:val="00724613"/>
    <w:rsid w:val="00725F74"/>
    <w:rsid w:val="00727C89"/>
    <w:rsid w:val="00734604"/>
    <w:rsid w:val="007350DB"/>
    <w:rsid w:val="0074058D"/>
    <w:rsid w:val="0074349B"/>
    <w:rsid w:val="00744D98"/>
    <w:rsid w:val="00750760"/>
    <w:rsid w:val="00750AD2"/>
    <w:rsid w:val="00765944"/>
    <w:rsid w:val="00772B60"/>
    <w:rsid w:val="00773025"/>
    <w:rsid w:val="007800D2"/>
    <w:rsid w:val="007818F9"/>
    <w:rsid w:val="00782D8A"/>
    <w:rsid w:val="007855BD"/>
    <w:rsid w:val="0078733D"/>
    <w:rsid w:val="007922DE"/>
    <w:rsid w:val="00793111"/>
    <w:rsid w:val="00794BCD"/>
    <w:rsid w:val="00796AED"/>
    <w:rsid w:val="007A1382"/>
    <w:rsid w:val="007A27CA"/>
    <w:rsid w:val="007A3A30"/>
    <w:rsid w:val="007A5639"/>
    <w:rsid w:val="007A640E"/>
    <w:rsid w:val="007B53C7"/>
    <w:rsid w:val="007C0717"/>
    <w:rsid w:val="007C5299"/>
    <w:rsid w:val="007C6BE0"/>
    <w:rsid w:val="007D0C8E"/>
    <w:rsid w:val="007D0E58"/>
    <w:rsid w:val="007D5693"/>
    <w:rsid w:val="007E1D2D"/>
    <w:rsid w:val="007E4B14"/>
    <w:rsid w:val="007E52C0"/>
    <w:rsid w:val="007E7522"/>
    <w:rsid w:val="007F11C0"/>
    <w:rsid w:val="007F5215"/>
    <w:rsid w:val="00802E68"/>
    <w:rsid w:val="0081007E"/>
    <w:rsid w:val="00813AB1"/>
    <w:rsid w:val="00813D5B"/>
    <w:rsid w:val="0082174B"/>
    <w:rsid w:val="00821CEF"/>
    <w:rsid w:val="00824722"/>
    <w:rsid w:val="008254AF"/>
    <w:rsid w:val="0082641A"/>
    <w:rsid w:val="00826AC7"/>
    <w:rsid w:val="008272D1"/>
    <w:rsid w:val="008278B6"/>
    <w:rsid w:val="0084083D"/>
    <w:rsid w:val="00843411"/>
    <w:rsid w:val="0084355D"/>
    <w:rsid w:val="00844279"/>
    <w:rsid w:val="00846103"/>
    <w:rsid w:val="00851ACE"/>
    <w:rsid w:val="00851EB4"/>
    <w:rsid w:val="0085324E"/>
    <w:rsid w:val="00861B4A"/>
    <w:rsid w:val="00882622"/>
    <w:rsid w:val="008944B1"/>
    <w:rsid w:val="00895802"/>
    <w:rsid w:val="008A2570"/>
    <w:rsid w:val="008A2CDF"/>
    <w:rsid w:val="008A36CF"/>
    <w:rsid w:val="008A4172"/>
    <w:rsid w:val="008A7C1D"/>
    <w:rsid w:val="008B19DF"/>
    <w:rsid w:val="008B24B5"/>
    <w:rsid w:val="008B41B3"/>
    <w:rsid w:val="008C1B21"/>
    <w:rsid w:val="008C2A3D"/>
    <w:rsid w:val="008C5CEA"/>
    <w:rsid w:val="008D4B56"/>
    <w:rsid w:val="008E01E8"/>
    <w:rsid w:val="008E0504"/>
    <w:rsid w:val="008E4311"/>
    <w:rsid w:val="008E746E"/>
    <w:rsid w:val="008F23D3"/>
    <w:rsid w:val="008F3F5F"/>
    <w:rsid w:val="008F5E69"/>
    <w:rsid w:val="008F6C7A"/>
    <w:rsid w:val="00901A6D"/>
    <w:rsid w:val="00901D56"/>
    <w:rsid w:val="0092280D"/>
    <w:rsid w:val="00933D34"/>
    <w:rsid w:val="00934E52"/>
    <w:rsid w:val="009379FD"/>
    <w:rsid w:val="00944D2E"/>
    <w:rsid w:val="00944F62"/>
    <w:rsid w:val="00945CB9"/>
    <w:rsid w:val="009460FE"/>
    <w:rsid w:val="00952F8F"/>
    <w:rsid w:val="00956B71"/>
    <w:rsid w:val="00960307"/>
    <w:rsid w:val="00965760"/>
    <w:rsid w:val="00971E37"/>
    <w:rsid w:val="009720E2"/>
    <w:rsid w:val="009728DC"/>
    <w:rsid w:val="00974BA6"/>
    <w:rsid w:val="00993575"/>
    <w:rsid w:val="00996255"/>
    <w:rsid w:val="009A3032"/>
    <w:rsid w:val="009B408F"/>
    <w:rsid w:val="009C00A9"/>
    <w:rsid w:val="009C319E"/>
    <w:rsid w:val="009C734D"/>
    <w:rsid w:val="009D5D58"/>
    <w:rsid w:val="009D7AA7"/>
    <w:rsid w:val="009E1456"/>
    <w:rsid w:val="009E2740"/>
    <w:rsid w:val="009E61DE"/>
    <w:rsid w:val="009F6B2D"/>
    <w:rsid w:val="00A03B43"/>
    <w:rsid w:val="00A06389"/>
    <w:rsid w:val="00A0742C"/>
    <w:rsid w:val="00A10C40"/>
    <w:rsid w:val="00A144FD"/>
    <w:rsid w:val="00A206FB"/>
    <w:rsid w:val="00A241F9"/>
    <w:rsid w:val="00A25F1A"/>
    <w:rsid w:val="00A3312B"/>
    <w:rsid w:val="00A46130"/>
    <w:rsid w:val="00A47335"/>
    <w:rsid w:val="00A5113E"/>
    <w:rsid w:val="00A527A8"/>
    <w:rsid w:val="00A55671"/>
    <w:rsid w:val="00A64415"/>
    <w:rsid w:val="00A70E01"/>
    <w:rsid w:val="00A7107C"/>
    <w:rsid w:val="00A75B54"/>
    <w:rsid w:val="00A7617C"/>
    <w:rsid w:val="00A84131"/>
    <w:rsid w:val="00A8533F"/>
    <w:rsid w:val="00A94096"/>
    <w:rsid w:val="00A977C2"/>
    <w:rsid w:val="00AB2233"/>
    <w:rsid w:val="00AB54AB"/>
    <w:rsid w:val="00AC4324"/>
    <w:rsid w:val="00AC53ED"/>
    <w:rsid w:val="00AE10CC"/>
    <w:rsid w:val="00AE31E5"/>
    <w:rsid w:val="00AF2840"/>
    <w:rsid w:val="00AF479B"/>
    <w:rsid w:val="00AF5508"/>
    <w:rsid w:val="00AF63B7"/>
    <w:rsid w:val="00B00191"/>
    <w:rsid w:val="00B0441A"/>
    <w:rsid w:val="00B056AA"/>
    <w:rsid w:val="00B107F3"/>
    <w:rsid w:val="00B10E6C"/>
    <w:rsid w:val="00B20394"/>
    <w:rsid w:val="00B36535"/>
    <w:rsid w:val="00B37956"/>
    <w:rsid w:val="00B44C6C"/>
    <w:rsid w:val="00B5650C"/>
    <w:rsid w:val="00B61D6D"/>
    <w:rsid w:val="00B6259B"/>
    <w:rsid w:val="00B66810"/>
    <w:rsid w:val="00B6701A"/>
    <w:rsid w:val="00B717A3"/>
    <w:rsid w:val="00B750B5"/>
    <w:rsid w:val="00B7638A"/>
    <w:rsid w:val="00B81D82"/>
    <w:rsid w:val="00B919D4"/>
    <w:rsid w:val="00BA6761"/>
    <w:rsid w:val="00BB00E3"/>
    <w:rsid w:val="00BB4282"/>
    <w:rsid w:val="00BC3AD3"/>
    <w:rsid w:val="00BC4F58"/>
    <w:rsid w:val="00BC690C"/>
    <w:rsid w:val="00BD041E"/>
    <w:rsid w:val="00BD28C3"/>
    <w:rsid w:val="00BD3673"/>
    <w:rsid w:val="00BD66DE"/>
    <w:rsid w:val="00BE08AB"/>
    <w:rsid w:val="00BE24E7"/>
    <w:rsid w:val="00BE4DF8"/>
    <w:rsid w:val="00BF34AA"/>
    <w:rsid w:val="00BF409A"/>
    <w:rsid w:val="00BF57ED"/>
    <w:rsid w:val="00BF79EF"/>
    <w:rsid w:val="00C01230"/>
    <w:rsid w:val="00C04118"/>
    <w:rsid w:val="00C04728"/>
    <w:rsid w:val="00C054AD"/>
    <w:rsid w:val="00C06CDC"/>
    <w:rsid w:val="00C11C6F"/>
    <w:rsid w:val="00C17A3A"/>
    <w:rsid w:val="00C207AC"/>
    <w:rsid w:val="00C31FA7"/>
    <w:rsid w:val="00C36438"/>
    <w:rsid w:val="00C519EE"/>
    <w:rsid w:val="00C5536D"/>
    <w:rsid w:val="00C57418"/>
    <w:rsid w:val="00C74730"/>
    <w:rsid w:val="00C838F3"/>
    <w:rsid w:val="00C8435C"/>
    <w:rsid w:val="00C93DE2"/>
    <w:rsid w:val="00C95992"/>
    <w:rsid w:val="00CA1907"/>
    <w:rsid w:val="00CA6CCC"/>
    <w:rsid w:val="00CA763E"/>
    <w:rsid w:val="00CD0C01"/>
    <w:rsid w:val="00CE1E5A"/>
    <w:rsid w:val="00CE1E76"/>
    <w:rsid w:val="00CE34AD"/>
    <w:rsid w:val="00D11A14"/>
    <w:rsid w:val="00D214B2"/>
    <w:rsid w:val="00D22C3D"/>
    <w:rsid w:val="00D34631"/>
    <w:rsid w:val="00D34F73"/>
    <w:rsid w:val="00D45BB2"/>
    <w:rsid w:val="00D52682"/>
    <w:rsid w:val="00D52889"/>
    <w:rsid w:val="00D52D0C"/>
    <w:rsid w:val="00D53FB4"/>
    <w:rsid w:val="00D55DD3"/>
    <w:rsid w:val="00D60FB7"/>
    <w:rsid w:val="00D61C87"/>
    <w:rsid w:val="00D74801"/>
    <w:rsid w:val="00D74D0A"/>
    <w:rsid w:val="00D82E77"/>
    <w:rsid w:val="00D83544"/>
    <w:rsid w:val="00D871A5"/>
    <w:rsid w:val="00D87474"/>
    <w:rsid w:val="00D90AEA"/>
    <w:rsid w:val="00D91BAA"/>
    <w:rsid w:val="00D95C3C"/>
    <w:rsid w:val="00DA360D"/>
    <w:rsid w:val="00DA42A5"/>
    <w:rsid w:val="00DA54B6"/>
    <w:rsid w:val="00DB1DB2"/>
    <w:rsid w:val="00DD27E1"/>
    <w:rsid w:val="00DD2E08"/>
    <w:rsid w:val="00DD4400"/>
    <w:rsid w:val="00DD6F61"/>
    <w:rsid w:val="00DE5B9E"/>
    <w:rsid w:val="00DE67E5"/>
    <w:rsid w:val="00DF358C"/>
    <w:rsid w:val="00E03383"/>
    <w:rsid w:val="00E070B1"/>
    <w:rsid w:val="00E0788D"/>
    <w:rsid w:val="00E10AD8"/>
    <w:rsid w:val="00E11C43"/>
    <w:rsid w:val="00E13D81"/>
    <w:rsid w:val="00E15CAA"/>
    <w:rsid w:val="00E23996"/>
    <w:rsid w:val="00E24F55"/>
    <w:rsid w:val="00E26F0D"/>
    <w:rsid w:val="00E3053D"/>
    <w:rsid w:val="00E33775"/>
    <w:rsid w:val="00E365AC"/>
    <w:rsid w:val="00E37BCD"/>
    <w:rsid w:val="00E50C26"/>
    <w:rsid w:val="00E53766"/>
    <w:rsid w:val="00E6110C"/>
    <w:rsid w:val="00E62556"/>
    <w:rsid w:val="00E64568"/>
    <w:rsid w:val="00E75879"/>
    <w:rsid w:val="00E77F9A"/>
    <w:rsid w:val="00E86E79"/>
    <w:rsid w:val="00EA3CD5"/>
    <w:rsid w:val="00EA5FBC"/>
    <w:rsid w:val="00EA7808"/>
    <w:rsid w:val="00EB1612"/>
    <w:rsid w:val="00EB1A70"/>
    <w:rsid w:val="00EB788B"/>
    <w:rsid w:val="00EC04E1"/>
    <w:rsid w:val="00ED1771"/>
    <w:rsid w:val="00ED5A69"/>
    <w:rsid w:val="00ED7404"/>
    <w:rsid w:val="00EE5C18"/>
    <w:rsid w:val="00EE6EA9"/>
    <w:rsid w:val="00EE7829"/>
    <w:rsid w:val="00F0255F"/>
    <w:rsid w:val="00F02D68"/>
    <w:rsid w:val="00F031D5"/>
    <w:rsid w:val="00F05D5B"/>
    <w:rsid w:val="00F05F19"/>
    <w:rsid w:val="00F0693C"/>
    <w:rsid w:val="00F07574"/>
    <w:rsid w:val="00F1309B"/>
    <w:rsid w:val="00F16690"/>
    <w:rsid w:val="00F324AB"/>
    <w:rsid w:val="00F4322A"/>
    <w:rsid w:val="00F43C47"/>
    <w:rsid w:val="00F53820"/>
    <w:rsid w:val="00F54053"/>
    <w:rsid w:val="00F56CE6"/>
    <w:rsid w:val="00F75620"/>
    <w:rsid w:val="00F80439"/>
    <w:rsid w:val="00F814AF"/>
    <w:rsid w:val="00F82CE4"/>
    <w:rsid w:val="00F84DD8"/>
    <w:rsid w:val="00F85928"/>
    <w:rsid w:val="00F85B87"/>
    <w:rsid w:val="00FA289A"/>
    <w:rsid w:val="00FA3E8D"/>
    <w:rsid w:val="00FC2CCF"/>
    <w:rsid w:val="00FC5C62"/>
    <w:rsid w:val="00FC72B4"/>
    <w:rsid w:val="00FD456E"/>
    <w:rsid w:val="00FE1EC6"/>
    <w:rsid w:val="00FE2CF6"/>
    <w:rsid w:val="00FE3803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6A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BFF"/>
    <w:rPr>
      <w:sz w:val="24"/>
      <w:szCs w:val="24"/>
    </w:rPr>
  </w:style>
  <w:style w:type="paragraph" w:styleId="Heading1">
    <w:name w:val="heading 1"/>
    <w:basedOn w:val="Normal"/>
    <w:next w:val="Normal"/>
    <w:qFormat/>
    <w:rsid w:val="00CA6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6CCC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CA6CC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6CCC"/>
    <w:pPr>
      <w:tabs>
        <w:tab w:val="right" w:pos="8300"/>
      </w:tabs>
    </w:pPr>
  </w:style>
  <w:style w:type="paragraph" w:styleId="Footer">
    <w:name w:val="footer"/>
    <w:basedOn w:val="Normal"/>
    <w:rsid w:val="00CA6C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6CCC"/>
  </w:style>
  <w:style w:type="paragraph" w:styleId="BalloonText">
    <w:name w:val="Balloon Text"/>
    <w:basedOn w:val="Normal"/>
    <w:semiHidden/>
    <w:rsid w:val="00D52D0C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CA6CCC"/>
    <w:pPr>
      <w:ind w:left="720"/>
    </w:pPr>
  </w:style>
  <w:style w:type="paragraph" w:styleId="BodyText">
    <w:name w:val="Body Text"/>
    <w:basedOn w:val="Normal"/>
    <w:rsid w:val="00CA6CCC"/>
  </w:style>
  <w:style w:type="paragraph" w:customStyle="1" w:styleId="Indent2">
    <w:name w:val="Indent 2"/>
    <w:basedOn w:val="Normal"/>
    <w:rsid w:val="00CA6CCC"/>
    <w:pPr>
      <w:ind w:left="1440"/>
    </w:pPr>
  </w:style>
  <w:style w:type="paragraph" w:customStyle="1" w:styleId="NumberedParagraph">
    <w:name w:val="Numbered Paragraph"/>
    <w:basedOn w:val="Normal"/>
    <w:rsid w:val="00CA6CCC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CA6CCC"/>
    <w:pPr>
      <w:keepNext/>
      <w:jc w:val="center"/>
    </w:pPr>
    <w:rPr>
      <w:b/>
      <w:bCs/>
      <w:sz w:val="24"/>
    </w:rPr>
  </w:style>
  <w:style w:type="character" w:styleId="Hyperlink">
    <w:name w:val="Hyperlink"/>
    <w:basedOn w:val="DefaultParagraphFont"/>
    <w:rsid w:val="003921F4"/>
    <w:rPr>
      <w:i/>
      <w:iCs/>
      <w:color w:val="0000FF"/>
    </w:rPr>
  </w:style>
  <w:style w:type="character" w:styleId="FollowedHyperlink">
    <w:name w:val="FollowedHyperlink"/>
    <w:basedOn w:val="DefaultParagraphFont"/>
    <w:rsid w:val="003921F4"/>
    <w:rPr>
      <w:color w:val="800080"/>
      <w:u w:val="none"/>
    </w:rPr>
  </w:style>
  <w:style w:type="paragraph" w:styleId="FootnoteText">
    <w:name w:val="footnote text"/>
    <w:basedOn w:val="Normal"/>
    <w:link w:val="FootnoteTextChar"/>
    <w:rsid w:val="00A074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742C"/>
  </w:style>
  <w:style w:type="character" w:styleId="FootnoteReference">
    <w:name w:val="footnote reference"/>
    <w:basedOn w:val="DefaultParagraphFont"/>
    <w:rsid w:val="00A074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42C"/>
    <w:pPr>
      <w:ind w:left="720"/>
    </w:pPr>
  </w:style>
  <w:style w:type="paragraph" w:styleId="EndnoteText">
    <w:name w:val="endnote text"/>
    <w:basedOn w:val="Normal"/>
    <w:link w:val="EndnoteTextChar"/>
    <w:rsid w:val="004E41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E4115"/>
  </w:style>
  <w:style w:type="character" w:styleId="EndnoteReference">
    <w:name w:val="endnote reference"/>
    <w:basedOn w:val="DefaultParagraphFont"/>
    <w:rsid w:val="004E4115"/>
    <w:rPr>
      <w:vertAlign w:val="superscript"/>
    </w:rPr>
  </w:style>
  <w:style w:type="paragraph" w:styleId="NoSpacing">
    <w:name w:val="No Spacing"/>
    <w:uiPriority w:val="1"/>
    <w:qFormat/>
    <w:rsid w:val="001F02C2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342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2CEB"/>
  </w:style>
  <w:style w:type="paragraph" w:styleId="CommentSubject">
    <w:name w:val="annotation subject"/>
    <w:basedOn w:val="CommentText"/>
    <w:next w:val="CommentText"/>
    <w:link w:val="CommentSubjectChar"/>
    <w:rsid w:val="00342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2CEB"/>
    <w:rPr>
      <w:b/>
      <w:bCs/>
    </w:rPr>
  </w:style>
  <w:style w:type="paragraph" w:styleId="Revision">
    <w:name w:val="Revision"/>
    <w:hidden/>
    <w:uiPriority w:val="99"/>
    <w:semiHidden/>
    <w:rsid w:val="00342C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BFF"/>
    <w:rPr>
      <w:sz w:val="24"/>
      <w:szCs w:val="24"/>
    </w:rPr>
  </w:style>
  <w:style w:type="paragraph" w:styleId="Heading1">
    <w:name w:val="heading 1"/>
    <w:basedOn w:val="Normal"/>
    <w:next w:val="Normal"/>
    <w:qFormat/>
    <w:rsid w:val="00CA6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6CCC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CA6CC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6CCC"/>
    <w:pPr>
      <w:tabs>
        <w:tab w:val="right" w:pos="8300"/>
      </w:tabs>
    </w:pPr>
  </w:style>
  <w:style w:type="paragraph" w:styleId="Footer">
    <w:name w:val="footer"/>
    <w:basedOn w:val="Normal"/>
    <w:rsid w:val="00CA6C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6CCC"/>
  </w:style>
  <w:style w:type="paragraph" w:styleId="BalloonText">
    <w:name w:val="Balloon Text"/>
    <w:basedOn w:val="Normal"/>
    <w:semiHidden/>
    <w:rsid w:val="00D52D0C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CA6CCC"/>
    <w:pPr>
      <w:ind w:left="720"/>
    </w:pPr>
  </w:style>
  <w:style w:type="paragraph" w:styleId="BodyText">
    <w:name w:val="Body Text"/>
    <w:basedOn w:val="Normal"/>
    <w:rsid w:val="00CA6CCC"/>
  </w:style>
  <w:style w:type="paragraph" w:customStyle="1" w:styleId="Indent2">
    <w:name w:val="Indent 2"/>
    <w:basedOn w:val="Normal"/>
    <w:rsid w:val="00CA6CCC"/>
    <w:pPr>
      <w:ind w:left="1440"/>
    </w:pPr>
  </w:style>
  <w:style w:type="paragraph" w:customStyle="1" w:styleId="NumberedParagraph">
    <w:name w:val="Numbered Paragraph"/>
    <w:basedOn w:val="Normal"/>
    <w:rsid w:val="00CA6CCC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CA6CCC"/>
    <w:pPr>
      <w:keepNext/>
      <w:jc w:val="center"/>
    </w:pPr>
    <w:rPr>
      <w:b/>
      <w:bCs/>
      <w:sz w:val="24"/>
    </w:rPr>
  </w:style>
  <w:style w:type="character" w:styleId="Hyperlink">
    <w:name w:val="Hyperlink"/>
    <w:basedOn w:val="DefaultParagraphFont"/>
    <w:rsid w:val="003921F4"/>
    <w:rPr>
      <w:i/>
      <w:iCs/>
      <w:color w:val="0000FF"/>
    </w:rPr>
  </w:style>
  <w:style w:type="character" w:styleId="FollowedHyperlink">
    <w:name w:val="FollowedHyperlink"/>
    <w:basedOn w:val="DefaultParagraphFont"/>
    <w:rsid w:val="003921F4"/>
    <w:rPr>
      <w:color w:val="800080"/>
      <w:u w:val="none"/>
    </w:rPr>
  </w:style>
  <w:style w:type="paragraph" w:styleId="FootnoteText">
    <w:name w:val="footnote text"/>
    <w:basedOn w:val="Normal"/>
    <w:link w:val="FootnoteTextChar"/>
    <w:rsid w:val="00A074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742C"/>
  </w:style>
  <w:style w:type="character" w:styleId="FootnoteReference">
    <w:name w:val="footnote reference"/>
    <w:basedOn w:val="DefaultParagraphFont"/>
    <w:rsid w:val="00A074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42C"/>
    <w:pPr>
      <w:ind w:left="720"/>
    </w:pPr>
  </w:style>
  <w:style w:type="paragraph" w:styleId="EndnoteText">
    <w:name w:val="endnote text"/>
    <w:basedOn w:val="Normal"/>
    <w:link w:val="EndnoteTextChar"/>
    <w:rsid w:val="004E41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E4115"/>
  </w:style>
  <w:style w:type="character" w:styleId="EndnoteReference">
    <w:name w:val="endnote reference"/>
    <w:basedOn w:val="DefaultParagraphFont"/>
    <w:rsid w:val="004E4115"/>
    <w:rPr>
      <w:vertAlign w:val="superscript"/>
    </w:rPr>
  </w:style>
  <w:style w:type="paragraph" w:styleId="NoSpacing">
    <w:name w:val="No Spacing"/>
    <w:uiPriority w:val="1"/>
    <w:qFormat/>
    <w:rsid w:val="001F02C2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342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2CEB"/>
  </w:style>
  <w:style w:type="paragraph" w:styleId="CommentSubject">
    <w:name w:val="annotation subject"/>
    <w:basedOn w:val="CommentText"/>
    <w:next w:val="CommentText"/>
    <w:link w:val="CommentSubjectChar"/>
    <w:rsid w:val="00342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2CEB"/>
    <w:rPr>
      <w:b/>
      <w:bCs/>
    </w:rPr>
  </w:style>
  <w:style w:type="paragraph" w:styleId="Revision">
    <w:name w:val="Revision"/>
    <w:hidden/>
    <w:uiPriority w:val="99"/>
    <w:semiHidden/>
    <w:rsid w:val="00342C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Produce%20Records%20-%20Telecommunic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C87580C27C674B80D4AB223F89A88C" ma:contentTypeVersion="136" ma:contentTypeDescription="" ma:contentTypeScope="" ma:versionID="91dfb8a70bd9c1e02da564b0d75eb7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2006-08-02T07:00:00+00:00</OpenedDate>
    <Date1 xmlns="dc463f71-b30c-4ab2-9473-d307f9d35888">2012-05-31T07:00:00+00:00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Cingular Wireless (ETC)</CaseCompanyNames>
    <DocketNumber xmlns="dc463f71-b30c-4ab2-9473-d307f9d35888">063060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1C179AE-7740-479A-AAF5-9CC4CD3B7915}"/>
</file>

<file path=customXml/itemProps2.xml><?xml version="1.0" encoding="utf-8"?>
<ds:datastoreItem xmlns:ds="http://schemas.openxmlformats.org/officeDocument/2006/customXml" ds:itemID="{594172F3-C646-4968-AAC3-3AD152793F0B}"/>
</file>

<file path=customXml/itemProps3.xml><?xml version="1.0" encoding="utf-8"?>
<ds:datastoreItem xmlns:ds="http://schemas.openxmlformats.org/officeDocument/2006/customXml" ds:itemID="{93023752-B200-4F7A-935F-1BD5C6643554}"/>
</file>

<file path=customXml/itemProps4.xml><?xml version="1.0" encoding="utf-8"?>
<ds:datastoreItem xmlns:ds="http://schemas.openxmlformats.org/officeDocument/2006/customXml" ds:itemID="{A5E23CA1-283D-4DE0-9CDC-7489C677EF13}"/>
</file>

<file path=customXml/itemProps5.xml><?xml version="1.0" encoding="utf-8"?>
<ds:datastoreItem xmlns:ds="http://schemas.openxmlformats.org/officeDocument/2006/customXml" ds:itemID="{5F904DD5-1B96-4886-A433-A9DE3838F339}"/>
</file>

<file path=customXml/itemProps6.xml><?xml version="1.0" encoding="utf-8"?>
<ds:datastoreItem xmlns:ds="http://schemas.openxmlformats.org/officeDocument/2006/customXml" ds:itemID="{89B1F460-7FA6-42FA-806A-927493054BF2}"/>
</file>

<file path=docProps/app.xml><?xml version="1.0" encoding="utf-8"?>
<Properties xmlns="http://schemas.openxmlformats.org/officeDocument/2006/extended-properties" xmlns:vt="http://schemas.openxmlformats.org/officeDocument/2006/docPropsVTypes">
  <Template>Produce Records - Telecommunications</Template>
  <TotalTime>1</TotalTime>
  <Pages>5</Pages>
  <Words>1369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UT-063060 Order 04 - ATT Mobility Power</vt:lpstr>
    </vt:vector>
  </TitlesOfParts>
  <Company>WUTC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UT-063060 Order 04 - ATT Mobility Power</dc:title>
  <dc:creator>Jing Liu</dc:creator>
  <dc:description>MDT</dc:description>
  <cp:lastModifiedBy>Kern, Cathy (UTC)</cp:lastModifiedBy>
  <cp:revision>2</cp:revision>
  <cp:lastPrinted>2012-05-30T23:42:00Z</cp:lastPrinted>
  <dcterms:created xsi:type="dcterms:W3CDTF">2012-05-30T23:47:00Z</dcterms:created>
  <dcterms:modified xsi:type="dcterms:W3CDTF">2012-05-30T23:47:00Z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0x0101006E56B4D1795A2E4DB2F0B01679ED314A002DC87580C27C674B80D4AB223F89A88C</vt:lpwstr>
  </property>
  <property fmtid="{D5CDD505-2E9C-101B-9397-08002B2CF9AE}" pid="4" name="_docset_NoMedatataSyncRequired">
    <vt:lpwstr>False</vt:lpwstr>
  </property>
</Properties>
</file>