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A0" w:rsidRDefault="00C879A0" w:rsidP="00C879A0">
      <w:pPr>
        <w:pStyle w:val="Header"/>
        <w:tabs>
          <w:tab w:val="clear" w:pos="4320"/>
          <w:tab w:val="clear" w:pos="8640"/>
          <w:tab w:val="center" w:pos="4680"/>
        </w:tabs>
        <w:spacing w:line="480" w:lineRule="auto"/>
        <w:jc w:val="center"/>
        <w:rPr>
          <w:b/>
          <w:bCs/>
          <w:sz w:val="24"/>
        </w:rPr>
      </w:pPr>
      <w:r>
        <w:rPr>
          <w:b/>
          <w:bCs/>
          <w:sz w:val="24"/>
        </w:rPr>
        <w:t>BEFORE THE</w:t>
      </w:r>
    </w:p>
    <w:p w:rsidR="00C879A0" w:rsidRDefault="00C879A0" w:rsidP="00C879A0">
      <w:pPr>
        <w:pStyle w:val="Heading1"/>
        <w:jc w:val="center"/>
        <w:rPr>
          <w:sz w:val="24"/>
        </w:rPr>
      </w:pPr>
      <w:r>
        <w:rPr>
          <w:sz w:val="24"/>
        </w:rPr>
        <w:t>WASHINGTON UTILITIES AND TRANSPORTATION COMMISSION</w:t>
      </w:r>
    </w:p>
    <w:p w:rsidR="00C879A0" w:rsidRPr="004F0FFA" w:rsidRDefault="00C879A0" w:rsidP="00C879A0"/>
    <w:p w:rsidR="00C879A0" w:rsidRDefault="00C879A0" w:rsidP="00C879A0">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91C6A" w:rsidTr="00691C6A">
        <w:trPr>
          <w:trHeight w:val="2951"/>
        </w:trPr>
        <w:tc>
          <w:tcPr>
            <w:tcW w:w="4396" w:type="dxa"/>
            <w:tcBorders>
              <w:bottom w:val="single" w:sz="4" w:space="0" w:color="auto"/>
            </w:tcBorders>
          </w:tcPr>
          <w:p w:rsidR="00691C6A" w:rsidRPr="003D3DCC" w:rsidRDefault="00691C6A" w:rsidP="0081140C">
            <w:pPr>
              <w:pStyle w:val="Footer"/>
              <w:widowControl/>
              <w:tabs>
                <w:tab w:val="clear" w:pos="4320"/>
                <w:tab w:val="clear" w:pos="8640"/>
                <w:tab w:val="left" w:pos="2160"/>
              </w:tabs>
              <w:rPr>
                <w:snapToGrid/>
              </w:rPr>
            </w:pPr>
            <w:r w:rsidRPr="003D3DCC">
              <w:rPr>
                <w:snapToGrid/>
              </w:rPr>
              <w:t>In the Matter of the Petition of</w:t>
            </w:r>
          </w:p>
          <w:p w:rsidR="00691C6A" w:rsidRDefault="00691C6A" w:rsidP="0081140C">
            <w:pPr>
              <w:tabs>
                <w:tab w:val="left" w:pos="2168"/>
              </w:tabs>
            </w:pPr>
          </w:p>
          <w:p w:rsidR="00691C6A" w:rsidRDefault="00691C6A" w:rsidP="0081140C">
            <w:pPr>
              <w:tabs>
                <w:tab w:val="left" w:pos="2168"/>
              </w:tabs>
            </w:pPr>
            <w:r>
              <w:t>PUGET SOUND ENERGY</w:t>
            </w:r>
          </w:p>
          <w:p w:rsidR="00691C6A" w:rsidRDefault="00691C6A" w:rsidP="0081140C">
            <w:pPr>
              <w:tabs>
                <w:tab w:val="left" w:pos="2168"/>
              </w:tabs>
            </w:pPr>
          </w:p>
          <w:p w:rsidR="00691C6A" w:rsidRDefault="00691C6A" w:rsidP="0081140C">
            <w:pPr>
              <w:pStyle w:val="Footer"/>
              <w:widowControl/>
              <w:tabs>
                <w:tab w:val="clear" w:pos="4320"/>
                <w:tab w:val="clear" w:pos="8640"/>
                <w:tab w:val="left" w:pos="2160"/>
              </w:tabs>
            </w:pPr>
            <w:r>
              <w:t>For (</w:t>
            </w:r>
            <w:proofErr w:type="spellStart"/>
            <w:r>
              <w:t>i</w:t>
            </w:r>
            <w:proofErr w:type="spellEnd"/>
            <w:r>
              <w:t>) Approval of a Special Contract for Liquefied Natural Gas Fuel Service with Totem Ocean Trailer Express, Inc. and (ii) a Declaratory Order Approving the Methodology for Allocating Costs Between Regulated and Non-regulated Liquefied Natural Gas Services</w:t>
            </w:r>
          </w:p>
          <w:p w:rsidR="00691C6A" w:rsidRPr="00F90CD2" w:rsidRDefault="00691C6A" w:rsidP="0081140C">
            <w:pPr>
              <w:pStyle w:val="Footer"/>
              <w:widowControl/>
              <w:tabs>
                <w:tab w:val="clear" w:pos="4320"/>
                <w:tab w:val="clear" w:pos="8640"/>
                <w:tab w:val="left" w:pos="2160"/>
              </w:tabs>
              <w:rPr>
                <w:snapToGrid/>
              </w:rPr>
            </w:pPr>
          </w:p>
        </w:tc>
        <w:tc>
          <w:tcPr>
            <w:tcW w:w="274" w:type="dxa"/>
          </w:tcPr>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Default="00691C6A" w:rsidP="0081140C">
            <w:pPr>
              <w:pStyle w:val="SingleSpacing"/>
              <w:spacing w:line="240" w:lineRule="auto"/>
            </w:pPr>
            <w:r w:rsidRPr="005A2AFA">
              <w:t>)</w:t>
            </w:r>
          </w:p>
          <w:p w:rsidR="00691C6A" w:rsidRDefault="00691C6A" w:rsidP="0081140C">
            <w:pPr>
              <w:pStyle w:val="SingleSpacing"/>
              <w:spacing w:line="240" w:lineRule="auto"/>
            </w:pPr>
            <w:r>
              <w:t>)</w:t>
            </w:r>
          </w:p>
          <w:p w:rsidR="00691C6A" w:rsidRPr="00BE7413" w:rsidRDefault="00691C6A" w:rsidP="0081140C">
            <w:pPr>
              <w:pStyle w:val="SingleSpacing"/>
              <w:spacing w:line="240" w:lineRule="auto"/>
              <w:rPr>
                <w:i/>
              </w:rPr>
            </w:pPr>
            <w:r>
              <w:t>)</w:t>
            </w:r>
          </w:p>
        </w:tc>
        <w:tc>
          <w:tcPr>
            <w:tcW w:w="4113" w:type="dxa"/>
          </w:tcPr>
          <w:p w:rsidR="00691C6A" w:rsidRDefault="00691C6A" w:rsidP="0081140C">
            <w:pPr>
              <w:pStyle w:val="SingleSpacing"/>
              <w:spacing w:line="240" w:lineRule="auto"/>
            </w:pPr>
          </w:p>
          <w:p w:rsidR="00691C6A" w:rsidRDefault="00691C6A" w:rsidP="0081140C">
            <w:pPr>
              <w:pStyle w:val="SingleSpacing"/>
              <w:spacing w:line="240" w:lineRule="auto"/>
            </w:pPr>
            <w:r w:rsidRPr="007A1546">
              <w:t xml:space="preserve">DOCKET NO. </w:t>
            </w:r>
            <w:r>
              <w:t>UG-151663</w:t>
            </w:r>
          </w:p>
          <w:p w:rsidR="00BF71D7" w:rsidRDefault="00BF71D7" w:rsidP="0081140C">
            <w:pPr>
              <w:pStyle w:val="SingleSpacing"/>
              <w:spacing w:line="240" w:lineRule="auto"/>
            </w:pPr>
          </w:p>
          <w:p w:rsidR="00BF71D7" w:rsidRDefault="00BF71D7" w:rsidP="0081140C">
            <w:pPr>
              <w:pStyle w:val="SingleSpacing"/>
              <w:spacing w:line="240" w:lineRule="auto"/>
            </w:pPr>
          </w:p>
          <w:p w:rsidR="00BF71D7" w:rsidRPr="005A2AFA" w:rsidRDefault="00BF71D7" w:rsidP="0081140C">
            <w:pPr>
              <w:pStyle w:val="SingleSpacing"/>
              <w:spacing w:line="240" w:lineRule="auto"/>
            </w:pPr>
            <w:r>
              <w:t>LATE-FILED PETITION TO INTERVENE OF THE INDUSTRIAL CUSTOMERS OF NORTHWEST UTILITIES</w:t>
            </w:r>
          </w:p>
        </w:tc>
      </w:tr>
    </w:tbl>
    <w:p w:rsidR="00C879A0" w:rsidRDefault="00C879A0" w:rsidP="002924ED">
      <w:pPr>
        <w:pStyle w:val="WUTCParagraph"/>
        <w:tabs>
          <w:tab w:val="clear" w:pos="0"/>
        </w:tabs>
        <w:spacing w:before="240"/>
      </w:pPr>
      <w:bookmarkStart w:id="0" w:name="Parties"/>
      <w:bookmarkEnd w:id="0"/>
      <w:r>
        <w:t xml:space="preserve">                        Pursuant to WAC § 480-07-355, </w:t>
      </w:r>
      <w:r w:rsidR="000957A5">
        <w:t>the Industrial Customers of Northwest Utilities (“ICNU”)</w:t>
      </w:r>
      <w:r>
        <w:t xml:space="preserve"> hereby petitions the Washington Utilities and Transportation Commission (“WUTC” or “Commission”) for leave to intervene in the above-referenced </w:t>
      </w:r>
      <w:r w:rsidR="00301FA0">
        <w:t>d</w:t>
      </w:r>
      <w:r w:rsidRPr="00756179">
        <w:t>ock</w:t>
      </w:r>
      <w:r w:rsidR="00966E57" w:rsidRPr="00756179">
        <w:t>et</w:t>
      </w:r>
      <w:r w:rsidR="00756179">
        <w:t xml:space="preserve"> </w:t>
      </w:r>
      <w:r>
        <w:t>as an intervenor with full party status</w:t>
      </w:r>
      <w:r w:rsidR="00966E57">
        <w:t>,</w:t>
      </w:r>
      <w:r>
        <w:t xml:space="preserve"> as described in WAC § 480-07-340.  The business address of </w:t>
      </w:r>
      <w:r w:rsidR="000957A5">
        <w:t>ICNU</w:t>
      </w:r>
      <w:r>
        <w:t xml:space="preserve"> is:</w:t>
      </w:r>
    </w:p>
    <w:p w:rsidR="00C879A0" w:rsidRDefault="00B02F68" w:rsidP="00F65B00">
      <w:pPr>
        <w:ind w:left="1440"/>
      </w:pPr>
      <w:r>
        <w:t>Industrial Customers of Northwest Utilities</w:t>
      </w:r>
    </w:p>
    <w:p w:rsidR="00B02F68" w:rsidRDefault="00B02F68" w:rsidP="00F65B00">
      <w:pPr>
        <w:ind w:left="1440"/>
      </w:pPr>
      <w:r>
        <w:t>818 SW 3</w:t>
      </w:r>
      <w:r w:rsidRPr="00B02F68">
        <w:rPr>
          <w:vertAlign w:val="superscript"/>
        </w:rPr>
        <w:t>rd</w:t>
      </w:r>
      <w:r>
        <w:t xml:space="preserve"> Avenue #266</w:t>
      </w:r>
    </w:p>
    <w:p w:rsidR="00B02F68" w:rsidRPr="00F65B00" w:rsidRDefault="00B02F68" w:rsidP="00F65B00">
      <w:pPr>
        <w:ind w:left="1440"/>
      </w:pPr>
      <w:r>
        <w:t xml:space="preserve">Portland, OR </w:t>
      </w:r>
      <w:r w:rsidR="00265D5D">
        <w:t>97204</w:t>
      </w:r>
    </w:p>
    <w:p w:rsidR="00684B27" w:rsidRDefault="002924ED" w:rsidP="00013D40">
      <w:pPr>
        <w:pStyle w:val="WUTCParagraph"/>
        <w:tabs>
          <w:tab w:val="clear" w:pos="0"/>
        </w:tabs>
        <w:spacing w:before="240"/>
      </w:pPr>
      <w:r>
        <w:t xml:space="preserve">                        </w:t>
      </w:r>
      <w:r w:rsidR="00B02F68">
        <w:t>ICNU</w:t>
      </w:r>
      <w:r>
        <w:t xml:space="preserve"> will be represented in this proceeding by Davison Van Cleve, P.C.  All documents relating to th</w:t>
      </w:r>
      <w:r w:rsidR="00D0573D">
        <w:t>is proceeding should</w:t>
      </w:r>
      <w:r>
        <w:t xml:space="preserve"> be served on </w:t>
      </w:r>
      <w:r w:rsidR="00B02F68">
        <w:t>ICNU</w:t>
      </w:r>
      <w:r>
        <w:t>’s</w:t>
      </w:r>
      <w:r w:rsidR="00F65B00">
        <w:t xml:space="preserve"> attorney</w:t>
      </w:r>
      <w:r>
        <w:t xml:space="preserve"> at the following address:</w:t>
      </w:r>
    </w:p>
    <w:tbl>
      <w:tblPr>
        <w:tblW w:w="7110" w:type="dxa"/>
        <w:jc w:val="center"/>
        <w:tblLayout w:type="fixed"/>
        <w:tblCellMar>
          <w:left w:w="0" w:type="dxa"/>
          <w:right w:w="0" w:type="dxa"/>
        </w:tblCellMar>
        <w:tblLook w:val="0000" w:firstRow="0" w:lastRow="0" w:firstColumn="0" w:lastColumn="0" w:noHBand="0" w:noVBand="0"/>
      </w:tblPr>
      <w:tblGrid>
        <w:gridCol w:w="3150"/>
        <w:gridCol w:w="3960"/>
      </w:tblGrid>
      <w:tr w:rsidR="00A44487" w:rsidTr="00E06518">
        <w:trPr>
          <w:cantSplit/>
          <w:jc w:val="center"/>
        </w:trPr>
        <w:tc>
          <w:tcPr>
            <w:tcW w:w="3150" w:type="dxa"/>
          </w:tcPr>
          <w:p w:rsidR="00A44487" w:rsidRDefault="00A44487" w:rsidP="00013D40">
            <w:pPr>
              <w:ind w:left="32"/>
            </w:pPr>
            <w:r>
              <w:br w:type="page"/>
            </w:r>
            <w:r w:rsidR="00013D40">
              <w:t>Tyler C. Pepple</w:t>
            </w:r>
          </w:p>
          <w:p w:rsidR="00A44487" w:rsidRDefault="00A44487" w:rsidP="00E06518">
            <w:pPr>
              <w:ind w:left="32"/>
            </w:pPr>
            <w:r>
              <w:t>Davison Van Cleve, P.C.</w:t>
            </w:r>
          </w:p>
          <w:p w:rsidR="00A44487" w:rsidRDefault="00A44487" w:rsidP="00E06518">
            <w:pPr>
              <w:ind w:left="32"/>
            </w:pPr>
            <w:r>
              <w:t xml:space="preserve">333 S.W. Taylor, </w:t>
            </w:r>
            <w:smartTag w:uri="urn:schemas-microsoft-com:office:smarttags" w:element="address">
              <w:smartTag w:uri="urn:schemas-microsoft-com:office:smarttags" w:element="Street">
                <w:r>
                  <w:t>Suite</w:t>
                </w:r>
              </w:smartTag>
              <w:r>
                <w:t xml:space="preserve"> 400</w:t>
              </w:r>
            </w:smartTag>
          </w:p>
          <w:p w:rsidR="00A44487" w:rsidRDefault="00A44487" w:rsidP="00E06518">
            <w:pPr>
              <w:ind w:left="32"/>
            </w:pPr>
            <w:r>
              <w:t>Portland, OR  97204</w:t>
            </w:r>
          </w:p>
          <w:p w:rsidR="00A44487" w:rsidRDefault="00013D40" w:rsidP="00E06518">
            <w:pPr>
              <w:ind w:left="32"/>
            </w:pPr>
            <w:r>
              <w:t>tcp</w:t>
            </w:r>
            <w:r w:rsidR="00A44487" w:rsidRPr="002E1995">
              <w:t>@dvclaw.com</w:t>
            </w:r>
          </w:p>
          <w:p w:rsidR="00A44487" w:rsidRDefault="00013D40" w:rsidP="00E06518">
            <w:pPr>
              <w:ind w:left="32"/>
            </w:pPr>
            <w:r>
              <w:t xml:space="preserve">Telephone: </w:t>
            </w:r>
            <w:r w:rsidR="00A44487">
              <w:t>(503) 241-7242</w:t>
            </w:r>
          </w:p>
          <w:p w:rsidR="00A44487" w:rsidRDefault="00013D40" w:rsidP="00E06518">
            <w:pPr>
              <w:ind w:left="32"/>
            </w:pPr>
            <w:r>
              <w:t xml:space="preserve">Facsimile: </w:t>
            </w:r>
            <w:r w:rsidR="00A44487">
              <w:t>(503) 241-8160</w:t>
            </w:r>
          </w:p>
        </w:tc>
        <w:tc>
          <w:tcPr>
            <w:tcW w:w="3960" w:type="dxa"/>
          </w:tcPr>
          <w:p w:rsidR="00013D40" w:rsidRDefault="00013D40" w:rsidP="00013D40">
            <w:pPr>
              <w:pStyle w:val="SingleSpacing"/>
              <w:spacing w:line="240" w:lineRule="auto"/>
            </w:pPr>
          </w:p>
          <w:p w:rsidR="00013D40" w:rsidRDefault="00013D40" w:rsidP="00013D40">
            <w:pPr>
              <w:pStyle w:val="SingleSpacing"/>
              <w:spacing w:line="240" w:lineRule="auto"/>
            </w:pPr>
          </w:p>
        </w:tc>
      </w:tr>
    </w:tbl>
    <w:p w:rsidR="00C879A0" w:rsidRDefault="00C879A0" w:rsidP="00C879A0">
      <w:pPr>
        <w:pStyle w:val="WUTCParagraph"/>
        <w:tabs>
          <w:tab w:val="clear" w:pos="0"/>
        </w:tabs>
        <w:spacing w:before="240"/>
      </w:pPr>
      <w:r>
        <w:t xml:space="preserve">                        The administrative rules at issue are </w:t>
      </w:r>
      <w:r w:rsidRPr="002E1995">
        <w:t>WAC § 480-07-340, -355.</w:t>
      </w:r>
    </w:p>
    <w:p w:rsidR="00C879A0" w:rsidRDefault="00C879A0" w:rsidP="002924ED">
      <w:pPr>
        <w:pStyle w:val="WUTCParagraph"/>
        <w:tabs>
          <w:tab w:val="clear" w:pos="0"/>
        </w:tabs>
      </w:pPr>
      <w:r>
        <w:lastRenderedPageBreak/>
        <w:t xml:space="preserve">                        </w:t>
      </w:r>
      <w:r w:rsidR="00B02F68">
        <w:t xml:space="preserve">ICNU is an incorporated, non-profit association of large industrial electric customers in the Pacific Northwest.  A list of ICNU members is included as Attachment A.  </w:t>
      </w:r>
      <w:r w:rsidR="00013D40">
        <w:t>Many members of ICNU purchase power from Puget Sound Energy (“PSE or the “Company”), as indicated on Attachment A.</w:t>
      </w:r>
    </w:p>
    <w:p w:rsidR="00C879A0" w:rsidRDefault="00DE2AC9" w:rsidP="007359C8">
      <w:pPr>
        <w:pStyle w:val="WUTCParagraph"/>
        <w:tabs>
          <w:tab w:val="clear" w:pos="0"/>
        </w:tabs>
      </w:pPr>
      <w:r>
        <w:t xml:space="preserve">                        </w:t>
      </w:r>
      <w:r w:rsidR="00A40A12">
        <w:t xml:space="preserve">The purpose of this proceeding primarily is to evaluate PSE’s proposal to construct and operate a liquefied natural gas (“LNG”) facility that would provide both regulated and unregulated services.  </w:t>
      </w:r>
      <w:r w:rsidR="00090CDD">
        <w:t xml:space="preserve">Although this proceeding has been active since August 11, 2015, recently, on March 4, 2016, PSE proposed a new business model to enable its development of </w:t>
      </w:r>
      <w:r w:rsidR="00A40A12">
        <w:t>the LNG</w:t>
      </w:r>
      <w:r w:rsidR="00090CDD">
        <w:t xml:space="preserve"> facility.  The new business </w:t>
      </w:r>
      <w:r w:rsidR="00A40A12">
        <w:t xml:space="preserve">model </w:t>
      </w:r>
      <w:r w:rsidR="00090CDD">
        <w:t xml:space="preserve">would necessitate a waiver of at least one of the </w:t>
      </w:r>
      <w:r w:rsidR="0006279D">
        <w:t>commitments PSE made to</w:t>
      </w:r>
      <w:r w:rsidR="00090CDD">
        <w:t xml:space="preserve"> the Commission </w:t>
      </w:r>
      <w:r w:rsidR="0006279D">
        <w:t>and parties in order to obtain Commission approval of the Company’s</w:t>
      </w:r>
      <w:r w:rsidR="00090CDD">
        <w:t xml:space="preserve"> acquisition by a consortium of investment funds in 2008.</w:t>
      </w:r>
      <w:r w:rsidR="00A40A12" w:rsidRPr="00A40A12">
        <w:rPr>
          <w:rStyle w:val="FootnoteReference"/>
          <w:u w:val="single"/>
        </w:rPr>
        <w:footnoteReference w:id="1"/>
      </w:r>
      <w:proofErr w:type="gramStart"/>
      <w:r w:rsidR="00A40A12">
        <w:rPr>
          <w:vertAlign w:val="superscript"/>
        </w:rPr>
        <w:t>/</w:t>
      </w:r>
      <w:r w:rsidR="00090CDD">
        <w:t xml:space="preserve">  PSE</w:t>
      </w:r>
      <w:proofErr w:type="gramEnd"/>
      <w:r w:rsidR="00090CDD">
        <w:t xml:space="preserve"> proposed a bifurcated proceeding, the first phase of which would be devoted to determining, among other things, whether the Commission should approve a waiver of merger </w:t>
      </w:r>
      <w:r w:rsidR="003B2F58">
        <w:t>commitments</w:t>
      </w:r>
      <w:r w:rsidR="00090CDD">
        <w:t>.  On March 29, 2016, the Commission approved a bifurcated proceeding and allowed all parties to the merger proceeding</w:t>
      </w:r>
      <w:r w:rsidR="0006279D">
        <w:t>,</w:t>
      </w:r>
      <w:r w:rsidR="00090CDD">
        <w:t xml:space="preserve"> including ICNU, to file briefs on the issue of whether </w:t>
      </w:r>
      <w:r w:rsidR="0006279D">
        <w:t>PSE</w:t>
      </w:r>
      <w:r w:rsidR="00090CDD">
        <w:t xml:space="preserve"> should grant a waiver of merger </w:t>
      </w:r>
      <w:r w:rsidR="0006279D">
        <w:t>commitments</w:t>
      </w:r>
      <w:r w:rsidR="00090CDD">
        <w:t>.</w:t>
      </w:r>
      <w:r w:rsidR="00090CDD" w:rsidRPr="00090CDD">
        <w:rPr>
          <w:rStyle w:val="FootnoteReference"/>
          <w:u w:val="single"/>
        </w:rPr>
        <w:footnoteReference w:id="2"/>
      </w:r>
      <w:proofErr w:type="gramStart"/>
      <w:r w:rsidR="00090CDD">
        <w:rPr>
          <w:vertAlign w:val="superscript"/>
        </w:rPr>
        <w:t>/</w:t>
      </w:r>
      <w:r w:rsidR="00090CDD">
        <w:t xml:space="preserve">  It</w:t>
      </w:r>
      <w:proofErr w:type="gramEnd"/>
      <w:r w:rsidR="00090CDD">
        <w:t xml:space="preserve"> also scheduled oral argument on this issue on May 26, 2016.  </w:t>
      </w:r>
      <w:r w:rsidR="00A40A12">
        <w:t>ICNU filed the requested brief and attended oral argument.  At oral argument, PSE proposed that</w:t>
      </w:r>
      <w:r w:rsidR="003B2F58">
        <w:t>, in lieu of a Commission decision on the questions presented in the first phase of the bifurcated proceeding,</w:t>
      </w:r>
      <w:r w:rsidR="00A40A12">
        <w:t xml:space="preserve"> the parties engage in mediated settlement negotiations </w:t>
      </w:r>
      <w:r w:rsidR="003B2F58">
        <w:t>to attempt to resolve their differences</w:t>
      </w:r>
      <w:r w:rsidR="00A40A12">
        <w:t>.  The Commission approved this proposal.</w:t>
      </w:r>
    </w:p>
    <w:p w:rsidR="00A40A12" w:rsidRDefault="00A40A12" w:rsidP="007359C8">
      <w:pPr>
        <w:pStyle w:val="WUTCParagraph"/>
        <w:tabs>
          <w:tab w:val="clear" w:pos="0"/>
        </w:tabs>
      </w:pPr>
      <w:r>
        <w:lastRenderedPageBreak/>
        <w:t xml:space="preserve">                        Because Order 07 only authorized ICNU to file a brief on the issue of whether PSE should be granted a waiver of merger conditions, and because this issue will now become part of mediated settlement negotiations and could be litigated before the Commission at a future date, ICNU submits this late-filed petition to intervene in order to ensure its ability to continue to participate in this docket with respect to this issue.  ICNU’s petition to intervene will also ensure that it receives notice of filings made in this docket.  ICNU will not participate on issues that are outside of the scope of its interest in this proceeding.</w:t>
      </w:r>
    </w:p>
    <w:p w:rsidR="00C879A0" w:rsidRDefault="00DE2AC9" w:rsidP="00C879A0">
      <w:pPr>
        <w:pStyle w:val="WUTCParagraph"/>
        <w:tabs>
          <w:tab w:val="clear" w:pos="0"/>
        </w:tabs>
      </w:pPr>
      <w:r>
        <w:t xml:space="preserve">                        </w:t>
      </w:r>
      <w:r w:rsidR="00C879A0">
        <w:t xml:space="preserve">As described above, </w:t>
      </w:r>
      <w:r w:rsidR="008360F3">
        <w:t>ICNU</w:t>
      </w:r>
      <w:r w:rsidR="00C879A0">
        <w:t xml:space="preserve"> has a direct and substantial interest in this proceeding that will not be adequately represented by any other party, and may be affected by any Commission determination made in con</w:t>
      </w:r>
      <w:r w:rsidR="00C368B3">
        <w:t>nection with this proceeding.</w:t>
      </w:r>
      <w:r w:rsidR="003B2F58">
        <w:t xml:space="preserve">  ICNU’s participation will not unnecessarily broaden the issues or burden the record in this proceeding.</w:t>
      </w:r>
      <w:bookmarkStart w:id="1" w:name="_GoBack"/>
      <w:bookmarkEnd w:id="1"/>
      <w:r w:rsidR="00A40A12">
        <w:t xml:space="preserve">  ICNU also has good cause for submitting a late-filed petition to intervene, as required by WAC § 480-07-355(b).</w:t>
      </w:r>
      <w:r w:rsidR="00C368B3">
        <w:t xml:space="preserve">  Thus, i</w:t>
      </w:r>
      <w:r w:rsidR="00C879A0">
        <w:t xml:space="preserve">t is in the public interest to allow </w:t>
      </w:r>
      <w:r w:rsidR="008360F3">
        <w:t>ICNU</w:t>
      </w:r>
      <w:r w:rsidR="00C879A0">
        <w:t xml:space="preserve"> to intervene in this proceeding.</w:t>
      </w:r>
    </w:p>
    <w:p w:rsidR="00C879A0" w:rsidRDefault="00DE2AC9" w:rsidP="00DE2AC9">
      <w:pPr>
        <w:pStyle w:val="WUTCParagraph"/>
        <w:keepNext/>
        <w:tabs>
          <w:tab w:val="clear" w:pos="0"/>
        </w:tabs>
      </w:pPr>
      <w:r>
        <w:t xml:space="preserve">                        </w:t>
      </w:r>
      <w:r w:rsidR="00C879A0">
        <w:t xml:space="preserve">WHEREFORE, </w:t>
      </w:r>
      <w:r w:rsidR="008360F3">
        <w:t>ICNU</w:t>
      </w:r>
      <w:r w:rsidR="00C879A0">
        <w:t xml:space="preserve"> respectfully petitions the Commission for leave to intervene in this proceeding.</w:t>
      </w:r>
    </w:p>
    <w:p w:rsidR="00C879A0" w:rsidRDefault="00C879A0" w:rsidP="00C879A0">
      <w:pPr>
        <w:keepNext/>
        <w:spacing w:line="480" w:lineRule="auto"/>
        <w:ind w:firstLine="1440"/>
      </w:pPr>
      <w:r>
        <w:t xml:space="preserve">Dated this </w:t>
      </w:r>
      <w:r w:rsidR="00A40A12">
        <w:t>31st</w:t>
      </w:r>
      <w:r>
        <w:t xml:space="preserve"> day of </w:t>
      </w:r>
      <w:r w:rsidR="00A40A12">
        <w:t>May</w:t>
      </w:r>
      <w:r>
        <w:t>, 201</w:t>
      </w:r>
      <w:r w:rsidR="00A40A12">
        <w:t>6</w:t>
      </w:r>
      <w:r>
        <w:t>.</w:t>
      </w:r>
    </w:p>
    <w:p w:rsidR="00C879A0" w:rsidRDefault="00C879A0" w:rsidP="00C879A0">
      <w:pPr>
        <w:keepNext/>
        <w:spacing w:line="480" w:lineRule="auto"/>
        <w:ind w:left="2880" w:firstLine="720"/>
      </w:pPr>
      <w:r>
        <w:t>Respectfully submitted,</w:t>
      </w:r>
    </w:p>
    <w:p w:rsidR="00C879A0" w:rsidRDefault="00C879A0" w:rsidP="00C879A0">
      <w:pPr>
        <w:keepNext/>
        <w:spacing w:line="480" w:lineRule="auto"/>
        <w:ind w:firstLine="3600"/>
      </w:pPr>
      <w:r>
        <w:t>DAVISON VAN CLEVE, P.C.</w:t>
      </w:r>
    </w:p>
    <w:p w:rsidR="00C879A0" w:rsidRPr="00200EE5" w:rsidRDefault="00C879A0" w:rsidP="00C879A0">
      <w:pPr>
        <w:keepNext/>
        <w:ind w:firstLine="3600"/>
        <w:rPr>
          <w:u w:val="single"/>
        </w:rPr>
      </w:pPr>
      <w:r>
        <w:rPr>
          <w:i/>
          <w:u w:val="single"/>
        </w:rPr>
        <w:t xml:space="preserve">/s/ </w:t>
      </w:r>
      <w:r w:rsidR="00A10A62">
        <w:rPr>
          <w:i/>
          <w:u w:val="single"/>
        </w:rPr>
        <w:t>Tyler C. Pepple</w:t>
      </w:r>
    </w:p>
    <w:p w:rsidR="00C879A0" w:rsidRDefault="00A10A62" w:rsidP="00C879A0">
      <w:pPr>
        <w:keepNext/>
        <w:ind w:firstLine="3600"/>
      </w:pPr>
      <w:r>
        <w:t>Tyler C. Pepple</w:t>
      </w:r>
    </w:p>
    <w:p w:rsidR="00C879A0" w:rsidRDefault="00C879A0" w:rsidP="00C879A0">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C879A0" w:rsidRDefault="00C879A0" w:rsidP="00C879A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phone">
          <w:r>
            <w:t>Oregon</w:t>
          </w:r>
        </w:smartTag>
        <w:r>
          <w:t xml:space="preserve"> </w:t>
        </w:r>
        <w:smartTag w:uri="urn:schemas-microsoft-com:office:smarttags" w:element="PostalCode">
          <w:r>
            <w:t>97204</w:t>
          </w:r>
        </w:smartTag>
      </w:smartTag>
    </w:p>
    <w:p w:rsidR="00C879A0" w:rsidRDefault="00C879A0" w:rsidP="00C879A0">
      <w:pPr>
        <w:keepNext/>
        <w:ind w:firstLine="3600"/>
      </w:pPr>
      <w:r>
        <w:t>(503) 241-7242 telephone</w:t>
      </w:r>
    </w:p>
    <w:p w:rsidR="00C879A0" w:rsidRDefault="00C879A0" w:rsidP="00C879A0">
      <w:pPr>
        <w:keepNext/>
        <w:ind w:firstLine="3600"/>
      </w:pPr>
      <w:r>
        <w:t>(503) 241-8160 facsimile</w:t>
      </w:r>
    </w:p>
    <w:p w:rsidR="00C879A0" w:rsidRDefault="00A10A62" w:rsidP="00C879A0">
      <w:pPr>
        <w:ind w:left="2912" w:firstLine="688"/>
      </w:pPr>
      <w:r>
        <w:t>tcp</w:t>
      </w:r>
      <w:r w:rsidR="00C879A0" w:rsidRPr="002E1995">
        <w:t>@dvclaw.com</w:t>
      </w:r>
    </w:p>
    <w:p w:rsidR="00C879A0" w:rsidRDefault="00C879A0" w:rsidP="00C879A0">
      <w:pPr>
        <w:ind w:left="3600"/>
      </w:pPr>
      <w:r>
        <w:t xml:space="preserve">Of Attorneys for </w:t>
      </w:r>
      <w:r w:rsidR="008360F3">
        <w:t>the Industrial Customers</w:t>
      </w:r>
    </w:p>
    <w:p w:rsidR="00F81487" w:rsidRDefault="00433C16" w:rsidP="00F81487">
      <w:pPr>
        <w:ind w:left="3600"/>
        <w:sectPr w:rsidR="00F81487" w:rsidSect="00F81487">
          <w:footerReference w:type="default" r:id="rId7"/>
          <w:pgSz w:w="12240" w:h="15840"/>
          <w:pgMar w:top="1440" w:right="1440" w:bottom="1440" w:left="1440" w:header="432" w:footer="0" w:gutter="0"/>
          <w:cols w:space="720"/>
          <w:docGrid w:linePitch="360"/>
        </w:sectPr>
      </w:pPr>
      <w:r>
        <w:t>of Northwest Utilities</w:t>
      </w:r>
    </w:p>
    <w:p w:rsidR="00F81487" w:rsidRDefault="00F81487" w:rsidP="00433C16"/>
    <w:p w:rsidR="00433C16" w:rsidRPr="00E533BF" w:rsidRDefault="00433C16" w:rsidP="00433C16">
      <w:pPr>
        <w:pStyle w:val="Heading1"/>
        <w:ind w:left="-180"/>
        <w:jc w:val="center"/>
        <w:rPr>
          <w:color w:val="000000" w:themeColor="text1"/>
          <w:sz w:val="24"/>
          <w:szCs w:val="24"/>
        </w:rPr>
      </w:pPr>
      <w:r w:rsidRPr="00E533BF">
        <w:rPr>
          <w:color w:val="000000" w:themeColor="text1"/>
          <w:sz w:val="24"/>
          <w:szCs w:val="24"/>
        </w:rPr>
        <w:t>ATTACHMENT A</w:t>
      </w:r>
    </w:p>
    <w:p w:rsidR="00433C16" w:rsidRPr="00191FA8" w:rsidRDefault="00433C16" w:rsidP="00433C16">
      <w:pPr>
        <w:pStyle w:val="Heading2"/>
        <w:jc w:val="center"/>
        <w:rPr>
          <w:rFonts w:ascii="Times New Roman" w:hAnsi="Times New Roman" w:cs="Times New Roman"/>
          <w:color w:val="000000" w:themeColor="text1"/>
          <w:sz w:val="24"/>
          <w:szCs w:val="24"/>
        </w:rPr>
      </w:pPr>
      <w:r w:rsidRPr="00191FA8">
        <w:rPr>
          <w:rFonts w:ascii="Times New Roman" w:hAnsi="Times New Roman" w:cs="Times New Roman"/>
          <w:color w:val="000000" w:themeColor="text1"/>
          <w:sz w:val="24"/>
          <w:szCs w:val="24"/>
        </w:rPr>
        <w:t>MEMBERS OF INDUSTRIAL CUSTOMERS OF NORTHWEST UTILITIES</w:t>
      </w:r>
    </w:p>
    <w:p w:rsidR="00433C16" w:rsidRDefault="00433C16" w:rsidP="00433C16">
      <w:pPr>
        <w:pStyle w:val="EndnoteText"/>
        <w:tabs>
          <w:tab w:val="center" w:pos="3600"/>
        </w:tabs>
        <w:suppressAutoHyphens/>
        <w:rPr>
          <w:rFonts w:ascii="Univers" w:hAnsi="Univers" w:cs="Univers"/>
        </w:rPr>
      </w:pPr>
    </w:p>
    <w:p w:rsidR="00433C16" w:rsidRPr="009F0F49" w:rsidRDefault="00433C16" w:rsidP="00433C16">
      <w:pPr>
        <w:ind w:left="3600"/>
        <w:rPr>
          <w:szCs w:val="24"/>
        </w:rPr>
      </w:pPr>
      <w:r>
        <w:rPr>
          <w:szCs w:val="24"/>
        </w:rPr>
        <w:t>*</w:t>
      </w:r>
      <w:r w:rsidRPr="009F0F49">
        <w:rPr>
          <w:szCs w:val="24"/>
        </w:rPr>
        <w:t>Air Liquide</w:t>
      </w:r>
    </w:p>
    <w:p w:rsidR="00433C16" w:rsidRDefault="00433C16" w:rsidP="00433C16">
      <w:pPr>
        <w:ind w:left="3600"/>
        <w:rPr>
          <w:szCs w:val="24"/>
        </w:rPr>
      </w:pPr>
      <w:r>
        <w:rPr>
          <w:szCs w:val="24"/>
        </w:rPr>
        <w:t>*</w:t>
      </w:r>
      <w:r w:rsidRPr="009F0F49">
        <w:rPr>
          <w:szCs w:val="24"/>
        </w:rPr>
        <w:t>Air Products</w:t>
      </w:r>
    </w:p>
    <w:p w:rsidR="00433C16" w:rsidRDefault="00433C16" w:rsidP="00433C16">
      <w:pPr>
        <w:ind w:left="3600"/>
        <w:rPr>
          <w:szCs w:val="24"/>
        </w:rPr>
      </w:pPr>
      <w:r>
        <w:rPr>
          <w:szCs w:val="24"/>
        </w:rPr>
        <w:t>AkzoNobel</w:t>
      </w:r>
    </w:p>
    <w:p w:rsidR="00433C16" w:rsidRPr="009F0F49" w:rsidRDefault="00433C16" w:rsidP="00433C16">
      <w:pPr>
        <w:ind w:left="3600"/>
        <w:rPr>
          <w:szCs w:val="24"/>
        </w:rPr>
      </w:pPr>
      <w:r>
        <w:rPr>
          <w:szCs w:val="24"/>
        </w:rPr>
        <w:t>Alcoa</w:t>
      </w:r>
    </w:p>
    <w:p w:rsidR="00433C16" w:rsidRDefault="00433C16" w:rsidP="00433C16">
      <w:pPr>
        <w:ind w:left="3600"/>
        <w:rPr>
          <w:szCs w:val="24"/>
        </w:rPr>
      </w:pPr>
      <w:r>
        <w:rPr>
          <w:szCs w:val="24"/>
        </w:rPr>
        <w:t>*</w:t>
      </w:r>
      <w:r w:rsidRPr="009F0F49">
        <w:rPr>
          <w:szCs w:val="24"/>
        </w:rPr>
        <w:t>Amcor Rigid Plastics</w:t>
      </w:r>
    </w:p>
    <w:p w:rsidR="00433C16" w:rsidRPr="009F0F49" w:rsidRDefault="00433C16" w:rsidP="00433C16">
      <w:pPr>
        <w:ind w:left="3600"/>
        <w:rPr>
          <w:szCs w:val="24"/>
        </w:rPr>
      </w:pPr>
      <w:r>
        <w:rPr>
          <w:szCs w:val="24"/>
        </w:rPr>
        <w:t>Axiall, Inc.</w:t>
      </w:r>
    </w:p>
    <w:p w:rsidR="00433C16" w:rsidRPr="009F0F49" w:rsidRDefault="00433C16" w:rsidP="00433C16">
      <w:pPr>
        <w:ind w:left="3600"/>
        <w:rPr>
          <w:szCs w:val="24"/>
        </w:rPr>
      </w:pPr>
      <w:r>
        <w:rPr>
          <w:szCs w:val="24"/>
        </w:rPr>
        <w:t>*</w:t>
      </w:r>
      <w:r w:rsidRPr="009F0F49">
        <w:rPr>
          <w:szCs w:val="24"/>
        </w:rPr>
        <w:t>Boeing</w:t>
      </w:r>
    </w:p>
    <w:p w:rsidR="00433C16" w:rsidRPr="009F0F49" w:rsidRDefault="00433C16" w:rsidP="00433C16">
      <w:pPr>
        <w:ind w:left="3600"/>
        <w:rPr>
          <w:szCs w:val="24"/>
        </w:rPr>
      </w:pPr>
      <w:r w:rsidRPr="009F0F49">
        <w:rPr>
          <w:szCs w:val="24"/>
        </w:rPr>
        <w:t>Boise Cascade, LLC</w:t>
      </w:r>
    </w:p>
    <w:p w:rsidR="00433C16" w:rsidRDefault="00433C16" w:rsidP="00433C16">
      <w:pPr>
        <w:ind w:left="3600"/>
      </w:pPr>
      <w:r w:rsidRPr="001D3327">
        <w:t>Certain Teed Gypsum &amp; Ceiling Manufacturing (BPB)</w:t>
      </w:r>
    </w:p>
    <w:p w:rsidR="00433C16" w:rsidRPr="008B732F" w:rsidRDefault="00433C16" w:rsidP="00433C16">
      <w:pPr>
        <w:ind w:left="3600"/>
        <w:rPr>
          <w:szCs w:val="24"/>
        </w:rPr>
      </w:pPr>
      <w:r>
        <w:t>Columbia Steel</w:t>
      </w:r>
    </w:p>
    <w:p w:rsidR="00433C16" w:rsidRDefault="00433C16" w:rsidP="00433C16">
      <w:pPr>
        <w:ind w:left="3600"/>
        <w:rPr>
          <w:szCs w:val="24"/>
        </w:rPr>
      </w:pPr>
      <w:r w:rsidRPr="009F0F49">
        <w:rPr>
          <w:szCs w:val="24"/>
        </w:rPr>
        <w:t>ConAgra Foods</w:t>
      </w:r>
    </w:p>
    <w:p w:rsidR="00433C16" w:rsidRPr="009F0F49" w:rsidRDefault="00E533BF" w:rsidP="00433C16">
      <w:pPr>
        <w:ind w:left="3600"/>
        <w:rPr>
          <w:szCs w:val="24"/>
        </w:rPr>
      </w:pPr>
      <w:r w:rsidRPr="00E533BF">
        <w:rPr>
          <w:szCs w:val="24"/>
        </w:rPr>
        <w:t>*</w:t>
      </w:r>
      <w:r w:rsidR="00433C16" w:rsidRPr="00E533BF">
        <w:rPr>
          <w:szCs w:val="24"/>
        </w:rPr>
        <w:t>Darigold</w:t>
      </w:r>
    </w:p>
    <w:p w:rsidR="00433C16" w:rsidRPr="009F0F49" w:rsidRDefault="00433C16" w:rsidP="00433C16">
      <w:pPr>
        <w:ind w:left="3600"/>
        <w:rPr>
          <w:szCs w:val="24"/>
        </w:rPr>
      </w:pPr>
      <w:r w:rsidRPr="009F0F49">
        <w:rPr>
          <w:szCs w:val="24"/>
        </w:rPr>
        <w:t>Dyno Nobel, Inc.</w:t>
      </w:r>
    </w:p>
    <w:p w:rsidR="00433C16" w:rsidRPr="009F0F49" w:rsidRDefault="00433C16" w:rsidP="00433C16">
      <w:pPr>
        <w:ind w:left="3600"/>
        <w:rPr>
          <w:szCs w:val="24"/>
        </w:rPr>
      </w:pPr>
      <w:r w:rsidRPr="009F0F49">
        <w:rPr>
          <w:szCs w:val="24"/>
        </w:rPr>
        <w:t>Emerald Performance Materials, LLC</w:t>
      </w:r>
    </w:p>
    <w:p w:rsidR="00433C16" w:rsidRPr="009F0F49" w:rsidRDefault="00433C16" w:rsidP="00433C16">
      <w:pPr>
        <w:ind w:left="3600"/>
        <w:rPr>
          <w:szCs w:val="24"/>
        </w:rPr>
      </w:pPr>
      <w:r w:rsidRPr="009F0F49">
        <w:rPr>
          <w:szCs w:val="24"/>
        </w:rPr>
        <w:t>Evraz, Inc.</w:t>
      </w:r>
    </w:p>
    <w:p w:rsidR="00433C16" w:rsidRPr="009F0F49" w:rsidRDefault="00433C16" w:rsidP="00433C16">
      <w:pPr>
        <w:ind w:left="3600"/>
        <w:rPr>
          <w:szCs w:val="24"/>
        </w:rPr>
      </w:pPr>
      <w:r w:rsidRPr="009F0F49">
        <w:rPr>
          <w:szCs w:val="24"/>
        </w:rPr>
        <w:t>Freres Lumber Co.</w:t>
      </w:r>
    </w:p>
    <w:p w:rsidR="00433C16" w:rsidRDefault="00433C16" w:rsidP="00433C16">
      <w:pPr>
        <w:ind w:left="3600"/>
        <w:rPr>
          <w:szCs w:val="24"/>
        </w:rPr>
      </w:pPr>
      <w:r>
        <w:rPr>
          <w:szCs w:val="24"/>
        </w:rPr>
        <w:t>*</w:t>
      </w:r>
      <w:r w:rsidRPr="009F0F49">
        <w:rPr>
          <w:szCs w:val="24"/>
        </w:rPr>
        <w:t>Georgia-Pacific</w:t>
      </w:r>
    </w:p>
    <w:p w:rsidR="00433C16" w:rsidRPr="009F0F49" w:rsidRDefault="00433C16" w:rsidP="00433C16">
      <w:pPr>
        <w:ind w:left="3600"/>
        <w:rPr>
          <w:szCs w:val="24"/>
        </w:rPr>
      </w:pPr>
      <w:r>
        <w:rPr>
          <w:szCs w:val="24"/>
        </w:rPr>
        <w:t>Grant PUD Industries</w:t>
      </w:r>
    </w:p>
    <w:p w:rsidR="00433C16" w:rsidRPr="009F0F49" w:rsidRDefault="00433C16" w:rsidP="00433C16">
      <w:pPr>
        <w:ind w:left="3600"/>
        <w:rPr>
          <w:szCs w:val="24"/>
        </w:rPr>
      </w:pPr>
      <w:r w:rsidRPr="009F0F49">
        <w:rPr>
          <w:szCs w:val="24"/>
        </w:rPr>
        <w:t>Inland Empire Paper Co.</w:t>
      </w:r>
    </w:p>
    <w:p w:rsidR="00433C16" w:rsidRPr="009F0F49" w:rsidRDefault="00433C16" w:rsidP="00433C16">
      <w:pPr>
        <w:ind w:left="3600"/>
        <w:rPr>
          <w:szCs w:val="24"/>
        </w:rPr>
      </w:pPr>
      <w:r>
        <w:rPr>
          <w:szCs w:val="24"/>
        </w:rPr>
        <w:t>*</w:t>
      </w:r>
      <w:r w:rsidRPr="009F0F49">
        <w:rPr>
          <w:szCs w:val="24"/>
        </w:rPr>
        <w:t>Intel Corp</w:t>
      </w:r>
    </w:p>
    <w:p w:rsidR="00433C16" w:rsidRPr="009F0F49" w:rsidRDefault="00433C16" w:rsidP="00433C16">
      <w:pPr>
        <w:ind w:left="3600"/>
        <w:rPr>
          <w:szCs w:val="24"/>
        </w:rPr>
      </w:pPr>
      <w:r>
        <w:rPr>
          <w:szCs w:val="24"/>
        </w:rPr>
        <w:t>*</w:t>
      </w:r>
      <w:r w:rsidRPr="009F0F49">
        <w:rPr>
          <w:szCs w:val="24"/>
        </w:rPr>
        <w:t>International Paper</w:t>
      </w:r>
    </w:p>
    <w:p w:rsidR="00433C16" w:rsidRDefault="00433C16" w:rsidP="00433C16">
      <w:pPr>
        <w:ind w:left="3600"/>
        <w:rPr>
          <w:szCs w:val="24"/>
        </w:rPr>
      </w:pPr>
      <w:r w:rsidRPr="009F0F49">
        <w:rPr>
          <w:szCs w:val="24"/>
        </w:rPr>
        <w:t>J.R. Simplot</w:t>
      </w:r>
    </w:p>
    <w:p w:rsidR="00433C16" w:rsidRDefault="00433C16" w:rsidP="00433C16">
      <w:pPr>
        <w:ind w:left="3600"/>
        <w:rPr>
          <w:szCs w:val="24"/>
        </w:rPr>
      </w:pPr>
      <w:r>
        <w:rPr>
          <w:szCs w:val="24"/>
        </w:rPr>
        <w:t>Kapstone Kraft Paper</w:t>
      </w:r>
    </w:p>
    <w:p w:rsidR="00433C16" w:rsidRPr="009F0F49" w:rsidRDefault="00433C16" w:rsidP="00433C16">
      <w:pPr>
        <w:ind w:left="3600"/>
        <w:rPr>
          <w:szCs w:val="24"/>
        </w:rPr>
      </w:pPr>
      <w:r>
        <w:rPr>
          <w:szCs w:val="24"/>
        </w:rPr>
        <w:t>Legacy Health</w:t>
      </w:r>
    </w:p>
    <w:p w:rsidR="00433C16" w:rsidRPr="009F0F49" w:rsidRDefault="00433C16" w:rsidP="00433C16">
      <w:pPr>
        <w:ind w:left="3600"/>
        <w:rPr>
          <w:szCs w:val="24"/>
        </w:rPr>
      </w:pPr>
      <w:r w:rsidRPr="009F0F49">
        <w:rPr>
          <w:szCs w:val="24"/>
        </w:rPr>
        <w:t>Linde, Inc.</w:t>
      </w:r>
    </w:p>
    <w:p w:rsidR="00433C16" w:rsidRPr="009F0F49" w:rsidRDefault="0018640C" w:rsidP="00433C16">
      <w:pPr>
        <w:ind w:left="3600"/>
        <w:rPr>
          <w:szCs w:val="24"/>
        </w:rPr>
      </w:pPr>
      <w:r>
        <w:rPr>
          <w:szCs w:val="24"/>
        </w:rPr>
        <w:t>*</w:t>
      </w:r>
      <w:r w:rsidR="00433C16" w:rsidRPr="009F0F49">
        <w:rPr>
          <w:szCs w:val="24"/>
        </w:rPr>
        <w:t>Microsoft Corporation</w:t>
      </w:r>
    </w:p>
    <w:p w:rsidR="00433C16" w:rsidRDefault="00433C16" w:rsidP="00433C16">
      <w:pPr>
        <w:ind w:left="3600"/>
        <w:rPr>
          <w:szCs w:val="24"/>
        </w:rPr>
      </w:pPr>
      <w:r w:rsidRPr="009F0F49">
        <w:rPr>
          <w:szCs w:val="24"/>
        </w:rPr>
        <w:t>Norpac Foods</w:t>
      </w:r>
    </w:p>
    <w:p w:rsidR="00433C16" w:rsidRDefault="00DF707A" w:rsidP="00433C16">
      <w:pPr>
        <w:ind w:left="3600"/>
        <w:rPr>
          <w:szCs w:val="24"/>
        </w:rPr>
      </w:pPr>
      <w:r>
        <w:rPr>
          <w:szCs w:val="24"/>
        </w:rPr>
        <w:t>*</w:t>
      </w:r>
      <w:r w:rsidR="00433C16">
        <w:rPr>
          <w:szCs w:val="24"/>
        </w:rPr>
        <w:t>Northwest Hardwoods</w:t>
      </w:r>
    </w:p>
    <w:p w:rsidR="00433C16" w:rsidRPr="009F0F49" w:rsidRDefault="00433C16" w:rsidP="00433C16">
      <w:pPr>
        <w:ind w:left="3600"/>
        <w:rPr>
          <w:szCs w:val="24"/>
        </w:rPr>
      </w:pPr>
      <w:r>
        <w:rPr>
          <w:szCs w:val="24"/>
        </w:rPr>
        <w:t>Packaging Corporation of America</w:t>
      </w:r>
    </w:p>
    <w:p w:rsidR="00433C16" w:rsidRPr="009F0F49" w:rsidRDefault="00433C16" w:rsidP="00433C16">
      <w:pPr>
        <w:ind w:left="3600"/>
        <w:rPr>
          <w:szCs w:val="24"/>
        </w:rPr>
      </w:pPr>
      <w:r w:rsidRPr="009F0F49">
        <w:rPr>
          <w:szCs w:val="24"/>
        </w:rPr>
        <w:t>PCC Structurals, Inc.</w:t>
      </w:r>
    </w:p>
    <w:p w:rsidR="00433C16" w:rsidRDefault="00433C16" w:rsidP="00433C16">
      <w:pPr>
        <w:ind w:left="3600"/>
        <w:rPr>
          <w:szCs w:val="24"/>
        </w:rPr>
      </w:pPr>
      <w:r w:rsidRPr="009F0F49">
        <w:rPr>
          <w:szCs w:val="24"/>
        </w:rPr>
        <w:t>Ponderay Newsprint</w:t>
      </w:r>
    </w:p>
    <w:p w:rsidR="00433C16" w:rsidRDefault="00433C16" w:rsidP="00433C16">
      <w:pPr>
        <w:ind w:left="3600"/>
        <w:rPr>
          <w:szCs w:val="24"/>
        </w:rPr>
      </w:pPr>
      <w:r w:rsidRPr="009F0F49">
        <w:rPr>
          <w:szCs w:val="24"/>
        </w:rPr>
        <w:t>REC Solar Grade Silicon LLC</w:t>
      </w:r>
    </w:p>
    <w:p w:rsidR="00433C16" w:rsidRPr="009F0F49" w:rsidRDefault="00433C16" w:rsidP="00433C16">
      <w:pPr>
        <w:ind w:left="3600"/>
        <w:rPr>
          <w:szCs w:val="24"/>
        </w:rPr>
      </w:pPr>
      <w:r>
        <w:rPr>
          <w:szCs w:val="24"/>
        </w:rPr>
        <w:t>Schnitzer Steel</w:t>
      </w:r>
    </w:p>
    <w:p w:rsidR="00433C16" w:rsidRPr="009F0F49" w:rsidRDefault="00DF707A" w:rsidP="00433C16">
      <w:pPr>
        <w:ind w:left="3600"/>
        <w:rPr>
          <w:szCs w:val="24"/>
        </w:rPr>
      </w:pPr>
      <w:r>
        <w:rPr>
          <w:szCs w:val="24"/>
        </w:rPr>
        <w:t>*</w:t>
      </w:r>
      <w:r w:rsidR="00433C16" w:rsidRPr="009F0F49">
        <w:rPr>
          <w:szCs w:val="24"/>
        </w:rPr>
        <w:t>Shell Oil Products US</w:t>
      </w:r>
    </w:p>
    <w:p w:rsidR="00433C16" w:rsidRPr="009F0F49" w:rsidRDefault="00DF707A" w:rsidP="00433C16">
      <w:pPr>
        <w:ind w:left="3600"/>
        <w:rPr>
          <w:szCs w:val="24"/>
        </w:rPr>
      </w:pPr>
      <w:r>
        <w:rPr>
          <w:szCs w:val="24"/>
        </w:rPr>
        <w:t>*</w:t>
      </w:r>
      <w:r w:rsidR="00433C16" w:rsidRPr="009F0F49">
        <w:rPr>
          <w:szCs w:val="24"/>
        </w:rPr>
        <w:t>Tesoro Refining and Marketing Co.</w:t>
      </w:r>
      <w:r w:rsidR="00433C16" w:rsidRPr="009F0F49">
        <w:rPr>
          <w:szCs w:val="24"/>
        </w:rPr>
        <w:br/>
        <w:t>Timber Products, Inc.</w:t>
      </w:r>
    </w:p>
    <w:p w:rsidR="00433C16" w:rsidRDefault="00433C16" w:rsidP="00433C16">
      <w:pPr>
        <w:ind w:left="3600"/>
        <w:rPr>
          <w:szCs w:val="24"/>
        </w:rPr>
      </w:pPr>
      <w:r w:rsidRPr="009F0F49">
        <w:rPr>
          <w:szCs w:val="24"/>
        </w:rPr>
        <w:t>Wah Chang</w:t>
      </w:r>
    </w:p>
    <w:p w:rsidR="00433C16" w:rsidRPr="009F0F49" w:rsidRDefault="00433C16" w:rsidP="00433C16">
      <w:pPr>
        <w:ind w:left="3600"/>
        <w:rPr>
          <w:szCs w:val="24"/>
        </w:rPr>
      </w:pPr>
      <w:r>
        <w:rPr>
          <w:szCs w:val="24"/>
        </w:rPr>
        <w:t>WestRock</w:t>
      </w:r>
    </w:p>
    <w:p w:rsidR="00433C16" w:rsidRPr="009F0F49" w:rsidRDefault="00433C16" w:rsidP="00433C16">
      <w:pPr>
        <w:ind w:left="3600"/>
        <w:rPr>
          <w:szCs w:val="24"/>
        </w:rPr>
      </w:pPr>
      <w:r w:rsidRPr="009F0F49">
        <w:rPr>
          <w:szCs w:val="24"/>
        </w:rPr>
        <w:t>West Linn Paper Company</w:t>
      </w:r>
    </w:p>
    <w:p w:rsidR="00433C16" w:rsidRPr="00BB4F5A" w:rsidRDefault="0018640C" w:rsidP="00433C16">
      <w:pPr>
        <w:ind w:left="3600"/>
        <w:rPr>
          <w:szCs w:val="24"/>
        </w:rPr>
      </w:pPr>
      <w:r>
        <w:rPr>
          <w:szCs w:val="24"/>
        </w:rPr>
        <w:t>*</w:t>
      </w:r>
      <w:r w:rsidR="00433C16" w:rsidRPr="009F0F49">
        <w:rPr>
          <w:szCs w:val="24"/>
        </w:rPr>
        <w:t>Weyerhaeuser</w:t>
      </w:r>
    </w:p>
    <w:p w:rsidR="00191FA8" w:rsidRPr="00191FA8" w:rsidRDefault="00191FA8" w:rsidP="00191FA8">
      <w:pPr>
        <w:rPr>
          <w:i/>
          <w:iCs/>
          <w:sz w:val="20"/>
          <w:highlight w:val="yellow"/>
        </w:rPr>
      </w:pPr>
    </w:p>
    <w:p w:rsidR="00191FA8" w:rsidRPr="001D2D9C" w:rsidRDefault="00191FA8" w:rsidP="00191FA8">
      <w:pPr>
        <w:rPr>
          <w:i/>
          <w:iCs/>
          <w:sz w:val="20"/>
        </w:rPr>
      </w:pPr>
      <w:r w:rsidRPr="003B710E">
        <w:rPr>
          <w:i/>
          <w:iCs/>
          <w:sz w:val="20"/>
        </w:rPr>
        <w:t xml:space="preserve">*Denotes </w:t>
      </w:r>
      <w:r w:rsidR="00013D40">
        <w:rPr>
          <w:i/>
          <w:iCs/>
          <w:sz w:val="20"/>
        </w:rPr>
        <w:t>PSE Customers</w:t>
      </w:r>
    </w:p>
    <w:sectPr w:rsidR="00191FA8" w:rsidRPr="001D2D9C" w:rsidSect="00F81487">
      <w:footerReference w:type="default" r:id="rId8"/>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4A" w:rsidRDefault="0001074A" w:rsidP="00C879A0">
      <w:r>
        <w:separator/>
      </w:r>
    </w:p>
  </w:endnote>
  <w:endnote w:type="continuationSeparator" w:id="0">
    <w:p w:rsidR="0001074A" w:rsidRDefault="0001074A" w:rsidP="00C8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87" w:rsidRDefault="00F81487" w:rsidP="00F81487">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2F58">
      <w:rPr>
        <w:rStyle w:val="PageNumber"/>
        <w:noProof/>
      </w:rPr>
      <w:t>3</w:t>
    </w:r>
    <w:r>
      <w:rPr>
        <w:rStyle w:val="PageNumber"/>
      </w:rPr>
      <w:fldChar w:fldCharType="end"/>
    </w:r>
    <w:r>
      <w:rPr>
        <w:rStyle w:val="PageNumber"/>
      </w:rPr>
      <w:t xml:space="preserve"> – PETITION</w:t>
    </w:r>
    <w:r w:rsidRPr="00123A23">
      <w:t xml:space="preserve"> </w:t>
    </w:r>
    <w:r>
      <w:t>TO INTERVENE OF ICNU</w:t>
    </w:r>
  </w:p>
  <w:p w:rsidR="00F81487" w:rsidRDefault="00F81487" w:rsidP="00F81487">
    <w:pPr>
      <w:jc w:val="center"/>
      <w:rPr>
        <w:rFonts w:ascii="EngraversGothic BT" w:hAnsi="EngraversGothic BT"/>
        <w:sz w:val="16"/>
      </w:rPr>
    </w:pPr>
  </w:p>
  <w:p w:rsidR="00F81487" w:rsidRPr="003A410C" w:rsidRDefault="00F81487" w:rsidP="00F81487">
    <w:pPr>
      <w:jc w:val="center"/>
      <w:rPr>
        <w:sz w:val="16"/>
      </w:rPr>
    </w:pPr>
    <w:r w:rsidRPr="003A410C">
      <w:rPr>
        <w:sz w:val="16"/>
      </w:rPr>
      <w:t>DAVISON VAN CLEVE, P.C.</w:t>
    </w:r>
  </w:p>
  <w:p w:rsidR="00F81487" w:rsidRPr="003A410C" w:rsidRDefault="00F81487" w:rsidP="00F81487">
    <w:pPr>
      <w:tabs>
        <w:tab w:val="center" w:pos="4680"/>
      </w:tabs>
      <w:jc w:val="center"/>
      <w:rPr>
        <w:sz w:val="16"/>
      </w:rPr>
    </w:pPr>
    <w:r w:rsidRPr="003A410C">
      <w:rPr>
        <w:sz w:val="16"/>
      </w:rPr>
      <w:t>333 SW Taylor, Suite 400</w:t>
    </w:r>
  </w:p>
  <w:p w:rsidR="00F81487" w:rsidRPr="003A410C" w:rsidRDefault="00F81487" w:rsidP="00F81487">
    <w:pPr>
      <w:tabs>
        <w:tab w:val="center" w:pos="4680"/>
      </w:tabs>
      <w:jc w:val="center"/>
      <w:rPr>
        <w:sz w:val="16"/>
      </w:rPr>
    </w:pPr>
    <w:r w:rsidRPr="003A410C">
      <w:rPr>
        <w:sz w:val="16"/>
      </w:rPr>
      <w:t>Portland, OR 97204</w:t>
    </w:r>
  </w:p>
  <w:p w:rsidR="00F81487" w:rsidRPr="003A410C" w:rsidRDefault="00F81487" w:rsidP="00F81487">
    <w:pPr>
      <w:pStyle w:val="Footer"/>
      <w:jc w:val="center"/>
    </w:pPr>
    <w:r w:rsidRPr="003A410C">
      <w:rPr>
        <w:sz w:val="16"/>
      </w:rPr>
      <w:t>Telephone (503) 241-7242</w:t>
    </w:r>
  </w:p>
  <w:p w:rsidR="003B710E" w:rsidRDefault="003B710E">
    <w:pPr>
      <w:pStyle w:val="Footer"/>
    </w:pPr>
  </w:p>
  <w:p w:rsidR="003B710E" w:rsidRPr="00966E57" w:rsidRDefault="003B710E" w:rsidP="00966E57">
    <w:pPr>
      <w:tabs>
        <w:tab w:val="center" w:pos="4680"/>
      </w:tabs>
      <w:jc w:val="center"/>
      <w:rPr>
        <w:rFonts w:ascii="EngraversGothic BT" w:hAnsi="EngraversGothic BT"/>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87" w:rsidRDefault="00F81487">
    <w:pPr>
      <w:pStyle w:val="Footer"/>
    </w:pPr>
  </w:p>
  <w:p w:rsidR="00F81487" w:rsidRPr="00966E57" w:rsidRDefault="00F81487" w:rsidP="00966E57">
    <w:pPr>
      <w:tabs>
        <w:tab w:val="center" w:pos="4680"/>
      </w:tabs>
      <w:jc w:val="center"/>
      <w:rPr>
        <w:rFonts w:ascii="EngraversGothic BT" w:hAnsi="EngraversGothic BT"/>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4A" w:rsidRDefault="0001074A" w:rsidP="00C879A0">
      <w:r>
        <w:separator/>
      </w:r>
    </w:p>
  </w:footnote>
  <w:footnote w:type="continuationSeparator" w:id="0">
    <w:p w:rsidR="0001074A" w:rsidRDefault="0001074A" w:rsidP="00C879A0">
      <w:r>
        <w:continuationSeparator/>
      </w:r>
    </w:p>
  </w:footnote>
  <w:footnote w:id="1">
    <w:p w:rsidR="00A40A12" w:rsidRPr="00A40A12" w:rsidRDefault="00A40A12">
      <w:pPr>
        <w:pStyle w:val="FootnoteText"/>
        <w:rPr>
          <w:u w:val="single"/>
        </w:rPr>
      </w:pPr>
      <w:r w:rsidRPr="00A40A12">
        <w:rPr>
          <w:rStyle w:val="FootnoteReference"/>
          <w:u w:val="single"/>
        </w:rPr>
        <w:footnoteRef/>
      </w:r>
      <w:r>
        <w:rPr>
          <w:vertAlign w:val="superscript"/>
        </w:rPr>
        <w:t>/</w:t>
      </w:r>
      <w:r w:rsidRPr="00A40A12">
        <w:t xml:space="preserve"> </w:t>
      </w:r>
      <w:r w:rsidRPr="00A40A12">
        <w:tab/>
      </w:r>
      <w:r>
        <w:t>Docket No. U-072375, Order 08 (Dec. 30, 2008).</w:t>
      </w:r>
    </w:p>
  </w:footnote>
  <w:footnote w:id="2">
    <w:p w:rsidR="00090CDD" w:rsidRPr="00090CDD" w:rsidRDefault="00090CDD">
      <w:pPr>
        <w:pStyle w:val="FootnoteText"/>
        <w:rPr>
          <w:u w:val="single"/>
        </w:rPr>
      </w:pPr>
      <w:r w:rsidRPr="00090CDD">
        <w:rPr>
          <w:rStyle w:val="FootnoteReference"/>
          <w:u w:val="single"/>
        </w:rPr>
        <w:footnoteRef/>
      </w:r>
      <w:r>
        <w:rPr>
          <w:vertAlign w:val="superscript"/>
        </w:rPr>
        <w:t>/</w:t>
      </w:r>
      <w:r w:rsidRPr="00090CDD">
        <w:t xml:space="preserve"> </w:t>
      </w:r>
      <w:r w:rsidRPr="00090CDD">
        <w:tab/>
      </w:r>
      <w:r>
        <w:t>Order 07 ¶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177E"/>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A0"/>
    <w:rsid w:val="0001074A"/>
    <w:rsid w:val="00013D40"/>
    <w:rsid w:val="0006279D"/>
    <w:rsid w:val="00090CDD"/>
    <w:rsid w:val="000957A5"/>
    <w:rsid w:val="000F5FA9"/>
    <w:rsid w:val="00136ABE"/>
    <w:rsid w:val="00142332"/>
    <w:rsid w:val="0018640C"/>
    <w:rsid w:val="00191FA8"/>
    <w:rsid w:val="001C6437"/>
    <w:rsid w:val="002459CA"/>
    <w:rsid w:val="00265D5D"/>
    <w:rsid w:val="002924ED"/>
    <w:rsid w:val="002A0834"/>
    <w:rsid w:val="002D0334"/>
    <w:rsid w:val="002E226F"/>
    <w:rsid w:val="002E3058"/>
    <w:rsid w:val="002F1F3E"/>
    <w:rsid w:val="00301FA0"/>
    <w:rsid w:val="00335093"/>
    <w:rsid w:val="00353636"/>
    <w:rsid w:val="003929D3"/>
    <w:rsid w:val="003B2F58"/>
    <w:rsid w:val="003B710E"/>
    <w:rsid w:val="003D0E2F"/>
    <w:rsid w:val="00425EEA"/>
    <w:rsid w:val="004339DC"/>
    <w:rsid w:val="00433C16"/>
    <w:rsid w:val="004502A3"/>
    <w:rsid w:val="004D6C8F"/>
    <w:rsid w:val="004E4891"/>
    <w:rsid w:val="005A06FA"/>
    <w:rsid w:val="005A7608"/>
    <w:rsid w:val="0063704C"/>
    <w:rsid w:val="00637C6D"/>
    <w:rsid w:val="0068063C"/>
    <w:rsid w:val="00684B27"/>
    <w:rsid w:val="00691C6A"/>
    <w:rsid w:val="00695016"/>
    <w:rsid w:val="006C1DBD"/>
    <w:rsid w:val="00701E45"/>
    <w:rsid w:val="007049B2"/>
    <w:rsid w:val="007205B1"/>
    <w:rsid w:val="007359C8"/>
    <w:rsid w:val="00735E4B"/>
    <w:rsid w:val="00756179"/>
    <w:rsid w:val="008360F3"/>
    <w:rsid w:val="008466C9"/>
    <w:rsid w:val="008768C7"/>
    <w:rsid w:val="008B732F"/>
    <w:rsid w:val="0091226A"/>
    <w:rsid w:val="00960FD2"/>
    <w:rsid w:val="00966E57"/>
    <w:rsid w:val="00A10A62"/>
    <w:rsid w:val="00A13BE0"/>
    <w:rsid w:val="00A14362"/>
    <w:rsid w:val="00A3083E"/>
    <w:rsid w:val="00A40A12"/>
    <w:rsid w:val="00A44487"/>
    <w:rsid w:val="00A73E45"/>
    <w:rsid w:val="00AA36AD"/>
    <w:rsid w:val="00B02F68"/>
    <w:rsid w:val="00BA126E"/>
    <w:rsid w:val="00BB09EA"/>
    <w:rsid w:val="00BC5D37"/>
    <w:rsid w:val="00BF71D7"/>
    <w:rsid w:val="00C368B3"/>
    <w:rsid w:val="00C55BBC"/>
    <w:rsid w:val="00C64BB9"/>
    <w:rsid w:val="00C70E2E"/>
    <w:rsid w:val="00C879A0"/>
    <w:rsid w:val="00D0573D"/>
    <w:rsid w:val="00D72736"/>
    <w:rsid w:val="00DB1AE8"/>
    <w:rsid w:val="00DE2AC9"/>
    <w:rsid w:val="00DF707A"/>
    <w:rsid w:val="00E533BF"/>
    <w:rsid w:val="00ED5CB8"/>
    <w:rsid w:val="00F550D8"/>
    <w:rsid w:val="00F65B00"/>
    <w:rsid w:val="00F81487"/>
    <w:rsid w:val="00FC2A5F"/>
    <w:rsid w:val="00FD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hon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6DC7533"/>
  <w15:docId w15:val="{A3867F4C-74AD-4B51-802B-B3A7A8A5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191F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rsid w:val="00C879A0"/>
    <w:pPr>
      <w:widowControl w:val="0"/>
      <w:tabs>
        <w:tab w:val="center" w:pos="4320"/>
        <w:tab w:val="right" w:pos="8640"/>
      </w:tabs>
    </w:pPr>
    <w:rPr>
      <w:snapToGrid w:val="0"/>
      <w:color w:val="auto"/>
    </w:rPr>
  </w:style>
  <w:style w:type="character" w:customStyle="1" w:styleId="FooterChar">
    <w:name w:val="Footer Char"/>
    <w:basedOn w:val="DefaultParagraphFont"/>
    <w:link w:val="Footer"/>
    <w:rsid w:val="00C879A0"/>
    <w:rPr>
      <w:rFonts w:eastAsia="Times New Roman"/>
      <w:snapToGrid w:val="0"/>
      <w:szCs w:val="20"/>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uiPriority w:val="99"/>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semiHidden/>
    <w:rsid w:val="00191FA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rsid w:val="00191FA8"/>
    <w:pPr>
      <w:widowControl w:val="0"/>
      <w:overflowPunct w:val="0"/>
      <w:autoSpaceDE w:val="0"/>
      <w:autoSpaceDN w:val="0"/>
      <w:adjustRightInd w:val="0"/>
      <w:textAlignment w:val="baseline"/>
    </w:pPr>
    <w:rPr>
      <w:rFonts w:ascii="Courier" w:hAnsi="Courier"/>
      <w:color w:val="auto"/>
    </w:rPr>
  </w:style>
  <w:style w:type="character" w:customStyle="1" w:styleId="EndnoteTextChar">
    <w:name w:val="Endnote Text Char"/>
    <w:basedOn w:val="DefaultParagraphFont"/>
    <w:link w:val="EndnoteText"/>
    <w:uiPriority w:val="99"/>
    <w:rsid w:val="00191FA8"/>
    <w:rPr>
      <w:rFonts w:ascii="Courier" w:eastAsia="Times New Roman" w:hAnsi="Courier"/>
      <w:szCs w:val="20"/>
    </w:rPr>
  </w:style>
  <w:style w:type="paragraph" w:customStyle="1" w:styleId="wfxRecipient">
    <w:name w:val="wfxRecipient"/>
    <w:basedOn w:val="Normal"/>
    <w:uiPriority w:val="99"/>
    <w:rsid w:val="00191FA8"/>
    <w:pPr>
      <w:overflowPunct w:val="0"/>
      <w:autoSpaceDE w:val="0"/>
      <w:autoSpaceDN w:val="0"/>
      <w:adjustRightInd w:val="0"/>
      <w:textAlignment w:val="baseline"/>
    </w:pPr>
    <w:rPr>
      <w:rFonts w:ascii="Univers" w:hAnsi="Univer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EECF49-334D-435E-9FB5-0ED78502515D}"/>
</file>

<file path=customXml/itemProps2.xml><?xml version="1.0" encoding="utf-8"?>
<ds:datastoreItem xmlns:ds="http://schemas.openxmlformats.org/officeDocument/2006/customXml" ds:itemID="{CBD0064D-98FE-4439-B4A7-3E4243486CE4}"/>
</file>

<file path=customXml/itemProps3.xml><?xml version="1.0" encoding="utf-8"?>
<ds:datastoreItem xmlns:ds="http://schemas.openxmlformats.org/officeDocument/2006/customXml" ds:itemID="{CE49C52F-DF2B-4925-B048-A6744838490B}"/>
</file>

<file path=customXml/itemProps4.xml><?xml version="1.0" encoding="utf-8"?>
<ds:datastoreItem xmlns:ds="http://schemas.openxmlformats.org/officeDocument/2006/customXml" ds:itemID="{CCF4B6A0-4F91-453E-B28E-7B2BA85D014A}"/>
</file>

<file path=docProps/app.xml><?xml version="1.0" encoding="utf-8"?>
<Properties xmlns="http://schemas.openxmlformats.org/officeDocument/2006/extended-properties" xmlns:vt="http://schemas.openxmlformats.org/officeDocument/2006/docPropsVTypes">
  <Template>Normal</Template>
  <TotalTime>59</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Tyler C. Pepple</cp:lastModifiedBy>
  <cp:revision>8</cp:revision>
  <cp:lastPrinted>2014-02-05T21:16:00Z</cp:lastPrinted>
  <dcterms:created xsi:type="dcterms:W3CDTF">2016-05-27T16:38:00Z</dcterms:created>
  <dcterms:modified xsi:type="dcterms:W3CDTF">2016-05-31T15:49:00Z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