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charts/style1.xml" ContentType="application/vnd.ms-office.chartstyle+xml"/>
  <Override PartName="/word/charts/colors1.xml" ContentType="application/vnd.ms-office.chartcolorstyle+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9EB5E" w14:textId="6B0095B5" w:rsidR="00DC0D12" w:rsidRPr="00245FEE" w:rsidRDefault="00DC0D12" w:rsidP="006343E5">
      <w:pPr>
        <w:spacing w:after="0" w:line="240" w:lineRule="auto"/>
        <w:ind w:left="5400"/>
        <w:rPr>
          <w:rFonts w:ascii="Times New Roman" w:hAnsi="Times New Roman"/>
          <w:b/>
          <w:bCs/>
          <w:sz w:val="24"/>
          <w:szCs w:val="24"/>
          <w:lang w:val="fr-FR"/>
        </w:rPr>
      </w:pPr>
      <w:bookmarkStart w:id="0" w:name="_GoBack"/>
      <w:bookmarkEnd w:id="0"/>
      <w:r>
        <w:rPr>
          <w:rFonts w:ascii="Times New Roman" w:hAnsi="Times New Roman"/>
          <w:b/>
          <w:bCs/>
          <w:sz w:val="24"/>
          <w:szCs w:val="24"/>
          <w:lang w:val="fr-FR"/>
        </w:rPr>
        <w:t>Exhibit</w:t>
      </w:r>
      <w:r w:rsidRPr="00245FEE">
        <w:rPr>
          <w:rFonts w:ascii="Times New Roman" w:hAnsi="Times New Roman"/>
          <w:b/>
          <w:bCs/>
          <w:sz w:val="24"/>
          <w:szCs w:val="24"/>
          <w:lang w:val="fr-FR"/>
        </w:rPr>
        <w:t xml:space="preserve"> </w:t>
      </w:r>
      <w:r>
        <w:rPr>
          <w:rFonts w:ascii="Times New Roman" w:hAnsi="Times New Roman"/>
          <w:b/>
          <w:bCs/>
          <w:sz w:val="24"/>
          <w:szCs w:val="24"/>
          <w:lang w:val="fr-FR"/>
        </w:rPr>
        <w:t xml:space="preserve">No. </w:t>
      </w:r>
      <w:r w:rsidR="00684EB0">
        <w:rPr>
          <w:rFonts w:ascii="Times New Roman" w:hAnsi="Times New Roman"/>
          <w:b/>
          <w:bCs/>
          <w:sz w:val="24"/>
          <w:szCs w:val="24"/>
          <w:lang w:val="fr-FR"/>
        </w:rPr>
        <w:t xml:space="preserve">___ </w:t>
      </w:r>
      <w:r w:rsidR="006343E5">
        <w:rPr>
          <w:rFonts w:ascii="Times New Roman" w:hAnsi="Times New Roman"/>
          <w:b/>
          <w:bCs/>
          <w:sz w:val="24"/>
          <w:szCs w:val="24"/>
          <w:lang w:val="fr-FR"/>
        </w:rPr>
        <w:t>C</w:t>
      </w:r>
      <w:r w:rsidR="00684EB0">
        <w:rPr>
          <w:rFonts w:ascii="Times New Roman" w:hAnsi="Times New Roman"/>
          <w:b/>
          <w:bCs/>
          <w:sz w:val="24"/>
          <w:szCs w:val="24"/>
          <w:lang w:val="fr-FR"/>
        </w:rPr>
        <w:t xml:space="preserve">T </w:t>
      </w:r>
      <w:r>
        <w:rPr>
          <w:rFonts w:ascii="Times New Roman" w:hAnsi="Times New Roman"/>
          <w:b/>
          <w:bCs/>
          <w:sz w:val="24"/>
          <w:szCs w:val="24"/>
          <w:lang w:val="fr-FR"/>
        </w:rPr>
        <w:t>(</w:t>
      </w:r>
      <w:r w:rsidRPr="00D7594F">
        <w:rPr>
          <w:rFonts w:ascii="Times New Roman" w:hAnsi="Times New Roman"/>
          <w:b/>
          <w:bCs/>
          <w:sz w:val="24"/>
          <w:szCs w:val="24"/>
          <w:lang w:val="fr-FR"/>
        </w:rPr>
        <w:t>CRM-1</w:t>
      </w:r>
      <w:r w:rsidR="00D264FF">
        <w:rPr>
          <w:rFonts w:ascii="Times New Roman" w:hAnsi="Times New Roman"/>
          <w:b/>
          <w:bCs/>
          <w:sz w:val="24"/>
          <w:szCs w:val="24"/>
          <w:lang w:val="fr-FR"/>
        </w:rPr>
        <w:t>C</w:t>
      </w:r>
      <w:r w:rsidRPr="00D7594F">
        <w:rPr>
          <w:rFonts w:ascii="Times New Roman" w:hAnsi="Times New Roman"/>
          <w:b/>
          <w:bCs/>
          <w:sz w:val="24"/>
          <w:szCs w:val="24"/>
          <w:lang w:val="fr-FR"/>
        </w:rPr>
        <w:t>T</w:t>
      </w:r>
      <w:r>
        <w:rPr>
          <w:rFonts w:ascii="Times New Roman" w:hAnsi="Times New Roman"/>
          <w:b/>
          <w:bCs/>
          <w:sz w:val="24"/>
          <w:szCs w:val="24"/>
          <w:lang w:val="fr-FR"/>
        </w:rPr>
        <w:t>)</w:t>
      </w:r>
    </w:p>
    <w:p w14:paraId="77A745EB" w14:textId="77777777" w:rsidR="00DC0D12" w:rsidRPr="00245FEE" w:rsidRDefault="00DC0D12" w:rsidP="006343E5">
      <w:pPr>
        <w:spacing w:after="0" w:line="240" w:lineRule="auto"/>
        <w:ind w:left="5400"/>
        <w:rPr>
          <w:rFonts w:ascii="Times New Roman" w:hAnsi="Times New Roman"/>
          <w:b/>
          <w:bCs/>
          <w:sz w:val="24"/>
          <w:szCs w:val="24"/>
        </w:rPr>
      </w:pPr>
      <w:r w:rsidRPr="00245FEE">
        <w:rPr>
          <w:rFonts w:ascii="Times New Roman" w:hAnsi="Times New Roman"/>
          <w:b/>
          <w:bCs/>
          <w:sz w:val="24"/>
          <w:szCs w:val="24"/>
        </w:rPr>
        <w:t>Docket</w:t>
      </w:r>
      <w:r w:rsidR="00684EB0">
        <w:rPr>
          <w:rFonts w:ascii="Times New Roman" w:hAnsi="Times New Roman"/>
          <w:b/>
          <w:bCs/>
          <w:sz w:val="24"/>
          <w:szCs w:val="24"/>
        </w:rPr>
        <w:t>s</w:t>
      </w:r>
      <w:r>
        <w:rPr>
          <w:rFonts w:ascii="Times New Roman" w:hAnsi="Times New Roman"/>
          <w:b/>
          <w:bCs/>
          <w:sz w:val="24"/>
          <w:szCs w:val="24"/>
        </w:rPr>
        <w:t xml:space="preserve"> </w:t>
      </w:r>
      <w:r w:rsidRPr="00245FEE">
        <w:rPr>
          <w:rFonts w:ascii="Times New Roman" w:hAnsi="Times New Roman"/>
          <w:b/>
          <w:bCs/>
          <w:sz w:val="24"/>
          <w:szCs w:val="24"/>
        </w:rPr>
        <w:t>UE-</w:t>
      </w:r>
      <w:r w:rsidR="00684EB0">
        <w:rPr>
          <w:rFonts w:ascii="Times New Roman" w:hAnsi="Times New Roman"/>
          <w:b/>
          <w:bCs/>
          <w:sz w:val="24"/>
          <w:szCs w:val="24"/>
        </w:rPr>
        <w:t>140188/UG-140189</w:t>
      </w:r>
    </w:p>
    <w:p w14:paraId="6732413A" w14:textId="77777777" w:rsidR="00DC0D12" w:rsidRDefault="00DC0D12" w:rsidP="006343E5">
      <w:pPr>
        <w:spacing w:after="0" w:line="240" w:lineRule="auto"/>
        <w:ind w:left="5400"/>
        <w:rPr>
          <w:rFonts w:ascii="Times New Roman" w:hAnsi="Times New Roman"/>
          <w:b/>
          <w:bCs/>
          <w:sz w:val="24"/>
          <w:szCs w:val="24"/>
        </w:rPr>
      </w:pPr>
      <w:r>
        <w:rPr>
          <w:rFonts w:ascii="Times New Roman" w:hAnsi="Times New Roman"/>
          <w:b/>
          <w:bCs/>
          <w:sz w:val="24"/>
          <w:szCs w:val="24"/>
        </w:rPr>
        <w:t>Witness:  Chris McGuire</w:t>
      </w:r>
    </w:p>
    <w:p w14:paraId="024E4C1B" w14:textId="6B7E14A6" w:rsidR="006343E5" w:rsidRDefault="00C14A88" w:rsidP="006343E5">
      <w:pPr>
        <w:spacing w:after="0" w:line="240" w:lineRule="auto"/>
        <w:ind w:left="5400"/>
        <w:rPr>
          <w:rFonts w:ascii="Times New Roman" w:hAnsi="Times New Roman"/>
          <w:b/>
          <w:bCs/>
          <w:sz w:val="24"/>
          <w:szCs w:val="24"/>
        </w:rPr>
      </w:pPr>
      <w:r>
        <w:rPr>
          <w:rFonts w:ascii="Times New Roman" w:hAnsi="Times New Roman"/>
          <w:b/>
          <w:bCs/>
          <w:sz w:val="24"/>
          <w:szCs w:val="24"/>
        </w:rPr>
        <w:t>REDACTED</w:t>
      </w:r>
      <w:r w:rsidR="006343E5">
        <w:rPr>
          <w:rFonts w:ascii="Times New Roman" w:hAnsi="Times New Roman"/>
          <w:b/>
          <w:bCs/>
          <w:sz w:val="24"/>
          <w:szCs w:val="24"/>
        </w:rPr>
        <w:t xml:space="preserve"> VERSION </w:t>
      </w:r>
    </w:p>
    <w:p w14:paraId="0DFD4DD4" w14:textId="77777777" w:rsidR="00DC0D12" w:rsidRPr="00245FEE" w:rsidRDefault="00DC0D12" w:rsidP="00DC0D12">
      <w:pPr>
        <w:tabs>
          <w:tab w:val="center" w:pos="4680"/>
        </w:tabs>
        <w:spacing w:after="0" w:line="240" w:lineRule="auto"/>
        <w:ind w:right="-108" w:hanging="180"/>
        <w:rPr>
          <w:rFonts w:ascii="Times New Roman" w:hAnsi="Times New Roman"/>
          <w:b/>
          <w:sz w:val="24"/>
          <w:szCs w:val="24"/>
        </w:rPr>
      </w:pPr>
    </w:p>
    <w:p w14:paraId="499F65E1" w14:textId="77777777" w:rsidR="00DC0D12" w:rsidRPr="00245FEE" w:rsidRDefault="00DC0D12" w:rsidP="00DC0D12">
      <w:pPr>
        <w:tabs>
          <w:tab w:val="center" w:pos="4680"/>
        </w:tabs>
        <w:spacing w:after="0" w:line="240" w:lineRule="auto"/>
        <w:ind w:right="-108" w:hanging="180"/>
        <w:rPr>
          <w:rFonts w:ascii="Times New Roman" w:hAnsi="Times New Roman"/>
          <w:b/>
          <w:sz w:val="24"/>
          <w:szCs w:val="24"/>
        </w:rPr>
      </w:pPr>
    </w:p>
    <w:p w14:paraId="0314347F" w14:textId="77777777" w:rsidR="00DC0D12" w:rsidRPr="00245FEE" w:rsidRDefault="00DC0D12" w:rsidP="00DC0D12">
      <w:pPr>
        <w:tabs>
          <w:tab w:val="center" w:pos="4680"/>
        </w:tabs>
        <w:spacing w:after="0" w:line="240" w:lineRule="auto"/>
        <w:ind w:right="-108" w:hanging="180"/>
        <w:rPr>
          <w:rFonts w:ascii="Times New Roman" w:hAnsi="Times New Roman"/>
          <w:b/>
          <w:sz w:val="24"/>
          <w:szCs w:val="24"/>
        </w:rPr>
      </w:pPr>
    </w:p>
    <w:p w14:paraId="392E91C0" w14:textId="77777777" w:rsidR="00DC0D12" w:rsidRDefault="00DC0D12" w:rsidP="00DC0D12">
      <w:pPr>
        <w:tabs>
          <w:tab w:val="center" w:pos="4680"/>
        </w:tabs>
        <w:spacing w:after="0" w:line="240" w:lineRule="auto"/>
        <w:ind w:right="-432" w:hanging="720"/>
        <w:jc w:val="center"/>
        <w:rPr>
          <w:rFonts w:ascii="Times New Roman" w:hAnsi="Times New Roman"/>
          <w:b/>
          <w:sz w:val="24"/>
          <w:szCs w:val="24"/>
        </w:rPr>
      </w:pPr>
      <w:r>
        <w:rPr>
          <w:rFonts w:ascii="Times New Roman" w:hAnsi="Times New Roman"/>
          <w:b/>
          <w:sz w:val="24"/>
          <w:szCs w:val="24"/>
        </w:rPr>
        <w:t>BEFORE THE WASHINGTON</w:t>
      </w:r>
    </w:p>
    <w:p w14:paraId="4A9A53A2" w14:textId="77777777" w:rsidR="00DC0D12" w:rsidRPr="00245FEE" w:rsidRDefault="00DC0D12" w:rsidP="00DC0D12">
      <w:pPr>
        <w:tabs>
          <w:tab w:val="center" w:pos="4680"/>
        </w:tabs>
        <w:spacing w:after="0" w:line="240" w:lineRule="auto"/>
        <w:ind w:right="-432" w:hanging="720"/>
        <w:jc w:val="center"/>
        <w:rPr>
          <w:rFonts w:ascii="Times New Roman" w:hAnsi="Times New Roman"/>
          <w:b/>
          <w:sz w:val="24"/>
          <w:szCs w:val="24"/>
        </w:rPr>
      </w:pPr>
      <w:r w:rsidRPr="00245FEE">
        <w:rPr>
          <w:rFonts w:ascii="Times New Roman" w:hAnsi="Times New Roman"/>
          <w:b/>
          <w:sz w:val="24"/>
          <w:szCs w:val="24"/>
        </w:rPr>
        <w:t>UTILITIES AND TRANSPORTATION COMMISSION</w:t>
      </w:r>
    </w:p>
    <w:p w14:paraId="1D875960" w14:textId="77777777" w:rsidR="00DC0D12" w:rsidRPr="00245FEE" w:rsidRDefault="00DC0D12" w:rsidP="00DC0D12">
      <w:pPr>
        <w:spacing w:after="0" w:line="240" w:lineRule="auto"/>
        <w:jc w:val="both"/>
        <w:rPr>
          <w:rFonts w:ascii="Times New Roman" w:hAnsi="Times New Roman"/>
          <w:b/>
          <w:sz w:val="24"/>
          <w:szCs w:val="24"/>
        </w:rPr>
      </w:pPr>
    </w:p>
    <w:p w14:paraId="6C7C8473" w14:textId="77777777" w:rsidR="00DC0D12" w:rsidRPr="00245FEE" w:rsidRDefault="00DC0D12" w:rsidP="00DC0D12">
      <w:pPr>
        <w:spacing w:after="0" w:line="240" w:lineRule="auto"/>
        <w:jc w:val="both"/>
        <w:rPr>
          <w:rFonts w:ascii="Times New Roman" w:hAnsi="Times New Roman"/>
          <w:b/>
          <w:sz w:val="24"/>
          <w:szCs w:val="24"/>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DC0D12" w:rsidRPr="00245FEE" w14:paraId="5067FAD6" w14:textId="77777777" w:rsidTr="00AE559F">
        <w:tc>
          <w:tcPr>
            <w:tcW w:w="4590" w:type="dxa"/>
            <w:tcBorders>
              <w:top w:val="single" w:sz="6" w:space="0" w:color="FFFFFF"/>
              <w:left w:val="single" w:sz="6" w:space="0" w:color="FFFFFF"/>
              <w:bottom w:val="single" w:sz="6" w:space="0" w:color="000000"/>
              <w:right w:val="single" w:sz="6" w:space="0" w:color="FFFFFF"/>
            </w:tcBorders>
          </w:tcPr>
          <w:p w14:paraId="7FF2220A" w14:textId="77777777" w:rsidR="00DC0D12" w:rsidRPr="00245FEE" w:rsidRDefault="00DC0D12" w:rsidP="00AE559F">
            <w:pPr>
              <w:spacing w:after="0" w:line="240" w:lineRule="auto"/>
              <w:rPr>
                <w:rFonts w:ascii="Times New Roman" w:hAnsi="Times New Roman"/>
                <w:b/>
                <w:sz w:val="24"/>
                <w:szCs w:val="24"/>
              </w:rPr>
            </w:pPr>
            <w:r w:rsidRPr="00245FEE">
              <w:rPr>
                <w:rFonts w:ascii="Times New Roman" w:hAnsi="Times New Roman"/>
                <w:b/>
                <w:sz w:val="24"/>
                <w:szCs w:val="24"/>
              </w:rPr>
              <w:t xml:space="preserve">WASHINGTON UTILITIES AND TRANSPORTATION COMMISSION, </w:t>
            </w:r>
          </w:p>
          <w:p w14:paraId="0710D9FD" w14:textId="77777777" w:rsidR="00DC0D12" w:rsidRPr="00245FEE" w:rsidRDefault="00DC0D12" w:rsidP="00AE559F">
            <w:pPr>
              <w:spacing w:after="0" w:line="240" w:lineRule="auto"/>
              <w:rPr>
                <w:rFonts w:ascii="Times New Roman" w:hAnsi="Times New Roman"/>
                <w:b/>
                <w:sz w:val="24"/>
                <w:szCs w:val="24"/>
              </w:rPr>
            </w:pPr>
          </w:p>
          <w:p w14:paraId="2C87783B" w14:textId="77777777" w:rsidR="00DC0D12" w:rsidRPr="00245FEE" w:rsidRDefault="00DC0D12" w:rsidP="00AE559F">
            <w:pPr>
              <w:spacing w:after="0" w:line="240" w:lineRule="auto"/>
              <w:rPr>
                <w:rFonts w:ascii="Times New Roman" w:hAnsi="Times New Roman"/>
                <w:b/>
                <w:sz w:val="24"/>
                <w:szCs w:val="24"/>
              </w:rPr>
            </w:pPr>
            <w:r w:rsidRPr="00245FEE">
              <w:rPr>
                <w:rFonts w:ascii="Times New Roman" w:hAnsi="Times New Roman"/>
                <w:b/>
                <w:sz w:val="24"/>
                <w:szCs w:val="24"/>
              </w:rPr>
              <w:tab/>
            </w:r>
            <w:r w:rsidRPr="00245FEE">
              <w:rPr>
                <w:rFonts w:ascii="Times New Roman" w:hAnsi="Times New Roman"/>
                <w:b/>
                <w:sz w:val="24"/>
                <w:szCs w:val="24"/>
              </w:rPr>
              <w:tab/>
              <w:t>Complainant,</w:t>
            </w:r>
          </w:p>
          <w:p w14:paraId="641C478C" w14:textId="77777777" w:rsidR="00DC0D12" w:rsidRPr="00245FEE" w:rsidRDefault="00DC0D12" w:rsidP="00AE559F">
            <w:pPr>
              <w:spacing w:after="0" w:line="240" w:lineRule="auto"/>
              <w:rPr>
                <w:rFonts w:ascii="Times New Roman" w:hAnsi="Times New Roman"/>
                <w:b/>
                <w:sz w:val="24"/>
                <w:szCs w:val="24"/>
              </w:rPr>
            </w:pPr>
          </w:p>
          <w:p w14:paraId="2BF1B714" w14:textId="77777777" w:rsidR="00DC0D12" w:rsidRPr="00245FEE" w:rsidRDefault="00DC0D12" w:rsidP="00AE559F">
            <w:pPr>
              <w:spacing w:after="0" w:line="240" w:lineRule="auto"/>
              <w:rPr>
                <w:rFonts w:ascii="Times New Roman" w:hAnsi="Times New Roman"/>
                <w:b/>
                <w:sz w:val="24"/>
                <w:szCs w:val="24"/>
              </w:rPr>
            </w:pPr>
            <w:r w:rsidRPr="00245FEE">
              <w:rPr>
                <w:rFonts w:ascii="Times New Roman" w:hAnsi="Times New Roman"/>
                <w:b/>
                <w:sz w:val="24"/>
                <w:szCs w:val="24"/>
              </w:rPr>
              <w:t>v.</w:t>
            </w:r>
          </w:p>
          <w:p w14:paraId="73093F59" w14:textId="77777777" w:rsidR="00DC0D12" w:rsidRPr="00245FEE" w:rsidRDefault="00DC0D12" w:rsidP="00AE559F">
            <w:pPr>
              <w:spacing w:after="0" w:line="240" w:lineRule="auto"/>
              <w:rPr>
                <w:rFonts w:ascii="Times New Roman" w:hAnsi="Times New Roman"/>
                <w:b/>
                <w:sz w:val="24"/>
                <w:szCs w:val="24"/>
              </w:rPr>
            </w:pPr>
          </w:p>
          <w:p w14:paraId="44D0254E" w14:textId="77777777" w:rsidR="00DC0D12" w:rsidRPr="00245FEE" w:rsidRDefault="00684EB0" w:rsidP="00AE559F">
            <w:pPr>
              <w:spacing w:after="0" w:line="240" w:lineRule="auto"/>
              <w:rPr>
                <w:rFonts w:ascii="Times New Roman" w:hAnsi="Times New Roman"/>
                <w:b/>
                <w:sz w:val="24"/>
                <w:szCs w:val="24"/>
              </w:rPr>
            </w:pPr>
            <w:r>
              <w:rPr>
                <w:rFonts w:ascii="Times New Roman" w:hAnsi="Times New Roman"/>
                <w:b/>
                <w:sz w:val="24"/>
                <w:szCs w:val="24"/>
              </w:rPr>
              <w:t>AVISTA CORPORATION d/b/a AVISTA UTILITIES</w:t>
            </w:r>
            <w:r w:rsidR="00DC0D12">
              <w:rPr>
                <w:rFonts w:ascii="Times New Roman" w:hAnsi="Times New Roman"/>
                <w:b/>
                <w:sz w:val="24"/>
                <w:szCs w:val="24"/>
              </w:rPr>
              <w:t>,</w:t>
            </w:r>
            <w:r w:rsidR="00DC0D12" w:rsidRPr="00245FEE">
              <w:rPr>
                <w:rFonts w:ascii="Times New Roman" w:hAnsi="Times New Roman"/>
                <w:b/>
                <w:sz w:val="24"/>
                <w:szCs w:val="24"/>
              </w:rPr>
              <w:t xml:space="preserve"> </w:t>
            </w:r>
          </w:p>
          <w:p w14:paraId="0033F170" w14:textId="77777777" w:rsidR="00DC0D12" w:rsidRPr="00245FEE" w:rsidRDefault="00DC0D12" w:rsidP="00AE559F">
            <w:pPr>
              <w:spacing w:after="0" w:line="240" w:lineRule="auto"/>
              <w:rPr>
                <w:rFonts w:ascii="Times New Roman" w:hAnsi="Times New Roman"/>
                <w:b/>
                <w:sz w:val="24"/>
                <w:szCs w:val="24"/>
              </w:rPr>
            </w:pPr>
          </w:p>
          <w:p w14:paraId="63C20FD4" w14:textId="77777777" w:rsidR="00DC0D12" w:rsidRPr="00245FEE" w:rsidRDefault="00DC0D12" w:rsidP="00AE559F">
            <w:pPr>
              <w:spacing w:after="0" w:line="240" w:lineRule="auto"/>
              <w:rPr>
                <w:rFonts w:ascii="Times New Roman" w:hAnsi="Times New Roman"/>
                <w:b/>
                <w:sz w:val="24"/>
                <w:szCs w:val="24"/>
              </w:rPr>
            </w:pPr>
            <w:r w:rsidRPr="00245FEE">
              <w:rPr>
                <w:rFonts w:ascii="Times New Roman" w:hAnsi="Times New Roman"/>
                <w:b/>
                <w:sz w:val="24"/>
                <w:szCs w:val="24"/>
              </w:rPr>
              <w:tab/>
            </w:r>
            <w:r w:rsidRPr="00245FEE">
              <w:rPr>
                <w:rFonts w:ascii="Times New Roman" w:hAnsi="Times New Roman"/>
                <w:b/>
                <w:sz w:val="24"/>
                <w:szCs w:val="24"/>
              </w:rPr>
              <w:tab/>
              <w:t>Respondent.</w:t>
            </w:r>
          </w:p>
          <w:p w14:paraId="26E6366C" w14:textId="77777777" w:rsidR="00DC0D12" w:rsidRPr="00245FEE" w:rsidRDefault="00DC0D12" w:rsidP="00AE559F">
            <w:pPr>
              <w:spacing w:after="0" w:line="240" w:lineRule="auto"/>
              <w:rPr>
                <w:rFonts w:ascii="Times New Roman" w:hAnsi="Times New Roman"/>
                <w:b/>
                <w:sz w:val="24"/>
                <w:szCs w:val="24"/>
              </w:rPr>
            </w:pPr>
          </w:p>
        </w:tc>
        <w:tc>
          <w:tcPr>
            <w:tcW w:w="4590" w:type="dxa"/>
            <w:tcBorders>
              <w:top w:val="single" w:sz="6" w:space="0" w:color="FFFFFF"/>
              <w:left w:val="single" w:sz="6" w:space="0" w:color="000000"/>
              <w:bottom w:val="single" w:sz="6" w:space="0" w:color="FFFFFF"/>
              <w:right w:val="single" w:sz="6" w:space="0" w:color="FFFFFF"/>
            </w:tcBorders>
          </w:tcPr>
          <w:p w14:paraId="64F0D079" w14:textId="77777777" w:rsidR="006343E5" w:rsidRDefault="00DC0D12" w:rsidP="00AE559F">
            <w:pPr>
              <w:spacing w:after="0" w:line="240" w:lineRule="auto"/>
              <w:ind w:firstLine="720"/>
              <w:rPr>
                <w:rFonts w:ascii="Times New Roman" w:hAnsi="Times New Roman"/>
                <w:b/>
                <w:sz w:val="24"/>
                <w:szCs w:val="24"/>
              </w:rPr>
            </w:pPr>
            <w:r w:rsidRPr="00245FEE">
              <w:rPr>
                <w:rFonts w:ascii="Times New Roman" w:hAnsi="Times New Roman"/>
                <w:b/>
                <w:sz w:val="24"/>
                <w:szCs w:val="24"/>
              </w:rPr>
              <w:t>DOCKET</w:t>
            </w:r>
            <w:r w:rsidR="00684EB0">
              <w:rPr>
                <w:rFonts w:ascii="Times New Roman" w:hAnsi="Times New Roman"/>
                <w:b/>
                <w:sz w:val="24"/>
                <w:szCs w:val="24"/>
              </w:rPr>
              <w:t>S</w:t>
            </w:r>
            <w:r w:rsidRPr="00245FEE">
              <w:rPr>
                <w:rFonts w:ascii="Times New Roman" w:hAnsi="Times New Roman"/>
                <w:b/>
                <w:sz w:val="24"/>
                <w:szCs w:val="24"/>
              </w:rPr>
              <w:t xml:space="preserve"> UE-</w:t>
            </w:r>
            <w:r w:rsidR="006343E5">
              <w:rPr>
                <w:rFonts w:ascii="Times New Roman" w:hAnsi="Times New Roman"/>
                <w:b/>
                <w:sz w:val="24"/>
                <w:szCs w:val="24"/>
              </w:rPr>
              <w:t xml:space="preserve">140188 and </w:t>
            </w:r>
          </w:p>
          <w:p w14:paraId="68C29F81" w14:textId="07F1DE7B" w:rsidR="00DC0D12" w:rsidRDefault="00684EB0" w:rsidP="00AE559F">
            <w:pPr>
              <w:spacing w:after="0" w:line="240" w:lineRule="auto"/>
              <w:ind w:firstLine="720"/>
              <w:rPr>
                <w:rFonts w:ascii="Times New Roman" w:hAnsi="Times New Roman"/>
                <w:b/>
                <w:sz w:val="24"/>
                <w:szCs w:val="24"/>
              </w:rPr>
            </w:pPr>
            <w:r>
              <w:rPr>
                <w:rFonts w:ascii="Times New Roman" w:hAnsi="Times New Roman"/>
                <w:b/>
                <w:sz w:val="24"/>
                <w:szCs w:val="24"/>
              </w:rPr>
              <w:t>UG-140189</w:t>
            </w:r>
          </w:p>
          <w:p w14:paraId="4EC6E3EE" w14:textId="7C786193" w:rsidR="006343E5" w:rsidRPr="006343E5" w:rsidRDefault="006343E5" w:rsidP="00AE559F">
            <w:pPr>
              <w:spacing w:after="0" w:line="240" w:lineRule="auto"/>
              <w:ind w:firstLine="720"/>
              <w:rPr>
                <w:rFonts w:ascii="Times New Roman" w:hAnsi="Times New Roman"/>
                <w:b/>
                <w:sz w:val="24"/>
                <w:szCs w:val="24"/>
              </w:rPr>
            </w:pPr>
            <w:r>
              <w:rPr>
                <w:rFonts w:ascii="Times New Roman" w:hAnsi="Times New Roman"/>
                <w:b/>
                <w:sz w:val="24"/>
                <w:szCs w:val="24"/>
              </w:rPr>
              <w:t>(</w:t>
            </w:r>
            <w:r>
              <w:rPr>
                <w:rFonts w:ascii="Times New Roman" w:hAnsi="Times New Roman"/>
                <w:b/>
                <w:i/>
                <w:sz w:val="24"/>
                <w:szCs w:val="24"/>
              </w:rPr>
              <w:t>Consolidated</w:t>
            </w:r>
            <w:r>
              <w:rPr>
                <w:rFonts w:ascii="Times New Roman" w:hAnsi="Times New Roman"/>
                <w:b/>
                <w:sz w:val="24"/>
                <w:szCs w:val="24"/>
              </w:rPr>
              <w:t>)</w:t>
            </w:r>
          </w:p>
          <w:p w14:paraId="0D6E02A4" w14:textId="77777777" w:rsidR="00DC0D12" w:rsidRPr="00A5641D" w:rsidRDefault="00DC0D12" w:rsidP="00684EB0">
            <w:pPr>
              <w:spacing w:after="0" w:line="240" w:lineRule="auto"/>
              <w:ind w:left="720"/>
              <w:jc w:val="center"/>
              <w:rPr>
                <w:rFonts w:ascii="Times New Roman" w:hAnsi="Times New Roman"/>
                <w:b/>
                <w:i/>
                <w:sz w:val="24"/>
                <w:szCs w:val="24"/>
              </w:rPr>
            </w:pPr>
          </w:p>
        </w:tc>
      </w:tr>
    </w:tbl>
    <w:p w14:paraId="400EB27E" w14:textId="057AB037" w:rsidR="00DC0D12" w:rsidRPr="00245FEE" w:rsidRDefault="00DC0D12" w:rsidP="00DC0D12">
      <w:pPr>
        <w:spacing w:after="0" w:line="240" w:lineRule="auto"/>
        <w:jc w:val="both"/>
        <w:rPr>
          <w:rFonts w:ascii="Times New Roman" w:hAnsi="Times New Roman"/>
          <w:b/>
          <w:sz w:val="24"/>
          <w:szCs w:val="24"/>
        </w:rPr>
      </w:pPr>
    </w:p>
    <w:p w14:paraId="0EE261F2" w14:textId="77777777" w:rsidR="00DC0D12" w:rsidRPr="00245FEE" w:rsidRDefault="00DC0D12" w:rsidP="00DC0D12">
      <w:pPr>
        <w:tabs>
          <w:tab w:val="left" w:pos="-1440"/>
        </w:tabs>
        <w:spacing w:after="0" w:line="240" w:lineRule="auto"/>
        <w:ind w:left="720" w:hanging="720"/>
        <w:rPr>
          <w:rFonts w:ascii="Times New Roman" w:hAnsi="Times New Roman"/>
          <w:b/>
          <w:sz w:val="24"/>
          <w:szCs w:val="24"/>
        </w:rPr>
      </w:pPr>
    </w:p>
    <w:p w14:paraId="1DD4300C" w14:textId="77777777" w:rsidR="00DC0D12" w:rsidRDefault="00DC0D12" w:rsidP="00DC0D12">
      <w:pPr>
        <w:tabs>
          <w:tab w:val="center" w:pos="4680"/>
        </w:tabs>
        <w:spacing w:after="0" w:line="240" w:lineRule="auto"/>
        <w:jc w:val="center"/>
        <w:rPr>
          <w:rFonts w:ascii="Times New Roman" w:hAnsi="Times New Roman"/>
          <w:b/>
          <w:bCs/>
          <w:sz w:val="24"/>
          <w:szCs w:val="24"/>
        </w:rPr>
      </w:pPr>
    </w:p>
    <w:p w14:paraId="7043F980" w14:textId="77777777" w:rsidR="00DC0D12" w:rsidRDefault="00DC0D12" w:rsidP="00DC0D12">
      <w:pPr>
        <w:tabs>
          <w:tab w:val="center" w:pos="4680"/>
        </w:tabs>
        <w:spacing w:after="0" w:line="240" w:lineRule="auto"/>
        <w:jc w:val="center"/>
        <w:rPr>
          <w:rFonts w:ascii="Times New Roman" w:hAnsi="Times New Roman"/>
          <w:b/>
          <w:bCs/>
          <w:sz w:val="24"/>
          <w:szCs w:val="24"/>
        </w:rPr>
      </w:pPr>
    </w:p>
    <w:p w14:paraId="7AC785BA" w14:textId="31443565" w:rsidR="00DC0D12" w:rsidRPr="00245FEE" w:rsidRDefault="00DC0D12" w:rsidP="00DC0D12">
      <w:pPr>
        <w:tabs>
          <w:tab w:val="center" w:pos="4680"/>
        </w:tabs>
        <w:spacing w:after="0" w:line="240" w:lineRule="auto"/>
        <w:jc w:val="center"/>
        <w:rPr>
          <w:rFonts w:ascii="Times New Roman" w:hAnsi="Times New Roman"/>
          <w:b/>
          <w:bCs/>
          <w:sz w:val="24"/>
          <w:szCs w:val="24"/>
        </w:rPr>
      </w:pPr>
      <w:r w:rsidRPr="00245FEE">
        <w:rPr>
          <w:rFonts w:ascii="Times New Roman" w:hAnsi="Times New Roman"/>
          <w:b/>
          <w:bCs/>
          <w:sz w:val="24"/>
          <w:szCs w:val="24"/>
        </w:rPr>
        <w:t>TESTIMONY</w:t>
      </w:r>
      <w:r>
        <w:rPr>
          <w:rFonts w:ascii="Times New Roman" w:hAnsi="Times New Roman"/>
          <w:b/>
          <w:bCs/>
          <w:sz w:val="24"/>
          <w:szCs w:val="24"/>
        </w:rPr>
        <w:t xml:space="preserve"> </w:t>
      </w:r>
      <w:r w:rsidRPr="00245FEE">
        <w:rPr>
          <w:rFonts w:ascii="Times New Roman" w:hAnsi="Times New Roman"/>
          <w:b/>
          <w:bCs/>
          <w:sz w:val="24"/>
          <w:szCs w:val="24"/>
        </w:rPr>
        <w:t>OF</w:t>
      </w:r>
    </w:p>
    <w:p w14:paraId="536235DE" w14:textId="77777777" w:rsidR="00DC0D12" w:rsidRPr="00245FEE" w:rsidRDefault="00DC0D12" w:rsidP="00DC0D12">
      <w:pPr>
        <w:spacing w:after="0" w:line="240" w:lineRule="auto"/>
        <w:jc w:val="center"/>
        <w:rPr>
          <w:rFonts w:ascii="Times New Roman" w:hAnsi="Times New Roman"/>
          <w:b/>
          <w:bCs/>
          <w:sz w:val="24"/>
          <w:szCs w:val="24"/>
        </w:rPr>
      </w:pPr>
    </w:p>
    <w:p w14:paraId="79B964E1" w14:textId="49304CBD" w:rsidR="00DC0D12" w:rsidRPr="00245FEE" w:rsidRDefault="002C157C" w:rsidP="00DC0D12">
      <w:pPr>
        <w:tabs>
          <w:tab w:val="center" w:pos="4680"/>
        </w:tabs>
        <w:spacing w:after="0" w:line="240" w:lineRule="auto"/>
        <w:jc w:val="center"/>
        <w:rPr>
          <w:rFonts w:ascii="Times New Roman" w:hAnsi="Times New Roman"/>
          <w:b/>
          <w:bCs/>
          <w:sz w:val="24"/>
          <w:szCs w:val="24"/>
        </w:rPr>
      </w:pPr>
      <w:r>
        <w:rPr>
          <w:rFonts w:ascii="Times New Roman" w:hAnsi="Times New Roman"/>
          <w:b/>
          <w:bCs/>
          <w:sz w:val="24"/>
          <w:szCs w:val="24"/>
        </w:rPr>
        <w:t>Chris</w:t>
      </w:r>
      <w:r w:rsidR="00DC0D12">
        <w:rPr>
          <w:rFonts w:ascii="Times New Roman" w:hAnsi="Times New Roman"/>
          <w:b/>
          <w:bCs/>
          <w:sz w:val="24"/>
          <w:szCs w:val="24"/>
        </w:rPr>
        <w:t xml:space="preserve"> </w:t>
      </w:r>
      <w:r w:rsidR="00DB1280">
        <w:rPr>
          <w:rFonts w:ascii="Times New Roman" w:hAnsi="Times New Roman"/>
          <w:b/>
          <w:bCs/>
          <w:sz w:val="24"/>
          <w:szCs w:val="24"/>
        </w:rPr>
        <w:t xml:space="preserve">R. </w:t>
      </w:r>
      <w:r>
        <w:rPr>
          <w:rFonts w:ascii="Times New Roman" w:hAnsi="Times New Roman"/>
          <w:b/>
          <w:bCs/>
          <w:sz w:val="24"/>
          <w:szCs w:val="24"/>
        </w:rPr>
        <w:t>McGuire</w:t>
      </w:r>
    </w:p>
    <w:p w14:paraId="586006C5" w14:textId="77777777" w:rsidR="00DC0D12" w:rsidRPr="00245FEE" w:rsidRDefault="00DC0D12" w:rsidP="00DC0D12">
      <w:pPr>
        <w:tabs>
          <w:tab w:val="center" w:pos="4680"/>
        </w:tabs>
        <w:spacing w:after="0" w:line="240" w:lineRule="auto"/>
        <w:jc w:val="center"/>
        <w:rPr>
          <w:rFonts w:ascii="Times New Roman" w:hAnsi="Times New Roman"/>
          <w:b/>
          <w:bCs/>
          <w:sz w:val="24"/>
          <w:szCs w:val="24"/>
        </w:rPr>
      </w:pPr>
    </w:p>
    <w:p w14:paraId="76F0974B" w14:textId="77777777" w:rsidR="00DC0D12" w:rsidRDefault="00DC0D12" w:rsidP="00DC0D12">
      <w:pPr>
        <w:tabs>
          <w:tab w:val="center" w:pos="4680"/>
        </w:tabs>
        <w:spacing w:after="0" w:line="240" w:lineRule="auto"/>
        <w:jc w:val="center"/>
        <w:rPr>
          <w:rFonts w:ascii="Times New Roman" w:hAnsi="Times New Roman"/>
          <w:b/>
          <w:bCs/>
          <w:sz w:val="24"/>
          <w:szCs w:val="24"/>
        </w:rPr>
      </w:pPr>
      <w:r w:rsidRPr="00245FEE">
        <w:rPr>
          <w:rFonts w:ascii="Times New Roman" w:hAnsi="Times New Roman"/>
          <w:b/>
          <w:bCs/>
          <w:sz w:val="24"/>
          <w:szCs w:val="24"/>
        </w:rPr>
        <w:t>STAFF</w:t>
      </w:r>
      <w:r>
        <w:rPr>
          <w:rFonts w:ascii="Times New Roman" w:hAnsi="Times New Roman"/>
          <w:b/>
          <w:bCs/>
          <w:sz w:val="24"/>
          <w:szCs w:val="24"/>
        </w:rPr>
        <w:t xml:space="preserve"> </w:t>
      </w:r>
      <w:r w:rsidRPr="00245FEE">
        <w:rPr>
          <w:rFonts w:ascii="Times New Roman" w:hAnsi="Times New Roman"/>
          <w:b/>
          <w:bCs/>
          <w:sz w:val="24"/>
          <w:szCs w:val="24"/>
        </w:rPr>
        <w:t>OF</w:t>
      </w:r>
    </w:p>
    <w:p w14:paraId="06E90F63" w14:textId="77777777" w:rsidR="00DC0D12" w:rsidRPr="00245FEE" w:rsidRDefault="00DC0D12" w:rsidP="00DC0D12">
      <w:pPr>
        <w:tabs>
          <w:tab w:val="center" w:pos="4680"/>
        </w:tabs>
        <w:spacing w:after="0" w:line="240" w:lineRule="auto"/>
        <w:jc w:val="center"/>
        <w:rPr>
          <w:rFonts w:ascii="Times New Roman" w:hAnsi="Times New Roman"/>
          <w:b/>
          <w:bCs/>
          <w:sz w:val="24"/>
          <w:szCs w:val="24"/>
        </w:rPr>
      </w:pPr>
      <w:r w:rsidRPr="00245FEE">
        <w:rPr>
          <w:rFonts w:ascii="Times New Roman" w:hAnsi="Times New Roman"/>
          <w:b/>
          <w:bCs/>
          <w:sz w:val="24"/>
          <w:szCs w:val="24"/>
        </w:rPr>
        <w:t>WASHINGTON UTILITIES AND</w:t>
      </w:r>
    </w:p>
    <w:p w14:paraId="35FFF540" w14:textId="77777777" w:rsidR="00DC0D12" w:rsidRPr="00245FEE" w:rsidRDefault="00DC0D12" w:rsidP="00DC0D12">
      <w:pPr>
        <w:tabs>
          <w:tab w:val="center" w:pos="4680"/>
        </w:tabs>
        <w:spacing w:after="0" w:line="240" w:lineRule="auto"/>
        <w:jc w:val="center"/>
        <w:rPr>
          <w:rFonts w:ascii="Times New Roman" w:hAnsi="Times New Roman"/>
          <w:b/>
          <w:bCs/>
          <w:sz w:val="24"/>
          <w:szCs w:val="24"/>
        </w:rPr>
      </w:pPr>
      <w:r w:rsidRPr="00245FEE">
        <w:rPr>
          <w:rFonts w:ascii="Times New Roman" w:hAnsi="Times New Roman"/>
          <w:b/>
          <w:bCs/>
          <w:sz w:val="24"/>
          <w:szCs w:val="24"/>
        </w:rPr>
        <w:t>TRANSPORTATION COMMISSION</w:t>
      </w:r>
    </w:p>
    <w:p w14:paraId="37705924" w14:textId="77777777" w:rsidR="00DC0D12" w:rsidRDefault="00DC0D12" w:rsidP="00DC0D12">
      <w:pPr>
        <w:tabs>
          <w:tab w:val="center" w:pos="4680"/>
        </w:tabs>
        <w:spacing w:after="0" w:line="240" w:lineRule="auto"/>
        <w:jc w:val="center"/>
        <w:rPr>
          <w:rFonts w:ascii="Times New Roman" w:hAnsi="Times New Roman"/>
          <w:b/>
          <w:bCs/>
          <w:sz w:val="24"/>
          <w:szCs w:val="24"/>
        </w:rPr>
      </w:pPr>
    </w:p>
    <w:p w14:paraId="6C187917" w14:textId="77777777" w:rsidR="00DC0D12" w:rsidRPr="00245FEE" w:rsidRDefault="00DC0D12" w:rsidP="00DC0D12">
      <w:pPr>
        <w:tabs>
          <w:tab w:val="center" w:pos="4680"/>
        </w:tabs>
        <w:spacing w:after="0" w:line="240" w:lineRule="auto"/>
        <w:jc w:val="center"/>
        <w:rPr>
          <w:rFonts w:ascii="Times New Roman" w:hAnsi="Times New Roman"/>
          <w:b/>
          <w:bCs/>
          <w:sz w:val="24"/>
          <w:szCs w:val="24"/>
        </w:rPr>
      </w:pPr>
    </w:p>
    <w:p w14:paraId="01EA5E59" w14:textId="3EA5327F" w:rsidR="00DC0D12" w:rsidRPr="00D97B14" w:rsidRDefault="008E274B" w:rsidP="00DC0D12">
      <w:pPr>
        <w:spacing w:after="0" w:line="240" w:lineRule="auto"/>
        <w:jc w:val="center"/>
        <w:rPr>
          <w:rFonts w:ascii="Times New Roman" w:hAnsi="Times New Roman"/>
          <w:b/>
          <w:bCs/>
          <w:i/>
          <w:sz w:val="24"/>
          <w:szCs w:val="24"/>
        </w:rPr>
      </w:pPr>
      <w:r>
        <w:rPr>
          <w:rFonts w:ascii="Times New Roman" w:hAnsi="Times New Roman"/>
          <w:b/>
          <w:bCs/>
          <w:i/>
          <w:sz w:val="24"/>
          <w:szCs w:val="24"/>
        </w:rPr>
        <w:t xml:space="preserve">Revenue Requirement, </w:t>
      </w:r>
      <w:r w:rsidR="002504DC">
        <w:rPr>
          <w:rFonts w:ascii="Times New Roman" w:hAnsi="Times New Roman"/>
          <w:b/>
          <w:bCs/>
          <w:i/>
          <w:sz w:val="24"/>
          <w:szCs w:val="24"/>
        </w:rPr>
        <w:t>Attrition Studies</w:t>
      </w:r>
      <w:r w:rsidR="00684EB0">
        <w:rPr>
          <w:rFonts w:ascii="Times New Roman" w:hAnsi="Times New Roman"/>
          <w:b/>
          <w:bCs/>
          <w:i/>
          <w:sz w:val="24"/>
          <w:szCs w:val="24"/>
        </w:rPr>
        <w:t>,</w:t>
      </w:r>
      <w:r w:rsidR="009173F2">
        <w:rPr>
          <w:rFonts w:ascii="Times New Roman" w:hAnsi="Times New Roman"/>
          <w:b/>
          <w:bCs/>
          <w:i/>
          <w:sz w:val="24"/>
          <w:szCs w:val="24"/>
        </w:rPr>
        <w:t xml:space="preserve"> REC Revenues Rebate</w:t>
      </w:r>
    </w:p>
    <w:p w14:paraId="17321A88" w14:textId="77777777" w:rsidR="00DC0D12" w:rsidRPr="00245FEE" w:rsidRDefault="00DC0D12" w:rsidP="00DC0D12">
      <w:pPr>
        <w:spacing w:after="0" w:line="240" w:lineRule="auto"/>
        <w:jc w:val="center"/>
        <w:rPr>
          <w:rFonts w:ascii="Times New Roman" w:hAnsi="Times New Roman"/>
          <w:b/>
          <w:bCs/>
          <w:sz w:val="24"/>
          <w:szCs w:val="24"/>
        </w:rPr>
      </w:pPr>
    </w:p>
    <w:p w14:paraId="78308E99" w14:textId="77777777" w:rsidR="00DC0D12" w:rsidRPr="00245FEE" w:rsidRDefault="00DC0D12" w:rsidP="00DC0D12">
      <w:pPr>
        <w:spacing w:after="0" w:line="240" w:lineRule="auto"/>
        <w:jc w:val="center"/>
        <w:rPr>
          <w:rFonts w:ascii="Times New Roman" w:hAnsi="Times New Roman"/>
          <w:b/>
          <w:bCs/>
          <w:sz w:val="24"/>
          <w:szCs w:val="24"/>
        </w:rPr>
      </w:pPr>
    </w:p>
    <w:p w14:paraId="79DB8774" w14:textId="64C68F81" w:rsidR="00DC0D12" w:rsidRDefault="003642E8" w:rsidP="00DC0D12">
      <w:pPr>
        <w:tabs>
          <w:tab w:val="center" w:pos="4680"/>
        </w:tabs>
        <w:spacing w:after="0" w:line="240" w:lineRule="auto"/>
        <w:jc w:val="center"/>
        <w:rPr>
          <w:rFonts w:ascii="Times New Roman" w:hAnsi="Times New Roman"/>
          <w:b/>
          <w:bCs/>
          <w:sz w:val="24"/>
          <w:szCs w:val="24"/>
        </w:rPr>
      </w:pPr>
      <w:r>
        <w:rPr>
          <w:rFonts w:ascii="Times New Roman" w:hAnsi="Times New Roman"/>
          <w:b/>
          <w:bCs/>
          <w:sz w:val="24"/>
          <w:szCs w:val="24"/>
        </w:rPr>
        <w:t>July</w:t>
      </w:r>
      <w:r w:rsidR="00684EB0">
        <w:rPr>
          <w:rFonts w:ascii="Times New Roman" w:hAnsi="Times New Roman"/>
          <w:b/>
          <w:bCs/>
          <w:sz w:val="24"/>
          <w:szCs w:val="24"/>
        </w:rPr>
        <w:t xml:space="preserve"> </w:t>
      </w:r>
      <w:r w:rsidR="008E274B">
        <w:rPr>
          <w:rFonts w:ascii="Times New Roman" w:hAnsi="Times New Roman"/>
          <w:b/>
          <w:bCs/>
          <w:sz w:val="24"/>
          <w:szCs w:val="24"/>
        </w:rPr>
        <w:t>22</w:t>
      </w:r>
      <w:r w:rsidR="00684EB0">
        <w:rPr>
          <w:rFonts w:ascii="Times New Roman" w:hAnsi="Times New Roman"/>
          <w:b/>
          <w:bCs/>
          <w:sz w:val="24"/>
          <w:szCs w:val="24"/>
        </w:rPr>
        <w:t>, 2014</w:t>
      </w:r>
    </w:p>
    <w:p w14:paraId="46252509" w14:textId="30272B01" w:rsidR="004E78E5" w:rsidRDefault="009A45D8" w:rsidP="00DC0D12">
      <w:pPr>
        <w:tabs>
          <w:tab w:val="center" w:pos="4680"/>
        </w:tabs>
        <w:spacing w:after="0" w:line="240" w:lineRule="auto"/>
        <w:jc w:val="center"/>
        <w:rPr>
          <w:rFonts w:ascii="Times New Roman" w:hAnsi="Times New Roman"/>
          <w:b/>
          <w:bCs/>
          <w:sz w:val="24"/>
          <w:szCs w:val="24"/>
        </w:rPr>
      </w:pPr>
      <w:r>
        <w:rPr>
          <w:rFonts w:ascii="Times New Roman" w:hAnsi="Times New Roman"/>
          <w:b/>
          <w:bCs/>
          <w:sz w:val="24"/>
          <w:szCs w:val="24"/>
        </w:rPr>
        <w:t>Revised</w:t>
      </w:r>
      <w:r w:rsidR="004E78E5">
        <w:rPr>
          <w:rFonts w:ascii="Times New Roman" w:hAnsi="Times New Roman"/>
          <w:b/>
          <w:bCs/>
          <w:sz w:val="24"/>
          <w:szCs w:val="24"/>
        </w:rPr>
        <w:t xml:space="preserve"> July 31, 2014</w:t>
      </w:r>
      <w:r>
        <w:rPr>
          <w:rFonts w:ascii="Times New Roman" w:hAnsi="Times New Roman"/>
          <w:b/>
          <w:bCs/>
          <w:sz w:val="24"/>
          <w:szCs w:val="24"/>
        </w:rPr>
        <w:t xml:space="preserve"> (pp 5, 6, 35, 42)</w:t>
      </w:r>
    </w:p>
    <w:p w14:paraId="2391AB81" w14:textId="77777777" w:rsidR="004E78E5" w:rsidRDefault="004E78E5" w:rsidP="00DC0D12">
      <w:pPr>
        <w:tabs>
          <w:tab w:val="center" w:pos="4680"/>
        </w:tabs>
        <w:spacing w:after="0" w:line="240" w:lineRule="auto"/>
        <w:jc w:val="center"/>
        <w:rPr>
          <w:rFonts w:ascii="Times New Roman" w:hAnsi="Times New Roman"/>
          <w:b/>
          <w:bCs/>
          <w:sz w:val="24"/>
          <w:szCs w:val="24"/>
        </w:rPr>
      </w:pPr>
    </w:p>
    <w:p w14:paraId="75E8615A" w14:textId="77777777" w:rsidR="00DC0D12" w:rsidRDefault="00DC0D12" w:rsidP="00DC0D12">
      <w:pPr>
        <w:tabs>
          <w:tab w:val="center" w:pos="4680"/>
        </w:tabs>
        <w:spacing w:after="0" w:line="240" w:lineRule="auto"/>
        <w:jc w:val="center"/>
        <w:rPr>
          <w:rFonts w:ascii="Times New Roman" w:hAnsi="Times New Roman"/>
          <w:b/>
          <w:bCs/>
          <w:sz w:val="24"/>
          <w:szCs w:val="24"/>
        </w:rPr>
      </w:pPr>
    </w:p>
    <w:p w14:paraId="6EEBAF68" w14:textId="77777777" w:rsidR="00DC0D12" w:rsidRDefault="00DC0D12" w:rsidP="00DC0D12">
      <w:pPr>
        <w:tabs>
          <w:tab w:val="center" w:pos="4680"/>
        </w:tabs>
        <w:spacing w:after="0" w:line="240" w:lineRule="auto"/>
        <w:jc w:val="center"/>
        <w:rPr>
          <w:rFonts w:ascii="Times New Roman" w:hAnsi="Times New Roman"/>
          <w:b/>
          <w:bCs/>
          <w:sz w:val="24"/>
          <w:szCs w:val="24"/>
        </w:rPr>
      </w:pPr>
    </w:p>
    <w:p w14:paraId="20C13A3C" w14:textId="2F343E7F" w:rsidR="006343E5" w:rsidRDefault="006343E5" w:rsidP="00DC0D12">
      <w:pPr>
        <w:tabs>
          <w:tab w:val="center" w:pos="4680"/>
        </w:tabs>
        <w:spacing w:after="0" w:line="240" w:lineRule="auto"/>
        <w:jc w:val="center"/>
        <w:rPr>
          <w:rFonts w:ascii="Times New Roman" w:hAnsi="Times New Roman"/>
          <w:b/>
          <w:bCs/>
          <w:i/>
          <w:sz w:val="24"/>
          <w:szCs w:val="24"/>
        </w:rPr>
      </w:pPr>
      <w:r>
        <w:rPr>
          <w:rFonts w:ascii="Times New Roman" w:hAnsi="Times New Roman"/>
          <w:b/>
          <w:bCs/>
          <w:i/>
          <w:sz w:val="24"/>
          <w:szCs w:val="24"/>
        </w:rPr>
        <w:t>Confidential Per Protective Order</w:t>
      </w:r>
    </w:p>
    <w:p w14:paraId="5EEB0363" w14:textId="01F11032" w:rsidR="00C14A88" w:rsidRPr="00C14A88" w:rsidRDefault="00C14A88" w:rsidP="00DC0D12">
      <w:pPr>
        <w:tabs>
          <w:tab w:val="center" w:pos="4680"/>
        </w:tabs>
        <w:spacing w:after="0" w:line="240" w:lineRule="auto"/>
        <w:jc w:val="center"/>
        <w:rPr>
          <w:rFonts w:ascii="Times New Roman" w:hAnsi="Times New Roman"/>
          <w:b/>
          <w:bCs/>
          <w:sz w:val="24"/>
          <w:szCs w:val="24"/>
        </w:rPr>
      </w:pPr>
      <w:r>
        <w:rPr>
          <w:rFonts w:ascii="Times New Roman" w:hAnsi="Times New Roman"/>
          <w:b/>
          <w:bCs/>
          <w:sz w:val="24"/>
          <w:szCs w:val="24"/>
        </w:rPr>
        <w:t>REDACTED VERSION</w:t>
      </w:r>
    </w:p>
    <w:p w14:paraId="62B51068" w14:textId="77777777" w:rsidR="00DC0D12" w:rsidRDefault="00DC0D12" w:rsidP="00DC0D12">
      <w:pPr>
        <w:tabs>
          <w:tab w:val="center" w:pos="4680"/>
        </w:tabs>
        <w:spacing w:after="0" w:line="240" w:lineRule="auto"/>
        <w:jc w:val="center"/>
        <w:rPr>
          <w:rFonts w:ascii="Times New Roman" w:hAnsi="Times New Roman"/>
          <w:b/>
          <w:bCs/>
          <w:sz w:val="24"/>
          <w:szCs w:val="24"/>
        </w:rPr>
      </w:pPr>
    </w:p>
    <w:p w14:paraId="574347B6" w14:textId="77777777" w:rsidR="00DC0D12" w:rsidRDefault="00DC0D12" w:rsidP="00DC0D12">
      <w:pPr>
        <w:tabs>
          <w:tab w:val="center" w:pos="4680"/>
        </w:tabs>
        <w:spacing w:after="0" w:line="240" w:lineRule="auto"/>
        <w:rPr>
          <w:rFonts w:ascii="Times New Roman" w:hAnsi="Times New Roman"/>
          <w:b/>
          <w:bCs/>
          <w:sz w:val="24"/>
          <w:szCs w:val="24"/>
        </w:rPr>
        <w:sectPr w:rsidR="00DC0D12" w:rsidSect="00AE559F">
          <w:pgSz w:w="12240" w:h="15840"/>
          <w:pgMar w:top="1440" w:right="1440" w:bottom="720" w:left="1872" w:header="720" w:footer="720" w:gutter="0"/>
          <w:pgNumType w:fmt="lowerRoman" w:start="1"/>
          <w:cols w:space="720"/>
          <w:docGrid w:linePitch="360"/>
        </w:sectPr>
      </w:pPr>
    </w:p>
    <w:p w14:paraId="4B22FA77" w14:textId="77777777" w:rsidR="00DC0D12" w:rsidRPr="00245FEE" w:rsidRDefault="00DC0D12" w:rsidP="00DC0D12">
      <w:pPr>
        <w:tabs>
          <w:tab w:val="left" w:pos="-1440"/>
        </w:tabs>
        <w:spacing w:after="0" w:line="240" w:lineRule="auto"/>
        <w:jc w:val="center"/>
        <w:rPr>
          <w:rFonts w:ascii="Times New Roman" w:hAnsi="Times New Roman"/>
          <w:b/>
          <w:sz w:val="24"/>
          <w:szCs w:val="24"/>
        </w:rPr>
      </w:pPr>
      <w:r w:rsidRPr="00245FEE">
        <w:rPr>
          <w:rFonts w:ascii="Times New Roman" w:hAnsi="Times New Roman"/>
          <w:b/>
          <w:sz w:val="24"/>
          <w:szCs w:val="24"/>
        </w:rPr>
        <w:lastRenderedPageBreak/>
        <w:t>TABLE OF CONTENTS</w:t>
      </w:r>
      <w:r>
        <w:rPr>
          <w:rFonts w:ascii="Times New Roman" w:hAnsi="Times New Roman"/>
          <w:b/>
          <w:sz w:val="24"/>
          <w:szCs w:val="24"/>
        </w:rPr>
        <w:t xml:space="preserve"> </w:t>
      </w:r>
    </w:p>
    <w:p w14:paraId="17EF8FE8" w14:textId="77777777" w:rsidR="00DC0D12" w:rsidRPr="00245FEE" w:rsidRDefault="00DC0D12" w:rsidP="00DC0D12">
      <w:pPr>
        <w:tabs>
          <w:tab w:val="left" w:pos="-1440"/>
        </w:tabs>
        <w:spacing w:after="0" w:line="240" w:lineRule="auto"/>
        <w:ind w:left="720" w:hanging="720"/>
        <w:rPr>
          <w:rFonts w:ascii="Times New Roman" w:hAnsi="Times New Roman"/>
          <w:sz w:val="24"/>
          <w:szCs w:val="24"/>
        </w:rPr>
      </w:pPr>
    </w:p>
    <w:p w14:paraId="5C70879A" w14:textId="77777777" w:rsidR="00DC0D12" w:rsidRPr="00245FEE" w:rsidRDefault="00DC0D12" w:rsidP="00DC0D12">
      <w:pPr>
        <w:tabs>
          <w:tab w:val="left" w:pos="-1440"/>
        </w:tabs>
        <w:spacing w:after="0" w:line="240" w:lineRule="auto"/>
        <w:ind w:left="720" w:hanging="720"/>
        <w:rPr>
          <w:rFonts w:ascii="Times New Roman" w:hAnsi="Times New Roman"/>
          <w:sz w:val="24"/>
          <w:szCs w:val="24"/>
        </w:rPr>
      </w:pPr>
    </w:p>
    <w:p w14:paraId="640F145B" w14:textId="77777777" w:rsidR="00DC0D12" w:rsidRPr="00245FEE" w:rsidRDefault="00DC0D12" w:rsidP="00DC0D12">
      <w:pPr>
        <w:tabs>
          <w:tab w:val="left" w:pos="-1440"/>
          <w:tab w:val="left" w:pos="720"/>
          <w:tab w:val="left" w:pos="1440"/>
          <w:tab w:val="left" w:pos="2160"/>
          <w:tab w:val="right" w:leader="dot" w:pos="8820"/>
        </w:tabs>
        <w:spacing w:after="0" w:line="240" w:lineRule="auto"/>
        <w:ind w:left="720" w:hanging="720"/>
        <w:rPr>
          <w:rFonts w:ascii="Times New Roman" w:hAnsi="Times New Roman"/>
          <w:sz w:val="24"/>
          <w:szCs w:val="24"/>
        </w:rPr>
      </w:pPr>
      <w:r w:rsidRPr="00245FEE">
        <w:rPr>
          <w:rFonts w:ascii="Times New Roman" w:hAnsi="Times New Roman"/>
          <w:sz w:val="24"/>
          <w:szCs w:val="24"/>
        </w:rPr>
        <w:t>I.</w:t>
      </w:r>
      <w:r w:rsidRPr="00245FEE">
        <w:rPr>
          <w:rFonts w:ascii="Times New Roman" w:hAnsi="Times New Roman"/>
          <w:sz w:val="24"/>
          <w:szCs w:val="24"/>
        </w:rPr>
        <w:tab/>
        <w:t xml:space="preserve">INTRODUCTION </w:t>
      </w:r>
      <w:r w:rsidRPr="00245FEE">
        <w:rPr>
          <w:rFonts w:ascii="Times New Roman" w:hAnsi="Times New Roman"/>
          <w:sz w:val="24"/>
          <w:szCs w:val="24"/>
        </w:rPr>
        <w:tab/>
      </w:r>
      <w:r w:rsidR="00D8518F">
        <w:rPr>
          <w:rFonts w:ascii="Times New Roman" w:hAnsi="Times New Roman"/>
          <w:sz w:val="24"/>
          <w:szCs w:val="24"/>
        </w:rPr>
        <w:t>2</w:t>
      </w:r>
    </w:p>
    <w:p w14:paraId="318CD91A" w14:textId="77777777" w:rsidR="00DC0D12" w:rsidRPr="00245FEE" w:rsidRDefault="00DC0D12" w:rsidP="00DC0D12">
      <w:pPr>
        <w:tabs>
          <w:tab w:val="left" w:pos="-1440"/>
          <w:tab w:val="right" w:leader="dot" w:pos="8820"/>
        </w:tabs>
        <w:spacing w:after="0" w:line="240" w:lineRule="auto"/>
        <w:ind w:left="720" w:hanging="720"/>
        <w:rPr>
          <w:rFonts w:ascii="Times New Roman" w:hAnsi="Times New Roman"/>
          <w:sz w:val="24"/>
          <w:szCs w:val="24"/>
        </w:rPr>
      </w:pPr>
    </w:p>
    <w:p w14:paraId="03717F75" w14:textId="3041CDEB" w:rsidR="00DC0D12" w:rsidRPr="00245FEE" w:rsidRDefault="00DC0D12" w:rsidP="00DB1280">
      <w:pPr>
        <w:tabs>
          <w:tab w:val="left" w:pos="-1440"/>
          <w:tab w:val="left" w:pos="720"/>
          <w:tab w:val="left" w:pos="1440"/>
          <w:tab w:val="left" w:pos="2160"/>
          <w:tab w:val="left" w:pos="2880"/>
          <w:tab w:val="left" w:pos="3600"/>
          <w:tab w:val="right" w:leader="dot" w:pos="8820"/>
        </w:tabs>
        <w:spacing w:after="0" w:line="240" w:lineRule="auto"/>
        <w:ind w:left="720" w:hanging="720"/>
        <w:rPr>
          <w:rFonts w:ascii="Times New Roman" w:hAnsi="Times New Roman"/>
          <w:sz w:val="24"/>
          <w:szCs w:val="24"/>
        </w:rPr>
      </w:pPr>
      <w:r w:rsidRPr="00245FEE">
        <w:rPr>
          <w:rFonts w:ascii="Times New Roman" w:hAnsi="Times New Roman"/>
          <w:sz w:val="24"/>
          <w:szCs w:val="24"/>
        </w:rPr>
        <w:t>II</w:t>
      </w:r>
      <w:r>
        <w:rPr>
          <w:rFonts w:ascii="Times New Roman" w:hAnsi="Times New Roman"/>
          <w:sz w:val="24"/>
          <w:szCs w:val="24"/>
        </w:rPr>
        <w:t>.</w:t>
      </w:r>
      <w:r>
        <w:rPr>
          <w:rFonts w:ascii="Times New Roman" w:hAnsi="Times New Roman"/>
          <w:sz w:val="24"/>
          <w:szCs w:val="24"/>
        </w:rPr>
        <w:tab/>
        <w:t>SCOPE OF TESTIMONY</w:t>
      </w:r>
      <w:r w:rsidRPr="00245FEE">
        <w:rPr>
          <w:rFonts w:ascii="Times New Roman" w:hAnsi="Times New Roman"/>
          <w:sz w:val="24"/>
          <w:szCs w:val="24"/>
        </w:rPr>
        <w:t xml:space="preserve"> </w:t>
      </w:r>
      <w:r w:rsidR="0042170E">
        <w:rPr>
          <w:rFonts w:ascii="Times New Roman" w:hAnsi="Times New Roman"/>
          <w:sz w:val="24"/>
          <w:szCs w:val="24"/>
        </w:rPr>
        <w:t>AND INTRODUCTION OF STAFF WITNESSES</w:t>
      </w:r>
      <w:r w:rsidR="00DB1280">
        <w:rPr>
          <w:rFonts w:ascii="Times New Roman" w:hAnsi="Times New Roman"/>
          <w:sz w:val="24"/>
          <w:szCs w:val="24"/>
        </w:rPr>
        <w:tab/>
      </w:r>
      <w:r w:rsidR="00D8518F">
        <w:rPr>
          <w:rFonts w:ascii="Times New Roman" w:hAnsi="Times New Roman"/>
          <w:sz w:val="24"/>
          <w:szCs w:val="24"/>
        </w:rPr>
        <w:t>3</w:t>
      </w:r>
    </w:p>
    <w:p w14:paraId="34336A25" w14:textId="77777777" w:rsidR="00DC0D12" w:rsidRPr="00245FEE" w:rsidRDefault="00DC0D12" w:rsidP="00DC0D12">
      <w:pPr>
        <w:tabs>
          <w:tab w:val="left" w:pos="-1440"/>
          <w:tab w:val="right" w:leader="dot" w:pos="8820"/>
        </w:tabs>
        <w:spacing w:after="0" w:line="240" w:lineRule="auto"/>
        <w:ind w:left="720" w:hanging="720"/>
        <w:rPr>
          <w:rFonts w:ascii="Times New Roman" w:hAnsi="Times New Roman"/>
          <w:sz w:val="24"/>
          <w:szCs w:val="24"/>
        </w:rPr>
      </w:pPr>
    </w:p>
    <w:p w14:paraId="242FD3F0" w14:textId="64016E98" w:rsidR="0042170E" w:rsidRPr="0042170E" w:rsidRDefault="0042170E" w:rsidP="00DC0D12">
      <w:pPr>
        <w:tabs>
          <w:tab w:val="left" w:pos="-1440"/>
          <w:tab w:val="left" w:pos="720"/>
          <w:tab w:val="left" w:pos="1440"/>
          <w:tab w:val="left" w:pos="2160"/>
          <w:tab w:val="right" w:leader="dot" w:pos="8820"/>
        </w:tabs>
        <w:spacing w:after="0" w:line="240" w:lineRule="auto"/>
        <w:ind w:left="720" w:hanging="720"/>
        <w:rPr>
          <w:rFonts w:ascii="Times New Roman" w:hAnsi="Times New Roman"/>
          <w:sz w:val="24"/>
          <w:szCs w:val="24"/>
        </w:rPr>
      </w:pPr>
      <w:r w:rsidRPr="00DB1280">
        <w:rPr>
          <w:rFonts w:ascii="Times New Roman" w:hAnsi="Times New Roman"/>
          <w:sz w:val="24"/>
          <w:szCs w:val="24"/>
        </w:rPr>
        <w:t>III.</w:t>
      </w:r>
      <w:r w:rsidRPr="00DB1280">
        <w:rPr>
          <w:rFonts w:ascii="Times New Roman" w:hAnsi="Times New Roman"/>
          <w:sz w:val="24"/>
          <w:szCs w:val="24"/>
        </w:rPr>
        <w:tab/>
        <w:t xml:space="preserve">SUMMARY OF REVENUE REQUIREMENTS AND STAFF’S PROPOSED REC </w:t>
      </w:r>
      <w:r w:rsidR="00A56437">
        <w:rPr>
          <w:rFonts w:ascii="Times New Roman" w:hAnsi="Times New Roman"/>
          <w:sz w:val="24"/>
          <w:szCs w:val="24"/>
        </w:rPr>
        <w:t xml:space="preserve">REVENUES </w:t>
      </w:r>
      <w:r w:rsidRPr="00DB1280">
        <w:rPr>
          <w:rFonts w:ascii="Times New Roman" w:hAnsi="Times New Roman"/>
          <w:sz w:val="24"/>
          <w:szCs w:val="24"/>
        </w:rPr>
        <w:t>TRACKING MECHANISM</w:t>
      </w:r>
      <w:r w:rsidR="00DB1280">
        <w:rPr>
          <w:rFonts w:ascii="Times New Roman" w:hAnsi="Times New Roman"/>
          <w:sz w:val="24"/>
          <w:szCs w:val="24"/>
        </w:rPr>
        <w:tab/>
        <w:t>5</w:t>
      </w:r>
    </w:p>
    <w:p w14:paraId="59E2667E" w14:textId="77777777" w:rsidR="0042170E" w:rsidRDefault="0042170E" w:rsidP="00DC0D12">
      <w:pPr>
        <w:tabs>
          <w:tab w:val="left" w:pos="-1440"/>
          <w:tab w:val="left" w:pos="720"/>
          <w:tab w:val="left" w:pos="1440"/>
          <w:tab w:val="left" w:pos="2160"/>
          <w:tab w:val="right" w:leader="dot" w:pos="8820"/>
        </w:tabs>
        <w:spacing w:after="0" w:line="240" w:lineRule="auto"/>
        <w:ind w:left="720" w:hanging="720"/>
        <w:rPr>
          <w:rFonts w:ascii="Times New Roman" w:hAnsi="Times New Roman"/>
          <w:sz w:val="24"/>
          <w:szCs w:val="24"/>
        </w:rPr>
      </w:pPr>
    </w:p>
    <w:p w14:paraId="337BE196" w14:textId="257A500A" w:rsidR="005C4DB4" w:rsidRDefault="00DC0D12" w:rsidP="00DC0D12">
      <w:pPr>
        <w:tabs>
          <w:tab w:val="left" w:pos="-1440"/>
          <w:tab w:val="left" w:pos="720"/>
          <w:tab w:val="left" w:pos="1440"/>
          <w:tab w:val="left" w:pos="2160"/>
          <w:tab w:val="right" w:leader="dot" w:pos="8820"/>
        </w:tabs>
        <w:spacing w:after="0" w:line="240" w:lineRule="auto"/>
        <w:ind w:left="720" w:hanging="720"/>
        <w:rPr>
          <w:rFonts w:ascii="Times New Roman" w:hAnsi="Times New Roman"/>
          <w:sz w:val="24"/>
          <w:szCs w:val="24"/>
        </w:rPr>
      </w:pPr>
      <w:r w:rsidRPr="00245FEE">
        <w:rPr>
          <w:rFonts w:ascii="Times New Roman" w:hAnsi="Times New Roman"/>
          <w:sz w:val="24"/>
          <w:szCs w:val="24"/>
        </w:rPr>
        <w:t>I</w:t>
      </w:r>
      <w:r w:rsidR="0042170E">
        <w:rPr>
          <w:rFonts w:ascii="Times New Roman" w:hAnsi="Times New Roman"/>
          <w:sz w:val="24"/>
          <w:szCs w:val="24"/>
        </w:rPr>
        <w:t>V</w:t>
      </w:r>
      <w:r w:rsidRPr="00245FEE">
        <w:rPr>
          <w:rFonts w:ascii="Times New Roman" w:hAnsi="Times New Roman"/>
          <w:sz w:val="24"/>
          <w:szCs w:val="24"/>
        </w:rPr>
        <w:t>.</w:t>
      </w:r>
      <w:r w:rsidRPr="00245FEE">
        <w:rPr>
          <w:rFonts w:ascii="Times New Roman" w:hAnsi="Times New Roman"/>
          <w:sz w:val="24"/>
          <w:szCs w:val="24"/>
        </w:rPr>
        <w:tab/>
      </w:r>
      <w:r w:rsidR="005C4DB4">
        <w:rPr>
          <w:rFonts w:ascii="Times New Roman" w:hAnsi="Times New Roman"/>
          <w:sz w:val="24"/>
          <w:szCs w:val="24"/>
        </w:rPr>
        <w:t>ATTRITION</w:t>
      </w:r>
      <w:r w:rsidR="00384C77">
        <w:rPr>
          <w:rFonts w:ascii="Times New Roman" w:hAnsi="Times New Roman"/>
          <w:sz w:val="24"/>
          <w:szCs w:val="24"/>
        </w:rPr>
        <w:tab/>
      </w:r>
      <w:r w:rsidR="00384C77">
        <w:rPr>
          <w:rFonts w:ascii="Times New Roman" w:hAnsi="Times New Roman"/>
          <w:sz w:val="24"/>
          <w:szCs w:val="24"/>
        </w:rPr>
        <w:tab/>
        <w:t>7</w:t>
      </w:r>
    </w:p>
    <w:p w14:paraId="328A10A8" w14:textId="77777777" w:rsidR="005C4DB4" w:rsidRDefault="005C4DB4" w:rsidP="00DC0D12">
      <w:pPr>
        <w:tabs>
          <w:tab w:val="left" w:pos="-1440"/>
          <w:tab w:val="left" w:pos="720"/>
          <w:tab w:val="left" w:pos="1440"/>
          <w:tab w:val="left" w:pos="2160"/>
          <w:tab w:val="right" w:leader="dot" w:pos="8820"/>
        </w:tabs>
        <w:spacing w:after="0" w:line="240" w:lineRule="auto"/>
        <w:ind w:left="720" w:hanging="720"/>
        <w:rPr>
          <w:rFonts w:ascii="Times New Roman" w:hAnsi="Times New Roman"/>
          <w:sz w:val="24"/>
          <w:szCs w:val="24"/>
        </w:rPr>
      </w:pPr>
    </w:p>
    <w:p w14:paraId="75ADDCB6" w14:textId="0B3FAACB" w:rsidR="00DC0D12" w:rsidRPr="00397795" w:rsidRDefault="005C4DB4" w:rsidP="00254411">
      <w:pPr>
        <w:pStyle w:val="ListParagraph"/>
        <w:numPr>
          <w:ilvl w:val="0"/>
          <w:numId w:val="3"/>
        </w:numPr>
        <w:tabs>
          <w:tab w:val="left" w:pos="-1440"/>
          <w:tab w:val="left" w:pos="720"/>
          <w:tab w:val="left" w:pos="1440"/>
          <w:tab w:val="left" w:pos="2160"/>
          <w:tab w:val="right" w:leader="dot" w:pos="8820"/>
        </w:tabs>
        <w:spacing w:after="0" w:line="480" w:lineRule="auto"/>
        <w:rPr>
          <w:rFonts w:ascii="Times New Roman" w:hAnsi="Times New Roman"/>
          <w:sz w:val="24"/>
          <w:szCs w:val="24"/>
        </w:rPr>
      </w:pPr>
      <w:r w:rsidRPr="00397795">
        <w:rPr>
          <w:rFonts w:ascii="Times New Roman" w:hAnsi="Times New Roman"/>
          <w:sz w:val="24"/>
          <w:szCs w:val="24"/>
        </w:rPr>
        <w:t>Definition of Attrition and Commission Policy on Attrition Adjustments</w:t>
      </w:r>
      <w:r w:rsidR="00384C77">
        <w:rPr>
          <w:rFonts w:ascii="Times New Roman" w:hAnsi="Times New Roman"/>
          <w:sz w:val="24"/>
          <w:szCs w:val="24"/>
        </w:rPr>
        <w:tab/>
        <w:t>7</w:t>
      </w:r>
    </w:p>
    <w:p w14:paraId="29F93099" w14:textId="4BC71639" w:rsidR="005C4DB4" w:rsidRDefault="00EC0565" w:rsidP="00254411">
      <w:pPr>
        <w:pStyle w:val="ListParagraph"/>
        <w:numPr>
          <w:ilvl w:val="0"/>
          <w:numId w:val="3"/>
        </w:numPr>
        <w:tabs>
          <w:tab w:val="left" w:pos="-1440"/>
          <w:tab w:val="left" w:pos="720"/>
          <w:tab w:val="left" w:pos="1440"/>
          <w:tab w:val="left" w:pos="2160"/>
          <w:tab w:val="right" w:leader="dot" w:pos="8820"/>
        </w:tabs>
        <w:spacing w:after="0" w:line="480" w:lineRule="auto"/>
        <w:rPr>
          <w:rFonts w:ascii="Times New Roman" w:hAnsi="Times New Roman"/>
          <w:sz w:val="24"/>
          <w:szCs w:val="24"/>
        </w:rPr>
      </w:pPr>
      <w:r>
        <w:rPr>
          <w:rFonts w:ascii="Times New Roman" w:hAnsi="Times New Roman"/>
          <w:sz w:val="24"/>
          <w:szCs w:val="24"/>
        </w:rPr>
        <w:t>Staff’s Attrition Analysis</w:t>
      </w:r>
      <w:r w:rsidR="008F07E6">
        <w:rPr>
          <w:rFonts w:ascii="Times New Roman" w:hAnsi="Times New Roman"/>
          <w:sz w:val="24"/>
          <w:szCs w:val="24"/>
        </w:rPr>
        <w:tab/>
        <w:t>10</w:t>
      </w:r>
    </w:p>
    <w:p w14:paraId="087C329D" w14:textId="0666C2D7" w:rsidR="00384C77" w:rsidRDefault="008F07E6" w:rsidP="00254411">
      <w:pPr>
        <w:pStyle w:val="ListParagraph"/>
        <w:numPr>
          <w:ilvl w:val="1"/>
          <w:numId w:val="3"/>
        </w:numPr>
        <w:tabs>
          <w:tab w:val="left" w:pos="-1440"/>
          <w:tab w:val="left" w:pos="720"/>
          <w:tab w:val="left" w:pos="1440"/>
          <w:tab w:val="left" w:pos="2160"/>
          <w:tab w:val="right" w:leader="dot" w:pos="8820"/>
        </w:tabs>
        <w:spacing w:after="0" w:line="480" w:lineRule="auto"/>
        <w:rPr>
          <w:rFonts w:ascii="Times New Roman" w:hAnsi="Times New Roman"/>
          <w:sz w:val="24"/>
          <w:szCs w:val="24"/>
        </w:rPr>
      </w:pPr>
      <w:r>
        <w:rPr>
          <w:rFonts w:ascii="Times New Roman" w:hAnsi="Times New Roman"/>
          <w:sz w:val="24"/>
          <w:szCs w:val="24"/>
        </w:rPr>
        <w:t>General Approach</w:t>
      </w:r>
      <w:r>
        <w:rPr>
          <w:rFonts w:ascii="Times New Roman" w:hAnsi="Times New Roman"/>
          <w:sz w:val="24"/>
          <w:szCs w:val="24"/>
        </w:rPr>
        <w:tab/>
        <w:t>10</w:t>
      </w:r>
    </w:p>
    <w:p w14:paraId="4EBB1F78" w14:textId="74E6854C" w:rsidR="00EA7280" w:rsidRDefault="00EA7280" w:rsidP="00254411">
      <w:pPr>
        <w:pStyle w:val="ListParagraph"/>
        <w:numPr>
          <w:ilvl w:val="1"/>
          <w:numId w:val="3"/>
        </w:numPr>
        <w:tabs>
          <w:tab w:val="left" w:pos="-1440"/>
          <w:tab w:val="left" w:pos="720"/>
          <w:tab w:val="left" w:pos="1440"/>
          <w:tab w:val="left" w:pos="2160"/>
          <w:tab w:val="right" w:leader="dot" w:pos="8820"/>
        </w:tabs>
        <w:spacing w:after="0" w:line="480" w:lineRule="auto"/>
        <w:rPr>
          <w:rFonts w:ascii="Times New Roman" w:hAnsi="Times New Roman"/>
          <w:sz w:val="24"/>
          <w:szCs w:val="24"/>
        </w:rPr>
      </w:pPr>
      <w:r>
        <w:rPr>
          <w:rFonts w:ascii="Times New Roman" w:hAnsi="Times New Roman"/>
          <w:sz w:val="24"/>
          <w:szCs w:val="24"/>
        </w:rPr>
        <w:t>Analysis of Growth in Revenue</w:t>
      </w:r>
      <w:r>
        <w:rPr>
          <w:rFonts w:ascii="Times New Roman" w:hAnsi="Times New Roman"/>
          <w:sz w:val="24"/>
          <w:szCs w:val="24"/>
        </w:rPr>
        <w:tab/>
        <w:t>14</w:t>
      </w:r>
    </w:p>
    <w:p w14:paraId="201C333E" w14:textId="4C61ED19" w:rsidR="00EA7280" w:rsidRDefault="00EA7280" w:rsidP="00254411">
      <w:pPr>
        <w:pStyle w:val="ListParagraph"/>
        <w:numPr>
          <w:ilvl w:val="1"/>
          <w:numId w:val="3"/>
        </w:numPr>
        <w:tabs>
          <w:tab w:val="left" w:pos="-1440"/>
          <w:tab w:val="left" w:pos="720"/>
          <w:tab w:val="left" w:pos="1440"/>
          <w:tab w:val="left" w:pos="2160"/>
          <w:tab w:val="right" w:leader="dot" w:pos="8820"/>
        </w:tabs>
        <w:spacing w:after="0" w:line="480" w:lineRule="auto"/>
        <w:rPr>
          <w:rFonts w:ascii="Times New Roman" w:hAnsi="Times New Roman"/>
          <w:sz w:val="24"/>
          <w:szCs w:val="24"/>
        </w:rPr>
      </w:pPr>
      <w:r>
        <w:rPr>
          <w:rFonts w:ascii="Times New Roman" w:hAnsi="Times New Roman"/>
          <w:sz w:val="24"/>
          <w:szCs w:val="24"/>
        </w:rPr>
        <w:t xml:space="preserve">Analysis of Growth in Rate Base, Expenses and Other Non-Retail </w:t>
      </w:r>
      <w:r w:rsidR="00A543A3">
        <w:rPr>
          <w:rFonts w:ascii="Times New Roman" w:hAnsi="Times New Roman"/>
          <w:sz w:val="24"/>
          <w:szCs w:val="24"/>
        </w:rPr>
        <w:t xml:space="preserve">   </w:t>
      </w:r>
      <w:r>
        <w:rPr>
          <w:rFonts w:ascii="Times New Roman" w:hAnsi="Times New Roman"/>
          <w:sz w:val="24"/>
          <w:szCs w:val="24"/>
        </w:rPr>
        <w:t>Revenues</w:t>
      </w:r>
      <w:r w:rsidR="003351F8">
        <w:rPr>
          <w:rFonts w:ascii="Times New Roman" w:hAnsi="Times New Roman"/>
          <w:sz w:val="24"/>
          <w:szCs w:val="24"/>
        </w:rPr>
        <w:t xml:space="preserve"> </w:t>
      </w:r>
      <w:r w:rsidR="003351F8">
        <w:rPr>
          <w:rFonts w:ascii="Times New Roman" w:hAnsi="Times New Roman"/>
          <w:sz w:val="24"/>
          <w:szCs w:val="24"/>
        </w:rPr>
        <w:tab/>
        <w:t>16</w:t>
      </w:r>
    </w:p>
    <w:p w14:paraId="6D6CA07E" w14:textId="74E3A802" w:rsidR="00A543A3" w:rsidRDefault="00A543A3" w:rsidP="00254411">
      <w:pPr>
        <w:pStyle w:val="ListParagraph"/>
        <w:numPr>
          <w:ilvl w:val="1"/>
          <w:numId w:val="3"/>
        </w:numPr>
        <w:tabs>
          <w:tab w:val="left" w:pos="-1440"/>
          <w:tab w:val="left" w:pos="720"/>
          <w:tab w:val="left" w:pos="1440"/>
          <w:tab w:val="left" w:pos="2160"/>
          <w:tab w:val="right" w:leader="dot" w:pos="8820"/>
        </w:tabs>
        <w:spacing w:after="0" w:line="480" w:lineRule="auto"/>
        <w:rPr>
          <w:rFonts w:ascii="Times New Roman" w:hAnsi="Times New Roman"/>
          <w:sz w:val="24"/>
          <w:szCs w:val="24"/>
        </w:rPr>
      </w:pPr>
      <w:r>
        <w:rPr>
          <w:rFonts w:ascii="Times New Roman" w:hAnsi="Times New Roman"/>
          <w:sz w:val="24"/>
          <w:szCs w:val="24"/>
        </w:rPr>
        <w:t>Results – Electric Attrition Study</w:t>
      </w:r>
      <w:r>
        <w:rPr>
          <w:rFonts w:ascii="Times New Roman" w:hAnsi="Times New Roman"/>
          <w:sz w:val="24"/>
          <w:szCs w:val="24"/>
        </w:rPr>
        <w:tab/>
      </w:r>
      <w:r w:rsidR="0002587A">
        <w:rPr>
          <w:rFonts w:ascii="Times New Roman" w:hAnsi="Times New Roman"/>
          <w:sz w:val="24"/>
          <w:szCs w:val="24"/>
        </w:rPr>
        <w:t>21</w:t>
      </w:r>
    </w:p>
    <w:p w14:paraId="5F817410" w14:textId="283CB012" w:rsidR="00A543A3" w:rsidRDefault="00A543A3" w:rsidP="00254411">
      <w:pPr>
        <w:pStyle w:val="ListParagraph"/>
        <w:numPr>
          <w:ilvl w:val="1"/>
          <w:numId w:val="3"/>
        </w:numPr>
        <w:tabs>
          <w:tab w:val="left" w:pos="-1440"/>
          <w:tab w:val="left" w:pos="720"/>
          <w:tab w:val="left" w:pos="1440"/>
          <w:tab w:val="left" w:pos="2160"/>
          <w:tab w:val="right" w:leader="dot" w:pos="8820"/>
        </w:tabs>
        <w:spacing w:after="0" w:line="480" w:lineRule="auto"/>
        <w:rPr>
          <w:rFonts w:ascii="Times New Roman" w:hAnsi="Times New Roman"/>
          <w:sz w:val="24"/>
          <w:szCs w:val="24"/>
        </w:rPr>
      </w:pPr>
      <w:r>
        <w:rPr>
          <w:rFonts w:ascii="Times New Roman" w:hAnsi="Times New Roman"/>
          <w:sz w:val="24"/>
          <w:szCs w:val="24"/>
        </w:rPr>
        <w:t xml:space="preserve">Results </w:t>
      </w:r>
      <w:r w:rsidR="003B3222">
        <w:rPr>
          <w:rFonts w:ascii="Times New Roman" w:hAnsi="Times New Roman"/>
          <w:sz w:val="24"/>
          <w:szCs w:val="24"/>
        </w:rPr>
        <w:t>– Natural Gas Attrition Study</w:t>
      </w:r>
      <w:r w:rsidR="0002587A">
        <w:rPr>
          <w:rFonts w:ascii="Times New Roman" w:hAnsi="Times New Roman"/>
          <w:sz w:val="24"/>
          <w:szCs w:val="24"/>
        </w:rPr>
        <w:tab/>
        <w:t>22</w:t>
      </w:r>
    </w:p>
    <w:p w14:paraId="5D434AA7" w14:textId="492989FD" w:rsidR="00813287" w:rsidRPr="005C4DB4" w:rsidRDefault="0002587A" w:rsidP="00254411">
      <w:pPr>
        <w:pStyle w:val="ListParagraph"/>
        <w:numPr>
          <w:ilvl w:val="0"/>
          <w:numId w:val="3"/>
        </w:numPr>
        <w:tabs>
          <w:tab w:val="left" w:pos="-1440"/>
          <w:tab w:val="left" w:pos="720"/>
          <w:tab w:val="left" w:pos="1440"/>
          <w:tab w:val="left" w:pos="2160"/>
          <w:tab w:val="right" w:leader="dot" w:pos="8820"/>
        </w:tabs>
        <w:spacing w:after="0" w:line="480" w:lineRule="auto"/>
        <w:rPr>
          <w:rFonts w:ascii="Times New Roman" w:hAnsi="Times New Roman"/>
          <w:sz w:val="24"/>
          <w:szCs w:val="24"/>
        </w:rPr>
      </w:pPr>
      <w:r>
        <w:rPr>
          <w:rFonts w:ascii="Times New Roman" w:hAnsi="Times New Roman"/>
          <w:sz w:val="24"/>
          <w:szCs w:val="24"/>
        </w:rPr>
        <w:t>Company’s Attrition Analysis</w:t>
      </w:r>
      <w:r>
        <w:rPr>
          <w:rFonts w:ascii="Times New Roman" w:hAnsi="Times New Roman"/>
          <w:sz w:val="24"/>
          <w:szCs w:val="24"/>
        </w:rPr>
        <w:tab/>
        <w:t>24</w:t>
      </w:r>
    </w:p>
    <w:p w14:paraId="57CA286F" w14:textId="4B64B04E" w:rsidR="00BF7AFF" w:rsidRDefault="00B04667" w:rsidP="00254411">
      <w:pPr>
        <w:pStyle w:val="ListParagraph"/>
        <w:numPr>
          <w:ilvl w:val="0"/>
          <w:numId w:val="3"/>
        </w:numPr>
        <w:tabs>
          <w:tab w:val="left" w:pos="-1440"/>
          <w:tab w:val="left" w:pos="720"/>
          <w:tab w:val="left" w:pos="1440"/>
          <w:tab w:val="left" w:pos="2160"/>
          <w:tab w:val="right" w:leader="dot" w:pos="8820"/>
        </w:tabs>
        <w:spacing w:after="0" w:line="480" w:lineRule="auto"/>
        <w:rPr>
          <w:rFonts w:ascii="Times New Roman" w:hAnsi="Times New Roman"/>
          <w:sz w:val="24"/>
          <w:szCs w:val="24"/>
        </w:rPr>
      </w:pPr>
      <w:r>
        <w:rPr>
          <w:rFonts w:ascii="Times New Roman" w:hAnsi="Times New Roman"/>
          <w:sz w:val="24"/>
          <w:szCs w:val="24"/>
        </w:rPr>
        <w:t xml:space="preserve">Detailed </w:t>
      </w:r>
      <w:r w:rsidR="00BF7AFF">
        <w:rPr>
          <w:rFonts w:ascii="Times New Roman" w:hAnsi="Times New Roman"/>
          <w:sz w:val="24"/>
          <w:szCs w:val="24"/>
        </w:rPr>
        <w:t>Explan</w:t>
      </w:r>
      <w:r w:rsidR="0002587A">
        <w:rPr>
          <w:rFonts w:ascii="Times New Roman" w:hAnsi="Times New Roman"/>
          <w:sz w:val="24"/>
          <w:szCs w:val="24"/>
        </w:rPr>
        <w:t>ation of Exhibit No.__(CRM-2)</w:t>
      </w:r>
      <w:r w:rsidR="0002587A">
        <w:rPr>
          <w:rFonts w:ascii="Times New Roman" w:hAnsi="Times New Roman"/>
          <w:sz w:val="24"/>
          <w:szCs w:val="24"/>
        </w:rPr>
        <w:tab/>
        <w:t>33</w:t>
      </w:r>
    </w:p>
    <w:p w14:paraId="017E15C7" w14:textId="62A43DAE" w:rsidR="00945CB9" w:rsidRDefault="00B04667" w:rsidP="00254411">
      <w:pPr>
        <w:pStyle w:val="ListParagraph"/>
        <w:numPr>
          <w:ilvl w:val="0"/>
          <w:numId w:val="3"/>
        </w:numPr>
        <w:tabs>
          <w:tab w:val="left" w:pos="-1440"/>
          <w:tab w:val="left" w:pos="720"/>
          <w:tab w:val="left" w:pos="1440"/>
          <w:tab w:val="left" w:pos="2160"/>
          <w:tab w:val="right" w:leader="dot" w:pos="8820"/>
        </w:tabs>
        <w:spacing w:after="0" w:line="480" w:lineRule="auto"/>
        <w:rPr>
          <w:rFonts w:ascii="Times New Roman" w:hAnsi="Times New Roman"/>
          <w:sz w:val="24"/>
          <w:szCs w:val="24"/>
        </w:rPr>
      </w:pPr>
      <w:r>
        <w:rPr>
          <w:rFonts w:ascii="Times New Roman" w:hAnsi="Times New Roman"/>
          <w:sz w:val="24"/>
          <w:szCs w:val="24"/>
        </w:rPr>
        <w:t xml:space="preserve">Detailed </w:t>
      </w:r>
      <w:r w:rsidR="00945CB9">
        <w:rPr>
          <w:rFonts w:ascii="Times New Roman" w:hAnsi="Times New Roman"/>
          <w:sz w:val="24"/>
          <w:szCs w:val="24"/>
        </w:rPr>
        <w:t>Explanation of Exhibit No.__(CRM-</w:t>
      </w:r>
      <w:r w:rsidR="0002587A">
        <w:rPr>
          <w:rFonts w:ascii="Times New Roman" w:hAnsi="Times New Roman"/>
          <w:sz w:val="24"/>
          <w:szCs w:val="24"/>
        </w:rPr>
        <w:t>3)</w:t>
      </w:r>
      <w:r w:rsidR="0002587A">
        <w:rPr>
          <w:rFonts w:ascii="Times New Roman" w:hAnsi="Times New Roman"/>
          <w:sz w:val="24"/>
          <w:szCs w:val="24"/>
        </w:rPr>
        <w:tab/>
        <w:t>40</w:t>
      </w:r>
    </w:p>
    <w:p w14:paraId="32D20829" w14:textId="77777777" w:rsidR="00DC0D12" w:rsidRDefault="00DC0D12" w:rsidP="00DC0D12">
      <w:pPr>
        <w:tabs>
          <w:tab w:val="left" w:pos="-1440"/>
          <w:tab w:val="left" w:pos="720"/>
          <w:tab w:val="left" w:pos="1440"/>
          <w:tab w:val="left" w:pos="2160"/>
          <w:tab w:val="right" w:leader="dot" w:pos="8820"/>
        </w:tabs>
        <w:spacing w:after="0" w:line="240" w:lineRule="auto"/>
        <w:ind w:left="720" w:hanging="720"/>
        <w:rPr>
          <w:rFonts w:ascii="Times New Roman" w:hAnsi="Times New Roman"/>
          <w:sz w:val="24"/>
          <w:szCs w:val="24"/>
        </w:rPr>
      </w:pPr>
    </w:p>
    <w:p w14:paraId="3E8FCB89" w14:textId="24CA9AED" w:rsidR="00DC0D12" w:rsidRDefault="00DC0D12" w:rsidP="00DC0D12">
      <w:pPr>
        <w:tabs>
          <w:tab w:val="left" w:pos="-1440"/>
          <w:tab w:val="left" w:pos="720"/>
          <w:tab w:val="left" w:pos="1440"/>
          <w:tab w:val="left" w:pos="2160"/>
          <w:tab w:val="right" w:leader="dot" w:pos="8820"/>
        </w:tabs>
        <w:spacing w:after="0" w:line="240" w:lineRule="auto"/>
        <w:ind w:left="720" w:hanging="720"/>
        <w:rPr>
          <w:rFonts w:ascii="Times New Roman" w:hAnsi="Times New Roman"/>
          <w:sz w:val="24"/>
          <w:szCs w:val="24"/>
        </w:rPr>
      </w:pPr>
      <w:r>
        <w:rPr>
          <w:rFonts w:ascii="Times New Roman" w:hAnsi="Times New Roman"/>
          <w:sz w:val="24"/>
          <w:szCs w:val="24"/>
        </w:rPr>
        <w:t>V.</w:t>
      </w:r>
      <w:r w:rsidR="005C4DB4">
        <w:rPr>
          <w:rFonts w:ascii="Times New Roman" w:hAnsi="Times New Roman"/>
          <w:sz w:val="24"/>
          <w:szCs w:val="24"/>
        </w:rPr>
        <w:tab/>
        <w:t>REC REVENUES TRACKING MECHANISM</w:t>
      </w:r>
      <w:r w:rsidR="00BF7AFF">
        <w:rPr>
          <w:rFonts w:ascii="Times New Roman" w:hAnsi="Times New Roman"/>
          <w:sz w:val="24"/>
          <w:szCs w:val="24"/>
        </w:rPr>
        <w:tab/>
      </w:r>
      <w:r w:rsidR="0002587A">
        <w:rPr>
          <w:rFonts w:ascii="Times New Roman" w:hAnsi="Times New Roman"/>
          <w:sz w:val="24"/>
          <w:szCs w:val="24"/>
        </w:rPr>
        <w:t>47</w:t>
      </w:r>
    </w:p>
    <w:p w14:paraId="2D801AEA" w14:textId="77777777" w:rsidR="00DC0D12" w:rsidRDefault="00DC0D12" w:rsidP="00DC0D12">
      <w:pPr>
        <w:tabs>
          <w:tab w:val="left" w:pos="-1440"/>
          <w:tab w:val="left" w:pos="720"/>
          <w:tab w:val="left" w:pos="1440"/>
          <w:tab w:val="left" w:pos="2160"/>
          <w:tab w:val="right" w:leader="dot" w:pos="8820"/>
        </w:tabs>
        <w:spacing w:after="0" w:line="240" w:lineRule="auto"/>
        <w:ind w:left="720" w:hanging="720"/>
        <w:rPr>
          <w:rFonts w:ascii="Times New Roman" w:hAnsi="Times New Roman"/>
          <w:sz w:val="24"/>
          <w:szCs w:val="24"/>
        </w:rPr>
      </w:pPr>
    </w:p>
    <w:p w14:paraId="26955C2D" w14:textId="77777777" w:rsidR="00DC0D12" w:rsidRDefault="00DC0D12" w:rsidP="00DC0D12">
      <w:pPr>
        <w:tabs>
          <w:tab w:val="left" w:pos="-1440"/>
          <w:tab w:val="left" w:pos="720"/>
          <w:tab w:val="left" w:pos="1440"/>
          <w:tab w:val="left" w:pos="2160"/>
          <w:tab w:val="right" w:leader="dot" w:pos="8820"/>
        </w:tabs>
        <w:spacing w:after="0" w:line="240" w:lineRule="auto"/>
        <w:ind w:left="720" w:hanging="720"/>
        <w:rPr>
          <w:rFonts w:ascii="Times New Roman" w:hAnsi="Times New Roman"/>
          <w:sz w:val="24"/>
          <w:szCs w:val="24"/>
        </w:rPr>
      </w:pPr>
    </w:p>
    <w:p w14:paraId="5CCDC203" w14:textId="3DF48B37" w:rsidR="00DC0D12" w:rsidRDefault="00254411" w:rsidP="00DC0D12">
      <w:pPr>
        <w:tabs>
          <w:tab w:val="left" w:pos="-1440"/>
          <w:tab w:val="left" w:pos="720"/>
          <w:tab w:val="left" w:pos="1440"/>
          <w:tab w:val="left" w:pos="2160"/>
          <w:tab w:val="right" w:leader="dot" w:pos="9360"/>
        </w:tabs>
        <w:spacing w:after="0" w:line="240" w:lineRule="auto"/>
        <w:jc w:val="center"/>
        <w:rPr>
          <w:rFonts w:ascii="Times New Roman" w:hAnsi="Times New Roman"/>
          <w:sz w:val="24"/>
          <w:szCs w:val="24"/>
        </w:rPr>
      </w:pPr>
      <w:r>
        <w:rPr>
          <w:rFonts w:ascii="Times New Roman" w:hAnsi="Times New Roman"/>
          <w:b/>
          <w:sz w:val="24"/>
          <w:szCs w:val="24"/>
        </w:rPr>
        <w:t>LIST OF EXHIBITS</w:t>
      </w:r>
    </w:p>
    <w:p w14:paraId="5C98D889" w14:textId="77777777" w:rsidR="00DC0D12" w:rsidRDefault="00DC0D12" w:rsidP="00254411">
      <w:pPr>
        <w:tabs>
          <w:tab w:val="left" w:pos="-1440"/>
          <w:tab w:val="left" w:pos="720"/>
          <w:tab w:val="left" w:pos="1440"/>
          <w:tab w:val="left" w:pos="2160"/>
          <w:tab w:val="right" w:leader="dot" w:pos="9360"/>
        </w:tabs>
        <w:spacing w:after="0" w:line="240" w:lineRule="auto"/>
        <w:ind w:left="720"/>
        <w:rPr>
          <w:rFonts w:ascii="Times New Roman" w:hAnsi="Times New Roman"/>
          <w:sz w:val="24"/>
          <w:szCs w:val="24"/>
        </w:rPr>
      </w:pPr>
    </w:p>
    <w:p w14:paraId="20DBA80D" w14:textId="49119C99" w:rsidR="00DC0D12" w:rsidRDefault="00DC0D12" w:rsidP="00254411">
      <w:pPr>
        <w:tabs>
          <w:tab w:val="left" w:pos="-1440"/>
          <w:tab w:val="left" w:pos="720"/>
          <w:tab w:val="left" w:pos="1440"/>
          <w:tab w:val="left" w:pos="2160"/>
          <w:tab w:val="right" w:leader="dot" w:pos="9360"/>
        </w:tabs>
        <w:spacing w:after="0" w:line="240" w:lineRule="auto"/>
        <w:ind w:left="720"/>
        <w:rPr>
          <w:rFonts w:ascii="Times New Roman" w:hAnsi="Times New Roman"/>
          <w:sz w:val="24"/>
          <w:szCs w:val="24"/>
        </w:rPr>
      </w:pPr>
      <w:r>
        <w:rPr>
          <w:rFonts w:ascii="Times New Roman" w:hAnsi="Times New Roman"/>
          <w:sz w:val="24"/>
          <w:szCs w:val="24"/>
        </w:rPr>
        <w:t xml:space="preserve">Exhibit No. </w:t>
      </w:r>
      <w:r w:rsidR="005C4DB4">
        <w:rPr>
          <w:rFonts w:ascii="Times New Roman" w:hAnsi="Times New Roman"/>
          <w:sz w:val="24"/>
          <w:szCs w:val="24"/>
        </w:rPr>
        <w:t>__</w:t>
      </w:r>
      <w:r w:rsidR="00DB1280">
        <w:rPr>
          <w:rFonts w:ascii="Times New Roman" w:hAnsi="Times New Roman"/>
          <w:sz w:val="24"/>
          <w:szCs w:val="24"/>
        </w:rPr>
        <w:t>_</w:t>
      </w:r>
      <w:r w:rsidR="005C4DB4">
        <w:rPr>
          <w:rFonts w:ascii="Times New Roman" w:hAnsi="Times New Roman"/>
          <w:sz w:val="24"/>
          <w:szCs w:val="24"/>
        </w:rPr>
        <w:t xml:space="preserve"> </w:t>
      </w:r>
      <w:r w:rsidR="00684EB0">
        <w:rPr>
          <w:rFonts w:ascii="Times New Roman" w:hAnsi="Times New Roman"/>
          <w:sz w:val="24"/>
          <w:szCs w:val="24"/>
        </w:rPr>
        <w:t>(CRM-2)</w:t>
      </w:r>
      <w:r w:rsidR="00254411">
        <w:rPr>
          <w:rFonts w:ascii="Times New Roman" w:hAnsi="Times New Roman"/>
          <w:sz w:val="24"/>
          <w:szCs w:val="24"/>
        </w:rPr>
        <w:t xml:space="preserve">, </w:t>
      </w:r>
      <w:r w:rsidR="009173F2">
        <w:rPr>
          <w:rFonts w:ascii="Times New Roman" w:hAnsi="Times New Roman"/>
          <w:sz w:val="24"/>
          <w:szCs w:val="24"/>
        </w:rPr>
        <w:t>Electric Attrition Analysis</w:t>
      </w:r>
    </w:p>
    <w:p w14:paraId="25CAADE7" w14:textId="02C62659" w:rsidR="005C4DB4" w:rsidRDefault="005C4DB4" w:rsidP="00254411">
      <w:pPr>
        <w:tabs>
          <w:tab w:val="left" w:pos="-1440"/>
          <w:tab w:val="left" w:pos="720"/>
          <w:tab w:val="left" w:pos="1440"/>
          <w:tab w:val="left" w:pos="2160"/>
          <w:tab w:val="right" w:leader="dot" w:pos="9360"/>
        </w:tabs>
        <w:spacing w:after="0" w:line="240" w:lineRule="auto"/>
        <w:ind w:left="720"/>
        <w:rPr>
          <w:rFonts w:ascii="Times New Roman" w:hAnsi="Times New Roman"/>
          <w:sz w:val="24"/>
          <w:szCs w:val="24"/>
        </w:rPr>
      </w:pPr>
      <w:r>
        <w:rPr>
          <w:rFonts w:ascii="Times New Roman" w:hAnsi="Times New Roman"/>
          <w:sz w:val="24"/>
          <w:szCs w:val="24"/>
        </w:rPr>
        <w:t>Exhibit No. __</w:t>
      </w:r>
      <w:r w:rsidR="00DB1280">
        <w:rPr>
          <w:rFonts w:ascii="Times New Roman" w:hAnsi="Times New Roman"/>
          <w:sz w:val="24"/>
          <w:szCs w:val="24"/>
        </w:rPr>
        <w:t>_</w:t>
      </w:r>
      <w:r>
        <w:rPr>
          <w:rFonts w:ascii="Times New Roman" w:hAnsi="Times New Roman"/>
          <w:sz w:val="24"/>
          <w:szCs w:val="24"/>
        </w:rPr>
        <w:t xml:space="preserve"> (CRM-3)</w:t>
      </w:r>
      <w:r w:rsidR="00254411">
        <w:rPr>
          <w:rFonts w:ascii="Times New Roman" w:hAnsi="Times New Roman"/>
          <w:sz w:val="24"/>
          <w:szCs w:val="24"/>
        </w:rPr>
        <w:t>,</w:t>
      </w:r>
      <w:r w:rsidR="009173F2">
        <w:rPr>
          <w:rFonts w:ascii="Times New Roman" w:hAnsi="Times New Roman"/>
          <w:sz w:val="24"/>
          <w:szCs w:val="24"/>
        </w:rPr>
        <w:t xml:space="preserve"> Natural Gas Attrition Analysis</w:t>
      </w:r>
    </w:p>
    <w:p w14:paraId="242CE51C" w14:textId="1201FFB5" w:rsidR="009E53C6" w:rsidRDefault="009E53C6" w:rsidP="00254411">
      <w:pPr>
        <w:tabs>
          <w:tab w:val="left" w:pos="-1440"/>
          <w:tab w:val="left" w:pos="720"/>
          <w:tab w:val="left" w:pos="1440"/>
          <w:tab w:val="left" w:pos="2160"/>
          <w:tab w:val="right" w:leader="dot" w:pos="9360"/>
        </w:tabs>
        <w:spacing w:after="0" w:line="240" w:lineRule="auto"/>
        <w:ind w:left="720"/>
        <w:rPr>
          <w:rFonts w:ascii="Times New Roman" w:hAnsi="Times New Roman"/>
          <w:sz w:val="24"/>
          <w:szCs w:val="24"/>
        </w:rPr>
      </w:pPr>
      <w:r>
        <w:rPr>
          <w:rFonts w:ascii="Times New Roman" w:hAnsi="Times New Roman"/>
          <w:sz w:val="24"/>
          <w:szCs w:val="24"/>
        </w:rPr>
        <w:t>Exhibit No. __</w:t>
      </w:r>
      <w:r w:rsidR="00DB1280">
        <w:rPr>
          <w:rFonts w:ascii="Times New Roman" w:hAnsi="Times New Roman"/>
          <w:sz w:val="24"/>
          <w:szCs w:val="24"/>
        </w:rPr>
        <w:t>_</w:t>
      </w:r>
      <w:r>
        <w:rPr>
          <w:rFonts w:ascii="Times New Roman" w:hAnsi="Times New Roman"/>
          <w:sz w:val="24"/>
          <w:szCs w:val="24"/>
        </w:rPr>
        <w:t xml:space="preserve"> (CRM-4)</w:t>
      </w:r>
      <w:r w:rsidR="00254411">
        <w:rPr>
          <w:rFonts w:ascii="Times New Roman" w:hAnsi="Times New Roman"/>
          <w:sz w:val="24"/>
          <w:szCs w:val="24"/>
        </w:rPr>
        <w:t>,</w:t>
      </w:r>
      <w:r w:rsidR="009173F2">
        <w:rPr>
          <w:rFonts w:ascii="Times New Roman" w:hAnsi="Times New Roman"/>
          <w:sz w:val="24"/>
          <w:szCs w:val="24"/>
        </w:rPr>
        <w:t xml:space="preserve"> REC Revenues Rebate</w:t>
      </w:r>
    </w:p>
    <w:p w14:paraId="6B7E2CB7" w14:textId="77777777" w:rsidR="00DC0D12" w:rsidRPr="004E0128" w:rsidRDefault="00DC0D12" w:rsidP="00DC0D12">
      <w:pPr>
        <w:tabs>
          <w:tab w:val="left" w:pos="-1440"/>
          <w:tab w:val="left" w:pos="720"/>
          <w:tab w:val="left" w:pos="1440"/>
          <w:tab w:val="left" w:pos="2160"/>
          <w:tab w:val="right" w:leader="dot" w:pos="9360"/>
        </w:tabs>
        <w:spacing w:after="0" w:line="240" w:lineRule="auto"/>
        <w:rPr>
          <w:rFonts w:ascii="Times New Roman" w:hAnsi="Times New Roman"/>
          <w:sz w:val="24"/>
          <w:szCs w:val="24"/>
        </w:rPr>
      </w:pPr>
    </w:p>
    <w:p w14:paraId="6286525A" w14:textId="77777777" w:rsidR="00DC0D12" w:rsidRDefault="00DC0D12" w:rsidP="00DC0D12">
      <w:pPr>
        <w:tabs>
          <w:tab w:val="left" w:pos="-1440"/>
          <w:tab w:val="left" w:pos="720"/>
          <w:tab w:val="left" w:pos="1440"/>
          <w:tab w:val="left" w:pos="2160"/>
          <w:tab w:val="right" w:leader="dot" w:pos="9360"/>
        </w:tabs>
        <w:spacing w:after="0" w:line="240" w:lineRule="auto"/>
        <w:ind w:left="720" w:hanging="720"/>
        <w:rPr>
          <w:rFonts w:ascii="Times New Roman" w:hAnsi="Times New Roman"/>
          <w:sz w:val="24"/>
          <w:szCs w:val="24"/>
        </w:rPr>
      </w:pPr>
    </w:p>
    <w:p w14:paraId="561239DC" w14:textId="77777777" w:rsidR="00DC0D12" w:rsidRDefault="00DC0D12" w:rsidP="00DC0D12">
      <w:pPr>
        <w:keepNext/>
        <w:keepLines/>
        <w:tabs>
          <w:tab w:val="left" w:pos="-1440"/>
          <w:tab w:val="left" w:pos="720"/>
          <w:tab w:val="left" w:pos="1440"/>
          <w:tab w:val="left" w:pos="2160"/>
          <w:tab w:val="right" w:leader="dot" w:pos="9360"/>
        </w:tabs>
        <w:spacing w:after="0" w:line="240" w:lineRule="auto"/>
        <w:ind w:left="720" w:hanging="720"/>
        <w:rPr>
          <w:rFonts w:ascii="Times New Roman" w:hAnsi="Times New Roman"/>
          <w:sz w:val="24"/>
          <w:szCs w:val="24"/>
        </w:rPr>
        <w:sectPr w:rsidR="00DC0D12" w:rsidSect="00AE559F">
          <w:footerReference w:type="default" r:id="rId11"/>
          <w:pgSz w:w="12240" w:h="15840"/>
          <w:pgMar w:top="1440" w:right="1440" w:bottom="720" w:left="1872" w:header="720" w:footer="720" w:gutter="0"/>
          <w:pgNumType w:fmt="lowerRoman" w:start="1"/>
          <w:cols w:space="720"/>
          <w:docGrid w:linePitch="360"/>
        </w:sectPr>
      </w:pPr>
    </w:p>
    <w:p w14:paraId="14428DBB" w14:textId="4C3162FF" w:rsidR="00DC0D12" w:rsidRPr="00245FEE" w:rsidRDefault="00DC0D12" w:rsidP="00844D95">
      <w:pPr>
        <w:pStyle w:val="Heading2"/>
        <w:numPr>
          <w:ilvl w:val="0"/>
          <w:numId w:val="17"/>
        </w:numPr>
      </w:pPr>
      <w:r w:rsidRPr="00245FEE">
        <w:lastRenderedPageBreak/>
        <w:t>INTRODUCTION</w:t>
      </w:r>
    </w:p>
    <w:p w14:paraId="58440C7C" w14:textId="77777777" w:rsidR="00DC0D12" w:rsidRPr="00245FEE" w:rsidRDefault="00DC0D12" w:rsidP="00DC0D12">
      <w:pPr>
        <w:spacing w:after="0" w:line="480" w:lineRule="auto"/>
        <w:rPr>
          <w:rFonts w:ascii="Times New Roman" w:hAnsi="Times New Roman"/>
          <w:sz w:val="24"/>
          <w:szCs w:val="24"/>
        </w:rPr>
      </w:pPr>
    </w:p>
    <w:p w14:paraId="459FCAD0" w14:textId="77777777" w:rsidR="00DC0D12" w:rsidRPr="00F80F6D" w:rsidRDefault="00DC0D12" w:rsidP="00DC0D12">
      <w:pPr>
        <w:spacing w:line="480" w:lineRule="auto"/>
        <w:rPr>
          <w:rFonts w:ascii="Times New Roman" w:hAnsi="Times New Roman"/>
          <w:sz w:val="24"/>
          <w:szCs w:val="24"/>
        </w:rPr>
      </w:pPr>
      <w:r w:rsidRPr="00F80F6D">
        <w:rPr>
          <w:rFonts w:ascii="Times New Roman" w:hAnsi="Times New Roman"/>
          <w:b/>
          <w:sz w:val="24"/>
          <w:szCs w:val="24"/>
        </w:rPr>
        <w:t>Q.</w:t>
      </w:r>
      <w:r w:rsidRPr="00F80F6D">
        <w:rPr>
          <w:rFonts w:ascii="Times New Roman" w:hAnsi="Times New Roman"/>
          <w:b/>
          <w:sz w:val="24"/>
          <w:szCs w:val="24"/>
        </w:rPr>
        <w:tab/>
        <w:t xml:space="preserve">Please state your name and business address.  </w:t>
      </w:r>
    </w:p>
    <w:p w14:paraId="1E345845" w14:textId="77777777" w:rsidR="00DC0D12" w:rsidRPr="00F80F6D" w:rsidRDefault="00DC0D12" w:rsidP="00DC0D12">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My name is Chris</w:t>
      </w:r>
      <w:r w:rsidRPr="00F80F6D">
        <w:rPr>
          <w:rFonts w:ascii="Times New Roman" w:hAnsi="Times New Roman"/>
          <w:sz w:val="24"/>
          <w:szCs w:val="24"/>
        </w:rPr>
        <w:t xml:space="preserve"> R. McGuire.  My business address is The Richard Hemstad Building, 1300 S. Evergreen Park Drive S.W., Olympia, WA 98504.  </w:t>
      </w:r>
    </w:p>
    <w:p w14:paraId="592B0636" w14:textId="77777777" w:rsidR="00DC0D12" w:rsidRPr="00F80F6D" w:rsidRDefault="00DC0D12" w:rsidP="00DC0D12">
      <w:pPr>
        <w:spacing w:after="0" w:line="480" w:lineRule="auto"/>
        <w:ind w:left="720" w:hanging="720"/>
        <w:rPr>
          <w:rFonts w:ascii="Times New Roman" w:hAnsi="Times New Roman"/>
          <w:sz w:val="24"/>
          <w:szCs w:val="24"/>
        </w:rPr>
      </w:pPr>
    </w:p>
    <w:p w14:paraId="629A39D4" w14:textId="77777777" w:rsidR="00DC0D12" w:rsidRPr="00F80F6D" w:rsidRDefault="00DC0D12" w:rsidP="00DC0D12">
      <w:pPr>
        <w:spacing w:after="0" w:line="480" w:lineRule="auto"/>
        <w:ind w:left="720" w:hanging="720"/>
        <w:rPr>
          <w:rFonts w:ascii="Times New Roman" w:hAnsi="Times New Roman"/>
          <w:sz w:val="24"/>
          <w:szCs w:val="24"/>
        </w:rPr>
      </w:pPr>
      <w:r w:rsidRPr="00F80F6D">
        <w:rPr>
          <w:rFonts w:ascii="Times New Roman" w:hAnsi="Times New Roman"/>
          <w:b/>
          <w:sz w:val="24"/>
          <w:szCs w:val="24"/>
        </w:rPr>
        <w:t>Q.</w:t>
      </w:r>
      <w:r w:rsidRPr="00F80F6D">
        <w:rPr>
          <w:rFonts w:ascii="Times New Roman" w:hAnsi="Times New Roman"/>
          <w:b/>
          <w:sz w:val="24"/>
          <w:szCs w:val="24"/>
        </w:rPr>
        <w:tab/>
        <w:t xml:space="preserve">By whom are you employed and in what capacity?  </w:t>
      </w:r>
    </w:p>
    <w:p w14:paraId="51A96FA7" w14:textId="77777777" w:rsidR="00DC0D12" w:rsidRPr="00F80F6D" w:rsidRDefault="00DC0D12" w:rsidP="00DC0D12">
      <w:pPr>
        <w:spacing w:after="0" w:line="480" w:lineRule="auto"/>
        <w:ind w:left="720" w:hanging="720"/>
        <w:rPr>
          <w:rFonts w:ascii="Times New Roman" w:hAnsi="Times New Roman"/>
          <w:sz w:val="24"/>
          <w:szCs w:val="24"/>
        </w:rPr>
      </w:pPr>
      <w:r w:rsidRPr="00F80F6D">
        <w:rPr>
          <w:rFonts w:ascii="Times New Roman" w:hAnsi="Times New Roman"/>
          <w:sz w:val="24"/>
          <w:szCs w:val="24"/>
        </w:rPr>
        <w:t>A.</w:t>
      </w:r>
      <w:r w:rsidRPr="00F80F6D">
        <w:rPr>
          <w:rFonts w:ascii="Times New Roman" w:hAnsi="Times New Roman"/>
          <w:sz w:val="24"/>
          <w:szCs w:val="24"/>
        </w:rPr>
        <w:tab/>
        <w:t>I am employed by the Washington Utilities and Transportation Commission (“Commission”) as a Regulatory Analyst</w:t>
      </w:r>
      <w:r>
        <w:rPr>
          <w:rFonts w:ascii="Times New Roman" w:hAnsi="Times New Roman"/>
          <w:sz w:val="24"/>
          <w:szCs w:val="24"/>
        </w:rPr>
        <w:t xml:space="preserve"> in the Conservation and Energy Planning Section of the Regulatory Services Division</w:t>
      </w:r>
      <w:r w:rsidRPr="00F80F6D">
        <w:rPr>
          <w:rFonts w:ascii="Times New Roman" w:hAnsi="Times New Roman"/>
          <w:sz w:val="24"/>
          <w:szCs w:val="24"/>
        </w:rPr>
        <w:t xml:space="preserve">.  </w:t>
      </w:r>
    </w:p>
    <w:p w14:paraId="6C2D3A40" w14:textId="77777777" w:rsidR="00DC0D12" w:rsidRPr="00F80F6D" w:rsidRDefault="00DC0D12" w:rsidP="00DC0D12">
      <w:pPr>
        <w:spacing w:after="0" w:line="480" w:lineRule="auto"/>
        <w:ind w:left="720" w:hanging="720"/>
        <w:rPr>
          <w:rFonts w:ascii="Times New Roman" w:hAnsi="Times New Roman"/>
          <w:sz w:val="24"/>
          <w:szCs w:val="24"/>
        </w:rPr>
      </w:pPr>
    </w:p>
    <w:p w14:paraId="1E208843" w14:textId="77777777" w:rsidR="00DC0D12" w:rsidRPr="00F80F6D" w:rsidRDefault="00DC0D12" w:rsidP="00DC0D12">
      <w:pPr>
        <w:spacing w:after="0" w:line="480" w:lineRule="auto"/>
        <w:ind w:left="720" w:hanging="720"/>
        <w:rPr>
          <w:rFonts w:ascii="Times New Roman" w:hAnsi="Times New Roman"/>
          <w:sz w:val="24"/>
          <w:szCs w:val="24"/>
        </w:rPr>
      </w:pPr>
      <w:r w:rsidRPr="00F80F6D">
        <w:rPr>
          <w:rFonts w:ascii="Times New Roman" w:hAnsi="Times New Roman"/>
          <w:b/>
          <w:sz w:val="24"/>
          <w:szCs w:val="24"/>
        </w:rPr>
        <w:t>Q.</w:t>
      </w:r>
      <w:r w:rsidRPr="00F80F6D">
        <w:rPr>
          <w:rFonts w:ascii="Times New Roman" w:hAnsi="Times New Roman"/>
          <w:b/>
          <w:sz w:val="24"/>
          <w:szCs w:val="24"/>
        </w:rPr>
        <w:tab/>
        <w:t xml:space="preserve">How long have you been employed by the Commission?  </w:t>
      </w:r>
      <w:r w:rsidRPr="00F80F6D">
        <w:rPr>
          <w:rFonts w:ascii="Times New Roman" w:hAnsi="Times New Roman"/>
          <w:sz w:val="24"/>
          <w:szCs w:val="24"/>
        </w:rPr>
        <w:t xml:space="preserve"> </w:t>
      </w:r>
    </w:p>
    <w:p w14:paraId="6118321A" w14:textId="77777777" w:rsidR="00DC0D12" w:rsidRPr="00F80F6D" w:rsidRDefault="00DC0D12" w:rsidP="00DC0D12">
      <w:pPr>
        <w:spacing w:after="0" w:line="480" w:lineRule="auto"/>
        <w:ind w:left="720" w:hanging="720"/>
        <w:rPr>
          <w:rFonts w:ascii="Times New Roman" w:hAnsi="Times New Roman"/>
          <w:sz w:val="24"/>
          <w:szCs w:val="24"/>
        </w:rPr>
      </w:pPr>
      <w:r w:rsidRPr="00F80F6D">
        <w:rPr>
          <w:rFonts w:ascii="Times New Roman" w:hAnsi="Times New Roman"/>
          <w:sz w:val="24"/>
          <w:szCs w:val="24"/>
        </w:rPr>
        <w:t>A.</w:t>
      </w:r>
      <w:r w:rsidRPr="00F80F6D">
        <w:rPr>
          <w:rFonts w:ascii="Times New Roman" w:hAnsi="Times New Roman"/>
          <w:sz w:val="24"/>
          <w:szCs w:val="24"/>
        </w:rPr>
        <w:tab/>
        <w:t>I have been employed by the Commission since May 2012.</w:t>
      </w:r>
    </w:p>
    <w:p w14:paraId="7846FF63" w14:textId="77777777" w:rsidR="00DC0D12" w:rsidRPr="00F80F6D" w:rsidRDefault="00DC0D12" w:rsidP="00DC0D12">
      <w:pPr>
        <w:spacing w:after="0" w:line="480" w:lineRule="auto"/>
        <w:ind w:left="720" w:hanging="720"/>
        <w:rPr>
          <w:rFonts w:ascii="Times New Roman" w:hAnsi="Times New Roman"/>
          <w:sz w:val="24"/>
          <w:szCs w:val="24"/>
        </w:rPr>
      </w:pPr>
    </w:p>
    <w:p w14:paraId="56C0610A" w14:textId="77777777" w:rsidR="00DC0D12" w:rsidRPr="00F80F6D" w:rsidRDefault="00DC0D12" w:rsidP="00DC0D12">
      <w:pPr>
        <w:spacing w:after="0" w:line="480" w:lineRule="auto"/>
        <w:ind w:left="720" w:hanging="720"/>
        <w:rPr>
          <w:rFonts w:ascii="Times New Roman" w:hAnsi="Times New Roman"/>
          <w:sz w:val="24"/>
          <w:szCs w:val="24"/>
        </w:rPr>
      </w:pPr>
      <w:r w:rsidRPr="00F80F6D">
        <w:rPr>
          <w:rFonts w:ascii="Times New Roman" w:hAnsi="Times New Roman"/>
          <w:b/>
          <w:sz w:val="24"/>
          <w:szCs w:val="24"/>
        </w:rPr>
        <w:t>Q</w:t>
      </w:r>
      <w:r>
        <w:rPr>
          <w:rFonts w:ascii="Times New Roman" w:hAnsi="Times New Roman"/>
          <w:b/>
          <w:sz w:val="24"/>
          <w:szCs w:val="24"/>
        </w:rPr>
        <w:t>.</w:t>
      </w:r>
      <w:r w:rsidRPr="00F80F6D">
        <w:rPr>
          <w:rFonts w:ascii="Times New Roman" w:hAnsi="Times New Roman"/>
          <w:b/>
          <w:sz w:val="24"/>
          <w:szCs w:val="24"/>
        </w:rPr>
        <w:t xml:space="preserve"> </w:t>
      </w:r>
      <w:r w:rsidRPr="00F80F6D">
        <w:rPr>
          <w:rFonts w:ascii="Times New Roman" w:hAnsi="Times New Roman"/>
          <w:b/>
          <w:sz w:val="24"/>
          <w:szCs w:val="24"/>
        </w:rPr>
        <w:tab/>
        <w:t xml:space="preserve">Would you please state your educational and professional background?  </w:t>
      </w:r>
    </w:p>
    <w:p w14:paraId="2D57A203" w14:textId="77777777" w:rsidR="00DC0D12" w:rsidRPr="00F80F6D" w:rsidRDefault="00DC0D12" w:rsidP="00DC0D12">
      <w:pPr>
        <w:spacing w:after="0" w:line="480" w:lineRule="auto"/>
        <w:ind w:left="720" w:hanging="720"/>
        <w:rPr>
          <w:rFonts w:ascii="Times New Roman" w:hAnsi="Times New Roman"/>
          <w:sz w:val="24"/>
          <w:szCs w:val="24"/>
        </w:rPr>
      </w:pPr>
      <w:r w:rsidRPr="00F80F6D">
        <w:rPr>
          <w:rFonts w:ascii="Times New Roman" w:hAnsi="Times New Roman"/>
          <w:sz w:val="24"/>
          <w:szCs w:val="24"/>
        </w:rPr>
        <w:t>A.</w:t>
      </w:r>
      <w:r w:rsidRPr="00F80F6D">
        <w:rPr>
          <w:rFonts w:ascii="Times New Roman" w:hAnsi="Times New Roman"/>
          <w:sz w:val="24"/>
          <w:szCs w:val="24"/>
        </w:rPr>
        <w:tab/>
        <w:t xml:space="preserve">I graduated from the University of Washington in 2002 with a Bachelor of Science </w:t>
      </w:r>
      <w:r>
        <w:rPr>
          <w:rFonts w:ascii="Times New Roman" w:hAnsi="Times New Roman"/>
          <w:sz w:val="24"/>
          <w:szCs w:val="24"/>
        </w:rPr>
        <w:t xml:space="preserve">degree </w:t>
      </w:r>
      <w:r w:rsidRPr="00F80F6D">
        <w:rPr>
          <w:rFonts w:ascii="Times New Roman" w:hAnsi="Times New Roman"/>
          <w:sz w:val="24"/>
          <w:szCs w:val="24"/>
        </w:rPr>
        <w:t xml:space="preserve">in Cell and Molecular Biology.  I graduated from the University of Colorado in 2010 with </w:t>
      </w:r>
      <w:r>
        <w:rPr>
          <w:rFonts w:ascii="Times New Roman" w:hAnsi="Times New Roman"/>
          <w:sz w:val="24"/>
          <w:szCs w:val="24"/>
        </w:rPr>
        <w:t>Master’s degrees in Business Administration and</w:t>
      </w:r>
      <w:r w:rsidRPr="00F80F6D">
        <w:rPr>
          <w:rFonts w:ascii="Times New Roman" w:hAnsi="Times New Roman"/>
          <w:sz w:val="24"/>
          <w:szCs w:val="24"/>
        </w:rPr>
        <w:t xml:space="preserve"> Environmental Studies.  Prior to my employment with the Commission, I held various</w:t>
      </w:r>
      <w:r>
        <w:rPr>
          <w:rFonts w:ascii="Times New Roman" w:hAnsi="Times New Roman"/>
          <w:sz w:val="24"/>
          <w:szCs w:val="24"/>
        </w:rPr>
        <w:t xml:space="preserve"> research</w:t>
      </w:r>
      <w:r w:rsidRPr="00F80F6D">
        <w:rPr>
          <w:rFonts w:ascii="Times New Roman" w:hAnsi="Times New Roman"/>
          <w:sz w:val="24"/>
          <w:szCs w:val="24"/>
        </w:rPr>
        <w:t xml:space="preserve"> </w:t>
      </w:r>
      <w:r w:rsidR="0060185A">
        <w:rPr>
          <w:rFonts w:ascii="Times New Roman" w:hAnsi="Times New Roman"/>
          <w:sz w:val="24"/>
          <w:szCs w:val="24"/>
        </w:rPr>
        <w:t>and analysis</w:t>
      </w:r>
      <w:r>
        <w:rPr>
          <w:rFonts w:ascii="Times New Roman" w:hAnsi="Times New Roman"/>
          <w:sz w:val="24"/>
          <w:szCs w:val="24"/>
        </w:rPr>
        <w:t xml:space="preserve"> </w:t>
      </w:r>
      <w:r w:rsidRPr="00F80F6D">
        <w:rPr>
          <w:rFonts w:ascii="Times New Roman" w:hAnsi="Times New Roman"/>
          <w:sz w:val="24"/>
          <w:szCs w:val="24"/>
        </w:rPr>
        <w:t xml:space="preserve">positions at the University of Washington, the University of Colorado and the National Renewable Energy Laboratory’s </w:t>
      </w:r>
      <w:r w:rsidR="00102530">
        <w:rPr>
          <w:rFonts w:ascii="Times New Roman" w:hAnsi="Times New Roman"/>
          <w:sz w:val="24"/>
          <w:szCs w:val="24"/>
        </w:rPr>
        <w:t>Strategic Energy Analysis Center</w:t>
      </w:r>
      <w:r>
        <w:rPr>
          <w:rFonts w:ascii="Times New Roman" w:hAnsi="Times New Roman"/>
          <w:sz w:val="24"/>
          <w:szCs w:val="24"/>
        </w:rPr>
        <w:t xml:space="preserve">. </w:t>
      </w:r>
    </w:p>
    <w:p w14:paraId="15EF1DB7" w14:textId="77777777" w:rsidR="00DC0D12" w:rsidRPr="00F80F6D" w:rsidRDefault="00DC0D12" w:rsidP="00DC0D12">
      <w:pPr>
        <w:spacing w:after="0" w:line="480" w:lineRule="auto"/>
        <w:rPr>
          <w:rFonts w:ascii="Times New Roman" w:hAnsi="Times New Roman"/>
          <w:sz w:val="24"/>
          <w:szCs w:val="24"/>
        </w:rPr>
      </w:pPr>
    </w:p>
    <w:p w14:paraId="1153BA0B" w14:textId="77777777" w:rsidR="00DC0D12" w:rsidRPr="00F80F6D" w:rsidRDefault="00DC0D12" w:rsidP="00254411">
      <w:pPr>
        <w:keepNext/>
        <w:spacing w:after="0" w:line="480" w:lineRule="auto"/>
        <w:ind w:left="720" w:hanging="720"/>
        <w:rPr>
          <w:rFonts w:ascii="Times New Roman" w:hAnsi="Times New Roman"/>
          <w:b/>
          <w:sz w:val="24"/>
          <w:szCs w:val="24"/>
        </w:rPr>
      </w:pPr>
      <w:r w:rsidRPr="00F80F6D">
        <w:rPr>
          <w:rFonts w:ascii="Times New Roman" w:hAnsi="Times New Roman"/>
          <w:b/>
          <w:sz w:val="24"/>
          <w:szCs w:val="24"/>
        </w:rPr>
        <w:lastRenderedPageBreak/>
        <w:t>Q.</w:t>
      </w:r>
      <w:r w:rsidRPr="00F80F6D">
        <w:rPr>
          <w:rFonts w:ascii="Times New Roman" w:hAnsi="Times New Roman"/>
          <w:b/>
          <w:sz w:val="24"/>
          <w:szCs w:val="24"/>
        </w:rPr>
        <w:tab/>
        <w:t>What are your responsibilities at the Commission?</w:t>
      </w:r>
    </w:p>
    <w:p w14:paraId="5414F330" w14:textId="77777777" w:rsidR="00DC0D12" w:rsidRPr="00F80F6D" w:rsidRDefault="00DC0D12" w:rsidP="00DC0D12">
      <w:pPr>
        <w:spacing w:after="0" w:line="480" w:lineRule="auto"/>
        <w:ind w:left="720" w:hanging="720"/>
        <w:rPr>
          <w:rFonts w:ascii="Times New Roman" w:hAnsi="Times New Roman"/>
          <w:sz w:val="24"/>
          <w:szCs w:val="24"/>
        </w:rPr>
      </w:pPr>
      <w:r w:rsidRPr="00F80F6D">
        <w:rPr>
          <w:rFonts w:ascii="Times New Roman" w:hAnsi="Times New Roman"/>
          <w:sz w:val="24"/>
          <w:szCs w:val="24"/>
        </w:rPr>
        <w:t>A.</w:t>
      </w:r>
      <w:r w:rsidRPr="00F80F6D">
        <w:rPr>
          <w:rFonts w:ascii="Times New Roman" w:hAnsi="Times New Roman"/>
          <w:sz w:val="24"/>
          <w:szCs w:val="24"/>
        </w:rPr>
        <w:tab/>
        <w:t>My responsibilities at the Commissi</w:t>
      </w:r>
      <w:r>
        <w:rPr>
          <w:rFonts w:ascii="Times New Roman" w:hAnsi="Times New Roman"/>
          <w:sz w:val="24"/>
          <w:szCs w:val="24"/>
        </w:rPr>
        <w:t>on involve</w:t>
      </w:r>
      <w:r w:rsidRPr="00F80F6D">
        <w:rPr>
          <w:rFonts w:ascii="Times New Roman" w:hAnsi="Times New Roman"/>
          <w:sz w:val="24"/>
          <w:szCs w:val="24"/>
        </w:rPr>
        <w:t xml:space="preserve"> analysis</w:t>
      </w:r>
      <w:r>
        <w:rPr>
          <w:rFonts w:ascii="Times New Roman" w:hAnsi="Times New Roman"/>
          <w:sz w:val="24"/>
          <w:szCs w:val="24"/>
        </w:rPr>
        <w:t xml:space="preserve"> of</w:t>
      </w:r>
      <w:r w:rsidRPr="00F80F6D">
        <w:rPr>
          <w:rFonts w:ascii="Times New Roman" w:hAnsi="Times New Roman"/>
          <w:sz w:val="24"/>
          <w:szCs w:val="24"/>
        </w:rPr>
        <w:t xml:space="preserve"> </w:t>
      </w:r>
      <w:r>
        <w:rPr>
          <w:rFonts w:ascii="Times New Roman" w:hAnsi="Times New Roman"/>
          <w:sz w:val="24"/>
          <w:szCs w:val="24"/>
        </w:rPr>
        <w:t>resource acquisition prudence and ratemaking policy, integrated resource planning, energy conservation program development and implementation, and compliance with the conservation and renewable portfolio standards of RCW 19.</w:t>
      </w:r>
      <w:r w:rsidR="00543265">
        <w:rPr>
          <w:rFonts w:ascii="Times New Roman" w:hAnsi="Times New Roman"/>
          <w:sz w:val="24"/>
          <w:szCs w:val="24"/>
        </w:rPr>
        <w:t xml:space="preserve">285, the Energy Independence Act. </w:t>
      </w:r>
      <w:r>
        <w:rPr>
          <w:rFonts w:ascii="Times New Roman" w:hAnsi="Times New Roman"/>
          <w:sz w:val="24"/>
          <w:szCs w:val="24"/>
        </w:rPr>
        <w:t xml:space="preserve"> </w:t>
      </w:r>
    </w:p>
    <w:p w14:paraId="42C2654F" w14:textId="77777777" w:rsidR="00DC0D12" w:rsidRPr="00F80F6D" w:rsidRDefault="00DC0D12" w:rsidP="00DC0D12">
      <w:pPr>
        <w:spacing w:after="0" w:line="480" w:lineRule="auto"/>
        <w:ind w:left="720" w:hanging="720"/>
        <w:rPr>
          <w:rFonts w:ascii="Times New Roman" w:hAnsi="Times New Roman"/>
          <w:sz w:val="24"/>
          <w:szCs w:val="24"/>
        </w:rPr>
      </w:pPr>
    </w:p>
    <w:p w14:paraId="36B55E9E" w14:textId="77777777" w:rsidR="00DC0D12" w:rsidRPr="00F80F6D" w:rsidRDefault="00DC0D12" w:rsidP="00DC0D12">
      <w:pPr>
        <w:spacing w:after="0" w:line="480" w:lineRule="auto"/>
        <w:ind w:left="720" w:hanging="720"/>
        <w:rPr>
          <w:rFonts w:ascii="Times New Roman" w:hAnsi="Times New Roman"/>
          <w:b/>
          <w:sz w:val="24"/>
          <w:szCs w:val="24"/>
        </w:rPr>
      </w:pPr>
      <w:r w:rsidRPr="00F80F6D">
        <w:rPr>
          <w:rFonts w:ascii="Times New Roman" w:hAnsi="Times New Roman"/>
          <w:b/>
          <w:sz w:val="24"/>
          <w:szCs w:val="24"/>
        </w:rPr>
        <w:t>Q.</w:t>
      </w:r>
      <w:r w:rsidRPr="00F80F6D">
        <w:rPr>
          <w:rFonts w:ascii="Times New Roman" w:hAnsi="Times New Roman"/>
          <w:b/>
          <w:sz w:val="24"/>
          <w:szCs w:val="24"/>
        </w:rPr>
        <w:tab/>
        <w:t>Have you previously testified before the Commission?</w:t>
      </w:r>
    </w:p>
    <w:p w14:paraId="66FBA1D9" w14:textId="366D6CFD" w:rsidR="00DC0D12" w:rsidRDefault="00095844" w:rsidP="00DC0D12">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BC07AF" w:rsidRPr="00BC07AF">
        <w:rPr>
          <w:rFonts w:ascii="Times New Roman" w:hAnsi="Times New Roman"/>
          <w:sz w:val="24"/>
          <w:szCs w:val="24"/>
        </w:rPr>
        <w:t>Yes.</w:t>
      </w:r>
      <w:r w:rsidR="00DC0D12">
        <w:rPr>
          <w:rFonts w:ascii="Times New Roman" w:hAnsi="Times New Roman"/>
          <w:sz w:val="24"/>
          <w:szCs w:val="24"/>
        </w:rPr>
        <w:t xml:space="preserve"> </w:t>
      </w:r>
      <w:r w:rsidR="00BC07AF">
        <w:rPr>
          <w:rFonts w:ascii="Times New Roman" w:hAnsi="Times New Roman"/>
          <w:sz w:val="24"/>
          <w:szCs w:val="24"/>
        </w:rPr>
        <w:t xml:space="preserve">I testified as the </w:t>
      </w:r>
      <w:r w:rsidR="00EC6FDB">
        <w:rPr>
          <w:rFonts w:ascii="Times New Roman" w:hAnsi="Times New Roman"/>
          <w:sz w:val="24"/>
          <w:szCs w:val="24"/>
        </w:rPr>
        <w:t>Staff</w:t>
      </w:r>
      <w:r w:rsidR="004F738E">
        <w:rPr>
          <w:rFonts w:ascii="Times New Roman" w:hAnsi="Times New Roman"/>
          <w:sz w:val="24"/>
          <w:szCs w:val="24"/>
        </w:rPr>
        <w:t xml:space="preserve"> witness for pro forma capital</w:t>
      </w:r>
      <w:r w:rsidR="002504DC">
        <w:rPr>
          <w:rFonts w:ascii="Times New Roman" w:hAnsi="Times New Roman"/>
          <w:sz w:val="24"/>
          <w:szCs w:val="24"/>
        </w:rPr>
        <w:t xml:space="preserve"> additions </w:t>
      </w:r>
      <w:r w:rsidR="00EC6FDB">
        <w:rPr>
          <w:rFonts w:ascii="Times New Roman" w:hAnsi="Times New Roman"/>
          <w:sz w:val="24"/>
          <w:szCs w:val="24"/>
        </w:rPr>
        <w:t xml:space="preserve">policy </w:t>
      </w:r>
      <w:r w:rsidR="002504DC">
        <w:rPr>
          <w:rFonts w:ascii="Times New Roman" w:hAnsi="Times New Roman"/>
          <w:sz w:val="24"/>
          <w:szCs w:val="24"/>
        </w:rPr>
        <w:t>in</w:t>
      </w:r>
      <w:r w:rsidR="00BC07AF">
        <w:rPr>
          <w:rFonts w:ascii="Times New Roman" w:hAnsi="Times New Roman"/>
          <w:sz w:val="24"/>
          <w:szCs w:val="24"/>
        </w:rPr>
        <w:t xml:space="preserve"> PacifiCorp’s 2013 general rate case</w:t>
      </w:r>
      <w:r w:rsidR="00896D73">
        <w:rPr>
          <w:rFonts w:ascii="Times New Roman" w:hAnsi="Times New Roman"/>
          <w:sz w:val="24"/>
          <w:szCs w:val="24"/>
        </w:rPr>
        <w:t xml:space="preserve">, Docket </w:t>
      </w:r>
      <w:r w:rsidR="00BC07AF">
        <w:rPr>
          <w:rFonts w:ascii="Times New Roman" w:hAnsi="Times New Roman"/>
          <w:sz w:val="24"/>
          <w:szCs w:val="24"/>
        </w:rPr>
        <w:t>UE-130043.</w:t>
      </w:r>
    </w:p>
    <w:p w14:paraId="5E7CE27D" w14:textId="77777777" w:rsidR="00DC0D12" w:rsidRPr="00245FEE" w:rsidRDefault="00DC0D12" w:rsidP="00DC0D12">
      <w:pPr>
        <w:tabs>
          <w:tab w:val="left" w:pos="-1440"/>
        </w:tabs>
        <w:spacing w:after="0" w:line="480" w:lineRule="auto"/>
        <w:rPr>
          <w:rFonts w:ascii="Times New Roman" w:hAnsi="Times New Roman"/>
          <w:sz w:val="24"/>
          <w:szCs w:val="24"/>
        </w:rPr>
      </w:pPr>
    </w:p>
    <w:p w14:paraId="7809BB62" w14:textId="55B5658F" w:rsidR="00DC0D12" w:rsidRPr="00E61491" w:rsidRDefault="00DC0D12" w:rsidP="00E61491">
      <w:pPr>
        <w:pStyle w:val="Heading2"/>
      </w:pPr>
      <w:r w:rsidRPr="00E61491">
        <w:t>II.</w:t>
      </w:r>
      <w:r w:rsidRPr="00E61491">
        <w:tab/>
        <w:t>SCOPE OF TESTIMONY</w:t>
      </w:r>
      <w:r w:rsidR="00742317">
        <w:rPr>
          <w:lang w:val="en-US"/>
        </w:rPr>
        <w:t xml:space="preserve"> AND</w:t>
      </w:r>
      <w:r w:rsidR="0042170E">
        <w:rPr>
          <w:lang w:val="en-US"/>
        </w:rPr>
        <w:t xml:space="preserve"> INTRODUCTION OF STAFF WITNESSES</w:t>
      </w:r>
      <w:r w:rsidRPr="00E61491">
        <w:t xml:space="preserve"> </w:t>
      </w:r>
    </w:p>
    <w:p w14:paraId="2866A6F9" w14:textId="77777777" w:rsidR="00DC0D12" w:rsidRPr="00245FEE" w:rsidRDefault="00DC0D12" w:rsidP="00DC0D12">
      <w:pPr>
        <w:keepNext/>
        <w:tabs>
          <w:tab w:val="left" w:pos="-1440"/>
        </w:tabs>
        <w:spacing w:after="0" w:line="480" w:lineRule="auto"/>
        <w:ind w:left="720" w:hanging="720"/>
        <w:rPr>
          <w:rFonts w:ascii="Times New Roman" w:hAnsi="Times New Roman"/>
          <w:sz w:val="24"/>
          <w:szCs w:val="24"/>
        </w:rPr>
      </w:pPr>
    </w:p>
    <w:p w14:paraId="0520686A" w14:textId="77777777" w:rsidR="00DC0D12" w:rsidRPr="00245FEE" w:rsidRDefault="00DC0D12" w:rsidP="00DC0D12">
      <w:pPr>
        <w:tabs>
          <w:tab w:val="left" w:pos="-1440"/>
        </w:tabs>
        <w:spacing w:after="0" w:line="480" w:lineRule="auto"/>
        <w:ind w:left="720" w:hanging="720"/>
        <w:rPr>
          <w:rFonts w:ascii="Times New Roman" w:hAnsi="Times New Roman"/>
          <w:b/>
          <w:sz w:val="24"/>
          <w:szCs w:val="24"/>
        </w:rPr>
      </w:pPr>
      <w:r w:rsidRPr="00245FEE">
        <w:rPr>
          <w:rFonts w:ascii="Times New Roman" w:hAnsi="Times New Roman"/>
          <w:b/>
          <w:sz w:val="24"/>
          <w:szCs w:val="24"/>
        </w:rPr>
        <w:t>Q.</w:t>
      </w:r>
      <w:r w:rsidRPr="00245FEE">
        <w:rPr>
          <w:rFonts w:ascii="Times New Roman" w:hAnsi="Times New Roman"/>
          <w:b/>
          <w:sz w:val="24"/>
          <w:szCs w:val="24"/>
        </w:rPr>
        <w:tab/>
        <w:t xml:space="preserve">Please </w:t>
      </w:r>
      <w:r>
        <w:rPr>
          <w:rFonts w:ascii="Times New Roman" w:hAnsi="Times New Roman"/>
          <w:b/>
          <w:sz w:val="24"/>
          <w:szCs w:val="24"/>
        </w:rPr>
        <w:t>explain</w:t>
      </w:r>
      <w:r w:rsidRPr="00245FEE">
        <w:rPr>
          <w:rFonts w:ascii="Times New Roman" w:hAnsi="Times New Roman"/>
          <w:b/>
          <w:sz w:val="24"/>
          <w:szCs w:val="24"/>
        </w:rPr>
        <w:t xml:space="preserve"> the </w:t>
      </w:r>
      <w:r>
        <w:rPr>
          <w:rFonts w:ascii="Times New Roman" w:hAnsi="Times New Roman"/>
          <w:b/>
          <w:sz w:val="24"/>
          <w:szCs w:val="24"/>
        </w:rPr>
        <w:t>purpose</w:t>
      </w:r>
      <w:r w:rsidRPr="00245FEE">
        <w:rPr>
          <w:rFonts w:ascii="Times New Roman" w:hAnsi="Times New Roman"/>
          <w:b/>
          <w:sz w:val="24"/>
          <w:szCs w:val="24"/>
        </w:rPr>
        <w:t xml:space="preserve"> of your testimony.</w:t>
      </w:r>
    </w:p>
    <w:p w14:paraId="60A5A5B1" w14:textId="0FEE26C6" w:rsidR="00CC4292" w:rsidRDefault="00CC4292" w:rsidP="00CC4292">
      <w:pPr>
        <w:pStyle w:val="Answer-Testimony"/>
      </w:pPr>
      <w:r w:rsidRPr="00F27E5A">
        <w:t>A.</w:t>
      </w:r>
      <w:r w:rsidRPr="00F27E5A">
        <w:tab/>
      </w:r>
      <w:r>
        <w:t xml:space="preserve">The primary purpose of my testimony is to provide an overview of Staff’s direct case in response to Avista’s rate filings for gas and electric service in these dockets.  I am responsible for Staff’s attrition analysis as well </w:t>
      </w:r>
      <w:r w:rsidR="00F50621">
        <w:t>as</w:t>
      </w:r>
      <w:r>
        <w:t xml:space="preserve"> presenting the overall rate year revenue requirement.  I make recommendations regarding:  (1) the calculation of a proper attrition adjustment; and (2) the </w:t>
      </w:r>
      <w:r w:rsidR="00744467">
        <w:t xml:space="preserve">rebate and </w:t>
      </w:r>
      <w:r>
        <w:t>tracking mechanism</w:t>
      </w:r>
      <w:r w:rsidR="00B5226A">
        <w:t xml:space="preserve"> for renewable energy credits (RECs)</w:t>
      </w:r>
      <w:r>
        <w:t>.</w:t>
      </w:r>
    </w:p>
    <w:p w14:paraId="4DD2508A" w14:textId="3E522C0F" w:rsidR="00CC4292" w:rsidRDefault="00CC4292" w:rsidP="00CC4292">
      <w:pPr>
        <w:pStyle w:val="Answer-Testimony"/>
        <w:ind w:firstLine="720"/>
      </w:pPr>
      <w:r>
        <w:t xml:space="preserve">I also introduce the remaining witnesses that provide testimony in this proceeding on behalf of Commission Staff and briefly summarize </w:t>
      </w:r>
      <w:r w:rsidR="00B5226A">
        <w:t>their issue areas</w:t>
      </w:r>
      <w:r>
        <w:t>.</w:t>
      </w:r>
    </w:p>
    <w:p w14:paraId="7A0FCD08" w14:textId="1C6D8D5E" w:rsidR="00A05B94" w:rsidRPr="007E50F7" w:rsidRDefault="00A05B94" w:rsidP="00A05B94">
      <w:pPr>
        <w:pStyle w:val="Answer-Testimony"/>
        <w:ind w:firstLine="720"/>
      </w:pPr>
      <w:r w:rsidRPr="007E50F7">
        <w:lastRenderedPageBreak/>
        <w:t>I respond to the Company</w:t>
      </w:r>
      <w:r>
        <w:t xml:space="preserve">’s attrition analyses sponsored by </w:t>
      </w:r>
      <w:r w:rsidR="00B5226A">
        <w:t xml:space="preserve">Company witness </w:t>
      </w:r>
      <w:r>
        <w:t xml:space="preserve">Ms. Andrews and the REC revenues tracking and rebate mechanism sponsored by </w:t>
      </w:r>
      <w:r w:rsidR="00B5226A">
        <w:t xml:space="preserve">Company witness </w:t>
      </w:r>
      <w:r>
        <w:t xml:space="preserve">Mr. Johnson. </w:t>
      </w:r>
    </w:p>
    <w:p w14:paraId="3F876BBA" w14:textId="77777777" w:rsidR="00DC0D12" w:rsidRDefault="00DC0D12" w:rsidP="00DC0D12">
      <w:pPr>
        <w:tabs>
          <w:tab w:val="left" w:pos="-1440"/>
        </w:tabs>
        <w:spacing w:after="0" w:line="480" w:lineRule="auto"/>
        <w:ind w:left="720" w:hanging="720"/>
        <w:rPr>
          <w:rFonts w:ascii="Times New Roman" w:hAnsi="Times New Roman"/>
          <w:b/>
          <w:sz w:val="24"/>
          <w:szCs w:val="24"/>
        </w:rPr>
      </w:pPr>
    </w:p>
    <w:p w14:paraId="0E0D9BEC" w14:textId="77777777" w:rsidR="00CC4292" w:rsidRDefault="00CC4292" w:rsidP="00CC4292">
      <w:pPr>
        <w:pStyle w:val="Question-Testimony"/>
      </w:pPr>
      <w:r>
        <w:t>Q.</w:t>
      </w:r>
      <w:r>
        <w:tab/>
        <w:t>Please introduce the other Staff witnesses testifying in this proceeding and the subjects of their testimony.</w:t>
      </w:r>
    </w:p>
    <w:p w14:paraId="3B235F50" w14:textId="77777777" w:rsidR="00CC4292" w:rsidRDefault="00CC4292" w:rsidP="00CC4292">
      <w:pPr>
        <w:pStyle w:val="Answer-Testimony"/>
      </w:pPr>
      <w:r>
        <w:t>A.</w:t>
      </w:r>
      <w:r>
        <w:tab/>
      </w:r>
      <w:r w:rsidRPr="009671A3">
        <w:t>The following witnesses present testimony and exhibits for Staff</w:t>
      </w:r>
      <w:r>
        <w:t>:</w:t>
      </w:r>
    </w:p>
    <w:p w14:paraId="5DB4293F" w14:textId="097EE727" w:rsidR="00B150D5" w:rsidRDefault="00B150D5" w:rsidP="00B150D5">
      <w:pPr>
        <w:pStyle w:val="Answer-Testimony"/>
        <w:numPr>
          <w:ilvl w:val="0"/>
          <w:numId w:val="7"/>
        </w:numPr>
      </w:pPr>
      <w:r>
        <w:t>Mr. Thomas E. Schooley serves as Staff’s general policy witness and presents Staff’s decoupling proposal.</w:t>
      </w:r>
    </w:p>
    <w:p w14:paraId="54E40A14" w14:textId="77777777" w:rsidR="00B150D5" w:rsidRDefault="00B150D5" w:rsidP="00B150D5">
      <w:pPr>
        <w:pStyle w:val="Answer-Testimony"/>
        <w:numPr>
          <w:ilvl w:val="0"/>
          <w:numId w:val="7"/>
        </w:numPr>
      </w:pPr>
      <w:r>
        <w:t xml:space="preserve">Mr. Kenneth L. Elgin presents Staff’s recommendation on a fair rate of return, including adjustments to cost of capital to account for Staff’s full decoupling proposal. </w:t>
      </w:r>
    </w:p>
    <w:p w14:paraId="34E96652" w14:textId="77777777" w:rsidR="00B150D5" w:rsidRDefault="00B150D5" w:rsidP="00B150D5">
      <w:pPr>
        <w:pStyle w:val="Answer-Testimony"/>
        <w:numPr>
          <w:ilvl w:val="0"/>
          <w:numId w:val="7"/>
        </w:numPr>
      </w:pPr>
      <w:r>
        <w:t>Mr. Christopher T. Mickelson</w:t>
      </w:r>
      <w:r w:rsidRPr="00F539BD">
        <w:t xml:space="preserve"> </w:t>
      </w:r>
      <w:r w:rsidRPr="00750FB2">
        <w:t>present</w:t>
      </w:r>
      <w:r>
        <w:t>s</w:t>
      </w:r>
      <w:r w:rsidRPr="00750FB2">
        <w:t xml:space="preserve"> Staff’s recommendations for</w:t>
      </w:r>
      <w:r>
        <w:t xml:space="preserve"> cost of service studies and </w:t>
      </w:r>
      <w:r w:rsidRPr="00750FB2">
        <w:t xml:space="preserve">allocating </w:t>
      </w:r>
      <w:r>
        <w:t>Staff’s recommended revenue requirement to Avista’s rate schedules for both electric and natural gas service.  He also presents Staff’s recommended rate spread and rate design.</w:t>
      </w:r>
    </w:p>
    <w:p w14:paraId="570C4AD7" w14:textId="1D6DA3E9" w:rsidR="00CC4292" w:rsidRDefault="00111684" w:rsidP="00CC4292">
      <w:pPr>
        <w:pStyle w:val="Answer-Testimony"/>
        <w:numPr>
          <w:ilvl w:val="0"/>
          <w:numId w:val="7"/>
        </w:numPr>
      </w:pPr>
      <w:r>
        <w:t xml:space="preserve">Mr. </w:t>
      </w:r>
      <w:r w:rsidR="00B04667">
        <w:t xml:space="preserve">Jason </w:t>
      </w:r>
      <w:r w:rsidR="004D1E4C">
        <w:t xml:space="preserve">L. </w:t>
      </w:r>
      <w:r w:rsidR="00B04667">
        <w:t>Ball</w:t>
      </w:r>
      <w:r w:rsidR="00742317">
        <w:t xml:space="preserve"> presents Staff’s recommendations on pro forma net power supply expense, the Energy Recovery Mechanism, and load forecasting. </w:t>
      </w:r>
    </w:p>
    <w:p w14:paraId="6AA382AB" w14:textId="42E4E863" w:rsidR="001538EE" w:rsidRPr="00B04667" w:rsidRDefault="001538EE" w:rsidP="001538EE">
      <w:pPr>
        <w:pStyle w:val="Answer-Testimony"/>
        <w:numPr>
          <w:ilvl w:val="0"/>
          <w:numId w:val="7"/>
        </w:numPr>
      </w:pPr>
      <w:r>
        <w:t>Ms. Joanna Huang presents the electric and natural gas results of operations for the Commission Basis Report ending December 31, 2013.</w:t>
      </w:r>
    </w:p>
    <w:p w14:paraId="184F1DBB" w14:textId="17848980" w:rsidR="00B04667" w:rsidRDefault="00111684" w:rsidP="00CC4292">
      <w:pPr>
        <w:pStyle w:val="Answer-Testimony"/>
        <w:numPr>
          <w:ilvl w:val="0"/>
          <w:numId w:val="7"/>
        </w:numPr>
      </w:pPr>
      <w:r>
        <w:t xml:space="preserve">Mr. </w:t>
      </w:r>
      <w:r w:rsidR="009671A3">
        <w:t xml:space="preserve">David C. </w:t>
      </w:r>
      <w:r w:rsidR="00B04667">
        <w:t>Gomez</w:t>
      </w:r>
      <w:r w:rsidR="009671A3">
        <w:t xml:space="preserve"> presents Staff’s analysis of the Company’s prospective capital budget and pro forma rate base used to inform the pro-forma </w:t>
      </w:r>
      <w:r w:rsidR="00B5226A">
        <w:t>“</w:t>
      </w:r>
      <w:r w:rsidR="009671A3">
        <w:t>cross</w:t>
      </w:r>
      <w:r w:rsidR="00B5226A">
        <w:t>–</w:t>
      </w:r>
      <w:r w:rsidR="009671A3">
        <w:t>checks</w:t>
      </w:r>
      <w:r w:rsidR="00B5226A">
        <w:t>”</w:t>
      </w:r>
      <w:r w:rsidR="009671A3">
        <w:t xml:space="preserve"> to the Company’s attrition analyses. </w:t>
      </w:r>
    </w:p>
    <w:p w14:paraId="2D91550B" w14:textId="77777777" w:rsidR="001538EE" w:rsidRDefault="001538EE" w:rsidP="001538EE">
      <w:pPr>
        <w:pStyle w:val="Answer-Testimony"/>
        <w:numPr>
          <w:ilvl w:val="0"/>
          <w:numId w:val="7"/>
        </w:numPr>
      </w:pPr>
      <w:r>
        <w:lastRenderedPageBreak/>
        <w:t>Ms. Betty A. Erdahl presents Staff’s working capital adjustments for electric and natural gas service.</w:t>
      </w:r>
    </w:p>
    <w:p w14:paraId="67A0B9D3" w14:textId="599CC4D3" w:rsidR="00B04667" w:rsidRDefault="00111684" w:rsidP="00CC4292">
      <w:pPr>
        <w:pStyle w:val="Answer-Testimony"/>
        <w:numPr>
          <w:ilvl w:val="0"/>
          <w:numId w:val="7"/>
        </w:numPr>
      </w:pPr>
      <w:r>
        <w:t xml:space="preserve">Ms. </w:t>
      </w:r>
      <w:r w:rsidR="00B04667">
        <w:t xml:space="preserve">Juliana </w:t>
      </w:r>
      <w:r w:rsidR="00BC5C98">
        <w:t xml:space="preserve">M. </w:t>
      </w:r>
      <w:r w:rsidR="00B04667">
        <w:t>Williams</w:t>
      </w:r>
      <w:r w:rsidR="00BC5C98">
        <w:t xml:space="preserve"> addresses </w:t>
      </w:r>
      <w:r w:rsidR="00B5226A">
        <w:t xml:space="preserve">low income </w:t>
      </w:r>
      <w:r w:rsidR="00BC5C98">
        <w:t>issues and presents Staff’s recommendation on Avista’s Low Income Rate Assistance Program.</w:t>
      </w:r>
    </w:p>
    <w:p w14:paraId="38D6378F" w14:textId="1DD8BC48" w:rsidR="00B150D5" w:rsidRPr="00F35E49" w:rsidRDefault="00B150D5" w:rsidP="00B150D5">
      <w:pPr>
        <w:pStyle w:val="Answer-Testimony"/>
        <w:numPr>
          <w:ilvl w:val="0"/>
          <w:numId w:val="7"/>
        </w:numPr>
      </w:pPr>
      <w:r>
        <w:t xml:space="preserve">Mr. Bradley </w:t>
      </w:r>
      <w:r w:rsidR="001538EE">
        <w:t xml:space="preserve">T. </w:t>
      </w:r>
      <w:r>
        <w:t>Cebulko presents Staff’s recommendation for a Service Quality and Reliability program.</w:t>
      </w:r>
    </w:p>
    <w:p w14:paraId="10A325EA" w14:textId="77777777" w:rsidR="0042170E" w:rsidRDefault="0042170E" w:rsidP="00DC0D12">
      <w:pPr>
        <w:tabs>
          <w:tab w:val="left" w:pos="-1440"/>
        </w:tabs>
        <w:spacing w:after="0" w:line="480" w:lineRule="auto"/>
        <w:ind w:left="720" w:hanging="720"/>
        <w:rPr>
          <w:rFonts w:ascii="Times New Roman" w:hAnsi="Times New Roman"/>
          <w:b/>
          <w:sz w:val="24"/>
          <w:szCs w:val="24"/>
        </w:rPr>
      </w:pPr>
    </w:p>
    <w:p w14:paraId="493C8A19" w14:textId="77777777" w:rsidR="00DC0D12" w:rsidRDefault="00DC0D12" w:rsidP="00DC0D12">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Have you prepared any exhibits in support of your testimony?</w:t>
      </w:r>
    </w:p>
    <w:p w14:paraId="328ABE85" w14:textId="6F6CF1C2" w:rsidR="007F51DB" w:rsidRDefault="00DC0D12" w:rsidP="00DC0D12">
      <w:pPr>
        <w:spacing w:after="0" w:line="480" w:lineRule="auto"/>
        <w:ind w:left="720" w:hanging="720"/>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t>Yes.  I prepared Exhibit No.___ (C</w:t>
      </w:r>
      <w:r w:rsidR="007F51DB">
        <w:rPr>
          <w:rFonts w:ascii="Times New Roman" w:hAnsi="Times New Roman"/>
          <w:sz w:val="24"/>
          <w:szCs w:val="24"/>
        </w:rPr>
        <w:t>RM-2)</w:t>
      </w:r>
      <w:r w:rsidR="00284730">
        <w:rPr>
          <w:rFonts w:ascii="Times New Roman" w:hAnsi="Times New Roman"/>
          <w:sz w:val="24"/>
          <w:szCs w:val="24"/>
        </w:rPr>
        <w:t xml:space="preserve"> and Exhibit No.__</w:t>
      </w:r>
      <w:r w:rsidR="00CA125D">
        <w:rPr>
          <w:rFonts w:ascii="Times New Roman" w:hAnsi="Times New Roman"/>
          <w:sz w:val="24"/>
          <w:szCs w:val="24"/>
        </w:rPr>
        <w:t>_ (</w:t>
      </w:r>
      <w:r w:rsidR="00284730">
        <w:rPr>
          <w:rFonts w:ascii="Times New Roman" w:hAnsi="Times New Roman"/>
          <w:sz w:val="24"/>
          <w:szCs w:val="24"/>
        </w:rPr>
        <w:t>CRM-3).   These exhibit</w:t>
      </w:r>
      <w:r w:rsidR="00764522">
        <w:rPr>
          <w:rFonts w:ascii="Times New Roman" w:hAnsi="Times New Roman"/>
          <w:sz w:val="24"/>
          <w:szCs w:val="24"/>
        </w:rPr>
        <w:t>s</w:t>
      </w:r>
      <w:r w:rsidR="007F51DB">
        <w:rPr>
          <w:rFonts w:ascii="Times New Roman" w:hAnsi="Times New Roman"/>
          <w:sz w:val="24"/>
          <w:szCs w:val="24"/>
        </w:rPr>
        <w:t xml:space="preserve"> present</w:t>
      </w:r>
      <w:r w:rsidR="00284730">
        <w:rPr>
          <w:rFonts w:ascii="Times New Roman" w:hAnsi="Times New Roman"/>
          <w:sz w:val="24"/>
          <w:szCs w:val="24"/>
        </w:rPr>
        <w:t xml:space="preserve"> my analysis of </w:t>
      </w:r>
      <w:r w:rsidR="007F51DB">
        <w:rPr>
          <w:rFonts w:ascii="Times New Roman" w:hAnsi="Times New Roman"/>
          <w:sz w:val="24"/>
          <w:szCs w:val="24"/>
        </w:rPr>
        <w:t xml:space="preserve">attrition </w:t>
      </w:r>
      <w:r w:rsidR="00764522">
        <w:rPr>
          <w:rFonts w:ascii="Times New Roman" w:hAnsi="Times New Roman"/>
          <w:sz w:val="24"/>
          <w:szCs w:val="24"/>
        </w:rPr>
        <w:t>and revenue requirement</w:t>
      </w:r>
      <w:r w:rsidR="008E274B">
        <w:rPr>
          <w:rFonts w:ascii="Times New Roman" w:hAnsi="Times New Roman"/>
          <w:sz w:val="24"/>
          <w:szCs w:val="24"/>
        </w:rPr>
        <w:t>s</w:t>
      </w:r>
      <w:r w:rsidR="007F51DB">
        <w:rPr>
          <w:rFonts w:ascii="Times New Roman" w:hAnsi="Times New Roman"/>
          <w:sz w:val="24"/>
          <w:szCs w:val="24"/>
        </w:rPr>
        <w:t xml:space="preserve">, </w:t>
      </w:r>
      <w:r w:rsidR="00284730">
        <w:rPr>
          <w:rFonts w:ascii="Times New Roman" w:hAnsi="Times New Roman"/>
          <w:sz w:val="24"/>
          <w:szCs w:val="24"/>
        </w:rPr>
        <w:t>for electric and natural gas operations</w:t>
      </w:r>
      <w:r w:rsidR="00B5226A">
        <w:rPr>
          <w:rFonts w:ascii="Times New Roman" w:hAnsi="Times New Roman"/>
          <w:sz w:val="24"/>
          <w:szCs w:val="24"/>
        </w:rPr>
        <w:t>, respectively</w:t>
      </w:r>
      <w:r w:rsidR="00284730">
        <w:rPr>
          <w:rFonts w:ascii="Times New Roman" w:hAnsi="Times New Roman"/>
          <w:sz w:val="24"/>
          <w:szCs w:val="24"/>
        </w:rPr>
        <w:t>.</w:t>
      </w:r>
      <w:r w:rsidR="007F51DB">
        <w:rPr>
          <w:rFonts w:ascii="Times New Roman" w:hAnsi="Times New Roman"/>
          <w:sz w:val="24"/>
          <w:szCs w:val="24"/>
        </w:rPr>
        <w:t xml:space="preserve"> </w:t>
      </w:r>
      <w:r w:rsidR="008E274B">
        <w:rPr>
          <w:rFonts w:ascii="Times New Roman" w:hAnsi="Times New Roman"/>
          <w:sz w:val="24"/>
          <w:szCs w:val="24"/>
        </w:rPr>
        <w:t xml:space="preserve"> These exhibits use the same models Avista uses in its direct case.  My </w:t>
      </w:r>
      <w:r w:rsidR="007F51DB">
        <w:rPr>
          <w:rFonts w:ascii="Times New Roman" w:hAnsi="Times New Roman"/>
          <w:sz w:val="24"/>
          <w:szCs w:val="24"/>
        </w:rPr>
        <w:t xml:space="preserve">Exhibit Nos.___(CRM-2) and </w:t>
      </w:r>
      <w:r w:rsidR="00DE162B">
        <w:rPr>
          <w:rFonts w:ascii="Times New Roman" w:hAnsi="Times New Roman"/>
          <w:sz w:val="24"/>
          <w:szCs w:val="24"/>
        </w:rPr>
        <w:t>___(CRM-3) correspond</w:t>
      </w:r>
      <w:r w:rsidR="007F51DB">
        <w:rPr>
          <w:rFonts w:ascii="Times New Roman" w:hAnsi="Times New Roman"/>
          <w:sz w:val="24"/>
          <w:szCs w:val="24"/>
        </w:rPr>
        <w:t xml:space="preserve"> to Avista Exhibit Nos.___(EMA-2) </w:t>
      </w:r>
      <w:r w:rsidR="00677547">
        <w:rPr>
          <w:rFonts w:ascii="Times New Roman" w:hAnsi="Times New Roman"/>
          <w:sz w:val="24"/>
          <w:szCs w:val="24"/>
        </w:rPr>
        <w:t xml:space="preserve">and </w:t>
      </w:r>
      <w:r w:rsidR="007F51DB">
        <w:rPr>
          <w:rFonts w:ascii="Times New Roman" w:hAnsi="Times New Roman"/>
          <w:sz w:val="24"/>
          <w:szCs w:val="24"/>
        </w:rPr>
        <w:t>___(EMA-3), respectively.</w:t>
      </w:r>
    </w:p>
    <w:p w14:paraId="0556F2DA" w14:textId="64CFE878" w:rsidR="00497ACB" w:rsidRDefault="001538EE" w:rsidP="00DC0D12">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I </w:t>
      </w:r>
      <w:r w:rsidR="00D264FF">
        <w:rPr>
          <w:rFonts w:ascii="Times New Roman" w:hAnsi="Times New Roman"/>
          <w:sz w:val="24"/>
          <w:szCs w:val="24"/>
        </w:rPr>
        <w:t xml:space="preserve">also have prepared </w:t>
      </w:r>
      <w:r w:rsidR="00497ACB">
        <w:rPr>
          <w:rFonts w:ascii="Times New Roman" w:hAnsi="Times New Roman"/>
          <w:sz w:val="24"/>
          <w:szCs w:val="24"/>
        </w:rPr>
        <w:t>Exhibit No.__</w:t>
      </w:r>
      <w:r w:rsidR="00CA125D">
        <w:rPr>
          <w:rFonts w:ascii="Times New Roman" w:hAnsi="Times New Roman"/>
          <w:sz w:val="24"/>
          <w:szCs w:val="24"/>
        </w:rPr>
        <w:t>_ (</w:t>
      </w:r>
      <w:r w:rsidR="00497ACB">
        <w:rPr>
          <w:rFonts w:ascii="Times New Roman" w:hAnsi="Times New Roman"/>
          <w:sz w:val="24"/>
          <w:szCs w:val="24"/>
        </w:rPr>
        <w:t>CRM-4)</w:t>
      </w:r>
      <w:r w:rsidR="00B5226A">
        <w:rPr>
          <w:rFonts w:ascii="Times New Roman" w:hAnsi="Times New Roman"/>
          <w:sz w:val="24"/>
          <w:szCs w:val="24"/>
        </w:rPr>
        <w:t>,</w:t>
      </w:r>
      <w:r w:rsidR="00497ACB">
        <w:rPr>
          <w:rFonts w:ascii="Times New Roman" w:hAnsi="Times New Roman"/>
          <w:sz w:val="24"/>
          <w:szCs w:val="24"/>
        </w:rPr>
        <w:t xml:space="preserve"> which presents my calculation of the REC revenues rebate and the customer-class specific</w:t>
      </w:r>
      <w:r w:rsidR="00B5226A">
        <w:rPr>
          <w:rFonts w:ascii="Times New Roman" w:hAnsi="Times New Roman"/>
          <w:sz w:val="24"/>
          <w:szCs w:val="24"/>
        </w:rPr>
        <w:t xml:space="preserve"> REC</w:t>
      </w:r>
      <w:r w:rsidR="00497ACB">
        <w:rPr>
          <w:rFonts w:ascii="Times New Roman" w:hAnsi="Times New Roman"/>
          <w:sz w:val="24"/>
          <w:szCs w:val="24"/>
        </w:rPr>
        <w:t xml:space="preserve"> rebate rates.  </w:t>
      </w:r>
    </w:p>
    <w:p w14:paraId="7B41DB8D" w14:textId="77777777" w:rsidR="003E72B6" w:rsidRDefault="003E72B6" w:rsidP="00DC0D12">
      <w:pPr>
        <w:spacing w:after="0" w:line="480" w:lineRule="auto"/>
        <w:ind w:left="720" w:hanging="720"/>
        <w:rPr>
          <w:rFonts w:ascii="Times New Roman" w:hAnsi="Times New Roman"/>
          <w:sz w:val="24"/>
          <w:szCs w:val="24"/>
        </w:rPr>
      </w:pPr>
    </w:p>
    <w:p w14:paraId="464F8B32" w14:textId="25FCAF69" w:rsidR="0042170E" w:rsidRPr="0042170E" w:rsidRDefault="0042170E" w:rsidP="00254411">
      <w:pPr>
        <w:tabs>
          <w:tab w:val="left" w:pos="-1440"/>
        </w:tabs>
        <w:spacing w:after="0" w:line="240" w:lineRule="auto"/>
        <w:ind w:left="720" w:hanging="720"/>
        <w:jc w:val="center"/>
        <w:rPr>
          <w:rFonts w:ascii="Times New Roman" w:hAnsi="Times New Roman"/>
          <w:b/>
          <w:sz w:val="24"/>
          <w:szCs w:val="24"/>
        </w:rPr>
      </w:pPr>
      <w:r>
        <w:rPr>
          <w:rFonts w:ascii="Times New Roman" w:hAnsi="Times New Roman"/>
          <w:b/>
          <w:sz w:val="24"/>
          <w:szCs w:val="24"/>
        </w:rPr>
        <w:t>III.</w:t>
      </w:r>
      <w:r>
        <w:rPr>
          <w:rFonts w:ascii="Times New Roman" w:hAnsi="Times New Roman"/>
          <w:b/>
          <w:sz w:val="24"/>
          <w:szCs w:val="24"/>
        </w:rPr>
        <w:tab/>
        <w:t>SUMMARY OF REVENUE REQUIREMENTS AND STAFF’S PROPOSED REC</w:t>
      </w:r>
      <w:r w:rsidR="00A56437">
        <w:rPr>
          <w:rFonts w:ascii="Times New Roman" w:hAnsi="Times New Roman"/>
          <w:b/>
          <w:sz w:val="24"/>
          <w:szCs w:val="24"/>
        </w:rPr>
        <w:t xml:space="preserve"> REVENUES</w:t>
      </w:r>
      <w:r>
        <w:rPr>
          <w:rFonts w:ascii="Times New Roman" w:hAnsi="Times New Roman"/>
          <w:b/>
          <w:sz w:val="24"/>
          <w:szCs w:val="24"/>
        </w:rPr>
        <w:t xml:space="preserve"> TRACKING MECHANISM</w:t>
      </w:r>
    </w:p>
    <w:p w14:paraId="06AA31C1" w14:textId="77777777" w:rsidR="00B5226A" w:rsidRDefault="00B5226A" w:rsidP="00DC0D12">
      <w:pPr>
        <w:tabs>
          <w:tab w:val="left" w:pos="-1440"/>
        </w:tabs>
        <w:spacing w:after="0" w:line="480" w:lineRule="auto"/>
        <w:ind w:left="720" w:hanging="720"/>
        <w:rPr>
          <w:rFonts w:ascii="Times New Roman" w:hAnsi="Times New Roman"/>
          <w:b/>
          <w:sz w:val="24"/>
          <w:szCs w:val="24"/>
        </w:rPr>
      </w:pPr>
    </w:p>
    <w:p w14:paraId="73BE4BF1" w14:textId="33B49746" w:rsidR="00DC0D12" w:rsidRPr="00817683" w:rsidRDefault="00DC0D12" w:rsidP="00254411">
      <w:pPr>
        <w:tabs>
          <w:tab w:val="left" w:pos="-1440"/>
        </w:tabs>
        <w:spacing w:after="0" w:line="480" w:lineRule="auto"/>
        <w:ind w:left="720" w:hanging="720"/>
        <w:rPr>
          <w:rFonts w:ascii="Times New Roman" w:hAnsi="Times New Roman"/>
          <w:b/>
          <w:sz w:val="24"/>
          <w:szCs w:val="24"/>
        </w:rPr>
      </w:pPr>
      <w:r w:rsidRPr="00245FEE">
        <w:rPr>
          <w:rFonts w:ascii="Times New Roman" w:hAnsi="Times New Roman"/>
          <w:b/>
          <w:sz w:val="24"/>
          <w:szCs w:val="24"/>
        </w:rPr>
        <w:t>Q.</w:t>
      </w:r>
      <w:r w:rsidRPr="00245FEE">
        <w:rPr>
          <w:rFonts w:ascii="Times New Roman" w:hAnsi="Times New Roman"/>
          <w:b/>
          <w:sz w:val="24"/>
          <w:szCs w:val="24"/>
        </w:rPr>
        <w:tab/>
      </w:r>
      <w:r w:rsidR="0042170E">
        <w:rPr>
          <w:rFonts w:ascii="Times New Roman" w:hAnsi="Times New Roman"/>
          <w:b/>
          <w:sz w:val="24"/>
          <w:szCs w:val="24"/>
        </w:rPr>
        <w:t>What is Avista’s revenue requirement for electric service and gas service, and how does this compare to Avista’s current base rates?</w:t>
      </w:r>
    </w:p>
    <w:p w14:paraId="66743F14" w14:textId="0A1FED63" w:rsidR="006F651F" w:rsidRDefault="00DC0D12" w:rsidP="00254411">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B5226A">
        <w:rPr>
          <w:rFonts w:ascii="Times New Roman" w:hAnsi="Times New Roman"/>
          <w:sz w:val="24"/>
          <w:szCs w:val="24"/>
        </w:rPr>
        <w:t xml:space="preserve">Staff’s </w:t>
      </w:r>
      <w:r w:rsidR="003D26C3">
        <w:rPr>
          <w:rFonts w:ascii="Times New Roman" w:hAnsi="Times New Roman"/>
          <w:sz w:val="24"/>
          <w:szCs w:val="24"/>
        </w:rPr>
        <w:t xml:space="preserve">analysis demonstrates </w:t>
      </w:r>
      <w:r w:rsidR="008E274B">
        <w:rPr>
          <w:rFonts w:ascii="Times New Roman" w:hAnsi="Times New Roman"/>
          <w:sz w:val="24"/>
          <w:szCs w:val="24"/>
        </w:rPr>
        <w:t xml:space="preserve">Avista has </w:t>
      </w:r>
      <w:r w:rsidR="003D26C3">
        <w:rPr>
          <w:rFonts w:ascii="Times New Roman" w:hAnsi="Times New Roman"/>
          <w:sz w:val="24"/>
          <w:szCs w:val="24"/>
        </w:rPr>
        <w:t>a</w:t>
      </w:r>
      <w:r w:rsidR="00850D03">
        <w:rPr>
          <w:rFonts w:ascii="Times New Roman" w:hAnsi="Times New Roman"/>
          <w:sz w:val="24"/>
          <w:szCs w:val="24"/>
        </w:rPr>
        <w:t xml:space="preserve"> total </w:t>
      </w:r>
      <w:r w:rsidR="00110A8B">
        <w:rPr>
          <w:rFonts w:ascii="Times New Roman" w:hAnsi="Times New Roman"/>
          <w:sz w:val="24"/>
          <w:szCs w:val="24"/>
        </w:rPr>
        <w:t>attrition-</w:t>
      </w:r>
      <w:r w:rsidR="003D26C3">
        <w:rPr>
          <w:rFonts w:ascii="Times New Roman" w:hAnsi="Times New Roman"/>
          <w:sz w:val="24"/>
          <w:szCs w:val="24"/>
        </w:rPr>
        <w:t>adjusted</w:t>
      </w:r>
      <w:r w:rsidR="0001755C">
        <w:rPr>
          <w:rFonts w:ascii="Times New Roman" w:hAnsi="Times New Roman"/>
          <w:sz w:val="24"/>
          <w:szCs w:val="24"/>
        </w:rPr>
        <w:t xml:space="preserve"> </w:t>
      </w:r>
      <w:r w:rsidR="00850D03">
        <w:rPr>
          <w:rFonts w:ascii="Times New Roman" w:hAnsi="Times New Roman"/>
          <w:sz w:val="24"/>
          <w:szCs w:val="24"/>
        </w:rPr>
        <w:t>electric revenue</w:t>
      </w:r>
      <w:r w:rsidR="00110A8B">
        <w:rPr>
          <w:rFonts w:ascii="Times New Roman" w:hAnsi="Times New Roman"/>
          <w:sz w:val="24"/>
          <w:szCs w:val="24"/>
        </w:rPr>
        <w:t xml:space="preserve"> requirement </w:t>
      </w:r>
      <w:r w:rsidR="003D26C3">
        <w:rPr>
          <w:rFonts w:ascii="Times New Roman" w:hAnsi="Times New Roman"/>
          <w:sz w:val="24"/>
          <w:szCs w:val="24"/>
        </w:rPr>
        <w:t xml:space="preserve">for the 2015 rate year </w:t>
      </w:r>
      <w:r w:rsidR="003D26C3" w:rsidRPr="00FB4F66">
        <w:rPr>
          <w:rFonts w:ascii="Times New Roman" w:hAnsi="Times New Roman"/>
          <w:sz w:val="24"/>
          <w:szCs w:val="24"/>
        </w:rPr>
        <w:t xml:space="preserve">of </w:t>
      </w:r>
      <w:r w:rsidR="003D26C3" w:rsidRPr="004E78E5">
        <w:rPr>
          <w:rFonts w:ascii="Times New Roman" w:hAnsi="Times New Roman"/>
          <w:strike/>
          <w:sz w:val="24"/>
          <w:szCs w:val="24"/>
        </w:rPr>
        <w:t>$</w:t>
      </w:r>
      <w:r w:rsidR="005654CB" w:rsidRPr="004E78E5">
        <w:rPr>
          <w:rFonts w:ascii="Times New Roman" w:hAnsi="Times New Roman"/>
          <w:strike/>
          <w:sz w:val="24"/>
          <w:szCs w:val="24"/>
        </w:rPr>
        <w:t>472,695</w:t>
      </w:r>
      <w:r w:rsidR="00110A8B" w:rsidRPr="004E78E5">
        <w:rPr>
          <w:rFonts w:ascii="Times New Roman" w:hAnsi="Times New Roman"/>
          <w:strike/>
          <w:sz w:val="24"/>
          <w:szCs w:val="24"/>
        </w:rPr>
        <w:t>,</w:t>
      </w:r>
      <w:r w:rsidR="003D26C3" w:rsidRPr="004E78E5">
        <w:rPr>
          <w:rFonts w:ascii="Times New Roman" w:hAnsi="Times New Roman"/>
          <w:strike/>
          <w:sz w:val="24"/>
          <w:szCs w:val="24"/>
        </w:rPr>
        <w:t>000</w:t>
      </w:r>
      <w:r w:rsidR="004E78E5">
        <w:rPr>
          <w:rFonts w:ascii="Times New Roman" w:hAnsi="Times New Roman"/>
          <w:sz w:val="24"/>
          <w:szCs w:val="24"/>
        </w:rPr>
        <w:t xml:space="preserve"> </w:t>
      </w:r>
      <w:r w:rsidR="004E78E5" w:rsidRPr="004E78E5">
        <w:rPr>
          <w:rFonts w:ascii="Times New Roman" w:hAnsi="Times New Roman"/>
          <w:sz w:val="24"/>
          <w:szCs w:val="24"/>
          <w:u w:val="single"/>
        </w:rPr>
        <w:t>$482,393</w:t>
      </w:r>
      <w:r w:rsidR="007A42A9">
        <w:rPr>
          <w:rFonts w:ascii="Times New Roman" w:hAnsi="Times New Roman"/>
          <w:sz w:val="24"/>
          <w:szCs w:val="24"/>
          <w:u w:val="single"/>
        </w:rPr>
        <w:t>,</w:t>
      </w:r>
      <w:r w:rsidR="004E78E5" w:rsidRPr="004E78E5">
        <w:rPr>
          <w:rFonts w:ascii="Times New Roman" w:hAnsi="Times New Roman"/>
          <w:sz w:val="24"/>
          <w:szCs w:val="24"/>
          <w:u w:val="single"/>
        </w:rPr>
        <w:t>000</w:t>
      </w:r>
      <w:r w:rsidR="00110A8B">
        <w:rPr>
          <w:rFonts w:ascii="Times New Roman" w:hAnsi="Times New Roman"/>
          <w:sz w:val="24"/>
          <w:szCs w:val="24"/>
        </w:rPr>
        <w:t xml:space="preserve">. </w:t>
      </w:r>
      <w:r w:rsidR="008E274B">
        <w:rPr>
          <w:rFonts w:ascii="Times New Roman" w:hAnsi="Times New Roman"/>
          <w:sz w:val="24"/>
          <w:szCs w:val="24"/>
        </w:rPr>
        <w:t xml:space="preserve"> </w:t>
      </w:r>
      <w:r w:rsidR="003D26C3">
        <w:rPr>
          <w:rFonts w:ascii="Times New Roman" w:hAnsi="Times New Roman"/>
          <w:sz w:val="24"/>
          <w:szCs w:val="24"/>
        </w:rPr>
        <w:t>As shown in Exhibit No._</w:t>
      </w:r>
      <w:r w:rsidR="00CA125D">
        <w:rPr>
          <w:rFonts w:ascii="Times New Roman" w:hAnsi="Times New Roman"/>
          <w:sz w:val="24"/>
          <w:szCs w:val="24"/>
        </w:rPr>
        <w:t>_ (</w:t>
      </w:r>
      <w:r w:rsidR="003D26C3">
        <w:rPr>
          <w:rFonts w:ascii="Times New Roman" w:hAnsi="Times New Roman"/>
          <w:sz w:val="24"/>
          <w:szCs w:val="24"/>
        </w:rPr>
        <w:t>CRM-2)</w:t>
      </w:r>
      <w:r w:rsidR="008E274B">
        <w:rPr>
          <w:rFonts w:ascii="Times New Roman" w:hAnsi="Times New Roman"/>
          <w:sz w:val="24"/>
          <w:szCs w:val="24"/>
        </w:rPr>
        <w:t>,</w:t>
      </w:r>
      <w:r w:rsidR="003D26C3">
        <w:rPr>
          <w:rFonts w:ascii="Times New Roman" w:hAnsi="Times New Roman"/>
          <w:sz w:val="24"/>
          <w:szCs w:val="24"/>
        </w:rPr>
        <w:t xml:space="preserve"> </w:t>
      </w:r>
      <w:r w:rsidR="00AB2A77">
        <w:rPr>
          <w:rFonts w:ascii="Times New Roman" w:hAnsi="Times New Roman"/>
          <w:sz w:val="24"/>
          <w:szCs w:val="24"/>
        </w:rPr>
        <w:t>page 1</w:t>
      </w:r>
      <w:r w:rsidR="008E274B">
        <w:rPr>
          <w:rFonts w:ascii="Times New Roman" w:hAnsi="Times New Roman"/>
          <w:sz w:val="24"/>
          <w:szCs w:val="24"/>
        </w:rPr>
        <w:t>,</w:t>
      </w:r>
      <w:r w:rsidR="003D26C3">
        <w:rPr>
          <w:rFonts w:ascii="Times New Roman" w:hAnsi="Times New Roman"/>
          <w:sz w:val="24"/>
          <w:szCs w:val="24"/>
        </w:rPr>
        <w:t xml:space="preserve"> column (g)</w:t>
      </w:r>
      <w:r w:rsidR="008E274B">
        <w:rPr>
          <w:rFonts w:ascii="Times New Roman" w:hAnsi="Times New Roman"/>
          <w:sz w:val="24"/>
          <w:szCs w:val="24"/>
        </w:rPr>
        <w:t>,</w:t>
      </w:r>
      <w:r w:rsidR="003D26C3">
        <w:rPr>
          <w:rFonts w:ascii="Times New Roman" w:hAnsi="Times New Roman"/>
          <w:sz w:val="24"/>
          <w:szCs w:val="24"/>
        </w:rPr>
        <w:t xml:space="preserve"> line 7, t</w:t>
      </w:r>
      <w:r w:rsidR="00110A8B">
        <w:rPr>
          <w:rFonts w:ascii="Times New Roman" w:hAnsi="Times New Roman"/>
          <w:sz w:val="24"/>
          <w:szCs w:val="24"/>
        </w:rPr>
        <w:t xml:space="preserve">his </w:t>
      </w:r>
      <w:r w:rsidR="005654CB">
        <w:rPr>
          <w:rFonts w:ascii="Times New Roman" w:hAnsi="Times New Roman"/>
          <w:sz w:val="24"/>
          <w:szCs w:val="24"/>
        </w:rPr>
        <w:t>is a decrease of $8,231</w:t>
      </w:r>
      <w:r w:rsidR="00110A8B">
        <w:rPr>
          <w:rFonts w:ascii="Times New Roman" w:hAnsi="Times New Roman"/>
          <w:sz w:val="24"/>
          <w:szCs w:val="24"/>
        </w:rPr>
        <w:t xml:space="preserve">,000 relative to </w:t>
      </w:r>
      <w:r w:rsidR="00110A8B">
        <w:rPr>
          <w:rFonts w:ascii="Times New Roman" w:hAnsi="Times New Roman"/>
          <w:sz w:val="24"/>
          <w:szCs w:val="24"/>
        </w:rPr>
        <w:lastRenderedPageBreak/>
        <w:t xml:space="preserve">2014 base rate revenues. </w:t>
      </w:r>
      <w:r w:rsidR="005654CB">
        <w:rPr>
          <w:rFonts w:ascii="Times New Roman" w:hAnsi="Times New Roman"/>
          <w:sz w:val="24"/>
          <w:szCs w:val="24"/>
        </w:rPr>
        <w:t xml:space="preserve"> This represents a 1.7</w:t>
      </w:r>
      <w:r w:rsidR="003D26C3">
        <w:rPr>
          <w:rFonts w:ascii="Times New Roman" w:hAnsi="Times New Roman"/>
          <w:sz w:val="24"/>
          <w:szCs w:val="24"/>
        </w:rPr>
        <w:t xml:space="preserve"> percent decrease in electric revenues relative to 2014 base rate revenues.  </w:t>
      </w:r>
      <w:r w:rsidR="00B5226A">
        <w:rPr>
          <w:rFonts w:ascii="Times New Roman" w:hAnsi="Times New Roman"/>
          <w:sz w:val="24"/>
          <w:szCs w:val="24"/>
        </w:rPr>
        <w:t>I recognize these 2014 electric base rates expire at the end of 2014</w:t>
      </w:r>
      <w:r w:rsidR="003879D1">
        <w:rPr>
          <w:rFonts w:ascii="Times New Roman" w:hAnsi="Times New Roman"/>
          <w:sz w:val="24"/>
          <w:szCs w:val="24"/>
        </w:rPr>
        <w:t>, and discu</w:t>
      </w:r>
      <w:r w:rsidR="003272FD">
        <w:rPr>
          <w:rFonts w:ascii="Times New Roman" w:hAnsi="Times New Roman"/>
          <w:sz w:val="24"/>
          <w:szCs w:val="24"/>
        </w:rPr>
        <w:t>ss Staff’s presentation</w:t>
      </w:r>
      <w:r w:rsidR="003879D1">
        <w:rPr>
          <w:rFonts w:ascii="Times New Roman" w:hAnsi="Times New Roman"/>
          <w:i/>
          <w:sz w:val="24"/>
          <w:szCs w:val="24"/>
        </w:rPr>
        <w:t xml:space="preserve"> </w:t>
      </w:r>
      <w:r w:rsidR="003272FD">
        <w:rPr>
          <w:rFonts w:ascii="Times New Roman" w:hAnsi="Times New Roman"/>
          <w:sz w:val="24"/>
          <w:szCs w:val="24"/>
        </w:rPr>
        <w:t>relative to 2013</w:t>
      </w:r>
      <w:r w:rsidR="003879D1">
        <w:rPr>
          <w:rFonts w:ascii="Times New Roman" w:hAnsi="Times New Roman"/>
          <w:sz w:val="24"/>
          <w:szCs w:val="24"/>
        </w:rPr>
        <w:t xml:space="preserve"> </w:t>
      </w:r>
      <w:r w:rsidR="003272FD">
        <w:rPr>
          <w:rFonts w:ascii="Times New Roman" w:hAnsi="Times New Roman"/>
          <w:sz w:val="24"/>
          <w:szCs w:val="24"/>
        </w:rPr>
        <w:t xml:space="preserve">base rate revenues in </w:t>
      </w:r>
      <w:r w:rsidR="003879D1">
        <w:rPr>
          <w:rFonts w:ascii="Times New Roman" w:hAnsi="Times New Roman"/>
          <w:sz w:val="24"/>
          <w:szCs w:val="24"/>
        </w:rPr>
        <w:t>Section IV(B)(1) of this testimony</w:t>
      </w:r>
      <w:r w:rsidR="00B5226A">
        <w:rPr>
          <w:rFonts w:ascii="Times New Roman" w:hAnsi="Times New Roman"/>
          <w:sz w:val="24"/>
          <w:szCs w:val="24"/>
        </w:rPr>
        <w:t>.</w:t>
      </w:r>
    </w:p>
    <w:p w14:paraId="14A4DD13" w14:textId="37431FCD" w:rsidR="003D26C3" w:rsidRDefault="00B5226A" w:rsidP="00254411">
      <w:pPr>
        <w:spacing w:after="0" w:line="480" w:lineRule="auto"/>
        <w:ind w:left="720" w:firstLine="720"/>
        <w:rPr>
          <w:rFonts w:ascii="Times New Roman" w:hAnsi="Times New Roman"/>
          <w:sz w:val="24"/>
          <w:szCs w:val="24"/>
        </w:rPr>
      </w:pPr>
      <w:r>
        <w:rPr>
          <w:rFonts w:ascii="Times New Roman" w:hAnsi="Times New Roman"/>
          <w:sz w:val="24"/>
          <w:szCs w:val="24"/>
        </w:rPr>
        <w:t>Staff’s</w:t>
      </w:r>
      <w:r w:rsidR="003D26C3">
        <w:rPr>
          <w:rFonts w:ascii="Times New Roman" w:hAnsi="Times New Roman"/>
          <w:sz w:val="24"/>
          <w:szCs w:val="24"/>
        </w:rPr>
        <w:t xml:space="preserve"> analysis also demonstrates </w:t>
      </w:r>
      <w:r w:rsidR="008E274B">
        <w:rPr>
          <w:rFonts w:ascii="Times New Roman" w:hAnsi="Times New Roman"/>
          <w:sz w:val="24"/>
          <w:szCs w:val="24"/>
        </w:rPr>
        <w:t xml:space="preserve">Avista has </w:t>
      </w:r>
      <w:r w:rsidR="003D26C3">
        <w:rPr>
          <w:rFonts w:ascii="Times New Roman" w:hAnsi="Times New Roman"/>
          <w:sz w:val="24"/>
          <w:szCs w:val="24"/>
        </w:rPr>
        <w:t xml:space="preserve">a total attrition-adjusted natural gas revenue requirement for the 2015 rate year of </w:t>
      </w:r>
      <w:r w:rsidR="003D26C3" w:rsidRPr="004E78E5">
        <w:rPr>
          <w:rFonts w:ascii="Times New Roman" w:hAnsi="Times New Roman"/>
          <w:strike/>
          <w:sz w:val="24"/>
          <w:szCs w:val="24"/>
        </w:rPr>
        <w:t>$</w:t>
      </w:r>
      <w:r w:rsidR="00FB4F66" w:rsidRPr="004E78E5">
        <w:rPr>
          <w:rFonts w:ascii="Times New Roman" w:hAnsi="Times New Roman"/>
          <w:strike/>
          <w:sz w:val="24"/>
          <w:szCs w:val="24"/>
        </w:rPr>
        <w:t>157,114</w:t>
      </w:r>
      <w:r w:rsidR="00AB2A77" w:rsidRPr="004E78E5">
        <w:rPr>
          <w:rFonts w:ascii="Times New Roman" w:hAnsi="Times New Roman"/>
          <w:strike/>
          <w:sz w:val="24"/>
          <w:szCs w:val="24"/>
        </w:rPr>
        <w:t>,000</w:t>
      </w:r>
      <w:r w:rsidR="004E78E5">
        <w:rPr>
          <w:rFonts w:ascii="Times New Roman" w:hAnsi="Times New Roman"/>
          <w:sz w:val="24"/>
          <w:szCs w:val="24"/>
        </w:rPr>
        <w:t xml:space="preserve"> </w:t>
      </w:r>
      <w:r w:rsidR="004E78E5" w:rsidRPr="004E78E5">
        <w:rPr>
          <w:rFonts w:ascii="Times New Roman" w:hAnsi="Times New Roman"/>
          <w:sz w:val="24"/>
          <w:szCs w:val="24"/>
          <w:u w:val="single"/>
        </w:rPr>
        <w:t>$160,325,000</w:t>
      </w:r>
      <w:r w:rsidR="003D26C3">
        <w:rPr>
          <w:rFonts w:ascii="Times New Roman" w:hAnsi="Times New Roman"/>
          <w:sz w:val="24"/>
          <w:szCs w:val="24"/>
        </w:rPr>
        <w:t xml:space="preserve">. </w:t>
      </w:r>
      <w:r>
        <w:rPr>
          <w:rFonts w:ascii="Times New Roman" w:hAnsi="Times New Roman"/>
          <w:sz w:val="24"/>
          <w:szCs w:val="24"/>
        </w:rPr>
        <w:t xml:space="preserve"> </w:t>
      </w:r>
      <w:r w:rsidR="003D26C3">
        <w:rPr>
          <w:rFonts w:ascii="Times New Roman" w:hAnsi="Times New Roman"/>
          <w:sz w:val="24"/>
          <w:szCs w:val="24"/>
        </w:rPr>
        <w:t>As shown in Exhibit No._</w:t>
      </w:r>
      <w:r w:rsidR="00CA125D">
        <w:rPr>
          <w:rFonts w:ascii="Times New Roman" w:hAnsi="Times New Roman"/>
          <w:sz w:val="24"/>
          <w:szCs w:val="24"/>
        </w:rPr>
        <w:t>_ (</w:t>
      </w:r>
      <w:r w:rsidR="003D26C3">
        <w:rPr>
          <w:rFonts w:ascii="Times New Roman" w:hAnsi="Times New Roman"/>
          <w:sz w:val="24"/>
          <w:szCs w:val="24"/>
        </w:rPr>
        <w:t>CRM-3)</w:t>
      </w:r>
      <w:r w:rsidR="008E274B">
        <w:rPr>
          <w:rFonts w:ascii="Times New Roman" w:hAnsi="Times New Roman"/>
          <w:sz w:val="24"/>
          <w:szCs w:val="24"/>
        </w:rPr>
        <w:t>,</w:t>
      </w:r>
      <w:r w:rsidR="003D26C3">
        <w:rPr>
          <w:rFonts w:ascii="Times New Roman" w:hAnsi="Times New Roman"/>
          <w:sz w:val="24"/>
          <w:szCs w:val="24"/>
        </w:rPr>
        <w:t xml:space="preserve"> </w:t>
      </w:r>
      <w:r w:rsidR="00AB2A77">
        <w:rPr>
          <w:rFonts w:ascii="Times New Roman" w:hAnsi="Times New Roman"/>
          <w:sz w:val="24"/>
          <w:szCs w:val="24"/>
        </w:rPr>
        <w:t>page 1</w:t>
      </w:r>
      <w:r w:rsidR="008E274B">
        <w:rPr>
          <w:rFonts w:ascii="Times New Roman" w:hAnsi="Times New Roman"/>
          <w:sz w:val="24"/>
          <w:szCs w:val="24"/>
        </w:rPr>
        <w:t>,</w:t>
      </w:r>
      <w:r w:rsidR="003D26C3">
        <w:rPr>
          <w:rFonts w:ascii="Times New Roman" w:hAnsi="Times New Roman"/>
          <w:sz w:val="24"/>
          <w:szCs w:val="24"/>
        </w:rPr>
        <w:t xml:space="preserve"> column (g)</w:t>
      </w:r>
      <w:r w:rsidR="008E274B">
        <w:rPr>
          <w:rFonts w:ascii="Times New Roman" w:hAnsi="Times New Roman"/>
          <w:sz w:val="24"/>
          <w:szCs w:val="24"/>
        </w:rPr>
        <w:t>,</w:t>
      </w:r>
      <w:r w:rsidR="003D26C3">
        <w:rPr>
          <w:rFonts w:ascii="Times New Roman" w:hAnsi="Times New Roman"/>
          <w:sz w:val="24"/>
          <w:szCs w:val="24"/>
        </w:rPr>
        <w:t xml:space="preserve"> line </w:t>
      </w:r>
      <w:r w:rsidR="00FB4F66">
        <w:rPr>
          <w:rFonts w:ascii="Times New Roman" w:hAnsi="Times New Roman"/>
          <w:sz w:val="24"/>
          <w:szCs w:val="24"/>
        </w:rPr>
        <w:t>7, this is an increase of $7,085</w:t>
      </w:r>
      <w:r w:rsidR="003D26C3">
        <w:rPr>
          <w:rFonts w:ascii="Times New Roman" w:hAnsi="Times New Roman"/>
          <w:sz w:val="24"/>
          <w:szCs w:val="24"/>
        </w:rPr>
        <w:t xml:space="preserve">,000 relative to 2014 base rate revenues.  This represents a </w:t>
      </w:r>
      <w:r w:rsidR="00FB4F66" w:rsidRPr="004E78E5">
        <w:rPr>
          <w:rFonts w:ascii="Times New Roman" w:hAnsi="Times New Roman"/>
          <w:strike/>
          <w:sz w:val="24"/>
          <w:szCs w:val="24"/>
        </w:rPr>
        <w:t>4.5</w:t>
      </w:r>
      <w:r w:rsidR="003D26C3">
        <w:rPr>
          <w:rFonts w:ascii="Times New Roman" w:hAnsi="Times New Roman"/>
          <w:sz w:val="24"/>
          <w:szCs w:val="24"/>
        </w:rPr>
        <w:t xml:space="preserve"> </w:t>
      </w:r>
      <w:r w:rsidR="004E78E5" w:rsidRPr="004E78E5">
        <w:rPr>
          <w:rFonts w:ascii="Times New Roman" w:hAnsi="Times New Roman"/>
          <w:sz w:val="24"/>
          <w:szCs w:val="24"/>
          <w:u w:val="single"/>
        </w:rPr>
        <w:t>4.4</w:t>
      </w:r>
      <w:r w:rsidR="004E78E5">
        <w:rPr>
          <w:rFonts w:ascii="Times New Roman" w:hAnsi="Times New Roman"/>
          <w:sz w:val="24"/>
          <w:szCs w:val="24"/>
        </w:rPr>
        <w:t xml:space="preserve"> </w:t>
      </w:r>
      <w:r w:rsidR="003D26C3">
        <w:rPr>
          <w:rFonts w:ascii="Times New Roman" w:hAnsi="Times New Roman"/>
          <w:sz w:val="24"/>
          <w:szCs w:val="24"/>
        </w:rPr>
        <w:t xml:space="preserve">percent </w:t>
      </w:r>
      <w:r w:rsidR="00AA46A1">
        <w:rPr>
          <w:rFonts w:ascii="Times New Roman" w:hAnsi="Times New Roman"/>
          <w:sz w:val="24"/>
          <w:szCs w:val="24"/>
        </w:rPr>
        <w:t>increase</w:t>
      </w:r>
      <w:r w:rsidR="003D26C3">
        <w:rPr>
          <w:rFonts w:ascii="Times New Roman" w:hAnsi="Times New Roman"/>
          <w:sz w:val="24"/>
          <w:szCs w:val="24"/>
        </w:rPr>
        <w:t xml:space="preserve"> </w:t>
      </w:r>
      <w:r w:rsidR="00AA46A1">
        <w:rPr>
          <w:rFonts w:ascii="Times New Roman" w:hAnsi="Times New Roman"/>
          <w:sz w:val="24"/>
          <w:szCs w:val="24"/>
        </w:rPr>
        <w:t>in natural gas</w:t>
      </w:r>
      <w:r w:rsidR="003D26C3">
        <w:rPr>
          <w:rFonts w:ascii="Times New Roman" w:hAnsi="Times New Roman"/>
          <w:sz w:val="24"/>
          <w:szCs w:val="24"/>
        </w:rPr>
        <w:t xml:space="preserve"> revenues relative to 2014 base rate revenues.  </w:t>
      </w:r>
      <w:r>
        <w:rPr>
          <w:rFonts w:ascii="Times New Roman" w:hAnsi="Times New Roman"/>
          <w:sz w:val="24"/>
          <w:szCs w:val="24"/>
        </w:rPr>
        <w:t>I recognize these 2014 gas base rates</w:t>
      </w:r>
      <w:r w:rsidR="003272FD">
        <w:rPr>
          <w:rFonts w:ascii="Times New Roman" w:hAnsi="Times New Roman"/>
          <w:sz w:val="24"/>
          <w:szCs w:val="24"/>
        </w:rPr>
        <w:t xml:space="preserve"> also expire at the end of 2014, and discuss Staff’s presentation relative to 2013 base rate revenues in Section IV(B)(1) of this testimony.</w:t>
      </w:r>
    </w:p>
    <w:p w14:paraId="13C1F094" w14:textId="77777777" w:rsidR="00E336ED" w:rsidRDefault="00E336ED" w:rsidP="00254411">
      <w:pPr>
        <w:tabs>
          <w:tab w:val="left" w:pos="-1440"/>
        </w:tabs>
        <w:spacing w:after="0" w:line="480" w:lineRule="auto"/>
        <w:ind w:left="720" w:hanging="720"/>
        <w:rPr>
          <w:rFonts w:ascii="Times New Roman" w:hAnsi="Times New Roman"/>
          <w:sz w:val="24"/>
          <w:szCs w:val="24"/>
        </w:rPr>
      </w:pPr>
    </w:p>
    <w:p w14:paraId="12372CF8" w14:textId="3FAB6313" w:rsidR="00E336ED" w:rsidRDefault="00A624ED" w:rsidP="00254411">
      <w:pPr>
        <w:tabs>
          <w:tab w:val="left" w:pos="-1440"/>
        </w:tabs>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 xml:space="preserve">Please summarize Staff’s </w:t>
      </w:r>
      <w:r w:rsidR="0042170E">
        <w:rPr>
          <w:rFonts w:ascii="Times New Roman" w:hAnsi="Times New Roman"/>
          <w:b/>
          <w:sz w:val="24"/>
          <w:szCs w:val="24"/>
        </w:rPr>
        <w:t xml:space="preserve">proposal for the </w:t>
      </w:r>
      <w:r>
        <w:rPr>
          <w:rFonts w:ascii="Times New Roman" w:hAnsi="Times New Roman"/>
          <w:b/>
          <w:sz w:val="24"/>
          <w:szCs w:val="24"/>
        </w:rPr>
        <w:t xml:space="preserve">REC revenues tracking </w:t>
      </w:r>
      <w:r w:rsidR="0042170E">
        <w:rPr>
          <w:rFonts w:ascii="Times New Roman" w:hAnsi="Times New Roman"/>
          <w:b/>
          <w:sz w:val="24"/>
          <w:szCs w:val="24"/>
        </w:rPr>
        <w:t xml:space="preserve">and rebate </w:t>
      </w:r>
      <w:r>
        <w:rPr>
          <w:rFonts w:ascii="Times New Roman" w:hAnsi="Times New Roman"/>
          <w:b/>
          <w:sz w:val="24"/>
          <w:szCs w:val="24"/>
        </w:rPr>
        <w:t>mechanism.</w:t>
      </w:r>
    </w:p>
    <w:p w14:paraId="540829A3" w14:textId="2D04A745" w:rsidR="009E53C6" w:rsidRDefault="009E53C6" w:rsidP="00254411">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I recommend the Commission accept Avista’s proposed REC revenues tracking and rebate mechanism with three modifications:  1) Interest on the account balance after January 1, 2015, should accumulate at the Company’s after-tax rate of return, and not the Company’s cost of debt; 2) the REC revenues rebate should be returned to customers at a rate consistent with cost of service, and not on a uniform cents/kWh basis across all rate classes; and 3) REC expenses that are not directly related to specific REC revenues should be removed from the tracking account and be included instead as an element of energy costs. </w:t>
      </w:r>
    </w:p>
    <w:p w14:paraId="3992EB01" w14:textId="330CF588" w:rsidR="009E53C6" w:rsidRPr="002C2AD7" w:rsidRDefault="009E53C6" w:rsidP="00254411">
      <w:pPr>
        <w:spacing w:after="0" w:line="480" w:lineRule="auto"/>
        <w:ind w:left="720" w:hanging="720"/>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t>I recommend the Commission order Avista to return $</w:t>
      </w:r>
      <w:r w:rsidR="00214EDA" w:rsidRPr="00214EDA">
        <w:rPr>
          <w:rFonts w:ascii="Times New Roman" w:hAnsi="Times New Roman"/>
          <w:sz w:val="24"/>
          <w:szCs w:val="24"/>
        </w:rPr>
        <w:t>8,613</w:t>
      </w:r>
      <w:r w:rsidR="00214EDA">
        <w:rPr>
          <w:rFonts w:ascii="Times New Roman" w:hAnsi="Times New Roman"/>
          <w:sz w:val="24"/>
          <w:szCs w:val="24"/>
        </w:rPr>
        <w:t>,493</w:t>
      </w:r>
      <w:r>
        <w:rPr>
          <w:rFonts w:ascii="Times New Roman" w:hAnsi="Times New Roman"/>
          <w:sz w:val="24"/>
          <w:szCs w:val="24"/>
        </w:rPr>
        <w:t xml:space="preserve"> </w:t>
      </w:r>
      <w:r w:rsidR="002419A1">
        <w:rPr>
          <w:rFonts w:ascii="Times New Roman" w:hAnsi="Times New Roman"/>
          <w:sz w:val="24"/>
          <w:szCs w:val="24"/>
        </w:rPr>
        <w:t xml:space="preserve">of net REC proceeds </w:t>
      </w:r>
      <w:r>
        <w:rPr>
          <w:rFonts w:ascii="Times New Roman" w:hAnsi="Times New Roman"/>
          <w:sz w:val="24"/>
          <w:szCs w:val="24"/>
        </w:rPr>
        <w:t xml:space="preserve">to customers over the 18-month period January 1, 2015, to June 30, 2016. </w:t>
      </w:r>
    </w:p>
    <w:p w14:paraId="191EECD6" w14:textId="77777777" w:rsidR="00DC0D12" w:rsidRDefault="00DC0D12" w:rsidP="00254411">
      <w:pPr>
        <w:tabs>
          <w:tab w:val="left" w:pos="-1440"/>
        </w:tabs>
        <w:spacing w:after="0" w:line="480" w:lineRule="auto"/>
        <w:ind w:left="720" w:hanging="720"/>
        <w:rPr>
          <w:rFonts w:ascii="Times New Roman" w:hAnsi="Times New Roman"/>
          <w:sz w:val="24"/>
          <w:szCs w:val="24"/>
        </w:rPr>
      </w:pPr>
    </w:p>
    <w:p w14:paraId="52709AD8" w14:textId="64C7A974" w:rsidR="008E274B" w:rsidRDefault="00DC0D12" w:rsidP="00254411">
      <w:pPr>
        <w:pStyle w:val="Heading2"/>
      </w:pPr>
      <w:r>
        <w:t>I</w:t>
      </w:r>
      <w:r w:rsidR="0042170E">
        <w:rPr>
          <w:lang w:val="en-US"/>
        </w:rPr>
        <w:t>V</w:t>
      </w:r>
      <w:r>
        <w:t xml:space="preserve">. </w:t>
      </w:r>
      <w:r>
        <w:tab/>
      </w:r>
      <w:r w:rsidR="00F578B7">
        <w:rPr>
          <w:lang w:val="en-US"/>
        </w:rPr>
        <w:t>ATTRITION</w:t>
      </w:r>
    </w:p>
    <w:p w14:paraId="44F126C9" w14:textId="77777777" w:rsidR="008E274B" w:rsidRDefault="008E274B" w:rsidP="00254411">
      <w:pPr>
        <w:pStyle w:val="Heading2"/>
        <w:ind w:firstLine="0"/>
      </w:pPr>
    </w:p>
    <w:p w14:paraId="7269D072" w14:textId="092ED32E" w:rsidR="00DC0D12" w:rsidRPr="00384CC6" w:rsidRDefault="008E274B" w:rsidP="00254411">
      <w:pPr>
        <w:pStyle w:val="Heading2"/>
        <w:ind w:firstLine="0"/>
        <w:jc w:val="left"/>
        <w:rPr>
          <w:lang w:val="en-US"/>
        </w:rPr>
      </w:pPr>
      <w:r w:rsidRPr="008E274B">
        <w:t>A.</w:t>
      </w:r>
      <w:r w:rsidRPr="008E274B">
        <w:tab/>
        <w:t xml:space="preserve">Definition </w:t>
      </w:r>
      <w:r w:rsidR="00CA125D">
        <w:rPr>
          <w:lang w:val="en-US"/>
        </w:rPr>
        <w:t>of</w:t>
      </w:r>
      <w:r w:rsidRPr="008E274B">
        <w:t xml:space="preserve"> Attrition </w:t>
      </w:r>
      <w:r w:rsidR="00CA125D">
        <w:rPr>
          <w:lang w:val="en-US"/>
        </w:rPr>
        <w:t>and</w:t>
      </w:r>
      <w:r w:rsidRPr="008E274B">
        <w:t xml:space="preserve"> Commission Policy </w:t>
      </w:r>
      <w:r w:rsidR="00CA125D">
        <w:rPr>
          <w:lang w:val="en-US"/>
        </w:rPr>
        <w:t>o</w:t>
      </w:r>
      <w:r w:rsidR="00CA125D" w:rsidRPr="008E274B">
        <w:t>n</w:t>
      </w:r>
      <w:r w:rsidRPr="008E274B">
        <w:t xml:space="preserve"> Attrition Adjustments</w:t>
      </w:r>
    </w:p>
    <w:p w14:paraId="606EA70A" w14:textId="77777777" w:rsidR="00425B0E" w:rsidRPr="000F5679" w:rsidRDefault="00425B0E" w:rsidP="00254411">
      <w:pPr>
        <w:tabs>
          <w:tab w:val="left" w:pos="-1440"/>
        </w:tabs>
        <w:spacing w:after="0" w:line="480" w:lineRule="auto"/>
        <w:rPr>
          <w:rFonts w:ascii="Times New Roman" w:hAnsi="Times New Roman"/>
          <w:sz w:val="24"/>
          <w:szCs w:val="24"/>
        </w:rPr>
      </w:pPr>
    </w:p>
    <w:p w14:paraId="100B0DC4" w14:textId="77777777" w:rsidR="00425B0E" w:rsidRPr="000F5679" w:rsidRDefault="00425B0E" w:rsidP="00254411">
      <w:pPr>
        <w:tabs>
          <w:tab w:val="left" w:pos="-1440"/>
        </w:tabs>
        <w:spacing w:after="0" w:line="480" w:lineRule="auto"/>
        <w:ind w:left="720" w:hanging="720"/>
        <w:rPr>
          <w:rFonts w:ascii="Times New Roman" w:hAnsi="Times New Roman"/>
          <w:b/>
          <w:sz w:val="24"/>
          <w:szCs w:val="24"/>
        </w:rPr>
      </w:pPr>
      <w:r w:rsidRPr="000F5679">
        <w:rPr>
          <w:rFonts w:ascii="Times New Roman" w:hAnsi="Times New Roman"/>
          <w:b/>
          <w:sz w:val="24"/>
          <w:szCs w:val="24"/>
        </w:rPr>
        <w:t>Q.</w:t>
      </w:r>
      <w:r w:rsidRPr="000F5679">
        <w:rPr>
          <w:rFonts w:ascii="Times New Roman" w:hAnsi="Times New Roman"/>
          <w:b/>
          <w:sz w:val="24"/>
          <w:szCs w:val="24"/>
        </w:rPr>
        <w:tab/>
        <w:t>What is attrition?</w:t>
      </w:r>
    </w:p>
    <w:p w14:paraId="131BD798" w14:textId="18B2E274" w:rsidR="00425B0E" w:rsidRPr="000F5679" w:rsidRDefault="00425B0E" w:rsidP="00254411">
      <w:pPr>
        <w:spacing w:after="0" w:line="480" w:lineRule="auto"/>
        <w:ind w:left="720" w:hanging="720"/>
        <w:rPr>
          <w:rFonts w:ascii="Times New Roman" w:hAnsi="Times New Roman"/>
          <w:sz w:val="24"/>
          <w:szCs w:val="24"/>
        </w:rPr>
      </w:pPr>
      <w:r w:rsidRPr="000F5679">
        <w:rPr>
          <w:rFonts w:ascii="Times New Roman" w:hAnsi="Times New Roman"/>
          <w:sz w:val="24"/>
          <w:szCs w:val="24"/>
        </w:rPr>
        <w:t>A.</w:t>
      </w:r>
      <w:r w:rsidRPr="000F5679">
        <w:rPr>
          <w:rFonts w:ascii="Times New Roman" w:hAnsi="Times New Roman"/>
          <w:sz w:val="24"/>
          <w:szCs w:val="24"/>
        </w:rPr>
        <w:tab/>
      </w:r>
      <w:r w:rsidR="008E274B">
        <w:rPr>
          <w:rFonts w:ascii="Times New Roman" w:hAnsi="Times New Roman"/>
          <w:sz w:val="24"/>
          <w:szCs w:val="24"/>
        </w:rPr>
        <w:t>In ratemaking, t</w:t>
      </w:r>
      <w:r w:rsidRPr="007F51DB">
        <w:rPr>
          <w:rFonts w:ascii="Times New Roman" w:hAnsi="Times New Roman"/>
          <w:sz w:val="24"/>
          <w:szCs w:val="24"/>
        </w:rPr>
        <w:t xml:space="preserve">he term </w:t>
      </w:r>
      <w:r w:rsidR="00896D73">
        <w:rPr>
          <w:rFonts w:ascii="Times New Roman" w:hAnsi="Times New Roman"/>
          <w:sz w:val="24"/>
          <w:szCs w:val="24"/>
        </w:rPr>
        <w:t xml:space="preserve">“attrition” </w:t>
      </w:r>
      <w:r w:rsidRPr="007F51DB">
        <w:rPr>
          <w:rFonts w:ascii="Times New Roman" w:hAnsi="Times New Roman"/>
          <w:sz w:val="24"/>
          <w:szCs w:val="24"/>
        </w:rPr>
        <w:t>typically refer</w:t>
      </w:r>
      <w:r w:rsidR="008E274B">
        <w:rPr>
          <w:rFonts w:ascii="Times New Roman" w:hAnsi="Times New Roman"/>
          <w:sz w:val="24"/>
          <w:szCs w:val="24"/>
        </w:rPr>
        <w:t>s</w:t>
      </w:r>
      <w:r w:rsidRPr="007F51DB">
        <w:rPr>
          <w:rFonts w:ascii="Times New Roman" w:hAnsi="Times New Roman"/>
          <w:sz w:val="24"/>
          <w:szCs w:val="24"/>
        </w:rPr>
        <w:t xml:space="preserve"> </w:t>
      </w:r>
      <w:r w:rsidR="008E274B">
        <w:rPr>
          <w:rFonts w:ascii="Times New Roman" w:hAnsi="Times New Roman"/>
          <w:sz w:val="24"/>
          <w:szCs w:val="24"/>
        </w:rPr>
        <w:t xml:space="preserve">to </w:t>
      </w:r>
      <w:r w:rsidRPr="007F51DB">
        <w:rPr>
          <w:rFonts w:ascii="Times New Roman" w:hAnsi="Times New Roman"/>
          <w:sz w:val="24"/>
          <w:szCs w:val="24"/>
        </w:rPr>
        <w:t xml:space="preserve">the erosion of a company’s rate of return over time </w:t>
      </w:r>
      <w:r w:rsidR="008E274B">
        <w:rPr>
          <w:rFonts w:ascii="Times New Roman" w:hAnsi="Times New Roman"/>
          <w:sz w:val="24"/>
          <w:szCs w:val="24"/>
        </w:rPr>
        <w:t xml:space="preserve">because </w:t>
      </w:r>
      <w:r w:rsidRPr="007F51DB">
        <w:rPr>
          <w:rFonts w:ascii="Times New Roman" w:hAnsi="Times New Roman"/>
          <w:sz w:val="24"/>
          <w:szCs w:val="24"/>
        </w:rPr>
        <w:t xml:space="preserve">the historical test period relationship in revenues, expenses and rate base does not hold during a future rate year. </w:t>
      </w:r>
      <w:r w:rsidR="008E274B">
        <w:rPr>
          <w:rFonts w:ascii="Times New Roman" w:hAnsi="Times New Roman"/>
          <w:sz w:val="24"/>
          <w:szCs w:val="24"/>
        </w:rPr>
        <w:t xml:space="preserve"> </w:t>
      </w:r>
      <w:r w:rsidR="00896D73">
        <w:rPr>
          <w:rFonts w:ascii="Times New Roman" w:hAnsi="Times New Roman"/>
          <w:sz w:val="24"/>
          <w:szCs w:val="24"/>
        </w:rPr>
        <w:t>If t</w:t>
      </w:r>
      <w:r w:rsidRPr="007F51DB">
        <w:rPr>
          <w:rFonts w:ascii="Times New Roman" w:hAnsi="Times New Roman"/>
          <w:sz w:val="24"/>
          <w:szCs w:val="24"/>
        </w:rPr>
        <w:t xml:space="preserve">his erosion </w:t>
      </w:r>
      <w:r w:rsidR="00896D73">
        <w:rPr>
          <w:rFonts w:ascii="Times New Roman" w:hAnsi="Times New Roman"/>
          <w:sz w:val="24"/>
          <w:szCs w:val="24"/>
        </w:rPr>
        <w:t xml:space="preserve">occurs, it can </w:t>
      </w:r>
      <w:r w:rsidRPr="007F51DB">
        <w:rPr>
          <w:rFonts w:ascii="Times New Roman" w:hAnsi="Times New Roman"/>
          <w:sz w:val="24"/>
          <w:szCs w:val="24"/>
        </w:rPr>
        <w:t xml:space="preserve">deprive the utility </w:t>
      </w:r>
      <w:r w:rsidR="00896D73">
        <w:rPr>
          <w:rFonts w:ascii="Times New Roman" w:hAnsi="Times New Roman"/>
          <w:sz w:val="24"/>
          <w:szCs w:val="24"/>
        </w:rPr>
        <w:t xml:space="preserve">of a reasonable </w:t>
      </w:r>
      <w:r w:rsidRPr="007F51DB">
        <w:rPr>
          <w:rFonts w:ascii="Times New Roman" w:hAnsi="Times New Roman"/>
          <w:sz w:val="24"/>
          <w:szCs w:val="24"/>
        </w:rPr>
        <w:t>opportunity to earn a fair rate of return</w:t>
      </w:r>
      <w:r w:rsidRPr="000F5679">
        <w:rPr>
          <w:rStyle w:val="LineNumber"/>
        </w:rPr>
        <w:t xml:space="preserve">. </w:t>
      </w:r>
      <w:r w:rsidR="0042170E">
        <w:rPr>
          <w:rStyle w:val="LineNumber"/>
        </w:rPr>
        <w:t xml:space="preserve"> </w:t>
      </w:r>
      <w:r w:rsidRPr="000F5679">
        <w:rPr>
          <w:rFonts w:ascii="Times New Roman" w:hAnsi="Times New Roman"/>
          <w:sz w:val="24"/>
          <w:szCs w:val="24"/>
        </w:rPr>
        <w:t>As the Commission has observed:</w:t>
      </w:r>
    </w:p>
    <w:p w14:paraId="2E2AAF52" w14:textId="77777777" w:rsidR="00425B0E" w:rsidRPr="000F5679" w:rsidRDefault="00425B0E" w:rsidP="008E274B">
      <w:pPr>
        <w:ind w:left="1440"/>
        <w:rPr>
          <w:rFonts w:ascii="Times New Roman" w:hAnsi="Times New Roman"/>
          <w:sz w:val="24"/>
          <w:szCs w:val="24"/>
        </w:rPr>
      </w:pPr>
      <w:r w:rsidRPr="000F5679">
        <w:rPr>
          <w:rFonts w:ascii="Times New Roman" w:hAnsi="Times New Roman"/>
          <w:sz w:val="24"/>
          <w:szCs w:val="24"/>
        </w:rPr>
        <w:t>Attrition is the change in relationships among revenues, expenses, and rate base over time, in which growth in expenses exceeds growth in revenues from factors beyond the company’s control.</w:t>
      </w:r>
      <w:r w:rsidRPr="000F5679">
        <w:rPr>
          <w:rFonts w:ascii="Times New Roman" w:hAnsi="Times New Roman"/>
          <w:sz w:val="24"/>
          <w:szCs w:val="24"/>
          <w:vertAlign w:val="superscript"/>
        </w:rPr>
        <w:footnoteReference w:id="1"/>
      </w:r>
    </w:p>
    <w:p w14:paraId="3694B31B" w14:textId="21A6298D" w:rsidR="00896D73" w:rsidRDefault="00896D73" w:rsidP="00254411">
      <w:pPr>
        <w:spacing w:after="0" w:line="480" w:lineRule="auto"/>
        <w:ind w:left="720"/>
        <w:rPr>
          <w:rFonts w:ascii="Times New Roman" w:hAnsi="Times New Roman"/>
          <w:sz w:val="24"/>
          <w:szCs w:val="24"/>
          <w:lang w:eastAsia="x-none"/>
        </w:rPr>
      </w:pPr>
      <w:r w:rsidRPr="00E76410">
        <w:rPr>
          <w:rFonts w:ascii="Times New Roman" w:hAnsi="Times New Roman"/>
          <w:sz w:val="24"/>
          <w:szCs w:val="24"/>
          <w:lang w:eastAsia="x-none"/>
        </w:rPr>
        <w:t xml:space="preserve">Although attrition is usually referred to as causing an erosion in the rate of return, </w:t>
      </w:r>
      <w:r w:rsidR="00527932">
        <w:rPr>
          <w:rFonts w:ascii="Times New Roman" w:hAnsi="Times New Roman"/>
          <w:sz w:val="24"/>
          <w:szCs w:val="24"/>
          <w:lang w:eastAsia="x-none"/>
        </w:rPr>
        <w:t xml:space="preserve">or </w:t>
      </w:r>
      <w:r w:rsidR="00677547" w:rsidRPr="00E76410">
        <w:rPr>
          <w:rFonts w:ascii="Times New Roman" w:hAnsi="Times New Roman"/>
          <w:sz w:val="24"/>
          <w:szCs w:val="24"/>
          <w:lang w:eastAsia="x-none"/>
        </w:rPr>
        <w:t>more specifically</w:t>
      </w:r>
      <w:r w:rsidR="0042170E">
        <w:rPr>
          <w:rFonts w:ascii="Times New Roman" w:hAnsi="Times New Roman"/>
          <w:sz w:val="24"/>
          <w:szCs w:val="24"/>
          <w:lang w:eastAsia="x-none"/>
        </w:rPr>
        <w:t>,</w:t>
      </w:r>
      <w:r w:rsidRPr="00E76410">
        <w:rPr>
          <w:rFonts w:ascii="Times New Roman" w:hAnsi="Times New Roman"/>
          <w:sz w:val="24"/>
          <w:szCs w:val="24"/>
          <w:lang w:eastAsia="x-none"/>
        </w:rPr>
        <w:t xml:space="preserve"> “negative” attrition</w:t>
      </w:r>
      <w:r w:rsidR="008E274B">
        <w:rPr>
          <w:rFonts w:ascii="Times New Roman" w:hAnsi="Times New Roman"/>
          <w:sz w:val="24"/>
          <w:szCs w:val="24"/>
          <w:lang w:eastAsia="x-none"/>
        </w:rPr>
        <w:t>,</w:t>
      </w:r>
      <w:r w:rsidRPr="00E76410">
        <w:rPr>
          <w:rFonts w:ascii="Times New Roman" w:hAnsi="Times New Roman"/>
          <w:sz w:val="24"/>
          <w:szCs w:val="24"/>
          <w:lang w:eastAsia="x-none"/>
        </w:rPr>
        <w:t xml:space="preserve"> “</w:t>
      </w:r>
      <w:r w:rsidR="008E274B">
        <w:rPr>
          <w:rFonts w:ascii="Times New Roman" w:hAnsi="Times New Roman"/>
          <w:sz w:val="24"/>
          <w:szCs w:val="24"/>
          <w:lang w:eastAsia="x-none"/>
        </w:rPr>
        <w:t>p</w:t>
      </w:r>
      <w:r w:rsidRPr="00E76410">
        <w:rPr>
          <w:rFonts w:ascii="Times New Roman" w:hAnsi="Times New Roman"/>
          <w:sz w:val="24"/>
          <w:szCs w:val="24"/>
          <w:lang w:eastAsia="x-none"/>
        </w:rPr>
        <w:t xml:space="preserve">ositive” attrition can occur if revenue growth outpaces expense growth.  </w:t>
      </w:r>
      <w:r w:rsidR="008E274B">
        <w:rPr>
          <w:rFonts w:ascii="Times New Roman" w:hAnsi="Times New Roman"/>
          <w:sz w:val="24"/>
          <w:szCs w:val="24"/>
          <w:lang w:eastAsia="x-none"/>
        </w:rPr>
        <w:t>For example, a highly efficient or productive company can experience positive attrition.</w:t>
      </w:r>
    </w:p>
    <w:p w14:paraId="01A7F63E" w14:textId="77777777" w:rsidR="00B7215F" w:rsidRDefault="00B7215F" w:rsidP="00425B0E">
      <w:pPr>
        <w:tabs>
          <w:tab w:val="left" w:pos="-1440"/>
        </w:tabs>
        <w:spacing w:after="0" w:line="480" w:lineRule="auto"/>
        <w:ind w:left="720" w:hanging="720"/>
        <w:rPr>
          <w:rFonts w:ascii="Times New Roman" w:hAnsi="Times New Roman"/>
          <w:b/>
          <w:sz w:val="24"/>
          <w:szCs w:val="24"/>
        </w:rPr>
      </w:pPr>
    </w:p>
    <w:p w14:paraId="239E5D6D" w14:textId="66733D4E" w:rsidR="00425B0E" w:rsidRPr="000F5679" w:rsidRDefault="00425B0E" w:rsidP="00425B0E">
      <w:pPr>
        <w:tabs>
          <w:tab w:val="left" w:pos="-1440"/>
        </w:tabs>
        <w:spacing w:after="0" w:line="480" w:lineRule="auto"/>
        <w:ind w:left="720" w:hanging="720"/>
        <w:rPr>
          <w:rFonts w:ascii="Times New Roman" w:hAnsi="Times New Roman"/>
          <w:b/>
          <w:sz w:val="24"/>
          <w:szCs w:val="24"/>
        </w:rPr>
      </w:pPr>
      <w:r w:rsidRPr="000F5679">
        <w:rPr>
          <w:rFonts w:ascii="Times New Roman" w:hAnsi="Times New Roman"/>
          <w:b/>
          <w:sz w:val="24"/>
          <w:szCs w:val="24"/>
        </w:rPr>
        <w:lastRenderedPageBreak/>
        <w:t xml:space="preserve">Q. </w:t>
      </w:r>
      <w:r w:rsidRPr="000F5679">
        <w:rPr>
          <w:rFonts w:ascii="Times New Roman" w:hAnsi="Times New Roman"/>
          <w:b/>
          <w:sz w:val="24"/>
          <w:szCs w:val="24"/>
        </w:rPr>
        <w:tab/>
      </w:r>
      <w:r w:rsidR="008E274B">
        <w:rPr>
          <w:rFonts w:ascii="Times New Roman" w:hAnsi="Times New Roman"/>
          <w:b/>
          <w:sz w:val="24"/>
          <w:szCs w:val="24"/>
        </w:rPr>
        <w:t xml:space="preserve">Has Staff conducted a review of </w:t>
      </w:r>
      <w:r w:rsidRPr="000F5679">
        <w:rPr>
          <w:rFonts w:ascii="Times New Roman" w:hAnsi="Times New Roman"/>
          <w:b/>
          <w:sz w:val="24"/>
          <w:szCs w:val="24"/>
        </w:rPr>
        <w:t>the Commission’s historical practice with respect to attrition</w:t>
      </w:r>
      <w:r w:rsidR="00393087">
        <w:rPr>
          <w:rFonts w:ascii="Times New Roman" w:hAnsi="Times New Roman"/>
          <w:b/>
          <w:sz w:val="24"/>
          <w:szCs w:val="24"/>
        </w:rPr>
        <w:t xml:space="preserve"> adjustments</w:t>
      </w:r>
      <w:r w:rsidRPr="000F5679">
        <w:rPr>
          <w:rFonts w:ascii="Times New Roman" w:hAnsi="Times New Roman"/>
          <w:b/>
          <w:sz w:val="24"/>
          <w:szCs w:val="24"/>
        </w:rPr>
        <w:t>?</w:t>
      </w:r>
    </w:p>
    <w:p w14:paraId="0D72DB38" w14:textId="77777777" w:rsidR="00425B0E" w:rsidRPr="000F5679" w:rsidRDefault="00425B0E" w:rsidP="00425B0E">
      <w:pPr>
        <w:tabs>
          <w:tab w:val="left" w:pos="-1440"/>
        </w:tabs>
        <w:spacing w:after="0" w:line="480" w:lineRule="auto"/>
        <w:ind w:left="720" w:hanging="720"/>
        <w:rPr>
          <w:rFonts w:ascii="Times New Roman" w:hAnsi="Times New Roman"/>
          <w:sz w:val="24"/>
          <w:szCs w:val="24"/>
        </w:rPr>
      </w:pPr>
      <w:r w:rsidRPr="000F5679">
        <w:rPr>
          <w:rFonts w:ascii="Times New Roman" w:hAnsi="Times New Roman"/>
          <w:sz w:val="24"/>
          <w:szCs w:val="24"/>
        </w:rPr>
        <w:t>A.</w:t>
      </w:r>
      <w:r w:rsidRPr="000F5679">
        <w:rPr>
          <w:rFonts w:ascii="Times New Roman" w:hAnsi="Times New Roman"/>
          <w:sz w:val="24"/>
          <w:szCs w:val="24"/>
        </w:rPr>
        <w:tab/>
      </w:r>
      <w:r w:rsidR="008E274B">
        <w:rPr>
          <w:rFonts w:ascii="Times New Roman" w:hAnsi="Times New Roman"/>
          <w:sz w:val="24"/>
          <w:szCs w:val="24"/>
        </w:rPr>
        <w:t xml:space="preserve">Yes.  </w:t>
      </w:r>
      <w:r w:rsidRPr="000F5679">
        <w:rPr>
          <w:rFonts w:ascii="Times New Roman" w:hAnsi="Times New Roman"/>
          <w:sz w:val="24"/>
          <w:szCs w:val="24"/>
        </w:rPr>
        <w:t>In Puget Sound Energy’s 2011 general rate case, Staff witness Mr. Elgin conducted a comprehensive review of the Commission’s historical practice with respect to attrition</w:t>
      </w:r>
      <w:r w:rsidR="00393087">
        <w:rPr>
          <w:rFonts w:ascii="Times New Roman" w:hAnsi="Times New Roman"/>
          <w:sz w:val="24"/>
          <w:szCs w:val="24"/>
        </w:rPr>
        <w:t xml:space="preserve"> adjustments</w:t>
      </w:r>
      <w:r w:rsidRPr="000F5679">
        <w:rPr>
          <w:rFonts w:ascii="Times New Roman" w:hAnsi="Times New Roman"/>
          <w:sz w:val="24"/>
          <w:szCs w:val="24"/>
        </w:rPr>
        <w:t xml:space="preserve">. </w:t>
      </w:r>
      <w:r w:rsidR="0095487B">
        <w:rPr>
          <w:rFonts w:ascii="Times New Roman" w:hAnsi="Times New Roman"/>
          <w:sz w:val="24"/>
          <w:szCs w:val="24"/>
        </w:rPr>
        <w:t xml:space="preserve"> </w:t>
      </w:r>
      <w:r w:rsidRPr="000F5679">
        <w:rPr>
          <w:rFonts w:ascii="Times New Roman" w:hAnsi="Times New Roman"/>
          <w:sz w:val="24"/>
          <w:szCs w:val="24"/>
        </w:rPr>
        <w:t>He found that historically</w:t>
      </w:r>
      <w:r w:rsidR="00896D73">
        <w:rPr>
          <w:rFonts w:ascii="Times New Roman" w:hAnsi="Times New Roman"/>
          <w:sz w:val="24"/>
          <w:szCs w:val="24"/>
        </w:rPr>
        <w:t>,</w:t>
      </w:r>
      <w:r w:rsidRPr="000F5679">
        <w:rPr>
          <w:rFonts w:ascii="Times New Roman" w:hAnsi="Times New Roman"/>
          <w:sz w:val="24"/>
          <w:szCs w:val="24"/>
        </w:rPr>
        <w:t xml:space="preserve"> the Commission has considered attrition adjustments, although predominantly in the 1980s and </w:t>
      </w:r>
      <w:r w:rsidR="007F51DB">
        <w:rPr>
          <w:rFonts w:ascii="Times New Roman" w:hAnsi="Times New Roman"/>
          <w:sz w:val="24"/>
          <w:szCs w:val="24"/>
        </w:rPr>
        <w:t xml:space="preserve">primarily </w:t>
      </w:r>
      <w:r w:rsidRPr="000F5679">
        <w:rPr>
          <w:rFonts w:ascii="Times New Roman" w:hAnsi="Times New Roman"/>
          <w:sz w:val="24"/>
          <w:szCs w:val="24"/>
        </w:rPr>
        <w:t xml:space="preserve">to combat the impacts of inflation. </w:t>
      </w:r>
      <w:r w:rsidR="0095487B">
        <w:rPr>
          <w:rFonts w:ascii="Times New Roman" w:hAnsi="Times New Roman"/>
          <w:sz w:val="24"/>
          <w:szCs w:val="24"/>
        </w:rPr>
        <w:t xml:space="preserve"> </w:t>
      </w:r>
      <w:r w:rsidRPr="000F5679">
        <w:rPr>
          <w:rFonts w:ascii="Times New Roman" w:hAnsi="Times New Roman"/>
          <w:sz w:val="24"/>
          <w:szCs w:val="24"/>
        </w:rPr>
        <w:t>However, as a general Commission policy, Mr. Elgin summarized that:</w:t>
      </w:r>
    </w:p>
    <w:p w14:paraId="0A50B04D" w14:textId="6E03CB13" w:rsidR="00425B0E" w:rsidRPr="000F5679" w:rsidRDefault="00425B0E" w:rsidP="00254411">
      <w:pPr>
        <w:tabs>
          <w:tab w:val="left" w:pos="-1440"/>
        </w:tabs>
        <w:spacing w:after="0" w:line="240" w:lineRule="auto"/>
        <w:ind w:left="1440" w:hanging="720"/>
        <w:rPr>
          <w:rFonts w:ascii="Times New Roman" w:hAnsi="Times New Roman"/>
          <w:sz w:val="24"/>
          <w:szCs w:val="24"/>
        </w:rPr>
      </w:pPr>
      <w:r w:rsidRPr="000F5679">
        <w:rPr>
          <w:rFonts w:ascii="Times New Roman" w:hAnsi="Times New Roman"/>
          <w:sz w:val="24"/>
          <w:szCs w:val="24"/>
        </w:rPr>
        <w:tab/>
        <w:t>[T]he Commission has provided a specific adjustment for attrition when the utility alleging attrition has proven in its direct case that the adjustment is necessary to provide an opportunity to earn a fair rate of return. This demonstration is based on a detailed showing that the test year relationship between revenues, expenses and rate base will not prevail in the rate year, and a calculation of the impact of that erosion on rate of return. When the utility has made that demonstration, the Commission has provided additional revenue, pursuant to the goal of providing the utility a reasonable opportunity to earn a fair rate of return.</w:t>
      </w:r>
      <w:r w:rsidR="00896D73">
        <w:rPr>
          <w:rStyle w:val="FootnoteReference"/>
          <w:rFonts w:ascii="Times New Roman" w:hAnsi="Times New Roman"/>
          <w:sz w:val="24"/>
          <w:szCs w:val="24"/>
        </w:rPr>
        <w:footnoteReference w:id="2"/>
      </w:r>
    </w:p>
    <w:p w14:paraId="5488379A" w14:textId="77777777" w:rsidR="00425B0E" w:rsidRPr="000F5679" w:rsidRDefault="00425B0E" w:rsidP="00425B0E">
      <w:pPr>
        <w:tabs>
          <w:tab w:val="left" w:pos="-1440"/>
        </w:tabs>
        <w:spacing w:after="0" w:line="480" w:lineRule="auto"/>
        <w:rPr>
          <w:rFonts w:ascii="Times New Roman" w:hAnsi="Times New Roman"/>
          <w:b/>
          <w:sz w:val="24"/>
          <w:szCs w:val="24"/>
        </w:rPr>
      </w:pPr>
      <w:r w:rsidRPr="000F5679">
        <w:rPr>
          <w:rFonts w:ascii="Times New Roman" w:hAnsi="Times New Roman"/>
          <w:b/>
          <w:sz w:val="24"/>
          <w:szCs w:val="24"/>
        </w:rPr>
        <w:tab/>
      </w:r>
    </w:p>
    <w:p w14:paraId="08C9E4EE" w14:textId="4BE2405C" w:rsidR="00425B0E" w:rsidRPr="000F5679" w:rsidRDefault="00425B0E" w:rsidP="00425B0E">
      <w:pPr>
        <w:tabs>
          <w:tab w:val="left" w:pos="-1440"/>
        </w:tabs>
        <w:spacing w:after="0" w:line="480" w:lineRule="auto"/>
        <w:rPr>
          <w:rFonts w:ascii="Times New Roman" w:hAnsi="Times New Roman"/>
          <w:sz w:val="24"/>
          <w:szCs w:val="24"/>
        </w:rPr>
      </w:pPr>
      <w:r w:rsidRPr="002419A1">
        <w:rPr>
          <w:rFonts w:ascii="Times New Roman" w:hAnsi="Times New Roman"/>
          <w:sz w:val="24"/>
          <w:szCs w:val="24"/>
        </w:rPr>
        <w:tab/>
      </w:r>
      <w:r w:rsidR="0042170E" w:rsidRPr="002419A1">
        <w:rPr>
          <w:rFonts w:ascii="Times New Roman" w:hAnsi="Times New Roman"/>
          <w:sz w:val="24"/>
          <w:szCs w:val="24"/>
        </w:rPr>
        <w:t xml:space="preserve">As the </w:t>
      </w:r>
      <w:r w:rsidR="0042170E">
        <w:rPr>
          <w:rFonts w:ascii="Times New Roman" w:hAnsi="Times New Roman"/>
          <w:sz w:val="24"/>
          <w:szCs w:val="24"/>
        </w:rPr>
        <w:t xml:space="preserve">Commission stated in Avista’s </w:t>
      </w:r>
      <w:r w:rsidR="00896D73">
        <w:rPr>
          <w:rFonts w:ascii="Times New Roman" w:hAnsi="Times New Roman"/>
          <w:sz w:val="24"/>
          <w:szCs w:val="24"/>
        </w:rPr>
        <w:t>1981 rate case</w:t>
      </w:r>
      <w:r w:rsidRPr="000F5679">
        <w:rPr>
          <w:rFonts w:ascii="Times New Roman" w:hAnsi="Times New Roman"/>
          <w:sz w:val="24"/>
          <w:szCs w:val="24"/>
        </w:rPr>
        <w:t>:</w:t>
      </w:r>
    </w:p>
    <w:p w14:paraId="44602F50" w14:textId="2E5F5D2C" w:rsidR="00425B0E" w:rsidRPr="000F5679" w:rsidRDefault="00425B0E" w:rsidP="00254411">
      <w:pPr>
        <w:tabs>
          <w:tab w:val="left" w:pos="-1440"/>
        </w:tabs>
        <w:spacing w:after="0" w:line="240" w:lineRule="auto"/>
        <w:ind w:left="1440"/>
        <w:rPr>
          <w:rFonts w:ascii="Times New Roman" w:hAnsi="Times New Roman"/>
          <w:sz w:val="24"/>
          <w:szCs w:val="24"/>
        </w:rPr>
      </w:pPr>
      <w:r w:rsidRPr="000F5679">
        <w:rPr>
          <w:rFonts w:ascii="Times New Roman" w:hAnsi="Times New Roman"/>
          <w:sz w:val="24"/>
          <w:szCs w:val="24"/>
        </w:rPr>
        <w:t>[I]n order to preserve and maintain the company’s financial integrity and allow it to generate sufficient cash flow consistent with its need for construction projects, and to attract investors at a reasonable cost, the staff’s attritio</w:t>
      </w:r>
      <w:r w:rsidR="00165B93">
        <w:rPr>
          <w:rFonts w:ascii="Times New Roman" w:hAnsi="Times New Roman"/>
          <w:sz w:val="24"/>
          <w:szCs w:val="24"/>
        </w:rPr>
        <w:t>n allowance should be accepted.</w:t>
      </w:r>
      <w:r w:rsidRPr="000F5679">
        <w:rPr>
          <w:rStyle w:val="FootnoteReference"/>
          <w:rFonts w:ascii="Times New Roman" w:hAnsi="Times New Roman"/>
          <w:sz w:val="24"/>
          <w:szCs w:val="24"/>
        </w:rPr>
        <w:footnoteReference w:id="3"/>
      </w:r>
    </w:p>
    <w:p w14:paraId="5117D00C" w14:textId="77777777" w:rsidR="00A05652" w:rsidRPr="00A40350" w:rsidRDefault="00A05652" w:rsidP="00425B0E">
      <w:pPr>
        <w:tabs>
          <w:tab w:val="left" w:pos="-1440"/>
        </w:tabs>
        <w:spacing w:after="0" w:line="480" w:lineRule="auto"/>
        <w:ind w:left="720" w:hanging="720"/>
        <w:rPr>
          <w:rFonts w:ascii="Times New Roman" w:hAnsi="Times New Roman"/>
          <w:sz w:val="24"/>
          <w:szCs w:val="24"/>
        </w:rPr>
      </w:pPr>
    </w:p>
    <w:p w14:paraId="68A97823" w14:textId="77777777" w:rsidR="00425B0E" w:rsidRPr="000F5679" w:rsidRDefault="00425B0E" w:rsidP="00425B0E">
      <w:pPr>
        <w:tabs>
          <w:tab w:val="left" w:pos="-1440"/>
        </w:tabs>
        <w:spacing w:after="0" w:line="480" w:lineRule="auto"/>
        <w:ind w:left="720" w:hanging="720"/>
        <w:rPr>
          <w:rFonts w:ascii="Times New Roman" w:hAnsi="Times New Roman"/>
          <w:b/>
          <w:sz w:val="24"/>
          <w:szCs w:val="24"/>
        </w:rPr>
      </w:pPr>
      <w:r w:rsidRPr="000F5679">
        <w:rPr>
          <w:rFonts w:ascii="Times New Roman" w:hAnsi="Times New Roman"/>
          <w:b/>
          <w:sz w:val="24"/>
          <w:szCs w:val="24"/>
        </w:rPr>
        <w:t>Q.</w:t>
      </w:r>
      <w:r w:rsidRPr="000F5679">
        <w:rPr>
          <w:rFonts w:ascii="Times New Roman" w:hAnsi="Times New Roman"/>
          <w:b/>
          <w:sz w:val="24"/>
          <w:szCs w:val="24"/>
        </w:rPr>
        <w:tab/>
      </w:r>
      <w:r w:rsidR="00527932">
        <w:rPr>
          <w:rFonts w:ascii="Times New Roman" w:hAnsi="Times New Roman"/>
          <w:b/>
          <w:sz w:val="24"/>
          <w:szCs w:val="24"/>
        </w:rPr>
        <w:t xml:space="preserve">What has </w:t>
      </w:r>
      <w:r w:rsidRPr="000F5679">
        <w:rPr>
          <w:rFonts w:ascii="Times New Roman" w:hAnsi="Times New Roman"/>
          <w:b/>
          <w:sz w:val="24"/>
          <w:szCs w:val="24"/>
        </w:rPr>
        <w:t xml:space="preserve">the Commission </w:t>
      </w:r>
      <w:r w:rsidR="00527932">
        <w:rPr>
          <w:rFonts w:ascii="Times New Roman" w:hAnsi="Times New Roman"/>
          <w:b/>
          <w:sz w:val="24"/>
          <w:szCs w:val="24"/>
        </w:rPr>
        <w:t>done in</w:t>
      </w:r>
      <w:r w:rsidR="00527932" w:rsidRPr="000F5679">
        <w:rPr>
          <w:rFonts w:ascii="Times New Roman" w:hAnsi="Times New Roman"/>
          <w:b/>
          <w:sz w:val="24"/>
          <w:szCs w:val="24"/>
        </w:rPr>
        <w:t xml:space="preserve"> </w:t>
      </w:r>
      <w:r w:rsidRPr="000F5679">
        <w:rPr>
          <w:rFonts w:ascii="Times New Roman" w:hAnsi="Times New Roman"/>
          <w:b/>
          <w:sz w:val="24"/>
          <w:szCs w:val="24"/>
        </w:rPr>
        <w:t xml:space="preserve">recent </w:t>
      </w:r>
      <w:r w:rsidR="00527932">
        <w:rPr>
          <w:rFonts w:ascii="Times New Roman" w:hAnsi="Times New Roman"/>
          <w:b/>
          <w:sz w:val="24"/>
          <w:szCs w:val="24"/>
        </w:rPr>
        <w:t>cases with respect</w:t>
      </w:r>
      <w:r w:rsidR="006F0C77">
        <w:rPr>
          <w:rFonts w:ascii="Times New Roman" w:hAnsi="Times New Roman"/>
          <w:b/>
          <w:sz w:val="24"/>
          <w:szCs w:val="24"/>
        </w:rPr>
        <w:t xml:space="preserve"> </w:t>
      </w:r>
      <w:r w:rsidR="00527932">
        <w:rPr>
          <w:rFonts w:ascii="Times New Roman" w:hAnsi="Times New Roman"/>
          <w:b/>
          <w:sz w:val="24"/>
          <w:szCs w:val="24"/>
        </w:rPr>
        <w:t xml:space="preserve">to </w:t>
      </w:r>
      <w:r w:rsidRPr="000F5679">
        <w:rPr>
          <w:rFonts w:ascii="Times New Roman" w:hAnsi="Times New Roman"/>
          <w:b/>
          <w:sz w:val="24"/>
          <w:szCs w:val="24"/>
        </w:rPr>
        <w:t xml:space="preserve">its policy regarding the use of an attrition adjustment to </w:t>
      </w:r>
      <w:r w:rsidR="00527932">
        <w:rPr>
          <w:rFonts w:ascii="Times New Roman" w:hAnsi="Times New Roman"/>
          <w:b/>
          <w:sz w:val="24"/>
          <w:szCs w:val="24"/>
        </w:rPr>
        <w:t>provide utilities a reasonable opportunity to earn a fair rate of return</w:t>
      </w:r>
      <w:r w:rsidRPr="000F5679">
        <w:rPr>
          <w:rFonts w:ascii="Times New Roman" w:hAnsi="Times New Roman"/>
          <w:b/>
          <w:sz w:val="24"/>
          <w:szCs w:val="24"/>
        </w:rPr>
        <w:t>?</w:t>
      </w:r>
    </w:p>
    <w:p w14:paraId="4872BE31" w14:textId="64193BD0" w:rsidR="00425B0E" w:rsidRPr="000F5679" w:rsidRDefault="00425B0E" w:rsidP="00425B0E">
      <w:pPr>
        <w:tabs>
          <w:tab w:val="left" w:pos="-1440"/>
        </w:tabs>
        <w:spacing w:after="0" w:line="480" w:lineRule="auto"/>
        <w:ind w:left="720" w:hanging="720"/>
        <w:rPr>
          <w:rStyle w:val="LineNumber"/>
          <w:b/>
        </w:rPr>
      </w:pPr>
      <w:r w:rsidRPr="000F5679">
        <w:rPr>
          <w:rFonts w:ascii="Times New Roman" w:hAnsi="Times New Roman"/>
          <w:sz w:val="24"/>
          <w:szCs w:val="24"/>
        </w:rPr>
        <w:t xml:space="preserve">A. </w:t>
      </w:r>
      <w:r w:rsidRPr="000F5679">
        <w:rPr>
          <w:rFonts w:ascii="Times New Roman" w:hAnsi="Times New Roman"/>
          <w:sz w:val="24"/>
          <w:szCs w:val="24"/>
        </w:rPr>
        <w:tab/>
      </w:r>
      <w:r w:rsidR="00B7215F">
        <w:rPr>
          <w:rFonts w:ascii="Times New Roman" w:hAnsi="Times New Roman"/>
          <w:sz w:val="24"/>
          <w:szCs w:val="24"/>
        </w:rPr>
        <w:t xml:space="preserve">In </w:t>
      </w:r>
      <w:r w:rsidR="00825C4B">
        <w:rPr>
          <w:rFonts w:ascii="Times New Roman" w:hAnsi="Times New Roman"/>
          <w:sz w:val="24"/>
          <w:szCs w:val="24"/>
        </w:rPr>
        <w:t>its recent policy statement on decoupling</w:t>
      </w:r>
      <w:r w:rsidR="00B7215F">
        <w:rPr>
          <w:rFonts w:ascii="Times New Roman" w:hAnsi="Times New Roman"/>
          <w:sz w:val="24"/>
          <w:szCs w:val="24"/>
        </w:rPr>
        <w:t>, the Commission stated</w:t>
      </w:r>
      <w:r w:rsidRPr="000F5679">
        <w:rPr>
          <w:rFonts w:ascii="Times New Roman" w:hAnsi="Times New Roman"/>
          <w:sz w:val="24"/>
          <w:szCs w:val="24"/>
        </w:rPr>
        <w:t xml:space="preserve"> that it would consider an attrition adjustment in the ratemaking process to address earnings attrition</w:t>
      </w:r>
      <w:r w:rsidR="00B7215F">
        <w:rPr>
          <w:rFonts w:ascii="Times New Roman" w:hAnsi="Times New Roman"/>
          <w:sz w:val="24"/>
          <w:szCs w:val="24"/>
        </w:rPr>
        <w:t>:</w:t>
      </w:r>
      <w:r w:rsidRPr="000F5679">
        <w:rPr>
          <w:rFonts w:ascii="Times New Roman" w:hAnsi="Times New Roman"/>
        </w:rPr>
        <w:tab/>
      </w:r>
    </w:p>
    <w:p w14:paraId="74F731B8" w14:textId="77559F91" w:rsidR="00425B0E" w:rsidRPr="000F5679" w:rsidRDefault="00425B0E" w:rsidP="00254411">
      <w:pPr>
        <w:tabs>
          <w:tab w:val="left" w:pos="-1440"/>
        </w:tabs>
        <w:spacing w:after="0" w:line="240" w:lineRule="auto"/>
        <w:ind w:left="1440" w:hanging="720"/>
        <w:rPr>
          <w:rStyle w:val="LineNumber"/>
        </w:rPr>
      </w:pPr>
      <w:r w:rsidRPr="000F5679">
        <w:rPr>
          <w:rStyle w:val="LineNumber"/>
        </w:rPr>
        <w:lastRenderedPageBreak/>
        <w:tab/>
        <w:t>The guidance provided in this policy statement does not imply that the Commission would not consider other mechanisms in the context of a general rate case, including an appropriate attrition adjustment designed to protect the company from lost margin to any reason.</w:t>
      </w:r>
      <w:r w:rsidR="00896D73">
        <w:rPr>
          <w:rStyle w:val="FootnoteReference"/>
          <w:rFonts w:ascii="Times New Roman" w:hAnsi="Times New Roman"/>
          <w:sz w:val="24"/>
          <w:szCs w:val="24"/>
        </w:rPr>
        <w:footnoteReference w:id="4"/>
      </w:r>
      <w:r w:rsidRPr="000F5679">
        <w:rPr>
          <w:rStyle w:val="LineNumber"/>
        </w:rPr>
        <w:t xml:space="preserve"> </w:t>
      </w:r>
    </w:p>
    <w:p w14:paraId="4A3B4A77" w14:textId="457F6531" w:rsidR="00425B0E" w:rsidRPr="000F5679" w:rsidRDefault="00425B0E" w:rsidP="00425B0E">
      <w:pPr>
        <w:tabs>
          <w:tab w:val="left" w:pos="-1440"/>
        </w:tabs>
        <w:spacing w:after="0" w:line="480" w:lineRule="auto"/>
        <w:ind w:left="720" w:hanging="720"/>
        <w:rPr>
          <w:rStyle w:val="LineNumber"/>
        </w:rPr>
      </w:pPr>
    </w:p>
    <w:p w14:paraId="5FA4A35A" w14:textId="77777777" w:rsidR="00425B0E" w:rsidRPr="000F5679" w:rsidRDefault="00425B0E" w:rsidP="00425B0E">
      <w:pPr>
        <w:tabs>
          <w:tab w:val="left" w:pos="-1440"/>
        </w:tabs>
        <w:spacing w:after="0" w:line="480" w:lineRule="auto"/>
        <w:ind w:left="720" w:hanging="720"/>
        <w:rPr>
          <w:rStyle w:val="LineNumber"/>
        </w:rPr>
      </w:pPr>
      <w:r w:rsidRPr="000F5679">
        <w:rPr>
          <w:rStyle w:val="LineNumber"/>
        </w:rPr>
        <w:tab/>
      </w:r>
      <w:r w:rsidR="00825C4B">
        <w:rPr>
          <w:rStyle w:val="LineNumber"/>
        </w:rPr>
        <w:t>More recently</w:t>
      </w:r>
      <w:r w:rsidRPr="000F5679">
        <w:rPr>
          <w:rStyle w:val="LineNumber"/>
        </w:rPr>
        <w:t>, in approving the settlement agreement in Avista’s 2012 general rate case, the Commission stated:</w:t>
      </w:r>
    </w:p>
    <w:p w14:paraId="4A1B91A8" w14:textId="2AD77E8E" w:rsidR="00425B0E" w:rsidRPr="000F5679" w:rsidRDefault="00425B0E" w:rsidP="00254411">
      <w:pPr>
        <w:tabs>
          <w:tab w:val="left" w:pos="-1440"/>
        </w:tabs>
        <w:spacing w:after="0" w:line="240" w:lineRule="auto"/>
        <w:ind w:left="1440"/>
        <w:rPr>
          <w:rStyle w:val="LineNumber"/>
        </w:rPr>
      </w:pPr>
      <w:r w:rsidRPr="000F5679">
        <w:rPr>
          <w:rStyle w:val="LineNumber"/>
        </w:rPr>
        <w:t>The Commission finds, on the basis of the evidence presented, that consideration of attrition in setting rates for 2013 is appropriate.</w:t>
      </w:r>
      <w:r w:rsidRPr="000F5679">
        <w:rPr>
          <w:rStyle w:val="FootnoteReference"/>
          <w:rFonts w:ascii="Times New Roman" w:hAnsi="Times New Roman"/>
        </w:rPr>
        <w:t xml:space="preserve"> </w:t>
      </w:r>
      <w:r w:rsidRPr="000F5679">
        <w:rPr>
          <w:rStyle w:val="FootnoteReference"/>
          <w:rFonts w:ascii="Times New Roman" w:hAnsi="Times New Roman"/>
        </w:rPr>
        <w:footnoteReference w:id="5"/>
      </w:r>
      <w:r w:rsidRPr="000F5679">
        <w:rPr>
          <w:rStyle w:val="LineNumber"/>
        </w:rPr>
        <w:t xml:space="preserve">  </w:t>
      </w:r>
    </w:p>
    <w:p w14:paraId="1EAFAB55" w14:textId="77777777" w:rsidR="00425B0E" w:rsidRPr="000F5679" w:rsidRDefault="00425B0E" w:rsidP="00425B0E">
      <w:pPr>
        <w:tabs>
          <w:tab w:val="left" w:pos="-1440"/>
        </w:tabs>
        <w:spacing w:after="0" w:line="480" w:lineRule="auto"/>
        <w:ind w:left="720" w:hanging="720"/>
        <w:rPr>
          <w:rStyle w:val="LineNumber"/>
          <w:highlight w:val="green"/>
        </w:rPr>
      </w:pPr>
    </w:p>
    <w:p w14:paraId="544C926D" w14:textId="77777777" w:rsidR="00425B0E" w:rsidRPr="000F5679" w:rsidRDefault="00425B0E" w:rsidP="00425B0E">
      <w:pPr>
        <w:tabs>
          <w:tab w:val="left" w:pos="-1440"/>
        </w:tabs>
        <w:spacing w:after="0" w:line="480" w:lineRule="auto"/>
        <w:ind w:left="720" w:hanging="720"/>
        <w:rPr>
          <w:rStyle w:val="LineNumber"/>
          <w:b/>
        </w:rPr>
      </w:pPr>
      <w:r w:rsidRPr="000F5679">
        <w:rPr>
          <w:rStyle w:val="LineNumber"/>
          <w:b/>
        </w:rPr>
        <w:t>Q.</w:t>
      </w:r>
      <w:r w:rsidRPr="000F5679">
        <w:rPr>
          <w:rStyle w:val="LineNumber"/>
          <w:b/>
        </w:rPr>
        <w:tab/>
        <w:t>Has</w:t>
      </w:r>
      <w:r w:rsidR="0059187E">
        <w:rPr>
          <w:rStyle w:val="LineNumber"/>
          <w:b/>
        </w:rPr>
        <w:t xml:space="preserve"> the Commission in recent years</w:t>
      </w:r>
      <w:r w:rsidRPr="000F5679">
        <w:rPr>
          <w:rStyle w:val="LineNumber"/>
          <w:b/>
        </w:rPr>
        <w:t xml:space="preserve"> </w:t>
      </w:r>
      <w:r w:rsidR="00825C4B">
        <w:rPr>
          <w:rStyle w:val="LineNumber"/>
          <w:b/>
        </w:rPr>
        <w:t xml:space="preserve">provided any specific guidance with respect to </w:t>
      </w:r>
      <w:r w:rsidRPr="000F5679">
        <w:rPr>
          <w:rStyle w:val="LineNumber"/>
          <w:b/>
        </w:rPr>
        <w:t>attrition adjustments in litigated proceedings?</w:t>
      </w:r>
    </w:p>
    <w:p w14:paraId="189A426E" w14:textId="61C88F6A" w:rsidR="00425B0E" w:rsidRPr="000F5679" w:rsidRDefault="00425B0E" w:rsidP="00425B0E">
      <w:pPr>
        <w:tabs>
          <w:tab w:val="left" w:pos="-1440"/>
        </w:tabs>
        <w:spacing w:after="0" w:line="480" w:lineRule="auto"/>
        <w:ind w:left="720" w:hanging="720"/>
        <w:rPr>
          <w:rStyle w:val="LineNumber"/>
        </w:rPr>
      </w:pPr>
      <w:r w:rsidRPr="000F5679">
        <w:rPr>
          <w:rStyle w:val="LineNumber"/>
        </w:rPr>
        <w:t>A.</w:t>
      </w:r>
      <w:r w:rsidRPr="000F5679">
        <w:rPr>
          <w:rStyle w:val="LineNumber"/>
        </w:rPr>
        <w:tab/>
        <w:t xml:space="preserve">No. </w:t>
      </w:r>
      <w:r w:rsidR="0095487B">
        <w:rPr>
          <w:rStyle w:val="LineNumber"/>
        </w:rPr>
        <w:t xml:space="preserve"> </w:t>
      </w:r>
      <w:r w:rsidR="0042170E">
        <w:rPr>
          <w:rStyle w:val="LineNumber"/>
        </w:rPr>
        <w:t>While b</w:t>
      </w:r>
      <w:r w:rsidR="00825C4B">
        <w:rPr>
          <w:rStyle w:val="LineNumber"/>
        </w:rPr>
        <w:t xml:space="preserve">oth </w:t>
      </w:r>
      <w:r w:rsidR="0095487B">
        <w:rPr>
          <w:rStyle w:val="LineNumber"/>
        </w:rPr>
        <w:t xml:space="preserve">Avista and Staff presented </w:t>
      </w:r>
      <w:r w:rsidRPr="000F5679">
        <w:rPr>
          <w:rStyle w:val="LineNumber"/>
        </w:rPr>
        <w:t xml:space="preserve">attrition studies in </w:t>
      </w:r>
      <w:r w:rsidR="00AA46A1">
        <w:rPr>
          <w:rStyle w:val="LineNumber"/>
        </w:rPr>
        <w:t>Avista’s 2012 general rate case</w:t>
      </w:r>
      <w:r w:rsidR="00B7215F">
        <w:rPr>
          <w:rStyle w:val="LineNumber"/>
        </w:rPr>
        <w:t>,</w:t>
      </w:r>
      <w:r w:rsidR="00AA46A1">
        <w:rPr>
          <w:rStyle w:val="LineNumber"/>
        </w:rPr>
        <w:t xml:space="preserve"> </w:t>
      </w:r>
      <w:r w:rsidRPr="000F5679">
        <w:rPr>
          <w:rStyle w:val="LineNumber"/>
        </w:rPr>
        <w:t>th</w:t>
      </w:r>
      <w:r w:rsidR="0095487B">
        <w:rPr>
          <w:rStyle w:val="LineNumber"/>
        </w:rPr>
        <w:t>at</w:t>
      </w:r>
      <w:r w:rsidRPr="000F5679">
        <w:rPr>
          <w:rStyle w:val="LineNumber"/>
        </w:rPr>
        <w:t xml:space="preserve"> case was eventually se</w:t>
      </w:r>
      <w:r w:rsidR="00F94374">
        <w:rPr>
          <w:rStyle w:val="LineNumber"/>
        </w:rPr>
        <w:t>ttl</w:t>
      </w:r>
      <w:r w:rsidR="00825C4B">
        <w:rPr>
          <w:rStyle w:val="LineNumber"/>
        </w:rPr>
        <w:t>ed.</w:t>
      </w:r>
      <w:r w:rsidR="00AA46A1">
        <w:rPr>
          <w:rStyle w:val="LineNumber"/>
        </w:rPr>
        <w:t xml:space="preserve"> </w:t>
      </w:r>
      <w:r w:rsidR="00B7215F">
        <w:rPr>
          <w:rStyle w:val="LineNumber"/>
        </w:rPr>
        <w:t xml:space="preserve"> </w:t>
      </w:r>
      <w:r w:rsidRPr="000F5679">
        <w:rPr>
          <w:rStyle w:val="LineNumber"/>
        </w:rPr>
        <w:t xml:space="preserve">However, in its order accepting the multi-party settlement agreement, the Commission indicated its intention </w:t>
      </w:r>
      <w:r w:rsidR="00DB1AF9">
        <w:rPr>
          <w:rStyle w:val="LineNumber"/>
        </w:rPr>
        <w:t xml:space="preserve">to </w:t>
      </w:r>
      <w:r w:rsidRPr="000F5679">
        <w:rPr>
          <w:rStyle w:val="LineNumber"/>
        </w:rPr>
        <w:t>further examine the issue of attrition</w:t>
      </w:r>
      <w:r w:rsidR="0095487B">
        <w:rPr>
          <w:rStyle w:val="LineNumber"/>
        </w:rPr>
        <w:t>:</w:t>
      </w:r>
    </w:p>
    <w:p w14:paraId="70F33FD6" w14:textId="02D31478" w:rsidR="00425B0E" w:rsidRPr="000F5679" w:rsidRDefault="00425B0E" w:rsidP="00254411">
      <w:pPr>
        <w:tabs>
          <w:tab w:val="left" w:pos="-1440"/>
        </w:tabs>
        <w:spacing w:after="0" w:line="240" w:lineRule="auto"/>
        <w:ind w:left="1440" w:hanging="720"/>
        <w:rPr>
          <w:rStyle w:val="LineNumber"/>
        </w:rPr>
      </w:pPr>
      <w:r w:rsidRPr="000F5679">
        <w:rPr>
          <w:rStyle w:val="LineNumber"/>
        </w:rPr>
        <w:tab/>
        <w:t>Given the two different attrition methodologies both Staff and Avista employ to arrive at their respective adjustments, and the lack of exploration in the merits of the different approaches, we do not take a position on either but will open an inquiry into this issue to allow for further examination.</w:t>
      </w:r>
      <w:r w:rsidR="0095487B">
        <w:rPr>
          <w:rStyle w:val="FootnoteReference"/>
          <w:rFonts w:ascii="Times New Roman" w:hAnsi="Times New Roman"/>
          <w:sz w:val="24"/>
          <w:szCs w:val="24"/>
        </w:rPr>
        <w:footnoteReference w:id="6"/>
      </w:r>
    </w:p>
    <w:p w14:paraId="3EE4F8B1" w14:textId="77777777" w:rsidR="00425B0E" w:rsidRPr="000F5679" w:rsidRDefault="00425B0E" w:rsidP="00425B0E">
      <w:pPr>
        <w:tabs>
          <w:tab w:val="left" w:pos="-1440"/>
        </w:tabs>
        <w:spacing w:after="0"/>
        <w:ind w:left="1440" w:hanging="720"/>
        <w:rPr>
          <w:rStyle w:val="LineNumber"/>
        </w:rPr>
      </w:pPr>
    </w:p>
    <w:p w14:paraId="71257331" w14:textId="437A841D" w:rsidR="00425B0E" w:rsidRPr="000F5679" w:rsidRDefault="00425B0E" w:rsidP="00254411">
      <w:pPr>
        <w:tabs>
          <w:tab w:val="left" w:pos="-1440"/>
        </w:tabs>
        <w:spacing w:after="0" w:line="480" w:lineRule="auto"/>
        <w:ind w:left="720" w:hanging="720"/>
        <w:rPr>
          <w:rStyle w:val="LineNumber"/>
        </w:rPr>
      </w:pPr>
      <w:r w:rsidRPr="000F5679">
        <w:rPr>
          <w:rStyle w:val="LineNumber"/>
        </w:rPr>
        <w:tab/>
      </w:r>
      <w:r w:rsidR="00825C4B">
        <w:rPr>
          <w:rStyle w:val="LineNumber"/>
        </w:rPr>
        <w:t>This</w:t>
      </w:r>
      <w:r w:rsidR="006C35C3">
        <w:rPr>
          <w:rStyle w:val="LineNumber"/>
        </w:rPr>
        <w:t xml:space="preserve"> </w:t>
      </w:r>
      <w:r w:rsidR="00825C4B">
        <w:rPr>
          <w:rStyle w:val="LineNumber"/>
        </w:rPr>
        <w:t xml:space="preserve">proceeding provides the Commission with a comprehensive record in order to evaluate </w:t>
      </w:r>
      <w:r w:rsidRPr="000F5679">
        <w:rPr>
          <w:rStyle w:val="LineNumber"/>
        </w:rPr>
        <w:t xml:space="preserve">attrition </w:t>
      </w:r>
      <w:r w:rsidR="00825C4B">
        <w:rPr>
          <w:rStyle w:val="LineNumber"/>
        </w:rPr>
        <w:t>and provide policy guidance for future proceedings.</w:t>
      </w:r>
    </w:p>
    <w:p w14:paraId="3EA7285B" w14:textId="77777777" w:rsidR="00B7215F" w:rsidRPr="00B7215F" w:rsidRDefault="00B7215F" w:rsidP="00254411">
      <w:pPr>
        <w:pStyle w:val="ListParagraph"/>
        <w:spacing w:after="0" w:line="480" w:lineRule="auto"/>
        <w:rPr>
          <w:rFonts w:ascii="Times New Roman" w:hAnsi="Times New Roman"/>
          <w:b/>
          <w:sz w:val="24"/>
        </w:rPr>
      </w:pPr>
    </w:p>
    <w:p w14:paraId="2DC406EC" w14:textId="77777777" w:rsidR="00C476B0" w:rsidRDefault="00B7215F" w:rsidP="00254411">
      <w:pPr>
        <w:keepNext/>
        <w:spacing w:after="0" w:line="480" w:lineRule="auto"/>
        <w:ind w:left="720"/>
        <w:rPr>
          <w:rFonts w:ascii="Times New Roman" w:hAnsi="Times New Roman"/>
          <w:b/>
          <w:sz w:val="24"/>
        </w:rPr>
      </w:pPr>
      <w:r>
        <w:rPr>
          <w:rFonts w:ascii="Times New Roman" w:hAnsi="Times New Roman"/>
          <w:b/>
          <w:sz w:val="24"/>
        </w:rPr>
        <w:lastRenderedPageBreak/>
        <w:t>B.</w:t>
      </w:r>
      <w:r>
        <w:rPr>
          <w:rFonts w:ascii="Times New Roman" w:hAnsi="Times New Roman"/>
          <w:b/>
          <w:sz w:val="24"/>
        </w:rPr>
        <w:tab/>
      </w:r>
      <w:r w:rsidRPr="00B7215F">
        <w:rPr>
          <w:rFonts w:ascii="Times New Roman" w:hAnsi="Times New Roman"/>
          <w:b/>
          <w:sz w:val="24"/>
        </w:rPr>
        <w:t>Staff’s Attrition Analysis</w:t>
      </w:r>
    </w:p>
    <w:p w14:paraId="532BAB74" w14:textId="77777777" w:rsidR="00E27F0E" w:rsidRPr="00B7215F" w:rsidRDefault="00E27F0E" w:rsidP="00254411">
      <w:pPr>
        <w:keepNext/>
        <w:spacing w:after="0" w:line="480" w:lineRule="auto"/>
        <w:ind w:left="720"/>
        <w:rPr>
          <w:rFonts w:ascii="Times New Roman" w:hAnsi="Times New Roman"/>
          <w:b/>
          <w:sz w:val="24"/>
        </w:rPr>
      </w:pPr>
    </w:p>
    <w:p w14:paraId="544A59BC" w14:textId="71EA909F" w:rsidR="00C068A9" w:rsidRPr="00E27F0E" w:rsidRDefault="00E27F0E" w:rsidP="00254411">
      <w:pPr>
        <w:keepNext/>
        <w:spacing w:after="0" w:line="480" w:lineRule="auto"/>
        <w:ind w:left="720" w:firstLine="720"/>
        <w:rPr>
          <w:rFonts w:ascii="Times New Roman" w:hAnsi="Times New Roman"/>
          <w:b/>
          <w:sz w:val="24"/>
          <w:szCs w:val="24"/>
        </w:rPr>
      </w:pPr>
      <w:r>
        <w:rPr>
          <w:rFonts w:ascii="Times New Roman" w:hAnsi="Times New Roman"/>
          <w:b/>
          <w:sz w:val="24"/>
          <w:szCs w:val="24"/>
        </w:rPr>
        <w:t xml:space="preserve">1. </w:t>
      </w:r>
      <w:r>
        <w:rPr>
          <w:rFonts w:ascii="Times New Roman" w:hAnsi="Times New Roman"/>
          <w:b/>
          <w:sz w:val="24"/>
          <w:szCs w:val="24"/>
        </w:rPr>
        <w:tab/>
        <w:t xml:space="preserve">General </w:t>
      </w:r>
      <w:r w:rsidR="00EA7280">
        <w:rPr>
          <w:rFonts w:ascii="Times New Roman" w:hAnsi="Times New Roman"/>
          <w:b/>
          <w:sz w:val="24"/>
          <w:szCs w:val="24"/>
        </w:rPr>
        <w:t>Approach</w:t>
      </w:r>
    </w:p>
    <w:p w14:paraId="43615E82" w14:textId="77777777" w:rsidR="00C068A9" w:rsidRDefault="00C068A9" w:rsidP="00254411">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Are there any preliminary issues that require clarification in order to understand Staff’s presentation in this case?</w:t>
      </w:r>
    </w:p>
    <w:p w14:paraId="457888C8" w14:textId="7255D21C" w:rsidR="00A138AC" w:rsidRDefault="00C068A9" w:rsidP="00254411">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664BB6">
        <w:rPr>
          <w:rFonts w:ascii="Times New Roman" w:hAnsi="Times New Roman"/>
          <w:sz w:val="24"/>
          <w:szCs w:val="24"/>
        </w:rPr>
        <w:t xml:space="preserve">Yes. </w:t>
      </w:r>
      <w:r w:rsidR="00B7215F">
        <w:rPr>
          <w:rFonts w:ascii="Times New Roman" w:hAnsi="Times New Roman"/>
          <w:sz w:val="24"/>
          <w:szCs w:val="24"/>
        </w:rPr>
        <w:t xml:space="preserve"> </w:t>
      </w:r>
      <w:r>
        <w:rPr>
          <w:rFonts w:ascii="Times New Roman" w:hAnsi="Times New Roman"/>
          <w:sz w:val="24"/>
          <w:szCs w:val="24"/>
        </w:rPr>
        <w:t xml:space="preserve">In accepting the two year rate plan in </w:t>
      </w:r>
      <w:r w:rsidR="00B7215F">
        <w:rPr>
          <w:rFonts w:ascii="Times New Roman" w:hAnsi="Times New Roman"/>
          <w:sz w:val="24"/>
          <w:szCs w:val="24"/>
        </w:rPr>
        <w:t xml:space="preserve">Avista’s last rate case, </w:t>
      </w:r>
      <w:r>
        <w:rPr>
          <w:rFonts w:ascii="Times New Roman" w:hAnsi="Times New Roman"/>
          <w:sz w:val="24"/>
          <w:szCs w:val="24"/>
        </w:rPr>
        <w:t>Docket Nos. UE-120436 &amp; UG-120437</w:t>
      </w:r>
      <w:r w:rsidR="00B7215F">
        <w:rPr>
          <w:rFonts w:ascii="Times New Roman" w:hAnsi="Times New Roman"/>
          <w:sz w:val="24"/>
          <w:szCs w:val="24"/>
        </w:rPr>
        <w:t>,</w:t>
      </w:r>
      <w:r>
        <w:rPr>
          <w:rFonts w:ascii="Times New Roman" w:hAnsi="Times New Roman"/>
          <w:sz w:val="24"/>
          <w:szCs w:val="24"/>
        </w:rPr>
        <w:t xml:space="preserve"> the Commission determined that the rate increases that went into effect on January 1, 2014, as a result of the settlement</w:t>
      </w:r>
      <w:r w:rsidR="0042170E">
        <w:rPr>
          <w:rFonts w:ascii="Times New Roman" w:hAnsi="Times New Roman"/>
          <w:sz w:val="24"/>
          <w:szCs w:val="24"/>
        </w:rPr>
        <w:t>,</w:t>
      </w:r>
      <w:r>
        <w:rPr>
          <w:rFonts w:ascii="Times New Roman" w:hAnsi="Times New Roman"/>
          <w:sz w:val="24"/>
          <w:szCs w:val="24"/>
        </w:rPr>
        <w:t xml:space="preserve"> should be temporary</w:t>
      </w:r>
      <w:r w:rsidR="000A1016">
        <w:rPr>
          <w:rFonts w:ascii="Times New Roman" w:hAnsi="Times New Roman"/>
          <w:sz w:val="24"/>
          <w:szCs w:val="24"/>
        </w:rPr>
        <w:t>, and expire on January 1, 2015</w:t>
      </w:r>
      <w:r>
        <w:rPr>
          <w:rFonts w:ascii="Times New Roman" w:hAnsi="Times New Roman"/>
          <w:sz w:val="24"/>
          <w:szCs w:val="24"/>
        </w:rPr>
        <w:t>.</w:t>
      </w:r>
      <w:r w:rsidR="00344883">
        <w:rPr>
          <w:rStyle w:val="FootnoteReference"/>
          <w:rFonts w:ascii="Times New Roman" w:hAnsi="Times New Roman"/>
          <w:sz w:val="24"/>
          <w:szCs w:val="24"/>
        </w:rPr>
        <w:footnoteReference w:id="7"/>
      </w:r>
      <w:r>
        <w:rPr>
          <w:rFonts w:ascii="Times New Roman" w:hAnsi="Times New Roman"/>
          <w:sz w:val="24"/>
          <w:szCs w:val="24"/>
        </w:rPr>
        <w:t xml:space="preserve">  </w:t>
      </w:r>
      <w:r w:rsidR="000E5B5A">
        <w:rPr>
          <w:rFonts w:ascii="Times New Roman" w:hAnsi="Times New Roman"/>
          <w:sz w:val="24"/>
          <w:szCs w:val="24"/>
        </w:rPr>
        <w:t>Accordingly, f</w:t>
      </w:r>
      <w:r w:rsidR="00165B93">
        <w:rPr>
          <w:rFonts w:ascii="Times New Roman" w:hAnsi="Times New Roman"/>
          <w:sz w:val="24"/>
          <w:szCs w:val="24"/>
        </w:rPr>
        <w:t>or purposes of presenting</w:t>
      </w:r>
      <w:r>
        <w:rPr>
          <w:rFonts w:ascii="Times New Roman" w:hAnsi="Times New Roman"/>
          <w:sz w:val="24"/>
          <w:szCs w:val="24"/>
        </w:rPr>
        <w:t xml:space="preserve"> the overall revenue requirement in this case, Staff believes it </w:t>
      </w:r>
      <w:r w:rsidR="00611AA0">
        <w:rPr>
          <w:rFonts w:ascii="Times New Roman" w:hAnsi="Times New Roman"/>
          <w:sz w:val="24"/>
          <w:szCs w:val="24"/>
        </w:rPr>
        <w:t>is appropriate to consider</w:t>
      </w:r>
      <w:r w:rsidR="00327976">
        <w:rPr>
          <w:rFonts w:ascii="Times New Roman" w:hAnsi="Times New Roman"/>
          <w:sz w:val="24"/>
          <w:szCs w:val="24"/>
        </w:rPr>
        <w:t xml:space="preserve"> the rate changes relative to the “permanent” 2013 rates</w:t>
      </w:r>
      <w:r w:rsidR="005B76B5">
        <w:rPr>
          <w:rFonts w:ascii="Times New Roman" w:hAnsi="Times New Roman"/>
          <w:sz w:val="24"/>
          <w:szCs w:val="24"/>
        </w:rPr>
        <w:t>.</w:t>
      </w:r>
      <w:r w:rsidR="00260C4F">
        <w:rPr>
          <w:rFonts w:ascii="Times New Roman" w:hAnsi="Times New Roman"/>
          <w:sz w:val="24"/>
          <w:szCs w:val="24"/>
        </w:rPr>
        <w:t xml:space="preserve">  This is also appropriate </w:t>
      </w:r>
      <w:r w:rsidR="00D747E0">
        <w:rPr>
          <w:rFonts w:ascii="Times New Roman" w:hAnsi="Times New Roman"/>
          <w:sz w:val="24"/>
          <w:szCs w:val="24"/>
        </w:rPr>
        <w:t xml:space="preserve">when attempting to identify an “attrition adjustment” which </w:t>
      </w:r>
      <w:r w:rsidR="000E5B5A">
        <w:rPr>
          <w:rFonts w:ascii="Times New Roman" w:hAnsi="Times New Roman"/>
          <w:sz w:val="24"/>
          <w:szCs w:val="24"/>
        </w:rPr>
        <w:t xml:space="preserve">is meant to </w:t>
      </w:r>
      <w:r w:rsidR="00C310EC">
        <w:rPr>
          <w:rFonts w:ascii="Times New Roman" w:hAnsi="Times New Roman"/>
          <w:sz w:val="24"/>
          <w:szCs w:val="24"/>
        </w:rPr>
        <w:t>account for grow</w:t>
      </w:r>
      <w:r w:rsidR="003069F4">
        <w:rPr>
          <w:rFonts w:ascii="Times New Roman" w:hAnsi="Times New Roman"/>
          <w:sz w:val="24"/>
          <w:szCs w:val="24"/>
        </w:rPr>
        <w:t>th between the test year</w:t>
      </w:r>
      <w:r w:rsidR="00C310EC">
        <w:rPr>
          <w:rFonts w:ascii="Times New Roman" w:hAnsi="Times New Roman"/>
          <w:sz w:val="24"/>
          <w:szCs w:val="24"/>
        </w:rPr>
        <w:t xml:space="preserve"> used as the basis for the rate case and the rate year.  </w:t>
      </w:r>
      <w:r w:rsidR="003E5132">
        <w:rPr>
          <w:rFonts w:ascii="Times New Roman" w:hAnsi="Times New Roman"/>
          <w:sz w:val="24"/>
          <w:szCs w:val="24"/>
        </w:rPr>
        <w:t>The test year in Staff’s case is the 2013 calendar year.</w:t>
      </w:r>
      <w:r w:rsidR="000E5B5A">
        <w:rPr>
          <w:rFonts w:ascii="Times New Roman" w:hAnsi="Times New Roman"/>
          <w:sz w:val="24"/>
          <w:szCs w:val="24"/>
        </w:rPr>
        <w:t xml:space="preserve">  Therefore, the normaliz</w:t>
      </w:r>
      <w:r w:rsidR="003069F4">
        <w:rPr>
          <w:rFonts w:ascii="Times New Roman" w:hAnsi="Times New Roman"/>
          <w:sz w:val="24"/>
          <w:szCs w:val="24"/>
        </w:rPr>
        <w:t>ed revenues used as the basis for</w:t>
      </w:r>
      <w:r w:rsidR="000E5B5A">
        <w:rPr>
          <w:rFonts w:ascii="Times New Roman" w:hAnsi="Times New Roman"/>
          <w:sz w:val="24"/>
          <w:szCs w:val="24"/>
        </w:rPr>
        <w:t xml:space="preserve"> this case are the normalized revenues at 2013 base rates. </w:t>
      </w:r>
      <w:r w:rsidR="003E5132">
        <w:rPr>
          <w:rFonts w:ascii="Times New Roman" w:hAnsi="Times New Roman"/>
          <w:sz w:val="24"/>
          <w:szCs w:val="24"/>
        </w:rPr>
        <w:t xml:space="preserve"> </w:t>
      </w:r>
      <w:r w:rsidR="00260C4F">
        <w:rPr>
          <w:rFonts w:ascii="Times New Roman" w:hAnsi="Times New Roman"/>
          <w:sz w:val="24"/>
          <w:szCs w:val="24"/>
        </w:rPr>
        <w:t xml:space="preserve"> </w:t>
      </w:r>
      <w:r w:rsidR="005B76B5">
        <w:rPr>
          <w:rFonts w:ascii="Times New Roman" w:hAnsi="Times New Roman"/>
          <w:sz w:val="24"/>
          <w:szCs w:val="24"/>
        </w:rPr>
        <w:t xml:space="preserve"> </w:t>
      </w:r>
    </w:p>
    <w:p w14:paraId="6EE0E346" w14:textId="0366D014" w:rsidR="008E6B73" w:rsidRPr="00BA5550" w:rsidRDefault="00A138AC" w:rsidP="00254411">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260C4F">
        <w:rPr>
          <w:rFonts w:ascii="Times New Roman" w:hAnsi="Times New Roman"/>
          <w:sz w:val="24"/>
          <w:szCs w:val="24"/>
        </w:rPr>
        <w:t xml:space="preserve">However, Staff believes it </w:t>
      </w:r>
      <w:r w:rsidR="00C068A9">
        <w:rPr>
          <w:rFonts w:ascii="Times New Roman" w:hAnsi="Times New Roman"/>
          <w:sz w:val="24"/>
          <w:szCs w:val="24"/>
        </w:rPr>
        <w:t xml:space="preserve">is </w:t>
      </w:r>
      <w:r w:rsidR="008E6B73">
        <w:rPr>
          <w:rFonts w:ascii="Times New Roman" w:hAnsi="Times New Roman"/>
          <w:sz w:val="24"/>
          <w:szCs w:val="24"/>
        </w:rPr>
        <w:t xml:space="preserve">also </w:t>
      </w:r>
      <w:r w:rsidR="00C068A9">
        <w:rPr>
          <w:rFonts w:ascii="Times New Roman" w:hAnsi="Times New Roman"/>
          <w:sz w:val="24"/>
          <w:szCs w:val="24"/>
        </w:rPr>
        <w:t xml:space="preserve">appropriate to </w:t>
      </w:r>
      <w:r w:rsidR="001A1DB3">
        <w:rPr>
          <w:rFonts w:ascii="Times New Roman" w:hAnsi="Times New Roman"/>
          <w:sz w:val="24"/>
          <w:szCs w:val="24"/>
        </w:rPr>
        <w:t>present</w:t>
      </w:r>
      <w:r w:rsidR="00C068A9">
        <w:rPr>
          <w:rFonts w:ascii="Times New Roman" w:hAnsi="Times New Roman"/>
          <w:sz w:val="24"/>
          <w:szCs w:val="24"/>
        </w:rPr>
        <w:t xml:space="preserve"> the </w:t>
      </w:r>
      <w:r w:rsidR="001A1DB3">
        <w:rPr>
          <w:rFonts w:ascii="Times New Roman" w:hAnsi="Times New Roman"/>
          <w:sz w:val="24"/>
          <w:szCs w:val="24"/>
        </w:rPr>
        <w:t xml:space="preserve">recommended rate changes as </w:t>
      </w:r>
      <w:r w:rsidR="00C068A9">
        <w:rPr>
          <w:rFonts w:ascii="Times New Roman" w:hAnsi="Times New Roman"/>
          <w:sz w:val="24"/>
          <w:szCs w:val="24"/>
        </w:rPr>
        <w:t xml:space="preserve">changes to </w:t>
      </w:r>
      <w:r w:rsidR="00C068A9" w:rsidRPr="000A1016">
        <w:rPr>
          <w:rFonts w:ascii="Times New Roman" w:hAnsi="Times New Roman"/>
          <w:i/>
          <w:sz w:val="24"/>
          <w:szCs w:val="24"/>
        </w:rPr>
        <w:t>current</w:t>
      </w:r>
      <w:r w:rsidR="00C068A9">
        <w:rPr>
          <w:rFonts w:ascii="Times New Roman" w:hAnsi="Times New Roman"/>
          <w:sz w:val="24"/>
          <w:szCs w:val="24"/>
        </w:rPr>
        <w:t xml:space="preserve"> rates.  Therefore, Staff</w:t>
      </w:r>
      <w:r w:rsidR="00110286">
        <w:rPr>
          <w:rFonts w:ascii="Times New Roman" w:hAnsi="Times New Roman"/>
          <w:sz w:val="24"/>
          <w:szCs w:val="24"/>
        </w:rPr>
        <w:t xml:space="preserve"> provides a parallel</w:t>
      </w:r>
      <w:r w:rsidR="00C068A9">
        <w:rPr>
          <w:rFonts w:ascii="Times New Roman" w:hAnsi="Times New Roman"/>
          <w:sz w:val="24"/>
          <w:szCs w:val="24"/>
        </w:rPr>
        <w:t xml:space="preserve"> presentation </w:t>
      </w:r>
      <w:r w:rsidR="00110286">
        <w:rPr>
          <w:rFonts w:ascii="Times New Roman" w:hAnsi="Times New Roman"/>
          <w:sz w:val="24"/>
          <w:szCs w:val="24"/>
        </w:rPr>
        <w:t xml:space="preserve">that </w:t>
      </w:r>
      <w:r w:rsidR="0042170E">
        <w:rPr>
          <w:rFonts w:ascii="Times New Roman" w:hAnsi="Times New Roman"/>
          <w:sz w:val="24"/>
          <w:szCs w:val="24"/>
        </w:rPr>
        <w:t xml:space="preserve">treats </w:t>
      </w:r>
      <w:r w:rsidR="00C068A9">
        <w:rPr>
          <w:rFonts w:ascii="Times New Roman" w:hAnsi="Times New Roman"/>
          <w:sz w:val="24"/>
          <w:szCs w:val="24"/>
        </w:rPr>
        <w:t xml:space="preserve">the increases put into effect on January 1, 2014, </w:t>
      </w:r>
      <w:r w:rsidR="0042170E">
        <w:rPr>
          <w:rFonts w:ascii="Times New Roman" w:hAnsi="Times New Roman"/>
          <w:sz w:val="24"/>
          <w:szCs w:val="24"/>
        </w:rPr>
        <w:t>as</w:t>
      </w:r>
      <w:r w:rsidR="00C068A9">
        <w:rPr>
          <w:rFonts w:ascii="Times New Roman" w:hAnsi="Times New Roman"/>
          <w:sz w:val="24"/>
          <w:szCs w:val="24"/>
        </w:rPr>
        <w:t xml:space="preserve"> “perman</w:t>
      </w:r>
      <w:r w:rsidR="00165B93">
        <w:rPr>
          <w:rFonts w:ascii="Times New Roman" w:hAnsi="Times New Roman"/>
          <w:sz w:val="24"/>
          <w:szCs w:val="24"/>
        </w:rPr>
        <w:t>ent</w:t>
      </w:r>
      <w:r w:rsidR="0042170E">
        <w:rPr>
          <w:rFonts w:ascii="Times New Roman" w:hAnsi="Times New Roman"/>
          <w:sz w:val="24"/>
          <w:szCs w:val="24"/>
        </w:rPr>
        <w:t>,</w:t>
      </w:r>
      <w:r w:rsidR="00165B93">
        <w:rPr>
          <w:rFonts w:ascii="Times New Roman" w:hAnsi="Times New Roman"/>
          <w:sz w:val="24"/>
          <w:szCs w:val="24"/>
        </w:rPr>
        <w:t xml:space="preserve">” </w:t>
      </w:r>
      <w:r w:rsidR="0042170E">
        <w:rPr>
          <w:rFonts w:ascii="Times New Roman" w:hAnsi="Times New Roman"/>
          <w:sz w:val="24"/>
          <w:szCs w:val="24"/>
        </w:rPr>
        <w:t xml:space="preserve">solely </w:t>
      </w:r>
      <w:r w:rsidR="00165B93">
        <w:rPr>
          <w:rFonts w:ascii="Times New Roman" w:hAnsi="Times New Roman"/>
          <w:sz w:val="24"/>
          <w:szCs w:val="24"/>
        </w:rPr>
        <w:t>for purposes of presenting</w:t>
      </w:r>
      <w:r w:rsidR="00C068A9">
        <w:rPr>
          <w:rFonts w:ascii="Times New Roman" w:hAnsi="Times New Roman"/>
          <w:sz w:val="24"/>
          <w:szCs w:val="24"/>
        </w:rPr>
        <w:t xml:space="preserve"> the </w:t>
      </w:r>
      <w:r>
        <w:rPr>
          <w:rFonts w:ascii="Times New Roman" w:hAnsi="Times New Roman"/>
          <w:sz w:val="24"/>
          <w:szCs w:val="24"/>
        </w:rPr>
        <w:t>rate change relative to the rates that are currently in effect.</w:t>
      </w:r>
      <w:r w:rsidR="00B7215F">
        <w:rPr>
          <w:rFonts w:ascii="Times New Roman" w:hAnsi="Times New Roman"/>
          <w:sz w:val="24"/>
          <w:szCs w:val="24"/>
        </w:rPr>
        <w:t xml:space="preserve">  This </w:t>
      </w:r>
      <w:r>
        <w:rPr>
          <w:rFonts w:ascii="Times New Roman" w:hAnsi="Times New Roman"/>
          <w:sz w:val="24"/>
          <w:szCs w:val="24"/>
        </w:rPr>
        <w:t>presentation</w:t>
      </w:r>
      <w:r w:rsidR="00D73F9D">
        <w:rPr>
          <w:rFonts w:ascii="Times New Roman" w:hAnsi="Times New Roman"/>
          <w:sz w:val="24"/>
          <w:szCs w:val="24"/>
        </w:rPr>
        <w:t xml:space="preserve"> </w:t>
      </w:r>
      <w:r w:rsidR="00B7215F">
        <w:rPr>
          <w:rFonts w:ascii="Times New Roman" w:hAnsi="Times New Roman"/>
          <w:sz w:val="24"/>
          <w:szCs w:val="24"/>
        </w:rPr>
        <w:t xml:space="preserve">is </w:t>
      </w:r>
      <w:r w:rsidR="00D73F9D">
        <w:rPr>
          <w:rFonts w:ascii="Times New Roman" w:hAnsi="Times New Roman"/>
          <w:sz w:val="24"/>
          <w:szCs w:val="24"/>
        </w:rPr>
        <w:t xml:space="preserve">to recognize </w:t>
      </w:r>
      <w:r w:rsidR="00B7215F">
        <w:rPr>
          <w:rFonts w:ascii="Times New Roman" w:hAnsi="Times New Roman"/>
          <w:sz w:val="24"/>
          <w:szCs w:val="24"/>
        </w:rPr>
        <w:t>how a customer would view these rate changes.</w:t>
      </w:r>
    </w:p>
    <w:p w14:paraId="2E0B8F70" w14:textId="77777777" w:rsidR="00C068A9" w:rsidRDefault="00C068A9" w:rsidP="00254411">
      <w:pPr>
        <w:spacing w:after="0" w:line="480" w:lineRule="auto"/>
        <w:rPr>
          <w:rFonts w:ascii="Times New Roman" w:hAnsi="Times New Roman"/>
          <w:b/>
          <w:sz w:val="24"/>
          <w:szCs w:val="24"/>
          <w:lang w:eastAsia="x-none"/>
        </w:rPr>
      </w:pPr>
    </w:p>
    <w:p w14:paraId="0C8A7469" w14:textId="77777777" w:rsidR="00090018" w:rsidRDefault="00090018" w:rsidP="00254411">
      <w:pPr>
        <w:keepNext/>
        <w:spacing w:after="0" w:line="480" w:lineRule="auto"/>
        <w:rPr>
          <w:rFonts w:ascii="Times New Roman" w:hAnsi="Times New Roman"/>
          <w:b/>
          <w:sz w:val="24"/>
          <w:szCs w:val="24"/>
          <w:lang w:eastAsia="x-none"/>
        </w:rPr>
      </w:pPr>
      <w:r w:rsidRPr="001F2EFC">
        <w:rPr>
          <w:rFonts w:ascii="Times New Roman" w:hAnsi="Times New Roman"/>
          <w:b/>
          <w:sz w:val="24"/>
          <w:szCs w:val="24"/>
          <w:lang w:eastAsia="x-none"/>
        </w:rPr>
        <w:lastRenderedPageBreak/>
        <w:t>Q.</w:t>
      </w:r>
      <w:r>
        <w:rPr>
          <w:rFonts w:ascii="Times New Roman" w:hAnsi="Times New Roman"/>
          <w:b/>
          <w:sz w:val="24"/>
          <w:szCs w:val="24"/>
          <w:lang w:eastAsia="x-none"/>
        </w:rPr>
        <w:tab/>
        <w:t xml:space="preserve">Please describe generally how attrition is </w:t>
      </w:r>
      <w:r w:rsidR="00504568">
        <w:rPr>
          <w:rFonts w:ascii="Times New Roman" w:hAnsi="Times New Roman"/>
          <w:b/>
          <w:sz w:val="24"/>
          <w:szCs w:val="24"/>
          <w:lang w:eastAsia="x-none"/>
        </w:rPr>
        <w:t>measured</w:t>
      </w:r>
      <w:r>
        <w:rPr>
          <w:rFonts w:ascii="Times New Roman" w:hAnsi="Times New Roman"/>
          <w:b/>
          <w:sz w:val="24"/>
          <w:szCs w:val="24"/>
          <w:lang w:eastAsia="x-none"/>
        </w:rPr>
        <w:t>.</w:t>
      </w:r>
    </w:p>
    <w:p w14:paraId="36A0A6E1" w14:textId="04DB145E" w:rsidR="00504568" w:rsidRDefault="00090018" w:rsidP="00254411">
      <w:pPr>
        <w:spacing w:after="0" w:line="480" w:lineRule="auto"/>
        <w:ind w:left="720" w:hanging="720"/>
        <w:rPr>
          <w:rFonts w:ascii="Times New Roman" w:hAnsi="Times New Roman"/>
          <w:sz w:val="24"/>
          <w:szCs w:val="24"/>
          <w:lang w:eastAsia="x-none"/>
        </w:rPr>
      </w:pPr>
      <w:r>
        <w:rPr>
          <w:rFonts w:ascii="Times New Roman" w:hAnsi="Times New Roman"/>
          <w:sz w:val="24"/>
          <w:szCs w:val="24"/>
          <w:lang w:eastAsia="x-none"/>
        </w:rPr>
        <w:t xml:space="preserve">A. </w:t>
      </w:r>
      <w:r>
        <w:rPr>
          <w:rFonts w:ascii="Times New Roman" w:hAnsi="Times New Roman"/>
          <w:sz w:val="24"/>
          <w:szCs w:val="24"/>
          <w:lang w:eastAsia="x-none"/>
        </w:rPr>
        <w:tab/>
      </w:r>
      <w:r w:rsidR="00B7215F">
        <w:rPr>
          <w:rFonts w:ascii="Times New Roman" w:hAnsi="Times New Roman"/>
          <w:sz w:val="24"/>
          <w:szCs w:val="24"/>
          <w:lang w:eastAsia="x-none"/>
        </w:rPr>
        <w:t>U</w:t>
      </w:r>
      <w:r w:rsidR="001F613E">
        <w:rPr>
          <w:rFonts w:ascii="Times New Roman" w:hAnsi="Times New Roman"/>
          <w:sz w:val="24"/>
          <w:szCs w:val="24"/>
          <w:lang w:eastAsia="x-none"/>
        </w:rPr>
        <w:t>nder</w:t>
      </w:r>
      <w:r w:rsidR="00B7215F">
        <w:rPr>
          <w:rFonts w:ascii="Times New Roman" w:hAnsi="Times New Roman"/>
          <w:sz w:val="24"/>
          <w:szCs w:val="24"/>
          <w:lang w:eastAsia="x-none"/>
        </w:rPr>
        <w:t xml:space="preserve"> the rate base, rate of return formula, t</w:t>
      </w:r>
      <w:r w:rsidR="006F0C77">
        <w:rPr>
          <w:rFonts w:ascii="Times New Roman" w:hAnsi="Times New Roman"/>
          <w:sz w:val="24"/>
          <w:szCs w:val="24"/>
          <w:lang w:eastAsia="x-none"/>
        </w:rPr>
        <w:t xml:space="preserve">he Commission uses historical test period relationships </w:t>
      </w:r>
      <w:r w:rsidR="001F613E">
        <w:rPr>
          <w:rFonts w:ascii="Times New Roman" w:hAnsi="Times New Roman"/>
          <w:sz w:val="24"/>
          <w:szCs w:val="24"/>
          <w:lang w:eastAsia="x-none"/>
        </w:rPr>
        <w:t xml:space="preserve">in </w:t>
      </w:r>
      <w:r w:rsidR="006F0C77">
        <w:rPr>
          <w:rFonts w:ascii="Times New Roman" w:hAnsi="Times New Roman"/>
          <w:sz w:val="24"/>
          <w:szCs w:val="24"/>
          <w:lang w:eastAsia="x-none"/>
        </w:rPr>
        <w:t>revenue, expenses and rate base</w:t>
      </w:r>
      <w:r w:rsidR="001F613E">
        <w:rPr>
          <w:rFonts w:ascii="Times New Roman" w:hAnsi="Times New Roman"/>
          <w:sz w:val="24"/>
          <w:szCs w:val="24"/>
          <w:lang w:eastAsia="x-none"/>
        </w:rPr>
        <w:t>,</w:t>
      </w:r>
      <w:r w:rsidR="006F0C77">
        <w:rPr>
          <w:rFonts w:ascii="Times New Roman" w:hAnsi="Times New Roman"/>
          <w:sz w:val="24"/>
          <w:szCs w:val="24"/>
          <w:lang w:eastAsia="x-none"/>
        </w:rPr>
        <w:t xml:space="preserve"> to determine the revenue requirement of a utility.  </w:t>
      </w:r>
      <w:r w:rsidRPr="0076091C">
        <w:rPr>
          <w:rFonts w:ascii="Times New Roman" w:hAnsi="Times New Roman"/>
          <w:sz w:val="24"/>
          <w:szCs w:val="24"/>
          <w:lang w:eastAsia="x-none"/>
        </w:rPr>
        <w:t xml:space="preserve">An attrition study </w:t>
      </w:r>
      <w:r w:rsidR="006F0C77">
        <w:rPr>
          <w:rFonts w:ascii="Times New Roman" w:hAnsi="Times New Roman"/>
          <w:sz w:val="24"/>
          <w:szCs w:val="24"/>
          <w:lang w:eastAsia="x-none"/>
        </w:rPr>
        <w:t xml:space="preserve">evaluates </w:t>
      </w:r>
      <w:r w:rsidR="0059187E">
        <w:rPr>
          <w:rFonts w:ascii="Times New Roman" w:hAnsi="Times New Roman"/>
          <w:sz w:val="24"/>
          <w:szCs w:val="24"/>
          <w:lang w:eastAsia="x-none"/>
        </w:rPr>
        <w:t xml:space="preserve">prevailing rates of growth </w:t>
      </w:r>
      <w:r w:rsidR="003F0CBC">
        <w:rPr>
          <w:rFonts w:ascii="Times New Roman" w:hAnsi="Times New Roman"/>
          <w:sz w:val="24"/>
          <w:szCs w:val="24"/>
          <w:lang w:eastAsia="x-none"/>
        </w:rPr>
        <w:t xml:space="preserve">in </w:t>
      </w:r>
      <w:r w:rsidR="001F613E">
        <w:rPr>
          <w:rFonts w:ascii="Times New Roman" w:hAnsi="Times New Roman"/>
          <w:sz w:val="24"/>
          <w:szCs w:val="24"/>
          <w:lang w:eastAsia="x-none"/>
        </w:rPr>
        <w:t xml:space="preserve">each of </w:t>
      </w:r>
      <w:r w:rsidR="003F0CBC">
        <w:rPr>
          <w:rFonts w:ascii="Times New Roman" w:hAnsi="Times New Roman"/>
          <w:sz w:val="24"/>
          <w:szCs w:val="24"/>
          <w:lang w:eastAsia="x-none"/>
        </w:rPr>
        <w:t xml:space="preserve">these elements </w:t>
      </w:r>
      <w:r w:rsidR="001F613E">
        <w:rPr>
          <w:rFonts w:ascii="Times New Roman" w:hAnsi="Times New Roman"/>
          <w:sz w:val="24"/>
          <w:szCs w:val="24"/>
          <w:lang w:eastAsia="x-none"/>
        </w:rPr>
        <w:t xml:space="preserve">to </w:t>
      </w:r>
      <w:r w:rsidR="003F0CBC">
        <w:rPr>
          <w:rFonts w:ascii="Times New Roman" w:hAnsi="Times New Roman"/>
          <w:sz w:val="24"/>
          <w:szCs w:val="24"/>
          <w:lang w:eastAsia="x-none"/>
        </w:rPr>
        <w:t xml:space="preserve">determine if there is evidence to indicate whether those relationships, known and measured in the test period, are likely to be materially different than those in the rate year. </w:t>
      </w:r>
    </w:p>
    <w:p w14:paraId="4C2ECB32" w14:textId="79172DAB" w:rsidR="00090018" w:rsidRDefault="00504568" w:rsidP="00254411">
      <w:pPr>
        <w:spacing w:after="0" w:line="480" w:lineRule="auto"/>
        <w:ind w:left="720" w:hanging="720"/>
        <w:rPr>
          <w:rFonts w:ascii="Times New Roman" w:hAnsi="Times New Roman"/>
          <w:sz w:val="24"/>
          <w:szCs w:val="24"/>
        </w:rPr>
      </w:pPr>
      <w:r>
        <w:rPr>
          <w:rFonts w:ascii="Times New Roman" w:hAnsi="Times New Roman"/>
          <w:sz w:val="24"/>
          <w:szCs w:val="24"/>
          <w:lang w:eastAsia="x-none"/>
        </w:rPr>
        <w:tab/>
      </w:r>
      <w:r>
        <w:rPr>
          <w:rFonts w:ascii="Times New Roman" w:hAnsi="Times New Roman"/>
          <w:sz w:val="24"/>
          <w:szCs w:val="24"/>
          <w:lang w:eastAsia="x-none"/>
        </w:rPr>
        <w:tab/>
      </w:r>
      <w:r w:rsidR="006F0C77">
        <w:rPr>
          <w:rFonts w:ascii="Times New Roman" w:hAnsi="Times New Roman"/>
          <w:sz w:val="24"/>
          <w:szCs w:val="24"/>
        </w:rPr>
        <w:t>T</w:t>
      </w:r>
      <w:r w:rsidR="00664BB6">
        <w:rPr>
          <w:rFonts w:ascii="Times New Roman" w:hAnsi="Times New Roman"/>
          <w:sz w:val="24"/>
          <w:szCs w:val="24"/>
        </w:rPr>
        <w:t>he attrition analysis</w:t>
      </w:r>
      <w:r>
        <w:rPr>
          <w:rFonts w:ascii="Times New Roman" w:hAnsi="Times New Roman"/>
          <w:sz w:val="24"/>
          <w:szCs w:val="24"/>
        </w:rPr>
        <w:t xml:space="preserve"> </w:t>
      </w:r>
      <w:r w:rsidR="00090018" w:rsidRPr="00DB1AF9">
        <w:rPr>
          <w:rFonts w:ascii="Times New Roman" w:hAnsi="Times New Roman"/>
          <w:sz w:val="24"/>
          <w:szCs w:val="24"/>
        </w:rPr>
        <w:t>determine</w:t>
      </w:r>
      <w:r>
        <w:rPr>
          <w:rFonts w:ascii="Times New Roman" w:hAnsi="Times New Roman"/>
          <w:sz w:val="24"/>
          <w:szCs w:val="24"/>
        </w:rPr>
        <w:t>s</w:t>
      </w:r>
      <w:r w:rsidR="00090018" w:rsidRPr="00DB1AF9">
        <w:rPr>
          <w:rFonts w:ascii="Times New Roman" w:hAnsi="Times New Roman"/>
          <w:sz w:val="24"/>
          <w:szCs w:val="24"/>
        </w:rPr>
        <w:t xml:space="preserve"> </w:t>
      </w:r>
      <w:r w:rsidR="006F0C77">
        <w:rPr>
          <w:rFonts w:ascii="Times New Roman" w:hAnsi="Times New Roman"/>
          <w:sz w:val="24"/>
          <w:szCs w:val="24"/>
        </w:rPr>
        <w:t xml:space="preserve">if additional </w:t>
      </w:r>
      <w:r w:rsidR="00090018" w:rsidRPr="00DB1AF9">
        <w:rPr>
          <w:rFonts w:ascii="Times New Roman" w:hAnsi="Times New Roman"/>
          <w:sz w:val="24"/>
          <w:szCs w:val="24"/>
        </w:rPr>
        <w:t xml:space="preserve">revenue </w:t>
      </w:r>
      <w:r w:rsidR="006F0C77">
        <w:rPr>
          <w:rFonts w:ascii="Times New Roman" w:hAnsi="Times New Roman"/>
          <w:sz w:val="24"/>
          <w:szCs w:val="24"/>
        </w:rPr>
        <w:t xml:space="preserve">is </w:t>
      </w:r>
      <w:r w:rsidR="00090018" w:rsidRPr="00DB1AF9">
        <w:rPr>
          <w:rFonts w:ascii="Times New Roman" w:hAnsi="Times New Roman"/>
          <w:sz w:val="24"/>
          <w:szCs w:val="24"/>
        </w:rPr>
        <w:t xml:space="preserve">necessary to provide </w:t>
      </w:r>
      <w:r w:rsidR="00B7215F">
        <w:rPr>
          <w:rFonts w:ascii="Times New Roman" w:hAnsi="Times New Roman"/>
          <w:sz w:val="24"/>
          <w:szCs w:val="24"/>
        </w:rPr>
        <w:t>the</w:t>
      </w:r>
      <w:r w:rsidR="00090018" w:rsidRPr="00DB1AF9">
        <w:rPr>
          <w:rFonts w:ascii="Times New Roman" w:hAnsi="Times New Roman"/>
          <w:sz w:val="24"/>
          <w:szCs w:val="24"/>
        </w:rPr>
        <w:t xml:space="preserve"> utility an opportunity to earn </w:t>
      </w:r>
      <w:r w:rsidR="006F0C77">
        <w:rPr>
          <w:rFonts w:ascii="Times New Roman" w:hAnsi="Times New Roman"/>
          <w:sz w:val="24"/>
          <w:szCs w:val="24"/>
        </w:rPr>
        <w:t>a fair</w:t>
      </w:r>
      <w:r w:rsidR="00090018" w:rsidRPr="00DB1AF9">
        <w:rPr>
          <w:rFonts w:ascii="Times New Roman" w:hAnsi="Times New Roman"/>
          <w:sz w:val="24"/>
          <w:szCs w:val="24"/>
        </w:rPr>
        <w:t xml:space="preserve"> rate of return in the rate year. </w:t>
      </w:r>
      <w:r w:rsidR="003F0CBC">
        <w:rPr>
          <w:rFonts w:ascii="Times New Roman" w:hAnsi="Times New Roman"/>
          <w:sz w:val="24"/>
          <w:szCs w:val="24"/>
        </w:rPr>
        <w:t xml:space="preserve"> </w:t>
      </w:r>
      <w:r w:rsidR="00090018" w:rsidRPr="00DB1AF9">
        <w:rPr>
          <w:rFonts w:ascii="Times New Roman" w:hAnsi="Times New Roman"/>
          <w:sz w:val="24"/>
          <w:szCs w:val="24"/>
        </w:rPr>
        <w:t>If</w:t>
      </w:r>
      <w:r w:rsidR="00090018">
        <w:rPr>
          <w:rFonts w:ascii="Times New Roman" w:hAnsi="Times New Roman"/>
          <w:sz w:val="24"/>
          <w:szCs w:val="24"/>
        </w:rPr>
        <w:t xml:space="preserve"> rates determined using test year relationships are unlikely to provide revenues sufficient to allow a company a reasonable opportunity to achieve its authorized rate of return in t</w:t>
      </w:r>
      <w:r w:rsidR="00FD4489">
        <w:rPr>
          <w:rFonts w:ascii="Times New Roman" w:hAnsi="Times New Roman"/>
          <w:sz w:val="24"/>
          <w:szCs w:val="24"/>
        </w:rPr>
        <w:t xml:space="preserve">he rate year, </w:t>
      </w:r>
      <w:r w:rsidR="0042170E">
        <w:rPr>
          <w:rFonts w:ascii="Times New Roman" w:hAnsi="Times New Roman"/>
          <w:sz w:val="24"/>
          <w:szCs w:val="24"/>
        </w:rPr>
        <w:t xml:space="preserve">the Commission should consider </w:t>
      </w:r>
      <w:r w:rsidR="00FD4489">
        <w:rPr>
          <w:rFonts w:ascii="Times New Roman" w:hAnsi="Times New Roman"/>
          <w:sz w:val="24"/>
          <w:szCs w:val="24"/>
        </w:rPr>
        <w:t>an attrition adjustment</w:t>
      </w:r>
      <w:r w:rsidR="00090018">
        <w:rPr>
          <w:rFonts w:ascii="Times New Roman" w:hAnsi="Times New Roman"/>
          <w:sz w:val="24"/>
          <w:szCs w:val="24"/>
        </w:rPr>
        <w:t>.</w:t>
      </w:r>
      <w:r w:rsidR="006F0C77">
        <w:rPr>
          <w:rFonts w:ascii="Times New Roman" w:hAnsi="Times New Roman"/>
          <w:sz w:val="24"/>
          <w:szCs w:val="24"/>
        </w:rPr>
        <w:t xml:space="preserve">  </w:t>
      </w:r>
    </w:p>
    <w:p w14:paraId="3A36259D" w14:textId="77777777" w:rsidR="002A4FF8" w:rsidRDefault="002A4FF8" w:rsidP="00254411">
      <w:pPr>
        <w:spacing w:after="0" w:line="480" w:lineRule="auto"/>
        <w:ind w:left="720" w:hanging="720"/>
        <w:rPr>
          <w:rFonts w:ascii="Times New Roman" w:hAnsi="Times New Roman"/>
          <w:b/>
          <w:sz w:val="24"/>
          <w:szCs w:val="24"/>
        </w:rPr>
      </w:pPr>
    </w:p>
    <w:p w14:paraId="4A4DD9D1" w14:textId="4A6B4CBE" w:rsidR="00090018" w:rsidRPr="00375F5E" w:rsidRDefault="00090018" w:rsidP="00254411">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r>
      <w:r w:rsidRPr="00375F5E">
        <w:rPr>
          <w:rFonts w:ascii="Times New Roman" w:hAnsi="Times New Roman"/>
          <w:b/>
          <w:sz w:val="24"/>
          <w:szCs w:val="24"/>
        </w:rPr>
        <w:t xml:space="preserve">Please </w:t>
      </w:r>
      <w:r w:rsidR="0082591C">
        <w:rPr>
          <w:rFonts w:ascii="Times New Roman" w:hAnsi="Times New Roman"/>
          <w:b/>
          <w:sz w:val="24"/>
          <w:szCs w:val="24"/>
        </w:rPr>
        <w:t xml:space="preserve">describe </w:t>
      </w:r>
      <w:r w:rsidR="00AB641A">
        <w:rPr>
          <w:rFonts w:ascii="Times New Roman" w:hAnsi="Times New Roman"/>
          <w:b/>
          <w:sz w:val="24"/>
          <w:szCs w:val="24"/>
        </w:rPr>
        <w:t xml:space="preserve">your attrition </w:t>
      </w:r>
      <w:r w:rsidR="0082591C">
        <w:rPr>
          <w:rFonts w:ascii="Times New Roman" w:hAnsi="Times New Roman"/>
          <w:b/>
          <w:sz w:val="24"/>
          <w:szCs w:val="24"/>
        </w:rPr>
        <w:t>analysis in this case</w:t>
      </w:r>
      <w:r w:rsidR="00B7215F">
        <w:rPr>
          <w:rFonts w:ascii="Times New Roman" w:hAnsi="Times New Roman"/>
          <w:b/>
          <w:sz w:val="24"/>
          <w:szCs w:val="24"/>
        </w:rPr>
        <w:t>.</w:t>
      </w:r>
      <w:r w:rsidR="0082591C">
        <w:rPr>
          <w:rFonts w:ascii="Times New Roman" w:hAnsi="Times New Roman"/>
          <w:b/>
          <w:sz w:val="24"/>
          <w:szCs w:val="24"/>
        </w:rPr>
        <w:t xml:space="preserve"> </w:t>
      </w:r>
    </w:p>
    <w:p w14:paraId="27AA0257" w14:textId="6601FBC2" w:rsidR="009714EA" w:rsidRDefault="00090018" w:rsidP="00254411">
      <w:pPr>
        <w:spacing w:after="0" w:line="480" w:lineRule="auto"/>
        <w:ind w:left="720" w:hanging="720"/>
        <w:rPr>
          <w:rStyle w:val="LineNumber"/>
        </w:rPr>
      </w:pPr>
      <w:r w:rsidRPr="00A9403B">
        <w:rPr>
          <w:rFonts w:ascii="Times New Roman" w:hAnsi="Times New Roman"/>
          <w:sz w:val="24"/>
          <w:szCs w:val="24"/>
        </w:rPr>
        <w:t>A.</w:t>
      </w:r>
      <w:r>
        <w:rPr>
          <w:rFonts w:ascii="Times New Roman" w:hAnsi="Times New Roman"/>
          <w:sz w:val="24"/>
          <w:szCs w:val="24"/>
        </w:rPr>
        <w:tab/>
      </w:r>
      <w:r w:rsidR="001F613E">
        <w:rPr>
          <w:rFonts w:ascii="Times New Roman" w:hAnsi="Times New Roman"/>
          <w:sz w:val="24"/>
          <w:szCs w:val="24"/>
        </w:rPr>
        <w:t>To analyze historical growth rates in revenues, expenses and rate base, I used information from the Commission Basis Report</w:t>
      </w:r>
      <w:r w:rsidR="009714EA">
        <w:rPr>
          <w:rFonts w:ascii="Times New Roman" w:hAnsi="Times New Roman"/>
          <w:sz w:val="24"/>
          <w:szCs w:val="24"/>
        </w:rPr>
        <w:t>s</w:t>
      </w:r>
      <w:r w:rsidR="001F613E">
        <w:rPr>
          <w:rFonts w:ascii="Times New Roman" w:hAnsi="Times New Roman"/>
          <w:sz w:val="24"/>
          <w:szCs w:val="24"/>
        </w:rPr>
        <w:t xml:space="preserve"> Avista has filed with the Commission pursuant to WAC 480-100-257 (electric) and WAC 480-90-257 (gas).</w:t>
      </w:r>
      <w:r w:rsidRPr="00920C2D">
        <w:rPr>
          <w:rFonts w:ascii="Times New Roman" w:hAnsi="Times New Roman"/>
          <w:sz w:val="24"/>
          <w:szCs w:val="24"/>
        </w:rPr>
        <w:t xml:space="preserve"> </w:t>
      </w:r>
      <w:r w:rsidR="001F613E">
        <w:rPr>
          <w:rFonts w:ascii="Times New Roman" w:hAnsi="Times New Roman"/>
          <w:sz w:val="24"/>
          <w:szCs w:val="24"/>
        </w:rPr>
        <w:t xml:space="preserve"> These reports </w:t>
      </w:r>
      <w:r w:rsidR="0082591C">
        <w:rPr>
          <w:rFonts w:ascii="Times New Roman" w:hAnsi="Times New Roman"/>
          <w:sz w:val="24"/>
          <w:szCs w:val="24"/>
        </w:rPr>
        <w:t>show</w:t>
      </w:r>
      <w:r w:rsidR="00A10655">
        <w:rPr>
          <w:rFonts w:ascii="Times New Roman" w:hAnsi="Times New Roman"/>
          <w:sz w:val="24"/>
          <w:szCs w:val="24"/>
        </w:rPr>
        <w:t xml:space="preserve"> Avista’s financial performance under</w:t>
      </w:r>
      <w:r w:rsidR="00830059">
        <w:rPr>
          <w:rFonts w:ascii="Times New Roman" w:hAnsi="Times New Roman"/>
          <w:sz w:val="24"/>
          <w:szCs w:val="24"/>
        </w:rPr>
        <w:t xml:space="preserve"> </w:t>
      </w:r>
      <w:r w:rsidR="00920C2D" w:rsidRPr="00920C2D">
        <w:rPr>
          <w:rStyle w:val="LineNumber"/>
        </w:rPr>
        <w:t xml:space="preserve">normalized </w:t>
      </w:r>
      <w:r w:rsidR="00A10655">
        <w:rPr>
          <w:rStyle w:val="LineNumber"/>
        </w:rPr>
        <w:t xml:space="preserve">operating conditions and adjusting items based upon prior Commission orders for </w:t>
      </w:r>
      <w:r w:rsidR="00920C2D" w:rsidRPr="00920C2D">
        <w:rPr>
          <w:rStyle w:val="LineNumber"/>
        </w:rPr>
        <w:t>expense</w:t>
      </w:r>
      <w:r w:rsidR="00A10655">
        <w:rPr>
          <w:rStyle w:val="LineNumber"/>
        </w:rPr>
        <w:t>s</w:t>
      </w:r>
      <w:r w:rsidR="00920C2D" w:rsidRPr="00920C2D">
        <w:rPr>
          <w:rStyle w:val="LineNumber"/>
        </w:rPr>
        <w:t>,</w:t>
      </w:r>
      <w:r w:rsidRPr="00920C2D">
        <w:rPr>
          <w:rStyle w:val="LineNumber"/>
        </w:rPr>
        <w:t xml:space="preserve"> net plant</w:t>
      </w:r>
      <w:r w:rsidR="00920C2D" w:rsidRPr="00920C2D">
        <w:rPr>
          <w:rStyle w:val="LineNumber"/>
        </w:rPr>
        <w:t>, and certain non-retail revenue</w:t>
      </w:r>
      <w:r w:rsidRPr="00920C2D">
        <w:rPr>
          <w:rStyle w:val="LineNumber"/>
        </w:rPr>
        <w:t xml:space="preserve"> </w:t>
      </w:r>
      <w:r w:rsidR="00920C2D" w:rsidRPr="00920C2D">
        <w:rPr>
          <w:rStyle w:val="LineNumber"/>
        </w:rPr>
        <w:t>data</w:t>
      </w:r>
      <w:r w:rsidR="001F613E">
        <w:rPr>
          <w:rStyle w:val="LineNumber"/>
        </w:rPr>
        <w:t xml:space="preserve"> for prior year</w:t>
      </w:r>
      <w:r w:rsidR="00A10655">
        <w:rPr>
          <w:rStyle w:val="LineNumber"/>
        </w:rPr>
        <w:t>s</w:t>
      </w:r>
      <w:r w:rsidR="005E09B2">
        <w:rPr>
          <w:rStyle w:val="LineNumber"/>
        </w:rPr>
        <w:t xml:space="preserve">.  </w:t>
      </w:r>
      <w:r w:rsidR="00EC7EA8">
        <w:rPr>
          <w:rStyle w:val="LineNumber"/>
        </w:rPr>
        <w:t xml:space="preserve">As Staff witness Ms. Huang notes, Staff reviews these </w:t>
      </w:r>
      <w:r w:rsidR="00664BB6">
        <w:rPr>
          <w:rStyle w:val="LineNumber"/>
        </w:rPr>
        <w:t xml:space="preserve">Commission Basis </w:t>
      </w:r>
      <w:r w:rsidR="00B7215F">
        <w:rPr>
          <w:rStyle w:val="LineNumber"/>
        </w:rPr>
        <w:t>Reports</w:t>
      </w:r>
      <w:r w:rsidR="001F613E">
        <w:rPr>
          <w:rStyle w:val="LineNumber"/>
        </w:rPr>
        <w:t xml:space="preserve"> each year.  </w:t>
      </w:r>
    </w:p>
    <w:p w14:paraId="40288E29" w14:textId="7772C11E" w:rsidR="001F613E" w:rsidRDefault="009714EA" w:rsidP="00254411">
      <w:pPr>
        <w:spacing w:after="0" w:line="480" w:lineRule="auto"/>
        <w:ind w:left="720" w:hanging="720"/>
        <w:rPr>
          <w:rStyle w:val="LineNumber"/>
        </w:rPr>
      </w:pPr>
      <w:r>
        <w:rPr>
          <w:rFonts w:ascii="Times New Roman" w:hAnsi="Times New Roman"/>
          <w:sz w:val="24"/>
          <w:szCs w:val="24"/>
        </w:rPr>
        <w:lastRenderedPageBreak/>
        <w:tab/>
      </w:r>
      <w:r>
        <w:rPr>
          <w:rFonts w:ascii="Times New Roman" w:hAnsi="Times New Roman"/>
          <w:sz w:val="24"/>
          <w:szCs w:val="24"/>
        </w:rPr>
        <w:tab/>
      </w:r>
      <w:r w:rsidR="00A10655">
        <w:rPr>
          <w:rFonts w:ascii="Times New Roman" w:hAnsi="Times New Roman"/>
          <w:sz w:val="24"/>
          <w:szCs w:val="24"/>
        </w:rPr>
        <w:t>T</w:t>
      </w:r>
      <w:r>
        <w:rPr>
          <w:rFonts w:ascii="Times New Roman" w:hAnsi="Times New Roman"/>
          <w:sz w:val="24"/>
          <w:szCs w:val="24"/>
        </w:rPr>
        <w:t>he “base case,” or the “escalation base” for my attrition study</w:t>
      </w:r>
      <w:r w:rsidR="00A10655">
        <w:rPr>
          <w:rFonts w:ascii="Times New Roman" w:hAnsi="Times New Roman"/>
          <w:sz w:val="24"/>
          <w:szCs w:val="24"/>
        </w:rPr>
        <w:t xml:space="preserve"> is </w:t>
      </w:r>
      <w:r>
        <w:rPr>
          <w:rFonts w:ascii="Times New Roman" w:hAnsi="Times New Roman"/>
          <w:sz w:val="24"/>
          <w:szCs w:val="24"/>
        </w:rPr>
        <w:t xml:space="preserve">the Commission Basis Report for the 12 months ending December 31, 2013.  </w:t>
      </w:r>
      <w:r w:rsidR="001F613E">
        <w:rPr>
          <w:rStyle w:val="LineNumber"/>
        </w:rPr>
        <w:t xml:space="preserve">Staff witness Ms. Huang describes </w:t>
      </w:r>
      <w:r>
        <w:rPr>
          <w:rStyle w:val="LineNumber"/>
        </w:rPr>
        <w:t>Staff’s</w:t>
      </w:r>
      <w:r w:rsidR="001F613E">
        <w:rPr>
          <w:rStyle w:val="LineNumber"/>
        </w:rPr>
        <w:t xml:space="preserve"> review of th</w:t>
      </w:r>
      <w:r>
        <w:rPr>
          <w:rStyle w:val="LineNumber"/>
        </w:rPr>
        <w:t>is Report</w:t>
      </w:r>
      <w:r w:rsidR="001F613E">
        <w:rPr>
          <w:rStyle w:val="LineNumber"/>
        </w:rPr>
        <w:t>.</w:t>
      </w:r>
      <w:r>
        <w:rPr>
          <w:rStyle w:val="LineNumber"/>
        </w:rPr>
        <w:t xml:space="preserve">  </w:t>
      </w:r>
      <w:r w:rsidR="001F613E">
        <w:rPr>
          <w:rStyle w:val="LineNumber"/>
        </w:rPr>
        <w:t xml:space="preserve">  </w:t>
      </w:r>
    </w:p>
    <w:p w14:paraId="16C86370" w14:textId="77777777" w:rsidR="00A10655" w:rsidRDefault="00A10655" w:rsidP="00254411">
      <w:pPr>
        <w:spacing w:after="0" w:line="480" w:lineRule="auto"/>
        <w:ind w:left="720" w:hanging="720"/>
        <w:rPr>
          <w:rStyle w:val="LineNumber"/>
        </w:rPr>
      </w:pPr>
    </w:p>
    <w:p w14:paraId="1A678229" w14:textId="0FF91213" w:rsidR="00A10655" w:rsidRPr="00AE5C34" w:rsidRDefault="00A10655" w:rsidP="00254411">
      <w:pPr>
        <w:spacing w:after="0" w:line="480" w:lineRule="auto"/>
        <w:ind w:left="720" w:hanging="720"/>
        <w:rPr>
          <w:rStyle w:val="LineNumber"/>
          <w:b/>
        </w:rPr>
      </w:pPr>
      <w:r>
        <w:rPr>
          <w:rStyle w:val="LineNumber"/>
          <w:b/>
        </w:rPr>
        <w:t>Q.</w:t>
      </w:r>
      <w:r>
        <w:rPr>
          <w:rStyle w:val="LineNumber"/>
          <w:b/>
        </w:rPr>
        <w:tab/>
        <w:t>What data did you use for developing a trend analysis to establish how the relationships between revenue, expense and rate base change over time?</w:t>
      </w:r>
    </w:p>
    <w:p w14:paraId="6EE28A77" w14:textId="2E065E63" w:rsidR="00090018" w:rsidRPr="00D02096" w:rsidRDefault="00E7740E" w:rsidP="00254411">
      <w:pPr>
        <w:spacing w:after="0" w:line="480" w:lineRule="auto"/>
        <w:ind w:left="720" w:hanging="720"/>
        <w:rPr>
          <w:rFonts w:ascii="Times New Roman" w:hAnsi="Times New Roman"/>
          <w:sz w:val="24"/>
          <w:szCs w:val="24"/>
        </w:rPr>
      </w:pPr>
      <w:r>
        <w:rPr>
          <w:rFonts w:ascii="Times New Roman" w:hAnsi="Times New Roman"/>
          <w:sz w:val="24"/>
          <w:szCs w:val="24"/>
        </w:rPr>
        <w:t>A.</w:t>
      </w:r>
      <w:r w:rsidR="001F613E">
        <w:rPr>
          <w:rFonts w:ascii="Times New Roman" w:hAnsi="Times New Roman"/>
          <w:sz w:val="24"/>
          <w:szCs w:val="24"/>
        </w:rPr>
        <w:tab/>
      </w:r>
      <w:r w:rsidR="009714EA">
        <w:rPr>
          <w:rStyle w:val="LineNumber"/>
        </w:rPr>
        <w:t xml:space="preserve">I used data from prior Commission Basis Reports to develop annual rates of growth for </w:t>
      </w:r>
      <w:r w:rsidR="00DE1D2E">
        <w:rPr>
          <w:rStyle w:val="LineNumber"/>
        </w:rPr>
        <w:t xml:space="preserve">non-retail </w:t>
      </w:r>
      <w:r w:rsidR="009714EA">
        <w:rPr>
          <w:rStyle w:val="LineNumber"/>
        </w:rPr>
        <w:t xml:space="preserve">revenues, expenses and </w:t>
      </w:r>
      <w:r w:rsidR="005E09B2">
        <w:rPr>
          <w:rStyle w:val="LineNumber"/>
        </w:rPr>
        <w:t>net plant</w:t>
      </w:r>
      <w:r w:rsidR="009714EA">
        <w:rPr>
          <w:rStyle w:val="LineNumber"/>
        </w:rPr>
        <w:t xml:space="preserve">.  </w:t>
      </w:r>
      <w:r w:rsidR="0082591C">
        <w:rPr>
          <w:rStyle w:val="LineNumber"/>
        </w:rPr>
        <w:t>I</w:t>
      </w:r>
      <w:r w:rsidR="0082591C" w:rsidRPr="00920C2D">
        <w:rPr>
          <w:rStyle w:val="LineNumber"/>
        </w:rPr>
        <w:t xml:space="preserve"> </w:t>
      </w:r>
      <w:r w:rsidR="00920C2D" w:rsidRPr="00920C2D">
        <w:rPr>
          <w:rStyle w:val="LineNumber"/>
        </w:rPr>
        <w:t>then applied the</w:t>
      </w:r>
      <w:r w:rsidR="00A44F49">
        <w:rPr>
          <w:rStyle w:val="LineNumber"/>
        </w:rPr>
        <w:t>se</w:t>
      </w:r>
      <w:r w:rsidR="00920C2D" w:rsidRPr="00920C2D">
        <w:rPr>
          <w:rStyle w:val="LineNumber"/>
        </w:rPr>
        <w:t xml:space="preserve"> h</w:t>
      </w:r>
      <w:r w:rsidR="00090018" w:rsidRPr="00920C2D">
        <w:rPr>
          <w:rStyle w:val="LineNumber"/>
        </w:rPr>
        <w:t xml:space="preserve">istorical annual rates of growth to </w:t>
      </w:r>
      <w:r w:rsidR="00664BB6">
        <w:rPr>
          <w:rStyle w:val="LineNumber"/>
        </w:rPr>
        <w:t>the 12 months ending December</w:t>
      </w:r>
      <w:r w:rsidR="002769B8">
        <w:rPr>
          <w:rStyle w:val="LineNumber"/>
        </w:rPr>
        <w:t xml:space="preserve"> 31,</w:t>
      </w:r>
      <w:r w:rsidR="00664BB6">
        <w:rPr>
          <w:rStyle w:val="LineNumber"/>
        </w:rPr>
        <w:t xml:space="preserve"> 2013</w:t>
      </w:r>
      <w:r w:rsidR="002769B8">
        <w:rPr>
          <w:rStyle w:val="LineNumber"/>
        </w:rPr>
        <w:t>,</w:t>
      </w:r>
      <w:r w:rsidR="00090018" w:rsidRPr="00920C2D">
        <w:rPr>
          <w:rStyle w:val="LineNumber"/>
        </w:rPr>
        <w:t xml:space="preserve"> </w:t>
      </w:r>
      <w:r w:rsidR="00920C2D" w:rsidRPr="00920C2D">
        <w:rPr>
          <w:rStyle w:val="LineNumber"/>
        </w:rPr>
        <w:t xml:space="preserve">levels of expense, </w:t>
      </w:r>
      <w:r w:rsidR="00090018" w:rsidRPr="00920C2D">
        <w:rPr>
          <w:rStyle w:val="LineNumber"/>
        </w:rPr>
        <w:t>net plant</w:t>
      </w:r>
      <w:r w:rsidR="00442B4A">
        <w:rPr>
          <w:rStyle w:val="LineNumber"/>
        </w:rPr>
        <w:t>, and non-retail</w:t>
      </w:r>
      <w:r w:rsidR="00920C2D" w:rsidRPr="00920C2D">
        <w:rPr>
          <w:rStyle w:val="LineNumber"/>
        </w:rPr>
        <w:t xml:space="preserve"> revenues</w:t>
      </w:r>
      <w:r w:rsidR="00090018" w:rsidRPr="00920C2D">
        <w:rPr>
          <w:rStyle w:val="LineNumber"/>
        </w:rPr>
        <w:t xml:space="preserve"> to </w:t>
      </w:r>
      <w:r w:rsidR="00A44F49">
        <w:rPr>
          <w:rStyle w:val="LineNumber"/>
        </w:rPr>
        <w:t xml:space="preserve">derive </w:t>
      </w:r>
      <w:r w:rsidR="00920C2D" w:rsidRPr="00920C2D">
        <w:rPr>
          <w:rStyle w:val="LineNumber"/>
        </w:rPr>
        <w:t>estimate</w:t>
      </w:r>
      <w:r w:rsidR="00A44F49">
        <w:rPr>
          <w:rStyle w:val="LineNumber"/>
        </w:rPr>
        <w:t xml:space="preserve">d values </w:t>
      </w:r>
      <w:r w:rsidR="00920C2D" w:rsidRPr="00920C2D">
        <w:rPr>
          <w:rStyle w:val="LineNumber"/>
        </w:rPr>
        <w:t>for those categories for the 2015 rate year.</w:t>
      </w:r>
      <w:r w:rsidR="001F613E">
        <w:rPr>
          <w:rStyle w:val="LineNumber"/>
        </w:rPr>
        <w:t xml:space="preserve"> </w:t>
      </w:r>
      <w:r w:rsidR="00AB641A">
        <w:rPr>
          <w:rStyle w:val="LineNumber"/>
        </w:rPr>
        <w:t xml:space="preserve"> To estimate 2015 retail revenues, </w:t>
      </w:r>
      <w:r w:rsidR="0082591C">
        <w:rPr>
          <w:rStyle w:val="LineNumber"/>
        </w:rPr>
        <w:t>I</w:t>
      </w:r>
      <w:r w:rsidR="00AB641A">
        <w:rPr>
          <w:rStyle w:val="LineNumber"/>
        </w:rPr>
        <w:t xml:space="preserve"> used </w:t>
      </w:r>
      <w:r w:rsidR="00090018" w:rsidRPr="00920C2D">
        <w:rPr>
          <w:rStyle w:val="LineNumber"/>
        </w:rPr>
        <w:t xml:space="preserve">the Company’s 2015 retail load forecast.  </w:t>
      </w:r>
    </w:p>
    <w:p w14:paraId="03E6F3B1" w14:textId="7B506FA6" w:rsidR="00090018" w:rsidRDefault="00090018" w:rsidP="00254411">
      <w:pPr>
        <w:tabs>
          <w:tab w:val="left" w:pos="-1440"/>
        </w:tabs>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2B7209">
        <w:rPr>
          <w:rFonts w:ascii="Times New Roman" w:hAnsi="Times New Roman"/>
          <w:sz w:val="24"/>
          <w:szCs w:val="24"/>
        </w:rPr>
        <w:t>I</w:t>
      </w:r>
      <w:r w:rsidR="00A44F49">
        <w:rPr>
          <w:rFonts w:ascii="Times New Roman" w:hAnsi="Times New Roman"/>
          <w:sz w:val="24"/>
          <w:szCs w:val="24"/>
        </w:rPr>
        <w:t xml:space="preserve"> used these </w:t>
      </w:r>
      <w:r>
        <w:rPr>
          <w:rFonts w:ascii="Times New Roman" w:hAnsi="Times New Roman"/>
          <w:sz w:val="24"/>
          <w:szCs w:val="24"/>
        </w:rPr>
        <w:t xml:space="preserve">projected </w:t>
      </w:r>
      <w:r w:rsidR="00CA47C2">
        <w:rPr>
          <w:rFonts w:ascii="Times New Roman" w:hAnsi="Times New Roman"/>
          <w:sz w:val="24"/>
          <w:szCs w:val="24"/>
        </w:rPr>
        <w:t xml:space="preserve">2015 </w:t>
      </w:r>
      <w:r>
        <w:rPr>
          <w:rFonts w:ascii="Times New Roman" w:hAnsi="Times New Roman"/>
          <w:sz w:val="24"/>
          <w:szCs w:val="24"/>
        </w:rPr>
        <w:t>levels of expense, revenues and net plant to estimate rate year net operating income and rate base</w:t>
      </w:r>
      <w:r w:rsidR="001F613E">
        <w:rPr>
          <w:rFonts w:ascii="Times New Roman" w:hAnsi="Times New Roman"/>
          <w:sz w:val="24"/>
          <w:szCs w:val="24"/>
        </w:rPr>
        <w:t>,</w:t>
      </w:r>
      <w:r>
        <w:rPr>
          <w:rFonts w:ascii="Times New Roman" w:hAnsi="Times New Roman"/>
          <w:sz w:val="24"/>
          <w:szCs w:val="24"/>
        </w:rPr>
        <w:t xml:space="preserve"> which </w:t>
      </w:r>
      <w:r w:rsidR="00830059">
        <w:rPr>
          <w:rFonts w:ascii="Times New Roman" w:hAnsi="Times New Roman"/>
          <w:sz w:val="24"/>
          <w:szCs w:val="24"/>
        </w:rPr>
        <w:t>I</w:t>
      </w:r>
      <w:r>
        <w:rPr>
          <w:rFonts w:ascii="Times New Roman" w:hAnsi="Times New Roman"/>
          <w:sz w:val="24"/>
          <w:szCs w:val="24"/>
        </w:rPr>
        <w:t xml:space="preserve"> </w:t>
      </w:r>
      <w:r w:rsidR="000B418A">
        <w:rPr>
          <w:rFonts w:ascii="Times New Roman" w:hAnsi="Times New Roman"/>
          <w:sz w:val="24"/>
          <w:szCs w:val="24"/>
        </w:rPr>
        <w:t xml:space="preserve">then </w:t>
      </w:r>
      <w:r>
        <w:rPr>
          <w:rFonts w:ascii="Times New Roman" w:hAnsi="Times New Roman"/>
          <w:sz w:val="24"/>
          <w:szCs w:val="24"/>
        </w:rPr>
        <w:t xml:space="preserve">used to calculate the </w:t>
      </w:r>
      <w:r w:rsidR="000B418A">
        <w:rPr>
          <w:rFonts w:ascii="Times New Roman" w:hAnsi="Times New Roman"/>
          <w:sz w:val="24"/>
          <w:szCs w:val="24"/>
        </w:rPr>
        <w:t xml:space="preserve">prospective </w:t>
      </w:r>
      <w:r>
        <w:rPr>
          <w:rFonts w:ascii="Times New Roman" w:hAnsi="Times New Roman"/>
          <w:sz w:val="24"/>
          <w:szCs w:val="24"/>
        </w:rPr>
        <w:t xml:space="preserve">rate year rate of return. </w:t>
      </w:r>
      <w:r w:rsidR="00A44F49">
        <w:rPr>
          <w:rFonts w:ascii="Times New Roman" w:hAnsi="Times New Roman"/>
          <w:sz w:val="24"/>
          <w:szCs w:val="24"/>
        </w:rPr>
        <w:t xml:space="preserve"> </w:t>
      </w:r>
      <w:r w:rsidR="0082591C">
        <w:rPr>
          <w:rFonts w:ascii="Times New Roman" w:hAnsi="Times New Roman"/>
          <w:sz w:val="24"/>
          <w:szCs w:val="24"/>
        </w:rPr>
        <w:t xml:space="preserve">Finally, I </w:t>
      </w:r>
      <w:r w:rsidR="00B540D1">
        <w:rPr>
          <w:rFonts w:ascii="Times New Roman" w:hAnsi="Times New Roman"/>
          <w:sz w:val="24"/>
          <w:szCs w:val="24"/>
        </w:rPr>
        <w:t>compared this projected</w:t>
      </w:r>
      <w:r>
        <w:rPr>
          <w:rFonts w:ascii="Times New Roman" w:hAnsi="Times New Roman"/>
          <w:sz w:val="24"/>
          <w:szCs w:val="24"/>
        </w:rPr>
        <w:t xml:space="preserve"> rate of re</w:t>
      </w:r>
      <w:r w:rsidR="00B540D1">
        <w:rPr>
          <w:rFonts w:ascii="Times New Roman" w:hAnsi="Times New Roman"/>
          <w:sz w:val="24"/>
          <w:szCs w:val="24"/>
        </w:rPr>
        <w:t xml:space="preserve">turn to </w:t>
      </w:r>
      <w:r w:rsidR="009A1BBF">
        <w:rPr>
          <w:rFonts w:ascii="Times New Roman" w:hAnsi="Times New Roman"/>
          <w:sz w:val="24"/>
          <w:szCs w:val="24"/>
        </w:rPr>
        <w:t>Staff’s recommend</w:t>
      </w:r>
      <w:r w:rsidR="001F613E">
        <w:rPr>
          <w:rFonts w:ascii="Times New Roman" w:hAnsi="Times New Roman"/>
          <w:sz w:val="24"/>
          <w:szCs w:val="24"/>
        </w:rPr>
        <w:t>ed</w:t>
      </w:r>
      <w:r w:rsidR="00830059">
        <w:rPr>
          <w:rFonts w:ascii="Times New Roman" w:hAnsi="Times New Roman"/>
          <w:sz w:val="24"/>
          <w:szCs w:val="24"/>
        </w:rPr>
        <w:t xml:space="preserve"> </w:t>
      </w:r>
      <w:r w:rsidR="0082591C">
        <w:rPr>
          <w:rFonts w:ascii="Times New Roman" w:hAnsi="Times New Roman"/>
          <w:sz w:val="24"/>
          <w:szCs w:val="24"/>
        </w:rPr>
        <w:t>fair</w:t>
      </w:r>
      <w:r w:rsidR="00B540D1">
        <w:rPr>
          <w:rFonts w:ascii="Times New Roman" w:hAnsi="Times New Roman"/>
          <w:sz w:val="24"/>
          <w:szCs w:val="24"/>
        </w:rPr>
        <w:t xml:space="preserve"> rate</w:t>
      </w:r>
      <w:r>
        <w:rPr>
          <w:rFonts w:ascii="Times New Roman" w:hAnsi="Times New Roman"/>
          <w:sz w:val="24"/>
          <w:szCs w:val="24"/>
        </w:rPr>
        <w:t xml:space="preserve"> of return to assess the likelihood of </w:t>
      </w:r>
      <w:r w:rsidR="00664BB6">
        <w:rPr>
          <w:rFonts w:ascii="Times New Roman" w:hAnsi="Times New Roman"/>
          <w:sz w:val="24"/>
          <w:szCs w:val="24"/>
        </w:rPr>
        <w:t>earnings attrition</w:t>
      </w:r>
      <w:r>
        <w:rPr>
          <w:rFonts w:ascii="Times New Roman" w:hAnsi="Times New Roman"/>
          <w:sz w:val="24"/>
          <w:szCs w:val="24"/>
        </w:rPr>
        <w:t>.</w:t>
      </w:r>
      <w:r w:rsidR="000B418A">
        <w:rPr>
          <w:rFonts w:ascii="Times New Roman" w:hAnsi="Times New Roman"/>
          <w:sz w:val="24"/>
          <w:szCs w:val="24"/>
        </w:rPr>
        <w:t xml:space="preserve"> </w:t>
      </w:r>
      <w:r w:rsidR="002769B8">
        <w:rPr>
          <w:rFonts w:ascii="Times New Roman" w:hAnsi="Times New Roman"/>
          <w:sz w:val="24"/>
          <w:szCs w:val="24"/>
        </w:rPr>
        <w:t xml:space="preserve"> </w:t>
      </w:r>
      <w:r w:rsidR="00EC7EA8">
        <w:rPr>
          <w:rFonts w:ascii="Times New Roman" w:hAnsi="Times New Roman"/>
          <w:sz w:val="24"/>
          <w:szCs w:val="24"/>
        </w:rPr>
        <w:t xml:space="preserve">To the extent </w:t>
      </w:r>
      <w:r w:rsidR="002769B8">
        <w:rPr>
          <w:rFonts w:ascii="Times New Roman" w:hAnsi="Times New Roman"/>
          <w:sz w:val="24"/>
          <w:szCs w:val="24"/>
        </w:rPr>
        <w:t>attrition is identified,</w:t>
      </w:r>
      <w:r w:rsidR="001F613E">
        <w:rPr>
          <w:rFonts w:ascii="Times New Roman" w:hAnsi="Times New Roman"/>
          <w:sz w:val="24"/>
          <w:szCs w:val="24"/>
        </w:rPr>
        <w:t xml:space="preserve"> </w:t>
      </w:r>
      <w:r w:rsidR="0082591C">
        <w:rPr>
          <w:rFonts w:ascii="Times New Roman" w:hAnsi="Times New Roman"/>
          <w:sz w:val="24"/>
          <w:szCs w:val="24"/>
        </w:rPr>
        <w:t xml:space="preserve">I </w:t>
      </w:r>
      <w:r w:rsidR="000B418A">
        <w:rPr>
          <w:rFonts w:ascii="Times New Roman" w:hAnsi="Times New Roman"/>
          <w:sz w:val="24"/>
          <w:szCs w:val="24"/>
        </w:rPr>
        <w:t>then calculate the incremental revenue</w:t>
      </w:r>
      <w:r w:rsidR="00B540D1">
        <w:rPr>
          <w:rFonts w:ascii="Times New Roman" w:hAnsi="Times New Roman"/>
          <w:sz w:val="24"/>
          <w:szCs w:val="24"/>
        </w:rPr>
        <w:t xml:space="preserve"> necessary to </w:t>
      </w:r>
      <w:r w:rsidR="009A1BBF">
        <w:rPr>
          <w:rFonts w:ascii="Times New Roman" w:hAnsi="Times New Roman"/>
          <w:sz w:val="24"/>
          <w:szCs w:val="24"/>
        </w:rPr>
        <w:t>provide the Company an opportunity to earn a fair</w:t>
      </w:r>
      <w:r w:rsidR="00B540D1">
        <w:rPr>
          <w:rFonts w:ascii="Times New Roman" w:hAnsi="Times New Roman"/>
          <w:sz w:val="24"/>
          <w:szCs w:val="24"/>
        </w:rPr>
        <w:t xml:space="preserve"> rate of return </w:t>
      </w:r>
      <w:r w:rsidR="009A1BBF">
        <w:rPr>
          <w:rFonts w:ascii="Times New Roman" w:hAnsi="Times New Roman"/>
          <w:sz w:val="24"/>
          <w:szCs w:val="24"/>
        </w:rPr>
        <w:t xml:space="preserve">in </w:t>
      </w:r>
      <w:r w:rsidR="00B540D1">
        <w:rPr>
          <w:rFonts w:ascii="Times New Roman" w:hAnsi="Times New Roman"/>
          <w:sz w:val="24"/>
          <w:szCs w:val="24"/>
        </w:rPr>
        <w:t>the rate year</w:t>
      </w:r>
      <w:r w:rsidR="009A1BBF">
        <w:rPr>
          <w:rFonts w:ascii="Times New Roman" w:hAnsi="Times New Roman"/>
          <w:sz w:val="24"/>
          <w:szCs w:val="24"/>
        </w:rPr>
        <w:t>.</w:t>
      </w:r>
    </w:p>
    <w:p w14:paraId="4E1F7589" w14:textId="77777777" w:rsidR="00A44F49" w:rsidRDefault="00A44F49" w:rsidP="00254411">
      <w:pPr>
        <w:tabs>
          <w:tab w:val="left" w:pos="-1440"/>
        </w:tabs>
        <w:spacing w:after="0" w:line="480" w:lineRule="auto"/>
        <w:ind w:left="720" w:hanging="720"/>
        <w:rPr>
          <w:rFonts w:ascii="Times New Roman" w:hAnsi="Times New Roman"/>
          <w:sz w:val="24"/>
          <w:szCs w:val="24"/>
        </w:rPr>
      </w:pPr>
    </w:p>
    <w:p w14:paraId="27ECF75E" w14:textId="0B2F93EF" w:rsidR="00032F6D" w:rsidDel="00A10655" w:rsidRDefault="00032F6D" w:rsidP="00254411">
      <w:pPr>
        <w:spacing w:after="0" w:line="480" w:lineRule="auto"/>
        <w:ind w:left="720" w:hanging="720"/>
        <w:rPr>
          <w:rFonts w:ascii="Times New Roman" w:hAnsi="Times New Roman"/>
          <w:b/>
          <w:sz w:val="24"/>
          <w:szCs w:val="24"/>
        </w:rPr>
      </w:pPr>
      <w:r w:rsidDel="00A10655">
        <w:rPr>
          <w:rFonts w:ascii="Times New Roman" w:hAnsi="Times New Roman"/>
          <w:b/>
          <w:sz w:val="24"/>
          <w:szCs w:val="24"/>
        </w:rPr>
        <w:t>Q.</w:t>
      </w:r>
      <w:r w:rsidDel="00A10655">
        <w:rPr>
          <w:rFonts w:ascii="Times New Roman" w:hAnsi="Times New Roman"/>
          <w:b/>
          <w:sz w:val="24"/>
          <w:szCs w:val="24"/>
        </w:rPr>
        <w:tab/>
        <w:t xml:space="preserve">Why did you use the </w:t>
      </w:r>
      <w:r w:rsidR="002A4FF8">
        <w:rPr>
          <w:rFonts w:ascii="Times New Roman" w:hAnsi="Times New Roman"/>
          <w:b/>
          <w:sz w:val="24"/>
          <w:szCs w:val="24"/>
        </w:rPr>
        <w:t>Commission Basis</w:t>
      </w:r>
      <w:r w:rsidR="002A4FF8" w:rsidDel="00A10655">
        <w:rPr>
          <w:rFonts w:ascii="Times New Roman" w:hAnsi="Times New Roman"/>
          <w:b/>
          <w:sz w:val="24"/>
          <w:szCs w:val="24"/>
        </w:rPr>
        <w:t xml:space="preserve"> </w:t>
      </w:r>
      <w:r w:rsidR="002A4FF8">
        <w:rPr>
          <w:rFonts w:ascii="Times New Roman" w:hAnsi="Times New Roman"/>
          <w:b/>
          <w:sz w:val="24"/>
          <w:szCs w:val="24"/>
        </w:rPr>
        <w:t>Report</w:t>
      </w:r>
      <w:r w:rsidR="002A4FF8" w:rsidDel="00A10655">
        <w:rPr>
          <w:rFonts w:ascii="Times New Roman" w:hAnsi="Times New Roman"/>
          <w:b/>
          <w:sz w:val="24"/>
          <w:szCs w:val="24"/>
        </w:rPr>
        <w:t xml:space="preserve"> for </w:t>
      </w:r>
      <w:r w:rsidDel="00A10655">
        <w:rPr>
          <w:rFonts w:ascii="Times New Roman" w:hAnsi="Times New Roman"/>
          <w:b/>
          <w:sz w:val="24"/>
          <w:szCs w:val="24"/>
        </w:rPr>
        <w:t xml:space="preserve">12-months-ending December </w:t>
      </w:r>
      <w:r w:rsidR="002D69B8" w:rsidDel="00A10655">
        <w:rPr>
          <w:rFonts w:ascii="Times New Roman" w:hAnsi="Times New Roman"/>
          <w:b/>
          <w:sz w:val="24"/>
          <w:szCs w:val="24"/>
        </w:rPr>
        <w:t xml:space="preserve">31, </w:t>
      </w:r>
      <w:r w:rsidDel="00A10655">
        <w:rPr>
          <w:rFonts w:ascii="Times New Roman" w:hAnsi="Times New Roman"/>
          <w:b/>
          <w:sz w:val="24"/>
          <w:szCs w:val="24"/>
        </w:rPr>
        <w:t>2013</w:t>
      </w:r>
      <w:r w:rsidR="002D69B8" w:rsidDel="00A10655">
        <w:rPr>
          <w:rFonts w:ascii="Times New Roman" w:hAnsi="Times New Roman"/>
          <w:b/>
          <w:sz w:val="24"/>
          <w:szCs w:val="24"/>
        </w:rPr>
        <w:t>,</w:t>
      </w:r>
      <w:r w:rsidDel="00A10655">
        <w:rPr>
          <w:rFonts w:ascii="Times New Roman" w:hAnsi="Times New Roman"/>
          <w:b/>
          <w:sz w:val="24"/>
          <w:szCs w:val="24"/>
        </w:rPr>
        <w:t xml:space="preserve"> as the basis for your attrition analysis</w:t>
      </w:r>
      <w:r w:rsidR="002A4FF8" w:rsidDel="00A10655">
        <w:rPr>
          <w:rFonts w:ascii="Times New Roman" w:hAnsi="Times New Roman"/>
          <w:b/>
          <w:sz w:val="24"/>
          <w:szCs w:val="24"/>
        </w:rPr>
        <w:t xml:space="preserve">, rather than the 12 months ending June 30, </w:t>
      </w:r>
      <w:r w:rsidR="002A4FF8">
        <w:rPr>
          <w:rFonts w:ascii="Times New Roman" w:hAnsi="Times New Roman"/>
          <w:b/>
          <w:sz w:val="24"/>
          <w:szCs w:val="24"/>
        </w:rPr>
        <w:t>201</w:t>
      </w:r>
      <w:r w:rsidR="00AE5C34">
        <w:rPr>
          <w:rFonts w:ascii="Times New Roman" w:hAnsi="Times New Roman"/>
          <w:b/>
          <w:sz w:val="24"/>
          <w:szCs w:val="24"/>
        </w:rPr>
        <w:t>3</w:t>
      </w:r>
      <w:r w:rsidR="002A4FF8" w:rsidDel="00A10655">
        <w:rPr>
          <w:rFonts w:ascii="Times New Roman" w:hAnsi="Times New Roman"/>
          <w:b/>
          <w:sz w:val="24"/>
          <w:szCs w:val="24"/>
        </w:rPr>
        <w:t>, which Avista used</w:t>
      </w:r>
      <w:r w:rsidDel="00A10655">
        <w:rPr>
          <w:rFonts w:ascii="Times New Roman" w:hAnsi="Times New Roman"/>
          <w:b/>
          <w:sz w:val="24"/>
          <w:szCs w:val="24"/>
        </w:rPr>
        <w:t>?</w:t>
      </w:r>
    </w:p>
    <w:p w14:paraId="48DA8885" w14:textId="5AE9808F" w:rsidR="00032F6D" w:rsidDel="00A10655" w:rsidRDefault="002D69B8" w:rsidP="00254411">
      <w:pPr>
        <w:spacing w:after="0" w:line="480" w:lineRule="auto"/>
        <w:ind w:left="720" w:hanging="720"/>
        <w:rPr>
          <w:rFonts w:ascii="Times New Roman" w:hAnsi="Times New Roman"/>
          <w:sz w:val="24"/>
          <w:szCs w:val="24"/>
        </w:rPr>
      </w:pPr>
      <w:r w:rsidDel="00A10655">
        <w:rPr>
          <w:rFonts w:ascii="Times New Roman" w:hAnsi="Times New Roman"/>
          <w:sz w:val="24"/>
          <w:szCs w:val="24"/>
        </w:rPr>
        <w:t>A.</w:t>
      </w:r>
      <w:r w:rsidDel="00A10655">
        <w:rPr>
          <w:rFonts w:ascii="Times New Roman" w:hAnsi="Times New Roman"/>
          <w:sz w:val="24"/>
          <w:szCs w:val="24"/>
        </w:rPr>
        <w:tab/>
        <w:t>Avista</w:t>
      </w:r>
      <w:r w:rsidR="00032F6D" w:rsidDel="00A10655">
        <w:rPr>
          <w:rFonts w:ascii="Times New Roman" w:hAnsi="Times New Roman"/>
          <w:sz w:val="24"/>
          <w:szCs w:val="24"/>
        </w:rPr>
        <w:t xml:space="preserve">’s 12-months-ending December 2013 </w:t>
      </w:r>
      <w:r w:rsidR="00032F6D">
        <w:rPr>
          <w:rFonts w:ascii="Times New Roman" w:hAnsi="Times New Roman"/>
          <w:sz w:val="24"/>
          <w:szCs w:val="24"/>
        </w:rPr>
        <w:t>Commission Basis</w:t>
      </w:r>
      <w:r w:rsidR="00032F6D" w:rsidDel="00A10655">
        <w:rPr>
          <w:rFonts w:ascii="Times New Roman" w:hAnsi="Times New Roman"/>
          <w:sz w:val="24"/>
          <w:szCs w:val="24"/>
        </w:rPr>
        <w:t xml:space="preserve"> </w:t>
      </w:r>
      <w:r w:rsidR="00032F6D">
        <w:rPr>
          <w:rFonts w:ascii="Times New Roman" w:hAnsi="Times New Roman"/>
          <w:sz w:val="24"/>
          <w:szCs w:val="24"/>
        </w:rPr>
        <w:t>Report</w:t>
      </w:r>
      <w:r w:rsidR="00032F6D" w:rsidDel="00A10655">
        <w:rPr>
          <w:rFonts w:ascii="Times New Roman" w:hAnsi="Times New Roman"/>
          <w:sz w:val="24"/>
          <w:szCs w:val="24"/>
        </w:rPr>
        <w:t xml:space="preserve"> is proper for several reasons.  First, th</w:t>
      </w:r>
      <w:r w:rsidR="002A4FF8" w:rsidDel="00A10655">
        <w:rPr>
          <w:rFonts w:ascii="Times New Roman" w:hAnsi="Times New Roman"/>
          <w:sz w:val="24"/>
          <w:szCs w:val="24"/>
        </w:rPr>
        <w:t xml:space="preserve">at </w:t>
      </w:r>
      <w:r w:rsidR="002A4FF8">
        <w:rPr>
          <w:rFonts w:ascii="Times New Roman" w:hAnsi="Times New Roman"/>
          <w:sz w:val="24"/>
          <w:szCs w:val="24"/>
        </w:rPr>
        <w:t>Report</w:t>
      </w:r>
      <w:r w:rsidR="00032F6D" w:rsidDel="00A10655">
        <w:rPr>
          <w:rFonts w:ascii="Times New Roman" w:hAnsi="Times New Roman"/>
          <w:sz w:val="24"/>
          <w:szCs w:val="24"/>
        </w:rPr>
        <w:t xml:space="preserve"> made it possible for Staff to incorporate the most </w:t>
      </w:r>
      <w:r w:rsidR="00032F6D" w:rsidDel="00A10655">
        <w:rPr>
          <w:rFonts w:ascii="Times New Roman" w:hAnsi="Times New Roman"/>
          <w:sz w:val="24"/>
          <w:szCs w:val="24"/>
        </w:rPr>
        <w:lastRenderedPageBreak/>
        <w:t xml:space="preserve">recent available data into the attrition analysis.  Second, it provides consistent intervals of data throughout the </w:t>
      </w:r>
      <w:r w:rsidR="00817D46" w:rsidDel="00A10655">
        <w:rPr>
          <w:rFonts w:ascii="Times New Roman" w:hAnsi="Times New Roman"/>
          <w:sz w:val="24"/>
          <w:szCs w:val="24"/>
        </w:rPr>
        <w:t xml:space="preserve">historical </w:t>
      </w:r>
      <w:r w:rsidR="00032F6D" w:rsidDel="00A10655">
        <w:rPr>
          <w:rFonts w:ascii="Times New Roman" w:hAnsi="Times New Roman"/>
          <w:sz w:val="24"/>
          <w:szCs w:val="24"/>
        </w:rPr>
        <w:t xml:space="preserve">time series. </w:t>
      </w:r>
      <w:r w:rsidR="002A4FF8" w:rsidDel="00A10655">
        <w:rPr>
          <w:rFonts w:ascii="Times New Roman" w:hAnsi="Times New Roman"/>
          <w:sz w:val="24"/>
          <w:szCs w:val="24"/>
        </w:rPr>
        <w:t xml:space="preserve"> </w:t>
      </w:r>
      <w:r w:rsidR="00032F6D" w:rsidDel="00A10655">
        <w:rPr>
          <w:rFonts w:ascii="Times New Roman" w:hAnsi="Times New Roman"/>
          <w:sz w:val="24"/>
          <w:szCs w:val="24"/>
        </w:rPr>
        <w:t xml:space="preserve">Third, it eliminates issues with normalized revenues </w:t>
      </w:r>
      <w:r w:rsidR="002A4FF8" w:rsidDel="00A10655">
        <w:rPr>
          <w:rFonts w:ascii="Times New Roman" w:hAnsi="Times New Roman"/>
          <w:sz w:val="24"/>
          <w:szCs w:val="24"/>
        </w:rPr>
        <w:t xml:space="preserve">because </w:t>
      </w:r>
      <w:r w:rsidR="00032F6D" w:rsidDel="00A10655">
        <w:rPr>
          <w:rFonts w:ascii="Times New Roman" w:hAnsi="Times New Roman"/>
          <w:sz w:val="24"/>
          <w:szCs w:val="24"/>
        </w:rPr>
        <w:t xml:space="preserve">it captures the effect of the new rates that went into effect January 1, 2013.  Fourth, it captures the full effects of expenses and rate base additions that were the basis for the attrition analysis from the prior rate case.  Finally, it includes the full year effect of all other rate-normalizing and pro forma adjustments that were included in the Company’s attrition models from the prior rate case. </w:t>
      </w:r>
    </w:p>
    <w:p w14:paraId="462EBF33" w14:textId="3CBF8BAC" w:rsidR="00EC7EA8" w:rsidDel="00A10655" w:rsidRDefault="00032F6D" w:rsidP="00254411">
      <w:pPr>
        <w:spacing w:after="0" w:line="480" w:lineRule="auto"/>
        <w:ind w:left="720" w:firstLine="720"/>
        <w:rPr>
          <w:rFonts w:ascii="Times New Roman" w:hAnsi="Times New Roman"/>
          <w:sz w:val="24"/>
          <w:szCs w:val="24"/>
        </w:rPr>
      </w:pPr>
      <w:r w:rsidDel="00A10655">
        <w:rPr>
          <w:rFonts w:ascii="Times New Roman" w:hAnsi="Times New Roman"/>
          <w:sz w:val="24"/>
          <w:szCs w:val="24"/>
        </w:rPr>
        <w:t>There are other reasons for using this data that were not considered in the prior rate case.  For example, t</w:t>
      </w:r>
      <w:r w:rsidRPr="00A31402" w:rsidDel="00A10655">
        <w:rPr>
          <w:rFonts w:ascii="Times New Roman" w:hAnsi="Times New Roman"/>
          <w:sz w:val="24"/>
          <w:szCs w:val="24"/>
        </w:rPr>
        <w:t>he Company made several significant changes to its business starting in 2013</w:t>
      </w:r>
      <w:r w:rsidDel="00A10655">
        <w:rPr>
          <w:rFonts w:ascii="Times New Roman" w:hAnsi="Times New Roman"/>
          <w:sz w:val="24"/>
          <w:szCs w:val="24"/>
        </w:rPr>
        <w:t>,</w:t>
      </w:r>
      <w:r w:rsidRPr="00A31402" w:rsidDel="00A10655">
        <w:rPr>
          <w:rFonts w:ascii="Times New Roman" w:hAnsi="Times New Roman"/>
          <w:sz w:val="24"/>
          <w:szCs w:val="24"/>
        </w:rPr>
        <w:t xml:space="preserve"> in an effort to reduce </w:t>
      </w:r>
      <w:r w:rsidDel="00A10655">
        <w:rPr>
          <w:rFonts w:ascii="Times New Roman" w:hAnsi="Times New Roman"/>
          <w:sz w:val="24"/>
          <w:szCs w:val="24"/>
        </w:rPr>
        <w:t>operations and maintenance (O&amp;M) and administrative and general (A&amp;G) expenses.</w:t>
      </w:r>
      <w:r w:rsidRPr="00A31402" w:rsidDel="00A10655">
        <w:rPr>
          <w:rFonts w:ascii="Times New Roman" w:hAnsi="Times New Roman"/>
          <w:sz w:val="24"/>
          <w:szCs w:val="24"/>
        </w:rPr>
        <w:t xml:space="preserve"> </w:t>
      </w:r>
      <w:r w:rsidR="002A4FF8" w:rsidDel="00A10655">
        <w:rPr>
          <w:rFonts w:ascii="Times New Roman" w:hAnsi="Times New Roman"/>
          <w:sz w:val="24"/>
          <w:szCs w:val="24"/>
        </w:rPr>
        <w:t xml:space="preserve"> </w:t>
      </w:r>
      <w:r w:rsidRPr="00A31402" w:rsidDel="00A10655">
        <w:rPr>
          <w:rFonts w:ascii="Times New Roman" w:hAnsi="Times New Roman"/>
          <w:sz w:val="24"/>
          <w:szCs w:val="24"/>
        </w:rPr>
        <w:t xml:space="preserve">As a result, the </w:t>
      </w:r>
      <w:r w:rsidR="002A4FF8" w:rsidDel="00A10655">
        <w:rPr>
          <w:rFonts w:ascii="Times New Roman" w:hAnsi="Times New Roman"/>
          <w:sz w:val="24"/>
          <w:szCs w:val="24"/>
        </w:rPr>
        <w:t>“</w:t>
      </w:r>
      <w:r w:rsidDel="00A10655">
        <w:rPr>
          <w:rFonts w:ascii="Times New Roman" w:hAnsi="Times New Roman"/>
          <w:sz w:val="24"/>
          <w:szCs w:val="24"/>
        </w:rPr>
        <w:t>split test period</w:t>
      </w:r>
      <w:r w:rsidR="002A4FF8" w:rsidDel="00A10655">
        <w:rPr>
          <w:rFonts w:ascii="Times New Roman" w:hAnsi="Times New Roman"/>
          <w:sz w:val="24"/>
          <w:szCs w:val="24"/>
        </w:rPr>
        <w:t>” used by the Company</w:t>
      </w:r>
      <w:r w:rsidR="00817D46" w:rsidDel="00A10655">
        <w:rPr>
          <w:rFonts w:ascii="Times New Roman" w:hAnsi="Times New Roman"/>
          <w:sz w:val="24"/>
          <w:szCs w:val="24"/>
        </w:rPr>
        <w:t xml:space="preserve"> does not adequately capture </w:t>
      </w:r>
      <w:r w:rsidR="0070011C" w:rsidDel="00A10655">
        <w:rPr>
          <w:rFonts w:ascii="Times New Roman" w:hAnsi="Times New Roman"/>
          <w:sz w:val="24"/>
          <w:szCs w:val="24"/>
        </w:rPr>
        <w:t>those cost savings across a full year, and so</w:t>
      </w:r>
      <w:r w:rsidDel="00A10655">
        <w:rPr>
          <w:rFonts w:ascii="Times New Roman" w:hAnsi="Times New Roman"/>
          <w:sz w:val="24"/>
          <w:szCs w:val="24"/>
        </w:rPr>
        <w:t xml:space="preserve"> is not</w:t>
      </w:r>
      <w:r w:rsidRPr="00A31402" w:rsidDel="00A10655">
        <w:rPr>
          <w:rFonts w:ascii="Times New Roman" w:hAnsi="Times New Roman"/>
          <w:sz w:val="24"/>
          <w:szCs w:val="24"/>
        </w:rPr>
        <w:t xml:space="preserve"> an appropriate starting point fo</w:t>
      </w:r>
      <w:r w:rsidR="001D01C7" w:rsidDel="00A10655">
        <w:rPr>
          <w:rFonts w:ascii="Times New Roman" w:hAnsi="Times New Roman"/>
          <w:sz w:val="24"/>
          <w:szCs w:val="24"/>
        </w:rPr>
        <w:t>r the attrition study.  Also,</w:t>
      </w:r>
      <w:r w:rsidRPr="00A31402" w:rsidDel="00A10655">
        <w:rPr>
          <w:rFonts w:ascii="Times New Roman" w:hAnsi="Times New Roman"/>
          <w:sz w:val="24"/>
          <w:szCs w:val="24"/>
        </w:rPr>
        <w:t xml:space="preserve"> the growth rates established using 2012 </w:t>
      </w:r>
      <w:r w:rsidR="001D01C7" w:rsidDel="00A10655">
        <w:rPr>
          <w:rFonts w:ascii="Times New Roman" w:hAnsi="Times New Roman"/>
          <w:sz w:val="24"/>
          <w:szCs w:val="24"/>
        </w:rPr>
        <w:t xml:space="preserve">(rather than 2013) </w:t>
      </w:r>
      <w:r w:rsidRPr="00A31402" w:rsidDel="00A10655">
        <w:rPr>
          <w:rFonts w:ascii="Times New Roman" w:hAnsi="Times New Roman"/>
          <w:sz w:val="24"/>
          <w:szCs w:val="24"/>
        </w:rPr>
        <w:t xml:space="preserve">as the final year of the </w:t>
      </w:r>
      <w:r w:rsidR="001D01C7" w:rsidDel="00A10655">
        <w:rPr>
          <w:rFonts w:ascii="Times New Roman" w:hAnsi="Times New Roman"/>
          <w:sz w:val="24"/>
          <w:szCs w:val="24"/>
        </w:rPr>
        <w:t xml:space="preserve">historical </w:t>
      </w:r>
      <w:r w:rsidRPr="00A31402" w:rsidDel="00A10655">
        <w:rPr>
          <w:rFonts w:ascii="Times New Roman" w:hAnsi="Times New Roman"/>
          <w:sz w:val="24"/>
          <w:szCs w:val="24"/>
        </w:rPr>
        <w:t xml:space="preserve">time series will not incorporate </w:t>
      </w:r>
      <w:r w:rsidR="001D01C7" w:rsidDel="00A10655">
        <w:rPr>
          <w:rFonts w:ascii="Times New Roman" w:hAnsi="Times New Roman"/>
          <w:sz w:val="24"/>
          <w:szCs w:val="24"/>
        </w:rPr>
        <w:t xml:space="preserve">more recent </w:t>
      </w:r>
      <w:r w:rsidRPr="00A31402" w:rsidDel="00A10655">
        <w:rPr>
          <w:rFonts w:ascii="Times New Roman" w:hAnsi="Times New Roman"/>
          <w:sz w:val="24"/>
          <w:szCs w:val="24"/>
        </w:rPr>
        <w:t xml:space="preserve">data that are likely to meaningfully inform the trend analysis. </w:t>
      </w:r>
      <w:r w:rsidDel="00A10655">
        <w:rPr>
          <w:rFonts w:ascii="Times New Roman" w:hAnsi="Times New Roman"/>
          <w:sz w:val="24"/>
          <w:szCs w:val="24"/>
        </w:rPr>
        <w:t xml:space="preserve"> </w:t>
      </w:r>
    </w:p>
    <w:p w14:paraId="02B43913" w14:textId="1822E8FC" w:rsidR="00032F6D" w:rsidDel="00A10655" w:rsidRDefault="00032F6D" w:rsidP="00254411">
      <w:pPr>
        <w:spacing w:after="0" w:line="480" w:lineRule="auto"/>
        <w:ind w:left="720" w:firstLine="720"/>
        <w:rPr>
          <w:rFonts w:ascii="Times New Roman" w:hAnsi="Times New Roman"/>
          <w:sz w:val="24"/>
          <w:szCs w:val="24"/>
        </w:rPr>
      </w:pPr>
      <w:r w:rsidRPr="00A31402" w:rsidDel="00A10655">
        <w:rPr>
          <w:rFonts w:ascii="Times New Roman" w:hAnsi="Times New Roman"/>
          <w:sz w:val="24"/>
          <w:szCs w:val="24"/>
        </w:rPr>
        <w:t>Incorporati</w:t>
      </w:r>
      <w:r w:rsidDel="00A10655">
        <w:rPr>
          <w:rFonts w:ascii="Times New Roman" w:hAnsi="Times New Roman"/>
          <w:sz w:val="24"/>
          <w:szCs w:val="24"/>
        </w:rPr>
        <w:t>ng</w:t>
      </w:r>
      <w:r w:rsidRPr="00A31402" w:rsidDel="00A10655">
        <w:rPr>
          <w:rFonts w:ascii="Times New Roman" w:hAnsi="Times New Roman"/>
          <w:sz w:val="24"/>
          <w:szCs w:val="24"/>
        </w:rPr>
        <w:t xml:space="preserve"> all of 2013 into the test year results of operations and into the evaluation of growth rates addresses all of these shortcomings. </w:t>
      </w:r>
    </w:p>
    <w:p w14:paraId="643B218A" w14:textId="0E50DD39" w:rsidR="002D69B8" w:rsidDel="00A10655" w:rsidRDefault="002D69B8" w:rsidP="00254411">
      <w:pPr>
        <w:spacing w:after="0" w:line="480" w:lineRule="auto"/>
        <w:rPr>
          <w:rFonts w:ascii="Times New Roman" w:hAnsi="Times New Roman"/>
          <w:sz w:val="24"/>
          <w:szCs w:val="24"/>
        </w:rPr>
      </w:pPr>
    </w:p>
    <w:p w14:paraId="702E5E98" w14:textId="177C3B1D" w:rsidR="00965DF3" w:rsidDel="00A10655" w:rsidRDefault="00965DF3" w:rsidP="00254411">
      <w:pPr>
        <w:spacing w:after="0" w:line="480" w:lineRule="auto"/>
        <w:ind w:left="720" w:hanging="720"/>
        <w:rPr>
          <w:rFonts w:ascii="Times New Roman" w:hAnsi="Times New Roman"/>
          <w:b/>
          <w:sz w:val="24"/>
          <w:szCs w:val="24"/>
        </w:rPr>
      </w:pPr>
      <w:r w:rsidDel="00A10655">
        <w:rPr>
          <w:rFonts w:ascii="Times New Roman" w:hAnsi="Times New Roman"/>
          <w:b/>
          <w:sz w:val="24"/>
          <w:szCs w:val="24"/>
        </w:rPr>
        <w:t>Q.</w:t>
      </w:r>
      <w:r w:rsidDel="00A10655">
        <w:rPr>
          <w:rFonts w:ascii="Times New Roman" w:hAnsi="Times New Roman"/>
          <w:b/>
          <w:sz w:val="24"/>
          <w:szCs w:val="24"/>
        </w:rPr>
        <w:tab/>
        <w:t>Why d</w:t>
      </w:r>
      <w:r w:rsidR="00EC7EA8" w:rsidDel="00A10655">
        <w:rPr>
          <w:rFonts w:ascii="Times New Roman" w:hAnsi="Times New Roman"/>
          <w:b/>
          <w:sz w:val="24"/>
          <w:szCs w:val="24"/>
        </w:rPr>
        <w:t xml:space="preserve">id </w:t>
      </w:r>
      <w:r w:rsidDel="00A10655">
        <w:rPr>
          <w:rFonts w:ascii="Times New Roman" w:hAnsi="Times New Roman"/>
          <w:b/>
          <w:sz w:val="24"/>
          <w:szCs w:val="24"/>
        </w:rPr>
        <w:t>Staff</w:t>
      </w:r>
      <w:r w:rsidR="00EC7EA8" w:rsidDel="00A10655">
        <w:rPr>
          <w:rFonts w:ascii="Times New Roman" w:hAnsi="Times New Roman"/>
          <w:b/>
          <w:sz w:val="24"/>
          <w:szCs w:val="24"/>
        </w:rPr>
        <w:t xml:space="preserve">’s </w:t>
      </w:r>
      <w:r w:rsidDel="00A10655">
        <w:rPr>
          <w:rFonts w:ascii="Times New Roman" w:hAnsi="Times New Roman"/>
          <w:b/>
          <w:sz w:val="24"/>
          <w:szCs w:val="24"/>
        </w:rPr>
        <w:t xml:space="preserve">attrition analysis </w:t>
      </w:r>
      <w:r w:rsidR="00EC7EA8" w:rsidDel="00A10655">
        <w:rPr>
          <w:rFonts w:ascii="Times New Roman" w:hAnsi="Times New Roman"/>
          <w:b/>
          <w:sz w:val="24"/>
          <w:szCs w:val="24"/>
        </w:rPr>
        <w:t xml:space="preserve">use a “base case” of restated 2013 results, rather than a “base case” consisting of a restated and </w:t>
      </w:r>
      <w:r w:rsidDel="00A10655">
        <w:rPr>
          <w:rFonts w:ascii="Times New Roman" w:hAnsi="Times New Roman"/>
          <w:b/>
          <w:sz w:val="24"/>
          <w:szCs w:val="24"/>
        </w:rPr>
        <w:t>pro forma results of operations?</w:t>
      </w:r>
    </w:p>
    <w:p w14:paraId="603E49B8" w14:textId="3D9D837E" w:rsidR="00773997" w:rsidDel="00A10655" w:rsidRDefault="00965DF3" w:rsidP="00254411">
      <w:pPr>
        <w:spacing w:after="0" w:line="480" w:lineRule="auto"/>
        <w:ind w:left="720" w:hanging="720"/>
        <w:rPr>
          <w:rFonts w:ascii="Times New Roman" w:hAnsi="Times New Roman"/>
          <w:sz w:val="24"/>
          <w:szCs w:val="24"/>
        </w:rPr>
      </w:pPr>
      <w:r w:rsidDel="00A10655">
        <w:rPr>
          <w:rFonts w:ascii="Times New Roman" w:hAnsi="Times New Roman"/>
          <w:sz w:val="24"/>
          <w:szCs w:val="24"/>
        </w:rPr>
        <w:t>A.</w:t>
      </w:r>
      <w:r w:rsidDel="00A10655">
        <w:rPr>
          <w:rFonts w:ascii="Times New Roman" w:hAnsi="Times New Roman"/>
          <w:sz w:val="24"/>
          <w:szCs w:val="24"/>
        </w:rPr>
        <w:tab/>
      </w:r>
      <w:r w:rsidR="00EC7EA8" w:rsidDel="00A10655">
        <w:rPr>
          <w:rFonts w:ascii="Times New Roman" w:hAnsi="Times New Roman"/>
          <w:sz w:val="24"/>
          <w:szCs w:val="24"/>
        </w:rPr>
        <w:t xml:space="preserve">It is preferable to use </w:t>
      </w:r>
      <w:r w:rsidR="005A3849" w:rsidDel="00A10655">
        <w:rPr>
          <w:rFonts w:ascii="Times New Roman" w:hAnsi="Times New Roman"/>
          <w:sz w:val="24"/>
          <w:szCs w:val="24"/>
        </w:rPr>
        <w:t>fully restated results of operations</w:t>
      </w:r>
      <w:r w:rsidDel="00A10655">
        <w:rPr>
          <w:rFonts w:ascii="Times New Roman" w:hAnsi="Times New Roman"/>
          <w:sz w:val="24"/>
          <w:szCs w:val="24"/>
        </w:rPr>
        <w:t xml:space="preserve"> </w:t>
      </w:r>
      <w:r w:rsidR="00EC7EA8" w:rsidDel="00A10655">
        <w:rPr>
          <w:rFonts w:ascii="Times New Roman" w:hAnsi="Times New Roman"/>
          <w:sz w:val="24"/>
          <w:szCs w:val="24"/>
        </w:rPr>
        <w:t xml:space="preserve">as the “base case” </w:t>
      </w:r>
      <w:r w:rsidR="002C157C" w:rsidDel="00A10655">
        <w:rPr>
          <w:rFonts w:ascii="Times New Roman" w:hAnsi="Times New Roman"/>
          <w:sz w:val="24"/>
          <w:szCs w:val="24"/>
        </w:rPr>
        <w:t>for a few</w:t>
      </w:r>
      <w:r w:rsidR="008415AA" w:rsidDel="00A10655">
        <w:rPr>
          <w:rFonts w:ascii="Times New Roman" w:hAnsi="Times New Roman"/>
          <w:sz w:val="24"/>
          <w:szCs w:val="24"/>
        </w:rPr>
        <w:t xml:space="preserve"> reasons. First,</w:t>
      </w:r>
      <w:r w:rsidR="00EC7EA8" w:rsidDel="00A10655">
        <w:rPr>
          <w:rFonts w:ascii="Times New Roman" w:hAnsi="Times New Roman"/>
          <w:sz w:val="24"/>
          <w:szCs w:val="24"/>
        </w:rPr>
        <w:t xml:space="preserve"> </w:t>
      </w:r>
      <w:r w:rsidR="005A3849" w:rsidDel="00A10655">
        <w:rPr>
          <w:rFonts w:ascii="Times New Roman" w:hAnsi="Times New Roman"/>
          <w:sz w:val="24"/>
          <w:szCs w:val="24"/>
        </w:rPr>
        <w:t>an attrition</w:t>
      </w:r>
      <w:r w:rsidR="00D328A0" w:rsidDel="00A10655">
        <w:rPr>
          <w:rFonts w:ascii="Times New Roman" w:hAnsi="Times New Roman"/>
          <w:sz w:val="24"/>
          <w:szCs w:val="24"/>
        </w:rPr>
        <w:t xml:space="preserve"> analysis</w:t>
      </w:r>
      <w:r w:rsidR="00601AA5" w:rsidDel="00A10655">
        <w:rPr>
          <w:rFonts w:ascii="Times New Roman" w:hAnsi="Times New Roman"/>
          <w:sz w:val="24"/>
          <w:szCs w:val="24"/>
        </w:rPr>
        <w:t>, by nature of applying growth rates,</w:t>
      </w:r>
      <w:r w:rsidR="005A3849" w:rsidDel="00A10655">
        <w:rPr>
          <w:rFonts w:ascii="Times New Roman" w:hAnsi="Times New Roman"/>
          <w:sz w:val="24"/>
          <w:szCs w:val="24"/>
        </w:rPr>
        <w:t xml:space="preserve"> </w:t>
      </w:r>
      <w:r w:rsidR="00147C8C" w:rsidDel="00A10655">
        <w:rPr>
          <w:rFonts w:ascii="Times New Roman" w:hAnsi="Times New Roman"/>
          <w:sz w:val="24"/>
          <w:szCs w:val="24"/>
        </w:rPr>
        <w:t xml:space="preserve">will </w:t>
      </w:r>
      <w:r w:rsidR="008415AA" w:rsidDel="00A10655">
        <w:rPr>
          <w:rFonts w:ascii="Times New Roman" w:hAnsi="Times New Roman"/>
          <w:sz w:val="24"/>
          <w:szCs w:val="24"/>
        </w:rPr>
        <w:t xml:space="preserve">already </w:t>
      </w:r>
      <w:r w:rsidR="00EC7EA8" w:rsidDel="00A10655">
        <w:rPr>
          <w:rFonts w:ascii="Times New Roman" w:hAnsi="Times New Roman"/>
          <w:sz w:val="24"/>
          <w:szCs w:val="24"/>
        </w:rPr>
        <w:t xml:space="preserve">capture </w:t>
      </w:r>
      <w:r w:rsidR="00147C8C" w:rsidDel="00A10655">
        <w:rPr>
          <w:rFonts w:ascii="Times New Roman" w:hAnsi="Times New Roman"/>
          <w:sz w:val="24"/>
          <w:szCs w:val="24"/>
        </w:rPr>
        <w:t>pro forma levels of expense and rate base</w:t>
      </w:r>
      <w:r w:rsidR="00EC7EA8" w:rsidDel="00A10655">
        <w:rPr>
          <w:rFonts w:ascii="Times New Roman" w:hAnsi="Times New Roman"/>
          <w:sz w:val="24"/>
          <w:szCs w:val="24"/>
        </w:rPr>
        <w:t xml:space="preserve">.  </w:t>
      </w:r>
    </w:p>
    <w:p w14:paraId="6F8AE30A" w14:textId="7A98E47A" w:rsidR="00965DF3" w:rsidDel="00A10655" w:rsidRDefault="002C157C" w:rsidP="00254411">
      <w:pPr>
        <w:spacing w:after="0" w:line="480" w:lineRule="auto"/>
        <w:ind w:left="720" w:firstLine="720"/>
        <w:rPr>
          <w:rFonts w:ascii="Times New Roman" w:hAnsi="Times New Roman"/>
          <w:sz w:val="24"/>
          <w:szCs w:val="24"/>
        </w:rPr>
      </w:pPr>
      <w:r w:rsidDel="00A10655">
        <w:rPr>
          <w:rFonts w:ascii="Times New Roman" w:hAnsi="Times New Roman"/>
          <w:sz w:val="24"/>
          <w:szCs w:val="24"/>
        </w:rPr>
        <w:lastRenderedPageBreak/>
        <w:t>Second</w:t>
      </w:r>
      <w:r w:rsidR="009F7CED" w:rsidDel="00A10655">
        <w:rPr>
          <w:rFonts w:ascii="Times New Roman" w:hAnsi="Times New Roman"/>
          <w:sz w:val="24"/>
          <w:szCs w:val="24"/>
        </w:rPr>
        <w:t>, an attrition analysis should derive pro forma levels using methods that are agnostic to events subsequent to the test year. Therefore, incorporating post-test year “future” information into an attrition analysis would compromise the objectivity of the analysis and undermine</w:t>
      </w:r>
      <w:r w:rsidR="00E11282" w:rsidDel="00A10655">
        <w:rPr>
          <w:rFonts w:ascii="Times New Roman" w:hAnsi="Times New Roman"/>
          <w:sz w:val="24"/>
          <w:szCs w:val="24"/>
        </w:rPr>
        <w:t xml:space="preserve"> a</w:t>
      </w:r>
      <w:r w:rsidR="009F7CED" w:rsidDel="00A10655">
        <w:rPr>
          <w:rFonts w:ascii="Times New Roman" w:hAnsi="Times New Roman"/>
          <w:sz w:val="24"/>
          <w:szCs w:val="24"/>
        </w:rPr>
        <w:t xml:space="preserve"> key reason for the superiority of an attrition adjustment to future test year ratemaking: it avoids the “self-fulfilling prophesy” problem associated with budget-based ratemaking. </w:t>
      </w:r>
    </w:p>
    <w:p w14:paraId="1FF4885B" w14:textId="17AB0415" w:rsidR="00EC7EA8" w:rsidRDefault="00EC7EA8" w:rsidP="00254411">
      <w:pPr>
        <w:spacing w:after="0" w:line="480" w:lineRule="auto"/>
        <w:ind w:left="720" w:hanging="720"/>
        <w:rPr>
          <w:rFonts w:ascii="Times New Roman" w:hAnsi="Times New Roman"/>
          <w:sz w:val="24"/>
          <w:szCs w:val="24"/>
        </w:rPr>
      </w:pPr>
      <w:r w:rsidDel="00A10655">
        <w:rPr>
          <w:rFonts w:ascii="Times New Roman" w:hAnsi="Times New Roman"/>
          <w:sz w:val="24"/>
          <w:szCs w:val="24"/>
        </w:rPr>
        <w:tab/>
      </w:r>
      <w:r w:rsidDel="00A10655">
        <w:rPr>
          <w:rFonts w:ascii="Times New Roman" w:hAnsi="Times New Roman"/>
          <w:sz w:val="24"/>
          <w:szCs w:val="24"/>
        </w:rPr>
        <w:tab/>
        <w:t xml:space="preserve">Finally, performing an attrition study based on pro forma results adds significant complexity </w:t>
      </w:r>
      <w:r w:rsidR="007C26D2" w:rsidDel="00A10655">
        <w:rPr>
          <w:rFonts w:ascii="Times New Roman" w:hAnsi="Times New Roman"/>
          <w:sz w:val="24"/>
          <w:szCs w:val="24"/>
        </w:rPr>
        <w:t xml:space="preserve">to the analysis </w:t>
      </w:r>
      <w:r w:rsidDel="00A10655">
        <w:rPr>
          <w:rFonts w:ascii="Times New Roman" w:hAnsi="Times New Roman"/>
          <w:sz w:val="24"/>
          <w:szCs w:val="24"/>
        </w:rPr>
        <w:t xml:space="preserve">because each growth rate in each category would have to be individually adjusted to take into account the </w:t>
      </w:r>
      <w:r w:rsidR="00E11282" w:rsidDel="00A10655">
        <w:rPr>
          <w:rFonts w:ascii="Times New Roman" w:hAnsi="Times New Roman"/>
          <w:sz w:val="24"/>
          <w:szCs w:val="24"/>
        </w:rPr>
        <w:t xml:space="preserve">specific </w:t>
      </w:r>
      <w:r w:rsidDel="00A10655">
        <w:rPr>
          <w:rFonts w:ascii="Times New Roman" w:hAnsi="Times New Roman"/>
          <w:sz w:val="24"/>
          <w:szCs w:val="24"/>
        </w:rPr>
        <w:t xml:space="preserve">pro forma </w:t>
      </w:r>
      <w:r w:rsidR="00E11282" w:rsidDel="00A10655">
        <w:rPr>
          <w:rFonts w:ascii="Times New Roman" w:hAnsi="Times New Roman"/>
          <w:sz w:val="24"/>
          <w:szCs w:val="24"/>
        </w:rPr>
        <w:t>adjustments</w:t>
      </w:r>
      <w:r w:rsidDel="00A10655">
        <w:rPr>
          <w:rFonts w:ascii="Times New Roman" w:hAnsi="Times New Roman"/>
          <w:sz w:val="24"/>
          <w:szCs w:val="24"/>
        </w:rPr>
        <w:t xml:space="preserve"> within each </w:t>
      </w:r>
      <w:r w:rsidR="00E11282" w:rsidDel="00A10655">
        <w:rPr>
          <w:rFonts w:ascii="Times New Roman" w:hAnsi="Times New Roman"/>
          <w:sz w:val="24"/>
          <w:szCs w:val="24"/>
        </w:rPr>
        <w:t xml:space="preserve">trended </w:t>
      </w:r>
      <w:r w:rsidDel="00A10655">
        <w:rPr>
          <w:rFonts w:ascii="Times New Roman" w:hAnsi="Times New Roman"/>
          <w:sz w:val="24"/>
          <w:szCs w:val="24"/>
        </w:rPr>
        <w:t>category.</w:t>
      </w:r>
    </w:p>
    <w:p w14:paraId="5D15B146" w14:textId="77777777" w:rsidR="00254411" w:rsidDel="00A10655" w:rsidRDefault="00254411" w:rsidP="00254411">
      <w:pPr>
        <w:spacing w:after="0" w:line="480" w:lineRule="auto"/>
        <w:ind w:left="720" w:hanging="720"/>
        <w:rPr>
          <w:rFonts w:ascii="Times New Roman" w:hAnsi="Times New Roman"/>
          <w:sz w:val="24"/>
          <w:szCs w:val="24"/>
        </w:rPr>
      </w:pPr>
    </w:p>
    <w:p w14:paraId="756F1D45" w14:textId="766E7D62" w:rsidR="00067926" w:rsidRDefault="00C67AC8" w:rsidP="00254411">
      <w:pPr>
        <w:spacing w:after="0" w:line="480" w:lineRule="auto"/>
        <w:ind w:left="1440"/>
        <w:rPr>
          <w:rFonts w:ascii="Times New Roman" w:hAnsi="Times New Roman"/>
          <w:b/>
          <w:sz w:val="24"/>
          <w:szCs w:val="24"/>
        </w:rPr>
      </w:pPr>
      <w:r>
        <w:rPr>
          <w:rFonts w:ascii="Times New Roman" w:hAnsi="Times New Roman"/>
          <w:b/>
          <w:sz w:val="24"/>
          <w:szCs w:val="24"/>
        </w:rPr>
        <w:t>2</w:t>
      </w:r>
      <w:r w:rsidR="00657121">
        <w:rPr>
          <w:rFonts w:ascii="Times New Roman" w:hAnsi="Times New Roman"/>
          <w:b/>
          <w:sz w:val="24"/>
          <w:szCs w:val="24"/>
        </w:rPr>
        <w:t>.</w:t>
      </w:r>
      <w:r w:rsidR="00657121">
        <w:rPr>
          <w:rFonts w:ascii="Times New Roman" w:hAnsi="Times New Roman"/>
          <w:b/>
          <w:sz w:val="24"/>
          <w:szCs w:val="24"/>
        </w:rPr>
        <w:tab/>
        <w:t xml:space="preserve">Analysis </w:t>
      </w:r>
      <w:r w:rsidR="00072710">
        <w:rPr>
          <w:rFonts w:ascii="Times New Roman" w:hAnsi="Times New Roman"/>
          <w:b/>
          <w:sz w:val="24"/>
          <w:szCs w:val="24"/>
        </w:rPr>
        <w:t>of Growth in Revenue</w:t>
      </w:r>
    </w:p>
    <w:p w14:paraId="136CC3D0" w14:textId="77777777" w:rsidR="00254411" w:rsidRPr="0039410B" w:rsidRDefault="00254411" w:rsidP="00254411">
      <w:pPr>
        <w:spacing w:after="0" w:line="480" w:lineRule="auto"/>
        <w:rPr>
          <w:rFonts w:ascii="Times New Roman" w:hAnsi="Times New Roman"/>
          <w:b/>
          <w:sz w:val="24"/>
          <w:szCs w:val="24"/>
        </w:rPr>
      </w:pPr>
    </w:p>
    <w:p w14:paraId="42C2CB84" w14:textId="77777777" w:rsidR="00090018" w:rsidRDefault="00090018" w:rsidP="00254411">
      <w:pPr>
        <w:spacing w:after="0" w:line="480" w:lineRule="auto"/>
        <w:ind w:left="720" w:hanging="720"/>
        <w:rPr>
          <w:rFonts w:ascii="Times New Roman" w:hAnsi="Times New Roman"/>
          <w:b/>
          <w:sz w:val="24"/>
          <w:szCs w:val="24"/>
        </w:rPr>
      </w:pPr>
      <w:r w:rsidRPr="00797C43">
        <w:rPr>
          <w:rFonts w:ascii="Times New Roman" w:hAnsi="Times New Roman"/>
          <w:b/>
          <w:sz w:val="24"/>
          <w:szCs w:val="24"/>
        </w:rPr>
        <w:t>Q.</w:t>
      </w:r>
      <w:r w:rsidRPr="00797C43">
        <w:rPr>
          <w:rFonts w:ascii="Times New Roman" w:hAnsi="Times New Roman"/>
          <w:b/>
          <w:sz w:val="24"/>
          <w:szCs w:val="24"/>
        </w:rPr>
        <w:tab/>
        <w:t>Please exp</w:t>
      </w:r>
      <w:r>
        <w:rPr>
          <w:rFonts w:ascii="Times New Roman" w:hAnsi="Times New Roman"/>
          <w:b/>
          <w:sz w:val="24"/>
          <w:szCs w:val="24"/>
        </w:rPr>
        <w:t>lain how you calculated retail revenue for the rate year 2015</w:t>
      </w:r>
      <w:r w:rsidR="00657121">
        <w:rPr>
          <w:rFonts w:ascii="Times New Roman" w:hAnsi="Times New Roman"/>
          <w:b/>
          <w:sz w:val="24"/>
          <w:szCs w:val="24"/>
        </w:rPr>
        <w:t xml:space="preserve"> in your attrition study</w:t>
      </w:r>
      <w:r w:rsidRPr="00797C43">
        <w:rPr>
          <w:rFonts w:ascii="Times New Roman" w:hAnsi="Times New Roman"/>
          <w:b/>
          <w:sz w:val="24"/>
          <w:szCs w:val="24"/>
        </w:rPr>
        <w:t>.</w:t>
      </w:r>
    </w:p>
    <w:p w14:paraId="46064CB6" w14:textId="22C7E0D7" w:rsidR="00657121" w:rsidRDefault="00090018" w:rsidP="00254411">
      <w:pPr>
        <w:spacing w:after="0" w:line="480" w:lineRule="auto"/>
        <w:ind w:left="720" w:hanging="720"/>
        <w:rPr>
          <w:rFonts w:ascii="Times New Roman" w:hAnsi="Times New Roman"/>
          <w:sz w:val="24"/>
          <w:szCs w:val="24"/>
        </w:rPr>
      </w:pPr>
      <w:r w:rsidRPr="00A9403B">
        <w:rPr>
          <w:rFonts w:ascii="Times New Roman" w:hAnsi="Times New Roman"/>
          <w:sz w:val="24"/>
          <w:szCs w:val="24"/>
        </w:rPr>
        <w:t>A.</w:t>
      </w:r>
      <w:r>
        <w:rPr>
          <w:rFonts w:ascii="Times New Roman" w:hAnsi="Times New Roman"/>
          <w:sz w:val="24"/>
          <w:szCs w:val="24"/>
        </w:rPr>
        <w:tab/>
      </w:r>
      <w:r w:rsidR="00FF2E72">
        <w:rPr>
          <w:rFonts w:ascii="Times New Roman" w:hAnsi="Times New Roman"/>
          <w:sz w:val="24"/>
          <w:szCs w:val="24"/>
        </w:rPr>
        <w:t xml:space="preserve">I </w:t>
      </w:r>
      <w:r w:rsidR="00544B43">
        <w:rPr>
          <w:rFonts w:ascii="Times New Roman" w:hAnsi="Times New Roman"/>
          <w:sz w:val="24"/>
          <w:szCs w:val="24"/>
        </w:rPr>
        <w:t xml:space="preserve">used the same data and methodology </w:t>
      </w:r>
      <w:r w:rsidR="00D06CD4">
        <w:rPr>
          <w:rFonts w:ascii="Times New Roman" w:hAnsi="Times New Roman"/>
          <w:sz w:val="24"/>
          <w:szCs w:val="24"/>
        </w:rPr>
        <w:t>Avista</w:t>
      </w:r>
      <w:r>
        <w:rPr>
          <w:rFonts w:ascii="Times New Roman" w:hAnsi="Times New Roman"/>
          <w:sz w:val="24"/>
          <w:szCs w:val="24"/>
        </w:rPr>
        <w:t xml:space="preserve"> </w:t>
      </w:r>
      <w:r w:rsidR="002A4FF8">
        <w:rPr>
          <w:rFonts w:ascii="Times New Roman" w:hAnsi="Times New Roman"/>
          <w:sz w:val="24"/>
          <w:szCs w:val="24"/>
        </w:rPr>
        <w:t xml:space="preserve">used </w:t>
      </w:r>
      <w:r w:rsidR="00544B43">
        <w:rPr>
          <w:rFonts w:ascii="Times New Roman" w:hAnsi="Times New Roman"/>
          <w:sz w:val="24"/>
          <w:szCs w:val="24"/>
        </w:rPr>
        <w:t>to</w:t>
      </w:r>
      <w:r>
        <w:rPr>
          <w:rFonts w:ascii="Times New Roman" w:hAnsi="Times New Roman"/>
          <w:sz w:val="24"/>
          <w:szCs w:val="24"/>
        </w:rPr>
        <w:t xml:space="preserve"> estimat</w:t>
      </w:r>
      <w:r w:rsidR="00544B43">
        <w:rPr>
          <w:rFonts w:ascii="Times New Roman" w:hAnsi="Times New Roman"/>
          <w:sz w:val="24"/>
          <w:szCs w:val="24"/>
        </w:rPr>
        <w:t>e</w:t>
      </w:r>
      <w:r>
        <w:rPr>
          <w:rFonts w:ascii="Times New Roman" w:hAnsi="Times New Roman"/>
          <w:sz w:val="24"/>
          <w:szCs w:val="24"/>
        </w:rPr>
        <w:t xml:space="preserve"> retail revenue for the rate year 2015</w:t>
      </w:r>
      <w:r w:rsidR="002A4FF8">
        <w:rPr>
          <w:rFonts w:ascii="Times New Roman" w:hAnsi="Times New Roman"/>
          <w:sz w:val="24"/>
          <w:szCs w:val="24"/>
        </w:rPr>
        <w:t xml:space="preserve">, which is from the Company’s 2015 load forecast.  </w:t>
      </w:r>
      <w:r>
        <w:rPr>
          <w:rFonts w:ascii="Times New Roman" w:hAnsi="Times New Roman"/>
          <w:sz w:val="24"/>
          <w:szCs w:val="24"/>
        </w:rPr>
        <w:t xml:space="preserve">The revenue escalation factor </w:t>
      </w:r>
      <w:r w:rsidR="00D06CD4">
        <w:rPr>
          <w:rFonts w:ascii="Times New Roman" w:hAnsi="Times New Roman"/>
          <w:sz w:val="24"/>
          <w:szCs w:val="24"/>
        </w:rPr>
        <w:t>was derived from Avista’s expected growth rate of individual billing determinants between June 2013 and December 2015</w:t>
      </w:r>
      <w:r>
        <w:rPr>
          <w:rFonts w:ascii="Times New Roman" w:hAnsi="Times New Roman"/>
          <w:sz w:val="24"/>
          <w:szCs w:val="24"/>
        </w:rPr>
        <w:t>.</w:t>
      </w:r>
      <w:r w:rsidR="00081791">
        <w:rPr>
          <w:rStyle w:val="FootnoteReference"/>
          <w:rFonts w:ascii="Times New Roman" w:hAnsi="Times New Roman"/>
          <w:sz w:val="24"/>
          <w:szCs w:val="24"/>
        </w:rPr>
        <w:footnoteReference w:id="8"/>
      </w:r>
      <w:r>
        <w:rPr>
          <w:rFonts w:ascii="Times New Roman" w:hAnsi="Times New Roman"/>
          <w:sz w:val="24"/>
          <w:szCs w:val="24"/>
        </w:rPr>
        <w:t xml:space="preserve"> </w:t>
      </w:r>
      <w:r w:rsidR="00657121">
        <w:rPr>
          <w:rFonts w:ascii="Times New Roman" w:hAnsi="Times New Roman"/>
          <w:sz w:val="24"/>
          <w:szCs w:val="24"/>
        </w:rPr>
        <w:t xml:space="preserve"> </w:t>
      </w:r>
      <w:r w:rsidR="00E657F0">
        <w:rPr>
          <w:rFonts w:ascii="Times New Roman" w:hAnsi="Times New Roman"/>
          <w:sz w:val="24"/>
          <w:szCs w:val="24"/>
        </w:rPr>
        <w:t xml:space="preserve">I made an </w:t>
      </w:r>
      <w:r w:rsidR="002A4B3B">
        <w:rPr>
          <w:rFonts w:ascii="Times New Roman" w:hAnsi="Times New Roman"/>
          <w:sz w:val="24"/>
          <w:szCs w:val="24"/>
        </w:rPr>
        <w:t>adjustment to incremental revenue</w:t>
      </w:r>
      <w:r w:rsidR="00E657F0">
        <w:rPr>
          <w:rFonts w:ascii="Times New Roman" w:hAnsi="Times New Roman"/>
          <w:sz w:val="24"/>
          <w:szCs w:val="24"/>
        </w:rPr>
        <w:t xml:space="preserve"> to reflect </w:t>
      </w:r>
      <w:r w:rsidR="002A4B3B">
        <w:rPr>
          <w:rFonts w:ascii="Times New Roman" w:hAnsi="Times New Roman"/>
          <w:sz w:val="24"/>
          <w:szCs w:val="24"/>
        </w:rPr>
        <w:t xml:space="preserve">revenue </w:t>
      </w:r>
      <w:r w:rsidR="00E657F0">
        <w:rPr>
          <w:rFonts w:ascii="Times New Roman" w:hAnsi="Times New Roman"/>
          <w:sz w:val="24"/>
          <w:szCs w:val="24"/>
        </w:rPr>
        <w:t>growth between December 31, 2013, and December 31,</w:t>
      </w:r>
      <w:r w:rsidR="002A4B3B">
        <w:rPr>
          <w:rFonts w:ascii="Times New Roman" w:hAnsi="Times New Roman"/>
          <w:sz w:val="24"/>
          <w:szCs w:val="24"/>
        </w:rPr>
        <w:t xml:space="preserve"> 2015,</w:t>
      </w:r>
      <w:r w:rsidR="00E657F0">
        <w:rPr>
          <w:rStyle w:val="FootnoteReference"/>
          <w:rFonts w:ascii="Times New Roman" w:hAnsi="Times New Roman"/>
          <w:sz w:val="24"/>
          <w:szCs w:val="24"/>
        </w:rPr>
        <w:footnoteReference w:id="9"/>
      </w:r>
      <w:r w:rsidR="002A4B3B">
        <w:rPr>
          <w:rFonts w:ascii="Times New Roman" w:hAnsi="Times New Roman"/>
          <w:sz w:val="24"/>
          <w:szCs w:val="24"/>
        </w:rPr>
        <w:t xml:space="preserve"> rather than June 30, 2013, to December 31, 2015.</w:t>
      </w:r>
    </w:p>
    <w:p w14:paraId="72FC6A68" w14:textId="77777777" w:rsidR="00090018" w:rsidRDefault="00090018" w:rsidP="00254411">
      <w:pPr>
        <w:spacing w:after="0" w:line="480" w:lineRule="auto"/>
        <w:ind w:left="720" w:hanging="720"/>
        <w:rPr>
          <w:rFonts w:ascii="Times New Roman" w:hAnsi="Times New Roman"/>
          <w:sz w:val="24"/>
          <w:szCs w:val="24"/>
        </w:rPr>
      </w:pPr>
    </w:p>
    <w:p w14:paraId="588B03E7" w14:textId="7451429F" w:rsidR="00090018" w:rsidRDefault="00E47F40" w:rsidP="00254411">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r>
      <w:r w:rsidR="00EC0A68">
        <w:rPr>
          <w:rFonts w:ascii="Times New Roman" w:hAnsi="Times New Roman"/>
          <w:b/>
          <w:sz w:val="24"/>
          <w:szCs w:val="24"/>
        </w:rPr>
        <w:t xml:space="preserve">Are </w:t>
      </w:r>
      <w:r w:rsidR="00090018">
        <w:rPr>
          <w:rFonts w:ascii="Times New Roman" w:hAnsi="Times New Roman"/>
          <w:b/>
          <w:sz w:val="24"/>
          <w:szCs w:val="24"/>
        </w:rPr>
        <w:t>Avista</w:t>
      </w:r>
      <w:r w:rsidR="00EC0A68">
        <w:rPr>
          <w:rFonts w:ascii="Times New Roman" w:hAnsi="Times New Roman"/>
          <w:b/>
          <w:sz w:val="24"/>
          <w:szCs w:val="24"/>
        </w:rPr>
        <w:t>’s</w:t>
      </w:r>
      <w:r w:rsidR="00090018">
        <w:rPr>
          <w:rFonts w:ascii="Times New Roman" w:hAnsi="Times New Roman"/>
          <w:b/>
          <w:sz w:val="24"/>
          <w:szCs w:val="24"/>
        </w:rPr>
        <w:t xml:space="preserve"> project</w:t>
      </w:r>
      <w:r w:rsidR="00EC0A68">
        <w:rPr>
          <w:rFonts w:ascii="Times New Roman" w:hAnsi="Times New Roman"/>
          <w:b/>
          <w:sz w:val="24"/>
          <w:szCs w:val="24"/>
        </w:rPr>
        <w:t>ions for</w:t>
      </w:r>
      <w:r w:rsidR="00090018">
        <w:rPr>
          <w:rFonts w:ascii="Times New Roman" w:hAnsi="Times New Roman"/>
          <w:b/>
          <w:sz w:val="24"/>
          <w:szCs w:val="24"/>
        </w:rPr>
        <w:t xml:space="preserve"> rate year loads</w:t>
      </w:r>
      <w:r w:rsidR="00657121">
        <w:rPr>
          <w:rFonts w:ascii="Times New Roman" w:hAnsi="Times New Roman"/>
          <w:b/>
          <w:sz w:val="24"/>
          <w:szCs w:val="24"/>
        </w:rPr>
        <w:t xml:space="preserve"> </w:t>
      </w:r>
      <w:r w:rsidR="00EC0A68">
        <w:rPr>
          <w:rFonts w:ascii="Times New Roman" w:hAnsi="Times New Roman"/>
          <w:b/>
          <w:sz w:val="24"/>
          <w:szCs w:val="24"/>
        </w:rPr>
        <w:t>reasonable</w:t>
      </w:r>
      <w:r w:rsidR="00090018">
        <w:rPr>
          <w:rFonts w:ascii="Times New Roman" w:hAnsi="Times New Roman"/>
          <w:b/>
          <w:sz w:val="24"/>
          <w:szCs w:val="24"/>
        </w:rPr>
        <w:t>?</w:t>
      </w:r>
    </w:p>
    <w:p w14:paraId="6B0F72E7" w14:textId="6C75BADB" w:rsidR="00657121" w:rsidRDefault="00090018" w:rsidP="00254411">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544B43">
        <w:rPr>
          <w:rFonts w:ascii="Times New Roman" w:hAnsi="Times New Roman"/>
          <w:sz w:val="24"/>
          <w:szCs w:val="24"/>
        </w:rPr>
        <w:t>Yes</w:t>
      </w:r>
      <w:r w:rsidR="00EC7EA8">
        <w:rPr>
          <w:rFonts w:ascii="Times New Roman" w:hAnsi="Times New Roman"/>
          <w:sz w:val="24"/>
          <w:szCs w:val="24"/>
        </w:rPr>
        <w:t xml:space="preserve">.  </w:t>
      </w:r>
      <w:r w:rsidR="001D65CD">
        <w:rPr>
          <w:rFonts w:ascii="Times New Roman" w:hAnsi="Times New Roman"/>
          <w:sz w:val="24"/>
          <w:szCs w:val="24"/>
        </w:rPr>
        <w:t>Staff witness Mr. Ball</w:t>
      </w:r>
      <w:r w:rsidR="00EC7EA8">
        <w:rPr>
          <w:rFonts w:ascii="Times New Roman" w:hAnsi="Times New Roman"/>
          <w:sz w:val="24"/>
          <w:szCs w:val="24"/>
        </w:rPr>
        <w:t xml:space="preserve"> addresses this issue</w:t>
      </w:r>
      <w:r w:rsidR="001D65CD">
        <w:rPr>
          <w:rFonts w:ascii="Times New Roman" w:hAnsi="Times New Roman"/>
          <w:sz w:val="24"/>
          <w:szCs w:val="24"/>
        </w:rPr>
        <w:t>.</w:t>
      </w:r>
      <w:r w:rsidR="00EC7EA8">
        <w:rPr>
          <w:rFonts w:ascii="Times New Roman" w:hAnsi="Times New Roman"/>
          <w:sz w:val="24"/>
          <w:szCs w:val="24"/>
        </w:rPr>
        <w:t xml:space="preserve">  </w:t>
      </w:r>
      <w:r w:rsidR="009E188C">
        <w:rPr>
          <w:rFonts w:ascii="Times New Roman" w:hAnsi="Times New Roman"/>
          <w:sz w:val="24"/>
          <w:szCs w:val="24"/>
        </w:rPr>
        <w:t>Additionally,</w:t>
      </w:r>
      <w:r w:rsidR="00EC7EA8">
        <w:rPr>
          <w:rFonts w:ascii="Times New Roman" w:hAnsi="Times New Roman"/>
          <w:sz w:val="24"/>
          <w:szCs w:val="24"/>
        </w:rPr>
        <w:t xml:space="preserve"> </w:t>
      </w:r>
      <w:r w:rsidR="00CA125D">
        <w:rPr>
          <w:rFonts w:ascii="Times New Roman" w:hAnsi="Times New Roman"/>
          <w:sz w:val="24"/>
          <w:szCs w:val="24"/>
        </w:rPr>
        <w:t xml:space="preserve">as </w:t>
      </w:r>
      <w:r w:rsidR="00BA225E">
        <w:rPr>
          <w:rFonts w:ascii="Times New Roman" w:hAnsi="Times New Roman"/>
          <w:sz w:val="24"/>
          <w:szCs w:val="24"/>
        </w:rPr>
        <w:t xml:space="preserve">a reasonableness </w:t>
      </w:r>
      <w:r>
        <w:rPr>
          <w:rFonts w:ascii="Times New Roman" w:hAnsi="Times New Roman"/>
          <w:sz w:val="24"/>
          <w:szCs w:val="24"/>
        </w:rPr>
        <w:t xml:space="preserve">check to Avista’s revenue forecast, I constructed my own revenue growth model using only historical </w:t>
      </w:r>
      <w:r w:rsidR="002D753E">
        <w:rPr>
          <w:rFonts w:ascii="Times New Roman" w:hAnsi="Times New Roman"/>
          <w:sz w:val="24"/>
          <w:szCs w:val="24"/>
        </w:rPr>
        <w:t xml:space="preserve">billing determinant </w:t>
      </w:r>
      <w:r>
        <w:rPr>
          <w:rFonts w:ascii="Times New Roman" w:hAnsi="Times New Roman"/>
          <w:sz w:val="24"/>
          <w:szCs w:val="24"/>
        </w:rPr>
        <w:t xml:space="preserve">data (2001-2013). </w:t>
      </w:r>
      <w:r w:rsidR="00E47F40">
        <w:rPr>
          <w:rFonts w:ascii="Times New Roman" w:hAnsi="Times New Roman"/>
          <w:sz w:val="24"/>
          <w:szCs w:val="24"/>
        </w:rPr>
        <w:t xml:space="preserve">For this </w:t>
      </w:r>
      <w:r w:rsidR="00CA125D">
        <w:rPr>
          <w:rFonts w:ascii="Times New Roman" w:hAnsi="Times New Roman"/>
          <w:sz w:val="24"/>
          <w:szCs w:val="24"/>
        </w:rPr>
        <w:t xml:space="preserve">reasonableness </w:t>
      </w:r>
      <w:r w:rsidR="00E47F40">
        <w:rPr>
          <w:rFonts w:ascii="Times New Roman" w:hAnsi="Times New Roman"/>
          <w:sz w:val="24"/>
          <w:szCs w:val="24"/>
        </w:rPr>
        <w:t xml:space="preserve">check, </w:t>
      </w:r>
      <w:r>
        <w:rPr>
          <w:rFonts w:ascii="Times New Roman" w:hAnsi="Times New Roman"/>
          <w:sz w:val="24"/>
          <w:szCs w:val="24"/>
        </w:rPr>
        <w:t xml:space="preserve">I calculated the weighted revenue growth </w:t>
      </w:r>
      <w:r w:rsidR="00417EE2">
        <w:rPr>
          <w:rFonts w:ascii="Times New Roman" w:hAnsi="Times New Roman"/>
          <w:sz w:val="24"/>
          <w:szCs w:val="24"/>
        </w:rPr>
        <w:t>using</w:t>
      </w:r>
      <w:r w:rsidR="00E47F40">
        <w:rPr>
          <w:rFonts w:ascii="Times New Roman" w:hAnsi="Times New Roman"/>
          <w:sz w:val="24"/>
          <w:szCs w:val="24"/>
        </w:rPr>
        <w:t xml:space="preserve"> 2015 billing determinants</w:t>
      </w:r>
      <w:r>
        <w:rPr>
          <w:rFonts w:ascii="Times New Roman" w:hAnsi="Times New Roman"/>
          <w:sz w:val="24"/>
          <w:szCs w:val="24"/>
        </w:rPr>
        <w:t xml:space="preserve">, except </w:t>
      </w:r>
      <w:r w:rsidR="00001930">
        <w:rPr>
          <w:rFonts w:ascii="Times New Roman" w:hAnsi="Times New Roman"/>
          <w:sz w:val="24"/>
          <w:szCs w:val="24"/>
        </w:rPr>
        <w:t>I estimated</w:t>
      </w:r>
      <w:r w:rsidR="00657121">
        <w:rPr>
          <w:rFonts w:ascii="Times New Roman" w:hAnsi="Times New Roman"/>
          <w:sz w:val="24"/>
          <w:szCs w:val="24"/>
        </w:rPr>
        <w:t xml:space="preserve"> </w:t>
      </w:r>
      <w:r>
        <w:rPr>
          <w:rFonts w:ascii="Times New Roman" w:hAnsi="Times New Roman"/>
          <w:sz w:val="24"/>
          <w:szCs w:val="24"/>
        </w:rPr>
        <w:t>the 20</w:t>
      </w:r>
      <w:r w:rsidR="00001930">
        <w:rPr>
          <w:rFonts w:ascii="Times New Roman" w:hAnsi="Times New Roman"/>
          <w:sz w:val="24"/>
          <w:szCs w:val="24"/>
        </w:rPr>
        <w:t>15 billing determinants</w:t>
      </w:r>
      <w:r>
        <w:rPr>
          <w:rFonts w:ascii="Times New Roman" w:hAnsi="Times New Roman"/>
          <w:sz w:val="24"/>
          <w:szCs w:val="24"/>
        </w:rPr>
        <w:t xml:space="preserve"> </w:t>
      </w:r>
      <w:r w:rsidR="002D753E">
        <w:rPr>
          <w:rFonts w:ascii="Times New Roman" w:hAnsi="Times New Roman"/>
          <w:sz w:val="24"/>
          <w:szCs w:val="24"/>
        </w:rPr>
        <w:t>by applying</w:t>
      </w:r>
      <w:r w:rsidR="00657121">
        <w:rPr>
          <w:rFonts w:ascii="Times New Roman" w:hAnsi="Times New Roman"/>
          <w:sz w:val="24"/>
          <w:szCs w:val="24"/>
        </w:rPr>
        <w:t xml:space="preserve"> </w:t>
      </w:r>
      <w:r>
        <w:rPr>
          <w:rFonts w:ascii="Times New Roman" w:hAnsi="Times New Roman"/>
          <w:sz w:val="24"/>
          <w:szCs w:val="24"/>
        </w:rPr>
        <w:t xml:space="preserve">historical </w:t>
      </w:r>
      <w:r w:rsidR="002D753E">
        <w:rPr>
          <w:rFonts w:ascii="Times New Roman" w:hAnsi="Times New Roman"/>
          <w:sz w:val="24"/>
          <w:szCs w:val="24"/>
        </w:rPr>
        <w:t xml:space="preserve">rates of </w:t>
      </w:r>
      <w:r w:rsidR="00001930">
        <w:rPr>
          <w:rFonts w:ascii="Times New Roman" w:hAnsi="Times New Roman"/>
          <w:sz w:val="24"/>
          <w:szCs w:val="24"/>
        </w:rPr>
        <w:t xml:space="preserve">billing determinant </w:t>
      </w:r>
      <w:r w:rsidR="002D753E">
        <w:rPr>
          <w:rFonts w:ascii="Times New Roman" w:hAnsi="Times New Roman"/>
          <w:sz w:val="24"/>
          <w:szCs w:val="24"/>
        </w:rPr>
        <w:t>growth rather than using</w:t>
      </w:r>
      <w:r>
        <w:rPr>
          <w:rFonts w:ascii="Times New Roman" w:hAnsi="Times New Roman"/>
          <w:sz w:val="24"/>
          <w:szCs w:val="24"/>
        </w:rPr>
        <w:t xml:space="preserve"> the Company’s 2015 load forecast. </w:t>
      </w:r>
      <w:r w:rsidR="00657121">
        <w:rPr>
          <w:rFonts w:ascii="Times New Roman" w:hAnsi="Times New Roman"/>
          <w:sz w:val="24"/>
          <w:szCs w:val="24"/>
        </w:rPr>
        <w:t xml:space="preserve"> </w:t>
      </w:r>
    </w:p>
    <w:p w14:paraId="4850C7CA" w14:textId="77777777" w:rsidR="001D65CD" w:rsidRDefault="00090018" w:rsidP="00254411">
      <w:pPr>
        <w:spacing w:after="0" w:line="480" w:lineRule="auto"/>
        <w:ind w:left="720" w:firstLine="720"/>
        <w:rPr>
          <w:rFonts w:ascii="Times New Roman" w:hAnsi="Times New Roman"/>
          <w:sz w:val="24"/>
          <w:szCs w:val="24"/>
        </w:rPr>
      </w:pPr>
      <w:r>
        <w:rPr>
          <w:rFonts w:ascii="Times New Roman" w:hAnsi="Times New Roman"/>
          <w:sz w:val="24"/>
          <w:szCs w:val="24"/>
        </w:rPr>
        <w:t xml:space="preserve">Using </w:t>
      </w:r>
      <w:r w:rsidR="00992468">
        <w:rPr>
          <w:rFonts w:ascii="Times New Roman" w:hAnsi="Times New Roman"/>
          <w:sz w:val="24"/>
          <w:szCs w:val="24"/>
        </w:rPr>
        <w:t>this appro</w:t>
      </w:r>
      <w:r w:rsidR="002A4FF8">
        <w:rPr>
          <w:rFonts w:ascii="Times New Roman" w:hAnsi="Times New Roman"/>
          <w:sz w:val="24"/>
          <w:szCs w:val="24"/>
        </w:rPr>
        <w:t>ach</w:t>
      </w:r>
      <w:r>
        <w:rPr>
          <w:rFonts w:ascii="Times New Roman" w:hAnsi="Times New Roman"/>
          <w:sz w:val="24"/>
          <w:szCs w:val="24"/>
        </w:rPr>
        <w:t xml:space="preserve">, I estimated the weighted revenue growth between June 2013 and December 2015 </w:t>
      </w:r>
      <w:r w:rsidRPr="004C7046">
        <w:rPr>
          <w:rFonts w:ascii="Times New Roman" w:hAnsi="Times New Roman"/>
          <w:sz w:val="24"/>
          <w:szCs w:val="24"/>
        </w:rPr>
        <w:t>to be 1.76 percent for electric service</w:t>
      </w:r>
      <w:r w:rsidR="002A4FF8">
        <w:rPr>
          <w:rFonts w:ascii="Times New Roman" w:hAnsi="Times New Roman"/>
          <w:sz w:val="24"/>
          <w:szCs w:val="24"/>
        </w:rPr>
        <w:t>,</w:t>
      </w:r>
      <w:r w:rsidRPr="004C7046">
        <w:rPr>
          <w:rFonts w:ascii="Times New Roman" w:hAnsi="Times New Roman"/>
          <w:sz w:val="24"/>
          <w:szCs w:val="24"/>
        </w:rPr>
        <w:t xml:space="preserve"> which is lower than the weighted revenue growth of 2.08 percent derived from the Company’s 2015 load forecast. </w:t>
      </w:r>
      <w:r w:rsidR="00657121" w:rsidRPr="004C7046">
        <w:rPr>
          <w:rFonts w:ascii="Times New Roman" w:hAnsi="Times New Roman"/>
          <w:sz w:val="24"/>
          <w:szCs w:val="24"/>
        </w:rPr>
        <w:t xml:space="preserve"> </w:t>
      </w:r>
      <w:r w:rsidRPr="004C7046">
        <w:rPr>
          <w:rFonts w:ascii="Times New Roman" w:hAnsi="Times New Roman"/>
          <w:sz w:val="24"/>
          <w:szCs w:val="24"/>
        </w:rPr>
        <w:t xml:space="preserve">I estimated the weighted revenue growth between June 2013 and December 2015 to </w:t>
      </w:r>
      <w:r w:rsidR="00924F33" w:rsidRPr="004C7046">
        <w:rPr>
          <w:rFonts w:ascii="Times New Roman" w:hAnsi="Times New Roman"/>
          <w:sz w:val="24"/>
          <w:szCs w:val="24"/>
        </w:rPr>
        <w:t>be -0.37 percent for gas sales</w:t>
      </w:r>
      <w:r w:rsidRPr="004C7046">
        <w:rPr>
          <w:rFonts w:ascii="Times New Roman" w:hAnsi="Times New Roman"/>
          <w:sz w:val="24"/>
          <w:szCs w:val="24"/>
        </w:rPr>
        <w:t xml:space="preserve"> and 6.69 percent for gas transportation service</w:t>
      </w:r>
      <w:r w:rsidR="002A4FF8">
        <w:rPr>
          <w:rFonts w:ascii="Times New Roman" w:hAnsi="Times New Roman"/>
          <w:sz w:val="24"/>
          <w:szCs w:val="24"/>
        </w:rPr>
        <w:t>,</w:t>
      </w:r>
      <w:r w:rsidRPr="004C7046">
        <w:rPr>
          <w:rFonts w:ascii="Times New Roman" w:hAnsi="Times New Roman"/>
          <w:sz w:val="24"/>
          <w:szCs w:val="24"/>
        </w:rPr>
        <w:t xml:space="preserve"> which </w:t>
      </w:r>
      <w:r w:rsidR="002A4FF8">
        <w:rPr>
          <w:rFonts w:ascii="Times New Roman" w:hAnsi="Times New Roman"/>
          <w:sz w:val="24"/>
          <w:szCs w:val="24"/>
        </w:rPr>
        <w:t>are</w:t>
      </w:r>
      <w:r w:rsidRPr="004C7046">
        <w:rPr>
          <w:rFonts w:ascii="Times New Roman" w:hAnsi="Times New Roman"/>
          <w:sz w:val="24"/>
          <w:szCs w:val="24"/>
        </w:rPr>
        <w:t xml:space="preserve"> lower than the respective weighted revenue growth rates of 2.88 percent and 6.78 percent de</w:t>
      </w:r>
      <w:r>
        <w:rPr>
          <w:rFonts w:ascii="Times New Roman" w:hAnsi="Times New Roman"/>
          <w:sz w:val="24"/>
          <w:szCs w:val="24"/>
        </w:rPr>
        <w:t>rived from the Company’s 2015 load forecast.</w:t>
      </w:r>
      <w:r w:rsidR="00992468">
        <w:rPr>
          <w:rFonts w:ascii="Times New Roman" w:hAnsi="Times New Roman"/>
          <w:sz w:val="24"/>
          <w:szCs w:val="24"/>
        </w:rPr>
        <w:t xml:space="preserve">  </w:t>
      </w:r>
    </w:p>
    <w:p w14:paraId="4AB80712" w14:textId="388C1321" w:rsidR="00090018" w:rsidRDefault="00992468" w:rsidP="00254411">
      <w:pPr>
        <w:spacing w:after="0" w:line="480" w:lineRule="auto"/>
        <w:ind w:left="720" w:firstLine="720"/>
        <w:rPr>
          <w:rFonts w:ascii="Times New Roman" w:hAnsi="Times New Roman"/>
          <w:sz w:val="24"/>
          <w:szCs w:val="24"/>
        </w:rPr>
      </w:pPr>
      <w:r>
        <w:rPr>
          <w:rFonts w:ascii="Times New Roman" w:hAnsi="Times New Roman"/>
          <w:sz w:val="24"/>
          <w:szCs w:val="24"/>
        </w:rPr>
        <w:t xml:space="preserve">The fact that the Avista’s revenue growth forecasts are higher than what would be projected using historical rates of growth provides some amount of assurance that the Company is not under-projecting rate year loads. </w:t>
      </w:r>
      <w:r w:rsidR="00EC7EA8">
        <w:rPr>
          <w:rFonts w:ascii="Times New Roman" w:hAnsi="Times New Roman"/>
          <w:sz w:val="24"/>
          <w:szCs w:val="24"/>
        </w:rPr>
        <w:t xml:space="preserve"> </w:t>
      </w:r>
      <w:r>
        <w:rPr>
          <w:rFonts w:ascii="Times New Roman" w:hAnsi="Times New Roman"/>
          <w:sz w:val="24"/>
          <w:szCs w:val="24"/>
        </w:rPr>
        <w:t>Under-projected rat</w:t>
      </w:r>
      <w:r w:rsidR="00313678">
        <w:rPr>
          <w:rFonts w:ascii="Times New Roman" w:hAnsi="Times New Roman"/>
          <w:sz w:val="24"/>
          <w:szCs w:val="24"/>
        </w:rPr>
        <w:t>e year loads could cause rates to be set too high</w:t>
      </w:r>
      <w:r w:rsidR="00C364FF">
        <w:rPr>
          <w:rFonts w:ascii="Times New Roman" w:hAnsi="Times New Roman"/>
          <w:sz w:val="24"/>
          <w:szCs w:val="24"/>
        </w:rPr>
        <w:t>, as the Company would collect additional revenues in the rate year from higher than forecasted loads not captured in the ratemaking formula.</w:t>
      </w:r>
    </w:p>
    <w:p w14:paraId="10F420D2" w14:textId="176D03E4" w:rsidR="002A4FF8" w:rsidRDefault="002A4FF8" w:rsidP="00254411">
      <w:pPr>
        <w:spacing w:after="0" w:line="480" w:lineRule="auto"/>
        <w:ind w:left="720" w:firstLine="720"/>
        <w:rPr>
          <w:rFonts w:ascii="Times New Roman" w:hAnsi="Times New Roman"/>
          <w:sz w:val="24"/>
          <w:szCs w:val="24"/>
        </w:rPr>
      </w:pPr>
      <w:r>
        <w:rPr>
          <w:rFonts w:ascii="Times New Roman" w:hAnsi="Times New Roman"/>
          <w:sz w:val="24"/>
          <w:szCs w:val="24"/>
        </w:rPr>
        <w:t>In short, I conclude that in measuring attrition</w:t>
      </w:r>
      <w:r w:rsidR="001D65CD">
        <w:rPr>
          <w:rFonts w:ascii="Times New Roman" w:hAnsi="Times New Roman"/>
          <w:sz w:val="24"/>
          <w:szCs w:val="24"/>
        </w:rPr>
        <w:t xml:space="preserve"> in this case, it is reasonable</w:t>
      </w:r>
      <w:r>
        <w:rPr>
          <w:rFonts w:ascii="Times New Roman" w:hAnsi="Times New Roman"/>
          <w:sz w:val="24"/>
          <w:szCs w:val="24"/>
        </w:rPr>
        <w:t xml:space="preserve"> to rely on the Company’s 2015 load forecast</w:t>
      </w:r>
      <w:r w:rsidR="001D65CD">
        <w:rPr>
          <w:rFonts w:ascii="Times New Roman" w:hAnsi="Times New Roman"/>
          <w:sz w:val="24"/>
          <w:szCs w:val="24"/>
        </w:rPr>
        <w:t xml:space="preserve"> for derivation of </w:t>
      </w:r>
      <w:r w:rsidR="00BA225E">
        <w:rPr>
          <w:rFonts w:ascii="Times New Roman" w:hAnsi="Times New Roman"/>
          <w:sz w:val="24"/>
          <w:szCs w:val="24"/>
        </w:rPr>
        <w:t xml:space="preserve">retail </w:t>
      </w:r>
      <w:r w:rsidR="001D65CD">
        <w:rPr>
          <w:rFonts w:ascii="Times New Roman" w:hAnsi="Times New Roman"/>
          <w:sz w:val="24"/>
          <w:szCs w:val="24"/>
        </w:rPr>
        <w:t>revenue growth factors</w:t>
      </w:r>
      <w:r>
        <w:rPr>
          <w:rFonts w:ascii="Times New Roman" w:hAnsi="Times New Roman"/>
          <w:sz w:val="24"/>
          <w:szCs w:val="24"/>
        </w:rPr>
        <w:t>.</w:t>
      </w:r>
    </w:p>
    <w:p w14:paraId="009BE59F" w14:textId="77777777" w:rsidR="004C7046" w:rsidRDefault="004C7046" w:rsidP="00254411">
      <w:pPr>
        <w:spacing w:after="0" w:line="480" w:lineRule="auto"/>
        <w:ind w:left="720" w:firstLine="720"/>
        <w:rPr>
          <w:rFonts w:ascii="Times New Roman" w:hAnsi="Times New Roman"/>
          <w:sz w:val="24"/>
          <w:szCs w:val="24"/>
        </w:rPr>
      </w:pPr>
    </w:p>
    <w:p w14:paraId="77C4A341" w14:textId="60F89745" w:rsidR="00090018" w:rsidRDefault="00C67AC8" w:rsidP="00254411">
      <w:pPr>
        <w:keepNext/>
        <w:tabs>
          <w:tab w:val="left" w:pos="-1440"/>
        </w:tabs>
        <w:spacing w:after="0" w:line="240" w:lineRule="auto"/>
        <w:ind w:left="2160" w:hanging="720"/>
        <w:rPr>
          <w:rFonts w:ascii="Times New Roman" w:hAnsi="Times New Roman"/>
          <w:b/>
          <w:sz w:val="24"/>
          <w:szCs w:val="24"/>
        </w:rPr>
      </w:pPr>
      <w:r>
        <w:rPr>
          <w:rFonts w:ascii="Times New Roman" w:hAnsi="Times New Roman"/>
          <w:b/>
          <w:sz w:val="24"/>
          <w:szCs w:val="24"/>
        </w:rPr>
        <w:lastRenderedPageBreak/>
        <w:t>3</w:t>
      </w:r>
      <w:r w:rsidR="00657121">
        <w:rPr>
          <w:rFonts w:ascii="Times New Roman" w:hAnsi="Times New Roman"/>
          <w:b/>
          <w:sz w:val="24"/>
          <w:szCs w:val="24"/>
        </w:rPr>
        <w:t>.</w:t>
      </w:r>
      <w:r w:rsidR="00657121">
        <w:rPr>
          <w:rFonts w:ascii="Times New Roman" w:hAnsi="Times New Roman"/>
          <w:b/>
          <w:sz w:val="24"/>
          <w:szCs w:val="24"/>
        </w:rPr>
        <w:tab/>
      </w:r>
      <w:r w:rsidR="00072710">
        <w:rPr>
          <w:rFonts w:ascii="Times New Roman" w:hAnsi="Times New Roman"/>
          <w:b/>
          <w:sz w:val="24"/>
          <w:szCs w:val="24"/>
        </w:rPr>
        <w:t>Analysis of Growth in Rate Base, Expenses and Other Non-Retail Revenue</w:t>
      </w:r>
    </w:p>
    <w:p w14:paraId="4DB7F20B" w14:textId="77777777" w:rsidR="00C25D1E" w:rsidRPr="00644AF5" w:rsidRDefault="00C25D1E" w:rsidP="00090018">
      <w:pPr>
        <w:tabs>
          <w:tab w:val="left" w:pos="-1440"/>
        </w:tabs>
        <w:spacing w:after="0" w:line="480" w:lineRule="auto"/>
        <w:ind w:left="720" w:hanging="720"/>
        <w:rPr>
          <w:rFonts w:ascii="Times New Roman" w:hAnsi="Times New Roman"/>
          <w:b/>
          <w:sz w:val="24"/>
          <w:szCs w:val="24"/>
        </w:rPr>
      </w:pPr>
    </w:p>
    <w:p w14:paraId="24CD77EC" w14:textId="77777777" w:rsidR="00090018" w:rsidRPr="00981894" w:rsidRDefault="00090018" w:rsidP="00090018">
      <w:pPr>
        <w:tabs>
          <w:tab w:val="left" w:pos="-1440"/>
        </w:tabs>
        <w:spacing w:after="0" w:line="480" w:lineRule="auto"/>
        <w:ind w:left="720" w:hanging="720"/>
        <w:rPr>
          <w:rFonts w:ascii="Times New Roman" w:hAnsi="Times New Roman"/>
          <w:b/>
          <w:sz w:val="24"/>
          <w:szCs w:val="24"/>
        </w:rPr>
      </w:pPr>
      <w:r w:rsidRPr="00981894">
        <w:rPr>
          <w:rFonts w:ascii="Times New Roman" w:hAnsi="Times New Roman"/>
          <w:b/>
          <w:sz w:val="24"/>
          <w:szCs w:val="24"/>
        </w:rPr>
        <w:t>Q.</w:t>
      </w:r>
      <w:r w:rsidRPr="00981894">
        <w:rPr>
          <w:rFonts w:ascii="Times New Roman" w:hAnsi="Times New Roman"/>
          <w:b/>
          <w:sz w:val="24"/>
          <w:szCs w:val="24"/>
        </w:rPr>
        <w:tab/>
        <w:t xml:space="preserve">How did </w:t>
      </w:r>
      <w:r>
        <w:rPr>
          <w:rFonts w:ascii="Times New Roman" w:hAnsi="Times New Roman"/>
          <w:b/>
          <w:sz w:val="24"/>
          <w:szCs w:val="24"/>
        </w:rPr>
        <w:t xml:space="preserve">you develop your </w:t>
      </w:r>
      <w:r w:rsidR="00072710">
        <w:rPr>
          <w:rFonts w:ascii="Times New Roman" w:hAnsi="Times New Roman"/>
          <w:b/>
          <w:sz w:val="24"/>
          <w:szCs w:val="24"/>
        </w:rPr>
        <w:t xml:space="preserve">growth rates and </w:t>
      </w:r>
      <w:r>
        <w:rPr>
          <w:rFonts w:ascii="Times New Roman" w:hAnsi="Times New Roman"/>
          <w:b/>
          <w:sz w:val="24"/>
          <w:szCs w:val="24"/>
        </w:rPr>
        <w:t>projections for</w:t>
      </w:r>
      <w:r w:rsidRPr="00981894">
        <w:rPr>
          <w:rFonts w:ascii="Times New Roman" w:hAnsi="Times New Roman"/>
          <w:b/>
          <w:sz w:val="24"/>
          <w:szCs w:val="24"/>
        </w:rPr>
        <w:t xml:space="preserve"> rate base</w:t>
      </w:r>
      <w:r>
        <w:rPr>
          <w:rFonts w:ascii="Times New Roman" w:hAnsi="Times New Roman"/>
          <w:b/>
          <w:sz w:val="24"/>
          <w:szCs w:val="24"/>
        </w:rPr>
        <w:t>, expenses</w:t>
      </w:r>
      <w:r w:rsidRPr="00981894">
        <w:rPr>
          <w:rFonts w:ascii="Times New Roman" w:hAnsi="Times New Roman"/>
          <w:b/>
          <w:sz w:val="24"/>
          <w:szCs w:val="24"/>
        </w:rPr>
        <w:t xml:space="preserve"> and other</w:t>
      </w:r>
      <w:r>
        <w:rPr>
          <w:rFonts w:ascii="Times New Roman" w:hAnsi="Times New Roman"/>
          <w:b/>
          <w:sz w:val="24"/>
          <w:szCs w:val="24"/>
        </w:rPr>
        <w:t xml:space="preserve"> non-retail</w:t>
      </w:r>
      <w:r w:rsidRPr="00981894">
        <w:rPr>
          <w:rFonts w:ascii="Times New Roman" w:hAnsi="Times New Roman"/>
          <w:b/>
          <w:sz w:val="24"/>
          <w:szCs w:val="24"/>
        </w:rPr>
        <w:t xml:space="preserve"> revenue?</w:t>
      </w:r>
    </w:p>
    <w:p w14:paraId="797E7019" w14:textId="243EE5C1" w:rsidR="00090018" w:rsidRDefault="00090018" w:rsidP="00254411">
      <w:pPr>
        <w:spacing w:after="0" w:line="480" w:lineRule="auto"/>
        <w:ind w:left="720" w:hanging="720"/>
        <w:rPr>
          <w:rFonts w:ascii="Times New Roman" w:hAnsi="Times New Roman"/>
          <w:sz w:val="24"/>
          <w:szCs w:val="24"/>
        </w:rPr>
      </w:pPr>
      <w:r w:rsidRPr="00A9403B">
        <w:rPr>
          <w:rFonts w:ascii="Times New Roman" w:hAnsi="Times New Roman"/>
          <w:sz w:val="24"/>
          <w:szCs w:val="24"/>
        </w:rPr>
        <w:t>A.</w:t>
      </w:r>
      <w:r w:rsidR="00A7655F">
        <w:rPr>
          <w:rFonts w:ascii="Times New Roman" w:hAnsi="Times New Roman"/>
          <w:sz w:val="24"/>
          <w:szCs w:val="24"/>
        </w:rPr>
        <w:tab/>
        <w:t>I</w:t>
      </w:r>
      <w:r>
        <w:rPr>
          <w:rFonts w:ascii="Times New Roman" w:hAnsi="Times New Roman"/>
          <w:sz w:val="24"/>
          <w:szCs w:val="24"/>
        </w:rPr>
        <w:t xml:space="preserve"> relied upon historical, normalized </w:t>
      </w:r>
      <w:r w:rsidR="00072710">
        <w:rPr>
          <w:rFonts w:ascii="Times New Roman" w:hAnsi="Times New Roman"/>
          <w:sz w:val="24"/>
          <w:szCs w:val="24"/>
        </w:rPr>
        <w:t xml:space="preserve">data from the </w:t>
      </w:r>
      <w:r>
        <w:rPr>
          <w:rFonts w:ascii="Times New Roman" w:hAnsi="Times New Roman"/>
          <w:sz w:val="24"/>
          <w:szCs w:val="24"/>
        </w:rPr>
        <w:t>Commission Basis Reports to estimate rates of growth for</w:t>
      </w:r>
      <w:r w:rsidR="00072710">
        <w:rPr>
          <w:rFonts w:ascii="Times New Roman" w:hAnsi="Times New Roman"/>
          <w:sz w:val="24"/>
          <w:szCs w:val="24"/>
        </w:rPr>
        <w:t>:</w:t>
      </w:r>
      <w:r>
        <w:rPr>
          <w:rFonts w:ascii="Times New Roman" w:hAnsi="Times New Roman"/>
          <w:sz w:val="24"/>
          <w:szCs w:val="24"/>
        </w:rPr>
        <w:t xml:space="preserve"> 1) net plant after deferred income taxes</w:t>
      </w:r>
      <w:r w:rsidR="00072710">
        <w:rPr>
          <w:rFonts w:ascii="Times New Roman" w:hAnsi="Times New Roman"/>
          <w:sz w:val="24"/>
          <w:szCs w:val="24"/>
        </w:rPr>
        <w:t>;</w:t>
      </w:r>
      <w:r>
        <w:rPr>
          <w:rFonts w:ascii="Times New Roman" w:hAnsi="Times New Roman"/>
          <w:sz w:val="24"/>
          <w:szCs w:val="24"/>
        </w:rPr>
        <w:t xml:space="preserve"> 2) </w:t>
      </w:r>
      <w:r w:rsidR="00E271EF">
        <w:rPr>
          <w:rFonts w:ascii="Times New Roman" w:hAnsi="Times New Roman"/>
          <w:sz w:val="24"/>
          <w:szCs w:val="24"/>
        </w:rPr>
        <w:t xml:space="preserve">operating expense; 3) </w:t>
      </w:r>
      <w:r>
        <w:rPr>
          <w:rFonts w:ascii="Times New Roman" w:hAnsi="Times New Roman"/>
          <w:sz w:val="24"/>
          <w:szCs w:val="24"/>
        </w:rPr>
        <w:t>total depreciation/amortization</w:t>
      </w:r>
      <w:r w:rsidR="00072710">
        <w:rPr>
          <w:rFonts w:ascii="Times New Roman" w:hAnsi="Times New Roman"/>
          <w:sz w:val="24"/>
          <w:szCs w:val="24"/>
        </w:rPr>
        <w:t>;</w:t>
      </w:r>
      <w:r w:rsidR="00E271EF">
        <w:rPr>
          <w:rFonts w:ascii="Times New Roman" w:hAnsi="Times New Roman"/>
          <w:sz w:val="24"/>
          <w:szCs w:val="24"/>
        </w:rPr>
        <w:t xml:space="preserve"> 4</w:t>
      </w:r>
      <w:r>
        <w:rPr>
          <w:rFonts w:ascii="Times New Roman" w:hAnsi="Times New Roman"/>
          <w:sz w:val="24"/>
          <w:szCs w:val="24"/>
        </w:rPr>
        <w:t>) taxes other than income</w:t>
      </w:r>
      <w:r w:rsidR="00072710">
        <w:rPr>
          <w:rFonts w:ascii="Times New Roman" w:hAnsi="Times New Roman"/>
          <w:sz w:val="24"/>
          <w:szCs w:val="24"/>
        </w:rPr>
        <w:t>;</w:t>
      </w:r>
      <w:r w:rsidR="00E271EF">
        <w:rPr>
          <w:rFonts w:ascii="Times New Roman" w:hAnsi="Times New Roman"/>
          <w:sz w:val="24"/>
          <w:szCs w:val="24"/>
        </w:rPr>
        <w:t xml:space="preserve"> and 5</w:t>
      </w:r>
      <w:r>
        <w:rPr>
          <w:rFonts w:ascii="Times New Roman" w:hAnsi="Times New Roman"/>
          <w:sz w:val="24"/>
          <w:szCs w:val="24"/>
        </w:rPr>
        <w:t>) other</w:t>
      </w:r>
      <w:r w:rsidR="00924F33">
        <w:rPr>
          <w:rFonts w:ascii="Times New Roman" w:hAnsi="Times New Roman"/>
          <w:sz w:val="24"/>
          <w:szCs w:val="24"/>
        </w:rPr>
        <w:t xml:space="preserve"> non-retail</w:t>
      </w:r>
      <w:r>
        <w:rPr>
          <w:rFonts w:ascii="Times New Roman" w:hAnsi="Times New Roman"/>
          <w:sz w:val="24"/>
          <w:szCs w:val="24"/>
        </w:rPr>
        <w:t xml:space="preserve"> revenue. </w:t>
      </w:r>
      <w:r w:rsidR="00072710">
        <w:rPr>
          <w:rFonts w:ascii="Times New Roman" w:hAnsi="Times New Roman"/>
          <w:sz w:val="24"/>
          <w:szCs w:val="24"/>
        </w:rPr>
        <w:tab/>
      </w:r>
      <w:r>
        <w:rPr>
          <w:rFonts w:ascii="Times New Roman" w:hAnsi="Times New Roman"/>
          <w:sz w:val="24"/>
          <w:szCs w:val="24"/>
        </w:rPr>
        <w:t xml:space="preserve">Once </w:t>
      </w:r>
      <w:r w:rsidR="00072710">
        <w:rPr>
          <w:rFonts w:ascii="Times New Roman" w:hAnsi="Times New Roman"/>
          <w:sz w:val="24"/>
          <w:szCs w:val="24"/>
        </w:rPr>
        <w:t xml:space="preserve">I developed these rates </w:t>
      </w:r>
      <w:r>
        <w:rPr>
          <w:rFonts w:ascii="Times New Roman" w:hAnsi="Times New Roman"/>
          <w:sz w:val="24"/>
          <w:szCs w:val="24"/>
        </w:rPr>
        <w:t xml:space="preserve">of growth, </w:t>
      </w:r>
      <w:r w:rsidR="00072710">
        <w:rPr>
          <w:rFonts w:ascii="Times New Roman" w:hAnsi="Times New Roman"/>
          <w:sz w:val="24"/>
          <w:szCs w:val="24"/>
        </w:rPr>
        <w:t xml:space="preserve">I </w:t>
      </w:r>
      <w:r>
        <w:rPr>
          <w:rFonts w:ascii="Times New Roman" w:hAnsi="Times New Roman"/>
          <w:sz w:val="24"/>
          <w:szCs w:val="24"/>
        </w:rPr>
        <w:t xml:space="preserve">applied </w:t>
      </w:r>
      <w:r w:rsidR="00072710">
        <w:rPr>
          <w:rFonts w:ascii="Times New Roman" w:hAnsi="Times New Roman"/>
          <w:sz w:val="24"/>
          <w:szCs w:val="24"/>
        </w:rPr>
        <w:t xml:space="preserve">them </w:t>
      </w:r>
      <w:r>
        <w:rPr>
          <w:rFonts w:ascii="Times New Roman" w:hAnsi="Times New Roman"/>
          <w:sz w:val="24"/>
          <w:szCs w:val="24"/>
        </w:rPr>
        <w:t xml:space="preserve">to the escalation base </w:t>
      </w:r>
      <w:r w:rsidR="009714EA">
        <w:rPr>
          <w:rFonts w:ascii="Times New Roman" w:hAnsi="Times New Roman"/>
          <w:sz w:val="24"/>
          <w:szCs w:val="24"/>
        </w:rPr>
        <w:t>(</w:t>
      </w:r>
      <w:r w:rsidR="009714EA" w:rsidRPr="00644AF5">
        <w:rPr>
          <w:rFonts w:ascii="Times New Roman" w:hAnsi="Times New Roman"/>
          <w:i/>
          <w:sz w:val="24"/>
          <w:szCs w:val="24"/>
        </w:rPr>
        <w:t>i.e</w:t>
      </w:r>
      <w:r w:rsidR="009714EA">
        <w:rPr>
          <w:rFonts w:ascii="Times New Roman" w:hAnsi="Times New Roman"/>
          <w:sz w:val="24"/>
          <w:szCs w:val="24"/>
        </w:rPr>
        <w:t xml:space="preserve">. the normalized test-year levels from the </w:t>
      </w:r>
      <w:r w:rsidR="004F3D88">
        <w:rPr>
          <w:rFonts w:ascii="Times New Roman" w:hAnsi="Times New Roman"/>
          <w:sz w:val="24"/>
          <w:szCs w:val="24"/>
        </w:rPr>
        <w:t xml:space="preserve">December </w:t>
      </w:r>
      <w:r w:rsidR="009714EA">
        <w:rPr>
          <w:rFonts w:ascii="Times New Roman" w:hAnsi="Times New Roman"/>
          <w:sz w:val="24"/>
          <w:szCs w:val="24"/>
        </w:rPr>
        <w:t>2013 Commission Basis Report)</w:t>
      </w:r>
      <w:r>
        <w:rPr>
          <w:rFonts w:ascii="Times New Roman" w:hAnsi="Times New Roman"/>
          <w:sz w:val="24"/>
          <w:szCs w:val="24"/>
        </w:rPr>
        <w:t xml:space="preserve"> for each corresponding category. </w:t>
      </w:r>
      <w:r w:rsidR="00072710">
        <w:rPr>
          <w:rFonts w:ascii="Times New Roman" w:hAnsi="Times New Roman"/>
          <w:sz w:val="24"/>
          <w:szCs w:val="24"/>
        </w:rPr>
        <w:t xml:space="preserve"> </w:t>
      </w:r>
    </w:p>
    <w:p w14:paraId="029F6759" w14:textId="77777777" w:rsidR="00090018" w:rsidRDefault="00090018" w:rsidP="00254411">
      <w:pPr>
        <w:spacing w:after="0" w:line="480" w:lineRule="auto"/>
        <w:rPr>
          <w:rFonts w:ascii="Times New Roman" w:hAnsi="Times New Roman"/>
          <w:sz w:val="24"/>
          <w:szCs w:val="24"/>
        </w:rPr>
      </w:pPr>
    </w:p>
    <w:p w14:paraId="384C62FA" w14:textId="455DB927" w:rsidR="00090018" w:rsidRPr="00F91BE1" w:rsidRDefault="00090018" w:rsidP="00254411">
      <w:pPr>
        <w:spacing w:after="0" w:line="480" w:lineRule="auto"/>
        <w:ind w:left="720" w:hanging="720"/>
        <w:rPr>
          <w:rFonts w:ascii="Times New Roman" w:hAnsi="Times New Roman"/>
          <w:b/>
          <w:sz w:val="24"/>
          <w:szCs w:val="24"/>
        </w:rPr>
      </w:pPr>
      <w:r>
        <w:rPr>
          <w:rFonts w:ascii="Times New Roman" w:hAnsi="Times New Roman"/>
          <w:b/>
          <w:sz w:val="24"/>
          <w:szCs w:val="24"/>
        </w:rPr>
        <w:t xml:space="preserve">Q. </w:t>
      </w:r>
      <w:r>
        <w:rPr>
          <w:rFonts w:ascii="Times New Roman" w:hAnsi="Times New Roman"/>
          <w:b/>
          <w:sz w:val="24"/>
          <w:szCs w:val="24"/>
        </w:rPr>
        <w:tab/>
        <w:t xml:space="preserve">Please </w:t>
      </w:r>
      <w:r w:rsidR="00072710">
        <w:rPr>
          <w:rFonts w:ascii="Times New Roman" w:hAnsi="Times New Roman"/>
          <w:b/>
          <w:sz w:val="24"/>
          <w:szCs w:val="24"/>
        </w:rPr>
        <w:t>explain</w:t>
      </w:r>
      <w:r>
        <w:rPr>
          <w:rFonts w:ascii="Times New Roman" w:hAnsi="Times New Roman"/>
          <w:b/>
          <w:sz w:val="24"/>
          <w:szCs w:val="24"/>
        </w:rPr>
        <w:t xml:space="preserve"> </w:t>
      </w:r>
      <w:r w:rsidR="00072710">
        <w:rPr>
          <w:rFonts w:ascii="Times New Roman" w:hAnsi="Times New Roman"/>
          <w:b/>
          <w:sz w:val="24"/>
          <w:szCs w:val="24"/>
        </w:rPr>
        <w:t xml:space="preserve">how you </w:t>
      </w:r>
      <w:r w:rsidR="009714EA">
        <w:rPr>
          <w:rFonts w:ascii="Times New Roman" w:hAnsi="Times New Roman"/>
          <w:b/>
          <w:sz w:val="24"/>
          <w:szCs w:val="24"/>
        </w:rPr>
        <w:t xml:space="preserve">calculated rates of </w:t>
      </w:r>
      <w:r w:rsidR="00A7655F">
        <w:rPr>
          <w:rFonts w:ascii="Times New Roman" w:hAnsi="Times New Roman"/>
          <w:b/>
          <w:sz w:val="24"/>
          <w:szCs w:val="24"/>
        </w:rPr>
        <w:t>growth for</w:t>
      </w:r>
      <w:r w:rsidR="00072710">
        <w:rPr>
          <w:rFonts w:ascii="Times New Roman" w:hAnsi="Times New Roman"/>
          <w:b/>
          <w:sz w:val="24"/>
          <w:szCs w:val="24"/>
        </w:rPr>
        <w:t xml:space="preserve"> expenses, </w:t>
      </w:r>
      <w:r w:rsidR="00E87567">
        <w:rPr>
          <w:rFonts w:ascii="Times New Roman" w:hAnsi="Times New Roman"/>
          <w:b/>
          <w:sz w:val="24"/>
          <w:szCs w:val="24"/>
        </w:rPr>
        <w:t>net plant</w:t>
      </w:r>
      <w:r w:rsidR="00F93008">
        <w:rPr>
          <w:rFonts w:ascii="Times New Roman" w:hAnsi="Times New Roman"/>
          <w:b/>
          <w:sz w:val="24"/>
          <w:szCs w:val="24"/>
        </w:rPr>
        <w:t xml:space="preserve"> and</w:t>
      </w:r>
      <w:r w:rsidR="00611519">
        <w:rPr>
          <w:rFonts w:ascii="Times New Roman" w:hAnsi="Times New Roman"/>
          <w:b/>
          <w:sz w:val="24"/>
          <w:szCs w:val="24"/>
        </w:rPr>
        <w:t xml:space="preserve"> non-retail revenues.</w:t>
      </w:r>
      <w:r>
        <w:rPr>
          <w:rFonts w:ascii="Times New Roman" w:hAnsi="Times New Roman"/>
          <w:b/>
          <w:sz w:val="24"/>
          <w:szCs w:val="24"/>
        </w:rPr>
        <w:t xml:space="preserve"> </w:t>
      </w:r>
    </w:p>
    <w:p w14:paraId="657DD9A7" w14:textId="35315FF9" w:rsidR="00090018" w:rsidRDefault="00090018" w:rsidP="00254411">
      <w:pPr>
        <w:spacing w:after="0" w:line="480" w:lineRule="auto"/>
        <w:ind w:left="720" w:hanging="720"/>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r>
      <w:r w:rsidR="00072710">
        <w:rPr>
          <w:rFonts w:ascii="Times New Roman" w:hAnsi="Times New Roman"/>
          <w:sz w:val="24"/>
          <w:szCs w:val="24"/>
        </w:rPr>
        <w:t>I</w:t>
      </w:r>
      <w:r>
        <w:rPr>
          <w:rFonts w:ascii="Times New Roman" w:hAnsi="Times New Roman"/>
          <w:sz w:val="24"/>
          <w:szCs w:val="24"/>
        </w:rPr>
        <w:t xml:space="preserve"> calculated rates of growth using a weighted linear regression across 13 years (2001-2013)</w:t>
      </w:r>
      <w:r w:rsidR="009714EA">
        <w:rPr>
          <w:rFonts w:ascii="Times New Roman" w:hAnsi="Times New Roman"/>
          <w:sz w:val="24"/>
          <w:szCs w:val="24"/>
        </w:rPr>
        <w:t>,</w:t>
      </w:r>
      <w:r>
        <w:rPr>
          <w:rFonts w:ascii="Times New Roman" w:hAnsi="Times New Roman"/>
          <w:sz w:val="24"/>
          <w:szCs w:val="24"/>
        </w:rPr>
        <w:t xml:space="preserve"> with the </w:t>
      </w:r>
      <w:r w:rsidR="004F3D88">
        <w:rPr>
          <w:rFonts w:ascii="Times New Roman" w:hAnsi="Times New Roman"/>
          <w:sz w:val="24"/>
          <w:szCs w:val="24"/>
        </w:rPr>
        <w:t xml:space="preserve">rate of </w:t>
      </w:r>
      <w:r>
        <w:rPr>
          <w:rFonts w:ascii="Times New Roman" w:hAnsi="Times New Roman"/>
          <w:sz w:val="24"/>
          <w:szCs w:val="24"/>
        </w:rPr>
        <w:t xml:space="preserve">growth between 2007 and 2013 weighted more heavily. </w:t>
      </w:r>
      <w:r w:rsidR="00072710">
        <w:rPr>
          <w:rFonts w:ascii="Times New Roman" w:hAnsi="Times New Roman"/>
          <w:sz w:val="24"/>
          <w:szCs w:val="24"/>
        </w:rPr>
        <w:t xml:space="preserve"> </w:t>
      </w:r>
    </w:p>
    <w:p w14:paraId="2813BB6E" w14:textId="70C08A5C" w:rsidR="009714EA" w:rsidRDefault="00090018" w:rsidP="00254411">
      <w:pPr>
        <w:spacing w:after="0" w:line="480" w:lineRule="auto"/>
        <w:ind w:left="720" w:firstLine="720"/>
        <w:rPr>
          <w:rFonts w:ascii="Times New Roman" w:hAnsi="Times New Roman"/>
          <w:sz w:val="24"/>
          <w:szCs w:val="24"/>
        </w:rPr>
      </w:pPr>
      <w:r>
        <w:rPr>
          <w:rFonts w:ascii="Times New Roman" w:hAnsi="Times New Roman"/>
          <w:sz w:val="24"/>
          <w:szCs w:val="24"/>
        </w:rPr>
        <w:t>Specifically, to calculate rates of growth for each of the categories to be escalated</w:t>
      </w:r>
      <w:r w:rsidR="00611519">
        <w:rPr>
          <w:rFonts w:ascii="Times New Roman" w:hAnsi="Times New Roman"/>
          <w:sz w:val="24"/>
          <w:szCs w:val="24"/>
        </w:rPr>
        <w:t xml:space="preserve"> (</w:t>
      </w:r>
      <w:r w:rsidR="00DC5B34">
        <w:rPr>
          <w:rFonts w:ascii="Times New Roman" w:hAnsi="Times New Roman"/>
          <w:sz w:val="24"/>
          <w:szCs w:val="24"/>
        </w:rPr>
        <w:t>except for</w:t>
      </w:r>
      <w:r w:rsidR="00E47F40">
        <w:rPr>
          <w:rFonts w:ascii="Times New Roman" w:hAnsi="Times New Roman"/>
          <w:sz w:val="24"/>
          <w:szCs w:val="24"/>
        </w:rPr>
        <w:t xml:space="preserve"> </w:t>
      </w:r>
      <w:r w:rsidR="00611519">
        <w:rPr>
          <w:rFonts w:ascii="Times New Roman" w:hAnsi="Times New Roman"/>
          <w:sz w:val="24"/>
          <w:szCs w:val="24"/>
        </w:rPr>
        <w:t>operating expense</w:t>
      </w:r>
      <w:r w:rsidR="00DC5B34">
        <w:rPr>
          <w:rFonts w:ascii="Times New Roman" w:hAnsi="Times New Roman"/>
          <w:sz w:val="24"/>
          <w:szCs w:val="24"/>
        </w:rPr>
        <w:t>, as I explain below</w:t>
      </w:r>
      <w:r w:rsidR="00611519">
        <w:rPr>
          <w:rFonts w:ascii="Times New Roman" w:hAnsi="Times New Roman"/>
          <w:sz w:val="24"/>
          <w:szCs w:val="24"/>
        </w:rPr>
        <w:t>)</w:t>
      </w:r>
      <w:r>
        <w:rPr>
          <w:rFonts w:ascii="Times New Roman" w:hAnsi="Times New Roman"/>
          <w:sz w:val="24"/>
          <w:szCs w:val="24"/>
        </w:rPr>
        <w:t>, I used the average slope of two linear regressions</w:t>
      </w:r>
      <w:r w:rsidR="004F3D88">
        <w:rPr>
          <w:rFonts w:ascii="Times New Roman" w:hAnsi="Times New Roman"/>
          <w:sz w:val="24"/>
          <w:szCs w:val="24"/>
        </w:rPr>
        <w:t>:</w:t>
      </w:r>
      <w:r>
        <w:rPr>
          <w:rFonts w:ascii="Times New Roman" w:hAnsi="Times New Roman"/>
          <w:sz w:val="24"/>
          <w:szCs w:val="24"/>
        </w:rPr>
        <w:t xml:space="preserve"> the first across 2001-2013</w:t>
      </w:r>
      <w:r w:rsidR="00072710">
        <w:rPr>
          <w:rFonts w:ascii="Times New Roman" w:hAnsi="Times New Roman"/>
          <w:sz w:val="24"/>
          <w:szCs w:val="24"/>
        </w:rPr>
        <w:t>,</w:t>
      </w:r>
      <w:r>
        <w:rPr>
          <w:rFonts w:ascii="Times New Roman" w:hAnsi="Times New Roman"/>
          <w:sz w:val="24"/>
          <w:szCs w:val="24"/>
        </w:rPr>
        <w:t xml:space="preserve"> and the second across 2007-2013. </w:t>
      </w:r>
      <w:r w:rsidR="009714EA">
        <w:rPr>
          <w:rFonts w:ascii="Times New Roman" w:hAnsi="Times New Roman"/>
          <w:sz w:val="24"/>
          <w:szCs w:val="24"/>
        </w:rPr>
        <w:t xml:space="preserve"> </w:t>
      </w:r>
      <w:r>
        <w:rPr>
          <w:rFonts w:ascii="Times New Roman" w:hAnsi="Times New Roman"/>
          <w:sz w:val="24"/>
          <w:szCs w:val="24"/>
        </w:rPr>
        <w:t>The resulting average slope therefore portrays the long-term (2001-201</w:t>
      </w:r>
      <w:r w:rsidR="00B44828">
        <w:rPr>
          <w:rFonts w:ascii="Times New Roman" w:hAnsi="Times New Roman"/>
          <w:sz w:val="24"/>
          <w:szCs w:val="24"/>
        </w:rPr>
        <w:t>3) growth rate</w:t>
      </w:r>
      <w:r w:rsidR="00611519">
        <w:rPr>
          <w:rFonts w:ascii="Times New Roman" w:hAnsi="Times New Roman"/>
          <w:sz w:val="24"/>
          <w:szCs w:val="24"/>
        </w:rPr>
        <w:t>s</w:t>
      </w:r>
      <w:r w:rsidR="00B44828">
        <w:rPr>
          <w:rFonts w:ascii="Times New Roman" w:hAnsi="Times New Roman"/>
          <w:sz w:val="24"/>
          <w:szCs w:val="24"/>
        </w:rPr>
        <w:t xml:space="preserve"> adjusted toward the</w:t>
      </w:r>
      <w:r>
        <w:rPr>
          <w:rFonts w:ascii="Times New Roman" w:hAnsi="Times New Roman"/>
          <w:sz w:val="24"/>
          <w:szCs w:val="24"/>
        </w:rPr>
        <w:t xml:space="preserve"> more recent (2007-2013) rate</w:t>
      </w:r>
      <w:r w:rsidR="00611519">
        <w:rPr>
          <w:rFonts w:ascii="Times New Roman" w:hAnsi="Times New Roman"/>
          <w:sz w:val="24"/>
          <w:szCs w:val="24"/>
        </w:rPr>
        <w:t>s</w:t>
      </w:r>
      <w:r>
        <w:rPr>
          <w:rFonts w:ascii="Times New Roman" w:hAnsi="Times New Roman"/>
          <w:sz w:val="24"/>
          <w:szCs w:val="24"/>
        </w:rPr>
        <w:t xml:space="preserve"> of growth. </w:t>
      </w:r>
    </w:p>
    <w:p w14:paraId="180A23AF" w14:textId="77777777" w:rsidR="00090018" w:rsidRDefault="00072710" w:rsidP="00254411">
      <w:pPr>
        <w:spacing w:after="0" w:line="480" w:lineRule="auto"/>
        <w:ind w:left="720" w:firstLine="720"/>
        <w:rPr>
          <w:rFonts w:ascii="Times New Roman" w:hAnsi="Times New Roman"/>
          <w:sz w:val="24"/>
          <w:szCs w:val="24"/>
        </w:rPr>
      </w:pPr>
      <w:r>
        <w:rPr>
          <w:rFonts w:ascii="Times New Roman" w:hAnsi="Times New Roman"/>
          <w:sz w:val="24"/>
          <w:szCs w:val="24"/>
        </w:rPr>
        <w:t xml:space="preserve">My </w:t>
      </w:r>
      <w:r w:rsidR="00AE559F" w:rsidRPr="006E3ECA">
        <w:rPr>
          <w:rFonts w:ascii="Times New Roman" w:hAnsi="Times New Roman"/>
          <w:sz w:val="24"/>
          <w:szCs w:val="24"/>
        </w:rPr>
        <w:t>Exhibit No</w:t>
      </w:r>
      <w:r w:rsidR="006E3ECA" w:rsidRPr="006E3ECA">
        <w:rPr>
          <w:rFonts w:ascii="Times New Roman" w:hAnsi="Times New Roman"/>
          <w:sz w:val="24"/>
          <w:szCs w:val="24"/>
        </w:rPr>
        <w:t>s</w:t>
      </w:r>
      <w:r w:rsidR="00AE559F" w:rsidRPr="006E3ECA">
        <w:rPr>
          <w:rFonts w:ascii="Times New Roman" w:hAnsi="Times New Roman"/>
          <w:sz w:val="24"/>
          <w:szCs w:val="24"/>
        </w:rPr>
        <w:t>.__CRM-2</w:t>
      </w:r>
      <w:r w:rsidR="006E3ECA" w:rsidRPr="006E3ECA">
        <w:rPr>
          <w:rFonts w:ascii="Times New Roman" w:hAnsi="Times New Roman"/>
          <w:sz w:val="24"/>
          <w:szCs w:val="24"/>
        </w:rPr>
        <w:t xml:space="preserve"> and CRM-3, pages 6-9</w:t>
      </w:r>
      <w:r w:rsidR="00090018" w:rsidRPr="006E3ECA">
        <w:rPr>
          <w:rFonts w:ascii="Times New Roman" w:hAnsi="Times New Roman"/>
          <w:sz w:val="24"/>
          <w:szCs w:val="24"/>
        </w:rPr>
        <w:t>,</w:t>
      </w:r>
      <w:r w:rsidR="006E3ECA">
        <w:rPr>
          <w:rFonts w:ascii="Times New Roman" w:hAnsi="Times New Roman"/>
          <w:sz w:val="24"/>
          <w:szCs w:val="24"/>
        </w:rPr>
        <w:t xml:space="preserve"> provide visual representations of the rates over these two time periods. </w:t>
      </w:r>
      <w:r w:rsidR="009714EA">
        <w:rPr>
          <w:rFonts w:ascii="Times New Roman" w:hAnsi="Times New Roman"/>
          <w:sz w:val="24"/>
          <w:szCs w:val="24"/>
        </w:rPr>
        <w:t xml:space="preserve"> </w:t>
      </w:r>
      <w:r w:rsidR="006E3ECA">
        <w:rPr>
          <w:rFonts w:ascii="Times New Roman" w:hAnsi="Times New Roman"/>
          <w:sz w:val="24"/>
          <w:szCs w:val="24"/>
        </w:rPr>
        <w:t>The rate of growth I used for each escalation factor</w:t>
      </w:r>
      <w:r w:rsidR="00417EE2">
        <w:rPr>
          <w:rFonts w:ascii="Times New Roman" w:hAnsi="Times New Roman"/>
          <w:sz w:val="24"/>
          <w:szCs w:val="24"/>
        </w:rPr>
        <w:t xml:space="preserve"> is the average of the two trend lines</w:t>
      </w:r>
      <w:r w:rsidR="006E3ECA">
        <w:rPr>
          <w:rFonts w:ascii="Times New Roman" w:hAnsi="Times New Roman"/>
          <w:sz w:val="24"/>
          <w:szCs w:val="24"/>
        </w:rPr>
        <w:t xml:space="preserve"> plotted on each graph</w:t>
      </w:r>
      <w:r w:rsidR="00090018">
        <w:rPr>
          <w:rFonts w:ascii="Times New Roman" w:hAnsi="Times New Roman"/>
          <w:sz w:val="24"/>
          <w:szCs w:val="24"/>
        </w:rPr>
        <w:t>.</w:t>
      </w:r>
    </w:p>
    <w:p w14:paraId="5807B74E" w14:textId="77777777" w:rsidR="00E62ADB" w:rsidRDefault="00E62ADB" w:rsidP="00254411">
      <w:pPr>
        <w:spacing w:after="0" w:line="480" w:lineRule="auto"/>
        <w:ind w:left="720" w:hanging="720"/>
        <w:rPr>
          <w:rFonts w:ascii="Times New Roman" w:hAnsi="Times New Roman"/>
          <w:sz w:val="24"/>
          <w:szCs w:val="24"/>
        </w:rPr>
      </w:pPr>
    </w:p>
    <w:p w14:paraId="3B101729" w14:textId="77777777" w:rsidR="00090018" w:rsidRDefault="00090018" w:rsidP="00254411">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How did you evaluate growth in operating expenses?</w:t>
      </w:r>
    </w:p>
    <w:p w14:paraId="735541FA" w14:textId="77777777" w:rsidR="005B7B40" w:rsidRDefault="005B7B40" w:rsidP="00254411">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I accepted the Company’s application of a 4.00 percent annual growth rate to operatin</w:t>
      </w:r>
      <w:r w:rsidR="009B0B96">
        <w:rPr>
          <w:rFonts w:ascii="Times New Roman" w:hAnsi="Times New Roman"/>
          <w:sz w:val="24"/>
          <w:szCs w:val="24"/>
        </w:rPr>
        <w:t>g expenses for</w:t>
      </w:r>
      <w:r>
        <w:rPr>
          <w:rFonts w:ascii="Times New Roman" w:hAnsi="Times New Roman"/>
          <w:sz w:val="24"/>
          <w:szCs w:val="24"/>
        </w:rPr>
        <w:t xml:space="preserve"> electric </w:t>
      </w:r>
      <w:r w:rsidR="009B0B96">
        <w:rPr>
          <w:rFonts w:ascii="Times New Roman" w:hAnsi="Times New Roman"/>
          <w:sz w:val="24"/>
          <w:szCs w:val="24"/>
        </w:rPr>
        <w:t xml:space="preserve">operations, but rejected the 4.00 percent annual growth rate for </w:t>
      </w:r>
      <w:r w:rsidR="009714EA">
        <w:rPr>
          <w:rFonts w:ascii="Times New Roman" w:hAnsi="Times New Roman"/>
          <w:sz w:val="24"/>
          <w:szCs w:val="24"/>
        </w:rPr>
        <w:t xml:space="preserve">operating expenses for </w:t>
      </w:r>
      <w:r w:rsidR="009B0B96">
        <w:rPr>
          <w:rFonts w:ascii="Times New Roman" w:hAnsi="Times New Roman"/>
          <w:sz w:val="24"/>
          <w:szCs w:val="24"/>
        </w:rPr>
        <w:t>natural gas operations</w:t>
      </w:r>
      <w:r>
        <w:rPr>
          <w:rFonts w:ascii="Times New Roman" w:hAnsi="Times New Roman"/>
          <w:sz w:val="24"/>
          <w:szCs w:val="24"/>
        </w:rPr>
        <w:t xml:space="preserve">. </w:t>
      </w:r>
    </w:p>
    <w:p w14:paraId="28D11BF7" w14:textId="77777777" w:rsidR="005B7B40" w:rsidRDefault="005B7B40" w:rsidP="00254411">
      <w:pPr>
        <w:spacing w:after="0" w:line="480" w:lineRule="auto"/>
        <w:ind w:left="720" w:hanging="720"/>
        <w:rPr>
          <w:rFonts w:ascii="Times New Roman" w:hAnsi="Times New Roman"/>
          <w:sz w:val="24"/>
          <w:szCs w:val="24"/>
        </w:rPr>
      </w:pPr>
    </w:p>
    <w:p w14:paraId="792AAE37" w14:textId="77777777" w:rsidR="005B7B40" w:rsidRPr="005B7B40" w:rsidRDefault="00A61BF8" w:rsidP="00254411">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How did you determine 4.00 percent</w:t>
      </w:r>
      <w:r w:rsidR="005B7B40">
        <w:rPr>
          <w:rFonts w:ascii="Times New Roman" w:hAnsi="Times New Roman"/>
          <w:b/>
          <w:sz w:val="24"/>
          <w:szCs w:val="24"/>
        </w:rPr>
        <w:t xml:space="preserve"> to be a reasonable rate of growth for operating expenses</w:t>
      </w:r>
      <w:r w:rsidR="00FD2B19">
        <w:rPr>
          <w:rFonts w:ascii="Times New Roman" w:hAnsi="Times New Roman"/>
          <w:b/>
          <w:sz w:val="24"/>
          <w:szCs w:val="24"/>
        </w:rPr>
        <w:t xml:space="preserve"> for electric operations</w:t>
      </w:r>
      <w:r w:rsidR="005B7B40">
        <w:rPr>
          <w:rFonts w:ascii="Times New Roman" w:hAnsi="Times New Roman"/>
          <w:b/>
          <w:sz w:val="24"/>
          <w:szCs w:val="24"/>
        </w:rPr>
        <w:t>?</w:t>
      </w:r>
    </w:p>
    <w:p w14:paraId="756A6BDD" w14:textId="6478F671" w:rsidR="00FD2B19" w:rsidRPr="00D81E51" w:rsidRDefault="00090018" w:rsidP="00254411">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FD2B19">
        <w:rPr>
          <w:rFonts w:ascii="Times New Roman" w:hAnsi="Times New Roman"/>
          <w:sz w:val="24"/>
          <w:szCs w:val="24"/>
        </w:rPr>
        <w:t>C</w:t>
      </w:r>
      <w:r>
        <w:rPr>
          <w:rFonts w:ascii="Times New Roman" w:hAnsi="Times New Roman"/>
          <w:sz w:val="24"/>
          <w:szCs w:val="24"/>
        </w:rPr>
        <w:t xml:space="preserve">onsistent with my general approach of relying upon historical data rather than budgets to evaluate growth rates, </w:t>
      </w:r>
      <w:r w:rsidR="00A61BF8">
        <w:rPr>
          <w:rFonts w:ascii="Times New Roman" w:hAnsi="Times New Roman"/>
          <w:sz w:val="24"/>
          <w:szCs w:val="24"/>
        </w:rPr>
        <w:t xml:space="preserve">I compared the Company’s 4.00 percent annual growth rate to growth rates that could be reasonably derived using linear regression on historical data. </w:t>
      </w:r>
      <w:r w:rsidR="00D81E51">
        <w:rPr>
          <w:rFonts w:ascii="Times New Roman" w:hAnsi="Times New Roman"/>
          <w:i/>
          <w:sz w:val="24"/>
          <w:szCs w:val="24"/>
        </w:rPr>
        <w:t xml:space="preserve">See </w:t>
      </w:r>
      <w:r w:rsidR="00D81E51">
        <w:rPr>
          <w:rFonts w:ascii="Times New Roman" w:hAnsi="Times New Roman"/>
          <w:sz w:val="24"/>
          <w:szCs w:val="24"/>
        </w:rPr>
        <w:t>page 10 of my Exhibit</w:t>
      </w:r>
      <w:r w:rsidR="00643468">
        <w:rPr>
          <w:rFonts w:ascii="Times New Roman" w:hAnsi="Times New Roman"/>
          <w:sz w:val="24"/>
          <w:szCs w:val="24"/>
        </w:rPr>
        <w:t xml:space="preserve"> No__</w:t>
      </w:r>
      <w:r w:rsidR="00363B57">
        <w:rPr>
          <w:rFonts w:ascii="Times New Roman" w:hAnsi="Times New Roman"/>
          <w:sz w:val="24"/>
          <w:szCs w:val="24"/>
        </w:rPr>
        <w:t>_ (</w:t>
      </w:r>
      <w:r w:rsidR="00643468">
        <w:rPr>
          <w:rFonts w:ascii="Times New Roman" w:hAnsi="Times New Roman"/>
          <w:sz w:val="24"/>
          <w:szCs w:val="24"/>
        </w:rPr>
        <w:t>CRM-2</w:t>
      </w:r>
      <w:r w:rsidR="00363B57">
        <w:rPr>
          <w:rFonts w:ascii="Times New Roman" w:hAnsi="Times New Roman"/>
          <w:sz w:val="24"/>
          <w:szCs w:val="24"/>
        </w:rPr>
        <w:t>)</w:t>
      </w:r>
      <w:r w:rsidR="00D81E51">
        <w:rPr>
          <w:rFonts w:ascii="Times New Roman" w:hAnsi="Times New Roman"/>
          <w:sz w:val="24"/>
          <w:szCs w:val="24"/>
        </w:rPr>
        <w:t xml:space="preserve"> for regression analysis of adjusted operating e</w:t>
      </w:r>
      <w:r w:rsidR="00643468">
        <w:rPr>
          <w:rFonts w:ascii="Times New Roman" w:hAnsi="Times New Roman"/>
          <w:sz w:val="24"/>
          <w:szCs w:val="24"/>
        </w:rPr>
        <w:t>xpense for electric operations</w:t>
      </w:r>
      <w:r w:rsidR="00D81E51">
        <w:rPr>
          <w:rFonts w:ascii="Times New Roman" w:hAnsi="Times New Roman"/>
          <w:sz w:val="24"/>
          <w:szCs w:val="24"/>
        </w:rPr>
        <w:t xml:space="preserve">. </w:t>
      </w:r>
    </w:p>
    <w:p w14:paraId="0EB8EF1B" w14:textId="0052BA76" w:rsidR="004F0B2D" w:rsidRDefault="0043320A" w:rsidP="00254411">
      <w:pPr>
        <w:spacing w:after="0" w:line="480" w:lineRule="auto"/>
        <w:ind w:left="720" w:firstLine="720"/>
        <w:rPr>
          <w:rFonts w:ascii="Times New Roman" w:hAnsi="Times New Roman"/>
          <w:sz w:val="24"/>
          <w:szCs w:val="24"/>
        </w:rPr>
      </w:pPr>
      <w:r>
        <w:rPr>
          <w:rFonts w:ascii="Times New Roman" w:hAnsi="Times New Roman"/>
          <w:sz w:val="24"/>
          <w:szCs w:val="24"/>
        </w:rPr>
        <w:t xml:space="preserve">Avista’s </w:t>
      </w:r>
      <w:r w:rsidR="008F58D9">
        <w:rPr>
          <w:rFonts w:ascii="Times New Roman" w:hAnsi="Times New Roman"/>
          <w:sz w:val="24"/>
          <w:szCs w:val="24"/>
        </w:rPr>
        <w:t>operating exp</w:t>
      </w:r>
      <w:r w:rsidR="004F0B2D">
        <w:rPr>
          <w:rFonts w:ascii="Times New Roman" w:hAnsi="Times New Roman"/>
          <w:sz w:val="24"/>
          <w:szCs w:val="24"/>
        </w:rPr>
        <w:t>enses appear to have grown at an unsustainable rate</w:t>
      </w:r>
      <w:r w:rsidR="008F58D9">
        <w:rPr>
          <w:rFonts w:ascii="Times New Roman" w:hAnsi="Times New Roman"/>
          <w:sz w:val="24"/>
          <w:szCs w:val="24"/>
        </w:rPr>
        <w:t xml:space="preserve"> beginning in 2009</w:t>
      </w:r>
      <w:r w:rsidR="00FD2B19">
        <w:rPr>
          <w:rFonts w:ascii="Times New Roman" w:hAnsi="Times New Roman"/>
          <w:sz w:val="24"/>
          <w:szCs w:val="24"/>
        </w:rPr>
        <w:t xml:space="preserve"> </w:t>
      </w:r>
      <w:r w:rsidR="004F0B2D">
        <w:rPr>
          <w:rFonts w:ascii="Times New Roman" w:hAnsi="Times New Roman"/>
          <w:sz w:val="24"/>
          <w:szCs w:val="24"/>
        </w:rPr>
        <w:t xml:space="preserve">and progressing </w:t>
      </w:r>
      <w:r w:rsidR="00FD2B19">
        <w:rPr>
          <w:rFonts w:ascii="Times New Roman" w:hAnsi="Times New Roman"/>
          <w:sz w:val="24"/>
          <w:szCs w:val="24"/>
        </w:rPr>
        <w:t>through 2012</w:t>
      </w:r>
      <w:r w:rsidR="004F0B2D">
        <w:rPr>
          <w:rFonts w:ascii="Times New Roman" w:hAnsi="Times New Roman"/>
          <w:sz w:val="24"/>
          <w:szCs w:val="24"/>
        </w:rPr>
        <w:t xml:space="preserve">. </w:t>
      </w:r>
      <w:r w:rsidR="009714EA">
        <w:rPr>
          <w:rFonts w:ascii="Times New Roman" w:hAnsi="Times New Roman"/>
          <w:sz w:val="24"/>
          <w:szCs w:val="24"/>
        </w:rPr>
        <w:t xml:space="preserve"> </w:t>
      </w:r>
      <w:r w:rsidR="004F0B2D">
        <w:rPr>
          <w:rFonts w:ascii="Times New Roman" w:hAnsi="Times New Roman"/>
          <w:sz w:val="24"/>
          <w:szCs w:val="24"/>
        </w:rPr>
        <w:t>Operating expenses in 2013 demonstrate that this unsustainable rate of growth was corrected.</w:t>
      </w:r>
      <w:r w:rsidR="008F58D9">
        <w:rPr>
          <w:rFonts w:ascii="Times New Roman" w:hAnsi="Times New Roman"/>
          <w:sz w:val="24"/>
          <w:szCs w:val="24"/>
        </w:rPr>
        <w:t xml:space="preserve"> </w:t>
      </w:r>
      <w:r w:rsidR="009714EA">
        <w:rPr>
          <w:rFonts w:ascii="Times New Roman" w:hAnsi="Times New Roman"/>
          <w:sz w:val="24"/>
          <w:szCs w:val="24"/>
        </w:rPr>
        <w:t xml:space="preserve"> </w:t>
      </w:r>
      <w:r w:rsidR="00090018">
        <w:rPr>
          <w:rFonts w:ascii="Times New Roman" w:hAnsi="Times New Roman"/>
          <w:sz w:val="24"/>
          <w:szCs w:val="24"/>
        </w:rPr>
        <w:t xml:space="preserve">Therefore, </w:t>
      </w:r>
      <w:r w:rsidR="004F0B2D">
        <w:rPr>
          <w:rFonts w:ascii="Times New Roman" w:hAnsi="Times New Roman"/>
          <w:sz w:val="24"/>
          <w:szCs w:val="24"/>
        </w:rPr>
        <w:t>in a trend analysis of historical data</w:t>
      </w:r>
      <w:r w:rsidR="00DD4FF6">
        <w:rPr>
          <w:rFonts w:ascii="Times New Roman" w:hAnsi="Times New Roman"/>
          <w:sz w:val="24"/>
          <w:szCs w:val="24"/>
        </w:rPr>
        <w:t xml:space="preserve">, to get a sense of what </w:t>
      </w:r>
      <w:r w:rsidR="0052259B">
        <w:rPr>
          <w:rFonts w:ascii="Times New Roman" w:hAnsi="Times New Roman"/>
          <w:i/>
          <w:sz w:val="24"/>
          <w:szCs w:val="24"/>
        </w:rPr>
        <w:t>w</w:t>
      </w:r>
      <w:r w:rsidR="00DD4FF6">
        <w:rPr>
          <w:rFonts w:ascii="Times New Roman" w:hAnsi="Times New Roman"/>
          <w:i/>
          <w:sz w:val="24"/>
          <w:szCs w:val="24"/>
        </w:rPr>
        <w:t>ould</w:t>
      </w:r>
      <w:r w:rsidR="00DD4FF6">
        <w:rPr>
          <w:rFonts w:ascii="Times New Roman" w:hAnsi="Times New Roman"/>
          <w:sz w:val="24"/>
          <w:szCs w:val="24"/>
        </w:rPr>
        <w:t xml:space="preserve"> have been the prevailing rate of growth across the time series</w:t>
      </w:r>
      <w:r w:rsidR="0052259B">
        <w:rPr>
          <w:rFonts w:ascii="Times New Roman" w:hAnsi="Times New Roman"/>
          <w:sz w:val="24"/>
          <w:szCs w:val="24"/>
        </w:rPr>
        <w:t xml:space="preserve"> had the unsustainable rate of growth never occurred</w:t>
      </w:r>
      <w:r w:rsidR="004F0B2D">
        <w:rPr>
          <w:rFonts w:ascii="Times New Roman" w:hAnsi="Times New Roman"/>
          <w:sz w:val="24"/>
          <w:szCs w:val="24"/>
        </w:rPr>
        <w:t>, it is appropriate to de-weight</w:t>
      </w:r>
      <w:r w:rsidR="00363B57">
        <w:rPr>
          <w:rFonts w:ascii="Times New Roman" w:hAnsi="Times New Roman"/>
          <w:sz w:val="24"/>
          <w:szCs w:val="24"/>
        </w:rPr>
        <w:t>,</w:t>
      </w:r>
      <w:r w:rsidR="004F0B2D">
        <w:rPr>
          <w:rFonts w:ascii="Times New Roman" w:hAnsi="Times New Roman"/>
          <w:sz w:val="24"/>
          <w:szCs w:val="24"/>
        </w:rPr>
        <w:t xml:space="preserve"> or remove </w:t>
      </w:r>
      <w:r w:rsidR="00643468">
        <w:rPr>
          <w:rFonts w:ascii="Times New Roman" w:hAnsi="Times New Roman"/>
          <w:sz w:val="24"/>
          <w:szCs w:val="24"/>
        </w:rPr>
        <w:t>data for</w:t>
      </w:r>
      <w:r w:rsidR="00363B57">
        <w:rPr>
          <w:rFonts w:ascii="Times New Roman" w:hAnsi="Times New Roman"/>
          <w:sz w:val="24"/>
          <w:szCs w:val="24"/>
        </w:rPr>
        <w:t>,</w:t>
      </w:r>
      <w:r w:rsidR="00643468">
        <w:rPr>
          <w:rFonts w:ascii="Times New Roman" w:hAnsi="Times New Roman"/>
          <w:sz w:val="24"/>
          <w:szCs w:val="24"/>
        </w:rPr>
        <w:t xml:space="preserve"> the period </w:t>
      </w:r>
      <w:r w:rsidR="004F0B2D">
        <w:rPr>
          <w:rFonts w:ascii="Times New Roman" w:hAnsi="Times New Roman"/>
          <w:sz w:val="24"/>
          <w:szCs w:val="24"/>
        </w:rPr>
        <w:t xml:space="preserve">2009-2012. </w:t>
      </w:r>
      <w:r w:rsidR="009714EA">
        <w:rPr>
          <w:rFonts w:ascii="Times New Roman" w:hAnsi="Times New Roman"/>
          <w:sz w:val="24"/>
          <w:szCs w:val="24"/>
        </w:rPr>
        <w:t xml:space="preserve"> </w:t>
      </w:r>
      <w:r w:rsidR="004F0B2D">
        <w:rPr>
          <w:rFonts w:ascii="Times New Roman" w:hAnsi="Times New Roman"/>
          <w:sz w:val="24"/>
          <w:szCs w:val="24"/>
        </w:rPr>
        <w:t xml:space="preserve">I evaluated growth rates using </w:t>
      </w:r>
      <w:r w:rsidR="00363B57">
        <w:rPr>
          <w:rFonts w:ascii="Times New Roman" w:hAnsi="Times New Roman"/>
          <w:sz w:val="24"/>
          <w:szCs w:val="24"/>
        </w:rPr>
        <w:t xml:space="preserve">each </w:t>
      </w:r>
      <w:r w:rsidR="00713777">
        <w:rPr>
          <w:rFonts w:ascii="Times New Roman" w:hAnsi="Times New Roman"/>
          <w:sz w:val="24"/>
          <w:szCs w:val="24"/>
        </w:rPr>
        <w:t>of these two</w:t>
      </w:r>
      <w:r w:rsidR="004F0B2D">
        <w:rPr>
          <w:rFonts w:ascii="Times New Roman" w:hAnsi="Times New Roman"/>
          <w:sz w:val="24"/>
          <w:szCs w:val="24"/>
        </w:rPr>
        <w:t xml:space="preserve"> approaches.</w:t>
      </w:r>
    </w:p>
    <w:p w14:paraId="67B98EFC" w14:textId="789D16E6" w:rsidR="004F0B2D" w:rsidRDefault="004F0B2D" w:rsidP="00254411">
      <w:pPr>
        <w:spacing w:after="0" w:line="480" w:lineRule="auto"/>
        <w:ind w:left="720" w:firstLine="720"/>
        <w:rPr>
          <w:rFonts w:ascii="Times New Roman" w:hAnsi="Times New Roman"/>
          <w:sz w:val="24"/>
          <w:szCs w:val="24"/>
        </w:rPr>
      </w:pPr>
      <w:r>
        <w:rPr>
          <w:rFonts w:ascii="Times New Roman" w:hAnsi="Times New Roman"/>
          <w:sz w:val="24"/>
          <w:szCs w:val="24"/>
        </w:rPr>
        <w:t>First, I performed a regression analysis on operating expenses over the period 2001-2013</w:t>
      </w:r>
      <w:r w:rsidR="009714EA">
        <w:rPr>
          <w:rFonts w:ascii="Times New Roman" w:hAnsi="Times New Roman"/>
          <w:sz w:val="24"/>
          <w:szCs w:val="24"/>
        </w:rPr>
        <w:t>,</w:t>
      </w:r>
      <w:r>
        <w:rPr>
          <w:rFonts w:ascii="Times New Roman" w:hAnsi="Times New Roman"/>
          <w:sz w:val="24"/>
          <w:szCs w:val="24"/>
        </w:rPr>
        <w:t xml:space="preserve"> with the period 2009-2012 removed. </w:t>
      </w:r>
      <w:r w:rsidR="009714EA">
        <w:rPr>
          <w:rFonts w:ascii="Times New Roman" w:hAnsi="Times New Roman"/>
          <w:sz w:val="24"/>
          <w:szCs w:val="24"/>
        </w:rPr>
        <w:t xml:space="preserve"> </w:t>
      </w:r>
      <w:r w:rsidR="00B80EE5">
        <w:rPr>
          <w:rFonts w:ascii="Times New Roman" w:hAnsi="Times New Roman"/>
          <w:sz w:val="24"/>
          <w:szCs w:val="24"/>
        </w:rPr>
        <w:t xml:space="preserve">Operating expenses for 2013 were included in the regression analysis. </w:t>
      </w:r>
      <w:r w:rsidR="00363B57">
        <w:rPr>
          <w:rFonts w:ascii="Times New Roman" w:hAnsi="Times New Roman"/>
          <w:sz w:val="24"/>
          <w:szCs w:val="24"/>
        </w:rPr>
        <w:t xml:space="preserve"> </w:t>
      </w:r>
      <w:r>
        <w:rPr>
          <w:rFonts w:ascii="Times New Roman" w:hAnsi="Times New Roman"/>
          <w:sz w:val="24"/>
          <w:szCs w:val="24"/>
        </w:rPr>
        <w:t xml:space="preserve">This regression produced an annual growth rate of </w:t>
      </w:r>
      <w:r>
        <w:rPr>
          <w:rFonts w:ascii="Times New Roman" w:hAnsi="Times New Roman"/>
          <w:sz w:val="24"/>
          <w:szCs w:val="24"/>
        </w:rPr>
        <w:lastRenderedPageBreak/>
        <w:t>3.9 percent.</w:t>
      </w:r>
      <w:r w:rsidR="00643468">
        <w:rPr>
          <w:rFonts w:ascii="Times New Roman" w:hAnsi="Times New Roman"/>
          <w:sz w:val="24"/>
          <w:szCs w:val="24"/>
        </w:rPr>
        <w:t xml:space="preserve"> </w:t>
      </w:r>
      <w:r w:rsidR="00363B57">
        <w:rPr>
          <w:rFonts w:ascii="Times New Roman" w:hAnsi="Times New Roman"/>
          <w:sz w:val="24"/>
          <w:szCs w:val="24"/>
        </w:rPr>
        <w:t xml:space="preserve"> </w:t>
      </w:r>
      <w:r w:rsidR="00643468">
        <w:rPr>
          <w:rFonts w:ascii="Times New Roman" w:hAnsi="Times New Roman"/>
          <w:sz w:val="24"/>
          <w:szCs w:val="24"/>
        </w:rPr>
        <w:t>This is the analysis that is graphically presented on page 10 of Exhibit No._</w:t>
      </w:r>
      <w:r w:rsidR="00CA125D">
        <w:rPr>
          <w:rFonts w:ascii="Times New Roman" w:hAnsi="Times New Roman"/>
          <w:sz w:val="24"/>
          <w:szCs w:val="24"/>
        </w:rPr>
        <w:t>_ (</w:t>
      </w:r>
      <w:r w:rsidR="00643468">
        <w:rPr>
          <w:rFonts w:ascii="Times New Roman" w:hAnsi="Times New Roman"/>
          <w:sz w:val="24"/>
          <w:szCs w:val="24"/>
        </w:rPr>
        <w:t>CRM-2)</w:t>
      </w:r>
      <w:r w:rsidR="006B3F89">
        <w:rPr>
          <w:rFonts w:ascii="Times New Roman" w:hAnsi="Times New Roman"/>
          <w:sz w:val="24"/>
          <w:szCs w:val="24"/>
        </w:rPr>
        <w:t>.</w:t>
      </w:r>
    </w:p>
    <w:p w14:paraId="54AF51E1" w14:textId="332949DD" w:rsidR="00B80EE5" w:rsidRDefault="004F0B2D" w:rsidP="00254411">
      <w:pPr>
        <w:spacing w:after="0" w:line="480" w:lineRule="auto"/>
        <w:ind w:left="720" w:firstLine="720"/>
        <w:rPr>
          <w:rFonts w:ascii="Times New Roman" w:hAnsi="Times New Roman"/>
          <w:sz w:val="24"/>
          <w:szCs w:val="24"/>
        </w:rPr>
      </w:pPr>
      <w:r>
        <w:rPr>
          <w:rFonts w:ascii="Times New Roman" w:hAnsi="Times New Roman"/>
          <w:sz w:val="24"/>
          <w:szCs w:val="24"/>
        </w:rPr>
        <w:t xml:space="preserve">Second, I performed a weighted regression on operating expenses over the period </w:t>
      </w:r>
      <w:r w:rsidR="00B80EE5">
        <w:rPr>
          <w:rFonts w:ascii="Times New Roman" w:hAnsi="Times New Roman"/>
          <w:sz w:val="24"/>
          <w:szCs w:val="24"/>
        </w:rPr>
        <w:t>2001-2012</w:t>
      </w:r>
      <w:r w:rsidR="009714EA">
        <w:rPr>
          <w:rFonts w:ascii="Times New Roman" w:hAnsi="Times New Roman"/>
          <w:sz w:val="24"/>
          <w:szCs w:val="24"/>
        </w:rPr>
        <w:t>,</w:t>
      </w:r>
      <w:r w:rsidR="00B80EE5">
        <w:rPr>
          <w:rFonts w:ascii="Times New Roman" w:hAnsi="Times New Roman"/>
          <w:sz w:val="24"/>
          <w:szCs w:val="24"/>
        </w:rPr>
        <w:t xml:space="preserve"> with the period 2009-2012 de-weighted (or, more precisely, </w:t>
      </w:r>
      <w:r w:rsidR="006B3F89">
        <w:rPr>
          <w:rFonts w:ascii="Times New Roman" w:hAnsi="Times New Roman"/>
          <w:sz w:val="24"/>
          <w:szCs w:val="24"/>
        </w:rPr>
        <w:t xml:space="preserve">I twice-weighted </w:t>
      </w:r>
      <w:r w:rsidR="00B80EE5">
        <w:rPr>
          <w:rFonts w:ascii="Times New Roman" w:hAnsi="Times New Roman"/>
          <w:sz w:val="24"/>
          <w:szCs w:val="24"/>
        </w:rPr>
        <w:t>the per</w:t>
      </w:r>
      <w:r w:rsidR="006B3F89">
        <w:rPr>
          <w:rFonts w:ascii="Times New Roman" w:hAnsi="Times New Roman"/>
          <w:sz w:val="24"/>
          <w:szCs w:val="24"/>
        </w:rPr>
        <w:t>iod 2001-2008</w:t>
      </w:r>
      <w:r w:rsidR="00B80EE5">
        <w:rPr>
          <w:rFonts w:ascii="Times New Roman" w:hAnsi="Times New Roman"/>
          <w:sz w:val="24"/>
          <w:szCs w:val="24"/>
        </w:rPr>
        <w:t xml:space="preserve">). </w:t>
      </w:r>
      <w:r w:rsidR="009714EA">
        <w:rPr>
          <w:rFonts w:ascii="Times New Roman" w:hAnsi="Times New Roman"/>
          <w:sz w:val="24"/>
          <w:szCs w:val="24"/>
        </w:rPr>
        <w:t xml:space="preserve"> </w:t>
      </w:r>
      <w:r w:rsidR="00B80EE5">
        <w:rPr>
          <w:rFonts w:ascii="Times New Roman" w:hAnsi="Times New Roman"/>
          <w:sz w:val="24"/>
          <w:szCs w:val="24"/>
        </w:rPr>
        <w:t xml:space="preserve">Operating expenses for 2013 were not included in this regression analysis. </w:t>
      </w:r>
      <w:r w:rsidR="009714EA">
        <w:rPr>
          <w:rFonts w:ascii="Times New Roman" w:hAnsi="Times New Roman"/>
          <w:sz w:val="24"/>
          <w:szCs w:val="24"/>
        </w:rPr>
        <w:t xml:space="preserve"> </w:t>
      </w:r>
      <w:r w:rsidR="00B80EE5">
        <w:rPr>
          <w:rFonts w:ascii="Times New Roman" w:hAnsi="Times New Roman"/>
          <w:sz w:val="24"/>
          <w:szCs w:val="24"/>
        </w:rPr>
        <w:t xml:space="preserve">This regression produced an annual growth rate of 4.0 percent. </w:t>
      </w:r>
    </w:p>
    <w:p w14:paraId="64E51A00" w14:textId="0155D523" w:rsidR="008F58D9" w:rsidRDefault="00B80EE5" w:rsidP="00254411">
      <w:pPr>
        <w:spacing w:after="0" w:line="480" w:lineRule="auto"/>
        <w:ind w:left="720" w:firstLine="720"/>
        <w:rPr>
          <w:rFonts w:ascii="Times New Roman" w:hAnsi="Times New Roman"/>
          <w:sz w:val="24"/>
          <w:szCs w:val="24"/>
        </w:rPr>
      </w:pPr>
      <w:r>
        <w:rPr>
          <w:rFonts w:ascii="Times New Roman" w:hAnsi="Times New Roman"/>
          <w:sz w:val="24"/>
          <w:szCs w:val="24"/>
        </w:rPr>
        <w:t xml:space="preserve">Both growth rates I developed for electric operating expenses using historical data support the Company’s proposed 4.00 percent </w:t>
      </w:r>
      <w:r w:rsidR="00713777">
        <w:rPr>
          <w:rFonts w:ascii="Times New Roman" w:hAnsi="Times New Roman"/>
          <w:sz w:val="24"/>
          <w:szCs w:val="24"/>
        </w:rPr>
        <w:t xml:space="preserve">annual </w:t>
      </w:r>
      <w:r>
        <w:rPr>
          <w:rFonts w:ascii="Times New Roman" w:hAnsi="Times New Roman"/>
          <w:sz w:val="24"/>
          <w:szCs w:val="24"/>
        </w:rPr>
        <w:t xml:space="preserve">growth rate. </w:t>
      </w:r>
      <w:r w:rsidR="004F0B2D">
        <w:rPr>
          <w:rFonts w:ascii="Times New Roman" w:hAnsi="Times New Roman"/>
          <w:sz w:val="24"/>
          <w:szCs w:val="24"/>
        </w:rPr>
        <w:t xml:space="preserve"> </w:t>
      </w:r>
    </w:p>
    <w:p w14:paraId="4423561B" w14:textId="77777777" w:rsidR="00090018" w:rsidRDefault="00090018" w:rsidP="00254411">
      <w:pPr>
        <w:spacing w:after="0" w:line="480" w:lineRule="auto"/>
        <w:ind w:left="720" w:hanging="720"/>
        <w:rPr>
          <w:rFonts w:ascii="Times New Roman" w:hAnsi="Times New Roman"/>
          <w:sz w:val="24"/>
          <w:szCs w:val="24"/>
        </w:rPr>
      </w:pPr>
      <w:r>
        <w:rPr>
          <w:rFonts w:ascii="Times New Roman" w:hAnsi="Times New Roman"/>
          <w:sz w:val="24"/>
          <w:szCs w:val="24"/>
        </w:rPr>
        <w:tab/>
      </w:r>
    </w:p>
    <w:p w14:paraId="1AAB1710" w14:textId="3E0667A7" w:rsidR="00A33DF5" w:rsidRPr="005B7B40" w:rsidRDefault="00A33DF5" w:rsidP="00254411">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How did you determine 4.00 percent to be a</w:t>
      </w:r>
      <w:r w:rsidR="00E1319F">
        <w:rPr>
          <w:rFonts w:ascii="Times New Roman" w:hAnsi="Times New Roman"/>
          <w:b/>
          <w:sz w:val="24"/>
          <w:szCs w:val="24"/>
        </w:rPr>
        <w:t>n</w:t>
      </w:r>
      <w:r>
        <w:rPr>
          <w:rFonts w:ascii="Times New Roman" w:hAnsi="Times New Roman"/>
          <w:b/>
          <w:sz w:val="24"/>
          <w:szCs w:val="24"/>
        </w:rPr>
        <w:t xml:space="preserve"> </w:t>
      </w:r>
      <w:r w:rsidR="00E1319F">
        <w:rPr>
          <w:rFonts w:ascii="Times New Roman" w:hAnsi="Times New Roman"/>
          <w:b/>
          <w:sz w:val="24"/>
          <w:szCs w:val="24"/>
        </w:rPr>
        <w:t>un</w:t>
      </w:r>
      <w:r>
        <w:rPr>
          <w:rFonts w:ascii="Times New Roman" w:hAnsi="Times New Roman"/>
          <w:b/>
          <w:sz w:val="24"/>
          <w:szCs w:val="24"/>
        </w:rPr>
        <w:t>reasonable rate of growth for operating expenses for natural gas operations?</w:t>
      </w:r>
    </w:p>
    <w:p w14:paraId="30A07EB4" w14:textId="4E79FD17" w:rsidR="00A33DF5" w:rsidRDefault="00A33DF5" w:rsidP="00254411">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Again, consistent with my general approach of relying upon historical data rather than budgets to evaluate growth rates, I compared the Company’s 4.00 percent annual growth rate to growth rates that could be reasonably derived using linear regression on historical data. </w:t>
      </w:r>
      <w:r w:rsidR="00363B57">
        <w:rPr>
          <w:rFonts w:ascii="Times New Roman" w:hAnsi="Times New Roman"/>
          <w:sz w:val="24"/>
          <w:szCs w:val="24"/>
        </w:rPr>
        <w:t xml:space="preserve"> </w:t>
      </w:r>
      <w:r w:rsidR="00DC4439">
        <w:rPr>
          <w:rFonts w:ascii="Times New Roman" w:hAnsi="Times New Roman"/>
          <w:i/>
          <w:sz w:val="24"/>
          <w:szCs w:val="24"/>
        </w:rPr>
        <w:t xml:space="preserve">See </w:t>
      </w:r>
      <w:r w:rsidR="00DC4439">
        <w:rPr>
          <w:rFonts w:ascii="Times New Roman" w:hAnsi="Times New Roman"/>
          <w:sz w:val="24"/>
          <w:szCs w:val="24"/>
        </w:rPr>
        <w:t>page 10 of my Exhibit No</w:t>
      </w:r>
      <w:r w:rsidR="00363B57">
        <w:rPr>
          <w:rFonts w:ascii="Times New Roman" w:hAnsi="Times New Roman"/>
          <w:sz w:val="24"/>
          <w:szCs w:val="24"/>
        </w:rPr>
        <w:t xml:space="preserve">. </w:t>
      </w:r>
      <w:r w:rsidR="00DC4439">
        <w:rPr>
          <w:rFonts w:ascii="Times New Roman" w:hAnsi="Times New Roman"/>
          <w:sz w:val="24"/>
          <w:szCs w:val="24"/>
        </w:rPr>
        <w:t>__</w:t>
      </w:r>
      <w:r w:rsidR="00363B57">
        <w:rPr>
          <w:rFonts w:ascii="Times New Roman" w:hAnsi="Times New Roman"/>
          <w:sz w:val="24"/>
          <w:szCs w:val="24"/>
        </w:rPr>
        <w:t xml:space="preserve"> (</w:t>
      </w:r>
      <w:r w:rsidR="00DC4439">
        <w:rPr>
          <w:rFonts w:ascii="Times New Roman" w:hAnsi="Times New Roman"/>
          <w:sz w:val="24"/>
          <w:szCs w:val="24"/>
        </w:rPr>
        <w:t>CRM-3</w:t>
      </w:r>
      <w:r w:rsidR="00363B57">
        <w:rPr>
          <w:rFonts w:ascii="Times New Roman" w:hAnsi="Times New Roman"/>
          <w:sz w:val="24"/>
          <w:szCs w:val="24"/>
        </w:rPr>
        <w:t>)</w:t>
      </w:r>
      <w:r w:rsidR="00DC4439">
        <w:rPr>
          <w:rFonts w:ascii="Times New Roman" w:hAnsi="Times New Roman"/>
          <w:sz w:val="24"/>
          <w:szCs w:val="24"/>
        </w:rPr>
        <w:t xml:space="preserve"> for regression analysis of adjusted operating expense for natural gas operations.</w:t>
      </w:r>
    </w:p>
    <w:p w14:paraId="18299A95" w14:textId="092F9144" w:rsidR="009714EA" w:rsidRDefault="00BA4C30" w:rsidP="00254411">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Similar to electric operations, Avista’s operating expenses for natural gas operations appear to have grown at an accelerated rate from 2009 to 2012. </w:t>
      </w:r>
      <w:r w:rsidR="009714EA">
        <w:rPr>
          <w:rFonts w:ascii="Times New Roman" w:hAnsi="Times New Roman"/>
          <w:sz w:val="24"/>
          <w:szCs w:val="24"/>
        </w:rPr>
        <w:t xml:space="preserve"> </w:t>
      </w:r>
      <w:r>
        <w:rPr>
          <w:rFonts w:ascii="Times New Roman" w:hAnsi="Times New Roman"/>
          <w:sz w:val="24"/>
          <w:szCs w:val="24"/>
        </w:rPr>
        <w:t xml:space="preserve">However, </w:t>
      </w:r>
      <w:r w:rsidR="008F1725">
        <w:rPr>
          <w:rFonts w:ascii="Times New Roman" w:hAnsi="Times New Roman"/>
          <w:sz w:val="24"/>
          <w:szCs w:val="24"/>
        </w:rPr>
        <w:t>simply de-weighting</w:t>
      </w:r>
      <w:r>
        <w:rPr>
          <w:rFonts w:ascii="Times New Roman" w:hAnsi="Times New Roman"/>
          <w:sz w:val="24"/>
          <w:szCs w:val="24"/>
        </w:rPr>
        <w:t xml:space="preserve"> those years in a regression does not produce growth rates that are consistent with the Company’s proposal of 4.00 percent. </w:t>
      </w:r>
      <w:r w:rsidR="009714EA">
        <w:rPr>
          <w:rFonts w:ascii="Times New Roman" w:hAnsi="Times New Roman"/>
          <w:sz w:val="24"/>
          <w:szCs w:val="24"/>
        </w:rPr>
        <w:t xml:space="preserve"> </w:t>
      </w:r>
    </w:p>
    <w:p w14:paraId="0F1BFBC8" w14:textId="3D848112" w:rsidR="00BA4C30" w:rsidRDefault="00BA4C30" w:rsidP="00254411">
      <w:pPr>
        <w:spacing w:after="0" w:line="480" w:lineRule="auto"/>
        <w:ind w:left="720" w:firstLine="720"/>
        <w:rPr>
          <w:rFonts w:ascii="Times New Roman" w:hAnsi="Times New Roman"/>
          <w:sz w:val="24"/>
          <w:szCs w:val="24"/>
        </w:rPr>
      </w:pPr>
      <w:r>
        <w:rPr>
          <w:rFonts w:ascii="Times New Roman" w:hAnsi="Times New Roman"/>
          <w:sz w:val="24"/>
          <w:szCs w:val="24"/>
        </w:rPr>
        <w:t xml:space="preserve">For example, </w:t>
      </w:r>
      <w:r w:rsidR="009714EA">
        <w:rPr>
          <w:rFonts w:ascii="Times New Roman" w:hAnsi="Times New Roman"/>
          <w:sz w:val="24"/>
          <w:szCs w:val="24"/>
        </w:rPr>
        <w:t xml:space="preserve">I </w:t>
      </w:r>
      <w:r>
        <w:rPr>
          <w:rFonts w:ascii="Times New Roman" w:hAnsi="Times New Roman"/>
          <w:sz w:val="24"/>
          <w:szCs w:val="24"/>
        </w:rPr>
        <w:t>perform</w:t>
      </w:r>
      <w:r w:rsidR="009714EA">
        <w:rPr>
          <w:rFonts w:ascii="Times New Roman" w:hAnsi="Times New Roman"/>
          <w:sz w:val="24"/>
          <w:szCs w:val="24"/>
        </w:rPr>
        <w:t>ed</w:t>
      </w:r>
      <w:r>
        <w:rPr>
          <w:rFonts w:ascii="Times New Roman" w:hAnsi="Times New Roman"/>
          <w:sz w:val="24"/>
          <w:szCs w:val="24"/>
        </w:rPr>
        <w:t xml:space="preserve"> a regression analysis on operating expenses over the period 2001-2013</w:t>
      </w:r>
      <w:r w:rsidR="009714EA">
        <w:rPr>
          <w:rFonts w:ascii="Times New Roman" w:hAnsi="Times New Roman"/>
          <w:sz w:val="24"/>
          <w:szCs w:val="24"/>
        </w:rPr>
        <w:t>,</w:t>
      </w:r>
      <w:r>
        <w:rPr>
          <w:rFonts w:ascii="Times New Roman" w:hAnsi="Times New Roman"/>
          <w:sz w:val="24"/>
          <w:szCs w:val="24"/>
        </w:rPr>
        <w:t xml:space="preserve"> with the period 2009-2012 removed</w:t>
      </w:r>
      <w:r w:rsidR="009714EA">
        <w:rPr>
          <w:rFonts w:ascii="Times New Roman" w:hAnsi="Times New Roman"/>
          <w:sz w:val="24"/>
          <w:szCs w:val="24"/>
        </w:rPr>
        <w:t>, which</w:t>
      </w:r>
      <w:r w:rsidR="00670151">
        <w:rPr>
          <w:rFonts w:ascii="Times New Roman" w:hAnsi="Times New Roman"/>
          <w:sz w:val="24"/>
          <w:szCs w:val="24"/>
        </w:rPr>
        <w:t xml:space="preserve"> </w:t>
      </w:r>
      <w:r>
        <w:rPr>
          <w:rFonts w:ascii="Times New Roman" w:hAnsi="Times New Roman"/>
          <w:sz w:val="24"/>
          <w:szCs w:val="24"/>
        </w:rPr>
        <w:t>produced an annual growth</w:t>
      </w:r>
      <w:r w:rsidR="00670151">
        <w:rPr>
          <w:rFonts w:ascii="Times New Roman" w:hAnsi="Times New Roman"/>
          <w:sz w:val="24"/>
          <w:szCs w:val="24"/>
        </w:rPr>
        <w:t xml:space="preserve"> rate of 3.2</w:t>
      </w:r>
      <w:r>
        <w:rPr>
          <w:rFonts w:ascii="Times New Roman" w:hAnsi="Times New Roman"/>
          <w:sz w:val="24"/>
          <w:szCs w:val="24"/>
        </w:rPr>
        <w:t xml:space="preserve"> percent.</w:t>
      </w:r>
      <w:r w:rsidR="0005549B">
        <w:rPr>
          <w:rFonts w:ascii="Times New Roman" w:hAnsi="Times New Roman"/>
          <w:sz w:val="24"/>
          <w:szCs w:val="24"/>
        </w:rPr>
        <w:t xml:space="preserve"> </w:t>
      </w:r>
      <w:r w:rsidR="009714EA">
        <w:rPr>
          <w:rFonts w:ascii="Times New Roman" w:hAnsi="Times New Roman"/>
          <w:sz w:val="24"/>
          <w:szCs w:val="24"/>
        </w:rPr>
        <w:t xml:space="preserve"> </w:t>
      </w:r>
      <w:r w:rsidR="009D536F">
        <w:rPr>
          <w:rFonts w:ascii="Times New Roman" w:hAnsi="Times New Roman"/>
          <w:sz w:val="24"/>
          <w:szCs w:val="24"/>
        </w:rPr>
        <w:t xml:space="preserve">This is the analysis that is graphically presented on page 10 of </w:t>
      </w:r>
      <w:r w:rsidR="009D536F">
        <w:rPr>
          <w:rFonts w:ascii="Times New Roman" w:hAnsi="Times New Roman"/>
          <w:sz w:val="24"/>
          <w:szCs w:val="24"/>
        </w:rPr>
        <w:lastRenderedPageBreak/>
        <w:t>Exhibit No._</w:t>
      </w:r>
      <w:r w:rsidR="00CA125D">
        <w:rPr>
          <w:rFonts w:ascii="Times New Roman" w:hAnsi="Times New Roman"/>
          <w:sz w:val="24"/>
          <w:szCs w:val="24"/>
        </w:rPr>
        <w:t>_ (</w:t>
      </w:r>
      <w:r w:rsidR="009D536F">
        <w:rPr>
          <w:rFonts w:ascii="Times New Roman" w:hAnsi="Times New Roman"/>
          <w:sz w:val="24"/>
          <w:szCs w:val="24"/>
        </w:rPr>
        <w:t xml:space="preserve">CRM-3). </w:t>
      </w:r>
      <w:r w:rsidR="00363B57">
        <w:rPr>
          <w:rFonts w:ascii="Times New Roman" w:hAnsi="Times New Roman"/>
          <w:sz w:val="24"/>
          <w:szCs w:val="24"/>
        </w:rPr>
        <w:t xml:space="preserve"> </w:t>
      </w:r>
      <w:r w:rsidR="009714EA">
        <w:rPr>
          <w:rFonts w:ascii="Times New Roman" w:hAnsi="Times New Roman"/>
          <w:sz w:val="24"/>
          <w:szCs w:val="24"/>
        </w:rPr>
        <w:t xml:space="preserve">I also performed </w:t>
      </w:r>
      <w:r w:rsidR="0005549B">
        <w:rPr>
          <w:rFonts w:ascii="Times New Roman" w:hAnsi="Times New Roman"/>
          <w:sz w:val="24"/>
          <w:szCs w:val="24"/>
        </w:rPr>
        <w:t>a regression analysis on operating expenses over the period 2001-2012</w:t>
      </w:r>
      <w:r w:rsidR="009714EA">
        <w:rPr>
          <w:rFonts w:ascii="Times New Roman" w:hAnsi="Times New Roman"/>
          <w:sz w:val="24"/>
          <w:szCs w:val="24"/>
        </w:rPr>
        <w:t>,</w:t>
      </w:r>
      <w:r w:rsidR="0005549B">
        <w:rPr>
          <w:rFonts w:ascii="Times New Roman" w:hAnsi="Times New Roman"/>
          <w:sz w:val="24"/>
          <w:szCs w:val="24"/>
        </w:rPr>
        <w:t xml:space="preserve"> with the period 2009-2012 de-weighted</w:t>
      </w:r>
      <w:r w:rsidR="009714EA">
        <w:rPr>
          <w:rFonts w:ascii="Times New Roman" w:hAnsi="Times New Roman"/>
          <w:sz w:val="24"/>
          <w:szCs w:val="24"/>
        </w:rPr>
        <w:t>,</w:t>
      </w:r>
      <w:r w:rsidR="0005549B">
        <w:rPr>
          <w:rFonts w:ascii="Times New Roman" w:hAnsi="Times New Roman"/>
          <w:sz w:val="24"/>
          <w:szCs w:val="24"/>
        </w:rPr>
        <w:t xml:space="preserve"> </w:t>
      </w:r>
      <w:r w:rsidR="009714EA">
        <w:rPr>
          <w:rFonts w:ascii="Times New Roman" w:hAnsi="Times New Roman"/>
          <w:sz w:val="24"/>
          <w:szCs w:val="24"/>
        </w:rPr>
        <w:t xml:space="preserve">which </w:t>
      </w:r>
      <w:r w:rsidR="0005549B">
        <w:rPr>
          <w:rFonts w:ascii="Times New Roman" w:hAnsi="Times New Roman"/>
          <w:sz w:val="24"/>
          <w:szCs w:val="24"/>
        </w:rPr>
        <w:t>produced an annual growth</w:t>
      </w:r>
      <w:r w:rsidR="0088092F">
        <w:rPr>
          <w:rFonts w:ascii="Times New Roman" w:hAnsi="Times New Roman"/>
          <w:sz w:val="24"/>
          <w:szCs w:val="24"/>
        </w:rPr>
        <w:t xml:space="preserve"> rate of 2.5</w:t>
      </w:r>
      <w:r w:rsidR="0005549B">
        <w:rPr>
          <w:rFonts w:ascii="Times New Roman" w:hAnsi="Times New Roman"/>
          <w:sz w:val="24"/>
          <w:szCs w:val="24"/>
        </w:rPr>
        <w:t xml:space="preserve"> percent</w:t>
      </w:r>
      <w:r w:rsidR="0088092F">
        <w:rPr>
          <w:rFonts w:ascii="Times New Roman" w:hAnsi="Times New Roman"/>
          <w:sz w:val="24"/>
          <w:szCs w:val="24"/>
        </w:rPr>
        <w:t>.</w:t>
      </w:r>
    </w:p>
    <w:p w14:paraId="3F96DD3B" w14:textId="22F04796" w:rsidR="00670151" w:rsidRDefault="0088092F" w:rsidP="00254411">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Even using a linear regression across the entire time series (2001-2013) produced an annual rate of growth of only 3.5 percent. </w:t>
      </w:r>
      <w:r w:rsidR="003B3855">
        <w:rPr>
          <w:rFonts w:ascii="Times New Roman" w:hAnsi="Times New Roman"/>
          <w:sz w:val="24"/>
          <w:szCs w:val="24"/>
        </w:rPr>
        <w:t xml:space="preserve"> </w:t>
      </w:r>
      <w:r>
        <w:rPr>
          <w:rFonts w:ascii="Times New Roman" w:hAnsi="Times New Roman"/>
          <w:sz w:val="24"/>
          <w:szCs w:val="24"/>
        </w:rPr>
        <w:t xml:space="preserve">Therefore, it seems unlikely that the </w:t>
      </w:r>
      <w:r w:rsidR="003B3855">
        <w:rPr>
          <w:rFonts w:ascii="Times New Roman" w:hAnsi="Times New Roman"/>
          <w:sz w:val="24"/>
          <w:szCs w:val="24"/>
        </w:rPr>
        <w:t xml:space="preserve">expense </w:t>
      </w:r>
      <w:r>
        <w:rPr>
          <w:rFonts w:ascii="Times New Roman" w:hAnsi="Times New Roman"/>
          <w:sz w:val="24"/>
          <w:szCs w:val="24"/>
        </w:rPr>
        <w:t xml:space="preserve">growth rate going forward </w:t>
      </w:r>
      <w:r w:rsidR="003B3855">
        <w:rPr>
          <w:rFonts w:ascii="Times New Roman" w:hAnsi="Times New Roman"/>
          <w:sz w:val="24"/>
          <w:szCs w:val="24"/>
        </w:rPr>
        <w:t xml:space="preserve">for natural gas </w:t>
      </w:r>
      <w:r>
        <w:rPr>
          <w:rFonts w:ascii="Times New Roman" w:hAnsi="Times New Roman"/>
          <w:sz w:val="24"/>
          <w:szCs w:val="24"/>
        </w:rPr>
        <w:t>will be higher than the growth rate over the 13-year record</w:t>
      </w:r>
      <w:r w:rsidR="003B3855">
        <w:rPr>
          <w:rFonts w:ascii="Times New Roman" w:hAnsi="Times New Roman"/>
          <w:sz w:val="24"/>
          <w:szCs w:val="24"/>
        </w:rPr>
        <w:t>,</w:t>
      </w:r>
      <w:r>
        <w:rPr>
          <w:rFonts w:ascii="Times New Roman" w:hAnsi="Times New Roman"/>
          <w:sz w:val="24"/>
          <w:szCs w:val="24"/>
        </w:rPr>
        <w:t xml:space="preserve"> given the recent operational cost control measures Avista claims will reduce the growth rate of operating expenses. </w:t>
      </w:r>
      <w:r w:rsidR="003B3855">
        <w:rPr>
          <w:rFonts w:ascii="Times New Roman" w:hAnsi="Times New Roman"/>
          <w:sz w:val="24"/>
          <w:szCs w:val="24"/>
        </w:rPr>
        <w:t xml:space="preserve"> </w:t>
      </w:r>
      <w:r>
        <w:rPr>
          <w:rFonts w:ascii="Times New Roman" w:hAnsi="Times New Roman"/>
          <w:sz w:val="24"/>
          <w:szCs w:val="24"/>
        </w:rPr>
        <w:t xml:space="preserve">A growth rate of 4.00 percent therefore </w:t>
      </w:r>
      <w:r w:rsidR="003B3855">
        <w:rPr>
          <w:rFonts w:ascii="Times New Roman" w:hAnsi="Times New Roman"/>
          <w:sz w:val="24"/>
          <w:szCs w:val="24"/>
        </w:rPr>
        <w:t xml:space="preserve">is not </w:t>
      </w:r>
      <w:r>
        <w:rPr>
          <w:rFonts w:ascii="Times New Roman" w:hAnsi="Times New Roman"/>
          <w:sz w:val="24"/>
          <w:szCs w:val="24"/>
        </w:rPr>
        <w:t xml:space="preserve">reasonable. </w:t>
      </w:r>
    </w:p>
    <w:p w14:paraId="19B1F568" w14:textId="77777777" w:rsidR="00BA4C30" w:rsidRDefault="00BA4C30" w:rsidP="00254411">
      <w:pPr>
        <w:spacing w:after="0" w:line="480" w:lineRule="auto"/>
        <w:rPr>
          <w:rFonts w:ascii="Times New Roman" w:hAnsi="Times New Roman"/>
          <w:sz w:val="24"/>
          <w:szCs w:val="24"/>
        </w:rPr>
      </w:pPr>
    </w:p>
    <w:p w14:paraId="5B204982" w14:textId="77777777" w:rsidR="00090018" w:rsidRPr="000737AA" w:rsidRDefault="00090018" w:rsidP="00254411">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What did you determine to be the appropriate rate of growth for</w:t>
      </w:r>
      <w:r w:rsidR="0088092F">
        <w:rPr>
          <w:rFonts w:ascii="Times New Roman" w:hAnsi="Times New Roman"/>
          <w:b/>
          <w:sz w:val="24"/>
          <w:szCs w:val="24"/>
        </w:rPr>
        <w:t xml:space="preserve"> operating expenses for natural gas operations</w:t>
      </w:r>
      <w:r>
        <w:rPr>
          <w:rFonts w:ascii="Times New Roman" w:hAnsi="Times New Roman"/>
          <w:b/>
          <w:sz w:val="24"/>
          <w:szCs w:val="24"/>
        </w:rPr>
        <w:t>?</w:t>
      </w:r>
    </w:p>
    <w:p w14:paraId="00B0D8F2" w14:textId="4B9DB051" w:rsidR="00090018" w:rsidRDefault="00090018" w:rsidP="00254411">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88092F">
        <w:rPr>
          <w:rFonts w:ascii="Times New Roman" w:hAnsi="Times New Roman"/>
          <w:sz w:val="24"/>
          <w:szCs w:val="24"/>
        </w:rPr>
        <w:t xml:space="preserve">As </w:t>
      </w:r>
      <w:r w:rsidR="003B3855">
        <w:rPr>
          <w:rFonts w:ascii="Times New Roman" w:hAnsi="Times New Roman"/>
          <w:sz w:val="24"/>
          <w:szCs w:val="24"/>
        </w:rPr>
        <w:t xml:space="preserve">I </w:t>
      </w:r>
      <w:r w:rsidR="0088092F">
        <w:rPr>
          <w:rFonts w:ascii="Times New Roman" w:hAnsi="Times New Roman"/>
          <w:sz w:val="24"/>
          <w:szCs w:val="24"/>
        </w:rPr>
        <w:t>described above, a</w:t>
      </w:r>
      <w:r>
        <w:rPr>
          <w:rFonts w:ascii="Times New Roman" w:hAnsi="Times New Roman"/>
          <w:sz w:val="24"/>
          <w:szCs w:val="24"/>
        </w:rPr>
        <w:t xml:space="preserve"> l</w:t>
      </w:r>
      <w:r w:rsidR="0088092F">
        <w:rPr>
          <w:rFonts w:ascii="Times New Roman" w:hAnsi="Times New Roman"/>
          <w:sz w:val="24"/>
          <w:szCs w:val="24"/>
        </w:rPr>
        <w:t>inear regression on operating expenses over the period 2001-2013</w:t>
      </w:r>
      <w:r w:rsidR="003B3855">
        <w:rPr>
          <w:rFonts w:ascii="Times New Roman" w:hAnsi="Times New Roman"/>
          <w:sz w:val="24"/>
          <w:szCs w:val="24"/>
        </w:rPr>
        <w:t>,</w:t>
      </w:r>
      <w:r w:rsidR="0088092F">
        <w:rPr>
          <w:rFonts w:ascii="Times New Roman" w:hAnsi="Times New Roman"/>
          <w:sz w:val="24"/>
          <w:szCs w:val="24"/>
        </w:rPr>
        <w:t xml:space="preserve"> with the period 2009-2012 removed produced an annual growth rate of 3.2 percent. This method is consistent with </w:t>
      </w:r>
      <w:r w:rsidR="003B3855">
        <w:rPr>
          <w:rFonts w:ascii="Times New Roman" w:hAnsi="Times New Roman"/>
          <w:sz w:val="24"/>
          <w:szCs w:val="24"/>
        </w:rPr>
        <w:t xml:space="preserve">my </w:t>
      </w:r>
      <w:r w:rsidR="0088092F">
        <w:rPr>
          <w:rFonts w:ascii="Times New Roman" w:hAnsi="Times New Roman"/>
          <w:sz w:val="24"/>
          <w:szCs w:val="24"/>
        </w:rPr>
        <w:t xml:space="preserve">regression analysis </w:t>
      </w:r>
      <w:r w:rsidR="003B3855">
        <w:rPr>
          <w:rFonts w:ascii="Times New Roman" w:hAnsi="Times New Roman"/>
          <w:sz w:val="24"/>
          <w:szCs w:val="24"/>
        </w:rPr>
        <w:t xml:space="preserve">that </w:t>
      </w:r>
      <w:r w:rsidR="0088092F">
        <w:rPr>
          <w:rFonts w:ascii="Times New Roman" w:hAnsi="Times New Roman"/>
          <w:sz w:val="24"/>
          <w:szCs w:val="24"/>
        </w:rPr>
        <w:t>verif</w:t>
      </w:r>
      <w:r w:rsidR="003B3855">
        <w:rPr>
          <w:rFonts w:ascii="Times New Roman" w:hAnsi="Times New Roman"/>
          <w:sz w:val="24"/>
          <w:szCs w:val="24"/>
        </w:rPr>
        <w:t>ied</w:t>
      </w:r>
      <w:r w:rsidR="0088092F">
        <w:rPr>
          <w:rFonts w:ascii="Times New Roman" w:hAnsi="Times New Roman"/>
          <w:sz w:val="24"/>
          <w:szCs w:val="24"/>
        </w:rPr>
        <w:t xml:space="preserve"> the 4.00 percent growth rate for electric operations. </w:t>
      </w:r>
      <w:r w:rsidR="003B3855">
        <w:rPr>
          <w:rFonts w:ascii="Times New Roman" w:hAnsi="Times New Roman"/>
          <w:sz w:val="24"/>
          <w:szCs w:val="24"/>
        </w:rPr>
        <w:t xml:space="preserve"> </w:t>
      </w:r>
      <w:r w:rsidR="0088092F">
        <w:rPr>
          <w:rFonts w:ascii="Times New Roman" w:hAnsi="Times New Roman"/>
          <w:sz w:val="24"/>
          <w:szCs w:val="24"/>
        </w:rPr>
        <w:t>Therefore, I use an annual growth rate of 3.2 percent</w:t>
      </w:r>
      <w:r w:rsidR="005F15E6">
        <w:rPr>
          <w:rFonts w:ascii="Times New Roman" w:hAnsi="Times New Roman"/>
          <w:sz w:val="24"/>
          <w:szCs w:val="24"/>
        </w:rPr>
        <w:t xml:space="preserve"> for natural gas operating expenses.  </w:t>
      </w:r>
      <w:r w:rsidR="008620F8">
        <w:rPr>
          <w:rFonts w:ascii="Times New Roman" w:hAnsi="Times New Roman"/>
          <w:sz w:val="24"/>
          <w:szCs w:val="24"/>
        </w:rPr>
        <w:tab/>
      </w:r>
    </w:p>
    <w:p w14:paraId="1B7F71CA" w14:textId="77777777" w:rsidR="00014B33" w:rsidRDefault="00014B33" w:rsidP="00254411">
      <w:pPr>
        <w:spacing w:after="0" w:line="480" w:lineRule="auto"/>
        <w:ind w:left="720" w:hanging="720"/>
        <w:rPr>
          <w:rFonts w:ascii="Times New Roman" w:hAnsi="Times New Roman"/>
          <w:sz w:val="24"/>
          <w:szCs w:val="24"/>
        </w:rPr>
      </w:pPr>
    </w:p>
    <w:p w14:paraId="033D1CDE" w14:textId="73FE9434" w:rsidR="00014B33" w:rsidRDefault="00014B33" w:rsidP="00254411">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 xml:space="preserve">How are power supply expenses and revenues treated within your </w:t>
      </w:r>
      <w:r w:rsidR="00E66740">
        <w:rPr>
          <w:rFonts w:ascii="Times New Roman" w:hAnsi="Times New Roman"/>
          <w:b/>
          <w:sz w:val="24"/>
          <w:szCs w:val="24"/>
        </w:rPr>
        <w:t xml:space="preserve">electric </w:t>
      </w:r>
      <w:r>
        <w:rPr>
          <w:rFonts w:ascii="Times New Roman" w:hAnsi="Times New Roman"/>
          <w:b/>
          <w:sz w:val="24"/>
          <w:szCs w:val="24"/>
        </w:rPr>
        <w:t>attrition model?</w:t>
      </w:r>
    </w:p>
    <w:p w14:paraId="5A891E64" w14:textId="28C2CC76" w:rsidR="00014B33" w:rsidRDefault="00014B33" w:rsidP="00254411">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3B3855">
        <w:rPr>
          <w:rFonts w:ascii="Times New Roman" w:hAnsi="Times New Roman"/>
          <w:sz w:val="24"/>
          <w:szCs w:val="24"/>
        </w:rPr>
        <w:t xml:space="preserve">I removed all </w:t>
      </w:r>
      <w:r w:rsidR="00EA5A93">
        <w:rPr>
          <w:rFonts w:ascii="Times New Roman" w:hAnsi="Times New Roman"/>
          <w:sz w:val="24"/>
          <w:szCs w:val="24"/>
        </w:rPr>
        <w:t>n</w:t>
      </w:r>
      <w:r>
        <w:rPr>
          <w:rFonts w:ascii="Times New Roman" w:hAnsi="Times New Roman"/>
          <w:sz w:val="24"/>
          <w:szCs w:val="24"/>
        </w:rPr>
        <w:t xml:space="preserve">ormalized </w:t>
      </w:r>
      <w:r w:rsidR="00EA5A93">
        <w:rPr>
          <w:rFonts w:ascii="Times New Roman" w:hAnsi="Times New Roman"/>
          <w:sz w:val="24"/>
          <w:szCs w:val="24"/>
        </w:rPr>
        <w:t xml:space="preserve">energy-related costs and revenues from the </w:t>
      </w:r>
      <w:r w:rsidR="003B3855">
        <w:rPr>
          <w:rFonts w:ascii="Times New Roman" w:hAnsi="Times New Roman"/>
          <w:sz w:val="24"/>
          <w:szCs w:val="24"/>
        </w:rPr>
        <w:t xml:space="preserve">base case (12 months ending </w:t>
      </w:r>
      <w:r w:rsidR="00EA5A93">
        <w:rPr>
          <w:rFonts w:ascii="Times New Roman" w:hAnsi="Times New Roman"/>
          <w:sz w:val="24"/>
          <w:szCs w:val="24"/>
        </w:rPr>
        <w:t>December 2013 results of operations</w:t>
      </w:r>
      <w:r w:rsidR="003B3855">
        <w:rPr>
          <w:rFonts w:ascii="Times New Roman" w:hAnsi="Times New Roman"/>
          <w:sz w:val="24"/>
          <w:szCs w:val="24"/>
        </w:rPr>
        <w:t>)</w:t>
      </w:r>
      <w:r w:rsidR="00EA5A93">
        <w:rPr>
          <w:rFonts w:ascii="Times New Roman" w:hAnsi="Times New Roman"/>
          <w:sz w:val="24"/>
          <w:szCs w:val="24"/>
        </w:rPr>
        <w:t xml:space="preserve"> so that only non-energy</w:t>
      </w:r>
      <w:r>
        <w:rPr>
          <w:rFonts w:ascii="Times New Roman" w:hAnsi="Times New Roman"/>
          <w:sz w:val="24"/>
          <w:szCs w:val="24"/>
        </w:rPr>
        <w:t xml:space="preserve"> costs and revenues are trended</w:t>
      </w:r>
      <w:r w:rsidR="00EA5A93">
        <w:rPr>
          <w:rFonts w:ascii="Times New Roman" w:hAnsi="Times New Roman"/>
          <w:sz w:val="24"/>
          <w:szCs w:val="24"/>
        </w:rPr>
        <w:t xml:space="preserve"> to the 2015 rate period</w:t>
      </w:r>
      <w:r>
        <w:rPr>
          <w:rFonts w:ascii="Times New Roman" w:hAnsi="Times New Roman"/>
          <w:sz w:val="24"/>
          <w:szCs w:val="24"/>
        </w:rPr>
        <w:t xml:space="preserve">. </w:t>
      </w:r>
      <w:r w:rsidR="004C4467">
        <w:rPr>
          <w:rFonts w:ascii="Times New Roman" w:hAnsi="Times New Roman"/>
          <w:sz w:val="24"/>
          <w:szCs w:val="24"/>
        </w:rPr>
        <w:t xml:space="preserve"> To incorporate net energy costs into the </w:t>
      </w:r>
      <w:r w:rsidR="004C4467">
        <w:rPr>
          <w:rFonts w:ascii="Times New Roman" w:hAnsi="Times New Roman"/>
          <w:sz w:val="24"/>
          <w:szCs w:val="24"/>
        </w:rPr>
        <w:lastRenderedPageBreak/>
        <w:t>revenue requirement calculation</w:t>
      </w:r>
      <w:r w:rsidR="003B3855">
        <w:rPr>
          <w:rFonts w:ascii="Times New Roman" w:hAnsi="Times New Roman"/>
          <w:sz w:val="24"/>
          <w:szCs w:val="24"/>
        </w:rPr>
        <w:t>, I added the p</w:t>
      </w:r>
      <w:r>
        <w:rPr>
          <w:rFonts w:ascii="Times New Roman" w:hAnsi="Times New Roman"/>
          <w:sz w:val="24"/>
          <w:szCs w:val="24"/>
        </w:rPr>
        <w:t>ro forma</w:t>
      </w:r>
      <w:r w:rsidR="00FB0317">
        <w:rPr>
          <w:rFonts w:ascii="Times New Roman" w:hAnsi="Times New Roman"/>
          <w:sz w:val="24"/>
          <w:szCs w:val="24"/>
        </w:rPr>
        <w:t xml:space="preserve"> December 2015 net energy cost</w:t>
      </w:r>
      <w:r w:rsidR="003B3855">
        <w:rPr>
          <w:rFonts w:ascii="Times New Roman" w:hAnsi="Times New Roman"/>
          <w:sz w:val="24"/>
          <w:szCs w:val="24"/>
        </w:rPr>
        <w:t>s</w:t>
      </w:r>
      <w:r w:rsidR="00FB0317">
        <w:rPr>
          <w:rFonts w:ascii="Times New Roman" w:hAnsi="Times New Roman"/>
          <w:sz w:val="24"/>
          <w:szCs w:val="24"/>
        </w:rPr>
        <w:t xml:space="preserve"> </w:t>
      </w:r>
      <w:r>
        <w:rPr>
          <w:rFonts w:ascii="Times New Roman" w:hAnsi="Times New Roman"/>
          <w:sz w:val="24"/>
          <w:szCs w:val="24"/>
        </w:rPr>
        <w:t>back to th</w:t>
      </w:r>
      <w:r w:rsidR="00FB0317">
        <w:rPr>
          <w:rFonts w:ascii="Times New Roman" w:hAnsi="Times New Roman"/>
          <w:sz w:val="24"/>
          <w:szCs w:val="24"/>
        </w:rPr>
        <w:t>e attrition</w:t>
      </w:r>
      <w:r>
        <w:rPr>
          <w:rFonts w:ascii="Times New Roman" w:hAnsi="Times New Roman"/>
          <w:sz w:val="24"/>
          <w:szCs w:val="24"/>
        </w:rPr>
        <w:t xml:space="preserve"> model</w:t>
      </w:r>
      <w:r w:rsidR="00FB0317">
        <w:rPr>
          <w:rFonts w:ascii="Times New Roman" w:hAnsi="Times New Roman"/>
          <w:sz w:val="24"/>
          <w:szCs w:val="24"/>
        </w:rPr>
        <w:t xml:space="preserve">. </w:t>
      </w:r>
      <w:r w:rsidR="003B3855">
        <w:rPr>
          <w:rFonts w:ascii="Times New Roman" w:hAnsi="Times New Roman"/>
          <w:sz w:val="24"/>
          <w:szCs w:val="24"/>
        </w:rPr>
        <w:t xml:space="preserve"> </w:t>
      </w:r>
      <w:r w:rsidR="00FB0317">
        <w:rPr>
          <w:rFonts w:ascii="Times New Roman" w:hAnsi="Times New Roman"/>
          <w:i/>
          <w:sz w:val="24"/>
          <w:szCs w:val="24"/>
        </w:rPr>
        <w:t>See</w:t>
      </w:r>
      <w:r w:rsidR="00FB0317">
        <w:rPr>
          <w:rFonts w:ascii="Times New Roman" w:hAnsi="Times New Roman"/>
          <w:sz w:val="24"/>
          <w:szCs w:val="24"/>
        </w:rPr>
        <w:t xml:space="preserve"> </w:t>
      </w:r>
      <w:r w:rsidR="003B3855">
        <w:rPr>
          <w:rFonts w:ascii="Times New Roman" w:hAnsi="Times New Roman"/>
          <w:sz w:val="24"/>
          <w:szCs w:val="24"/>
        </w:rPr>
        <w:t xml:space="preserve">my </w:t>
      </w:r>
      <w:r w:rsidR="00FB0317">
        <w:rPr>
          <w:rFonts w:ascii="Times New Roman" w:hAnsi="Times New Roman"/>
          <w:sz w:val="24"/>
          <w:szCs w:val="24"/>
        </w:rPr>
        <w:t>Exhibit No.__(CRM-2), pages 4-5, columns [B] and [I] for the removal of December 2013 net energy cost</w:t>
      </w:r>
      <w:r w:rsidR="003B3855">
        <w:rPr>
          <w:rFonts w:ascii="Times New Roman" w:hAnsi="Times New Roman"/>
          <w:sz w:val="24"/>
          <w:szCs w:val="24"/>
        </w:rPr>
        <w:t>s</w:t>
      </w:r>
      <w:r w:rsidR="00FB0317">
        <w:rPr>
          <w:rFonts w:ascii="Times New Roman" w:hAnsi="Times New Roman"/>
          <w:sz w:val="24"/>
          <w:szCs w:val="24"/>
        </w:rPr>
        <w:t xml:space="preserve"> and the addition of December 2015 net energy cost</w:t>
      </w:r>
      <w:r w:rsidR="003B3855">
        <w:rPr>
          <w:rFonts w:ascii="Times New Roman" w:hAnsi="Times New Roman"/>
          <w:sz w:val="24"/>
          <w:szCs w:val="24"/>
        </w:rPr>
        <w:t>s</w:t>
      </w:r>
      <w:r w:rsidR="00FB0317">
        <w:rPr>
          <w:rFonts w:ascii="Times New Roman" w:hAnsi="Times New Roman"/>
          <w:sz w:val="24"/>
          <w:szCs w:val="24"/>
        </w:rPr>
        <w:t>, respectively.</w:t>
      </w:r>
      <w:r w:rsidR="003B3855">
        <w:rPr>
          <w:rFonts w:ascii="Times New Roman" w:hAnsi="Times New Roman"/>
          <w:sz w:val="24"/>
          <w:szCs w:val="24"/>
        </w:rPr>
        <w:t xml:space="preserve">  Staff wit</w:t>
      </w:r>
      <w:r w:rsidR="00C21F10">
        <w:rPr>
          <w:rFonts w:ascii="Times New Roman" w:hAnsi="Times New Roman"/>
          <w:sz w:val="24"/>
          <w:szCs w:val="24"/>
        </w:rPr>
        <w:t>ness Mr. Ball testifies to</w:t>
      </w:r>
      <w:r w:rsidR="003B3855">
        <w:rPr>
          <w:rFonts w:ascii="Times New Roman" w:hAnsi="Times New Roman"/>
          <w:sz w:val="24"/>
          <w:szCs w:val="24"/>
        </w:rPr>
        <w:t xml:space="preserve"> the </w:t>
      </w:r>
      <w:r w:rsidR="00C21F10">
        <w:rPr>
          <w:rFonts w:ascii="Times New Roman" w:hAnsi="Times New Roman"/>
          <w:sz w:val="24"/>
          <w:szCs w:val="24"/>
        </w:rPr>
        <w:t>December 2015 pro forma</w:t>
      </w:r>
      <w:r w:rsidR="003B3855">
        <w:rPr>
          <w:rFonts w:ascii="Times New Roman" w:hAnsi="Times New Roman"/>
          <w:sz w:val="24"/>
          <w:szCs w:val="24"/>
        </w:rPr>
        <w:t xml:space="preserve"> net energy cost figures.</w:t>
      </w:r>
    </w:p>
    <w:p w14:paraId="30BBB9ED" w14:textId="77777777" w:rsidR="002B59E3" w:rsidRDefault="002B59E3" w:rsidP="00254411">
      <w:pPr>
        <w:spacing w:after="0" w:line="480" w:lineRule="auto"/>
        <w:ind w:left="720" w:hanging="720"/>
        <w:rPr>
          <w:rFonts w:ascii="Times New Roman" w:hAnsi="Times New Roman"/>
          <w:sz w:val="24"/>
          <w:szCs w:val="24"/>
        </w:rPr>
      </w:pPr>
    </w:p>
    <w:p w14:paraId="2CD88441" w14:textId="740D6CDC" w:rsidR="002B59E3" w:rsidRDefault="002B59E3" w:rsidP="00254411">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 xml:space="preserve">Did you </w:t>
      </w:r>
      <w:r w:rsidR="004445AC">
        <w:rPr>
          <w:rFonts w:ascii="Times New Roman" w:hAnsi="Times New Roman"/>
          <w:b/>
          <w:sz w:val="24"/>
          <w:szCs w:val="24"/>
        </w:rPr>
        <w:t>make any adjustments to 2015</w:t>
      </w:r>
      <w:r>
        <w:rPr>
          <w:rFonts w:ascii="Times New Roman" w:hAnsi="Times New Roman"/>
          <w:b/>
          <w:sz w:val="24"/>
          <w:szCs w:val="24"/>
        </w:rPr>
        <w:t xml:space="preserve"> energy costs within your electric attrition model?</w:t>
      </w:r>
    </w:p>
    <w:p w14:paraId="71A2C911" w14:textId="4960A230" w:rsidR="00491715" w:rsidRDefault="002B59E3" w:rsidP="00254411">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Yes. </w:t>
      </w:r>
      <w:r w:rsidR="00363B57">
        <w:rPr>
          <w:rFonts w:ascii="Times New Roman" w:hAnsi="Times New Roman"/>
          <w:sz w:val="24"/>
          <w:szCs w:val="24"/>
        </w:rPr>
        <w:t xml:space="preserve"> </w:t>
      </w:r>
      <w:r w:rsidR="00F303AF">
        <w:rPr>
          <w:rFonts w:ascii="Times New Roman" w:hAnsi="Times New Roman"/>
          <w:sz w:val="24"/>
          <w:szCs w:val="24"/>
        </w:rPr>
        <w:t>I incorporated into my attrition model the results of the Company’</w:t>
      </w:r>
      <w:r w:rsidR="004445AC">
        <w:rPr>
          <w:rFonts w:ascii="Times New Roman" w:hAnsi="Times New Roman"/>
          <w:sz w:val="24"/>
          <w:szCs w:val="24"/>
        </w:rPr>
        <w:t>s updated</w:t>
      </w:r>
      <w:r w:rsidR="00F303AF">
        <w:rPr>
          <w:rFonts w:ascii="Times New Roman" w:hAnsi="Times New Roman"/>
          <w:sz w:val="24"/>
          <w:szCs w:val="24"/>
        </w:rPr>
        <w:t xml:space="preserve"> 2015 pro forma power supply costs.</w:t>
      </w:r>
      <w:r w:rsidR="00F303AF">
        <w:rPr>
          <w:rStyle w:val="FootnoteReference"/>
          <w:rFonts w:ascii="Times New Roman" w:hAnsi="Times New Roman"/>
          <w:sz w:val="24"/>
          <w:szCs w:val="24"/>
        </w:rPr>
        <w:footnoteReference w:id="10"/>
      </w:r>
      <w:r w:rsidR="004445AC">
        <w:rPr>
          <w:rFonts w:ascii="Times New Roman" w:hAnsi="Times New Roman"/>
          <w:sz w:val="24"/>
          <w:szCs w:val="24"/>
        </w:rPr>
        <w:t xml:space="preserve"> </w:t>
      </w:r>
      <w:r w:rsidR="00363B57">
        <w:rPr>
          <w:rFonts w:ascii="Times New Roman" w:hAnsi="Times New Roman"/>
          <w:sz w:val="24"/>
          <w:szCs w:val="24"/>
        </w:rPr>
        <w:t xml:space="preserve"> </w:t>
      </w:r>
      <w:r w:rsidR="004445AC">
        <w:rPr>
          <w:rFonts w:ascii="Times New Roman" w:hAnsi="Times New Roman"/>
          <w:sz w:val="24"/>
          <w:szCs w:val="24"/>
        </w:rPr>
        <w:t xml:space="preserve">Due largely to the Company’s upward revision to projected natural gas costs, the updated 2015 pro forma power supply costs added an additional $6.3 million to the annual revenue requirement. </w:t>
      </w:r>
    </w:p>
    <w:p w14:paraId="4E990387" w14:textId="77777777" w:rsidR="002B59E3" w:rsidRDefault="002B59E3" w:rsidP="00254411">
      <w:pPr>
        <w:spacing w:after="0" w:line="480" w:lineRule="auto"/>
        <w:rPr>
          <w:rFonts w:ascii="Times New Roman" w:hAnsi="Times New Roman"/>
          <w:b/>
          <w:sz w:val="24"/>
          <w:szCs w:val="24"/>
        </w:rPr>
      </w:pPr>
    </w:p>
    <w:p w14:paraId="722068D1" w14:textId="64EC5958" w:rsidR="00340B35" w:rsidRDefault="00340B35" w:rsidP="00254411">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 xml:space="preserve">How are gas costs </w:t>
      </w:r>
      <w:r w:rsidR="00E66740">
        <w:rPr>
          <w:rFonts w:ascii="Times New Roman" w:hAnsi="Times New Roman"/>
          <w:b/>
          <w:sz w:val="24"/>
          <w:szCs w:val="24"/>
        </w:rPr>
        <w:t xml:space="preserve">and revenues </w:t>
      </w:r>
      <w:r>
        <w:rPr>
          <w:rFonts w:ascii="Times New Roman" w:hAnsi="Times New Roman"/>
          <w:b/>
          <w:sz w:val="24"/>
          <w:szCs w:val="24"/>
        </w:rPr>
        <w:t xml:space="preserve">treated within your </w:t>
      </w:r>
      <w:r w:rsidR="00E66740">
        <w:rPr>
          <w:rFonts w:ascii="Times New Roman" w:hAnsi="Times New Roman"/>
          <w:b/>
          <w:sz w:val="24"/>
          <w:szCs w:val="24"/>
        </w:rPr>
        <w:t xml:space="preserve">natural gas </w:t>
      </w:r>
      <w:r>
        <w:rPr>
          <w:rFonts w:ascii="Times New Roman" w:hAnsi="Times New Roman"/>
          <w:b/>
          <w:sz w:val="24"/>
          <w:szCs w:val="24"/>
        </w:rPr>
        <w:t>attrition model?</w:t>
      </w:r>
    </w:p>
    <w:p w14:paraId="0150102E" w14:textId="1F5871C6" w:rsidR="00132E39" w:rsidRDefault="00340B35" w:rsidP="00254411">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E66740">
        <w:rPr>
          <w:rFonts w:ascii="Times New Roman" w:hAnsi="Times New Roman"/>
          <w:sz w:val="24"/>
          <w:szCs w:val="24"/>
        </w:rPr>
        <w:t xml:space="preserve">Consistent with the treatment of energy costs and revenues in the electric attrition model, </w:t>
      </w:r>
      <w:r>
        <w:rPr>
          <w:rFonts w:ascii="Times New Roman" w:hAnsi="Times New Roman"/>
          <w:sz w:val="24"/>
          <w:szCs w:val="24"/>
        </w:rPr>
        <w:t xml:space="preserve">I removed all normalized </w:t>
      </w:r>
      <w:r w:rsidR="00E66740">
        <w:rPr>
          <w:rFonts w:ascii="Times New Roman" w:hAnsi="Times New Roman"/>
          <w:sz w:val="24"/>
          <w:szCs w:val="24"/>
        </w:rPr>
        <w:t>gas</w:t>
      </w:r>
      <w:r>
        <w:rPr>
          <w:rFonts w:ascii="Times New Roman" w:hAnsi="Times New Roman"/>
          <w:sz w:val="24"/>
          <w:szCs w:val="24"/>
        </w:rPr>
        <w:t xml:space="preserve">-related costs and revenues from the base case (12 months ending December 2013 results of operations) so that only non-energy costs and revenues are trended to the 2015 rate period. </w:t>
      </w:r>
      <w:r w:rsidR="00E66740">
        <w:rPr>
          <w:rFonts w:ascii="Times New Roman" w:hAnsi="Times New Roman"/>
          <w:sz w:val="24"/>
          <w:szCs w:val="24"/>
        </w:rPr>
        <w:t xml:space="preserve"> To incorporate net gas</w:t>
      </w:r>
      <w:r>
        <w:rPr>
          <w:rFonts w:ascii="Times New Roman" w:hAnsi="Times New Roman"/>
          <w:sz w:val="24"/>
          <w:szCs w:val="24"/>
        </w:rPr>
        <w:t xml:space="preserve"> costs in the revenue requirement calculation</w:t>
      </w:r>
      <w:r w:rsidR="00E66740">
        <w:rPr>
          <w:rFonts w:ascii="Times New Roman" w:hAnsi="Times New Roman"/>
          <w:sz w:val="24"/>
          <w:szCs w:val="24"/>
        </w:rPr>
        <w:t>, I added the December 2013 net gas</w:t>
      </w:r>
      <w:r>
        <w:rPr>
          <w:rFonts w:ascii="Times New Roman" w:hAnsi="Times New Roman"/>
          <w:sz w:val="24"/>
          <w:szCs w:val="24"/>
        </w:rPr>
        <w:t xml:space="preserve"> costs back to the attrition model</w:t>
      </w:r>
      <w:r w:rsidR="00491715">
        <w:rPr>
          <w:rFonts w:ascii="Times New Roman" w:hAnsi="Times New Roman"/>
          <w:sz w:val="24"/>
          <w:szCs w:val="24"/>
        </w:rPr>
        <w:t xml:space="preserve"> after escalating non-gas costs and revenues</w:t>
      </w:r>
      <w:r>
        <w:rPr>
          <w:rFonts w:ascii="Times New Roman" w:hAnsi="Times New Roman"/>
          <w:sz w:val="24"/>
          <w:szCs w:val="24"/>
        </w:rPr>
        <w:t xml:space="preserve">.  </w:t>
      </w:r>
      <w:r>
        <w:rPr>
          <w:rFonts w:ascii="Times New Roman" w:hAnsi="Times New Roman"/>
          <w:i/>
          <w:sz w:val="24"/>
          <w:szCs w:val="24"/>
        </w:rPr>
        <w:t>See</w:t>
      </w:r>
      <w:r>
        <w:rPr>
          <w:rFonts w:ascii="Times New Roman" w:hAnsi="Times New Roman"/>
          <w:sz w:val="24"/>
          <w:szCs w:val="24"/>
        </w:rPr>
        <w:t xml:space="preserve"> my </w:t>
      </w:r>
      <w:r w:rsidR="00E66740">
        <w:rPr>
          <w:rFonts w:ascii="Times New Roman" w:hAnsi="Times New Roman"/>
          <w:sz w:val="24"/>
          <w:szCs w:val="24"/>
        </w:rPr>
        <w:t>Exhibit No.__(CRM-3), pages 4-5, columns [D</w:t>
      </w:r>
      <w:r>
        <w:rPr>
          <w:rFonts w:ascii="Times New Roman" w:hAnsi="Times New Roman"/>
          <w:sz w:val="24"/>
          <w:szCs w:val="24"/>
        </w:rPr>
        <w:t xml:space="preserve">] and [I] for the removal of December 2013 net </w:t>
      </w:r>
      <w:r w:rsidR="00E66740">
        <w:rPr>
          <w:rFonts w:ascii="Times New Roman" w:hAnsi="Times New Roman"/>
          <w:sz w:val="24"/>
          <w:szCs w:val="24"/>
        </w:rPr>
        <w:t>gas</w:t>
      </w:r>
      <w:r>
        <w:rPr>
          <w:rFonts w:ascii="Times New Roman" w:hAnsi="Times New Roman"/>
          <w:sz w:val="24"/>
          <w:szCs w:val="24"/>
        </w:rPr>
        <w:t xml:space="preserve"> costs a</w:t>
      </w:r>
      <w:r w:rsidR="00E66740">
        <w:rPr>
          <w:rFonts w:ascii="Times New Roman" w:hAnsi="Times New Roman"/>
          <w:sz w:val="24"/>
          <w:szCs w:val="24"/>
        </w:rPr>
        <w:t>nd the reintroduction of December 2013 net gas</w:t>
      </w:r>
      <w:r>
        <w:rPr>
          <w:rFonts w:ascii="Times New Roman" w:hAnsi="Times New Roman"/>
          <w:sz w:val="24"/>
          <w:szCs w:val="24"/>
        </w:rPr>
        <w:t xml:space="preserve"> costs, respectively.  </w:t>
      </w:r>
    </w:p>
    <w:p w14:paraId="60621FBF" w14:textId="1F11716E" w:rsidR="00340B35" w:rsidRDefault="00E66740" w:rsidP="00254411">
      <w:pPr>
        <w:spacing w:after="0" w:line="480" w:lineRule="auto"/>
        <w:ind w:left="720" w:firstLine="720"/>
        <w:rPr>
          <w:rFonts w:ascii="Times New Roman" w:hAnsi="Times New Roman"/>
          <w:sz w:val="24"/>
          <w:szCs w:val="24"/>
        </w:rPr>
      </w:pPr>
      <w:r>
        <w:rPr>
          <w:rFonts w:ascii="Times New Roman" w:hAnsi="Times New Roman"/>
          <w:sz w:val="24"/>
          <w:szCs w:val="24"/>
        </w:rPr>
        <w:lastRenderedPageBreak/>
        <w:t>In the natural gas attrition model</w:t>
      </w:r>
      <w:r w:rsidR="00363B57">
        <w:rPr>
          <w:rFonts w:ascii="Times New Roman" w:hAnsi="Times New Roman"/>
          <w:sz w:val="24"/>
          <w:szCs w:val="24"/>
        </w:rPr>
        <w:t>,</w:t>
      </w:r>
      <w:r>
        <w:rPr>
          <w:rFonts w:ascii="Times New Roman" w:hAnsi="Times New Roman"/>
          <w:sz w:val="24"/>
          <w:szCs w:val="24"/>
        </w:rPr>
        <w:t xml:space="preserve"> the gas expenses and revenues added back after</w:t>
      </w:r>
      <w:r w:rsidR="00132E39">
        <w:rPr>
          <w:rFonts w:ascii="Times New Roman" w:hAnsi="Times New Roman"/>
          <w:sz w:val="24"/>
          <w:szCs w:val="24"/>
        </w:rPr>
        <w:t xml:space="preserve"> other components are trended are</w:t>
      </w:r>
      <w:r>
        <w:rPr>
          <w:rFonts w:ascii="Times New Roman" w:hAnsi="Times New Roman"/>
          <w:sz w:val="24"/>
          <w:szCs w:val="24"/>
        </w:rPr>
        <w:t xml:space="preserve"> identical to the gas expenses and revenues removed prior to trending other components. </w:t>
      </w:r>
      <w:r w:rsidR="00363B57">
        <w:rPr>
          <w:rFonts w:ascii="Times New Roman" w:hAnsi="Times New Roman"/>
          <w:sz w:val="24"/>
          <w:szCs w:val="24"/>
        </w:rPr>
        <w:t xml:space="preserve"> </w:t>
      </w:r>
      <w:r w:rsidR="00491715">
        <w:rPr>
          <w:rFonts w:ascii="Times New Roman" w:hAnsi="Times New Roman"/>
          <w:sz w:val="24"/>
          <w:szCs w:val="24"/>
        </w:rPr>
        <w:t xml:space="preserve">Updates to projected gas costs are made outside of a general rate case in the Company’s annual purchased gas adjustment (PGA) filing, so </w:t>
      </w:r>
      <w:r w:rsidR="00363B57">
        <w:rPr>
          <w:rFonts w:ascii="Times New Roman" w:hAnsi="Times New Roman"/>
          <w:sz w:val="24"/>
          <w:szCs w:val="24"/>
        </w:rPr>
        <w:t xml:space="preserve">I did not pro form </w:t>
      </w:r>
      <w:r w:rsidR="00491715">
        <w:rPr>
          <w:rFonts w:ascii="Times New Roman" w:hAnsi="Times New Roman"/>
          <w:sz w:val="24"/>
          <w:szCs w:val="24"/>
        </w:rPr>
        <w:t xml:space="preserve">gas expenses and revenues in the attrition analysis. </w:t>
      </w:r>
    </w:p>
    <w:p w14:paraId="595FCB31" w14:textId="77777777" w:rsidR="00090018" w:rsidRDefault="00090018" w:rsidP="00254411">
      <w:pPr>
        <w:spacing w:after="0" w:line="480" w:lineRule="auto"/>
        <w:rPr>
          <w:rFonts w:ascii="Times New Roman" w:hAnsi="Times New Roman"/>
          <w:b/>
          <w:sz w:val="24"/>
          <w:szCs w:val="24"/>
        </w:rPr>
      </w:pPr>
    </w:p>
    <w:p w14:paraId="4B02FC54" w14:textId="3A37147E" w:rsidR="00090018" w:rsidRDefault="00C67AC8" w:rsidP="00254411">
      <w:pPr>
        <w:spacing w:after="0" w:line="480" w:lineRule="auto"/>
        <w:ind w:left="720" w:firstLine="720"/>
        <w:rPr>
          <w:rFonts w:ascii="Times New Roman" w:hAnsi="Times New Roman"/>
          <w:b/>
          <w:sz w:val="24"/>
          <w:szCs w:val="24"/>
        </w:rPr>
      </w:pPr>
      <w:r>
        <w:rPr>
          <w:rFonts w:ascii="Times New Roman" w:hAnsi="Times New Roman"/>
          <w:b/>
          <w:sz w:val="24"/>
          <w:szCs w:val="24"/>
        </w:rPr>
        <w:t>4</w:t>
      </w:r>
      <w:r w:rsidR="0043320A">
        <w:rPr>
          <w:rFonts w:ascii="Times New Roman" w:hAnsi="Times New Roman"/>
          <w:b/>
          <w:sz w:val="24"/>
          <w:szCs w:val="24"/>
        </w:rPr>
        <w:t>.</w:t>
      </w:r>
      <w:r w:rsidR="0043320A">
        <w:rPr>
          <w:rFonts w:ascii="Times New Roman" w:hAnsi="Times New Roman"/>
          <w:b/>
          <w:sz w:val="24"/>
          <w:szCs w:val="24"/>
        </w:rPr>
        <w:tab/>
      </w:r>
      <w:r w:rsidR="00090018">
        <w:rPr>
          <w:rFonts w:ascii="Times New Roman" w:hAnsi="Times New Roman"/>
          <w:b/>
          <w:sz w:val="24"/>
          <w:szCs w:val="24"/>
        </w:rPr>
        <w:t>Results – Electric Attrition Study</w:t>
      </w:r>
    </w:p>
    <w:p w14:paraId="4C970113" w14:textId="77777777" w:rsidR="00090018" w:rsidRDefault="00090018" w:rsidP="00254411">
      <w:pPr>
        <w:spacing w:after="0" w:line="480" w:lineRule="auto"/>
        <w:ind w:left="720" w:hanging="720"/>
        <w:rPr>
          <w:rFonts w:ascii="Times New Roman" w:hAnsi="Times New Roman"/>
          <w:sz w:val="24"/>
          <w:szCs w:val="24"/>
        </w:rPr>
      </w:pPr>
    </w:p>
    <w:p w14:paraId="58111895" w14:textId="3FA0F7A8" w:rsidR="00090018" w:rsidRDefault="00090018" w:rsidP="00254411">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r>
      <w:r w:rsidR="003B3855">
        <w:rPr>
          <w:rFonts w:ascii="Times New Roman" w:hAnsi="Times New Roman"/>
          <w:b/>
          <w:sz w:val="24"/>
          <w:szCs w:val="24"/>
        </w:rPr>
        <w:t>W</w:t>
      </w:r>
      <w:r>
        <w:rPr>
          <w:rFonts w:ascii="Times New Roman" w:hAnsi="Times New Roman"/>
          <w:b/>
          <w:sz w:val="24"/>
          <w:szCs w:val="24"/>
        </w:rPr>
        <w:t xml:space="preserve">hat </w:t>
      </w:r>
      <w:r w:rsidR="003B3855">
        <w:rPr>
          <w:rFonts w:ascii="Times New Roman" w:hAnsi="Times New Roman"/>
          <w:b/>
          <w:sz w:val="24"/>
          <w:szCs w:val="24"/>
        </w:rPr>
        <w:t>are the results of your attrition study for Avista’s electric operations?</w:t>
      </w:r>
    </w:p>
    <w:p w14:paraId="22E8EE70" w14:textId="390904EA" w:rsidR="00090018" w:rsidRDefault="00090018" w:rsidP="00254411">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3B3855">
        <w:rPr>
          <w:rFonts w:ascii="Times New Roman" w:hAnsi="Times New Roman"/>
          <w:sz w:val="24"/>
          <w:szCs w:val="24"/>
        </w:rPr>
        <w:t xml:space="preserve">As shown in </w:t>
      </w:r>
      <w:r w:rsidR="003B3855" w:rsidRPr="008B71D4">
        <w:rPr>
          <w:rFonts w:ascii="Times New Roman" w:hAnsi="Times New Roman"/>
          <w:sz w:val="24"/>
          <w:szCs w:val="24"/>
        </w:rPr>
        <w:t>my Exhibit No</w:t>
      </w:r>
      <w:r w:rsidR="00B06E10" w:rsidRPr="008B71D4">
        <w:rPr>
          <w:rFonts w:ascii="Times New Roman" w:hAnsi="Times New Roman"/>
          <w:sz w:val="24"/>
          <w:szCs w:val="24"/>
        </w:rPr>
        <w:t>. ___ (CRM-2), page 1</w:t>
      </w:r>
      <w:r w:rsidR="003B3855">
        <w:rPr>
          <w:rFonts w:ascii="Times New Roman" w:hAnsi="Times New Roman"/>
          <w:sz w:val="24"/>
          <w:szCs w:val="24"/>
        </w:rPr>
        <w:t>, I estimate Avista</w:t>
      </w:r>
      <w:r w:rsidR="001B5884">
        <w:rPr>
          <w:rFonts w:ascii="Times New Roman" w:hAnsi="Times New Roman"/>
          <w:sz w:val="24"/>
          <w:szCs w:val="24"/>
        </w:rPr>
        <w:t>’s</w:t>
      </w:r>
      <w:r w:rsidR="003B3855">
        <w:rPr>
          <w:rFonts w:ascii="Times New Roman" w:hAnsi="Times New Roman"/>
          <w:sz w:val="24"/>
          <w:szCs w:val="24"/>
        </w:rPr>
        <w:t xml:space="preserve"> overall rate of retu</w:t>
      </w:r>
      <w:r w:rsidR="008B71D4">
        <w:rPr>
          <w:rFonts w:ascii="Times New Roman" w:hAnsi="Times New Roman"/>
          <w:sz w:val="24"/>
          <w:szCs w:val="24"/>
        </w:rPr>
        <w:t>rn</w:t>
      </w:r>
      <w:r w:rsidR="00105BAF">
        <w:rPr>
          <w:rFonts w:ascii="Times New Roman" w:hAnsi="Times New Roman"/>
          <w:sz w:val="24"/>
          <w:szCs w:val="24"/>
        </w:rPr>
        <w:t xml:space="preserve"> for </w:t>
      </w:r>
      <w:r w:rsidR="00EC0A68">
        <w:rPr>
          <w:rFonts w:ascii="Times New Roman" w:hAnsi="Times New Roman"/>
          <w:sz w:val="24"/>
          <w:szCs w:val="24"/>
        </w:rPr>
        <w:t xml:space="preserve">its </w:t>
      </w:r>
      <w:r w:rsidR="00105BAF">
        <w:rPr>
          <w:rFonts w:ascii="Times New Roman" w:hAnsi="Times New Roman"/>
          <w:sz w:val="24"/>
          <w:szCs w:val="24"/>
        </w:rPr>
        <w:t xml:space="preserve">electric operations </w:t>
      </w:r>
      <w:r w:rsidR="00EC0A68">
        <w:rPr>
          <w:rFonts w:ascii="Times New Roman" w:hAnsi="Times New Roman"/>
          <w:sz w:val="24"/>
          <w:szCs w:val="24"/>
        </w:rPr>
        <w:t xml:space="preserve">in 2015 </w:t>
      </w:r>
      <w:r w:rsidR="001B5884">
        <w:rPr>
          <w:rFonts w:ascii="Times New Roman" w:hAnsi="Times New Roman"/>
          <w:sz w:val="24"/>
          <w:szCs w:val="24"/>
        </w:rPr>
        <w:t xml:space="preserve">is </w:t>
      </w:r>
      <w:r w:rsidR="00105BAF">
        <w:rPr>
          <w:rFonts w:ascii="Times New Roman" w:hAnsi="Times New Roman"/>
          <w:sz w:val="24"/>
          <w:szCs w:val="24"/>
        </w:rPr>
        <w:t>7.15</w:t>
      </w:r>
      <w:r w:rsidR="003B3855">
        <w:rPr>
          <w:rFonts w:ascii="Times New Roman" w:hAnsi="Times New Roman"/>
          <w:sz w:val="24"/>
          <w:szCs w:val="24"/>
        </w:rPr>
        <w:t xml:space="preserve"> percent</w:t>
      </w:r>
      <w:r w:rsidR="008B71D4">
        <w:rPr>
          <w:rFonts w:ascii="Times New Roman" w:hAnsi="Times New Roman"/>
          <w:sz w:val="24"/>
          <w:szCs w:val="24"/>
        </w:rPr>
        <w:t xml:space="preserve"> with a continuation of </w:t>
      </w:r>
      <w:r w:rsidR="00523B78">
        <w:rPr>
          <w:rFonts w:ascii="Times New Roman" w:hAnsi="Times New Roman"/>
          <w:sz w:val="24"/>
          <w:szCs w:val="24"/>
        </w:rPr>
        <w:t xml:space="preserve">the temporary </w:t>
      </w:r>
      <w:r w:rsidR="008B71D4">
        <w:rPr>
          <w:rFonts w:ascii="Times New Roman" w:hAnsi="Times New Roman"/>
          <w:sz w:val="24"/>
          <w:szCs w:val="24"/>
        </w:rPr>
        <w:t>2014 rates</w:t>
      </w:r>
      <w:r w:rsidR="003B3855">
        <w:rPr>
          <w:rFonts w:ascii="Times New Roman" w:hAnsi="Times New Roman"/>
          <w:sz w:val="24"/>
          <w:szCs w:val="24"/>
        </w:rPr>
        <w:t>,</w:t>
      </w:r>
      <w:r w:rsidR="00105BAF">
        <w:rPr>
          <w:rFonts w:ascii="Times New Roman" w:hAnsi="Times New Roman"/>
          <w:sz w:val="24"/>
          <w:szCs w:val="24"/>
        </w:rPr>
        <w:t xml:space="preserve"> or 6.50</w:t>
      </w:r>
      <w:r w:rsidR="006C6F08">
        <w:rPr>
          <w:rFonts w:ascii="Times New Roman" w:hAnsi="Times New Roman"/>
          <w:sz w:val="24"/>
          <w:szCs w:val="24"/>
        </w:rPr>
        <w:t xml:space="preserve"> percent at</w:t>
      </w:r>
      <w:r w:rsidR="008B71D4">
        <w:rPr>
          <w:rFonts w:ascii="Times New Roman" w:hAnsi="Times New Roman"/>
          <w:sz w:val="24"/>
          <w:szCs w:val="24"/>
        </w:rPr>
        <w:t xml:space="preserve"> </w:t>
      </w:r>
      <w:r w:rsidR="00523B78">
        <w:rPr>
          <w:rFonts w:ascii="Times New Roman" w:hAnsi="Times New Roman"/>
          <w:sz w:val="24"/>
          <w:szCs w:val="24"/>
        </w:rPr>
        <w:t xml:space="preserve">the permanent </w:t>
      </w:r>
      <w:r w:rsidR="008B71D4">
        <w:rPr>
          <w:rFonts w:ascii="Times New Roman" w:hAnsi="Times New Roman"/>
          <w:sz w:val="24"/>
          <w:szCs w:val="24"/>
        </w:rPr>
        <w:t>2013 rates</w:t>
      </w:r>
      <w:r>
        <w:rPr>
          <w:rFonts w:ascii="Times New Roman" w:hAnsi="Times New Roman"/>
          <w:sz w:val="24"/>
          <w:szCs w:val="24"/>
        </w:rPr>
        <w:t>:</w:t>
      </w:r>
    </w:p>
    <w:tbl>
      <w:tblPr>
        <w:tblStyle w:val="PlainTable21"/>
        <w:tblW w:w="0" w:type="auto"/>
        <w:tblInd w:w="735" w:type="dxa"/>
        <w:tblLook w:val="04A0" w:firstRow="1" w:lastRow="0" w:firstColumn="1" w:lastColumn="0" w:noHBand="0" w:noVBand="1"/>
      </w:tblPr>
      <w:tblGrid>
        <w:gridCol w:w="2802"/>
        <w:gridCol w:w="2086"/>
        <w:gridCol w:w="2086"/>
      </w:tblGrid>
      <w:tr w:rsidR="002F1E16" w14:paraId="3CFDE6DD" w14:textId="77777777" w:rsidTr="00B721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5D0FFE26" w14:textId="77777777" w:rsidR="002F1E16" w:rsidRDefault="002F1E16" w:rsidP="002F1E16">
            <w:pPr>
              <w:spacing w:line="240" w:lineRule="auto"/>
              <w:ind w:left="702"/>
              <w:rPr>
                <w:rFonts w:ascii="Times New Roman" w:hAnsi="Times New Roman"/>
                <w:sz w:val="24"/>
                <w:szCs w:val="24"/>
              </w:rPr>
            </w:pPr>
          </w:p>
        </w:tc>
        <w:tc>
          <w:tcPr>
            <w:tcW w:w="2086" w:type="dxa"/>
          </w:tcPr>
          <w:p w14:paraId="4995F23D" w14:textId="72F03C58" w:rsidR="002F1E16" w:rsidRDefault="002F1E16" w:rsidP="002F1E16">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2015 (at 2013 rates)</w:t>
            </w:r>
          </w:p>
        </w:tc>
        <w:tc>
          <w:tcPr>
            <w:tcW w:w="2086" w:type="dxa"/>
          </w:tcPr>
          <w:p w14:paraId="187AE05C" w14:textId="77777777" w:rsidR="002F1E16" w:rsidRDefault="002F1E16" w:rsidP="002F1E16">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2015 (at 2014 rates)</w:t>
            </w:r>
          </w:p>
        </w:tc>
      </w:tr>
      <w:tr w:rsidR="002F1E16" w14:paraId="20CBD44B" w14:textId="77777777" w:rsidTr="00B721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738E8406" w14:textId="77777777" w:rsidR="002F1E16" w:rsidRDefault="002F1E16" w:rsidP="002F1E16">
            <w:pPr>
              <w:spacing w:line="240" w:lineRule="auto"/>
              <w:rPr>
                <w:rFonts w:ascii="Times New Roman" w:hAnsi="Times New Roman"/>
                <w:sz w:val="24"/>
                <w:szCs w:val="24"/>
              </w:rPr>
            </w:pPr>
            <w:r>
              <w:rPr>
                <w:rFonts w:ascii="Times New Roman" w:hAnsi="Times New Roman"/>
                <w:sz w:val="24"/>
                <w:szCs w:val="24"/>
              </w:rPr>
              <w:t>NOI (in thousands)</w:t>
            </w:r>
          </w:p>
        </w:tc>
        <w:tc>
          <w:tcPr>
            <w:tcW w:w="2086" w:type="dxa"/>
          </w:tcPr>
          <w:p w14:paraId="3D6BCEEB" w14:textId="331852F6" w:rsidR="002F1E16" w:rsidRDefault="00B06E10" w:rsidP="002F1E16">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w:t>
            </w:r>
            <w:r w:rsidR="00105BAF">
              <w:rPr>
                <w:rFonts w:ascii="Times New Roman" w:hAnsi="Times New Roman"/>
                <w:sz w:val="24"/>
                <w:szCs w:val="24"/>
              </w:rPr>
              <w:t>86,632</w:t>
            </w:r>
          </w:p>
        </w:tc>
        <w:tc>
          <w:tcPr>
            <w:tcW w:w="2086" w:type="dxa"/>
          </w:tcPr>
          <w:p w14:paraId="6BEDE735" w14:textId="0FAD5F6D" w:rsidR="002F1E16" w:rsidRDefault="00105BAF" w:rsidP="002F1E16">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$95,352</w:t>
            </w:r>
          </w:p>
        </w:tc>
      </w:tr>
      <w:tr w:rsidR="002F1E16" w14:paraId="61B34A67" w14:textId="77777777" w:rsidTr="00B7215F">
        <w:tc>
          <w:tcPr>
            <w:cnfStyle w:val="001000000000" w:firstRow="0" w:lastRow="0" w:firstColumn="1" w:lastColumn="0" w:oddVBand="0" w:evenVBand="0" w:oddHBand="0" w:evenHBand="0" w:firstRowFirstColumn="0" w:firstRowLastColumn="0" w:lastRowFirstColumn="0" w:lastRowLastColumn="0"/>
            <w:tcW w:w="2802" w:type="dxa"/>
          </w:tcPr>
          <w:p w14:paraId="469BF46C" w14:textId="77777777" w:rsidR="002F1E16" w:rsidRDefault="002F1E16" w:rsidP="002F1E16">
            <w:pPr>
              <w:spacing w:line="240" w:lineRule="auto"/>
              <w:rPr>
                <w:rFonts w:ascii="Times New Roman" w:hAnsi="Times New Roman"/>
                <w:sz w:val="24"/>
                <w:szCs w:val="24"/>
              </w:rPr>
            </w:pPr>
            <w:r>
              <w:rPr>
                <w:rFonts w:ascii="Times New Roman" w:hAnsi="Times New Roman"/>
                <w:sz w:val="24"/>
                <w:szCs w:val="24"/>
              </w:rPr>
              <w:t>Rate Base (in thousands)</w:t>
            </w:r>
          </w:p>
        </w:tc>
        <w:tc>
          <w:tcPr>
            <w:tcW w:w="2086" w:type="dxa"/>
          </w:tcPr>
          <w:p w14:paraId="67FCAF65" w14:textId="47336C00" w:rsidR="002F1E16" w:rsidRDefault="00B06E10" w:rsidP="002F1E16">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$1,333,006</w:t>
            </w:r>
          </w:p>
        </w:tc>
        <w:tc>
          <w:tcPr>
            <w:tcW w:w="2086" w:type="dxa"/>
          </w:tcPr>
          <w:p w14:paraId="63E19F90" w14:textId="7888A7F2" w:rsidR="002F1E16" w:rsidRDefault="00744B10" w:rsidP="002F1E16">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$1,333,006</w:t>
            </w:r>
          </w:p>
        </w:tc>
      </w:tr>
      <w:tr w:rsidR="002F1E16" w14:paraId="1681A3F8" w14:textId="77777777" w:rsidTr="00B721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363A2B42" w14:textId="77777777" w:rsidR="002F1E16" w:rsidRDefault="002F1E16" w:rsidP="002F1E16">
            <w:pPr>
              <w:spacing w:line="240" w:lineRule="auto"/>
              <w:rPr>
                <w:rFonts w:ascii="Times New Roman" w:hAnsi="Times New Roman"/>
                <w:sz w:val="24"/>
                <w:szCs w:val="24"/>
              </w:rPr>
            </w:pPr>
            <w:r>
              <w:rPr>
                <w:rFonts w:ascii="Times New Roman" w:hAnsi="Times New Roman"/>
                <w:sz w:val="24"/>
                <w:szCs w:val="24"/>
              </w:rPr>
              <w:t>Rate of Return</w:t>
            </w:r>
          </w:p>
        </w:tc>
        <w:tc>
          <w:tcPr>
            <w:tcW w:w="2086" w:type="dxa"/>
          </w:tcPr>
          <w:p w14:paraId="709A54A5" w14:textId="4B5D116E" w:rsidR="002F1E16" w:rsidRDefault="00105BAF" w:rsidP="002F1E16">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6.50</w:t>
            </w:r>
            <w:r w:rsidR="002F1E16">
              <w:rPr>
                <w:rFonts w:ascii="Times New Roman" w:hAnsi="Times New Roman"/>
                <w:sz w:val="24"/>
                <w:szCs w:val="24"/>
              </w:rPr>
              <w:t>%</w:t>
            </w:r>
          </w:p>
        </w:tc>
        <w:tc>
          <w:tcPr>
            <w:tcW w:w="2086" w:type="dxa"/>
          </w:tcPr>
          <w:p w14:paraId="6BAE3DB1" w14:textId="4C8778D4" w:rsidR="002F1E16" w:rsidRDefault="00105BAF" w:rsidP="002F1E16">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7.15</w:t>
            </w:r>
            <w:r w:rsidR="00744B10">
              <w:rPr>
                <w:rFonts w:ascii="Times New Roman" w:hAnsi="Times New Roman"/>
                <w:sz w:val="24"/>
                <w:szCs w:val="24"/>
              </w:rPr>
              <w:t>%</w:t>
            </w:r>
          </w:p>
        </w:tc>
      </w:tr>
    </w:tbl>
    <w:p w14:paraId="067C0D88" w14:textId="77777777" w:rsidR="00090018" w:rsidRDefault="00090018" w:rsidP="00090018">
      <w:pPr>
        <w:spacing w:line="480" w:lineRule="auto"/>
        <w:ind w:left="720" w:hanging="720"/>
        <w:rPr>
          <w:rFonts w:ascii="Times New Roman" w:hAnsi="Times New Roman"/>
          <w:sz w:val="24"/>
          <w:szCs w:val="24"/>
        </w:rPr>
      </w:pPr>
    </w:p>
    <w:p w14:paraId="601FC2DE" w14:textId="1E2D493F" w:rsidR="00090018" w:rsidRDefault="00090018" w:rsidP="00090018">
      <w:pPr>
        <w:spacing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 xml:space="preserve">Does </w:t>
      </w:r>
      <w:r w:rsidR="000C6C36">
        <w:rPr>
          <w:rFonts w:ascii="Times New Roman" w:hAnsi="Times New Roman"/>
          <w:b/>
          <w:sz w:val="24"/>
          <w:szCs w:val="24"/>
        </w:rPr>
        <w:t>the rate of return of 7.1</w:t>
      </w:r>
      <w:r w:rsidR="002D3FB4">
        <w:rPr>
          <w:rFonts w:ascii="Times New Roman" w:hAnsi="Times New Roman"/>
          <w:b/>
          <w:sz w:val="24"/>
          <w:szCs w:val="24"/>
        </w:rPr>
        <w:t>5</w:t>
      </w:r>
      <w:r w:rsidR="003B3855">
        <w:rPr>
          <w:rFonts w:ascii="Times New Roman" w:hAnsi="Times New Roman"/>
          <w:b/>
          <w:sz w:val="24"/>
          <w:szCs w:val="24"/>
        </w:rPr>
        <w:t xml:space="preserve"> percent mean </w:t>
      </w:r>
      <w:r>
        <w:rPr>
          <w:rFonts w:ascii="Times New Roman" w:hAnsi="Times New Roman"/>
          <w:b/>
          <w:sz w:val="24"/>
          <w:szCs w:val="24"/>
        </w:rPr>
        <w:t xml:space="preserve">Avista </w:t>
      </w:r>
      <w:r w:rsidR="00FA112A">
        <w:rPr>
          <w:rFonts w:ascii="Times New Roman" w:hAnsi="Times New Roman"/>
          <w:b/>
          <w:sz w:val="24"/>
          <w:szCs w:val="24"/>
        </w:rPr>
        <w:t xml:space="preserve">likely </w:t>
      </w:r>
      <w:r w:rsidR="003B3855">
        <w:rPr>
          <w:rFonts w:ascii="Times New Roman" w:hAnsi="Times New Roman"/>
          <w:b/>
          <w:sz w:val="24"/>
          <w:szCs w:val="24"/>
        </w:rPr>
        <w:t xml:space="preserve">will </w:t>
      </w:r>
      <w:r w:rsidR="002E01EC">
        <w:rPr>
          <w:rFonts w:ascii="Times New Roman" w:hAnsi="Times New Roman"/>
          <w:b/>
          <w:sz w:val="24"/>
          <w:szCs w:val="24"/>
        </w:rPr>
        <w:t>experience</w:t>
      </w:r>
      <w:r>
        <w:rPr>
          <w:rFonts w:ascii="Times New Roman" w:hAnsi="Times New Roman"/>
          <w:b/>
          <w:sz w:val="24"/>
          <w:szCs w:val="24"/>
        </w:rPr>
        <w:t xml:space="preserve"> attrition for its </w:t>
      </w:r>
      <w:r w:rsidR="000B1D82">
        <w:rPr>
          <w:rFonts w:ascii="Times New Roman" w:hAnsi="Times New Roman"/>
          <w:b/>
          <w:sz w:val="24"/>
          <w:szCs w:val="24"/>
        </w:rPr>
        <w:t>electric service in 2015 at 2014</w:t>
      </w:r>
      <w:r>
        <w:rPr>
          <w:rFonts w:ascii="Times New Roman" w:hAnsi="Times New Roman"/>
          <w:b/>
          <w:sz w:val="24"/>
          <w:szCs w:val="24"/>
        </w:rPr>
        <w:t xml:space="preserve"> </w:t>
      </w:r>
      <w:r w:rsidR="003B3855">
        <w:rPr>
          <w:rFonts w:ascii="Times New Roman" w:hAnsi="Times New Roman"/>
          <w:b/>
          <w:sz w:val="24"/>
          <w:szCs w:val="24"/>
        </w:rPr>
        <w:t xml:space="preserve">base </w:t>
      </w:r>
      <w:r>
        <w:rPr>
          <w:rFonts w:ascii="Times New Roman" w:hAnsi="Times New Roman"/>
          <w:b/>
          <w:sz w:val="24"/>
          <w:szCs w:val="24"/>
        </w:rPr>
        <w:t>rates?</w:t>
      </w:r>
    </w:p>
    <w:p w14:paraId="0C4ACA4F" w14:textId="528226F5" w:rsidR="000A1016" w:rsidRDefault="000B1D82" w:rsidP="00254411">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No</w:t>
      </w:r>
      <w:r w:rsidR="003F43BF">
        <w:rPr>
          <w:rFonts w:ascii="Times New Roman" w:hAnsi="Times New Roman"/>
          <w:sz w:val="24"/>
          <w:szCs w:val="24"/>
        </w:rPr>
        <w:t>.</w:t>
      </w:r>
      <w:r w:rsidR="00090018">
        <w:rPr>
          <w:rFonts w:ascii="Times New Roman" w:hAnsi="Times New Roman"/>
          <w:sz w:val="24"/>
          <w:szCs w:val="24"/>
        </w:rPr>
        <w:t xml:space="preserve"> </w:t>
      </w:r>
      <w:r w:rsidR="0043320A">
        <w:rPr>
          <w:rFonts w:ascii="Times New Roman" w:hAnsi="Times New Roman"/>
          <w:sz w:val="24"/>
          <w:szCs w:val="24"/>
        </w:rPr>
        <w:t xml:space="preserve"> </w:t>
      </w:r>
      <w:r w:rsidR="00EC0A68">
        <w:rPr>
          <w:rFonts w:ascii="Times New Roman" w:hAnsi="Times New Roman"/>
          <w:sz w:val="24"/>
          <w:szCs w:val="24"/>
        </w:rPr>
        <w:t>T</w:t>
      </w:r>
      <w:r w:rsidR="003F3552">
        <w:rPr>
          <w:rFonts w:ascii="Times New Roman" w:hAnsi="Times New Roman"/>
          <w:sz w:val="24"/>
          <w:szCs w:val="24"/>
        </w:rPr>
        <w:t>he</w:t>
      </w:r>
      <w:r w:rsidR="003F43BF">
        <w:rPr>
          <w:rFonts w:ascii="Times New Roman" w:hAnsi="Times New Roman"/>
          <w:sz w:val="24"/>
          <w:szCs w:val="24"/>
        </w:rPr>
        <w:t xml:space="preserve"> </w:t>
      </w:r>
      <w:r w:rsidR="002D3FB4">
        <w:rPr>
          <w:rFonts w:ascii="Times New Roman" w:hAnsi="Times New Roman"/>
          <w:sz w:val="24"/>
          <w:szCs w:val="24"/>
        </w:rPr>
        <w:t>7.15</w:t>
      </w:r>
      <w:r w:rsidR="00F35AFE">
        <w:rPr>
          <w:rFonts w:ascii="Times New Roman" w:hAnsi="Times New Roman"/>
          <w:sz w:val="24"/>
          <w:szCs w:val="24"/>
        </w:rPr>
        <w:t xml:space="preserve"> </w:t>
      </w:r>
      <w:r w:rsidR="00090018">
        <w:rPr>
          <w:rFonts w:ascii="Times New Roman" w:hAnsi="Times New Roman"/>
          <w:sz w:val="24"/>
          <w:szCs w:val="24"/>
        </w:rPr>
        <w:t>percent</w:t>
      </w:r>
      <w:r w:rsidR="003F16B1">
        <w:rPr>
          <w:rFonts w:ascii="Times New Roman" w:hAnsi="Times New Roman"/>
          <w:sz w:val="24"/>
          <w:szCs w:val="24"/>
        </w:rPr>
        <w:t xml:space="preserve"> </w:t>
      </w:r>
      <w:r w:rsidR="003F3552">
        <w:rPr>
          <w:rFonts w:ascii="Times New Roman" w:hAnsi="Times New Roman"/>
          <w:sz w:val="24"/>
          <w:szCs w:val="24"/>
        </w:rPr>
        <w:t xml:space="preserve">rate of return I project for 2015 </w:t>
      </w:r>
      <w:r w:rsidR="003F16B1">
        <w:rPr>
          <w:rFonts w:ascii="Times New Roman" w:hAnsi="Times New Roman"/>
          <w:sz w:val="24"/>
          <w:szCs w:val="24"/>
        </w:rPr>
        <w:t>is higher than</w:t>
      </w:r>
      <w:r w:rsidR="00090018">
        <w:rPr>
          <w:rFonts w:ascii="Times New Roman" w:hAnsi="Times New Roman"/>
          <w:sz w:val="24"/>
          <w:szCs w:val="24"/>
        </w:rPr>
        <w:t xml:space="preserve"> the </w:t>
      </w:r>
      <w:r w:rsidR="003F3552">
        <w:rPr>
          <w:rFonts w:ascii="Times New Roman" w:hAnsi="Times New Roman"/>
          <w:sz w:val="24"/>
          <w:szCs w:val="24"/>
        </w:rPr>
        <w:t xml:space="preserve">6.77 percent </w:t>
      </w:r>
      <w:r w:rsidR="009E1A3B">
        <w:rPr>
          <w:rFonts w:ascii="Times New Roman" w:hAnsi="Times New Roman"/>
          <w:sz w:val="24"/>
          <w:szCs w:val="24"/>
        </w:rPr>
        <w:t>rate of return</w:t>
      </w:r>
      <w:r w:rsidR="003F3552">
        <w:rPr>
          <w:rFonts w:ascii="Times New Roman" w:hAnsi="Times New Roman"/>
          <w:sz w:val="24"/>
          <w:szCs w:val="24"/>
        </w:rPr>
        <w:t xml:space="preserve"> being</w:t>
      </w:r>
      <w:r w:rsidR="00090018">
        <w:rPr>
          <w:rFonts w:ascii="Times New Roman" w:hAnsi="Times New Roman"/>
          <w:sz w:val="24"/>
          <w:szCs w:val="24"/>
        </w:rPr>
        <w:t xml:space="preserve"> recommended by Staff </w:t>
      </w:r>
      <w:r w:rsidR="0043320A">
        <w:rPr>
          <w:rFonts w:ascii="Times New Roman" w:hAnsi="Times New Roman"/>
          <w:sz w:val="24"/>
          <w:szCs w:val="24"/>
        </w:rPr>
        <w:t>in this case</w:t>
      </w:r>
      <w:r w:rsidR="0076493B">
        <w:rPr>
          <w:rFonts w:ascii="Times New Roman" w:hAnsi="Times New Roman"/>
          <w:sz w:val="24"/>
          <w:szCs w:val="24"/>
        </w:rPr>
        <w:t>.</w:t>
      </w:r>
      <w:r w:rsidR="009D5651">
        <w:rPr>
          <w:rFonts w:ascii="Times New Roman" w:hAnsi="Times New Roman"/>
          <w:sz w:val="24"/>
          <w:szCs w:val="24"/>
        </w:rPr>
        <w:t xml:space="preserve"> </w:t>
      </w:r>
      <w:r w:rsidR="00363B57">
        <w:rPr>
          <w:rFonts w:ascii="Times New Roman" w:hAnsi="Times New Roman"/>
          <w:sz w:val="24"/>
          <w:szCs w:val="24"/>
        </w:rPr>
        <w:t xml:space="preserve"> </w:t>
      </w:r>
      <w:r w:rsidR="009D5651">
        <w:rPr>
          <w:rFonts w:ascii="Times New Roman" w:hAnsi="Times New Roman"/>
          <w:sz w:val="24"/>
          <w:szCs w:val="24"/>
        </w:rPr>
        <w:t>Therefore, attrition is not likely to occur in 2015</w:t>
      </w:r>
      <w:r w:rsidR="00E36C10">
        <w:rPr>
          <w:rFonts w:ascii="Times New Roman" w:hAnsi="Times New Roman"/>
          <w:sz w:val="24"/>
          <w:szCs w:val="24"/>
        </w:rPr>
        <w:t xml:space="preserve"> at base rates currently in effect, </w:t>
      </w:r>
      <w:r w:rsidR="00EC0A68">
        <w:rPr>
          <w:rFonts w:ascii="Times New Roman" w:hAnsi="Times New Roman"/>
          <w:sz w:val="24"/>
          <w:szCs w:val="24"/>
        </w:rPr>
        <w:t xml:space="preserve">and </w:t>
      </w:r>
      <w:r w:rsidR="001B5884">
        <w:rPr>
          <w:rFonts w:ascii="Times New Roman" w:hAnsi="Times New Roman"/>
          <w:sz w:val="24"/>
          <w:szCs w:val="24"/>
        </w:rPr>
        <w:t>revenues</w:t>
      </w:r>
      <w:r w:rsidR="00EC0A68">
        <w:rPr>
          <w:rFonts w:ascii="Times New Roman" w:hAnsi="Times New Roman"/>
          <w:sz w:val="24"/>
          <w:szCs w:val="24"/>
        </w:rPr>
        <w:t xml:space="preserve"> </w:t>
      </w:r>
      <w:r w:rsidR="00E36C10">
        <w:rPr>
          <w:rFonts w:ascii="Times New Roman" w:hAnsi="Times New Roman"/>
          <w:sz w:val="24"/>
          <w:szCs w:val="24"/>
        </w:rPr>
        <w:t xml:space="preserve">at current 2014 rates </w:t>
      </w:r>
      <w:r w:rsidR="00EC0A68">
        <w:rPr>
          <w:rFonts w:ascii="Times New Roman" w:hAnsi="Times New Roman"/>
          <w:sz w:val="24"/>
          <w:szCs w:val="24"/>
        </w:rPr>
        <w:t xml:space="preserve">should </w:t>
      </w:r>
      <w:r w:rsidR="00EC0A68">
        <w:rPr>
          <w:rFonts w:ascii="Times New Roman" w:hAnsi="Times New Roman"/>
          <w:sz w:val="24"/>
          <w:szCs w:val="24"/>
        </w:rPr>
        <w:lastRenderedPageBreak/>
        <w:t>be lowered by</w:t>
      </w:r>
      <w:r w:rsidR="00EC0A68" w:rsidRPr="00EC0A68">
        <w:rPr>
          <w:rFonts w:ascii="Times New Roman" w:hAnsi="Times New Roman"/>
          <w:sz w:val="24"/>
          <w:szCs w:val="24"/>
        </w:rPr>
        <w:t xml:space="preserve"> </w:t>
      </w:r>
      <w:r w:rsidR="00EC0A68">
        <w:rPr>
          <w:rFonts w:ascii="Times New Roman" w:hAnsi="Times New Roman"/>
          <w:sz w:val="24"/>
          <w:szCs w:val="24"/>
        </w:rPr>
        <w:t>$8,231,000.</w:t>
      </w:r>
      <w:r w:rsidR="001B5884">
        <w:rPr>
          <w:rFonts w:ascii="Times New Roman" w:hAnsi="Times New Roman"/>
          <w:sz w:val="24"/>
          <w:szCs w:val="24"/>
        </w:rPr>
        <w:t xml:space="preserve">  This is shown</w:t>
      </w:r>
      <w:r w:rsidR="007F2725">
        <w:rPr>
          <w:rFonts w:ascii="Times New Roman" w:hAnsi="Times New Roman"/>
          <w:sz w:val="24"/>
          <w:szCs w:val="24"/>
        </w:rPr>
        <w:t xml:space="preserve"> in my Exhibit No.___ (CRM-2) at page 1, line 7, column (g). </w:t>
      </w:r>
      <w:r w:rsidR="001B5884">
        <w:rPr>
          <w:rFonts w:ascii="Times New Roman" w:hAnsi="Times New Roman"/>
          <w:sz w:val="24"/>
          <w:szCs w:val="24"/>
        </w:rPr>
        <w:t xml:space="preserve"> </w:t>
      </w:r>
    </w:p>
    <w:p w14:paraId="2CD1134C" w14:textId="78366E39" w:rsidR="0076493B" w:rsidRDefault="000A1016" w:rsidP="00254411">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C95CD9">
        <w:rPr>
          <w:rFonts w:ascii="Times New Roman" w:hAnsi="Times New Roman"/>
          <w:sz w:val="24"/>
          <w:szCs w:val="24"/>
        </w:rPr>
        <w:t xml:space="preserve">However, </w:t>
      </w:r>
      <w:r w:rsidR="001E6CFB">
        <w:rPr>
          <w:rFonts w:ascii="Times New Roman" w:hAnsi="Times New Roman"/>
          <w:sz w:val="24"/>
          <w:szCs w:val="24"/>
        </w:rPr>
        <w:t xml:space="preserve">assuming </w:t>
      </w:r>
      <w:r w:rsidR="00363B57">
        <w:rPr>
          <w:rFonts w:ascii="Times New Roman" w:hAnsi="Times New Roman"/>
          <w:sz w:val="24"/>
          <w:szCs w:val="24"/>
        </w:rPr>
        <w:t xml:space="preserve">the </w:t>
      </w:r>
      <w:r w:rsidR="0076493B">
        <w:rPr>
          <w:rFonts w:ascii="Times New Roman" w:hAnsi="Times New Roman"/>
          <w:sz w:val="24"/>
          <w:szCs w:val="24"/>
        </w:rPr>
        <w:t>2014 rates expire</w:t>
      </w:r>
      <w:r w:rsidR="00363B57">
        <w:rPr>
          <w:rFonts w:ascii="Times New Roman" w:hAnsi="Times New Roman"/>
          <w:sz w:val="24"/>
          <w:szCs w:val="24"/>
        </w:rPr>
        <w:t xml:space="preserve">, </w:t>
      </w:r>
      <w:r w:rsidR="0076493B">
        <w:rPr>
          <w:rFonts w:ascii="Times New Roman" w:hAnsi="Times New Roman"/>
          <w:sz w:val="24"/>
          <w:szCs w:val="24"/>
        </w:rPr>
        <w:t>and rates revert back to 2013 lev</w:t>
      </w:r>
      <w:r w:rsidR="000C6C36">
        <w:rPr>
          <w:rFonts w:ascii="Times New Roman" w:hAnsi="Times New Roman"/>
          <w:sz w:val="24"/>
          <w:szCs w:val="24"/>
        </w:rPr>
        <w:t xml:space="preserve">els, </w:t>
      </w:r>
      <w:r w:rsidR="00C95CD9">
        <w:rPr>
          <w:rFonts w:ascii="Times New Roman" w:hAnsi="Times New Roman"/>
          <w:sz w:val="24"/>
          <w:szCs w:val="24"/>
        </w:rPr>
        <w:t xml:space="preserve">I project </w:t>
      </w:r>
      <w:r w:rsidR="000C6C36">
        <w:rPr>
          <w:rFonts w:ascii="Times New Roman" w:hAnsi="Times New Roman"/>
          <w:sz w:val="24"/>
          <w:szCs w:val="24"/>
        </w:rPr>
        <w:t>Avista wo</w:t>
      </w:r>
      <w:r w:rsidR="00C215C4">
        <w:rPr>
          <w:rFonts w:ascii="Times New Roman" w:hAnsi="Times New Roman"/>
          <w:sz w:val="24"/>
          <w:szCs w:val="24"/>
        </w:rPr>
        <w:t>uld earn a rate of return of 6.50</w:t>
      </w:r>
      <w:r w:rsidR="0076493B">
        <w:rPr>
          <w:rFonts w:ascii="Times New Roman" w:hAnsi="Times New Roman"/>
          <w:sz w:val="24"/>
          <w:szCs w:val="24"/>
        </w:rPr>
        <w:t xml:space="preserve"> percent</w:t>
      </w:r>
      <w:r w:rsidR="003A0508">
        <w:rPr>
          <w:rFonts w:ascii="Times New Roman" w:hAnsi="Times New Roman"/>
          <w:sz w:val="24"/>
          <w:szCs w:val="24"/>
        </w:rPr>
        <w:t xml:space="preserve"> in 2015</w:t>
      </w:r>
      <w:r w:rsidR="00363B57">
        <w:rPr>
          <w:rFonts w:ascii="Times New Roman" w:hAnsi="Times New Roman"/>
          <w:sz w:val="24"/>
          <w:szCs w:val="24"/>
        </w:rPr>
        <w:t>,</w:t>
      </w:r>
      <w:r w:rsidR="0076493B">
        <w:rPr>
          <w:rFonts w:ascii="Times New Roman" w:hAnsi="Times New Roman"/>
          <w:sz w:val="24"/>
          <w:szCs w:val="24"/>
        </w:rPr>
        <w:t xml:space="preserve"> </w:t>
      </w:r>
      <w:r w:rsidR="000C6C36">
        <w:rPr>
          <w:rFonts w:ascii="Times New Roman" w:hAnsi="Times New Roman"/>
          <w:sz w:val="24"/>
          <w:szCs w:val="24"/>
        </w:rPr>
        <w:t xml:space="preserve">which is below the rate of return of 6.77 percent </w:t>
      </w:r>
      <w:r w:rsidR="0076493B">
        <w:rPr>
          <w:rFonts w:ascii="Times New Roman" w:hAnsi="Times New Roman"/>
          <w:sz w:val="24"/>
          <w:szCs w:val="24"/>
        </w:rPr>
        <w:t>being recommended by Staff in this</w:t>
      </w:r>
      <w:r w:rsidR="000B7352">
        <w:rPr>
          <w:rFonts w:ascii="Times New Roman" w:hAnsi="Times New Roman"/>
          <w:sz w:val="24"/>
          <w:szCs w:val="24"/>
        </w:rPr>
        <w:t xml:space="preserve"> case. </w:t>
      </w:r>
      <w:r w:rsidR="00CD243A">
        <w:rPr>
          <w:rFonts w:ascii="Times New Roman" w:hAnsi="Times New Roman"/>
          <w:sz w:val="24"/>
          <w:szCs w:val="24"/>
        </w:rPr>
        <w:t xml:space="preserve"> Therefore, attrition is likely to occur in 2015 </w:t>
      </w:r>
      <w:r w:rsidR="001E6CFB">
        <w:rPr>
          <w:rFonts w:ascii="Times New Roman" w:hAnsi="Times New Roman"/>
          <w:sz w:val="24"/>
          <w:szCs w:val="24"/>
        </w:rPr>
        <w:t xml:space="preserve">compared to </w:t>
      </w:r>
      <w:r w:rsidR="003E0C8C">
        <w:rPr>
          <w:rFonts w:ascii="Times New Roman" w:hAnsi="Times New Roman"/>
          <w:sz w:val="24"/>
          <w:szCs w:val="24"/>
        </w:rPr>
        <w:t>2013 base rate revenues</w:t>
      </w:r>
      <w:r w:rsidR="00CD243A">
        <w:rPr>
          <w:rFonts w:ascii="Times New Roman" w:hAnsi="Times New Roman"/>
          <w:sz w:val="24"/>
          <w:szCs w:val="24"/>
        </w:rPr>
        <w:t xml:space="preserve"> and </w:t>
      </w:r>
      <w:r w:rsidR="00610650">
        <w:rPr>
          <w:rFonts w:ascii="Times New Roman" w:hAnsi="Times New Roman"/>
          <w:sz w:val="24"/>
          <w:szCs w:val="24"/>
        </w:rPr>
        <w:t>so</w:t>
      </w:r>
      <w:r w:rsidR="003A6A19">
        <w:rPr>
          <w:rFonts w:ascii="Times New Roman" w:hAnsi="Times New Roman"/>
          <w:sz w:val="24"/>
          <w:szCs w:val="24"/>
        </w:rPr>
        <w:t>,</w:t>
      </w:r>
      <w:r w:rsidR="00610650">
        <w:rPr>
          <w:rFonts w:ascii="Times New Roman" w:hAnsi="Times New Roman"/>
          <w:sz w:val="24"/>
          <w:szCs w:val="24"/>
        </w:rPr>
        <w:t xml:space="preserve"> should the rates revert back to 201</w:t>
      </w:r>
      <w:r w:rsidR="001E6CFB">
        <w:rPr>
          <w:rFonts w:ascii="Times New Roman" w:hAnsi="Times New Roman"/>
          <w:sz w:val="24"/>
          <w:szCs w:val="24"/>
        </w:rPr>
        <w:t>3</w:t>
      </w:r>
      <w:r w:rsidR="00610650">
        <w:rPr>
          <w:rFonts w:ascii="Times New Roman" w:hAnsi="Times New Roman"/>
          <w:sz w:val="24"/>
          <w:szCs w:val="24"/>
        </w:rPr>
        <w:t xml:space="preserve"> levels, </w:t>
      </w:r>
      <w:r w:rsidR="001E6CFB">
        <w:rPr>
          <w:rFonts w:ascii="Times New Roman" w:hAnsi="Times New Roman"/>
          <w:sz w:val="24"/>
          <w:szCs w:val="24"/>
        </w:rPr>
        <w:t xml:space="preserve">the Commission </w:t>
      </w:r>
      <w:r w:rsidR="00610650">
        <w:rPr>
          <w:rFonts w:ascii="Times New Roman" w:hAnsi="Times New Roman"/>
          <w:sz w:val="24"/>
          <w:szCs w:val="24"/>
        </w:rPr>
        <w:t>should provide Avista with</w:t>
      </w:r>
      <w:r w:rsidR="00554F79">
        <w:rPr>
          <w:rFonts w:ascii="Times New Roman" w:hAnsi="Times New Roman"/>
          <w:sz w:val="24"/>
          <w:szCs w:val="24"/>
        </w:rPr>
        <w:t xml:space="preserve"> </w:t>
      </w:r>
      <w:r w:rsidR="003A6A19">
        <w:rPr>
          <w:rFonts w:ascii="Times New Roman" w:hAnsi="Times New Roman"/>
          <w:sz w:val="24"/>
          <w:szCs w:val="24"/>
        </w:rPr>
        <w:t>an attrition allowance of $5,823,000</w:t>
      </w:r>
      <w:r w:rsidR="003A0508">
        <w:rPr>
          <w:rFonts w:ascii="Times New Roman" w:hAnsi="Times New Roman"/>
          <w:sz w:val="24"/>
          <w:szCs w:val="24"/>
        </w:rPr>
        <w:t xml:space="preserve">. </w:t>
      </w:r>
      <w:r w:rsidR="001E6CFB">
        <w:rPr>
          <w:rFonts w:ascii="Times New Roman" w:hAnsi="Times New Roman"/>
          <w:sz w:val="24"/>
          <w:szCs w:val="24"/>
        </w:rPr>
        <w:t xml:space="preserve"> </w:t>
      </w:r>
      <w:r w:rsidR="003A0508">
        <w:rPr>
          <w:rFonts w:ascii="Times New Roman" w:hAnsi="Times New Roman"/>
          <w:sz w:val="24"/>
          <w:szCs w:val="24"/>
        </w:rPr>
        <w:t xml:space="preserve">This is shown in my Exhibit No.___ (CRM-2) at page 1, line 7, column (e).  </w:t>
      </w:r>
    </w:p>
    <w:p w14:paraId="048F2162" w14:textId="77777777" w:rsidR="007970DF" w:rsidRDefault="007970DF" w:rsidP="007970DF">
      <w:pPr>
        <w:spacing w:line="480" w:lineRule="auto"/>
        <w:ind w:left="720" w:hanging="720"/>
        <w:rPr>
          <w:rFonts w:ascii="Times New Roman" w:hAnsi="Times New Roman"/>
          <w:sz w:val="24"/>
          <w:szCs w:val="24"/>
        </w:rPr>
      </w:pPr>
    </w:p>
    <w:p w14:paraId="711E644A" w14:textId="77777777" w:rsidR="001B5884" w:rsidRDefault="007970DF" w:rsidP="00254411">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What factors are contributing to the revenue surplus in this case</w:t>
      </w:r>
      <w:r w:rsidR="001B5884">
        <w:rPr>
          <w:rFonts w:ascii="Times New Roman" w:hAnsi="Times New Roman"/>
          <w:b/>
          <w:sz w:val="24"/>
          <w:szCs w:val="24"/>
        </w:rPr>
        <w:t>?</w:t>
      </w:r>
    </w:p>
    <w:p w14:paraId="602FE428" w14:textId="71A1A0E0" w:rsidR="00090018" w:rsidRDefault="001B5884" w:rsidP="00254411">
      <w:pPr>
        <w:spacing w:after="0" w:line="480" w:lineRule="auto"/>
        <w:ind w:left="720" w:hanging="720"/>
        <w:rPr>
          <w:rFonts w:ascii="Times New Roman" w:hAnsi="Times New Roman"/>
          <w:sz w:val="24"/>
          <w:szCs w:val="24"/>
        </w:rPr>
      </w:pPr>
      <w:r w:rsidRPr="000A4661">
        <w:rPr>
          <w:rFonts w:ascii="Times New Roman" w:hAnsi="Times New Roman"/>
          <w:sz w:val="24"/>
          <w:szCs w:val="24"/>
        </w:rPr>
        <w:t>A.</w:t>
      </w:r>
      <w:r w:rsidR="00E7740E">
        <w:rPr>
          <w:rFonts w:ascii="Times New Roman" w:hAnsi="Times New Roman"/>
          <w:sz w:val="24"/>
          <w:szCs w:val="24"/>
        </w:rPr>
        <w:tab/>
      </w:r>
      <w:r w:rsidRPr="000A4661">
        <w:rPr>
          <w:rFonts w:ascii="Times New Roman" w:hAnsi="Times New Roman"/>
          <w:sz w:val="24"/>
          <w:szCs w:val="24"/>
        </w:rPr>
        <w:t xml:space="preserve">There are several factors contributing to the reduction in overall revenue requirement for Avista’s electric operations in this case.  First, pro forma 2015 net energy costs are roughly $2.1 million lower than those in the 2013 test period.  Although net energy costs are not trended within the attrition analysis, pro forma energy costs are included in the overall revenue requirement.  A decrease in net power supply costs between 2013 and 2015 will help mitigate attrition over that time period.  Second is </w:t>
      </w:r>
      <w:r w:rsidR="000A4661">
        <w:rPr>
          <w:rFonts w:ascii="Times New Roman" w:hAnsi="Times New Roman"/>
          <w:sz w:val="24"/>
          <w:szCs w:val="24"/>
        </w:rPr>
        <w:t xml:space="preserve">Staff’s recommendation for a fair </w:t>
      </w:r>
      <w:r w:rsidRPr="000A4661">
        <w:rPr>
          <w:rFonts w:ascii="Times New Roman" w:hAnsi="Times New Roman"/>
          <w:sz w:val="24"/>
          <w:szCs w:val="24"/>
        </w:rPr>
        <w:t>rate of return.  Mr. Elgin discusses the impact of this element of Avista’s revenue req</w:t>
      </w:r>
      <w:r w:rsidR="00E7740E">
        <w:rPr>
          <w:rFonts w:ascii="Times New Roman" w:hAnsi="Times New Roman"/>
          <w:sz w:val="24"/>
          <w:szCs w:val="24"/>
        </w:rPr>
        <w:t>u</w:t>
      </w:r>
      <w:r w:rsidRPr="000A4661">
        <w:rPr>
          <w:rFonts w:ascii="Times New Roman" w:hAnsi="Times New Roman"/>
          <w:sz w:val="24"/>
          <w:szCs w:val="24"/>
        </w:rPr>
        <w:t>irement on attrition.</w:t>
      </w:r>
    </w:p>
    <w:p w14:paraId="60A5A044" w14:textId="77777777" w:rsidR="000A1016" w:rsidRDefault="000A1016" w:rsidP="00254411">
      <w:pPr>
        <w:spacing w:after="0" w:line="480" w:lineRule="auto"/>
        <w:ind w:left="720" w:hanging="720"/>
        <w:rPr>
          <w:rFonts w:ascii="Times New Roman" w:hAnsi="Times New Roman"/>
          <w:b/>
          <w:sz w:val="24"/>
          <w:szCs w:val="24"/>
        </w:rPr>
      </w:pPr>
    </w:p>
    <w:p w14:paraId="2850C4A6" w14:textId="68B1FE10" w:rsidR="00090018" w:rsidRDefault="003351F8" w:rsidP="00254411">
      <w:pPr>
        <w:spacing w:after="0" w:line="480" w:lineRule="auto"/>
        <w:ind w:left="720" w:firstLine="720"/>
        <w:rPr>
          <w:rFonts w:ascii="Times New Roman" w:hAnsi="Times New Roman"/>
          <w:b/>
          <w:sz w:val="24"/>
          <w:szCs w:val="24"/>
        </w:rPr>
      </w:pPr>
      <w:r>
        <w:rPr>
          <w:rFonts w:ascii="Times New Roman" w:hAnsi="Times New Roman"/>
          <w:b/>
          <w:sz w:val="24"/>
          <w:szCs w:val="24"/>
        </w:rPr>
        <w:t>5</w:t>
      </w:r>
      <w:r w:rsidR="000F3048">
        <w:rPr>
          <w:rFonts w:ascii="Times New Roman" w:hAnsi="Times New Roman"/>
          <w:b/>
          <w:sz w:val="24"/>
          <w:szCs w:val="24"/>
        </w:rPr>
        <w:t>.</w:t>
      </w:r>
      <w:r w:rsidR="000F3048">
        <w:rPr>
          <w:rFonts w:ascii="Times New Roman" w:hAnsi="Times New Roman"/>
          <w:b/>
          <w:sz w:val="24"/>
          <w:szCs w:val="24"/>
        </w:rPr>
        <w:tab/>
      </w:r>
      <w:r w:rsidR="00090018">
        <w:rPr>
          <w:rFonts w:ascii="Times New Roman" w:hAnsi="Times New Roman"/>
          <w:b/>
          <w:sz w:val="24"/>
          <w:szCs w:val="24"/>
        </w:rPr>
        <w:t>Results – Natural Gas Attrition Study</w:t>
      </w:r>
    </w:p>
    <w:p w14:paraId="3D94E048" w14:textId="77777777" w:rsidR="00090018" w:rsidRDefault="00090018" w:rsidP="00254411">
      <w:pPr>
        <w:spacing w:after="0" w:line="480" w:lineRule="auto"/>
        <w:ind w:left="720" w:hanging="720"/>
        <w:rPr>
          <w:rFonts w:ascii="Times New Roman" w:hAnsi="Times New Roman"/>
          <w:sz w:val="24"/>
          <w:szCs w:val="24"/>
        </w:rPr>
      </w:pPr>
    </w:p>
    <w:p w14:paraId="136D0B0B" w14:textId="265C5A24" w:rsidR="000927A8" w:rsidRDefault="000927A8" w:rsidP="00254411">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 xml:space="preserve">What are the results of your attrition study for Avista’s </w:t>
      </w:r>
      <w:r w:rsidR="00B717E8">
        <w:rPr>
          <w:rFonts w:ascii="Times New Roman" w:hAnsi="Times New Roman"/>
          <w:b/>
          <w:sz w:val="24"/>
          <w:szCs w:val="24"/>
        </w:rPr>
        <w:t xml:space="preserve">natural </w:t>
      </w:r>
      <w:r>
        <w:rPr>
          <w:rFonts w:ascii="Times New Roman" w:hAnsi="Times New Roman"/>
          <w:b/>
          <w:sz w:val="24"/>
          <w:szCs w:val="24"/>
        </w:rPr>
        <w:t>gas operations?</w:t>
      </w:r>
    </w:p>
    <w:p w14:paraId="6684F554" w14:textId="7A58A735" w:rsidR="004C7742" w:rsidRDefault="00B717E8" w:rsidP="00254411">
      <w:pPr>
        <w:spacing w:after="0" w:line="480" w:lineRule="auto"/>
        <w:ind w:left="720" w:hanging="720"/>
        <w:rPr>
          <w:rFonts w:ascii="Times New Roman" w:hAnsi="Times New Roman"/>
          <w:sz w:val="24"/>
          <w:szCs w:val="24"/>
        </w:rPr>
      </w:pPr>
      <w:r>
        <w:rPr>
          <w:rFonts w:ascii="Times New Roman" w:hAnsi="Times New Roman"/>
          <w:sz w:val="24"/>
          <w:szCs w:val="24"/>
        </w:rPr>
        <w:lastRenderedPageBreak/>
        <w:t>A.</w:t>
      </w:r>
      <w:r>
        <w:rPr>
          <w:rFonts w:ascii="Times New Roman" w:hAnsi="Times New Roman"/>
          <w:sz w:val="24"/>
          <w:szCs w:val="24"/>
        </w:rPr>
        <w:tab/>
        <w:t xml:space="preserve">As shown in </w:t>
      </w:r>
      <w:r w:rsidRPr="008B71D4">
        <w:rPr>
          <w:rFonts w:ascii="Times New Roman" w:hAnsi="Times New Roman"/>
          <w:sz w:val="24"/>
          <w:szCs w:val="24"/>
        </w:rPr>
        <w:t>my Exhibit No</w:t>
      </w:r>
      <w:r w:rsidR="00234E22">
        <w:rPr>
          <w:rFonts w:ascii="Times New Roman" w:hAnsi="Times New Roman"/>
          <w:sz w:val="24"/>
          <w:szCs w:val="24"/>
        </w:rPr>
        <w:t>. ___ (CRM-3</w:t>
      </w:r>
      <w:r w:rsidRPr="008B71D4">
        <w:rPr>
          <w:rFonts w:ascii="Times New Roman" w:hAnsi="Times New Roman"/>
          <w:sz w:val="24"/>
          <w:szCs w:val="24"/>
        </w:rPr>
        <w:t>), page 1</w:t>
      </w:r>
      <w:r>
        <w:rPr>
          <w:rFonts w:ascii="Times New Roman" w:hAnsi="Times New Roman"/>
          <w:sz w:val="24"/>
          <w:szCs w:val="24"/>
        </w:rPr>
        <w:t>, I estimate Avista</w:t>
      </w:r>
      <w:r w:rsidR="001B5884">
        <w:rPr>
          <w:rFonts w:ascii="Times New Roman" w:hAnsi="Times New Roman"/>
          <w:sz w:val="24"/>
          <w:szCs w:val="24"/>
        </w:rPr>
        <w:t>’s</w:t>
      </w:r>
      <w:r>
        <w:rPr>
          <w:rFonts w:ascii="Times New Roman" w:hAnsi="Times New Roman"/>
          <w:sz w:val="24"/>
          <w:szCs w:val="24"/>
        </w:rPr>
        <w:t xml:space="preserve"> overall rate of return </w:t>
      </w:r>
      <w:r w:rsidR="001B5884">
        <w:rPr>
          <w:rFonts w:ascii="Times New Roman" w:hAnsi="Times New Roman"/>
          <w:sz w:val="24"/>
          <w:szCs w:val="24"/>
        </w:rPr>
        <w:t xml:space="preserve">in 2015 </w:t>
      </w:r>
      <w:r>
        <w:rPr>
          <w:rFonts w:ascii="Times New Roman" w:hAnsi="Times New Roman"/>
          <w:sz w:val="24"/>
          <w:szCs w:val="24"/>
        </w:rPr>
        <w:t xml:space="preserve">for </w:t>
      </w:r>
      <w:r w:rsidR="00234E22">
        <w:rPr>
          <w:rFonts w:ascii="Times New Roman" w:hAnsi="Times New Roman"/>
          <w:sz w:val="24"/>
          <w:szCs w:val="24"/>
        </w:rPr>
        <w:t xml:space="preserve">natural gas operations </w:t>
      </w:r>
      <w:r w:rsidR="001B5884">
        <w:rPr>
          <w:rFonts w:ascii="Times New Roman" w:hAnsi="Times New Roman"/>
          <w:sz w:val="24"/>
          <w:szCs w:val="24"/>
        </w:rPr>
        <w:t xml:space="preserve">is </w:t>
      </w:r>
      <w:r w:rsidR="00234E22">
        <w:rPr>
          <w:rFonts w:ascii="Times New Roman" w:hAnsi="Times New Roman"/>
          <w:sz w:val="24"/>
          <w:szCs w:val="24"/>
        </w:rPr>
        <w:t>5.00</w:t>
      </w:r>
      <w:r>
        <w:rPr>
          <w:rFonts w:ascii="Times New Roman" w:hAnsi="Times New Roman"/>
          <w:sz w:val="24"/>
          <w:szCs w:val="24"/>
        </w:rPr>
        <w:t xml:space="preserve"> percent</w:t>
      </w:r>
      <w:r w:rsidR="004C7742">
        <w:rPr>
          <w:rFonts w:ascii="Times New Roman" w:hAnsi="Times New Roman"/>
          <w:sz w:val="24"/>
          <w:szCs w:val="24"/>
        </w:rPr>
        <w:t xml:space="preserve"> with a continuation of the temporary 2014 rates, or 4.66 percent at the permanent 2013 rates. </w:t>
      </w:r>
      <w:r w:rsidR="00E07ABF">
        <w:rPr>
          <w:rFonts w:ascii="Times New Roman" w:hAnsi="Times New Roman"/>
          <w:sz w:val="24"/>
          <w:szCs w:val="24"/>
        </w:rPr>
        <w:t xml:space="preserve"> </w:t>
      </w:r>
    </w:p>
    <w:p w14:paraId="3FFAEF58" w14:textId="6676BB8D" w:rsidR="00B717E8" w:rsidRDefault="00B717E8" w:rsidP="00254411">
      <w:pPr>
        <w:spacing w:after="0" w:line="480" w:lineRule="auto"/>
        <w:ind w:left="1440" w:hanging="720"/>
        <w:rPr>
          <w:rFonts w:ascii="Times New Roman" w:hAnsi="Times New Roman"/>
          <w:sz w:val="24"/>
          <w:szCs w:val="24"/>
        </w:rPr>
      </w:pPr>
    </w:p>
    <w:tbl>
      <w:tblPr>
        <w:tblStyle w:val="PlainTable21"/>
        <w:tblW w:w="0" w:type="auto"/>
        <w:tblInd w:w="720" w:type="dxa"/>
        <w:tblLook w:val="04A0" w:firstRow="1" w:lastRow="0" w:firstColumn="1" w:lastColumn="0" w:noHBand="0" w:noVBand="1"/>
      </w:tblPr>
      <w:tblGrid>
        <w:gridCol w:w="2802"/>
        <w:gridCol w:w="2037"/>
        <w:gridCol w:w="2086"/>
      </w:tblGrid>
      <w:tr w:rsidR="00090018" w14:paraId="1DD12AAB" w14:textId="62E3CA88" w:rsidTr="00B717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579FFAA4" w14:textId="7405FC7E" w:rsidR="00090018" w:rsidRDefault="00090018" w:rsidP="00AE559F">
            <w:pPr>
              <w:spacing w:line="240" w:lineRule="auto"/>
              <w:rPr>
                <w:rFonts w:ascii="Times New Roman" w:hAnsi="Times New Roman"/>
                <w:sz w:val="24"/>
                <w:szCs w:val="24"/>
              </w:rPr>
            </w:pPr>
          </w:p>
        </w:tc>
        <w:tc>
          <w:tcPr>
            <w:tcW w:w="2037" w:type="dxa"/>
          </w:tcPr>
          <w:p w14:paraId="2F5F3F91" w14:textId="63D7AE78" w:rsidR="00090018" w:rsidRDefault="000A0C55" w:rsidP="00AE559F">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2015 (at 2013 rates)</w:t>
            </w:r>
          </w:p>
        </w:tc>
        <w:tc>
          <w:tcPr>
            <w:tcW w:w="2086" w:type="dxa"/>
          </w:tcPr>
          <w:p w14:paraId="74167D48" w14:textId="0FAC5FCC" w:rsidR="00090018" w:rsidRDefault="000A0C55" w:rsidP="00AE559F">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2015 (at 2014 rates)</w:t>
            </w:r>
          </w:p>
        </w:tc>
      </w:tr>
      <w:tr w:rsidR="00090018" w14:paraId="5FB9B9F2" w14:textId="321D7BCA" w:rsidTr="00B71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7C5EB12B" w14:textId="6ED489CD" w:rsidR="00090018" w:rsidRDefault="00090018" w:rsidP="00AE559F">
            <w:pPr>
              <w:spacing w:line="240" w:lineRule="auto"/>
              <w:rPr>
                <w:rFonts w:ascii="Times New Roman" w:hAnsi="Times New Roman"/>
                <w:sz w:val="24"/>
                <w:szCs w:val="24"/>
              </w:rPr>
            </w:pPr>
            <w:r>
              <w:rPr>
                <w:rFonts w:ascii="Times New Roman" w:hAnsi="Times New Roman"/>
                <w:sz w:val="24"/>
                <w:szCs w:val="24"/>
              </w:rPr>
              <w:t>NOI (in thousands)</w:t>
            </w:r>
          </w:p>
        </w:tc>
        <w:tc>
          <w:tcPr>
            <w:tcW w:w="2037" w:type="dxa"/>
          </w:tcPr>
          <w:p w14:paraId="57BFB0A9" w14:textId="7DD8AF2B" w:rsidR="00090018" w:rsidRDefault="000A0C55" w:rsidP="00AE559F">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w:t>
            </w:r>
            <w:r w:rsidR="00234E22">
              <w:rPr>
                <w:rFonts w:ascii="Times New Roman" w:hAnsi="Times New Roman"/>
                <w:sz w:val="24"/>
                <w:szCs w:val="24"/>
              </w:rPr>
              <w:t>11,536</w:t>
            </w:r>
          </w:p>
        </w:tc>
        <w:tc>
          <w:tcPr>
            <w:tcW w:w="2086" w:type="dxa"/>
          </w:tcPr>
          <w:p w14:paraId="6FE92EEA" w14:textId="251502E9" w:rsidR="00090018" w:rsidRDefault="000A0C55" w:rsidP="00AE559F">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w:t>
            </w:r>
            <w:r w:rsidR="00234E22">
              <w:rPr>
                <w:rFonts w:ascii="Times New Roman" w:hAnsi="Times New Roman"/>
                <w:sz w:val="24"/>
                <w:szCs w:val="24"/>
              </w:rPr>
              <w:t>12,379</w:t>
            </w:r>
          </w:p>
        </w:tc>
      </w:tr>
      <w:tr w:rsidR="00090018" w14:paraId="0950239F" w14:textId="0A75EA3E" w:rsidTr="00B717E8">
        <w:tc>
          <w:tcPr>
            <w:cnfStyle w:val="001000000000" w:firstRow="0" w:lastRow="0" w:firstColumn="1" w:lastColumn="0" w:oddVBand="0" w:evenVBand="0" w:oddHBand="0" w:evenHBand="0" w:firstRowFirstColumn="0" w:firstRowLastColumn="0" w:lastRowFirstColumn="0" w:lastRowLastColumn="0"/>
            <w:tcW w:w="2802" w:type="dxa"/>
          </w:tcPr>
          <w:p w14:paraId="731F6B54" w14:textId="3DFB842B" w:rsidR="00090018" w:rsidRDefault="00090018" w:rsidP="00AE559F">
            <w:pPr>
              <w:spacing w:line="240" w:lineRule="auto"/>
              <w:rPr>
                <w:rFonts w:ascii="Times New Roman" w:hAnsi="Times New Roman"/>
                <w:sz w:val="24"/>
                <w:szCs w:val="24"/>
              </w:rPr>
            </w:pPr>
            <w:r>
              <w:rPr>
                <w:rFonts w:ascii="Times New Roman" w:hAnsi="Times New Roman"/>
                <w:sz w:val="24"/>
                <w:szCs w:val="24"/>
              </w:rPr>
              <w:t>Rate Base (in thousands)</w:t>
            </w:r>
          </w:p>
        </w:tc>
        <w:tc>
          <w:tcPr>
            <w:tcW w:w="2037" w:type="dxa"/>
          </w:tcPr>
          <w:p w14:paraId="17655D5E" w14:textId="2EACF4F0" w:rsidR="00090018" w:rsidRDefault="000A0C55" w:rsidP="00AE559F">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w:t>
            </w:r>
            <w:r w:rsidR="00234E22">
              <w:rPr>
                <w:rFonts w:ascii="Times New Roman" w:hAnsi="Times New Roman"/>
                <w:sz w:val="24"/>
                <w:szCs w:val="24"/>
              </w:rPr>
              <w:t>247,796</w:t>
            </w:r>
          </w:p>
        </w:tc>
        <w:tc>
          <w:tcPr>
            <w:tcW w:w="2086" w:type="dxa"/>
          </w:tcPr>
          <w:p w14:paraId="26BBAFB3" w14:textId="3EFCFCAA" w:rsidR="00090018" w:rsidRDefault="000A0C55" w:rsidP="00AE559F">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w:t>
            </w:r>
            <w:r w:rsidR="00234E22">
              <w:rPr>
                <w:rFonts w:ascii="Times New Roman" w:hAnsi="Times New Roman"/>
                <w:sz w:val="24"/>
                <w:szCs w:val="24"/>
              </w:rPr>
              <w:t>247,796</w:t>
            </w:r>
          </w:p>
        </w:tc>
      </w:tr>
      <w:tr w:rsidR="00090018" w14:paraId="7C6D9AE6" w14:textId="741410ED" w:rsidTr="00B71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62734A13" w14:textId="0DAACD7B" w:rsidR="00090018" w:rsidRDefault="00090018" w:rsidP="00AE559F">
            <w:pPr>
              <w:spacing w:line="240" w:lineRule="auto"/>
              <w:rPr>
                <w:rFonts w:ascii="Times New Roman" w:hAnsi="Times New Roman"/>
                <w:sz w:val="24"/>
                <w:szCs w:val="24"/>
              </w:rPr>
            </w:pPr>
            <w:r>
              <w:rPr>
                <w:rFonts w:ascii="Times New Roman" w:hAnsi="Times New Roman"/>
                <w:sz w:val="24"/>
                <w:szCs w:val="24"/>
              </w:rPr>
              <w:t>Rate of Return</w:t>
            </w:r>
          </w:p>
        </w:tc>
        <w:tc>
          <w:tcPr>
            <w:tcW w:w="2037" w:type="dxa"/>
          </w:tcPr>
          <w:p w14:paraId="7BEDA765" w14:textId="183053B9" w:rsidR="00090018" w:rsidRDefault="004214CB" w:rsidP="00AE559F">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4.66</w:t>
            </w:r>
            <w:r w:rsidR="00234E22">
              <w:rPr>
                <w:rFonts w:ascii="Times New Roman" w:hAnsi="Times New Roman"/>
                <w:sz w:val="24"/>
                <w:szCs w:val="24"/>
              </w:rPr>
              <w:t>%</w:t>
            </w:r>
          </w:p>
        </w:tc>
        <w:tc>
          <w:tcPr>
            <w:tcW w:w="2086" w:type="dxa"/>
          </w:tcPr>
          <w:p w14:paraId="673BCE7E" w14:textId="5304A3FD" w:rsidR="00090018" w:rsidRDefault="00234E22" w:rsidP="00AE559F">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5.00</w:t>
            </w:r>
            <w:r w:rsidR="00090018">
              <w:rPr>
                <w:rFonts w:ascii="Times New Roman" w:hAnsi="Times New Roman"/>
                <w:sz w:val="24"/>
                <w:szCs w:val="24"/>
              </w:rPr>
              <w:t>%</w:t>
            </w:r>
          </w:p>
        </w:tc>
      </w:tr>
    </w:tbl>
    <w:p w14:paraId="13DC75AC" w14:textId="40DA4324" w:rsidR="00090018" w:rsidRDefault="00090018" w:rsidP="00254411">
      <w:pPr>
        <w:spacing w:after="0" w:line="480" w:lineRule="auto"/>
        <w:ind w:left="1440" w:hanging="720"/>
        <w:rPr>
          <w:rFonts w:ascii="Times New Roman" w:hAnsi="Times New Roman"/>
          <w:sz w:val="24"/>
          <w:szCs w:val="24"/>
        </w:rPr>
      </w:pPr>
    </w:p>
    <w:p w14:paraId="0B9B14BD" w14:textId="104E9D43" w:rsidR="00090018" w:rsidRDefault="00090018" w:rsidP="00254411">
      <w:pPr>
        <w:spacing w:after="0" w:line="480" w:lineRule="auto"/>
        <w:ind w:left="720" w:hanging="720"/>
        <w:rPr>
          <w:rFonts w:ascii="Times New Roman" w:hAnsi="Times New Roman"/>
          <w:sz w:val="24"/>
          <w:szCs w:val="24"/>
        </w:rPr>
      </w:pPr>
    </w:p>
    <w:p w14:paraId="5777548D" w14:textId="096A7265" w:rsidR="00090018" w:rsidRDefault="00090018" w:rsidP="00254411">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Does your projected rate of return suggest</w:t>
      </w:r>
      <w:r w:rsidR="002E01EC">
        <w:rPr>
          <w:rFonts w:ascii="Times New Roman" w:hAnsi="Times New Roman"/>
          <w:b/>
          <w:sz w:val="24"/>
          <w:szCs w:val="24"/>
        </w:rPr>
        <w:t xml:space="preserve"> Avista will experience</w:t>
      </w:r>
      <w:r>
        <w:rPr>
          <w:rFonts w:ascii="Times New Roman" w:hAnsi="Times New Roman"/>
          <w:b/>
          <w:sz w:val="24"/>
          <w:szCs w:val="24"/>
        </w:rPr>
        <w:t xml:space="preserve"> attrition for its natural gas service in 2015 at </w:t>
      </w:r>
      <w:r w:rsidR="005975DA">
        <w:rPr>
          <w:rFonts w:ascii="Times New Roman" w:hAnsi="Times New Roman"/>
          <w:b/>
          <w:sz w:val="24"/>
          <w:szCs w:val="24"/>
        </w:rPr>
        <w:t>2014</w:t>
      </w:r>
      <w:r w:rsidRPr="005975DA">
        <w:rPr>
          <w:rFonts w:ascii="Times New Roman" w:hAnsi="Times New Roman"/>
          <w:b/>
          <w:sz w:val="24"/>
          <w:szCs w:val="24"/>
        </w:rPr>
        <w:t xml:space="preserve"> rates?</w:t>
      </w:r>
    </w:p>
    <w:p w14:paraId="6E781A6D" w14:textId="45FD7477" w:rsidR="007877E2" w:rsidRDefault="00090018" w:rsidP="00254411">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Yes. </w:t>
      </w:r>
      <w:r w:rsidR="000927A8">
        <w:rPr>
          <w:rFonts w:ascii="Times New Roman" w:hAnsi="Times New Roman"/>
          <w:sz w:val="24"/>
          <w:szCs w:val="24"/>
        </w:rPr>
        <w:t xml:space="preserve"> </w:t>
      </w:r>
      <w:r w:rsidR="002E01EC">
        <w:rPr>
          <w:rFonts w:ascii="Times New Roman" w:hAnsi="Times New Roman"/>
          <w:sz w:val="24"/>
          <w:szCs w:val="24"/>
        </w:rPr>
        <w:t>The 5.00 percent rate of return I project for 2015 is lower than the 6.77 percent rate of return being recommended by Staff in this case. Therefore, attrition is likely to occur in 2015 at</w:t>
      </w:r>
      <w:r w:rsidR="007877E2">
        <w:rPr>
          <w:rFonts w:ascii="Times New Roman" w:hAnsi="Times New Roman"/>
          <w:sz w:val="24"/>
          <w:szCs w:val="24"/>
        </w:rPr>
        <w:t xml:space="preserve"> 2014 base rates</w:t>
      </w:r>
      <w:r w:rsidR="002E01EC">
        <w:rPr>
          <w:rFonts w:ascii="Times New Roman" w:hAnsi="Times New Roman"/>
          <w:sz w:val="24"/>
          <w:szCs w:val="24"/>
        </w:rPr>
        <w:t xml:space="preserve">, </w:t>
      </w:r>
      <w:r w:rsidR="007877E2">
        <w:rPr>
          <w:rFonts w:ascii="Times New Roman" w:hAnsi="Times New Roman"/>
          <w:sz w:val="24"/>
          <w:szCs w:val="24"/>
        </w:rPr>
        <w:t xml:space="preserve">and the Commission should provide Avista with an attrition allowance of </w:t>
      </w:r>
      <w:r w:rsidR="00C114BC">
        <w:rPr>
          <w:rFonts w:ascii="Times New Roman" w:hAnsi="Times New Roman"/>
          <w:sz w:val="24"/>
          <w:szCs w:val="24"/>
        </w:rPr>
        <w:t xml:space="preserve">$7,085,000. This is shown in my Exhibit No.___ (CRM-3_ at page 1, line 7, column (g). </w:t>
      </w:r>
    </w:p>
    <w:p w14:paraId="3E46ECDA" w14:textId="23824B70" w:rsidR="002E01EC" w:rsidRDefault="00C114BC" w:rsidP="00254411">
      <w:pPr>
        <w:spacing w:after="0" w:line="480" w:lineRule="auto"/>
        <w:ind w:left="720" w:hanging="720"/>
        <w:rPr>
          <w:rFonts w:ascii="Times New Roman" w:hAnsi="Times New Roman"/>
          <w:sz w:val="24"/>
          <w:szCs w:val="24"/>
        </w:rPr>
      </w:pPr>
      <w:r>
        <w:rPr>
          <w:rFonts w:ascii="Times New Roman" w:hAnsi="Times New Roman"/>
          <w:sz w:val="24"/>
          <w:szCs w:val="24"/>
        </w:rPr>
        <w:tab/>
      </w:r>
      <w:r w:rsidR="0036229D">
        <w:rPr>
          <w:rFonts w:ascii="Times New Roman" w:hAnsi="Times New Roman"/>
          <w:sz w:val="24"/>
          <w:szCs w:val="24"/>
        </w:rPr>
        <w:tab/>
      </w:r>
      <w:r>
        <w:rPr>
          <w:rFonts w:ascii="Times New Roman" w:hAnsi="Times New Roman"/>
          <w:sz w:val="24"/>
          <w:szCs w:val="24"/>
        </w:rPr>
        <w:t>I</w:t>
      </w:r>
      <w:r w:rsidR="002E01EC">
        <w:rPr>
          <w:rFonts w:ascii="Times New Roman" w:hAnsi="Times New Roman"/>
          <w:sz w:val="24"/>
          <w:szCs w:val="24"/>
        </w:rPr>
        <w:t>f the 2014 rates expire, and rates revert back to 2013 levels, I project Avista wou</w:t>
      </w:r>
      <w:r w:rsidR="00E01EC4">
        <w:rPr>
          <w:rFonts w:ascii="Times New Roman" w:hAnsi="Times New Roman"/>
          <w:sz w:val="24"/>
          <w:szCs w:val="24"/>
        </w:rPr>
        <w:t>ld earn a rate of return of 4.66</w:t>
      </w:r>
      <w:r w:rsidR="002E01EC">
        <w:rPr>
          <w:rFonts w:ascii="Times New Roman" w:hAnsi="Times New Roman"/>
          <w:sz w:val="24"/>
          <w:szCs w:val="24"/>
        </w:rPr>
        <w:t xml:space="preserve"> percent in 2015, which is </w:t>
      </w:r>
      <w:r w:rsidR="00E01EC4">
        <w:rPr>
          <w:rFonts w:ascii="Times New Roman" w:hAnsi="Times New Roman"/>
          <w:sz w:val="24"/>
          <w:szCs w:val="24"/>
        </w:rPr>
        <w:t xml:space="preserve">also </w:t>
      </w:r>
      <w:r w:rsidR="002E01EC">
        <w:rPr>
          <w:rFonts w:ascii="Times New Roman" w:hAnsi="Times New Roman"/>
          <w:sz w:val="24"/>
          <w:szCs w:val="24"/>
        </w:rPr>
        <w:t xml:space="preserve">below the rate of return of 6.77 percent being recommended by Staff in this case.  </w:t>
      </w:r>
      <w:r w:rsidR="0036229D">
        <w:rPr>
          <w:rFonts w:ascii="Times New Roman" w:hAnsi="Times New Roman"/>
          <w:sz w:val="24"/>
          <w:szCs w:val="24"/>
        </w:rPr>
        <w:t>S</w:t>
      </w:r>
      <w:r w:rsidR="002E01EC">
        <w:rPr>
          <w:rFonts w:ascii="Times New Roman" w:hAnsi="Times New Roman"/>
          <w:sz w:val="24"/>
          <w:szCs w:val="24"/>
        </w:rPr>
        <w:t>hould rates revert back to 201</w:t>
      </w:r>
      <w:r w:rsidR="001E6CFB">
        <w:rPr>
          <w:rFonts w:ascii="Times New Roman" w:hAnsi="Times New Roman"/>
          <w:sz w:val="24"/>
          <w:szCs w:val="24"/>
        </w:rPr>
        <w:t>3</w:t>
      </w:r>
      <w:r w:rsidR="002E01EC">
        <w:rPr>
          <w:rFonts w:ascii="Times New Roman" w:hAnsi="Times New Roman"/>
          <w:sz w:val="24"/>
          <w:szCs w:val="24"/>
        </w:rPr>
        <w:t xml:space="preserve"> levels, </w:t>
      </w:r>
      <w:r w:rsidR="001E6CFB">
        <w:rPr>
          <w:rFonts w:ascii="Times New Roman" w:hAnsi="Times New Roman"/>
          <w:sz w:val="24"/>
          <w:szCs w:val="24"/>
        </w:rPr>
        <w:t xml:space="preserve">the Commission </w:t>
      </w:r>
      <w:r w:rsidR="002E01EC">
        <w:rPr>
          <w:rFonts w:ascii="Times New Roman" w:hAnsi="Times New Roman"/>
          <w:sz w:val="24"/>
          <w:szCs w:val="24"/>
        </w:rPr>
        <w:t>should provide Avista with an attrition allowance of $</w:t>
      </w:r>
      <w:r w:rsidR="0036229D">
        <w:rPr>
          <w:rFonts w:ascii="Times New Roman" w:hAnsi="Times New Roman"/>
          <w:sz w:val="24"/>
          <w:szCs w:val="24"/>
        </w:rPr>
        <w:t>8,443</w:t>
      </w:r>
      <w:r w:rsidR="002E01EC">
        <w:rPr>
          <w:rFonts w:ascii="Times New Roman" w:hAnsi="Times New Roman"/>
          <w:sz w:val="24"/>
          <w:szCs w:val="24"/>
        </w:rPr>
        <w:t xml:space="preserve">,000. </w:t>
      </w:r>
      <w:r w:rsidR="001E6CFB">
        <w:rPr>
          <w:rFonts w:ascii="Times New Roman" w:hAnsi="Times New Roman"/>
          <w:sz w:val="24"/>
          <w:szCs w:val="24"/>
        </w:rPr>
        <w:t xml:space="preserve"> </w:t>
      </w:r>
      <w:r w:rsidR="002E01EC">
        <w:rPr>
          <w:rFonts w:ascii="Times New Roman" w:hAnsi="Times New Roman"/>
          <w:sz w:val="24"/>
          <w:szCs w:val="24"/>
        </w:rPr>
        <w:t>This is shown in my Exhibit No.___ (CRM-</w:t>
      </w:r>
      <w:r w:rsidR="0036229D">
        <w:rPr>
          <w:rFonts w:ascii="Times New Roman" w:hAnsi="Times New Roman"/>
          <w:sz w:val="24"/>
          <w:szCs w:val="24"/>
        </w:rPr>
        <w:t>3</w:t>
      </w:r>
      <w:r w:rsidR="002E01EC">
        <w:rPr>
          <w:rFonts w:ascii="Times New Roman" w:hAnsi="Times New Roman"/>
          <w:sz w:val="24"/>
          <w:szCs w:val="24"/>
        </w:rPr>
        <w:t xml:space="preserve">) at page 1, line 7, column (e).  </w:t>
      </w:r>
    </w:p>
    <w:p w14:paraId="41F93CC3" w14:textId="77777777" w:rsidR="002E01EC" w:rsidRDefault="002E01EC" w:rsidP="00254411">
      <w:pPr>
        <w:spacing w:after="0" w:line="480" w:lineRule="auto"/>
        <w:ind w:left="720" w:hanging="720"/>
        <w:rPr>
          <w:rFonts w:ascii="Times New Roman" w:hAnsi="Times New Roman"/>
          <w:sz w:val="24"/>
          <w:szCs w:val="24"/>
        </w:rPr>
      </w:pPr>
    </w:p>
    <w:p w14:paraId="1D691E95" w14:textId="77777777" w:rsidR="00742317" w:rsidRDefault="00742317" w:rsidP="00254411">
      <w:pPr>
        <w:spacing w:after="0" w:line="480" w:lineRule="auto"/>
        <w:rPr>
          <w:rFonts w:ascii="Times New Roman" w:hAnsi="Times New Roman"/>
          <w:sz w:val="24"/>
          <w:szCs w:val="24"/>
        </w:rPr>
      </w:pPr>
    </w:p>
    <w:p w14:paraId="4EFDA1EA" w14:textId="158B0668" w:rsidR="00C946D5" w:rsidRPr="00742317" w:rsidRDefault="00742317" w:rsidP="00254411">
      <w:pPr>
        <w:pStyle w:val="ListParagraph"/>
        <w:numPr>
          <w:ilvl w:val="0"/>
          <w:numId w:val="10"/>
        </w:numPr>
        <w:spacing w:after="0" w:line="480" w:lineRule="auto"/>
        <w:rPr>
          <w:rFonts w:ascii="Times New Roman" w:hAnsi="Times New Roman"/>
          <w:b/>
          <w:sz w:val="24"/>
          <w:szCs w:val="24"/>
        </w:rPr>
      </w:pPr>
      <w:r>
        <w:rPr>
          <w:rFonts w:ascii="Times New Roman" w:hAnsi="Times New Roman"/>
          <w:b/>
          <w:sz w:val="24"/>
          <w:szCs w:val="24"/>
        </w:rPr>
        <w:t xml:space="preserve">     </w:t>
      </w:r>
      <w:r w:rsidR="00C946D5" w:rsidRPr="00742317">
        <w:rPr>
          <w:rFonts w:ascii="Times New Roman" w:hAnsi="Times New Roman"/>
          <w:b/>
          <w:sz w:val="24"/>
          <w:szCs w:val="24"/>
        </w:rPr>
        <w:t>COMPANY’S</w:t>
      </w:r>
      <w:r w:rsidR="00397795">
        <w:rPr>
          <w:rFonts w:ascii="Times New Roman" w:hAnsi="Times New Roman"/>
          <w:b/>
          <w:sz w:val="24"/>
          <w:szCs w:val="24"/>
        </w:rPr>
        <w:t xml:space="preserve"> ATTRITION ANALYSIS</w:t>
      </w:r>
    </w:p>
    <w:p w14:paraId="73396453" w14:textId="77777777" w:rsidR="00C946D5" w:rsidRDefault="00C946D5" w:rsidP="00254411">
      <w:pPr>
        <w:tabs>
          <w:tab w:val="left" w:pos="-1440"/>
        </w:tabs>
        <w:spacing w:after="0" w:line="480" w:lineRule="auto"/>
        <w:ind w:left="720" w:hanging="720"/>
        <w:rPr>
          <w:rFonts w:ascii="Times New Roman" w:hAnsi="Times New Roman"/>
          <w:sz w:val="24"/>
          <w:szCs w:val="24"/>
        </w:rPr>
      </w:pPr>
    </w:p>
    <w:p w14:paraId="7BCAA794" w14:textId="77777777" w:rsidR="00C946D5" w:rsidRPr="000F5679" w:rsidRDefault="00C946D5" w:rsidP="00C946D5">
      <w:pPr>
        <w:tabs>
          <w:tab w:val="left" w:pos="-1440"/>
        </w:tabs>
        <w:spacing w:after="0" w:line="480" w:lineRule="auto"/>
        <w:ind w:left="720" w:hanging="720"/>
        <w:rPr>
          <w:rStyle w:val="LineNumber"/>
          <w:b/>
        </w:rPr>
      </w:pPr>
      <w:r w:rsidRPr="000F5679">
        <w:rPr>
          <w:rStyle w:val="LineNumber"/>
          <w:b/>
        </w:rPr>
        <w:t>Q.</w:t>
      </w:r>
      <w:r w:rsidRPr="000F5679">
        <w:rPr>
          <w:rStyle w:val="LineNumber"/>
          <w:b/>
        </w:rPr>
        <w:tab/>
        <w:t>According to Avista, what are the current circumstances facing the Company</w:t>
      </w:r>
      <w:r>
        <w:rPr>
          <w:rStyle w:val="LineNumber"/>
          <w:b/>
        </w:rPr>
        <w:t xml:space="preserve"> regarding attrition</w:t>
      </w:r>
      <w:r w:rsidRPr="000F5679">
        <w:rPr>
          <w:rStyle w:val="LineNumber"/>
          <w:b/>
        </w:rPr>
        <w:t>?</w:t>
      </w:r>
    </w:p>
    <w:p w14:paraId="288BDA78" w14:textId="77777777" w:rsidR="00C946D5" w:rsidRDefault="00C946D5" w:rsidP="00C946D5">
      <w:pPr>
        <w:tabs>
          <w:tab w:val="left" w:pos="-1440"/>
        </w:tabs>
        <w:spacing w:after="0" w:line="480" w:lineRule="auto"/>
        <w:ind w:left="720" w:hanging="720"/>
        <w:rPr>
          <w:rStyle w:val="LineNumber"/>
        </w:rPr>
      </w:pPr>
      <w:r w:rsidRPr="000F5679">
        <w:rPr>
          <w:rStyle w:val="LineNumber"/>
        </w:rPr>
        <w:t>A.</w:t>
      </w:r>
      <w:r w:rsidRPr="000F5679">
        <w:rPr>
          <w:rStyle w:val="LineNumber"/>
        </w:rPr>
        <w:tab/>
      </w:r>
      <w:r>
        <w:rPr>
          <w:rStyle w:val="LineNumber"/>
        </w:rPr>
        <w:t>According to Company witness Mr. Norwood, the Company is experiencing ongoing earnings attrition because net plant investment and non-fuel O&amp;M/A&amp;G continue to grow at a faster rate than revenues.</w:t>
      </w:r>
      <w:r>
        <w:rPr>
          <w:rStyle w:val="FootnoteReference"/>
          <w:rFonts w:ascii="Times New Roman" w:hAnsi="Times New Roman"/>
          <w:sz w:val="24"/>
          <w:szCs w:val="24"/>
        </w:rPr>
        <w:footnoteReference w:id="11"/>
      </w:r>
      <w:r>
        <w:rPr>
          <w:rStyle w:val="LineNumber"/>
        </w:rPr>
        <w:t xml:space="preserve">  Company witness Ms. Andrews reiterates this general theme, stating:</w:t>
      </w:r>
    </w:p>
    <w:p w14:paraId="1848F142" w14:textId="77777777" w:rsidR="00C946D5" w:rsidRDefault="00C946D5" w:rsidP="00C946D5">
      <w:pPr>
        <w:tabs>
          <w:tab w:val="left" w:pos="-1440"/>
        </w:tabs>
        <w:spacing w:after="0" w:line="240" w:lineRule="auto"/>
        <w:ind w:left="1440" w:hanging="720"/>
        <w:rPr>
          <w:rStyle w:val="LineNumber"/>
        </w:rPr>
      </w:pPr>
      <w:r>
        <w:rPr>
          <w:rStyle w:val="LineNumber"/>
        </w:rPr>
        <w:tab/>
        <w:t>The increase in overall costs to serve customers is driven primarily by two major factors: 1) the continuing need to replace and upgrade the facilities and technology we use every day to serve our customers, and 2) low revenue growth.</w:t>
      </w:r>
      <w:r>
        <w:rPr>
          <w:rStyle w:val="FootnoteReference"/>
          <w:rFonts w:ascii="Times New Roman" w:hAnsi="Times New Roman"/>
          <w:sz w:val="24"/>
          <w:szCs w:val="24"/>
        </w:rPr>
        <w:footnoteReference w:id="12"/>
      </w:r>
    </w:p>
    <w:p w14:paraId="415C2547" w14:textId="77777777" w:rsidR="00C946D5" w:rsidRPr="00083F9F" w:rsidRDefault="00C946D5" w:rsidP="00C946D5">
      <w:pPr>
        <w:tabs>
          <w:tab w:val="left" w:pos="-1440"/>
        </w:tabs>
        <w:spacing w:after="0" w:line="480" w:lineRule="auto"/>
        <w:ind w:left="720" w:hanging="720"/>
        <w:rPr>
          <w:rFonts w:ascii="Times New Roman" w:hAnsi="Times New Roman"/>
          <w:sz w:val="24"/>
          <w:szCs w:val="24"/>
        </w:rPr>
      </w:pPr>
      <w:r>
        <w:rPr>
          <w:rStyle w:val="LineNumber"/>
        </w:rPr>
        <w:t xml:space="preserve"> </w:t>
      </w:r>
    </w:p>
    <w:p w14:paraId="070EE665" w14:textId="77777777" w:rsidR="00C946D5" w:rsidRPr="00083F9F" w:rsidRDefault="00C946D5" w:rsidP="00254411">
      <w:pPr>
        <w:pStyle w:val="BodyText2"/>
        <w:spacing w:after="0"/>
        <w:ind w:left="720" w:hanging="720"/>
        <w:jc w:val="both"/>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t xml:space="preserve">What test period does Avista use in its direct case? </w:t>
      </w:r>
    </w:p>
    <w:p w14:paraId="61A95CBF" w14:textId="77777777" w:rsidR="00C946D5" w:rsidRPr="00083F9F" w:rsidRDefault="00C946D5" w:rsidP="00254411">
      <w:pPr>
        <w:suppressAutoHyphens/>
        <w:spacing w:after="0" w:line="480" w:lineRule="auto"/>
        <w:ind w:left="720" w:hanging="720"/>
        <w:rPr>
          <w:rFonts w:ascii="Times New Roman" w:hAnsi="Times New Roman"/>
          <w:sz w:val="24"/>
          <w:szCs w:val="24"/>
        </w:rPr>
      </w:pPr>
      <w:r w:rsidRPr="00083F9F">
        <w:rPr>
          <w:rFonts w:ascii="Times New Roman" w:hAnsi="Times New Roman"/>
          <w:sz w:val="24"/>
          <w:szCs w:val="24"/>
        </w:rPr>
        <w:t>A.</w:t>
      </w:r>
      <w:r w:rsidRPr="00083F9F">
        <w:rPr>
          <w:rFonts w:ascii="Times New Roman" w:hAnsi="Times New Roman"/>
          <w:sz w:val="24"/>
          <w:szCs w:val="24"/>
        </w:rPr>
        <w:tab/>
      </w:r>
      <w:r>
        <w:rPr>
          <w:rFonts w:ascii="Times New Roman" w:hAnsi="Times New Roman"/>
          <w:sz w:val="24"/>
          <w:szCs w:val="24"/>
        </w:rPr>
        <w:t>Avista uses the 12-months-ending June 30, 2013, for the test period in its direct case.  Avista then measures attrition through the 2015 rate year.</w:t>
      </w:r>
    </w:p>
    <w:p w14:paraId="39580419" w14:textId="77777777" w:rsidR="00C946D5" w:rsidRPr="00083F9F" w:rsidRDefault="00C946D5" w:rsidP="00254411">
      <w:pPr>
        <w:spacing w:after="0" w:line="480" w:lineRule="auto"/>
        <w:ind w:left="720" w:hanging="720"/>
        <w:rPr>
          <w:rFonts w:ascii="Times New Roman" w:hAnsi="Times New Roman"/>
          <w:b/>
          <w:sz w:val="24"/>
          <w:szCs w:val="24"/>
        </w:rPr>
      </w:pPr>
    </w:p>
    <w:p w14:paraId="00A1FE77" w14:textId="77777777" w:rsidR="00C946D5" w:rsidRDefault="00C946D5" w:rsidP="00254411">
      <w:pPr>
        <w:spacing w:after="0" w:line="480" w:lineRule="auto"/>
        <w:ind w:left="720" w:hanging="720"/>
        <w:rPr>
          <w:rFonts w:ascii="Times New Roman" w:hAnsi="Times New Roman"/>
          <w:b/>
          <w:sz w:val="24"/>
          <w:szCs w:val="24"/>
        </w:rPr>
      </w:pPr>
      <w:r w:rsidRPr="00B32AFC">
        <w:rPr>
          <w:rFonts w:ascii="Times New Roman" w:hAnsi="Times New Roman"/>
          <w:b/>
          <w:sz w:val="24"/>
          <w:szCs w:val="24"/>
        </w:rPr>
        <w:t>Q.</w:t>
      </w:r>
      <w:r w:rsidRPr="00B32AFC">
        <w:rPr>
          <w:rFonts w:ascii="Times New Roman" w:hAnsi="Times New Roman"/>
          <w:b/>
          <w:sz w:val="24"/>
          <w:szCs w:val="24"/>
        </w:rPr>
        <w:tab/>
      </w:r>
      <w:r>
        <w:rPr>
          <w:rFonts w:ascii="Times New Roman" w:hAnsi="Times New Roman"/>
          <w:b/>
          <w:sz w:val="24"/>
          <w:szCs w:val="24"/>
        </w:rPr>
        <w:t xml:space="preserve">Please summarize the results of Avista’s electric and natural gas attrition studies. </w:t>
      </w:r>
    </w:p>
    <w:p w14:paraId="5FAD12A7" w14:textId="58050522" w:rsidR="00A01D23" w:rsidRDefault="00C946D5" w:rsidP="00254411">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Avista’s attrition studies</w:t>
      </w:r>
      <w:r w:rsidR="000934D3">
        <w:rPr>
          <w:rFonts w:ascii="Times New Roman" w:hAnsi="Times New Roman"/>
          <w:sz w:val="24"/>
          <w:szCs w:val="24"/>
        </w:rPr>
        <w:t xml:space="preserve"> show a</w:t>
      </w:r>
      <w:r>
        <w:rPr>
          <w:rFonts w:ascii="Times New Roman" w:hAnsi="Times New Roman"/>
          <w:sz w:val="24"/>
          <w:szCs w:val="24"/>
        </w:rPr>
        <w:t xml:space="preserve"> projected 2015 rate of </w:t>
      </w:r>
      <w:r w:rsidR="00E7740E">
        <w:rPr>
          <w:rFonts w:ascii="Times New Roman" w:hAnsi="Times New Roman"/>
          <w:sz w:val="24"/>
          <w:szCs w:val="24"/>
        </w:rPr>
        <w:t xml:space="preserve">return </w:t>
      </w:r>
      <w:r>
        <w:rPr>
          <w:rFonts w:ascii="Times New Roman" w:hAnsi="Times New Roman"/>
          <w:sz w:val="24"/>
          <w:szCs w:val="24"/>
        </w:rPr>
        <w:t xml:space="preserve">of 6.89 percent </w:t>
      </w:r>
      <w:r w:rsidR="00E7740E">
        <w:rPr>
          <w:rFonts w:ascii="Times New Roman" w:hAnsi="Times New Roman"/>
          <w:sz w:val="24"/>
          <w:szCs w:val="24"/>
        </w:rPr>
        <w:t>(</w:t>
      </w:r>
      <w:r w:rsidR="000934D3">
        <w:rPr>
          <w:rFonts w:ascii="Times New Roman" w:hAnsi="Times New Roman"/>
          <w:sz w:val="24"/>
          <w:szCs w:val="24"/>
        </w:rPr>
        <w:t xml:space="preserve">for its </w:t>
      </w:r>
      <w:r>
        <w:rPr>
          <w:rFonts w:ascii="Times New Roman" w:hAnsi="Times New Roman"/>
          <w:sz w:val="24"/>
          <w:szCs w:val="24"/>
        </w:rPr>
        <w:t>electric</w:t>
      </w:r>
      <w:r w:rsidR="000934D3">
        <w:rPr>
          <w:rFonts w:ascii="Times New Roman" w:hAnsi="Times New Roman"/>
          <w:sz w:val="24"/>
          <w:szCs w:val="24"/>
        </w:rPr>
        <w:t xml:space="preserve"> oper</w:t>
      </w:r>
      <w:r w:rsidR="00E7740E">
        <w:rPr>
          <w:rFonts w:ascii="Times New Roman" w:hAnsi="Times New Roman"/>
          <w:sz w:val="24"/>
          <w:szCs w:val="24"/>
        </w:rPr>
        <w:t>a</w:t>
      </w:r>
      <w:r w:rsidR="000934D3">
        <w:rPr>
          <w:rFonts w:ascii="Times New Roman" w:hAnsi="Times New Roman"/>
          <w:sz w:val="24"/>
          <w:szCs w:val="24"/>
        </w:rPr>
        <w:t>tion</w:t>
      </w:r>
      <w:r w:rsidR="00E7740E">
        <w:rPr>
          <w:rFonts w:ascii="Times New Roman" w:hAnsi="Times New Roman"/>
          <w:sz w:val="24"/>
          <w:szCs w:val="24"/>
        </w:rPr>
        <w:t>s</w:t>
      </w:r>
      <w:r>
        <w:rPr>
          <w:rStyle w:val="FootnoteReference"/>
          <w:rFonts w:ascii="Times New Roman" w:hAnsi="Times New Roman"/>
          <w:sz w:val="24"/>
          <w:szCs w:val="24"/>
        </w:rPr>
        <w:footnoteReference w:id="13"/>
      </w:r>
      <w:r>
        <w:rPr>
          <w:rFonts w:ascii="Times New Roman" w:hAnsi="Times New Roman"/>
          <w:sz w:val="24"/>
          <w:szCs w:val="24"/>
        </w:rPr>
        <w:t xml:space="preserve"> and 4.68 percent </w:t>
      </w:r>
      <w:r w:rsidR="000934D3">
        <w:rPr>
          <w:rFonts w:ascii="Times New Roman" w:hAnsi="Times New Roman"/>
          <w:sz w:val="24"/>
          <w:szCs w:val="24"/>
        </w:rPr>
        <w:t xml:space="preserve">for its </w:t>
      </w:r>
      <w:r>
        <w:rPr>
          <w:rFonts w:ascii="Times New Roman" w:hAnsi="Times New Roman"/>
          <w:sz w:val="24"/>
          <w:szCs w:val="24"/>
        </w:rPr>
        <w:t>natural gas</w:t>
      </w:r>
      <w:r w:rsidR="000934D3">
        <w:rPr>
          <w:rFonts w:ascii="Times New Roman" w:hAnsi="Times New Roman"/>
          <w:sz w:val="24"/>
          <w:szCs w:val="24"/>
        </w:rPr>
        <w:t xml:space="preserve"> operation</w:t>
      </w:r>
      <w:r w:rsidR="00E7740E">
        <w:rPr>
          <w:rFonts w:ascii="Times New Roman" w:hAnsi="Times New Roman"/>
          <w:sz w:val="24"/>
          <w:szCs w:val="24"/>
        </w:rPr>
        <w:t>s</w:t>
      </w:r>
      <w:r>
        <w:rPr>
          <w:rFonts w:ascii="Times New Roman" w:hAnsi="Times New Roman"/>
          <w:sz w:val="24"/>
          <w:szCs w:val="24"/>
        </w:rPr>
        <w:t>)</w:t>
      </w:r>
      <w:r w:rsidR="00A01D23">
        <w:rPr>
          <w:rFonts w:ascii="Times New Roman" w:hAnsi="Times New Roman"/>
          <w:sz w:val="24"/>
          <w:szCs w:val="24"/>
        </w:rPr>
        <w:t>.</w:t>
      </w:r>
      <w:r>
        <w:rPr>
          <w:rStyle w:val="FootnoteReference"/>
          <w:rFonts w:ascii="Times New Roman" w:hAnsi="Times New Roman"/>
          <w:sz w:val="24"/>
          <w:szCs w:val="24"/>
        </w:rPr>
        <w:footnoteReference w:id="14"/>
      </w:r>
      <w:r>
        <w:rPr>
          <w:rFonts w:ascii="Times New Roman" w:hAnsi="Times New Roman"/>
          <w:sz w:val="24"/>
          <w:szCs w:val="24"/>
        </w:rPr>
        <w:t xml:space="preserve"> </w:t>
      </w:r>
      <w:r w:rsidR="00A01D23">
        <w:rPr>
          <w:rFonts w:ascii="Times New Roman" w:hAnsi="Times New Roman"/>
          <w:sz w:val="24"/>
          <w:szCs w:val="24"/>
        </w:rPr>
        <w:t xml:space="preserve"> </w:t>
      </w:r>
      <w:r w:rsidR="000934D3">
        <w:rPr>
          <w:rFonts w:ascii="Times New Roman" w:hAnsi="Times New Roman"/>
          <w:sz w:val="24"/>
          <w:szCs w:val="24"/>
        </w:rPr>
        <w:t xml:space="preserve">These returns are </w:t>
      </w:r>
      <w:r>
        <w:rPr>
          <w:rFonts w:ascii="Times New Roman" w:hAnsi="Times New Roman"/>
          <w:sz w:val="24"/>
          <w:szCs w:val="24"/>
        </w:rPr>
        <w:t xml:space="preserve">below the Company’s </w:t>
      </w:r>
      <w:r w:rsidR="000934D3">
        <w:rPr>
          <w:rFonts w:ascii="Times New Roman" w:hAnsi="Times New Roman"/>
          <w:sz w:val="24"/>
          <w:szCs w:val="24"/>
        </w:rPr>
        <w:t xml:space="preserve">proposed </w:t>
      </w:r>
      <w:r>
        <w:rPr>
          <w:rFonts w:ascii="Times New Roman" w:hAnsi="Times New Roman"/>
          <w:sz w:val="24"/>
          <w:szCs w:val="24"/>
        </w:rPr>
        <w:t>rate of return of 7.71 percent</w:t>
      </w:r>
      <w:r w:rsidR="00A01D23">
        <w:rPr>
          <w:rFonts w:ascii="Times New Roman" w:hAnsi="Times New Roman"/>
          <w:sz w:val="24"/>
          <w:szCs w:val="24"/>
        </w:rPr>
        <w:t xml:space="preserve">.  </w:t>
      </w:r>
    </w:p>
    <w:p w14:paraId="15991947" w14:textId="0FD5A73C" w:rsidR="00C946D5" w:rsidRPr="00B32AFC" w:rsidRDefault="00A01D23" w:rsidP="00254411">
      <w:pPr>
        <w:spacing w:after="0" w:line="480" w:lineRule="auto"/>
        <w:ind w:left="720" w:hanging="720"/>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sidR="000934D3">
        <w:rPr>
          <w:rFonts w:ascii="Times New Roman" w:hAnsi="Times New Roman"/>
          <w:sz w:val="24"/>
          <w:szCs w:val="24"/>
        </w:rPr>
        <w:t>As a result</w:t>
      </w:r>
      <w:r>
        <w:rPr>
          <w:rFonts w:ascii="Times New Roman" w:hAnsi="Times New Roman"/>
          <w:sz w:val="24"/>
          <w:szCs w:val="24"/>
        </w:rPr>
        <w:t xml:space="preserve">, </w:t>
      </w:r>
      <w:r w:rsidR="00C946D5">
        <w:rPr>
          <w:rFonts w:ascii="Times New Roman" w:hAnsi="Times New Roman"/>
          <w:sz w:val="24"/>
          <w:szCs w:val="24"/>
        </w:rPr>
        <w:t xml:space="preserve">Ms. Andrews projects that the </w:t>
      </w:r>
      <w:r w:rsidR="000934D3">
        <w:rPr>
          <w:rFonts w:ascii="Times New Roman" w:hAnsi="Times New Roman"/>
          <w:sz w:val="24"/>
          <w:szCs w:val="24"/>
        </w:rPr>
        <w:t xml:space="preserve">total </w:t>
      </w:r>
      <w:r w:rsidR="00C946D5">
        <w:rPr>
          <w:rFonts w:ascii="Times New Roman" w:hAnsi="Times New Roman"/>
          <w:sz w:val="24"/>
          <w:szCs w:val="24"/>
        </w:rPr>
        <w:t xml:space="preserve">revenue requirement for electric operations is $499,127,000, or </w:t>
      </w:r>
      <w:r w:rsidR="000934D3">
        <w:rPr>
          <w:rFonts w:ascii="Times New Roman" w:hAnsi="Times New Roman"/>
          <w:sz w:val="24"/>
          <w:szCs w:val="24"/>
        </w:rPr>
        <w:t xml:space="preserve">a revenue deficiency of </w:t>
      </w:r>
      <w:r w:rsidR="00C946D5">
        <w:rPr>
          <w:rFonts w:ascii="Times New Roman" w:hAnsi="Times New Roman"/>
          <w:sz w:val="24"/>
          <w:szCs w:val="24"/>
        </w:rPr>
        <w:t>$18,201,000.</w:t>
      </w:r>
      <w:r w:rsidR="00C946D5">
        <w:rPr>
          <w:rStyle w:val="FootnoteReference"/>
          <w:rFonts w:ascii="Times New Roman" w:hAnsi="Times New Roman"/>
          <w:sz w:val="24"/>
          <w:szCs w:val="24"/>
        </w:rPr>
        <w:footnoteReference w:id="15"/>
      </w:r>
      <w:r w:rsidR="00C946D5">
        <w:rPr>
          <w:rFonts w:ascii="Times New Roman" w:hAnsi="Times New Roman"/>
          <w:sz w:val="24"/>
          <w:szCs w:val="24"/>
        </w:rPr>
        <w:t xml:space="preserve">  Ms. Andrews also projects that the </w:t>
      </w:r>
      <w:r w:rsidR="000934D3">
        <w:rPr>
          <w:rFonts w:ascii="Times New Roman" w:hAnsi="Times New Roman"/>
          <w:sz w:val="24"/>
          <w:szCs w:val="24"/>
        </w:rPr>
        <w:t xml:space="preserve">total </w:t>
      </w:r>
      <w:r w:rsidR="00C946D5">
        <w:rPr>
          <w:rFonts w:ascii="Times New Roman" w:hAnsi="Times New Roman"/>
          <w:sz w:val="24"/>
          <w:szCs w:val="24"/>
        </w:rPr>
        <w:t xml:space="preserve">revenue requirement for natural gas operations is $162,164,000, or </w:t>
      </w:r>
      <w:r w:rsidR="000934D3">
        <w:rPr>
          <w:rFonts w:ascii="Times New Roman" w:hAnsi="Times New Roman"/>
          <w:sz w:val="24"/>
          <w:szCs w:val="24"/>
        </w:rPr>
        <w:t xml:space="preserve">a revenue deficiency of </w:t>
      </w:r>
      <w:r w:rsidR="00C946D5">
        <w:rPr>
          <w:rFonts w:ascii="Times New Roman" w:hAnsi="Times New Roman"/>
          <w:sz w:val="24"/>
          <w:szCs w:val="24"/>
        </w:rPr>
        <w:t>$12,135,000</w:t>
      </w:r>
      <w:r>
        <w:rPr>
          <w:rFonts w:ascii="Times New Roman" w:hAnsi="Times New Roman"/>
          <w:sz w:val="24"/>
          <w:szCs w:val="24"/>
        </w:rPr>
        <w:t>.</w:t>
      </w:r>
      <w:r w:rsidR="00C946D5">
        <w:rPr>
          <w:rStyle w:val="FootnoteReference"/>
          <w:rFonts w:ascii="Times New Roman" w:hAnsi="Times New Roman"/>
          <w:sz w:val="24"/>
          <w:szCs w:val="24"/>
        </w:rPr>
        <w:footnoteReference w:id="16"/>
      </w:r>
      <w:r w:rsidR="00C946D5">
        <w:rPr>
          <w:rFonts w:ascii="Times New Roman" w:hAnsi="Times New Roman"/>
          <w:sz w:val="24"/>
          <w:szCs w:val="24"/>
        </w:rPr>
        <w:t xml:space="preserve"> </w:t>
      </w:r>
    </w:p>
    <w:p w14:paraId="2D6B708B" w14:textId="77777777" w:rsidR="00C946D5" w:rsidRDefault="00C946D5" w:rsidP="00254411">
      <w:pPr>
        <w:spacing w:after="0" w:line="480" w:lineRule="auto"/>
        <w:rPr>
          <w:rFonts w:ascii="Times New Roman" w:hAnsi="Times New Roman"/>
          <w:sz w:val="24"/>
          <w:szCs w:val="24"/>
        </w:rPr>
      </w:pPr>
    </w:p>
    <w:p w14:paraId="0DC93D5F" w14:textId="77777777" w:rsidR="00C946D5" w:rsidRDefault="00C946D5" w:rsidP="00254411">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Did Avista provide any updates to its direct case and attrition analysis?</w:t>
      </w:r>
    </w:p>
    <w:p w14:paraId="7C4413D0" w14:textId="5AB31395" w:rsidR="00C946D5" w:rsidRDefault="00C946D5" w:rsidP="00254411">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Yes.  The Company pro</w:t>
      </w:r>
      <w:r w:rsidR="00221B0A">
        <w:rPr>
          <w:rFonts w:ascii="Times New Roman" w:hAnsi="Times New Roman"/>
          <w:sz w:val="24"/>
          <w:szCs w:val="24"/>
        </w:rPr>
        <w:t>vided updates to correct a number of</w:t>
      </w:r>
      <w:r>
        <w:rPr>
          <w:rFonts w:ascii="Times New Roman" w:hAnsi="Times New Roman"/>
          <w:sz w:val="24"/>
          <w:szCs w:val="24"/>
        </w:rPr>
        <w:t xml:space="preserve"> errors that were in its direct case.  In response to Staff Data Request 091, Avista provided an initial update to its attrition analysis.</w:t>
      </w:r>
      <w:r>
        <w:rPr>
          <w:rStyle w:val="FootnoteReference"/>
          <w:rFonts w:ascii="Times New Roman" w:hAnsi="Times New Roman"/>
          <w:sz w:val="24"/>
          <w:szCs w:val="24"/>
        </w:rPr>
        <w:footnoteReference w:id="17"/>
      </w:r>
      <w:r>
        <w:rPr>
          <w:rFonts w:ascii="Times New Roman" w:hAnsi="Times New Roman"/>
          <w:sz w:val="24"/>
          <w:szCs w:val="24"/>
        </w:rPr>
        <w:t xml:space="preserve">  </w:t>
      </w:r>
    </w:p>
    <w:p w14:paraId="5AB91C81" w14:textId="77777777" w:rsidR="00C946D5" w:rsidRDefault="00C946D5" w:rsidP="00254411">
      <w:pPr>
        <w:spacing w:after="0" w:line="480" w:lineRule="auto"/>
        <w:ind w:left="720" w:hanging="720"/>
        <w:rPr>
          <w:rFonts w:ascii="Times New Roman" w:hAnsi="Times New Roman"/>
          <w:sz w:val="24"/>
          <w:szCs w:val="24"/>
        </w:rPr>
      </w:pPr>
    </w:p>
    <w:p w14:paraId="0A876A24" w14:textId="77777777" w:rsidR="00C946D5" w:rsidRPr="00032F6D" w:rsidRDefault="00C946D5" w:rsidP="00254411">
      <w:pPr>
        <w:spacing w:after="0" w:line="480" w:lineRule="auto"/>
        <w:ind w:left="720" w:hanging="720"/>
        <w:rPr>
          <w:rFonts w:ascii="Times New Roman" w:hAnsi="Times New Roman"/>
          <w:b/>
          <w:sz w:val="24"/>
          <w:szCs w:val="24"/>
        </w:rPr>
      </w:pPr>
      <w:r w:rsidRPr="00032F6D">
        <w:rPr>
          <w:rFonts w:ascii="Times New Roman" w:hAnsi="Times New Roman"/>
          <w:b/>
          <w:sz w:val="24"/>
          <w:szCs w:val="24"/>
        </w:rPr>
        <w:t>Q.</w:t>
      </w:r>
      <w:r w:rsidRPr="00032F6D">
        <w:rPr>
          <w:rFonts w:ascii="Times New Roman" w:hAnsi="Times New Roman"/>
          <w:b/>
          <w:sz w:val="24"/>
          <w:szCs w:val="24"/>
        </w:rPr>
        <w:tab/>
        <w:t xml:space="preserve">What other updates to its attrition analysis and results of operations </w:t>
      </w:r>
      <w:r>
        <w:rPr>
          <w:rFonts w:ascii="Times New Roman" w:hAnsi="Times New Roman"/>
          <w:b/>
          <w:sz w:val="24"/>
          <w:szCs w:val="24"/>
        </w:rPr>
        <w:t xml:space="preserve">did Avista </w:t>
      </w:r>
      <w:r w:rsidRPr="00032F6D">
        <w:rPr>
          <w:rFonts w:ascii="Times New Roman" w:hAnsi="Times New Roman"/>
          <w:b/>
          <w:sz w:val="24"/>
          <w:szCs w:val="24"/>
        </w:rPr>
        <w:t>provide?</w:t>
      </w:r>
    </w:p>
    <w:p w14:paraId="07FFA26D" w14:textId="2084DF1C" w:rsidR="00C946D5" w:rsidRDefault="00C946D5" w:rsidP="00254411">
      <w:pPr>
        <w:spacing w:after="0" w:line="480" w:lineRule="auto"/>
        <w:ind w:left="720" w:hanging="720"/>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r>
      <w:r w:rsidR="00885AF3">
        <w:rPr>
          <w:rFonts w:ascii="Times New Roman" w:hAnsi="Times New Roman"/>
          <w:sz w:val="24"/>
          <w:szCs w:val="24"/>
        </w:rPr>
        <w:t xml:space="preserve">In Staff Data Request 115, </w:t>
      </w:r>
      <w:r>
        <w:rPr>
          <w:rFonts w:ascii="Times New Roman" w:hAnsi="Times New Roman"/>
          <w:sz w:val="24"/>
          <w:szCs w:val="24"/>
        </w:rPr>
        <w:t xml:space="preserve">Staff requested Avista to update its presentation and attrition analysis for a new test period </w:t>
      </w:r>
      <w:r w:rsidR="001F19DD">
        <w:rPr>
          <w:rFonts w:ascii="Times New Roman" w:hAnsi="Times New Roman"/>
          <w:sz w:val="24"/>
          <w:szCs w:val="24"/>
        </w:rPr>
        <w:t xml:space="preserve">ending </w:t>
      </w:r>
      <w:r>
        <w:rPr>
          <w:rFonts w:ascii="Times New Roman" w:hAnsi="Times New Roman"/>
          <w:sz w:val="24"/>
          <w:szCs w:val="24"/>
        </w:rPr>
        <w:t>December 31, 2013, to incorporate the results of the Company’s December 2013 Commission Basis Report.</w:t>
      </w:r>
      <w:r>
        <w:rPr>
          <w:rStyle w:val="FootnoteReference"/>
          <w:rFonts w:ascii="Times New Roman" w:hAnsi="Times New Roman"/>
          <w:sz w:val="24"/>
          <w:szCs w:val="24"/>
        </w:rPr>
        <w:footnoteReference w:id="18"/>
      </w:r>
      <w:r>
        <w:rPr>
          <w:rFonts w:ascii="Times New Roman" w:hAnsi="Times New Roman"/>
          <w:sz w:val="24"/>
          <w:szCs w:val="24"/>
        </w:rPr>
        <w:t xml:space="preserve">  This analysis is important, because it provides evidence giving full effect to the attrition rate year results from the 2012 </w:t>
      </w:r>
      <w:r w:rsidR="001F19DD">
        <w:rPr>
          <w:rFonts w:ascii="Times New Roman" w:hAnsi="Times New Roman"/>
          <w:sz w:val="24"/>
          <w:szCs w:val="24"/>
        </w:rPr>
        <w:t xml:space="preserve">rate case </w:t>
      </w:r>
      <w:r>
        <w:rPr>
          <w:rFonts w:ascii="Times New Roman" w:hAnsi="Times New Roman"/>
          <w:sz w:val="24"/>
          <w:szCs w:val="24"/>
        </w:rPr>
        <w:t xml:space="preserve">settlement.  </w:t>
      </w:r>
    </w:p>
    <w:p w14:paraId="7506DDAD" w14:textId="77777777" w:rsidR="00C946D5" w:rsidRDefault="00C946D5" w:rsidP="00254411">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14:paraId="23732AE3" w14:textId="77777777" w:rsidR="00C946D5" w:rsidRDefault="00C946D5" w:rsidP="00254411">
      <w:pPr>
        <w:spacing w:after="0" w:line="480" w:lineRule="auto"/>
        <w:ind w:left="720" w:hanging="720"/>
        <w:rPr>
          <w:rFonts w:ascii="Times New Roman" w:hAnsi="Times New Roman"/>
          <w:b/>
          <w:sz w:val="24"/>
          <w:szCs w:val="24"/>
        </w:rPr>
      </w:pPr>
      <w:r>
        <w:rPr>
          <w:rFonts w:ascii="Times New Roman" w:hAnsi="Times New Roman"/>
          <w:b/>
          <w:sz w:val="24"/>
          <w:szCs w:val="24"/>
        </w:rPr>
        <w:lastRenderedPageBreak/>
        <w:t xml:space="preserve">Q. </w:t>
      </w:r>
      <w:r>
        <w:rPr>
          <w:rFonts w:ascii="Times New Roman" w:hAnsi="Times New Roman"/>
          <w:b/>
          <w:sz w:val="24"/>
          <w:szCs w:val="24"/>
        </w:rPr>
        <w:tab/>
        <w:t>What were the results of the Company’s revised June 2013-December 2015 attrition studies provided in response to Staff Data Request 091?</w:t>
      </w:r>
    </w:p>
    <w:p w14:paraId="144115D1" w14:textId="17279476" w:rsidR="00C946D5" w:rsidRDefault="00C946D5" w:rsidP="00254411">
      <w:pPr>
        <w:spacing w:after="0" w:line="480" w:lineRule="auto"/>
        <w:ind w:left="720" w:hanging="720"/>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t xml:space="preserve">Using the corrected attrition models, and maintaining its proposed test year of the 12-months-ending June 2013, the Company projected </w:t>
      </w:r>
      <w:r w:rsidR="000934D3">
        <w:rPr>
          <w:rFonts w:ascii="Times New Roman" w:hAnsi="Times New Roman"/>
          <w:sz w:val="24"/>
          <w:szCs w:val="24"/>
        </w:rPr>
        <w:t xml:space="preserve">a </w:t>
      </w:r>
      <w:r>
        <w:rPr>
          <w:rFonts w:ascii="Times New Roman" w:hAnsi="Times New Roman"/>
          <w:sz w:val="24"/>
          <w:szCs w:val="24"/>
        </w:rPr>
        <w:t xml:space="preserve">rate of return of 6.25 percent for </w:t>
      </w:r>
      <w:r w:rsidR="000934D3">
        <w:rPr>
          <w:rFonts w:ascii="Times New Roman" w:hAnsi="Times New Roman"/>
          <w:sz w:val="24"/>
          <w:szCs w:val="24"/>
        </w:rPr>
        <w:t xml:space="preserve">its </w:t>
      </w:r>
      <w:r>
        <w:rPr>
          <w:rFonts w:ascii="Times New Roman" w:hAnsi="Times New Roman"/>
          <w:sz w:val="24"/>
          <w:szCs w:val="24"/>
        </w:rPr>
        <w:t xml:space="preserve">electric </w:t>
      </w:r>
      <w:r w:rsidR="000934D3">
        <w:rPr>
          <w:rFonts w:ascii="Times New Roman" w:hAnsi="Times New Roman"/>
          <w:sz w:val="24"/>
          <w:szCs w:val="24"/>
        </w:rPr>
        <w:t>operation</w:t>
      </w:r>
      <w:r w:rsidR="00A01D23">
        <w:rPr>
          <w:rFonts w:ascii="Times New Roman" w:hAnsi="Times New Roman"/>
          <w:sz w:val="24"/>
          <w:szCs w:val="24"/>
        </w:rPr>
        <w:t>s</w:t>
      </w:r>
      <w:r w:rsidR="000934D3">
        <w:rPr>
          <w:rFonts w:ascii="Times New Roman" w:hAnsi="Times New Roman"/>
          <w:sz w:val="24"/>
          <w:szCs w:val="24"/>
        </w:rPr>
        <w:t xml:space="preserve"> </w:t>
      </w:r>
      <w:r>
        <w:rPr>
          <w:rFonts w:ascii="Times New Roman" w:hAnsi="Times New Roman"/>
          <w:sz w:val="24"/>
          <w:szCs w:val="24"/>
        </w:rPr>
        <w:t xml:space="preserve">and 4.31 percent for its natural gas operations.  Using these </w:t>
      </w:r>
      <w:r w:rsidR="000934D3">
        <w:rPr>
          <w:rFonts w:ascii="Times New Roman" w:hAnsi="Times New Roman"/>
          <w:sz w:val="24"/>
          <w:szCs w:val="24"/>
        </w:rPr>
        <w:t xml:space="preserve">updated </w:t>
      </w:r>
      <w:r>
        <w:rPr>
          <w:rFonts w:ascii="Times New Roman" w:hAnsi="Times New Roman"/>
          <w:sz w:val="24"/>
          <w:szCs w:val="24"/>
        </w:rPr>
        <w:t xml:space="preserve">attrition studies, the Company projects that the revenue </w:t>
      </w:r>
      <w:r w:rsidR="000934D3">
        <w:rPr>
          <w:rFonts w:ascii="Times New Roman" w:hAnsi="Times New Roman"/>
          <w:sz w:val="24"/>
          <w:szCs w:val="24"/>
        </w:rPr>
        <w:t>deficiency</w:t>
      </w:r>
      <w:r>
        <w:rPr>
          <w:rFonts w:ascii="Times New Roman" w:hAnsi="Times New Roman"/>
          <w:sz w:val="24"/>
          <w:szCs w:val="24"/>
        </w:rPr>
        <w:t xml:space="preserve"> is $17,881,000 for electric operations and $12,177,000 for natural gas operations. </w:t>
      </w:r>
    </w:p>
    <w:p w14:paraId="1FEEB41E" w14:textId="77777777" w:rsidR="00C946D5" w:rsidRPr="00B32AFC" w:rsidRDefault="00C946D5" w:rsidP="00254411">
      <w:pPr>
        <w:spacing w:after="0" w:line="480" w:lineRule="auto"/>
        <w:ind w:left="720" w:hanging="720"/>
        <w:rPr>
          <w:rFonts w:ascii="Times New Roman" w:hAnsi="Times New Roman"/>
          <w:sz w:val="24"/>
          <w:szCs w:val="24"/>
        </w:rPr>
      </w:pPr>
    </w:p>
    <w:p w14:paraId="2380976D" w14:textId="77777777" w:rsidR="00C946D5" w:rsidRDefault="00C946D5" w:rsidP="00254411">
      <w:pPr>
        <w:spacing w:after="0" w:line="480" w:lineRule="auto"/>
        <w:ind w:left="720" w:hanging="720"/>
        <w:rPr>
          <w:rFonts w:ascii="Times New Roman" w:hAnsi="Times New Roman"/>
          <w:b/>
          <w:sz w:val="24"/>
          <w:szCs w:val="24"/>
        </w:rPr>
      </w:pPr>
      <w:r>
        <w:rPr>
          <w:rFonts w:ascii="Times New Roman" w:hAnsi="Times New Roman"/>
          <w:b/>
          <w:sz w:val="24"/>
          <w:szCs w:val="24"/>
        </w:rPr>
        <w:t xml:space="preserve">Q. </w:t>
      </w:r>
      <w:r>
        <w:rPr>
          <w:rFonts w:ascii="Times New Roman" w:hAnsi="Times New Roman"/>
          <w:b/>
          <w:sz w:val="24"/>
          <w:szCs w:val="24"/>
        </w:rPr>
        <w:tab/>
        <w:t>What were the results of the Company’s revised December 2013-December 2015 attrition studies provided in response to Staff Data Request 115?</w:t>
      </w:r>
    </w:p>
    <w:p w14:paraId="173DF0BD" w14:textId="57D363FA" w:rsidR="00C946D5" w:rsidRDefault="00C946D5" w:rsidP="00254411">
      <w:pPr>
        <w:spacing w:after="0" w:line="480" w:lineRule="auto"/>
        <w:ind w:left="720" w:hanging="720"/>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t xml:space="preserve">Using the 12-months-ending December 2013 as the test period, and calculating growth rates using 2013 data, but otherwise using the same growth rate methodology, the Company’s projected 2015 rate of return was 6.23 percent for electric operations and 4.03 percent for natural gas operations. </w:t>
      </w:r>
      <w:r w:rsidR="001F19DD">
        <w:rPr>
          <w:rFonts w:ascii="Times New Roman" w:hAnsi="Times New Roman"/>
          <w:sz w:val="24"/>
          <w:szCs w:val="24"/>
        </w:rPr>
        <w:t xml:space="preserve"> </w:t>
      </w:r>
      <w:r w:rsidR="000934D3">
        <w:rPr>
          <w:rFonts w:ascii="Times New Roman" w:hAnsi="Times New Roman"/>
          <w:sz w:val="24"/>
          <w:szCs w:val="24"/>
        </w:rPr>
        <w:t>T</w:t>
      </w:r>
      <w:r>
        <w:rPr>
          <w:rFonts w:ascii="Times New Roman" w:hAnsi="Times New Roman"/>
          <w:sz w:val="24"/>
          <w:szCs w:val="24"/>
        </w:rPr>
        <w:t>hese attrition studies</w:t>
      </w:r>
      <w:r w:rsidR="000934D3">
        <w:rPr>
          <w:rFonts w:ascii="Times New Roman" w:hAnsi="Times New Roman"/>
          <w:sz w:val="24"/>
          <w:szCs w:val="24"/>
        </w:rPr>
        <w:t xml:space="preserve"> show</w:t>
      </w:r>
      <w:r>
        <w:rPr>
          <w:rFonts w:ascii="Times New Roman" w:hAnsi="Times New Roman"/>
          <w:sz w:val="24"/>
          <w:szCs w:val="24"/>
        </w:rPr>
        <w:t xml:space="preserve"> the Company projects </w:t>
      </w:r>
      <w:r w:rsidR="000934D3">
        <w:rPr>
          <w:rFonts w:ascii="Times New Roman" w:hAnsi="Times New Roman"/>
          <w:sz w:val="24"/>
          <w:szCs w:val="24"/>
        </w:rPr>
        <w:t xml:space="preserve">a </w:t>
      </w:r>
      <w:r>
        <w:rPr>
          <w:rFonts w:ascii="Times New Roman" w:hAnsi="Times New Roman"/>
          <w:sz w:val="24"/>
          <w:szCs w:val="24"/>
        </w:rPr>
        <w:t xml:space="preserve">revenue </w:t>
      </w:r>
      <w:r w:rsidR="000934D3">
        <w:rPr>
          <w:rFonts w:ascii="Times New Roman" w:hAnsi="Times New Roman"/>
          <w:sz w:val="24"/>
          <w:szCs w:val="24"/>
        </w:rPr>
        <w:t>deficency</w:t>
      </w:r>
      <w:r w:rsidR="00A01D23">
        <w:rPr>
          <w:rFonts w:ascii="Times New Roman" w:hAnsi="Times New Roman"/>
          <w:sz w:val="24"/>
          <w:szCs w:val="24"/>
        </w:rPr>
        <w:t xml:space="preserve"> </w:t>
      </w:r>
      <w:r w:rsidR="000934D3">
        <w:rPr>
          <w:rFonts w:ascii="Times New Roman" w:hAnsi="Times New Roman"/>
          <w:sz w:val="24"/>
          <w:szCs w:val="24"/>
        </w:rPr>
        <w:t>of</w:t>
      </w:r>
      <w:r>
        <w:rPr>
          <w:rFonts w:ascii="Times New Roman" w:hAnsi="Times New Roman"/>
          <w:sz w:val="24"/>
          <w:szCs w:val="24"/>
        </w:rPr>
        <w:t xml:space="preserve"> $18,234,000 for electric operations and $13,780,000 for natural gas operations.</w:t>
      </w:r>
    </w:p>
    <w:p w14:paraId="362D6E24" w14:textId="0918EAFA" w:rsidR="00CD622A" w:rsidRDefault="00CD622A" w:rsidP="00254411">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The Commission should note here that these revenue requirement presentations were provided prior to the update to 2015 pro forma energy costs. </w:t>
      </w:r>
      <w:r w:rsidR="001F19DD">
        <w:rPr>
          <w:rFonts w:ascii="Times New Roman" w:hAnsi="Times New Roman"/>
          <w:sz w:val="24"/>
          <w:szCs w:val="24"/>
        </w:rPr>
        <w:t xml:space="preserve"> </w:t>
      </w:r>
      <w:r>
        <w:rPr>
          <w:rFonts w:ascii="Times New Roman" w:hAnsi="Times New Roman"/>
          <w:sz w:val="24"/>
          <w:szCs w:val="24"/>
        </w:rPr>
        <w:t>The update to 2015 pro forma energy costs will add approximately $6.3 million to</w:t>
      </w:r>
      <w:r w:rsidR="000934D3">
        <w:rPr>
          <w:rFonts w:ascii="Times New Roman" w:hAnsi="Times New Roman"/>
          <w:sz w:val="24"/>
          <w:szCs w:val="24"/>
        </w:rPr>
        <w:t xml:space="preserve"> Avista’s pr</w:t>
      </w:r>
      <w:r w:rsidR="00A01D23">
        <w:rPr>
          <w:rFonts w:ascii="Times New Roman" w:hAnsi="Times New Roman"/>
          <w:sz w:val="24"/>
          <w:szCs w:val="24"/>
        </w:rPr>
        <w:t>o</w:t>
      </w:r>
      <w:r w:rsidR="000934D3">
        <w:rPr>
          <w:rFonts w:ascii="Times New Roman" w:hAnsi="Times New Roman"/>
          <w:sz w:val="24"/>
          <w:szCs w:val="24"/>
        </w:rPr>
        <w:t xml:space="preserve">posed </w:t>
      </w:r>
      <w:r>
        <w:rPr>
          <w:rFonts w:ascii="Times New Roman" w:hAnsi="Times New Roman"/>
          <w:sz w:val="24"/>
          <w:szCs w:val="24"/>
        </w:rPr>
        <w:t xml:space="preserve">revenue </w:t>
      </w:r>
      <w:r w:rsidR="000934D3">
        <w:rPr>
          <w:rFonts w:ascii="Times New Roman" w:hAnsi="Times New Roman"/>
          <w:sz w:val="24"/>
          <w:szCs w:val="24"/>
        </w:rPr>
        <w:t>defic</w:t>
      </w:r>
      <w:r w:rsidR="00A01D23">
        <w:rPr>
          <w:rFonts w:ascii="Times New Roman" w:hAnsi="Times New Roman"/>
          <w:sz w:val="24"/>
          <w:szCs w:val="24"/>
        </w:rPr>
        <w:t>i</w:t>
      </w:r>
      <w:r w:rsidR="000934D3">
        <w:rPr>
          <w:rFonts w:ascii="Times New Roman" w:hAnsi="Times New Roman"/>
          <w:sz w:val="24"/>
          <w:szCs w:val="24"/>
        </w:rPr>
        <w:t>ency</w:t>
      </w:r>
      <w:r w:rsidR="00A01D23">
        <w:rPr>
          <w:rFonts w:ascii="Times New Roman" w:hAnsi="Times New Roman"/>
          <w:sz w:val="24"/>
          <w:szCs w:val="24"/>
        </w:rPr>
        <w:t>.</w:t>
      </w:r>
      <w:r>
        <w:rPr>
          <w:rFonts w:ascii="Times New Roman" w:hAnsi="Times New Roman"/>
          <w:sz w:val="24"/>
          <w:szCs w:val="24"/>
        </w:rPr>
        <w:t xml:space="preserve"> </w:t>
      </w:r>
      <w:r w:rsidR="001F19DD">
        <w:rPr>
          <w:rFonts w:ascii="Times New Roman" w:hAnsi="Times New Roman"/>
          <w:sz w:val="24"/>
          <w:szCs w:val="24"/>
        </w:rPr>
        <w:t xml:space="preserve"> </w:t>
      </w:r>
      <w:r>
        <w:rPr>
          <w:rFonts w:ascii="Times New Roman" w:hAnsi="Times New Roman"/>
          <w:sz w:val="24"/>
          <w:szCs w:val="24"/>
        </w:rPr>
        <w:t xml:space="preserve">This </w:t>
      </w:r>
      <w:r w:rsidR="00F44851">
        <w:rPr>
          <w:rFonts w:ascii="Times New Roman" w:hAnsi="Times New Roman"/>
          <w:sz w:val="24"/>
          <w:szCs w:val="24"/>
        </w:rPr>
        <w:t xml:space="preserve">update in power supply costs of </w:t>
      </w:r>
      <w:r>
        <w:rPr>
          <w:rFonts w:ascii="Times New Roman" w:hAnsi="Times New Roman"/>
          <w:sz w:val="24"/>
          <w:szCs w:val="24"/>
        </w:rPr>
        <w:t xml:space="preserve">$6.3 million is incorporated into Staff’s </w:t>
      </w:r>
      <w:r w:rsidR="00F44851">
        <w:rPr>
          <w:rFonts w:ascii="Times New Roman" w:hAnsi="Times New Roman"/>
          <w:sz w:val="24"/>
          <w:szCs w:val="24"/>
        </w:rPr>
        <w:t>case</w:t>
      </w:r>
      <w:r w:rsidR="00A01D23">
        <w:rPr>
          <w:rFonts w:ascii="Times New Roman" w:hAnsi="Times New Roman"/>
          <w:sz w:val="24"/>
          <w:szCs w:val="24"/>
        </w:rPr>
        <w:t>.</w:t>
      </w:r>
    </w:p>
    <w:p w14:paraId="240A361E" w14:textId="77777777" w:rsidR="00C946D5" w:rsidRDefault="00C946D5" w:rsidP="00254411">
      <w:pPr>
        <w:spacing w:after="0" w:line="480" w:lineRule="auto"/>
        <w:ind w:left="720" w:hanging="720"/>
        <w:rPr>
          <w:rFonts w:ascii="Times New Roman" w:hAnsi="Times New Roman"/>
          <w:sz w:val="24"/>
          <w:szCs w:val="24"/>
        </w:rPr>
      </w:pPr>
    </w:p>
    <w:p w14:paraId="36CAEA9A" w14:textId="77777777" w:rsidR="00C946D5" w:rsidRPr="006113B5" w:rsidRDefault="00C946D5" w:rsidP="00254411">
      <w:pPr>
        <w:tabs>
          <w:tab w:val="left" w:pos="-1440"/>
        </w:tabs>
        <w:spacing w:after="0" w:line="480" w:lineRule="auto"/>
        <w:ind w:left="720" w:hanging="720"/>
        <w:rPr>
          <w:rFonts w:ascii="Times New Roman" w:hAnsi="Times New Roman"/>
          <w:b/>
          <w:sz w:val="24"/>
          <w:szCs w:val="24"/>
        </w:rPr>
      </w:pPr>
      <w:r>
        <w:rPr>
          <w:rFonts w:ascii="Times New Roman" w:hAnsi="Times New Roman"/>
          <w:b/>
          <w:sz w:val="24"/>
          <w:szCs w:val="24"/>
        </w:rPr>
        <w:lastRenderedPageBreak/>
        <w:t>Q.</w:t>
      </w:r>
      <w:r>
        <w:rPr>
          <w:rFonts w:ascii="Times New Roman" w:hAnsi="Times New Roman"/>
          <w:b/>
          <w:sz w:val="24"/>
          <w:szCs w:val="24"/>
        </w:rPr>
        <w:tab/>
        <w:t>Please summarize the key differences between your attrition study and the Company’s attrition study.</w:t>
      </w:r>
    </w:p>
    <w:p w14:paraId="2196D749" w14:textId="160E166F" w:rsidR="00C946D5" w:rsidRDefault="00C946D5" w:rsidP="00254411">
      <w:pPr>
        <w:tabs>
          <w:tab w:val="left" w:pos="-1440"/>
        </w:tabs>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As I explain earlier in this testimony, I relied upon Commission Basis Report restated totals for the year ending December 2013, while the Company relied upon Commission Basis Report restated totals for the year ending June 2013.  I also relied upon the Company’s 2015 attrition studies that used the 12 months ending December 2013 as the test period, which it provided in response to Staff Data Request 115.  With certain alterations that I discussed in the previous sections, I provide these attrition studies as my </w:t>
      </w:r>
      <w:r w:rsidRPr="00CA47C2">
        <w:rPr>
          <w:rFonts w:ascii="Times New Roman" w:hAnsi="Times New Roman"/>
          <w:sz w:val="24"/>
          <w:szCs w:val="24"/>
        </w:rPr>
        <w:t>Exhibit No.__</w:t>
      </w:r>
      <w:r>
        <w:rPr>
          <w:rFonts w:ascii="Times New Roman" w:hAnsi="Times New Roman"/>
          <w:sz w:val="24"/>
          <w:szCs w:val="24"/>
        </w:rPr>
        <w:t>(</w:t>
      </w:r>
      <w:r w:rsidRPr="00CA47C2">
        <w:rPr>
          <w:rFonts w:ascii="Times New Roman" w:hAnsi="Times New Roman"/>
          <w:sz w:val="24"/>
          <w:szCs w:val="24"/>
        </w:rPr>
        <w:t>CRM-2</w:t>
      </w:r>
      <w:r>
        <w:rPr>
          <w:rFonts w:ascii="Times New Roman" w:hAnsi="Times New Roman"/>
          <w:sz w:val="24"/>
          <w:szCs w:val="24"/>
        </w:rPr>
        <w:t>)</w:t>
      </w:r>
      <w:r w:rsidRPr="00CA47C2">
        <w:rPr>
          <w:rFonts w:ascii="Times New Roman" w:hAnsi="Times New Roman"/>
          <w:sz w:val="24"/>
          <w:szCs w:val="24"/>
        </w:rPr>
        <w:t xml:space="preserve"> for electric </w:t>
      </w:r>
      <w:r>
        <w:rPr>
          <w:rFonts w:ascii="Times New Roman" w:hAnsi="Times New Roman"/>
          <w:sz w:val="24"/>
          <w:szCs w:val="24"/>
        </w:rPr>
        <w:t xml:space="preserve">service </w:t>
      </w:r>
      <w:r w:rsidRPr="00CA47C2">
        <w:rPr>
          <w:rFonts w:ascii="Times New Roman" w:hAnsi="Times New Roman"/>
          <w:sz w:val="24"/>
          <w:szCs w:val="24"/>
        </w:rPr>
        <w:t>and Exhibit No.__</w:t>
      </w:r>
      <w:r>
        <w:rPr>
          <w:rFonts w:ascii="Times New Roman" w:hAnsi="Times New Roman"/>
          <w:sz w:val="24"/>
          <w:szCs w:val="24"/>
        </w:rPr>
        <w:t>(</w:t>
      </w:r>
      <w:r w:rsidRPr="00CA47C2">
        <w:rPr>
          <w:rFonts w:ascii="Times New Roman" w:hAnsi="Times New Roman"/>
          <w:sz w:val="24"/>
          <w:szCs w:val="24"/>
        </w:rPr>
        <w:t>CRM-3</w:t>
      </w:r>
      <w:r>
        <w:rPr>
          <w:rFonts w:ascii="Times New Roman" w:hAnsi="Times New Roman"/>
          <w:sz w:val="24"/>
          <w:szCs w:val="24"/>
        </w:rPr>
        <w:t>)</w:t>
      </w:r>
      <w:r w:rsidRPr="00CA47C2">
        <w:rPr>
          <w:rFonts w:ascii="Times New Roman" w:hAnsi="Times New Roman"/>
          <w:sz w:val="24"/>
          <w:szCs w:val="24"/>
        </w:rPr>
        <w:t xml:space="preserve"> for natural gas</w:t>
      </w:r>
      <w:r>
        <w:rPr>
          <w:rFonts w:ascii="Times New Roman" w:hAnsi="Times New Roman"/>
          <w:sz w:val="24"/>
          <w:szCs w:val="24"/>
        </w:rPr>
        <w:t xml:space="preserve"> service</w:t>
      </w:r>
      <w:r w:rsidRPr="00CA47C2">
        <w:rPr>
          <w:rFonts w:ascii="Times New Roman" w:hAnsi="Times New Roman"/>
          <w:sz w:val="24"/>
          <w:szCs w:val="24"/>
        </w:rPr>
        <w:t>.</w:t>
      </w:r>
    </w:p>
    <w:p w14:paraId="32CDCDFB" w14:textId="376DAA35" w:rsidR="00C946D5" w:rsidRDefault="00C946D5" w:rsidP="00254411">
      <w:pPr>
        <w:tabs>
          <w:tab w:val="left" w:pos="-1440"/>
        </w:tabs>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In addition, I developed growth rates in a significantly different manner than the Company.  </w:t>
      </w:r>
    </w:p>
    <w:p w14:paraId="1C63F472" w14:textId="77777777" w:rsidR="00C946D5" w:rsidRDefault="00C946D5" w:rsidP="00254411">
      <w:pPr>
        <w:tabs>
          <w:tab w:val="left" w:pos="-1440"/>
        </w:tabs>
        <w:spacing w:after="0" w:line="480" w:lineRule="auto"/>
        <w:ind w:left="720" w:hanging="720"/>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t xml:space="preserve"> </w:t>
      </w:r>
    </w:p>
    <w:p w14:paraId="41A58039" w14:textId="5A62F1E5" w:rsidR="00C946D5" w:rsidRDefault="00C946D5" w:rsidP="00254411">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Please list the primary differences between how you calculated growth rates and how the Company calculated growth rat</w:t>
      </w:r>
      <w:r w:rsidR="005C765A">
        <w:rPr>
          <w:rFonts w:ascii="Times New Roman" w:hAnsi="Times New Roman"/>
          <w:b/>
          <w:sz w:val="24"/>
          <w:szCs w:val="24"/>
        </w:rPr>
        <w:t>es</w:t>
      </w:r>
      <w:r>
        <w:rPr>
          <w:rFonts w:ascii="Times New Roman" w:hAnsi="Times New Roman"/>
          <w:b/>
          <w:sz w:val="24"/>
          <w:szCs w:val="24"/>
        </w:rPr>
        <w:t xml:space="preserve"> in the attrition studies. </w:t>
      </w:r>
    </w:p>
    <w:p w14:paraId="0534D723" w14:textId="77777777" w:rsidR="00C946D5" w:rsidRDefault="00C946D5" w:rsidP="00254411">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There are three primary differences.  First, I used weighted linear regressions between 2001 and 2013 to describe historical rates of growth.  The Company used compounded growth rates between 2007 and 2012 for this same purpose.</w:t>
      </w:r>
    </w:p>
    <w:p w14:paraId="572E17AE" w14:textId="052780F5" w:rsidR="00C946D5" w:rsidRDefault="00C946D5" w:rsidP="00254411">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Second, as I explained earlier, </w:t>
      </w:r>
      <w:r w:rsidRPr="00787A10">
        <w:rPr>
          <w:rFonts w:ascii="Times New Roman" w:hAnsi="Times New Roman"/>
          <w:sz w:val="24"/>
          <w:szCs w:val="24"/>
        </w:rPr>
        <w:t>I did not use the Company’s budgeted 4.00</w:t>
      </w:r>
      <w:r>
        <w:rPr>
          <w:rFonts w:ascii="Times New Roman" w:hAnsi="Times New Roman"/>
          <w:sz w:val="24"/>
          <w:szCs w:val="24"/>
        </w:rPr>
        <w:t xml:space="preserve"> percent compounding annual growth rate in operating expenses for natural gas service.  Instead, I </w:t>
      </w:r>
      <w:r w:rsidR="001F19DD">
        <w:rPr>
          <w:rFonts w:ascii="Times New Roman" w:hAnsi="Times New Roman"/>
          <w:sz w:val="24"/>
          <w:szCs w:val="24"/>
        </w:rPr>
        <w:t xml:space="preserve">derived a more reliable rate I developed from </w:t>
      </w:r>
      <w:r w:rsidR="00787A10">
        <w:rPr>
          <w:rFonts w:ascii="Times New Roman" w:hAnsi="Times New Roman"/>
          <w:sz w:val="24"/>
          <w:szCs w:val="24"/>
        </w:rPr>
        <w:t xml:space="preserve">a modified </w:t>
      </w:r>
      <w:r>
        <w:rPr>
          <w:rFonts w:ascii="Times New Roman" w:hAnsi="Times New Roman"/>
          <w:sz w:val="24"/>
          <w:szCs w:val="24"/>
        </w:rPr>
        <w:t xml:space="preserve">regression analysis. </w:t>
      </w:r>
    </w:p>
    <w:p w14:paraId="1E4F505F" w14:textId="595CBC9D" w:rsidR="00C946D5" w:rsidRDefault="00C946D5" w:rsidP="00254411">
      <w:pPr>
        <w:spacing w:after="0" w:line="480" w:lineRule="auto"/>
        <w:ind w:left="720" w:firstLine="720"/>
        <w:rPr>
          <w:rFonts w:ascii="Times New Roman" w:hAnsi="Times New Roman"/>
          <w:sz w:val="24"/>
          <w:szCs w:val="24"/>
        </w:rPr>
      </w:pPr>
      <w:r>
        <w:rPr>
          <w:rFonts w:ascii="Times New Roman" w:hAnsi="Times New Roman"/>
          <w:sz w:val="24"/>
          <w:szCs w:val="24"/>
        </w:rPr>
        <w:t xml:space="preserve">Third, I applied a growth factor to </w:t>
      </w:r>
      <w:r w:rsidR="001F19DD">
        <w:rPr>
          <w:rFonts w:ascii="Times New Roman" w:hAnsi="Times New Roman"/>
          <w:sz w:val="24"/>
          <w:szCs w:val="24"/>
        </w:rPr>
        <w:t>“</w:t>
      </w:r>
      <w:r>
        <w:rPr>
          <w:rFonts w:ascii="Times New Roman" w:hAnsi="Times New Roman"/>
          <w:sz w:val="24"/>
          <w:szCs w:val="24"/>
        </w:rPr>
        <w:t>other non-retail revenues</w:t>
      </w:r>
      <w:r w:rsidR="001F19DD">
        <w:rPr>
          <w:rFonts w:ascii="Times New Roman" w:hAnsi="Times New Roman"/>
          <w:sz w:val="24"/>
          <w:szCs w:val="24"/>
        </w:rPr>
        <w:t>”</w:t>
      </w:r>
      <w:r>
        <w:rPr>
          <w:rFonts w:ascii="Times New Roman" w:hAnsi="Times New Roman"/>
          <w:sz w:val="24"/>
          <w:szCs w:val="24"/>
        </w:rPr>
        <w:t xml:space="preserve"> for natural gas service.  The Company did not apply any growth rate to this item.</w:t>
      </w:r>
    </w:p>
    <w:p w14:paraId="63CAFE0A" w14:textId="77777777" w:rsidR="00C946D5" w:rsidRDefault="00C946D5" w:rsidP="00254411">
      <w:pPr>
        <w:spacing w:after="0" w:line="480" w:lineRule="auto"/>
        <w:rPr>
          <w:rFonts w:ascii="Times New Roman" w:hAnsi="Times New Roman"/>
          <w:b/>
          <w:sz w:val="24"/>
          <w:szCs w:val="24"/>
        </w:rPr>
      </w:pPr>
    </w:p>
    <w:p w14:paraId="7D80A1F1" w14:textId="0AF639C3" w:rsidR="00C946D5" w:rsidRDefault="00C946D5" w:rsidP="00254411">
      <w:pPr>
        <w:spacing w:after="0" w:line="480" w:lineRule="auto"/>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Please describe the Company’</w:t>
      </w:r>
      <w:r w:rsidR="006C3669">
        <w:rPr>
          <w:rFonts w:ascii="Times New Roman" w:hAnsi="Times New Roman"/>
          <w:b/>
          <w:sz w:val="24"/>
          <w:szCs w:val="24"/>
        </w:rPr>
        <w:t>s general method for calculating growth rate</w:t>
      </w:r>
      <w:r>
        <w:rPr>
          <w:rFonts w:ascii="Times New Roman" w:hAnsi="Times New Roman"/>
          <w:b/>
          <w:sz w:val="24"/>
          <w:szCs w:val="24"/>
        </w:rPr>
        <w:t>s.</w:t>
      </w:r>
    </w:p>
    <w:p w14:paraId="4FDB1786" w14:textId="0C17425C" w:rsidR="00C946D5" w:rsidRDefault="00C946D5" w:rsidP="00254411">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The Company used a compounding growth rate using only two years (2007 and 2012 in its direct case</w:t>
      </w:r>
      <w:r w:rsidR="009A7E9C">
        <w:rPr>
          <w:rFonts w:ascii="Times New Roman" w:hAnsi="Times New Roman"/>
          <w:sz w:val="24"/>
          <w:szCs w:val="24"/>
        </w:rPr>
        <w:t>).</w:t>
      </w:r>
      <w:r w:rsidR="009A7E9C">
        <w:rPr>
          <w:rStyle w:val="FootnoteReference"/>
          <w:rFonts w:ascii="Times New Roman" w:hAnsi="Times New Roman"/>
          <w:sz w:val="24"/>
          <w:szCs w:val="24"/>
        </w:rPr>
        <w:footnoteReference w:id="19"/>
      </w:r>
      <w:r w:rsidR="000F555A">
        <w:rPr>
          <w:rFonts w:ascii="Times New Roman" w:hAnsi="Times New Roman"/>
          <w:sz w:val="24"/>
          <w:szCs w:val="24"/>
        </w:rPr>
        <w:t xml:space="preserve"> </w:t>
      </w:r>
      <w:r w:rsidR="001F19DD">
        <w:rPr>
          <w:rFonts w:ascii="Times New Roman" w:hAnsi="Times New Roman"/>
          <w:sz w:val="24"/>
          <w:szCs w:val="24"/>
        </w:rPr>
        <w:t xml:space="preserve"> </w:t>
      </w:r>
      <w:r w:rsidR="000F555A">
        <w:rPr>
          <w:rFonts w:ascii="Times New Roman" w:hAnsi="Times New Roman"/>
          <w:sz w:val="24"/>
          <w:szCs w:val="24"/>
        </w:rPr>
        <w:t xml:space="preserve">In the Company’s direct case, it calculates the growth rate as the annual compounding rate that when applied to actual 2007 values over five periods gives actual 2012 values. </w:t>
      </w:r>
      <w:r w:rsidR="001F19DD">
        <w:rPr>
          <w:rFonts w:ascii="Times New Roman" w:hAnsi="Times New Roman"/>
          <w:sz w:val="24"/>
          <w:szCs w:val="24"/>
        </w:rPr>
        <w:t xml:space="preserve"> The Company did not </w:t>
      </w:r>
      <w:r w:rsidR="000F555A">
        <w:rPr>
          <w:rFonts w:ascii="Times New Roman" w:hAnsi="Times New Roman"/>
          <w:sz w:val="24"/>
          <w:szCs w:val="24"/>
        </w:rPr>
        <w:t>consider</w:t>
      </w:r>
      <w:r w:rsidR="001F19DD">
        <w:rPr>
          <w:rFonts w:ascii="Times New Roman" w:hAnsi="Times New Roman"/>
          <w:sz w:val="24"/>
          <w:szCs w:val="24"/>
        </w:rPr>
        <w:t xml:space="preserve"> data from other years in developing its growth rates.  </w:t>
      </w:r>
      <w:r w:rsidR="000F555A">
        <w:rPr>
          <w:rFonts w:ascii="Times New Roman" w:hAnsi="Times New Roman"/>
          <w:sz w:val="24"/>
          <w:szCs w:val="24"/>
        </w:rPr>
        <w:t xml:space="preserve">The </w:t>
      </w:r>
      <w:r w:rsidR="001F19DD">
        <w:rPr>
          <w:rFonts w:ascii="Times New Roman" w:hAnsi="Times New Roman"/>
          <w:sz w:val="24"/>
          <w:szCs w:val="24"/>
        </w:rPr>
        <w:t xml:space="preserve">Company then compounded this </w:t>
      </w:r>
      <w:r w:rsidR="000F555A">
        <w:rPr>
          <w:rFonts w:ascii="Times New Roman" w:hAnsi="Times New Roman"/>
          <w:sz w:val="24"/>
          <w:szCs w:val="24"/>
        </w:rPr>
        <w:t xml:space="preserve">calculated growth rate over 2.5 periods to escalate certain revenues, expenses and net plant to the rate year. </w:t>
      </w:r>
    </w:p>
    <w:p w14:paraId="0848C084" w14:textId="77777777" w:rsidR="000F555A" w:rsidRDefault="000F555A" w:rsidP="00254411">
      <w:pPr>
        <w:spacing w:after="0" w:line="480" w:lineRule="auto"/>
        <w:ind w:left="720" w:hanging="720"/>
        <w:rPr>
          <w:rFonts w:ascii="Times New Roman" w:hAnsi="Times New Roman"/>
          <w:sz w:val="24"/>
          <w:szCs w:val="24"/>
        </w:rPr>
      </w:pPr>
    </w:p>
    <w:p w14:paraId="23225C8D" w14:textId="5C30DD61" w:rsidR="00C946D5" w:rsidRDefault="004B603F" w:rsidP="00254411">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Should</w:t>
      </w:r>
      <w:r w:rsidR="00C946D5">
        <w:rPr>
          <w:rFonts w:ascii="Times New Roman" w:hAnsi="Times New Roman"/>
          <w:b/>
          <w:sz w:val="24"/>
          <w:szCs w:val="24"/>
        </w:rPr>
        <w:t xml:space="preserve"> the Commission accept the Company’s use of compound</w:t>
      </w:r>
      <w:r w:rsidR="001F19DD">
        <w:rPr>
          <w:rFonts w:ascii="Times New Roman" w:hAnsi="Times New Roman"/>
          <w:b/>
          <w:sz w:val="24"/>
          <w:szCs w:val="24"/>
        </w:rPr>
        <w:t>ing</w:t>
      </w:r>
      <w:r w:rsidR="00C946D5">
        <w:rPr>
          <w:rFonts w:ascii="Times New Roman" w:hAnsi="Times New Roman"/>
          <w:b/>
          <w:sz w:val="24"/>
          <w:szCs w:val="24"/>
        </w:rPr>
        <w:t xml:space="preserve"> growth rates?</w:t>
      </w:r>
    </w:p>
    <w:p w14:paraId="78456423" w14:textId="146C54CF" w:rsidR="00C946D5" w:rsidRDefault="00816AEC" w:rsidP="00254411">
      <w:pPr>
        <w:spacing w:after="0" w:line="480" w:lineRule="auto"/>
        <w:ind w:left="720" w:hanging="720"/>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t>No.  There are two</w:t>
      </w:r>
      <w:r w:rsidR="00C946D5">
        <w:rPr>
          <w:rFonts w:ascii="Times New Roman" w:hAnsi="Times New Roman"/>
          <w:sz w:val="24"/>
          <w:szCs w:val="24"/>
        </w:rPr>
        <w:t xml:space="preserve"> reasons why the Commission should not accept the Company’s use of compounding growth rates: 1) a compounding growth rate </w:t>
      </w:r>
      <w:r w:rsidR="00DD0BCB">
        <w:rPr>
          <w:rFonts w:ascii="Times New Roman" w:hAnsi="Times New Roman"/>
          <w:sz w:val="24"/>
          <w:szCs w:val="24"/>
        </w:rPr>
        <w:t>does not</w:t>
      </w:r>
      <w:r w:rsidR="00C946D5">
        <w:rPr>
          <w:rFonts w:ascii="Times New Roman" w:hAnsi="Times New Roman"/>
          <w:sz w:val="24"/>
          <w:szCs w:val="24"/>
        </w:rPr>
        <w:t xml:space="preserve"> describe the underlying data</w:t>
      </w:r>
      <w:r w:rsidR="00DD0BCB">
        <w:rPr>
          <w:rFonts w:ascii="Times New Roman" w:hAnsi="Times New Roman"/>
          <w:sz w:val="24"/>
          <w:szCs w:val="24"/>
        </w:rPr>
        <w:t xml:space="preserve"> with reasonable accuracy</w:t>
      </w:r>
      <w:r w:rsidR="00C946D5">
        <w:rPr>
          <w:rFonts w:ascii="Times New Roman" w:hAnsi="Times New Roman"/>
          <w:sz w:val="24"/>
          <w:szCs w:val="24"/>
        </w:rPr>
        <w:t xml:space="preserve">; </w:t>
      </w:r>
      <w:r>
        <w:rPr>
          <w:rFonts w:ascii="Times New Roman" w:hAnsi="Times New Roman"/>
          <w:sz w:val="24"/>
          <w:szCs w:val="24"/>
        </w:rPr>
        <w:t xml:space="preserve">and </w:t>
      </w:r>
      <w:r w:rsidR="00C946D5">
        <w:rPr>
          <w:rFonts w:ascii="Times New Roman" w:hAnsi="Times New Roman"/>
          <w:sz w:val="24"/>
          <w:szCs w:val="24"/>
        </w:rPr>
        <w:t>2) Avista’s us</w:t>
      </w:r>
      <w:r>
        <w:rPr>
          <w:rFonts w:ascii="Times New Roman" w:hAnsi="Times New Roman"/>
          <w:sz w:val="24"/>
          <w:szCs w:val="24"/>
        </w:rPr>
        <w:t>e of only two data points (in this case,</w:t>
      </w:r>
      <w:r w:rsidR="00C946D5">
        <w:rPr>
          <w:rFonts w:ascii="Times New Roman" w:hAnsi="Times New Roman"/>
          <w:sz w:val="24"/>
          <w:szCs w:val="24"/>
        </w:rPr>
        <w:t xml:space="preserve"> 2007 and 2012) generates a growth </w:t>
      </w:r>
      <w:r>
        <w:rPr>
          <w:rFonts w:ascii="Times New Roman" w:hAnsi="Times New Roman"/>
          <w:sz w:val="24"/>
          <w:szCs w:val="24"/>
        </w:rPr>
        <w:t>rate that is unreliable.</w:t>
      </w:r>
    </w:p>
    <w:p w14:paraId="191F8788" w14:textId="77777777" w:rsidR="00C946D5" w:rsidRDefault="00C946D5" w:rsidP="00254411">
      <w:pPr>
        <w:spacing w:after="0" w:line="480" w:lineRule="auto"/>
        <w:ind w:left="720" w:hanging="720"/>
        <w:rPr>
          <w:rFonts w:ascii="Times New Roman" w:hAnsi="Times New Roman"/>
          <w:sz w:val="24"/>
          <w:szCs w:val="24"/>
        </w:rPr>
      </w:pPr>
    </w:p>
    <w:p w14:paraId="699F26C6" w14:textId="2A63EA26" w:rsidR="00C946D5" w:rsidRDefault="00C946D5" w:rsidP="00254411">
      <w:pPr>
        <w:spacing w:after="0" w:line="480" w:lineRule="auto"/>
        <w:ind w:left="720" w:hanging="720"/>
        <w:rPr>
          <w:rFonts w:ascii="Times New Roman" w:hAnsi="Times New Roman"/>
          <w:sz w:val="24"/>
          <w:szCs w:val="24"/>
        </w:rPr>
      </w:pPr>
      <w:r w:rsidRPr="00B1504D">
        <w:rPr>
          <w:rFonts w:ascii="Times New Roman" w:hAnsi="Times New Roman"/>
          <w:b/>
          <w:sz w:val="24"/>
          <w:szCs w:val="24"/>
        </w:rPr>
        <w:t>Q.</w:t>
      </w:r>
      <w:r w:rsidRPr="00B1504D">
        <w:rPr>
          <w:rFonts w:ascii="Times New Roman" w:hAnsi="Times New Roman"/>
          <w:b/>
          <w:sz w:val="24"/>
          <w:szCs w:val="24"/>
        </w:rPr>
        <w:tab/>
      </w:r>
      <w:r>
        <w:rPr>
          <w:rFonts w:ascii="Times New Roman" w:hAnsi="Times New Roman"/>
          <w:b/>
          <w:sz w:val="24"/>
          <w:szCs w:val="24"/>
        </w:rPr>
        <w:t xml:space="preserve">Please explain how Avista’s </w:t>
      </w:r>
      <w:r w:rsidRPr="00090F6C">
        <w:rPr>
          <w:rFonts w:ascii="Times New Roman" w:hAnsi="Times New Roman"/>
          <w:b/>
          <w:sz w:val="24"/>
          <w:szCs w:val="24"/>
        </w:rPr>
        <w:t>compounding growth rate</w:t>
      </w:r>
      <w:r>
        <w:rPr>
          <w:rFonts w:ascii="Times New Roman" w:hAnsi="Times New Roman"/>
          <w:b/>
          <w:sz w:val="24"/>
          <w:szCs w:val="24"/>
        </w:rPr>
        <w:t>s</w:t>
      </w:r>
      <w:r w:rsidRPr="00090F6C">
        <w:rPr>
          <w:rFonts w:ascii="Times New Roman" w:hAnsi="Times New Roman"/>
          <w:b/>
          <w:sz w:val="24"/>
          <w:szCs w:val="24"/>
        </w:rPr>
        <w:t xml:space="preserve"> </w:t>
      </w:r>
      <w:r w:rsidR="00DD0BCB">
        <w:rPr>
          <w:rFonts w:ascii="Times New Roman" w:hAnsi="Times New Roman"/>
          <w:b/>
          <w:sz w:val="24"/>
          <w:szCs w:val="24"/>
        </w:rPr>
        <w:t>do not</w:t>
      </w:r>
      <w:r w:rsidRPr="00090F6C">
        <w:rPr>
          <w:rFonts w:ascii="Times New Roman" w:hAnsi="Times New Roman"/>
          <w:b/>
          <w:sz w:val="24"/>
          <w:szCs w:val="24"/>
        </w:rPr>
        <w:t xml:space="preserve"> describe the underlying data</w:t>
      </w:r>
      <w:r w:rsidR="00DD0BCB">
        <w:rPr>
          <w:rFonts w:ascii="Times New Roman" w:hAnsi="Times New Roman"/>
          <w:b/>
          <w:sz w:val="24"/>
          <w:szCs w:val="24"/>
        </w:rPr>
        <w:t xml:space="preserve"> with reasonable accuracy</w:t>
      </w:r>
      <w:r>
        <w:rPr>
          <w:rFonts w:ascii="Times New Roman" w:hAnsi="Times New Roman"/>
          <w:b/>
          <w:sz w:val="24"/>
          <w:szCs w:val="24"/>
        </w:rPr>
        <w:t>.</w:t>
      </w:r>
      <w:r>
        <w:rPr>
          <w:rFonts w:ascii="Times New Roman" w:hAnsi="Times New Roman"/>
          <w:sz w:val="24"/>
          <w:szCs w:val="24"/>
        </w:rPr>
        <w:t xml:space="preserve">  </w:t>
      </w:r>
    </w:p>
    <w:p w14:paraId="34F340CE" w14:textId="77777777" w:rsidR="001F19DD" w:rsidRDefault="00C946D5" w:rsidP="00254411">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Avista used a compounding growth rate calculated as the annual compounding rate that</w:t>
      </w:r>
      <w:r w:rsidR="001F19DD">
        <w:rPr>
          <w:rFonts w:ascii="Times New Roman" w:hAnsi="Times New Roman"/>
          <w:sz w:val="24"/>
          <w:szCs w:val="24"/>
        </w:rPr>
        <w:t>,</w:t>
      </w:r>
      <w:r>
        <w:rPr>
          <w:rFonts w:ascii="Times New Roman" w:hAnsi="Times New Roman"/>
          <w:sz w:val="24"/>
          <w:szCs w:val="24"/>
        </w:rPr>
        <w:t xml:space="preserve"> when applied to actual 2007 values over five periods</w:t>
      </w:r>
      <w:r w:rsidR="001F19DD">
        <w:rPr>
          <w:rFonts w:ascii="Times New Roman" w:hAnsi="Times New Roman"/>
          <w:sz w:val="24"/>
          <w:szCs w:val="24"/>
        </w:rPr>
        <w:t>,</w:t>
      </w:r>
      <w:r>
        <w:rPr>
          <w:rFonts w:ascii="Times New Roman" w:hAnsi="Times New Roman"/>
          <w:sz w:val="24"/>
          <w:szCs w:val="24"/>
        </w:rPr>
        <w:t xml:space="preserve"> gives actual 2012 values.</w:t>
      </w:r>
      <w:r w:rsidR="00090F6C">
        <w:rPr>
          <w:rFonts w:ascii="Times New Roman" w:hAnsi="Times New Roman"/>
          <w:sz w:val="24"/>
          <w:szCs w:val="24"/>
        </w:rPr>
        <w:t xml:space="preserve"> </w:t>
      </w:r>
      <w:r w:rsidR="001F19DD">
        <w:rPr>
          <w:rFonts w:ascii="Times New Roman" w:hAnsi="Times New Roman"/>
          <w:sz w:val="24"/>
          <w:szCs w:val="24"/>
        </w:rPr>
        <w:t xml:space="preserve"> </w:t>
      </w:r>
      <w:r>
        <w:rPr>
          <w:rFonts w:ascii="Times New Roman" w:hAnsi="Times New Roman"/>
          <w:sz w:val="24"/>
          <w:szCs w:val="24"/>
        </w:rPr>
        <w:t xml:space="preserve">If the underlying data were to follow the compounding annual growth rate suggested by these two points (2007 and 2012), then data from 2008, 2009, 2010, and 2011 could be </w:t>
      </w:r>
      <w:r>
        <w:rPr>
          <w:rFonts w:ascii="Times New Roman" w:hAnsi="Times New Roman"/>
          <w:sz w:val="24"/>
          <w:szCs w:val="24"/>
        </w:rPr>
        <w:lastRenderedPageBreak/>
        <w:t xml:space="preserve">reasonably imputed by applying the compounding growth rate formula from 2007 to those years.  </w:t>
      </w:r>
    </w:p>
    <w:p w14:paraId="73EF187E" w14:textId="59A9B691" w:rsidR="004C3EE1" w:rsidRDefault="001F19DD" w:rsidP="00254411">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C946D5">
        <w:rPr>
          <w:rFonts w:ascii="Times New Roman" w:hAnsi="Times New Roman"/>
          <w:sz w:val="24"/>
          <w:szCs w:val="24"/>
        </w:rPr>
        <w:t>However, the data</w:t>
      </w:r>
      <w:r w:rsidR="00A53150">
        <w:rPr>
          <w:rFonts w:ascii="Times New Roman" w:hAnsi="Times New Roman"/>
          <w:sz w:val="24"/>
          <w:szCs w:val="24"/>
        </w:rPr>
        <w:t xml:space="preserve"> from those years can</w:t>
      </w:r>
      <w:r w:rsidR="00C946D5">
        <w:rPr>
          <w:rFonts w:ascii="Times New Roman" w:hAnsi="Times New Roman"/>
          <w:sz w:val="24"/>
          <w:szCs w:val="24"/>
        </w:rPr>
        <w:t xml:space="preserve"> be </w:t>
      </w:r>
      <w:r w:rsidR="00A53150">
        <w:rPr>
          <w:rFonts w:ascii="Times New Roman" w:hAnsi="Times New Roman"/>
          <w:sz w:val="24"/>
          <w:szCs w:val="24"/>
        </w:rPr>
        <w:t>better imputed using a simple least squares linear regression</w:t>
      </w:r>
      <w:r w:rsidR="00C946D5">
        <w:rPr>
          <w:rFonts w:ascii="Times New Roman" w:hAnsi="Times New Roman"/>
          <w:sz w:val="24"/>
          <w:szCs w:val="24"/>
        </w:rPr>
        <w:t>.</w:t>
      </w:r>
      <w:r>
        <w:rPr>
          <w:rFonts w:ascii="Times New Roman" w:hAnsi="Times New Roman"/>
          <w:sz w:val="24"/>
          <w:szCs w:val="24"/>
        </w:rPr>
        <w:t xml:space="preserve">  </w:t>
      </w:r>
      <w:r w:rsidR="00A53150">
        <w:rPr>
          <w:rFonts w:ascii="Times New Roman" w:hAnsi="Times New Roman"/>
          <w:sz w:val="24"/>
          <w:szCs w:val="24"/>
        </w:rPr>
        <w:t xml:space="preserve">For example, </w:t>
      </w:r>
      <w:r>
        <w:rPr>
          <w:rFonts w:ascii="Times New Roman" w:hAnsi="Times New Roman"/>
          <w:sz w:val="24"/>
          <w:szCs w:val="24"/>
        </w:rPr>
        <w:t xml:space="preserve">I provide </w:t>
      </w:r>
      <w:r w:rsidR="00A53150">
        <w:rPr>
          <w:rFonts w:ascii="Times New Roman" w:hAnsi="Times New Roman"/>
          <w:sz w:val="24"/>
          <w:szCs w:val="24"/>
        </w:rPr>
        <w:t xml:space="preserve">below a graph of electric net plant after deferred income tax over the period 2007-2012. </w:t>
      </w:r>
      <w:r>
        <w:rPr>
          <w:rFonts w:ascii="Times New Roman" w:hAnsi="Times New Roman"/>
          <w:sz w:val="24"/>
          <w:szCs w:val="24"/>
        </w:rPr>
        <w:t xml:space="preserve"> </w:t>
      </w:r>
      <w:r w:rsidR="00A53150">
        <w:rPr>
          <w:rFonts w:ascii="Times New Roman" w:hAnsi="Times New Roman"/>
          <w:sz w:val="24"/>
          <w:szCs w:val="24"/>
        </w:rPr>
        <w:t>The upper line is the least squares linear regression over 2007 to 2012 inclusive, and the lower curve is the compounding curve calculated from the two data points of 2007 and 2012</w:t>
      </w:r>
      <w:r>
        <w:rPr>
          <w:rFonts w:ascii="Times New Roman" w:hAnsi="Times New Roman"/>
          <w:sz w:val="24"/>
          <w:szCs w:val="24"/>
        </w:rPr>
        <w:t>; the method Avista used</w:t>
      </w:r>
      <w:r w:rsidR="00A53150">
        <w:rPr>
          <w:rFonts w:ascii="Times New Roman" w:hAnsi="Times New Roman"/>
          <w:sz w:val="24"/>
          <w:szCs w:val="24"/>
        </w:rPr>
        <w:t>.</w:t>
      </w:r>
    </w:p>
    <w:p w14:paraId="20F8A7AD" w14:textId="601A1A7C" w:rsidR="004C3EE1" w:rsidRDefault="004C3EE1" w:rsidP="004C3EE1">
      <w:pPr>
        <w:spacing w:line="480" w:lineRule="auto"/>
        <w:ind w:left="1440" w:hanging="720"/>
        <w:rPr>
          <w:rFonts w:ascii="Times New Roman" w:hAnsi="Times New Roman"/>
          <w:sz w:val="24"/>
          <w:szCs w:val="24"/>
        </w:rPr>
      </w:pPr>
      <w:r>
        <w:rPr>
          <w:noProof/>
        </w:rPr>
        <w:drawing>
          <wp:inline distT="0" distB="0" distL="0" distR="0" wp14:anchorId="6476FC4F" wp14:editId="5C3B1A16">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CE24B02" w14:textId="4A0A6043" w:rsidR="001F19DD" w:rsidRDefault="004C3EE1" w:rsidP="00254411">
      <w:pPr>
        <w:spacing w:after="0" w:line="480" w:lineRule="auto"/>
        <w:ind w:left="720"/>
        <w:rPr>
          <w:rFonts w:ascii="Times New Roman" w:hAnsi="Times New Roman"/>
          <w:sz w:val="24"/>
          <w:szCs w:val="24"/>
        </w:rPr>
      </w:pPr>
      <w:r>
        <w:rPr>
          <w:rFonts w:ascii="Times New Roman" w:hAnsi="Times New Roman"/>
          <w:sz w:val="24"/>
          <w:szCs w:val="24"/>
        </w:rPr>
        <w:t>What this graph demonstrates is that the least squares linear regression produces a better fit over the whole data series than does</w:t>
      </w:r>
      <w:r w:rsidR="00CF26D5">
        <w:rPr>
          <w:rFonts w:ascii="Times New Roman" w:hAnsi="Times New Roman"/>
          <w:sz w:val="24"/>
          <w:szCs w:val="24"/>
        </w:rPr>
        <w:t xml:space="preserve"> a compounding curve. </w:t>
      </w:r>
      <w:r w:rsidR="001F19DD">
        <w:rPr>
          <w:rFonts w:ascii="Times New Roman" w:hAnsi="Times New Roman"/>
          <w:sz w:val="24"/>
          <w:szCs w:val="24"/>
        </w:rPr>
        <w:t xml:space="preserve"> </w:t>
      </w:r>
      <w:r w:rsidR="00CF26D5">
        <w:rPr>
          <w:rFonts w:ascii="Times New Roman" w:hAnsi="Times New Roman"/>
          <w:sz w:val="24"/>
          <w:szCs w:val="24"/>
        </w:rPr>
        <w:t>Although the compounding curve perfectly describes the first and the last data poi</w:t>
      </w:r>
      <w:r w:rsidR="0024248B">
        <w:rPr>
          <w:rFonts w:ascii="Times New Roman" w:hAnsi="Times New Roman"/>
          <w:sz w:val="24"/>
          <w:szCs w:val="24"/>
        </w:rPr>
        <w:t>nt in the time series, it does not provide a reasonably accurate description of</w:t>
      </w:r>
      <w:r w:rsidR="00CF26D5">
        <w:rPr>
          <w:rFonts w:ascii="Times New Roman" w:hAnsi="Times New Roman"/>
          <w:sz w:val="24"/>
          <w:szCs w:val="24"/>
        </w:rPr>
        <w:t xml:space="preserve"> the data in between those two points. </w:t>
      </w:r>
      <w:r w:rsidR="001F19DD">
        <w:rPr>
          <w:rFonts w:ascii="Times New Roman" w:hAnsi="Times New Roman"/>
          <w:sz w:val="24"/>
          <w:szCs w:val="24"/>
        </w:rPr>
        <w:t xml:space="preserve"> </w:t>
      </w:r>
      <w:r w:rsidR="00DD0BCB">
        <w:rPr>
          <w:rFonts w:ascii="Times New Roman" w:hAnsi="Times New Roman"/>
          <w:sz w:val="24"/>
          <w:szCs w:val="24"/>
        </w:rPr>
        <w:t>Statistically speaking, the model “error” produced from a compounding curve is greater than the error produced from a linear regression.</w:t>
      </w:r>
    </w:p>
    <w:p w14:paraId="03E2FFDE" w14:textId="670B6CE2" w:rsidR="00F80134" w:rsidRDefault="001F19DD" w:rsidP="00254411">
      <w:pPr>
        <w:spacing w:after="0" w:line="480" w:lineRule="auto"/>
        <w:ind w:left="720"/>
        <w:rPr>
          <w:rFonts w:ascii="Times New Roman" w:hAnsi="Times New Roman"/>
          <w:sz w:val="24"/>
          <w:szCs w:val="24"/>
        </w:rPr>
      </w:pPr>
      <w:r>
        <w:rPr>
          <w:rFonts w:ascii="Times New Roman" w:hAnsi="Times New Roman"/>
          <w:sz w:val="24"/>
          <w:szCs w:val="24"/>
        </w:rPr>
        <w:tab/>
      </w:r>
      <w:r w:rsidR="00CF26D5">
        <w:rPr>
          <w:rFonts w:ascii="Times New Roman" w:hAnsi="Times New Roman"/>
          <w:sz w:val="24"/>
          <w:szCs w:val="24"/>
        </w:rPr>
        <w:t xml:space="preserve">When choosing a shape for describing historical growth rates, it is important to choose a shape that is appropriate for the underlying data. </w:t>
      </w:r>
      <w:r>
        <w:rPr>
          <w:rFonts w:ascii="Times New Roman" w:hAnsi="Times New Roman"/>
          <w:sz w:val="24"/>
          <w:szCs w:val="24"/>
        </w:rPr>
        <w:t xml:space="preserve"> </w:t>
      </w:r>
      <w:r w:rsidR="00CF26D5">
        <w:rPr>
          <w:rFonts w:ascii="Times New Roman" w:hAnsi="Times New Roman"/>
          <w:sz w:val="24"/>
          <w:szCs w:val="24"/>
        </w:rPr>
        <w:t xml:space="preserve">From the graph above, it is </w:t>
      </w:r>
      <w:r w:rsidR="00CF26D5">
        <w:rPr>
          <w:rFonts w:ascii="Times New Roman" w:hAnsi="Times New Roman"/>
          <w:sz w:val="24"/>
          <w:szCs w:val="24"/>
        </w:rPr>
        <w:lastRenderedPageBreak/>
        <w:t>clear that the data are better described by a linear rate of growth than a compounding curve.</w:t>
      </w:r>
      <w:r w:rsidR="005277D3">
        <w:rPr>
          <w:rFonts w:ascii="Times New Roman" w:hAnsi="Times New Roman"/>
          <w:sz w:val="24"/>
          <w:szCs w:val="24"/>
        </w:rPr>
        <w:t xml:space="preserve"> </w:t>
      </w:r>
    </w:p>
    <w:p w14:paraId="3284E720" w14:textId="77777777" w:rsidR="00F80134" w:rsidRDefault="00F80134" w:rsidP="00CB5D3D">
      <w:pPr>
        <w:spacing w:after="0" w:line="480" w:lineRule="auto"/>
        <w:rPr>
          <w:rFonts w:ascii="Times New Roman" w:hAnsi="Times New Roman"/>
          <w:sz w:val="24"/>
          <w:szCs w:val="24"/>
        </w:rPr>
      </w:pPr>
    </w:p>
    <w:p w14:paraId="13727CA0" w14:textId="57E0919C" w:rsidR="00C946D5" w:rsidRPr="00F80134" w:rsidRDefault="00C946D5" w:rsidP="00CB5D3D">
      <w:pPr>
        <w:spacing w:after="0" w:line="480" w:lineRule="auto"/>
        <w:ind w:left="720" w:hanging="720"/>
        <w:rPr>
          <w:rFonts w:ascii="Times New Roman" w:hAnsi="Times New Roman"/>
          <w:sz w:val="24"/>
          <w:szCs w:val="24"/>
        </w:rPr>
      </w:pPr>
      <w:r>
        <w:rPr>
          <w:rFonts w:ascii="Times New Roman" w:hAnsi="Times New Roman"/>
          <w:b/>
          <w:sz w:val="24"/>
          <w:szCs w:val="24"/>
        </w:rPr>
        <w:t>Q.</w:t>
      </w:r>
      <w:r>
        <w:rPr>
          <w:rFonts w:ascii="Times New Roman" w:hAnsi="Times New Roman"/>
          <w:b/>
          <w:sz w:val="24"/>
          <w:szCs w:val="24"/>
        </w:rPr>
        <w:tab/>
        <w:t xml:space="preserve">Please explain why Avista’s </w:t>
      </w:r>
      <w:r w:rsidRPr="009A7367">
        <w:rPr>
          <w:rFonts w:ascii="Times New Roman" w:hAnsi="Times New Roman"/>
          <w:b/>
          <w:sz w:val="24"/>
          <w:szCs w:val="24"/>
        </w:rPr>
        <w:t xml:space="preserve">use of </w:t>
      </w:r>
      <w:r w:rsidR="00E95705">
        <w:rPr>
          <w:rFonts w:ascii="Times New Roman" w:hAnsi="Times New Roman"/>
          <w:b/>
          <w:sz w:val="24"/>
          <w:szCs w:val="24"/>
        </w:rPr>
        <w:t>only two data points (i.e.,</w:t>
      </w:r>
      <w:r w:rsidRPr="009A7367">
        <w:rPr>
          <w:rFonts w:ascii="Times New Roman" w:hAnsi="Times New Roman"/>
          <w:b/>
          <w:sz w:val="24"/>
          <w:szCs w:val="24"/>
        </w:rPr>
        <w:t xml:space="preserve"> 2007 and 2012) generates a growth rate that is unreliable</w:t>
      </w:r>
      <w:r>
        <w:rPr>
          <w:rFonts w:ascii="Times New Roman" w:hAnsi="Times New Roman"/>
          <w:b/>
          <w:sz w:val="24"/>
          <w:szCs w:val="24"/>
        </w:rPr>
        <w:t>.</w:t>
      </w:r>
    </w:p>
    <w:p w14:paraId="3B76ADDF" w14:textId="0107D0BF" w:rsidR="00C946D5" w:rsidRDefault="00C946D5" w:rsidP="00CB5D3D">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Avista’s use of only two data points (i.e., from 2007 and 2012) to estimate</w:t>
      </w:r>
      <w:r w:rsidR="009F0499">
        <w:rPr>
          <w:rFonts w:ascii="Times New Roman" w:hAnsi="Times New Roman"/>
          <w:sz w:val="24"/>
          <w:szCs w:val="24"/>
        </w:rPr>
        <w:t xml:space="preserve"> a trend is unreliable because</w:t>
      </w:r>
      <w:r w:rsidR="00763F10">
        <w:rPr>
          <w:rFonts w:ascii="Times New Roman" w:hAnsi="Times New Roman"/>
          <w:sz w:val="24"/>
          <w:szCs w:val="24"/>
        </w:rPr>
        <w:t xml:space="preserve"> the apparent growth rate is unduly influenced by only two years of a </w:t>
      </w:r>
      <w:r w:rsidR="00E95705">
        <w:rPr>
          <w:rFonts w:ascii="Times New Roman" w:hAnsi="Times New Roman"/>
          <w:sz w:val="24"/>
          <w:szCs w:val="24"/>
        </w:rPr>
        <w:t xml:space="preserve">much </w:t>
      </w:r>
      <w:r w:rsidR="00763F10">
        <w:rPr>
          <w:rFonts w:ascii="Times New Roman" w:hAnsi="Times New Roman"/>
          <w:sz w:val="24"/>
          <w:szCs w:val="24"/>
        </w:rPr>
        <w:t>larger data series</w:t>
      </w:r>
      <w:r w:rsidR="009F0499">
        <w:rPr>
          <w:rFonts w:ascii="Times New Roman" w:hAnsi="Times New Roman"/>
          <w:sz w:val="24"/>
          <w:szCs w:val="24"/>
        </w:rPr>
        <w:t xml:space="preserve">. </w:t>
      </w:r>
      <w:r w:rsidR="001F19DD">
        <w:rPr>
          <w:rFonts w:ascii="Times New Roman" w:hAnsi="Times New Roman"/>
          <w:sz w:val="24"/>
          <w:szCs w:val="24"/>
        </w:rPr>
        <w:t xml:space="preserve"> </w:t>
      </w:r>
      <w:r w:rsidR="009F0499">
        <w:rPr>
          <w:rFonts w:ascii="Times New Roman" w:hAnsi="Times New Roman"/>
          <w:sz w:val="24"/>
          <w:szCs w:val="24"/>
        </w:rPr>
        <w:t>In addition to relying too heavily upon limited and potentially non-representative data,</w:t>
      </w:r>
      <w:r w:rsidR="00763F10">
        <w:rPr>
          <w:rFonts w:ascii="Times New Roman" w:hAnsi="Times New Roman"/>
          <w:sz w:val="24"/>
          <w:szCs w:val="24"/>
        </w:rPr>
        <w:t xml:space="preserve"> any irregularity,</w:t>
      </w:r>
      <w:r>
        <w:rPr>
          <w:rFonts w:ascii="Times New Roman" w:hAnsi="Times New Roman"/>
          <w:sz w:val="24"/>
          <w:szCs w:val="24"/>
        </w:rPr>
        <w:t xml:space="preserve"> abnormality </w:t>
      </w:r>
      <w:r w:rsidR="00763F10">
        <w:rPr>
          <w:rFonts w:ascii="Times New Roman" w:hAnsi="Times New Roman"/>
          <w:sz w:val="24"/>
          <w:szCs w:val="24"/>
        </w:rPr>
        <w:t xml:space="preserve">or error </w:t>
      </w:r>
      <w:r>
        <w:rPr>
          <w:rFonts w:ascii="Times New Roman" w:hAnsi="Times New Roman"/>
          <w:sz w:val="24"/>
          <w:szCs w:val="24"/>
        </w:rPr>
        <w:t>in either of those two data</w:t>
      </w:r>
      <w:r w:rsidR="009F0499">
        <w:rPr>
          <w:rFonts w:ascii="Times New Roman" w:hAnsi="Times New Roman"/>
          <w:sz w:val="24"/>
          <w:szCs w:val="24"/>
        </w:rPr>
        <w:t xml:space="preserve"> points will be fully reflected in the apparent</w:t>
      </w:r>
      <w:r w:rsidR="00763F10">
        <w:rPr>
          <w:rFonts w:ascii="Times New Roman" w:hAnsi="Times New Roman"/>
          <w:sz w:val="24"/>
          <w:szCs w:val="24"/>
        </w:rPr>
        <w:t xml:space="preserve"> rate of growth across the time series.</w:t>
      </w:r>
      <w:r w:rsidR="009F0499">
        <w:rPr>
          <w:rFonts w:ascii="Times New Roman" w:hAnsi="Times New Roman"/>
          <w:sz w:val="24"/>
          <w:szCs w:val="24"/>
        </w:rPr>
        <w:t xml:space="preserve"> </w:t>
      </w:r>
      <w:r w:rsidR="001F19DD">
        <w:rPr>
          <w:rFonts w:ascii="Times New Roman" w:hAnsi="Times New Roman"/>
          <w:sz w:val="24"/>
          <w:szCs w:val="24"/>
        </w:rPr>
        <w:t xml:space="preserve"> </w:t>
      </w:r>
      <w:r w:rsidR="009F0499">
        <w:rPr>
          <w:rFonts w:ascii="Times New Roman" w:hAnsi="Times New Roman"/>
          <w:sz w:val="24"/>
          <w:szCs w:val="24"/>
        </w:rPr>
        <w:t xml:space="preserve">By </w:t>
      </w:r>
      <w:r w:rsidR="001A3947">
        <w:rPr>
          <w:rFonts w:ascii="Times New Roman" w:hAnsi="Times New Roman"/>
          <w:sz w:val="24"/>
          <w:szCs w:val="24"/>
        </w:rPr>
        <w:t xml:space="preserve">using a larger data set when performing a trend analysis, the impact of an anomaly in a single data point is dampened by the diminished weight of an individual data point. </w:t>
      </w:r>
    </w:p>
    <w:p w14:paraId="52F916F5" w14:textId="77777777" w:rsidR="00C946D5" w:rsidRDefault="00C946D5" w:rsidP="00CB5D3D">
      <w:pPr>
        <w:spacing w:after="0" w:line="480" w:lineRule="auto"/>
        <w:ind w:left="720" w:hanging="720"/>
        <w:rPr>
          <w:rFonts w:ascii="Times New Roman" w:hAnsi="Times New Roman"/>
          <w:sz w:val="24"/>
          <w:szCs w:val="24"/>
        </w:rPr>
      </w:pPr>
    </w:p>
    <w:p w14:paraId="38F291C4" w14:textId="7D5E42AE" w:rsidR="00C946D5" w:rsidRPr="00F13668" w:rsidRDefault="00F77954" w:rsidP="00CB5D3D">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Can you provide</w:t>
      </w:r>
      <w:r w:rsidR="00C946D5">
        <w:rPr>
          <w:rFonts w:ascii="Times New Roman" w:hAnsi="Times New Roman"/>
          <w:b/>
          <w:sz w:val="24"/>
          <w:szCs w:val="24"/>
        </w:rPr>
        <w:t xml:space="preserve"> examples demonstrating </w:t>
      </w:r>
      <w:r>
        <w:rPr>
          <w:rFonts w:ascii="Times New Roman" w:hAnsi="Times New Roman"/>
          <w:b/>
          <w:sz w:val="24"/>
          <w:szCs w:val="24"/>
        </w:rPr>
        <w:t>the problems you mention above associated with</w:t>
      </w:r>
      <w:r w:rsidR="00C946D5">
        <w:rPr>
          <w:rFonts w:ascii="Times New Roman" w:hAnsi="Times New Roman"/>
          <w:b/>
          <w:sz w:val="24"/>
          <w:szCs w:val="24"/>
        </w:rPr>
        <w:t xml:space="preserve"> relying upon just two data points to calculate a growth rat</w:t>
      </w:r>
      <w:r>
        <w:rPr>
          <w:rFonts w:ascii="Times New Roman" w:hAnsi="Times New Roman"/>
          <w:b/>
          <w:sz w:val="24"/>
          <w:szCs w:val="24"/>
        </w:rPr>
        <w:t>e</w:t>
      </w:r>
      <w:r w:rsidR="00C946D5">
        <w:rPr>
          <w:rFonts w:ascii="Times New Roman" w:hAnsi="Times New Roman"/>
          <w:b/>
          <w:sz w:val="24"/>
          <w:szCs w:val="24"/>
        </w:rPr>
        <w:t>?</w:t>
      </w:r>
    </w:p>
    <w:p w14:paraId="06A9069B" w14:textId="51417E64" w:rsidR="00F77954" w:rsidRDefault="00C946D5" w:rsidP="00CB5D3D">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Yes.  </w:t>
      </w:r>
      <w:r w:rsidR="00D32B2C">
        <w:rPr>
          <w:rFonts w:ascii="Times New Roman" w:hAnsi="Times New Roman"/>
          <w:sz w:val="24"/>
          <w:szCs w:val="24"/>
        </w:rPr>
        <w:t xml:space="preserve">If I were to use only data from 2007 and 2012, and if 2007 had been a below-average year in terms </w:t>
      </w:r>
      <w:r w:rsidR="009F0499">
        <w:rPr>
          <w:rFonts w:ascii="Times New Roman" w:hAnsi="Times New Roman"/>
          <w:sz w:val="24"/>
          <w:szCs w:val="24"/>
        </w:rPr>
        <w:t>of transfers to plant in service</w:t>
      </w:r>
      <w:r w:rsidR="00D32B2C">
        <w:rPr>
          <w:rFonts w:ascii="Times New Roman" w:hAnsi="Times New Roman"/>
          <w:sz w:val="24"/>
          <w:szCs w:val="24"/>
        </w:rPr>
        <w:t xml:space="preserve"> and 2012 had been an above-average year, then the rate of growth in plant would appear to be substantially </w:t>
      </w:r>
      <w:r w:rsidR="00F22C7A">
        <w:rPr>
          <w:rFonts w:ascii="Times New Roman" w:hAnsi="Times New Roman"/>
          <w:sz w:val="24"/>
          <w:szCs w:val="24"/>
        </w:rPr>
        <w:t>larger than a</w:t>
      </w:r>
      <w:r w:rsidR="009F0499">
        <w:rPr>
          <w:rFonts w:ascii="Times New Roman" w:hAnsi="Times New Roman"/>
          <w:sz w:val="24"/>
          <w:szCs w:val="24"/>
        </w:rPr>
        <w:t xml:space="preserve"> complete record would </w:t>
      </w:r>
      <w:r w:rsidR="00E95705">
        <w:rPr>
          <w:rFonts w:ascii="Times New Roman" w:hAnsi="Times New Roman"/>
          <w:sz w:val="24"/>
          <w:szCs w:val="24"/>
        </w:rPr>
        <w:t xml:space="preserve">otherwise </w:t>
      </w:r>
      <w:r w:rsidR="009F0499">
        <w:rPr>
          <w:rFonts w:ascii="Times New Roman" w:hAnsi="Times New Roman"/>
          <w:sz w:val="24"/>
          <w:szCs w:val="24"/>
        </w:rPr>
        <w:t>indicate</w:t>
      </w:r>
      <w:r w:rsidR="00D32B2C">
        <w:rPr>
          <w:rFonts w:ascii="Times New Roman" w:hAnsi="Times New Roman"/>
          <w:sz w:val="24"/>
          <w:szCs w:val="24"/>
        </w:rPr>
        <w:t>.  In a plot of the historical net plant data (</w:t>
      </w:r>
      <w:r w:rsidR="00D32B2C" w:rsidRPr="00B2517E">
        <w:rPr>
          <w:rFonts w:ascii="Times New Roman" w:hAnsi="Times New Roman"/>
          <w:i/>
          <w:sz w:val="24"/>
          <w:szCs w:val="24"/>
        </w:rPr>
        <w:t>See</w:t>
      </w:r>
      <w:r w:rsidR="00D32B2C">
        <w:rPr>
          <w:rFonts w:ascii="Times New Roman" w:hAnsi="Times New Roman"/>
          <w:sz w:val="24"/>
          <w:szCs w:val="24"/>
        </w:rPr>
        <w:t xml:space="preserve"> my </w:t>
      </w:r>
      <w:r w:rsidR="00D32B2C" w:rsidRPr="00F966FD">
        <w:rPr>
          <w:rFonts w:ascii="Times New Roman" w:hAnsi="Times New Roman"/>
          <w:sz w:val="24"/>
          <w:szCs w:val="24"/>
        </w:rPr>
        <w:t xml:space="preserve">Exhibit No.__CRM-2, </w:t>
      </w:r>
      <w:r w:rsidR="00D32B2C" w:rsidRPr="00742317">
        <w:rPr>
          <w:rFonts w:ascii="Times New Roman" w:hAnsi="Times New Roman"/>
          <w:sz w:val="24"/>
          <w:szCs w:val="24"/>
        </w:rPr>
        <w:t>page 6</w:t>
      </w:r>
      <w:r w:rsidR="00D32B2C" w:rsidRPr="00F966FD">
        <w:rPr>
          <w:rFonts w:ascii="Times New Roman" w:hAnsi="Times New Roman"/>
          <w:sz w:val="24"/>
          <w:szCs w:val="24"/>
        </w:rPr>
        <w:t xml:space="preserve">, and </w:t>
      </w:r>
      <w:r w:rsidR="00D32B2C">
        <w:rPr>
          <w:rFonts w:ascii="Times New Roman" w:hAnsi="Times New Roman"/>
          <w:sz w:val="24"/>
          <w:szCs w:val="24"/>
        </w:rPr>
        <w:t xml:space="preserve">my </w:t>
      </w:r>
      <w:r w:rsidR="00D32B2C" w:rsidRPr="00F966FD">
        <w:rPr>
          <w:rFonts w:ascii="Times New Roman" w:hAnsi="Times New Roman"/>
          <w:sz w:val="24"/>
          <w:szCs w:val="24"/>
        </w:rPr>
        <w:t xml:space="preserve">Exhibit No.__CRM-3, </w:t>
      </w:r>
      <w:r w:rsidR="00D32B2C" w:rsidRPr="00742317">
        <w:rPr>
          <w:rFonts w:ascii="Times New Roman" w:hAnsi="Times New Roman"/>
          <w:sz w:val="24"/>
          <w:szCs w:val="24"/>
        </w:rPr>
        <w:t>page 6</w:t>
      </w:r>
      <w:r w:rsidR="00D32B2C">
        <w:rPr>
          <w:rFonts w:ascii="Times New Roman" w:hAnsi="Times New Roman"/>
          <w:sz w:val="24"/>
          <w:szCs w:val="24"/>
        </w:rPr>
        <w:t>), it appears that 2007 may in</w:t>
      </w:r>
      <w:r w:rsidR="001F19DD">
        <w:rPr>
          <w:rFonts w:ascii="Times New Roman" w:hAnsi="Times New Roman"/>
          <w:sz w:val="24"/>
          <w:szCs w:val="24"/>
        </w:rPr>
        <w:t xml:space="preserve"> fact </w:t>
      </w:r>
      <w:r w:rsidR="00D32B2C">
        <w:rPr>
          <w:rFonts w:ascii="Times New Roman" w:hAnsi="Times New Roman"/>
          <w:sz w:val="24"/>
          <w:szCs w:val="24"/>
        </w:rPr>
        <w:t xml:space="preserve">have been an irregularly slow year in terms of </w:t>
      </w:r>
      <w:r w:rsidR="009F0499">
        <w:rPr>
          <w:rFonts w:ascii="Times New Roman" w:hAnsi="Times New Roman"/>
          <w:sz w:val="24"/>
          <w:szCs w:val="24"/>
        </w:rPr>
        <w:t>transfers to plant</w:t>
      </w:r>
      <w:r w:rsidR="00D32B2C">
        <w:rPr>
          <w:rFonts w:ascii="Times New Roman" w:hAnsi="Times New Roman"/>
          <w:sz w:val="24"/>
          <w:szCs w:val="24"/>
        </w:rPr>
        <w:t xml:space="preserve"> for both electric and natural gas service.  Thus, the rate of growth calculated using 2007 levels as the starting data point may </w:t>
      </w:r>
      <w:r w:rsidR="001F19DD">
        <w:rPr>
          <w:rFonts w:ascii="Times New Roman" w:hAnsi="Times New Roman"/>
          <w:sz w:val="24"/>
          <w:szCs w:val="24"/>
        </w:rPr>
        <w:t xml:space="preserve">well </w:t>
      </w:r>
      <w:r w:rsidR="00D32B2C">
        <w:rPr>
          <w:rFonts w:ascii="Times New Roman" w:hAnsi="Times New Roman"/>
          <w:sz w:val="24"/>
          <w:szCs w:val="24"/>
        </w:rPr>
        <w:t>generate</w:t>
      </w:r>
      <w:r w:rsidR="009F0499">
        <w:rPr>
          <w:rFonts w:ascii="Times New Roman" w:hAnsi="Times New Roman"/>
          <w:sz w:val="24"/>
          <w:szCs w:val="24"/>
        </w:rPr>
        <w:t xml:space="preserve"> an artificially high apparent rate of growth</w:t>
      </w:r>
      <w:r w:rsidR="00D32B2C">
        <w:rPr>
          <w:rFonts w:ascii="Times New Roman" w:hAnsi="Times New Roman"/>
          <w:sz w:val="24"/>
          <w:szCs w:val="24"/>
        </w:rPr>
        <w:t>.</w:t>
      </w:r>
    </w:p>
    <w:p w14:paraId="4CCEE119" w14:textId="0459DC2F" w:rsidR="00C946D5" w:rsidRDefault="005E111B" w:rsidP="00CB5D3D">
      <w:pPr>
        <w:spacing w:after="0" w:line="480" w:lineRule="auto"/>
        <w:ind w:left="720" w:firstLine="720"/>
        <w:rPr>
          <w:rFonts w:ascii="Times New Roman" w:hAnsi="Times New Roman"/>
          <w:sz w:val="24"/>
          <w:szCs w:val="24"/>
        </w:rPr>
      </w:pPr>
      <w:r>
        <w:rPr>
          <w:rFonts w:ascii="Times New Roman" w:hAnsi="Times New Roman"/>
          <w:sz w:val="24"/>
          <w:szCs w:val="24"/>
        </w:rPr>
        <w:lastRenderedPageBreak/>
        <w:t>To further illustrate this point</w:t>
      </w:r>
      <w:r w:rsidR="001F19DD">
        <w:rPr>
          <w:rFonts w:ascii="Times New Roman" w:hAnsi="Times New Roman"/>
          <w:sz w:val="24"/>
          <w:szCs w:val="24"/>
        </w:rPr>
        <w:t xml:space="preserve">, </w:t>
      </w:r>
      <w:r w:rsidR="009F0499">
        <w:rPr>
          <w:rFonts w:ascii="Times New Roman" w:hAnsi="Times New Roman"/>
          <w:sz w:val="24"/>
          <w:szCs w:val="24"/>
        </w:rPr>
        <w:t>h</w:t>
      </w:r>
      <w:r w:rsidR="00C946D5">
        <w:rPr>
          <w:rFonts w:ascii="Times New Roman" w:hAnsi="Times New Roman"/>
          <w:sz w:val="24"/>
          <w:szCs w:val="24"/>
        </w:rPr>
        <w:t>ad Avista used</w:t>
      </w:r>
      <w:r w:rsidR="001F19DD">
        <w:rPr>
          <w:rFonts w:ascii="Times New Roman" w:hAnsi="Times New Roman"/>
          <w:sz w:val="24"/>
          <w:szCs w:val="24"/>
        </w:rPr>
        <w:t xml:space="preserve"> </w:t>
      </w:r>
      <w:r w:rsidR="00C946D5">
        <w:rPr>
          <w:rFonts w:ascii="Times New Roman" w:hAnsi="Times New Roman"/>
          <w:sz w:val="24"/>
          <w:szCs w:val="24"/>
        </w:rPr>
        <w:t xml:space="preserve">2006 instead of 2007 in its electric attrition study as the starting point for its growth rate analysis, </w:t>
      </w:r>
      <w:r>
        <w:rPr>
          <w:rFonts w:ascii="Times New Roman" w:hAnsi="Times New Roman"/>
          <w:sz w:val="24"/>
          <w:szCs w:val="24"/>
        </w:rPr>
        <w:t xml:space="preserve">Avista would have presented </w:t>
      </w:r>
      <w:r w:rsidR="00C946D5">
        <w:rPr>
          <w:rFonts w:ascii="Times New Roman" w:hAnsi="Times New Roman"/>
          <w:sz w:val="24"/>
          <w:szCs w:val="24"/>
        </w:rPr>
        <w:t>the 2015 revenue requirement above 2014</w:t>
      </w:r>
      <w:r>
        <w:rPr>
          <w:rFonts w:ascii="Times New Roman" w:hAnsi="Times New Roman"/>
          <w:sz w:val="24"/>
          <w:szCs w:val="24"/>
        </w:rPr>
        <w:t xml:space="preserve"> rates</w:t>
      </w:r>
      <w:r w:rsidR="00C946D5">
        <w:rPr>
          <w:rFonts w:ascii="Times New Roman" w:hAnsi="Times New Roman"/>
          <w:sz w:val="24"/>
          <w:szCs w:val="24"/>
        </w:rPr>
        <w:t xml:space="preserve"> as $13.9 million instead of $17.8 million.</w:t>
      </w:r>
      <w:r w:rsidR="00C946D5">
        <w:rPr>
          <w:rStyle w:val="FootnoteReference"/>
          <w:rFonts w:ascii="Times New Roman" w:hAnsi="Times New Roman"/>
          <w:sz w:val="24"/>
          <w:szCs w:val="24"/>
        </w:rPr>
        <w:footnoteReference w:id="20"/>
      </w:r>
      <w:r w:rsidR="00C946D5">
        <w:rPr>
          <w:rFonts w:ascii="Times New Roman" w:hAnsi="Times New Roman"/>
          <w:sz w:val="24"/>
          <w:szCs w:val="24"/>
        </w:rPr>
        <w:t xml:space="preserve">  That is a change in proposed annual revenue requirement of $3.9 million, simply by “anchoring” the growth rate analysis to 2006 instead of 2007.</w:t>
      </w:r>
    </w:p>
    <w:p w14:paraId="379E4E34" w14:textId="77777777" w:rsidR="00C946D5" w:rsidRDefault="00C946D5" w:rsidP="00CB5D3D">
      <w:pPr>
        <w:spacing w:after="0" w:line="480" w:lineRule="auto"/>
        <w:ind w:left="720" w:hanging="720"/>
        <w:rPr>
          <w:rFonts w:ascii="Times New Roman" w:hAnsi="Times New Roman"/>
          <w:sz w:val="24"/>
          <w:szCs w:val="24"/>
        </w:rPr>
      </w:pPr>
    </w:p>
    <w:p w14:paraId="4F2AFDBA" w14:textId="02BCF32C" w:rsidR="00C946D5" w:rsidRPr="009A7367" w:rsidRDefault="00C946D5" w:rsidP="00CB5D3D">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Can you provide an example that confirms you</w:t>
      </w:r>
      <w:r w:rsidR="004264A6">
        <w:rPr>
          <w:rFonts w:ascii="Times New Roman" w:hAnsi="Times New Roman"/>
          <w:b/>
          <w:sz w:val="24"/>
          <w:szCs w:val="24"/>
        </w:rPr>
        <w:t>r</w:t>
      </w:r>
      <w:r>
        <w:rPr>
          <w:rFonts w:ascii="Times New Roman" w:hAnsi="Times New Roman"/>
          <w:b/>
          <w:sz w:val="24"/>
          <w:szCs w:val="24"/>
        </w:rPr>
        <w:t xml:space="preserve"> approach to calculating growth rates yields more reliable results than Avista’s approach?</w:t>
      </w:r>
    </w:p>
    <w:p w14:paraId="3F54A46F" w14:textId="425D0811" w:rsidR="00C946D5" w:rsidRDefault="00C946D5" w:rsidP="00CB5D3D">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Yes.  Avista discovered a single error in its December 2013 – 2015 electric attrition study in t</w:t>
      </w:r>
      <w:r w:rsidR="00F22C7A">
        <w:rPr>
          <w:rFonts w:ascii="Times New Roman" w:hAnsi="Times New Roman"/>
          <w:sz w:val="24"/>
          <w:szCs w:val="24"/>
        </w:rPr>
        <w:t>he final year (2013 in this version of the attrition analysis</w:t>
      </w:r>
      <w:r>
        <w:rPr>
          <w:rFonts w:ascii="Times New Roman" w:hAnsi="Times New Roman"/>
          <w:sz w:val="24"/>
          <w:szCs w:val="24"/>
        </w:rPr>
        <w:t>) of the trend analysis data.  Correcting this error decreased the revenue requirement by $2.5 million in the Company’s attrition model</w:t>
      </w:r>
      <w:r w:rsidR="00F22C7A">
        <w:rPr>
          <w:rFonts w:ascii="Times New Roman" w:hAnsi="Times New Roman"/>
          <w:sz w:val="24"/>
          <w:szCs w:val="24"/>
        </w:rPr>
        <w:t xml:space="preserve"> that used compounding growth rates</w:t>
      </w:r>
      <w:r>
        <w:rPr>
          <w:rFonts w:ascii="Times New Roman" w:hAnsi="Times New Roman"/>
          <w:sz w:val="24"/>
          <w:szCs w:val="24"/>
        </w:rPr>
        <w:t>.  Howev</w:t>
      </w:r>
      <w:r w:rsidR="00F22C7A">
        <w:rPr>
          <w:rFonts w:ascii="Times New Roman" w:hAnsi="Times New Roman"/>
          <w:sz w:val="24"/>
          <w:szCs w:val="24"/>
        </w:rPr>
        <w:t>er, in my regression-based attrition</w:t>
      </w:r>
      <w:r>
        <w:rPr>
          <w:rFonts w:ascii="Times New Roman" w:hAnsi="Times New Roman"/>
          <w:sz w:val="24"/>
          <w:szCs w:val="24"/>
        </w:rPr>
        <w:t xml:space="preserve"> analysis, correcting the same error decreased the revenue requirement by only $350,000, thus demonstrating how regression-based models are less sensitive to spurious dat</w:t>
      </w:r>
      <w:r w:rsidR="00F22C7A">
        <w:rPr>
          <w:rFonts w:ascii="Times New Roman" w:hAnsi="Times New Roman"/>
          <w:sz w:val="24"/>
          <w:szCs w:val="24"/>
        </w:rPr>
        <w:t>a than a compounding model that uses</w:t>
      </w:r>
      <w:r>
        <w:rPr>
          <w:rFonts w:ascii="Times New Roman" w:hAnsi="Times New Roman"/>
          <w:sz w:val="24"/>
          <w:szCs w:val="24"/>
        </w:rPr>
        <w:t xml:space="preserve"> only two data points.  </w:t>
      </w:r>
    </w:p>
    <w:p w14:paraId="2D350453" w14:textId="77777777" w:rsidR="00C946D5" w:rsidRDefault="00C946D5" w:rsidP="00CB5D3D">
      <w:pPr>
        <w:spacing w:after="0" w:line="480" w:lineRule="auto"/>
        <w:ind w:left="720" w:hanging="720"/>
        <w:rPr>
          <w:rFonts w:ascii="Times New Roman" w:hAnsi="Times New Roman"/>
          <w:sz w:val="24"/>
          <w:szCs w:val="24"/>
        </w:rPr>
      </w:pPr>
    </w:p>
    <w:p w14:paraId="65F3C15C" w14:textId="77777777" w:rsidR="00C946D5" w:rsidRPr="00E05D84" w:rsidRDefault="00C946D5" w:rsidP="00CB5D3D">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Are there other problems with using compounding growth rates?</w:t>
      </w:r>
    </w:p>
    <w:p w14:paraId="534DE520" w14:textId="77777777" w:rsidR="00C946D5" w:rsidRDefault="00C946D5" w:rsidP="00CB5D3D">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Yes.  Compounding growth rates imply a continuous acceleration of growth in the absolute levels of expenses and transfers to plant into the future.  However, this continuous acceleration of growth is not represented in the historical data.  The Company seems to use compounding growth rates to justify a planned increase in expenditures in future years relative to the historical record.  As Ms. Andrews states:  “</w:t>
      </w:r>
      <w:r w:rsidRPr="003F6159">
        <w:rPr>
          <w:rFonts w:ascii="Times New Roman" w:hAnsi="Times New Roman"/>
          <w:sz w:val="24"/>
          <w:szCs w:val="24"/>
          <w:u w:val="single"/>
        </w:rPr>
        <w:t xml:space="preserve">Based on the </w:t>
      </w:r>
      <w:r w:rsidRPr="003F6159">
        <w:rPr>
          <w:rFonts w:ascii="Times New Roman" w:hAnsi="Times New Roman"/>
          <w:sz w:val="24"/>
          <w:szCs w:val="24"/>
          <w:u w:val="single"/>
        </w:rPr>
        <w:lastRenderedPageBreak/>
        <w:t>Company’s plan for higher capital expenditures in future years</w:t>
      </w:r>
      <w:r>
        <w:rPr>
          <w:rFonts w:ascii="Times New Roman" w:hAnsi="Times New Roman"/>
          <w:sz w:val="24"/>
          <w:szCs w:val="24"/>
        </w:rPr>
        <w:t>, it is appropriate to use the compound annual growth rates for the 2007-2012 period…”</w:t>
      </w:r>
      <w:r>
        <w:rPr>
          <w:rStyle w:val="FootnoteReference"/>
          <w:rFonts w:ascii="Times New Roman" w:hAnsi="Times New Roman"/>
          <w:sz w:val="24"/>
          <w:szCs w:val="24"/>
        </w:rPr>
        <w:footnoteReference w:id="21"/>
      </w:r>
      <w:r>
        <w:rPr>
          <w:rFonts w:ascii="Times New Roman" w:hAnsi="Times New Roman"/>
          <w:sz w:val="24"/>
          <w:szCs w:val="24"/>
        </w:rPr>
        <w:t xml:space="preserve"> [Emphasis added]</w:t>
      </w:r>
    </w:p>
    <w:p w14:paraId="6E5BDC61" w14:textId="77777777" w:rsidR="00C946D5" w:rsidRDefault="00C946D5" w:rsidP="00CB5D3D">
      <w:pPr>
        <w:spacing w:after="0" w:line="480" w:lineRule="auto"/>
        <w:ind w:left="720" w:firstLine="720"/>
        <w:rPr>
          <w:rFonts w:ascii="Times New Roman" w:hAnsi="Times New Roman"/>
          <w:sz w:val="24"/>
          <w:szCs w:val="24"/>
        </w:rPr>
      </w:pPr>
      <w:r>
        <w:rPr>
          <w:rFonts w:ascii="Times New Roman" w:hAnsi="Times New Roman"/>
          <w:sz w:val="24"/>
          <w:szCs w:val="24"/>
        </w:rPr>
        <w:t xml:space="preserve">However, consistent with the notion that attrition studies should rely upon historical rates of growth, the Commission should reject methods that are justified by alignment with a desired outcome.  Methods should be selected based on appropriateness for the data being analyzed and on analytical objectivity.  Accordingly, the Commission should reject methods that use compounding growth rates on the grounds that they fail to meet both of these standards. </w:t>
      </w:r>
    </w:p>
    <w:p w14:paraId="55227AAF" w14:textId="77777777" w:rsidR="00C946D5" w:rsidRDefault="00C946D5" w:rsidP="00CB5D3D">
      <w:pPr>
        <w:spacing w:after="0" w:line="480" w:lineRule="auto"/>
        <w:rPr>
          <w:rFonts w:ascii="Times New Roman" w:hAnsi="Times New Roman"/>
          <w:b/>
          <w:sz w:val="24"/>
          <w:szCs w:val="24"/>
        </w:rPr>
      </w:pPr>
    </w:p>
    <w:p w14:paraId="26C978BF" w14:textId="77777777" w:rsidR="00C946D5" w:rsidRDefault="00C946D5" w:rsidP="00CB5D3D">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How did your application of the growth rate for other (non-retail) revenue for natural gas service differ from that of the Company?</w:t>
      </w:r>
    </w:p>
    <w:p w14:paraId="1A2A03D1" w14:textId="171A840F" w:rsidR="00C946D5" w:rsidRDefault="00C946D5" w:rsidP="00CB5D3D">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Avista did not apply a growth rate for </w:t>
      </w:r>
      <w:r w:rsidR="004264A6">
        <w:rPr>
          <w:rFonts w:ascii="Times New Roman" w:hAnsi="Times New Roman"/>
          <w:sz w:val="24"/>
          <w:szCs w:val="24"/>
        </w:rPr>
        <w:t>“</w:t>
      </w:r>
      <w:r>
        <w:rPr>
          <w:rFonts w:ascii="Times New Roman" w:hAnsi="Times New Roman"/>
          <w:sz w:val="24"/>
          <w:szCs w:val="24"/>
        </w:rPr>
        <w:t>other non-retail revenue</w:t>
      </w:r>
      <w:r w:rsidR="004264A6">
        <w:rPr>
          <w:rFonts w:ascii="Times New Roman" w:hAnsi="Times New Roman"/>
          <w:sz w:val="24"/>
          <w:szCs w:val="24"/>
        </w:rPr>
        <w:t>”</w:t>
      </w:r>
      <w:r>
        <w:rPr>
          <w:rFonts w:ascii="Times New Roman" w:hAnsi="Times New Roman"/>
          <w:sz w:val="24"/>
          <w:szCs w:val="24"/>
        </w:rPr>
        <w:t xml:space="preserve"> in its natural gas attrition analysis (although it did so in its electric attrition analysis).  Avista’s rationale for not using a growth rate for non-retail gas revenue is because the</w:t>
      </w:r>
      <w:r w:rsidR="0052259B">
        <w:rPr>
          <w:rFonts w:ascii="Times New Roman" w:hAnsi="Times New Roman"/>
          <w:sz w:val="24"/>
          <w:szCs w:val="24"/>
        </w:rPr>
        <w:t xml:space="preserve"> Company claims</w:t>
      </w:r>
      <w:r>
        <w:rPr>
          <w:rFonts w:ascii="Times New Roman" w:hAnsi="Times New Roman"/>
          <w:sz w:val="24"/>
          <w:szCs w:val="24"/>
        </w:rPr>
        <w:t xml:space="preserve"> “de minimus values that resulted in extraordinary variability.”</w:t>
      </w:r>
      <w:r>
        <w:rPr>
          <w:rStyle w:val="FootnoteReference"/>
          <w:rFonts w:ascii="Times New Roman" w:hAnsi="Times New Roman"/>
          <w:sz w:val="24"/>
          <w:szCs w:val="24"/>
        </w:rPr>
        <w:footnoteReference w:id="22"/>
      </w:r>
      <w:r>
        <w:rPr>
          <w:rFonts w:ascii="Times New Roman" w:hAnsi="Times New Roman"/>
          <w:sz w:val="24"/>
          <w:szCs w:val="24"/>
        </w:rPr>
        <w:t xml:space="preserve">  However, although the data for adjusted other revenue are indeed variable, a statistically significant positive slope was still identifiable.  Therefore, it is appropriate to identify and apply a growth rate for adjusted other revenue in the natural gas attrition study.</w:t>
      </w:r>
    </w:p>
    <w:p w14:paraId="58E126E4" w14:textId="77777777" w:rsidR="00C946D5" w:rsidRDefault="00C946D5" w:rsidP="00C946D5">
      <w:pPr>
        <w:spacing w:line="480" w:lineRule="auto"/>
        <w:ind w:left="720" w:hanging="720"/>
        <w:rPr>
          <w:rFonts w:ascii="Times New Roman" w:hAnsi="Times New Roman"/>
          <w:sz w:val="24"/>
          <w:szCs w:val="24"/>
        </w:rPr>
      </w:pPr>
    </w:p>
    <w:p w14:paraId="509DDAFC" w14:textId="77777777" w:rsidR="00C946D5" w:rsidRDefault="00C946D5" w:rsidP="00C946D5">
      <w:pPr>
        <w:spacing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Are there any other notable differences between the Company’s and your incremental revenue requirement calculations?</w:t>
      </w:r>
    </w:p>
    <w:p w14:paraId="52E6CD70" w14:textId="7144F3A0" w:rsidR="00C946D5" w:rsidRPr="00EA0700" w:rsidRDefault="00C946D5" w:rsidP="00CB5D3D">
      <w:pPr>
        <w:spacing w:after="0" w:line="480" w:lineRule="auto"/>
        <w:ind w:left="720" w:hanging="720"/>
        <w:rPr>
          <w:rFonts w:ascii="Times New Roman" w:hAnsi="Times New Roman"/>
          <w:sz w:val="24"/>
          <w:szCs w:val="24"/>
        </w:rPr>
      </w:pPr>
      <w:r>
        <w:rPr>
          <w:rFonts w:ascii="Times New Roman" w:hAnsi="Times New Roman"/>
          <w:sz w:val="24"/>
          <w:szCs w:val="24"/>
        </w:rPr>
        <w:lastRenderedPageBreak/>
        <w:t>A.</w:t>
      </w:r>
      <w:r>
        <w:rPr>
          <w:rFonts w:ascii="Times New Roman" w:hAnsi="Times New Roman"/>
          <w:sz w:val="24"/>
          <w:szCs w:val="24"/>
        </w:rPr>
        <w:tab/>
        <w:t xml:space="preserve">Just one.  Whereas the Company divided the attrition revenue requirement by a revenue growth factor of 1.020771 to reflect the dollar amount needed to be recovered from the year ending June 2013 levels of retail loads and customers, I did not divide by a revenue growth factor.  In this case, Staff proposes to apply any rate change to the rate year levels of retail loads and customers.  Therefore, no adjustment of attrition revenue requirement was necessary in my attrition study.  </w:t>
      </w:r>
    </w:p>
    <w:p w14:paraId="56D3D79B" w14:textId="77777777" w:rsidR="00C946D5" w:rsidRPr="00F9691E" w:rsidRDefault="00C946D5" w:rsidP="00CB5D3D">
      <w:pPr>
        <w:spacing w:after="0" w:line="480" w:lineRule="auto"/>
        <w:ind w:left="720" w:hanging="720"/>
        <w:rPr>
          <w:rFonts w:ascii="Times New Roman" w:hAnsi="Times New Roman"/>
          <w:sz w:val="24"/>
          <w:szCs w:val="24"/>
        </w:rPr>
      </w:pPr>
    </w:p>
    <w:p w14:paraId="31C31717" w14:textId="448F8485" w:rsidR="00BF7AFF" w:rsidRPr="00397795" w:rsidRDefault="00D50357" w:rsidP="00CB5D3D">
      <w:pPr>
        <w:pStyle w:val="ListParagraph"/>
        <w:numPr>
          <w:ilvl w:val="0"/>
          <w:numId w:val="10"/>
        </w:numPr>
        <w:spacing w:after="0" w:line="240" w:lineRule="auto"/>
        <w:ind w:left="1440" w:hanging="720"/>
        <w:rPr>
          <w:rFonts w:ascii="Times New Roman" w:hAnsi="Times New Roman"/>
          <w:b/>
          <w:sz w:val="24"/>
          <w:szCs w:val="24"/>
        </w:rPr>
      </w:pPr>
      <w:r w:rsidRPr="00397795">
        <w:rPr>
          <w:rFonts w:ascii="Times New Roman" w:hAnsi="Times New Roman"/>
          <w:b/>
          <w:sz w:val="24"/>
          <w:szCs w:val="24"/>
        </w:rPr>
        <w:t xml:space="preserve">Detailed </w:t>
      </w:r>
      <w:r w:rsidR="00BF7AFF" w:rsidRPr="00397795">
        <w:rPr>
          <w:rFonts w:ascii="Times New Roman" w:hAnsi="Times New Roman"/>
          <w:b/>
          <w:sz w:val="24"/>
          <w:szCs w:val="24"/>
        </w:rPr>
        <w:t>Explanation Exhibit</w:t>
      </w:r>
      <w:r w:rsidR="00D210C9" w:rsidRPr="00397795">
        <w:rPr>
          <w:rFonts w:ascii="Times New Roman" w:hAnsi="Times New Roman"/>
          <w:b/>
          <w:sz w:val="24"/>
          <w:szCs w:val="24"/>
        </w:rPr>
        <w:t xml:space="preserve"> No._</w:t>
      </w:r>
      <w:r w:rsidR="00CA125D" w:rsidRPr="00397795">
        <w:rPr>
          <w:rFonts w:ascii="Times New Roman" w:hAnsi="Times New Roman"/>
          <w:b/>
          <w:sz w:val="24"/>
          <w:szCs w:val="24"/>
        </w:rPr>
        <w:t>_ (</w:t>
      </w:r>
      <w:r w:rsidR="00D210C9" w:rsidRPr="00397795">
        <w:rPr>
          <w:rFonts w:ascii="Times New Roman" w:hAnsi="Times New Roman"/>
          <w:b/>
          <w:sz w:val="24"/>
          <w:szCs w:val="24"/>
        </w:rPr>
        <w:t>CRM-2)</w:t>
      </w:r>
      <w:r w:rsidR="00397795" w:rsidRPr="00397795">
        <w:rPr>
          <w:rFonts w:ascii="Times New Roman" w:hAnsi="Times New Roman"/>
          <w:b/>
          <w:sz w:val="24"/>
          <w:szCs w:val="24"/>
        </w:rPr>
        <w:t xml:space="preserve"> – Staff’s Attrition Analysis</w:t>
      </w:r>
      <w:r w:rsidR="00D411C3" w:rsidRPr="00397795">
        <w:rPr>
          <w:rFonts w:ascii="Times New Roman" w:hAnsi="Times New Roman"/>
          <w:b/>
          <w:sz w:val="24"/>
          <w:szCs w:val="24"/>
        </w:rPr>
        <w:t xml:space="preserve"> for Electric</w:t>
      </w:r>
      <w:r w:rsidR="0069635F" w:rsidRPr="00397795">
        <w:rPr>
          <w:rFonts w:ascii="Times New Roman" w:hAnsi="Times New Roman"/>
          <w:b/>
          <w:sz w:val="24"/>
          <w:szCs w:val="24"/>
        </w:rPr>
        <w:t xml:space="preserve"> Operations</w:t>
      </w:r>
    </w:p>
    <w:p w14:paraId="3E89B91E" w14:textId="77777777" w:rsidR="00397795" w:rsidRPr="00397795" w:rsidRDefault="00397795" w:rsidP="00CB5D3D">
      <w:pPr>
        <w:pStyle w:val="ListParagraph"/>
        <w:spacing w:after="0" w:line="480" w:lineRule="auto"/>
        <w:ind w:left="1080"/>
        <w:rPr>
          <w:rFonts w:ascii="Times New Roman" w:hAnsi="Times New Roman"/>
          <w:b/>
          <w:sz w:val="24"/>
          <w:szCs w:val="24"/>
        </w:rPr>
      </w:pPr>
    </w:p>
    <w:p w14:paraId="245999B6" w14:textId="04D9F359" w:rsidR="007E11A9" w:rsidRDefault="00BF7AFF" w:rsidP="00CB5D3D">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r>
      <w:r w:rsidR="007E11A9">
        <w:rPr>
          <w:rFonts w:ascii="Times New Roman" w:hAnsi="Times New Roman"/>
          <w:b/>
          <w:sz w:val="24"/>
          <w:szCs w:val="24"/>
        </w:rPr>
        <w:t xml:space="preserve">Do you have any general remarks </w:t>
      </w:r>
      <w:r w:rsidR="00D50357">
        <w:rPr>
          <w:rFonts w:ascii="Times New Roman" w:hAnsi="Times New Roman"/>
          <w:b/>
          <w:sz w:val="24"/>
          <w:szCs w:val="24"/>
        </w:rPr>
        <w:t xml:space="preserve">before you provide a detailed explanation of </w:t>
      </w:r>
      <w:r w:rsidR="007E11A9">
        <w:rPr>
          <w:rFonts w:ascii="Times New Roman" w:hAnsi="Times New Roman"/>
          <w:b/>
          <w:sz w:val="24"/>
          <w:szCs w:val="24"/>
        </w:rPr>
        <w:t xml:space="preserve">your </w:t>
      </w:r>
      <w:r w:rsidR="00D50357">
        <w:rPr>
          <w:rFonts w:ascii="Times New Roman" w:hAnsi="Times New Roman"/>
          <w:b/>
          <w:sz w:val="24"/>
          <w:szCs w:val="24"/>
        </w:rPr>
        <w:t xml:space="preserve">electric attrition study in </w:t>
      </w:r>
      <w:r w:rsidR="007E11A9">
        <w:rPr>
          <w:rFonts w:ascii="Times New Roman" w:hAnsi="Times New Roman"/>
          <w:b/>
          <w:sz w:val="24"/>
          <w:szCs w:val="24"/>
        </w:rPr>
        <w:t>Exhibit No._</w:t>
      </w:r>
      <w:r w:rsidR="00CA125D">
        <w:rPr>
          <w:rFonts w:ascii="Times New Roman" w:hAnsi="Times New Roman"/>
          <w:b/>
          <w:sz w:val="24"/>
          <w:szCs w:val="24"/>
        </w:rPr>
        <w:t>_ (</w:t>
      </w:r>
      <w:r w:rsidR="007E11A9">
        <w:rPr>
          <w:rFonts w:ascii="Times New Roman" w:hAnsi="Times New Roman"/>
          <w:b/>
          <w:sz w:val="24"/>
          <w:szCs w:val="24"/>
        </w:rPr>
        <w:t>CRM-2)?</w:t>
      </w:r>
    </w:p>
    <w:p w14:paraId="1C6A921E" w14:textId="38D86CEE" w:rsidR="00D50357" w:rsidRDefault="007E11A9" w:rsidP="00CB5D3D">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Yes. </w:t>
      </w:r>
      <w:r w:rsidR="004264A6">
        <w:rPr>
          <w:rFonts w:ascii="Times New Roman" w:hAnsi="Times New Roman"/>
          <w:sz w:val="24"/>
          <w:szCs w:val="24"/>
        </w:rPr>
        <w:t xml:space="preserve"> I developed </w:t>
      </w:r>
      <w:r>
        <w:rPr>
          <w:rFonts w:ascii="Times New Roman" w:hAnsi="Times New Roman"/>
          <w:sz w:val="24"/>
          <w:szCs w:val="24"/>
        </w:rPr>
        <w:t>Exhibit No._</w:t>
      </w:r>
      <w:r w:rsidR="00CA125D">
        <w:rPr>
          <w:rFonts w:ascii="Times New Roman" w:hAnsi="Times New Roman"/>
          <w:sz w:val="24"/>
          <w:szCs w:val="24"/>
        </w:rPr>
        <w:t>_ (</w:t>
      </w:r>
      <w:r>
        <w:rPr>
          <w:rFonts w:ascii="Times New Roman" w:hAnsi="Times New Roman"/>
          <w:sz w:val="24"/>
          <w:szCs w:val="24"/>
        </w:rPr>
        <w:t xml:space="preserve">CRM-2) from the attrition model Avista provided in response to Staff Data Request 115. </w:t>
      </w:r>
      <w:r w:rsidR="00D50357">
        <w:rPr>
          <w:rFonts w:ascii="Times New Roman" w:hAnsi="Times New Roman"/>
          <w:sz w:val="24"/>
          <w:szCs w:val="24"/>
        </w:rPr>
        <w:t xml:space="preserve"> </w:t>
      </w:r>
      <w:r>
        <w:rPr>
          <w:rFonts w:ascii="Times New Roman" w:hAnsi="Times New Roman"/>
          <w:sz w:val="24"/>
          <w:szCs w:val="24"/>
        </w:rPr>
        <w:t xml:space="preserve">This revised attrition study conforms very closely to the structure of the attrition study in Avista’s direct case </w:t>
      </w:r>
      <w:r w:rsidR="004264A6">
        <w:rPr>
          <w:rFonts w:ascii="Times New Roman" w:hAnsi="Times New Roman"/>
          <w:sz w:val="24"/>
          <w:szCs w:val="24"/>
        </w:rPr>
        <w:t xml:space="preserve">in </w:t>
      </w:r>
      <w:r>
        <w:rPr>
          <w:rFonts w:ascii="Times New Roman" w:hAnsi="Times New Roman"/>
          <w:sz w:val="24"/>
          <w:szCs w:val="24"/>
        </w:rPr>
        <w:t>Exhibit No._</w:t>
      </w:r>
      <w:r w:rsidR="00CA125D">
        <w:rPr>
          <w:rFonts w:ascii="Times New Roman" w:hAnsi="Times New Roman"/>
          <w:sz w:val="24"/>
          <w:szCs w:val="24"/>
        </w:rPr>
        <w:t>_ (</w:t>
      </w:r>
      <w:r>
        <w:rPr>
          <w:rFonts w:ascii="Times New Roman" w:hAnsi="Times New Roman"/>
          <w:sz w:val="24"/>
          <w:szCs w:val="24"/>
        </w:rPr>
        <w:t xml:space="preserve">EMA-2). </w:t>
      </w:r>
      <w:r w:rsidR="00D50357">
        <w:rPr>
          <w:rFonts w:ascii="Times New Roman" w:hAnsi="Times New Roman"/>
          <w:sz w:val="24"/>
          <w:szCs w:val="24"/>
        </w:rPr>
        <w:t xml:space="preserve"> </w:t>
      </w:r>
      <w:r>
        <w:rPr>
          <w:rFonts w:ascii="Times New Roman" w:hAnsi="Times New Roman"/>
          <w:sz w:val="24"/>
          <w:szCs w:val="24"/>
        </w:rPr>
        <w:t>As a result, the description that follows here is largely repetitive</w:t>
      </w:r>
      <w:r w:rsidR="00E04AF0">
        <w:rPr>
          <w:rFonts w:ascii="Times New Roman" w:hAnsi="Times New Roman"/>
          <w:sz w:val="24"/>
          <w:szCs w:val="24"/>
        </w:rPr>
        <w:t>, in many cases verbatim,</w:t>
      </w:r>
      <w:r>
        <w:rPr>
          <w:rFonts w:ascii="Times New Roman" w:hAnsi="Times New Roman"/>
          <w:sz w:val="24"/>
          <w:szCs w:val="24"/>
        </w:rPr>
        <w:t xml:space="preserve"> of the description provided in Company Exhibit No._</w:t>
      </w:r>
      <w:r w:rsidR="00CA125D">
        <w:rPr>
          <w:rFonts w:ascii="Times New Roman" w:hAnsi="Times New Roman"/>
          <w:sz w:val="24"/>
          <w:szCs w:val="24"/>
        </w:rPr>
        <w:t>_ (</w:t>
      </w:r>
      <w:r>
        <w:rPr>
          <w:rFonts w:ascii="Times New Roman" w:hAnsi="Times New Roman"/>
          <w:sz w:val="24"/>
          <w:szCs w:val="24"/>
        </w:rPr>
        <w:t>EMA-1T)</w:t>
      </w:r>
      <w:r w:rsidR="004264A6">
        <w:rPr>
          <w:rFonts w:ascii="Times New Roman" w:hAnsi="Times New Roman"/>
          <w:sz w:val="24"/>
          <w:szCs w:val="24"/>
        </w:rPr>
        <w:t>,</w:t>
      </w:r>
      <w:r>
        <w:rPr>
          <w:rFonts w:ascii="Times New Roman" w:hAnsi="Times New Roman"/>
          <w:sz w:val="24"/>
          <w:szCs w:val="24"/>
        </w:rPr>
        <w:t xml:space="preserve"> on pages</w:t>
      </w:r>
      <w:r w:rsidR="00E04AF0">
        <w:rPr>
          <w:rFonts w:ascii="Times New Roman" w:hAnsi="Times New Roman"/>
          <w:sz w:val="24"/>
          <w:szCs w:val="24"/>
        </w:rPr>
        <w:t xml:space="preserve"> 14-24. </w:t>
      </w:r>
      <w:r w:rsidR="00D50357">
        <w:rPr>
          <w:rFonts w:ascii="Times New Roman" w:hAnsi="Times New Roman"/>
          <w:sz w:val="24"/>
          <w:szCs w:val="24"/>
        </w:rPr>
        <w:t xml:space="preserve"> </w:t>
      </w:r>
    </w:p>
    <w:p w14:paraId="3F7448D0" w14:textId="55FB89CF" w:rsidR="007E11A9" w:rsidRPr="007E11A9" w:rsidRDefault="00D50357" w:rsidP="00CB5D3D">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E04AF0">
        <w:rPr>
          <w:rFonts w:ascii="Times New Roman" w:hAnsi="Times New Roman"/>
          <w:sz w:val="24"/>
          <w:szCs w:val="24"/>
        </w:rPr>
        <w:t xml:space="preserve">However, </w:t>
      </w:r>
      <w:r>
        <w:rPr>
          <w:rFonts w:ascii="Times New Roman" w:hAnsi="Times New Roman"/>
          <w:sz w:val="24"/>
          <w:szCs w:val="24"/>
        </w:rPr>
        <w:t xml:space="preserve">there are </w:t>
      </w:r>
      <w:r w:rsidR="00E04AF0">
        <w:rPr>
          <w:rFonts w:ascii="Times New Roman" w:hAnsi="Times New Roman"/>
          <w:sz w:val="24"/>
          <w:szCs w:val="24"/>
        </w:rPr>
        <w:t>significant differences</w:t>
      </w:r>
      <w:r>
        <w:rPr>
          <w:rFonts w:ascii="Times New Roman" w:hAnsi="Times New Roman"/>
          <w:sz w:val="24"/>
          <w:szCs w:val="24"/>
        </w:rPr>
        <w:t xml:space="preserve">, </w:t>
      </w:r>
      <w:r w:rsidR="00E04AF0">
        <w:rPr>
          <w:rFonts w:ascii="Times New Roman" w:hAnsi="Times New Roman"/>
          <w:sz w:val="24"/>
          <w:szCs w:val="24"/>
        </w:rPr>
        <w:t xml:space="preserve">primarily </w:t>
      </w:r>
      <w:r>
        <w:rPr>
          <w:rFonts w:ascii="Times New Roman" w:hAnsi="Times New Roman"/>
          <w:sz w:val="24"/>
          <w:szCs w:val="24"/>
        </w:rPr>
        <w:t xml:space="preserve">regarding </w:t>
      </w:r>
      <w:r w:rsidR="00E04AF0">
        <w:rPr>
          <w:rFonts w:ascii="Times New Roman" w:hAnsi="Times New Roman"/>
          <w:sz w:val="24"/>
          <w:szCs w:val="24"/>
        </w:rPr>
        <w:t xml:space="preserve">the different test period </w:t>
      </w:r>
      <w:r>
        <w:rPr>
          <w:rFonts w:ascii="Times New Roman" w:hAnsi="Times New Roman"/>
          <w:sz w:val="24"/>
          <w:szCs w:val="24"/>
        </w:rPr>
        <w:t>Staff used</w:t>
      </w:r>
      <w:r w:rsidR="00E04AF0">
        <w:rPr>
          <w:rFonts w:ascii="Times New Roman" w:hAnsi="Times New Roman"/>
          <w:sz w:val="24"/>
          <w:szCs w:val="24"/>
        </w:rPr>
        <w:t xml:space="preserve">, as well as differences in </w:t>
      </w:r>
      <w:r>
        <w:rPr>
          <w:rFonts w:ascii="Times New Roman" w:hAnsi="Times New Roman"/>
          <w:sz w:val="24"/>
          <w:szCs w:val="24"/>
        </w:rPr>
        <w:t xml:space="preserve">the </w:t>
      </w:r>
      <w:r w:rsidR="00E04AF0">
        <w:rPr>
          <w:rFonts w:ascii="Times New Roman" w:hAnsi="Times New Roman"/>
          <w:sz w:val="24"/>
          <w:szCs w:val="24"/>
        </w:rPr>
        <w:t>analytical approach for certain component</w:t>
      </w:r>
      <w:r w:rsidR="00C43864">
        <w:rPr>
          <w:rFonts w:ascii="Times New Roman" w:hAnsi="Times New Roman"/>
          <w:sz w:val="24"/>
          <w:szCs w:val="24"/>
        </w:rPr>
        <w:t>s</w:t>
      </w:r>
      <w:r w:rsidR="00E04AF0">
        <w:rPr>
          <w:rFonts w:ascii="Times New Roman" w:hAnsi="Times New Roman"/>
          <w:sz w:val="24"/>
          <w:szCs w:val="24"/>
        </w:rPr>
        <w:t xml:space="preserve"> of the attrition studies. </w:t>
      </w:r>
      <w:r w:rsidR="00F0356B">
        <w:rPr>
          <w:rFonts w:ascii="Times New Roman" w:hAnsi="Times New Roman"/>
          <w:sz w:val="24"/>
          <w:szCs w:val="24"/>
        </w:rPr>
        <w:t xml:space="preserve"> I described those difference when I critiqued the Company’s attrition study.</w:t>
      </w:r>
    </w:p>
    <w:p w14:paraId="6B1A2B14" w14:textId="77777777" w:rsidR="007E11A9" w:rsidRDefault="007E11A9" w:rsidP="00CB5D3D">
      <w:pPr>
        <w:spacing w:after="0" w:line="480" w:lineRule="auto"/>
        <w:ind w:left="720" w:hanging="720"/>
        <w:rPr>
          <w:rFonts w:ascii="Times New Roman" w:hAnsi="Times New Roman"/>
          <w:b/>
          <w:sz w:val="24"/>
          <w:szCs w:val="24"/>
        </w:rPr>
      </w:pPr>
    </w:p>
    <w:p w14:paraId="65F37E19" w14:textId="77777777" w:rsidR="00BF7AFF" w:rsidRDefault="007E11A9" w:rsidP="00CB5D3D">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r>
      <w:r w:rsidR="00BF7AFF">
        <w:rPr>
          <w:rFonts w:ascii="Times New Roman" w:hAnsi="Times New Roman"/>
          <w:b/>
          <w:sz w:val="24"/>
          <w:szCs w:val="24"/>
        </w:rPr>
        <w:t>Please explai</w:t>
      </w:r>
      <w:r w:rsidR="00D210C9">
        <w:rPr>
          <w:rFonts w:ascii="Times New Roman" w:hAnsi="Times New Roman"/>
          <w:b/>
          <w:sz w:val="24"/>
          <w:szCs w:val="24"/>
        </w:rPr>
        <w:t>n what is shown on page 1 of Staff’s</w:t>
      </w:r>
      <w:r w:rsidR="00BF7AFF">
        <w:rPr>
          <w:rFonts w:ascii="Times New Roman" w:hAnsi="Times New Roman"/>
          <w:b/>
          <w:sz w:val="24"/>
          <w:szCs w:val="24"/>
        </w:rPr>
        <w:t xml:space="preserve"> Electric Attrition Study</w:t>
      </w:r>
      <w:r w:rsidR="000F3048">
        <w:rPr>
          <w:rFonts w:ascii="Times New Roman" w:hAnsi="Times New Roman"/>
          <w:b/>
          <w:sz w:val="24"/>
          <w:szCs w:val="24"/>
        </w:rPr>
        <w:t xml:space="preserve">, </w:t>
      </w:r>
      <w:r w:rsidR="00D210C9">
        <w:rPr>
          <w:rFonts w:ascii="Times New Roman" w:hAnsi="Times New Roman"/>
          <w:b/>
          <w:sz w:val="24"/>
          <w:szCs w:val="24"/>
        </w:rPr>
        <w:t>Exhibit No.__(CRM-2).</w:t>
      </w:r>
    </w:p>
    <w:p w14:paraId="49396B36" w14:textId="223CC426" w:rsidR="00D50357" w:rsidRDefault="00D210C9" w:rsidP="00CB5D3D">
      <w:pPr>
        <w:spacing w:after="0" w:line="480" w:lineRule="auto"/>
        <w:ind w:left="720" w:hanging="720"/>
        <w:rPr>
          <w:rFonts w:ascii="Times New Roman" w:hAnsi="Times New Roman"/>
          <w:sz w:val="24"/>
          <w:szCs w:val="24"/>
        </w:rPr>
      </w:pPr>
      <w:r>
        <w:rPr>
          <w:rFonts w:ascii="Times New Roman" w:hAnsi="Times New Roman"/>
          <w:sz w:val="24"/>
          <w:szCs w:val="24"/>
        </w:rPr>
        <w:lastRenderedPageBreak/>
        <w:t>A.</w:t>
      </w:r>
      <w:r>
        <w:rPr>
          <w:rFonts w:ascii="Times New Roman" w:hAnsi="Times New Roman"/>
          <w:sz w:val="24"/>
          <w:szCs w:val="24"/>
        </w:rPr>
        <w:tab/>
        <w:t>Exhibit No.__(CRM-2), page 1, shows the calculation of the electric general revenue requirement, based on Staff’s Electric A</w:t>
      </w:r>
      <w:r w:rsidR="00CE7538">
        <w:rPr>
          <w:rFonts w:ascii="Times New Roman" w:hAnsi="Times New Roman"/>
          <w:sz w:val="24"/>
          <w:szCs w:val="24"/>
        </w:rPr>
        <w:t>ttrition Study, to earn the 6.77</w:t>
      </w:r>
      <w:r>
        <w:rPr>
          <w:rFonts w:ascii="Times New Roman" w:hAnsi="Times New Roman"/>
          <w:sz w:val="24"/>
          <w:szCs w:val="24"/>
        </w:rPr>
        <w:t xml:space="preserve"> percent rate of return proposed by Staff. </w:t>
      </w:r>
      <w:r w:rsidR="00D50357">
        <w:rPr>
          <w:rFonts w:ascii="Times New Roman" w:hAnsi="Times New Roman"/>
          <w:sz w:val="24"/>
          <w:szCs w:val="24"/>
        </w:rPr>
        <w:t xml:space="preserve"> </w:t>
      </w:r>
    </w:p>
    <w:p w14:paraId="3AD2C033" w14:textId="7AD91EC5" w:rsidR="00D210C9" w:rsidRDefault="00D50357" w:rsidP="00CB5D3D">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D210C9">
        <w:rPr>
          <w:rFonts w:ascii="Times New Roman" w:hAnsi="Times New Roman"/>
          <w:sz w:val="24"/>
          <w:szCs w:val="24"/>
        </w:rPr>
        <w:t>Column (e)</w:t>
      </w:r>
      <w:r w:rsidR="000F3048">
        <w:rPr>
          <w:rFonts w:ascii="Times New Roman" w:hAnsi="Times New Roman"/>
          <w:sz w:val="24"/>
          <w:szCs w:val="24"/>
        </w:rPr>
        <w:t>,</w:t>
      </w:r>
      <w:r w:rsidR="00D210C9">
        <w:rPr>
          <w:rFonts w:ascii="Times New Roman" w:hAnsi="Times New Roman"/>
          <w:sz w:val="24"/>
          <w:szCs w:val="24"/>
        </w:rPr>
        <w:t xml:space="preserve"> </w:t>
      </w:r>
      <w:r w:rsidR="00911F8C">
        <w:rPr>
          <w:rFonts w:ascii="Times New Roman" w:hAnsi="Times New Roman"/>
          <w:sz w:val="24"/>
          <w:szCs w:val="24"/>
        </w:rPr>
        <w:t>line 7</w:t>
      </w:r>
      <w:r w:rsidR="004264A6">
        <w:rPr>
          <w:rFonts w:ascii="Times New Roman" w:hAnsi="Times New Roman"/>
          <w:sz w:val="24"/>
          <w:szCs w:val="24"/>
        </w:rPr>
        <w:t>,</w:t>
      </w:r>
      <w:r w:rsidR="00911F8C">
        <w:rPr>
          <w:rFonts w:ascii="Times New Roman" w:hAnsi="Times New Roman"/>
          <w:sz w:val="24"/>
          <w:szCs w:val="24"/>
        </w:rPr>
        <w:t xml:space="preserve"> </w:t>
      </w:r>
      <w:r w:rsidR="00D210C9">
        <w:rPr>
          <w:rFonts w:ascii="Times New Roman" w:hAnsi="Times New Roman"/>
          <w:sz w:val="24"/>
          <w:szCs w:val="24"/>
        </w:rPr>
        <w:t xml:space="preserve">shows the 2015 </w:t>
      </w:r>
      <w:r w:rsidR="00433AD6">
        <w:rPr>
          <w:rFonts w:ascii="Times New Roman" w:hAnsi="Times New Roman"/>
          <w:sz w:val="24"/>
          <w:szCs w:val="24"/>
        </w:rPr>
        <w:t xml:space="preserve">incremental </w:t>
      </w:r>
      <w:r w:rsidR="00D210C9">
        <w:rPr>
          <w:rFonts w:ascii="Times New Roman" w:hAnsi="Times New Roman"/>
          <w:sz w:val="24"/>
          <w:szCs w:val="24"/>
        </w:rPr>
        <w:t>electric revenue requirement</w:t>
      </w:r>
      <w:r w:rsidR="00CE7538">
        <w:rPr>
          <w:rFonts w:ascii="Times New Roman" w:hAnsi="Times New Roman"/>
          <w:sz w:val="24"/>
          <w:szCs w:val="24"/>
        </w:rPr>
        <w:t>, or “attrition adjustment</w:t>
      </w:r>
      <w:r w:rsidR="00433AD6">
        <w:rPr>
          <w:rFonts w:ascii="Times New Roman" w:hAnsi="Times New Roman"/>
          <w:sz w:val="24"/>
          <w:szCs w:val="24"/>
        </w:rPr>
        <w:t>”</w:t>
      </w:r>
      <w:r w:rsidR="00D210C9">
        <w:rPr>
          <w:rFonts w:ascii="Times New Roman" w:hAnsi="Times New Roman"/>
          <w:sz w:val="24"/>
          <w:szCs w:val="24"/>
        </w:rPr>
        <w:t xml:space="preserve"> of </w:t>
      </w:r>
      <w:r w:rsidR="003276FF">
        <w:rPr>
          <w:rFonts w:ascii="Times New Roman" w:hAnsi="Times New Roman"/>
          <w:sz w:val="24"/>
          <w:szCs w:val="24"/>
        </w:rPr>
        <w:t>$5,823</w:t>
      </w:r>
      <w:r w:rsidR="00911F8C">
        <w:rPr>
          <w:rFonts w:ascii="Times New Roman" w:hAnsi="Times New Roman"/>
          <w:sz w:val="24"/>
          <w:szCs w:val="24"/>
        </w:rPr>
        <w:t>,000</w:t>
      </w:r>
      <w:r w:rsidR="005F7C66">
        <w:rPr>
          <w:rFonts w:ascii="Times New Roman" w:hAnsi="Times New Roman"/>
          <w:sz w:val="24"/>
          <w:szCs w:val="24"/>
        </w:rPr>
        <w:t xml:space="preserve"> over</w:t>
      </w:r>
      <w:r w:rsidR="00CC493A">
        <w:rPr>
          <w:rFonts w:ascii="Times New Roman" w:hAnsi="Times New Roman"/>
          <w:sz w:val="24"/>
          <w:szCs w:val="24"/>
        </w:rPr>
        <w:t xml:space="preserve"> 2013 base rate revenues</w:t>
      </w:r>
      <w:r w:rsidR="000F3048">
        <w:rPr>
          <w:rFonts w:ascii="Times New Roman" w:hAnsi="Times New Roman"/>
          <w:sz w:val="24"/>
          <w:szCs w:val="24"/>
        </w:rPr>
        <w:t>;</w:t>
      </w:r>
      <w:r w:rsidR="00D210C9">
        <w:rPr>
          <w:rFonts w:ascii="Times New Roman" w:hAnsi="Times New Roman"/>
          <w:sz w:val="24"/>
          <w:szCs w:val="24"/>
        </w:rPr>
        <w:t xml:space="preserve"> column (f) shows the temporary </w:t>
      </w:r>
      <w:r w:rsidR="00911F8C">
        <w:rPr>
          <w:rFonts w:ascii="Times New Roman" w:hAnsi="Times New Roman"/>
          <w:sz w:val="24"/>
          <w:szCs w:val="24"/>
        </w:rPr>
        <w:t xml:space="preserve">(2014) </w:t>
      </w:r>
      <w:r w:rsidR="00D210C9">
        <w:rPr>
          <w:rFonts w:ascii="Times New Roman" w:hAnsi="Times New Roman"/>
          <w:sz w:val="24"/>
          <w:szCs w:val="24"/>
        </w:rPr>
        <w:t xml:space="preserve">revenue increase of </w:t>
      </w:r>
      <w:r w:rsidR="00911F8C">
        <w:rPr>
          <w:rFonts w:ascii="Times New Roman" w:hAnsi="Times New Roman"/>
          <w:sz w:val="24"/>
          <w:szCs w:val="24"/>
        </w:rPr>
        <w:t>$14,054,000</w:t>
      </w:r>
      <w:r w:rsidR="00D210C9">
        <w:rPr>
          <w:rFonts w:ascii="Times New Roman" w:hAnsi="Times New Roman"/>
          <w:sz w:val="24"/>
          <w:szCs w:val="24"/>
        </w:rPr>
        <w:t xml:space="preserve"> presently in effect</w:t>
      </w:r>
      <w:r w:rsidR="000F3048">
        <w:rPr>
          <w:rFonts w:ascii="Times New Roman" w:hAnsi="Times New Roman"/>
          <w:sz w:val="24"/>
          <w:szCs w:val="24"/>
        </w:rPr>
        <w:t>;</w:t>
      </w:r>
      <w:r w:rsidR="00D210C9">
        <w:rPr>
          <w:rFonts w:ascii="Times New Roman" w:hAnsi="Times New Roman"/>
          <w:sz w:val="24"/>
          <w:szCs w:val="24"/>
        </w:rPr>
        <w:t xml:space="preserve"> and column (g) shows the incremental reven</w:t>
      </w:r>
      <w:r w:rsidR="00911F8C">
        <w:rPr>
          <w:rFonts w:ascii="Times New Roman" w:hAnsi="Times New Roman"/>
          <w:sz w:val="24"/>
          <w:szCs w:val="24"/>
        </w:rPr>
        <w:t>ue de</w:t>
      </w:r>
      <w:r w:rsidR="003276FF">
        <w:rPr>
          <w:rFonts w:ascii="Times New Roman" w:hAnsi="Times New Roman"/>
          <w:sz w:val="24"/>
          <w:szCs w:val="24"/>
        </w:rPr>
        <w:t>crease needed for 2015 of $8,231</w:t>
      </w:r>
      <w:r w:rsidR="00911F8C">
        <w:rPr>
          <w:rFonts w:ascii="Times New Roman" w:hAnsi="Times New Roman"/>
          <w:sz w:val="24"/>
          <w:szCs w:val="24"/>
        </w:rPr>
        <w:t>,000</w:t>
      </w:r>
      <w:r w:rsidR="00ED7458">
        <w:rPr>
          <w:rFonts w:ascii="Times New Roman" w:hAnsi="Times New Roman"/>
          <w:sz w:val="24"/>
          <w:szCs w:val="24"/>
        </w:rPr>
        <w:t>, relative to 2014 base rate revenues</w:t>
      </w:r>
      <w:r w:rsidR="00D210C9">
        <w:rPr>
          <w:rFonts w:ascii="Times New Roman" w:hAnsi="Times New Roman"/>
          <w:sz w:val="24"/>
          <w:szCs w:val="24"/>
        </w:rPr>
        <w:t>.</w:t>
      </w:r>
    </w:p>
    <w:p w14:paraId="4224263D" w14:textId="4618BDC7" w:rsidR="00D210C9" w:rsidRDefault="00D210C9" w:rsidP="00CB5D3D">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D50357">
        <w:rPr>
          <w:rFonts w:ascii="Times New Roman" w:hAnsi="Times New Roman"/>
          <w:sz w:val="24"/>
          <w:szCs w:val="24"/>
        </w:rPr>
        <w:t xml:space="preserve">As I explained earlier, </w:t>
      </w:r>
      <w:r>
        <w:rPr>
          <w:rFonts w:ascii="Times New Roman" w:hAnsi="Times New Roman"/>
          <w:sz w:val="24"/>
          <w:szCs w:val="24"/>
        </w:rPr>
        <w:t xml:space="preserve">Staff’s revenue requirement analysis does not demonstrate the need for a continuation of the 2014 temporary revenue increase of $14,054,000. Staff’s analysis </w:t>
      </w:r>
      <w:r w:rsidR="0031022D">
        <w:rPr>
          <w:rFonts w:ascii="Times New Roman" w:hAnsi="Times New Roman"/>
          <w:sz w:val="24"/>
          <w:szCs w:val="24"/>
        </w:rPr>
        <w:t>suppo</w:t>
      </w:r>
      <w:r w:rsidR="003276FF">
        <w:rPr>
          <w:rFonts w:ascii="Times New Roman" w:hAnsi="Times New Roman"/>
          <w:sz w:val="24"/>
          <w:szCs w:val="24"/>
        </w:rPr>
        <w:t>rts a revenue decrease of $8,231</w:t>
      </w:r>
      <w:r w:rsidR="0031022D">
        <w:rPr>
          <w:rFonts w:ascii="Times New Roman" w:hAnsi="Times New Roman"/>
          <w:sz w:val="24"/>
          <w:szCs w:val="24"/>
        </w:rPr>
        <w:t>,000</w:t>
      </w:r>
      <w:r>
        <w:rPr>
          <w:rFonts w:ascii="Times New Roman" w:hAnsi="Times New Roman"/>
          <w:sz w:val="24"/>
          <w:szCs w:val="24"/>
        </w:rPr>
        <w:t xml:space="preserve"> relative to 2014 le</w:t>
      </w:r>
      <w:r w:rsidR="0031022D">
        <w:rPr>
          <w:rFonts w:ascii="Times New Roman" w:hAnsi="Times New Roman"/>
          <w:sz w:val="24"/>
          <w:szCs w:val="24"/>
        </w:rPr>
        <w:t>vels,</w:t>
      </w:r>
      <w:r w:rsidR="003276FF">
        <w:rPr>
          <w:rFonts w:ascii="Times New Roman" w:hAnsi="Times New Roman"/>
          <w:sz w:val="24"/>
          <w:szCs w:val="24"/>
        </w:rPr>
        <w:t xml:space="preserve"> or a revenue increase of $5,823</w:t>
      </w:r>
      <w:r w:rsidR="0031022D">
        <w:rPr>
          <w:rFonts w:ascii="Times New Roman" w:hAnsi="Times New Roman"/>
          <w:sz w:val="24"/>
          <w:szCs w:val="24"/>
        </w:rPr>
        <w:t>,000</w:t>
      </w:r>
      <w:r>
        <w:rPr>
          <w:rFonts w:ascii="Times New Roman" w:hAnsi="Times New Roman"/>
          <w:sz w:val="24"/>
          <w:szCs w:val="24"/>
        </w:rPr>
        <w:t xml:space="preserve"> relative to 2015 levels. </w:t>
      </w:r>
    </w:p>
    <w:p w14:paraId="7FDBD776" w14:textId="77777777" w:rsidR="00D210C9" w:rsidRDefault="00D210C9" w:rsidP="00CB5D3D">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Column (a) of page 1</w:t>
      </w:r>
      <w:r w:rsidR="000F3048">
        <w:rPr>
          <w:rFonts w:ascii="Times New Roman" w:hAnsi="Times New Roman"/>
          <w:sz w:val="24"/>
          <w:szCs w:val="24"/>
        </w:rPr>
        <w:t>,</w:t>
      </w:r>
      <w:r>
        <w:rPr>
          <w:rFonts w:ascii="Times New Roman" w:hAnsi="Times New Roman"/>
          <w:sz w:val="24"/>
          <w:szCs w:val="24"/>
        </w:rPr>
        <w:t xml:space="preserve"> labeled </w:t>
      </w:r>
      <w:r w:rsidR="000F3048">
        <w:rPr>
          <w:rFonts w:ascii="Times New Roman" w:hAnsi="Times New Roman"/>
          <w:sz w:val="24"/>
          <w:szCs w:val="24"/>
        </w:rPr>
        <w:t>“</w:t>
      </w:r>
      <w:r>
        <w:rPr>
          <w:rFonts w:ascii="Times New Roman" w:hAnsi="Times New Roman"/>
          <w:sz w:val="24"/>
          <w:szCs w:val="24"/>
        </w:rPr>
        <w:t>Attrition Balances</w:t>
      </w:r>
      <w:r w:rsidR="000F3048">
        <w:rPr>
          <w:rFonts w:ascii="Times New Roman" w:hAnsi="Times New Roman"/>
          <w:sz w:val="24"/>
          <w:szCs w:val="24"/>
        </w:rPr>
        <w:t>,”</w:t>
      </w:r>
      <w:r>
        <w:rPr>
          <w:rFonts w:ascii="Times New Roman" w:hAnsi="Times New Roman"/>
          <w:sz w:val="24"/>
          <w:szCs w:val="24"/>
        </w:rPr>
        <w:t xml:space="preserve"> shows the electric </w:t>
      </w:r>
      <w:r w:rsidR="0031022D">
        <w:rPr>
          <w:rFonts w:ascii="Times New Roman" w:hAnsi="Times New Roman"/>
          <w:sz w:val="24"/>
          <w:szCs w:val="24"/>
        </w:rPr>
        <w:t xml:space="preserve">Attrition Net Operating Income and </w:t>
      </w:r>
      <w:r>
        <w:rPr>
          <w:rFonts w:ascii="Times New Roman" w:hAnsi="Times New Roman"/>
          <w:sz w:val="24"/>
          <w:szCs w:val="24"/>
        </w:rPr>
        <w:t>Attrition Rate Base</w:t>
      </w:r>
      <w:r w:rsidR="0031022D">
        <w:rPr>
          <w:rFonts w:ascii="Times New Roman" w:hAnsi="Times New Roman"/>
          <w:sz w:val="24"/>
          <w:szCs w:val="24"/>
        </w:rPr>
        <w:t xml:space="preserve"> balances</w:t>
      </w:r>
      <w:r>
        <w:rPr>
          <w:rFonts w:ascii="Times New Roman" w:hAnsi="Times New Roman"/>
          <w:sz w:val="24"/>
          <w:szCs w:val="24"/>
        </w:rPr>
        <w:t xml:space="preserve"> from page 5 of Exhibit No.__(CRM-2)</w:t>
      </w:r>
      <w:r w:rsidR="000F3048">
        <w:rPr>
          <w:rFonts w:ascii="Times New Roman" w:hAnsi="Times New Roman"/>
          <w:sz w:val="24"/>
          <w:szCs w:val="24"/>
        </w:rPr>
        <w:t>,</w:t>
      </w:r>
      <w:r w:rsidR="00911F8C">
        <w:rPr>
          <w:rFonts w:ascii="Times New Roman" w:hAnsi="Times New Roman"/>
          <w:sz w:val="24"/>
          <w:szCs w:val="24"/>
        </w:rPr>
        <w:t xml:space="preserve"> column [K], lines 31 and 49.</w:t>
      </w:r>
    </w:p>
    <w:p w14:paraId="2FE5B9E3" w14:textId="77777777" w:rsidR="00D07977" w:rsidRDefault="00D07977" w:rsidP="00CB5D3D">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Column (b) of page 1</w:t>
      </w:r>
      <w:r w:rsidR="00F5707B">
        <w:rPr>
          <w:rFonts w:ascii="Times New Roman" w:hAnsi="Times New Roman"/>
          <w:sz w:val="24"/>
          <w:szCs w:val="24"/>
        </w:rPr>
        <w:t>,</w:t>
      </w:r>
      <w:r>
        <w:rPr>
          <w:rFonts w:ascii="Times New Roman" w:hAnsi="Times New Roman"/>
          <w:sz w:val="24"/>
          <w:szCs w:val="24"/>
        </w:rPr>
        <w:t xml:space="preserve"> labeled </w:t>
      </w:r>
      <w:r w:rsidR="00F5707B">
        <w:rPr>
          <w:rFonts w:ascii="Times New Roman" w:hAnsi="Times New Roman"/>
          <w:sz w:val="24"/>
          <w:szCs w:val="24"/>
        </w:rPr>
        <w:t>“</w:t>
      </w:r>
      <w:r>
        <w:rPr>
          <w:rFonts w:ascii="Times New Roman" w:hAnsi="Times New Roman"/>
          <w:sz w:val="24"/>
          <w:szCs w:val="24"/>
        </w:rPr>
        <w:t>Revenue Growth Factor</w:t>
      </w:r>
      <w:r w:rsidR="00F5707B">
        <w:rPr>
          <w:rFonts w:ascii="Times New Roman" w:hAnsi="Times New Roman"/>
          <w:sz w:val="24"/>
          <w:szCs w:val="24"/>
        </w:rPr>
        <w:t>,”</w:t>
      </w:r>
      <w:r>
        <w:rPr>
          <w:rFonts w:ascii="Times New Roman" w:hAnsi="Times New Roman"/>
          <w:sz w:val="24"/>
          <w:szCs w:val="24"/>
        </w:rPr>
        <w:t xml:space="preserve"> shows the revenue growth factor of 1.00, reflecting application of </w:t>
      </w:r>
      <w:r w:rsidR="009E6490">
        <w:rPr>
          <w:rFonts w:ascii="Times New Roman" w:hAnsi="Times New Roman"/>
          <w:sz w:val="24"/>
          <w:szCs w:val="24"/>
        </w:rPr>
        <w:t xml:space="preserve">rates to </w:t>
      </w:r>
      <w:r>
        <w:rPr>
          <w:rFonts w:ascii="Times New Roman" w:hAnsi="Times New Roman"/>
          <w:sz w:val="24"/>
          <w:szCs w:val="24"/>
        </w:rPr>
        <w:t>the Company’s forecasted 2015 billin</w:t>
      </w:r>
      <w:r w:rsidR="00433AD6">
        <w:rPr>
          <w:rFonts w:ascii="Times New Roman" w:hAnsi="Times New Roman"/>
          <w:sz w:val="24"/>
          <w:szCs w:val="24"/>
        </w:rPr>
        <w:t>g determinants (rather than test year</w:t>
      </w:r>
      <w:r>
        <w:rPr>
          <w:rFonts w:ascii="Times New Roman" w:hAnsi="Times New Roman"/>
          <w:sz w:val="24"/>
          <w:szCs w:val="24"/>
        </w:rPr>
        <w:t xml:space="preserve"> billi</w:t>
      </w:r>
      <w:r w:rsidR="009E6490">
        <w:rPr>
          <w:rFonts w:ascii="Times New Roman" w:hAnsi="Times New Roman"/>
          <w:sz w:val="24"/>
          <w:szCs w:val="24"/>
        </w:rPr>
        <w:t>ng determinants)</w:t>
      </w:r>
      <w:r>
        <w:rPr>
          <w:rFonts w:ascii="Times New Roman" w:hAnsi="Times New Roman"/>
          <w:sz w:val="24"/>
          <w:szCs w:val="24"/>
        </w:rPr>
        <w:t xml:space="preserve">. </w:t>
      </w:r>
      <w:r w:rsidR="00F5707B">
        <w:rPr>
          <w:rFonts w:ascii="Times New Roman" w:hAnsi="Times New Roman"/>
          <w:sz w:val="24"/>
          <w:szCs w:val="24"/>
        </w:rPr>
        <w:t xml:space="preserve"> </w:t>
      </w:r>
      <w:r>
        <w:rPr>
          <w:rFonts w:ascii="Times New Roman" w:hAnsi="Times New Roman"/>
          <w:sz w:val="24"/>
          <w:szCs w:val="24"/>
        </w:rPr>
        <w:t xml:space="preserve">Avista used a revenue growth factor of 1.020771, reflecting application of </w:t>
      </w:r>
      <w:r w:rsidR="009E6490">
        <w:rPr>
          <w:rFonts w:ascii="Times New Roman" w:hAnsi="Times New Roman"/>
          <w:sz w:val="24"/>
          <w:szCs w:val="24"/>
        </w:rPr>
        <w:t xml:space="preserve">rates to the </w:t>
      </w:r>
      <w:r>
        <w:rPr>
          <w:rFonts w:ascii="Times New Roman" w:hAnsi="Times New Roman"/>
          <w:sz w:val="24"/>
          <w:szCs w:val="24"/>
        </w:rPr>
        <w:t>12-months-ending June 30, 2013, test period bill</w:t>
      </w:r>
      <w:r w:rsidR="009E6490">
        <w:rPr>
          <w:rFonts w:ascii="Times New Roman" w:hAnsi="Times New Roman"/>
          <w:sz w:val="24"/>
          <w:szCs w:val="24"/>
        </w:rPr>
        <w:t>ing determinants</w:t>
      </w:r>
      <w:r>
        <w:rPr>
          <w:rFonts w:ascii="Times New Roman" w:hAnsi="Times New Roman"/>
          <w:sz w:val="24"/>
          <w:szCs w:val="24"/>
        </w:rPr>
        <w:t xml:space="preserve">. </w:t>
      </w:r>
    </w:p>
    <w:p w14:paraId="1B190239" w14:textId="094CB77D" w:rsidR="00D07977" w:rsidRDefault="00344F5A" w:rsidP="00CB5D3D">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Column (c)</w:t>
      </w:r>
      <w:r w:rsidR="00F5707B">
        <w:rPr>
          <w:rFonts w:ascii="Times New Roman" w:hAnsi="Times New Roman"/>
          <w:sz w:val="24"/>
          <w:szCs w:val="24"/>
        </w:rPr>
        <w:t>,</w:t>
      </w:r>
      <w:r>
        <w:rPr>
          <w:rFonts w:ascii="Times New Roman" w:hAnsi="Times New Roman"/>
          <w:sz w:val="24"/>
          <w:szCs w:val="24"/>
        </w:rPr>
        <w:t xml:space="preserve"> labeled </w:t>
      </w:r>
      <w:r w:rsidR="00F5707B">
        <w:rPr>
          <w:rFonts w:ascii="Times New Roman" w:hAnsi="Times New Roman"/>
          <w:sz w:val="24"/>
          <w:szCs w:val="24"/>
        </w:rPr>
        <w:t>“</w:t>
      </w:r>
      <w:r>
        <w:rPr>
          <w:rFonts w:ascii="Times New Roman" w:hAnsi="Times New Roman"/>
          <w:sz w:val="24"/>
          <w:szCs w:val="24"/>
        </w:rPr>
        <w:t>Attrition Adjusted Balances</w:t>
      </w:r>
      <w:r w:rsidR="00F5707B">
        <w:rPr>
          <w:rFonts w:ascii="Times New Roman" w:hAnsi="Times New Roman"/>
          <w:sz w:val="24"/>
          <w:szCs w:val="24"/>
        </w:rPr>
        <w:t>,”</w:t>
      </w:r>
      <w:r>
        <w:rPr>
          <w:rFonts w:ascii="Times New Roman" w:hAnsi="Times New Roman"/>
          <w:sz w:val="24"/>
          <w:szCs w:val="24"/>
        </w:rPr>
        <w:t xml:space="preserve"> sho</w:t>
      </w:r>
      <w:r w:rsidR="00FF63A9">
        <w:rPr>
          <w:rFonts w:ascii="Times New Roman" w:hAnsi="Times New Roman"/>
          <w:sz w:val="24"/>
          <w:szCs w:val="24"/>
        </w:rPr>
        <w:t>ws the calculation of the $5,4</w:t>
      </w:r>
      <w:r w:rsidR="00CE7538">
        <w:rPr>
          <w:rFonts w:ascii="Times New Roman" w:hAnsi="Times New Roman"/>
          <w:sz w:val="24"/>
          <w:szCs w:val="24"/>
        </w:rPr>
        <w:t>66</w:t>
      </w:r>
      <w:r>
        <w:rPr>
          <w:rFonts w:ascii="Times New Roman" w:hAnsi="Times New Roman"/>
          <w:sz w:val="24"/>
          <w:szCs w:val="24"/>
        </w:rPr>
        <w:t xml:space="preserve">,000 revenue </w:t>
      </w:r>
      <w:r w:rsidR="00CE7538">
        <w:rPr>
          <w:rFonts w:ascii="Times New Roman" w:hAnsi="Times New Roman"/>
          <w:sz w:val="24"/>
          <w:szCs w:val="24"/>
        </w:rPr>
        <w:t>requirement at the proposed 6.77</w:t>
      </w:r>
      <w:r>
        <w:rPr>
          <w:rFonts w:ascii="Times New Roman" w:hAnsi="Times New Roman"/>
          <w:sz w:val="24"/>
          <w:szCs w:val="24"/>
        </w:rPr>
        <w:t xml:space="preserve"> percent rate of return, based on the </w:t>
      </w:r>
      <w:r>
        <w:rPr>
          <w:rFonts w:ascii="Times New Roman" w:hAnsi="Times New Roman"/>
          <w:sz w:val="24"/>
          <w:szCs w:val="24"/>
        </w:rPr>
        <w:lastRenderedPageBreak/>
        <w:t>Electric Attrition Study “Attrition Rate Base” and “Attrition Net Operating Income” balances in column (a) unadjusted for the revenue growth factor in column (b).</w:t>
      </w:r>
    </w:p>
    <w:p w14:paraId="2977067F" w14:textId="51A87EF3" w:rsidR="00344F5A" w:rsidRDefault="00344F5A" w:rsidP="00CB5D3D">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Column (d)</w:t>
      </w:r>
      <w:r w:rsidR="00F5707B">
        <w:rPr>
          <w:rFonts w:ascii="Times New Roman" w:hAnsi="Times New Roman"/>
          <w:sz w:val="24"/>
          <w:szCs w:val="24"/>
        </w:rPr>
        <w:t>,</w:t>
      </w:r>
      <w:r>
        <w:rPr>
          <w:rFonts w:ascii="Times New Roman" w:hAnsi="Times New Roman"/>
          <w:sz w:val="24"/>
          <w:szCs w:val="24"/>
        </w:rPr>
        <w:t xml:space="preserve"> labeled </w:t>
      </w:r>
      <w:r w:rsidR="00F5707B">
        <w:rPr>
          <w:rFonts w:ascii="Times New Roman" w:hAnsi="Times New Roman"/>
          <w:sz w:val="24"/>
          <w:szCs w:val="24"/>
        </w:rPr>
        <w:t>“</w:t>
      </w:r>
      <w:r>
        <w:rPr>
          <w:rFonts w:ascii="Times New Roman" w:hAnsi="Times New Roman"/>
          <w:sz w:val="24"/>
          <w:szCs w:val="24"/>
        </w:rPr>
        <w:t>After Attrition Adjustments</w:t>
      </w:r>
      <w:r w:rsidR="00F5707B">
        <w:rPr>
          <w:rFonts w:ascii="Times New Roman" w:hAnsi="Times New Roman"/>
          <w:sz w:val="24"/>
          <w:szCs w:val="24"/>
        </w:rPr>
        <w:t>,”</w:t>
      </w:r>
      <w:r w:rsidR="00CE7538">
        <w:rPr>
          <w:rFonts w:ascii="Times New Roman" w:hAnsi="Times New Roman"/>
          <w:sz w:val="24"/>
          <w:szCs w:val="24"/>
        </w:rPr>
        <w:t xml:space="preserve"> includes an increase of $357</w:t>
      </w:r>
      <w:r>
        <w:rPr>
          <w:rFonts w:ascii="Times New Roman" w:hAnsi="Times New Roman"/>
          <w:sz w:val="24"/>
          <w:szCs w:val="24"/>
        </w:rPr>
        <w:t>,000 to the Attrition Revenue Requirement amount in column (c)</w:t>
      </w:r>
      <w:r w:rsidR="00D50357">
        <w:rPr>
          <w:rFonts w:ascii="Times New Roman" w:hAnsi="Times New Roman"/>
          <w:sz w:val="24"/>
          <w:szCs w:val="24"/>
        </w:rPr>
        <w:t>,</w:t>
      </w:r>
      <w:r>
        <w:rPr>
          <w:rFonts w:ascii="Times New Roman" w:hAnsi="Times New Roman"/>
          <w:sz w:val="24"/>
          <w:szCs w:val="24"/>
        </w:rPr>
        <w:t xml:space="preserve"> resulting from adjustments </w:t>
      </w:r>
      <w:r w:rsidR="00FF63A9">
        <w:rPr>
          <w:rFonts w:ascii="Times New Roman" w:hAnsi="Times New Roman"/>
          <w:sz w:val="24"/>
          <w:szCs w:val="24"/>
        </w:rPr>
        <w:t>Avista states</w:t>
      </w:r>
      <w:r w:rsidR="00A5251E">
        <w:rPr>
          <w:rFonts w:ascii="Times New Roman" w:hAnsi="Times New Roman"/>
          <w:sz w:val="24"/>
          <w:szCs w:val="24"/>
        </w:rPr>
        <w:t xml:space="preserve"> is </w:t>
      </w:r>
      <w:r>
        <w:rPr>
          <w:rFonts w:ascii="Times New Roman" w:hAnsi="Times New Roman"/>
          <w:sz w:val="24"/>
          <w:szCs w:val="24"/>
        </w:rPr>
        <w:t>necessary to restate the attrition-adjusted subtotal for the Lake Spokane deferral which was outside of the attrition-adjusted revenue requirement proposed in this case, but set to begin amortization in 2015.</w:t>
      </w:r>
      <w:r w:rsidR="00A5251E">
        <w:rPr>
          <w:rFonts w:ascii="Times New Roman" w:hAnsi="Times New Roman"/>
          <w:sz w:val="24"/>
          <w:szCs w:val="24"/>
        </w:rPr>
        <w:t xml:space="preserve">  Staff does not contest this adjustment. </w:t>
      </w:r>
    </w:p>
    <w:p w14:paraId="5640FC0B" w14:textId="0A32B28B" w:rsidR="00344F5A" w:rsidRPr="004E78E5" w:rsidRDefault="00344F5A" w:rsidP="00CB5D3D">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252C4">
        <w:rPr>
          <w:rFonts w:ascii="Times New Roman" w:hAnsi="Times New Roman"/>
          <w:sz w:val="24"/>
          <w:szCs w:val="24"/>
        </w:rPr>
        <w:t>Column (e)</w:t>
      </w:r>
      <w:r w:rsidR="00F5707B">
        <w:rPr>
          <w:rFonts w:ascii="Times New Roman" w:hAnsi="Times New Roman"/>
          <w:sz w:val="24"/>
          <w:szCs w:val="24"/>
        </w:rPr>
        <w:t>,</w:t>
      </w:r>
      <w:r w:rsidR="005252C4">
        <w:rPr>
          <w:rFonts w:ascii="Times New Roman" w:hAnsi="Times New Roman"/>
          <w:sz w:val="24"/>
          <w:szCs w:val="24"/>
        </w:rPr>
        <w:t xml:space="preserve"> labeled </w:t>
      </w:r>
      <w:r w:rsidR="00F5707B">
        <w:rPr>
          <w:rFonts w:ascii="Times New Roman" w:hAnsi="Times New Roman"/>
          <w:sz w:val="24"/>
          <w:szCs w:val="24"/>
        </w:rPr>
        <w:t>“</w:t>
      </w:r>
      <w:r w:rsidR="005252C4">
        <w:rPr>
          <w:rFonts w:ascii="Times New Roman" w:hAnsi="Times New Roman"/>
          <w:sz w:val="24"/>
          <w:szCs w:val="24"/>
        </w:rPr>
        <w:t>Final Balances</w:t>
      </w:r>
      <w:r w:rsidR="00F5707B">
        <w:rPr>
          <w:rFonts w:ascii="Times New Roman" w:hAnsi="Times New Roman"/>
          <w:sz w:val="24"/>
          <w:szCs w:val="24"/>
        </w:rPr>
        <w:t>,”</w:t>
      </w:r>
      <w:r w:rsidR="005252C4">
        <w:rPr>
          <w:rFonts w:ascii="Times New Roman" w:hAnsi="Times New Roman"/>
          <w:sz w:val="24"/>
          <w:szCs w:val="24"/>
        </w:rPr>
        <w:t xml:space="preserve"> shows the electric attrition adjusted revenue requirement after reflecting the After Attrition Adjustments included in column (d), resulting in an adjusted el</w:t>
      </w:r>
      <w:r w:rsidR="00FF63A9">
        <w:rPr>
          <w:rFonts w:ascii="Times New Roman" w:hAnsi="Times New Roman"/>
          <w:sz w:val="24"/>
          <w:szCs w:val="24"/>
        </w:rPr>
        <w:t>ectric attrition total of $5,823</w:t>
      </w:r>
      <w:r w:rsidR="005252C4">
        <w:rPr>
          <w:rFonts w:ascii="Times New Roman" w:hAnsi="Times New Roman"/>
          <w:sz w:val="24"/>
          <w:szCs w:val="24"/>
        </w:rPr>
        <w:t>,000.</w:t>
      </w:r>
      <w:r w:rsidR="00CE7538">
        <w:rPr>
          <w:rFonts w:ascii="Times New Roman" w:hAnsi="Times New Roman"/>
          <w:sz w:val="24"/>
          <w:szCs w:val="24"/>
        </w:rPr>
        <w:t xml:space="preserve"> </w:t>
      </w:r>
      <w:r w:rsidR="004264A6">
        <w:rPr>
          <w:rFonts w:ascii="Times New Roman" w:hAnsi="Times New Roman"/>
          <w:sz w:val="24"/>
          <w:szCs w:val="24"/>
        </w:rPr>
        <w:t xml:space="preserve"> </w:t>
      </w:r>
      <w:r w:rsidR="00CE7538">
        <w:rPr>
          <w:rFonts w:ascii="Times New Roman" w:hAnsi="Times New Roman"/>
          <w:sz w:val="24"/>
          <w:szCs w:val="24"/>
        </w:rPr>
        <w:t xml:space="preserve">Line 11 shows the attrition-based </w:t>
      </w:r>
      <w:r w:rsidR="00547349">
        <w:rPr>
          <w:rFonts w:ascii="Times New Roman" w:hAnsi="Times New Roman"/>
          <w:sz w:val="24"/>
          <w:szCs w:val="24"/>
        </w:rPr>
        <w:t xml:space="preserve">2015 </w:t>
      </w:r>
      <w:r w:rsidR="00CE7538">
        <w:rPr>
          <w:rFonts w:ascii="Times New Roman" w:hAnsi="Times New Roman"/>
          <w:sz w:val="24"/>
          <w:szCs w:val="24"/>
        </w:rPr>
        <w:t>overall</w:t>
      </w:r>
      <w:r w:rsidR="00FF63A9">
        <w:rPr>
          <w:rFonts w:ascii="Times New Roman" w:hAnsi="Times New Roman"/>
          <w:sz w:val="24"/>
          <w:szCs w:val="24"/>
        </w:rPr>
        <w:t xml:space="preserve"> revenue requirement of </w:t>
      </w:r>
      <w:r w:rsidR="00FF63A9" w:rsidRPr="004E78E5">
        <w:rPr>
          <w:rFonts w:ascii="Times New Roman" w:hAnsi="Times New Roman"/>
          <w:strike/>
          <w:sz w:val="24"/>
          <w:szCs w:val="24"/>
        </w:rPr>
        <w:t>$472,695</w:t>
      </w:r>
      <w:r w:rsidR="00CE7538" w:rsidRPr="004E78E5">
        <w:rPr>
          <w:rFonts w:ascii="Times New Roman" w:hAnsi="Times New Roman"/>
          <w:strike/>
          <w:sz w:val="24"/>
          <w:szCs w:val="24"/>
        </w:rPr>
        <w:t>,000</w:t>
      </w:r>
      <w:r w:rsidR="004E78E5">
        <w:rPr>
          <w:rFonts w:ascii="Times New Roman" w:hAnsi="Times New Roman"/>
          <w:strike/>
          <w:sz w:val="24"/>
          <w:szCs w:val="24"/>
        </w:rPr>
        <w:t xml:space="preserve"> </w:t>
      </w:r>
      <w:r w:rsidR="004E78E5" w:rsidRPr="004E78E5">
        <w:rPr>
          <w:rFonts w:ascii="Times New Roman" w:hAnsi="Times New Roman"/>
          <w:sz w:val="24"/>
          <w:szCs w:val="24"/>
          <w:u w:val="single"/>
        </w:rPr>
        <w:t>$482,393,000</w:t>
      </w:r>
      <w:r w:rsidR="004E78E5" w:rsidRPr="004E78E5">
        <w:rPr>
          <w:rFonts w:ascii="Times New Roman" w:hAnsi="Times New Roman"/>
          <w:sz w:val="24"/>
          <w:szCs w:val="24"/>
        </w:rPr>
        <w:t>.</w:t>
      </w:r>
    </w:p>
    <w:p w14:paraId="16121DE5" w14:textId="46AEF80B" w:rsidR="005252C4" w:rsidRDefault="005252C4" w:rsidP="00CB5D3D">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Column (f) shows the 2014 Temporary Rate Increase approved in Docket UE-120436 of $14,054,000</w:t>
      </w:r>
      <w:r w:rsidR="00F5707B">
        <w:rPr>
          <w:rFonts w:ascii="Times New Roman" w:hAnsi="Times New Roman"/>
          <w:sz w:val="24"/>
          <w:szCs w:val="24"/>
        </w:rPr>
        <w:t>, which is</w:t>
      </w:r>
      <w:r>
        <w:rPr>
          <w:rFonts w:ascii="Times New Roman" w:hAnsi="Times New Roman"/>
          <w:sz w:val="24"/>
          <w:szCs w:val="24"/>
        </w:rPr>
        <w:t xml:space="preserve"> currently in effect</w:t>
      </w:r>
      <w:r w:rsidR="00F5707B">
        <w:rPr>
          <w:rFonts w:ascii="Times New Roman" w:hAnsi="Times New Roman"/>
          <w:sz w:val="24"/>
          <w:szCs w:val="24"/>
        </w:rPr>
        <w:t>, but expires at the end of 2014</w:t>
      </w:r>
      <w:r>
        <w:rPr>
          <w:rFonts w:ascii="Times New Roman" w:hAnsi="Times New Roman"/>
          <w:sz w:val="24"/>
          <w:szCs w:val="24"/>
        </w:rPr>
        <w:t>.</w:t>
      </w:r>
      <w:r w:rsidR="00E31F85">
        <w:rPr>
          <w:rFonts w:ascii="Times New Roman" w:hAnsi="Times New Roman"/>
          <w:sz w:val="24"/>
          <w:szCs w:val="24"/>
        </w:rPr>
        <w:t xml:space="preserve"> </w:t>
      </w:r>
      <w:r w:rsidR="00F5707B">
        <w:rPr>
          <w:rFonts w:ascii="Times New Roman" w:hAnsi="Times New Roman"/>
          <w:sz w:val="24"/>
          <w:szCs w:val="24"/>
        </w:rPr>
        <w:t xml:space="preserve"> </w:t>
      </w:r>
      <w:r w:rsidR="00E31F85">
        <w:rPr>
          <w:rFonts w:ascii="Times New Roman" w:hAnsi="Times New Roman"/>
          <w:sz w:val="24"/>
          <w:szCs w:val="24"/>
        </w:rPr>
        <w:t xml:space="preserve">Due to the total </w:t>
      </w:r>
      <w:r w:rsidR="00682695">
        <w:rPr>
          <w:rFonts w:ascii="Times New Roman" w:hAnsi="Times New Roman"/>
          <w:sz w:val="24"/>
          <w:szCs w:val="24"/>
        </w:rPr>
        <w:t xml:space="preserve">attrition </w:t>
      </w:r>
      <w:r w:rsidR="00E31F85">
        <w:rPr>
          <w:rFonts w:ascii="Times New Roman" w:hAnsi="Times New Roman"/>
          <w:sz w:val="24"/>
          <w:szCs w:val="24"/>
        </w:rPr>
        <w:t xml:space="preserve">revenue need in 2015 (over 2013 levels) </w:t>
      </w:r>
      <w:r w:rsidR="00547349">
        <w:rPr>
          <w:rFonts w:ascii="Times New Roman" w:hAnsi="Times New Roman"/>
          <w:sz w:val="24"/>
          <w:szCs w:val="24"/>
        </w:rPr>
        <w:t xml:space="preserve">as shown in column (e) of </w:t>
      </w:r>
      <w:r w:rsidR="00FF63A9">
        <w:rPr>
          <w:rFonts w:ascii="Times New Roman" w:hAnsi="Times New Roman"/>
          <w:sz w:val="24"/>
          <w:szCs w:val="24"/>
        </w:rPr>
        <w:t>$5,823</w:t>
      </w:r>
      <w:r w:rsidR="00E31F85">
        <w:rPr>
          <w:rFonts w:ascii="Times New Roman" w:hAnsi="Times New Roman"/>
          <w:sz w:val="24"/>
          <w:szCs w:val="24"/>
        </w:rPr>
        <w:t>,000</w:t>
      </w:r>
      <w:r w:rsidR="00F5707B">
        <w:rPr>
          <w:rFonts w:ascii="Times New Roman" w:hAnsi="Times New Roman"/>
          <w:sz w:val="24"/>
          <w:szCs w:val="24"/>
        </w:rPr>
        <w:t>,</w:t>
      </w:r>
      <w:r w:rsidR="00E31F85">
        <w:rPr>
          <w:rFonts w:ascii="Times New Roman" w:hAnsi="Times New Roman"/>
          <w:sz w:val="24"/>
          <w:szCs w:val="24"/>
        </w:rPr>
        <w:t xml:space="preserve"> which is lower than the 2014 temporary rate increase of $14,054,000, the </w:t>
      </w:r>
      <w:r w:rsidR="00F5707B">
        <w:rPr>
          <w:rFonts w:ascii="Times New Roman" w:hAnsi="Times New Roman"/>
          <w:sz w:val="24"/>
          <w:szCs w:val="24"/>
        </w:rPr>
        <w:t xml:space="preserve">Commission should allow the </w:t>
      </w:r>
      <w:r w:rsidR="00682695">
        <w:rPr>
          <w:rFonts w:ascii="Times New Roman" w:hAnsi="Times New Roman"/>
          <w:sz w:val="24"/>
          <w:szCs w:val="24"/>
        </w:rPr>
        <w:t>2014 revenue increase to expire and</w:t>
      </w:r>
      <w:r w:rsidR="00E31F85">
        <w:rPr>
          <w:rFonts w:ascii="Times New Roman" w:hAnsi="Times New Roman"/>
          <w:sz w:val="24"/>
          <w:szCs w:val="24"/>
        </w:rPr>
        <w:t xml:space="preserve"> replace</w:t>
      </w:r>
      <w:r w:rsidR="00F5707B">
        <w:rPr>
          <w:rFonts w:ascii="Times New Roman" w:hAnsi="Times New Roman"/>
          <w:sz w:val="24"/>
          <w:szCs w:val="24"/>
        </w:rPr>
        <w:t xml:space="preserve"> it</w:t>
      </w:r>
      <w:r w:rsidR="00E31F85">
        <w:rPr>
          <w:rFonts w:ascii="Times New Roman" w:hAnsi="Times New Roman"/>
          <w:sz w:val="24"/>
          <w:szCs w:val="24"/>
        </w:rPr>
        <w:t xml:space="preserve"> w</w:t>
      </w:r>
      <w:r w:rsidR="00FF63A9">
        <w:rPr>
          <w:rFonts w:ascii="Times New Roman" w:hAnsi="Times New Roman"/>
          <w:sz w:val="24"/>
          <w:szCs w:val="24"/>
        </w:rPr>
        <w:t>ith a revenue increase of $5,823</w:t>
      </w:r>
      <w:r w:rsidR="00E31F85">
        <w:rPr>
          <w:rFonts w:ascii="Times New Roman" w:hAnsi="Times New Roman"/>
          <w:sz w:val="24"/>
          <w:szCs w:val="24"/>
        </w:rPr>
        <w:t>,000 over 2013 rates.</w:t>
      </w:r>
      <w:r w:rsidR="001F1A1B">
        <w:rPr>
          <w:rFonts w:ascii="Times New Roman" w:hAnsi="Times New Roman"/>
          <w:sz w:val="24"/>
          <w:szCs w:val="24"/>
        </w:rPr>
        <w:t xml:space="preserve"> </w:t>
      </w:r>
      <w:r w:rsidR="00F5707B">
        <w:rPr>
          <w:rFonts w:ascii="Times New Roman" w:hAnsi="Times New Roman"/>
          <w:sz w:val="24"/>
          <w:szCs w:val="24"/>
        </w:rPr>
        <w:t xml:space="preserve"> </w:t>
      </w:r>
      <w:r w:rsidR="00FF63A9">
        <w:rPr>
          <w:rFonts w:ascii="Times New Roman" w:hAnsi="Times New Roman"/>
          <w:sz w:val="24"/>
          <w:szCs w:val="24"/>
        </w:rPr>
        <w:t xml:space="preserve">This represents a </w:t>
      </w:r>
      <w:r w:rsidR="00FF63A9" w:rsidRPr="004E78E5">
        <w:rPr>
          <w:rFonts w:ascii="Times New Roman" w:hAnsi="Times New Roman"/>
          <w:strike/>
          <w:sz w:val="24"/>
          <w:szCs w:val="24"/>
        </w:rPr>
        <w:t>1.25</w:t>
      </w:r>
      <w:r w:rsidR="004E78E5">
        <w:rPr>
          <w:rFonts w:ascii="Times New Roman" w:hAnsi="Times New Roman"/>
          <w:sz w:val="24"/>
          <w:szCs w:val="24"/>
        </w:rPr>
        <w:t xml:space="preserve"> </w:t>
      </w:r>
      <w:r w:rsidR="004E78E5">
        <w:rPr>
          <w:rFonts w:ascii="Times New Roman" w:hAnsi="Times New Roman"/>
          <w:sz w:val="24"/>
          <w:szCs w:val="24"/>
          <w:u w:val="single"/>
        </w:rPr>
        <w:t>1.22</w:t>
      </w:r>
      <w:r w:rsidR="001F1A1B">
        <w:rPr>
          <w:rFonts w:ascii="Times New Roman" w:hAnsi="Times New Roman"/>
          <w:sz w:val="24"/>
          <w:szCs w:val="24"/>
        </w:rPr>
        <w:t xml:space="preserve"> percent increase in revenues relative to 2013 rates.</w:t>
      </w:r>
    </w:p>
    <w:p w14:paraId="5011A33F" w14:textId="199B508D" w:rsidR="001F1A1B" w:rsidRDefault="001F1A1B" w:rsidP="00CB5D3D">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Column (g)</w:t>
      </w:r>
      <w:r w:rsidR="00F5707B">
        <w:rPr>
          <w:rFonts w:ascii="Times New Roman" w:hAnsi="Times New Roman"/>
          <w:sz w:val="24"/>
          <w:szCs w:val="24"/>
        </w:rPr>
        <w:t>,</w:t>
      </w:r>
      <w:r>
        <w:rPr>
          <w:rFonts w:ascii="Times New Roman" w:hAnsi="Times New Roman"/>
          <w:sz w:val="24"/>
          <w:szCs w:val="24"/>
        </w:rPr>
        <w:t xml:space="preserve"> labeled </w:t>
      </w:r>
      <w:r w:rsidR="00F5707B">
        <w:rPr>
          <w:rFonts w:ascii="Times New Roman" w:hAnsi="Times New Roman"/>
          <w:sz w:val="24"/>
          <w:szCs w:val="24"/>
        </w:rPr>
        <w:t>“</w:t>
      </w:r>
      <w:r>
        <w:rPr>
          <w:rFonts w:ascii="Times New Roman" w:hAnsi="Times New Roman"/>
          <w:sz w:val="24"/>
          <w:szCs w:val="24"/>
        </w:rPr>
        <w:t>2015 Revenue Requirement</w:t>
      </w:r>
      <w:r w:rsidR="00F5707B">
        <w:rPr>
          <w:rFonts w:ascii="Times New Roman" w:hAnsi="Times New Roman"/>
          <w:sz w:val="24"/>
          <w:szCs w:val="24"/>
        </w:rPr>
        <w:t>,”</w:t>
      </w:r>
      <w:r>
        <w:rPr>
          <w:rFonts w:ascii="Times New Roman" w:hAnsi="Times New Roman"/>
          <w:sz w:val="24"/>
          <w:szCs w:val="24"/>
        </w:rPr>
        <w:t xml:space="preserve"> shows the 2015 increm</w:t>
      </w:r>
      <w:r w:rsidR="00FF63A9">
        <w:rPr>
          <w:rFonts w:ascii="Times New Roman" w:hAnsi="Times New Roman"/>
          <w:sz w:val="24"/>
          <w:szCs w:val="24"/>
        </w:rPr>
        <w:t>ental revenue decrease of $8,231</w:t>
      </w:r>
      <w:r>
        <w:rPr>
          <w:rFonts w:ascii="Times New Roman" w:hAnsi="Times New Roman"/>
          <w:sz w:val="24"/>
          <w:szCs w:val="24"/>
        </w:rPr>
        <w:t xml:space="preserve">,000 relative to the 2014 temporary rates. </w:t>
      </w:r>
      <w:r w:rsidR="00F5707B">
        <w:rPr>
          <w:rFonts w:ascii="Times New Roman" w:hAnsi="Times New Roman"/>
          <w:sz w:val="24"/>
          <w:szCs w:val="24"/>
        </w:rPr>
        <w:t xml:space="preserve"> </w:t>
      </w:r>
      <w:r w:rsidR="00547349">
        <w:rPr>
          <w:rFonts w:ascii="Times New Roman" w:hAnsi="Times New Roman"/>
          <w:sz w:val="24"/>
          <w:szCs w:val="24"/>
        </w:rPr>
        <w:t xml:space="preserve">This represents a </w:t>
      </w:r>
      <w:r w:rsidR="00547349" w:rsidRPr="004E78E5">
        <w:rPr>
          <w:rFonts w:ascii="Times New Roman" w:hAnsi="Times New Roman"/>
          <w:strike/>
          <w:sz w:val="24"/>
          <w:szCs w:val="24"/>
        </w:rPr>
        <w:t>1.</w:t>
      </w:r>
      <w:r w:rsidR="00FF63A9" w:rsidRPr="004E78E5">
        <w:rPr>
          <w:rFonts w:ascii="Times New Roman" w:hAnsi="Times New Roman"/>
          <w:strike/>
          <w:sz w:val="24"/>
          <w:szCs w:val="24"/>
        </w:rPr>
        <w:t>71</w:t>
      </w:r>
      <w:r>
        <w:rPr>
          <w:rFonts w:ascii="Times New Roman" w:hAnsi="Times New Roman"/>
          <w:sz w:val="24"/>
          <w:szCs w:val="24"/>
        </w:rPr>
        <w:t xml:space="preserve"> </w:t>
      </w:r>
      <w:r w:rsidR="004E78E5">
        <w:rPr>
          <w:rFonts w:ascii="Times New Roman" w:hAnsi="Times New Roman"/>
          <w:sz w:val="24"/>
          <w:szCs w:val="24"/>
          <w:u w:val="single"/>
        </w:rPr>
        <w:t>1.</w:t>
      </w:r>
      <w:r w:rsidR="004E78E5" w:rsidRPr="004E78E5">
        <w:rPr>
          <w:rFonts w:ascii="Times New Roman" w:hAnsi="Times New Roman"/>
          <w:sz w:val="24"/>
          <w:szCs w:val="24"/>
          <w:u w:val="single"/>
        </w:rPr>
        <w:t>68</w:t>
      </w:r>
      <w:r w:rsidR="004E78E5">
        <w:rPr>
          <w:rFonts w:ascii="Times New Roman" w:hAnsi="Times New Roman"/>
          <w:sz w:val="24"/>
          <w:szCs w:val="24"/>
        </w:rPr>
        <w:t xml:space="preserve"> </w:t>
      </w:r>
      <w:r w:rsidRPr="004E78E5">
        <w:rPr>
          <w:rFonts w:ascii="Times New Roman" w:hAnsi="Times New Roman"/>
          <w:sz w:val="24"/>
          <w:szCs w:val="24"/>
        </w:rPr>
        <w:t>percent</w:t>
      </w:r>
      <w:r>
        <w:rPr>
          <w:rFonts w:ascii="Times New Roman" w:hAnsi="Times New Roman"/>
          <w:sz w:val="24"/>
          <w:szCs w:val="24"/>
        </w:rPr>
        <w:t xml:space="preserve"> decrease in revenues relative to 2014 rates.</w:t>
      </w:r>
    </w:p>
    <w:p w14:paraId="4FB0858C" w14:textId="77777777" w:rsidR="005252C4" w:rsidRDefault="005252C4" w:rsidP="00CB5D3D">
      <w:pPr>
        <w:spacing w:after="0" w:line="480" w:lineRule="auto"/>
        <w:ind w:left="720" w:hanging="720"/>
        <w:rPr>
          <w:rFonts w:ascii="Times New Roman" w:hAnsi="Times New Roman"/>
          <w:sz w:val="24"/>
          <w:szCs w:val="24"/>
        </w:rPr>
      </w:pPr>
    </w:p>
    <w:p w14:paraId="420027A6" w14:textId="77777777" w:rsidR="001A644D" w:rsidRDefault="001A644D" w:rsidP="00CB5D3D">
      <w:pPr>
        <w:spacing w:after="0" w:line="480" w:lineRule="auto"/>
        <w:ind w:left="720" w:hanging="720"/>
        <w:rPr>
          <w:rFonts w:ascii="Times New Roman" w:hAnsi="Times New Roman"/>
          <w:b/>
          <w:sz w:val="24"/>
          <w:szCs w:val="24"/>
        </w:rPr>
      </w:pPr>
      <w:r>
        <w:rPr>
          <w:rFonts w:ascii="Times New Roman" w:hAnsi="Times New Roman"/>
          <w:b/>
          <w:sz w:val="24"/>
          <w:szCs w:val="24"/>
        </w:rPr>
        <w:lastRenderedPageBreak/>
        <w:t>Q.</w:t>
      </w:r>
      <w:r>
        <w:rPr>
          <w:rFonts w:ascii="Times New Roman" w:hAnsi="Times New Roman"/>
          <w:b/>
          <w:sz w:val="24"/>
          <w:szCs w:val="24"/>
        </w:rPr>
        <w:tab/>
        <w:t>Please explain page 2 of Exhibit No.__(CRM-2).</w:t>
      </w:r>
    </w:p>
    <w:p w14:paraId="1AFDD257" w14:textId="749A4BD0" w:rsidR="001A644D" w:rsidRDefault="001A644D" w:rsidP="00CB5D3D">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D1357F">
        <w:rPr>
          <w:rFonts w:ascii="Times New Roman" w:hAnsi="Times New Roman"/>
          <w:sz w:val="24"/>
          <w:szCs w:val="24"/>
        </w:rPr>
        <w:t>Page 2 shows the proposed cost of capital and capital structure used by Staff resulting in a weighted</w:t>
      </w:r>
      <w:r w:rsidR="00547349">
        <w:rPr>
          <w:rFonts w:ascii="Times New Roman" w:hAnsi="Times New Roman"/>
          <w:sz w:val="24"/>
          <w:szCs w:val="24"/>
        </w:rPr>
        <w:t xml:space="preserve"> average cost of capital of 6.77</w:t>
      </w:r>
      <w:r w:rsidR="00D1357F">
        <w:rPr>
          <w:rFonts w:ascii="Times New Roman" w:hAnsi="Times New Roman"/>
          <w:sz w:val="24"/>
          <w:szCs w:val="24"/>
        </w:rPr>
        <w:t xml:space="preserve"> percent. </w:t>
      </w:r>
      <w:r w:rsidR="00F5707B">
        <w:rPr>
          <w:rFonts w:ascii="Times New Roman" w:hAnsi="Times New Roman"/>
          <w:sz w:val="24"/>
          <w:szCs w:val="24"/>
        </w:rPr>
        <w:t xml:space="preserve"> </w:t>
      </w:r>
      <w:r w:rsidR="00D1357F">
        <w:rPr>
          <w:rFonts w:ascii="Times New Roman" w:hAnsi="Times New Roman"/>
          <w:sz w:val="24"/>
          <w:szCs w:val="24"/>
        </w:rPr>
        <w:t xml:space="preserve">Staff </w:t>
      </w:r>
      <w:r w:rsidR="00F5707B">
        <w:rPr>
          <w:rFonts w:ascii="Times New Roman" w:hAnsi="Times New Roman"/>
          <w:sz w:val="24"/>
          <w:szCs w:val="24"/>
        </w:rPr>
        <w:t>w</w:t>
      </w:r>
      <w:r w:rsidR="00D1357F">
        <w:rPr>
          <w:rFonts w:ascii="Times New Roman" w:hAnsi="Times New Roman"/>
          <w:sz w:val="24"/>
          <w:szCs w:val="24"/>
        </w:rPr>
        <w:t xml:space="preserve">itness Mr. Elgin </w:t>
      </w:r>
      <w:r w:rsidR="002A09E7">
        <w:rPr>
          <w:rFonts w:ascii="Times New Roman" w:hAnsi="Times New Roman"/>
          <w:sz w:val="24"/>
          <w:szCs w:val="24"/>
        </w:rPr>
        <w:t>presents</w:t>
      </w:r>
      <w:r w:rsidR="00F5707B">
        <w:rPr>
          <w:rFonts w:ascii="Times New Roman" w:hAnsi="Times New Roman"/>
          <w:sz w:val="24"/>
          <w:szCs w:val="24"/>
        </w:rPr>
        <w:t xml:space="preserve"> </w:t>
      </w:r>
      <w:r w:rsidR="00D1357F">
        <w:rPr>
          <w:rFonts w:ascii="Times New Roman" w:hAnsi="Times New Roman"/>
          <w:sz w:val="24"/>
          <w:szCs w:val="24"/>
        </w:rPr>
        <w:t>Staff’s proposed cost of capital</w:t>
      </w:r>
      <w:r w:rsidR="00F5707B">
        <w:rPr>
          <w:rFonts w:ascii="Times New Roman" w:hAnsi="Times New Roman"/>
          <w:sz w:val="24"/>
          <w:szCs w:val="24"/>
        </w:rPr>
        <w:t xml:space="preserve">, including </w:t>
      </w:r>
      <w:r w:rsidR="00D1357F">
        <w:rPr>
          <w:rFonts w:ascii="Times New Roman" w:hAnsi="Times New Roman"/>
          <w:sz w:val="24"/>
          <w:szCs w:val="24"/>
        </w:rPr>
        <w:t>capital structure.</w:t>
      </w:r>
    </w:p>
    <w:p w14:paraId="167B0E94" w14:textId="77777777" w:rsidR="00D1357F" w:rsidRDefault="00D1357F" w:rsidP="00CB5D3D">
      <w:pPr>
        <w:spacing w:after="0" w:line="480" w:lineRule="auto"/>
        <w:ind w:left="720" w:hanging="720"/>
        <w:rPr>
          <w:rFonts w:ascii="Times New Roman" w:hAnsi="Times New Roman"/>
          <w:sz w:val="24"/>
          <w:szCs w:val="24"/>
        </w:rPr>
      </w:pPr>
    </w:p>
    <w:p w14:paraId="09EAF55F" w14:textId="77777777" w:rsidR="00D1357F" w:rsidRDefault="00D1357F" w:rsidP="00CB5D3D">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Please explain page 3 of Exhibit No.__(CRM-2)</w:t>
      </w:r>
      <w:r w:rsidR="00BF17CB">
        <w:rPr>
          <w:rFonts w:ascii="Times New Roman" w:hAnsi="Times New Roman"/>
          <w:b/>
          <w:sz w:val="24"/>
          <w:szCs w:val="24"/>
        </w:rPr>
        <w:t>.</w:t>
      </w:r>
    </w:p>
    <w:p w14:paraId="15D3FA6E" w14:textId="77777777" w:rsidR="00D1357F" w:rsidRDefault="00D1357F" w:rsidP="00CB5D3D">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Page 3 shows the derivation of the electric net-operating-income-to-gross-revenue conversion factor. This conversion factor is identical to the conversion factor used by the Company and presented on page 3 of Exhibit No.__(EMA-2).</w:t>
      </w:r>
    </w:p>
    <w:p w14:paraId="003B1B4B" w14:textId="77777777" w:rsidR="00BF17CB" w:rsidRDefault="00BF17CB" w:rsidP="00CB5D3D">
      <w:pPr>
        <w:spacing w:after="0" w:line="480" w:lineRule="auto"/>
        <w:ind w:left="720" w:hanging="720"/>
        <w:rPr>
          <w:rFonts w:ascii="Times New Roman" w:hAnsi="Times New Roman"/>
          <w:sz w:val="24"/>
          <w:szCs w:val="24"/>
        </w:rPr>
      </w:pPr>
    </w:p>
    <w:p w14:paraId="7692AABD" w14:textId="77777777" w:rsidR="00BF17CB" w:rsidRPr="00BF17CB" w:rsidRDefault="00BF17CB" w:rsidP="00CB5D3D">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Please explain pages 4 and 5 of Exhibit No.__(CRM-2).</w:t>
      </w:r>
    </w:p>
    <w:p w14:paraId="73AD1217" w14:textId="501109FF" w:rsidR="00BF17CB" w:rsidRDefault="00BF17CB" w:rsidP="00CB5D3D">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Pages 4 and 5 present the normalized income statement and rate base for Washington electric operations, with the cost, revenue and rate base detail that is </w:t>
      </w:r>
      <w:r w:rsidR="00C37F4E">
        <w:rPr>
          <w:rFonts w:ascii="Times New Roman" w:hAnsi="Times New Roman"/>
          <w:sz w:val="24"/>
          <w:szCs w:val="24"/>
        </w:rPr>
        <w:t xml:space="preserve">found in Avista’s December 2013 </w:t>
      </w:r>
      <w:r w:rsidR="00F5707B">
        <w:rPr>
          <w:rFonts w:ascii="Times New Roman" w:hAnsi="Times New Roman"/>
          <w:sz w:val="24"/>
          <w:szCs w:val="24"/>
        </w:rPr>
        <w:t>Commission Basis Report</w:t>
      </w:r>
      <w:r w:rsidR="003C411C">
        <w:rPr>
          <w:rFonts w:ascii="Times New Roman" w:hAnsi="Times New Roman"/>
          <w:sz w:val="24"/>
          <w:szCs w:val="24"/>
        </w:rPr>
        <w:t xml:space="preserve">. </w:t>
      </w:r>
      <w:r w:rsidR="004264A6">
        <w:rPr>
          <w:rFonts w:ascii="Times New Roman" w:hAnsi="Times New Roman"/>
          <w:sz w:val="24"/>
          <w:szCs w:val="24"/>
        </w:rPr>
        <w:t xml:space="preserve"> </w:t>
      </w:r>
      <w:r w:rsidR="003C411C">
        <w:rPr>
          <w:rFonts w:ascii="Times New Roman" w:hAnsi="Times New Roman"/>
          <w:sz w:val="24"/>
          <w:szCs w:val="24"/>
        </w:rPr>
        <w:t>These pages</w:t>
      </w:r>
      <w:r w:rsidR="00FD4574">
        <w:rPr>
          <w:rFonts w:ascii="Times New Roman" w:hAnsi="Times New Roman"/>
          <w:sz w:val="24"/>
          <w:szCs w:val="24"/>
        </w:rPr>
        <w:t xml:space="preserve"> show</w:t>
      </w:r>
      <w:r w:rsidR="00C37F4E">
        <w:rPr>
          <w:rFonts w:ascii="Times New Roman" w:hAnsi="Times New Roman"/>
          <w:sz w:val="24"/>
          <w:szCs w:val="24"/>
        </w:rPr>
        <w:t xml:space="preserve"> t</w:t>
      </w:r>
      <w:r w:rsidR="00FD4574">
        <w:rPr>
          <w:rFonts w:ascii="Times New Roman" w:hAnsi="Times New Roman"/>
          <w:sz w:val="24"/>
          <w:szCs w:val="24"/>
        </w:rPr>
        <w:t>he escalation of December 2013 Commission Basis Report results of operations to the 2015 rate year</w:t>
      </w:r>
      <w:r w:rsidR="00C37F4E">
        <w:rPr>
          <w:rFonts w:ascii="Times New Roman" w:hAnsi="Times New Roman"/>
          <w:sz w:val="24"/>
          <w:szCs w:val="24"/>
        </w:rPr>
        <w:t>.</w:t>
      </w:r>
    </w:p>
    <w:p w14:paraId="519BE721" w14:textId="7BBCE5C3" w:rsidR="00C37F4E" w:rsidRDefault="00C37F4E" w:rsidP="00CB5D3D">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1C0A92">
        <w:rPr>
          <w:rFonts w:ascii="Times New Roman" w:hAnsi="Times New Roman"/>
          <w:sz w:val="24"/>
          <w:szCs w:val="24"/>
        </w:rPr>
        <w:t>Column [A],</w:t>
      </w:r>
      <w:r>
        <w:rPr>
          <w:rFonts w:ascii="Times New Roman" w:hAnsi="Times New Roman"/>
          <w:sz w:val="24"/>
          <w:szCs w:val="24"/>
        </w:rPr>
        <w:t xml:space="preserve"> labeled </w:t>
      </w:r>
      <w:r w:rsidR="00F5707B">
        <w:rPr>
          <w:rFonts w:ascii="Times New Roman" w:hAnsi="Times New Roman"/>
          <w:sz w:val="24"/>
          <w:szCs w:val="24"/>
        </w:rPr>
        <w:t>“</w:t>
      </w:r>
      <w:r>
        <w:rPr>
          <w:rFonts w:ascii="Times New Roman" w:hAnsi="Times New Roman"/>
          <w:sz w:val="24"/>
          <w:szCs w:val="24"/>
        </w:rPr>
        <w:t>12</w:t>
      </w:r>
      <w:r w:rsidR="001C0A92">
        <w:rPr>
          <w:rFonts w:ascii="Times New Roman" w:hAnsi="Times New Roman"/>
          <w:sz w:val="24"/>
          <w:szCs w:val="24"/>
        </w:rPr>
        <w:t>.</w:t>
      </w:r>
      <w:r>
        <w:rPr>
          <w:rFonts w:ascii="Times New Roman" w:hAnsi="Times New Roman"/>
          <w:sz w:val="24"/>
          <w:szCs w:val="24"/>
        </w:rPr>
        <w:t>2013 Commission Basis Report</w:t>
      </w:r>
      <w:r w:rsidR="001C0A92">
        <w:rPr>
          <w:rFonts w:ascii="Times New Roman" w:hAnsi="Times New Roman"/>
          <w:sz w:val="24"/>
          <w:szCs w:val="24"/>
        </w:rPr>
        <w:t xml:space="preserve"> Restated </w:t>
      </w:r>
      <w:r w:rsidR="00F5707B">
        <w:rPr>
          <w:rFonts w:ascii="Times New Roman" w:hAnsi="Times New Roman"/>
          <w:sz w:val="24"/>
          <w:szCs w:val="24"/>
        </w:rPr>
        <w:t>T</w:t>
      </w:r>
      <w:r w:rsidR="001C0A92">
        <w:rPr>
          <w:rFonts w:ascii="Times New Roman" w:hAnsi="Times New Roman"/>
          <w:sz w:val="24"/>
          <w:szCs w:val="24"/>
        </w:rPr>
        <w:t>otals,</w:t>
      </w:r>
      <w:r w:rsidR="00F5707B">
        <w:rPr>
          <w:rFonts w:ascii="Times New Roman" w:hAnsi="Times New Roman"/>
          <w:sz w:val="24"/>
          <w:szCs w:val="24"/>
        </w:rPr>
        <w:t>”</w:t>
      </w:r>
      <w:r w:rsidR="001C0A92">
        <w:rPr>
          <w:rFonts w:ascii="Times New Roman" w:hAnsi="Times New Roman"/>
          <w:sz w:val="24"/>
          <w:szCs w:val="24"/>
        </w:rPr>
        <w:t xml:space="preserve"> provides the results of the December 2013 </w:t>
      </w:r>
      <w:r w:rsidR="00F5707B">
        <w:rPr>
          <w:rFonts w:ascii="Times New Roman" w:hAnsi="Times New Roman"/>
          <w:sz w:val="24"/>
          <w:szCs w:val="24"/>
        </w:rPr>
        <w:t>Commission Basis Report</w:t>
      </w:r>
      <w:r w:rsidR="001C0A92">
        <w:rPr>
          <w:rFonts w:ascii="Times New Roman" w:hAnsi="Times New Roman"/>
          <w:sz w:val="24"/>
          <w:szCs w:val="24"/>
        </w:rPr>
        <w:t xml:space="preserve"> that includes normalized cost and revenue data for Avista’s Washington electric operations for the period twelve-months-ended December 31, 2013. </w:t>
      </w:r>
      <w:r w:rsidR="00D411C3">
        <w:rPr>
          <w:rFonts w:ascii="Times New Roman" w:hAnsi="Times New Roman"/>
          <w:sz w:val="24"/>
          <w:szCs w:val="24"/>
        </w:rPr>
        <w:t xml:space="preserve"> </w:t>
      </w:r>
      <w:r w:rsidR="001C0A92">
        <w:rPr>
          <w:rFonts w:ascii="Times New Roman" w:hAnsi="Times New Roman"/>
          <w:sz w:val="24"/>
          <w:szCs w:val="24"/>
        </w:rPr>
        <w:t xml:space="preserve">This column shows that on a Commission Basis Report normalized basis for this historical test period, the Company’s earned </w:t>
      </w:r>
      <w:r w:rsidR="009E1A3B">
        <w:rPr>
          <w:rFonts w:ascii="Times New Roman" w:hAnsi="Times New Roman"/>
          <w:sz w:val="24"/>
          <w:szCs w:val="24"/>
        </w:rPr>
        <w:t>rate of return</w:t>
      </w:r>
      <w:r w:rsidR="001C0A92">
        <w:rPr>
          <w:rFonts w:ascii="Times New Roman" w:hAnsi="Times New Roman"/>
          <w:sz w:val="24"/>
          <w:szCs w:val="24"/>
        </w:rPr>
        <w:t xml:space="preserve"> for its Washington elec</w:t>
      </w:r>
      <w:r w:rsidR="003E73B2">
        <w:rPr>
          <w:rFonts w:ascii="Times New Roman" w:hAnsi="Times New Roman"/>
          <w:sz w:val="24"/>
          <w:szCs w:val="24"/>
        </w:rPr>
        <w:t>tric operations was 7.57 percent</w:t>
      </w:r>
      <w:r w:rsidR="001C0A92">
        <w:rPr>
          <w:rFonts w:ascii="Times New Roman" w:hAnsi="Times New Roman"/>
          <w:sz w:val="24"/>
          <w:szCs w:val="24"/>
        </w:rPr>
        <w:t>.</w:t>
      </w:r>
    </w:p>
    <w:p w14:paraId="64FEB0AE" w14:textId="331CB243" w:rsidR="00BF17CB" w:rsidRDefault="001C0A92" w:rsidP="00CB5D3D">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Column [B], labeled </w:t>
      </w:r>
      <w:r w:rsidR="00D411C3">
        <w:rPr>
          <w:rFonts w:ascii="Times New Roman" w:hAnsi="Times New Roman"/>
          <w:sz w:val="24"/>
          <w:szCs w:val="24"/>
        </w:rPr>
        <w:t>“</w:t>
      </w:r>
      <w:r>
        <w:rPr>
          <w:rFonts w:ascii="Times New Roman" w:hAnsi="Times New Roman"/>
          <w:sz w:val="24"/>
          <w:szCs w:val="24"/>
        </w:rPr>
        <w:t>12.2013 Normalized Net Power Supply,</w:t>
      </w:r>
      <w:r w:rsidR="00D411C3">
        <w:rPr>
          <w:rFonts w:ascii="Times New Roman" w:hAnsi="Times New Roman"/>
          <w:sz w:val="24"/>
          <w:szCs w:val="24"/>
        </w:rPr>
        <w:t>”</w:t>
      </w:r>
      <w:r>
        <w:rPr>
          <w:rFonts w:ascii="Times New Roman" w:hAnsi="Times New Roman"/>
          <w:sz w:val="24"/>
          <w:szCs w:val="24"/>
        </w:rPr>
        <w:t xml:space="preserve"> is subtracted from column [A], removing all normalized energy related cost and revenues from the </w:t>
      </w:r>
      <w:r w:rsidR="00F5707B">
        <w:rPr>
          <w:rFonts w:ascii="Times New Roman" w:hAnsi="Times New Roman"/>
          <w:sz w:val="24"/>
          <w:szCs w:val="24"/>
        </w:rPr>
        <w:lastRenderedPageBreak/>
        <w:t xml:space="preserve">December </w:t>
      </w:r>
      <w:r>
        <w:rPr>
          <w:rFonts w:ascii="Times New Roman" w:hAnsi="Times New Roman"/>
          <w:sz w:val="24"/>
          <w:szCs w:val="24"/>
        </w:rPr>
        <w:t xml:space="preserve">2013 </w:t>
      </w:r>
      <w:r w:rsidR="00F5707B">
        <w:rPr>
          <w:rFonts w:ascii="Times New Roman" w:hAnsi="Times New Roman"/>
          <w:sz w:val="24"/>
          <w:szCs w:val="24"/>
        </w:rPr>
        <w:t>Commission Basis Report</w:t>
      </w:r>
      <w:r>
        <w:rPr>
          <w:rFonts w:ascii="Times New Roman" w:hAnsi="Times New Roman"/>
          <w:sz w:val="24"/>
          <w:szCs w:val="24"/>
        </w:rPr>
        <w:t xml:space="preserve"> values (</w:t>
      </w:r>
      <w:r w:rsidR="004264A6">
        <w:rPr>
          <w:rFonts w:ascii="Times New Roman" w:hAnsi="Times New Roman"/>
          <w:sz w:val="24"/>
          <w:szCs w:val="24"/>
        </w:rPr>
        <w:t>p</w:t>
      </w:r>
      <w:r>
        <w:rPr>
          <w:rFonts w:ascii="Times New Roman" w:hAnsi="Times New Roman"/>
          <w:sz w:val="24"/>
          <w:szCs w:val="24"/>
        </w:rPr>
        <w:t xml:space="preserve">ro forma level net power supply costs are added back later, as </w:t>
      </w:r>
      <w:r w:rsidR="004264A6">
        <w:rPr>
          <w:rFonts w:ascii="Times New Roman" w:hAnsi="Times New Roman"/>
          <w:sz w:val="24"/>
          <w:szCs w:val="24"/>
        </w:rPr>
        <w:t xml:space="preserve">I </w:t>
      </w:r>
      <w:r>
        <w:rPr>
          <w:rFonts w:ascii="Times New Roman" w:hAnsi="Times New Roman"/>
          <w:sz w:val="24"/>
          <w:szCs w:val="24"/>
        </w:rPr>
        <w:t xml:space="preserve">discuss further below.) </w:t>
      </w:r>
      <w:r w:rsidR="00D411C3">
        <w:rPr>
          <w:rFonts w:ascii="Times New Roman" w:hAnsi="Times New Roman"/>
          <w:sz w:val="24"/>
          <w:szCs w:val="24"/>
        </w:rPr>
        <w:t xml:space="preserve"> </w:t>
      </w:r>
      <w:r>
        <w:rPr>
          <w:rFonts w:ascii="Times New Roman" w:hAnsi="Times New Roman"/>
          <w:sz w:val="24"/>
          <w:szCs w:val="24"/>
        </w:rPr>
        <w:t>This removal ensure</w:t>
      </w:r>
      <w:r w:rsidR="00227597">
        <w:rPr>
          <w:rFonts w:ascii="Times New Roman" w:hAnsi="Times New Roman"/>
          <w:sz w:val="24"/>
          <w:szCs w:val="24"/>
        </w:rPr>
        <w:t>s</w:t>
      </w:r>
      <w:r>
        <w:rPr>
          <w:rFonts w:ascii="Times New Roman" w:hAnsi="Times New Roman"/>
          <w:sz w:val="24"/>
          <w:szCs w:val="24"/>
        </w:rPr>
        <w:t xml:space="preserve"> only non-energy cost</w:t>
      </w:r>
      <w:r w:rsidR="00227597">
        <w:rPr>
          <w:rFonts w:ascii="Times New Roman" w:hAnsi="Times New Roman"/>
          <w:sz w:val="24"/>
          <w:szCs w:val="24"/>
        </w:rPr>
        <w:t>s</w:t>
      </w:r>
      <w:r>
        <w:rPr>
          <w:rFonts w:ascii="Times New Roman" w:hAnsi="Times New Roman"/>
          <w:sz w:val="24"/>
          <w:szCs w:val="24"/>
        </w:rPr>
        <w:t xml:space="preserve"> are trended to the 2015 rate period.</w:t>
      </w:r>
    </w:p>
    <w:p w14:paraId="19CCFF4B" w14:textId="75318345" w:rsidR="00F5707B" w:rsidRDefault="001C0A92" w:rsidP="00CB5D3D">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Column [C], labeled </w:t>
      </w:r>
      <w:r w:rsidR="00F5707B">
        <w:rPr>
          <w:rFonts w:ascii="Times New Roman" w:hAnsi="Times New Roman"/>
          <w:sz w:val="24"/>
          <w:szCs w:val="24"/>
        </w:rPr>
        <w:t>“</w:t>
      </w:r>
      <w:r>
        <w:rPr>
          <w:rFonts w:ascii="Times New Roman" w:hAnsi="Times New Roman"/>
          <w:sz w:val="24"/>
          <w:szCs w:val="24"/>
        </w:rPr>
        <w:t>Proposed Working Capital &amp; Restated Def. Deb/Cred</w:t>
      </w:r>
      <w:r w:rsidR="006B27C2">
        <w:rPr>
          <w:rFonts w:ascii="Times New Roman" w:hAnsi="Times New Roman"/>
          <w:sz w:val="24"/>
          <w:szCs w:val="24"/>
        </w:rPr>
        <w:t>,</w:t>
      </w:r>
      <w:r w:rsidR="00F5707B">
        <w:rPr>
          <w:rFonts w:ascii="Times New Roman" w:hAnsi="Times New Roman"/>
          <w:sz w:val="24"/>
          <w:szCs w:val="24"/>
        </w:rPr>
        <w:t>”</w:t>
      </w:r>
      <w:r w:rsidR="006B27C2">
        <w:rPr>
          <w:rFonts w:ascii="Times New Roman" w:hAnsi="Times New Roman"/>
          <w:sz w:val="24"/>
          <w:szCs w:val="24"/>
        </w:rPr>
        <w:t xml:space="preserve"> is an addition to column [A]</w:t>
      </w:r>
      <w:r w:rsidR="00094559">
        <w:rPr>
          <w:rFonts w:ascii="Times New Roman" w:hAnsi="Times New Roman"/>
          <w:sz w:val="24"/>
          <w:szCs w:val="24"/>
        </w:rPr>
        <w:t>, r</w:t>
      </w:r>
      <w:r w:rsidR="007D3AF9">
        <w:rPr>
          <w:rFonts w:ascii="Times New Roman" w:hAnsi="Times New Roman"/>
          <w:sz w:val="24"/>
          <w:szCs w:val="24"/>
        </w:rPr>
        <w:t>estating Working Capital balance</w:t>
      </w:r>
      <w:r w:rsidR="00094559">
        <w:rPr>
          <w:rFonts w:ascii="Times New Roman" w:hAnsi="Times New Roman"/>
          <w:sz w:val="24"/>
          <w:szCs w:val="24"/>
        </w:rPr>
        <w:t xml:space="preserve"> to December 2013 </w:t>
      </w:r>
      <w:r w:rsidR="00F5707B">
        <w:rPr>
          <w:rFonts w:ascii="Times New Roman" w:hAnsi="Times New Roman"/>
          <w:sz w:val="24"/>
          <w:szCs w:val="24"/>
        </w:rPr>
        <w:t>Average of Monthly Averages (</w:t>
      </w:r>
      <w:r w:rsidR="00094559">
        <w:rPr>
          <w:rFonts w:ascii="Times New Roman" w:hAnsi="Times New Roman"/>
          <w:sz w:val="24"/>
          <w:szCs w:val="24"/>
        </w:rPr>
        <w:t>AMA</w:t>
      </w:r>
      <w:r w:rsidR="00F5707B">
        <w:rPr>
          <w:rFonts w:ascii="Times New Roman" w:hAnsi="Times New Roman"/>
          <w:sz w:val="24"/>
          <w:szCs w:val="24"/>
        </w:rPr>
        <w:t>)</w:t>
      </w:r>
      <w:r w:rsidR="00094559">
        <w:rPr>
          <w:rFonts w:ascii="Times New Roman" w:hAnsi="Times New Roman"/>
          <w:sz w:val="24"/>
          <w:szCs w:val="24"/>
        </w:rPr>
        <w:t xml:space="preserve"> balances </w:t>
      </w:r>
      <w:r w:rsidR="007D3AF9">
        <w:rPr>
          <w:rFonts w:ascii="Times New Roman" w:hAnsi="Times New Roman"/>
          <w:sz w:val="24"/>
          <w:szCs w:val="24"/>
        </w:rPr>
        <w:t xml:space="preserve">and Deferred Debits and Credits to </w:t>
      </w:r>
      <w:r w:rsidR="00561190">
        <w:rPr>
          <w:rFonts w:ascii="Times New Roman" w:hAnsi="Times New Roman"/>
          <w:sz w:val="24"/>
          <w:szCs w:val="24"/>
        </w:rPr>
        <w:t xml:space="preserve">December 2015 AMA balances. </w:t>
      </w:r>
      <w:r w:rsidR="00F5707B">
        <w:rPr>
          <w:rFonts w:ascii="Times New Roman" w:hAnsi="Times New Roman"/>
          <w:sz w:val="24"/>
          <w:szCs w:val="24"/>
        </w:rPr>
        <w:t xml:space="preserve"> </w:t>
      </w:r>
      <w:r w:rsidR="00D411C3">
        <w:rPr>
          <w:rFonts w:ascii="Times New Roman" w:hAnsi="Times New Roman"/>
          <w:sz w:val="24"/>
          <w:szCs w:val="24"/>
        </w:rPr>
        <w:t>W</w:t>
      </w:r>
      <w:r w:rsidR="00094559">
        <w:rPr>
          <w:rFonts w:ascii="Times New Roman" w:hAnsi="Times New Roman"/>
          <w:sz w:val="24"/>
          <w:szCs w:val="24"/>
        </w:rPr>
        <w:t xml:space="preserve">orking capital </w:t>
      </w:r>
      <w:r w:rsidR="00D411C3">
        <w:rPr>
          <w:rFonts w:ascii="Times New Roman" w:hAnsi="Times New Roman"/>
          <w:sz w:val="24"/>
          <w:szCs w:val="24"/>
        </w:rPr>
        <w:t xml:space="preserve">was not an item subject to my trend analysis, because Avista has not included working capital in most years of the Commission Basis Reports I used, making trending unreliable.  Furthermore, in this case, Staff and </w:t>
      </w:r>
      <w:r w:rsidR="00FD4574">
        <w:rPr>
          <w:rFonts w:ascii="Times New Roman" w:hAnsi="Times New Roman"/>
          <w:sz w:val="24"/>
          <w:szCs w:val="24"/>
        </w:rPr>
        <w:t xml:space="preserve">the </w:t>
      </w:r>
      <w:r w:rsidR="00D411C3">
        <w:rPr>
          <w:rFonts w:ascii="Times New Roman" w:hAnsi="Times New Roman"/>
          <w:sz w:val="24"/>
          <w:szCs w:val="24"/>
        </w:rPr>
        <w:t xml:space="preserve">Company are including certain pension-related items for the first time.  </w:t>
      </w:r>
      <w:r w:rsidR="00EB2AC8">
        <w:rPr>
          <w:rFonts w:ascii="Times New Roman" w:hAnsi="Times New Roman"/>
          <w:sz w:val="24"/>
          <w:szCs w:val="24"/>
        </w:rPr>
        <w:t xml:space="preserve">The </w:t>
      </w:r>
      <w:r w:rsidR="00B35D2E">
        <w:rPr>
          <w:rFonts w:ascii="Times New Roman" w:hAnsi="Times New Roman"/>
          <w:sz w:val="24"/>
          <w:szCs w:val="24"/>
        </w:rPr>
        <w:t xml:space="preserve">working capital </w:t>
      </w:r>
      <w:r w:rsidR="00F5707B">
        <w:rPr>
          <w:rFonts w:ascii="Times New Roman" w:hAnsi="Times New Roman"/>
          <w:sz w:val="24"/>
          <w:szCs w:val="24"/>
        </w:rPr>
        <w:t xml:space="preserve">adjustment </w:t>
      </w:r>
      <w:r w:rsidR="00EB2AC8">
        <w:rPr>
          <w:rFonts w:ascii="Times New Roman" w:hAnsi="Times New Roman"/>
          <w:sz w:val="24"/>
          <w:szCs w:val="24"/>
        </w:rPr>
        <w:t>is</w:t>
      </w:r>
      <w:r w:rsidR="00B35D2E">
        <w:rPr>
          <w:rFonts w:ascii="Times New Roman" w:hAnsi="Times New Roman"/>
          <w:sz w:val="24"/>
          <w:szCs w:val="24"/>
        </w:rPr>
        <w:t xml:space="preserve"> sponsored by Staff </w:t>
      </w:r>
      <w:r w:rsidR="004264A6">
        <w:rPr>
          <w:rFonts w:ascii="Times New Roman" w:hAnsi="Times New Roman"/>
          <w:sz w:val="24"/>
          <w:szCs w:val="24"/>
        </w:rPr>
        <w:t>w</w:t>
      </w:r>
      <w:r w:rsidR="00B35D2E">
        <w:rPr>
          <w:rFonts w:ascii="Times New Roman" w:hAnsi="Times New Roman"/>
          <w:sz w:val="24"/>
          <w:szCs w:val="24"/>
        </w:rPr>
        <w:t xml:space="preserve">itness Ms. Erdahl. </w:t>
      </w:r>
    </w:p>
    <w:p w14:paraId="686AB24A" w14:textId="1E75B6A2" w:rsidR="00561190" w:rsidRDefault="00F5707B" w:rsidP="00CB5D3D">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61190">
        <w:rPr>
          <w:rFonts w:ascii="Times New Roman" w:hAnsi="Times New Roman"/>
          <w:sz w:val="24"/>
          <w:szCs w:val="24"/>
        </w:rPr>
        <w:t>Deferred Debits and Credi</w:t>
      </w:r>
      <w:r w:rsidR="00FA5ADF">
        <w:rPr>
          <w:rFonts w:ascii="Times New Roman" w:hAnsi="Times New Roman"/>
          <w:sz w:val="24"/>
          <w:szCs w:val="24"/>
        </w:rPr>
        <w:t>ts are adjusted to reduce debit and credit</w:t>
      </w:r>
      <w:r w:rsidR="00561190">
        <w:rPr>
          <w:rFonts w:ascii="Times New Roman" w:hAnsi="Times New Roman"/>
          <w:sz w:val="24"/>
          <w:szCs w:val="24"/>
        </w:rPr>
        <w:t xml:space="preserve"> balances according to expected amortization balances for the 2015 rate period. </w:t>
      </w:r>
      <w:r w:rsidR="00B6444F">
        <w:rPr>
          <w:rFonts w:ascii="Times New Roman" w:hAnsi="Times New Roman"/>
          <w:sz w:val="24"/>
          <w:szCs w:val="24"/>
        </w:rPr>
        <w:t xml:space="preserve"> </w:t>
      </w:r>
      <w:r w:rsidR="00561190">
        <w:rPr>
          <w:rFonts w:ascii="Times New Roman" w:hAnsi="Times New Roman"/>
          <w:sz w:val="24"/>
          <w:szCs w:val="24"/>
        </w:rPr>
        <w:t>No escalation of Deferred Debits and Credi</w:t>
      </w:r>
      <w:r w:rsidR="00B6444F">
        <w:rPr>
          <w:rFonts w:ascii="Times New Roman" w:hAnsi="Times New Roman"/>
          <w:sz w:val="24"/>
          <w:szCs w:val="24"/>
        </w:rPr>
        <w:t>ts occurs in the attrition study because they do not grow from year to year in a predictable manner.</w:t>
      </w:r>
    </w:p>
    <w:p w14:paraId="362BD36E" w14:textId="1B3796F9" w:rsidR="003961CA" w:rsidRDefault="00561190" w:rsidP="00CB5D3D">
      <w:pPr>
        <w:spacing w:after="0" w:line="480" w:lineRule="auto"/>
        <w:ind w:left="720" w:hanging="720"/>
        <w:rPr>
          <w:rFonts w:ascii="Times New Roman" w:hAnsi="Times New Roman"/>
          <w:sz w:val="24"/>
          <w:szCs w:val="24"/>
          <w:highlight w:val="yellow"/>
        </w:rPr>
      </w:pPr>
      <w:r>
        <w:rPr>
          <w:rFonts w:ascii="Times New Roman" w:hAnsi="Times New Roman"/>
          <w:sz w:val="24"/>
          <w:szCs w:val="24"/>
        </w:rPr>
        <w:tab/>
      </w:r>
      <w:r>
        <w:rPr>
          <w:rFonts w:ascii="Times New Roman" w:hAnsi="Times New Roman"/>
          <w:sz w:val="24"/>
          <w:szCs w:val="24"/>
        </w:rPr>
        <w:tab/>
        <w:t xml:space="preserve">Column [D], labeled </w:t>
      </w:r>
      <w:r w:rsidR="00F5707B">
        <w:rPr>
          <w:rFonts w:ascii="Times New Roman" w:hAnsi="Times New Roman"/>
          <w:sz w:val="24"/>
          <w:szCs w:val="24"/>
        </w:rPr>
        <w:t>“</w:t>
      </w:r>
      <w:r>
        <w:rPr>
          <w:rFonts w:ascii="Times New Roman" w:hAnsi="Times New Roman"/>
          <w:sz w:val="24"/>
          <w:szCs w:val="24"/>
        </w:rPr>
        <w:t>Incremental Revenue Normalization Adjustment,</w:t>
      </w:r>
      <w:r w:rsidR="00F5707B">
        <w:rPr>
          <w:rFonts w:ascii="Times New Roman" w:hAnsi="Times New Roman"/>
          <w:sz w:val="24"/>
          <w:szCs w:val="24"/>
        </w:rPr>
        <w:t>”</w:t>
      </w:r>
      <w:r>
        <w:rPr>
          <w:rFonts w:ascii="Times New Roman" w:hAnsi="Times New Roman"/>
          <w:sz w:val="24"/>
          <w:szCs w:val="24"/>
        </w:rPr>
        <w:t xml:space="preserve"> adjusts the Commission Basis normalized revenue to the </w:t>
      </w:r>
      <w:r w:rsidRPr="005F7C66">
        <w:rPr>
          <w:rFonts w:ascii="Times New Roman" w:hAnsi="Times New Roman"/>
          <w:sz w:val="24"/>
          <w:szCs w:val="24"/>
        </w:rPr>
        <w:t>2013 base rate revenue</w:t>
      </w:r>
      <w:r>
        <w:rPr>
          <w:rFonts w:ascii="Times New Roman" w:hAnsi="Times New Roman"/>
          <w:sz w:val="24"/>
          <w:szCs w:val="24"/>
        </w:rPr>
        <w:t xml:space="preserve"> produced by the billing determinants used in the Company’s initial filing. </w:t>
      </w:r>
      <w:r w:rsidR="00F5707B">
        <w:rPr>
          <w:rFonts w:ascii="Times New Roman" w:hAnsi="Times New Roman"/>
          <w:sz w:val="24"/>
          <w:szCs w:val="24"/>
        </w:rPr>
        <w:t xml:space="preserve"> </w:t>
      </w:r>
      <w:r w:rsidR="002C2B9A">
        <w:rPr>
          <w:rFonts w:ascii="Times New Roman" w:hAnsi="Times New Roman"/>
          <w:sz w:val="24"/>
          <w:szCs w:val="24"/>
        </w:rPr>
        <w:t xml:space="preserve">This adjustment is necessary to account for the fact that Staff’s case begins at the December 2013 Commission Basis Report restated totals while the Company’s case begins at the June 2013 Commission Basis Report restated totals. </w:t>
      </w:r>
      <w:r w:rsidR="004264A6">
        <w:rPr>
          <w:rFonts w:ascii="Times New Roman" w:hAnsi="Times New Roman"/>
          <w:sz w:val="24"/>
          <w:szCs w:val="24"/>
        </w:rPr>
        <w:t xml:space="preserve"> </w:t>
      </w:r>
      <w:r>
        <w:rPr>
          <w:rFonts w:ascii="Times New Roman" w:hAnsi="Times New Roman"/>
          <w:sz w:val="24"/>
          <w:szCs w:val="24"/>
        </w:rPr>
        <w:t xml:space="preserve">Revenue growth is adjusted to </w:t>
      </w:r>
      <w:r w:rsidRPr="002C2B9A">
        <w:rPr>
          <w:rFonts w:ascii="Times New Roman" w:hAnsi="Times New Roman"/>
          <w:sz w:val="24"/>
          <w:szCs w:val="24"/>
        </w:rPr>
        <w:t>2015 using the billing determ</w:t>
      </w:r>
      <w:r w:rsidR="002C2B9A" w:rsidRPr="002C2B9A">
        <w:rPr>
          <w:rFonts w:ascii="Times New Roman" w:hAnsi="Times New Roman"/>
          <w:sz w:val="24"/>
          <w:szCs w:val="24"/>
        </w:rPr>
        <w:t>inant index, not trend analysis.</w:t>
      </w:r>
      <w:r w:rsidRPr="002C2B9A">
        <w:rPr>
          <w:rFonts w:ascii="Times New Roman" w:hAnsi="Times New Roman"/>
          <w:sz w:val="24"/>
          <w:szCs w:val="24"/>
        </w:rPr>
        <w:t xml:space="preserve"> </w:t>
      </w:r>
    </w:p>
    <w:p w14:paraId="14D1E185" w14:textId="77777777" w:rsidR="00561190" w:rsidRDefault="00561190" w:rsidP="00CB5D3D">
      <w:pPr>
        <w:spacing w:after="0" w:line="480" w:lineRule="auto"/>
        <w:ind w:left="720" w:hanging="720"/>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t xml:space="preserve">Column [E], labeled </w:t>
      </w:r>
      <w:r w:rsidR="00F5707B">
        <w:rPr>
          <w:rFonts w:ascii="Times New Roman" w:hAnsi="Times New Roman"/>
          <w:sz w:val="24"/>
          <w:szCs w:val="24"/>
        </w:rPr>
        <w:t>“</w:t>
      </w:r>
      <w:r>
        <w:rPr>
          <w:rFonts w:ascii="Times New Roman" w:hAnsi="Times New Roman"/>
          <w:sz w:val="24"/>
          <w:szCs w:val="24"/>
        </w:rPr>
        <w:t>December 2013 Escalation Base,</w:t>
      </w:r>
      <w:r w:rsidR="00F5707B">
        <w:rPr>
          <w:rFonts w:ascii="Times New Roman" w:hAnsi="Times New Roman"/>
          <w:sz w:val="24"/>
          <w:szCs w:val="24"/>
        </w:rPr>
        <w:t>”</w:t>
      </w:r>
      <w:r>
        <w:rPr>
          <w:rFonts w:ascii="Times New Roman" w:hAnsi="Times New Roman"/>
          <w:sz w:val="24"/>
          <w:szCs w:val="24"/>
        </w:rPr>
        <w:t xml:space="preserve"> is the sum of the previous columns [A] through [D], providing the December 2013 escalation base </w:t>
      </w:r>
      <w:r w:rsidR="006F3EED">
        <w:rPr>
          <w:rFonts w:ascii="Times New Roman" w:hAnsi="Times New Roman"/>
          <w:sz w:val="24"/>
          <w:szCs w:val="24"/>
        </w:rPr>
        <w:t xml:space="preserve">rate base and </w:t>
      </w:r>
      <w:r>
        <w:rPr>
          <w:rFonts w:ascii="Times New Roman" w:hAnsi="Times New Roman"/>
          <w:sz w:val="24"/>
          <w:szCs w:val="24"/>
        </w:rPr>
        <w:t>cos</w:t>
      </w:r>
      <w:r w:rsidR="006F3EED">
        <w:rPr>
          <w:rFonts w:ascii="Times New Roman" w:hAnsi="Times New Roman"/>
          <w:sz w:val="24"/>
          <w:szCs w:val="24"/>
        </w:rPr>
        <w:t xml:space="preserve">ts excluding net energy costs. </w:t>
      </w:r>
      <w:r w:rsidR="00F5707B">
        <w:rPr>
          <w:rFonts w:ascii="Times New Roman" w:hAnsi="Times New Roman"/>
          <w:sz w:val="24"/>
          <w:szCs w:val="24"/>
        </w:rPr>
        <w:t xml:space="preserve"> </w:t>
      </w:r>
      <w:r w:rsidR="006F3EED">
        <w:rPr>
          <w:rFonts w:ascii="Times New Roman" w:hAnsi="Times New Roman"/>
          <w:sz w:val="24"/>
          <w:szCs w:val="24"/>
        </w:rPr>
        <w:t>This escalation base provides the balances from which the escalation factors are applied to determine the 2015 final attrition revenue requirement.</w:t>
      </w:r>
    </w:p>
    <w:p w14:paraId="52C578F1" w14:textId="18B363A2" w:rsidR="006F3EED" w:rsidRDefault="006F3EED" w:rsidP="00CB5D3D">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Column [F], labeled </w:t>
      </w:r>
      <w:r w:rsidR="00F5707B">
        <w:rPr>
          <w:rFonts w:ascii="Times New Roman" w:hAnsi="Times New Roman"/>
          <w:sz w:val="24"/>
          <w:szCs w:val="24"/>
        </w:rPr>
        <w:t>“</w:t>
      </w:r>
      <w:r>
        <w:rPr>
          <w:rFonts w:ascii="Times New Roman" w:hAnsi="Times New Roman"/>
          <w:sz w:val="24"/>
          <w:szCs w:val="24"/>
        </w:rPr>
        <w:t>Escalation Factor,</w:t>
      </w:r>
      <w:r w:rsidR="00F5707B">
        <w:rPr>
          <w:rFonts w:ascii="Times New Roman" w:hAnsi="Times New Roman"/>
          <w:sz w:val="24"/>
          <w:szCs w:val="24"/>
        </w:rPr>
        <w:t>”</w:t>
      </w:r>
      <w:r>
        <w:rPr>
          <w:rFonts w:ascii="Times New Roman" w:hAnsi="Times New Roman"/>
          <w:sz w:val="24"/>
          <w:szCs w:val="24"/>
        </w:rPr>
        <w:t xml:space="preserve"> shows the two year escalation rates for revenues, expenses and net plant. </w:t>
      </w:r>
      <w:r w:rsidR="004264A6">
        <w:rPr>
          <w:rFonts w:ascii="Times New Roman" w:hAnsi="Times New Roman"/>
          <w:sz w:val="24"/>
          <w:szCs w:val="24"/>
        </w:rPr>
        <w:t xml:space="preserve"> </w:t>
      </w:r>
      <w:r w:rsidR="00753A0B">
        <w:rPr>
          <w:rFonts w:ascii="Times New Roman" w:hAnsi="Times New Roman"/>
          <w:sz w:val="24"/>
          <w:szCs w:val="24"/>
        </w:rPr>
        <w:t>I describe t</w:t>
      </w:r>
      <w:r>
        <w:rPr>
          <w:rFonts w:ascii="Times New Roman" w:hAnsi="Times New Roman"/>
          <w:sz w:val="24"/>
          <w:szCs w:val="24"/>
        </w:rPr>
        <w:t>he determination of ea</w:t>
      </w:r>
      <w:r w:rsidR="00753A0B">
        <w:rPr>
          <w:rFonts w:ascii="Times New Roman" w:hAnsi="Times New Roman"/>
          <w:sz w:val="24"/>
          <w:szCs w:val="24"/>
        </w:rPr>
        <w:t>ch of these factors</w:t>
      </w:r>
      <w:r>
        <w:rPr>
          <w:rFonts w:ascii="Times New Roman" w:hAnsi="Times New Roman"/>
          <w:sz w:val="24"/>
          <w:szCs w:val="24"/>
        </w:rPr>
        <w:t xml:space="preserve"> </w:t>
      </w:r>
      <w:r w:rsidR="00753A0B" w:rsidRPr="00753A0B">
        <w:rPr>
          <w:rFonts w:ascii="Times New Roman" w:hAnsi="Times New Roman"/>
          <w:sz w:val="24"/>
          <w:szCs w:val="24"/>
        </w:rPr>
        <w:t>earlier</w:t>
      </w:r>
      <w:r w:rsidRPr="00753A0B">
        <w:rPr>
          <w:rFonts w:ascii="Times New Roman" w:hAnsi="Times New Roman"/>
          <w:sz w:val="24"/>
          <w:szCs w:val="24"/>
        </w:rPr>
        <w:t xml:space="preserve"> in this testimony.</w:t>
      </w:r>
    </w:p>
    <w:p w14:paraId="7CBD9648" w14:textId="77777777" w:rsidR="006F3EED" w:rsidRDefault="006F3EED" w:rsidP="00CB5D3D">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Column [G], labeled </w:t>
      </w:r>
      <w:r w:rsidR="00F5707B">
        <w:rPr>
          <w:rFonts w:ascii="Times New Roman" w:hAnsi="Times New Roman"/>
          <w:sz w:val="24"/>
          <w:szCs w:val="24"/>
        </w:rPr>
        <w:t>“</w:t>
      </w:r>
      <w:r>
        <w:rPr>
          <w:rFonts w:ascii="Times New Roman" w:hAnsi="Times New Roman"/>
          <w:sz w:val="24"/>
          <w:szCs w:val="24"/>
        </w:rPr>
        <w:t>Non-Energy Cost Escalation Amount,</w:t>
      </w:r>
      <w:r w:rsidR="00F5707B">
        <w:rPr>
          <w:rFonts w:ascii="Times New Roman" w:hAnsi="Times New Roman"/>
          <w:sz w:val="24"/>
          <w:szCs w:val="24"/>
        </w:rPr>
        <w:t>”</w:t>
      </w:r>
      <w:r>
        <w:rPr>
          <w:rFonts w:ascii="Times New Roman" w:hAnsi="Times New Roman"/>
          <w:sz w:val="24"/>
          <w:szCs w:val="24"/>
        </w:rPr>
        <w:t xml:space="preserve"> shows the incremental change between the December 2013 escalation base and the 2015 rate year levels, calculated by multiplying the December 2013</w:t>
      </w:r>
      <w:r w:rsidR="00443BA5">
        <w:rPr>
          <w:rFonts w:ascii="Times New Roman" w:hAnsi="Times New Roman"/>
          <w:sz w:val="24"/>
          <w:szCs w:val="24"/>
        </w:rPr>
        <w:t xml:space="preserve"> base amounts from column [E] by the escalation factors in column [F].</w:t>
      </w:r>
    </w:p>
    <w:p w14:paraId="103B351B" w14:textId="77777777" w:rsidR="00443BA5" w:rsidRDefault="00443BA5" w:rsidP="00CB5D3D">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Column [H], labeled </w:t>
      </w:r>
      <w:r w:rsidR="00F5707B">
        <w:rPr>
          <w:rFonts w:ascii="Times New Roman" w:hAnsi="Times New Roman"/>
          <w:sz w:val="24"/>
          <w:szCs w:val="24"/>
        </w:rPr>
        <w:t>“</w:t>
      </w:r>
      <w:r>
        <w:rPr>
          <w:rFonts w:ascii="Times New Roman" w:hAnsi="Times New Roman"/>
          <w:sz w:val="24"/>
          <w:szCs w:val="24"/>
        </w:rPr>
        <w:t>Trended 2015 Non-Energy Cost,</w:t>
      </w:r>
      <w:r w:rsidR="00F5707B">
        <w:rPr>
          <w:rFonts w:ascii="Times New Roman" w:hAnsi="Times New Roman"/>
          <w:sz w:val="24"/>
          <w:szCs w:val="24"/>
        </w:rPr>
        <w:t>”</w:t>
      </w:r>
      <w:r>
        <w:rPr>
          <w:rFonts w:ascii="Times New Roman" w:hAnsi="Times New Roman"/>
          <w:sz w:val="24"/>
          <w:szCs w:val="24"/>
        </w:rPr>
        <w:t xml:space="preserve"> shows the 2015 trended amounts prior to including the impact of pro formed net power supply and 2015 revenue growth, and is calculated by adding the non-energy cost escalation amount in column [G] to the December 2013 base amounts in Column [E].</w:t>
      </w:r>
    </w:p>
    <w:p w14:paraId="4A71047B" w14:textId="35020436" w:rsidR="00443BA5" w:rsidRDefault="00443BA5" w:rsidP="00CB5D3D">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Column [I], labeled </w:t>
      </w:r>
      <w:r w:rsidR="00F5707B">
        <w:rPr>
          <w:rFonts w:ascii="Times New Roman" w:hAnsi="Times New Roman"/>
          <w:sz w:val="24"/>
          <w:szCs w:val="24"/>
        </w:rPr>
        <w:t>“</w:t>
      </w:r>
      <w:r>
        <w:rPr>
          <w:rFonts w:ascii="Times New Roman" w:hAnsi="Times New Roman"/>
          <w:sz w:val="24"/>
          <w:szCs w:val="24"/>
        </w:rPr>
        <w:t>12.2013 Pro-Formed Net Energy Cost,</w:t>
      </w:r>
      <w:r w:rsidR="00F5707B">
        <w:rPr>
          <w:rFonts w:ascii="Times New Roman" w:hAnsi="Times New Roman"/>
          <w:sz w:val="24"/>
          <w:szCs w:val="24"/>
        </w:rPr>
        <w:t>”</w:t>
      </w:r>
      <w:r>
        <w:rPr>
          <w:rFonts w:ascii="Times New Roman" w:hAnsi="Times New Roman"/>
          <w:sz w:val="24"/>
          <w:szCs w:val="24"/>
        </w:rPr>
        <w:t xml:space="preserve"> adds the energy costs and sales for resale revenue produced by the Aurora model. </w:t>
      </w:r>
      <w:r w:rsidR="004264A6">
        <w:rPr>
          <w:rFonts w:ascii="Times New Roman" w:hAnsi="Times New Roman"/>
          <w:sz w:val="24"/>
          <w:szCs w:val="24"/>
        </w:rPr>
        <w:t xml:space="preserve"> </w:t>
      </w:r>
      <w:r>
        <w:rPr>
          <w:rFonts w:ascii="Times New Roman" w:hAnsi="Times New Roman"/>
          <w:sz w:val="24"/>
          <w:szCs w:val="24"/>
        </w:rPr>
        <w:t>These values reflect fuel prices and market conditions for the 2015 rate year,</w:t>
      </w:r>
      <w:r w:rsidR="00CC55DC">
        <w:rPr>
          <w:rFonts w:ascii="Times New Roman" w:hAnsi="Times New Roman"/>
          <w:sz w:val="24"/>
          <w:szCs w:val="24"/>
        </w:rPr>
        <w:t xml:space="preserve"> and include the costs associated with incremental load growth from the historical test year to the 2015 rate year. </w:t>
      </w:r>
      <w:r>
        <w:rPr>
          <w:rFonts w:ascii="Times New Roman" w:hAnsi="Times New Roman"/>
          <w:sz w:val="24"/>
          <w:szCs w:val="24"/>
        </w:rPr>
        <w:t xml:space="preserve"> </w:t>
      </w:r>
      <w:r w:rsidR="003F382F">
        <w:rPr>
          <w:rFonts w:ascii="Times New Roman" w:hAnsi="Times New Roman"/>
          <w:sz w:val="24"/>
          <w:szCs w:val="24"/>
        </w:rPr>
        <w:t xml:space="preserve">Staff witness Mr. Ball presents the pro forma net energy costs I use in this attrition analysis. </w:t>
      </w:r>
    </w:p>
    <w:p w14:paraId="6CC5BAF2" w14:textId="6BF78163" w:rsidR="00443BA5" w:rsidRDefault="00443BA5" w:rsidP="00CB5D3D">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Column [J], labeled </w:t>
      </w:r>
      <w:r w:rsidR="00F5707B">
        <w:rPr>
          <w:rFonts w:ascii="Times New Roman" w:hAnsi="Times New Roman"/>
          <w:sz w:val="24"/>
          <w:szCs w:val="24"/>
        </w:rPr>
        <w:t>“</w:t>
      </w:r>
      <w:r>
        <w:rPr>
          <w:rFonts w:ascii="Times New Roman" w:hAnsi="Times New Roman"/>
          <w:sz w:val="24"/>
          <w:szCs w:val="24"/>
        </w:rPr>
        <w:t>Revenue Growth,</w:t>
      </w:r>
      <w:r w:rsidR="00F5707B">
        <w:rPr>
          <w:rFonts w:ascii="Times New Roman" w:hAnsi="Times New Roman"/>
          <w:sz w:val="24"/>
          <w:szCs w:val="24"/>
        </w:rPr>
        <w:t>”</w:t>
      </w:r>
      <w:r>
        <w:rPr>
          <w:rFonts w:ascii="Times New Roman" w:hAnsi="Times New Roman"/>
          <w:sz w:val="24"/>
          <w:szCs w:val="24"/>
        </w:rPr>
        <w:t xml:space="preserve"> reflects Avista’s revenue growth between the test year and the 2015 rate year, calculated by multiplying the retail revenue in </w:t>
      </w:r>
      <w:r>
        <w:rPr>
          <w:rFonts w:ascii="Times New Roman" w:hAnsi="Times New Roman"/>
          <w:sz w:val="24"/>
          <w:szCs w:val="24"/>
        </w:rPr>
        <w:lastRenderedPageBreak/>
        <w:t xml:space="preserve">column [E] times the weighted revenue growth escalation factor in </w:t>
      </w:r>
      <w:r w:rsidR="00653D00">
        <w:rPr>
          <w:rFonts w:ascii="Times New Roman" w:hAnsi="Times New Roman"/>
          <w:sz w:val="24"/>
          <w:szCs w:val="24"/>
        </w:rPr>
        <w:t xml:space="preserve">column [F]. </w:t>
      </w:r>
      <w:r w:rsidR="00F5707B">
        <w:rPr>
          <w:rFonts w:ascii="Times New Roman" w:hAnsi="Times New Roman"/>
          <w:sz w:val="24"/>
          <w:szCs w:val="24"/>
        </w:rPr>
        <w:t xml:space="preserve"> </w:t>
      </w:r>
      <w:r w:rsidR="00653D00">
        <w:rPr>
          <w:rFonts w:ascii="Times New Roman" w:hAnsi="Times New Roman"/>
          <w:sz w:val="24"/>
          <w:szCs w:val="24"/>
        </w:rPr>
        <w:t>The calculation of the weighted revenue growth escalation factor is shown on page 10 of Company Exhibit No.__(EMA-2).</w:t>
      </w:r>
      <w:r w:rsidR="003809F1">
        <w:rPr>
          <w:rFonts w:ascii="Times New Roman" w:hAnsi="Times New Roman"/>
          <w:sz w:val="24"/>
          <w:szCs w:val="24"/>
        </w:rPr>
        <w:t xml:space="preserve"> </w:t>
      </w:r>
      <w:r w:rsidR="00F5707B">
        <w:rPr>
          <w:rFonts w:ascii="Times New Roman" w:hAnsi="Times New Roman"/>
          <w:sz w:val="24"/>
          <w:szCs w:val="24"/>
        </w:rPr>
        <w:t xml:space="preserve"> </w:t>
      </w:r>
    </w:p>
    <w:p w14:paraId="78A1D510" w14:textId="6DA48D16" w:rsidR="0044134C" w:rsidRDefault="0044134C" w:rsidP="00CB5D3D">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Column [K</w:t>
      </w:r>
      <w:r w:rsidR="00BA681D">
        <w:rPr>
          <w:rFonts w:ascii="Times New Roman" w:hAnsi="Times New Roman"/>
          <w:sz w:val="24"/>
          <w:szCs w:val="24"/>
        </w:rPr>
        <w:t xml:space="preserve">], labeled </w:t>
      </w:r>
      <w:r w:rsidR="00F5707B">
        <w:rPr>
          <w:rFonts w:ascii="Times New Roman" w:hAnsi="Times New Roman"/>
          <w:sz w:val="24"/>
          <w:szCs w:val="24"/>
        </w:rPr>
        <w:t>“</w:t>
      </w:r>
      <w:r w:rsidR="00BA681D">
        <w:rPr>
          <w:rFonts w:ascii="Times New Roman" w:hAnsi="Times New Roman"/>
          <w:sz w:val="24"/>
          <w:szCs w:val="24"/>
        </w:rPr>
        <w:t>2015 Revenue and Cost,</w:t>
      </w:r>
      <w:r w:rsidR="00F5707B">
        <w:rPr>
          <w:rFonts w:ascii="Times New Roman" w:hAnsi="Times New Roman"/>
          <w:sz w:val="24"/>
          <w:szCs w:val="24"/>
        </w:rPr>
        <w:t>”</w:t>
      </w:r>
      <w:r w:rsidR="00BA681D">
        <w:rPr>
          <w:rFonts w:ascii="Times New Roman" w:hAnsi="Times New Roman"/>
          <w:sz w:val="24"/>
          <w:szCs w:val="24"/>
        </w:rPr>
        <w:t xml:space="preserve"> is the sum of the pro-formed net energy cost in column [I], revenue growth in column [J], and trended 2015 non-energy cost in column [H]. </w:t>
      </w:r>
      <w:r w:rsidR="00F5707B">
        <w:rPr>
          <w:rFonts w:ascii="Times New Roman" w:hAnsi="Times New Roman"/>
          <w:sz w:val="24"/>
          <w:szCs w:val="24"/>
        </w:rPr>
        <w:t xml:space="preserve"> </w:t>
      </w:r>
      <w:r w:rsidR="00BA681D">
        <w:rPr>
          <w:rFonts w:ascii="Times New Roman" w:hAnsi="Times New Roman"/>
          <w:sz w:val="24"/>
          <w:szCs w:val="24"/>
        </w:rPr>
        <w:t>This is the final column of the 2015 electric Attrition Study calculation, providing the 2015 attrition</w:t>
      </w:r>
      <w:r w:rsidR="00087651">
        <w:rPr>
          <w:rFonts w:ascii="Times New Roman" w:hAnsi="Times New Roman"/>
          <w:sz w:val="24"/>
          <w:szCs w:val="24"/>
        </w:rPr>
        <w:t xml:space="preserve"> net operating income of $86,821</w:t>
      </w:r>
      <w:r w:rsidR="00BA681D">
        <w:rPr>
          <w:rFonts w:ascii="Times New Roman" w:hAnsi="Times New Roman"/>
          <w:sz w:val="24"/>
          <w:szCs w:val="24"/>
        </w:rPr>
        <w:t xml:space="preserve">,000 and attrition total rate base of $1,332,533,000, at lines 31 and 49, respectively. </w:t>
      </w:r>
      <w:r w:rsidR="00F5707B">
        <w:rPr>
          <w:rFonts w:ascii="Times New Roman" w:hAnsi="Times New Roman"/>
          <w:sz w:val="24"/>
          <w:szCs w:val="24"/>
        </w:rPr>
        <w:t xml:space="preserve"> </w:t>
      </w:r>
      <w:r w:rsidR="00BA681D">
        <w:rPr>
          <w:rFonts w:ascii="Times New Roman" w:hAnsi="Times New Roman"/>
          <w:sz w:val="24"/>
          <w:szCs w:val="24"/>
        </w:rPr>
        <w:t>These totals are brought forward to page 1, column (a), of Exhibit No.__(CRM-2).</w:t>
      </w:r>
    </w:p>
    <w:p w14:paraId="7377D074" w14:textId="77777777" w:rsidR="00445B7F" w:rsidRDefault="00445B7F" w:rsidP="00CB5D3D">
      <w:pPr>
        <w:spacing w:after="0" w:line="480" w:lineRule="auto"/>
        <w:ind w:left="720" w:hanging="720"/>
        <w:rPr>
          <w:rFonts w:ascii="Times New Roman" w:hAnsi="Times New Roman"/>
          <w:sz w:val="24"/>
          <w:szCs w:val="24"/>
        </w:rPr>
      </w:pPr>
    </w:p>
    <w:p w14:paraId="5684E5E7" w14:textId="77777777" w:rsidR="00445B7F" w:rsidRDefault="00445B7F" w:rsidP="00CB5D3D">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Please describe pages 6 through 9 of Exhibit No.__(CRM-2)</w:t>
      </w:r>
      <w:r w:rsidR="00D411C3">
        <w:rPr>
          <w:rFonts w:ascii="Times New Roman" w:hAnsi="Times New Roman"/>
          <w:b/>
          <w:sz w:val="24"/>
          <w:szCs w:val="24"/>
        </w:rPr>
        <w:t>, your electric attrition study</w:t>
      </w:r>
      <w:r>
        <w:rPr>
          <w:rFonts w:ascii="Times New Roman" w:hAnsi="Times New Roman"/>
          <w:b/>
          <w:sz w:val="24"/>
          <w:szCs w:val="24"/>
        </w:rPr>
        <w:t>.</w:t>
      </w:r>
    </w:p>
    <w:p w14:paraId="4374C12F" w14:textId="77777777" w:rsidR="00C814E2" w:rsidRDefault="00001B13" w:rsidP="00CB5D3D">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Page</w:t>
      </w:r>
      <w:r w:rsidR="00B41443">
        <w:rPr>
          <w:rFonts w:ascii="Times New Roman" w:hAnsi="Times New Roman"/>
          <w:sz w:val="24"/>
          <w:szCs w:val="24"/>
        </w:rPr>
        <w:t xml:space="preserve">s 6-9 </w:t>
      </w:r>
      <w:r w:rsidR="0083746D">
        <w:rPr>
          <w:rFonts w:ascii="Times New Roman" w:hAnsi="Times New Roman"/>
          <w:sz w:val="24"/>
          <w:szCs w:val="24"/>
        </w:rPr>
        <w:t xml:space="preserve">of Exhibit No.__(CRM-2) </w:t>
      </w:r>
      <w:r w:rsidR="00B41443">
        <w:rPr>
          <w:rFonts w:ascii="Times New Roman" w:hAnsi="Times New Roman"/>
          <w:sz w:val="24"/>
          <w:szCs w:val="24"/>
        </w:rPr>
        <w:t>show</w:t>
      </w:r>
      <w:r>
        <w:rPr>
          <w:rFonts w:ascii="Times New Roman" w:hAnsi="Times New Roman"/>
          <w:sz w:val="24"/>
          <w:szCs w:val="24"/>
        </w:rPr>
        <w:t xml:space="preserve"> the derivation of the escalation factors used for </w:t>
      </w:r>
      <w:r w:rsidR="00693AF7">
        <w:rPr>
          <w:rFonts w:ascii="Times New Roman" w:hAnsi="Times New Roman"/>
          <w:sz w:val="24"/>
          <w:szCs w:val="24"/>
        </w:rPr>
        <w:t xml:space="preserve">escalating </w:t>
      </w:r>
      <w:r>
        <w:rPr>
          <w:rFonts w:ascii="Times New Roman" w:hAnsi="Times New Roman"/>
          <w:sz w:val="24"/>
          <w:szCs w:val="24"/>
        </w:rPr>
        <w:t xml:space="preserve">adjusted other revenue, net plant after deferred income taxes, adjusted taxes other than income, and adjusted depreciation/amortization. </w:t>
      </w:r>
    </w:p>
    <w:p w14:paraId="712401FC" w14:textId="22824847" w:rsidR="0083746D" w:rsidRDefault="00F5707B" w:rsidP="00CB5D3D">
      <w:pPr>
        <w:spacing w:after="0" w:line="480" w:lineRule="auto"/>
        <w:ind w:left="720" w:firstLine="720"/>
        <w:rPr>
          <w:rFonts w:ascii="Times New Roman" w:hAnsi="Times New Roman"/>
          <w:sz w:val="24"/>
          <w:szCs w:val="24"/>
        </w:rPr>
      </w:pPr>
      <w:r>
        <w:rPr>
          <w:rFonts w:ascii="Times New Roman" w:hAnsi="Times New Roman"/>
          <w:sz w:val="24"/>
          <w:szCs w:val="24"/>
        </w:rPr>
        <w:t>As I explained earlier in my testimony, e</w:t>
      </w:r>
      <w:r w:rsidR="00001B13">
        <w:rPr>
          <w:rFonts w:ascii="Times New Roman" w:hAnsi="Times New Roman"/>
          <w:sz w:val="24"/>
          <w:szCs w:val="24"/>
        </w:rPr>
        <w:t>ach growth rate</w:t>
      </w:r>
      <w:r w:rsidR="00B41443">
        <w:rPr>
          <w:rFonts w:ascii="Times New Roman" w:hAnsi="Times New Roman"/>
          <w:sz w:val="24"/>
          <w:szCs w:val="24"/>
        </w:rPr>
        <w:t xml:space="preserve"> is calculated as the average of the slopes for the least-squares linear regressions across</w:t>
      </w:r>
      <w:r w:rsidR="004264A6">
        <w:rPr>
          <w:rFonts w:ascii="Times New Roman" w:hAnsi="Times New Roman"/>
          <w:sz w:val="24"/>
          <w:szCs w:val="24"/>
        </w:rPr>
        <w:t>:</w:t>
      </w:r>
      <w:r w:rsidR="00B41443">
        <w:rPr>
          <w:rFonts w:ascii="Times New Roman" w:hAnsi="Times New Roman"/>
          <w:sz w:val="24"/>
          <w:szCs w:val="24"/>
        </w:rPr>
        <w:t xml:space="preserve"> a) 2001-2013</w:t>
      </w:r>
      <w:r w:rsidR="004264A6">
        <w:rPr>
          <w:rFonts w:ascii="Times New Roman" w:hAnsi="Times New Roman"/>
          <w:sz w:val="24"/>
          <w:szCs w:val="24"/>
        </w:rPr>
        <w:t>;</w:t>
      </w:r>
      <w:r w:rsidR="00B41443">
        <w:rPr>
          <w:rFonts w:ascii="Times New Roman" w:hAnsi="Times New Roman"/>
          <w:sz w:val="24"/>
          <w:szCs w:val="24"/>
        </w:rPr>
        <w:t xml:space="preserve"> and b) 2007-2013. </w:t>
      </w:r>
      <w:r>
        <w:rPr>
          <w:rFonts w:ascii="Times New Roman" w:hAnsi="Times New Roman"/>
          <w:sz w:val="24"/>
          <w:szCs w:val="24"/>
        </w:rPr>
        <w:t xml:space="preserve"> </w:t>
      </w:r>
      <w:r w:rsidR="00D411C3">
        <w:rPr>
          <w:rFonts w:ascii="Times New Roman" w:hAnsi="Times New Roman"/>
          <w:sz w:val="24"/>
          <w:szCs w:val="24"/>
        </w:rPr>
        <w:t>I converted t</w:t>
      </w:r>
      <w:r w:rsidR="00C814E2">
        <w:rPr>
          <w:rFonts w:ascii="Times New Roman" w:hAnsi="Times New Roman"/>
          <w:sz w:val="24"/>
          <w:szCs w:val="24"/>
        </w:rPr>
        <w:t xml:space="preserve">he slope of each regression (in thousands of dollars) to an annual growth rate by dividing by the 2013 level. </w:t>
      </w:r>
      <w:r>
        <w:rPr>
          <w:rFonts w:ascii="Times New Roman" w:hAnsi="Times New Roman"/>
          <w:sz w:val="24"/>
          <w:szCs w:val="24"/>
        </w:rPr>
        <w:t xml:space="preserve"> </w:t>
      </w:r>
      <w:r w:rsidR="00C814E2">
        <w:rPr>
          <w:rFonts w:ascii="Times New Roman" w:hAnsi="Times New Roman"/>
          <w:sz w:val="24"/>
          <w:szCs w:val="24"/>
        </w:rPr>
        <w:t xml:space="preserve">As the rate of growth is linear, to arrive at the escalation factor to apply to 2013 levels </w:t>
      </w:r>
      <w:r w:rsidR="00693AF7">
        <w:rPr>
          <w:rFonts w:ascii="Times New Roman" w:hAnsi="Times New Roman"/>
          <w:sz w:val="24"/>
          <w:szCs w:val="24"/>
        </w:rPr>
        <w:t>for derivation of</w:t>
      </w:r>
      <w:r w:rsidR="00C814E2">
        <w:rPr>
          <w:rFonts w:ascii="Times New Roman" w:hAnsi="Times New Roman"/>
          <w:sz w:val="24"/>
          <w:szCs w:val="24"/>
        </w:rPr>
        <w:t xml:space="preserve"> 2015 levels, the calculated annual rate of growth is multi</w:t>
      </w:r>
      <w:r w:rsidR="00687BF4">
        <w:rPr>
          <w:rFonts w:ascii="Times New Roman" w:hAnsi="Times New Roman"/>
          <w:sz w:val="24"/>
          <w:szCs w:val="24"/>
        </w:rPr>
        <w:t>plied by</w:t>
      </w:r>
      <w:r w:rsidR="00C814E2">
        <w:rPr>
          <w:rFonts w:ascii="Times New Roman" w:hAnsi="Times New Roman"/>
          <w:sz w:val="24"/>
          <w:szCs w:val="24"/>
        </w:rPr>
        <w:t xml:space="preserve"> two (years). </w:t>
      </w:r>
      <w:r>
        <w:rPr>
          <w:rFonts w:ascii="Times New Roman" w:hAnsi="Times New Roman"/>
          <w:sz w:val="24"/>
          <w:szCs w:val="24"/>
        </w:rPr>
        <w:t xml:space="preserve"> </w:t>
      </w:r>
      <w:r w:rsidR="00687BF4">
        <w:rPr>
          <w:rFonts w:ascii="Times New Roman" w:hAnsi="Times New Roman"/>
          <w:sz w:val="24"/>
          <w:szCs w:val="24"/>
        </w:rPr>
        <w:t>These escalation factors are carried forward to column [F] of page 4 of Exhibit No.__(CRM-2)</w:t>
      </w:r>
      <w:r w:rsidR="00205FE0">
        <w:rPr>
          <w:rFonts w:ascii="Times New Roman" w:hAnsi="Times New Roman"/>
          <w:sz w:val="24"/>
          <w:szCs w:val="24"/>
        </w:rPr>
        <w:t>.</w:t>
      </w:r>
    </w:p>
    <w:p w14:paraId="0D6D1F8E" w14:textId="77777777" w:rsidR="0083746D" w:rsidRDefault="0083746D" w:rsidP="00CB5D3D">
      <w:pPr>
        <w:spacing w:after="0" w:line="480" w:lineRule="auto"/>
        <w:rPr>
          <w:rFonts w:ascii="Times New Roman" w:hAnsi="Times New Roman"/>
          <w:sz w:val="24"/>
          <w:szCs w:val="24"/>
        </w:rPr>
      </w:pPr>
    </w:p>
    <w:p w14:paraId="2E603991" w14:textId="77777777" w:rsidR="0083746D" w:rsidRDefault="0083746D" w:rsidP="00CB5D3D">
      <w:pPr>
        <w:spacing w:after="0" w:line="480" w:lineRule="auto"/>
        <w:rPr>
          <w:rFonts w:ascii="Times New Roman" w:hAnsi="Times New Roman"/>
          <w:b/>
          <w:sz w:val="24"/>
          <w:szCs w:val="24"/>
        </w:rPr>
      </w:pPr>
      <w:r>
        <w:rPr>
          <w:rFonts w:ascii="Times New Roman" w:hAnsi="Times New Roman"/>
          <w:b/>
          <w:sz w:val="24"/>
          <w:szCs w:val="24"/>
        </w:rPr>
        <w:lastRenderedPageBreak/>
        <w:t>Q.</w:t>
      </w:r>
      <w:r>
        <w:rPr>
          <w:rFonts w:ascii="Times New Roman" w:hAnsi="Times New Roman"/>
          <w:b/>
          <w:sz w:val="24"/>
          <w:szCs w:val="24"/>
        </w:rPr>
        <w:tab/>
        <w:t>Please describe page 10 of Exhibit No.__(CRM-2).</w:t>
      </w:r>
    </w:p>
    <w:p w14:paraId="3C8D453F" w14:textId="77777777" w:rsidR="0083746D" w:rsidRDefault="0083746D" w:rsidP="00CB5D3D">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Page 10 of Exhibit No.__(CRM-2) shows the derivation of the escalation factor used for </w:t>
      </w:r>
      <w:r w:rsidR="00693AF7">
        <w:rPr>
          <w:rFonts w:ascii="Times New Roman" w:hAnsi="Times New Roman"/>
          <w:sz w:val="24"/>
          <w:szCs w:val="24"/>
        </w:rPr>
        <w:t>escalating adjusted operating expense.</w:t>
      </w:r>
    </w:p>
    <w:p w14:paraId="12A64600" w14:textId="4FBBE3DD" w:rsidR="00693AF7" w:rsidRDefault="004264A6" w:rsidP="00CB5D3D">
      <w:pPr>
        <w:spacing w:after="0" w:line="480" w:lineRule="auto"/>
        <w:ind w:left="720" w:firstLine="720"/>
        <w:rPr>
          <w:rFonts w:ascii="Times New Roman" w:hAnsi="Times New Roman"/>
          <w:sz w:val="24"/>
          <w:szCs w:val="24"/>
        </w:rPr>
      </w:pPr>
      <w:r>
        <w:rPr>
          <w:rFonts w:ascii="Times New Roman" w:hAnsi="Times New Roman"/>
          <w:sz w:val="24"/>
          <w:szCs w:val="24"/>
        </w:rPr>
        <w:t xml:space="preserve">I calculated the </w:t>
      </w:r>
      <w:r w:rsidR="00693AF7">
        <w:rPr>
          <w:rFonts w:ascii="Times New Roman" w:hAnsi="Times New Roman"/>
          <w:sz w:val="24"/>
          <w:szCs w:val="24"/>
        </w:rPr>
        <w:t xml:space="preserve">growth rate as the slope of the least-squares linear regression across 2001-2013 with years 2010-2012 omitted. </w:t>
      </w:r>
      <w:r w:rsidR="00F5707B">
        <w:rPr>
          <w:rFonts w:ascii="Times New Roman" w:hAnsi="Times New Roman"/>
          <w:sz w:val="24"/>
          <w:szCs w:val="24"/>
        </w:rPr>
        <w:t xml:space="preserve"> </w:t>
      </w:r>
      <w:r>
        <w:rPr>
          <w:rFonts w:ascii="Times New Roman" w:hAnsi="Times New Roman"/>
          <w:sz w:val="24"/>
          <w:szCs w:val="24"/>
        </w:rPr>
        <w:t xml:space="preserve">I converted the </w:t>
      </w:r>
      <w:r w:rsidR="00693AF7">
        <w:rPr>
          <w:rFonts w:ascii="Times New Roman" w:hAnsi="Times New Roman"/>
          <w:sz w:val="24"/>
          <w:szCs w:val="24"/>
        </w:rPr>
        <w:t xml:space="preserve">slope of the regression (in thousands of dollars) to an annual growth rate by dividing by the 2013 level. </w:t>
      </w:r>
      <w:r>
        <w:rPr>
          <w:rFonts w:ascii="Times New Roman" w:hAnsi="Times New Roman"/>
          <w:sz w:val="24"/>
          <w:szCs w:val="24"/>
        </w:rPr>
        <w:t xml:space="preserve"> </w:t>
      </w:r>
      <w:r w:rsidR="00693AF7">
        <w:rPr>
          <w:rFonts w:ascii="Times New Roman" w:hAnsi="Times New Roman"/>
          <w:sz w:val="24"/>
          <w:szCs w:val="24"/>
        </w:rPr>
        <w:t xml:space="preserve">As the rate of growth is linear, to arrive at the escalation factor to apply to 2013 levels for derivation of 2015 levels, </w:t>
      </w:r>
      <w:r w:rsidR="00F0356B">
        <w:rPr>
          <w:rFonts w:ascii="Times New Roman" w:hAnsi="Times New Roman"/>
          <w:sz w:val="24"/>
          <w:szCs w:val="24"/>
        </w:rPr>
        <w:t xml:space="preserve">I multiplied </w:t>
      </w:r>
      <w:r w:rsidR="00693AF7">
        <w:rPr>
          <w:rFonts w:ascii="Times New Roman" w:hAnsi="Times New Roman"/>
          <w:sz w:val="24"/>
          <w:szCs w:val="24"/>
        </w:rPr>
        <w:t xml:space="preserve">the calculated annual rate of growth by two (years). </w:t>
      </w:r>
      <w:r w:rsidR="00F5707B">
        <w:rPr>
          <w:rFonts w:ascii="Times New Roman" w:hAnsi="Times New Roman"/>
          <w:sz w:val="24"/>
          <w:szCs w:val="24"/>
        </w:rPr>
        <w:t xml:space="preserve"> </w:t>
      </w:r>
      <w:r w:rsidR="00693AF7">
        <w:rPr>
          <w:rFonts w:ascii="Times New Roman" w:hAnsi="Times New Roman"/>
          <w:sz w:val="24"/>
          <w:szCs w:val="24"/>
        </w:rPr>
        <w:t>This escalation factor is carried forward to column [F] of page 4 of Exhibit No.__(CRM-2).</w:t>
      </w:r>
    </w:p>
    <w:p w14:paraId="0FD825C0" w14:textId="77777777" w:rsidR="00693AF7" w:rsidRPr="0083746D" w:rsidRDefault="00693AF7" w:rsidP="00CB5D3D">
      <w:pPr>
        <w:spacing w:after="0" w:line="480" w:lineRule="auto"/>
        <w:rPr>
          <w:rFonts w:ascii="Times New Roman" w:hAnsi="Times New Roman"/>
          <w:sz w:val="24"/>
          <w:szCs w:val="24"/>
        </w:rPr>
      </w:pPr>
    </w:p>
    <w:p w14:paraId="722CEF9E" w14:textId="66FA6B41" w:rsidR="00443BA5" w:rsidRPr="00397795" w:rsidRDefault="00D411C3" w:rsidP="00CB5D3D">
      <w:pPr>
        <w:pStyle w:val="ListParagraph"/>
        <w:numPr>
          <w:ilvl w:val="0"/>
          <w:numId w:val="10"/>
        </w:numPr>
        <w:spacing w:after="0" w:line="240" w:lineRule="auto"/>
        <w:ind w:left="1440" w:hanging="720"/>
        <w:rPr>
          <w:rFonts w:ascii="Times New Roman" w:hAnsi="Times New Roman"/>
          <w:b/>
          <w:sz w:val="24"/>
          <w:szCs w:val="24"/>
        </w:rPr>
      </w:pPr>
      <w:r w:rsidRPr="00397795">
        <w:rPr>
          <w:rFonts w:ascii="Times New Roman" w:hAnsi="Times New Roman"/>
          <w:b/>
          <w:sz w:val="24"/>
          <w:szCs w:val="24"/>
        </w:rPr>
        <w:t xml:space="preserve">Detailed </w:t>
      </w:r>
      <w:r w:rsidR="0019393F" w:rsidRPr="00397795">
        <w:rPr>
          <w:rFonts w:ascii="Times New Roman" w:hAnsi="Times New Roman"/>
          <w:b/>
          <w:sz w:val="24"/>
          <w:szCs w:val="24"/>
        </w:rPr>
        <w:t>Explanation of Exhibit No.__(CRM-3)</w:t>
      </w:r>
      <w:r w:rsidRPr="00397795">
        <w:rPr>
          <w:rFonts w:ascii="Times New Roman" w:hAnsi="Times New Roman"/>
          <w:b/>
          <w:sz w:val="24"/>
          <w:szCs w:val="24"/>
        </w:rPr>
        <w:t xml:space="preserve"> – Staff’s Attrition Study for Gas</w:t>
      </w:r>
    </w:p>
    <w:p w14:paraId="40F17B6E" w14:textId="77777777" w:rsidR="00C051D8" w:rsidRDefault="00C051D8" w:rsidP="00CB5D3D">
      <w:pPr>
        <w:spacing w:after="0" w:line="480" w:lineRule="auto"/>
        <w:rPr>
          <w:rFonts w:ascii="Times New Roman" w:hAnsi="Times New Roman"/>
          <w:b/>
          <w:sz w:val="24"/>
          <w:szCs w:val="24"/>
        </w:rPr>
      </w:pPr>
    </w:p>
    <w:p w14:paraId="0B190EB2" w14:textId="37C9489C" w:rsidR="00C051D8" w:rsidRDefault="00C051D8" w:rsidP="00CB5D3D">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 xml:space="preserve">Do you have any general remarks </w:t>
      </w:r>
      <w:r w:rsidR="00861F53">
        <w:rPr>
          <w:rFonts w:ascii="Times New Roman" w:hAnsi="Times New Roman"/>
          <w:b/>
          <w:sz w:val="24"/>
          <w:szCs w:val="24"/>
        </w:rPr>
        <w:t xml:space="preserve">before you provide a detailed description of your gas attrition study in </w:t>
      </w:r>
      <w:r>
        <w:rPr>
          <w:rFonts w:ascii="Times New Roman" w:hAnsi="Times New Roman"/>
          <w:b/>
          <w:sz w:val="24"/>
          <w:szCs w:val="24"/>
        </w:rPr>
        <w:t>your Exhibit No.__(CRM-3)?</w:t>
      </w:r>
    </w:p>
    <w:p w14:paraId="5B556D12" w14:textId="77777777" w:rsidR="00C051D8" w:rsidRDefault="00C051D8" w:rsidP="00CB5D3D">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Yes. </w:t>
      </w:r>
      <w:r w:rsidR="00861F53">
        <w:rPr>
          <w:rFonts w:ascii="Times New Roman" w:hAnsi="Times New Roman"/>
          <w:sz w:val="24"/>
          <w:szCs w:val="24"/>
        </w:rPr>
        <w:t xml:space="preserve"> </w:t>
      </w:r>
      <w:r>
        <w:rPr>
          <w:rFonts w:ascii="Times New Roman" w:hAnsi="Times New Roman"/>
          <w:sz w:val="24"/>
          <w:szCs w:val="24"/>
        </w:rPr>
        <w:t xml:space="preserve">My Exhibit No.__(CRM-3) was developed from the 2015 natural gas attrition model that Avista provided in response to Staff Data Request 115. </w:t>
      </w:r>
      <w:r w:rsidR="00DB7CD2">
        <w:rPr>
          <w:rFonts w:ascii="Times New Roman" w:hAnsi="Times New Roman"/>
          <w:sz w:val="24"/>
          <w:szCs w:val="24"/>
        </w:rPr>
        <w:t xml:space="preserve"> </w:t>
      </w:r>
      <w:r>
        <w:rPr>
          <w:rFonts w:ascii="Times New Roman" w:hAnsi="Times New Roman"/>
          <w:sz w:val="24"/>
          <w:szCs w:val="24"/>
        </w:rPr>
        <w:t xml:space="preserve">This revised attrition study conforms very closely to the structure of the attrition study provided in Avista’s direct case as Exhibit No.__(EMA-3). </w:t>
      </w:r>
      <w:r w:rsidR="00DB7CD2">
        <w:rPr>
          <w:rFonts w:ascii="Times New Roman" w:hAnsi="Times New Roman"/>
          <w:sz w:val="24"/>
          <w:szCs w:val="24"/>
        </w:rPr>
        <w:t xml:space="preserve"> </w:t>
      </w:r>
      <w:r w:rsidRPr="002F1E16">
        <w:rPr>
          <w:rFonts w:ascii="Times New Roman" w:hAnsi="Times New Roman"/>
          <w:sz w:val="24"/>
          <w:szCs w:val="24"/>
        </w:rPr>
        <w:t>As a result, the description that follows here is largely repetitive of the description provided in Company Exhi</w:t>
      </w:r>
      <w:r w:rsidR="002F1E16" w:rsidRPr="002F1E16">
        <w:rPr>
          <w:rFonts w:ascii="Times New Roman" w:hAnsi="Times New Roman"/>
          <w:sz w:val="24"/>
          <w:szCs w:val="24"/>
        </w:rPr>
        <w:t>bit No.__(EMA-1T) on pages 24-28</w:t>
      </w:r>
      <w:r w:rsidRPr="002F1E16">
        <w:rPr>
          <w:rFonts w:ascii="Times New Roman" w:hAnsi="Times New Roman"/>
          <w:sz w:val="24"/>
          <w:szCs w:val="24"/>
        </w:rPr>
        <w:t xml:space="preserve">. </w:t>
      </w:r>
    </w:p>
    <w:p w14:paraId="77464465" w14:textId="5E269E53" w:rsidR="00861F53" w:rsidRDefault="00861F53" w:rsidP="00CB5D3D">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However, as with the electric attrition studies, there are significant differences, primarily regarding the different test period Staff used, as well as differences in the </w:t>
      </w:r>
      <w:r>
        <w:rPr>
          <w:rFonts w:ascii="Times New Roman" w:hAnsi="Times New Roman"/>
          <w:sz w:val="24"/>
          <w:szCs w:val="24"/>
        </w:rPr>
        <w:lastRenderedPageBreak/>
        <w:t>analytical approach for certain components of the attrition studies.  I describe</w:t>
      </w:r>
      <w:r w:rsidR="00F0356B">
        <w:rPr>
          <w:rFonts w:ascii="Times New Roman" w:hAnsi="Times New Roman"/>
          <w:sz w:val="24"/>
          <w:szCs w:val="24"/>
        </w:rPr>
        <w:t>d</w:t>
      </w:r>
      <w:r>
        <w:rPr>
          <w:rFonts w:ascii="Times New Roman" w:hAnsi="Times New Roman"/>
          <w:sz w:val="24"/>
          <w:szCs w:val="24"/>
        </w:rPr>
        <w:t xml:space="preserve"> these differences when I critique</w:t>
      </w:r>
      <w:r w:rsidR="00F0356B">
        <w:rPr>
          <w:rFonts w:ascii="Times New Roman" w:hAnsi="Times New Roman"/>
          <w:sz w:val="24"/>
          <w:szCs w:val="24"/>
        </w:rPr>
        <w:t>d</w:t>
      </w:r>
      <w:r>
        <w:rPr>
          <w:rFonts w:ascii="Times New Roman" w:hAnsi="Times New Roman"/>
          <w:sz w:val="24"/>
          <w:szCs w:val="24"/>
        </w:rPr>
        <w:t xml:space="preserve"> the Company’s attrition study.</w:t>
      </w:r>
    </w:p>
    <w:p w14:paraId="5DBAD65E" w14:textId="77777777" w:rsidR="00C051D8" w:rsidRDefault="00C051D8" w:rsidP="00CB5D3D">
      <w:pPr>
        <w:spacing w:after="0" w:line="480" w:lineRule="auto"/>
        <w:ind w:left="720" w:hanging="720"/>
        <w:rPr>
          <w:rFonts w:ascii="Times New Roman" w:hAnsi="Times New Roman"/>
          <w:b/>
          <w:sz w:val="24"/>
          <w:szCs w:val="24"/>
        </w:rPr>
      </w:pPr>
    </w:p>
    <w:p w14:paraId="63BEC1C4" w14:textId="77777777" w:rsidR="00C051D8" w:rsidRDefault="00C051D8" w:rsidP="00CB5D3D">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Please explain what is shown on page 1 of Staff’s Natural Gas Attrition Study, Exhibit No.__(CRM-3).</w:t>
      </w:r>
    </w:p>
    <w:p w14:paraId="281C7271" w14:textId="6998CEE5" w:rsidR="00861F53" w:rsidRDefault="00C051D8" w:rsidP="00CB5D3D">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Exhibit No._</w:t>
      </w:r>
      <w:r w:rsidR="00CA125D">
        <w:rPr>
          <w:rFonts w:ascii="Times New Roman" w:hAnsi="Times New Roman"/>
          <w:sz w:val="24"/>
          <w:szCs w:val="24"/>
        </w:rPr>
        <w:t>_ (</w:t>
      </w:r>
      <w:r>
        <w:rPr>
          <w:rFonts w:ascii="Times New Roman" w:hAnsi="Times New Roman"/>
          <w:sz w:val="24"/>
          <w:szCs w:val="24"/>
        </w:rPr>
        <w:t>CRM-3), page 1, shows the calculation of the natural gas general revenue requirement, based on Staff’s Natural Gas A</w:t>
      </w:r>
      <w:r w:rsidR="0024248B">
        <w:rPr>
          <w:rFonts w:ascii="Times New Roman" w:hAnsi="Times New Roman"/>
          <w:sz w:val="24"/>
          <w:szCs w:val="24"/>
        </w:rPr>
        <w:t>ttrition Study, to earn the 6.77</w:t>
      </w:r>
      <w:r>
        <w:rPr>
          <w:rFonts w:ascii="Times New Roman" w:hAnsi="Times New Roman"/>
          <w:sz w:val="24"/>
          <w:szCs w:val="24"/>
        </w:rPr>
        <w:t xml:space="preserve"> percent rate of return proposed by Staff. </w:t>
      </w:r>
    </w:p>
    <w:p w14:paraId="665F24A7" w14:textId="390C0C14" w:rsidR="00C051D8" w:rsidRDefault="00861F53" w:rsidP="00CB5D3D">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C051D8">
        <w:rPr>
          <w:rFonts w:ascii="Times New Roman" w:hAnsi="Times New Roman"/>
          <w:sz w:val="24"/>
          <w:szCs w:val="24"/>
        </w:rPr>
        <w:t>Column (e), line 7</w:t>
      </w:r>
      <w:r w:rsidR="00F0356B">
        <w:rPr>
          <w:rFonts w:ascii="Times New Roman" w:hAnsi="Times New Roman"/>
          <w:sz w:val="24"/>
          <w:szCs w:val="24"/>
        </w:rPr>
        <w:t>,</w:t>
      </w:r>
      <w:r w:rsidR="00C051D8">
        <w:rPr>
          <w:rFonts w:ascii="Times New Roman" w:hAnsi="Times New Roman"/>
          <w:sz w:val="24"/>
          <w:szCs w:val="24"/>
        </w:rPr>
        <w:t xml:space="preserve"> shows the 2015 natural gas revenue</w:t>
      </w:r>
      <w:r w:rsidR="00AB233B">
        <w:rPr>
          <w:rFonts w:ascii="Times New Roman" w:hAnsi="Times New Roman"/>
          <w:sz w:val="24"/>
          <w:szCs w:val="24"/>
        </w:rPr>
        <w:t xml:space="preserve"> requirement of $8,443</w:t>
      </w:r>
      <w:r w:rsidR="00C051D8">
        <w:rPr>
          <w:rFonts w:ascii="Times New Roman" w:hAnsi="Times New Roman"/>
          <w:sz w:val="24"/>
          <w:szCs w:val="24"/>
        </w:rPr>
        <w:t xml:space="preserve">,000 over 2013 base rate revenues; column (f) shows the temporary (2014) revenue increase of $1,358,000 presently in effect; and column (g) </w:t>
      </w:r>
      <w:r w:rsidR="00AB233B">
        <w:rPr>
          <w:rFonts w:ascii="Times New Roman" w:hAnsi="Times New Roman"/>
          <w:sz w:val="24"/>
          <w:szCs w:val="24"/>
        </w:rPr>
        <w:t>shows the incremental revenue increase needed for 2015 of $7,085</w:t>
      </w:r>
      <w:r w:rsidR="00C051D8">
        <w:rPr>
          <w:rFonts w:ascii="Times New Roman" w:hAnsi="Times New Roman"/>
          <w:sz w:val="24"/>
          <w:szCs w:val="24"/>
        </w:rPr>
        <w:t>,000, relative to 2014 base rate revenues.</w:t>
      </w:r>
    </w:p>
    <w:p w14:paraId="6B0DFF12" w14:textId="229F44D9" w:rsidR="00C051D8" w:rsidRDefault="00C051D8" w:rsidP="00CB5D3D">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861F53">
        <w:rPr>
          <w:rFonts w:ascii="Times New Roman" w:hAnsi="Times New Roman"/>
          <w:sz w:val="24"/>
          <w:szCs w:val="24"/>
        </w:rPr>
        <w:t xml:space="preserve">As I explained earlier, </w:t>
      </w:r>
      <w:r>
        <w:rPr>
          <w:rFonts w:ascii="Times New Roman" w:hAnsi="Times New Roman"/>
          <w:sz w:val="24"/>
          <w:szCs w:val="24"/>
        </w:rPr>
        <w:t>Staff’s analysis suppo</w:t>
      </w:r>
      <w:r w:rsidR="00483BBC">
        <w:rPr>
          <w:rFonts w:ascii="Times New Roman" w:hAnsi="Times New Roman"/>
          <w:sz w:val="24"/>
          <w:szCs w:val="24"/>
        </w:rPr>
        <w:t>rts a revenue increase of $8,443</w:t>
      </w:r>
      <w:r>
        <w:rPr>
          <w:rFonts w:ascii="Times New Roman" w:hAnsi="Times New Roman"/>
          <w:sz w:val="24"/>
          <w:szCs w:val="24"/>
        </w:rPr>
        <w:t>,000 relative to 2013 base rate revenues or, equivalent</w:t>
      </w:r>
      <w:r w:rsidR="00483BBC">
        <w:rPr>
          <w:rFonts w:ascii="Times New Roman" w:hAnsi="Times New Roman"/>
          <w:sz w:val="24"/>
          <w:szCs w:val="24"/>
        </w:rPr>
        <w:t>ly, a revenue increase of $7,085</w:t>
      </w:r>
      <w:r>
        <w:rPr>
          <w:rFonts w:ascii="Times New Roman" w:hAnsi="Times New Roman"/>
          <w:sz w:val="24"/>
          <w:szCs w:val="24"/>
        </w:rPr>
        <w:t xml:space="preserve">,000 relative to 2014 base rate revenues.  For consistency with rate treatment of electric service, Staff recommends the Commission allow the 2014 temporary natural gas rates to expire and develop 2015 rates relative to 2013 base rate revenues. </w:t>
      </w:r>
    </w:p>
    <w:p w14:paraId="12FF3EAB" w14:textId="77777777" w:rsidR="00C051D8" w:rsidRDefault="00C051D8" w:rsidP="00CB5D3D">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Column (a) of page 1, labeled “Attrition Balances,” shows the natural gas Attrition Net Operating Income and Attrition Rate Base balances from page 5 of Exhibit No.__(CRM-3), column [K], lines 31 and 47.</w:t>
      </w:r>
    </w:p>
    <w:p w14:paraId="6513D39A" w14:textId="77777777" w:rsidR="00C051D8" w:rsidRDefault="00C051D8" w:rsidP="00CB5D3D">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Column (b) of page 1, labeled “Revenue Growth Factor,” shows the revenue growth factor of 1.00, reflecting application of rates to the Company’s forecasted 2015 billing determinants (rather than 2013 billing determinants).  Avista used a revenue </w:t>
      </w:r>
      <w:r>
        <w:rPr>
          <w:rFonts w:ascii="Times New Roman" w:hAnsi="Times New Roman"/>
          <w:sz w:val="24"/>
          <w:szCs w:val="24"/>
        </w:rPr>
        <w:lastRenderedPageBreak/>
        <w:t xml:space="preserve">growth factor of 1.021600, reflecting application of rates to the 12-months-ending June 30, 2013, test period billing determinants. </w:t>
      </w:r>
    </w:p>
    <w:p w14:paraId="44A99E9A" w14:textId="7A5CCE9B" w:rsidR="00C051D8" w:rsidRDefault="00C051D8" w:rsidP="00CB5D3D">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Column (c), labeled “Attrition Adjusted Balances,” sho</w:t>
      </w:r>
      <w:r w:rsidR="00372669">
        <w:rPr>
          <w:rFonts w:ascii="Times New Roman" w:hAnsi="Times New Roman"/>
          <w:sz w:val="24"/>
          <w:szCs w:val="24"/>
        </w:rPr>
        <w:t>ws the calculation of the $8,167</w:t>
      </w:r>
      <w:r>
        <w:rPr>
          <w:rFonts w:ascii="Times New Roman" w:hAnsi="Times New Roman"/>
          <w:sz w:val="24"/>
          <w:szCs w:val="24"/>
        </w:rPr>
        <w:t xml:space="preserve">,000 revenue </w:t>
      </w:r>
      <w:r w:rsidR="00372669">
        <w:rPr>
          <w:rFonts w:ascii="Times New Roman" w:hAnsi="Times New Roman"/>
          <w:sz w:val="24"/>
          <w:szCs w:val="24"/>
        </w:rPr>
        <w:t>requirement at the proposed 6.77</w:t>
      </w:r>
      <w:r>
        <w:rPr>
          <w:rFonts w:ascii="Times New Roman" w:hAnsi="Times New Roman"/>
          <w:sz w:val="24"/>
          <w:szCs w:val="24"/>
        </w:rPr>
        <w:t xml:space="preserve"> percent rate of return, based on the Natural Gas Attrition Study “Attrition Rate Base” and “Attrition Net Operating Income” balances in column (a) unadjusted for the revenue growth factor in column (b).</w:t>
      </w:r>
    </w:p>
    <w:p w14:paraId="3A3643C0" w14:textId="3EA79411" w:rsidR="00C051D8" w:rsidRDefault="00C051D8" w:rsidP="00CB5D3D">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Column (d), labeled “After Attrition Adjustments,” includes an increase of $276,000 to the Attrition Revenue Requirement amount in column (c)</w:t>
      </w:r>
      <w:r w:rsidR="00861F53">
        <w:rPr>
          <w:rFonts w:ascii="Times New Roman" w:hAnsi="Times New Roman"/>
          <w:sz w:val="24"/>
          <w:szCs w:val="24"/>
        </w:rPr>
        <w:t>,</w:t>
      </w:r>
      <w:r>
        <w:rPr>
          <w:rFonts w:ascii="Times New Roman" w:hAnsi="Times New Roman"/>
          <w:sz w:val="24"/>
          <w:szCs w:val="24"/>
        </w:rPr>
        <w:t xml:space="preserve"> resu</w:t>
      </w:r>
      <w:r w:rsidR="00C31CCE">
        <w:rPr>
          <w:rFonts w:ascii="Times New Roman" w:hAnsi="Times New Roman"/>
          <w:sz w:val="24"/>
          <w:szCs w:val="24"/>
        </w:rPr>
        <w:t>lting from adjustments</w:t>
      </w:r>
      <w:r>
        <w:rPr>
          <w:rFonts w:ascii="Times New Roman" w:hAnsi="Times New Roman"/>
          <w:sz w:val="24"/>
          <w:szCs w:val="24"/>
        </w:rPr>
        <w:t xml:space="preserve"> </w:t>
      </w:r>
      <w:r w:rsidR="00372669">
        <w:rPr>
          <w:rFonts w:ascii="Times New Roman" w:hAnsi="Times New Roman"/>
          <w:sz w:val="24"/>
          <w:szCs w:val="24"/>
        </w:rPr>
        <w:t>that Avista states</w:t>
      </w:r>
      <w:r w:rsidR="00C31CCE">
        <w:rPr>
          <w:rFonts w:ascii="Times New Roman" w:hAnsi="Times New Roman"/>
          <w:sz w:val="24"/>
          <w:szCs w:val="24"/>
        </w:rPr>
        <w:t xml:space="preserve"> is </w:t>
      </w:r>
      <w:r>
        <w:rPr>
          <w:rFonts w:ascii="Times New Roman" w:hAnsi="Times New Roman"/>
          <w:sz w:val="24"/>
          <w:szCs w:val="24"/>
        </w:rPr>
        <w:t>to restate the attrition-adjusted subtotal for atmospheric testing expenses not included in the December 31, 2013, Commission Basis results</w:t>
      </w:r>
      <w:r w:rsidR="00C31CCE">
        <w:rPr>
          <w:rFonts w:ascii="Times New Roman" w:hAnsi="Times New Roman"/>
          <w:sz w:val="24"/>
          <w:szCs w:val="24"/>
        </w:rPr>
        <w:t>, and not captured in trend analysis</w:t>
      </w:r>
      <w:r>
        <w:rPr>
          <w:rFonts w:ascii="Times New Roman" w:hAnsi="Times New Roman"/>
          <w:sz w:val="24"/>
          <w:szCs w:val="24"/>
        </w:rPr>
        <w:t>.</w:t>
      </w:r>
      <w:r w:rsidR="00C31CCE">
        <w:rPr>
          <w:rFonts w:ascii="Times New Roman" w:hAnsi="Times New Roman"/>
          <w:sz w:val="24"/>
          <w:szCs w:val="24"/>
        </w:rPr>
        <w:t xml:space="preserve">  Staff does not contest this adjustment.</w:t>
      </w:r>
    </w:p>
    <w:p w14:paraId="4ED1F35E" w14:textId="7A4E865D" w:rsidR="00C051D8" w:rsidRDefault="00C051D8" w:rsidP="00CB5D3D">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Column (e), labeled “Final Balances,” shows the natural gas attrition adjusted revenue requirement after reflecting the After Attrition Adjustments included in column (d), resulting in an adjusted el</w:t>
      </w:r>
      <w:r w:rsidR="0016288F">
        <w:rPr>
          <w:rFonts w:ascii="Times New Roman" w:hAnsi="Times New Roman"/>
          <w:sz w:val="24"/>
          <w:szCs w:val="24"/>
        </w:rPr>
        <w:t>ectric attrition total of $8,443</w:t>
      </w:r>
      <w:r>
        <w:rPr>
          <w:rFonts w:ascii="Times New Roman" w:hAnsi="Times New Roman"/>
          <w:sz w:val="24"/>
          <w:szCs w:val="24"/>
        </w:rPr>
        <w:t>,000.</w:t>
      </w:r>
    </w:p>
    <w:p w14:paraId="67723616" w14:textId="7E61ECE2" w:rsidR="00C051D8" w:rsidRDefault="00C051D8" w:rsidP="00CB5D3D">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Column (f) shows the 2014 Temporary Rate Increase approved in Docket UE-120436 of $1,358,000, which is currently in effect, but expires at the end of 2014.  For consistency of treatment with electric service, the Commission should allow the 2014 natural gas revenue increase to expire and replace it w</w:t>
      </w:r>
      <w:r w:rsidR="00DA7656">
        <w:rPr>
          <w:rFonts w:ascii="Times New Roman" w:hAnsi="Times New Roman"/>
          <w:sz w:val="24"/>
          <w:szCs w:val="24"/>
        </w:rPr>
        <w:t>ith a revenue increase of $8,443</w:t>
      </w:r>
      <w:r>
        <w:rPr>
          <w:rFonts w:ascii="Times New Roman" w:hAnsi="Times New Roman"/>
          <w:sz w:val="24"/>
          <w:szCs w:val="24"/>
        </w:rPr>
        <w:t>,000 over 2013 base rate r</w:t>
      </w:r>
      <w:r w:rsidR="00DA7656">
        <w:rPr>
          <w:rFonts w:ascii="Times New Roman" w:hAnsi="Times New Roman"/>
          <w:sz w:val="24"/>
          <w:szCs w:val="24"/>
        </w:rPr>
        <w:t xml:space="preserve">evenues.  This represents a </w:t>
      </w:r>
      <w:r w:rsidR="00DA7656" w:rsidRPr="004E78E5">
        <w:rPr>
          <w:rFonts w:ascii="Times New Roman" w:hAnsi="Times New Roman"/>
          <w:strike/>
          <w:sz w:val="24"/>
          <w:szCs w:val="24"/>
        </w:rPr>
        <w:t>5.68</w:t>
      </w:r>
      <w:r>
        <w:rPr>
          <w:rFonts w:ascii="Times New Roman" w:hAnsi="Times New Roman"/>
          <w:sz w:val="24"/>
          <w:szCs w:val="24"/>
        </w:rPr>
        <w:t xml:space="preserve"> </w:t>
      </w:r>
      <w:r w:rsidR="004E78E5">
        <w:rPr>
          <w:rFonts w:ascii="Times New Roman" w:hAnsi="Times New Roman"/>
          <w:sz w:val="24"/>
          <w:szCs w:val="24"/>
          <w:u w:val="single"/>
        </w:rPr>
        <w:t>5.56</w:t>
      </w:r>
      <w:r w:rsidR="004E78E5">
        <w:rPr>
          <w:rFonts w:ascii="Times New Roman" w:hAnsi="Times New Roman"/>
          <w:sz w:val="24"/>
          <w:szCs w:val="24"/>
        </w:rPr>
        <w:t xml:space="preserve"> </w:t>
      </w:r>
      <w:r w:rsidRPr="004E78E5">
        <w:rPr>
          <w:rFonts w:ascii="Times New Roman" w:hAnsi="Times New Roman"/>
          <w:sz w:val="24"/>
          <w:szCs w:val="24"/>
        </w:rPr>
        <w:t>percent</w:t>
      </w:r>
      <w:r>
        <w:rPr>
          <w:rFonts w:ascii="Times New Roman" w:hAnsi="Times New Roman"/>
          <w:sz w:val="24"/>
          <w:szCs w:val="24"/>
        </w:rPr>
        <w:t xml:space="preserve"> increase in revenues relative to 2013 base rate revenues.</w:t>
      </w:r>
    </w:p>
    <w:p w14:paraId="2391DB23" w14:textId="4D83A189" w:rsidR="00C051D8" w:rsidRDefault="00C051D8" w:rsidP="00CB5D3D">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Column (g), labeled “2015 Revenue Requirement,” shows the 2015 incremental revenue increas</w:t>
      </w:r>
      <w:r w:rsidR="00DA7656">
        <w:rPr>
          <w:rFonts w:ascii="Times New Roman" w:hAnsi="Times New Roman"/>
          <w:sz w:val="24"/>
          <w:szCs w:val="24"/>
        </w:rPr>
        <w:t>e of $7,085</w:t>
      </w:r>
      <w:r>
        <w:rPr>
          <w:rFonts w:ascii="Times New Roman" w:hAnsi="Times New Roman"/>
          <w:sz w:val="24"/>
          <w:szCs w:val="24"/>
        </w:rPr>
        <w:t>,000 relative to the 2014 temporar</w:t>
      </w:r>
      <w:r w:rsidR="00DA7656">
        <w:rPr>
          <w:rFonts w:ascii="Times New Roman" w:hAnsi="Times New Roman"/>
          <w:sz w:val="24"/>
          <w:szCs w:val="24"/>
        </w:rPr>
        <w:t xml:space="preserve">y rates.  This represents a </w:t>
      </w:r>
      <w:r w:rsidR="00DA7656" w:rsidRPr="004E78E5">
        <w:rPr>
          <w:rFonts w:ascii="Times New Roman" w:hAnsi="Times New Roman"/>
          <w:strike/>
          <w:sz w:val="24"/>
          <w:szCs w:val="24"/>
        </w:rPr>
        <w:t>4.51</w:t>
      </w:r>
      <w:r w:rsidR="00DA7656">
        <w:rPr>
          <w:rFonts w:ascii="Times New Roman" w:hAnsi="Times New Roman"/>
          <w:sz w:val="24"/>
          <w:szCs w:val="24"/>
        </w:rPr>
        <w:t xml:space="preserve"> </w:t>
      </w:r>
      <w:r w:rsidR="004E78E5">
        <w:rPr>
          <w:rFonts w:ascii="Times New Roman" w:hAnsi="Times New Roman"/>
          <w:sz w:val="24"/>
          <w:szCs w:val="24"/>
          <w:u w:val="single"/>
        </w:rPr>
        <w:t>4.42</w:t>
      </w:r>
      <w:r w:rsidR="004E78E5">
        <w:rPr>
          <w:rFonts w:ascii="Times New Roman" w:hAnsi="Times New Roman"/>
          <w:sz w:val="24"/>
          <w:szCs w:val="24"/>
        </w:rPr>
        <w:t xml:space="preserve"> </w:t>
      </w:r>
      <w:r w:rsidR="00DA7656">
        <w:rPr>
          <w:rFonts w:ascii="Times New Roman" w:hAnsi="Times New Roman"/>
          <w:sz w:val="24"/>
          <w:szCs w:val="24"/>
        </w:rPr>
        <w:t>percent in</w:t>
      </w:r>
      <w:r>
        <w:rPr>
          <w:rFonts w:ascii="Times New Roman" w:hAnsi="Times New Roman"/>
          <w:sz w:val="24"/>
          <w:szCs w:val="24"/>
        </w:rPr>
        <w:t>crease in revenues relative to 2014 base rate revenues.</w:t>
      </w:r>
    </w:p>
    <w:p w14:paraId="2D908BD5" w14:textId="77777777" w:rsidR="00C051D8" w:rsidRDefault="00C051D8" w:rsidP="00CB5D3D">
      <w:pPr>
        <w:spacing w:after="0" w:line="480" w:lineRule="auto"/>
        <w:ind w:left="720" w:hanging="720"/>
        <w:rPr>
          <w:rFonts w:ascii="Times New Roman" w:hAnsi="Times New Roman"/>
          <w:sz w:val="24"/>
          <w:szCs w:val="24"/>
        </w:rPr>
      </w:pPr>
    </w:p>
    <w:p w14:paraId="1D51341C" w14:textId="77777777" w:rsidR="00C051D8" w:rsidRDefault="00C051D8" w:rsidP="00CB5D3D">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Please explain page 2 of Exhibit No.__(CRM-3).</w:t>
      </w:r>
    </w:p>
    <w:p w14:paraId="4F48E5D2" w14:textId="2F2E1CA1" w:rsidR="00C051D8" w:rsidRDefault="00C051D8" w:rsidP="00CB5D3D">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Page 2 shows the proposed cost of capital and capital structure used by Staff resulting in a weighted</w:t>
      </w:r>
      <w:r w:rsidR="003D309C">
        <w:rPr>
          <w:rFonts w:ascii="Times New Roman" w:hAnsi="Times New Roman"/>
          <w:sz w:val="24"/>
          <w:szCs w:val="24"/>
        </w:rPr>
        <w:t xml:space="preserve"> average cost of capital of 6.77</w:t>
      </w:r>
      <w:r>
        <w:rPr>
          <w:rFonts w:ascii="Times New Roman" w:hAnsi="Times New Roman"/>
          <w:sz w:val="24"/>
          <w:szCs w:val="24"/>
        </w:rPr>
        <w:t xml:space="preserve"> percent.  Staff witness Mr. Elgin presents Staff’s proposed cost of capital, including capital structure.</w:t>
      </w:r>
    </w:p>
    <w:p w14:paraId="3AA5865A" w14:textId="77777777" w:rsidR="00C051D8" w:rsidRDefault="00C051D8" w:rsidP="00CB5D3D">
      <w:pPr>
        <w:spacing w:after="0" w:line="480" w:lineRule="auto"/>
        <w:ind w:left="720" w:hanging="720"/>
        <w:rPr>
          <w:rFonts w:ascii="Times New Roman" w:hAnsi="Times New Roman"/>
          <w:sz w:val="24"/>
          <w:szCs w:val="24"/>
        </w:rPr>
      </w:pPr>
    </w:p>
    <w:p w14:paraId="7B1FF519" w14:textId="77777777" w:rsidR="00C051D8" w:rsidRDefault="00C051D8" w:rsidP="00CB5D3D">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Please explain page 3 of Exhibit No.__(CRM-3).</w:t>
      </w:r>
    </w:p>
    <w:p w14:paraId="140AA816" w14:textId="264623CD" w:rsidR="00C051D8" w:rsidRDefault="00C051D8" w:rsidP="00CB5D3D">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Page 3 shows the derivation of the electric net-operating-income-to-gross-revenue conversion factor. </w:t>
      </w:r>
      <w:r w:rsidR="00F0356B">
        <w:rPr>
          <w:rFonts w:ascii="Times New Roman" w:hAnsi="Times New Roman"/>
          <w:sz w:val="24"/>
          <w:szCs w:val="24"/>
        </w:rPr>
        <w:t xml:space="preserve"> </w:t>
      </w:r>
      <w:r>
        <w:rPr>
          <w:rFonts w:ascii="Times New Roman" w:hAnsi="Times New Roman"/>
          <w:sz w:val="24"/>
          <w:szCs w:val="24"/>
        </w:rPr>
        <w:t xml:space="preserve">This conversion factor is identical to the conversion factor used by the Company and presented on page 3 of </w:t>
      </w:r>
      <w:r w:rsidR="00F0356B">
        <w:rPr>
          <w:rFonts w:ascii="Times New Roman" w:hAnsi="Times New Roman"/>
          <w:sz w:val="24"/>
          <w:szCs w:val="24"/>
        </w:rPr>
        <w:t xml:space="preserve">Ms. Andrews’ </w:t>
      </w:r>
      <w:r>
        <w:rPr>
          <w:rFonts w:ascii="Times New Roman" w:hAnsi="Times New Roman"/>
          <w:sz w:val="24"/>
          <w:szCs w:val="24"/>
        </w:rPr>
        <w:t>Exhibit No._</w:t>
      </w:r>
      <w:r w:rsidR="00CA125D">
        <w:rPr>
          <w:rFonts w:ascii="Times New Roman" w:hAnsi="Times New Roman"/>
          <w:sz w:val="24"/>
          <w:szCs w:val="24"/>
        </w:rPr>
        <w:t>_ (</w:t>
      </w:r>
      <w:r>
        <w:rPr>
          <w:rFonts w:ascii="Times New Roman" w:hAnsi="Times New Roman"/>
          <w:sz w:val="24"/>
          <w:szCs w:val="24"/>
        </w:rPr>
        <w:t>EMA-3).</w:t>
      </w:r>
    </w:p>
    <w:p w14:paraId="77DF0BF6" w14:textId="77777777" w:rsidR="00C051D8" w:rsidRDefault="00C051D8" w:rsidP="00CB5D3D">
      <w:pPr>
        <w:spacing w:after="0" w:line="480" w:lineRule="auto"/>
        <w:ind w:left="720" w:hanging="720"/>
        <w:rPr>
          <w:rFonts w:ascii="Times New Roman" w:hAnsi="Times New Roman"/>
          <w:sz w:val="24"/>
          <w:szCs w:val="24"/>
        </w:rPr>
      </w:pPr>
    </w:p>
    <w:p w14:paraId="42DAD082" w14:textId="77777777" w:rsidR="00C051D8" w:rsidRPr="00BF17CB" w:rsidRDefault="00C051D8" w:rsidP="00CB5D3D">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Please explain pages 4 and 5 of Exhibit No.__(CRM-3).</w:t>
      </w:r>
    </w:p>
    <w:p w14:paraId="5F7DD3AE" w14:textId="51F802A0" w:rsidR="00C051D8" w:rsidRDefault="00C051D8" w:rsidP="00CB5D3D">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Pages 4 and 5 present the normalized income statement and rate base for Washington natural gas operations, with the cost, revenue and rate base detail that is found in Avista’s December 2013 Commission Basis Report.</w:t>
      </w:r>
      <w:r w:rsidR="003D309C">
        <w:rPr>
          <w:rFonts w:ascii="Times New Roman" w:hAnsi="Times New Roman"/>
          <w:sz w:val="24"/>
          <w:szCs w:val="24"/>
        </w:rPr>
        <w:t xml:space="preserve"> </w:t>
      </w:r>
      <w:r w:rsidR="00F0356B">
        <w:rPr>
          <w:rFonts w:ascii="Times New Roman" w:hAnsi="Times New Roman"/>
          <w:sz w:val="24"/>
          <w:szCs w:val="24"/>
        </w:rPr>
        <w:t xml:space="preserve"> </w:t>
      </w:r>
      <w:r w:rsidR="003D309C">
        <w:rPr>
          <w:rFonts w:ascii="Times New Roman" w:hAnsi="Times New Roman"/>
          <w:sz w:val="24"/>
          <w:szCs w:val="24"/>
        </w:rPr>
        <w:t>These pages show the escalation of December 2013 Commission Basis Report results of operations to the 2015 rate year.</w:t>
      </w:r>
      <w:r>
        <w:rPr>
          <w:rFonts w:ascii="Times New Roman" w:hAnsi="Times New Roman"/>
          <w:sz w:val="24"/>
          <w:szCs w:val="24"/>
        </w:rPr>
        <w:t xml:space="preserve"> </w:t>
      </w:r>
      <w:r w:rsidR="00861F53">
        <w:rPr>
          <w:rFonts w:ascii="Times New Roman" w:hAnsi="Times New Roman"/>
          <w:sz w:val="24"/>
          <w:szCs w:val="24"/>
        </w:rPr>
        <w:t xml:space="preserve"> </w:t>
      </w:r>
    </w:p>
    <w:p w14:paraId="792EACD9" w14:textId="5FD7C6AC" w:rsidR="00C051D8" w:rsidRDefault="00C051D8" w:rsidP="00CB5D3D">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Column [A], labeled “12.2013 Commission Basis Report Restated Totals,” provides the results of the December 2013 Commission Basis Report that includes normalized cost and revenue data for Avista’s Washington natural gas operations for the period twelve-months-ended December 31, 2013. </w:t>
      </w:r>
      <w:r w:rsidR="00861F53">
        <w:rPr>
          <w:rFonts w:ascii="Times New Roman" w:hAnsi="Times New Roman"/>
          <w:sz w:val="24"/>
          <w:szCs w:val="24"/>
        </w:rPr>
        <w:t xml:space="preserve"> </w:t>
      </w:r>
      <w:r>
        <w:rPr>
          <w:rFonts w:ascii="Times New Roman" w:hAnsi="Times New Roman"/>
          <w:sz w:val="24"/>
          <w:szCs w:val="24"/>
        </w:rPr>
        <w:t>This column shows that on a Commission Basis Report normalized basis for this historical test period, the Company’s earned rate of return for its Washington electric operations was 6.23 percent.</w:t>
      </w:r>
    </w:p>
    <w:p w14:paraId="0EA9FD97" w14:textId="7C880BAA" w:rsidR="00C051D8" w:rsidRDefault="00C051D8" w:rsidP="00CB5D3D">
      <w:pPr>
        <w:spacing w:after="0" w:line="480" w:lineRule="auto"/>
        <w:ind w:left="720" w:hanging="720"/>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t xml:space="preserve">Column [B], labeled “Proposed Working Capital AMA 12.2013” is an addition to column [A], restating Working Capital balance to December 2013 Average of Monthly Averages (AMA) balances.  Working Capital is </w:t>
      </w:r>
      <w:r w:rsidR="00861F53">
        <w:rPr>
          <w:rFonts w:ascii="Times New Roman" w:hAnsi="Times New Roman"/>
          <w:sz w:val="24"/>
          <w:szCs w:val="24"/>
        </w:rPr>
        <w:t xml:space="preserve">not an item subject to my trend analysis because Avista has not included working capital in most years of the Commission Basis Reports I used, making trending unreliable.  Furthermore, in this case, Staff and Company are including certain pension-related items for the first time.  </w:t>
      </w:r>
      <w:r>
        <w:rPr>
          <w:rFonts w:ascii="Times New Roman" w:hAnsi="Times New Roman"/>
          <w:sz w:val="24"/>
          <w:szCs w:val="24"/>
        </w:rPr>
        <w:t xml:space="preserve">The working capital adjustment is sponsored by Staff Witness Ms. Erdahl. </w:t>
      </w:r>
    </w:p>
    <w:p w14:paraId="653573EF" w14:textId="4BB33D13" w:rsidR="003D309C" w:rsidRDefault="00C051D8" w:rsidP="00CB5D3D">
      <w:pPr>
        <w:spacing w:after="0" w:line="480" w:lineRule="auto"/>
        <w:ind w:left="720" w:hanging="720"/>
        <w:rPr>
          <w:rFonts w:ascii="Times New Roman" w:hAnsi="Times New Roman"/>
          <w:sz w:val="24"/>
          <w:szCs w:val="24"/>
          <w:highlight w:val="yellow"/>
        </w:rPr>
      </w:pPr>
      <w:r>
        <w:rPr>
          <w:rFonts w:ascii="Times New Roman" w:hAnsi="Times New Roman"/>
          <w:sz w:val="24"/>
          <w:szCs w:val="24"/>
        </w:rPr>
        <w:tab/>
      </w:r>
      <w:r>
        <w:rPr>
          <w:rFonts w:ascii="Times New Roman" w:hAnsi="Times New Roman"/>
          <w:sz w:val="24"/>
          <w:szCs w:val="24"/>
        </w:rPr>
        <w:tab/>
        <w:t xml:space="preserve">Column [C], labeled “Incremental Revenue Normalization Adjustment,” adjusts the Commission Basis normalized revenue and gas costs to the </w:t>
      </w:r>
      <w:r w:rsidRPr="005F7C66">
        <w:rPr>
          <w:rFonts w:ascii="Times New Roman" w:hAnsi="Times New Roman"/>
          <w:sz w:val="24"/>
          <w:szCs w:val="24"/>
        </w:rPr>
        <w:t>2013 base rate revenue</w:t>
      </w:r>
      <w:r>
        <w:rPr>
          <w:rFonts w:ascii="Times New Roman" w:hAnsi="Times New Roman"/>
          <w:sz w:val="24"/>
          <w:szCs w:val="24"/>
        </w:rPr>
        <w:t xml:space="preserve"> and pro forma gas costs produced by the billing determinants used in the Company’s initial filing.  </w:t>
      </w:r>
      <w:r w:rsidR="003D309C">
        <w:rPr>
          <w:rFonts w:ascii="Times New Roman" w:hAnsi="Times New Roman"/>
          <w:sz w:val="24"/>
          <w:szCs w:val="24"/>
        </w:rPr>
        <w:t xml:space="preserve">This adjustment is necessary to account for the fact that Staff’s case begins at the December 2013 Commission Basis Report restated totals while the Company’s case begins at the June 2013 Commission Basis Report restated totals.  </w:t>
      </w:r>
      <w:r>
        <w:rPr>
          <w:rFonts w:ascii="Times New Roman" w:hAnsi="Times New Roman"/>
          <w:sz w:val="24"/>
          <w:szCs w:val="24"/>
        </w:rPr>
        <w:t xml:space="preserve">Revenue growth is adjusted to </w:t>
      </w:r>
      <w:r w:rsidRPr="003D309C">
        <w:rPr>
          <w:rFonts w:ascii="Times New Roman" w:hAnsi="Times New Roman"/>
          <w:sz w:val="24"/>
          <w:szCs w:val="24"/>
        </w:rPr>
        <w:t>2015 using the billing determ</w:t>
      </w:r>
      <w:r w:rsidR="003D309C" w:rsidRPr="003D309C">
        <w:rPr>
          <w:rFonts w:ascii="Times New Roman" w:hAnsi="Times New Roman"/>
          <w:sz w:val="24"/>
          <w:szCs w:val="24"/>
        </w:rPr>
        <w:t>inant index, not trend analysis.</w:t>
      </w:r>
    </w:p>
    <w:p w14:paraId="7E25DAD6" w14:textId="08E4F288" w:rsidR="00C051D8" w:rsidRDefault="00C051D8" w:rsidP="00CB5D3D">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Column [D], labeled “Exclude Normalized Gas Costs and Revenue,” is subtracted from column [A], removing all normalized gas costs and revenues from the December 2013 Commission Basis Report values. (Pro forma levels of gas costs and revenues are added back later, as discussed further below.) </w:t>
      </w:r>
      <w:r w:rsidR="00861F53">
        <w:rPr>
          <w:rFonts w:ascii="Times New Roman" w:hAnsi="Times New Roman"/>
          <w:sz w:val="24"/>
          <w:szCs w:val="24"/>
        </w:rPr>
        <w:t xml:space="preserve"> </w:t>
      </w:r>
      <w:r>
        <w:rPr>
          <w:rFonts w:ascii="Times New Roman" w:hAnsi="Times New Roman"/>
          <w:sz w:val="24"/>
          <w:szCs w:val="24"/>
        </w:rPr>
        <w:t>This removal ensures only non-gas costs and revenues are trended to the 2015 rate period.</w:t>
      </w:r>
    </w:p>
    <w:p w14:paraId="0D494958" w14:textId="77777777" w:rsidR="00C051D8" w:rsidRDefault="00C051D8" w:rsidP="00CB5D3D">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Column [E], labeled “December 2013 Escalation Base,” is the sum of the previous columns [A] through [D], providing the December 2013 escalation base rate base and costs excluding normalized gas costs and revenues.  This escalation base </w:t>
      </w:r>
      <w:r>
        <w:rPr>
          <w:rFonts w:ascii="Times New Roman" w:hAnsi="Times New Roman"/>
          <w:sz w:val="24"/>
          <w:szCs w:val="24"/>
        </w:rPr>
        <w:lastRenderedPageBreak/>
        <w:t>provides the balances from which the growth rates (i.e. “escalation factors”) are applied to determine the 2015 final attrition revenue requirement.</w:t>
      </w:r>
    </w:p>
    <w:p w14:paraId="4F8F6359" w14:textId="60AD18CB" w:rsidR="00C051D8" w:rsidRDefault="00C051D8" w:rsidP="00CB5D3D">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Column [F], labeled “Escalation Factor,” shows the two year growth (“escalation”) rates for revenues, expenses and net plant. </w:t>
      </w:r>
      <w:r w:rsidR="00861F53">
        <w:rPr>
          <w:rFonts w:ascii="Times New Roman" w:hAnsi="Times New Roman"/>
          <w:sz w:val="24"/>
          <w:szCs w:val="24"/>
        </w:rPr>
        <w:t xml:space="preserve"> </w:t>
      </w:r>
      <w:r>
        <w:rPr>
          <w:rFonts w:ascii="Times New Roman" w:hAnsi="Times New Roman"/>
          <w:sz w:val="24"/>
          <w:szCs w:val="24"/>
        </w:rPr>
        <w:t xml:space="preserve">The determination of each of these factors is described </w:t>
      </w:r>
      <w:r w:rsidR="003D309C">
        <w:rPr>
          <w:rFonts w:ascii="Times New Roman" w:hAnsi="Times New Roman"/>
          <w:sz w:val="24"/>
          <w:szCs w:val="24"/>
        </w:rPr>
        <w:t xml:space="preserve">in a previous section of this testimony. </w:t>
      </w:r>
    </w:p>
    <w:p w14:paraId="4AE337E1" w14:textId="77777777" w:rsidR="00C051D8" w:rsidRDefault="00C051D8" w:rsidP="00CB5D3D">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Column [G], labeled “Escalation Amount,” shows the incremental change between the December 2013 escalation base and the 2015 rate year levels, calculated by multiplying the December 2013 base amounts from column [E] by the escalation factors in column [F].</w:t>
      </w:r>
    </w:p>
    <w:p w14:paraId="09E397D2" w14:textId="77777777" w:rsidR="00C051D8" w:rsidRDefault="00C051D8" w:rsidP="00CB5D3D">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Column [H], labeled “Trended 2015 Non-Energy Cost,” shows the 2015 trended amounts prior to including the impact of pro formed gas costs and revenues and 2015 revenue growth, and is calculated by adding the non-gas cost escalation amount in column [G] to the December 2013 base amounts in Column [E].</w:t>
      </w:r>
    </w:p>
    <w:p w14:paraId="7B440809" w14:textId="154D6F70" w:rsidR="00C051D8" w:rsidRDefault="00C051D8" w:rsidP="00CB5D3D">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Column [I], labeled “12.2013 Pro-Formed Gas Cost/Revenue,” </w:t>
      </w:r>
      <w:r w:rsidRPr="00923C6C">
        <w:rPr>
          <w:rFonts w:ascii="Times New Roman" w:hAnsi="Times New Roman"/>
          <w:sz w:val="24"/>
          <w:szCs w:val="24"/>
        </w:rPr>
        <w:t xml:space="preserve">adds the gas costs and revenues </w:t>
      </w:r>
      <w:r w:rsidR="0010246F" w:rsidRPr="00923C6C">
        <w:rPr>
          <w:rFonts w:ascii="Times New Roman" w:hAnsi="Times New Roman"/>
          <w:sz w:val="24"/>
          <w:szCs w:val="24"/>
        </w:rPr>
        <w:t xml:space="preserve">from the Company’s most recent purchased gas adjustment filing. </w:t>
      </w:r>
    </w:p>
    <w:p w14:paraId="7BF53CAC" w14:textId="467D9B5C" w:rsidR="00C051D8" w:rsidRDefault="00C051D8" w:rsidP="00CB5D3D">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Column [J], labeled “Revenue Growth,” reflects Avista’s revenue growth between the test year and the 2015 rate year, calculated by multiplying the general business and transportation revenue in column [E] times the corresponding weighted revenue growth escalation factors in column [F].  The calculation of the weighted revenue growth escalation factors are shown on page 10 of Company Exhibit No.__(EMA-3).  </w:t>
      </w:r>
    </w:p>
    <w:p w14:paraId="0A2598FC" w14:textId="1F8E16D4" w:rsidR="00C051D8" w:rsidRDefault="00C051D8" w:rsidP="00CB5D3D">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Column [K], labeled “2015 Revenue and Cost,” is the sum of the pro-formed gas cost and revenue in column [I], revenue growth in column [J], and trended 2015 non-gas cost in column [H].  This is the final column of the 2015 electric Attrition Study </w:t>
      </w:r>
      <w:r>
        <w:rPr>
          <w:rFonts w:ascii="Times New Roman" w:hAnsi="Times New Roman"/>
          <w:sz w:val="24"/>
          <w:szCs w:val="24"/>
        </w:rPr>
        <w:lastRenderedPageBreak/>
        <w:t>calculation, providing the 2015 attrition</w:t>
      </w:r>
      <w:r w:rsidR="00923C6C">
        <w:rPr>
          <w:rFonts w:ascii="Times New Roman" w:hAnsi="Times New Roman"/>
          <w:sz w:val="24"/>
          <w:szCs w:val="24"/>
        </w:rPr>
        <w:t xml:space="preserve"> net operating income of $11,707</w:t>
      </w:r>
      <w:r>
        <w:rPr>
          <w:rFonts w:ascii="Times New Roman" w:hAnsi="Times New Roman"/>
          <w:sz w:val="24"/>
          <w:szCs w:val="24"/>
        </w:rPr>
        <w:t>,000 and attrition total rate base of $247,796,000, at lines 31 and 47, respectively.  These totals are brought forward to page 1, column (a), of Exhibit No.__(CRM-3).</w:t>
      </w:r>
    </w:p>
    <w:p w14:paraId="5F6AB0D2" w14:textId="77777777" w:rsidR="00C051D8" w:rsidRDefault="00C051D8" w:rsidP="00CB5D3D">
      <w:pPr>
        <w:spacing w:after="0" w:line="480" w:lineRule="auto"/>
        <w:ind w:left="720" w:hanging="720"/>
        <w:rPr>
          <w:rFonts w:ascii="Times New Roman" w:hAnsi="Times New Roman"/>
          <w:sz w:val="24"/>
          <w:szCs w:val="24"/>
        </w:rPr>
      </w:pPr>
    </w:p>
    <w:p w14:paraId="1B0E47C0" w14:textId="77777777" w:rsidR="00C051D8" w:rsidRDefault="00C051D8" w:rsidP="00CB5D3D">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Please describe pages 6 through 9 of Exhibit No.__(CRM-3)</w:t>
      </w:r>
      <w:r w:rsidR="00375308">
        <w:rPr>
          <w:rFonts w:ascii="Times New Roman" w:hAnsi="Times New Roman"/>
          <w:b/>
          <w:sz w:val="24"/>
          <w:szCs w:val="24"/>
        </w:rPr>
        <w:t>, your gas attrition study</w:t>
      </w:r>
      <w:r>
        <w:rPr>
          <w:rFonts w:ascii="Times New Roman" w:hAnsi="Times New Roman"/>
          <w:b/>
          <w:sz w:val="24"/>
          <w:szCs w:val="24"/>
        </w:rPr>
        <w:t>.</w:t>
      </w:r>
    </w:p>
    <w:p w14:paraId="0DE353F7" w14:textId="77777777" w:rsidR="00C051D8" w:rsidRDefault="00C051D8" w:rsidP="00CB5D3D">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Pages 6-9 of Exhibit No.__(CRM-3) show the derivation of the escalation factors used for escalating adjusted other revenue, net plant after deferred income taxes, adjusted taxes other than income, and adjusted depreciation/amortization. </w:t>
      </w:r>
    </w:p>
    <w:p w14:paraId="6518DB95" w14:textId="5E26316C" w:rsidR="00C051D8" w:rsidRDefault="00C051D8" w:rsidP="00CB5D3D">
      <w:pPr>
        <w:spacing w:after="0" w:line="480" w:lineRule="auto"/>
        <w:ind w:left="720" w:firstLine="720"/>
        <w:rPr>
          <w:rFonts w:ascii="Times New Roman" w:hAnsi="Times New Roman"/>
          <w:sz w:val="24"/>
          <w:szCs w:val="24"/>
        </w:rPr>
      </w:pPr>
      <w:r>
        <w:rPr>
          <w:rFonts w:ascii="Times New Roman" w:hAnsi="Times New Roman"/>
          <w:sz w:val="24"/>
          <w:szCs w:val="24"/>
        </w:rPr>
        <w:t xml:space="preserve">As I explained earlier in my testimony, </w:t>
      </w:r>
      <w:r w:rsidR="00861F53">
        <w:rPr>
          <w:rFonts w:ascii="Times New Roman" w:hAnsi="Times New Roman"/>
          <w:sz w:val="24"/>
          <w:szCs w:val="24"/>
        </w:rPr>
        <w:t xml:space="preserve">I calculated </w:t>
      </w:r>
      <w:r>
        <w:rPr>
          <w:rFonts w:ascii="Times New Roman" w:hAnsi="Times New Roman"/>
          <w:sz w:val="24"/>
          <w:szCs w:val="24"/>
        </w:rPr>
        <w:t xml:space="preserve">each growth rate as the average of the slopes for the least-squares linear regressions across a) 2001-2013 and b) 2007-2013.  </w:t>
      </w:r>
      <w:r w:rsidR="00375308">
        <w:rPr>
          <w:rFonts w:ascii="Times New Roman" w:hAnsi="Times New Roman"/>
          <w:sz w:val="24"/>
          <w:szCs w:val="24"/>
        </w:rPr>
        <w:t xml:space="preserve">I converted the </w:t>
      </w:r>
      <w:r>
        <w:rPr>
          <w:rFonts w:ascii="Times New Roman" w:hAnsi="Times New Roman"/>
          <w:sz w:val="24"/>
          <w:szCs w:val="24"/>
        </w:rPr>
        <w:t xml:space="preserve">slope of each regression (in thousands of dollars) to an annual growth rate by dividing by the 2013 level.  As the rate of growth is linear, to arrive at the escalation factor to apply to 2013 levels for derivation of 2015 levels, </w:t>
      </w:r>
      <w:r w:rsidR="00F0356B">
        <w:rPr>
          <w:rFonts w:ascii="Times New Roman" w:hAnsi="Times New Roman"/>
          <w:sz w:val="24"/>
          <w:szCs w:val="24"/>
        </w:rPr>
        <w:t xml:space="preserve">I multiplied the </w:t>
      </w:r>
      <w:r>
        <w:rPr>
          <w:rFonts w:ascii="Times New Roman" w:hAnsi="Times New Roman"/>
          <w:sz w:val="24"/>
          <w:szCs w:val="24"/>
        </w:rPr>
        <w:t>annual rate of growth is by two (years).  These escalation factors are carried forward to column [F] of page 4 of Exhibit No.__(CRM-3).</w:t>
      </w:r>
    </w:p>
    <w:p w14:paraId="05ACCD75" w14:textId="77777777" w:rsidR="00C051D8" w:rsidRDefault="00C051D8" w:rsidP="00CB5D3D">
      <w:pPr>
        <w:spacing w:after="0" w:line="480" w:lineRule="auto"/>
        <w:rPr>
          <w:rFonts w:ascii="Times New Roman" w:hAnsi="Times New Roman"/>
          <w:sz w:val="24"/>
          <w:szCs w:val="24"/>
        </w:rPr>
      </w:pPr>
    </w:p>
    <w:p w14:paraId="5152AB50" w14:textId="77777777" w:rsidR="00C051D8" w:rsidRDefault="00C051D8" w:rsidP="00CB5D3D">
      <w:pPr>
        <w:spacing w:after="0" w:line="480" w:lineRule="auto"/>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Please describe page 10 of Exhibit No.__(CRM-3).</w:t>
      </w:r>
    </w:p>
    <w:p w14:paraId="6B830389" w14:textId="77777777" w:rsidR="00C051D8" w:rsidRDefault="00C051D8" w:rsidP="00CB5D3D">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Page 10 of Exhibit No.__(CRM-3) shows the derivation of the escalation factor used for escalating adjusted operating expense.</w:t>
      </w:r>
    </w:p>
    <w:p w14:paraId="1C2B990E" w14:textId="77777777" w:rsidR="00C051D8" w:rsidRDefault="00C051D8" w:rsidP="00CB5D3D">
      <w:pPr>
        <w:spacing w:after="0" w:line="480" w:lineRule="auto"/>
        <w:ind w:left="720" w:firstLine="720"/>
        <w:rPr>
          <w:rFonts w:ascii="Times New Roman" w:hAnsi="Times New Roman"/>
          <w:sz w:val="24"/>
          <w:szCs w:val="24"/>
        </w:rPr>
      </w:pPr>
      <w:r>
        <w:rPr>
          <w:rFonts w:ascii="Times New Roman" w:hAnsi="Times New Roman"/>
          <w:sz w:val="24"/>
          <w:szCs w:val="24"/>
        </w:rPr>
        <w:t xml:space="preserve">The growth rate is calculated as the slope of the least-squares linear regression across 2001-2013 with years 2010-2012 omitted.  The slope of the regression (in thousands of dollars) is converted to an annual growth rate by dividing by the 2013 level. </w:t>
      </w:r>
      <w:r>
        <w:rPr>
          <w:rFonts w:ascii="Times New Roman" w:hAnsi="Times New Roman"/>
          <w:sz w:val="24"/>
          <w:szCs w:val="24"/>
        </w:rPr>
        <w:lastRenderedPageBreak/>
        <w:t>As the rate of growth is linear, to arrive at the escalation factor to apply to 2013 levels for escalation to 2015 levels, the calculated annual rate of growth is multiplied by two (years).  This escalation factor is carried forward to column [F] of page 4 of Exhibit No.__(CRM-3).</w:t>
      </w:r>
    </w:p>
    <w:p w14:paraId="6DA1592A" w14:textId="77777777" w:rsidR="00F0356B" w:rsidRDefault="00F0356B" w:rsidP="00CB5D3D">
      <w:pPr>
        <w:spacing w:after="0" w:line="480" w:lineRule="auto"/>
        <w:jc w:val="center"/>
        <w:rPr>
          <w:rFonts w:ascii="Times New Roman" w:hAnsi="Times New Roman"/>
          <w:b/>
          <w:sz w:val="24"/>
          <w:szCs w:val="24"/>
        </w:rPr>
      </w:pPr>
    </w:p>
    <w:p w14:paraId="77CB7A48" w14:textId="524F4B66" w:rsidR="00090018" w:rsidRPr="001403FA" w:rsidRDefault="001403FA" w:rsidP="00CB5D3D">
      <w:pPr>
        <w:spacing w:after="0" w:line="480" w:lineRule="auto"/>
        <w:jc w:val="center"/>
        <w:rPr>
          <w:rFonts w:ascii="Times New Roman" w:hAnsi="Times New Roman"/>
          <w:b/>
          <w:sz w:val="24"/>
          <w:szCs w:val="24"/>
        </w:rPr>
      </w:pPr>
      <w:r>
        <w:rPr>
          <w:rFonts w:ascii="Times New Roman" w:hAnsi="Times New Roman"/>
          <w:b/>
          <w:sz w:val="24"/>
          <w:szCs w:val="24"/>
        </w:rPr>
        <w:t>V.</w:t>
      </w:r>
      <w:r w:rsidR="00F0356B">
        <w:rPr>
          <w:rFonts w:ascii="Times New Roman" w:hAnsi="Times New Roman"/>
          <w:b/>
          <w:sz w:val="24"/>
          <w:szCs w:val="24"/>
        </w:rPr>
        <w:tab/>
      </w:r>
      <w:r>
        <w:rPr>
          <w:rFonts w:ascii="Times New Roman" w:hAnsi="Times New Roman"/>
          <w:b/>
          <w:sz w:val="24"/>
          <w:szCs w:val="24"/>
        </w:rPr>
        <w:t>REC REVENUES TRACKING MECHANISM</w:t>
      </w:r>
    </w:p>
    <w:p w14:paraId="541F0787" w14:textId="77777777" w:rsidR="00681DF3" w:rsidRDefault="00681DF3" w:rsidP="00CB5D3D">
      <w:pPr>
        <w:spacing w:after="0" w:line="480" w:lineRule="auto"/>
        <w:ind w:left="720" w:hanging="720"/>
        <w:rPr>
          <w:rFonts w:ascii="Times New Roman" w:hAnsi="Times New Roman"/>
          <w:b/>
          <w:sz w:val="24"/>
          <w:szCs w:val="24"/>
        </w:rPr>
      </w:pPr>
    </w:p>
    <w:p w14:paraId="4570AB1F" w14:textId="2AE862D5" w:rsidR="00681DF3" w:rsidRDefault="00681DF3" w:rsidP="00CB5D3D">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r>
      <w:r w:rsidR="001F2674">
        <w:rPr>
          <w:rFonts w:ascii="Times New Roman" w:hAnsi="Times New Roman"/>
          <w:b/>
          <w:sz w:val="24"/>
          <w:szCs w:val="24"/>
        </w:rPr>
        <w:t xml:space="preserve">Is </w:t>
      </w:r>
      <w:r>
        <w:rPr>
          <w:rFonts w:ascii="Times New Roman" w:hAnsi="Times New Roman"/>
          <w:b/>
          <w:sz w:val="24"/>
          <w:szCs w:val="24"/>
        </w:rPr>
        <w:t>Avista proposing a mechanism to return renewable energy credit (REC) revenues to its customers in this general rate case?</w:t>
      </w:r>
    </w:p>
    <w:p w14:paraId="522BFAEB" w14:textId="7A42DEE9" w:rsidR="00681DF3" w:rsidRPr="00DD7D55" w:rsidRDefault="00681DF3" w:rsidP="00CB5D3D">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1F2674">
        <w:rPr>
          <w:rFonts w:ascii="Times New Roman" w:hAnsi="Times New Roman"/>
          <w:sz w:val="24"/>
          <w:szCs w:val="24"/>
        </w:rPr>
        <w:t xml:space="preserve">Yes.  </w:t>
      </w:r>
      <w:r>
        <w:rPr>
          <w:rFonts w:ascii="Times New Roman" w:hAnsi="Times New Roman"/>
          <w:sz w:val="24"/>
          <w:szCs w:val="24"/>
        </w:rPr>
        <w:t xml:space="preserve">In Order 09 </w:t>
      </w:r>
      <w:r w:rsidR="001F2674">
        <w:rPr>
          <w:rFonts w:ascii="Times New Roman" w:hAnsi="Times New Roman"/>
          <w:sz w:val="24"/>
          <w:szCs w:val="24"/>
        </w:rPr>
        <w:t xml:space="preserve">in </w:t>
      </w:r>
      <w:r>
        <w:rPr>
          <w:rFonts w:ascii="Times New Roman" w:hAnsi="Times New Roman"/>
          <w:sz w:val="24"/>
          <w:szCs w:val="24"/>
        </w:rPr>
        <w:t>Avista’s last general rate case (Docket UE-120436), the Commission ordered Avista</w:t>
      </w:r>
      <w:r w:rsidR="001F2674">
        <w:rPr>
          <w:rFonts w:ascii="Times New Roman" w:hAnsi="Times New Roman"/>
          <w:sz w:val="24"/>
          <w:szCs w:val="24"/>
        </w:rPr>
        <w:t xml:space="preserve"> </w:t>
      </w:r>
      <w:r>
        <w:rPr>
          <w:rFonts w:ascii="Times New Roman" w:hAnsi="Times New Roman"/>
          <w:sz w:val="24"/>
          <w:szCs w:val="24"/>
        </w:rPr>
        <w:t>to propose a mechanism for returning REC sale proceeds to its customers</w:t>
      </w:r>
      <w:r w:rsidR="001F2674">
        <w:rPr>
          <w:rFonts w:ascii="Times New Roman" w:hAnsi="Times New Roman"/>
          <w:sz w:val="24"/>
          <w:szCs w:val="24"/>
        </w:rPr>
        <w:t xml:space="preserve"> in its next rate case</w:t>
      </w:r>
      <w:r w:rsidR="00F0356B">
        <w:rPr>
          <w:rFonts w:ascii="Times New Roman" w:hAnsi="Times New Roman"/>
          <w:sz w:val="24"/>
          <w:szCs w:val="24"/>
        </w:rPr>
        <w:t>,</w:t>
      </w:r>
      <w:r w:rsidR="001F5D95">
        <w:rPr>
          <w:rStyle w:val="FootnoteReference"/>
          <w:rFonts w:ascii="Times New Roman" w:hAnsi="Times New Roman"/>
          <w:sz w:val="24"/>
          <w:szCs w:val="24"/>
        </w:rPr>
        <w:footnoteReference w:id="23"/>
      </w:r>
      <w:r w:rsidR="00F0356B">
        <w:rPr>
          <w:rFonts w:ascii="Times New Roman" w:hAnsi="Times New Roman"/>
          <w:sz w:val="24"/>
          <w:szCs w:val="24"/>
        </w:rPr>
        <w:t xml:space="preserve"> , which is this case.</w:t>
      </w:r>
      <w:r w:rsidR="001F5D95">
        <w:rPr>
          <w:rFonts w:ascii="Times New Roman" w:hAnsi="Times New Roman"/>
          <w:sz w:val="24"/>
          <w:szCs w:val="24"/>
        </w:rPr>
        <w:t xml:space="preserve"> </w:t>
      </w:r>
      <w:r>
        <w:rPr>
          <w:rFonts w:ascii="Times New Roman" w:hAnsi="Times New Roman"/>
          <w:sz w:val="24"/>
          <w:szCs w:val="24"/>
        </w:rPr>
        <w:t xml:space="preserve"> </w:t>
      </w:r>
    </w:p>
    <w:p w14:paraId="7C45E96D" w14:textId="77777777" w:rsidR="00681DF3" w:rsidRPr="00DD7D55" w:rsidRDefault="00681DF3" w:rsidP="00CB5D3D">
      <w:pPr>
        <w:spacing w:after="0" w:line="480" w:lineRule="auto"/>
        <w:rPr>
          <w:rFonts w:ascii="Times New Roman" w:hAnsi="Times New Roman"/>
          <w:sz w:val="24"/>
          <w:szCs w:val="24"/>
        </w:rPr>
      </w:pPr>
    </w:p>
    <w:p w14:paraId="55912545" w14:textId="4B9039F9" w:rsidR="00681DF3" w:rsidRPr="009177BA" w:rsidRDefault="00681DF3" w:rsidP="00CB5D3D">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How h</w:t>
      </w:r>
      <w:r w:rsidR="00F0356B">
        <w:rPr>
          <w:rFonts w:ascii="Times New Roman" w:hAnsi="Times New Roman"/>
          <w:b/>
          <w:sz w:val="24"/>
          <w:szCs w:val="24"/>
        </w:rPr>
        <w:t xml:space="preserve">as Avista tracked </w:t>
      </w:r>
      <w:r>
        <w:rPr>
          <w:rFonts w:ascii="Times New Roman" w:hAnsi="Times New Roman"/>
          <w:b/>
          <w:sz w:val="24"/>
          <w:szCs w:val="24"/>
        </w:rPr>
        <w:t xml:space="preserve">REC sale proceeds since </w:t>
      </w:r>
      <w:r w:rsidR="00F0356B">
        <w:rPr>
          <w:rFonts w:ascii="Times New Roman" w:hAnsi="Times New Roman"/>
          <w:b/>
          <w:sz w:val="24"/>
          <w:szCs w:val="24"/>
        </w:rPr>
        <w:t xml:space="preserve">the </w:t>
      </w:r>
      <w:r>
        <w:rPr>
          <w:rFonts w:ascii="Times New Roman" w:hAnsi="Times New Roman"/>
          <w:b/>
          <w:sz w:val="24"/>
          <w:szCs w:val="24"/>
        </w:rPr>
        <w:t>last general rate case?</w:t>
      </w:r>
    </w:p>
    <w:p w14:paraId="76584A35" w14:textId="119E7469" w:rsidR="00F0356B" w:rsidRDefault="00681DF3" w:rsidP="00CB5D3D">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F0356B">
        <w:rPr>
          <w:rFonts w:ascii="Times New Roman" w:hAnsi="Times New Roman"/>
          <w:sz w:val="24"/>
          <w:szCs w:val="24"/>
        </w:rPr>
        <w:t xml:space="preserve">Per the Commission’s requirements in </w:t>
      </w:r>
      <w:r>
        <w:rPr>
          <w:rFonts w:ascii="Times New Roman" w:hAnsi="Times New Roman"/>
          <w:sz w:val="24"/>
          <w:szCs w:val="24"/>
        </w:rPr>
        <w:t xml:space="preserve">Order 09 </w:t>
      </w:r>
      <w:r w:rsidR="00F0356B">
        <w:rPr>
          <w:rFonts w:ascii="Times New Roman" w:hAnsi="Times New Roman"/>
          <w:sz w:val="24"/>
          <w:szCs w:val="24"/>
        </w:rPr>
        <w:t xml:space="preserve">in </w:t>
      </w:r>
      <w:r>
        <w:rPr>
          <w:rFonts w:ascii="Times New Roman" w:hAnsi="Times New Roman"/>
          <w:sz w:val="24"/>
          <w:szCs w:val="24"/>
        </w:rPr>
        <w:t xml:space="preserve">Docket UE-120436, </w:t>
      </w:r>
      <w:r w:rsidR="00F0356B">
        <w:rPr>
          <w:rFonts w:ascii="Times New Roman" w:hAnsi="Times New Roman"/>
          <w:sz w:val="24"/>
          <w:szCs w:val="24"/>
        </w:rPr>
        <w:t xml:space="preserve">Avista has </w:t>
      </w:r>
      <w:r>
        <w:rPr>
          <w:rFonts w:ascii="Times New Roman" w:hAnsi="Times New Roman"/>
          <w:sz w:val="24"/>
          <w:szCs w:val="24"/>
        </w:rPr>
        <w:t>defer</w:t>
      </w:r>
      <w:r w:rsidR="00F0356B">
        <w:rPr>
          <w:rFonts w:ascii="Times New Roman" w:hAnsi="Times New Roman"/>
          <w:sz w:val="24"/>
          <w:szCs w:val="24"/>
        </w:rPr>
        <w:t xml:space="preserve">red </w:t>
      </w:r>
      <w:r>
        <w:rPr>
          <w:rFonts w:ascii="Times New Roman" w:hAnsi="Times New Roman"/>
          <w:sz w:val="24"/>
          <w:szCs w:val="24"/>
        </w:rPr>
        <w:t>in an account separate from the ERM, any actual REC sale proceeds above or below the REC sale proceeds included in the base rates of the ERM.</w:t>
      </w:r>
      <w:r w:rsidR="0082695D">
        <w:rPr>
          <w:rStyle w:val="FootnoteReference"/>
          <w:rFonts w:ascii="Times New Roman" w:hAnsi="Times New Roman"/>
          <w:sz w:val="24"/>
          <w:szCs w:val="24"/>
        </w:rPr>
        <w:footnoteReference w:id="24"/>
      </w:r>
      <w:r>
        <w:rPr>
          <w:rFonts w:ascii="Times New Roman" w:hAnsi="Times New Roman"/>
          <w:sz w:val="24"/>
          <w:szCs w:val="24"/>
        </w:rPr>
        <w:t xml:space="preserve"> </w:t>
      </w:r>
      <w:r w:rsidR="00F0356B">
        <w:rPr>
          <w:rFonts w:ascii="Times New Roman" w:hAnsi="Times New Roman"/>
          <w:sz w:val="24"/>
          <w:szCs w:val="24"/>
        </w:rPr>
        <w:t xml:space="preserve"> </w:t>
      </w:r>
    </w:p>
    <w:p w14:paraId="3C4FBC5B" w14:textId="2B884BB6" w:rsidR="001F2674" w:rsidRDefault="00F0356B" w:rsidP="00CB5D3D">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681DF3">
        <w:rPr>
          <w:rFonts w:ascii="Times New Roman" w:hAnsi="Times New Roman"/>
          <w:sz w:val="24"/>
          <w:szCs w:val="24"/>
        </w:rPr>
        <w:t>Therefore, the actual REC sale</w:t>
      </w:r>
      <w:r>
        <w:rPr>
          <w:rFonts w:ascii="Times New Roman" w:hAnsi="Times New Roman"/>
          <w:sz w:val="24"/>
          <w:szCs w:val="24"/>
        </w:rPr>
        <w:t>s</w:t>
      </w:r>
      <w:r w:rsidR="00681DF3">
        <w:rPr>
          <w:rFonts w:ascii="Times New Roman" w:hAnsi="Times New Roman"/>
          <w:sz w:val="24"/>
          <w:szCs w:val="24"/>
        </w:rPr>
        <w:t xml:space="preserve"> proceeds currently accumulated in this tracking account are the 2012 and 2013 REC sale proceeds net of the level of REC sale proceeds embedded in 2012 and 2013 base rates, and the estimated REC proceeds in excess of the 2014 base rates.  </w:t>
      </w:r>
    </w:p>
    <w:p w14:paraId="59F9C54D" w14:textId="77777777" w:rsidR="00681DF3" w:rsidRPr="00DD7D55" w:rsidRDefault="001F2674" w:rsidP="00CB5D3D">
      <w:pPr>
        <w:spacing w:after="0" w:line="480" w:lineRule="auto"/>
        <w:ind w:left="720" w:hanging="720"/>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sidR="00681DF3">
        <w:rPr>
          <w:rFonts w:ascii="Times New Roman" w:hAnsi="Times New Roman"/>
          <w:sz w:val="24"/>
          <w:szCs w:val="24"/>
        </w:rPr>
        <w:t>The Company currently tracks REC sale proceeds, including accumulated interest, in FERC Account 186.322 (Miscellaneous Deferred Debits and Credits – WA REC Deferral).</w:t>
      </w:r>
    </w:p>
    <w:p w14:paraId="5E12F76F" w14:textId="77777777" w:rsidR="00681DF3" w:rsidRPr="00DD7D55" w:rsidRDefault="00681DF3" w:rsidP="00CB5D3D">
      <w:pPr>
        <w:spacing w:after="0" w:line="480" w:lineRule="auto"/>
        <w:rPr>
          <w:rFonts w:ascii="Times New Roman" w:hAnsi="Times New Roman"/>
          <w:sz w:val="24"/>
          <w:szCs w:val="24"/>
        </w:rPr>
      </w:pPr>
    </w:p>
    <w:p w14:paraId="18AB3CB6" w14:textId="0498F4BD" w:rsidR="00681DF3" w:rsidRDefault="00681DF3" w:rsidP="00CB5D3D">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 xml:space="preserve">How did the Commission </w:t>
      </w:r>
      <w:r w:rsidR="001F2674">
        <w:rPr>
          <w:rFonts w:ascii="Times New Roman" w:hAnsi="Times New Roman"/>
          <w:b/>
          <w:sz w:val="24"/>
          <w:szCs w:val="24"/>
        </w:rPr>
        <w:t>order</w:t>
      </w:r>
      <w:r>
        <w:rPr>
          <w:rFonts w:ascii="Times New Roman" w:hAnsi="Times New Roman"/>
          <w:b/>
          <w:sz w:val="24"/>
          <w:szCs w:val="24"/>
        </w:rPr>
        <w:t xml:space="preserve"> REC sale proceeds be treated beyond the Company’s next filed rate case?</w:t>
      </w:r>
    </w:p>
    <w:p w14:paraId="7C44CE5B" w14:textId="26CD4329" w:rsidR="00681DF3" w:rsidRDefault="00681DF3" w:rsidP="00CB5D3D">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The Commission ordered Avista, in 2015 and beyond, to remove REC sale proceeds from base rates,</w:t>
      </w:r>
      <w:r w:rsidR="0082695D">
        <w:rPr>
          <w:rStyle w:val="FootnoteReference"/>
          <w:rFonts w:ascii="Times New Roman" w:hAnsi="Times New Roman"/>
          <w:sz w:val="24"/>
          <w:szCs w:val="24"/>
        </w:rPr>
        <w:footnoteReference w:id="25"/>
      </w:r>
      <w:r>
        <w:rPr>
          <w:rFonts w:ascii="Times New Roman" w:hAnsi="Times New Roman"/>
          <w:sz w:val="24"/>
          <w:szCs w:val="24"/>
        </w:rPr>
        <w:t xml:space="preserve"> such that the proceeds included in the tracking account would not be netted against proceeds in base rates. </w:t>
      </w:r>
      <w:r w:rsidR="00F0356B">
        <w:rPr>
          <w:rFonts w:ascii="Times New Roman" w:hAnsi="Times New Roman"/>
          <w:sz w:val="24"/>
          <w:szCs w:val="24"/>
        </w:rPr>
        <w:t xml:space="preserve"> </w:t>
      </w:r>
      <w:r>
        <w:rPr>
          <w:rFonts w:ascii="Times New Roman" w:hAnsi="Times New Roman"/>
          <w:sz w:val="24"/>
          <w:szCs w:val="24"/>
        </w:rPr>
        <w:t xml:space="preserve">Also, </w:t>
      </w:r>
      <w:r w:rsidR="001F2674">
        <w:rPr>
          <w:rFonts w:ascii="Times New Roman" w:hAnsi="Times New Roman"/>
          <w:sz w:val="24"/>
          <w:szCs w:val="24"/>
        </w:rPr>
        <w:t xml:space="preserve">the Commission ordered </w:t>
      </w:r>
      <w:r>
        <w:rPr>
          <w:rFonts w:ascii="Times New Roman" w:hAnsi="Times New Roman"/>
          <w:sz w:val="24"/>
          <w:szCs w:val="24"/>
        </w:rPr>
        <w:t xml:space="preserve">Avista </w:t>
      </w:r>
      <w:r w:rsidR="001F2674">
        <w:rPr>
          <w:rFonts w:ascii="Times New Roman" w:hAnsi="Times New Roman"/>
          <w:sz w:val="24"/>
          <w:szCs w:val="24"/>
        </w:rPr>
        <w:t>to</w:t>
      </w:r>
      <w:r>
        <w:rPr>
          <w:rFonts w:ascii="Times New Roman" w:hAnsi="Times New Roman"/>
          <w:sz w:val="24"/>
          <w:szCs w:val="24"/>
        </w:rPr>
        <w:t xml:space="preserve"> project REC revenues expected in the rate year and defer those revenues to the tracking account.</w:t>
      </w:r>
      <w:r w:rsidR="0082695D">
        <w:rPr>
          <w:rStyle w:val="FootnoteReference"/>
          <w:rFonts w:ascii="Times New Roman" w:hAnsi="Times New Roman"/>
          <w:sz w:val="24"/>
          <w:szCs w:val="24"/>
        </w:rPr>
        <w:footnoteReference w:id="26"/>
      </w:r>
      <w:r w:rsidR="0082695D">
        <w:rPr>
          <w:rFonts w:ascii="Times New Roman" w:hAnsi="Times New Roman"/>
          <w:sz w:val="24"/>
          <w:szCs w:val="24"/>
        </w:rPr>
        <w:t xml:space="preserve"> </w:t>
      </w:r>
      <w:r>
        <w:rPr>
          <w:rFonts w:ascii="Times New Roman" w:hAnsi="Times New Roman"/>
          <w:sz w:val="24"/>
          <w:szCs w:val="24"/>
        </w:rPr>
        <w:t xml:space="preserve"> </w:t>
      </w:r>
    </w:p>
    <w:p w14:paraId="76AD7AC2" w14:textId="77777777" w:rsidR="00681DF3" w:rsidRDefault="00681DF3" w:rsidP="00CB5D3D">
      <w:pPr>
        <w:spacing w:after="0" w:line="480" w:lineRule="auto"/>
        <w:ind w:left="720" w:hanging="720"/>
        <w:rPr>
          <w:rFonts w:ascii="Times New Roman" w:hAnsi="Times New Roman"/>
          <w:sz w:val="24"/>
          <w:szCs w:val="24"/>
        </w:rPr>
      </w:pPr>
    </w:p>
    <w:p w14:paraId="784B4E7F" w14:textId="0DC0213E" w:rsidR="00681DF3" w:rsidRDefault="00681DF3" w:rsidP="00CB5D3D">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r>
      <w:r w:rsidR="00F0356B">
        <w:rPr>
          <w:rFonts w:ascii="Times New Roman" w:hAnsi="Times New Roman"/>
          <w:b/>
          <w:sz w:val="24"/>
          <w:szCs w:val="24"/>
        </w:rPr>
        <w:t>In this docket, h</w:t>
      </w:r>
      <w:r>
        <w:rPr>
          <w:rFonts w:ascii="Times New Roman" w:hAnsi="Times New Roman"/>
          <w:b/>
          <w:sz w:val="24"/>
          <w:szCs w:val="24"/>
        </w:rPr>
        <w:t xml:space="preserve">as </w:t>
      </w:r>
      <w:r w:rsidR="00F0356B">
        <w:rPr>
          <w:rFonts w:ascii="Times New Roman" w:hAnsi="Times New Roman"/>
          <w:b/>
          <w:sz w:val="24"/>
          <w:szCs w:val="24"/>
        </w:rPr>
        <w:t>Avista</w:t>
      </w:r>
      <w:r>
        <w:rPr>
          <w:rFonts w:ascii="Times New Roman" w:hAnsi="Times New Roman"/>
          <w:b/>
          <w:sz w:val="24"/>
          <w:szCs w:val="24"/>
        </w:rPr>
        <w:t xml:space="preserve"> proposed a tracking and rebate mechanism </w:t>
      </w:r>
      <w:r w:rsidR="0082695D">
        <w:rPr>
          <w:rFonts w:ascii="Times New Roman" w:hAnsi="Times New Roman"/>
          <w:b/>
          <w:sz w:val="24"/>
          <w:szCs w:val="24"/>
        </w:rPr>
        <w:t xml:space="preserve">that is </w:t>
      </w:r>
      <w:r>
        <w:rPr>
          <w:rFonts w:ascii="Times New Roman" w:hAnsi="Times New Roman"/>
          <w:b/>
          <w:sz w:val="24"/>
          <w:szCs w:val="24"/>
        </w:rPr>
        <w:t>generally consistent with the requirements set forth by the Commission in Docket UE-120436?</w:t>
      </w:r>
    </w:p>
    <w:p w14:paraId="7C0F5F3C" w14:textId="3DE5E6E1" w:rsidR="00681DF3" w:rsidRDefault="00681DF3" w:rsidP="00CB5D3D">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Yes.  The Company proposes a rebate based on actual and projected REC revenues from 2012 through June 2016. </w:t>
      </w:r>
      <w:r w:rsidR="001F2674">
        <w:rPr>
          <w:rFonts w:ascii="Times New Roman" w:hAnsi="Times New Roman"/>
          <w:sz w:val="24"/>
          <w:szCs w:val="24"/>
        </w:rPr>
        <w:t xml:space="preserve"> </w:t>
      </w:r>
      <w:r>
        <w:rPr>
          <w:rFonts w:ascii="Times New Roman" w:hAnsi="Times New Roman"/>
          <w:sz w:val="24"/>
          <w:szCs w:val="24"/>
        </w:rPr>
        <w:t xml:space="preserve">Although the Commission </w:t>
      </w:r>
      <w:r w:rsidR="001F2674">
        <w:rPr>
          <w:rFonts w:ascii="Times New Roman" w:hAnsi="Times New Roman"/>
          <w:sz w:val="24"/>
          <w:szCs w:val="24"/>
        </w:rPr>
        <w:t>ordered</w:t>
      </w:r>
      <w:r>
        <w:rPr>
          <w:rFonts w:ascii="Times New Roman" w:hAnsi="Times New Roman"/>
          <w:sz w:val="24"/>
          <w:szCs w:val="24"/>
        </w:rPr>
        <w:t xml:space="preserve"> Avista </w:t>
      </w:r>
      <w:r w:rsidR="001F2674">
        <w:rPr>
          <w:rFonts w:ascii="Times New Roman" w:hAnsi="Times New Roman"/>
          <w:sz w:val="24"/>
          <w:szCs w:val="24"/>
        </w:rPr>
        <w:t>to</w:t>
      </w:r>
      <w:r>
        <w:rPr>
          <w:rFonts w:ascii="Times New Roman" w:hAnsi="Times New Roman"/>
          <w:sz w:val="24"/>
          <w:szCs w:val="24"/>
        </w:rPr>
        <w:t xml:space="preserve"> project REC revenues expected in the rate year (2015 in this case), projecting to June 2016 will enable alignment of REC revenues rebate rate changes with the Company’s annual ERM filing. </w:t>
      </w:r>
      <w:r w:rsidR="001F2674">
        <w:rPr>
          <w:rFonts w:ascii="Times New Roman" w:hAnsi="Times New Roman"/>
          <w:sz w:val="24"/>
          <w:szCs w:val="24"/>
        </w:rPr>
        <w:t xml:space="preserve"> </w:t>
      </w:r>
      <w:r>
        <w:rPr>
          <w:rFonts w:ascii="Times New Roman" w:hAnsi="Times New Roman"/>
          <w:sz w:val="24"/>
          <w:szCs w:val="24"/>
        </w:rPr>
        <w:t xml:space="preserve">The proposed initial amortization period then would be 18 months (January 2015 through June 2016). </w:t>
      </w:r>
    </w:p>
    <w:p w14:paraId="74C57FCC" w14:textId="77777777" w:rsidR="00681DF3" w:rsidRDefault="00681DF3" w:rsidP="00CB5D3D">
      <w:pPr>
        <w:spacing w:after="0" w:line="480" w:lineRule="auto"/>
        <w:ind w:left="720" w:hanging="720"/>
        <w:rPr>
          <w:rFonts w:ascii="Times New Roman" w:hAnsi="Times New Roman"/>
          <w:sz w:val="24"/>
          <w:szCs w:val="24"/>
        </w:rPr>
      </w:pPr>
    </w:p>
    <w:p w14:paraId="57C4B0D1" w14:textId="77777777" w:rsidR="00681DF3" w:rsidRDefault="00681DF3" w:rsidP="00CB5D3D">
      <w:pPr>
        <w:spacing w:after="0" w:line="480" w:lineRule="auto"/>
        <w:ind w:left="720" w:hanging="720"/>
        <w:rPr>
          <w:rFonts w:ascii="Times New Roman" w:hAnsi="Times New Roman"/>
          <w:b/>
          <w:sz w:val="24"/>
          <w:szCs w:val="24"/>
        </w:rPr>
      </w:pPr>
      <w:r>
        <w:rPr>
          <w:rFonts w:ascii="Times New Roman" w:hAnsi="Times New Roman"/>
          <w:b/>
          <w:sz w:val="24"/>
          <w:szCs w:val="24"/>
        </w:rPr>
        <w:lastRenderedPageBreak/>
        <w:t>Q.</w:t>
      </w:r>
      <w:r>
        <w:rPr>
          <w:rFonts w:ascii="Times New Roman" w:hAnsi="Times New Roman"/>
          <w:b/>
          <w:sz w:val="24"/>
          <w:szCs w:val="24"/>
        </w:rPr>
        <w:tab/>
        <w:t>Please summarize which years’ REC sale proceeds will be amortized over the period January 2015 to July 2016.</w:t>
      </w:r>
    </w:p>
    <w:p w14:paraId="2FC01792" w14:textId="7995F96D" w:rsidR="00681DF3" w:rsidRDefault="00681DF3" w:rsidP="00CB5D3D">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Pr="00945F24">
        <w:rPr>
          <w:rFonts w:ascii="Times New Roman" w:hAnsi="Times New Roman"/>
          <w:sz w:val="24"/>
          <w:szCs w:val="24"/>
        </w:rPr>
        <w:t xml:space="preserve">The REC sale proceeds </w:t>
      </w:r>
      <w:r w:rsidR="00C87E51">
        <w:rPr>
          <w:rFonts w:ascii="Times New Roman" w:hAnsi="Times New Roman"/>
          <w:sz w:val="24"/>
          <w:szCs w:val="24"/>
        </w:rPr>
        <w:t xml:space="preserve">to be </w:t>
      </w:r>
      <w:r w:rsidRPr="00945F24">
        <w:rPr>
          <w:rFonts w:ascii="Times New Roman" w:hAnsi="Times New Roman"/>
          <w:sz w:val="24"/>
          <w:szCs w:val="24"/>
        </w:rPr>
        <w:t xml:space="preserve">amortized </w:t>
      </w:r>
      <w:r w:rsidR="00C87E51">
        <w:rPr>
          <w:rFonts w:ascii="Times New Roman" w:hAnsi="Times New Roman"/>
          <w:sz w:val="24"/>
          <w:szCs w:val="24"/>
        </w:rPr>
        <w:t>over the period January 2015 to</w:t>
      </w:r>
      <w:r w:rsidRPr="00945F24">
        <w:rPr>
          <w:rFonts w:ascii="Times New Roman" w:hAnsi="Times New Roman"/>
          <w:sz w:val="24"/>
          <w:szCs w:val="24"/>
        </w:rPr>
        <w:t xml:space="preserve"> July 2016 are</w:t>
      </w:r>
      <w:r w:rsidR="00F0356B">
        <w:rPr>
          <w:rFonts w:ascii="Times New Roman" w:hAnsi="Times New Roman"/>
          <w:sz w:val="24"/>
          <w:szCs w:val="24"/>
        </w:rPr>
        <w:t>:</w:t>
      </w:r>
      <w:r w:rsidRPr="00945F24">
        <w:rPr>
          <w:rFonts w:ascii="Times New Roman" w:hAnsi="Times New Roman"/>
          <w:sz w:val="24"/>
          <w:szCs w:val="24"/>
        </w:rPr>
        <w:t xml:space="preserve"> </w:t>
      </w:r>
      <w:r w:rsidR="00C87E51">
        <w:rPr>
          <w:rFonts w:ascii="Times New Roman" w:hAnsi="Times New Roman"/>
          <w:sz w:val="24"/>
          <w:szCs w:val="24"/>
        </w:rPr>
        <w:t xml:space="preserve">a) </w:t>
      </w:r>
      <w:r w:rsidRPr="00945F24">
        <w:rPr>
          <w:rFonts w:ascii="Times New Roman" w:hAnsi="Times New Roman"/>
          <w:sz w:val="24"/>
          <w:szCs w:val="24"/>
        </w:rPr>
        <w:t>the actual REC r</w:t>
      </w:r>
      <w:r>
        <w:rPr>
          <w:rFonts w:ascii="Times New Roman" w:hAnsi="Times New Roman"/>
          <w:sz w:val="24"/>
          <w:szCs w:val="24"/>
        </w:rPr>
        <w:t>evenue</w:t>
      </w:r>
      <w:r w:rsidR="0082695D">
        <w:rPr>
          <w:rFonts w:ascii="Times New Roman" w:hAnsi="Times New Roman"/>
          <w:sz w:val="24"/>
          <w:szCs w:val="24"/>
        </w:rPr>
        <w:t>s</w:t>
      </w:r>
      <w:r>
        <w:rPr>
          <w:rFonts w:ascii="Times New Roman" w:hAnsi="Times New Roman"/>
          <w:sz w:val="24"/>
          <w:szCs w:val="24"/>
        </w:rPr>
        <w:t xml:space="preserve"> in excess of the</w:t>
      </w:r>
      <w:r w:rsidRPr="00945F24">
        <w:rPr>
          <w:rFonts w:ascii="Times New Roman" w:hAnsi="Times New Roman"/>
          <w:sz w:val="24"/>
          <w:szCs w:val="24"/>
        </w:rPr>
        <w:t xml:space="preserve"> amount in base rates for 2012 and 2013</w:t>
      </w:r>
      <w:r w:rsidR="00F0356B">
        <w:rPr>
          <w:rFonts w:ascii="Times New Roman" w:hAnsi="Times New Roman"/>
          <w:sz w:val="24"/>
          <w:szCs w:val="24"/>
        </w:rPr>
        <w:t>;</w:t>
      </w:r>
      <w:r w:rsidRPr="00945F24">
        <w:rPr>
          <w:rFonts w:ascii="Times New Roman" w:hAnsi="Times New Roman"/>
          <w:sz w:val="24"/>
          <w:szCs w:val="24"/>
        </w:rPr>
        <w:t xml:space="preserve"> </w:t>
      </w:r>
      <w:r w:rsidR="00C87E51">
        <w:rPr>
          <w:rFonts w:ascii="Times New Roman" w:hAnsi="Times New Roman"/>
          <w:sz w:val="24"/>
          <w:szCs w:val="24"/>
        </w:rPr>
        <w:t xml:space="preserve">b) </w:t>
      </w:r>
      <w:r w:rsidRPr="00945F24">
        <w:rPr>
          <w:rFonts w:ascii="Times New Roman" w:hAnsi="Times New Roman"/>
          <w:sz w:val="24"/>
          <w:szCs w:val="24"/>
        </w:rPr>
        <w:t>the estimated REC re</w:t>
      </w:r>
      <w:r>
        <w:rPr>
          <w:rFonts w:ascii="Times New Roman" w:hAnsi="Times New Roman"/>
          <w:sz w:val="24"/>
          <w:szCs w:val="24"/>
        </w:rPr>
        <w:t>venue in excess of the amount</w:t>
      </w:r>
      <w:r w:rsidRPr="00945F24">
        <w:rPr>
          <w:rFonts w:ascii="Times New Roman" w:hAnsi="Times New Roman"/>
          <w:sz w:val="24"/>
          <w:szCs w:val="24"/>
        </w:rPr>
        <w:t xml:space="preserve"> in base rates for 2014</w:t>
      </w:r>
      <w:r w:rsidR="00F0356B">
        <w:rPr>
          <w:rFonts w:ascii="Times New Roman" w:hAnsi="Times New Roman"/>
          <w:sz w:val="24"/>
          <w:szCs w:val="24"/>
        </w:rPr>
        <w:t>;</w:t>
      </w:r>
      <w:r w:rsidRPr="00945F24">
        <w:rPr>
          <w:rFonts w:ascii="Times New Roman" w:hAnsi="Times New Roman"/>
          <w:sz w:val="24"/>
          <w:szCs w:val="24"/>
        </w:rPr>
        <w:t xml:space="preserve"> and </w:t>
      </w:r>
      <w:r w:rsidR="00C87E51">
        <w:rPr>
          <w:rFonts w:ascii="Times New Roman" w:hAnsi="Times New Roman"/>
          <w:sz w:val="24"/>
          <w:szCs w:val="24"/>
        </w:rPr>
        <w:t xml:space="preserve">c) </w:t>
      </w:r>
      <w:r w:rsidRPr="00945F24">
        <w:rPr>
          <w:rFonts w:ascii="Times New Roman" w:hAnsi="Times New Roman"/>
          <w:sz w:val="24"/>
          <w:szCs w:val="24"/>
        </w:rPr>
        <w:t>the total estimated REC revenu</w:t>
      </w:r>
      <w:r>
        <w:rPr>
          <w:rFonts w:ascii="Times New Roman" w:hAnsi="Times New Roman"/>
          <w:sz w:val="24"/>
          <w:szCs w:val="24"/>
        </w:rPr>
        <w:t>e for the period January 2015</w:t>
      </w:r>
      <w:r w:rsidRPr="00945F24">
        <w:rPr>
          <w:rFonts w:ascii="Times New Roman" w:hAnsi="Times New Roman"/>
          <w:sz w:val="24"/>
          <w:szCs w:val="24"/>
        </w:rPr>
        <w:t xml:space="preserve"> through June 2016.</w:t>
      </w:r>
    </w:p>
    <w:p w14:paraId="7755071D" w14:textId="77777777" w:rsidR="00681DF3" w:rsidRDefault="00681DF3" w:rsidP="00CB5D3D">
      <w:pPr>
        <w:spacing w:after="0" w:line="480" w:lineRule="auto"/>
        <w:ind w:left="720" w:hanging="720"/>
        <w:rPr>
          <w:rFonts w:ascii="Times New Roman" w:hAnsi="Times New Roman"/>
          <w:b/>
          <w:sz w:val="24"/>
          <w:szCs w:val="24"/>
        </w:rPr>
      </w:pPr>
    </w:p>
    <w:p w14:paraId="13FEE3E4" w14:textId="45DEAE08" w:rsidR="00681DF3" w:rsidRDefault="00681DF3" w:rsidP="00CB5D3D">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What is the Company’s estimate</w:t>
      </w:r>
      <w:r w:rsidR="00F0356B">
        <w:rPr>
          <w:rFonts w:ascii="Times New Roman" w:hAnsi="Times New Roman"/>
          <w:b/>
          <w:sz w:val="24"/>
          <w:szCs w:val="24"/>
        </w:rPr>
        <w:t xml:space="preserve"> of the </w:t>
      </w:r>
      <w:r>
        <w:rPr>
          <w:rFonts w:ascii="Times New Roman" w:hAnsi="Times New Roman"/>
          <w:b/>
          <w:sz w:val="24"/>
          <w:szCs w:val="24"/>
        </w:rPr>
        <w:t xml:space="preserve">REC revenue rebate </w:t>
      </w:r>
      <w:r w:rsidR="00F0356B">
        <w:rPr>
          <w:rFonts w:ascii="Times New Roman" w:hAnsi="Times New Roman"/>
          <w:b/>
          <w:sz w:val="24"/>
          <w:szCs w:val="24"/>
        </w:rPr>
        <w:t xml:space="preserve">that will </w:t>
      </w:r>
      <w:r>
        <w:rPr>
          <w:rFonts w:ascii="Times New Roman" w:hAnsi="Times New Roman"/>
          <w:b/>
          <w:sz w:val="24"/>
          <w:szCs w:val="24"/>
        </w:rPr>
        <w:t>go into effect on January 1, 2015?</w:t>
      </w:r>
    </w:p>
    <w:p w14:paraId="34795B26" w14:textId="4EF56CD4" w:rsidR="00681DF3" w:rsidRPr="00F073AE" w:rsidRDefault="00681DF3" w:rsidP="00CB5D3D">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F0356B">
        <w:rPr>
          <w:rFonts w:ascii="Times New Roman" w:hAnsi="Times New Roman"/>
          <w:sz w:val="24"/>
          <w:szCs w:val="24"/>
        </w:rPr>
        <w:t>T</w:t>
      </w:r>
      <w:r w:rsidR="00F0356B" w:rsidRPr="002E34B3">
        <w:rPr>
          <w:rFonts w:ascii="Times New Roman" w:hAnsi="Times New Roman"/>
          <w:sz w:val="24"/>
          <w:szCs w:val="24"/>
        </w:rPr>
        <w:t>he Company estimates the total rebate amount to be $7,754,377 (Washington Allocation)</w:t>
      </w:r>
      <w:r w:rsidR="00F0356B">
        <w:rPr>
          <w:rFonts w:ascii="Times New Roman" w:hAnsi="Times New Roman"/>
          <w:sz w:val="24"/>
          <w:szCs w:val="24"/>
        </w:rPr>
        <w:t>, b</w:t>
      </w:r>
      <w:r w:rsidRPr="002E34B3">
        <w:rPr>
          <w:rFonts w:ascii="Times New Roman" w:hAnsi="Times New Roman"/>
          <w:sz w:val="24"/>
          <w:szCs w:val="24"/>
        </w:rPr>
        <w:t>ased on actual 2012 and 2013 REC revenue plus the estimated REC revenue for the period 2014 through June 2016</w:t>
      </w:r>
      <w:r w:rsidR="00F0356B">
        <w:rPr>
          <w:rFonts w:ascii="Times New Roman" w:hAnsi="Times New Roman"/>
          <w:sz w:val="24"/>
          <w:szCs w:val="24"/>
        </w:rPr>
        <w:t>.</w:t>
      </w:r>
      <w:r w:rsidR="001F3A63" w:rsidRPr="002E34B3">
        <w:rPr>
          <w:rStyle w:val="FootnoteReference"/>
          <w:rFonts w:ascii="Times New Roman" w:hAnsi="Times New Roman"/>
          <w:sz w:val="24"/>
          <w:szCs w:val="24"/>
        </w:rPr>
        <w:footnoteReference w:id="27"/>
      </w:r>
      <w:r w:rsidR="001F3A63" w:rsidRPr="002E34B3">
        <w:rPr>
          <w:rFonts w:ascii="Times New Roman" w:hAnsi="Times New Roman"/>
          <w:sz w:val="24"/>
          <w:szCs w:val="24"/>
        </w:rPr>
        <w:t xml:space="preserve"> </w:t>
      </w:r>
    </w:p>
    <w:p w14:paraId="2EAA98EC" w14:textId="77777777" w:rsidR="00681DF3" w:rsidRPr="00F073AE" w:rsidRDefault="00681DF3" w:rsidP="00CB5D3D">
      <w:pPr>
        <w:spacing w:after="0" w:line="480" w:lineRule="auto"/>
        <w:ind w:left="720" w:hanging="720"/>
        <w:rPr>
          <w:rFonts w:ascii="Times New Roman" w:hAnsi="Times New Roman"/>
          <w:b/>
          <w:sz w:val="24"/>
          <w:szCs w:val="24"/>
        </w:rPr>
      </w:pPr>
    </w:p>
    <w:p w14:paraId="61B96096" w14:textId="37D72AE4" w:rsidR="00681DF3" w:rsidRDefault="00681DF3" w:rsidP="00CB5D3D">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Do</w:t>
      </w:r>
      <w:r w:rsidR="001F2674">
        <w:rPr>
          <w:rFonts w:ascii="Times New Roman" w:hAnsi="Times New Roman"/>
          <w:b/>
          <w:sz w:val="24"/>
          <w:szCs w:val="24"/>
        </w:rPr>
        <w:t>es Staff</w:t>
      </w:r>
      <w:r>
        <w:rPr>
          <w:rFonts w:ascii="Times New Roman" w:hAnsi="Times New Roman"/>
          <w:b/>
          <w:sz w:val="24"/>
          <w:szCs w:val="24"/>
        </w:rPr>
        <w:t xml:space="preserve"> support the Company’s proposal?</w:t>
      </w:r>
    </w:p>
    <w:p w14:paraId="1FBB45F1" w14:textId="77777777" w:rsidR="00681DF3" w:rsidRDefault="00681DF3" w:rsidP="00CB5D3D">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Yes, </w:t>
      </w:r>
      <w:r w:rsidR="001F2674">
        <w:rPr>
          <w:rFonts w:ascii="Times New Roman" w:hAnsi="Times New Roman"/>
          <w:sz w:val="24"/>
          <w:szCs w:val="24"/>
        </w:rPr>
        <w:t xml:space="preserve">but </w:t>
      </w:r>
      <w:r>
        <w:rPr>
          <w:rFonts w:ascii="Times New Roman" w:hAnsi="Times New Roman"/>
          <w:sz w:val="24"/>
          <w:szCs w:val="24"/>
        </w:rPr>
        <w:t>with a few modifications.</w:t>
      </w:r>
    </w:p>
    <w:p w14:paraId="6E76F428" w14:textId="77777777" w:rsidR="00681DF3" w:rsidRDefault="00681DF3" w:rsidP="00CB5D3D">
      <w:pPr>
        <w:spacing w:after="0" w:line="480" w:lineRule="auto"/>
        <w:ind w:left="720" w:hanging="720"/>
        <w:rPr>
          <w:rFonts w:ascii="Times New Roman" w:hAnsi="Times New Roman"/>
          <w:sz w:val="24"/>
          <w:szCs w:val="24"/>
        </w:rPr>
      </w:pPr>
    </w:p>
    <w:p w14:paraId="648198EB" w14:textId="4A08AB52" w:rsidR="00681DF3" w:rsidRDefault="00681DF3" w:rsidP="00CB5D3D">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 xml:space="preserve">Please summarize </w:t>
      </w:r>
      <w:r w:rsidR="001F2674">
        <w:rPr>
          <w:rFonts w:ascii="Times New Roman" w:hAnsi="Times New Roman"/>
          <w:b/>
          <w:sz w:val="24"/>
          <w:szCs w:val="24"/>
        </w:rPr>
        <w:t xml:space="preserve">Staff’s recommended </w:t>
      </w:r>
      <w:r>
        <w:rPr>
          <w:rFonts w:ascii="Times New Roman" w:hAnsi="Times New Roman"/>
          <w:b/>
          <w:sz w:val="24"/>
          <w:szCs w:val="24"/>
        </w:rPr>
        <w:t>modifications.</w:t>
      </w:r>
    </w:p>
    <w:p w14:paraId="5AD448E9" w14:textId="0E62A893" w:rsidR="00681DF3" w:rsidRPr="002C2AD7" w:rsidRDefault="00681DF3" w:rsidP="00CB5D3D">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1F2674">
        <w:rPr>
          <w:rFonts w:ascii="Times New Roman" w:hAnsi="Times New Roman"/>
          <w:sz w:val="24"/>
          <w:szCs w:val="24"/>
        </w:rPr>
        <w:t xml:space="preserve">There are three modifications the Commission should make to the Company’s proposal:  </w:t>
      </w:r>
      <w:r>
        <w:rPr>
          <w:rFonts w:ascii="Times New Roman" w:hAnsi="Times New Roman"/>
          <w:sz w:val="24"/>
          <w:szCs w:val="24"/>
        </w:rPr>
        <w:t>1) Interest on the account balance</w:t>
      </w:r>
      <w:r w:rsidR="002E34B3">
        <w:rPr>
          <w:rFonts w:ascii="Times New Roman" w:hAnsi="Times New Roman"/>
          <w:sz w:val="24"/>
          <w:szCs w:val="24"/>
        </w:rPr>
        <w:t xml:space="preserve"> after January 1, 2015,</w:t>
      </w:r>
      <w:r>
        <w:rPr>
          <w:rFonts w:ascii="Times New Roman" w:hAnsi="Times New Roman"/>
          <w:sz w:val="24"/>
          <w:szCs w:val="24"/>
        </w:rPr>
        <w:t xml:space="preserve"> should accumulate at the Company’s after-tax rate of return, and not the Company’s cost of debt</w:t>
      </w:r>
      <w:r w:rsidR="001F2674">
        <w:rPr>
          <w:rFonts w:ascii="Times New Roman" w:hAnsi="Times New Roman"/>
          <w:sz w:val="24"/>
          <w:szCs w:val="24"/>
        </w:rPr>
        <w:t>;</w:t>
      </w:r>
      <w:r>
        <w:rPr>
          <w:rFonts w:ascii="Times New Roman" w:hAnsi="Times New Roman"/>
          <w:sz w:val="24"/>
          <w:szCs w:val="24"/>
        </w:rPr>
        <w:t xml:space="preserve"> 2) the REC revenues rebate should be returned to customers at a rate consistent with cost of service, and not on a uniform cents/kWh basis across all rate classes</w:t>
      </w:r>
      <w:r w:rsidR="001F2674">
        <w:rPr>
          <w:rFonts w:ascii="Times New Roman" w:hAnsi="Times New Roman"/>
          <w:sz w:val="24"/>
          <w:szCs w:val="24"/>
        </w:rPr>
        <w:t>;</w:t>
      </w:r>
      <w:r>
        <w:rPr>
          <w:rFonts w:ascii="Times New Roman" w:hAnsi="Times New Roman"/>
          <w:sz w:val="24"/>
          <w:szCs w:val="24"/>
        </w:rPr>
        <w:t xml:space="preserve"> and 3) REC expenses </w:t>
      </w:r>
      <w:r w:rsidR="002E34B3">
        <w:rPr>
          <w:rFonts w:ascii="Times New Roman" w:hAnsi="Times New Roman"/>
          <w:sz w:val="24"/>
          <w:szCs w:val="24"/>
        </w:rPr>
        <w:t xml:space="preserve">that </w:t>
      </w:r>
      <w:r w:rsidR="002E34B3">
        <w:rPr>
          <w:rFonts w:ascii="Times New Roman" w:hAnsi="Times New Roman"/>
          <w:sz w:val="24"/>
          <w:szCs w:val="24"/>
        </w:rPr>
        <w:lastRenderedPageBreak/>
        <w:t>are not directly related to specific REC revenues should</w:t>
      </w:r>
      <w:r>
        <w:rPr>
          <w:rFonts w:ascii="Times New Roman" w:hAnsi="Times New Roman"/>
          <w:sz w:val="24"/>
          <w:szCs w:val="24"/>
        </w:rPr>
        <w:t xml:space="preserve"> be </w:t>
      </w:r>
      <w:r w:rsidR="002E34B3">
        <w:rPr>
          <w:rFonts w:ascii="Times New Roman" w:hAnsi="Times New Roman"/>
          <w:sz w:val="24"/>
          <w:szCs w:val="24"/>
        </w:rPr>
        <w:t>removed from</w:t>
      </w:r>
      <w:r>
        <w:rPr>
          <w:rFonts w:ascii="Times New Roman" w:hAnsi="Times New Roman"/>
          <w:sz w:val="24"/>
          <w:szCs w:val="24"/>
        </w:rPr>
        <w:t xml:space="preserve"> the tracki</w:t>
      </w:r>
      <w:r w:rsidR="002E34B3">
        <w:rPr>
          <w:rFonts w:ascii="Times New Roman" w:hAnsi="Times New Roman"/>
          <w:sz w:val="24"/>
          <w:szCs w:val="24"/>
        </w:rPr>
        <w:t>ng account and be included instead as an element of energy costs</w:t>
      </w:r>
      <w:r>
        <w:rPr>
          <w:rFonts w:ascii="Times New Roman" w:hAnsi="Times New Roman"/>
          <w:sz w:val="24"/>
          <w:szCs w:val="24"/>
        </w:rPr>
        <w:t xml:space="preserve">.  </w:t>
      </w:r>
    </w:p>
    <w:p w14:paraId="1CFDEECF" w14:textId="77777777" w:rsidR="00681DF3" w:rsidRDefault="00681DF3" w:rsidP="00CB5D3D">
      <w:pPr>
        <w:spacing w:after="0" w:line="480" w:lineRule="auto"/>
        <w:ind w:left="720" w:hanging="720"/>
        <w:rPr>
          <w:rFonts w:ascii="Times New Roman" w:hAnsi="Times New Roman"/>
          <w:b/>
          <w:sz w:val="24"/>
          <w:szCs w:val="24"/>
        </w:rPr>
      </w:pPr>
    </w:p>
    <w:p w14:paraId="54BF3EB5" w14:textId="77777777" w:rsidR="00681DF3" w:rsidRDefault="00681DF3" w:rsidP="00CB5D3D">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At what rate does interest accrue on the balance of the REC revenues tracking account</w:t>
      </w:r>
      <w:r w:rsidR="001F2674">
        <w:rPr>
          <w:rFonts w:ascii="Times New Roman" w:hAnsi="Times New Roman"/>
          <w:b/>
          <w:sz w:val="24"/>
          <w:szCs w:val="24"/>
        </w:rPr>
        <w:t xml:space="preserve"> currently</w:t>
      </w:r>
      <w:r>
        <w:rPr>
          <w:rFonts w:ascii="Times New Roman" w:hAnsi="Times New Roman"/>
          <w:b/>
          <w:sz w:val="24"/>
          <w:szCs w:val="24"/>
        </w:rPr>
        <w:t>?</w:t>
      </w:r>
    </w:p>
    <w:p w14:paraId="47D598D8" w14:textId="1F2EF8F2" w:rsidR="00681DF3" w:rsidRPr="00C4223C" w:rsidRDefault="00681DF3" w:rsidP="00CB5D3D">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The Company currently cal</w:t>
      </w:r>
      <w:r w:rsidR="007D4BF1">
        <w:rPr>
          <w:rFonts w:ascii="Times New Roman" w:hAnsi="Times New Roman"/>
          <w:sz w:val="24"/>
          <w:szCs w:val="24"/>
        </w:rPr>
        <w:t>culates interest at its</w:t>
      </w:r>
      <w:r>
        <w:rPr>
          <w:rFonts w:ascii="Times New Roman" w:hAnsi="Times New Roman"/>
          <w:sz w:val="24"/>
          <w:szCs w:val="24"/>
        </w:rPr>
        <w:t xml:space="preserve"> cost of debt</w:t>
      </w:r>
      <w:r w:rsidR="007D4BF1">
        <w:rPr>
          <w:rFonts w:ascii="Times New Roman" w:hAnsi="Times New Roman"/>
          <w:sz w:val="24"/>
          <w:szCs w:val="24"/>
        </w:rPr>
        <w:t xml:space="preserve">. </w:t>
      </w:r>
      <w:r w:rsidR="00F0356B">
        <w:rPr>
          <w:rFonts w:ascii="Times New Roman" w:hAnsi="Times New Roman"/>
          <w:sz w:val="24"/>
          <w:szCs w:val="24"/>
        </w:rPr>
        <w:t xml:space="preserve"> </w:t>
      </w:r>
      <w:r w:rsidR="007D4BF1">
        <w:rPr>
          <w:rFonts w:ascii="Times New Roman" w:hAnsi="Times New Roman"/>
          <w:sz w:val="24"/>
          <w:szCs w:val="24"/>
        </w:rPr>
        <w:t>For the purpose of calculating accumulated interest the Company has used an estimated rate of 5.2 percent</w:t>
      </w:r>
      <w:r w:rsidR="00865698">
        <w:rPr>
          <w:rFonts w:ascii="Times New Roman" w:hAnsi="Times New Roman"/>
          <w:sz w:val="24"/>
          <w:szCs w:val="24"/>
        </w:rPr>
        <w:t>.</w:t>
      </w:r>
    </w:p>
    <w:p w14:paraId="6855704E" w14:textId="77777777" w:rsidR="00681DF3" w:rsidRDefault="00681DF3" w:rsidP="00CB5D3D">
      <w:pPr>
        <w:spacing w:after="0" w:line="480" w:lineRule="auto"/>
        <w:ind w:left="720" w:hanging="720"/>
        <w:rPr>
          <w:rFonts w:ascii="Times New Roman" w:hAnsi="Times New Roman"/>
          <w:b/>
          <w:sz w:val="24"/>
          <w:szCs w:val="24"/>
        </w:rPr>
      </w:pPr>
    </w:p>
    <w:p w14:paraId="30C2585F" w14:textId="446BE70C" w:rsidR="00681DF3" w:rsidRDefault="00C142AF" w:rsidP="00CB5D3D">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Is the</w:t>
      </w:r>
      <w:r w:rsidR="00681DF3">
        <w:rPr>
          <w:rFonts w:ascii="Times New Roman" w:hAnsi="Times New Roman"/>
          <w:b/>
          <w:sz w:val="24"/>
          <w:szCs w:val="24"/>
        </w:rPr>
        <w:t xml:space="preserve"> cost of debt the appropriate rate at which to accrue interest on REC sale proceeds</w:t>
      </w:r>
      <w:r w:rsidR="00A0583D">
        <w:rPr>
          <w:rFonts w:ascii="Times New Roman" w:hAnsi="Times New Roman"/>
          <w:b/>
          <w:sz w:val="24"/>
          <w:szCs w:val="24"/>
        </w:rPr>
        <w:t xml:space="preserve"> going forward</w:t>
      </w:r>
      <w:r w:rsidR="00681DF3">
        <w:rPr>
          <w:rFonts w:ascii="Times New Roman" w:hAnsi="Times New Roman"/>
          <w:b/>
          <w:sz w:val="24"/>
          <w:szCs w:val="24"/>
        </w:rPr>
        <w:t>?</w:t>
      </w:r>
    </w:p>
    <w:p w14:paraId="2AC50DE7" w14:textId="3445AD12" w:rsidR="00681DF3" w:rsidRDefault="00681DF3" w:rsidP="00CB5D3D">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No. </w:t>
      </w:r>
      <w:r w:rsidR="001F2674">
        <w:rPr>
          <w:rFonts w:ascii="Times New Roman" w:hAnsi="Times New Roman"/>
          <w:sz w:val="24"/>
          <w:szCs w:val="24"/>
        </w:rPr>
        <w:t xml:space="preserve"> </w:t>
      </w:r>
      <w:r>
        <w:rPr>
          <w:rFonts w:ascii="Times New Roman" w:hAnsi="Times New Roman"/>
          <w:sz w:val="24"/>
          <w:szCs w:val="24"/>
        </w:rPr>
        <w:t>In Order 09 of Docket UE-120436, the Commission directed Avista to return to ratepayers REC sale</w:t>
      </w:r>
      <w:r w:rsidR="001F2674">
        <w:rPr>
          <w:rFonts w:ascii="Times New Roman" w:hAnsi="Times New Roman"/>
          <w:sz w:val="24"/>
          <w:szCs w:val="24"/>
        </w:rPr>
        <w:t>s</w:t>
      </w:r>
      <w:r>
        <w:rPr>
          <w:rFonts w:ascii="Times New Roman" w:hAnsi="Times New Roman"/>
          <w:sz w:val="24"/>
          <w:szCs w:val="24"/>
        </w:rPr>
        <w:t xml:space="preserve"> proceeds via a mechanism consistent with those used by Puget Sound Energy and PacifiCorp.</w:t>
      </w:r>
      <w:r w:rsidR="00CE6E85">
        <w:rPr>
          <w:rStyle w:val="FootnoteReference"/>
          <w:rFonts w:ascii="Times New Roman" w:hAnsi="Times New Roman"/>
          <w:sz w:val="24"/>
          <w:szCs w:val="24"/>
        </w:rPr>
        <w:footnoteReference w:id="28"/>
      </w:r>
      <w:r>
        <w:rPr>
          <w:rFonts w:ascii="Times New Roman" w:hAnsi="Times New Roman"/>
          <w:sz w:val="24"/>
          <w:szCs w:val="24"/>
        </w:rPr>
        <w:t xml:space="preserve"> </w:t>
      </w:r>
      <w:r w:rsidR="001F2674">
        <w:rPr>
          <w:rFonts w:ascii="Times New Roman" w:hAnsi="Times New Roman"/>
          <w:sz w:val="24"/>
          <w:szCs w:val="24"/>
        </w:rPr>
        <w:t xml:space="preserve"> </w:t>
      </w:r>
      <w:r>
        <w:rPr>
          <w:rFonts w:ascii="Times New Roman" w:hAnsi="Times New Roman"/>
          <w:sz w:val="24"/>
          <w:szCs w:val="24"/>
        </w:rPr>
        <w:t>The mechanisms approved for Puget Sound Energy and PacifiCorp both use each company’s respective after-tax rate of return for interest accrual on REC revenues balances.</w:t>
      </w:r>
      <w:r w:rsidR="00734DB2">
        <w:rPr>
          <w:rStyle w:val="FootnoteReference"/>
          <w:rFonts w:ascii="Times New Roman" w:hAnsi="Times New Roman"/>
          <w:sz w:val="24"/>
          <w:szCs w:val="24"/>
        </w:rPr>
        <w:footnoteReference w:id="29"/>
      </w:r>
      <w:r>
        <w:rPr>
          <w:rFonts w:ascii="Times New Roman" w:hAnsi="Times New Roman"/>
          <w:sz w:val="24"/>
          <w:szCs w:val="24"/>
        </w:rPr>
        <w:t xml:space="preserve"> </w:t>
      </w:r>
      <w:r w:rsidR="001F2674">
        <w:rPr>
          <w:rFonts w:ascii="Times New Roman" w:hAnsi="Times New Roman"/>
          <w:sz w:val="24"/>
          <w:szCs w:val="24"/>
        </w:rPr>
        <w:t xml:space="preserve"> </w:t>
      </w:r>
      <w:r>
        <w:rPr>
          <w:rFonts w:ascii="Times New Roman" w:hAnsi="Times New Roman"/>
          <w:sz w:val="24"/>
          <w:szCs w:val="24"/>
        </w:rPr>
        <w:t xml:space="preserve">Therefore, for consistency, </w:t>
      </w:r>
      <w:r w:rsidR="001F2674">
        <w:rPr>
          <w:rFonts w:ascii="Times New Roman" w:hAnsi="Times New Roman"/>
          <w:sz w:val="24"/>
          <w:szCs w:val="24"/>
        </w:rPr>
        <w:t xml:space="preserve">and compliance with the Commission’s order, </w:t>
      </w:r>
      <w:r>
        <w:rPr>
          <w:rFonts w:ascii="Times New Roman" w:hAnsi="Times New Roman"/>
          <w:sz w:val="24"/>
          <w:szCs w:val="24"/>
        </w:rPr>
        <w:t>I recommend that the Commission order Avista to accrue interest on REC revenues balances at its after-tax rate of return</w:t>
      </w:r>
      <w:r w:rsidR="00A0583D">
        <w:rPr>
          <w:rFonts w:ascii="Times New Roman" w:hAnsi="Times New Roman"/>
          <w:sz w:val="24"/>
          <w:szCs w:val="24"/>
        </w:rPr>
        <w:t>, beginning January 1, 2015</w:t>
      </w:r>
      <w:r>
        <w:rPr>
          <w:rFonts w:ascii="Times New Roman" w:hAnsi="Times New Roman"/>
          <w:sz w:val="24"/>
          <w:szCs w:val="24"/>
        </w:rPr>
        <w:t>.</w:t>
      </w:r>
    </w:p>
    <w:p w14:paraId="4FD14629" w14:textId="77777777" w:rsidR="00A0583D" w:rsidRDefault="00A0583D" w:rsidP="00CB5D3D">
      <w:pPr>
        <w:spacing w:after="0" w:line="480" w:lineRule="auto"/>
        <w:ind w:left="720" w:hanging="720"/>
        <w:rPr>
          <w:rFonts w:ascii="Times New Roman" w:hAnsi="Times New Roman"/>
          <w:sz w:val="24"/>
          <w:szCs w:val="24"/>
        </w:rPr>
      </w:pPr>
    </w:p>
    <w:p w14:paraId="16793DC8" w14:textId="301D8F2C" w:rsidR="00A0583D" w:rsidRDefault="00787137" w:rsidP="00CB5D3D">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Is the Company’s</w:t>
      </w:r>
      <w:r w:rsidR="00A0583D">
        <w:rPr>
          <w:rFonts w:ascii="Times New Roman" w:hAnsi="Times New Roman"/>
          <w:b/>
          <w:sz w:val="24"/>
          <w:szCs w:val="24"/>
        </w:rPr>
        <w:t xml:space="preserve"> cost of debt the appropriate rate at which to accrue interest on REC sale proceeds balances prior to January 1, 2015?</w:t>
      </w:r>
    </w:p>
    <w:p w14:paraId="64234D65" w14:textId="681116BB" w:rsidR="00A0583D" w:rsidRDefault="00A0583D" w:rsidP="00CB5D3D">
      <w:pPr>
        <w:spacing w:after="0" w:line="480" w:lineRule="auto"/>
        <w:ind w:left="720" w:hanging="720"/>
        <w:rPr>
          <w:rFonts w:ascii="Times New Roman" w:hAnsi="Times New Roman"/>
          <w:sz w:val="24"/>
          <w:szCs w:val="24"/>
        </w:rPr>
      </w:pPr>
      <w:r>
        <w:rPr>
          <w:rFonts w:ascii="Times New Roman" w:hAnsi="Times New Roman"/>
          <w:sz w:val="24"/>
          <w:szCs w:val="24"/>
        </w:rPr>
        <w:lastRenderedPageBreak/>
        <w:t>A.</w:t>
      </w:r>
      <w:r>
        <w:rPr>
          <w:rFonts w:ascii="Times New Roman" w:hAnsi="Times New Roman"/>
          <w:sz w:val="24"/>
          <w:szCs w:val="24"/>
        </w:rPr>
        <w:tab/>
        <w:t xml:space="preserve">Yes. </w:t>
      </w:r>
      <w:r w:rsidR="00F0356B">
        <w:rPr>
          <w:rFonts w:ascii="Times New Roman" w:hAnsi="Times New Roman"/>
          <w:sz w:val="24"/>
          <w:szCs w:val="24"/>
        </w:rPr>
        <w:t xml:space="preserve"> </w:t>
      </w:r>
      <w:r>
        <w:rPr>
          <w:rFonts w:ascii="Times New Roman" w:hAnsi="Times New Roman"/>
          <w:sz w:val="24"/>
          <w:szCs w:val="24"/>
        </w:rPr>
        <w:t>In Order 09 of Docket UE-120436, the Commission ordered that</w:t>
      </w:r>
      <w:r w:rsidR="00EE2B66">
        <w:rPr>
          <w:rFonts w:ascii="Times New Roman" w:hAnsi="Times New Roman"/>
          <w:sz w:val="24"/>
          <w:szCs w:val="24"/>
        </w:rPr>
        <w:t>, beginning January 1, 2013,</w:t>
      </w:r>
      <w:r>
        <w:rPr>
          <w:rFonts w:ascii="Times New Roman" w:hAnsi="Times New Roman"/>
          <w:sz w:val="24"/>
          <w:szCs w:val="24"/>
        </w:rPr>
        <w:t xml:space="preserve"> the deferral accrue interest consis</w:t>
      </w:r>
      <w:r w:rsidR="00EE2B66">
        <w:rPr>
          <w:rFonts w:ascii="Times New Roman" w:hAnsi="Times New Roman"/>
          <w:sz w:val="24"/>
          <w:szCs w:val="24"/>
        </w:rPr>
        <w:t>tent with other ERM balances,</w:t>
      </w:r>
      <w:r>
        <w:rPr>
          <w:rStyle w:val="FootnoteReference"/>
          <w:rFonts w:ascii="Times New Roman" w:hAnsi="Times New Roman"/>
          <w:sz w:val="24"/>
          <w:szCs w:val="24"/>
        </w:rPr>
        <w:footnoteReference w:id="30"/>
      </w:r>
      <w:r w:rsidR="00EE2B66">
        <w:rPr>
          <w:rFonts w:ascii="Times New Roman" w:hAnsi="Times New Roman"/>
          <w:sz w:val="24"/>
          <w:szCs w:val="24"/>
        </w:rPr>
        <w:t xml:space="preserve"> which accrue in</w:t>
      </w:r>
      <w:r w:rsidR="00787137">
        <w:rPr>
          <w:rFonts w:ascii="Times New Roman" w:hAnsi="Times New Roman"/>
          <w:sz w:val="24"/>
          <w:szCs w:val="24"/>
        </w:rPr>
        <w:t>terest at the Company’s</w:t>
      </w:r>
      <w:r w:rsidR="00EE2B66">
        <w:rPr>
          <w:rFonts w:ascii="Times New Roman" w:hAnsi="Times New Roman"/>
          <w:sz w:val="24"/>
          <w:szCs w:val="24"/>
        </w:rPr>
        <w:t xml:space="preserve"> cost of debt.</w:t>
      </w:r>
    </w:p>
    <w:p w14:paraId="4C8B587F" w14:textId="1BEAFC79" w:rsidR="00787137" w:rsidRPr="00A0583D" w:rsidRDefault="00787137" w:rsidP="00CB5D3D">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However, rather than apply a rate of 5.2 percent as Avista did, I calculated the accumulated interest on the account balance prior to Jan</w:t>
      </w:r>
      <w:r w:rsidR="000A2614">
        <w:rPr>
          <w:rFonts w:ascii="Times New Roman" w:hAnsi="Times New Roman"/>
          <w:sz w:val="24"/>
          <w:szCs w:val="24"/>
        </w:rPr>
        <w:t>uary 1, 2015, using an interest rate of</w:t>
      </w:r>
      <w:r>
        <w:rPr>
          <w:rFonts w:ascii="Times New Roman" w:hAnsi="Times New Roman"/>
          <w:sz w:val="24"/>
          <w:szCs w:val="24"/>
        </w:rPr>
        <w:t xml:space="preserve"> 5.</w:t>
      </w:r>
      <w:r w:rsidR="000A2614">
        <w:rPr>
          <w:rFonts w:ascii="Times New Roman" w:hAnsi="Times New Roman"/>
          <w:sz w:val="24"/>
          <w:szCs w:val="24"/>
        </w:rPr>
        <w:t>56 percent</w:t>
      </w:r>
      <w:r w:rsidR="00F0356B">
        <w:rPr>
          <w:rFonts w:ascii="Times New Roman" w:hAnsi="Times New Roman"/>
          <w:sz w:val="24"/>
          <w:szCs w:val="24"/>
        </w:rPr>
        <w:t>,</w:t>
      </w:r>
      <w:r w:rsidR="000A2614">
        <w:rPr>
          <w:rFonts w:ascii="Times New Roman" w:hAnsi="Times New Roman"/>
          <w:sz w:val="24"/>
          <w:szCs w:val="24"/>
        </w:rPr>
        <w:t xml:space="preserve"> which is the </w:t>
      </w:r>
      <w:r w:rsidR="00DE5E9B">
        <w:rPr>
          <w:rFonts w:ascii="Times New Roman" w:hAnsi="Times New Roman"/>
          <w:sz w:val="24"/>
          <w:szCs w:val="24"/>
        </w:rPr>
        <w:t xml:space="preserve">AMA 2013 </w:t>
      </w:r>
      <w:r w:rsidR="000A2614">
        <w:rPr>
          <w:rFonts w:ascii="Times New Roman" w:hAnsi="Times New Roman"/>
          <w:sz w:val="24"/>
          <w:szCs w:val="24"/>
        </w:rPr>
        <w:t xml:space="preserve">cost of debt </w:t>
      </w:r>
      <w:r w:rsidR="00DE5E9B">
        <w:rPr>
          <w:rFonts w:ascii="Times New Roman" w:hAnsi="Times New Roman"/>
          <w:sz w:val="24"/>
          <w:szCs w:val="24"/>
        </w:rPr>
        <w:t>identified in the Company workpapers supporting the electric attrition analysis presented in Ms. Andrews Exhibit No.___ (EMA-2)</w:t>
      </w:r>
      <w:r w:rsidR="000A2614">
        <w:rPr>
          <w:rFonts w:ascii="Times New Roman" w:hAnsi="Times New Roman"/>
          <w:sz w:val="24"/>
          <w:szCs w:val="24"/>
        </w:rPr>
        <w:t>.</w:t>
      </w:r>
    </w:p>
    <w:p w14:paraId="64B32524" w14:textId="77777777" w:rsidR="00681DF3" w:rsidRDefault="00681DF3" w:rsidP="00CB5D3D">
      <w:pPr>
        <w:spacing w:after="0" w:line="480" w:lineRule="auto"/>
        <w:ind w:left="720" w:hanging="720"/>
        <w:rPr>
          <w:rFonts w:ascii="Times New Roman" w:hAnsi="Times New Roman"/>
          <w:b/>
          <w:sz w:val="24"/>
          <w:szCs w:val="24"/>
        </w:rPr>
      </w:pPr>
    </w:p>
    <w:p w14:paraId="47A4C832" w14:textId="77777777" w:rsidR="00681DF3" w:rsidRDefault="00681DF3" w:rsidP="00CB5D3D">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How does the Company propose to implement the REC revenues rebate across rate classes?</w:t>
      </w:r>
    </w:p>
    <w:p w14:paraId="17A0F225" w14:textId="77777777" w:rsidR="00681DF3" w:rsidRPr="00D86573" w:rsidRDefault="00681DF3" w:rsidP="00CB5D3D">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The Company proposes to implement the rebate on a uniform (12 cents/kWh) basis across all rate classes.</w:t>
      </w:r>
    </w:p>
    <w:p w14:paraId="14762FF7" w14:textId="77777777" w:rsidR="00681DF3" w:rsidRPr="00DD7D55" w:rsidRDefault="00681DF3" w:rsidP="00CB5D3D">
      <w:pPr>
        <w:spacing w:after="0" w:line="480" w:lineRule="auto"/>
        <w:rPr>
          <w:rFonts w:ascii="Times New Roman" w:hAnsi="Times New Roman"/>
          <w:sz w:val="24"/>
          <w:szCs w:val="24"/>
        </w:rPr>
      </w:pPr>
    </w:p>
    <w:p w14:paraId="151AC4E4" w14:textId="77777777" w:rsidR="00681DF3" w:rsidRDefault="00681DF3" w:rsidP="00CB5D3D">
      <w:pPr>
        <w:spacing w:after="0" w:line="480" w:lineRule="auto"/>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Is a uniform cents/kWh basis appropriate for rebating REC revenues to customers?</w:t>
      </w:r>
    </w:p>
    <w:p w14:paraId="002A1341" w14:textId="70F71282" w:rsidR="00681DF3" w:rsidRDefault="00681DF3" w:rsidP="00CB5D3D">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No. </w:t>
      </w:r>
      <w:r w:rsidR="001F2674">
        <w:rPr>
          <w:rFonts w:ascii="Times New Roman" w:hAnsi="Times New Roman"/>
          <w:sz w:val="24"/>
          <w:szCs w:val="24"/>
        </w:rPr>
        <w:t xml:space="preserve"> </w:t>
      </w:r>
      <w:r>
        <w:rPr>
          <w:rFonts w:ascii="Times New Roman" w:hAnsi="Times New Roman"/>
          <w:sz w:val="24"/>
          <w:szCs w:val="24"/>
        </w:rPr>
        <w:t xml:space="preserve">The </w:t>
      </w:r>
      <w:r w:rsidR="001F2674">
        <w:rPr>
          <w:rFonts w:ascii="Times New Roman" w:hAnsi="Times New Roman"/>
          <w:sz w:val="24"/>
          <w:szCs w:val="24"/>
        </w:rPr>
        <w:t xml:space="preserve">REC </w:t>
      </w:r>
      <w:r>
        <w:rPr>
          <w:rFonts w:ascii="Times New Roman" w:hAnsi="Times New Roman"/>
          <w:sz w:val="24"/>
          <w:szCs w:val="24"/>
        </w:rPr>
        <w:t xml:space="preserve">rebate level should be consistent with each customer class’s contribution to the underlying REC-generating asset. </w:t>
      </w:r>
      <w:r w:rsidR="001F2674">
        <w:rPr>
          <w:rFonts w:ascii="Times New Roman" w:hAnsi="Times New Roman"/>
          <w:sz w:val="24"/>
          <w:szCs w:val="24"/>
        </w:rPr>
        <w:t xml:space="preserve"> </w:t>
      </w:r>
      <w:r w:rsidR="006E09C3">
        <w:rPr>
          <w:rFonts w:ascii="Times New Roman" w:hAnsi="Times New Roman"/>
          <w:sz w:val="24"/>
          <w:szCs w:val="24"/>
        </w:rPr>
        <w:t xml:space="preserve">As </w:t>
      </w:r>
      <w:r w:rsidR="00C8362C">
        <w:rPr>
          <w:rFonts w:ascii="Times New Roman" w:hAnsi="Times New Roman"/>
          <w:sz w:val="24"/>
          <w:szCs w:val="24"/>
        </w:rPr>
        <w:t>Staff Witness Mr. Mickelson is proposing a generation-level consumption cost allocation for wind resources based on his cost of service study</w:t>
      </w:r>
      <w:r w:rsidR="0020514F">
        <w:rPr>
          <w:rFonts w:ascii="Times New Roman" w:hAnsi="Times New Roman"/>
          <w:sz w:val="24"/>
          <w:szCs w:val="24"/>
        </w:rPr>
        <w:t xml:space="preserve">, the REC revenue rebate should be </w:t>
      </w:r>
      <w:r w:rsidR="00C8362C">
        <w:rPr>
          <w:rFonts w:ascii="Times New Roman" w:hAnsi="Times New Roman"/>
          <w:sz w:val="24"/>
          <w:szCs w:val="24"/>
        </w:rPr>
        <w:t xml:space="preserve">returned to customers at a level consistent with that cost allocation. </w:t>
      </w:r>
      <w:r w:rsidR="00CA125D">
        <w:rPr>
          <w:rFonts w:ascii="Times New Roman" w:hAnsi="Times New Roman"/>
          <w:sz w:val="24"/>
          <w:szCs w:val="24"/>
        </w:rPr>
        <w:t xml:space="preserve"> </w:t>
      </w:r>
      <w:r w:rsidR="00C8362C">
        <w:rPr>
          <w:rFonts w:ascii="Times New Roman" w:hAnsi="Times New Roman"/>
          <w:sz w:val="24"/>
          <w:szCs w:val="24"/>
        </w:rPr>
        <w:t>My Exhibit No._</w:t>
      </w:r>
      <w:r w:rsidR="00CA125D">
        <w:rPr>
          <w:rFonts w:ascii="Times New Roman" w:hAnsi="Times New Roman"/>
          <w:sz w:val="24"/>
          <w:szCs w:val="24"/>
        </w:rPr>
        <w:t>_ (</w:t>
      </w:r>
      <w:r w:rsidR="00C8362C">
        <w:rPr>
          <w:rFonts w:ascii="Times New Roman" w:hAnsi="Times New Roman"/>
          <w:sz w:val="24"/>
          <w:szCs w:val="24"/>
        </w:rPr>
        <w:t>CRM-4), page 2, shows the calculation of the schedule-specific rebate rate</w:t>
      </w:r>
      <w:r w:rsidR="00CA125D">
        <w:rPr>
          <w:rFonts w:ascii="Times New Roman" w:hAnsi="Times New Roman"/>
          <w:sz w:val="24"/>
          <w:szCs w:val="24"/>
        </w:rPr>
        <w:t>s</w:t>
      </w:r>
      <w:r w:rsidR="009F6DCA">
        <w:rPr>
          <w:rFonts w:ascii="Times New Roman" w:hAnsi="Times New Roman"/>
          <w:sz w:val="24"/>
          <w:szCs w:val="24"/>
        </w:rPr>
        <w:t>.</w:t>
      </w:r>
      <w:r w:rsidR="00847ECD">
        <w:rPr>
          <w:rFonts w:ascii="Times New Roman" w:hAnsi="Times New Roman"/>
          <w:sz w:val="24"/>
          <w:szCs w:val="24"/>
        </w:rPr>
        <w:t xml:space="preserve">  </w:t>
      </w:r>
    </w:p>
    <w:p w14:paraId="771578B5" w14:textId="77777777" w:rsidR="00847ECD" w:rsidRDefault="00847ECD" w:rsidP="00CB5D3D">
      <w:pPr>
        <w:spacing w:after="0" w:line="480" w:lineRule="auto"/>
        <w:rPr>
          <w:rFonts w:ascii="Times New Roman" w:hAnsi="Times New Roman"/>
          <w:sz w:val="24"/>
          <w:szCs w:val="24"/>
        </w:rPr>
        <w:sectPr w:rsidR="00847ECD" w:rsidSect="00254411">
          <w:pgSz w:w="12240" w:h="15840" w:code="1"/>
          <w:pgMar w:top="1440" w:right="1440" w:bottom="1440" w:left="1440" w:header="720" w:footer="720" w:gutter="0"/>
          <w:lnNumType w:countBy="1"/>
          <w:cols w:space="720"/>
          <w:docGrid w:linePitch="360"/>
        </w:sectPr>
      </w:pPr>
    </w:p>
    <w:p w14:paraId="2512FBC6" w14:textId="77777777" w:rsidR="00681DF3" w:rsidRDefault="00681DF3" w:rsidP="00CB5D3D">
      <w:pPr>
        <w:spacing w:after="0" w:line="480" w:lineRule="auto"/>
        <w:ind w:left="720" w:hanging="720"/>
        <w:rPr>
          <w:rFonts w:ascii="Times New Roman" w:hAnsi="Times New Roman"/>
          <w:b/>
          <w:sz w:val="24"/>
          <w:szCs w:val="24"/>
        </w:rPr>
      </w:pPr>
      <w:r>
        <w:rPr>
          <w:rFonts w:ascii="Times New Roman" w:hAnsi="Times New Roman"/>
          <w:b/>
          <w:sz w:val="24"/>
          <w:szCs w:val="24"/>
        </w:rPr>
        <w:lastRenderedPageBreak/>
        <w:t>Q.</w:t>
      </w:r>
      <w:r>
        <w:rPr>
          <w:rFonts w:ascii="Times New Roman" w:hAnsi="Times New Roman"/>
          <w:b/>
          <w:sz w:val="24"/>
          <w:szCs w:val="24"/>
        </w:rPr>
        <w:tab/>
        <w:t>Does the Company propose to include REC expenses in the tracking account, and net REC revenues against those REC expenses?</w:t>
      </w:r>
    </w:p>
    <w:p w14:paraId="28AB73A0" w14:textId="36FDF978" w:rsidR="00681DF3" w:rsidRDefault="00681DF3" w:rsidP="00CB5D3D">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Yes.  The Company proposes to include such expense items as WREGIS fees, Green-e fees, broker fees, any REC purchases, and other specific out-of pocket expenses required to support REC sales. </w:t>
      </w:r>
    </w:p>
    <w:p w14:paraId="547F9438" w14:textId="77777777" w:rsidR="00681DF3" w:rsidRDefault="00681DF3" w:rsidP="00CB5D3D">
      <w:pPr>
        <w:spacing w:after="0" w:line="480" w:lineRule="auto"/>
        <w:rPr>
          <w:rFonts w:ascii="Times New Roman" w:hAnsi="Times New Roman"/>
          <w:sz w:val="24"/>
          <w:szCs w:val="24"/>
        </w:rPr>
      </w:pPr>
    </w:p>
    <w:p w14:paraId="3D66130B" w14:textId="49D6508A" w:rsidR="00681DF3" w:rsidRDefault="00681DF3" w:rsidP="00CB5D3D">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 xml:space="preserve">Are </w:t>
      </w:r>
      <w:r w:rsidR="001F2674">
        <w:rPr>
          <w:rFonts w:ascii="Times New Roman" w:hAnsi="Times New Roman"/>
          <w:b/>
          <w:sz w:val="24"/>
          <w:szCs w:val="24"/>
        </w:rPr>
        <w:t xml:space="preserve">all of </w:t>
      </w:r>
      <w:r w:rsidR="00CE6E85">
        <w:rPr>
          <w:rFonts w:ascii="Times New Roman" w:hAnsi="Times New Roman"/>
          <w:b/>
          <w:sz w:val="24"/>
          <w:szCs w:val="24"/>
        </w:rPr>
        <w:t xml:space="preserve">these expenses </w:t>
      </w:r>
      <w:r w:rsidR="00872266">
        <w:rPr>
          <w:rFonts w:ascii="Times New Roman" w:hAnsi="Times New Roman"/>
          <w:b/>
          <w:sz w:val="24"/>
          <w:szCs w:val="24"/>
        </w:rPr>
        <w:t xml:space="preserve">generally </w:t>
      </w:r>
      <w:r>
        <w:rPr>
          <w:rFonts w:ascii="Times New Roman" w:hAnsi="Times New Roman"/>
          <w:b/>
          <w:sz w:val="24"/>
          <w:szCs w:val="24"/>
        </w:rPr>
        <w:t>appropriate to include in the REC revenues tracking account?</w:t>
      </w:r>
    </w:p>
    <w:p w14:paraId="242EB92C" w14:textId="0BA09D39" w:rsidR="00CA125D" w:rsidRDefault="00681DF3" w:rsidP="00CB5D3D">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1F2674">
        <w:rPr>
          <w:rFonts w:ascii="Times New Roman" w:hAnsi="Times New Roman"/>
          <w:sz w:val="24"/>
          <w:szCs w:val="24"/>
        </w:rPr>
        <w:t>No</w:t>
      </w:r>
      <w:r w:rsidR="00CA125D">
        <w:rPr>
          <w:rFonts w:ascii="Times New Roman" w:hAnsi="Times New Roman"/>
          <w:sz w:val="24"/>
          <w:szCs w:val="24"/>
        </w:rPr>
        <w:t>t all</w:t>
      </w:r>
      <w:r w:rsidR="001F2674">
        <w:rPr>
          <w:rFonts w:ascii="Times New Roman" w:hAnsi="Times New Roman"/>
          <w:sz w:val="24"/>
          <w:szCs w:val="24"/>
        </w:rPr>
        <w:t xml:space="preserve">.  </w:t>
      </w:r>
      <w:r w:rsidR="00CA125D">
        <w:rPr>
          <w:rFonts w:ascii="Times New Roman" w:hAnsi="Times New Roman"/>
          <w:sz w:val="24"/>
          <w:szCs w:val="24"/>
        </w:rPr>
        <w:t xml:space="preserve">Specifically, </w:t>
      </w:r>
      <w:r>
        <w:rPr>
          <w:rFonts w:ascii="Times New Roman" w:hAnsi="Times New Roman"/>
          <w:sz w:val="24"/>
          <w:szCs w:val="24"/>
        </w:rPr>
        <w:t xml:space="preserve">REC purchases should not be included as expenses in the tracking account if those RECs were used (or will be used) for compliance purposes. </w:t>
      </w:r>
      <w:r w:rsidR="001F2674">
        <w:rPr>
          <w:rFonts w:ascii="Times New Roman" w:hAnsi="Times New Roman"/>
          <w:sz w:val="24"/>
          <w:szCs w:val="24"/>
        </w:rPr>
        <w:t xml:space="preserve"> </w:t>
      </w:r>
    </w:p>
    <w:p w14:paraId="527D082D" w14:textId="4D1C26E4" w:rsidR="00681DF3" w:rsidRPr="00663997" w:rsidRDefault="00CA125D" w:rsidP="00CB5D3D">
      <w:pPr>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681DF3">
        <w:rPr>
          <w:rFonts w:ascii="Times New Roman" w:hAnsi="Times New Roman"/>
          <w:sz w:val="24"/>
          <w:szCs w:val="24"/>
        </w:rPr>
        <w:t>As a ge</w:t>
      </w:r>
      <w:r w:rsidR="00C57CFA">
        <w:rPr>
          <w:rFonts w:ascii="Times New Roman" w:hAnsi="Times New Roman"/>
          <w:sz w:val="24"/>
          <w:szCs w:val="24"/>
        </w:rPr>
        <w:t>neral rule, expenses should</w:t>
      </w:r>
      <w:r w:rsidR="00681DF3">
        <w:rPr>
          <w:rFonts w:ascii="Times New Roman" w:hAnsi="Times New Roman"/>
          <w:sz w:val="24"/>
          <w:szCs w:val="24"/>
        </w:rPr>
        <w:t xml:space="preserve"> be netted against REC revenues only if those expenses are directly related to specific </w:t>
      </w:r>
      <w:r w:rsidR="00872266">
        <w:rPr>
          <w:rFonts w:ascii="Times New Roman" w:hAnsi="Times New Roman"/>
          <w:sz w:val="24"/>
          <w:szCs w:val="24"/>
        </w:rPr>
        <w:t xml:space="preserve">REC </w:t>
      </w:r>
      <w:r w:rsidR="00681DF3">
        <w:rPr>
          <w:rFonts w:ascii="Times New Roman" w:hAnsi="Times New Roman"/>
          <w:sz w:val="24"/>
          <w:szCs w:val="24"/>
        </w:rPr>
        <w:t xml:space="preserve">revenues. </w:t>
      </w:r>
      <w:r w:rsidR="00CC637C">
        <w:rPr>
          <w:rFonts w:ascii="Times New Roman" w:hAnsi="Times New Roman"/>
          <w:sz w:val="24"/>
          <w:szCs w:val="24"/>
        </w:rPr>
        <w:t xml:space="preserve"> A</w:t>
      </w:r>
      <w:r w:rsidR="00681DF3">
        <w:rPr>
          <w:rFonts w:ascii="Times New Roman" w:hAnsi="Times New Roman"/>
          <w:sz w:val="24"/>
          <w:szCs w:val="24"/>
        </w:rPr>
        <w:t>s long as an Avista-p</w:t>
      </w:r>
      <w:r w:rsidR="0072322F">
        <w:rPr>
          <w:rFonts w:ascii="Times New Roman" w:hAnsi="Times New Roman"/>
          <w:sz w:val="24"/>
          <w:szCs w:val="24"/>
        </w:rPr>
        <w:t xml:space="preserve">urchased REC is also sold by Avista, </w:t>
      </w:r>
      <w:r w:rsidR="00681DF3">
        <w:rPr>
          <w:rFonts w:ascii="Times New Roman" w:hAnsi="Times New Roman"/>
          <w:sz w:val="24"/>
          <w:szCs w:val="24"/>
        </w:rPr>
        <w:t xml:space="preserve">that </w:t>
      </w:r>
      <w:r w:rsidR="00C57CFA">
        <w:rPr>
          <w:rFonts w:ascii="Times New Roman" w:hAnsi="Times New Roman"/>
          <w:sz w:val="24"/>
          <w:szCs w:val="24"/>
        </w:rPr>
        <w:t>specific</w:t>
      </w:r>
      <w:r w:rsidR="0072322F">
        <w:rPr>
          <w:rFonts w:ascii="Times New Roman" w:hAnsi="Times New Roman"/>
          <w:sz w:val="24"/>
          <w:szCs w:val="24"/>
        </w:rPr>
        <w:t xml:space="preserve"> </w:t>
      </w:r>
      <w:r w:rsidR="00681DF3">
        <w:rPr>
          <w:rFonts w:ascii="Times New Roman" w:hAnsi="Times New Roman"/>
          <w:sz w:val="24"/>
          <w:szCs w:val="24"/>
        </w:rPr>
        <w:t xml:space="preserve">purchase expense is appropriate to net against the revenue from the sale. </w:t>
      </w:r>
      <w:r w:rsidR="001F2674">
        <w:rPr>
          <w:rFonts w:ascii="Times New Roman" w:hAnsi="Times New Roman"/>
          <w:sz w:val="24"/>
          <w:szCs w:val="24"/>
        </w:rPr>
        <w:t xml:space="preserve"> However, if </w:t>
      </w:r>
      <w:r w:rsidR="00681DF3">
        <w:rPr>
          <w:rFonts w:ascii="Times New Roman" w:hAnsi="Times New Roman"/>
          <w:sz w:val="24"/>
          <w:szCs w:val="24"/>
        </w:rPr>
        <w:t xml:space="preserve">Avista uses a REC for compliance purposes, that REC cannot generate revenue and, as such, there can be no revenue-related expenses. </w:t>
      </w:r>
    </w:p>
    <w:p w14:paraId="21AF7C25" w14:textId="77777777" w:rsidR="00681DF3" w:rsidRDefault="00681DF3" w:rsidP="00CB5D3D">
      <w:pPr>
        <w:spacing w:after="0" w:line="480" w:lineRule="auto"/>
        <w:rPr>
          <w:rFonts w:ascii="Times New Roman" w:hAnsi="Times New Roman"/>
          <w:sz w:val="24"/>
          <w:szCs w:val="24"/>
        </w:rPr>
      </w:pPr>
    </w:p>
    <w:p w14:paraId="643A4A17" w14:textId="77777777" w:rsidR="00681DF3" w:rsidRDefault="00681DF3" w:rsidP="00CB5D3D">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Does Avista include any REC purchase expenses in the tracking mechanism that should be netted against REC revenues?</w:t>
      </w:r>
    </w:p>
    <w:p w14:paraId="2B394C78" w14:textId="39975A54" w:rsidR="00681DF3" w:rsidRPr="005F4DA6" w:rsidRDefault="00681DF3" w:rsidP="00CB5D3D">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Yes. </w:t>
      </w:r>
      <w:r w:rsidR="001F2674">
        <w:rPr>
          <w:rFonts w:ascii="Times New Roman" w:hAnsi="Times New Roman"/>
          <w:sz w:val="24"/>
          <w:szCs w:val="24"/>
        </w:rPr>
        <w:t xml:space="preserve"> </w:t>
      </w:r>
      <w:r w:rsidRPr="00B62FB6">
        <w:rPr>
          <w:rFonts w:ascii="Times New Roman" w:hAnsi="Times New Roman"/>
          <w:sz w:val="24"/>
          <w:szCs w:val="24"/>
        </w:rPr>
        <w:t>For example</w:t>
      </w:r>
      <w:r w:rsidR="00B62FB6">
        <w:rPr>
          <w:rFonts w:ascii="Times New Roman" w:hAnsi="Times New Roman"/>
          <w:sz w:val="24"/>
          <w:szCs w:val="24"/>
        </w:rPr>
        <w:t xml:space="preserve">, Avista entered into a contract to purchase RECs from </w:t>
      </w:r>
      <w:r w:rsidR="00C14A88" w:rsidRPr="00C14A88">
        <w:rPr>
          <w:rFonts w:ascii="Times New Roman" w:hAnsi="Times New Roman"/>
          <w:sz w:val="24"/>
          <w:szCs w:val="24"/>
          <w:highlight w:val="black"/>
        </w:rPr>
        <w:t>XXXXXXX XXXXXXXXXXXXXXXXXX</w:t>
      </w:r>
      <w:r w:rsidR="00B62FB6">
        <w:rPr>
          <w:rFonts w:ascii="Times New Roman" w:hAnsi="Times New Roman"/>
          <w:sz w:val="24"/>
          <w:szCs w:val="24"/>
        </w:rPr>
        <w:t xml:space="preserve"> from 2012 through 2015. </w:t>
      </w:r>
      <w:r w:rsidR="001F2674">
        <w:rPr>
          <w:rFonts w:ascii="Times New Roman" w:hAnsi="Times New Roman"/>
          <w:sz w:val="24"/>
          <w:szCs w:val="24"/>
        </w:rPr>
        <w:t xml:space="preserve"> </w:t>
      </w:r>
      <w:r w:rsidR="00CA125D">
        <w:rPr>
          <w:rFonts w:ascii="Times New Roman" w:hAnsi="Times New Roman"/>
          <w:sz w:val="24"/>
          <w:szCs w:val="24"/>
        </w:rPr>
        <w:t xml:space="preserve">Avista purchased these </w:t>
      </w:r>
      <w:r w:rsidR="00B62FB6">
        <w:rPr>
          <w:rFonts w:ascii="Times New Roman" w:hAnsi="Times New Roman"/>
          <w:sz w:val="24"/>
          <w:szCs w:val="24"/>
        </w:rPr>
        <w:t xml:space="preserve">RECs to comply with the Washington EIA. </w:t>
      </w:r>
      <w:r w:rsidR="001F2674">
        <w:rPr>
          <w:rFonts w:ascii="Times New Roman" w:hAnsi="Times New Roman"/>
          <w:sz w:val="24"/>
          <w:szCs w:val="24"/>
        </w:rPr>
        <w:t xml:space="preserve"> </w:t>
      </w:r>
      <w:r w:rsidR="00B62FB6">
        <w:rPr>
          <w:rFonts w:ascii="Times New Roman" w:hAnsi="Times New Roman"/>
          <w:sz w:val="24"/>
          <w:szCs w:val="24"/>
        </w:rPr>
        <w:t xml:space="preserve">However, when Avista entered into a PPA for Palouse Wind, the </w:t>
      </w:r>
      <w:r w:rsidR="00C14A88" w:rsidRPr="00C14A88">
        <w:rPr>
          <w:rFonts w:ascii="Times New Roman" w:hAnsi="Times New Roman"/>
          <w:sz w:val="24"/>
          <w:szCs w:val="24"/>
          <w:highlight w:val="black"/>
        </w:rPr>
        <w:t>XXXX</w:t>
      </w:r>
      <w:r w:rsidR="00B62FB6">
        <w:rPr>
          <w:rFonts w:ascii="Times New Roman" w:hAnsi="Times New Roman"/>
          <w:sz w:val="24"/>
          <w:szCs w:val="24"/>
        </w:rPr>
        <w:t xml:space="preserve"> RECs became surplus. </w:t>
      </w:r>
      <w:r w:rsidR="001F2674">
        <w:rPr>
          <w:rFonts w:ascii="Times New Roman" w:hAnsi="Times New Roman"/>
          <w:sz w:val="24"/>
          <w:szCs w:val="24"/>
        </w:rPr>
        <w:t xml:space="preserve"> </w:t>
      </w:r>
      <w:r w:rsidR="00CA125D">
        <w:rPr>
          <w:rFonts w:ascii="Times New Roman" w:hAnsi="Times New Roman"/>
          <w:sz w:val="24"/>
          <w:szCs w:val="24"/>
        </w:rPr>
        <w:t>Avista sold t</w:t>
      </w:r>
      <w:r w:rsidR="00B62FB6">
        <w:rPr>
          <w:rFonts w:ascii="Times New Roman" w:hAnsi="Times New Roman"/>
          <w:sz w:val="24"/>
          <w:szCs w:val="24"/>
        </w:rPr>
        <w:t>he</w:t>
      </w:r>
      <w:r w:rsidR="009F6DCA">
        <w:rPr>
          <w:rFonts w:ascii="Times New Roman" w:hAnsi="Times New Roman"/>
          <w:sz w:val="24"/>
          <w:szCs w:val="24"/>
        </w:rPr>
        <w:t>se surplus</w:t>
      </w:r>
      <w:r w:rsidR="00B62FB6">
        <w:rPr>
          <w:rFonts w:ascii="Times New Roman" w:hAnsi="Times New Roman"/>
          <w:sz w:val="24"/>
          <w:szCs w:val="24"/>
        </w:rPr>
        <w:t xml:space="preserve"> RECs from 2013 and 2014</w:t>
      </w:r>
      <w:r w:rsidR="0024248B">
        <w:rPr>
          <w:rFonts w:ascii="Times New Roman" w:hAnsi="Times New Roman"/>
          <w:sz w:val="24"/>
          <w:szCs w:val="24"/>
        </w:rPr>
        <w:t xml:space="preserve"> so</w:t>
      </w:r>
      <w:r w:rsidR="00B62FB6">
        <w:rPr>
          <w:rFonts w:ascii="Times New Roman" w:hAnsi="Times New Roman"/>
          <w:sz w:val="24"/>
          <w:szCs w:val="24"/>
        </w:rPr>
        <w:t xml:space="preserve">, accordingly, the purchase expense for 2013 and 2014 </w:t>
      </w:r>
      <w:r w:rsidR="00C14A88" w:rsidRPr="00C14A88">
        <w:rPr>
          <w:rFonts w:ascii="Times New Roman" w:hAnsi="Times New Roman"/>
          <w:sz w:val="24"/>
          <w:szCs w:val="24"/>
          <w:highlight w:val="black"/>
        </w:rPr>
        <w:t>XXXX</w:t>
      </w:r>
      <w:r w:rsidR="00B62FB6">
        <w:rPr>
          <w:rFonts w:ascii="Times New Roman" w:hAnsi="Times New Roman"/>
          <w:sz w:val="24"/>
          <w:szCs w:val="24"/>
        </w:rPr>
        <w:t xml:space="preserve"> RECs </w:t>
      </w:r>
      <w:r w:rsidR="00B62FB6">
        <w:rPr>
          <w:rFonts w:ascii="Times New Roman" w:hAnsi="Times New Roman"/>
          <w:sz w:val="24"/>
          <w:szCs w:val="24"/>
        </w:rPr>
        <w:lastRenderedPageBreak/>
        <w:t xml:space="preserve">are directly related to the revenues from the </w:t>
      </w:r>
      <w:r w:rsidR="00F443D6">
        <w:rPr>
          <w:rFonts w:ascii="Times New Roman" w:hAnsi="Times New Roman"/>
          <w:sz w:val="24"/>
          <w:szCs w:val="24"/>
        </w:rPr>
        <w:t xml:space="preserve">sale of </w:t>
      </w:r>
      <w:r w:rsidR="00B62FB6">
        <w:rPr>
          <w:rFonts w:ascii="Times New Roman" w:hAnsi="Times New Roman"/>
          <w:sz w:val="24"/>
          <w:szCs w:val="24"/>
        </w:rPr>
        <w:t xml:space="preserve">2013 and 2014 </w:t>
      </w:r>
      <w:r w:rsidR="00C14A88" w:rsidRPr="00C14A88">
        <w:rPr>
          <w:rFonts w:ascii="Times New Roman" w:hAnsi="Times New Roman"/>
          <w:sz w:val="24"/>
          <w:szCs w:val="24"/>
          <w:highlight w:val="black"/>
        </w:rPr>
        <w:t>XXXX</w:t>
      </w:r>
      <w:r w:rsidR="00C14A88">
        <w:rPr>
          <w:rFonts w:ascii="Times New Roman" w:hAnsi="Times New Roman"/>
          <w:sz w:val="24"/>
          <w:szCs w:val="24"/>
        </w:rPr>
        <w:t xml:space="preserve"> </w:t>
      </w:r>
      <w:r w:rsidR="00F443D6">
        <w:rPr>
          <w:rFonts w:ascii="Times New Roman" w:hAnsi="Times New Roman"/>
          <w:sz w:val="24"/>
          <w:szCs w:val="24"/>
        </w:rPr>
        <w:t>RECs</w:t>
      </w:r>
      <w:r w:rsidR="00B62FB6">
        <w:rPr>
          <w:rFonts w:ascii="Times New Roman" w:hAnsi="Times New Roman"/>
          <w:sz w:val="24"/>
          <w:szCs w:val="24"/>
        </w:rPr>
        <w:t xml:space="preserve">. </w:t>
      </w:r>
      <w:r w:rsidR="001F2674">
        <w:rPr>
          <w:rFonts w:ascii="Times New Roman" w:hAnsi="Times New Roman"/>
          <w:sz w:val="24"/>
          <w:szCs w:val="24"/>
        </w:rPr>
        <w:t xml:space="preserve"> </w:t>
      </w:r>
      <w:r w:rsidR="00B62FB6">
        <w:rPr>
          <w:rFonts w:ascii="Times New Roman" w:hAnsi="Times New Roman"/>
          <w:sz w:val="24"/>
          <w:szCs w:val="24"/>
        </w:rPr>
        <w:t xml:space="preserve">Therefore, the purchase expense for 2013 and 2014 </w:t>
      </w:r>
      <w:r w:rsidR="00C14A88" w:rsidRPr="00C14A88">
        <w:rPr>
          <w:rFonts w:ascii="Times New Roman" w:hAnsi="Times New Roman"/>
          <w:sz w:val="24"/>
          <w:szCs w:val="24"/>
          <w:highlight w:val="black"/>
        </w:rPr>
        <w:t>XXXX</w:t>
      </w:r>
      <w:r w:rsidR="00C14A88">
        <w:rPr>
          <w:rFonts w:ascii="Times New Roman" w:hAnsi="Times New Roman"/>
          <w:sz w:val="24"/>
          <w:szCs w:val="24"/>
        </w:rPr>
        <w:t xml:space="preserve"> </w:t>
      </w:r>
      <w:r w:rsidR="00B62FB6">
        <w:rPr>
          <w:rFonts w:ascii="Times New Roman" w:hAnsi="Times New Roman"/>
          <w:sz w:val="24"/>
          <w:szCs w:val="24"/>
        </w:rPr>
        <w:t xml:space="preserve">RECs should be included in the tracking mechanism and netted against REC revenues. </w:t>
      </w:r>
    </w:p>
    <w:p w14:paraId="50375196" w14:textId="77777777" w:rsidR="00681DF3" w:rsidRDefault="00681DF3" w:rsidP="00CB5D3D">
      <w:pPr>
        <w:spacing w:after="0" w:line="480" w:lineRule="auto"/>
        <w:rPr>
          <w:rFonts w:ascii="Times New Roman" w:hAnsi="Times New Roman"/>
          <w:sz w:val="24"/>
          <w:szCs w:val="24"/>
        </w:rPr>
      </w:pPr>
    </w:p>
    <w:p w14:paraId="7541D7F5" w14:textId="77777777" w:rsidR="00681DF3" w:rsidRDefault="00681DF3" w:rsidP="00CB5D3D">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Does Avista include any REC purchase expenses in the tracking mechanism that are inappropriate to be netted against REC revenues?</w:t>
      </w:r>
    </w:p>
    <w:p w14:paraId="7A06C47E" w14:textId="51DBF853" w:rsidR="00681DF3" w:rsidRDefault="00681DF3" w:rsidP="00CB5D3D">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Yes. </w:t>
      </w:r>
      <w:r w:rsidR="001F2674">
        <w:rPr>
          <w:rFonts w:ascii="Times New Roman" w:hAnsi="Times New Roman"/>
          <w:sz w:val="24"/>
          <w:szCs w:val="24"/>
        </w:rPr>
        <w:t xml:space="preserve"> </w:t>
      </w:r>
      <w:r>
        <w:rPr>
          <w:rFonts w:ascii="Times New Roman" w:hAnsi="Times New Roman"/>
          <w:sz w:val="24"/>
          <w:szCs w:val="24"/>
        </w:rPr>
        <w:t xml:space="preserve">Avista has stated its intention to hold the </w:t>
      </w:r>
      <w:r w:rsidR="00C57CFA">
        <w:rPr>
          <w:rFonts w:ascii="Times New Roman" w:hAnsi="Times New Roman"/>
          <w:sz w:val="24"/>
          <w:szCs w:val="24"/>
        </w:rPr>
        <w:t xml:space="preserve">2015 </w:t>
      </w:r>
      <w:r w:rsidR="00C14A88" w:rsidRPr="00C14A88">
        <w:rPr>
          <w:rFonts w:ascii="Times New Roman" w:hAnsi="Times New Roman"/>
          <w:sz w:val="24"/>
          <w:szCs w:val="24"/>
          <w:highlight w:val="black"/>
        </w:rPr>
        <w:t>XXXX</w:t>
      </w:r>
      <w:r>
        <w:rPr>
          <w:rFonts w:ascii="Times New Roman" w:hAnsi="Times New Roman"/>
          <w:sz w:val="24"/>
          <w:szCs w:val="24"/>
        </w:rPr>
        <w:t xml:space="preserve"> RECs it has purchased for 2016 RPS compliance. </w:t>
      </w:r>
      <w:r w:rsidR="001F2674">
        <w:rPr>
          <w:rFonts w:ascii="Times New Roman" w:hAnsi="Times New Roman"/>
          <w:sz w:val="24"/>
          <w:szCs w:val="24"/>
        </w:rPr>
        <w:t xml:space="preserve"> </w:t>
      </w:r>
      <w:r w:rsidR="00CA125D">
        <w:rPr>
          <w:rFonts w:ascii="Times New Roman" w:hAnsi="Times New Roman"/>
          <w:sz w:val="24"/>
          <w:szCs w:val="24"/>
        </w:rPr>
        <w:t>Yet, a</w:t>
      </w:r>
      <w:r>
        <w:rPr>
          <w:rFonts w:ascii="Times New Roman" w:hAnsi="Times New Roman"/>
          <w:sz w:val="24"/>
          <w:szCs w:val="24"/>
        </w:rPr>
        <w:t xml:space="preserve">lthough </w:t>
      </w:r>
      <w:r w:rsidR="00CA125D">
        <w:rPr>
          <w:rFonts w:ascii="Times New Roman" w:hAnsi="Times New Roman"/>
          <w:sz w:val="24"/>
          <w:szCs w:val="24"/>
        </w:rPr>
        <w:t xml:space="preserve">Avista does not plan to sell </w:t>
      </w:r>
      <w:r>
        <w:rPr>
          <w:rFonts w:ascii="Times New Roman" w:hAnsi="Times New Roman"/>
          <w:sz w:val="24"/>
          <w:szCs w:val="24"/>
        </w:rPr>
        <w:t xml:space="preserve">these RECs, Avista includes the </w:t>
      </w:r>
      <w:r w:rsidR="00CA125D">
        <w:rPr>
          <w:rFonts w:ascii="Times New Roman" w:hAnsi="Times New Roman"/>
          <w:sz w:val="24"/>
          <w:szCs w:val="24"/>
        </w:rPr>
        <w:t xml:space="preserve">related </w:t>
      </w:r>
      <w:r>
        <w:rPr>
          <w:rFonts w:ascii="Times New Roman" w:hAnsi="Times New Roman"/>
          <w:sz w:val="24"/>
          <w:szCs w:val="24"/>
        </w:rPr>
        <w:t>REC purchase expense in the REC revenues tracking account</w:t>
      </w:r>
      <w:r w:rsidR="00B62FB6">
        <w:rPr>
          <w:rFonts w:ascii="Times New Roman" w:hAnsi="Times New Roman"/>
          <w:sz w:val="24"/>
          <w:szCs w:val="24"/>
        </w:rPr>
        <w:t xml:space="preserve"> and nets these expenses against REC revenues</w:t>
      </w:r>
      <w:r>
        <w:rPr>
          <w:rFonts w:ascii="Times New Roman" w:hAnsi="Times New Roman"/>
          <w:sz w:val="24"/>
          <w:szCs w:val="24"/>
        </w:rPr>
        <w:t xml:space="preserve">. </w:t>
      </w:r>
      <w:r w:rsidR="001F2674">
        <w:rPr>
          <w:rFonts w:ascii="Times New Roman" w:hAnsi="Times New Roman"/>
          <w:sz w:val="24"/>
          <w:szCs w:val="24"/>
        </w:rPr>
        <w:t xml:space="preserve"> </w:t>
      </w:r>
      <w:r w:rsidR="00B62FB6">
        <w:rPr>
          <w:rFonts w:ascii="Times New Roman" w:hAnsi="Times New Roman"/>
          <w:sz w:val="24"/>
          <w:szCs w:val="24"/>
        </w:rPr>
        <w:t xml:space="preserve">Unlike the </w:t>
      </w:r>
      <w:r w:rsidR="00C14A88" w:rsidRPr="00C14A88">
        <w:rPr>
          <w:rFonts w:ascii="Times New Roman" w:hAnsi="Times New Roman"/>
          <w:sz w:val="24"/>
          <w:szCs w:val="24"/>
          <w:highlight w:val="black"/>
        </w:rPr>
        <w:t>XXXX</w:t>
      </w:r>
      <w:r w:rsidR="00C14A88">
        <w:rPr>
          <w:rFonts w:ascii="Times New Roman" w:hAnsi="Times New Roman"/>
          <w:sz w:val="24"/>
          <w:szCs w:val="24"/>
        </w:rPr>
        <w:t xml:space="preserve"> </w:t>
      </w:r>
      <w:r w:rsidR="00B62FB6">
        <w:rPr>
          <w:rFonts w:ascii="Times New Roman" w:hAnsi="Times New Roman"/>
          <w:sz w:val="24"/>
          <w:szCs w:val="24"/>
        </w:rPr>
        <w:t xml:space="preserve">RECs from 2013 and 2014, the 2015 </w:t>
      </w:r>
      <w:r w:rsidR="00C14A88" w:rsidRPr="00C14A88">
        <w:rPr>
          <w:rFonts w:ascii="Times New Roman" w:hAnsi="Times New Roman"/>
          <w:sz w:val="24"/>
          <w:szCs w:val="24"/>
          <w:highlight w:val="black"/>
        </w:rPr>
        <w:t>XXXX</w:t>
      </w:r>
      <w:r w:rsidR="00C14A88">
        <w:rPr>
          <w:rFonts w:ascii="Times New Roman" w:hAnsi="Times New Roman"/>
          <w:sz w:val="24"/>
          <w:szCs w:val="24"/>
        </w:rPr>
        <w:t xml:space="preserve"> </w:t>
      </w:r>
      <w:r w:rsidR="00B62FB6">
        <w:rPr>
          <w:rFonts w:ascii="Times New Roman" w:hAnsi="Times New Roman"/>
          <w:sz w:val="24"/>
          <w:szCs w:val="24"/>
        </w:rPr>
        <w:t>RECs will be used for Washington EIA</w:t>
      </w:r>
      <w:r>
        <w:rPr>
          <w:rFonts w:ascii="Times New Roman" w:hAnsi="Times New Roman"/>
          <w:sz w:val="24"/>
          <w:szCs w:val="24"/>
        </w:rPr>
        <w:t xml:space="preserve"> compliance purposes and </w:t>
      </w:r>
      <w:r w:rsidR="00B62FB6">
        <w:rPr>
          <w:rFonts w:ascii="Times New Roman" w:hAnsi="Times New Roman"/>
          <w:sz w:val="24"/>
          <w:szCs w:val="24"/>
        </w:rPr>
        <w:t xml:space="preserve">so </w:t>
      </w:r>
      <w:r w:rsidR="00CA125D">
        <w:rPr>
          <w:rFonts w:ascii="Times New Roman" w:hAnsi="Times New Roman"/>
          <w:sz w:val="24"/>
          <w:szCs w:val="24"/>
        </w:rPr>
        <w:t xml:space="preserve">they </w:t>
      </w:r>
      <w:r>
        <w:rPr>
          <w:rFonts w:ascii="Times New Roman" w:hAnsi="Times New Roman"/>
          <w:sz w:val="24"/>
          <w:szCs w:val="24"/>
        </w:rPr>
        <w:t xml:space="preserve">will not generate revenue. Therefore, the </w:t>
      </w:r>
      <w:r w:rsidR="00CC344F">
        <w:rPr>
          <w:rFonts w:ascii="Times New Roman" w:hAnsi="Times New Roman"/>
          <w:sz w:val="24"/>
          <w:szCs w:val="24"/>
        </w:rPr>
        <w:t>$</w:t>
      </w:r>
      <w:r w:rsidR="00414736">
        <w:rPr>
          <w:rFonts w:ascii="Times New Roman" w:hAnsi="Times New Roman"/>
          <w:sz w:val="24"/>
          <w:szCs w:val="24"/>
        </w:rPr>
        <w:t>725</w:t>
      </w:r>
      <w:r w:rsidR="00CC344F" w:rsidRPr="00C877D0">
        <w:rPr>
          <w:rFonts w:ascii="Times New Roman" w:hAnsi="Times New Roman"/>
          <w:sz w:val="24"/>
          <w:szCs w:val="24"/>
        </w:rPr>
        <w:t>,000</w:t>
      </w:r>
      <w:r w:rsidR="00CC344F">
        <w:rPr>
          <w:rFonts w:ascii="Times New Roman" w:hAnsi="Times New Roman"/>
          <w:sz w:val="24"/>
          <w:szCs w:val="24"/>
        </w:rPr>
        <w:t xml:space="preserve"> in </w:t>
      </w:r>
      <w:r w:rsidR="00C14A88" w:rsidRPr="00C14A88">
        <w:rPr>
          <w:rFonts w:ascii="Times New Roman" w:hAnsi="Times New Roman"/>
          <w:sz w:val="24"/>
          <w:szCs w:val="24"/>
          <w:highlight w:val="black"/>
        </w:rPr>
        <w:t>XXXX</w:t>
      </w:r>
      <w:r w:rsidR="00C14A88">
        <w:rPr>
          <w:rFonts w:ascii="Times New Roman" w:hAnsi="Times New Roman"/>
          <w:sz w:val="24"/>
          <w:szCs w:val="24"/>
        </w:rPr>
        <w:t xml:space="preserve"> </w:t>
      </w:r>
      <w:r>
        <w:rPr>
          <w:rFonts w:ascii="Times New Roman" w:hAnsi="Times New Roman"/>
          <w:sz w:val="24"/>
          <w:szCs w:val="24"/>
        </w:rPr>
        <w:t xml:space="preserve">expenses </w:t>
      </w:r>
      <w:r w:rsidR="00CA125D">
        <w:rPr>
          <w:rFonts w:ascii="Times New Roman" w:hAnsi="Times New Roman"/>
          <w:sz w:val="24"/>
          <w:szCs w:val="24"/>
        </w:rPr>
        <w:t xml:space="preserve">related to the 2015 </w:t>
      </w:r>
      <w:r w:rsidR="00C14A88" w:rsidRPr="00C14A88">
        <w:rPr>
          <w:rFonts w:ascii="Times New Roman" w:hAnsi="Times New Roman"/>
          <w:sz w:val="24"/>
          <w:szCs w:val="24"/>
          <w:highlight w:val="black"/>
        </w:rPr>
        <w:t>XXXX</w:t>
      </w:r>
      <w:r w:rsidR="00C14A88">
        <w:rPr>
          <w:rFonts w:ascii="Times New Roman" w:hAnsi="Times New Roman"/>
          <w:sz w:val="24"/>
          <w:szCs w:val="24"/>
        </w:rPr>
        <w:t xml:space="preserve"> </w:t>
      </w:r>
      <w:r w:rsidR="00CA125D">
        <w:rPr>
          <w:rFonts w:ascii="Times New Roman" w:hAnsi="Times New Roman"/>
          <w:sz w:val="24"/>
          <w:szCs w:val="24"/>
        </w:rPr>
        <w:t xml:space="preserve">RECs must be </w:t>
      </w:r>
      <w:r>
        <w:rPr>
          <w:rFonts w:ascii="Times New Roman" w:hAnsi="Times New Roman"/>
          <w:sz w:val="24"/>
          <w:szCs w:val="24"/>
        </w:rPr>
        <w:t xml:space="preserve">removed from the tracking account. </w:t>
      </w:r>
    </w:p>
    <w:p w14:paraId="70AD0497" w14:textId="77777777" w:rsidR="00CC344F" w:rsidRDefault="00CC344F" w:rsidP="00CB5D3D">
      <w:pPr>
        <w:spacing w:after="0" w:line="480" w:lineRule="auto"/>
        <w:ind w:left="720" w:hanging="720"/>
        <w:rPr>
          <w:rFonts w:ascii="Times New Roman" w:hAnsi="Times New Roman"/>
          <w:sz w:val="24"/>
          <w:szCs w:val="24"/>
        </w:rPr>
      </w:pPr>
    </w:p>
    <w:p w14:paraId="38960792" w14:textId="0B543B65" w:rsidR="00CC344F" w:rsidRPr="00CC344F" w:rsidRDefault="00CC344F" w:rsidP="00CB5D3D">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 xml:space="preserve">Should Avista be allowed to recover the 2015 </w:t>
      </w:r>
      <w:r w:rsidR="00C14A88" w:rsidRPr="00C14A88">
        <w:rPr>
          <w:rFonts w:ascii="Times New Roman" w:hAnsi="Times New Roman"/>
          <w:sz w:val="24"/>
          <w:szCs w:val="24"/>
          <w:highlight w:val="black"/>
        </w:rPr>
        <w:t>XXXX</w:t>
      </w:r>
      <w:r w:rsidR="00C14A88">
        <w:rPr>
          <w:rFonts w:ascii="Times New Roman" w:hAnsi="Times New Roman"/>
          <w:sz w:val="24"/>
          <w:szCs w:val="24"/>
        </w:rPr>
        <w:t xml:space="preserve"> </w:t>
      </w:r>
      <w:r>
        <w:rPr>
          <w:rFonts w:ascii="Times New Roman" w:hAnsi="Times New Roman"/>
          <w:b/>
          <w:sz w:val="24"/>
          <w:szCs w:val="24"/>
        </w:rPr>
        <w:t>purchase expenses?</w:t>
      </w:r>
    </w:p>
    <w:p w14:paraId="6EAD4979" w14:textId="6DD1F4BC" w:rsidR="00681DF3" w:rsidRDefault="00CC344F" w:rsidP="00CB5D3D">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Yes</w:t>
      </w:r>
      <w:r w:rsidR="00715993">
        <w:rPr>
          <w:rFonts w:ascii="Times New Roman" w:hAnsi="Times New Roman"/>
          <w:sz w:val="24"/>
          <w:szCs w:val="24"/>
        </w:rPr>
        <w:t xml:space="preserve">, assuming they were reasonable, but not </w:t>
      </w:r>
      <w:r>
        <w:rPr>
          <w:rFonts w:ascii="Times New Roman" w:hAnsi="Times New Roman"/>
          <w:sz w:val="24"/>
          <w:szCs w:val="24"/>
        </w:rPr>
        <w:t>via this mechanism.</w:t>
      </w:r>
      <w:r w:rsidR="003C0424">
        <w:rPr>
          <w:rFonts w:ascii="Times New Roman" w:hAnsi="Times New Roman"/>
          <w:sz w:val="24"/>
          <w:szCs w:val="24"/>
        </w:rPr>
        <w:t xml:space="preserve">  I recommend that, on compliance, the Company include this expense as an element of energy costs. </w:t>
      </w:r>
    </w:p>
    <w:p w14:paraId="08E89435" w14:textId="77777777" w:rsidR="00CC344F" w:rsidRDefault="00CC344F" w:rsidP="00CB5D3D">
      <w:pPr>
        <w:spacing w:after="0" w:line="480" w:lineRule="auto"/>
        <w:rPr>
          <w:rFonts w:ascii="Times New Roman" w:hAnsi="Times New Roman"/>
          <w:sz w:val="24"/>
          <w:szCs w:val="24"/>
        </w:rPr>
      </w:pPr>
    </w:p>
    <w:p w14:paraId="28451AB5" w14:textId="5B7E9AA5" w:rsidR="005B0C10" w:rsidRDefault="00417975" w:rsidP="00CB5D3D">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 xml:space="preserve">What is the estimated </w:t>
      </w:r>
      <w:r w:rsidR="00CA6FD7">
        <w:rPr>
          <w:rFonts w:ascii="Times New Roman" w:hAnsi="Times New Roman"/>
          <w:b/>
          <w:sz w:val="24"/>
          <w:szCs w:val="24"/>
        </w:rPr>
        <w:t xml:space="preserve">net </w:t>
      </w:r>
      <w:r>
        <w:rPr>
          <w:rFonts w:ascii="Times New Roman" w:hAnsi="Times New Roman"/>
          <w:b/>
          <w:sz w:val="24"/>
          <w:szCs w:val="24"/>
        </w:rPr>
        <w:t xml:space="preserve">REC revenue rebate </w:t>
      </w:r>
      <w:r w:rsidR="00CA125D">
        <w:rPr>
          <w:rFonts w:ascii="Times New Roman" w:hAnsi="Times New Roman"/>
          <w:b/>
          <w:sz w:val="24"/>
          <w:szCs w:val="24"/>
        </w:rPr>
        <w:t>Staff</w:t>
      </w:r>
      <w:r>
        <w:rPr>
          <w:rFonts w:ascii="Times New Roman" w:hAnsi="Times New Roman"/>
          <w:b/>
          <w:sz w:val="24"/>
          <w:szCs w:val="24"/>
        </w:rPr>
        <w:t xml:space="preserve"> recommend</w:t>
      </w:r>
      <w:r w:rsidR="00CA125D">
        <w:rPr>
          <w:rFonts w:ascii="Times New Roman" w:hAnsi="Times New Roman"/>
          <w:b/>
          <w:sz w:val="24"/>
          <w:szCs w:val="24"/>
        </w:rPr>
        <w:t>s</w:t>
      </w:r>
      <w:r>
        <w:rPr>
          <w:rFonts w:ascii="Times New Roman" w:hAnsi="Times New Roman"/>
          <w:b/>
          <w:sz w:val="24"/>
          <w:szCs w:val="24"/>
        </w:rPr>
        <w:t xml:space="preserve"> go into effect on January 1, 2015?</w:t>
      </w:r>
    </w:p>
    <w:p w14:paraId="7E1E4860" w14:textId="62DCBF58" w:rsidR="00417975" w:rsidRDefault="00E83B9D" w:rsidP="00CB5D3D">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CA6FD7">
        <w:rPr>
          <w:rFonts w:ascii="Times New Roman" w:hAnsi="Times New Roman"/>
          <w:sz w:val="24"/>
          <w:szCs w:val="24"/>
        </w:rPr>
        <w:t>As shown in my Exhibit No._</w:t>
      </w:r>
      <w:r w:rsidR="00CA125D">
        <w:rPr>
          <w:rFonts w:ascii="Times New Roman" w:hAnsi="Times New Roman"/>
          <w:sz w:val="24"/>
          <w:szCs w:val="24"/>
        </w:rPr>
        <w:t>_ (</w:t>
      </w:r>
      <w:r w:rsidR="00CA6FD7">
        <w:rPr>
          <w:rFonts w:ascii="Times New Roman" w:hAnsi="Times New Roman"/>
          <w:sz w:val="24"/>
          <w:szCs w:val="24"/>
        </w:rPr>
        <w:t xml:space="preserve">CRM-4), </w:t>
      </w:r>
      <w:r w:rsidR="00CA125D">
        <w:rPr>
          <w:rFonts w:ascii="Times New Roman" w:hAnsi="Times New Roman"/>
          <w:sz w:val="24"/>
          <w:szCs w:val="24"/>
        </w:rPr>
        <w:t xml:space="preserve">Staff’s </w:t>
      </w:r>
      <w:r w:rsidR="00CA6FD7">
        <w:rPr>
          <w:rFonts w:ascii="Times New Roman" w:hAnsi="Times New Roman"/>
          <w:sz w:val="24"/>
          <w:szCs w:val="24"/>
        </w:rPr>
        <w:t>estimate</w:t>
      </w:r>
      <w:r w:rsidR="00CA125D">
        <w:rPr>
          <w:rFonts w:ascii="Times New Roman" w:hAnsi="Times New Roman"/>
          <w:sz w:val="24"/>
          <w:szCs w:val="24"/>
        </w:rPr>
        <w:t xml:space="preserve"> of the </w:t>
      </w:r>
      <w:r w:rsidR="00CA6FD7">
        <w:rPr>
          <w:rFonts w:ascii="Times New Roman" w:hAnsi="Times New Roman"/>
          <w:sz w:val="24"/>
          <w:szCs w:val="24"/>
        </w:rPr>
        <w:t xml:space="preserve">net </w:t>
      </w:r>
      <w:r w:rsidR="007816A3">
        <w:rPr>
          <w:rFonts w:ascii="Times New Roman" w:hAnsi="Times New Roman"/>
          <w:sz w:val="24"/>
          <w:szCs w:val="24"/>
        </w:rPr>
        <w:t>REC revenue rebate is $8,613,493</w:t>
      </w:r>
      <w:r w:rsidR="00CA6FD7">
        <w:rPr>
          <w:rFonts w:ascii="Times New Roman" w:hAnsi="Times New Roman"/>
          <w:sz w:val="24"/>
          <w:szCs w:val="24"/>
        </w:rPr>
        <w:t xml:space="preserve">, to be amortized over the period January 1, 2015 to June 30, 2016. </w:t>
      </w:r>
    </w:p>
    <w:p w14:paraId="6E322C53" w14:textId="77777777" w:rsidR="00847ECD" w:rsidRDefault="00847ECD" w:rsidP="00CB5D3D">
      <w:pPr>
        <w:spacing w:after="0" w:line="480" w:lineRule="auto"/>
        <w:ind w:left="720" w:hanging="720"/>
        <w:rPr>
          <w:rFonts w:ascii="Times New Roman" w:hAnsi="Times New Roman"/>
          <w:sz w:val="24"/>
          <w:szCs w:val="24"/>
        </w:rPr>
        <w:sectPr w:rsidR="00847ECD" w:rsidSect="00254411">
          <w:footerReference w:type="default" r:id="rId13"/>
          <w:pgSz w:w="12240" w:h="15840" w:code="1"/>
          <w:pgMar w:top="1440" w:right="1440" w:bottom="1440" w:left="1440" w:header="720" w:footer="720" w:gutter="0"/>
          <w:lnNumType w:countBy="1"/>
          <w:cols w:space="720"/>
          <w:docGrid w:linePitch="360"/>
        </w:sectPr>
      </w:pPr>
    </w:p>
    <w:p w14:paraId="73F5D53B" w14:textId="25D63071" w:rsidR="00B569E3" w:rsidRDefault="00B569E3" w:rsidP="00CB5D3D">
      <w:pPr>
        <w:spacing w:after="0" w:line="480" w:lineRule="auto"/>
        <w:ind w:left="720" w:hanging="720"/>
        <w:rPr>
          <w:rFonts w:ascii="Times New Roman" w:hAnsi="Times New Roman"/>
          <w:b/>
          <w:sz w:val="24"/>
          <w:szCs w:val="24"/>
        </w:rPr>
      </w:pPr>
      <w:r>
        <w:rPr>
          <w:rFonts w:ascii="Times New Roman" w:hAnsi="Times New Roman"/>
          <w:b/>
          <w:sz w:val="24"/>
          <w:szCs w:val="24"/>
        </w:rPr>
        <w:lastRenderedPageBreak/>
        <w:t>Q.</w:t>
      </w:r>
      <w:r>
        <w:rPr>
          <w:rFonts w:ascii="Times New Roman" w:hAnsi="Times New Roman"/>
          <w:b/>
          <w:sz w:val="24"/>
          <w:szCs w:val="24"/>
        </w:rPr>
        <w:tab/>
        <w:t>Does this conclude your testimony?</w:t>
      </w:r>
    </w:p>
    <w:p w14:paraId="39023C75" w14:textId="250D3405" w:rsidR="00B569E3" w:rsidRPr="00B569E3" w:rsidRDefault="00B569E3" w:rsidP="00CB5D3D">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 Yes.</w:t>
      </w:r>
    </w:p>
    <w:p w14:paraId="5100D658" w14:textId="77777777" w:rsidR="00417975" w:rsidRPr="00417975" w:rsidRDefault="00417975" w:rsidP="00CB5D3D">
      <w:pPr>
        <w:spacing w:after="0" w:line="480" w:lineRule="auto"/>
        <w:rPr>
          <w:rFonts w:ascii="Times New Roman" w:hAnsi="Times New Roman"/>
          <w:sz w:val="24"/>
          <w:szCs w:val="24"/>
        </w:rPr>
      </w:pPr>
    </w:p>
    <w:sectPr w:rsidR="00417975" w:rsidRPr="00417975" w:rsidSect="00254411">
      <w:footerReference w:type="default" r:id="rId14"/>
      <w:pgSz w:w="12240" w:h="15840" w:code="1"/>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B43EF" w14:textId="77777777" w:rsidR="00254411" w:rsidRDefault="00254411" w:rsidP="00DC0D12">
      <w:pPr>
        <w:spacing w:after="0" w:line="240" w:lineRule="auto"/>
      </w:pPr>
      <w:r>
        <w:separator/>
      </w:r>
    </w:p>
  </w:endnote>
  <w:endnote w:type="continuationSeparator" w:id="0">
    <w:p w14:paraId="5A49A562" w14:textId="77777777" w:rsidR="00254411" w:rsidRDefault="00254411" w:rsidP="00DC0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FE1DD" w14:textId="77777777" w:rsidR="00254411" w:rsidRPr="00A5641D" w:rsidRDefault="00254411" w:rsidP="00AE559F">
    <w:pPr>
      <w:pStyle w:val="Footer"/>
      <w:tabs>
        <w:tab w:val="left" w:pos="7200"/>
      </w:tabs>
      <w:spacing w:after="0" w:line="240" w:lineRule="auto"/>
      <w:rPr>
        <w:rFonts w:ascii="Times New Roman" w:hAnsi="Times New Roman"/>
        <w:sz w:val="20"/>
        <w:szCs w:val="20"/>
        <w:lang w:val="en-US"/>
      </w:rPr>
    </w:pPr>
  </w:p>
  <w:p w14:paraId="68F88F49" w14:textId="6D3D3BED" w:rsidR="00254411" w:rsidRPr="00A5641D" w:rsidRDefault="00254411" w:rsidP="00AE559F">
    <w:pPr>
      <w:pStyle w:val="Footer"/>
      <w:tabs>
        <w:tab w:val="clear" w:pos="4680"/>
        <w:tab w:val="clear" w:pos="9360"/>
        <w:tab w:val="right" w:pos="8820"/>
      </w:tabs>
      <w:spacing w:after="0" w:line="240" w:lineRule="auto"/>
      <w:rPr>
        <w:rFonts w:ascii="Times New Roman" w:hAnsi="Times New Roman"/>
        <w:sz w:val="20"/>
        <w:szCs w:val="20"/>
        <w:lang w:val="en-US"/>
      </w:rPr>
    </w:pPr>
    <w:r>
      <w:rPr>
        <w:rFonts w:ascii="Times New Roman" w:hAnsi="Times New Roman"/>
        <w:sz w:val="20"/>
        <w:szCs w:val="20"/>
      </w:rPr>
      <w:t xml:space="preserve">TESTIMONY OF </w:t>
    </w:r>
    <w:r>
      <w:rPr>
        <w:rFonts w:ascii="Times New Roman" w:hAnsi="Times New Roman"/>
        <w:sz w:val="20"/>
        <w:szCs w:val="20"/>
        <w:lang w:val="en-US"/>
      </w:rPr>
      <w:t>CHRIS MCGUIRE</w:t>
    </w:r>
    <w:r w:rsidRPr="00A5641D">
      <w:rPr>
        <w:rFonts w:ascii="Times New Roman" w:hAnsi="Times New Roman"/>
        <w:sz w:val="20"/>
        <w:szCs w:val="20"/>
      </w:rPr>
      <w:tab/>
      <w:t xml:space="preserve">Exhibit No. </w:t>
    </w:r>
    <w:r w:rsidRPr="00A5641D">
      <w:rPr>
        <w:rFonts w:ascii="Times New Roman" w:hAnsi="Times New Roman"/>
        <w:sz w:val="20"/>
        <w:szCs w:val="20"/>
        <w:lang w:val="en-US"/>
      </w:rPr>
      <w:t>___ (</w:t>
    </w:r>
    <w:r>
      <w:rPr>
        <w:rFonts w:ascii="Times New Roman" w:hAnsi="Times New Roman"/>
        <w:sz w:val="20"/>
        <w:szCs w:val="20"/>
        <w:lang w:val="en-US"/>
      </w:rPr>
      <w:t>CRM</w:t>
    </w:r>
    <w:r w:rsidRPr="00A5641D">
      <w:rPr>
        <w:rFonts w:ascii="Times New Roman" w:hAnsi="Times New Roman"/>
        <w:sz w:val="20"/>
        <w:szCs w:val="20"/>
      </w:rPr>
      <w:t>-1</w:t>
    </w:r>
    <w:r>
      <w:rPr>
        <w:rFonts w:ascii="Times New Roman" w:hAnsi="Times New Roman"/>
        <w:sz w:val="20"/>
        <w:szCs w:val="20"/>
        <w:lang w:val="en-US"/>
      </w:rPr>
      <w:t>CT</w:t>
    </w:r>
    <w:r w:rsidRPr="00A5641D">
      <w:rPr>
        <w:rFonts w:ascii="Times New Roman" w:hAnsi="Times New Roman"/>
        <w:sz w:val="20"/>
        <w:szCs w:val="20"/>
        <w:lang w:val="en-US"/>
      </w:rPr>
      <w:t>)</w:t>
    </w:r>
  </w:p>
  <w:p w14:paraId="229DBF9C" w14:textId="3F6667E8" w:rsidR="00254411" w:rsidRPr="00A5641D" w:rsidRDefault="00254411" w:rsidP="00AE559F">
    <w:pPr>
      <w:pStyle w:val="Footer"/>
      <w:tabs>
        <w:tab w:val="clear" w:pos="4680"/>
        <w:tab w:val="clear" w:pos="9360"/>
        <w:tab w:val="right" w:pos="8820"/>
      </w:tabs>
      <w:spacing w:after="0" w:line="240" w:lineRule="auto"/>
      <w:rPr>
        <w:rFonts w:ascii="Times New Roman" w:hAnsi="Times New Roman"/>
        <w:sz w:val="20"/>
        <w:szCs w:val="20"/>
      </w:rPr>
    </w:pPr>
    <w:r>
      <w:rPr>
        <w:rFonts w:ascii="Times New Roman" w:hAnsi="Times New Roman"/>
        <w:sz w:val="20"/>
        <w:szCs w:val="20"/>
      </w:rPr>
      <w:t>Docket</w:t>
    </w:r>
    <w:r>
      <w:rPr>
        <w:rFonts w:ascii="Times New Roman" w:hAnsi="Times New Roman"/>
        <w:sz w:val="20"/>
        <w:szCs w:val="20"/>
        <w:lang w:val="en-US"/>
      </w:rPr>
      <w:t>s</w:t>
    </w:r>
    <w:r>
      <w:rPr>
        <w:rFonts w:ascii="Times New Roman" w:hAnsi="Times New Roman"/>
        <w:sz w:val="20"/>
        <w:szCs w:val="20"/>
      </w:rPr>
      <w:t xml:space="preserve"> UE-</w:t>
    </w:r>
    <w:r>
      <w:rPr>
        <w:rFonts w:ascii="Times New Roman" w:hAnsi="Times New Roman"/>
        <w:sz w:val="20"/>
        <w:szCs w:val="20"/>
        <w:lang w:val="en-US"/>
      </w:rPr>
      <w:t>140188/UG-140189</w:t>
    </w:r>
    <w:r w:rsidRPr="00A5641D">
      <w:rPr>
        <w:rFonts w:ascii="Times New Roman" w:hAnsi="Times New Roman"/>
        <w:sz w:val="20"/>
        <w:szCs w:val="20"/>
      </w:rPr>
      <w:tab/>
      <w:t xml:space="preserve">Page </w:t>
    </w:r>
    <w:r w:rsidRPr="00A5641D">
      <w:rPr>
        <w:rFonts w:ascii="Times New Roman" w:hAnsi="Times New Roman"/>
        <w:sz w:val="20"/>
        <w:szCs w:val="20"/>
      </w:rPr>
      <w:fldChar w:fldCharType="begin"/>
    </w:r>
    <w:r w:rsidRPr="00A5641D">
      <w:rPr>
        <w:rFonts w:ascii="Times New Roman" w:hAnsi="Times New Roman"/>
        <w:sz w:val="20"/>
        <w:szCs w:val="20"/>
      </w:rPr>
      <w:instrText xml:space="preserve"> PAGE </w:instrText>
    </w:r>
    <w:r w:rsidRPr="00A5641D">
      <w:rPr>
        <w:rFonts w:ascii="Times New Roman" w:hAnsi="Times New Roman"/>
        <w:sz w:val="20"/>
        <w:szCs w:val="20"/>
      </w:rPr>
      <w:fldChar w:fldCharType="separate"/>
    </w:r>
    <w:r w:rsidR="00C14A88">
      <w:rPr>
        <w:rFonts w:ascii="Times New Roman" w:hAnsi="Times New Roman"/>
        <w:noProof/>
        <w:sz w:val="20"/>
        <w:szCs w:val="20"/>
      </w:rPr>
      <w:t>51</w:t>
    </w:r>
    <w:r w:rsidRPr="00A5641D">
      <w:rPr>
        <w:rFonts w:ascii="Times New Roman" w:hAnsi="Times New Roman"/>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71128" w14:textId="77777777" w:rsidR="00847ECD" w:rsidRPr="00A5641D" w:rsidRDefault="00847ECD" w:rsidP="00AE559F">
    <w:pPr>
      <w:pStyle w:val="Footer"/>
      <w:tabs>
        <w:tab w:val="left" w:pos="7200"/>
      </w:tabs>
      <w:spacing w:after="0" w:line="240" w:lineRule="auto"/>
      <w:rPr>
        <w:rFonts w:ascii="Times New Roman" w:hAnsi="Times New Roman"/>
        <w:sz w:val="20"/>
        <w:szCs w:val="20"/>
        <w:lang w:val="en-US"/>
      </w:rPr>
    </w:pPr>
  </w:p>
  <w:p w14:paraId="4609DB7C" w14:textId="77777777" w:rsidR="00847ECD" w:rsidRPr="00A5641D" w:rsidRDefault="00847ECD" w:rsidP="00AE559F">
    <w:pPr>
      <w:pStyle w:val="Footer"/>
      <w:tabs>
        <w:tab w:val="clear" w:pos="4680"/>
        <w:tab w:val="clear" w:pos="9360"/>
        <w:tab w:val="right" w:pos="8820"/>
      </w:tabs>
      <w:spacing w:after="0" w:line="240" w:lineRule="auto"/>
      <w:rPr>
        <w:rFonts w:ascii="Times New Roman" w:hAnsi="Times New Roman"/>
        <w:sz w:val="20"/>
        <w:szCs w:val="20"/>
        <w:lang w:val="en-US"/>
      </w:rPr>
    </w:pPr>
    <w:r>
      <w:rPr>
        <w:rFonts w:ascii="Times New Roman" w:hAnsi="Times New Roman"/>
        <w:sz w:val="20"/>
        <w:szCs w:val="20"/>
      </w:rPr>
      <w:t xml:space="preserve">TESTIMONY OF </w:t>
    </w:r>
    <w:r>
      <w:rPr>
        <w:rFonts w:ascii="Times New Roman" w:hAnsi="Times New Roman"/>
        <w:sz w:val="20"/>
        <w:szCs w:val="20"/>
        <w:lang w:val="en-US"/>
      </w:rPr>
      <w:t>CHRIS MCGUIRE</w:t>
    </w:r>
    <w:r w:rsidRPr="00A5641D">
      <w:rPr>
        <w:rFonts w:ascii="Times New Roman" w:hAnsi="Times New Roman"/>
        <w:sz w:val="20"/>
        <w:szCs w:val="20"/>
      </w:rPr>
      <w:tab/>
      <w:t xml:space="preserve">Exhibit No. </w:t>
    </w:r>
    <w:r w:rsidRPr="00A5641D">
      <w:rPr>
        <w:rFonts w:ascii="Times New Roman" w:hAnsi="Times New Roman"/>
        <w:sz w:val="20"/>
        <w:szCs w:val="20"/>
        <w:lang w:val="en-US"/>
      </w:rPr>
      <w:t>___ (</w:t>
    </w:r>
    <w:r>
      <w:rPr>
        <w:rFonts w:ascii="Times New Roman" w:hAnsi="Times New Roman"/>
        <w:sz w:val="20"/>
        <w:szCs w:val="20"/>
        <w:lang w:val="en-US"/>
      </w:rPr>
      <w:t>CRM</w:t>
    </w:r>
    <w:r w:rsidRPr="00A5641D">
      <w:rPr>
        <w:rFonts w:ascii="Times New Roman" w:hAnsi="Times New Roman"/>
        <w:sz w:val="20"/>
        <w:szCs w:val="20"/>
      </w:rPr>
      <w:t>-1</w:t>
    </w:r>
    <w:r>
      <w:rPr>
        <w:rFonts w:ascii="Times New Roman" w:hAnsi="Times New Roman"/>
        <w:sz w:val="20"/>
        <w:szCs w:val="20"/>
        <w:lang w:val="en-US"/>
      </w:rPr>
      <w:t>CT</w:t>
    </w:r>
    <w:r w:rsidRPr="00A5641D">
      <w:rPr>
        <w:rFonts w:ascii="Times New Roman" w:hAnsi="Times New Roman"/>
        <w:sz w:val="20"/>
        <w:szCs w:val="20"/>
        <w:lang w:val="en-US"/>
      </w:rPr>
      <w:t>)</w:t>
    </w:r>
  </w:p>
  <w:p w14:paraId="0336077B" w14:textId="14907DDB" w:rsidR="00847ECD" w:rsidRPr="00A5641D" w:rsidRDefault="00847ECD" w:rsidP="00AE559F">
    <w:pPr>
      <w:pStyle w:val="Footer"/>
      <w:tabs>
        <w:tab w:val="clear" w:pos="4680"/>
        <w:tab w:val="clear" w:pos="9360"/>
        <w:tab w:val="right" w:pos="8820"/>
      </w:tabs>
      <w:spacing w:after="0" w:line="240" w:lineRule="auto"/>
      <w:rPr>
        <w:rFonts w:ascii="Times New Roman" w:hAnsi="Times New Roman"/>
        <w:sz w:val="20"/>
        <w:szCs w:val="20"/>
      </w:rPr>
    </w:pPr>
    <w:r>
      <w:rPr>
        <w:rFonts w:ascii="Times New Roman" w:hAnsi="Times New Roman"/>
        <w:sz w:val="20"/>
        <w:szCs w:val="20"/>
      </w:rPr>
      <w:t>Docket</w:t>
    </w:r>
    <w:r>
      <w:rPr>
        <w:rFonts w:ascii="Times New Roman" w:hAnsi="Times New Roman"/>
        <w:sz w:val="20"/>
        <w:szCs w:val="20"/>
        <w:lang w:val="en-US"/>
      </w:rPr>
      <w:t>s</w:t>
    </w:r>
    <w:r>
      <w:rPr>
        <w:rFonts w:ascii="Times New Roman" w:hAnsi="Times New Roman"/>
        <w:sz w:val="20"/>
        <w:szCs w:val="20"/>
      </w:rPr>
      <w:t xml:space="preserve"> UE-</w:t>
    </w:r>
    <w:r>
      <w:rPr>
        <w:rFonts w:ascii="Times New Roman" w:hAnsi="Times New Roman"/>
        <w:sz w:val="20"/>
        <w:szCs w:val="20"/>
        <w:lang w:val="en-US"/>
      </w:rPr>
      <w:t xml:space="preserve">140188/UG-140189            </w:t>
    </w:r>
    <w:r>
      <w:rPr>
        <w:rFonts w:ascii="Times New Roman" w:hAnsi="Times New Roman"/>
        <w:b/>
        <w:sz w:val="20"/>
        <w:szCs w:val="20"/>
        <w:lang w:val="en-US"/>
      </w:rPr>
      <w:t xml:space="preserve"> CONFIDENTIAL PER PROTECTIVE ORDER</w:t>
    </w:r>
    <w:r w:rsidRPr="00A5641D">
      <w:rPr>
        <w:rFonts w:ascii="Times New Roman" w:hAnsi="Times New Roman"/>
        <w:sz w:val="20"/>
        <w:szCs w:val="20"/>
      </w:rPr>
      <w:tab/>
      <w:t xml:space="preserve">Page </w:t>
    </w:r>
    <w:r w:rsidRPr="00A5641D">
      <w:rPr>
        <w:rFonts w:ascii="Times New Roman" w:hAnsi="Times New Roman"/>
        <w:sz w:val="20"/>
        <w:szCs w:val="20"/>
      </w:rPr>
      <w:fldChar w:fldCharType="begin"/>
    </w:r>
    <w:r w:rsidRPr="00A5641D">
      <w:rPr>
        <w:rFonts w:ascii="Times New Roman" w:hAnsi="Times New Roman"/>
        <w:sz w:val="20"/>
        <w:szCs w:val="20"/>
      </w:rPr>
      <w:instrText xml:space="preserve"> PAGE </w:instrText>
    </w:r>
    <w:r w:rsidRPr="00A5641D">
      <w:rPr>
        <w:rFonts w:ascii="Times New Roman" w:hAnsi="Times New Roman"/>
        <w:sz w:val="20"/>
        <w:szCs w:val="20"/>
      </w:rPr>
      <w:fldChar w:fldCharType="separate"/>
    </w:r>
    <w:r w:rsidR="00C14A88">
      <w:rPr>
        <w:rFonts w:ascii="Times New Roman" w:hAnsi="Times New Roman"/>
        <w:noProof/>
        <w:sz w:val="20"/>
        <w:szCs w:val="20"/>
      </w:rPr>
      <w:t>53</w:t>
    </w:r>
    <w:r w:rsidRPr="00A5641D">
      <w:rPr>
        <w:rFonts w:ascii="Times New Roman" w:hAnsi="Times New Roman"/>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7A69F" w14:textId="77777777" w:rsidR="00847ECD" w:rsidRPr="00A5641D" w:rsidRDefault="00847ECD" w:rsidP="00AE559F">
    <w:pPr>
      <w:pStyle w:val="Footer"/>
      <w:tabs>
        <w:tab w:val="left" w:pos="7200"/>
      </w:tabs>
      <w:spacing w:after="0" w:line="240" w:lineRule="auto"/>
      <w:rPr>
        <w:rFonts w:ascii="Times New Roman" w:hAnsi="Times New Roman"/>
        <w:sz w:val="20"/>
        <w:szCs w:val="20"/>
        <w:lang w:val="en-US"/>
      </w:rPr>
    </w:pPr>
  </w:p>
  <w:p w14:paraId="037FEB1F" w14:textId="77777777" w:rsidR="00847ECD" w:rsidRPr="00A5641D" w:rsidRDefault="00847ECD" w:rsidP="00AE559F">
    <w:pPr>
      <w:pStyle w:val="Footer"/>
      <w:tabs>
        <w:tab w:val="clear" w:pos="4680"/>
        <w:tab w:val="clear" w:pos="9360"/>
        <w:tab w:val="right" w:pos="8820"/>
      </w:tabs>
      <w:spacing w:after="0" w:line="240" w:lineRule="auto"/>
      <w:rPr>
        <w:rFonts w:ascii="Times New Roman" w:hAnsi="Times New Roman"/>
        <w:sz w:val="20"/>
        <w:szCs w:val="20"/>
        <w:lang w:val="en-US"/>
      </w:rPr>
    </w:pPr>
    <w:r>
      <w:rPr>
        <w:rFonts w:ascii="Times New Roman" w:hAnsi="Times New Roman"/>
        <w:sz w:val="20"/>
        <w:szCs w:val="20"/>
      </w:rPr>
      <w:t xml:space="preserve">TESTIMONY OF </w:t>
    </w:r>
    <w:r>
      <w:rPr>
        <w:rFonts w:ascii="Times New Roman" w:hAnsi="Times New Roman"/>
        <w:sz w:val="20"/>
        <w:szCs w:val="20"/>
        <w:lang w:val="en-US"/>
      </w:rPr>
      <w:t>CHRIS MCGUIRE</w:t>
    </w:r>
    <w:r w:rsidRPr="00A5641D">
      <w:rPr>
        <w:rFonts w:ascii="Times New Roman" w:hAnsi="Times New Roman"/>
        <w:sz w:val="20"/>
        <w:szCs w:val="20"/>
      </w:rPr>
      <w:tab/>
      <w:t xml:space="preserve">Exhibit No. </w:t>
    </w:r>
    <w:r w:rsidRPr="00A5641D">
      <w:rPr>
        <w:rFonts w:ascii="Times New Roman" w:hAnsi="Times New Roman"/>
        <w:sz w:val="20"/>
        <w:szCs w:val="20"/>
        <w:lang w:val="en-US"/>
      </w:rPr>
      <w:t>___ (</w:t>
    </w:r>
    <w:r>
      <w:rPr>
        <w:rFonts w:ascii="Times New Roman" w:hAnsi="Times New Roman"/>
        <w:sz w:val="20"/>
        <w:szCs w:val="20"/>
        <w:lang w:val="en-US"/>
      </w:rPr>
      <w:t>CRM</w:t>
    </w:r>
    <w:r w:rsidRPr="00A5641D">
      <w:rPr>
        <w:rFonts w:ascii="Times New Roman" w:hAnsi="Times New Roman"/>
        <w:sz w:val="20"/>
        <w:szCs w:val="20"/>
      </w:rPr>
      <w:t>-1</w:t>
    </w:r>
    <w:r>
      <w:rPr>
        <w:rFonts w:ascii="Times New Roman" w:hAnsi="Times New Roman"/>
        <w:sz w:val="20"/>
        <w:szCs w:val="20"/>
        <w:lang w:val="en-US"/>
      </w:rPr>
      <w:t>CT</w:t>
    </w:r>
    <w:r w:rsidRPr="00A5641D">
      <w:rPr>
        <w:rFonts w:ascii="Times New Roman" w:hAnsi="Times New Roman"/>
        <w:sz w:val="20"/>
        <w:szCs w:val="20"/>
        <w:lang w:val="en-US"/>
      </w:rPr>
      <w:t>)</w:t>
    </w:r>
  </w:p>
  <w:p w14:paraId="5D6BB111" w14:textId="77777777" w:rsidR="00847ECD" w:rsidRPr="00A5641D" w:rsidRDefault="00847ECD" w:rsidP="00AE559F">
    <w:pPr>
      <w:pStyle w:val="Footer"/>
      <w:tabs>
        <w:tab w:val="clear" w:pos="4680"/>
        <w:tab w:val="clear" w:pos="9360"/>
        <w:tab w:val="right" w:pos="8820"/>
      </w:tabs>
      <w:spacing w:after="0" w:line="240" w:lineRule="auto"/>
      <w:rPr>
        <w:rFonts w:ascii="Times New Roman" w:hAnsi="Times New Roman"/>
        <w:sz w:val="20"/>
        <w:szCs w:val="20"/>
      </w:rPr>
    </w:pPr>
    <w:r>
      <w:rPr>
        <w:rFonts w:ascii="Times New Roman" w:hAnsi="Times New Roman"/>
        <w:sz w:val="20"/>
        <w:szCs w:val="20"/>
      </w:rPr>
      <w:t>Docket</w:t>
    </w:r>
    <w:r>
      <w:rPr>
        <w:rFonts w:ascii="Times New Roman" w:hAnsi="Times New Roman"/>
        <w:sz w:val="20"/>
        <w:szCs w:val="20"/>
        <w:lang w:val="en-US"/>
      </w:rPr>
      <w:t>s</w:t>
    </w:r>
    <w:r>
      <w:rPr>
        <w:rFonts w:ascii="Times New Roman" w:hAnsi="Times New Roman"/>
        <w:sz w:val="20"/>
        <w:szCs w:val="20"/>
      </w:rPr>
      <w:t xml:space="preserve"> UE-</w:t>
    </w:r>
    <w:r>
      <w:rPr>
        <w:rFonts w:ascii="Times New Roman" w:hAnsi="Times New Roman"/>
        <w:sz w:val="20"/>
        <w:szCs w:val="20"/>
        <w:lang w:val="en-US"/>
      </w:rPr>
      <w:t>140188/UG-140189</w:t>
    </w:r>
    <w:r w:rsidRPr="00A5641D">
      <w:rPr>
        <w:rFonts w:ascii="Times New Roman" w:hAnsi="Times New Roman"/>
        <w:sz w:val="20"/>
        <w:szCs w:val="20"/>
      </w:rPr>
      <w:tab/>
      <w:t xml:space="preserve">Page </w:t>
    </w:r>
    <w:r w:rsidRPr="00A5641D">
      <w:rPr>
        <w:rFonts w:ascii="Times New Roman" w:hAnsi="Times New Roman"/>
        <w:sz w:val="20"/>
        <w:szCs w:val="20"/>
      </w:rPr>
      <w:fldChar w:fldCharType="begin"/>
    </w:r>
    <w:r w:rsidRPr="00A5641D">
      <w:rPr>
        <w:rFonts w:ascii="Times New Roman" w:hAnsi="Times New Roman"/>
        <w:sz w:val="20"/>
        <w:szCs w:val="20"/>
      </w:rPr>
      <w:instrText xml:space="preserve"> PAGE </w:instrText>
    </w:r>
    <w:r w:rsidRPr="00A5641D">
      <w:rPr>
        <w:rFonts w:ascii="Times New Roman" w:hAnsi="Times New Roman"/>
        <w:sz w:val="20"/>
        <w:szCs w:val="20"/>
      </w:rPr>
      <w:fldChar w:fldCharType="separate"/>
    </w:r>
    <w:r w:rsidR="00C14A88">
      <w:rPr>
        <w:rFonts w:ascii="Times New Roman" w:hAnsi="Times New Roman"/>
        <w:noProof/>
        <w:sz w:val="20"/>
        <w:szCs w:val="20"/>
      </w:rPr>
      <w:t>54</w:t>
    </w:r>
    <w:r w:rsidRPr="00A5641D">
      <w:rPr>
        <w:rFonts w:ascii="Times New Roman" w:hAnsi="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62A4FD" w14:textId="77777777" w:rsidR="00254411" w:rsidRDefault="00254411" w:rsidP="00DC0D12">
      <w:pPr>
        <w:spacing w:after="0" w:line="240" w:lineRule="auto"/>
      </w:pPr>
      <w:r>
        <w:separator/>
      </w:r>
    </w:p>
  </w:footnote>
  <w:footnote w:type="continuationSeparator" w:id="0">
    <w:p w14:paraId="7D83CFE8" w14:textId="77777777" w:rsidR="00254411" w:rsidRDefault="00254411" w:rsidP="00DC0D12">
      <w:pPr>
        <w:spacing w:after="0" w:line="240" w:lineRule="auto"/>
      </w:pPr>
      <w:r>
        <w:continuationSeparator/>
      </w:r>
    </w:p>
  </w:footnote>
  <w:footnote w:id="1">
    <w:p w14:paraId="04F7347C" w14:textId="77777777" w:rsidR="00254411" w:rsidRPr="00B35D87" w:rsidRDefault="00254411" w:rsidP="00425B0E">
      <w:pPr>
        <w:pStyle w:val="FootnoteText"/>
        <w:rPr>
          <w:rFonts w:ascii="Times New Roman" w:hAnsi="Times New Roman"/>
        </w:rPr>
      </w:pPr>
      <w:r w:rsidRPr="00B35D87">
        <w:rPr>
          <w:rStyle w:val="FootnoteReference"/>
          <w:rFonts w:ascii="Times New Roman" w:hAnsi="Times New Roman"/>
        </w:rPr>
        <w:footnoteRef/>
      </w:r>
      <w:r w:rsidRPr="00B35D87">
        <w:rPr>
          <w:rFonts w:ascii="Times New Roman" w:hAnsi="Times New Roman"/>
        </w:rPr>
        <w:t xml:space="preserve"> </w:t>
      </w:r>
      <w:r w:rsidRPr="00B35D87">
        <w:rPr>
          <w:rFonts w:ascii="Times New Roman" w:hAnsi="Times New Roman"/>
          <w:i/>
        </w:rPr>
        <w:t xml:space="preserve">Utilities and Transp. Comm’n v. Wash. Natural Gas Co., </w:t>
      </w:r>
      <w:r w:rsidRPr="00B35D87">
        <w:rPr>
          <w:rFonts w:ascii="Times New Roman" w:hAnsi="Times New Roman"/>
        </w:rPr>
        <w:t xml:space="preserve">Docket UG-920840, </w:t>
      </w:r>
      <w:r>
        <w:rPr>
          <w:rFonts w:ascii="Times New Roman" w:hAnsi="Times New Roman"/>
          <w:lang w:val="en-US"/>
        </w:rPr>
        <w:t>4</w:t>
      </w:r>
      <w:r w:rsidRPr="00B35D87">
        <w:rPr>
          <w:rFonts w:ascii="Times New Roman" w:hAnsi="Times New Roman"/>
          <w:vertAlign w:val="superscript"/>
          <w:lang w:val="en-US"/>
        </w:rPr>
        <w:t>th</w:t>
      </w:r>
      <w:r>
        <w:rPr>
          <w:rFonts w:ascii="Times New Roman" w:hAnsi="Times New Roman"/>
          <w:lang w:val="en-US"/>
        </w:rPr>
        <w:t xml:space="preserve"> </w:t>
      </w:r>
      <w:r w:rsidRPr="00B35D87">
        <w:rPr>
          <w:rFonts w:ascii="Times New Roman" w:hAnsi="Times New Roman"/>
        </w:rPr>
        <w:t xml:space="preserve">Supplemental Order (September 27, 1993), at 29. </w:t>
      </w:r>
    </w:p>
  </w:footnote>
  <w:footnote w:id="2">
    <w:p w14:paraId="1AA52808" w14:textId="63A2B756" w:rsidR="00254411" w:rsidRPr="007E55AE" w:rsidRDefault="00254411" w:rsidP="00254411">
      <w:pPr>
        <w:pStyle w:val="FootnoteText"/>
        <w:spacing w:after="0" w:line="240" w:lineRule="auto"/>
        <w:rPr>
          <w:rFonts w:ascii="Times New Roman" w:hAnsi="Times New Roman"/>
          <w:lang w:val="en-US"/>
        </w:rPr>
      </w:pPr>
      <w:r w:rsidRPr="00B35D87">
        <w:rPr>
          <w:rStyle w:val="FootnoteReference"/>
          <w:rFonts w:ascii="Times New Roman" w:hAnsi="Times New Roman"/>
        </w:rPr>
        <w:footnoteRef/>
      </w:r>
      <w:r w:rsidRPr="00B35D87">
        <w:rPr>
          <w:rFonts w:ascii="Times New Roman" w:hAnsi="Times New Roman"/>
        </w:rPr>
        <w:t xml:space="preserve"> </w:t>
      </w:r>
      <w:r>
        <w:rPr>
          <w:rFonts w:ascii="Times New Roman" w:hAnsi="Times New Roman"/>
          <w:i/>
          <w:lang w:val="en-US"/>
        </w:rPr>
        <w:t xml:space="preserve">Utilities &amp; Transp. Comm’n v. Puget Sound Energy, Inc., </w:t>
      </w:r>
      <w:r>
        <w:rPr>
          <w:rFonts w:ascii="Times New Roman" w:hAnsi="Times New Roman"/>
          <w:lang w:val="en-US"/>
        </w:rPr>
        <w:t>Dockets UE-111048 and UG-111049, Exhibit No.__ (KLE-1T) at 69:8-16.</w:t>
      </w:r>
    </w:p>
  </w:footnote>
  <w:footnote w:id="3">
    <w:p w14:paraId="4CFD6A1C" w14:textId="378E49EE" w:rsidR="00254411" w:rsidRPr="00B35D87" w:rsidRDefault="00254411" w:rsidP="00254411">
      <w:pPr>
        <w:pStyle w:val="FootnoteText"/>
        <w:spacing w:after="0" w:line="240" w:lineRule="auto"/>
        <w:rPr>
          <w:rFonts w:ascii="Times New Roman" w:hAnsi="Times New Roman"/>
          <w:lang w:val="en-US"/>
        </w:rPr>
      </w:pPr>
      <w:r w:rsidRPr="00B35D87">
        <w:rPr>
          <w:rStyle w:val="FootnoteReference"/>
          <w:rFonts w:ascii="Times New Roman" w:hAnsi="Times New Roman"/>
        </w:rPr>
        <w:footnoteRef/>
      </w:r>
      <w:r w:rsidRPr="00B35D87">
        <w:rPr>
          <w:rFonts w:ascii="Times New Roman" w:hAnsi="Times New Roman"/>
        </w:rPr>
        <w:t xml:space="preserve"> </w:t>
      </w:r>
      <w:r>
        <w:rPr>
          <w:rFonts w:ascii="Times New Roman" w:hAnsi="Times New Roman"/>
          <w:i/>
          <w:lang w:val="en-US"/>
        </w:rPr>
        <w:t xml:space="preserve">Utilities &amp; Transp. Comm’n </w:t>
      </w:r>
      <w:r>
        <w:rPr>
          <w:rFonts w:ascii="Times New Roman" w:hAnsi="Times New Roman"/>
          <w:lang w:val="en-US"/>
        </w:rPr>
        <w:t>v</w:t>
      </w:r>
      <w:r w:rsidRPr="00C946D5">
        <w:rPr>
          <w:rFonts w:ascii="Times New Roman" w:hAnsi="Times New Roman"/>
          <w:i/>
          <w:lang w:val="en-US"/>
        </w:rPr>
        <w:t>. Wash. Water Power Co</w:t>
      </w:r>
      <w:r>
        <w:rPr>
          <w:rFonts w:ascii="Times New Roman" w:hAnsi="Times New Roman"/>
          <w:lang w:val="en-US"/>
        </w:rPr>
        <w:t>.</w:t>
      </w:r>
      <w:r w:rsidRPr="00B35D87">
        <w:rPr>
          <w:rFonts w:ascii="Times New Roman" w:hAnsi="Times New Roman"/>
          <w:lang w:val="en-US"/>
        </w:rPr>
        <w:t>, Cause U-81-15/16, 2</w:t>
      </w:r>
      <w:r w:rsidRPr="00B35D87">
        <w:rPr>
          <w:rFonts w:ascii="Times New Roman" w:hAnsi="Times New Roman"/>
          <w:vertAlign w:val="superscript"/>
          <w:lang w:val="en-US"/>
        </w:rPr>
        <w:t>nd</w:t>
      </w:r>
      <w:r w:rsidRPr="00B35D87">
        <w:rPr>
          <w:rFonts w:ascii="Times New Roman" w:hAnsi="Times New Roman"/>
          <w:lang w:val="en-US"/>
        </w:rPr>
        <w:t xml:space="preserve"> Suppl. Order at 22 (November 25, 1981).</w:t>
      </w:r>
      <w:r>
        <w:rPr>
          <w:rFonts w:ascii="Times New Roman" w:hAnsi="Times New Roman"/>
          <w:lang w:val="en-US"/>
        </w:rPr>
        <w:t xml:space="preserve">  (“Washington Water Power Co.” was Avista’s previous name).</w:t>
      </w:r>
    </w:p>
  </w:footnote>
  <w:footnote w:id="4">
    <w:p w14:paraId="30DC9EA5" w14:textId="506494DE" w:rsidR="00254411" w:rsidRPr="00B35D87" w:rsidRDefault="00254411" w:rsidP="00254411">
      <w:pPr>
        <w:pStyle w:val="FootnoteText"/>
        <w:spacing w:after="0" w:line="240" w:lineRule="auto"/>
        <w:rPr>
          <w:lang w:val="en-US"/>
        </w:rPr>
      </w:pPr>
      <w:r>
        <w:rPr>
          <w:rStyle w:val="FootnoteReference"/>
        </w:rPr>
        <w:footnoteRef/>
      </w:r>
      <w:r>
        <w:t xml:space="preserve"> </w:t>
      </w:r>
      <w:r w:rsidRPr="00B35D87">
        <w:rPr>
          <w:rFonts w:ascii="Times New Roman" w:hAnsi="Times New Roman"/>
          <w:i/>
        </w:rPr>
        <w:t>Report and Policy Statement on Regulatory Mechanisms, Including Decoupling, to Encourage Utilities to Meet or Exceed Their Conservation Targets</w:t>
      </w:r>
      <w:r>
        <w:rPr>
          <w:rFonts w:ascii="Times New Roman" w:hAnsi="Times New Roman"/>
          <w:lang w:val="en-US"/>
        </w:rPr>
        <w:t>,</w:t>
      </w:r>
      <w:r w:rsidRPr="00F81EBF">
        <w:rPr>
          <w:rFonts w:ascii="Times New Roman" w:hAnsi="Times New Roman"/>
        </w:rPr>
        <w:t xml:space="preserve"> </w:t>
      </w:r>
      <w:r>
        <w:rPr>
          <w:rFonts w:ascii="Times New Roman" w:hAnsi="Times New Roman"/>
          <w:lang w:val="en-US"/>
        </w:rPr>
        <w:t xml:space="preserve">Docket U-100522 at </w:t>
      </w:r>
      <w:r w:rsidRPr="00F81EBF">
        <w:rPr>
          <w:rFonts w:ascii="Times New Roman" w:hAnsi="Times New Roman"/>
          <w:lang w:val="en-US"/>
        </w:rPr>
        <w:t>22</w:t>
      </w:r>
      <w:r>
        <w:rPr>
          <w:rFonts w:ascii="Times New Roman" w:hAnsi="Times New Roman"/>
          <w:lang w:val="en-US"/>
        </w:rPr>
        <w:t>, ¶ 34</w:t>
      </w:r>
      <w:r w:rsidRPr="00F81EBF">
        <w:rPr>
          <w:rFonts w:ascii="Times New Roman" w:hAnsi="Times New Roman"/>
          <w:lang w:val="en-US"/>
        </w:rPr>
        <w:t xml:space="preserve"> </w:t>
      </w:r>
      <w:r>
        <w:rPr>
          <w:rFonts w:ascii="Times New Roman" w:hAnsi="Times New Roman"/>
          <w:lang w:val="en-US"/>
        </w:rPr>
        <w:t>(</w:t>
      </w:r>
      <w:r w:rsidRPr="00F81EBF">
        <w:rPr>
          <w:rFonts w:ascii="Times New Roman" w:hAnsi="Times New Roman"/>
          <w:lang w:val="en-US"/>
        </w:rPr>
        <w:t>November 4, 2010</w:t>
      </w:r>
      <w:r>
        <w:rPr>
          <w:rFonts w:ascii="Times New Roman" w:hAnsi="Times New Roman"/>
          <w:lang w:val="en-US"/>
        </w:rPr>
        <w:t>)</w:t>
      </w:r>
      <w:r w:rsidRPr="00F81EBF">
        <w:rPr>
          <w:rFonts w:ascii="Times New Roman" w:hAnsi="Times New Roman"/>
        </w:rPr>
        <w:t>.</w:t>
      </w:r>
    </w:p>
  </w:footnote>
  <w:footnote w:id="5">
    <w:p w14:paraId="1ABEFE0E" w14:textId="4E8EA353" w:rsidR="00254411" w:rsidRPr="00B35D87" w:rsidRDefault="00254411" w:rsidP="00254411">
      <w:pPr>
        <w:pStyle w:val="FootnoteText"/>
        <w:spacing w:after="0" w:line="240" w:lineRule="auto"/>
        <w:rPr>
          <w:rFonts w:ascii="Times New Roman" w:hAnsi="Times New Roman"/>
        </w:rPr>
      </w:pPr>
      <w:r w:rsidRPr="00B35D87">
        <w:rPr>
          <w:rStyle w:val="FootnoteReference"/>
          <w:rFonts w:ascii="Times New Roman" w:hAnsi="Times New Roman"/>
        </w:rPr>
        <w:footnoteRef/>
      </w:r>
      <w:r w:rsidRPr="00B35D87">
        <w:rPr>
          <w:rFonts w:ascii="Times New Roman" w:hAnsi="Times New Roman"/>
        </w:rPr>
        <w:t xml:space="preserve"> </w:t>
      </w:r>
      <w:r>
        <w:rPr>
          <w:rFonts w:ascii="Times New Roman" w:hAnsi="Times New Roman"/>
          <w:i/>
          <w:lang w:val="en-US"/>
        </w:rPr>
        <w:t xml:space="preserve">Utilities and Transp. Comm’n v. Avista Corp., </w:t>
      </w:r>
      <w:r w:rsidRPr="00896D73">
        <w:rPr>
          <w:rStyle w:val="LineNumber"/>
          <w:sz w:val="20"/>
          <w:szCs w:val="20"/>
        </w:rPr>
        <w:t>Docket</w:t>
      </w:r>
      <w:r>
        <w:rPr>
          <w:rStyle w:val="LineNumber"/>
          <w:sz w:val="20"/>
          <w:szCs w:val="20"/>
          <w:lang w:val="en-US"/>
        </w:rPr>
        <w:t>s</w:t>
      </w:r>
      <w:r w:rsidRPr="00896D73">
        <w:rPr>
          <w:rStyle w:val="LineNumber"/>
          <w:sz w:val="20"/>
          <w:szCs w:val="20"/>
        </w:rPr>
        <w:t xml:space="preserve"> UE-120436/UG-120437 and UE-110876/UG-110877</w:t>
      </w:r>
      <w:r>
        <w:rPr>
          <w:rStyle w:val="LineNumber"/>
          <w:sz w:val="20"/>
          <w:szCs w:val="20"/>
          <w:lang w:val="en-US"/>
        </w:rPr>
        <w:t xml:space="preserve">, </w:t>
      </w:r>
      <w:r w:rsidRPr="00B35D87">
        <w:rPr>
          <w:rFonts w:ascii="Times New Roman" w:hAnsi="Times New Roman"/>
        </w:rPr>
        <w:t xml:space="preserve">Order </w:t>
      </w:r>
      <w:r w:rsidRPr="00896D73">
        <w:rPr>
          <w:rStyle w:val="LineNumber"/>
          <w:sz w:val="20"/>
          <w:szCs w:val="20"/>
        </w:rPr>
        <w:t>09</w:t>
      </w:r>
      <w:r>
        <w:rPr>
          <w:rStyle w:val="LineNumber"/>
          <w:sz w:val="20"/>
          <w:szCs w:val="20"/>
          <w:lang w:val="en-US"/>
        </w:rPr>
        <w:t xml:space="preserve"> at 4, ¶10 (</w:t>
      </w:r>
      <w:r w:rsidRPr="00534DE6">
        <w:rPr>
          <w:rStyle w:val="LineNumber"/>
          <w:sz w:val="20"/>
          <w:szCs w:val="20"/>
          <w:lang w:val="en-US"/>
        </w:rPr>
        <w:t>December 26, 2012</w:t>
      </w:r>
      <w:r>
        <w:rPr>
          <w:rStyle w:val="LineNumber"/>
          <w:sz w:val="20"/>
          <w:szCs w:val="20"/>
          <w:lang w:val="en-US"/>
        </w:rPr>
        <w:t>).</w:t>
      </w:r>
    </w:p>
  </w:footnote>
  <w:footnote w:id="6">
    <w:p w14:paraId="2C2517F5" w14:textId="63E2F8FA" w:rsidR="00254411" w:rsidRPr="00534DE6" w:rsidRDefault="00254411" w:rsidP="00254411">
      <w:pPr>
        <w:pStyle w:val="FootnoteText"/>
        <w:spacing w:after="0" w:line="240" w:lineRule="auto"/>
        <w:rPr>
          <w:rFonts w:ascii="Times New Roman" w:hAnsi="Times New Roman"/>
          <w:lang w:val="en-US"/>
        </w:rPr>
      </w:pPr>
      <w:r w:rsidRPr="00B35D87">
        <w:rPr>
          <w:rStyle w:val="FootnoteReference"/>
          <w:rFonts w:ascii="Times New Roman" w:hAnsi="Times New Roman"/>
        </w:rPr>
        <w:footnoteRef/>
      </w:r>
      <w:r w:rsidRPr="00B35D87">
        <w:rPr>
          <w:rFonts w:ascii="Times New Roman" w:hAnsi="Times New Roman"/>
        </w:rPr>
        <w:t xml:space="preserve"> </w:t>
      </w:r>
      <w:r>
        <w:rPr>
          <w:rFonts w:ascii="Times New Roman" w:hAnsi="Times New Roman"/>
          <w:i/>
          <w:lang w:val="en-US"/>
        </w:rPr>
        <w:t>Id.</w:t>
      </w:r>
      <w:r>
        <w:rPr>
          <w:rStyle w:val="LineNumber"/>
          <w:sz w:val="20"/>
          <w:szCs w:val="20"/>
          <w:lang w:val="en-US"/>
        </w:rPr>
        <w:t xml:space="preserve"> at 3, ¶ 4.</w:t>
      </w:r>
    </w:p>
  </w:footnote>
  <w:footnote w:id="7">
    <w:p w14:paraId="3893A661" w14:textId="4D3A9F84" w:rsidR="00254411" w:rsidRPr="00AE5C34" w:rsidRDefault="00254411" w:rsidP="00254411">
      <w:pPr>
        <w:pStyle w:val="FootnoteText"/>
        <w:spacing w:after="0" w:line="240" w:lineRule="auto"/>
        <w:rPr>
          <w:rFonts w:ascii="Times New Roman" w:hAnsi="Times New Roman"/>
          <w:lang w:val="en-US"/>
        </w:rPr>
      </w:pPr>
      <w:r w:rsidRPr="00AE5C34">
        <w:rPr>
          <w:rStyle w:val="FootnoteReference"/>
          <w:rFonts w:ascii="Times New Roman" w:hAnsi="Times New Roman"/>
        </w:rPr>
        <w:footnoteRef/>
      </w:r>
      <w:r w:rsidRPr="00AE5C34">
        <w:rPr>
          <w:rFonts w:ascii="Times New Roman" w:hAnsi="Times New Roman"/>
        </w:rPr>
        <w:t xml:space="preserve"> </w:t>
      </w:r>
      <w:r w:rsidRPr="00AE5C34">
        <w:rPr>
          <w:rFonts w:ascii="Times New Roman" w:hAnsi="Times New Roman"/>
          <w:i/>
          <w:lang w:val="en-US"/>
        </w:rPr>
        <w:t xml:space="preserve">Id. </w:t>
      </w:r>
      <w:r w:rsidRPr="00AE5C34">
        <w:rPr>
          <w:rFonts w:ascii="Times New Roman" w:hAnsi="Times New Roman"/>
          <w:lang w:val="en-US"/>
        </w:rPr>
        <w:t xml:space="preserve">at </w:t>
      </w:r>
      <w:r>
        <w:rPr>
          <w:rFonts w:ascii="Times New Roman" w:hAnsi="Times New Roman"/>
          <w:lang w:val="en-US"/>
        </w:rPr>
        <w:t xml:space="preserve">27, ¶ </w:t>
      </w:r>
      <w:r w:rsidRPr="00AE5C34">
        <w:rPr>
          <w:rFonts w:ascii="Times New Roman" w:hAnsi="Times New Roman"/>
          <w:lang w:val="en-US"/>
        </w:rPr>
        <w:t>72</w:t>
      </w:r>
      <w:r>
        <w:rPr>
          <w:rFonts w:ascii="Times New Roman" w:hAnsi="Times New Roman"/>
          <w:lang w:val="en-US"/>
        </w:rPr>
        <w:t>, Conclusion of Law 5</w:t>
      </w:r>
      <w:r w:rsidRPr="00AE5C34">
        <w:rPr>
          <w:rFonts w:ascii="Times New Roman" w:hAnsi="Times New Roman"/>
          <w:lang w:val="en-US"/>
        </w:rPr>
        <w:t>.</w:t>
      </w:r>
    </w:p>
  </w:footnote>
  <w:footnote w:id="8">
    <w:p w14:paraId="238DA704" w14:textId="45D7A9A2" w:rsidR="00254411" w:rsidRPr="00607E1D" w:rsidRDefault="00254411" w:rsidP="00254411">
      <w:pPr>
        <w:pStyle w:val="FootnoteText"/>
        <w:widowControl w:val="0"/>
        <w:spacing w:after="0" w:line="240" w:lineRule="auto"/>
        <w:rPr>
          <w:rFonts w:ascii="Times New Roman" w:hAnsi="Times New Roman"/>
          <w:lang w:val="en-US"/>
        </w:rPr>
      </w:pPr>
      <w:r w:rsidRPr="00607E1D">
        <w:rPr>
          <w:rStyle w:val="FootnoteReference"/>
          <w:rFonts w:ascii="Times New Roman" w:hAnsi="Times New Roman"/>
        </w:rPr>
        <w:footnoteRef/>
      </w:r>
      <w:r w:rsidRPr="00607E1D">
        <w:rPr>
          <w:rFonts w:ascii="Times New Roman" w:hAnsi="Times New Roman"/>
        </w:rPr>
        <w:t xml:space="preserve"> </w:t>
      </w:r>
      <w:r w:rsidRPr="00607E1D">
        <w:rPr>
          <w:rFonts w:ascii="Times New Roman" w:hAnsi="Times New Roman"/>
          <w:i/>
          <w:lang w:val="en-US"/>
        </w:rPr>
        <w:t>See</w:t>
      </w:r>
      <w:r w:rsidRPr="00607E1D">
        <w:rPr>
          <w:rFonts w:ascii="Times New Roman" w:hAnsi="Times New Roman"/>
          <w:lang w:val="en-US"/>
        </w:rPr>
        <w:t xml:space="preserve"> page 10 of Andrews Direct</w:t>
      </w:r>
      <w:r>
        <w:rPr>
          <w:rFonts w:ascii="Times New Roman" w:hAnsi="Times New Roman"/>
          <w:lang w:val="en-US"/>
        </w:rPr>
        <w:t>,</w:t>
      </w:r>
      <w:r w:rsidRPr="00607E1D">
        <w:rPr>
          <w:rFonts w:ascii="Times New Roman" w:hAnsi="Times New Roman"/>
          <w:lang w:val="en-US"/>
        </w:rPr>
        <w:t xml:space="preserve"> Exhibit No.___ (EMA-2)</w:t>
      </w:r>
      <w:r>
        <w:rPr>
          <w:rFonts w:ascii="Times New Roman" w:hAnsi="Times New Roman"/>
          <w:lang w:val="en-US"/>
        </w:rPr>
        <w:t>,</w:t>
      </w:r>
      <w:r w:rsidRPr="00607E1D">
        <w:rPr>
          <w:rFonts w:ascii="Times New Roman" w:hAnsi="Times New Roman"/>
          <w:lang w:val="en-US"/>
        </w:rPr>
        <w:t xml:space="preserve"> and Exhibit No.___ (EMA-3).</w:t>
      </w:r>
    </w:p>
  </w:footnote>
  <w:footnote w:id="9">
    <w:p w14:paraId="61B6629E" w14:textId="4DBF253E" w:rsidR="00254411" w:rsidRPr="00607E1D" w:rsidRDefault="00254411" w:rsidP="00254411">
      <w:pPr>
        <w:pStyle w:val="FootnoteText"/>
        <w:widowControl w:val="0"/>
        <w:spacing w:after="0" w:line="240" w:lineRule="auto"/>
        <w:rPr>
          <w:rFonts w:ascii="Times New Roman" w:hAnsi="Times New Roman"/>
          <w:lang w:val="en-US"/>
        </w:rPr>
      </w:pPr>
      <w:r w:rsidRPr="00607E1D">
        <w:rPr>
          <w:rStyle w:val="FootnoteReference"/>
          <w:rFonts w:ascii="Times New Roman" w:hAnsi="Times New Roman"/>
        </w:rPr>
        <w:footnoteRef/>
      </w:r>
      <w:r w:rsidRPr="00607E1D">
        <w:rPr>
          <w:rFonts w:ascii="Times New Roman" w:hAnsi="Times New Roman"/>
        </w:rPr>
        <w:t xml:space="preserve"> </w:t>
      </w:r>
      <w:r w:rsidRPr="00607E1D">
        <w:rPr>
          <w:rFonts w:ascii="Times New Roman" w:hAnsi="Times New Roman"/>
          <w:lang w:val="en-US"/>
        </w:rPr>
        <w:t>This adjustment is shown in Exhibit No.__ (CRM-2), pages 4-5, column [D], and Exhibit No.__ (CRM-3), pages 4-5, column [C].</w:t>
      </w:r>
    </w:p>
  </w:footnote>
  <w:footnote w:id="10">
    <w:p w14:paraId="706E0A47" w14:textId="2E0116D9" w:rsidR="00254411" w:rsidRPr="00DB1280" w:rsidRDefault="00254411">
      <w:pPr>
        <w:pStyle w:val="FootnoteText"/>
        <w:rPr>
          <w:rFonts w:ascii="Times New Roman" w:hAnsi="Times New Roman"/>
          <w:lang w:val="en-US"/>
        </w:rPr>
      </w:pPr>
      <w:r w:rsidRPr="00DB1280">
        <w:rPr>
          <w:rStyle w:val="FootnoteReference"/>
          <w:rFonts w:ascii="Times New Roman" w:hAnsi="Times New Roman"/>
        </w:rPr>
        <w:footnoteRef/>
      </w:r>
      <w:r w:rsidRPr="00DB1280">
        <w:rPr>
          <w:rFonts w:ascii="Times New Roman" w:hAnsi="Times New Roman"/>
        </w:rPr>
        <w:t xml:space="preserve"> </w:t>
      </w:r>
      <w:r w:rsidRPr="00DB1280">
        <w:rPr>
          <w:rFonts w:ascii="Times New Roman" w:hAnsi="Times New Roman"/>
          <w:lang w:val="en-US"/>
        </w:rPr>
        <w:t>Provided in Avista response to Staff Data Request 171.</w:t>
      </w:r>
    </w:p>
  </w:footnote>
  <w:footnote w:id="11">
    <w:p w14:paraId="038D7B57" w14:textId="7C77A04E" w:rsidR="00254411" w:rsidRPr="00B35D87" w:rsidRDefault="00254411" w:rsidP="00C946D5">
      <w:pPr>
        <w:pStyle w:val="FootnoteText"/>
        <w:spacing w:after="0"/>
        <w:rPr>
          <w:rFonts w:ascii="Times New Roman" w:hAnsi="Times New Roman"/>
          <w:lang w:val="en-US"/>
        </w:rPr>
      </w:pPr>
      <w:r w:rsidRPr="00B35D87">
        <w:rPr>
          <w:rStyle w:val="FootnoteReference"/>
          <w:rFonts w:ascii="Times New Roman" w:hAnsi="Times New Roman"/>
        </w:rPr>
        <w:footnoteRef/>
      </w:r>
      <w:r w:rsidRPr="00B35D87">
        <w:rPr>
          <w:rFonts w:ascii="Times New Roman" w:hAnsi="Times New Roman"/>
        </w:rPr>
        <w:t xml:space="preserve"> </w:t>
      </w:r>
      <w:r>
        <w:rPr>
          <w:rFonts w:ascii="Times New Roman" w:hAnsi="Times New Roman"/>
          <w:lang w:val="en-US"/>
        </w:rPr>
        <w:t xml:space="preserve">Norwood Direct, </w:t>
      </w:r>
      <w:r w:rsidRPr="00B35D87">
        <w:rPr>
          <w:rFonts w:ascii="Times New Roman" w:hAnsi="Times New Roman"/>
          <w:lang w:val="en-US"/>
        </w:rPr>
        <w:t>Exhibit No.__</w:t>
      </w:r>
      <w:r>
        <w:rPr>
          <w:rFonts w:ascii="Times New Roman" w:hAnsi="Times New Roman"/>
          <w:lang w:val="en-US"/>
        </w:rPr>
        <w:t xml:space="preserve">_ </w:t>
      </w:r>
      <w:r w:rsidRPr="00B35D87">
        <w:rPr>
          <w:rFonts w:ascii="Times New Roman" w:hAnsi="Times New Roman"/>
          <w:lang w:val="en-US"/>
        </w:rPr>
        <w:t xml:space="preserve">(KON-1T), </w:t>
      </w:r>
      <w:r>
        <w:rPr>
          <w:rFonts w:ascii="Times New Roman" w:hAnsi="Times New Roman"/>
          <w:lang w:val="en-US"/>
        </w:rPr>
        <w:t>at 14:</w:t>
      </w:r>
      <w:r w:rsidRPr="00B35D87">
        <w:rPr>
          <w:rFonts w:ascii="Times New Roman" w:hAnsi="Times New Roman"/>
          <w:lang w:val="en-US"/>
        </w:rPr>
        <w:t>3-4.</w:t>
      </w:r>
    </w:p>
  </w:footnote>
  <w:footnote w:id="12">
    <w:p w14:paraId="65C173CC" w14:textId="5101E8AE" w:rsidR="00254411" w:rsidRPr="00B35D87" w:rsidRDefault="00254411" w:rsidP="00C946D5">
      <w:pPr>
        <w:pStyle w:val="FootnoteText"/>
        <w:spacing w:after="0"/>
        <w:rPr>
          <w:rFonts w:ascii="Times New Roman" w:hAnsi="Times New Roman"/>
          <w:lang w:val="en-US"/>
        </w:rPr>
      </w:pPr>
      <w:r w:rsidRPr="00B35D87">
        <w:rPr>
          <w:rStyle w:val="FootnoteReference"/>
          <w:rFonts w:ascii="Times New Roman" w:hAnsi="Times New Roman"/>
        </w:rPr>
        <w:footnoteRef/>
      </w:r>
      <w:r w:rsidRPr="00B35D87">
        <w:rPr>
          <w:rFonts w:ascii="Times New Roman" w:hAnsi="Times New Roman"/>
        </w:rPr>
        <w:t xml:space="preserve"> </w:t>
      </w:r>
      <w:r>
        <w:rPr>
          <w:rFonts w:ascii="Times New Roman" w:hAnsi="Times New Roman"/>
          <w:lang w:val="en-US"/>
        </w:rPr>
        <w:t xml:space="preserve">Andrews Direct, </w:t>
      </w:r>
      <w:r w:rsidRPr="00B35D87">
        <w:rPr>
          <w:rFonts w:ascii="Times New Roman" w:hAnsi="Times New Roman"/>
          <w:lang w:val="en-US"/>
        </w:rPr>
        <w:t>Exhibit No.__</w:t>
      </w:r>
      <w:r>
        <w:rPr>
          <w:rFonts w:ascii="Times New Roman" w:hAnsi="Times New Roman"/>
          <w:lang w:val="en-US"/>
        </w:rPr>
        <w:t>_ (EMA-1T), at 8:</w:t>
      </w:r>
      <w:r w:rsidRPr="00B35D87">
        <w:rPr>
          <w:rFonts w:ascii="Times New Roman" w:hAnsi="Times New Roman"/>
          <w:lang w:val="en-US"/>
        </w:rPr>
        <w:t>6-8.</w:t>
      </w:r>
    </w:p>
  </w:footnote>
  <w:footnote w:id="13">
    <w:p w14:paraId="546804E5" w14:textId="2D53D2C6" w:rsidR="00254411" w:rsidRPr="00B35D87" w:rsidRDefault="00254411" w:rsidP="00C946D5">
      <w:pPr>
        <w:pStyle w:val="FootnoteText"/>
        <w:spacing w:after="0"/>
        <w:rPr>
          <w:rFonts w:ascii="Times New Roman" w:hAnsi="Times New Roman"/>
          <w:lang w:val="en-US"/>
        </w:rPr>
      </w:pPr>
      <w:r w:rsidRPr="00B35D87">
        <w:rPr>
          <w:rStyle w:val="FootnoteReference"/>
          <w:rFonts w:ascii="Times New Roman" w:hAnsi="Times New Roman"/>
        </w:rPr>
        <w:footnoteRef/>
      </w:r>
      <w:r w:rsidRPr="00B35D87">
        <w:rPr>
          <w:rFonts w:ascii="Times New Roman" w:hAnsi="Times New Roman"/>
        </w:rPr>
        <w:t xml:space="preserve"> </w:t>
      </w:r>
      <w:r>
        <w:rPr>
          <w:rFonts w:ascii="Times New Roman" w:hAnsi="Times New Roman"/>
          <w:lang w:val="en-US"/>
        </w:rPr>
        <w:t xml:space="preserve">Andrews Direct, </w:t>
      </w:r>
      <w:r w:rsidRPr="00B35D87">
        <w:rPr>
          <w:rFonts w:ascii="Times New Roman" w:hAnsi="Times New Roman"/>
          <w:lang w:val="en-US"/>
        </w:rPr>
        <w:t>Exhibit No.__</w:t>
      </w:r>
      <w:r>
        <w:rPr>
          <w:rFonts w:ascii="Times New Roman" w:hAnsi="Times New Roman"/>
          <w:lang w:val="en-US"/>
        </w:rPr>
        <w:t>_ (EMA-2),</w:t>
      </w:r>
      <w:r w:rsidRPr="00B35D87">
        <w:rPr>
          <w:rFonts w:ascii="Times New Roman" w:hAnsi="Times New Roman"/>
          <w:lang w:val="en-US"/>
        </w:rPr>
        <w:t xml:space="preserve"> </w:t>
      </w:r>
      <w:r>
        <w:rPr>
          <w:rFonts w:ascii="Times New Roman" w:hAnsi="Times New Roman"/>
          <w:lang w:val="en-US"/>
        </w:rPr>
        <w:t xml:space="preserve">at </w:t>
      </w:r>
      <w:r w:rsidRPr="00B35D87">
        <w:rPr>
          <w:rFonts w:ascii="Times New Roman" w:hAnsi="Times New Roman"/>
          <w:lang w:val="en-US"/>
        </w:rPr>
        <w:t>5</w:t>
      </w:r>
      <w:r>
        <w:rPr>
          <w:rFonts w:ascii="Times New Roman" w:hAnsi="Times New Roman"/>
          <w:lang w:val="en-US"/>
        </w:rPr>
        <w:t>:50</w:t>
      </w:r>
      <w:r w:rsidRPr="00B35D87">
        <w:rPr>
          <w:rFonts w:ascii="Times New Roman" w:hAnsi="Times New Roman"/>
          <w:lang w:val="en-US"/>
        </w:rPr>
        <w:t>, column K.</w:t>
      </w:r>
    </w:p>
  </w:footnote>
  <w:footnote w:id="14">
    <w:p w14:paraId="3590A5ED" w14:textId="76A3CA06" w:rsidR="00254411" w:rsidRPr="00B35D87" w:rsidRDefault="00254411" w:rsidP="00C946D5">
      <w:pPr>
        <w:pStyle w:val="FootnoteText"/>
        <w:spacing w:after="0"/>
        <w:rPr>
          <w:rFonts w:ascii="Times New Roman" w:hAnsi="Times New Roman"/>
          <w:lang w:val="en-US"/>
        </w:rPr>
      </w:pPr>
      <w:r w:rsidRPr="00B35D87">
        <w:rPr>
          <w:rStyle w:val="FootnoteReference"/>
          <w:rFonts w:ascii="Times New Roman" w:hAnsi="Times New Roman"/>
        </w:rPr>
        <w:footnoteRef/>
      </w:r>
      <w:r w:rsidRPr="00B35D87">
        <w:rPr>
          <w:rFonts w:ascii="Times New Roman" w:hAnsi="Times New Roman"/>
        </w:rPr>
        <w:t xml:space="preserve"> </w:t>
      </w:r>
      <w:r>
        <w:rPr>
          <w:rFonts w:ascii="Times New Roman" w:hAnsi="Times New Roman"/>
          <w:lang w:val="en-US"/>
        </w:rPr>
        <w:t xml:space="preserve">Andrews Direct, </w:t>
      </w:r>
      <w:r w:rsidRPr="00B35D87">
        <w:rPr>
          <w:rFonts w:ascii="Times New Roman" w:hAnsi="Times New Roman"/>
          <w:lang w:val="en-US"/>
        </w:rPr>
        <w:t>Exhibit No.__</w:t>
      </w:r>
      <w:r>
        <w:rPr>
          <w:rFonts w:ascii="Times New Roman" w:hAnsi="Times New Roman"/>
          <w:lang w:val="en-US"/>
        </w:rPr>
        <w:t>_ (EMA-3), at</w:t>
      </w:r>
      <w:r w:rsidRPr="00B35D87">
        <w:rPr>
          <w:rFonts w:ascii="Times New Roman" w:hAnsi="Times New Roman"/>
          <w:lang w:val="en-US"/>
        </w:rPr>
        <w:t xml:space="preserve"> 5</w:t>
      </w:r>
      <w:r>
        <w:rPr>
          <w:rFonts w:ascii="Times New Roman" w:hAnsi="Times New Roman"/>
          <w:lang w:val="en-US"/>
        </w:rPr>
        <w:t>:48</w:t>
      </w:r>
      <w:r w:rsidRPr="00B35D87">
        <w:rPr>
          <w:rFonts w:ascii="Times New Roman" w:hAnsi="Times New Roman"/>
          <w:lang w:val="en-US"/>
        </w:rPr>
        <w:t>, column K.</w:t>
      </w:r>
    </w:p>
  </w:footnote>
  <w:footnote w:id="15">
    <w:p w14:paraId="093A3BAF" w14:textId="45C8C337" w:rsidR="00254411" w:rsidRPr="00B35D87" w:rsidRDefault="00254411" w:rsidP="00C946D5">
      <w:pPr>
        <w:pStyle w:val="FootnoteText"/>
        <w:spacing w:after="0"/>
        <w:rPr>
          <w:rFonts w:ascii="Times New Roman" w:hAnsi="Times New Roman"/>
          <w:lang w:val="en-US"/>
        </w:rPr>
      </w:pPr>
      <w:r w:rsidRPr="00B35D87">
        <w:rPr>
          <w:rStyle w:val="FootnoteReference"/>
          <w:rFonts w:ascii="Times New Roman" w:hAnsi="Times New Roman"/>
        </w:rPr>
        <w:footnoteRef/>
      </w:r>
      <w:r w:rsidRPr="00B35D87">
        <w:rPr>
          <w:rFonts w:ascii="Times New Roman" w:hAnsi="Times New Roman"/>
        </w:rPr>
        <w:t xml:space="preserve"> </w:t>
      </w:r>
      <w:r>
        <w:rPr>
          <w:rFonts w:ascii="Times New Roman" w:hAnsi="Times New Roman"/>
          <w:lang w:val="en-US"/>
        </w:rPr>
        <w:t xml:space="preserve">Andrews Direct, </w:t>
      </w:r>
      <w:r w:rsidRPr="00B35D87">
        <w:rPr>
          <w:rFonts w:ascii="Times New Roman" w:hAnsi="Times New Roman"/>
          <w:lang w:val="en-US"/>
        </w:rPr>
        <w:t>Exhibit No.__</w:t>
      </w:r>
      <w:r>
        <w:rPr>
          <w:rFonts w:ascii="Times New Roman" w:hAnsi="Times New Roman"/>
          <w:lang w:val="en-US"/>
        </w:rPr>
        <w:t xml:space="preserve">_ </w:t>
      </w:r>
      <w:r w:rsidRPr="00B35D87">
        <w:rPr>
          <w:rFonts w:ascii="Times New Roman" w:hAnsi="Times New Roman"/>
          <w:lang w:val="en-US"/>
        </w:rPr>
        <w:t xml:space="preserve">(EMA-2), </w:t>
      </w:r>
      <w:r>
        <w:rPr>
          <w:rFonts w:ascii="Times New Roman" w:hAnsi="Times New Roman"/>
          <w:lang w:val="en-US"/>
        </w:rPr>
        <w:t>at 1:7</w:t>
      </w:r>
      <w:r w:rsidRPr="00B35D87">
        <w:rPr>
          <w:rFonts w:ascii="Times New Roman" w:hAnsi="Times New Roman"/>
          <w:lang w:val="en-US"/>
        </w:rPr>
        <w:t xml:space="preserve">, column g. </w:t>
      </w:r>
    </w:p>
  </w:footnote>
  <w:footnote w:id="16">
    <w:p w14:paraId="1A106019" w14:textId="10DAF6DB" w:rsidR="00254411" w:rsidRPr="00B35D87" w:rsidRDefault="00254411" w:rsidP="00C946D5">
      <w:pPr>
        <w:pStyle w:val="FootnoteText"/>
        <w:spacing w:after="0"/>
        <w:rPr>
          <w:rFonts w:ascii="Times New Roman" w:hAnsi="Times New Roman"/>
          <w:lang w:val="en-US"/>
        </w:rPr>
      </w:pPr>
      <w:r w:rsidRPr="00B35D87">
        <w:rPr>
          <w:rStyle w:val="FootnoteReference"/>
          <w:rFonts w:ascii="Times New Roman" w:hAnsi="Times New Roman"/>
        </w:rPr>
        <w:footnoteRef/>
      </w:r>
      <w:r w:rsidRPr="00B35D87">
        <w:rPr>
          <w:rFonts w:ascii="Times New Roman" w:hAnsi="Times New Roman"/>
        </w:rPr>
        <w:t xml:space="preserve"> </w:t>
      </w:r>
      <w:r>
        <w:rPr>
          <w:rFonts w:ascii="Times New Roman" w:hAnsi="Times New Roman"/>
          <w:lang w:val="en-US"/>
        </w:rPr>
        <w:t xml:space="preserve">Andrews Direct, </w:t>
      </w:r>
      <w:r w:rsidRPr="00B35D87">
        <w:rPr>
          <w:rFonts w:ascii="Times New Roman" w:hAnsi="Times New Roman"/>
          <w:lang w:val="en-US"/>
        </w:rPr>
        <w:t>Exhibit No.__</w:t>
      </w:r>
      <w:r>
        <w:rPr>
          <w:rFonts w:ascii="Times New Roman" w:hAnsi="Times New Roman"/>
          <w:lang w:val="en-US"/>
        </w:rPr>
        <w:t xml:space="preserve">_ </w:t>
      </w:r>
      <w:r w:rsidRPr="00B35D87">
        <w:rPr>
          <w:rFonts w:ascii="Times New Roman" w:hAnsi="Times New Roman"/>
          <w:lang w:val="en-US"/>
        </w:rPr>
        <w:t xml:space="preserve">(EMA-3), </w:t>
      </w:r>
      <w:r>
        <w:rPr>
          <w:rFonts w:ascii="Times New Roman" w:hAnsi="Times New Roman"/>
          <w:lang w:val="en-US"/>
        </w:rPr>
        <w:t>at 1:7</w:t>
      </w:r>
      <w:r w:rsidRPr="00B35D87">
        <w:rPr>
          <w:rFonts w:ascii="Times New Roman" w:hAnsi="Times New Roman"/>
          <w:lang w:val="en-US"/>
        </w:rPr>
        <w:t xml:space="preserve">, column g. </w:t>
      </w:r>
    </w:p>
  </w:footnote>
  <w:footnote w:id="17">
    <w:p w14:paraId="0143696A" w14:textId="77777777" w:rsidR="00254411" w:rsidRPr="00B35D87" w:rsidRDefault="00254411" w:rsidP="00C946D5">
      <w:pPr>
        <w:pStyle w:val="FootnoteText"/>
        <w:spacing w:after="0"/>
        <w:rPr>
          <w:rFonts w:ascii="Times New Roman" w:hAnsi="Times New Roman"/>
          <w:lang w:val="en-US"/>
        </w:rPr>
      </w:pPr>
      <w:r w:rsidRPr="00B35D87">
        <w:rPr>
          <w:rStyle w:val="FootnoteReference"/>
          <w:rFonts w:ascii="Times New Roman" w:hAnsi="Times New Roman"/>
        </w:rPr>
        <w:footnoteRef/>
      </w:r>
      <w:r w:rsidRPr="00B35D87">
        <w:rPr>
          <w:rFonts w:ascii="Times New Roman" w:hAnsi="Times New Roman"/>
        </w:rPr>
        <w:t xml:space="preserve"> </w:t>
      </w:r>
      <w:r w:rsidRPr="00B35D87">
        <w:rPr>
          <w:rFonts w:ascii="Times New Roman" w:hAnsi="Times New Roman"/>
          <w:lang w:val="en-US"/>
        </w:rPr>
        <w:t xml:space="preserve">Corrections to Exhibit No. EMA-2 included a formula error in the accumulated depreciation calculation for 2011 and 2012, an error in federal income tax on the BPA/Reardan write off, an error in deferred debits and credits, an error in working capital balances, and removal of O&amp;M offsets as after-attrition adjustments. Corrections to Exhibit No. EMA-3 included an error in federal income tax on the </w:t>
      </w:r>
      <w:r w:rsidRPr="00E26910">
        <w:rPr>
          <w:rFonts w:ascii="Times New Roman" w:hAnsi="Times New Roman"/>
          <w:lang w:val="en-US"/>
        </w:rPr>
        <w:t>BPA/Reardan write</w:t>
      </w:r>
      <w:r w:rsidRPr="00B35D87">
        <w:rPr>
          <w:rFonts w:ascii="Times New Roman" w:hAnsi="Times New Roman"/>
          <w:lang w:val="en-US"/>
        </w:rPr>
        <w:t xml:space="preserve"> off.</w:t>
      </w:r>
    </w:p>
  </w:footnote>
  <w:footnote w:id="18">
    <w:p w14:paraId="122FC22E" w14:textId="77777777" w:rsidR="00254411" w:rsidRPr="00B35D87" w:rsidRDefault="00254411" w:rsidP="00C946D5">
      <w:pPr>
        <w:pStyle w:val="FootnoteText"/>
        <w:spacing w:after="0"/>
        <w:rPr>
          <w:rFonts w:ascii="Times New Roman" w:hAnsi="Times New Roman"/>
          <w:lang w:val="en-US"/>
        </w:rPr>
      </w:pPr>
      <w:r w:rsidRPr="00B35D87">
        <w:rPr>
          <w:rStyle w:val="FootnoteReference"/>
          <w:rFonts w:ascii="Times New Roman" w:hAnsi="Times New Roman"/>
        </w:rPr>
        <w:footnoteRef/>
      </w:r>
      <w:r w:rsidRPr="00B35D87">
        <w:rPr>
          <w:rFonts w:ascii="Times New Roman" w:hAnsi="Times New Roman"/>
        </w:rPr>
        <w:t xml:space="preserve"> </w:t>
      </w:r>
      <w:r w:rsidRPr="00B35D87">
        <w:rPr>
          <w:rFonts w:ascii="Times New Roman" w:hAnsi="Times New Roman"/>
          <w:lang w:val="en-US"/>
        </w:rPr>
        <w:t xml:space="preserve">Dockets UE-140529 and UG-140530, December 2013 Commission Basis Reports, filed with the Commission March 31, 2014. </w:t>
      </w:r>
      <w:r>
        <w:rPr>
          <w:rFonts w:ascii="Times New Roman" w:hAnsi="Times New Roman"/>
          <w:lang w:val="en-US"/>
        </w:rPr>
        <w:t xml:space="preserve"> Avista filed a</w:t>
      </w:r>
      <w:r w:rsidRPr="00B35D87">
        <w:rPr>
          <w:rFonts w:ascii="Times New Roman" w:hAnsi="Times New Roman"/>
          <w:lang w:val="en-US"/>
        </w:rPr>
        <w:t>n updated electric 2013 C</w:t>
      </w:r>
      <w:r>
        <w:rPr>
          <w:rFonts w:ascii="Times New Roman" w:hAnsi="Times New Roman"/>
          <w:lang w:val="en-US"/>
        </w:rPr>
        <w:t>ommission Basis Report</w:t>
      </w:r>
      <w:r w:rsidRPr="00B35D87">
        <w:rPr>
          <w:rFonts w:ascii="Times New Roman" w:hAnsi="Times New Roman"/>
          <w:lang w:val="en-US"/>
        </w:rPr>
        <w:t xml:space="preserve"> </w:t>
      </w:r>
      <w:r>
        <w:rPr>
          <w:rFonts w:ascii="Times New Roman" w:hAnsi="Times New Roman"/>
          <w:lang w:val="en-US"/>
        </w:rPr>
        <w:t xml:space="preserve">on </w:t>
      </w:r>
      <w:r w:rsidRPr="00B35D87">
        <w:rPr>
          <w:rFonts w:ascii="Times New Roman" w:hAnsi="Times New Roman"/>
          <w:lang w:val="en-US"/>
        </w:rPr>
        <w:t>April 24, 2014 in Docket UE-140529.</w:t>
      </w:r>
    </w:p>
  </w:footnote>
  <w:footnote w:id="19">
    <w:p w14:paraId="43DC7BA4" w14:textId="307283FE" w:rsidR="00254411" w:rsidRPr="009A7E9C" w:rsidRDefault="00254411">
      <w:pPr>
        <w:pStyle w:val="FootnoteText"/>
        <w:rPr>
          <w:rFonts w:ascii="Times New Roman" w:hAnsi="Times New Roman"/>
          <w:lang w:val="en-US"/>
        </w:rPr>
      </w:pPr>
      <w:r w:rsidRPr="009A7E9C">
        <w:rPr>
          <w:rStyle w:val="FootnoteReference"/>
          <w:rFonts w:ascii="Times New Roman" w:hAnsi="Times New Roman"/>
        </w:rPr>
        <w:footnoteRef/>
      </w:r>
      <w:r w:rsidRPr="009A7E9C">
        <w:rPr>
          <w:rFonts w:ascii="Times New Roman" w:hAnsi="Times New Roman"/>
        </w:rPr>
        <w:t xml:space="preserve"> </w:t>
      </w:r>
      <w:r w:rsidRPr="009A7E9C">
        <w:rPr>
          <w:rFonts w:ascii="Times New Roman" w:hAnsi="Times New Roman"/>
          <w:lang w:val="en-US"/>
        </w:rPr>
        <w:t>Avista also provided updated attrition analyses in response to Staff Data Request 115, in which they used 2007 and 2013 as the only two years of the trend analysis.</w:t>
      </w:r>
    </w:p>
  </w:footnote>
  <w:footnote w:id="20">
    <w:p w14:paraId="4D391ACE" w14:textId="77777777" w:rsidR="00254411" w:rsidRPr="00B35D87" w:rsidRDefault="00254411" w:rsidP="00C946D5">
      <w:pPr>
        <w:pStyle w:val="FootnoteText"/>
        <w:rPr>
          <w:rFonts w:ascii="Times New Roman" w:hAnsi="Times New Roman"/>
          <w:lang w:val="en-US"/>
        </w:rPr>
      </w:pPr>
      <w:r w:rsidRPr="00B35D87">
        <w:rPr>
          <w:rStyle w:val="FootnoteReference"/>
          <w:rFonts w:ascii="Times New Roman" w:hAnsi="Times New Roman"/>
        </w:rPr>
        <w:footnoteRef/>
      </w:r>
      <w:r w:rsidRPr="00B35D87">
        <w:rPr>
          <w:rFonts w:ascii="Times New Roman" w:hAnsi="Times New Roman"/>
        </w:rPr>
        <w:t xml:space="preserve"> </w:t>
      </w:r>
      <w:r>
        <w:rPr>
          <w:rFonts w:ascii="Times New Roman" w:hAnsi="Times New Roman"/>
          <w:lang w:val="en-US"/>
        </w:rPr>
        <w:t>Avista provided the v</w:t>
      </w:r>
      <w:r w:rsidRPr="00B35D87">
        <w:rPr>
          <w:rFonts w:ascii="Times New Roman" w:hAnsi="Times New Roman"/>
          <w:lang w:val="en-US"/>
        </w:rPr>
        <w:t xml:space="preserve">alues generated using the electric attrition model in </w:t>
      </w:r>
      <w:r>
        <w:rPr>
          <w:rFonts w:ascii="Times New Roman" w:hAnsi="Times New Roman"/>
          <w:lang w:val="en-US"/>
        </w:rPr>
        <w:t xml:space="preserve">its </w:t>
      </w:r>
      <w:r w:rsidRPr="00B35D87">
        <w:rPr>
          <w:rFonts w:ascii="Times New Roman" w:hAnsi="Times New Roman"/>
          <w:lang w:val="en-US"/>
        </w:rPr>
        <w:t xml:space="preserve">response to Staff </w:t>
      </w:r>
      <w:r>
        <w:rPr>
          <w:rFonts w:ascii="Times New Roman" w:hAnsi="Times New Roman"/>
          <w:lang w:val="en-US"/>
        </w:rPr>
        <w:t>D</w:t>
      </w:r>
      <w:r w:rsidRPr="00B35D87">
        <w:rPr>
          <w:rFonts w:ascii="Times New Roman" w:hAnsi="Times New Roman"/>
          <w:lang w:val="en-US"/>
        </w:rPr>
        <w:t xml:space="preserve">ata </w:t>
      </w:r>
      <w:r>
        <w:rPr>
          <w:rFonts w:ascii="Times New Roman" w:hAnsi="Times New Roman"/>
          <w:lang w:val="en-US"/>
        </w:rPr>
        <w:t>Re</w:t>
      </w:r>
      <w:r w:rsidRPr="00B35D87">
        <w:rPr>
          <w:rFonts w:ascii="Times New Roman" w:hAnsi="Times New Roman"/>
          <w:lang w:val="en-US"/>
        </w:rPr>
        <w:t>quest 091.</w:t>
      </w:r>
    </w:p>
  </w:footnote>
  <w:footnote w:id="21">
    <w:p w14:paraId="22C629BE" w14:textId="6EA5548B" w:rsidR="00254411" w:rsidRPr="00B35D87" w:rsidRDefault="00254411" w:rsidP="00CB5D3D">
      <w:pPr>
        <w:pStyle w:val="FootnoteText"/>
        <w:spacing w:after="0" w:line="240" w:lineRule="auto"/>
        <w:rPr>
          <w:rFonts w:ascii="Times New Roman" w:hAnsi="Times New Roman"/>
          <w:lang w:val="en-US"/>
        </w:rPr>
      </w:pPr>
      <w:r w:rsidRPr="00B35D87">
        <w:rPr>
          <w:rStyle w:val="FootnoteReference"/>
          <w:rFonts w:ascii="Times New Roman" w:hAnsi="Times New Roman"/>
        </w:rPr>
        <w:footnoteRef/>
      </w:r>
      <w:r w:rsidRPr="00B35D87">
        <w:rPr>
          <w:rFonts w:ascii="Times New Roman" w:hAnsi="Times New Roman"/>
        </w:rPr>
        <w:t xml:space="preserve"> </w:t>
      </w:r>
      <w:r>
        <w:rPr>
          <w:rFonts w:ascii="Times New Roman" w:hAnsi="Times New Roman"/>
          <w:lang w:val="en-US"/>
        </w:rPr>
        <w:t xml:space="preserve">Andrews Direct, </w:t>
      </w:r>
      <w:r w:rsidRPr="00B35D87">
        <w:rPr>
          <w:rFonts w:ascii="Times New Roman" w:hAnsi="Times New Roman"/>
          <w:lang w:val="en-US"/>
        </w:rPr>
        <w:t>Exhibit No.__</w:t>
      </w:r>
      <w:r>
        <w:rPr>
          <w:rFonts w:ascii="Times New Roman" w:hAnsi="Times New Roman"/>
          <w:lang w:val="en-US"/>
        </w:rPr>
        <w:t>_ (EMA-1T), at 23:</w:t>
      </w:r>
      <w:r w:rsidRPr="00B35D87">
        <w:rPr>
          <w:rFonts w:ascii="Times New Roman" w:hAnsi="Times New Roman"/>
          <w:lang w:val="en-US"/>
        </w:rPr>
        <w:t>8-9.</w:t>
      </w:r>
    </w:p>
  </w:footnote>
  <w:footnote w:id="22">
    <w:p w14:paraId="273C122D" w14:textId="08AD4467" w:rsidR="00254411" w:rsidRPr="003D1F73" w:rsidRDefault="00254411" w:rsidP="00CB5D3D">
      <w:pPr>
        <w:pStyle w:val="FootnoteText"/>
        <w:spacing w:after="0" w:line="240" w:lineRule="auto"/>
        <w:rPr>
          <w:rFonts w:ascii="Times New Roman" w:hAnsi="Times New Roman"/>
          <w:lang w:val="en-US"/>
        </w:rPr>
      </w:pPr>
      <w:r w:rsidRPr="003D1F73">
        <w:rPr>
          <w:rStyle w:val="FootnoteReference"/>
          <w:rFonts w:ascii="Times New Roman" w:hAnsi="Times New Roman"/>
        </w:rPr>
        <w:footnoteRef/>
      </w:r>
      <w:r w:rsidRPr="003D1F73">
        <w:rPr>
          <w:rFonts w:ascii="Times New Roman" w:hAnsi="Times New Roman"/>
        </w:rPr>
        <w:t xml:space="preserve"> </w:t>
      </w:r>
      <w:r w:rsidRPr="003D1F73">
        <w:rPr>
          <w:rFonts w:ascii="Times New Roman" w:hAnsi="Times New Roman"/>
          <w:lang w:val="en-US"/>
        </w:rPr>
        <w:t>Andrews Direct, Exhibit No.___ (EMA-3), at 9:20.</w:t>
      </w:r>
    </w:p>
  </w:footnote>
  <w:footnote w:id="23">
    <w:p w14:paraId="00231337" w14:textId="39F348AD" w:rsidR="00254411" w:rsidRPr="001F5D95" w:rsidRDefault="00254411" w:rsidP="00CB5D3D">
      <w:pPr>
        <w:pStyle w:val="FootnoteText"/>
        <w:spacing w:after="0" w:line="240" w:lineRule="auto"/>
        <w:rPr>
          <w:lang w:val="en-US"/>
        </w:rPr>
      </w:pPr>
      <w:r>
        <w:rPr>
          <w:rStyle w:val="FootnoteReference"/>
        </w:rPr>
        <w:footnoteRef/>
      </w:r>
      <w:r>
        <w:t xml:space="preserve"> </w:t>
      </w:r>
      <w:r w:rsidRPr="00B35D87">
        <w:rPr>
          <w:rFonts w:ascii="Times New Roman" w:hAnsi="Times New Roman"/>
          <w:i/>
        </w:rPr>
        <w:t>Utilities and Tra</w:t>
      </w:r>
      <w:r>
        <w:rPr>
          <w:rFonts w:ascii="Times New Roman" w:hAnsi="Times New Roman"/>
          <w:i/>
        </w:rPr>
        <w:t>nsp. Comm’n v. Avista Corp.</w:t>
      </w:r>
      <w:r w:rsidRPr="00B35D87">
        <w:rPr>
          <w:rFonts w:ascii="Times New Roman" w:hAnsi="Times New Roman"/>
          <w:i/>
        </w:rPr>
        <w:t xml:space="preserve">, </w:t>
      </w:r>
      <w:r w:rsidRPr="00AD6A31">
        <w:rPr>
          <w:rFonts w:ascii="Times New Roman" w:hAnsi="Times New Roman"/>
          <w:lang w:val="en-US"/>
        </w:rPr>
        <w:t>Dockets UE-120436 and UG-120437, Order 09</w:t>
      </w:r>
      <w:r>
        <w:rPr>
          <w:rFonts w:ascii="Times New Roman" w:hAnsi="Times New Roman"/>
          <w:lang w:val="en-US"/>
        </w:rPr>
        <w:t xml:space="preserve"> (December 26, 2012)</w:t>
      </w:r>
      <w:r w:rsidRPr="00AD6A31">
        <w:rPr>
          <w:rFonts w:ascii="Times New Roman" w:hAnsi="Times New Roman"/>
          <w:lang w:val="en-US"/>
        </w:rPr>
        <w:t xml:space="preserve"> at </w:t>
      </w:r>
      <w:r>
        <w:rPr>
          <w:rFonts w:ascii="Times New Roman" w:hAnsi="Times New Roman"/>
          <w:lang w:val="en-US"/>
        </w:rPr>
        <w:t xml:space="preserve">32, ¶ </w:t>
      </w:r>
      <w:r w:rsidRPr="00AD6A31">
        <w:rPr>
          <w:rFonts w:ascii="Times New Roman" w:hAnsi="Times New Roman"/>
          <w:lang w:val="en-US"/>
        </w:rPr>
        <w:t>83.</w:t>
      </w:r>
      <w:r>
        <w:rPr>
          <w:lang w:val="en-US"/>
        </w:rPr>
        <w:t xml:space="preserve"> </w:t>
      </w:r>
    </w:p>
  </w:footnote>
  <w:footnote w:id="24">
    <w:p w14:paraId="5CA4E20C" w14:textId="6BAE3FD9" w:rsidR="00254411" w:rsidRPr="0082695D" w:rsidRDefault="00254411" w:rsidP="00CB5D3D">
      <w:pPr>
        <w:pStyle w:val="FootnoteText"/>
        <w:spacing w:after="0" w:line="240" w:lineRule="auto"/>
        <w:rPr>
          <w:lang w:val="en-US"/>
        </w:rPr>
      </w:pPr>
      <w:r>
        <w:rPr>
          <w:rStyle w:val="FootnoteReference"/>
        </w:rPr>
        <w:footnoteRef/>
      </w:r>
      <w:r>
        <w:t xml:space="preserve"> </w:t>
      </w:r>
      <w:r w:rsidR="00C11936">
        <w:rPr>
          <w:rFonts w:ascii="Times New Roman" w:hAnsi="Times New Roman"/>
          <w:i/>
          <w:lang w:val="en-US"/>
        </w:rPr>
        <w:t xml:space="preserve">Id. </w:t>
      </w:r>
      <w:r w:rsidRPr="00AD6A31">
        <w:rPr>
          <w:rFonts w:ascii="Times New Roman" w:hAnsi="Times New Roman"/>
          <w:lang w:val="en-US"/>
        </w:rPr>
        <w:t xml:space="preserve">at </w:t>
      </w:r>
      <w:r>
        <w:rPr>
          <w:rFonts w:ascii="Times New Roman" w:hAnsi="Times New Roman"/>
          <w:lang w:val="en-US"/>
        </w:rPr>
        <w:t>3, ¶ 3</w:t>
      </w:r>
      <w:r w:rsidRPr="00AD6A31">
        <w:rPr>
          <w:rFonts w:ascii="Times New Roman" w:hAnsi="Times New Roman"/>
          <w:lang w:val="en-US"/>
        </w:rPr>
        <w:t>.</w:t>
      </w:r>
    </w:p>
  </w:footnote>
  <w:footnote w:id="25">
    <w:p w14:paraId="3290E221" w14:textId="0227DF20" w:rsidR="00254411" w:rsidRPr="0082695D" w:rsidRDefault="00254411" w:rsidP="00CB5D3D">
      <w:pPr>
        <w:pStyle w:val="FootnoteText"/>
        <w:spacing w:after="0" w:line="240" w:lineRule="auto"/>
        <w:rPr>
          <w:lang w:val="en-US"/>
        </w:rPr>
      </w:pPr>
      <w:r>
        <w:rPr>
          <w:rStyle w:val="FootnoteReference"/>
        </w:rPr>
        <w:footnoteRef/>
      </w:r>
      <w:r>
        <w:t xml:space="preserve"> </w:t>
      </w:r>
      <w:r>
        <w:rPr>
          <w:rFonts w:ascii="Times New Roman" w:hAnsi="Times New Roman"/>
          <w:i/>
          <w:lang w:val="en-US"/>
        </w:rPr>
        <w:t>Id</w:t>
      </w:r>
      <w:r>
        <w:rPr>
          <w:rFonts w:ascii="Times New Roman" w:hAnsi="Times New Roman"/>
          <w:i/>
        </w:rPr>
        <w:t xml:space="preserve">. </w:t>
      </w:r>
      <w:r w:rsidRPr="00AD6A31">
        <w:rPr>
          <w:rFonts w:ascii="Times New Roman" w:hAnsi="Times New Roman"/>
          <w:lang w:val="en-US"/>
        </w:rPr>
        <w:t xml:space="preserve">at </w:t>
      </w:r>
      <w:r>
        <w:rPr>
          <w:rFonts w:ascii="Times New Roman" w:hAnsi="Times New Roman"/>
          <w:lang w:val="en-US"/>
        </w:rPr>
        <w:t>32, ¶ 84</w:t>
      </w:r>
      <w:r w:rsidRPr="00AD6A31">
        <w:rPr>
          <w:rFonts w:ascii="Times New Roman" w:hAnsi="Times New Roman"/>
          <w:lang w:val="en-US"/>
        </w:rPr>
        <w:t>.</w:t>
      </w:r>
      <w:r>
        <w:rPr>
          <w:lang w:val="en-US"/>
        </w:rPr>
        <w:t xml:space="preserve"> </w:t>
      </w:r>
    </w:p>
  </w:footnote>
  <w:footnote w:id="26">
    <w:p w14:paraId="7B3FDF01" w14:textId="0729FAE2" w:rsidR="00254411" w:rsidRPr="0082695D" w:rsidRDefault="00254411" w:rsidP="00CB5D3D">
      <w:pPr>
        <w:pStyle w:val="FootnoteText"/>
        <w:spacing w:after="0" w:line="240" w:lineRule="auto"/>
        <w:rPr>
          <w:lang w:val="en-US"/>
        </w:rPr>
      </w:pPr>
      <w:r>
        <w:rPr>
          <w:rStyle w:val="FootnoteReference"/>
        </w:rPr>
        <w:footnoteRef/>
      </w:r>
      <w:r>
        <w:t xml:space="preserve"> </w:t>
      </w:r>
      <w:r>
        <w:rPr>
          <w:rFonts w:ascii="Times New Roman" w:hAnsi="Times New Roman"/>
          <w:i/>
        </w:rPr>
        <w:t>Id.</w:t>
      </w:r>
      <w:r>
        <w:rPr>
          <w:rFonts w:ascii="Times New Roman" w:hAnsi="Times New Roman"/>
          <w:lang w:val="en-US"/>
        </w:rPr>
        <w:t xml:space="preserve"> </w:t>
      </w:r>
      <w:r>
        <w:rPr>
          <w:lang w:val="en-US"/>
        </w:rPr>
        <w:t xml:space="preserve"> </w:t>
      </w:r>
    </w:p>
  </w:footnote>
  <w:footnote w:id="27">
    <w:p w14:paraId="2FCF0E31" w14:textId="021EE8BA" w:rsidR="00254411" w:rsidRPr="00AD6A31" w:rsidRDefault="00254411" w:rsidP="00CB5D3D">
      <w:pPr>
        <w:pStyle w:val="FootnoteText"/>
        <w:spacing w:after="0" w:line="240" w:lineRule="auto"/>
        <w:rPr>
          <w:rFonts w:ascii="Times New Roman" w:hAnsi="Times New Roman"/>
          <w:lang w:val="en-US"/>
        </w:rPr>
      </w:pPr>
      <w:r w:rsidRPr="00AD6A31">
        <w:rPr>
          <w:rStyle w:val="FootnoteReference"/>
          <w:rFonts w:ascii="Times New Roman" w:hAnsi="Times New Roman"/>
        </w:rPr>
        <w:footnoteRef/>
      </w:r>
      <w:r w:rsidRPr="00AD6A31">
        <w:rPr>
          <w:rFonts w:ascii="Times New Roman" w:hAnsi="Times New Roman"/>
        </w:rPr>
        <w:t xml:space="preserve"> </w:t>
      </w:r>
      <w:r w:rsidRPr="00AD6A31">
        <w:rPr>
          <w:rFonts w:ascii="Times New Roman" w:hAnsi="Times New Roman"/>
          <w:lang w:val="en-US"/>
        </w:rPr>
        <w:t>From Attachment A of Avista response to Public Counsel Data Request 210. The total rebate amount in the Company’s direct case (Exhibit No.__ (WGJ-6); $7,841,726) did not include certain REC-related expenses.</w:t>
      </w:r>
    </w:p>
  </w:footnote>
  <w:footnote w:id="28">
    <w:p w14:paraId="5C5B3374" w14:textId="278B4EB3" w:rsidR="00254411" w:rsidRPr="00CE6E85" w:rsidRDefault="00254411" w:rsidP="00CB5D3D">
      <w:pPr>
        <w:pStyle w:val="FootnoteText"/>
        <w:spacing w:after="0" w:line="240" w:lineRule="auto"/>
        <w:rPr>
          <w:lang w:val="en-US"/>
        </w:rPr>
      </w:pPr>
      <w:r>
        <w:rPr>
          <w:rStyle w:val="FootnoteReference"/>
        </w:rPr>
        <w:footnoteRef/>
      </w:r>
      <w:r>
        <w:t xml:space="preserve"> </w:t>
      </w:r>
      <w:r w:rsidRPr="00B35D87">
        <w:rPr>
          <w:rFonts w:ascii="Times New Roman" w:hAnsi="Times New Roman"/>
          <w:i/>
        </w:rPr>
        <w:t>Utilities and Tra</w:t>
      </w:r>
      <w:r>
        <w:rPr>
          <w:rFonts w:ascii="Times New Roman" w:hAnsi="Times New Roman"/>
          <w:i/>
        </w:rPr>
        <w:t>nsp. Comm’n v. Avista Corp.</w:t>
      </w:r>
      <w:r w:rsidRPr="00B35D87">
        <w:rPr>
          <w:rFonts w:ascii="Times New Roman" w:hAnsi="Times New Roman"/>
          <w:i/>
        </w:rPr>
        <w:t xml:space="preserve">, </w:t>
      </w:r>
      <w:r w:rsidRPr="00AD6A31">
        <w:rPr>
          <w:rFonts w:ascii="Times New Roman" w:hAnsi="Times New Roman"/>
          <w:lang w:val="en-US"/>
        </w:rPr>
        <w:t>Dockets UE-120436 and UG-120437, Order 09</w:t>
      </w:r>
      <w:r>
        <w:rPr>
          <w:rFonts w:ascii="Times New Roman" w:hAnsi="Times New Roman"/>
          <w:lang w:val="en-US"/>
        </w:rPr>
        <w:t xml:space="preserve"> (December 26, 2012)</w:t>
      </w:r>
      <w:r w:rsidRPr="00AD6A31">
        <w:rPr>
          <w:rFonts w:ascii="Times New Roman" w:hAnsi="Times New Roman"/>
          <w:lang w:val="en-US"/>
        </w:rPr>
        <w:t xml:space="preserve"> at </w:t>
      </w:r>
      <w:r>
        <w:rPr>
          <w:rFonts w:ascii="Times New Roman" w:hAnsi="Times New Roman"/>
          <w:lang w:val="en-US"/>
        </w:rPr>
        <w:t>32, ¶ 84</w:t>
      </w:r>
      <w:r w:rsidRPr="00AD6A31">
        <w:rPr>
          <w:rFonts w:ascii="Times New Roman" w:hAnsi="Times New Roman"/>
          <w:lang w:val="en-US"/>
        </w:rPr>
        <w:t>.</w:t>
      </w:r>
      <w:r>
        <w:rPr>
          <w:lang w:val="en-US"/>
        </w:rPr>
        <w:t xml:space="preserve"> </w:t>
      </w:r>
    </w:p>
  </w:footnote>
  <w:footnote w:id="29">
    <w:p w14:paraId="700D526B" w14:textId="0FA0FA98" w:rsidR="00254411" w:rsidRPr="00C142AF" w:rsidRDefault="00254411" w:rsidP="00CB5D3D">
      <w:pPr>
        <w:spacing w:after="0" w:line="240" w:lineRule="auto"/>
        <w:rPr>
          <w:rFonts w:eastAsia="Times New Roman"/>
        </w:rPr>
      </w:pPr>
      <w:r>
        <w:rPr>
          <w:rStyle w:val="FootnoteReference"/>
        </w:rPr>
        <w:footnoteRef/>
      </w:r>
      <w:r>
        <w:t xml:space="preserve"> </w:t>
      </w:r>
      <w:r w:rsidRPr="00FA2BFE">
        <w:rPr>
          <w:rFonts w:ascii="Times New Roman" w:hAnsi="Times New Roman"/>
          <w:i/>
          <w:sz w:val="20"/>
          <w:szCs w:val="20"/>
        </w:rPr>
        <w:t xml:space="preserve">Utilities and Transp. Comm’n v. Puget Sound Energy, </w:t>
      </w:r>
      <w:r w:rsidRPr="00FA2BFE">
        <w:rPr>
          <w:rFonts w:ascii="Times New Roman" w:hAnsi="Times New Roman"/>
          <w:sz w:val="20"/>
          <w:szCs w:val="20"/>
        </w:rPr>
        <w:t>Dockets UE-111048 and UG-111049, O</w:t>
      </w:r>
      <w:r>
        <w:rPr>
          <w:rFonts w:ascii="Times New Roman" w:hAnsi="Times New Roman"/>
          <w:sz w:val="20"/>
          <w:szCs w:val="20"/>
        </w:rPr>
        <w:t>rder 08 (</w:t>
      </w:r>
      <w:r w:rsidRPr="0023025A">
        <w:rPr>
          <w:rFonts w:ascii="Times New Roman" w:hAnsi="Times New Roman"/>
          <w:sz w:val="20"/>
          <w:szCs w:val="20"/>
        </w:rPr>
        <w:t>May 7, 2012</w:t>
      </w:r>
      <w:r>
        <w:rPr>
          <w:rFonts w:ascii="Times New Roman" w:hAnsi="Times New Roman"/>
          <w:sz w:val="20"/>
          <w:szCs w:val="20"/>
        </w:rPr>
        <w:t xml:space="preserve">), Appendix C at 6, ¶ </w:t>
      </w:r>
      <w:r w:rsidRPr="00FA2BFE">
        <w:rPr>
          <w:rFonts w:ascii="Times New Roman" w:hAnsi="Times New Roman"/>
          <w:sz w:val="20"/>
          <w:szCs w:val="20"/>
        </w:rPr>
        <w:t>16, and PacifiCorp Compliance Filing in Docket UE-100749, “Annual Report of Proceeds from the Sale of Renewable Energy Credits</w:t>
      </w:r>
      <w:r>
        <w:rPr>
          <w:rFonts w:ascii="Times New Roman" w:hAnsi="Times New Roman"/>
          <w:sz w:val="20"/>
          <w:szCs w:val="20"/>
        </w:rPr>
        <w:t>,</w:t>
      </w:r>
      <w:r w:rsidRPr="00FA2BFE">
        <w:rPr>
          <w:rFonts w:ascii="Times New Roman" w:hAnsi="Times New Roman"/>
          <w:sz w:val="20"/>
          <w:szCs w:val="20"/>
        </w:rPr>
        <w:t>”</w:t>
      </w:r>
      <w:r>
        <w:rPr>
          <w:rFonts w:ascii="Times New Roman" w:hAnsi="Times New Roman"/>
          <w:sz w:val="20"/>
          <w:szCs w:val="20"/>
        </w:rPr>
        <w:t xml:space="preserve"> Attachment A (May 1, 2014) at 4</w:t>
      </w:r>
      <w:r w:rsidRPr="00FA2BFE">
        <w:rPr>
          <w:rFonts w:ascii="Times New Roman" w:hAnsi="Times New Roman"/>
          <w:sz w:val="20"/>
          <w:szCs w:val="20"/>
        </w:rPr>
        <w:t>.</w:t>
      </w:r>
    </w:p>
  </w:footnote>
  <w:footnote w:id="30">
    <w:p w14:paraId="0B791E44" w14:textId="5D9A1DFB" w:rsidR="00254411" w:rsidRPr="00A0583D" w:rsidRDefault="00254411" w:rsidP="00CB5D3D">
      <w:pPr>
        <w:pStyle w:val="FootnoteText"/>
        <w:spacing w:after="0" w:line="240" w:lineRule="auto"/>
        <w:rPr>
          <w:lang w:val="en-US"/>
        </w:rPr>
      </w:pPr>
      <w:r>
        <w:rPr>
          <w:rStyle w:val="FootnoteReference"/>
        </w:rPr>
        <w:footnoteRef/>
      </w:r>
      <w:r>
        <w:t xml:space="preserve"> </w:t>
      </w:r>
      <w:r w:rsidRPr="00B35D87">
        <w:rPr>
          <w:rFonts w:ascii="Times New Roman" w:hAnsi="Times New Roman"/>
          <w:i/>
        </w:rPr>
        <w:t>Utilities and Tra</w:t>
      </w:r>
      <w:r>
        <w:rPr>
          <w:rFonts w:ascii="Times New Roman" w:hAnsi="Times New Roman"/>
          <w:i/>
        </w:rPr>
        <w:t>nsp. Comm’n v. Avista Corp.</w:t>
      </w:r>
      <w:r w:rsidRPr="00B35D87">
        <w:rPr>
          <w:rFonts w:ascii="Times New Roman" w:hAnsi="Times New Roman"/>
          <w:i/>
        </w:rPr>
        <w:t xml:space="preserve">, </w:t>
      </w:r>
      <w:r w:rsidRPr="00AD6A31">
        <w:rPr>
          <w:rFonts w:ascii="Times New Roman" w:hAnsi="Times New Roman"/>
          <w:lang w:val="en-US"/>
        </w:rPr>
        <w:t>Dockets UE-120436 and UG-120437, Order 09</w:t>
      </w:r>
      <w:r>
        <w:rPr>
          <w:rFonts w:ascii="Times New Roman" w:hAnsi="Times New Roman"/>
          <w:lang w:val="en-US"/>
        </w:rPr>
        <w:t xml:space="preserve"> (December 26, 2012)</w:t>
      </w:r>
      <w:r w:rsidRPr="00AD6A31">
        <w:rPr>
          <w:rFonts w:ascii="Times New Roman" w:hAnsi="Times New Roman"/>
          <w:lang w:val="en-US"/>
        </w:rPr>
        <w:t xml:space="preserve"> at </w:t>
      </w:r>
      <w:r>
        <w:rPr>
          <w:rFonts w:ascii="Times New Roman" w:hAnsi="Times New Roman"/>
          <w:lang w:val="en-US"/>
        </w:rPr>
        <w:t>13-14, ¶ 37</w:t>
      </w:r>
      <w:r w:rsidRPr="00AD6A31">
        <w:rPr>
          <w:rFonts w:ascii="Times New Roman" w:hAnsi="Times New Roman"/>
          <w:lang w:val="en-US"/>
        </w:rPr>
        <w:t>.</w:t>
      </w:r>
      <w:r>
        <w:rPr>
          <w:lang w:val="en-U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D0539"/>
    <w:multiLevelType w:val="hybridMultilevel"/>
    <w:tmpl w:val="F1AE646E"/>
    <w:lvl w:ilvl="0" w:tplc="EE921376">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C359E9"/>
    <w:multiLevelType w:val="hybridMultilevel"/>
    <w:tmpl w:val="4CE21246"/>
    <w:lvl w:ilvl="0" w:tplc="675C8EF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762CFA"/>
    <w:multiLevelType w:val="hybridMultilevel"/>
    <w:tmpl w:val="6A4C7F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AF7611"/>
    <w:multiLevelType w:val="hybridMultilevel"/>
    <w:tmpl w:val="FA0AD474"/>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551C05"/>
    <w:multiLevelType w:val="hybridMultilevel"/>
    <w:tmpl w:val="4C0CFA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E42EB7"/>
    <w:multiLevelType w:val="hybridMultilevel"/>
    <w:tmpl w:val="C88C31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574A1F"/>
    <w:multiLevelType w:val="hybridMultilevel"/>
    <w:tmpl w:val="FAEAA45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7E4618"/>
    <w:multiLevelType w:val="hybridMultilevel"/>
    <w:tmpl w:val="CDFA9CEE"/>
    <w:lvl w:ilvl="0" w:tplc="E640A6FA">
      <w:start w:val="1"/>
      <w:numFmt w:val="upperLetter"/>
      <w:lvlText w:val="%1."/>
      <w:lvlJc w:val="left"/>
      <w:pPr>
        <w:ind w:left="720" w:hanging="360"/>
      </w:pPr>
      <w:rPr>
        <w:rFonts w:ascii="Times New Roman" w:eastAsia="Calibri" w:hAnsi="Times New Roman" w:cs="Times New Roman"/>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3D4FAB"/>
    <w:multiLevelType w:val="hybridMultilevel"/>
    <w:tmpl w:val="4AE6B2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73E01C2"/>
    <w:multiLevelType w:val="hybridMultilevel"/>
    <w:tmpl w:val="402899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2C288C"/>
    <w:multiLevelType w:val="hybridMultilevel"/>
    <w:tmpl w:val="704EF928"/>
    <w:lvl w:ilvl="0" w:tplc="54ACAD50">
      <w:start w:val="1"/>
      <w:numFmt w:val="upperLetter"/>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6C2C15"/>
    <w:multiLevelType w:val="hybridMultilevel"/>
    <w:tmpl w:val="B692A14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0E600C2"/>
    <w:multiLevelType w:val="hybridMultilevel"/>
    <w:tmpl w:val="30582912"/>
    <w:lvl w:ilvl="0" w:tplc="EA545D78">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3C54BDF"/>
    <w:multiLevelType w:val="hybridMultilevel"/>
    <w:tmpl w:val="DC9E20F8"/>
    <w:lvl w:ilvl="0" w:tplc="04090015">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F9E5E79"/>
    <w:multiLevelType w:val="hybridMultilevel"/>
    <w:tmpl w:val="89586D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52521B"/>
    <w:multiLevelType w:val="hybridMultilevel"/>
    <w:tmpl w:val="AF6EA0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BF53A5"/>
    <w:multiLevelType w:val="hybridMultilevel"/>
    <w:tmpl w:val="6E6C8E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5"/>
  </w:num>
  <w:num w:numId="3">
    <w:abstractNumId w:val="7"/>
  </w:num>
  <w:num w:numId="4">
    <w:abstractNumId w:val="10"/>
  </w:num>
  <w:num w:numId="5">
    <w:abstractNumId w:val="9"/>
  </w:num>
  <w:num w:numId="6">
    <w:abstractNumId w:val="11"/>
  </w:num>
  <w:num w:numId="7">
    <w:abstractNumId w:val="16"/>
  </w:num>
  <w:num w:numId="8">
    <w:abstractNumId w:val="13"/>
  </w:num>
  <w:num w:numId="9">
    <w:abstractNumId w:val="0"/>
  </w:num>
  <w:num w:numId="10">
    <w:abstractNumId w:val="12"/>
  </w:num>
  <w:num w:numId="11">
    <w:abstractNumId w:val="2"/>
  </w:num>
  <w:num w:numId="12">
    <w:abstractNumId w:val="14"/>
  </w:num>
  <w:num w:numId="13">
    <w:abstractNumId w:val="4"/>
  </w:num>
  <w:num w:numId="14">
    <w:abstractNumId w:val="1"/>
  </w:num>
  <w:num w:numId="15">
    <w:abstractNumId w:val="6"/>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8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D12"/>
    <w:rsid w:val="000006C2"/>
    <w:rsid w:val="00001930"/>
    <w:rsid w:val="00001B13"/>
    <w:rsid w:val="0001361F"/>
    <w:rsid w:val="00014B33"/>
    <w:rsid w:val="0001755C"/>
    <w:rsid w:val="00022868"/>
    <w:rsid w:val="0002587A"/>
    <w:rsid w:val="000304B3"/>
    <w:rsid w:val="00032F6D"/>
    <w:rsid w:val="00034070"/>
    <w:rsid w:val="00034946"/>
    <w:rsid w:val="00037913"/>
    <w:rsid w:val="00044C69"/>
    <w:rsid w:val="000477F7"/>
    <w:rsid w:val="00047C76"/>
    <w:rsid w:val="00054AB9"/>
    <w:rsid w:val="0005549B"/>
    <w:rsid w:val="00055750"/>
    <w:rsid w:val="00057C77"/>
    <w:rsid w:val="000602B9"/>
    <w:rsid w:val="00063121"/>
    <w:rsid w:val="00067926"/>
    <w:rsid w:val="00072710"/>
    <w:rsid w:val="00081791"/>
    <w:rsid w:val="00087651"/>
    <w:rsid w:val="00087B26"/>
    <w:rsid w:val="00090018"/>
    <w:rsid w:val="00090F6C"/>
    <w:rsid w:val="000927A8"/>
    <w:rsid w:val="000934D3"/>
    <w:rsid w:val="000939BE"/>
    <w:rsid w:val="00093CF1"/>
    <w:rsid w:val="00094559"/>
    <w:rsid w:val="00094D01"/>
    <w:rsid w:val="00095844"/>
    <w:rsid w:val="00097AB9"/>
    <w:rsid w:val="000A0BDB"/>
    <w:rsid w:val="000A0C55"/>
    <w:rsid w:val="000A1016"/>
    <w:rsid w:val="000A2614"/>
    <w:rsid w:val="000A4661"/>
    <w:rsid w:val="000A5E99"/>
    <w:rsid w:val="000B1D82"/>
    <w:rsid w:val="000B418A"/>
    <w:rsid w:val="000B7352"/>
    <w:rsid w:val="000C2021"/>
    <w:rsid w:val="000C348D"/>
    <w:rsid w:val="000C6C36"/>
    <w:rsid w:val="000C7174"/>
    <w:rsid w:val="000D191F"/>
    <w:rsid w:val="000D46A0"/>
    <w:rsid w:val="000E0F3A"/>
    <w:rsid w:val="000E59C3"/>
    <w:rsid w:val="000E5B5A"/>
    <w:rsid w:val="000E640C"/>
    <w:rsid w:val="000F271F"/>
    <w:rsid w:val="000F291E"/>
    <w:rsid w:val="000F3048"/>
    <w:rsid w:val="000F3659"/>
    <w:rsid w:val="000F555A"/>
    <w:rsid w:val="000F58BC"/>
    <w:rsid w:val="0010246F"/>
    <w:rsid w:val="00102530"/>
    <w:rsid w:val="00105BAF"/>
    <w:rsid w:val="00110286"/>
    <w:rsid w:val="00110A8B"/>
    <w:rsid w:val="00111684"/>
    <w:rsid w:val="00117071"/>
    <w:rsid w:val="0011717F"/>
    <w:rsid w:val="00125FAA"/>
    <w:rsid w:val="00132E39"/>
    <w:rsid w:val="00134114"/>
    <w:rsid w:val="001403FA"/>
    <w:rsid w:val="0014792A"/>
    <w:rsid w:val="00147C8C"/>
    <w:rsid w:val="00150D69"/>
    <w:rsid w:val="001538EE"/>
    <w:rsid w:val="00154FE5"/>
    <w:rsid w:val="001611A5"/>
    <w:rsid w:val="00161D2C"/>
    <w:rsid w:val="0016215F"/>
    <w:rsid w:val="0016288F"/>
    <w:rsid w:val="00165B93"/>
    <w:rsid w:val="001677B8"/>
    <w:rsid w:val="00170D8F"/>
    <w:rsid w:val="0017147E"/>
    <w:rsid w:val="00172202"/>
    <w:rsid w:val="00173370"/>
    <w:rsid w:val="001802E7"/>
    <w:rsid w:val="001810F0"/>
    <w:rsid w:val="0018259A"/>
    <w:rsid w:val="00184917"/>
    <w:rsid w:val="001863C9"/>
    <w:rsid w:val="00186FE8"/>
    <w:rsid w:val="0019125F"/>
    <w:rsid w:val="00193721"/>
    <w:rsid w:val="0019393F"/>
    <w:rsid w:val="001941FB"/>
    <w:rsid w:val="001A056C"/>
    <w:rsid w:val="001A1DB3"/>
    <w:rsid w:val="001A3947"/>
    <w:rsid w:val="001A4E3C"/>
    <w:rsid w:val="001A5B5E"/>
    <w:rsid w:val="001A644D"/>
    <w:rsid w:val="001A75AA"/>
    <w:rsid w:val="001B40CB"/>
    <w:rsid w:val="001B5884"/>
    <w:rsid w:val="001C0A92"/>
    <w:rsid w:val="001C23C8"/>
    <w:rsid w:val="001C5AB1"/>
    <w:rsid w:val="001C74D4"/>
    <w:rsid w:val="001C7E6E"/>
    <w:rsid w:val="001D01C7"/>
    <w:rsid w:val="001D65CD"/>
    <w:rsid w:val="001E1D7A"/>
    <w:rsid w:val="001E414D"/>
    <w:rsid w:val="001E6CFB"/>
    <w:rsid w:val="001F0F8C"/>
    <w:rsid w:val="001F19DD"/>
    <w:rsid w:val="001F1A1B"/>
    <w:rsid w:val="001F2674"/>
    <w:rsid w:val="001F2EFC"/>
    <w:rsid w:val="001F3A63"/>
    <w:rsid w:val="001F42C8"/>
    <w:rsid w:val="001F5D95"/>
    <w:rsid w:val="001F613E"/>
    <w:rsid w:val="0020084F"/>
    <w:rsid w:val="0020210E"/>
    <w:rsid w:val="00204D4D"/>
    <w:rsid w:val="0020514F"/>
    <w:rsid w:val="00205FE0"/>
    <w:rsid w:val="00214EDA"/>
    <w:rsid w:val="002174C4"/>
    <w:rsid w:val="002219E7"/>
    <w:rsid w:val="00221B0A"/>
    <w:rsid w:val="002234B1"/>
    <w:rsid w:val="00227597"/>
    <w:rsid w:val="0023025A"/>
    <w:rsid w:val="00231280"/>
    <w:rsid w:val="00231373"/>
    <w:rsid w:val="00234E22"/>
    <w:rsid w:val="00240475"/>
    <w:rsid w:val="002419A1"/>
    <w:rsid w:val="0024248B"/>
    <w:rsid w:val="00245C24"/>
    <w:rsid w:val="002504DC"/>
    <w:rsid w:val="00254411"/>
    <w:rsid w:val="00260C4F"/>
    <w:rsid w:val="00264C5C"/>
    <w:rsid w:val="002651BD"/>
    <w:rsid w:val="00270FA2"/>
    <w:rsid w:val="002720FB"/>
    <w:rsid w:val="002769B8"/>
    <w:rsid w:val="00280BC9"/>
    <w:rsid w:val="00284730"/>
    <w:rsid w:val="00296E51"/>
    <w:rsid w:val="002A0946"/>
    <w:rsid w:val="002A09E7"/>
    <w:rsid w:val="002A29E9"/>
    <w:rsid w:val="002A48C9"/>
    <w:rsid w:val="002A4B3B"/>
    <w:rsid w:val="002A4FF8"/>
    <w:rsid w:val="002A6C66"/>
    <w:rsid w:val="002A72F1"/>
    <w:rsid w:val="002A7DC1"/>
    <w:rsid w:val="002B0926"/>
    <w:rsid w:val="002B410F"/>
    <w:rsid w:val="002B59E3"/>
    <w:rsid w:val="002B5FAD"/>
    <w:rsid w:val="002B7119"/>
    <w:rsid w:val="002B7209"/>
    <w:rsid w:val="002C039A"/>
    <w:rsid w:val="002C09C1"/>
    <w:rsid w:val="002C157C"/>
    <w:rsid w:val="002C2B9A"/>
    <w:rsid w:val="002C51E8"/>
    <w:rsid w:val="002D3FB4"/>
    <w:rsid w:val="002D69B8"/>
    <w:rsid w:val="002D753E"/>
    <w:rsid w:val="002E01EC"/>
    <w:rsid w:val="002E32A8"/>
    <w:rsid w:val="002E34B3"/>
    <w:rsid w:val="002E3CB4"/>
    <w:rsid w:val="002F00FA"/>
    <w:rsid w:val="002F1E16"/>
    <w:rsid w:val="002F7900"/>
    <w:rsid w:val="002F7AC2"/>
    <w:rsid w:val="00302D6A"/>
    <w:rsid w:val="00305D5D"/>
    <w:rsid w:val="003069F4"/>
    <w:rsid w:val="0031022D"/>
    <w:rsid w:val="0031216D"/>
    <w:rsid w:val="0031342C"/>
    <w:rsid w:val="00313678"/>
    <w:rsid w:val="003272FD"/>
    <w:rsid w:val="003276FF"/>
    <w:rsid w:val="00327976"/>
    <w:rsid w:val="00327A1C"/>
    <w:rsid w:val="00327B9F"/>
    <w:rsid w:val="00330A5B"/>
    <w:rsid w:val="003351F8"/>
    <w:rsid w:val="00340B35"/>
    <w:rsid w:val="00344883"/>
    <w:rsid w:val="00344F5A"/>
    <w:rsid w:val="00350787"/>
    <w:rsid w:val="003537E1"/>
    <w:rsid w:val="003549BB"/>
    <w:rsid w:val="00355F4B"/>
    <w:rsid w:val="0036229D"/>
    <w:rsid w:val="00362A2F"/>
    <w:rsid w:val="00363B57"/>
    <w:rsid w:val="003642E8"/>
    <w:rsid w:val="003664E0"/>
    <w:rsid w:val="00371020"/>
    <w:rsid w:val="0037182C"/>
    <w:rsid w:val="00372669"/>
    <w:rsid w:val="00372B13"/>
    <w:rsid w:val="00375308"/>
    <w:rsid w:val="00375F5E"/>
    <w:rsid w:val="00380232"/>
    <w:rsid w:val="003809B2"/>
    <w:rsid w:val="003809F1"/>
    <w:rsid w:val="00384C77"/>
    <w:rsid w:val="00384CC6"/>
    <w:rsid w:val="00385BC2"/>
    <w:rsid w:val="003879D1"/>
    <w:rsid w:val="00393087"/>
    <w:rsid w:val="0039410B"/>
    <w:rsid w:val="003961CA"/>
    <w:rsid w:val="00397713"/>
    <w:rsid w:val="00397795"/>
    <w:rsid w:val="003A0508"/>
    <w:rsid w:val="003A3F3B"/>
    <w:rsid w:val="003A6A19"/>
    <w:rsid w:val="003B14C4"/>
    <w:rsid w:val="003B3222"/>
    <w:rsid w:val="003B3855"/>
    <w:rsid w:val="003B451C"/>
    <w:rsid w:val="003B53D9"/>
    <w:rsid w:val="003C0424"/>
    <w:rsid w:val="003C411C"/>
    <w:rsid w:val="003C593F"/>
    <w:rsid w:val="003C645D"/>
    <w:rsid w:val="003D06D0"/>
    <w:rsid w:val="003D1F73"/>
    <w:rsid w:val="003D26C3"/>
    <w:rsid w:val="003D309C"/>
    <w:rsid w:val="003D6B54"/>
    <w:rsid w:val="003D70A1"/>
    <w:rsid w:val="003D7CE9"/>
    <w:rsid w:val="003E0C8C"/>
    <w:rsid w:val="003E1388"/>
    <w:rsid w:val="003E5132"/>
    <w:rsid w:val="003E5B6E"/>
    <w:rsid w:val="003E72B6"/>
    <w:rsid w:val="003E73B2"/>
    <w:rsid w:val="003F0CBC"/>
    <w:rsid w:val="003F16B1"/>
    <w:rsid w:val="003F180C"/>
    <w:rsid w:val="003F221B"/>
    <w:rsid w:val="003F3552"/>
    <w:rsid w:val="003F382F"/>
    <w:rsid w:val="003F3F95"/>
    <w:rsid w:val="003F43BF"/>
    <w:rsid w:val="003F5E73"/>
    <w:rsid w:val="003F6159"/>
    <w:rsid w:val="00410041"/>
    <w:rsid w:val="00410AE3"/>
    <w:rsid w:val="00413E24"/>
    <w:rsid w:val="00414736"/>
    <w:rsid w:val="00416D89"/>
    <w:rsid w:val="00417975"/>
    <w:rsid w:val="00417EE2"/>
    <w:rsid w:val="004214CB"/>
    <w:rsid w:val="0042170E"/>
    <w:rsid w:val="00425B0E"/>
    <w:rsid w:val="004264A6"/>
    <w:rsid w:val="00426F63"/>
    <w:rsid w:val="0043320A"/>
    <w:rsid w:val="00433AD6"/>
    <w:rsid w:val="004408B6"/>
    <w:rsid w:val="0044134C"/>
    <w:rsid w:val="00442B4A"/>
    <w:rsid w:val="00443BA5"/>
    <w:rsid w:val="004440B7"/>
    <w:rsid w:val="004445AC"/>
    <w:rsid w:val="00445721"/>
    <w:rsid w:val="00445B7F"/>
    <w:rsid w:val="00456903"/>
    <w:rsid w:val="0046454C"/>
    <w:rsid w:val="00464D0E"/>
    <w:rsid w:val="00472935"/>
    <w:rsid w:val="00473353"/>
    <w:rsid w:val="00473540"/>
    <w:rsid w:val="004746FD"/>
    <w:rsid w:val="00480059"/>
    <w:rsid w:val="00483BBC"/>
    <w:rsid w:val="00484249"/>
    <w:rsid w:val="00491715"/>
    <w:rsid w:val="00491AEF"/>
    <w:rsid w:val="00497ACB"/>
    <w:rsid w:val="004A1DA7"/>
    <w:rsid w:val="004A5AB3"/>
    <w:rsid w:val="004A62BC"/>
    <w:rsid w:val="004B1B08"/>
    <w:rsid w:val="004B3C9F"/>
    <w:rsid w:val="004B603F"/>
    <w:rsid w:val="004B6C3C"/>
    <w:rsid w:val="004C2662"/>
    <w:rsid w:val="004C3EE1"/>
    <w:rsid w:val="004C4467"/>
    <w:rsid w:val="004C44AA"/>
    <w:rsid w:val="004C688A"/>
    <w:rsid w:val="004C7046"/>
    <w:rsid w:val="004C7742"/>
    <w:rsid w:val="004D1E4C"/>
    <w:rsid w:val="004D3650"/>
    <w:rsid w:val="004E15CD"/>
    <w:rsid w:val="004E6D6B"/>
    <w:rsid w:val="004E78E5"/>
    <w:rsid w:val="004F0B2D"/>
    <w:rsid w:val="004F2E2B"/>
    <w:rsid w:val="004F3D88"/>
    <w:rsid w:val="004F406A"/>
    <w:rsid w:val="004F738E"/>
    <w:rsid w:val="00503289"/>
    <w:rsid w:val="00504568"/>
    <w:rsid w:val="0050590D"/>
    <w:rsid w:val="005075E7"/>
    <w:rsid w:val="005134AB"/>
    <w:rsid w:val="00520B96"/>
    <w:rsid w:val="0052259B"/>
    <w:rsid w:val="00523B78"/>
    <w:rsid w:val="00524762"/>
    <w:rsid w:val="00525030"/>
    <w:rsid w:val="005252C4"/>
    <w:rsid w:val="00526943"/>
    <w:rsid w:val="005277D3"/>
    <w:rsid w:val="00527932"/>
    <w:rsid w:val="00534DE6"/>
    <w:rsid w:val="00537250"/>
    <w:rsid w:val="00543265"/>
    <w:rsid w:val="00543D2E"/>
    <w:rsid w:val="00544B43"/>
    <w:rsid w:val="00545213"/>
    <w:rsid w:val="00547349"/>
    <w:rsid w:val="00552600"/>
    <w:rsid w:val="00554F79"/>
    <w:rsid w:val="00561190"/>
    <w:rsid w:val="005622BE"/>
    <w:rsid w:val="005649DC"/>
    <w:rsid w:val="00564DC5"/>
    <w:rsid w:val="005654CB"/>
    <w:rsid w:val="00571B7B"/>
    <w:rsid w:val="005732F0"/>
    <w:rsid w:val="00577D49"/>
    <w:rsid w:val="00584018"/>
    <w:rsid w:val="0059187E"/>
    <w:rsid w:val="00592BBE"/>
    <w:rsid w:val="00596042"/>
    <w:rsid w:val="005975DA"/>
    <w:rsid w:val="005A3849"/>
    <w:rsid w:val="005A6C74"/>
    <w:rsid w:val="005A6E03"/>
    <w:rsid w:val="005B0318"/>
    <w:rsid w:val="005B0C10"/>
    <w:rsid w:val="005B2B19"/>
    <w:rsid w:val="005B388E"/>
    <w:rsid w:val="005B76B5"/>
    <w:rsid w:val="005B7B40"/>
    <w:rsid w:val="005C4DB4"/>
    <w:rsid w:val="005C5A30"/>
    <w:rsid w:val="005C765A"/>
    <w:rsid w:val="005D4C69"/>
    <w:rsid w:val="005D632D"/>
    <w:rsid w:val="005E06C5"/>
    <w:rsid w:val="005E06D2"/>
    <w:rsid w:val="005E09B2"/>
    <w:rsid w:val="005E111B"/>
    <w:rsid w:val="005E1F3B"/>
    <w:rsid w:val="005E63D1"/>
    <w:rsid w:val="005E7FE3"/>
    <w:rsid w:val="005F0CD8"/>
    <w:rsid w:val="005F15E6"/>
    <w:rsid w:val="005F457A"/>
    <w:rsid w:val="005F7C66"/>
    <w:rsid w:val="00600C87"/>
    <w:rsid w:val="0060185A"/>
    <w:rsid w:val="00601AA5"/>
    <w:rsid w:val="0060481B"/>
    <w:rsid w:val="006053CC"/>
    <w:rsid w:val="00607E1D"/>
    <w:rsid w:val="00610650"/>
    <w:rsid w:val="006113B5"/>
    <w:rsid w:val="00611519"/>
    <w:rsid w:val="00611AA0"/>
    <w:rsid w:val="00612D19"/>
    <w:rsid w:val="0061351B"/>
    <w:rsid w:val="00613AE2"/>
    <w:rsid w:val="006162EA"/>
    <w:rsid w:val="00621459"/>
    <w:rsid w:val="00627FCA"/>
    <w:rsid w:val="00630265"/>
    <w:rsid w:val="00632055"/>
    <w:rsid w:val="006343E5"/>
    <w:rsid w:val="006364D4"/>
    <w:rsid w:val="0064011E"/>
    <w:rsid w:val="00642B84"/>
    <w:rsid w:val="00643468"/>
    <w:rsid w:val="00644AF5"/>
    <w:rsid w:val="00651D14"/>
    <w:rsid w:val="00653D00"/>
    <w:rsid w:val="0065651C"/>
    <w:rsid w:val="00657121"/>
    <w:rsid w:val="00660F43"/>
    <w:rsid w:val="00664BB6"/>
    <w:rsid w:val="00670151"/>
    <w:rsid w:val="00672F7B"/>
    <w:rsid w:val="00673230"/>
    <w:rsid w:val="00675498"/>
    <w:rsid w:val="00677547"/>
    <w:rsid w:val="00681DF3"/>
    <w:rsid w:val="00682695"/>
    <w:rsid w:val="00682EDC"/>
    <w:rsid w:val="00684EB0"/>
    <w:rsid w:val="00687AE8"/>
    <w:rsid w:val="00687BF4"/>
    <w:rsid w:val="00693AF7"/>
    <w:rsid w:val="0069635F"/>
    <w:rsid w:val="006969E2"/>
    <w:rsid w:val="00697A69"/>
    <w:rsid w:val="006A07DD"/>
    <w:rsid w:val="006A0ADC"/>
    <w:rsid w:val="006A41EE"/>
    <w:rsid w:val="006B12B9"/>
    <w:rsid w:val="006B27C2"/>
    <w:rsid w:val="006B3F89"/>
    <w:rsid w:val="006B4F3E"/>
    <w:rsid w:val="006B57D5"/>
    <w:rsid w:val="006B5B7E"/>
    <w:rsid w:val="006C2070"/>
    <w:rsid w:val="006C2DDE"/>
    <w:rsid w:val="006C35C3"/>
    <w:rsid w:val="006C3669"/>
    <w:rsid w:val="006C5D94"/>
    <w:rsid w:val="006C60B2"/>
    <w:rsid w:val="006C6F08"/>
    <w:rsid w:val="006D5DB6"/>
    <w:rsid w:val="006D5F16"/>
    <w:rsid w:val="006D69A2"/>
    <w:rsid w:val="006E09C3"/>
    <w:rsid w:val="006E3ECA"/>
    <w:rsid w:val="006E5AF1"/>
    <w:rsid w:val="006E7626"/>
    <w:rsid w:val="006F0C77"/>
    <w:rsid w:val="006F1FCE"/>
    <w:rsid w:val="006F3EED"/>
    <w:rsid w:val="006F651F"/>
    <w:rsid w:val="006F74A9"/>
    <w:rsid w:val="0070011C"/>
    <w:rsid w:val="0070372B"/>
    <w:rsid w:val="00707BF4"/>
    <w:rsid w:val="00713777"/>
    <w:rsid w:val="00715993"/>
    <w:rsid w:val="0072322F"/>
    <w:rsid w:val="00734DB2"/>
    <w:rsid w:val="00741DD4"/>
    <w:rsid w:val="00742317"/>
    <w:rsid w:val="00744467"/>
    <w:rsid w:val="00744B10"/>
    <w:rsid w:val="00744C52"/>
    <w:rsid w:val="00752742"/>
    <w:rsid w:val="00752C0E"/>
    <w:rsid w:val="00753A0B"/>
    <w:rsid w:val="007542C7"/>
    <w:rsid w:val="007543E8"/>
    <w:rsid w:val="007605EF"/>
    <w:rsid w:val="0076091C"/>
    <w:rsid w:val="00763F10"/>
    <w:rsid w:val="00764522"/>
    <w:rsid w:val="007646A4"/>
    <w:rsid w:val="0076493B"/>
    <w:rsid w:val="00773997"/>
    <w:rsid w:val="00780B4A"/>
    <w:rsid w:val="00781015"/>
    <w:rsid w:val="007816A3"/>
    <w:rsid w:val="00783A56"/>
    <w:rsid w:val="0078666B"/>
    <w:rsid w:val="007868B2"/>
    <w:rsid w:val="00787137"/>
    <w:rsid w:val="007873F4"/>
    <w:rsid w:val="007877E2"/>
    <w:rsid w:val="00787A10"/>
    <w:rsid w:val="007970DF"/>
    <w:rsid w:val="007A0B71"/>
    <w:rsid w:val="007A1AFA"/>
    <w:rsid w:val="007A42A9"/>
    <w:rsid w:val="007B1233"/>
    <w:rsid w:val="007B1727"/>
    <w:rsid w:val="007B26BB"/>
    <w:rsid w:val="007B3CD1"/>
    <w:rsid w:val="007B652B"/>
    <w:rsid w:val="007C26D2"/>
    <w:rsid w:val="007C4B1B"/>
    <w:rsid w:val="007C5D08"/>
    <w:rsid w:val="007D3AF9"/>
    <w:rsid w:val="007D4BF1"/>
    <w:rsid w:val="007E11A9"/>
    <w:rsid w:val="007E1D58"/>
    <w:rsid w:val="007E234C"/>
    <w:rsid w:val="007E4219"/>
    <w:rsid w:val="007E55AE"/>
    <w:rsid w:val="007E58F3"/>
    <w:rsid w:val="007E7EC6"/>
    <w:rsid w:val="007F00C3"/>
    <w:rsid w:val="007F025E"/>
    <w:rsid w:val="007F1346"/>
    <w:rsid w:val="007F2643"/>
    <w:rsid w:val="007F2725"/>
    <w:rsid w:val="007F51DB"/>
    <w:rsid w:val="00813287"/>
    <w:rsid w:val="008139DD"/>
    <w:rsid w:val="00815790"/>
    <w:rsid w:val="00816AEC"/>
    <w:rsid w:val="00817D46"/>
    <w:rsid w:val="00824422"/>
    <w:rsid w:val="0082591C"/>
    <w:rsid w:val="00825C4B"/>
    <w:rsid w:val="0082695D"/>
    <w:rsid w:val="00830059"/>
    <w:rsid w:val="00836E40"/>
    <w:rsid w:val="0083746D"/>
    <w:rsid w:val="00837590"/>
    <w:rsid w:val="00840FAD"/>
    <w:rsid w:val="008412B1"/>
    <w:rsid w:val="008415AA"/>
    <w:rsid w:val="00844D95"/>
    <w:rsid w:val="00845AA4"/>
    <w:rsid w:val="00847E95"/>
    <w:rsid w:val="00847ECD"/>
    <w:rsid w:val="00850D03"/>
    <w:rsid w:val="00851BD2"/>
    <w:rsid w:val="008545CB"/>
    <w:rsid w:val="00856EF9"/>
    <w:rsid w:val="00860D6F"/>
    <w:rsid w:val="00861F53"/>
    <w:rsid w:val="008620F8"/>
    <w:rsid w:val="00862990"/>
    <w:rsid w:val="008632AC"/>
    <w:rsid w:val="00865698"/>
    <w:rsid w:val="00866771"/>
    <w:rsid w:val="00872266"/>
    <w:rsid w:val="0087254E"/>
    <w:rsid w:val="008737AB"/>
    <w:rsid w:val="0088092F"/>
    <w:rsid w:val="00885AF3"/>
    <w:rsid w:val="00891A2C"/>
    <w:rsid w:val="00894739"/>
    <w:rsid w:val="008952F4"/>
    <w:rsid w:val="008966C8"/>
    <w:rsid w:val="00896D73"/>
    <w:rsid w:val="008978DB"/>
    <w:rsid w:val="008A3C3A"/>
    <w:rsid w:val="008A3FCA"/>
    <w:rsid w:val="008B71D4"/>
    <w:rsid w:val="008C545B"/>
    <w:rsid w:val="008D2D60"/>
    <w:rsid w:val="008E274B"/>
    <w:rsid w:val="008E6AD1"/>
    <w:rsid w:val="008E6B73"/>
    <w:rsid w:val="008F07E6"/>
    <w:rsid w:val="008F1725"/>
    <w:rsid w:val="008F58D9"/>
    <w:rsid w:val="009000FF"/>
    <w:rsid w:val="00900D6E"/>
    <w:rsid w:val="00904BFA"/>
    <w:rsid w:val="00911F8C"/>
    <w:rsid w:val="00913B31"/>
    <w:rsid w:val="009173F2"/>
    <w:rsid w:val="00920C2D"/>
    <w:rsid w:val="00923C6C"/>
    <w:rsid w:val="00924F33"/>
    <w:rsid w:val="00945CB9"/>
    <w:rsid w:val="00954075"/>
    <w:rsid w:val="0095487B"/>
    <w:rsid w:val="009562C6"/>
    <w:rsid w:val="00965DF3"/>
    <w:rsid w:val="00966F13"/>
    <w:rsid w:val="009671A3"/>
    <w:rsid w:val="00970F25"/>
    <w:rsid w:val="009714EA"/>
    <w:rsid w:val="0098295C"/>
    <w:rsid w:val="009836D8"/>
    <w:rsid w:val="00991353"/>
    <w:rsid w:val="00992468"/>
    <w:rsid w:val="00992576"/>
    <w:rsid w:val="00992991"/>
    <w:rsid w:val="009A1BBF"/>
    <w:rsid w:val="009A2D9C"/>
    <w:rsid w:val="009A45D8"/>
    <w:rsid w:val="009A66FC"/>
    <w:rsid w:val="009A7367"/>
    <w:rsid w:val="009A7E9C"/>
    <w:rsid w:val="009B0B96"/>
    <w:rsid w:val="009B3B63"/>
    <w:rsid w:val="009C29B6"/>
    <w:rsid w:val="009C2BAC"/>
    <w:rsid w:val="009C4EA5"/>
    <w:rsid w:val="009C7EAA"/>
    <w:rsid w:val="009D536F"/>
    <w:rsid w:val="009D5651"/>
    <w:rsid w:val="009E188C"/>
    <w:rsid w:val="009E1A3B"/>
    <w:rsid w:val="009E28B6"/>
    <w:rsid w:val="009E4C86"/>
    <w:rsid w:val="009E53C6"/>
    <w:rsid w:val="009E6490"/>
    <w:rsid w:val="009E7B46"/>
    <w:rsid w:val="009F0499"/>
    <w:rsid w:val="009F4451"/>
    <w:rsid w:val="009F6DCA"/>
    <w:rsid w:val="009F7CED"/>
    <w:rsid w:val="00A00F0C"/>
    <w:rsid w:val="00A01D23"/>
    <w:rsid w:val="00A05652"/>
    <w:rsid w:val="00A0583D"/>
    <w:rsid w:val="00A05B94"/>
    <w:rsid w:val="00A078BE"/>
    <w:rsid w:val="00A10655"/>
    <w:rsid w:val="00A11B88"/>
    <w:rsid w:val="00A11E18"/>
    <w:rsid w:val="00A138AC"/>
    <w:rsid w:val="00A21FEA"/>
    <w:rsid w:val="00A22256"/>
    <w:rsid w:val="00A26702"/>
    <w:rsid w:val="00A31402"/>
    <w:rsid w:val="00A333E1"/>
    <w:rsid w:val="00A33DF5"/>
    <w:rsid w:val="00A36CDC"/>
    <w:rsid w:val="00A37A43"/>
    <w:rsid w:val="00A44F49"/>
    <w:rsid w:val="00A468B7"/>
    <w:rsid w:val="00A4799C"/>
    <w:rsid w:val="00A5004A"/>
    <w:rsid w:val="00A5251E"/>
    <w:rsid w:val="00A53150"/>
    <w:rsid w:val="00A543A3"/>
    <w:rsid w:val="00A549B4"/>
    <w:rsid w:val="00A557DD"/>
    <w:rsid w:val="00A56437"/>
    <w:rsid w:val="00A61BF8"/>
    <w:rsid w:val="00A62258"/>
    <w:rsid w:val="00A624ED"/>
    <w:rsid w:val="00A62DD4"/>
    <w:rsid w:val="00A6461F"/>
    <w:rsid w:val="00A7190C"/>
    <w:rsid w:val="00A7551D"/>
    <w:rsid w:val="00A7655F"/>
    <w:rsid w:val="00A8092B"/>
    <w:rsid w:val="00A81E42"/>
    <w:rsid w:val="00A84C2A"/>
    <w:rsid w:val="00A85495"/>
    <w:rsid w:val="00A86807"/>
    <w:rsid w:val="00A916E8"/>
    <w:rsid w:val="00A91F93"/>
    <w:rsid w:val="00A923F5"/>
    <w:rsid w:val="00A958F9"/>
    <w:rsid w:val="00A96724"/>
    <w:rsid w:val="00A97DA5"/>
    <w:rsid w:val="00AA2935"/>
    <w:rsid w:val="00AA3536"/>
    <w:rsid w:val="00AA46A1"/>
    <w:rsid w:val="00AB1DFE"/>
    <w:rsid w:val="00AB233B"/>
    <w:rsid w:val="00AB2A77"/>
    <w:rsid w:val="00AB571A"/>
    <w:rsid w:val="00AB5DC1"/>
    <w:rsid w:val="00AB641A"/>
    <w:rsid w:val="00AC016B"/>
    <w:rsid w:val="00AC26D4"/>
    <w:rsid w:val="00AC32C0"/>
    <w:rsid w:val="00AD0AA3"/>
    <w:rsid w:val="00AD2AB8"/>
    <w:rsid w:val="00AD2ED1"/>
    <w:rsid w:val="00AD3312"/>
    <w:rsid w:val="00AD4139"/>
    <w:rsid w:val="00AD6A31"/>
    <w:rsid w:val="00AD75AE"/>
    <w:rsid w:val="00AE0A3C"/>
    <w:rsid w:val="00AE273E"/>
    <w:rsid w:val="00AE559F"/>
    <w:rsid w:val="00AE5C34"/>
    <w:rsid w:val="00AF246C"/>
    <w:rsid w:val="00AF4291"/>
    <w:rsid w:val="00B04667"/>
    <w:rsid w:val="00B06027"/>
    <w:rsid w:val="00B06E10"/>
    <w:rsid w:val="00B11A83"/>
    <w:rsid w:val="00B11AE6"/>
    <w:rsid w:val="00B12C65"/>
    <w:rsid w:val="00B13041"/>
    <w:rsid w:val="00B13C46"/>
    <w:rsid w:val="00B14066"/>
    <w:rsid w:val="00B1504D"/>
    <w:rsid w:val="00B150D5"/>
    <w:rsid w:val="00B208E4"/>
    <w:rsid w:val="00B2517E"/>
    <w:rsid w:val="00B27770"/>
    <w:rsid w:val="00B34D19"/>
    <w:rsid w:val="00B35D2E"/>
    <w:rsid w:val="00B35D87"/>
    <w:rsid w:val="00B41172"/>
    <w:rsid w:val="00B41443"/>
    <w:rsid w:val="00B44828"/>
    <w:rsid w:val="00B463BD"/>
    <w:rsid w:val="00B5226A"/>
    <w:rsid w:val="00B53191"/>
    <w:rsid w:val="00B5394B"/>
    <w:rsid w:val="00B540D1"/>
    <w:rsid w:val="00B544CB"/>
    <w:rsid w:val="00B569E3"/>
    <w:rsid w:val="00B62FB6"/>
    <w:rsid w:val="00B6444F"/>
    <w:rsid w:val="00B65BC5"/>
    <w:rsid w:val="00B717E8"/>
    <w:rsid w:val="00B7215F"/>
    <w:rsid w:val="00B73A9F"/>
    <w:rsid w:val="00B74345"/>
    <w:rsid w:val="00B80EE5"/>
    <w:rsid w:val="00B85E4B"/>
    <w:rsid w:val="00B867F1"/>
    <w:rsid w:val="00B95842"/>
    <w:rsid w:val="00B96B1A"/>
    <w:rsid w:val="00BA0C48"/>
    <w:rsid w:val="00BA225E"/>
    <w:rsid w:val="00BA4C30"/>
    <w:rsid w:val="00BA5550"/>
    <w:rsid w:val="00BA681D"/>
    <w:rsid w:val="00BB0E5E"/>
    <w:rsid w:val="00BB4C41"/>
    <w:rsid w:val="00BB6A89"/>
    <w:rsid w:val="00BC07AF"/>
    <w:rsid w:val="00BC5C98"/>
    <w:rsid w:val="00BC6569"/>
    <w:rsid w:val="00BD6759"/>
    <w:rsid w:val="00BD7CAF"/>
    <w:rsid w:val="00BE1BD0"/>
    <w:rsid w:val="00BE54A1"/>
    <w:rsid w:val="00BE6957"/>
    <w:rsid w:val="00BF17CB"/>
    <w:rsid w:val="00BF55FB"/>
    <w:rsid w:val="00BF58FD"/>
    <w:rsid w:val="00BF7466"/>
    <w:rsid w:val="00BF7AFF"/>
    <w:rsid w:val="00C051D8"/>
    <w:rsid w:val="00C05812"/>
    <w:rsid w:val="00C05A8A"/>
    <w:rsid w:val="00C068A9"/>
    <w:rsid w:val="00C114BC"/>
    <w:rsid w:val="00C11936"/>
    <w:rsid w:val="00C11D20"/>
    <w:rsid w:val="00C12542"/>
    <w:rsid w:val="00C142AF"/>
    <w:rsid w:val="00C14A88"/>
    <w:rsid w:val="00C1612C"/>
    <w:rsid w:val="00C215C4"/>
    <w:rsid w:val="00C21F10"/>
    <w:rsid w:val="00C2245C"/>
    <w:rsid w:val="00C25D1E"/>
    <w:rsid w:val="00C25E59"/>
    <w:rsid w:val="00C310EC"/>
    <w:rsid w:val="00C31CCE"/>
    <w:rsid w:val="00C364FF"/>
    <w:rsid w:val="00C37F4E"/>
    <w:rsid w:val="00C40DB7"/>
    <w:rsid w:val="00C43864"/>
    <w:rsid w:val="00C476B0"/>
    <w:rsid w:val="00C542D4"/>
    <w:rsid w:val="00C57CFA"/>
    <w:rsid w:val="00C67AC8"/>
    <w:rsid w:val="00C71DA8"/>
    <w:rsid w:val="00C753CD"/>
    <w:rsid w:val="00C8065E"/>
    <w:rsid w:val="00C814E2"/>
    <w:rsid w:val="00C81792"/>
    <w:rsid w:val="00C8362C"/>
    <w:rsid w:val="00C840A3"/>
    <w:rsid w:val="00C866A6"/>
    <w:rsid w:val="00C87042"/>
    <w:rsid w:val="00C877D0"/>
    <w:rsid w:val="00C87E51"/>
    <w:rsid w:val="00C946D5"/>
    <w:rsid w:val="00C95CD9"/>
    <w:rsid w:val="00CA01E1"/>
    <w:rsid w:val="00CA0736"/>
    <w:rsid w:val="00CA125D"/>
    <w:rsid w:val="00CA4135"/>
    <w:rsid w:val="00CA47C2"/>
    <w:rsid w:val="00CA4DCA"/>
    <w:rsid w:val="00CA4DF3"/>
    <w:rsid w:val="00CA6FD7"/>
    <w:rsid w:val="00CB0916"/>
    <w:rsid w:val="00CB3B63"/>
    <w:rsid w:val="00CB5D3D"/>
    <w:rsid w:val="00CC2B6D"/>
    <w:rsid w:val="00CC2C7F"/>
    <w:rsid w:val="00CC344F"/>
    <w:rsid w:val="00CC4292"/>
    <w:rsid w:val="00CC493A"/>
    <w:rsid w:val="00CC535D"/>
    <w:rsid w:val="00CC55DC"/>
    <w:rsid w:val="00CC637C"/>
    <w:rsid w:val="00CD1005"/>
    <w:rsid w:val="00CD243A"/>
    <w:rsid w:val="00CD2588"/>
    <w:rsid w:val="00CD2CA2"/>
    <w:rsid w:val="00CD622A"/>
    <w:rsid w:val="00CE2A97"/>
    <w:rsid w:val="00CE6E85"/>
    <w:rsid w:val="00CE7538"/>
    <w:rsid w:val="00CF17C1"/>
    <w:rsid w:val="00CF26D5"/>
    <w:rsid w:val="00CF4FA6"/>
    <w:rsid w:val="00D00E45"/>
    <w:rsid w:val="00D01F36"/>
    <w:rsid w:val="00D06CD4"/>
    <w:rsid w:val="00D07977"/>
    <w:rsid w:val="00D12805"/>
    <w:rsid w:val="00D1357F"/>
    <w:rsid w:val="00D2028D"/>
    <w:rsid w:val="00D210C9"/>
    <w:rsid w:val="00D264FF"/>
    <w:rsid w:val="00D3052F"/>
    <w:rsid w:val="00D328A0"/>
    <w:rsid w:val="00D32B2C"/>
    <w:rsid w:val="00D3632E"/>
    <w:rsid w:val="00D411C3"/>
    <w:rsid w:val="00D41EFC"/>
    <w:rsid w:val="00D45467"/>
    <w:rsid w:val="00D4778D"/>
    <w:rsid w:val="00D50357"/>
    <w:rsid w:val="00D509C8"/>
    <w:rsid w:val="00D56D33"/>
    <w:rsid w:val="00D628D3"/>
    <w:rsid w:val="00D63A0A"/>
    <w:rsid w:val="00D67C4B"/>
    <w:rsid w:val="00D70D73"/>
    <w:rsid w:val="00D73F9D"/>
    <w:rsid w:val="00D74017"/>
    <w:rsid w:val="00D747E0"/>
    <w:rsid w:val="00D81E51"/>
    <w:rsid w:val="00D830EC"/>
    <w:rsid w:val="00D8518F"/>
    <w:rsid w:val="00D8722E"/>
    <w:rsid w:val="00D91587"/>
    <w:rsid w:val="00D96563"/>
    <w:rsid w:val="00DA1B86"/>
    <w:rsid w:val="00DA458F"/>
    <w:rsid w:val="00DA7656"/>
    <w:rsid w:val="00DB1233"/>
    <w:rsid w:val="00DB1280"/>
    <w:rsid w:val="00DB1AF9"/>
    <w:rsid w:val="00DB5B60"/>
    <w:rsid w:val="00DB7A57"/>
    <w:rsid w:val="00DB7CD2"/>
    <w:rsid w:val="00DC04E7"/>
    <w:rsid w:val="00DC0ACC"/>
    <w:rsid w:val="00DC0D12"/>
    <w:rsid w:val="00DC1A28"/>
    <w:rsid w:val="00DC4439"/>
    <w:rsid w:val="00DC5B34"/>
    <w:rsid w:val="00DD0BCB"/>
    <w:rsid w:val="00DD0DA0"/>
    <w:rsid w:val="00DD2A47"/>
    <w:rsid w:val="00DD4FF6"/>
    <w:rsid w:val="00DD568C"/>
    <w:rsid w:val="00DE162B"/>
    <w:rsid w:val="00DE1D2E"/>
    <w:rsid w:val="00DE2707"/>
    <w:rsid w:val="00DE5E9B"/>
    <w:rsid w:val="00DF08B5"/>
    <w:rsid w:val="00DF44E5"/>
    <w:rsid w:val="00E01EC4"/>
    <w:rsid w:val="00E04AF0"/>
    <w:rsid w:val="00E05D84"/>
    <w:rsid w:val="00E07ABF"/>
    <w:rsid w:val="00E07D1E"/>
    <w:rsid w:val="00E1038A"/>
    <w:rsid w:val="00E11282"/>
    <w:rsid w:val="00E1319F"/>
    <w:rsid w:val="00E17614"/>
    <w:rsid w:val="00E17693"/>
    <w:rsid w:val="00E21022"/>
    <w:rsid w:val="00E229AD"/>
    <w:rsid w:val="00E26910"/>
    <w:rsid w:val="00E2697A"/>
    <w:rsid w:val="00E26E4F"/>
    <w:rsid w:val="00E26EDA"/>
    <w:rsid w:val="00E271EF"/>
    <w:rsid w:val="00E27F0E"/>
    <w:rsid w:val="00E30261"/>
    <w:rsid w:val="00E319AE"/>
    <w:rsid w:val="00E31F85"/>
    <w:rsid w:val="00E32338"/>
    <w:rsid w:val="00E336ED"/>
    <w:rsid w:val="00E33719"/>
    <w:rsid w:val="00E36C10"/>
    <w:rsid w:val="00E47F40"/>
    <w:rsid w:val="00E533D5"/>
    <w:rsid w:val="00E53BDA"/>
    <w:rsid w:val="00E61491"/>
    <w:rsid w:val="00E62ADB"/>
    <w:rsid w:val="00E657F0"/>
    <w:rsid w:val="00E66740"/>
    <w:rsid w:val="00E67CB5"/>
    <w:rsid w:val="00E75D35"/>
    <w:rsid w:val="00E76410"/>
    <w:rsid w:val="00E76ED6"/>
    <w:rsid w:val="00E77205"/>
    <w:rsid w:val="00E7740E"/>
    <w:rsid w:val="00E821B5"/>
    <w:rsid w:val="00E83B9D"/>
    <w:rsid w:val="00E843DC"/>
    <w:rsid w:val="00E87567"/>
    <w:rsid w:val="00E92793"/>
    <w:rsid w:val="00E95705"/>
    <w:rsid w:val="00EA0700"/>
    <w:rsid w:val="00EA122D"/>
    <w:rsid w:val="00EA1794"/>
    <w:rsid w:val="00EA5A93"/>
    <w:rsid w:val="00EA7280"/>
    <w:rsid w:val="00EB2AC8"/>
    <w:rsid w:val="00EB580E"/>
    <w:rsid w:val="00EB678C"/>
    <w:rsid w:val="00EC0565"/>
    <w:rsid w:val="00EC0A68"/>
    <w:rsid w:val="00EC2BC7"/>
    <w:rsid w:val="00EC6FDB"/>
    <w:rsid w:val="00EC7EA8"/>
    <w:rsid w:val="00ED0055"/>
    <w:rsid w:val="00ED7458"/>
    <w:rsid w:val="00EE1470"/>
    <w:rsid w:val="00EE2B66"/>
    <w:rsid w:val="00EE41DB"/>
    <w:rsid w:val="00EE5EEE"/>
    <w:rsid w:val="00EF207C"/>
    <w:rsid w:val="00EF49AA"/>
    <w:rsid w:val="00F0072B"/>
    <w:rsid w:val="00F02155"/>
    <w:rsid w:val="00F0356B"/>
    <w:rsid w:val="00F039CA"/>
    <w:rsid w:val="00F04EF0"/>
    <w:rsid w:val="00F13668"/>
    <w:rsid w:val="00F155DB"/>
    <w:rsid w:val="00F207AE"/>
    <w:rsid w:val="00F21B68"/>
    <w:rsid w:val="00F22C7A"/>
    <w:rsid w:val="00F27761"/>
    <w:rsid w:val="00F303AF"/>
    <w:rsid w:val="00F332CE"/>
    <w:rsid w:val="00F35AFE"/>
    <w:rsid w:val="00F41DB8"/>
    <w:rsid w:val="00F443D6"/>
    <w:rsid w:val="00F44851"/>
    <w:rsid w:val="00F50621"/>
    <w:rsid w:val="00F5142E"/>
    <w:rsid w:val="00F525DD"/>
    <w:rsid w:val="00F539BD"/>
    <w:rsid w:val="00F5707B"/>
    <w:rsid w:val="00F578B7"/>
    <w:rsid w:val="00F63E43"/>
    <w:rsid w:val="00F64A6F"/>
    <w:rsid w:val="00F70220"/>
    <w:rsid w:val="00F704EB"/>
    <w:rsid w:val="00F7087A"/>
    <w:rsid w:val="00F76853"/>
    <w:rsid w:val="00F77954"/>
    <w:rsid w:val="00F80134"/>
    <w:rsid w:val="00F875B6"/>
    <w:rsid w:val="00F900D4"/>
    <w:rsid w:val="00F93008"/>
    <w:rsid w:val="00F94374"/>
    <w:rsid w:val="00F966FD"/>
    <w:rsid w:val="00F9691E"/>
    <w:rsid w:val="00FA112A"/>
    <w:rsid w:val="00FA2BFE"/>
    <w:rsid w:val="00FA5ADF"/>
    <w:rsid w:val="00FB0317"/>
    <w:rsid w:val="00FB1468"/>
    <w:rsid w:val="00FB4A98"/>
    <w:rsid w:val="00FB4F66"/>
    <w:rsid w:val="00FB5869"/>
    <w:rsid w:val="00FB7E3A"/>
    <w:rsid w:val="00FC09E8"/>
    <w:rsid w:val="00FC4765"/>
    <w:rsid w:val="00FD0051"/>
    <w:rsid w:val="00FD1BAD"/>
    <w:rsid w:val="00FD2B19"/>
    <w:rsid w:val="00FD2E78"/>
    <w:rsid w:val="00FD4489"/>
    <w:rsid w:val="00FD4574"/>
    <w:rsid w:val="00FE045A"/>
    <w:rsid w:val="00FF0633"/>
    <w:rsid w:val="00FF2E72"/>
    <w:rsid w:val="00FF4C92"/>
    <w:rsid w:val="00FF6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11817"/>
  <w15:docId w15:val="{A2273EC5-8BA1-41F4-BDD9-2BE0AA9C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D12"/>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DC0D12"/>
    <w:pPr>
      <w:tabs>
        <w:tab w:val="left" w:pos="-1440"/>
      </w:tabs>
      <w:spacing w:after="0" w:line="480" w:lineRule="auto"/>
      <w:ind w:left="720" w:hanging="720"/>
      <w:jc w:val="center"/>
      <w:outlineLvl w:val="1"/>
    </w:pPr>
    <w:rPr>
      <w:rFonts w:ascii="Times New Roman" w:hAnsi="Times New Roman"/>
      <w:b/>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DC0D12"/>
    <w:rPr>
      <w:rFonts w:ascii="Times New Roman" w:eastAsia="Calibri" w:hAnsi="Times New Roman" w:cs="Times New Roman"/>
      <w:b/>
      <w:sz w:val="24"/>
      <w:szCs w:val="24"/>
      <w:lang w:val="x-none" w:eastAsia="x-none"/>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rsid w:val="00DC0D12"/>
    <w:rPr>
      <w:sz w:val="20"/>
      <w:szCs w:val="20"/>
      <w:lang w:val="x-none" w:eastAsia="x-none"/>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DC0D12"/>
    <w:rPr>
      <w:rFonts w:ascii="Calibri" w:eastAsia="Calibri" w:hAnsi="Calibri" w:cs="Times New Roman"/>
      <w:sz w:val="20"/>
      <w:szCs w:val="20"/>
      <w:lang w:val="x-none" w:eastAsia="x-none"/>
    </w:rPr>
  </w:style>
  <w:style w:type="character" w:styleId="FootnoteReference">
    <w:name w:val="footnote reference"/>
    <w:qFormat/>
    <w:rsid w:val="00DC0D12"/>
    <w:rPr>
      <w:rFonts w:cs="Times New Roman"/>
      <w:vertAlign w:val="superscript"/>
    </w:rPr>
  </w:style>
  <w:style w:type="paragraph" w:styleId="Footer">
    <w:name w:val="footer"/>
    <w:basedOn w:val="Normal"/>
    <w:link w:val="FooterChar"/>
    <w:uiPriority w:val="99"/>
    <w:rsid w:val="00DC0D12"/>
    <w:pPr>
      <w:tabs>
        <w:tab w:val="center" w:pos="4680"/>
        <w:tab w:val="right" w:pos="9360"/>
      </w:tabs>
    </w:pPr>
    <w:rPr>
      <w:lang w:val="x-none" w:eastAsia="x-none"/>
    </w:rPr>
  </w:style>
  <w:style w:type="character" w:customStyle="1" w:styleId="FooterChar">
    <w:name w:val="Footer Char"/>
    <w:basedOn w:val="DefaultParagraphFont"/>
    <w:link w:val="Footer"/>
    <w:uiPriority w:val="99"/>
    <w:rsid w:val="00DC0D12"/>
    <w:rPr>
      <w:rFonts w:ascii="Calibri" w:eastAsia="Calibri" w:hAnsi="Calibri" w:cs="Times New Roman"/>
      <w:lang w:val="x-none" w:eastAsia="x-none"/>
    </w:rPr>
  </w:style>
  <w:style w:type="paragraph" w:styleId="Header">
    <w:name w:val="header"/>
    <w:basedOn w:val="Normal"/>
    <w:link w:val="HeaderChar"/>
    <w:uiPriority w:val="99"/>
    <w:unhideWhenUsed/>
    <w:rsid w:val="00684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4EB0"/>
    <w:rPr>
      <w:rFonts w:ascii="Calibri" w:eastAsia="Calibri" w:hAnsi="Calibri" w:cs="Times New Roman"/>
    </w:rPr>
  </w:style>
  <w:style w:type="paragraph" w:styleId="BodyTextIndent">
    <w:name w:val="Body Text Indent"/>
    <w:basedOn w:val="Normal"/>
    <w:link w:val="BodyTextIndentChar"/>
    <w:rsid w:val="00484249"/>
    <w:pPr>
      <w:spacing w:after="0" w:line="480" w:lineRule="auto"/>
      <w:ind w:left="720" w:hanging="72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484249"/>
    <w:rPr>
      <w:rFonts w:ascii="Times New Roman" w:eastAsia="Times New Roman" w:hAnsi="Times New Roman" w:cs="Times New Roman"/>
      <w:sz w:val="24"/>
      <w:szCs w:val="24"/>
    </w:rPr>
  </w:style>
  <w:style w:type="character" w:styleId="LineNumber">
    <w:name w:val="line number"/>
    <w:basedOn w:val="DefaultParagraphFont"/>
    <w:uiPriority w:val="99"/>
    <w:rsid w:val="009E28B6"/>
    <w:rPr>
      <w:rFonts w:ascii="Times New Roman" w:hAnsi="Times New Roman" w:cs="Times New Roman"/>
      <w:sz w:val="24"/>
      <w:szCs w:val="24"/>
    </w:rPr>
  </w:style>
  <w:style w:type="paragraph" w:styleId="BodyText2">
    <w:name w:val="Body Text 2"/>
    <w:basedOn w:val="Normal"/>
    <w:link w:val="BodyText2Char"/>
    <w:uiPriority w:val="99"/>
    <w:semiHidden/>
    <w:unhideWhenUsed/>
    <w:rsid w:val="003642E8"/>
    <w:pPr>
      <w:spacing w:after="120" w:line="480" w:lineRule="auto"/>
    </w:pPr>
    <w:rPr>
      <w:rFonts w:asciiTheme="minorHAnsi" w:eastAsiaTheme="minorHAnsi" w:hAnsiTheme="minorHAnsi" w:cstheme="minorBidi"/>
    </w:rPr>
  </w:style>
  <w:style w:type="character" w:customStyle="1" w:styleId="BodyText2Char">
    <w:name w:val="Body Text 2 Char"/>
    <w:basedOn w:val="DefaultParagraphFont"/>
    <w:link w:val="BodyText2"/>
    <w:uiPriority w:val="99"/>
    <w:semiHidden/>
    <w:rsid w:val="003642E8"/>
  </w:style>
  <w:style w:type="table" w:customStyle="1" w:styleId="PlainTable21">
    <w:name w:val="Plain Table 21"/>
    <w:basedOn w:val="TableNormal"/>
    <w:uiPriority w:val="42"/>
    <w:rsid w:val="0009001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5C4DB4"/>
    <w:pPr>
      <w:ind w:left="720"/>
      <w:contextualSpacing/>
    </w:pPr>
  </w:style>
  <w:style w:type="character" w:styleId="CommentReference">
    <w:name w:val="annotation reference"/>
    <w:basedOn w:val="DefaultParagraphFont"/>
    <w:uiPriority w:val="99"/>
    <w:semiHidden/>
    <w:unhideWhenUsed/>
    <w:rsid w:val="007F51DB"/>
    <w:rPr>
      <w:sz w:val="16"/>
      <w:szCs w:val="16"/>
    </w:rPr>
  </w:style>
  <w:style w:type="paragraph" w:styleId="CommentText">
    <w:name w:val="annotation text"/>
    <w:basedOn w:val="Normal"/>
    <w:link w:val="CommentTextChar"/>
    <w:uiPriority w:val="99"/>
    <w:semiHidden/>
    <w:unhideWhenUsed/>
    <w:rsid w:val="007F51DB"/>
    <w:pPr>
      <w:spacing w:line="240" w:lineRule="auto"/>
    </w:pPr>
    <w:rPr>
      <w:sz w:val="20"/>
      <w:szCs w:val="20"/>
    </w:rPr>
  </w:style>
  <w:style w:type="character" w:customStyle="1" w:styleId="CommentTextChar">
    <w:name w:val="Comment Text Char"/>
    <w:basedOn w:val="DefaultParagraphFont"/>
    <w:link w:val="CommentText"/>
    <w:uiPriority w:val="99"/>
    <w:semiHidden/>
    <w:rsid w:val="007F51D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F51DB"/>
    <w:rPr>
      <w:b/>
      <w:bCs/>
    </w:rPr>
  </w:style>
  <w:style w:type="character" w:customStyle="1" w:styleId="CommentSubjectChar">
    <w:name w:val="Comment Subject Char"/>
    <w:basedOn w:val="CommentTextChar"/>
    <w:link w:val="CommentSubject"/>
    <w:uiPriority w:val="99"/>
    <w:semiHidden/>
    <w:rsid w:val="007F51DB"/>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7F51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1DB"/>
    <w:rPr>
      <w:rFonts w:ascii="Segoe UI" w:eastAsia="Calibri" w:hAnsi="Segoe UI" w:cs="Segoe UI"/>
      <w:sz w:val="18"/>
      <w:szCs w:val="18"/>
    </w:rPr>
  </w:style>
  <w:style w:type="paragraph" w:styleId="Revision">
    <w:name w:val="Revision"/>
    <w:hidden/>
    <w:uiPriority w:val="99"/>
    <w:semiHidden/>
    <w:rsid w:val="00EF49AA"/>
    <w:rPr>
      <w:rFonts w:ascii="Calibri" w:eastAsia="Calibri" w:hAnsi="Calibri" w:cs="Times New Roman"/>
    </w:rPr>
  </w:style>
  <w:style w:type="table" w:styleId="TableGrid">
    <w:name w:val="Table Grid"/>
    <w:basedOn w:val="TableNormal"/>
    <w:uiPriority w:val="59"/>
    <w:rsid w:val="002C0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uiPriority w:val="44"/>
    <w:rsid w:val="00E07D1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TableNormal"/>
    <w:uiPriority w:val="42"/>
    <w:rsid w:val="00E07D1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EndnoteText">
    <w:name w:val="endnote text"/>
    <w:basedOn w:val="Normal"/>
    <w:link w:val="EndnoteTextChar"/>
    <w:uiPriority w:val="99"/>
    <w:semiHidden/>
    <w:unhideWhenUsed/>
    <w:rsid w:val="001F5D9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F5D95"/>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1F5D95"/>
    <w:rPr>
      <w:vertAlign w:val="superscript"/>
    </w:rPr>
  </w:style>
  <w:style w:type="paragraph" w:customStyle="1" w:styleId="Answer-Testimony">
    <w:name w:val="Answer - Testimony"/>
    <w:basedOn w:val="Normal"/>
    <w:link w:val="Answer-TestimonyChar"/>
    <w:qFormat/>
    <w:rsid w:val="00CC4292"/>
    <w:pPr>
      <w:spacing w:after="0" w:line="480" w:lineRule="auto"/>
      <w:ind w:left="720" w:hanging="720"/>
    </w:pPr>
    <w:rPr>
      <w:rFonts w:ascii="Times New Roman" w:eastAsia="Times New Roman" w:hAnsi="Times New Roman"/>
      <w:sz w:val="24"/>
      <w:szCs w:val="24"/>
    </w:rPr>
  </w:style>
  <w:style w:type="character" w:customStyle="1" w:styleId="Answer-TestimonyChar">
    <w:name w:val="Answer - Testimony Char"/>
    <w:basedOn w:val="DefaultParagraphFont"/>
    <w:link w:val="Answer-Testimony"/>
    <w:rsid w:val="00CC4292"/>
    <w:rPr>
      <w:rFonts w:ascii="Times New Roman" w:eastAsia="Times New Roman" w:hAnsi="Times New Roman" w:cs="Times New Roman"/>
      <w:sz w:val="24"/>
      <w:szCs w:val="24"/>
    </w:rPr>
  </w:style>
  <w:style w:type="paragraph" w:customStyle="1" w:styleId="Question-Testimony">
    <w:name w:val="Question - Testimony"/>
    <w:basedOn w:val="Normal"/>
    <w:link w:val="Question-TestimonyChar"/>
    <w:qFormat/>
    <w:rsid w:val="00CC4292"/>
    <w:pPr>
      <w:tabs>
        <w:tab w:val="left" w:pos="-1440"/>
      </w:tabs>
      <w:spacing w:after="0" w:line="480" w:lineRule="auto"/>
      <w:ind w:left="720" w:hanging="720"/>
    </w:pPr>
    <w:rPr>
      <w:rFonts w:ascii="Times New Roman" w:eastAsia="Times New Roman" w:hAnsi="Times New Roman"/>
      <w:b/>
      <w:bCs/>
      <w:sz w:val="24"/>
      <w:szCs w:val="24"/>
    </w:rPr>
  </w:style>
  <w:style w:type="character" w:customStyle="1" w:styleId="Question-TestimonyChar">
    <w:name w:val="Question - Testimony Char"/>
    <w:basedOn w:val="DefaultParagraphFont"/>
    <w:link w:val="Question-Testimony"/>
    <w:rsid w:val="00CC4292"/>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95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cmcguire\Desktop\Avista%20rate%20case%2003Jun\Attrition%20Studies\Electric\12.2013%20-%202015%20Electric%20Attrition%20Analysis\Compounding%20tes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Electric</a:t>
            </a:r>
            <a:r>
              <a:rPr lang="en-US" baseline="0"/>
              <a:t> Net Plant after DFIT</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Sheet1!$A$2</c:f>
              <c:strCache>
                <c:ptCount val="1"/>
                <c:pt idx="0">
                  <c:v>Net Plant after DFIT (linear)</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xVal>
            <c:numRef>
              <c:f>Sheet1!$B$1:$G$1</c:f>
              <c:numCache>
                <c:formatCode>General</c:formatCode>
                <c:ptCount val="6"/>
                <c:pt idx="0">
                  <c:v>2007</c:v>
                </c:pt>
                <c:pt idx="1">
                  <c:v>2008</c:v>
                </c:pt>
                <c:pt idx="2">
                  <c:v>2009</c:v>
                </c:pt>
                <c:pt idx="3">
                  <c:v>2010</c:v>
                </c:pt>
                <c:pt idx="4">
                  <c:v>2011</c:v>
                </c:pt>
                <c:pt idx="5">
                  <c:v>2012</c:v>
                </c:pt>
              </c:numCache>
            </c:numRef>
          </c:xVal>
          <c:yVal>
            <c:numRef>
              <c:f>Sheet1!$B$2:$G$2</c:f>
              <c:numCache>
                <c:formatCode>General</c:formatCode>
                <c:ptCount val="6"/>
                <c:pt idx="0">
                  <c:v>870835</c:v>
                </c:pt>
                <c:pt idx="1">
                  <c:v>917247</c:v>
                </c:pt>
                <c:pt idx="2">
                  <c:v>987243</c:v>
                </c:pt>
                <c:pt idx="3">
                  <c:v>1036064</c:v>
                </c:pt>
                <c:pt idx="4">
                  <c:v>1087141</c:v>
                </c:pt>
                <c:pt idx="5">
                  <c:v>1131570</c:v>
                </c:pt>
              </c:numCache>
            </c:numRef>
          </c:yVal>
          <c:smooth val="0"/>
        </c:ser>
        <c:ser>
          <c:idx val="1"/>
          <c:order val="1"/>
          <c:tx>
            <c:strRef>
              <c:f>Sheet1!$A$3</c:f>
              <c:strCache>
                <c:ptCount val="1"/>
                <c:pt idx="0">
                  <c:v>Net Plant after DFIT (compounded)</c:v>
                </c:pt>
              </c:strCache>
            </c:strRef>
          </c:tx>
          <c:spPr>
            <a:ln w="19050" cap="rnd">
              <a:solidFill>
                <a:schemeClr val="bg1"/>
              </a:solidFill>
              <a:round/>
            </a:ln>
            <a:effectLst/>
          </c:spPr>
          <c:marker>
            <c:symbol val="circle"/>
            <c:size val="5"/>
            <c:spPr>
              <a:solidFill>
                <a:schemeClr val="bg1"/>
              </a:solidFill>
              <a:ln w="9525">
                <a:solidFill>
                  <a:schemeClr val="bg1"/>
                </a:solidFill>
              </a:ln>
              <a:effectLst/>
            </c:spPr>
          </c:marker>
          <c:trendline>
            <c:spPr>
              <a:ln w="19050" cap="rnd">
                <a:solidFill>
                  <a:schemeClr val="accent2"/>
                </a:solidFill>
                <a:prstDash val="sysDot"/>
              </a:ln>
              <a:effectLst/>
            </c:spPr>
            <c:trendlineType val="poly"/>
            <c:order val="2"/>
            <c:dispRSqr val="0"/>
            <c:dispEq val="0"/>
          </c:trendline>
          <c:xVal>
            <c:numRef>
              <c:f>Sheet1!$B$1:$G$1</c:f>
              <c:numCache>
                <c:formatCode>General</c:formatCode>
                <c:ptCount val="6"/>
                <c:pt idx="0">
                  <c:v>2007</c:v>
                </c:pt>
                <c:pt idx="1">
                  <c:v>2008</c:v>
                </c:pt>
                <c:pt idx="2">
                  <c:v>2009</c:v>
                </c:pt>
                <c:pt idx="3">
                  <c:v>2010</c:v>
                </c:pt>
                <c:pt idx="4">
                  <c:v>2011</c:v>
                </c:pt>
                <c:pt idx="5">
                  <c:v>2012</c:v>
                </c:pt>
              </c:numCache>
            </c:numRef>
          </c:xVal>
          <c:yVal>
            <c:numRef>
              <c:f>Sheet1!$B$3:$G$3</c:f>
              <c:numCache>
                <c:formatCode>General</c:formatCode>
                <c:ptCount val="6"/>
                <c:pt idx="0">
                  <c:v>870835</c:v>
                </c:pt>
                <c:pt idx="1">
                  <c:v>917666.76463000011</c:v>
                </c:pt>
                <c:pt idx="2">
                  <c:v>967017.0478982724</c:v>
                </c:pt>
                <c:pt idx="3">
                  <c:v>1019021.2907001458</c:v>
                </c:pt>
                <c:pt idx="4">
                  <c:v>1073822.2176714183</c:v>
                </c:pt>
                <c:pt idx="5">
                  <c:v>1131570.228893352</c:v>
                </c:pt>
              </c:numCache>
            </c:numRef>
          </c:yVal>
          <c:smooth val="0"/>
        </c:ser>
        <c:dLbls>
          <c:showLegendKey val="0"/>
          <c:showVal val="0"/>
          <c:showCatName val="0"/>
          <c:showSerName val="0"/>
          <c:showPercent val="0"/>
          <c:showBubbleSize val="0"/>
        </c:dLbls>
        <c:axId val="138065648"/>
        <c:axId val="236045936"/>
      </c:scatterChart>
      <c:valAx>
        <c:axId val="138065648"/>
        <c:scaling>
          <c:orientation val="minMax"/>
          <c:max val="2012"/>
          <c:min val="2007"/>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6045936"/>
        <c:crosses val="autoZero"/>
        <c:crossBetween val="midCat"/>
      </c:valAx>
      <c:valAx>
        <c:axId val="236045936"/>
        <c:scaling>
          <c:orientation val="minMax"/>
          <c:max val="1150000.0000000002"/>
          <c:min val="850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065648"/>
        <c:crosses val="autoZero"/>
        <c:crossBetween val="midCat"/>
      </c:valAx>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D05DFA5A769A459A1C549E33C26839" ma:contentTypeVersion="175" ma:contentTypeDescription="" ma:contentTypeScope="" ma:versionID="4eb91c358a4103962b49e91bd02f562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2014-02-04T08:00:00+00:00</OpenedDate>
    <Date1 xmlns="dc463f71-b30c-4ab2-9473-d307f9d35888">2014-08-05T23:07:50+00:00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140188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44FBAA-69AF-48EB-9FD3-1422DD77C8BB}"/>
</file>

<file path=customXml/itemProps2.xml><?xml version="1.0" encoding="utf-8"?>
<ds:datastoreItem xmlns:ds="http://schemas.openxmlformats.org/officeDocument/2006/customXml" ds:itemID="{4E7DCACC-3E15-4117-A614-CC23A32A906E}"/>
</file>

<file path=customXml/itemProps3.xml><?xml version="1.0" encoding="utf-8"?>
<ds:datastoreItem xmlns:ds="http://schemas.openxmlformats.org/officeDocument/2006/customXml" ds:itemID="{6D86125B-8A7B-4737-AABD-D2A05CC7EF25}"/>
</file>

<file path=customXml/itemProps4.xml><?xml version="1.0" encoding="utf-8"?>
<ds:datastoreItem xmlns:ds="http://schemas.openxmlformats.org/officeDocument/2006/customXml" ds:itemID="{8D33F4ED-C2D6-452E-851B-FA21057937F1}"/>
</file>

<file path=customXml/itemProps5.xml><?xml version="1.0" encoding="utf-8"?>
<ds:datastoreItem xmlns:ds="http://schemas.openxmlformats.org/officeDocument/2006/customXml" ds:itemID="{88D6F4F3-42D7-4987-AB58-33754F0B1B51}"/>
</file>

<file path=docProps/app.xml><?xml version="1.0" encoding="utf-8"?>
<Properties xmlns="http://schemas.openxmlformats.org/officeDocument/2006/extended-properties" xmlns:vt="http://schemas.openxmlformats.org/officeDocument/2006/docPropsVTypes">
  <Template>Normal.dotm</Template>
  <TotalTime>6</TotalTime>
  <Pages>55</Pages>
  <Words>11923</Words>
  <Characters>67966</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CONFIDENTIAL Exhibit No.__ (CRM-1CT)</vt:lpstr>
    </vt:vector>
  </TitlesOfParts>
  <Company>Washington Utilities and Transportation Commission</Company>
  <LinksUpToDate>false</LinksUpToDate>
  <CharactersWithSpaces>79730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McGuire, Chris (UTC)</dc:creator>
  <cp:lastModifiedBy>Gross, Krista (UTC)</cp:lastModifiedBy>
  <cp:revision>3</cp:revision>
  <cp:lastPrinted>2014-12-19T22:02:00Z</cp:lastPrinted>
  <dcterms:created xsi:type="dcterms:W3CDTF">2014-12-19T21:57:00Z</dcterms:created>
  <dcterms:modified xsi:type="dcterms:W3CDTF">2014-12-19T22:02:00Z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0x0101006E56B4D1795A2E4DB2F0B01679ED314A0076D05DFA5A769A459A1C549E33C26839</vt:lpwstr>
  </property>
  <property fmtid="{D5CDD505-2E9C-101B-9397-08002B2CF9AE}" pid="3" name="_docset_NoMedatataSyncRequired">
    <vt:lpwstr>False</vt:lpwstr>
  </property>
</Properties>
</file>