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74D" w:rsidRDefault="00BF212E" w:rsidP="00E65686">
      <w:pPr>
        <w:spacing w:line="240" w:lineRule="auto"/>
        <w:contextualSpacing/>
        <w:jc w:val="center"/>
        <w:rPr>
          <w:b/>
          <w:sz w:val="28"/>
          <w:szCs w:val="28"/>
        </w:rPr>
      </w:pPr>
      <w:r>
        <w:rPr>
          <w:b/>
          <w:sz w:val="28"/>
          <w:szCs w:val="28"/>
        </w:rPr>
        <w:t>CFL Contingency</w:t>
      </w:r>
      <w:r w:rsidR="00263FF4">
        <w:rPr>
          <w:b/>
          <w:sz w:val="28"/>
          <w:szCs w:val="28"/>
        </w:rPr>
        <w:t xml:space="preserve"> Program</w:t>
      </w:r>
    </w:p>
    <w:p w:rsidR="00E65686" w:rsidRPr="004C25BD" w:rsidRDefault="00E65686" w:rsidP="00E65686">
      <w:pPr>
        <w:spacing w:line="240" w:lineRule="auto"/>
        <w:contextualSpacing/>
        <w:jc w:val="center"/>
        <w:rPr>
          <w:sz w:val="24"/>
          <w:szCs w:val="24"/>
        </w:rPr>
      </w:pPr>
      <w:r w:rsidRPr="004C25BD">
        <w:rPr>
          <w:sz w:val="24"/>
          <w:szCs w:val="24"/>
        </w:rPr>
        <w:t>Residential Sector</w:t>
      </w:r>
    </w:p>
    <w:p w:rsidR="00E65686" w:rsidRDefault="00E65686" w:rsidP="00E65686">
      <w:pPr>
        <w:spacing w:line="240" w:lineRule="auto"/>
        <w:contextualSpacing/>
        <w:jc w:val="center"/>
        <w:rPr>
          <w:sz w:val="28"/>
          <w:szCs w:val="28"/>
        </w:rPr>
      </w:pPr>
    </w:p>
    <w:p w:rsidR="00415901" w:rsidRPr="000A1FD2" w:rsidRDefault="0042551E" w:rsidP="00C97D07">
      <w:pPr>
        <w:pBdr>
          <w:top w:val="single" w:sz="4" w:space="1" w:color="auto"/>
        </w:pBdr>
        <w:spacing w:line="240" w:lineRule="auto"/>
        <w:rPr>
          <w:b/>
        </w:rPr>
      </w:pPr>
      <w:r w:rsidRPr="000A1FD2">
        <w:rPr>
          <w:b/>
          <w:i/>
        </w:rPr>
        <w:t>Key Individuals</w:t>
      </w:r>
      <w:r w:rsidR="006B6110" w:rsidRPr="000A1FD2">
        <w:rPr>
          <w:b/>
          <w:i/>
        </w:rPr>
        <w:t xml:space="preserve"> and Responsibilities</w:t>
      </w:r>
      <w:r w:rsidRPr="000A1FD2">
        <w:rPr>
          <w:b/>
          <w:i/>
        </w:rPr>
        <w:t>:</w:t>
      </w:r>
      <w:r w:rsidRPr="000A1FD2">
        <w:rPr>
          <w:b/>
        </w:rPr>
        <w:tab/>
      </w:r>
      <w:r w:rsidR="004C25BD" w:rsidRPr="000A1FD2">
        <w:rPr>
          <w:b/>
        </w:rPr>
        <w:tab/>
      </w:r>
    </w:p>
    <w:p w:rsidR="00BF212E" w:rsidRDefault="00BF212E" w:rsidP="000A1FD2">
      <w:pPr>
        <w:tabs>
          <w:tab w:val="left" w:pos="90"/>
        </w:tabs>
        <w:spacing w:line="240" w:lineRule="auto"/>
      </w:pPr>
      <w:r>
        <w:t xml:space="preserve">Sandra Hoye </w:t>
      </w:r>
      <w:r w:rsidR="00B36731">
        <w:t>is</w:t>
      </w:r>
      <w:r w:rsidR="002A25D1">
        <w:t xml:space="preserve"> the </w:t>
      </w:r>
      <w:r>
        <w:t xml:space="preserve">designated program </w:t>
      </w:r>
      <w:r w:rsidR="006B79B2">
        <w:t>coordinator</w:t>
      </w:r>
      <w:r>
        <w:t>.  Additional key support is provided by Kelly Conley (marketing), Debbie Simock (public information), Jon Powell (analysis and EM&amp;V preparation) and Chris Drake (implementation and supervisory support).</w:t>
      </w:r>
    </w:p>
    <w:p w:rsidR="000A1FD2" w:rsidRPr="000A1FD2" w:rsidRDefault="0090454C" w:rsidP="00C97D07">
      <w:pPr>
        <w:pBdr>
          <w:top w:val="single" w:sz="4" w:space="1" w:color="auto"/>
        </w:pBdr>
        <w:spacing w:line="240" w:lineRule="auto"/>
        <w:contextualSpacing/>
        <w:rPr>
          <w:b/>
          <w:i/>
        </w:rPr>
      </w:pPr>
      <w:r w:rsidRPr="000A1FD2">
        <w:rPr>
          <w:b/>
          <w:i/>
        </w:rPr>
        <w:t>Target Market</w:t>
      </w:r>
      <w:r w:rsidR="006B6110" w:rsidRPr="000A1FD2">
        <w:rPr>
          <w:b/>
          <w:i/>
        </w:rPr>
        <w:t>(s)</w:t>
      </w:r>
      <w:r w:rsidRPr="000A1FD2">
        <w:rPr>
          <w:b/>
          <w:i/>
        </w:rPr>
        <w:t>:</w:t>
      </w:r>
      <w:r w:rsidRPr="000A1FD2">
        <w:rPr>
          <w:b/>
          <w:i/>
        </w:rPr>
        <w:tab/>
      </w:r>
    </w:p>
    <w:p w:rsidR="000A1FD2" w:rsidRPr="007B19AC" w:rsidRDefault="000A1FD2" w:rsidP="00C97D07">
      <w:pPr>
        <w:pBdr>
          <w:top w:val="single" w:sz="4" w:space="1" w:color="auto"/>
        </w:pBdr>
        <w:spacing w:line="240" w:lineRule="auto"/>
        <w:contextualSpacing/>
        <w:rPr>
          <w:i/>
        </w:rPr>
      </w:pPr>
    </w:p>
    <w:p w:rsidR="00BF212E" w:rsidRDefault="00BF212E" w:rsidP="007B19AC">
      <w:pPr>
        <w:pBdr>
          <w:top w:val="single" w:sz="4" w:space="1" w:color="auto"/>
        </w:pBdr>
        <w:spacing w:line="240" w:lineRule="auto"/>
        <w:contextualSpacing/>
      </w:pPr>
      <w:r>
        <w:t>The CFL contingency program is targeted for the residential and small commercial (Schedule 11) customer base of both Washington and Idaho jurisdictions.</w:t>
      </w:r>
    </w:p>
    <w:p w:rsidR="003D3F1F" w:rsidRPr="004C25BD" w:rsidRDefault="003D3F1F" w:rsidP="003D634A">
      <w:pPr>
        <w:spacing w:line="240" w:lineRule="auto"/>
        <w:contextualSpacing/>
      </w:pPr>
    </w:p>
    <w:p w:rsidR="000A1FD2" w:rsidRPr="000A1FD2" w:rsidRDefault="004E1FB8" w:rsidP="00C97D07">
      <w:pPr>
        <w:pBdr>
          <w:top w:val="single" w:sz="4" w:space="1" w:color="auto"/>
        </w:pBdr>
        <w:spacing w:line="240" w:lineRule="auto"/>
        <w:contextualSpacing/>
        <w:rPr>
          <w:b/>
          <w:i/>
        </w:rPr>
      </w:pPr>
      <w:r w:rsidRPr="000A1FD2">
        <w:rPr>
          <w:b/>
          <w:i/>
        </w:rPr>
        <w:t>Program Overview:</w:t>
      </w:r>
      <w:r w:rsidRPr="000A1FD2">
        <w:rPr>
          <w:b/>
          <w:i/>
        </w:rPr>
        <w:tab/>
      </w:r>
    </w:p>
    <w:p w:rsidR="000A1FD2" w:rsidRDefault="000A1FD2" w:rsidP="00C97D07">
      <w:pPr>
        <w:pBdr>
          <w:top w:val="single" w:sz="4" w:space="1" w:color="auto"/>
        </w:pBdr>
        <w:spacing w:line="240" w:lineRule="auto"/>
        <w:contextualSpacing/>
        <w:rPr>
          <w:i/>
        </w:rPr>
      </w:pPr>
    </w:p>
    <w:p w:rsidR="00BF212E" w:rsidRDefault="00BF212E" w:rsidP="003D634A">
      <w:pPr>
        <w:pBdr>
          <w:top w:val="single" w:sz="4" w:space="1" w:color="auto"/>
        </w:pBdr>
        <w:spacing w:line="240" w:lineRule="auto"/>
        <w:contextualSpacing/>
      </w:pPr>
      <w:r>
        <w:t>This program has been designed as a scalable means of delivering highly cost-effective energy-efficiency resources to Avista’s customer base while simultaneously offering the flexibility to meet anticipated energy acquisition targets established under Washington I-937 at a low ratepayer cost and minimum uncertainty.</w:t>
      </w:r>
    </w:p>
    <w:p w:rsidR="00BF212E" w:rsidRDefault="00BF212E" w:rsidP="003D634A">
      <w:pPr>
        <w:pBdr>
          <w:top w:val="single" w:sz="4" w:space="1" w:color="auto"/>
        </w:pBdr>
        <w:spacing w:line="240" w:lineRule="auto"/>
        <w:contextualSpacing/>
      </w:pPr>
    </w:p>
    <w:p w:rsidR="00BF212E" w:rsidRDefault="00BF212E" w:rsidP="003D634A">
      <w:pPr>
        <w:pBdr>
          <w:top w:val="single" w:sz="4" w:space="1" w:color="auto"/>
        </w:pBdr>
        <w:spacing w:line="240" w:lineRule="auto"/>
        <w:contextualSpacing/>
      </w:pPr>
      <w:r>
        <w:t>Since Avista utilized the N</w:t>
      </w:r>
      <w:r w:rsidR="005B4942">
        <w:t xml:space="preserve">orthwest </w:t>
      </w:r>
      <w:r>
        <w:t>P</w:t>
      </w:r>
      <w:r w:rsidR="005B4942">
        <w:t xml:space="preserve">ower </w:t>
      </w:r>
      <w:r>
        <w:t>C</w:t>
      </w:r>
      <w:r w:rsidR="005B4942">
        <w:t xml:space="preserve">onservation </w:t>
      </w:r>
      <w:r>
        <w:t>C</w:t>
      </w:r>
      <w:r w:rsidR="005B4942">
        <w:t>ouncil</w:t>
      </w:r>
      <w:r>
        <w:t>’s</w:t>
      </w:r>
      <w:r w:rsidR="005B4942">
        <w:t xml:space="preserve"> (NPCC’s)</w:t>
      </w:r>
      <w:r>
        <w:t xml:space="preserve"> 6</w:t>
      </w:r>
      <w:r w:rsidRPr="00BF212E">
        <w:rPr>
          <w:vertAlign w:val="superscript"/>
        </w:rPr>
        <w:t>th</w:t>
      </w:r>
      <w:r>
        <w:t xml:space="preserve"> Power Plan as the basis for the establishment of the I-937 target, the level of savings assumed within the Plan will be appropriately applied to program throughput.  For residential customers receiving CFLs</w:t>
      </w:r>
      <w:r w:rsidR="000A6684">
        <w:t xml:space="preserve"> of mixed wattage via any delivery mechanism,</w:t>
      </w:r>
      <w:r>
        <w:t xml:space="preserve"> the Plan assumes </w:t>
      </w:r>
      <w:r w:rsidR="005B4942">
        <w:t>32</w:t>
      </w:r>
      <w:r>
        <w:t xml:space="preserve"> first-year kWhs per CFL.  This includes assumptions for re</w:t>
      </w:r>
      <w:r w:rsidR="000A6684">
        <w:t xml:space="preserve">moval, </w:t>
      </w:r>
      <w:r>
        <w:t>breakage</w:t>
      </w:r>
      <w:r w:rsidR="000A6684">
        <w:t xml:space="preserve"> or failure</w:t>
      </w:r>
      <w:r>
        <w:t xml:space="preserve">, </w:t>
      </w:r>
      <w:r w:rsidR="000A6684">
        <w:t xml:space="preserve">space-conditioning interaction </w:t>
      </w:r>
      <w:r>
        <w:t xml:space="preserve">and similar factors that would prevent a percentage of the CFLs from delivering energy savings.  </w:t>
      </w:r>
    </w:p>
    <w:p w:rsidR="000A6684" w:rsidRDefault="000A6684" w:rsidP="003D634A">
      <w:pPr>
        <w:pBdr>
          <w:top w:val="single" w:sz="4" w:space="1" w:color="auto"/>
        </w:pBdr>
        <w:spacing w:line="240" w:lineRule="auto"/>
        <w:contextualSpacing/>
      </w:pPr>
    </w:p>
    <w:p w:rsidR="00BF212E" w:rsidRDefault="00BF212E" w:rsidP="003D634A">
      <w:pPr>
        <w:pBdr>
          <w:top w:val="single" w:sz="4" w:space="1" w:color="auto"/>
        </w:pBdr>
        <w:spacing w:line="240" w:lineRule="auto"/>
        <w:contextualSpacing/>
      </w:pPr>
      <w:r>
        <w:t>There is no standard assumption within the 6</w:t>
      </w:r>
      <w:r w:rsidRPr="00BF212E">
        <w:rPr>
          <w:vertAlign w:val="superscript"/>
        </w:rPr>
        <w:t>th</w:t>
      </w:r>
      <w:r>
        <w:t xml:space="preserve"> Plan for CFLs delivered to small commercial customers.  The savings from this component of the program would be based upon post-project impact evaluations, and is therefore subject to a certain amount of uncertainty.</w:t>
      </w:r>
    </w:p>
    <w:p w:rsidR="002A25D1" w:rsidRDefault="002A25D1" w:rsidP="003D634A">
      <w:pPr>
        <w:pBdr>
          <w:top w:val="single" w:sz="4" w:space="1" w:color="auto"/>
        </w:pBdr>
        <w:spacing w:line="240" w:lineRule="auto"/>
        <w:contextualSpacing/>
      </w:pPr>
    </w:p>
    <w:p w:rsidR="003D634A" w:rsidRDefault="000A6684" w:rsidP="000A1FD2">
      <w:pPr>
        <w:pBdr>
          <w:top w:val="single" w:sz="4" w:space="1" w:color="auto"/>
        </w:pBdr>
        <w:spacing w:line="240" w:lineRule="auto"/>
        <w:contextualSpacing/>
      </w:pPr>
      <w:r>
        <w:t>Customers are pre-notified and given an opportunity to “opt-out” should they not wish to receive the shipment of CFLs.  In spite of this “opt-out” option, should</w:t>
      </w:r>
      <w:r w:rsidR="0086459C">
        <w:t xml:space="preserve"> c</w:t>
      </w:r>
      <w:r w:rsidR="002A25D1">
        <w:t>ustomers receiv</w:t>
      </w:r>
      <w:r>
        <w:t>e</w:t>
      </w:r>
      <w:r w:rsidR="002A25D1">
        <w:t xml:space="preserve"> </w:t>
      </w:r>
      <w:r w:rsidR="0086459C">
        <w:t xml:space="preserve">unwanted </w:t>
      </w:r>
      <w:r w:rsidR="002A25D1">
        <w:t>CFLs</w:t>
      </w:r>
      <w:r>
        <w:t>, arrangement have been made</w:t>
      </w:r>
      <w:r w:rsidR="002A25D1">
        <w:t xml:space="preserve"> </w:t>
      </w:r>
      <w:r>
        <w:t xml:space="preserve">for </w:t>
      </w:r>
      <w:r w:rsidR="0086459C">
        <w:t xml:space="preserve">return </w:t>
      </w:r>
      <w:r>
        <w:t xml:space="preserve">shipment and </w:t>
      </w:r>
      <w:r w:rsidR="0086459C">
        <w:t>have been incorporated into the program plan based upon arrangements with the US Postal Service</w:t>
      </w:r>
      <w:r w:rsidR="005B4942">
        <w:t xml:space="preserve"> and </w:t>
      </w:r>
      <w:r w:rsidR="0086459C">
        <w:t>by including instructions for return of opened boxes to Avista.</w:t>
      </w:r>
      <w:r>
        <w:t xml:space="preserve">  In addition, the boxes of bulbs include educational information and tips, along with information regarding CFL recycling.  </w:t>
      </w:r>
      <w:r w:rsidR="005B4942">
        <w:t>Mailing a</w:t>
      </w:r>
      <w:r>
        <w:t xml:space="preserve">ddresses have </w:t>
      </w:r>
      <w:r w:rsidR="005B4942">
        <w:t>been</w:t>
      </w:r>
      <w:r>
        <w:t xml:space="preserve"> </w:t>
      </w:r>
      <w:r w:rsidR="00B068F5">
        <w:t xml:space="preserve">scrutinized </w:t>
      </w:r>
      <w:r>
        <w:t xml:space="preserve">to ensure that all boxes will be shipped to addresses within the Company’s services and not to a temporary forwarding address in another service territory.  </w:t>
      </w:r>
    </w:p>
    <w:p w:rsidR="0086459C" w:rsidRDefault="0086459C" w:rsidP="000A1FD2">
      <w:pPr>
        <w:pBdr>
          <w:top w:val="single" w:sz="4" w:space="1" w:color="auto"/>
        </w:pBdr>
        <w:spacing w:line="240" w:lineRule="auto"/>
        <w:contextualSpacing/>
      </w:pPr>
    </w:p>
    <w:p w:rsidR="000A1FD2" w:rsidRDefault="00B36731" w:rsidP="0086459C">
      <w:pPr>
        <w:pBdr>
          <w:top w:val="single" w:sz="4" w:space="1" w:color="auto"/>
        </w:pBdr>
        <w:spacing w:line="240" w:lineRule="auto"/>
        <w:contextualSpacing/>
        <w:rPr>
          <w:b/>
        </w:rPr>
      </w:pPr>
      <w:r>
        <w:t xml:space="preserve">This program has been under active development during the April to June 2011 time period.  The program characteristics represented within this report are the best information available as of the beginning of June 2011.  </w:t>
      </w:r>
    </w:p>
    <w:p w:rsidR="0086459C" w:rsidRDefault="0086459C" w:rsidP="004C25BD">
      <w:pPr>
        <w:pBdr>
          <w:top w:val="single" w:sz="4" w:space="1" w:color="auto"/>
        </w:pBdr>
        <w:spacing w:line="240" w:lineRule="auto"/>
        <w:ind w:left="2160" w:hanging="2160"/>
        <w:contextualSpacing/>
        <w:rPr>
          <w:b/>
          <w:i/>
        </w:rPr>
      </w:pPr>
    </w:p>
    <w:p w:rsidR="005B4942" w:rsidRDefault="005B4942" w:rsidP="004C25BD">
      <w:pPr>
        <w:pBdr>
          <w:top w:val="single" w:sz="4" w:space="1" w:color="auto"/>
        </w:pBdr>
        <w:spacing w:line="240" w:lineRule="auto"/>
        <w:ind w:left="2160" w:hanging="2160"/>
        <w:contextualSpacing/>
        <w:rPr>
          <w:b/>
          <w:i/>
        </w:rPr>
      </w:pPr>
    </w:p>
    <w:p w:rsidR="005B4942" w:rsidRDefault="005B4942" w:rsidP="004C25BD">
      <w:pPr>
        <w:pBdr>
          <w:top w:val="single" w:sz="4" w:space="1" w:color="auto"/>
        </w:pBdr>
        <w:spacing w:line="240" w:lineRule="auto"/>
        <w:ind w:left="2160" w:hanging="2160"/>
        <w:contextualSpacing/>
        <w:rPr>
          <w:b/>
          <w:i/>
        </w:rPr>
      </w:pPr>
    </w:p>
    <w:p w:rsidR="009454EC" w:rsidRPr="000A1FD2" w:rsidRDefault="004E1FB8" w:rsidP="004C25BD">
      <w:pPr>
        <w:pBdr>
          <w:top w:val="single" w:sz="4" w:space="1" w:color="auto"/>
        </w:pBdr>
        <w:spacing w:line="240" w:lineRule="auto"/>
        <w:ind w:left="2160" w:hanging="2160"/>
        <w:contextualSpacing/>
        <w:rPr>
          <w:b/>
          <w:i/>
        </w:rPr>
      </w:pPr>
      <w:r w:rsidRPr="000A1FD2">
        <w:rPr>
          <w:b/>
          <w:i/>
        </w:rPr>
        <w:lastRenderedPageBreak/>
        <w:t xml:space="preserve">Prior Year </w:t>
      </w:r>
      <w:r w:rsidR="006B6110" w:rsidRPr="000A1FD2">
        <w:rPr>
          <w:b/>
          <w:i/>
        </w:rPr>
        <w:t xml:space="preserve">Program </w:t>
      </w:r>
      <w:r w:rsidRPr="000A1FD2">
        <w:rPr>
          <w:b/>
          <w:i/>
        </w:rPr>
        <w:t>Results:</w:t>
      </w:r>
      <w:r w:rsidRPr="000A1FD2">
        <w:rPr>
          <w:b/>
          <w:i/>
        </w:rPr>
        <w:tab/>
      </w:r>
    </w:p>
    <w:p w:rsidR="004C25BD" w:rsidRDefault="004C25BD" w:rsidP="004C25BD">
      <w:pPr>
        <w:pBdr>
          <w:top w:val="single" w:sz="4" w:space="1" w:color="auto"/>
        </w:pBdr>
        <w:spacing w:line="240" w:lineRule="auto"/>
        <w:ind w:left="2160" w:hanging="2160"/>
        <w:contextualSpacing/>
      </w:pPr>
    </w:p>
    <w:p w:rsidR="0086459C" w:rsidRDefault="0086459C" w:rsidP="0086459C">
      <w:pPr>
        <w:pBdr>
          <w:top w:val="single" w:sz="4" w:space="1" w:color="auto"/>
        </w:pBdr>
        <w:spacing w:line="240" w:lineRule="auto"/>
        <w:contextualSpacing/>
      </w:pPr>
      <w:r>
        <w:t>Avista has no precedent with a CFL distribution of this type.  However</w:t>
      </w:r>
      <w:r w:rsidR="005B4942">
        <w:t>,</w:t>
      </w:r>
      <w:r>
        <w:t xml:space="preserve"> the 2011 DSM Business Plan contained three other CFL delivery mechanisms for the Washington/Idaho service territory; “Dollars for Change” (physical distribution of an estimated 3,500 </w:t>
      </w:r>
      <w:r w:rsidR="00B068F5">
        <w:t>CFLs</w:t>
      </w:r>
      <w:r>
        <w:t xml:space="preserve"> in grade schools), “Geographic Saturation” (physical distribution of an estimated 10,000 </w:t>
      </w:r>
      <w:r w:rsidR="00B068F5">
        <w:t>CFLs</w:t>
      </w:r>
      <w:r>
        <w:t xml:space="preserve"> through in energy events attended by Avista) and “Simple Steps, Smart Savings” (a regional buy-down program with an estimated distribution of 90,000 </w:t>
      </w:r>
      <w:r w:rsidR="00B068F5">
        <w:t>CFLs</w:t>
      </w:r>
      <w:r>
        <w:t xml:space="preserve">).  In total the 2011 DSM Business Plan anticipated the distribution of 103,500 </w:t>
      </w:r>
      <w:r w:rsidR="00B068F5">
        <w:t>CFLs</w:t>
      </w:r>
      <w:r>
        <w:t xml:space="preserve">, or approximately 0.3 </w:t>
      </w:r>
      <w:r w:rsidR="00B068F5">
        <w:t>CFLs</w:t>
      </w:r>
      <w:r>
        <w:t xml:space="preserve"> per residential customer during the year.  The Simple Steps, Smart Savings program has significantly exceeded expected throughput and is now expected to </w:t>
      </w:r>
      <w:r w:rsidRPr="000725E7">
        <w:t xml:space="preserve">deliver </w:t>
      </w:r>
      <w:r w:rsidR="000725E7" w:rsidRPr="000725E7">
        <w:t>425</w:t>
      </w:r>
      <w:r w:rsidRPr="000725E7">
        <w:t xml:space="preserve">,000 </w:t>
      </w:r>
      <w:r w:rsidR="00B068F5">
        <w:t>CFLs</w:t>
      </w:r>
      <w:r w:rsidRPr="000725E7">
        <w:t xml:space="preserve"> (approximately 1.</w:t>
      </w:r>
      <w:r w:rsidR="000725E7">
        <w:t>2</w:t>
      </w:r>
      <w:r w:rsidRPr="000725E7">
        <w:t xml:space="preserve"> per residential customer) during 2011.</w:t>
      </w:r>
      <w:r>
        <w:t xml:space="preserve">  </w:t>
      </w:r>
    </w:p>
    <w:p w:rsidR="0086459C" w:rsidRDefault="0086459C" w:rsidP="0086459C">
      <w:pPr>
        <w:pBdr>
          <w:top w:val="single" w:sz="4" w:space="1" w:color="auto"/>
        </w:pBdr>
        <w:spacing w:line="240" w:lineRule="auto"/>
        <w:contextualSpacing/>
      </w:pPr>
    </w:p>
    <w:p w:rsidR="0086459C" w:rsidRDefault="000725E7" w:rsidP="0086459C">
      <w:pPr>
        <w:pBdr>
          <w:top w:val="single" w:sz="4" w:space="1" w:color="auto"/>
        </w:pBdr>
        <w:spacing w:line="240" w:lineRule="auto"/>
        <w:contextualSpacing/>
      </w:pPr>
      <w:r>
        <w:t xml:space="preserve">During </w:t>
      </w:r>
      <w:r w:rsidR="0086459C">
        <w:t xml:space="preserve">2010 </w:t>
      </w:r>
      <w:r>
        <w:t xml:space="preserve">the physical CFL distribution through all programs amounted to approximately </w:t>
      </w:r>
      <w:r w:rsidR="001C3C4A">
        <w:t>376</w:t>
      </w:r>
      <w:r>
        <w:t>,000</w:t>
      </w:r>
      <w:r w:rsidR="0086459C">
        <w:t xml:space="preserve"> </w:t>
      </w:r>
      <w:r>
        <w:t xml:space="preserve">units </w:t>
      </w:r>
      <w:r w:rsidR="0086459C">
        <w:t xml:space="preserve">to </w:t>
      </w:r>
      <w:r>
        <w:t xml:space="preserve">system </w:t>
      </w:r>
      <w:r w:rsidR="0086459C">
        <w:t>residential customers</w:t>
      </w:r>
      <w:r>
        <w:t xml:space="preserve"> (approximately </w:t>
      </w:r>
      <w:r w:rsidR="001C3C4A">
        <w:t>1.1</w:t>
      </w:r>
      <w:r>
        <w:t xml:space="preserve"> </w:t>
      </w:r>
      <w:r w:rsidR="00B068F5">
        <w:t>CFLs</w:t>
      </w:r>
      <w:r>
        <w:t xml:space="preserve"> per customer)</w:t>
      </w:r>
      <w:r w:rsidR="0086459C">
        <w:t>.  This falls well short of the number of technically applicable and cost-effective sockets within the typical residential home.  It is noted that the NPCC has persistently reduced the annual savings from a CFL over the years in recognition of the increasing saturation and, consequently, the lower runtime per CFL.  The estimates within the 6</w:t>
      </w:r>
      <w:r w:rsidR="0086459C" w:rsidRPr="002A25D1">
        <w:rPr>
          <w:vertAlign w:val="superscript"/>
        </w:rPr>
        <w:t>th</w:t>
      </w:r>
      <w:r w:rsidR="0086459C">
        <w:t xml:space="preserve"> Plan incorporate those considerations and are being applied both in the development of the I-937 target as well as the measurement of acquisition towards that target.</w:t>
      </w:r>
    </w:p>
    <w:p w:rsidR="00BB5A1D" w:rsidRPr="004C25BD" w:rsidRDefault="00BB5A1D" w:rsidP="004C25BD">
      <w:pPr>
        <w:spacing w:line="240" w:lineRule="auto"/>
        <w:ind w:left="2160" w:hanging="2160"/>
        <w:contextualSpacing/>
      </w:pPr>
    </w:p>
    <w:p w:rsidR="009454EC" w:rsidRDefault="004E1FB8" w:rsidP="004C25BD">
      <w:pPr>
        <w:pBdr>
          <w:top w:val="single" w:sz="4" w:space="1" w:color="auto"/>
        </w:pBdr>
        <w:spacing w:line="240" w:lineRule="auto"/>
        <w:ind w:left="2160" w:hanging="2160"/>
        <w:contextualSpacing/>
        <w:rPr>
          <w:b/>
          <w:i/>
        </w:rPr>
      </w:pPr>
      <w:r w:rsidRPr="000A1FD2">
        <w:rPr>
          <w:b/>
          <w:i/>
        </w:rPr>
        <w:t>Budget and Savings:</w:t>
      </w:r>
    </w:p>
    <w:p w:rsidR="00A61008" w:rsidRDefault="00A61008" w:rsidP="004C25BD">
      <w:pPr>
        <w:pBdr>
          <w:top w:val="single" w:sz="4" w:space="1" w:color="auto"/>
        </w:pBdr>
        <w:spacing w:line="240" w:lineRule="auto"/>
        <w:ind w:left="2160" w:hanging="2160"/>
        <w:contextualSpacing/>
        <w:rPr>
          <w:b/>
          <w:i/>
        </w:rPr>
      </w:pPr>
    </w:p>
    <w:p w:rsidR="00A61008" w:rsidRDefault="00A61008" w:rsidP="00A61008">
      <w:pPr>
        <w:pBdr>
          <w:top w:val="single" w:sz="4" w:space="1" w:color="auto"/>
        </w:pBdr>
        <w:spacing w:line="240" w:lineRule="auto"/>
        <w:contextualSpacing/>
      </w:pPr>
      <w:r>
        <w:t xml:space="preserve">A preliminary analysis of the program budget </w:t>
      </w:r>
      <w:r w:rsidR="00DB25E6">
        <w:t xml:space="preserve">was </w:t>
      </w:r>
      <w:r>
        <w:t>based upon Washington residential distributions only</w:t>
      </w:r>
      <w:r w:rsidR="00DB25E6">
        <w:t xml:space="preserve">, as </w:t>
      </w:r>
      <w:r>
        <w:t xml:space="preserve">represented in the table below.  The addition of Idaho residential customers will add approximately 40% to 45% to this cost.  </w:t>
      </w:r>
      <w:r w:rsidR="00DB25E6">
        <w:t xml:space="preserve">Since the time that these estimates have been made, the Company has elected to pursue </w:t>
      </w:r>
      <w:r w:rsidR="005B4942">
        <w:t>an</w:t>
      </w:r>
      <w:r w:rsidR="00DB25E6">
        <w:t xml:space="preserve"> eight CFL box scenario.  </w:t>
      </w:r>
      <w:r>
        <w:t>These estimates are based upon the number of boxes shipped (there are no anticipated economies of scale to increasing the number of boxes shipped beyond the 225,000 boxes estimated for the Washington jurisdiction alone).</w:t>
      </w:r>
    </w:p>
    <w:p w:rsidR="000E0731" w:rsidRDefault="000E0731" w:rsidP="00A61008">
      <w:pPr>
        <w:pBdr>
          <w:top w:val="single" w:sz="4" w:space="1" w:color="auto"/>
        </w:pBdr>
        <w:spacing w:line="240" w:lineRule="auto"/>
        <w:contextualSpacing/>
      </w:pPr>
    </w:p>
    <w:tbl>
      <w:tblPr>
        <w:tblW w:w="8663" w:type="dxa"/>
        <w:tblInd w:w="93" w:type="dxa"/>
        <w:tblLook w:val="04A0"/>
      </w:tblPr>
      <w:tblGrid>
        <w:gridCol w:w="1377"/>
        <w:gridCol w:w="1750"/>
        <w:gridCol w:w="2008"/>
        <w:gridCol w:w="2151"/>
        <w:gridCol w:w="1377"/>
      </w:tblGrid>
      <w:tr w:rsidR="0086459C" w:rsidRPr="0086459C" w:rsidTr="00F615DA">
        <w:trPr>
          <w:trHeight w:val="509"/>
        </w:trPr>
        <w:tc>
          <w:tcPr>
            <w:tcW w:w="8663" w:type="dxa"/>
            <w:gridSpan w:val="5"/>
            <w:vMerge w:val="restart"/>
            <w:tcBorders>
              <w:top w:val="nil"/>
              <w:left w:val="nil"/>
              <w:bottom w:val="nil"/>
              <w:right w:val="nil"/>
            </w:tcBorders>
            <w:shd w:val="clear" w:color="auto" w:fill="auto"/>
            <w:vAlign w:val="bottom"/>
            <w:hideMark/>
          </w:tcPr>
          <w:tbl>
            <w:tblPr>
              <w:tblW w:w="8436" w:type="dxa"/>
              <w:tblBorders>
                <w:top w:val="single" w:sz="4" w:space="0" w:color="auto"/>
                <w:left w:val="single" w:sz="4" w:space="0" w:color="auto"/>
                <w:bottom w:val="single" w:sz="4" w:space="0" w:color="auto"/>
                <w:right w:val="single" w:sz="4" w:space="0" w:color="auto"/>
              </w:tblBorders>
              <w:tblLook w:val="04A0"/>
            </w:tblPr>
            <w:tblGrid>
              <w:gridCol w:w="1341"/>
              <w:gridCol w:w="1704"/>
              <w:gridCol w:w="1955"/>
              <w:gridCol w:w="2095"/>
              <w:gridCol w:w="1341"/>
            </w:tblGrid>
            <w:tr w:rsidR="000E0731" w:rsidRPr="000E0731" w:rsidTr="00F615DA">
              <w:trPr>
                <w:trHeight w:val="302"/>
              </w:trPr>
              <w:tc>
                <w:tcPr>
                  <w:tcW w:w="1341" w:type="dxa"/>
                  <w:shd w:val="clear" w:color="auto" w:fill="auto"/>
                  <w:noWrap/>
                  <w:vAlign w:val="bottom"/>
                  <w:hideMark/>
                </w:tcPr>
                <w:p w:rsidR="000E0731" w:rsidRPr="000E0731" w:rsidRDefault="000E0731" w:rsidP="000E0731">
                  <w:pPr>
                    <w:spacing w:after="0" w:line="240" w:lineRule="auto"/>
                    <w:jc w:val="right"/>
                    <w:rPr>
                      <w:rFonts w:ascii="Calibri" w:eastAsia="Times New Roman" w:hAnsi="Calibri" w:cs="Times New Roman"/>
                      <w:color w:val="000000"/>
                      <w:u w:val="single"/>
                    </w:rPr>
                  </w:pPr>
                  <w:r w:rsidRPr="000E0731">
                    <w:rPr>
                      <w:rFonts w:ascii="Calibri" w:eastAsia="Times New Roman" w:hAnsi="Calibri" w:cs="Times New Roman"/>
                      <w:color w:val="000000"/>
                      <w:u w:val="single"/>
                    </w:rPr>
                    <w:t>CFL/box</w:t>
                  </w:r>
                </w:p>
              </w:tc>
              <w:tc>
                <w:tcPr>
                  <w:tcW w:w="1704" w:type="dxa"/>
                  <w:shd w:val="clear" w:color="auto" w:fill="auto"/>
                  <w:noWrap/>
                  <w:vAlign w:val="bottom"/>
                  <w:hideMark/>
                </w:tcPr>
                <w:p w:rsidR="000E0731" w:rsidRPr="000E0731" w:rsidRDefault="000E0731" w:rsidP="000E0731">
                  <w:pPr>
                    <w:spacing w:after="0" w:line="240" w:lineRule="auto"/>
                    <w:jc w:val="right"/>
                    <w:rPr>
                      <w:rFonts w:ascii="Calibri" w:eastAsia="Times New Roman" w:hAnsi="Calibri" w:cs="Times New Roman"/>
                      <w:color w:val="000000"/>
                      <w:u w:val="single"/>
                    </w:rPr>
                  </w:pPr>
                  <w:r w:rsidRPr="000E0731">
                    <w:rPr>
                      <w:rFonts w:ascii="Calibri" w:eastAsia="Times New Roman" w:hAnsi="Calibri" w:cs="Times New Roman"/>
                      <w:color w:val="000000"/>
                      <w:u w:val="single"/>
                    </w:rPr>
                    <w:t># boxes</w:t>
                  </w:r>
                </w:p>
              </w:tc>
              <w:tc>
                <w:tcPr>
                  <w:tcW w:w="1955" w:type="dxa"/>
                  <w:shd w:val="clear" w:color="auto" w:fill="auto"/>
                  <w:noWrap/>
                  <w:vAlign w:val="bottom"/>
                  <w:hideMark/>
                </w:tcPr>
                <w:p w:rsidR="000E0731" w:rsidRPr="000E0731" w:rsidRDefault="000E0731" w:rsidP="000E0731">
                  <w:pPr>
                    <w:spacing w:after="0" w:line="240" w:lineRule="auto"/>
                    <w:jc w:val="right"/>
                    <w:rPr>
                      <w:rFonts w:ascii="Calibri" w:eastAsia="Times New Roman" w:hAnsi="Calibri" w:cs="Times New Roman"/>
                      <w:color w:val="000000"/>
                      <w:u w:val="single"/>
                    </w:rPr>
                  </w:pPr>
                  <w:r w:rsidRPr="000E0731">
                    <w:rPr>
                      <w:rFonts w:ascii="Calibri" w:eastAsia="Times New Roman" w:hAnsi="Calibri" w:cs="Times New Roman"/>
                      <w:color w:val="000000"/>
                      <w:u w:val="single"/>
                    </w:rPr>
                    <w:t>Total CFLs</w:t>
                  </w:r>
                </w:p>
              </w:tc>
              <w:tc>
                <w:tcPr>
                  <w:tcW w:w="2095" w:type="dxa"/>
                  <w:shd w:val="clear" w:color="auto" w:fill="auto"/>
                  <w:noWrap/>
                  <w:vAlign w:val="bottom"/>
                  <w:hideMark/>
                </w:tcPr>
                <w:p w:rsidR="000E0731" w:rsidRPr="000E0731" w:rsidRDefault="000E0731" w:rsidP="000E0731">
                  <w:pPr>
                    <w:spacing w:after="0" w:line="240" w:lineRule="auto"/>
                    <w:jc w:val="right"/>
                    <w:rPr>
                      <w:rFonts w:ascii="Calibri" w:eastAsia="Times New Roman" w:hAnsi="Calibri" w:cs="Times New Roman"/>
                      <w:color w:val="000000"/>
                      <w:u w:val="single"/>
                    </w:rPr>
                  </w:pPr>
                  <w:r w:rsidRPr="000E0731">
                    <w:rPr>
                      <w:rFonts w:ascii="Calibri" w:eastAsia="Times New Roman" w:hAnsi="Calibri" w:cs="Times New Roman"/>
                      <w:color w:val="000000"/>
                      <w:u w:val="single"/>
                    </w:rPr>
                    <w:t>Total cost</w:t>
                  </w:r>
                </w:p>
              </w:tc>
              <w:tc>
                <w:tcPr>
                  <w:tcW w:w="1341" w:type="dxa"/>
                  <w:shd w:val="clear" w:color="auto" w:fill="auto"/>
                  <w:noWrap/>
                  <w:vAlign w:val="bottom"/>
                  <w:hideMark/>
                </w:tcPr>
                <w:p w:rsidR="000E0731" w:rsidRPr="000E0731" w:rsidRDefault="000E0731" w:rsidP="000E0731">
                  <w:pPr>
                    <w:spacing w:after="0" w:line="240" w:lineRule="auto"/>
                    <w:jc w:val="right"/>
                    <w:rPr>
                      <w:rFonts w:ascii="Calibri" w:eastAsia="Times New Roman" w:hAnsi="Calibri" w:cs="Times New Roman"/>
                      <w:color w:val="000000"/>
                      <w:u w:val="single"/>
                    </w:rPr>
                  </w:pPr>
                  <w:r w:rsidRPr="000E0731">
                    <w:rPr>
                      <w:rFonts w:ascii="Calibri" w:eastAsia="Times New Roman" w:hAnsi="Calibri" w:cs="Times New Roman"/>
                      <w:color w:val="000000"/>
                      <w:u w:val="single"/>
                    </w:rPr>
                    <w:t>$/CFL</w:t>
                  </w:r>
                </w:p>
              </w:tc>
            </w:tr>
            <w:tr w:rsidR="000E0731" w:rsidRPr="000E0731" w:rsidTr="00F615DA">
              <w:trPr>
                <w:trHeight w:val="302"/>
              </w:trPr>
              <w:tc>
                <w:tcPr>
                  <w:tcW w:w="1341" w:type="dxa"/>
                  <w:shd w:val="clear" w:color="auto" w:fill="auto"/>
                  <w:noWrap/>
                  <w:vAlign w:val="bottom"/>
                  <w:hideMark/>
                </w:tcPr>
                <w:p w:rsidR="000E0731" w:rsidRPr="000E0731" w:rsidRDefault="000E0731" w:rsidP="000E0731">
                  <w:pPr>
                    <w:spacing w:after="0" w:line="240" w:lineRule="auto"/>
                    <w:jc w:val="right"/>
                    <w:rPr>
                      <w:rFonts w:ascii="Calibri" w:eastAsia="Times New Roman" w:hAnsi="Calibri" w:cs="Times New Roman"/>
                      <w:color w:val="000000"/>
                    </w:rPr>
                  </w:pPr>
                  <w:r w:rsidRPr="000E0731">
                    <w:rPr>
                      <w:rFonts w:ascii="Calibri" w:eastAsia="Times New Roman" w:hAnsi="Calibri" w:cs="Times New Roman"/>
                      <w:color w:val="000000"/>
                    </w:rPr>
                    <w:t>6</w:t>
                  </w:r>
                </w:p>
              </w:tc>
              <w:tc>
                <w:tcPr>
                  <w:tcW w:w="1704" w:type="dxa"/>
                  <w:shd w:val="clear" w:color="auto" w:fill="auto"/>
                  <w:noWrap/>
                  <w:vAlign w:val="bottom"/>
                  <w:hideMark/>
                </w:tcPr>
                <w:p w:rsidR="000E0731" w:rsidRPr="000E0731" w:rsidRDefault="000E0731" w:rsidP="000E0731">
                  <w:pPr>
                    <w:spacing w:after="0" w:line="240" w:lineRule="auto"/>
                    <w:rPr>
                      <w:rFonts w:ascii="Calibri" w:eastAsia="Times New Roman" w:hAnsi="Calibri" w:cs="Times New Roman"/>
                      <w:color w:val="000000"/>
                    </w:rPr>
                  </w:pPr>
                  <w:r w:rsidRPr="000E0731">
                    <w:rPr>
                      <w:rFonts w:ascii="Calibri" w:eastAsia="Times New Roman" w:hAnsi="Calibri" w:cs="Times New Roman"/>
                      <w:color w:val="000000"/>
                    </w:rPr>
                    <w:t xml:space="preserve">         225,000 </w:t>
                  </w:r>
                </w:p>
              </w:tc>
              <w:tc>
                <w:tcPr>
                  <w:tcW w:w="1955" w:type="dxa"/>
                  <w:shd w:val="clear" w:color="auto" w:fill="auto"/>
                  <w:noWrap/>
                  <w:vAlign w:val="bottom"/>
                  <w:hideMark/>
                </w:tcPr>
                <w:p w:rsidR="000E0731" w:rsidRPr="000E0731" w:rsidRDefault="000E0731" w:rsidP="000E0731">
                  <w:pPr>
                    <w:spacing w:after="0" w:line="240" w:lineRule="auto"/>
                    <w:rPr>
                      <w:rFonts w:ascii="Calibri" w:eastAsia="Times New Roman" w:hAnsi="Calibri" w:cs="Times New Roman"/>
                      <w:color w:val="000000"/>
                    </w:rPr>
                  </w:pPr>
                  <w:r w:rsidRPr="000E0731">
                    <w:rPr>
                      <w:rFonts w:ascii="Calibri" w:eastAsia="Times New Roman" w:hAnsi="Calibri" w:cs="Times New Roman"/>
                      <w:color w:val="000000"/>
                    </w:rPr>
                    <w:t xml:space="preserve">         1,350,000 </w:t>
                  </w:r>
                </w:p>
              </w:tc>
              <w:tc>
                <w:tcPr>
                  <w:tcW w:w="2095" w:type="dxa"/>
                  <w:shd w:val="clear" w:color="auto" w:fill="auto"/>
                  <w:noWrap/>
                  <w:vAlign w:val="bottom"/>
                  <w:hideMark/>
                </w:tcPr>
                <w:p w:rsidR="000E0731" w:rsidRPr="000E0731" w:rsidRDefault="000E0731" w:rsidP="000E0731">
                  <w:pPr>
                    <w:spacing w:after="0" w:line="240" w:lineRule="auto"/>
                    <w:rPr>
                      <w:rFonts w:ascii="Calibri" w:eastAsia="Times New Roman" w:hAnsi="Calibri" w:cs="Times New Roman"/>
                      <w:color w:val="000000"/>
                    </w:rPr>
                  </w:pPr>
                  <w:r w:rsidRPr="000E0731">
                    <w:rPr>
                      <w:rFonts w:ascii="Calibri" w:eastAsia="Times New Roman" w:hAnsi="Calibri" w:cs="Times New Roman"/>
                      <w:color w:val="000000"/>
                    </w:rPr>
                    <w:t xml:space="preserve"> $        3,979,052 </w:t>
                  </w:r>
                </w:p>
              </w:tc>
              <w:tc>
                <w:tcPr>
                  <w:tcW w:w="1341" w:type="dxa"/>
                  <w:shd w:val="clear" w:color="auto" w:fill="auto"/>
                  <w:noWrap/>
                  <w:vAlign w:val="bottom"/>
                  <w:hideMark/>
                </w:tcPr>
                <w:p w:rsidR="000E0731" w:rsidRPr="000E0731" w:rsidRDefault="000E0731" w:rsidP="000E0731">
                  <w:pPr>
                    <w:spacing w:after="0" w:line="240" w:lineRule="auto"/>
                    <w:rPr>
                      <w:rFonts w:ascii="Calibri" w:eastAsia="Times New Roman" w:hAnsi="Calibri" w:cs="Times New Roman"/>
                      <w:color w:val="000000"/>
                    </w:rPr>
                  </w:pPr>
                  <w:r w:rsidRPr="000E0731">
                    <w:rPr>
                      <w:rFonts w:ascii="Calibri" w:eastAsia="Times New Roman" w:hAnsi="Calibri" w:cs="Times New Roman"/>
                      <w:color w:val="000000"/>
                    </w:rPr>
                    <w:t xml:space="preserve"> $       2.95 </w:t>
                  </w:r>
                </w:p>
              </w:tc>
            </w:tr>
            <w:tr w:rsidR="000E0731" w:rsidRPr="000E0731" w:rsidTr="00F615DA">
              <w:trPr>
                <w:trHeight w:val="302"/>
              </w:trPr>
              <w:tc>
                <w:tcPr>
                  <w:tcW w:w="1341" w:type="dxa"/>
                  <w:shd w:val="clear" w:color="auto" w:fill="auto"/>
                  <w:noWrap/>
                  <w:vAlign w:val="bottom"/>
                  <w:hideMark/>
                </w:tcPr>
                <w:p w:rsidR="000E0731" w:rsidRPr="000E0731" w:rsidRDefault="000E0731" w:rsidP="000E0731">
                  <w:pPr>
                    <w:spacing w:after="0" w:line="240" w:lineRule="auto"/>
                    <w:jc w:val="right"/>
                    <w:rPr>
                      <w:rFonts w:ascii="Calibri" w:eastAsia="Times New Roman" w:hAnsi="Calibri" w:cs="Times New Roman"/>
                      <w:color w:val="000000"/>
                    </w:rPr>
                  </w:pPr>
                  <w:r w:rsidRPr="000E0731">
                    <w:rPr>
                      <w:rFonts w:ascii="Calibri" w:eastAsia="Times New Roman" w:hAnsi="Calibri" w:cs="Times New Roman"/>
                      <w:color w:val="000000"/>
                    </w:rPr>
                    <w:t>8</w:t>
                  </w:r>
                </w:p>
              </w:tc>
              <w:tc>
                <w:tcPr>
                  <w:tcW w:w="1704" w:type="dxa"/>
                  <w:shd w:val="clear" w:color="auto" w:fill="auto"/>
                  <w:noWrap/>
                  <w:vAlign w:val="bottom"/>
                  <w:hideMark/>
                </w:tcPr>
                <w:p w:rsidR="000E0731" w:rsidRPr="000E0731" w:rsidRDefault="000E0731" w:rsidP="000E0731">
                  <w:pPr>
                    <w:spacing w:after="0" w:line="240" w:lineRule="auto"/>
                    <w:rPr>
                      <w:rFonts w:ascii="Calibri" w:eastAsia="Times New Roman" w:hAnsi="Calibri" w:cs="Times New Roman"/>
                      <w:color w:val="000000"/>
                    </w:rPr>
                  </w:pPr>
                  <w:r w:rsidRPr="000E0731">
                    <w:rPr>
                      <w:rFonts w:ascii="Calibri" w:eastAsia="Times New Roman" w:hAnsi="Calibri" w:cs="Times New Roman"/>
                      <w:color w:val="000000"/>
                    </w:rPr>
                    <w:t xml:space="preserve">         225,000 </w:t>
                  </w:r>
                </w:p>
              </w:tc>
              <w:tc>
                <w:tcPr>
                  <w:tcW w:w="1955" w:type="dxa"/>
                  <w:shd w:val="clear" w:color="auto" w:fill="auto"/>
                  <w:noWrap/>
                  <w:vAlign w:val="bottom"/>
                  <w:hideMark/>
                </w:tcPr>
                <w:p w:rsidR="000E0731" w:rsidRPr="000E0731" w:rsidRDefault="000E0731" w:rsidP="000E0731">
                  <w:pPr>
                    <w:spacing w:after="0" w:line="240" w:lineRule="auto"/>
                    <w:rPr>
                      <w:rFonts w:ascii="Calibri" w:eastAsia="Times New Roman" w:hAnsi="Calibri" w:cs="Times New Roman"/>
                      <w:color w:val="000000"/>
                    </w:rPr>
                  </w:pPr>
                  <w:r w:rsidRPr="000E0731">
                    <w:rPr>
                      <w:rFonts w:ascii="Calibri" w:eastAsia="Times New Roman" w:hAnsi="Calibri" w:cs="Times New Roman"/>
                      <w:color w:val="000000"/>
                    </w:rPr>
                    <w:t xml:space="preserve">         1,800,000 </w:t>
                  </w:r>
                </w:p>
              </w:tc>
              <w:tc>
                <w:tcPr>
                  <w:tcW w:w="2095" w:type="dxa"/>
                  <w:shd w:val="clear" w:color="auto" w:fill="auto"/>
                  <w:noWrap/>
                  <w:vAlign w:val="bottom"/>
                  <w:hideMark/>
                </w:tcPr>
                <w:p w:rsidR="000E0731" w:rsidRPr="000E0731" w:rsidRDefault="000E0731" w:rsidP="000E0731">
                  <w:pPr>
                    <w:spacing w:after="0" w:line="240" w:lineRule="auto"/>
                    <w:rPr>
                      <w:rFonts w:ascii="Calibri" w:eastAsia="Times New Roman" w:hAnsi="Calibri" w:cs="Times New Roman"/>
                      <w:color w:val="000000"/>
                    </w:rPr>
                  </w:pPr>
                  <w:r w:rsidRPr="000E0731">
                    <w:rPr>
                      <w:rFonts w:ascii="Calibri" w:eastAsia="Times New Roman" w:hAnsi="Calibri" w:cs="Times New Roman"/>
                      <w:color w:val="000000"/>
                    </w:rPr>
                    <w:t xml:space="preserve"> $        4,710,302 </w:t>
                  </w:r>
                </w:p>
              </w:tc>
              <w:tc>
                <w:tcPr>
                  <w:tcW w:w="1341" w:type="dxa"/>
                  <w:shd w:val="clear" w:color="auto" w:fill="auto"/>
                  <w:noWrap/>
                  <w:vAlign w:val="bottom"/>
                  <w:hideMark/>
                </w:tcPr>
                <w:p w:rsidR="000E0731" w:rsidRPr="000E0731" w:rsidRDefault="000E0731" w:rsidP="000E0731">
                  <w:pPr>
                    <w:spacing w:after="0" w:line="240" w:lineRule="auto"/>
                    <w:rPr>
                      <w:rFonts w:ascii="Calibri" w:eastAsia="Times New Roman" w:hAnsi="Calibri" w:cs="Times New Roman"/>
                      <w:color w:val="000000"/>
                    </w:rPr>
                  </w:pPr>
                  <w:r w:rsidRPr="000E0731">
                    <w:rPr>
                      <w:rFonts w:ascii="Calibri" w:eastAsia="Times New Roman" w:hAnsi="Calibri" w:cs="Times New Roman"/>
                      <w:color w:val="000000"/>
                    </w:rPr>
                    <w:t xml:space="preserve"> $       2.62 </w:t>
                  </w:r>
                </w:p>
              </w:tc>
            </w:tr>
            <w:tr w:rsidR="000E0731" w:rsidRPr="000E0731" w:rsidTr="00F615DA">
              <w:trPr>
                <w:trHeight w:val="302"/>
              </w:trPr>
              <w:tc>
                <w:tcPr>
                  <w:tcW w:w="1341" w:type="dxa"/>
                  <w:shd w:val="clear" w:color="auto" w:fill="auto"/>
                  <w:noWrap/>
                  <w:vAlign w:val="bottom"/>
                  <w:hideMark/>
                </w:tcPr>
                <w:p w:rsidR="000E0731" w:rsidRPr="000E0731" w:rsidRDefault="000E0731" w:rsidP="000E0731">
                  <w:pPr>
                    <w:spacing w:after="0" w:line="240" w:lineRule="auto"/>
                    <w:jc w:val="right"/>
                    <w:rPr>
                      <w:rFonts w:ascii="Calibri" w:eastAsia="Times New Roman" w:hAnsi="Calibri" w:cs="Times New Roman"/>
                      <w:color w:val="000000"/>
                    </w:rPr>
                  </w:pPr>
                  <w:r w:rsidRPr="000E0731">
                    <w:rPr>
                      <w:rFonts w:ascii="Calibri" w:eastAsia="Times New Roman" w:hAnsi="Calibri" w:cs="Times New Roman"/>
                      <w:color w:val="000000"/>
                    </w:rPr>
                    <w:t>10</w:t>
                  </w:r>
                </w:p>
              </w:tc>
              <w:tc>
                <w:tcPr>
                  <w:tcW w:w="1704" w:type="dxa"/>
                  <w:shd w:val="clear" w:color="auto" w:fill="auto"/>
                  <w:noWrap/>
                  <w:vAlign w:val="bottom"/>
                  <w:hideMark/>
                </w:tcPr>
                <w:p w:rsidR="000E0731" w:rsidRPr="000E0731" w:rsidRDefault="000E0731" w:rsidP="000E0731">
                  <w:pPr>
                    <w:spacing w:after="0" w:line="240" w:lineRule="auto"/>
                    <w:rPr>
                      <w:rFonts w:ascii="Calibri" w:eastAsia="Times New Roman" w:hAnsi="Calibri" w:cs="Times New Roman"/>
                      <w:color w:val="000000"/>
                    </w:rPr>
                  </w:pPr>
                  <w:r w:rsidRPr="000E0731">
                    <w:rPr>
                      <w:rFonts w:ascii="Calibri" w:eastAsia="Times New Roman" w:hAnsi="Calibri" w:cs="Times New Roman"/>
                      <w:color w:val="000000"/>
                    </w:rPr>
                    <w:t xml:space="preserve">         225,000 </w:t>
                  </w:r>
                </w:p>
              </w:tc>
              <w:tc>
                <w:tcPr>
                  <w:tcW w:w="1955" w:type="dxa"/>
                  <w:shd w:val="clear" w:color="auto" w:fill="auto"/>
                  <w:noWrap/>
                  <w:vAlign w:val="bottom"/>
                  <w:hideMark/>
                </w:tcPr>
                <w:p w:rsidR="000E0731" w:rsidRPr="000E0731" w:rsidRDefault="000E0731" w:rsidP="000E0731">
                  <w:pPr>
                    <w:spacing w:after="0" w:line="240" w:lineRule="auto"/>
                    <w:rPr>
                      <w:rFonts w:ascii="Calibri" w:eastAsia="Times New Roman" w:hAnsi="Calibri" w:cs="Times New Roman"/>
                      <w:color w:val="000000"/>
                    </w:rPr>
                  </w:pPr>
                  <w:r w:rsidRPr="000E0731">
                    <w:rPr>
                      <w:rFonts w:ascii="Calibri" w:eastAsia="Times New Roman" w:hAnsi="Calibri" w:cs="Times New Roman"/>
                      <w:color w:val="000000"/>
                    </w:rPr>
                    <w:t xml:space="preserve">         2,250,000 </w:t>
                  </w:r>
                </w:p>
              </w:tc>
              <w:tc>
                <w:tcPr>
                  <w:tcW w:w="2095" w:type="dxa"/>
                  <w:shd w:val="clear" w:color="auto" w:fill="auto"/>
                  <w:noWrap/>
                  <w:vAlign w:val="bottom"/>
                  <w:hideMark/>
                </w:tcPr>
                <w:p w:rsidR="000E0731" w:rsidRPr="000E0731" w:rsidRDefault="000E0731" w:rsidP="000E0731">
                  <w:pPr>
                    <w:spacing w:after="0" w:line="240" w:lineRule="auto"/>
                    <w:rPr>
                      <w:rFonts w:ascii="Calibri" w:eastAsia="Times New Roman" w:hAnsi="Calibri" w:cs="Times New Roman"/>
                      <w:color w:val="000000"/>
                    </w:rPr>
                  </w:pPr>
                  <w:r w:rsidRPr="000E0731">
                    <w:rPr>
                      <w:rFonts w:ascii="Calibri" w:eastAsia="Times New Roman" w:hAnsi="Calibri" w:cs="Times New Roman"/>
                      <w:color w:val="000000"/>
                    </w:rPr>
                    <w:t xml:space="preserve"> $        5,689,052 </w:t>
                  </w:r>
                </w:p>
              </w:tc>
              <w:tc>
                <w:tcPr>
                  <w:tcW w:w="1341" w:type="dxa"/>
                  <w:shd w:val="clear" w:color="auto" w:fill="auto"/>
                  <w:noWrap/>
                  <w:vAlign w:val="bottom"/>
                  <w:hideMark/>
                </w:tcPr>
                <w:p w:rsidR="000E0731" w:rsidRPr="000E0731" w:rsidRDefault="000E0731" w:rsidP="000E0731">
                  <w:pPr>
                    <w:spacing w:after="0" w:line="240" w:lineRule="auto"/>
                    <w:rPr>
                      <w:rFonts w:ascii="Calibri" w:eastAsia="Times New Roman" w:hAnsi="Calibri" w:cs="Times New Roman"/>
                      <w:color w:val="000000"/>
                    </w:rPr>
                  </w:pPr>
                  <w:r w:rsidRPr="000E0731">
                    <w:rPr>
                      <w:rFonts w:ascii="Calibri" w:eastAsia="Times New Roman" w:hAnsi="Calibri" w:cs="Times New Roman"/>
                      <w:color w:val="000000"/>
                    </w:rPr>
                    <w:t xml:space="preserve"> $       2.53 </w:t>
                  </w:r>
                </w:p>
              </w:tc>
            </w:tr>
          </w:tbl>
          <w:p w:rsidR="0086459C" w:rsidRPr="0086459C" w:rsidRDefault="0086459C" w:rsidP="0086459C">
            <w:pPr>
              <w:spacing w:after="0" w:line="240" w:lineRule="auto"/>
              <w:jc w:val="center"/>
              <w:rPr>
                <w:rFonts w:ascii="Calibri" w:eastAsia="Times New Roman" w:hAnsi="Calibri" w:cs="Times New Roman"/>
                <w:color w:val="000000"/>
              </w:rPr>
            </w:pPr>
          </w:p>
        </w:tc>
      </w:tr>
      <w:tr w:rsidR="0086459C" w:rsidRPr="0086459C" w:rsidTr="00F615DA">
        <w:trPr>
          <w:trHeight w:val="302"/>
        </w:trPr>
        <w:tc>
          <w:tcPr>
            <w:tcW w:w="8663" w:type="dxa"/>
            <w:gridSpan w:val="5"/>
            <w:vMerge/>
            <w:tcBorders>
              <w:top w:val="nil"/>
              <w:left w:val="nil"/>
              <w:bottom w:val="nil"/>
              <w:right w:val="nil"/>
            </w:tcBorders>
            <w:vAlign w:val="center"/>
            <w:hideMark/>
          </w:tcPr>
          <w:p w:rsidR="0086459C" w:rsidRPr="0086459C" w:rsidRDefault="0086459C" w:rsidP="0086459C">
            <w:pPr>
              <w:spacing w:after="0" w:line="240" w:lineRule="auto"/>
              <w:rPr>
                <w:rFonts w:ascii="Calibri" w:eastAsia="Times New Roman" w:hAnsi="Calibri" w:cs="Times New Roman"/>
                <w:color w:val="000000"/>
              </w:rPr>
            </w:pPr>
          </w:p>
        </w:tc>
      </w:tr>
      <w:tr w:rsidR="0086459C" w:rsidRPr="0086459C" w:rsidTr="00F615DA">
        <w:trPr>
          <w:trHeight w:val="166"/>
        </w:trPr>
        <w:tc>
          <w:tcPr>
            <w:tcW w:w="1377" w:type="dxa"/>
            <w:tcBorders>
              <w:top w:val="nil"/>
              <w:left w:val="nil"/>
              <w:bottom w:val="nil"/>
              <w:right w:val="nil"/>
            </w:tcBorders>
            <w:shd w:val="clear" w:color="auto" w:fill="auto"/>
            <w:vAlign w:val="bottom"/>
            <w:hideMark/>
          </w:tcPr>
          <w:p w:rsidR="0086459C" w:rsidRPr="0086459C" w:rsidRDefault="0086459C" w:rsidP="0086459C">
            <w:pPr>
              <w:spacing w:after="0" w:line="240" w:lineRule="auto"/>
              <w:jc w:val="center"/>
              <w:rPr>
                <w:rFonts w:ascii="Calibri" w:eastAsia="Times New Roman" w:hAnsi="Calibri" w:cs="Times New Roman"/>
                <w:color w:val="000000"/>
              </w:rPr>
            </w:pPr>
          </w:p>
        </w:tc>
        <w:tc>
          <w:tcPr>
            <w:tcW w:w="1750" w:type="dxa"/>
            <w:tcBorders>
              <w:top w:val="nil"/>
              <w:left w:val="nil"/>
              <w:bottom w:val="nil"/>
              <w:right w:val="nil"/>
            </w:tcBorders>
            <w:shd w:val="clear" w:color="auto" w:fill="auto"/>
            <w:vAlign w:val="bottom"/>
            <w:hideMark/>
          </w:tcPr>
          <w:p w:rsidR="0086459C" w:rsidRPr="0086459C" w:rsidRDefault="0086459C" w:rsidP="0086459C">
            <w:pPr>
              <w:spacing w:after="0" w:line="240" w:lineRule="auto"/>
              <w:jc w:val="center"/>
              <w:rPr>
                <w:rFonts w:ascii="Calibri" w:eastAsia="Times New Roman" w:hAnsi="Calibri" w:cs="Times New Roman"/>
                <w:color w:val="000000"/>
              </w:rPr>
            </w:pPr>
          </w:p>
        </w:tc>
        <w:tc>
          <w:tcPr>
            <w:tcW w:w="2008" w:type="dxa"/>
            <w:tcBorders>
              <w:top w:val="nil"/>
              <w:left w:val="nil"/>
              <w:bottom w:val="nil"/>
              <w:right w:val="nil"/>
            </w:tcBorders>
            <w:shd w:val="clear" w:color="auto" w:fill="auto"/>
            <w:vAlign w:val="bottom"/>
            <w:hideMark/>
          </w:tcPr>
          <w:p w:rsidR="0086459C" w:rsidRPr="0086459C" w:rsidRDefault="0086459C" w:rsidP="0086459C">
            <w:pPr>
              <w:spacing w:after="0" w:line="240" w:lineRule="auto"/>
              <w:jc w:val="center"/>
              <w:rPr>
                <w:rFonts w:ascii="Calibri" w:eastAsia="Times New Roman" w:hAnsi="Calibri" w:cs="Times New Roman"/>
                <w:color w:val="000000"/>
              </w:rPr>
            </w:pPr>
          </w:p>
        </w:tc>
        <w:tc>
          <w:tcPr>
            <w:tcW w:w="2151" w:type="dxa"/>
            <w:tcBorders>
              <w:top w:val="nil"/>
              <w:left w:val="nil"/>
              <w:bottom w:val="nil"/>
              <w:right w:val="nil"/>
            </w:tcBorders>
            <w:shd w:val="clear" w:color="auto" w:fill="auto"/>
            <w:vAlign w:val="bottom"/>
            <w:hideMark/>
          </w:tcPr>
          <w:p w:rsidR="0086459C" w:rsidRPr="0086459C" w:rsidRDefault="0086459C" w:rsidP="0086459C">
            <w:pPr>
              <w:spacing w:after="0" w:line="240" w:lineRule="auto"/>
              <w:jc w:val="center"/>
              <w:rPr>
                <w:rFonts w:ascii="Calibri" w:eastAsia="Times New Roman" w:hAnsi="Calibri" w:cs="Times New Roman"/>
                <w:color w:val="000000"/>
              </w:rPr>
            </w:pPr>
          </w:p>
        </w:tc>
        <w:tc>
          <w:tcPr>
            <w:tcW w:w="1377" w:type="dxa"/>
            <w:tcBorders>
              <w:top w:val="nil"/>
              <w:left w:val="nil"/>
              <w:bottom w:val="nil"/>
              <w:right w:val="nil"/>
            </w:tcBorders>
            <w:shd w:val="clear" w:color="auto" w:fill="auto"/>
            <w:vAlign w:val="bottom"/>
            <w:hideMark/>
          </w:tcPr>
          <w:p w:rsidR="0086459C" w:rsidRPr="0086459C" w:rsidRDefault="0086459C" w:rsidP="0086459C">
            <w:pPr>
              <w:spacing w:after="0" w:line="240" w:lineRule="auto"/>
              <w:jc w:val="center"/>
              <w:rPr>
                <w:rFonts w:ascii="Calibri" w:eastAsia="Times New Roman" w:hAnsi="Calibri" w:cs="Times New Roman"/>
                <w:color w:val="000000"/>
              </w:rPr>
            </w:pPr>
          </w:p>
        </w:tc>
      </w:tr>
      <w:tr w:rsidR="0086459C" w:rsidRPr="0086459C" w:rsidTr="00F615DA">
        <w:trPr>
          <w:trHeight w:val="423"/>
        </w:trPr>
        <w:tc>
          <w:tcPr>
            <w:tcW w:w="1377" w:type="dxa"/>
            <w:tcBorders>
              <w:top w:val="nil"/>
              <w:left w:val="nil"/>
              <w:bottom w:val="nil"/>
              <w:right w:val="nil"/>
            </w:tcBorders>
            <w:shd w:val="clear" w:color="auto" w:fill="auto"/>
            <w:noWrap/>
            <w:vAlign w:val="bottom"/>
            <w:hideMark/>
          </w:tcPr>
          <w:p w:rsidR="0086459C" w:rsidRPr="0086459C" w:rsidRDefault="0086459C" w:rsidP="0086459C">
            <w:pPr>
              <w:spacing w:after="0" w:line="240" w:lineRule="auto"/>
              <w:jc w:val="right"/>
              <w:rPr>
                <w:rFonts w:ascii="Calibri" w:eastAsia="Times New Roman" w:hAnsi="Calibri" w:cs="Times New Roman"/>
                <w:color w:val="000000"/>
                <w:u w:val="single"/>
              </w:rPr>
            </w:pPr>
          </w:p>
        </w:tc>
        <w:tc>
          <w:tcPr>
            <w:tcW w:w="1750" w:type="dxa"/>
            <w:tcBorders>
              <w:top w:val="nil"/>
              <w:left w:val="nil"/>
              <w:bottom w:val="nil"/>
              <w:right w:val="nil"/>
            </w:tcBorders>
            <w:shd w:val="clear" w:color="auto" w:fill="auto"/>
            <w:noWrap/>
            <w:vAlign w:val="bottom"/>
            <w:hideMark/>
          </w:tcPr>
          <w:p w:rsidR="0086459C" w:rsidRPr="0086459C" w:rsidRDefault="0086459C" w:rsidP="0086459C">
            <w:pPr>
              <w:spacing w:after="0" w:line="240" w:lineRule="auto"/>
              <w:jc w:val="right"/>
              <w:rPr>
                <w:rFonts w:ascii="Calibri" w:eastAsia="Times New Roman" w:hAnsi="Calibri" w:cs="Times New Roman"/>
                <w:color w:val="000000"/>
                <w:u w:val="single"/>
              </w:rPr>
            </w:pPr>
          </w:p>
        </w:tc>
        <w:tc>
          <w:tcPr>
            <w:tcW w:w="2008" w:type="dxa"/>
            <w:tcBorders>
              <w:top w:val="nil"/>
              <w:left w:val="nil"/>
              <w:bottom w:val="nil"/>
              <w:right w:val="nil"/>
            </w:tcBorders>
            <w:shd w:val="clear" w:color="auto" w:fill="auto"/>
            <w:noWrap/>
            <w:vAlign w:val="bottom"/>
            <w:hideMark/>
          </w:tcPr>
          <w:p w:rsidR="0086459C" w:rsidRPr="0086459C" w:rsidRDefault="0086459C" w:rsidP="0086459C">
            <w:pPr>
              <w:spacing w:after="0" w:line="240" w:lineRule="auto"/>
              <w:jc w:val="right"/>
              <w:rPr>
                <w:rFonts w:ascii="Calibri" w:eastAsia="Times New Roman" w:hAnsi="Calibri" w:cs="Times New Roman"/>
                <w:color w:val="000000"/>
                <w:u w:val="single"/>
              </w:rPr>
            </w:pPr>
          </w:p>
        </w:tc>
        <w:tc>
          <w:tcPr>
            <w:tcW w:w="2151" w:type="dxa"/>
            <w:tcBorders>
              <w:top w:val="nil"/>
              <w:left w:val="nil"/>
              <w:bottom w:val="nil"/>
              <w:right w:val="nil"/>
            </w:tcBorders>
            <w:shd w:val="clear" w:color="auto" w:fill="auto"/>
            <w:noWrap/>
            <w:vAlign w:val="bottom"/>
            <w:hideMark/>
          </w:tcPr>
          <w:p w:rsidR="0086459C" w:rsidRPr="0086459C" w:rsidRDefault="0086459C" w:rsidP="0086459C">
            <w:pPr>
              <w:spacing w:after="0" w:line="240" w:lineRule="auto"/>
              <w:jc w:val="right"/>
              <w:rPr>
                <w:rFonts w:ascii="Calibri" w:eastAsia="Times New Roman" w:hAnsi="Calibri" w:cs="Times New Roman"/>
                <w:color w:val="000000"/>
                <w:u w:val="single"/>
              </w:rPr>
            </w:pPr>
          </w:p>
        </w:tc>
        <w:tc>
          <w:tcPr>
            <w:tcW w:w="1377" w:type="dxa"/>
            <w:tcBorders>
              <w:top w:val="nil"/>
              <w:left w:val="nil"/>
              <w:bottom w:val="nil"/>
              <w:right w:val="nil"/>
            </w:tcBorders>
            <w:shd w:val="clear" w:color="auto" w:fill="auto"/>
            <w:noWrap/>
            <w:vAlign w:val="bottom"/>
            <w:hideMark/>
          </w:tcPr>
          <w:p w:rsidR="0086459C" w:rsidRPr="0086459C" w:rsidRDefault="0086459C" w:rsidP="0086459C">
            <w:pPr>
              <w:spacing w:after="0" w:line="240" w:lineRule="auto"/>
              <w:jc w:val="right"/>
              <w:rPr>
                <w:rFonts w:ascii="Calibri" w:eastAsia="Times New Roman" w:hAnsi="Calibri" w:cs="Times New Roman"/>
                <w:color w:val="000000"/>
                <w:u w:val="single"/>
              </w:rPr>
            </w:pPr>
          </w:p>
        </w:tc>
      </w:tr>
    </w:tbl>
    <w:p w:rsidR="0086459C" w:rsidRDefault="000E0731" w:rsidP="000E0731">
      <w:pPr>
        <w:spacing w:line="240" w:lineRule="auto"/>
        <w:contextualSpacing/>
      </w:pPr>
      <w:r>
        <w:t xml:space="preserve">Based upon this budget, the expected incremental cost of increasing the number of </w:t>
      </w:r>
      <w:r w:rsidR="00B068F5">
        <w:t>CFLs</w:t>
      </w:r>
      <w:r>
        <w:t xml:space="preserve"> per box from six to eight was $1.63 per CFL.  Assuming annual </w:t>
      </w:r>
      <w:r w:rsidRPr="00B50D84">
        <w:t xml:space="preserve">savings of </w:t>
      </w:r>
      <w:r w:rsidR="007352CA">
        <w:t>32</w:t>
      </w:r>
      <w:r w:rsidRPr="00B50D84">
        <w:t xml:space="preserve"> kWhs per CFL, a measure life of </w:t>
      </w:r>
      <w:r w:rsidR="00B068F5" w:rsidRPr="00B50D84">
        <w:t>5</w:t>
      </w:r>
      <w:r w:rsidRPr="00B50D84">
        <w:t xml:space="preserve"> years and a discount rate of 6.80% (the Company’s current average weighted cost of capital)</w:t>
      </w:r>
      <w:r w:rsidR="005B4942">
        <w:t>,</w:t>
      </w:r>
      <w:r w:rsidRPr="00B50D84">
        <w:t xml:space="preserve"> the </w:t>
      </w:r>
      <w:proofErr w:type="spellStart"/>
      <w:r w:rsidRPr="00B50D84">
        <w:t>levelized</w:t>
      </w:r>
      <w:proofErr w:type="spellEnd"/>
      <w:r w:rsidRPr="00B50D84">
        <w:t xml:space="preserve"> cost of the additional </w:t>
      </w:r>
      <w:r w:rsidR="005B4942">
        <w:t xml:space="preserve">two </w:t>
      </w:r>
      <w:r w:rsidR="00B068F5" w:rsidRPr="00B50D84">
        <w:t>CFLs</w:t>
      </w:r>
      <w:r w:rsidRPr="00B50D84">
        <w:t xml:space="preserve"> is $</w:t>
      </w:r>
      <w:r w:rsidR="007352CA">
        <w:t>12</w:t>
      </w:r>
      <w:r w:rsidR="005B4942">
        <w:t xml:space="preserve"> per M</w:t>
      </w:r>
      <w:r w:rsidRPr="00B50D84">
        <w:t>Wh.</w:t>
      </w:r>
      <w:r>
        <w:t xml:space="preserve"> </w:t>
      </w:r>
    </w:p>
    <w:p w:rsidR="0086459C" w:rsidRDefault="0086459C" w:rsidP="009454EC">
      <w:pPr>
        <w:spacing w:line="240" w:lineRule="auto"/>
        <w:ind w:left="2880" w:hanging="2880"/>
        <w:contextualSpacing/>
        <w:rPr>
          <w:sz w:val="28"/>
          <w:szCs w:val="28"/>
        </w:rPr>
      </w:pPr>
    </w:p>
    <w:p w:rsidR="000A1FD2" w:rsidRDefault="00565901" w:rsidP="000A1FD2">
      <w:pPr>
        <w:pBdr>
          <w:top w:val="single" w:sz="4" w:space="1" w:color="auto"/>
        </w:pBdr>
        <w:spacing w:line="240" w:lineRule="auto"/>
        <w:ind w:left="2160" w:hanging="2160"/>
        <w:contextualSpacing/>
        <w:rPr>
          <w:b/>
          <w:i/>
        </w:rPr>
      </w:pPr>
      <w:r w:rsidRPr="000A1FD2">
        <w:rPr>
          <w:b/>
          <w:i/>
        </w:rPr>
        <w:t>Market Segment Overview</w:t>
      </w:r>
      <w:r w:rsidR="007113B7" w:rsidRPr="000A1FD2">
        <w:rPr>
          <w:b/>
          <w:i/>
        </w:rPr>
        <w:t>:</w:t>
      </w:r>
    </w:p>
    <w:p w:rsidR="000A1FD2" w:rsidRDefault="000A1FD2" w:rsidP="000A1FD2">
      <w:pPr>
        <w:pBdr>
          <w:top w:val="single" w:sz="4" w:space="1" w:color="auto"/>
        </w:pBdr>
        <w:spacing w:line="240" w:lineRule="auto"/>
        <w:ind w:left="2160" w:hanging="2160"/>
        <w:contextualSpacing/>
        <w:rPr>
          <w:b/>
          <w:i/>
        </w:rPr>
      </w:pPr>
    </w:p>
    <w:p w:rsidR="0089757A" w:rsidRDefault="0089757A" w:rsidP="000A1FD2">
      <w:pPr>
        <w:pBdr>
          <w:top w:val="single" w:sz="4" w:space="1" w:color="auto"/>
        </w:pBdr>
        <w:spacing w:line="240" w:lineRule="auto"/>
      </w:pPr>
      <w:r>
        <w:t xml:space="preserve">Residential lighting remains one of the most cost-effective and available electric-efficiency resources available through utility intervention.  Many of the early regional market transformation efforts that have created this efficiency opportunity at a much lower consumer price point have been progressively shifting to supporting technologies that are experiencing greater barriers to adoption.  Regional efforts </w:t>
      </w:r>
      <w:r>
        <w:lastRenderedPageBreak/>
        <w:t>beyond NEEA</w:t>
      </w:r>
      <w:r w:rsidR="005B4942">
        <w:t>,</w:t>
      </w:r>
      <w:r>
        <w:t xml:space="preserve"> as well as local efforts to drive increased saturation of </w:t>
      </w:r>
      <w:r w:rsidR="00B068F5">
        <w:t>CFLs</w:t>
      </w:r>
      <w:r>
        <w:t xml:space="preserve"> during the final phases of this market transformation</w:t>
      </w:r>
      <w:r w:rsidR="005B4942">
        <w:t>,</w:t>
      </w:r>
      <w:r>
        <w:t xml:space="preserve"> have proven to be successful at increasing consumer acceptance of </w:t>
      </w:r>
      <w:r w:rsidR="00B068F5">
        <w:t>CFLs</w:t>
      </w:r>
      <w:r>
        <w:t xml:space="preserve">.  </w:t>
      </w:r>
    </w:p>
    <w:p w:rsidR="0089757A" w:rsidRDefault="0089757A" w:rsidP="000A1FD2">
      <w:pPr>
        <w:pBdr>
          <w:top w:val="single" w:sz="4" w:space="1" w:color="auto"/>
        </w:pBdr>
        <w:spacing w:line="240" w:lineRule="auto"/>
      </w:pPr>
      <w:r>
        <w:t xml:space="preserve">Distributions by other electric utilities, including those contiguous with Avista’s service territory, have been fairly common.  Avista’s current participation in the effort to physically distribute </w:t>
      </w:r>
      <w:r w:rsidR="00B068F5">
        <w:t>CFLs</w:t>
      </w:r>
      <w:r>
        <w:t xml:space="preserve"> to our customer base </w:t>
      </w:r>
      <w:r w:rsidR="00AC1509">
        <w:t>will benefit from the market awareness created by these prior regional distributions.</w:t>
      </w:r>
    </w:p>
    <w:p w:rsidR="000A1FD2" w:rsidRPr="004C25BD" w:rsidRDefault="000A1FD2" w:rsidP="000A1FD2">
      <w:pPr>
        <w:spacing w:line="240" w:lineRule="auto"/>
        <w:ind w:left="2160" w:hanging="2160"/>
        <w:contextualSpacing/>
      </w:pPr>
    </w:p>
    <w:p w:rsidR="000A1FD2" w:rsidRDefault="000A1FD2" w:rsidP="000A1FD2">
      <w:pPr>
        <w:pBdr>
          <w:top w:val="single" w:sz="4" w:space="1" w:color="auto"/>
        </w:pBdr>
        <w:spacing w:line="240" w:lineRule="auto"/>
        <w:ind w:left="2160" w:hanging="2160"/>
        <w:contextualSpacing/>
        <w:rPr>
          <w:b/>
          <w:i/>
        </w:rPr>
      </w:pPr>
      <w:r>
        <w:rPr>
          <w:b/>
          <w:i/>
        </w:rPr>
        <w:t>Cost-Effectiveness</w:t>
      </w:r>
      <w:r w:rsidRPr="000A1FD2">
        <w:rPr>
          <w:b/>
          <w:i/>
        </w:rPr>
        <w:t>:</w:t>
      </w:r>
    </w:p>
    <w:p w:rsidR="000A1FD2" w:rsidRDefault="000A1FD2" w:rsidP="000A1FD2">
      <w:pPr>
        <w:pBdr>
          <w:top w:val="single" w:sz="4" w:space="1" w:color="auto"/>
        </w:pBdr>
        <w:spacing w:line="240" w:lineRule="auto"/>
        <w:ind w:left="2160" w:hanging="2160"/>
        <w:contextualSpacing/>
        <w:rPr>
          <w:b/>
          <w:i/>
        </w:rPr>
      </w:pPr>
    </w:p>
    <w:p w:rsidR="00AC1509" w:rsidRDefault="00AC1509" w:rsidP="00AC1509">
      <w:pPr>
        <w:pBdr>
          <w:top w:val="single" w:sz="4" w:space="1" w:color="auto"/>
        </w:pBdr>
        <w:spacing w:line="240" w:lineRule="auto"/>
      </w:pPr>
      <w:r>
        <w:t xml:space="preserve">The cost of both the six and eight CFL kits are represented in the table below, as well as the calculations of the incremental cost of adding the two additional </w:t>
      </w:r>
      <w:r w:rsidR="00B068F5">
        <w:t>CFLs</w:t>
      </w:r>
      <w:r>
        <w:t xml:space="preserve"> per box.  All costs indicate that this measure is a highly attractive efficiency investment from a total resource cost perspective.</w:t>
      </w:r>
    </w:p>
    <w:tbl>
      <w:tblPr>
        <w:tblW w:w="9239" w:type="dxa"/>
        <w:tblInd w:w="96" w:type="dxa"/>
        <w:tblBorders>
          <w:top w:val="single" w:sz="4" w:space="0" w:color="auto"/>
          <w:left w:val="single" w:sz="4" w:space="0" w:color="auto"/>
          <w:bottom w:val="single" w:sz="4" w:space="0" w:color="auto"/>
          <w:right w:val="single" w:sz="4" w:space="0" w:color="auto"/>
        </w:tblBorders>
        <w:tblLook w:val="04A0"/>
      </w:tblPr>
      <w:tblGrid>
        <w:gridCol w:w="2054"/>
        <w:gridCol w:w="1666"/>
        <w:gridCol w:w="1859"/>
        <w:gridCol w:w="3660"/>
      </w:tblGrid>
      <w:tr w:rsidR="00AC1509" w:rsidRPr="00AC1509" w:rsidTr="00F615DA">
        <w:trPr>
          <w:trHeight w:val="301"/>
        </w:trPr>
        <w:tc>
          <w:tcPr>
            <w:tcW w:w="2054" w:type="dxa"/>
            <w:shd w:val="clear" w:color="auto" w:fill="auto"/>
            <w:noWrap/>
            <w:vAlign w:val="bottom"/>
            <w:hideMark/>
          </w:tcPr>
          <w:p w:rsidR="00AC1509" w:rsidRPr="00AC1509" w:rsidRDefault="00AC1509" w:rsidP="00AC1509">
            <w:pPr>
              <w:spacing w:after="0" w:line="240" w:lineRule="auto"/>
              <w:jc w:val="right"/>
              <w:rPr>
                <w:rFonts w:ascii="Calibri" w:eastAsia="Times New Roman" w:hAnsi="Calibri" w:cs="Times New Roman"/>
                <w:b/>
                <w:bCs/>
                <w:color w:val="000000"/>
                <w:u w:val="single"/>
              </w:rPr>
            </w:pPr>
            <w:r w:rsidRPr="00AC1509">
              <w:rPr>
                <w:rFonts w:ascii="Calibri" w:eastAsia="Times New Roman" w:hAnsi="Calibri" w:cs="Times New Roman"/>
                <w:b/>
                <w:bCs/>
                <w:color w:val="000000"/>
                <w:u w:val="single"/>
              </w:rPr>
              <w:t>6 CFL kit</w:t>
            </w:r>
          </w:p>
        </w:tc>
        <w:tc>
          <w:tcPr>
            <w:tcW w:w="1666" w:type="dxa"/>
            <w:shd w:val="clear" w:color="auto" w:fill="auto"/>
            <w:noWrap/>
            <w:vAlign w:val="bottom"/>
            <w:hideMark/>
          </w:tcPr>
          <w:p w:rsidR="00AC1509" w:rsidRPr="00AC1509" w:rsidRDefault="00AC1509" w:rsidP="00AC1509">
            <w:pPr>
              <w:spacing w:after="0" w:line="240" w:lineRule="auto"/>
              <w:jc w:val="right"/>
              <w:rPr>
                <w:rFonts w:ascii="Calibri" w:eastAsia="Times New Roman" w:hAnsi="Calibri" w:cs="Times New Roman"/>
                <w:b/>
                <w:bCs/>
                <w:color w:val="000000"/>
                <w:u w:val="single"/>
              </w:rPr>
            </w:pPr>
            <w:r w:rsidRPr="00AC1509">
              <w:rPr>
                <w:rFonts w:ascii="Calibri" w:eastAsia="Times New Roman" w:hAnsi="Calibri" w:cs="Times New Roman"/>
                <w:b/>
                <w:bCs/>
                <w:color w:val="000000"/>
                <w:u w:val="single"/>
              </w:rPr>
              <w:t>8 CFL kit</w:t>
            </w:r>
          </w:p>
        </w:tc>
        <w:tc>
          <w:tcPr>
            <w:tcW w:w="1859" w:type="dxa"/>
            <w:shd w:val="clear" w:color="auto" w:fill="auto"/>
            <w:noWrap/>
            <w:vAlign w:val="bottom"/>
            <w:hideMark/>
          </w:tcPr>
          <w:p w:rsidR="00AC1509" w:rsidRPr="00AC1509" w:rsidRDefault="00AC1509" w:rsidP="00E62951">
            <w:pPr>
              <w:spacing w:after="0" w:line="240" w:lineRule="auto"/>
              <w:jc w:val="right"/>
              <w:rPr>
                <w:rFonts w:ascii="Calibri" w:eastAsia="Times New Roman" w:hAnsi="Calibri" w:cs="Times New Roman"/>
                <w:b/>
                <w:bCs/>
                <w:color w:val="000000"/>
                <w:u w:val="single"/>
              </w:rPr>
            </w:pPr>
            <w:r w:rsidRPr="00AC1509">
              <w:rPr>
                <w:rFonts w:ascii="Calibri" w:eastAsia="Times New Roman" w:hAnsi="Calibri" w:cs="Times New Roman"/>
                <w:b/>
                <w:bCs/>
                <w:color w:val="000000"/>
                <w:u w:val="single"/>
              </w:rPr>
              <w:t>Increm</w:t>
            </w:r>
            <w:r w:rsidR="00E62951">
              <w:rPr>
                <w:rFonts w:ascii="Calibri" w:eastAsia="Times New Roman" w:hAnsi="Calibri" w:cs="Times New Roman"/>
                <w:b/>
                <w:bCs/>
                <w:color w:val="000000"/>
                <w:u w:val="single"/>
              </w:rPr>
              <w:t>ental</w:t>
            </w:r>
            <w:r w:rsidRPr="00AC1509">
              <w:rPr>
                <w:rFonts w:ascii="Calibri" w:eastAsia="Times New Roman" w:hAnsi="Calibri" w:cs="Times New Roman"/>
                <w:b/>
                <w:bCs/>
                <w:color w:val="000000"/>
                <w:u w:val="single"/>
              </w:rPr>
              <w:t xml:space="preserve"> Costs</w:t>
            </w:r>
          </w:p>
        </w:tc>
        <w:tc>
          <w:tcPr>
            <w:tcW w:w="3660"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p>
        </w:tc>
      </w:tr>
      <w:tr w:rsidR="00AC1509" w:rsidRPr="00AC1509" w:rsidTr="00E62951">
        <w:trPr>
          <w:trHeight w:val="301"/>
        </w:trPr>
        <w:tc>
          <w:tcPr>
            <w:tcW w:w="2054" w:type="dxa"/>
            <w:shd w:val="clear" w:color="auto" w:fill="auto"/>
            <w:noWrap/>
            <w:vAlign w:val="center"/>
            <w:hideMark/>
          </w:tcPr>
          <w:p w:rsidR="00AC1509" w:rsidRPr="00AC1509" w:rsidRDefault="00E62951" w:rsidP="00F53B0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32</w:t>
            </w:r>
          </w:p>
        </w:tc>
        <w:tc>
          <w:tcPr>
            <w:tcW w:w="1666" w:type="dxa"/>
            <w:shd w:val="clear" w:color="auto" w:fill="auto"/>
            <w:noWrap/>
            <w:vAlign w:val="center"/>
            <w:hideMark/>
          </w:tcPr>
          <w:p w:rsidR="00AC1509" w:rsidRPr="00AC1509" w:rsidRDefault="00E62951" w:rsidP="00F53B0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32</w:t>
            </w:r>
          </w:p>
        </w:tc>
        <w:tc>
          <w:tcPr>
            <w:tcW w:w="1859" w:type="dxa"/>
            <w:shd w:val="clear" w:color="auto" w:fill="auto"/>
            <w:noWrap/>
            <w:vAlign w:val="center"/>
            <w:hideMark/>
          </w:tcPr>
          <w:p w:rsidR="00AC1509" w:rsidRPr="00AC1509" w:rsidRDefault="00E62951" w:rsidP="00F53B0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32</w:t>
            </w:r>
          </w:p>
        </w:tc>
        <w:tc>
          <w:tcPr>
            <w:tcW w:w="3660"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Annual kWh savings per CFL</w:t>
            </w:r>
          </w:p>
        </w:tc>
      </w:tr>
      <w:tr w:rsidR="00AC1509" w:rsidRPr="00AC1509" w:rsidTr="00E62951">
        <w:trPr>
          <w:trHeight w:val="301"/>
        </w:trPr>
        <w:tc>
          <w:tcPr>
            <w:tcW w:w="2054" w:type="dxa"/>
            <w:shd w:val="clear" w:color="auto" w:fill="auto"/>
            <w:noWrap/>
            <w:vAlign w:val="center"/>
            <w:hideMark/>
          </w:tcPr>
          <w:p w:rsidR="00AC1509" w:rsidRPr="00AC1509" w:rsidRDefault="00B068F5" w:rsidP="00E6295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c>
          <w:tcPr>
            <w:tcW w:w="1666" w:type="dxa"/>
            <w:shd w:val="clear" w:color="auto" w:fill="auto"/>
            <w:noWrap/>
            <w:vAlign w:val="center"/>
            <w:hideMark/>
          </w:tcPr>
          <w:p w:rsidR="00AC1509" w:rsidRPr="00AC1509" w:rsidRDefault="00B068F5" w:rsidP="00E6295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c>
          <w:tcPr>
            <w:tcW w:w="1859" w:type="dxa"/>
            <w:shd w:val="clear" w:color="auto" w:fill="auto"/>
            <w:noWrap/>
            <w:vAlign w:val="center"/>
            <w:hideMark/>
          </w:tcPr>
          <w:p w:rsidR="00AC1509" w:rsidRPr="00AC1509" w:rsidRDefault="00B068F5" w:rsidP="00E6295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c>
          <w:tcPr>
            <w:tcW w:w="3660"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Measure life</w:t>
            </w:r>
          </w:p>
        </w:tc>
      </w:tr>
      <w:tr w:rsidR="00AC1509" w:rsidRPr="00AC1509" w:rsidTr="00E62951">
        <w:trPr>
          <w:trHeight w:val="301"/>
        </w:trPr>
        <w:tc>
          <w:tcPr>
            <w:tcW w:w="2054" w:type="dxa"/>
            <w:shd w:val="clear" w:color="auto" w:fill="auto"/>
            <w:noWrap/>
            <w:vAlign w:val="center"/>
            <w:hideMark/>
          </w:tcPr>
          <w:p w:rsidR="00AC1509" w:rsidRPr="00AC1509" w:rsidRDefault="00AC1509" w:rsidP="00E62951">
            <w:pPr>
              <w:spacing w:after="0" w:line="240" w:lineRule="auto"/>
              <w:jc w:val="right"/>
              <w:rPr>
                <w:rFonts w:ascii="Calibri" w:eastAsia="Times New Roman" w:hAnsi="Calibri" w:cs="Times New Roman"/>
                <w:color w:val="000000"/>
              </w:rPr>
            </w:pPr>
            <w:r w:rsidRPr="00AC1509">
              <w:rPr>
                <w:rFonts w:ascii="Calibri" w:eastAsia="Times New Roman" w:hAnsi="Calibri" w:cs="Times New Roman"/>
                <w:color w:val="000000"/>
              </w:rPr>
              <w:t>6.80%</w:t>
            </w:r>
          </w:p>
        </w:tc>
        <w:tc>
          <w:tcPr>
            <w:tcW w:w="1666" w:type="dxa"/>
            <w:shd w:val="clear" w:color="auto" w:fill="auto"/>
            <w:noWrap/>
            <w:vAlign w:val="center"/>
            <w:hideMark/>
          </w:tcPr>
          <w:p w:rsidR="00AC1509" w:rsidRPr="00AC1509" w:rsidRDefault="00AC1509" w:rsidP="00E62951">
            <w:pPr>
              <w:spacing w:after="0" w:line="240" w:lineRule="auto"/>
              <w:jc w:val="right"/>
              <w:rPr>
                <w:rFonts w:ascii="Calibri" w:eastAsia="Times New Roman" w:hAnsi="Calibri" w:cs="Times New Roman"/>
                <w:color w:val="000000"/>
              </w:rPr>
            </w:pPr>
            <w:r w:rsidRPr="00AC1509">
              <w:rPr>
                <w:rFonts w:ascii="Calibri" w:eastAsia="Times New Roman" w:hAnsi="Calibri" w:cs="Times New Roman"/>
                <w:color w:val="000000"/>
              </w:rPr>
              <w:t>6.80%</w:t>
            </w:r>
          </w:p>
        </w:tc>
        <w:tc>
          <w:tcPr>
            <w:tcW w:w="1859" w:type="dxa"/>
            <w:shd w:val="clear" w:color="auto" w:fill="auto"/>
            <w:noWrap/>
            <w:vAlign w:val="center"/>
            <w:hideMark/>
          </w:tcPr>
          <w:p w:rsidR="00AC1509" w:rsidRPr="00AC1509" w:rsidRDefault="00AC1509" w:rsidP="00E62951">
            <w:pPr>
              <w:spacing w:after="0" w:line="240" w:lineRule="auto"/>
              <w:jc w:val="right"/>
              <w:rPr>
                <w:rFonts w:ascii="Calibri" w:eastAsia="Times New Roman" w:hAnsi="Calibri" w:cs="Times New Roman"/>
                <w:color w:val="000000"/>
              </w:rPr>
            </w:pPr>
            <w:r w:rsidRPr="00AC1509">
              <w:rPr>
                <w:rFonts w:ascii="Calibri" w:eastAsia="Times New Roman" w:hAnsi="Calibri" w:cs="Times New Roman"/>
                <w:color w:val="000000"/>
              </w:rPr>
              <w:t>6.80%</w:t>
            </w:r>
          </w:p>
        </w:tc>
        <w:tc>
          <w:tcPr>
            <w:tcW w:w="3660"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Discount rate (Avista's WACC)</w:t>
            </w:r>
          </w:p>
        </w:tc>
      </w:tr>
      <w:tr w:rsidR="00AC1509" w:rsidRPr="00AC1509" w:rsidTr="00E62951">
        <w:trPr>
          <w:trHeight w:val="301"/>
        </w:trPr>
        <w:tc>
          <w:tcPr>
            <w:tcW w:w="2054" w:type="dxa"/>
            <w:shd w:val="clear" w:color="auto" w:fill="auto"/>
            <w:noWrap/>
            <w:vAlign w:val="center"/>
            <w:hideMark/>
          </w:tcPr>
          <w:p w:rsidR="00AC1509" w:rsidRPr="00AC1509" w:rsidRDefault="00AC1509" w:rsidP="00F53B0C">
            <w:pPr>
              <w:spacing w:after="0" w:line="240" w:lineRule="auto"/>
              <w:jc w:val="right"/>
              <w:rPr>
                <w:rFonts w:ascii="Calibri" w:eastAsia="Times New Roman" w:hAnsi="Calibri" w:cs="Times New Roman"/>
                <w:color w:val="000000"/>
              </w:rPr>
            </w:pPr>
            <w:r w:rsidRPr="00AC1509">
              <w:rPr>
                <w:rFonts w:ascii="Calibri" w:eastAsia="Times New Roman" w:hAnsi="Calibri" w:cs="Times New Roman"/>
                <w:color w:val="000000"/>
              </w:rPr>
              <w:t xml:space="preserve"> </w:t>
            </w:r>
            <w:r w:rsidR="00F53B0C">
              <w:rPr>
                <w:rFonts w:ascii="Calibri" w:eastAsia="Times New Roman" w:hAnsi="Calibri" w:cs="Times New Roman"/>
                <w:color w:val="000000"/>
              </w:rPr>
              <w:t>$</w:t>
            </w:r>
            <w:r w:rsidRPr="00AC1509">
              <w:rPr>
                <w:rFonts w:ascii="Calibri" w:eastAsia="Times New Roman" w:hAnsi="Calibri" w:cs="Times New Roman"/>
                <w:color w:val="000000"/>
              </w:rPr>
              <w:t>3,979,052</w:t>
            </w:r>
          </w:p>
        </w:tc>
        <w:tc>
          <w:tcPr>
            <w:tcW w:w="1666" w:type="dxa"/>
            <w:shd w:val="clear" w:color="auto" w:fill="auto"/>
            <w:noWrap/>
            <w:vAlign w:val="center"/>
            <w:hideMark/>
          </w:tcPr>
          <w:p w:rsidR="00AC1509" w:rsidRPr="00AC1509" w:rsidRDefault="00F53B0C" w:rsidP="00204B80">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xml:space="preserve"> $</w:t>
            </w:r>
            <w:r w:rsidR="00AC1509" w:rsidRPr="00AC1509">
              <w:rPr>
                <w:rFonts w:ascii="Calibri" w:eastAsia="Times New Roman" w:hAnsi="Calibri" w:cs="Times New Roman"/>
                <w:color w:val="000000"/>
              </w:rPr>
              <w:t>4,710,302</w:t>
            </w:r>
          </w:p>
        </w:tc>
        <w:tc>
          <w:tcPr>
            <w:tcW w:w="1859" w:type="dxa"/>
            <w:shd w:val="clear" w:color="auto" w:fill="auto"/>
            <w:noWrap/>
            <w:vAlign w:val="center"/>
            <w:hideMark/>
          </w:tcPr>
          <w:p w:rsidR="00AC1509" w:rsidRPr="00AC1509" w:rsidRDefault="00AC1509" w:rsidP="00F53B0C">
            <w:pPr>
              <w:spacing w:after="0" w:line="240" w:lineRule="auto"/>
              <w:jc w:val="right"/>
              <w:rPr>
                <w:rFonts w:ascii="Calibri" w:eastAsia="Times New Roman" w:hAnsi="Calibri" w:cs="Times New Roman"/>
                <w:color w:val="000000"/>
              </w:rPr>
            </w:pPr>
            <w:r w:rsidRPr="00AC1509">
              <w:rPr>
                <w:rFonts w:ascii="Calibri" w:eastAsia="Times New Roman" w:hAnsi="Calibri" w:cs="Times New Roman"/>
                <w:color w:val="000000"/>
              </w:rPr>
              <w:t xml:space="preserve"> $731,250</w:t>
            </w:r>
          </w:p>
        </w:tc>
        <w:tc>
          <w:tcPr>
            <w:tcW w:w="3660"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Total program budget</w:t>
            </w:r>
          </w:p>
        </w:tc>
      </w:tr>
      <w:tr w:rsidR="00AC1509" w:rsidRPr="00AC1509" w:rsidTr="00E62951">
        <w:trPr>
          <w:trHeight w:val="301"/>
        </w:trPr>
        <w:tc>
          <w:tcPr>
            <w:tcW w:w="2054" w:type="dxa"/>
            <w:shd w:val="clear" w:color="auto" w:fill="auto"/>
            <w:noWrap/>
            <w:vAlign w:val="center"/>
            <w:hideMark/>
          </w:tcPr>
          <w:p w:rsidR="00AC1509" w:rsidRPr="00AC1509" w:rsidRDefault="00AC1509" w:rsidP="00E62951">
            <w:pPr>
              <w:spacing w:after="0" w:line="240" w:lineRule="auto"/>
              <w:jc w:val="right"/>
              <w:rPr>
                <w:rFonts w:ascii="Calibri" w:eastAsia="Times New Roman" w:hAnsi="Calibri" w:cs="Times New Roman"/>
                <w:color w:val="000000"/>
              </w:rPr>
            </w:pPr>
            <w:r w:rsidRPr="00AC1509">
              <w:rPr>
                <w:rFonts w:ascii="Calibri" w:eastAsia="Times New Roman" w:hAnsi="Calibri" w:cs="Times New Roman"/>
                <w:color w:val="000000"/>
              </w:rPr>
              <w:t>225,000</w:t>
            </w:r>
          </w:p>
        </w:tc>
        <w:tc>
          <w:tcPr>
            <w:tcW w:w="1666" w:type="dxa"/>
            <w:shd w:val="clear" w:color="auto" w:fill="auto"/>
            <w:noWrap/>
            <w:vAlign w:val="center"/>
            <w:hideMark/>
          </w:tcPr>
          <w:p w:rsidR="00AC1509" w:rsidRPr="00AC1509" w:rsidRDefault="00AC1509" w:rsidP="00E62951">
            <w:pPr>
              <w:spacing w:after="0" w:line="240" w:lineRule="auto"/>
              <w:jc w:val="right"/>
              <w:rPr>
                <w:rFonts w:ascii="Calibri" w:eastAsia="Times New Roman" w:hAnsi="Calibri" w:cs="Times New Roman"/>
                <w:color w:val="000000"/>
              </w:rPr>
            </w:pPr>
            <w:r w:rsidRPr="00AC1509">
              <w:rPr>
                <w:rFonts w:ascii="Calibri" w:eastAsia="Times New Roman" w:hAnsi="Calibri" w:cs="Times New Roman"/>
                <w:color w:val="000000"/>
              </w:rPr>
              <w:t>225,000</w:t>
            </w:r>
          </w:p>
        </w:tc>
        <w:tc>
          <w:tcPr>
            <w:tcW w:w="1859" w:type="dxa"/>
            <w:shd w:val="clear" w:color="auto" w:fill="auto"/>
            <w:noWrap/>
            <w:vAlign w:val="center"/>
            <w:hideMark/>
          </w:tcPr>
          <w:p w:rsidR="00AC1509" w:rsidRPr="00AC1509" w:rsidRDefault="00F53B0C" w:rsidP="00E6295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w:t>
            </w:r>
          </w:p>
        </w:tc>
        <w:tc>
          <w:tcPr>
            <w:tcW w:w="3660" w:type="dxa"/>
            <w:shd w:val="clear" w:color="auto" w:fill="auto"/>
            <w:noWrap/>
            <w:vAlign w:val="bottom"/>
            <w:hideMark/>
          </w:tcPr>
          <w:p w:rsidR="00AC1509" w:rsidRPr="00AC1509" w:rsidRDefault="00AC1509" w:rsidP="00AC1509">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CFL kits distributed</w:t>
            </w:r>
          </w:p>
        </w:tc>
      </w:tr>
      <w:tr w:rsidR="00AC1509" w:rsidRPr="00AC1509" w:rsidTr="00E62951">
        <w:trPr>
          <w:trHeight w:val="301"/>
        </w:trPr>
        <w:tc>
          <w:tcPr>
            <w:tcW w:w="2054" w:type="dxa"/>
            <w:shd w:val="clear" w:color="auto" w:fill="auto"/>
            <w:noWrap/>
            <w:vAlign w:val="center"/>
            <w:hideMark/>
          </w:tcPr>
          <w:p w:rsidR="00AC1509" w:rsidRPr="00AC1509" w:rsidRDefault="00AC1509" w:rsidP="00F53B0C">
            <w:pPr>
              <w:spacing w:after="0" w:line="240" w:lineRule="auto"/>
              <w:jc w:val="right"/>
              <w:rPr>
                <w:rFonts w:ascii="Calibri" w:eastAsia="Times New Roman" w:hAnsi="Calibri" w:cs="Times New Roman"/>
                <w:color w:val="000000"/>
              </w:rPr>
            </w:pPr>
            <w:r w:rsidRPr="00AC1509">
              <w:rPr>
                <w:rFonts w:ascii="Calibri" w:eastAsia="Times New Roman" w:hAnsi="Calibri" w:cs="Times New Roman"/>
                <w:color w:val="000000"/>
              </w:rPr>
              <w:t>1,350,000</w:t>
            </w:r>
          </w:p>
        </w:tc>
        <w:tc>
          <w:tcPr>
            <w:tcW w:w="1666" w:type="dxa"/>
            <w:shd w:val="clear" w:color="auto" w:fill="auto"/>
            <w:noWrap/>
            <w:vAlign w:val="center"/>
            <w:hideMark/>
          </w:tcPr>
          <w:p w:rsidR="00AC1509" w:rsidRPr="00AC1509" w:rsidRDefault="00AC1509" w:rsidP="00E62951">
            <w:pPr>
              <w:spacing w:after="0" w:line="240" w:lineRule="auto"/>
              <w:jc w:val="right"/>
              <w:rPr>
                <w:rFonts w:ascii="Calibri" w:eastAsia="Times New Roman" w:hAnsi="Calibri" w:cs="Times New Roman"/>
                <w:color w:val="000000"/>
              </w:rPr>
            </w:pPr>
            <w:r w:rsidRPr="00AC1509">
              <w:rPr>
                <w:rFonts w:ascii="Calibri" w:eastAsia="Times New Roman" w:hAnsi="Calibri" w:cs="Times New Roman"/>
                <w:color w:val="000000"/>
              </w:rPr>
              <w:t>1,800,000</w:t>
            </w:r>
          </w:p>
        </w:tc>
        <w:tc>
          <w:tcPr>
            <w:tcW w:w="1859" w:type="dxa"/>
            <w:shd w:val="clear" w:color="auto" w:fill="auto"/>
            <w:noWrap/>
            <w:vAlign w:val="center"/>
            <w:hideMark/>
          </w:tcPr>
          <w:p w:rsidR="00AC1509" w:rsidRPr="00AC1509" w:rsidRDefault="00AC1509" w:rsidP="00F53B0C">
            <w:pPr>
              <w:spacing w:after="0" w:line="240" w:lineRule="auto"/>
              <w:jc w:val="right"/>
              <w:rPr>
                <w:rFonts w:ascii="Calibri" w:eastAsia="Times New Roman" w:hAnsi="Calibri" w:cs="Times New Roman"/>
                <w:color w:val="000000"/>
              </w:rPr>
            </w:pPr>
            <w:r w:rsidRPr="00AC1509">
              <w:rPr>
                <w:rFonts w:ascii="Calibri" w:eastAsia="Times New Roman" w:hAnsi="Calibri" w:cs="Times New Roman"/>
                <w:color w:val="000000"/>
              </w:rPr>
              <w:t>450,000</w:t>
            </w:r>
          </w:p>
        </w:tc>
        <w:tc>
          <w:tcPr>
            <w:tcW w:w="3660" w:type="dxa"/>
            <w:shd w:val="clear" w:color="auto" w:fill="auto"/>
            <w:noWrap/>
            <w:vAlign w:val="bottom"/>
            <w:hideMark/>
          </w:tcPr>
          <w:p w:rsidR="00AC1509" w:rsidRPr="00AC1509" w:rsidRDefault="00B068F5" w:rsidP="00AC1509">
            <w:pPr>
              <w:spacing w:after="0" w:line="240" w:lineRule="auto"/>
              <w:rPr>
                <w:rFonts w:ascii="Calibri" w:eastAsia="Times New Roman" w:hAnsi="Calibri" w:cs="Times New Roman"/>
                <w:color w:val="000000"/>
              </w:rPr>
            </w:pPr>
            <w:r>
              <w:rPr>
                <w:rFonts w:ascii="Calibri" w:eastAsia="Times New Roman" w:hAnsi="Calibri" w:cs="Times New Roman"/>
                <w:color w:val="000000"/>
              </w:rPr>
              <w:t>CFLs</w:t>
            </w:r>
            <w:r w:rsidR="00AC1509" w:rsidRPr="00AC1509">
              <w:rPr>
                <w:rFonts w:ascii="Calibri" w:eastAsia="Times New Roman" w:hAnsi="Calibri" w:cs="Times New Roman"/>
                <w:color w:val="000000"/>
              </w:rPr>
              <w:t xml:space="preserve"> distributed</w:t>
            </w:r>
          </w:p>
        </w:tc>
      </w:tr>
      <w:tr w:rsidR="00204B80" w:rsidRPr="00AC1509" w:rsidTr="00204B80">
        <w:trPr>
          <w:trHeight w:val="301"/>
        </w:trPr>
        <w:tc>
          <w:tcPr>
            <w:tcW w:w="2054" w:type="dxa"/>
            <w:shd w:val="clear" w:color="auto" w:fill="auto"/>
            <w:noWrap/>
            <w:vAlign w:val="center"/>
            <w:hideMark/>
          </w:tcPr>
          <w:p w:rsidR="00204B80" w:rsidRPr="00204B80" w:rsidRDefault="00204B80" w:rsidP="00204B80">
            <w:pPr>
              <w:spacing w:after="0" w:line="240" w:lineRule="auto"/>
              <w:jc w:val="right"/>
              <w:rPr>
                <w:rFonts w:ascii="Calibri" w:eastAsia="Times New Roman" w:hAnsi="Calibri" w:cs="Times New Roman"/>
                <w:color w:val="000000"/>
              </w:rPr>
            </w:pPr>
            <w:r w:rsidRPr="00204B80">
              <w:rPr>
                <w:rFonts w:ascii="Calibri" w:eastAsia="Times New Roman" w:hAnsi="Calibri" w:cs="Times New Roman"/>
                <w:color w:val="000000"/>
              </w:rPr>
              <w:t>$965,263</w:t>
            </w:r>
          </w:p>
        </w:tc>
        <w:tc>
          <w:tcPr>
            <w:tcW w:w="1666" w:type="dxa"/>
            <w:shd w:val="clear" w:color="auto" w:fill="auto"/>
            <w:noWrap/>
            <w:vAlign w:val="center"/>
            <w:hideMark/>
          </w:tcPr>
          <w:p w:rsidR="00204B80" w:rsidRPr="00204B80" w:rsidRDefault="00204B80" w:rsidP="00204B80">
            <w:pPr>
              <w:spacing w:after="0" w:line="240" w:lineRule="auto"/>
              <w:jc w:val="right"/>
              <w:rPr>
                <w:rFonts w:ascii="Calibri" w:eastAsia="Times New Roman" w:hAnsi="Calibri" w:cs="Times New Roman"/>
                <w:color w:val="000000"/>
              </w:rPr>
            </w:pPr>
            <w:r w:rsidRPr="00204B80">
              <w:rPr>
                <w:rFonts w:ascii="Calibri" w:eastAsia="Times New Roman" w:hAnsi="Calibri" w:cs="Times New Roman"/>
                <w:color w:val="000000"/>
              </w:rPr>
              <w:t>$1,142,654</w:t>
            </w:r>
          </w:p>
        </w:tc>
        <w:tc>
          <w:tcPr>
            <w:tcW w:w="1859" w:type="dxa"/>
            <w:shd w:val="clear" w:color="auto" w:fill="auto"/>
            <w:noWrap/>
            <w:vAlign w:val="center"/>
            <w:hideMark/>
          </w:tcPr>
          <w:p w:rsidR="00204B80" w:rsidRPr="00204B80" w:rsidRDefault="00204B80" w:rsidP="00204B80">
            <w:pPr>
              <w:spacing w:after="0" w:line="240" w:lineRule="auto"/>
              <w:jc w:val="right"/>
              <w:rPr>
                <w:rFonts w:ascii="Calibri" w:eastAsia="Times New Roman" w:hAnsi="Calibri" w:cs="Times New Roman"/>
                <w:color w:val="000000"/>
              </w:rPr>
            </w:pPr>
            <w:r w:rsidRPr="00204B80">
              <w:rPr>
                <w:rFonts w:ascii="Calibri" w:eastAsia="Times New Roman" w:hAnsi="Calibri" w:cs="Times New Roman"/>
                <w:color w:val="000000"/>
              </w:rPr>
              <w:t>$177,391</w:t>
            </w:r>
          </w:p>
        </w:tc>
        <w:tc>
          <w:tcPr>
            <w:tcW w:w="3660" w:type="dxa"/>
            <w:shd w:val="clear" w:color="auto" w:fill="auto"/>
            <w:noWrap/>
            <w:vAlign w:val="center"/>
            <w:hideMark/>
          </w:tcPr>
          <w:p w:rsidR="00204B80" w:rsidRPr="00AC1509" w:rsidRDefault="00204B80" w:rsidP="00204B80">
            <w:pPr>
              <w:spacing w:after="0" w:line="240" w:lineRule="auto"/>
              <w:rPr>
                <w:rFonts w:ascii="Calibri" w:eastAsia="Times New Roman" w:hAnsi="Calibri" w:cs="Times New Roman"/>
                <w:color w:val="000000"/>
              </w:rPr>
            </w:pPr>
            <w:r w:rsidRPr="00AC1509">
              <w:rPr>
                <w:rFonts w:ascii="Calibri" w:eastAsia="Times New Roman" w:hAnsi="Calibri" w:cs="Times New Roman"/>
                <w:color w:val="000000"/>
              </w:rPr>
              <w:t xml:space="preserve">Annual </w:t>
            </w:r>
            <w:proofErr w:type="spellStart"/>
            <w:r w:rsidRPr="00AC1509">
              <w:rPr>
                <w:rFonts w:ascii="Calibri" w:eastAsia="Times New Roman" w:hAnsi="Calibri" w:cs="Times New Roman"/>
                <w:color w:val="000000"/>
              </w:rPr>
              <w:t>levelized</w:t>
            </w:r>
            <w:proofErr w:type="spellEnd"/>
            <w:r w:rsidRPr="00AC1509">
              <w:rPr>
                <w:rFonts w:ascii="Calibri" w:eastAsia="Times New Roman" w:hAnsi="Calibri" w:cs="Times New Roman"/>
                <w:color w:val="000000"/>
              </w:rPr>
              <w:t xml:space="preserve"> program cost</w:t>
            </w:r>
          </w:p>
        </w:tc>
      </w:tr>
      <w:tr w:rsidR="00AC1509" w:rsidRPr="00AC1509" w:rsidTr="00E62951">
        <w:trPr>
          <w:trHeight w:val="301"/>
        </w:trPr>
        <w:tc>
          <w:tcPr>
            <w:tcW w:w="2054" w:type="dxa"/>
            <w:shd w:val="clear" w:color="auto" w:fill="auto"/>
            <w:noWrap/>
            <w:vAlign w:val="center"/>
            <w:hideMark/>
          </w:tcPr>
          <w:p w:rsidR="00AC1509" w:rsidRPr="0033720C" w:rsidRDefault="0033720C" w:rsidP="00F53B0C">
            <w:pPr>
              <w:spacing w:after="0" w:line="240" w:lineRule="auto"/>
              <w:jc w:val="right"/>
              <w:rPr>
                <w:rFonts w:ascii="Calibri" w:eastAsia="Times New Roman" w:hAnsi="Calibri" w:cs="Times New Roman"/>
                <w:color w:val="000000"/>
              </w:rPr>
            </w:pPr>
            <w:r w:rsidRPr="0033720C">
              <w:rPr>
                <w:rFonts w:ascii="Calibri" w:eastAsia="Times New Roman" w:hAnsi="Calibri" w:cs="Times New Roman"/>
                <w:color w:val="000000"/>
              </w:rPr>
              <w:t>43,200</w:t>
            </w:r>
          </w:p>
        </w:tc>
        <w:tc>
          <w:tcPr>
            <w:tcW w:w="1666" w:type="dxa"/>
            <w:shd w:val="clear" w:color="auto" w:fill="auto"/>
            <w:noWrap/>
            <w:vAlign w:val="center"/>
            <w:hideMark/>
          </w:tcPr>
          <w:p w:rsidR="00AC1509" w:rsidRPr="0033720C" w:rsidRDefault="0033720C" w:rsidP="00204B80">
            <w:pPr>
              <w:spacing w:after="0" w:line="240" w:lineRule="auto"/>
              <w:jc w:val="right"/>
              <w:rPr>
                <w:rFonts w:ascii="Calibri" w:eastAsia="Times New Roman" w:hAnsi="Calibri" w:cs="Times New Roman"/>
                <w:color w:val="000000"/>
              </w:rPr>
            </w:pPr>
            <w:r w:rsidRPr="0033720C">
              <w:rPr>
                <w:rFonts w:ascii="Calibri" w:eastAsia="Times New Roman" w:hAnsi="Calibri" w:cs="Times New Roman"/>
                <w:color w:val="000000"/>
              </w:rPr>
              <w:t>57,600</w:t>
            </w:r>
          </w:p>
        </w:tc>
        <w:tc>
          <w:tcPr>
            <w:tcW w:w="1859" w:type="dxa"/>
            <w:shd w:val="clear" w:color="auto" w:fill="auto"/>
            <w:noWrap/>
            <w:vAlign w:val="center"/>
            <w:hideMark/>
          </w:tcPr>
          <w:p w:rsidR="00AC1509" w:rsidRPr="0033720C" w:rsidRDefault="0033720C" w:rsidP="00F53B0C">
            <w:pPr>
              <w:spacing w:after="0" w:line="240" w:lineRule="auto"/>
              <w:jc w:val="right"/>
              <w:rPr>
                <w:rFonts w:ascii="Calibri" w:eastAsia="Times New Roman" w:hAnsi="Calibri" w:cs="Times New Roman"/>
                <w:color w:val="000000"/>
              </w:rPr>
            </w:pPr>
            <w:r w:rsidRPr="0033720C">
              <w:rPr>
                <w:rFonts w:ascii="Calibri" w:eastAsia="Times New Roman" w:hAnsi="Calibri" w:cs="Times New Roman"/>
                <w:color w:val="000000"/>
              </w:rPr>
              <w:t>14,400</w:t>
            </w:r>
          </w:p>
        </w:tc>
        <w:tc>
          <w:tcPr>
            <w:tcW w:w="3660" w:type="dxa"/>
            <w:shd w:val="clear" w:color="auto" w:fill="auto"/>
            <w:noWrap/>
            <w:vAlign w:val="bottom"/>
            <w:hideMark/>
          </w:tcPr>
          <w:p w:rsidR="00AC1509" w:rsidRPr="0033720C" w:rsidRDefault="00E62951" w:rsidP="00AC1509">
            <w:pPr>
              <w:spacing w:after="0" w:line="240" w:lineRule="auto"/>
              <w:rPr>
                <w:rFonts w:ascii="Calibri" w:eastAsia="Times New Roman" w:hAnsi="Calibri" w:cs="Times New Roman"/>
                <w:color w:val="000000"/>
              </w:rPr>
            </w:pPr>
            <w:r>
              <w:rPr>
                <w:rFonts w:ascii="Calibri" w:eastAsia="Times New Roman" w:hAnsi="Calibri" w:cs="Times New Roman"/>
                <w:color w:val="000000"/>
              </w:rPr>
              <w:t>Annual M</w:t>
            </w:r>
            <w:r w:rsidR="00AC1509" w:rsidRPr="0033720C">
              <w:rPr>
                <w:rFonts w:ascii="Calibri" w:eastAsia="Times New Roman" w:hAnsi="Calibri" w:cs="Times New Roman"/>
                <w:color w:val="000000"/>
              </w:rPr>
              <w:t>Wh savings</w:t>
            </w:r>
          </w:p>
        </w:tc>
      </w:tr>
      <w:tr w:rsidR="00AC1509" w:rsidRPr="00AC1509" w:rsidTr="00E62951">
        <w:trPr>
          <w:trHeight w:val="301"/>
        </w:trPr>
        <w:tc>
          <w:tcPr>
            <w:tcW w:w="2054" w:type="dxa"/>
            <w:shd w:val="clear" w:color="auto" w:fill="auto"/>
            <w:noWrap/>
            <w:vAlign w:val="center"/>
            <w:hideMark/>
          </w:tcPr>
          <w:p w:rsidR="00AC1509" w:rsidRPr="00AC1509" w:rsidRDefault="00AC1509" w:rsidP="00F53B0C">
            <w:pPr>
              <w:spacing w:after="0" w:line="240" w:lineRule="auto"/>
              <w:jc w:val="right"/>
              <w:rPr>
                <w:rFonts w:ascii="Calibri" w:eastAsia="Times New Roman" w:hAnsi="Calibri" w:cs="Times New Roman"/>
                <w:color w:val="000000"/>
              </w:rPr>
            </w:pPr>
            <w:r w:rsidRPr="00AC1509">
              <w:rPr>
                <w:rFonts w:ascii="Calibri" w:eastAsia="Times New Roman" w:hAnsi="Calibri" w:cs="Times New Roman"/>
                <w:color w:val="000000"/>
              </w:rPr>
              <w:t>$25.86</w:t>
            </w:r>
          </w:p>
        </w:tc>
        <w:tc>
          <w:tcPr>
            <w:tcW w:w="1666" w:type="dxa"/>
            <w:shd w:val="clear" w:color="auto" w:fill="auto"/>
            <w:noWrap/>
            <w:vAlign w:val="center"/>
            <w:hideMark/>
          </w:tcPr>
          <w:p w:rsidR="00AC1509" w:rsidRPr="00AC1509" w:rsidRDefault="00AC1509" w:rsidP="00204B80">
            <w:pPr>
              <w:spacing w:after="0" w:line="240" w:lineRule="auto"/>
              <w:jc w:val="right"/>
              <w:rPr>
                <w:rFonts w:ascii="Calibri" w:eastAsia="Times New Roman" w:hAnsi="Calibri" w:cs="Times New Roman"/>
                <w:color w:val="000000"/>
              </w:rPr>
            </w:pPr>
            <w:r w:rsidRPr="00AC1509">
              <w:rPr>
                <w:rFonts w:ascii="Calibri" w:eastAsia="Times New Roman" w:hAnsi="Calibri" w:cs="Times New Roman"/>
                <w:color w:val="000000"/>
              </w:rPr>
              <w:t xml:space="preserve"> $22.96</w:t>
            </w:r>
          </w:p>
        </w:tc>
        <w:tc>
          <w:tcPr>
            <w:tcW w:w="1859" w:type="dxa"/>
            <w:shd w:val="clear" w:color="auto" w:fill="auto"/>
            <w:noWrap/>
            <w:vAlign w:val="center"/>
            <w:hideMark/>
          </w:tcPr>
          <w:p w:rsidR="00AC1509" w:rsidRPr="00AC1509" w:rsidRDefault="00AC1509" w:rsidP="00F53B0C">
            <w:pPr>
              <w:spacing w:after="0" w:line="240" w:lineRule="auto"/>
              <w:jc w:val="right"/>
              <w:rPr>
                <w:rFonts w:ascii="Calibri" w:eastAsia="Times New Roman" w:hAnsi="Calibri" w:cs="Times New Roman"/>
                <w:color w:val="000000"/>
              </w:rPr>
            </w:pPr>
            <w:r w:rsidRPr="00AC1509">
              <w:rPr>
                <w:rFonts w:ascii="Calibri" w:eastAsia="Times New Roman" w:hAnsi="Calibri" w:cs="Times New Roman"/>
                <w:color w:val="000000"/>
              </w:rPr>
              <w:t xml:space="preserve"> $14.26</w:t>
            </w:r>
          </w:p>
        </w:tc>
        <w:tc>
          <w:tcPr>
            <w:tcW w:w="3660" w:type="dxa"/>
            <w:shd w:val="clear" w:color="auto" w:fill="auto"/>
            <w:noWrap/>
            <w:vAlign w:val="bottom"/>
            <w:hideMark/>
          </w:tcPr>
          <w:p w:rsidR="00AC1509" w:rsidRPr="00AC1509" w:rsidRDefault="00E62951" w:rsidP="00AC1509">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Levelized</w:t>
            </w:r>
            <w:proofErr w:type="spellEnd"/>
            <w:r>
              <w:rPr>
                <w:rFonts w:ascii="Calibri" w:eastAsia="Times New Roman" w:hAnsi="Calibri" w:cs="Times New Roman"/>
                <w:color w:val="000000"/>
              </w:rPr>
              <w:t xml:space="preserve"> cost per M</w:t>
            </w:r>
            <w:r w:rsidR="00AC1509" w:rsidRPr="00AC1509">
              <w:rPr>
                <w:rFonts w:ascii="Calibri" w:eastAsia="Times New Roman" w:hAnsi="Calibri" w:cs="Times New Roman"/>
                <w:color w:val="000000"/>
              </w:rPr>
              <w:t>Wh</w:t>
            </w:r>
          </w:p>
        </w:tc>
      </w:tr>
    </w:tbl>
    <w:p w:rsidR="001D575C" w:rsidRDefault="001D575C" w:rsidP="004C25BD">
      <w:pPr>
        <w:spacing w:line="240" w:lineRule="auto"/>
        <w:ind w:left="2160" w:hanging="2160"/>
        <w:contextualSpacing/>
      </w:pPr>
    </w:p>
    <w:p w:rsidR="001E53E4" w:rsidRPr="004C25BD" w:rsidRDefault="001E53E4" w:rsidP="004C25BD">
      <w:pPr>
        <w:spacing w:line="240" w:lineRule="auto"/>
        <w:ind w:left="2160" w:hanging="2160"/>
        <w:contextualSpacing/>
      </w:pPr>
    </w:p>
    <w:p w:rsidR="00F47630" w:rsidRPr="00C0708D" w:rsidRDefault="0042551E" w:rsidP="004C25BD">
      <w:pPr>
        <w:pBdr>
          <w:top w:val="single" w:sz="4" w:space="1" w:color="auto"/>
        </w:pBdr>
        <w:spacing w:line="240" w:lineRule="auto"/>
        <w:ind w:left="2160" w:hanging="2160"/>
        <w:contextualSpacing/>
        <w:rPr>
          <w:b/>
          <w:i/>
        </w:rPr>
      </w:pPr>
      <w:r w:rsidRPr="00C0708D">
        <w:rPr>
          <w:b/>
          <w:i/>
        </w:rPr>
        <w:t>Implementation Plan</w:t>
      </w:r>
      <w:r w:rsidR="001D575C" w:rsidRPr="00C0708D">
        <w:rPr>
          <w:b/>
          <w:i/>
        </w:rPr>
        <w:t>:</w:t>
      </w:r>
      <w:r w:rsidR="001D575C" w:rsidRPr="00C0708D">
        <w:rPr>
          <w:b/>
          <w:i/>
        </w:rPr>
        <w:tab/>
      </w:r>
    </w:p>
    <w:p w:rsidR="00C97D07" w:rsidRDefault="00C97D07" w:rsidP="00C0708D">
      <w:pPr>
        <w:pBdr>
          <w:top w:val="single" w:sz="4" w:space="1" w:color="auto"/>
        </w:pBdr>
        <w:spacing w:line="240" w:lineRule="auto"/>
      </w:pPr>
    </w:p>
    <w:p w:rsidR="001E53E4" w:rsidRDefault="001E53E4" w:rsidP="001E53E4">
      <w:pPr>
        <w:pBdr>
          <w:top w:val="single" w:sz="4" w:space="1" w:color="auto"/>
        </w:pBdr>
        <w:spacing w:line="240" w:lineRule="auto"/>
      </w:pPr>
      <w:r>
        <w:t>The program design has progressed to the selection of a local fulfillment house and distribution through the US Postal Service.  Avista’s implementation shares much in common with previous</w:t>
      </w:r>
      <w:r w:rsidR="00F53B0C">
        <w:t xml:space="preserve"> utility-sponsored</w:t>
      </w:r>
      <w:r>
        <w:t xml:space="preserve"> distributions within the region.  Other utilities with prior experience in this program have freely shared thei</w:t>
      </w:r>
      <w:r w:rsidR="00F53B0C">
        <w:t>r experiences pertaining to this effort.</w:t>
      </w:r>
    </w:p>
    <w:p w:rsidR="001E53E4" w:rsidRDefault="001E53E4" w:rsidP="001E53E4">
      <w:pPr>
        <w:pBdr>
          <w:top w:val="single" w:sz="4" w:space="1" w:color="auto"/>
        </w:pBdr>
        <w:spacing w:line="240" w:lineRule="auto"/>
      </w:pPr>
      <w:r>
        <w:t xml:space="preserve">The Company has developed a letter for inclusion within the CFL kit indicating the energy-efficiency value of the </w:t>
      </w:r>
      <w:r w:rsidR="00B068F5">
        <w:t>CFLs</w:t>
      </w:r>
      <w:r>
        <w:t xml:space="preserve"> and advice for proper disposal at the end of the </w:t>
      </w:r>
      <w:r w:rsidR="00F53B0C">
        <w:t>device</w:t>
      </w:r>
      <w:r>
        <w:t xml:space="preserve"> life.  The Company also offers the customer the opportunity to return the </w:t>
      </w:r>
      <w:r w:rsidR="00B068F5">
        <w:t>CFLs</w:t>
      </w:r>
      <w:r>
        <w:t xml:space="preserve"> to Avista at no customer cost.  Instructions on how to deal with any broken product are also included.</w:t>
      </w:r>
    </w:p>
    <w:p w:rsidR="001E53E4" w:rsidRDefault="001E53E4" w:rsidP="001E53E4">
      <w:pPr>
        <w:pBdr>
          <w:top w:val="single" w:sz="4" w:space="1" w:color="auto"/>
        </w:pBdr>
        <w:spacing w:line="240" w:lineRule="auto"/>
      </w:pPr>
      <w:r>
        <w:t xml:space="preserve">Returned </w:t>
      </w:r>
      <w:r w:rsidR="00B068F5">
        <w:t>CFLs</w:t>
      </w:r>
      <w:r>
        <w:t xml:space="preserve"> will be provide a ready source for solicited distributions to customers desiring more </w:t>
      </w:r>
      <w:r w:rsidR="00B068F5">
        <w:t>CFLs</w:t>
      </w:r>
      <w:r>
        <w:t xml:space="preserve"> than they received in the initial allotment or for physical distributions through other Avista programs.  Since those solicited and physical distributions will be at a higher annual energy savings than have been assumed for the basic program, the energy savings should be enhanced and not diminished by these returns (at an additional cost) if they can be completed prior to the end of the calendar year.</w:t>
      </w:r>
    </w:p>
    <w:p w:rsidR="001E53E4" w:rsidRDefault="001E53E4" w:rsidP="004C25BD">
      <w:pPr>
        <w:pBdr>
          <w:top w:val="single" w:sz="4" w:space="1" w:color="auto"/>
        </w:pBdr>
        <w:spacing w:line="240" w:lineRule="auto"/>
        <w:ind w:left="2160" w:hanging="2160"/>
        <w:contextualSpacing/>
        <w:rPr>
          <w:b/>
          <w:i/>
        </w:rPr>
      </w:pPr>
    </w:p>
    <w:p w:rsidR="00F615DA" w:rsidRDefault="00F615DA" w:rsidP="004C25BD">
      <w:pPr>
        <w:pBdr>
          <w:top w:val="single" w:sz="4" w:space="1" w:color="auto"/>
        </w:pBdr>
        <w:spacing w:line="240" w:lineRule="auto"/>
        <w:ind w:left="2160" w:hanging="2160"/>
        <w:contextualSpacing/>
        <w:rPr>
          <w:b/>
          <w:i/>
        </w:rPr>
      </w:pPr>
    </w:p>
    <w:p w:rsidR="00F615DA" w:rsidRDefault="00F615DA" w:rsidP="004C25BD">
      <w:pPr>
        <w:pBdr>
          <w:top w:val="single" w:sz="4" w:space="1" w:color="auto"/>
        </w:pBdr>
        <w:spacing w:line="240" w:lineRule="auto"/>
        <w:ind w:left="2160" w:hanging="2160"/>
        <w:contextualSpacing/>
        <w:rPr>
          <w:b/>
          <w:i/>
        </w:rPr>
      </w:pPr>
    </w:p>
    <w:p w:rsidR="00F47630" w:rsidRPr="00C0708D" w:rsidRDefault="006B6110" w:rsidP="004C25BD">
      <w:pPr>
        <w:pBdr>
          <w:top w:val="single" w:sz="4" w:space="1" w:color="auto"/>
        </w:pBdr>
        <w:spacing w:line="240" w:lineRule="auto"/>
        <w:ind w:left="2160" w:hanging="2160"/>
        <w:contextualSpacing/>
        <w:rPr>
          <w:b/>
          <w:i/>
        </w:rPr>
      </w:pPr>
      <w:r w:rsidRPr="00C0708D">
        <w:rPr>
          <w:b/>
          <w:i/>
        </w:rPr>
        <w:lastRenderedPageBreak/>
        <w:t>Evaluation, Measurement and Verification</w:t>
      </w:r>
      <w:r w:rsidR="001D575C" w:rsidRPr="00C0708D">
        <w:rPr>
          <w:b/>
          <w:i/>
        </w:rPr>
        <w:t>:</w:t>
      </w:r>
      <w:r w:rsidR="001D575C" w:rsidRPr="00C0708D">
        <w:rPr>
          <w:b/>
          <w:i/>
        </w:rPr>
        <w:tab/>
      </w:r>
    </w:p>
    <w:p w:rsidR="001E53E4" w:rsidRDefault="001E53E4" w:rsidP="00C0708D">
      <w:pPr>
        <w:pBdr>
          <w:top w:val="single" w:sz="4" w:space="1" w:color="auto"/>
        </w:pBdr>
        <w:spacing w:line="240" w:lineRule="auto"/>
        <w:rPr>
          <w:strike/>
        </w:rPr>
      </w:pPr>
    </w:p>
    <w:p w:rsidR="001E53E4" w:rsidRDefault="001E53E4" w:rsidP="001E53E4">
      <w:pPr>
        <w:pBdr>
          <w:top w:val="single" w:sz="4" w:space="1" w:color="auto"/>
        </w:pBdr>
        <w:spacing w:line="240" w:lineRule="auto"/>
      </w:pPr>
      <w:r>
        <w:t>This measure was incorporated into the NPCC’s 6</w:t>
      </w:r>
      <w:r w:rsidRPr="001E53E4">
        <w:rPr>
          <w:vertAlign w:val="superscript"/>
        </w:rPr>
        <w:t>th</w:t>
      </w:r>
      <w:r>
        <w:t xml:space="preserve"> Power Plan at a defined unit energy savings.  It is Avista’s intent to apply the same unit energy savings used in the development of the target for incorporation into the 2010</w:t>
      </w:r>
      <w:r w:rsidR="00F53B0C">
        <w:t xml:space="preserve">-2011 I-937 acquisition </w:t>
      </w:r>
      <w:proofErr w:type="gramStart"/>
      <w:r w:rsidR="00F53B0C">
        <w:t>claim</w:t>
      </w:r>
      <w:proofErr w:type="gramEnd"/>
      <w:r w:rsidR="00F53B0C">
        <w:t>.</w:t>
      </w:r>
    </w:p>
    <w:p w:rsidR="001E53E4" w:rsidRDefault="001E53E4" w:rsidP="001E53E4">
      <w:pPr>
        <w:pBdr>
          <w:top w:val="single" w:sz="4" w:space="1" w:color="auto"/>
        </w:pBdr>
        <w:spacing w:line="240" w:lineRule="auto"/>
      </w:pPr>
      <w:r>
        <w:t>This program will also be part of the portfolio of programs presented to external independent third-party consultants for review.  The results of that review will add to the Company’s (and the region</w:t>
      </w:r>
      <w:r w:rsidR="00204B80">
        <w:t>’</w:t>
      </w:r>
      <w:r>
        <w:t xml:space="preserve">s) understanding of the resource characteristics of CFL distributions of this type.  Although they will not displace the unit energy savings </w:t>
      </w:r>
      <w:r w:rsidR="00A048A9">
        <w:t>for purposes of Avista’s Washington I-937 claim, they will be used in program cost-effectiveness analysis, ongoing management of the portfolio and they will inform future revisions in the Company’s Technical Resource Manual.</w:t>
      </w:r>
    </w:p>
    <w:p w:rsidR="00A048A9" w:rsidRDefault="00A048A9" w:rsidP="00A048A9">
      <w:pPr>
        <w:pBdr>
          <w:top w:val="single" w:sz="4" w:space="1" w:color="auto"/>
        </w:pBdr>
        <w:spacing w:line="240" w:lineRule="auto"/>
      </w:pPr>
      <w:r>
        <w:t xml:space="preserve">Distributions of </w:t>
      </w:r>
      <w:r w:rsidR="00B068F5">
        <w:t>CFLs</w:t>
      </w:r>
      <w:r>
        <w:t xml:space="preserve"> to non-residential customers where the 6</w:t>
      </w:r>
      <w:r w:rsidRPr="00A048A9">
        <w:rPr>
          <w:vertAlign w:val="superscript"/>
        </w:rPr>
        <w:t>th</w:t>
      </w:r>
      <w:r>
        <w:t xml:space="preserve"> Plan does not provide defined unit energy savings will be subject to external independent third-party EM&amp;V efforts.  </w:t>
      </w:r>
    </w:p>
    <w:p w:rsidR="00A048A9" w:rsidRDefault="00A048A9" w:rsidP="00A048A9">
      <w:pPr>
        <w:pBdr>
          <w:top w:val="single" w:sz="4" w:space="1" w:color="auto"/>
        </w:pBdr>
        <w:spacing w:line="240" w:lineRule="auto"/>
      </w:pPr>
      <w:r>
        <w:t>It is anticipated that the Company may pursue surveys of recipients of these CFL kits.  This may be part of external third-party impact or process EM&amp;V efforts, or it may be achieved through internal independent EM&amp;V.</w:t>
      </w:r>
      <w:r w:rsidR="000D77CA">
        <w:t xml:space="preserve">  Early internal questions that may be posed as part of that survey effort include: </w:t>
      </w:r>
    </w:p>
    <w:p w:rsidR="000D77CA" w:rsidRDefault="000D77CA" w:rsidP="000D77CA">
      <w:pPr>
        <w:pStyle w:val="ListParagraph"/>
        <w:numPr>
          <w:ilvl w:val="0"/>
          <w:numId w:val="12"/>
        </w:numPr>
        <w:spacing w:after="0" w:line="240" w:lineRule="auto"/>
        <w:contextualSpacing w:val="0"/>
      </w:pPr>
      <w:r>
        <w:t>How quickly did you install the lamps you received in the mail?</w:t>
      </w:r>
    </w:p>
    <w:p w:rsidR="00B068F5" w:rsidRDefault="00B068F5" w:rsidP="000D77CA">
      <w:pPr>
        <w:pStyle w:val="ListParagraph"/>
        <w:numPr>
          <w:ilvl w:val="0"/>
          <w:numId w:val="12"/>
        </w:numPr>
        <w:spacing w:after="0" w:line="240" w:lineRule="auto"/>
        <w:contextualSpacing w:val="0"/>
      </w:pPr>
      <w:r>
        <w:t>Would you be likely to install the rest of the lamps as other lamps within your home burn out?</w:t>
      </w:r>
    </w:p>
    <w:p w:rsidR="000D77CA" w:rsidRDefault="000D77CA" w:rsidP="000D77CA">
      <w:pPr>
        <w:pStyle w:val="ListParagraph"/>
        <w:numPr>
          <w:ilvl w:val="0"/>
          <w:numId w:val="12"/>
        </w:numPr>
        <w:spacing w:after="0" w:line="240" w:lineRule="auto"/>
        <w:contextualSpacing w:val="0"/>
      </w:pPr>
      <w:r>
        <w:t>Where were these lamps installed?  Hours of use in those areas?</w:t>
      </w:r>
    </w:p>
    <w:p w:rsidR="000D77CA" w:rsidRDefault="000D77CA" w:rsidP="000D77CA">
      <w:pPr>
        <w:pStyle w:val="ListParagraph"/>
        <w:numPr>
          <w:ilvl w:val="0"/>
          <w:numId w:val="12"/>
        </w:numPr>
        <w:spacing w:after="0" w:line="240" w:lineRule="auto"/>
        <w:contextualSpacing w:val="0"/>
      </w:pPr>
      <w:r>
        <w:t>What was your impression of the program?</w:t>
      </w:r>
    </w:p>
    <w:p w:rsidR="000D77CA" w:rsidRDefault="000D77CA" w:rsidP="000D77CA">
      <w:pPr>
        <w:pStyle w:val="ListParagraph"/>
        <w:numPr>
          <w:ilvl w:val="0"/>
          <w:numId w:val="12"/>
        </w:numPr>
        <w:spacing w:after="0" w:line="240" w:lineRule="auto"/>
        <w:contextualSpacing w:val="0"/>
      </w:pPr>
      <w:r>
        <w:t xml:space="preserve">What was your satisfaction </w:t>
      </w:r>
      <w:r w:rsidR="00F53B0C">
        <w:t>with</w:t>
      </w:r>
      <w:r>
        <w:t xml:space="preserve"> the quality of the lamps?</w:t>
      </w:r>
    </w:p>
    <w:p w:rsidR="00B068F5" w:rsidRDefault="00B068F5" w:rsidP="000D77CA">
      <w:pPr>
        <w:pStyle w:val="ListParagraph"/>
        <w:numPr>
          <w:ilvl w:val="0"/>
          <w:numId w:val="12"/>
        </w:numPr>
        <w:spacing w:after="0" w:line="240" w:lineRule="auto"/>
        <w:contextualSpacing w:val="0"/>
      </w:pPr>
      <w:r>
        <w:t>Were any of the lamps broken when you received your package?</w:t>
      </w:r>
    </w:p>
    <w:p w:rsidR="00B068F5" w:rsidRDefault="00B068F5" w:rsidP="000D77CA">
      <w:pPr>
        <w:pStyle w:val="ListParagraph"/>
        <w:numPr>
          <w:ilvl w:val="0"/>
          <w:numId w:val="12"/>
        </w:numPr>
        <w:spacing w:after="0" w:line="240" w:lineRule="auto"/>
        <w:contextualSpacing w:val="0"/>
      </w:pPr>
      <w:r>
        <w:t>What was your overall impression of the program?</w:t>
      </w:r>
    </w:p>
    <w:p w:rsidR="00B068F5" w:rsidRDefault="00B068F5" w:rsidP="000D77CA">
      <w:pPr>
        <w:pStyle w:val="ListParagraph"/>
        <w:numPr>
          <w:ilvl w:val="0"/>
          <w:numId w:val="12"/>
        </w:numPr>
        <w:spacing w:after="0" w:line="240" w:lineRule="auto"/>
        <w:contextualSpacing w:val="0"/>
      </w:pPr>
      <w:r>
        <w:t>Were the conservation and CFL recycling tips helpful?  Did you use any of these tips?</w:t>
      </w:r>
    </w:p>
    <w:p w:rsidR="00030C63" w:rsidRDefault="00030C63" w:rsidP="00030C63">
      <w:pPr>
        <w:spacing w:after="0" w:line="240" w:lineRule="auto"/>
      </w:pPr>
    </w:p>
    <w:p w:rsidR="000D77CA" w:rsidRDefault="000D77CA" w:rsidP="0064667F">
      <w:r>
        <w:t xml:space="preserve">Overall cost for M&amp;V effort assuming the more robust survey option, including benchmarking, survey drafting, analysis, and reporting </w:t>
      </w:r>
      <w:r w:rsidR="0064667F">
        <w:t>would be approximately</w:t>
      </w:r>
      <w:r>
        <w:t xml:space="preserve"> $</w:t>
      </w:r>
      <w:r w:rsidR="0064667F">
        <w:t>80,000</w:t>
      </w:r>
      <w:r>
        <w:t xml:space="preserve">.  More robust survey option would include segmenting participants in DSM program </w:t>
      </w:r>
      <w:r w:rsidR="006A4102">
        <w:t>versus</w:t>
      </w:r>
      <w:r>
        <w:t xml:space="preserve"> non-participants to see how results of installation of lamps differ.  Additional segmentation by rural, suburban and urban applications or by jurisdiction may also be incorporated into the evaluation.  Avista’s latest Conservation Potential Assessment (performed by Global Consulting) indicates that only 25% of sockets suitable for </w:t>
      </w:r>
      <w:r w:rsidR="00B068F5">
        <w:t>CFLs</w:t>
      </w:r>
      <w:r>
        <w:t xml:space="preserve"> are currently filled by </w:t>
      </w:r>
      <w:r w:rsidR="00B068F5">
        <w:t>CFLs</w:t>
      </w:r>
      <w:r>
        <w:t>.  The Residential Building Stock Assessment will update and enhance the regions knowledge of the level of saturation, but that information will not be fully available for some years to come.</w:t>
      </w:r>
    </w:p>
    <w:p w:rsidR="00A048A9" w:rsidRPr="004C25BD" w:rsidRDefault="00A048A9" w:rsidP="00C0708D">
      <w:pPr>
        <w:spacing w:line="240" w:lineRule="auto"/>
        <w:ind w:left="2160" w:hanging="2160"/>
        <w:contextualSpacing/>
      </w:pPr>
    </w:p>
    <w:p w:rsidR="00907740" w:rsidRDefault="00C0708D" w:rsidP="00907740">
      <w:pPr>
        <w:pBdr>
          <w:top w:val="single" w:sz="4" w:space="1" w:color="auto"/>
        </w:pBdr>
        <w:spacing w:line="240" w:lineRule="auto"/>
        <w:rPr>
          <w:b/>
          <w:i/>
        </w:rPr>
      </w:pPr>
      <w:r>
        <w:rPr>
          <w:b/>
          <w:i/>
        </w:rPr>
        <w:t>Data Collected to Support Future EM&amp;V</w:t>
      </w:r>
      <w:r w:rsidRPr="00C0708D">
        <w:rPr>
          <w:b/>
          <w:i/>
        </w:rPr>
        <w:t>:</w:t>
      </w:r>
    </w:p>
    <w:p w:rsidR="00A048A9" w:rsidRDefault="00A048A9" w:rsidP="00A048A9">
      <w:pPr>
        <w:pBdr>
          <w:top w:val="single" w:sz="4" w:space="1" w:color="auto"/>
        </w:pBdr>
        <w:spacing w:line="240" w:lineRule="auto"/>
      </w:pPr>
      <w:r>
        <w:t xml:space="preserve">Data collection requirements to support the general EM&amp;V efforts contemplated above are fairly basic.  The Company will track the addresses of customers who have opted-out of the distribution, those who were sent kits, those who returned kits and the reasons for return of the kit.  This will extend to both residential and non-residential applications.  </w:t>
      </w:r>
      <w:r w:rsidR="0064667F">
        <w:br/>
      </w:r>
      <w:r w:rsidR="0064667F">
        <w:br/>
      </w:r>
      <w:r>
        <w:lastRenderedPageBreak/>
        <w:t xml:space="preserve">Based upon this information it should be possible to obtain key information regarding installation rate, location of installation, estimates or measurements of runtime, customer satisfaction, longevity (or, in the near term at least, rates of early failure) and similar factors.  Ultimately the EM&amp;V may not incorporate all of these measurements, but the program will establish the basis for the option to perform these evaluations.   </w:t>
      </w:r>
    </w:p>
    <w:sectPr w:rsidR="00A048A9" w:rsidSect="006777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10FA8"/>
    <w:multiLevelType w:val="hybridMultilevel"/>
    <w:tmpl w:val="BE2055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8D9763F"/>
    <w:multiLevelType w:val="hybridMultilevel"/>
    <w:tmpl w:val="580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B52CD"/>
    <w:multiLevelType w:val="hybridMultilevel"/>
    <w:tmpl w:val="F9AC07C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29F67770"/>
    <w:multiLevelType w:val="hybridMultilevel"/>
    <w:tmpl w:val="75EC6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3F31F5"/>
    <w:multiLevelType w:val="hybridMultilevel"/>
    <w:tmpl w:val="98A45B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0343946"/>
    <w:multiLevelType w:val="hybridMultilevel"/>
    <w:tmpl w:val="FE50D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463547"/>
    <w:multiLevelType w:val="hybridMultilevel"/>
    <w:tmpl w:val="518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6544E1"/>
    <w:multiLevelType w:val="hybridMultilevel"/>
    <w:tmpl w:val="70B08F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527B79B5"/>
    <w:multiLevelType w:val="hybridMultilevel"/>
    <w:tmpl w:val="E2E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1E2E3F"/>
    <w:multiLevelType w:val="hybridMultilevel"/>
    <w:tmpl w:val="B77EF8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6CEA0D83"/>
    <w:multiLevelType w:val="hybridMultilevel"/>
    <w:tmpl w:val="111CA23E"/>
    <w:lvl w:ilvl="0" w:tplc="CD04ACA2">
      <w:start w:val="1"/>
      <w:numFmt w:val="bullet"/>
      <w:lvlText w:val=""/>
      <w:lvlJc w:val="left"/>
      <w:pPr>
        <w:tabs>
          <w:tab w:val="num" w:pos="720"/>
        </w:tabs>
        <w:ind w:left="720" w:hanging="36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1E085F"/>
    <w:multiLevelType w:val="hybridMultilevel"/>
    <w:tmpl w:val="BA6E8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1"/>
  </w:num>
  <w:num w:numId="5">
    <w:abstractNumId w:val="6"/>
  </w:num>
  <w:num w:numId="6">
    <w:abstractNumId w:val="7"/>
  </w:num>
  <w:num w:numId="7">
    <w:abstractNumId w:val="3"/>
  </w:num>
  <w:num w:numId="8">
    <w:abstractNumId w:val="8"/>
  </w:num>
  <w:num w:numId="9">
    <w:abstractNumId w:val="0"/>
  </w:num>
  <w:num w:numId="10">
    <w:abstractNumId w:val="9"/>
  </w:num>
  <w:num w:numId="11">
    <w:abstractNumId w:val="10"/>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65686"/>
    <w:rsid w:val="00030C63"/>
    <w:rsid w:val="000414ED"/>
    <w:rsid w:val="000725E7"/>
    <w:rsid w:val="00074935"/>
    <w:rsid w:val="000A1FD2"/>
    <w:rsid w:val="000A6684"/>
    <w:rsid w:val="000D77CA"/>
    <w:rsid w:val="000E0731"/>
    <w:rsid w:val="001C3C4A"/>
    <w:rsid w:val="001D575C"/>
    <w:rsid w:val="001E4C92"/>
    <w:rsid w:val="001E53E4"/>
    <w:rsid w:val="0020409F"/>
    <w:rsid w:val="00204B80"/>
    <w:rsid w:val="00240AFD"/>
    <w:rsid w:val="00263FF4"/>
    <w:rsid w:val="002A25D1"/>
    <w:rsid w:val="003114D8"/>
    <w:rsid w:val="00312C7D"/>
    <w:rsid w:val="00326545"/>
    <w:rsid w:val="0033720C"/>
    <w:rsid w:val="00345C5E"/>
    <w:rsid w:val="00360D57"/>
    <w:rsid w:val="003C20AD"/>
    <w:rsid w:val="003D3F1F"/>
    <w:rsid w:val="003D634A"/>
    <w:rsid w:val="00403E71"/>
    <w:rsid w:val="00415901"/>
    <w:rsid w:val="0042551E"/>
    <w:rsid w:val="004524A8"/>
    <w:rsid w:val="00464521"/>
    <w:rsid w:val="004830D3"/>
    <w:rsid w:val="004B530C"/>
    <w:rsid w:val="004C25BD"/>
    <w:rsid w:val="004E1FB8"/>
    <w:rsid w:val="00524835"/>
    <w:rsid w:val="00535ED8"/>
    <w:rsid w:val="0054619A"/>
    <w:rsid w:val="00565901"/>
    <w:rsid w:val="005B4942"/>
    <w:rsid w:val="0064667F"/>
    <w:rsid w:val="0067774D"/>
    <w:rsid w:val="006939E2"/>
    <w:rsid w:val="006A4102"/>
    <w:rsid w:val="006A7036"/>
    <w:rsid w:val="006B6110"/>
    <w:rsid w:val="006B79B2"/>
    <w:rsid w:val="006F1978"/>
    <w:rsid w:val="006F3CF5"/>
    <w:rsid w:val="00705263"/>
    <w:rsid w:val="007113B7"/>
    <w:rsid w:val="00727E20"/>
    <w:rsid w:val="007352CA"/>
    <w:rsid w:val="00782406"/>
    <w:rsid w:val="0079067C"/>
    <w:rsid w:val="007B19AC"/>
    <w:rsid w:val="007D0707"/>
    <w:rsid w:val="008074A1"/>
    <w:rsid w:val="0086459C"/>
    <w:rsid w:val="0089757A"/>
    <w:rsid w:val="0090454C"/>
    <w:rsid w:val="00907740"/>
    <w:rsid w:val="00912584"/>
    <w:rsid w:val="009454EC"/>
    <w:rsid w:val="00966354"/>
    <w:rsid w:val="009757F5"/>
    <w:rsid w:val="009C73C6"/>
    <w:rsid w:val="009D756C"/>
    <w:rsid w:val="009E77B3"/>
    <w:rsid w:val="009F1F31"/>
    <w:rsid w:val="00A048A9"/>
    <w:rsid w:val="00A61008"/>
    <w:rsid w:val="00A64CCA"/>
    <w:rsid w:val="00AC1509"/>
    <w:rsid w:val="00B068F5"/>
    <w:rsid w:val="00B17131"/>
    <w:rsid w:val="00B36731"/>
    <w:rsid w:val="00B50D84"/>
    <w:rsid w:val="00B650D3"/>
    <w:rsid w:val="00BB5A1D"/>
    <w:rsid w:val="00BF212E"/>
    <w:rsid w:val="00C0708D"/>
    <w:rsid w:val="00C43DD3"/>
    <w:rsid w:val="00C514B0"/>
    <w:rsid w:val="00C70FAE"/>
    <w:rsid w:val="00C97D07"/>
    <w:rsid w:val="00CB7ABA"/>
    <w:rsid w:val="00CC11A5"/>
    <w:rsid w:val="00DB25E6"/>
    <w:rsid w:val="00E31E80"/>
    <w:rsid w:val="00E61EA2"/>
    <w:rsid w:val="00E62951"/>
    <w:rsid w:val="00E65686"/>
    <w:rsid w:val="00E932AF"/>
    <w:rsid w:val="00EA522D"/>
    <w:rsid w:val="00EE4220"/>
    <w:rsid w:val="00EF47F0"/>
    <w:rsid w:val="00F07733"/>
    <w:rsid w:val="00F31970"/>
    <w:rsid w:val="00F36D16"/>
    <w:rsid w:val="00F47630"/>
    <w:rsid w:val="00F53B0C"/>
    <w:rsid w:val="00F615DA"/>
    <w:rsid w:val="00FA1A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7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4EC"/>
    <w:pPr>
      <w:ind w:left="720"/>
      <w:contextualSpacing/>
    </w:pPr>
  </w:style>
  <w:style w:type="table" w:styleId="TableGrid">
    <w:name w:val="Table Grid"/>
    <w:basedOn w:val="TableNormal"/>
    <w:uiPriority w:val="59"/>
    <w:rsid w:val="009F1F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7B19AC"/>
    <w:pPr>
      <w:spacing w:after="0" w:line="240" w:lineRule="auto"/>
      <w:ind w:right="-270"/>
      <w:jc w:val="both"/>
    </w:pPr>
    <w:rPr>
      <w:rFonts w:ascii="Verdana" w:eastAsia="Times New Roman" w:hAnsi="Verdana" w:cs="Times New Roman"/>
      <w:i/>
      <w:iCs/>
      <w:color w:val="0000FF"/>
      <w:sz w:val="20"/>
      <w:szCs w:val="24"/>
    </w:rPr>
  </w:style>
  <w:style w:type="character" w:customStyle="1" w:styleId="BodyText2Char">
    <w:name w:val="Body Text 2 Char"/>
    <w:basedOn w:val="DefaultParagraphFont"/>
    <w:link w:val="BodyText2"/>
    <w:rsid w:val="007B19AC"/>
    <w:rPr>
      <w:rFonts w:ascii="Verdana" w:eastAsia="Times New Roman" w:hAnsi="Verdana" w:cs="Times New Roman"/>
      <w:i/>
      <w:iCs/>
      <w:color w:val="0000FF"/>
      <w:sz w:val="20"/>
      <w:szCs w:val="24"/>
    </w:rPr>
  </w:style>
</w:styles>
</file>

<file path=word/webSettings.xml><?xml version="1.0" encoding="utf-8"?>
<w:webSettings xmlns:r="http://schemas.openxmlformats.org/officeDocument/2006/relationships" xmlns:w="http://schemas.openxmlformats.org/wordprocessingml/2006/main">
  <w:divs>
    <w:div w:id="339040234">
      <w:bodyDiv w:val="1"/>
      <w:marLeft w:val="0"/>
      <w:marRight w:val="0"/>
      <w:marTop w:val="0"/>
      <w:marBottom w:val="0"/>
      <w:divBdr>
        <w:top w:val="none" w:sz="0" w:space="0" w:color="auto"/>
        <w:left w:val="none" w:sz="0" w:space="0" w:color="auto"/>
        <w:bottom w:val="none" w:sz="0" w:space="0" w:color="auto"/>
        <w:right w:val="none" w:sz="0" w:space="0" w:color="auto"/>
      </w:divBdr>
    </w:div>
    <w:div w:id="636376502">
      <w:bodyDiv w:val="1"/>
      <w:marLeft w:val="0"/>
      <w:marRight w:val="0"/>
      <w:marTop w:val="0"/>
      <w:marBottom w:val="0"/>
      <w:divBdr>
        <w:top w:val="none" w:sz="0" w:space="0" w:color="auto"/>
        <w:left w:val="none" w:sz="0" w:space="0" w:color="auto"/>
        <w:bottom w:val="none" w:sz="0" w:space="0" w:color="auto"/>
        <w:right w:val="none" w:sz="0" w:space="0" w:color="auto"/>
      </w:divBdr>
    </w:div>
    <w:div w:id="760757796">
      <w:bodyDiv w:val="1"/>
      <w:marLeft w:val="0"/>
      <w:marRight w:val="0"/>
      <w:marTop w:val="0"/>
      <w:marBottom w:val="0"/>
      <w:divBdr>
        <w:top w:val="none" w:sz="0" w:space="0" w:color="auto"/>
        <w:left w:val="none" w:sz="0" w:space="0" w:color="auto"/>
        <w:bottom w:val="none" w:sz="0" w:space="0" w:color="auto"/>
        <w:right w:val="none" w:sz="0" w:space="0" w:color="auto"/>
      </w:divBdr>
    </w:div>
    <w:div w:id="920262455">
      <w:bodyDiv w:val="1"/>
      <w:marLeft w:val="0"/>
      <w:marRight w:val="0"/>
      <w:marTop w:val="0"/>
      <w:marBottom w:val="0"/>
      <w:divBdr>
        <w:top w:val="none" w:sz="0" w:space="0" w:color="auto"/>
        <w:left w:val="none" w:sz="0" w:space="0" w:color="auto"/>
        <w:bottom w:val="none" w:sz="0" w:space="0" w:color="auto"/>
        <w:right w:val="none" w:sz="0" w:space="0" w:color="auto"/>
      </w:divBdr>
    </w:div>
    <w:div w:id="969361157">
      <w:bodyDiv w:val="1"/>
      <w:marLeft w:val="0"/>
      <w:marRight w:val="0"/>
      <w:marTop w:val="0"/>
      <w:marBottom w:val="0"/>
      <w:divBdr>
        <w:top w:val="none" w:sz="0" w:space="0" w:color="auto"/>
        <w:left w:val="none" w:sz="0" w:space="0" w:color="auto"/>
        <w:bottom w:val="none" w:sz="0" w:space="0" w:color="auto"/>
        <w:right w:val="none" w:sz="0" w:space="0" w:color="auto"/>
      </w:divBdr>
    </w:div>
    <w:div w:id="1597471439">
      <w:bodyDiv w:val="1"/>
      <w:marLeft w:val="0"/>
      <w:marRight w:val="0"/>
      <w:marTop w:val="0"/>
      <w:marBottom w:val="0"/>
      <w:divBdr>
        <w:top w:val="none" w:sz="0" w:space="0" w:color="auto"/>
        <w:left w:val="none" w:sz="0" w:space="0" w:color="auto"/>
        <w:bottom w:val="none" w:sz="0" w:space="0" w:color="auto"/>
        <w:right w:val="none" w:sz="0" w:space="0" w:color="auto"/>
      </w:divBdr>
    </w:div>
    <w:div w:id="1611086892">
      <w:bodyDiv w:val="1"/>
      <w:marLeft w:val="0"/>
      <w:marRight w:val="0"/>
      <w:marTop w:val="0"/>
      <w:marBottom w:val="0"/>
      <w:divBdr>
        <w:top w:val="none" w:sz="0" w:space="0" w:color="auto"/>
        <w:left w:val="none" w:sz="0" w:space="0" w:color="auto"/>
        <w:bottom w:val="none" w:sz="0" w:space="0" w:color="auto"/>
        <w:right w:val="none" w:sz="0" w:space="0" w:color="auto"/>
      </w:divBdr>
    </w:div>
    <w:div w:id="1802455058">
      <w:bodyDiv w:val="1"/>
      <w:marLeft w:val="0"/>
      <w:marRight w:val="0"/>
      <w:marTop w:val="0"/>
      <w:marBottom w:val="0"/>
      <w:divBdr>
        <w:top w:val="none" w:sz="0" w:space="0" w:color="auto"/>
        <w:left w:val="none" w:sz="0" w:space="0" w:color="auto"/>
        <w:bottom w:val="none" w:sz="0" w:space="0" w:color="auto"/>
        <w:right w:val="none" w:sz="0" w:space="0" w:color="auto"/>
      </w:divBdr>
    </w:div>
    <w:div w:id="1847941029">
      <w:bodyDiv w:val="1"/>
      <w:marLeft w:val="0"/>
      <w:marRight w:val="0"/>
      <w:marTop w:val="0"/>
      <w:marBottom w:val="0"/>
      <w:divBdr>
        <w:top w:val="none" w:sz="0" w:space="0" w:color="auto"/>
        <w:left w:val="none" w:sz="0" w:space="0" w:color="auto"/>
        <w:bottom w:val="none" w:sz="0" w:space="0" w:color="auto"/>
        <w:right w:val="none" w:sz="0" w:space="0" w:color="auto"/>
      </w:divBdr>
    </w:div>
    <w:div w:id="189177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2011-06-22T07:00:00+00:00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6210E-0E71-4560-9718-6EB039512357}"/>
</file>

<file path=customXml/itemProps2.xml><?xml version="1.0" encoding="utf-8"?>
<ds:datastoreItem xmlns:ds="http://schemas.openxmlformats.org/officeDocument/2006/customXml" ds:itemID="{004B3B43-2F14-4A0F-AE0F-8E79EB34F9F0}"/>
</file>

<file path=customXml/itemProps3.xml><?xml version="1.0" encoding="utf-8"?>
<ds:datastoreItem xmlns:ds="http://schemas.openxmlformats.org/officeDocument/2006/customXml" ds:itemID="{33DF6160-3AD3-428D-9F78-6C1926D0C159}"/>
</file>

<file path=customXml/itemProps4.xml><?xml version="1.0" encoding="utf-8"?>
<ds:datastoreItem xmlns:ds="http://schemas.openxmlformats.org/officeDocument/2006/customXml" ds:itemID="{C6EC7DB3-C2CB-4985-92F1-0354D941EEDB}"/>
</file>

<file path=customXml/itemProps5.xml><?xml version="1.0" encoding="utf-8"?>
<ds:datastoreItem xmlns:ds="http://schemas.openxmlformats.org/officeDocument/2006/customXml" ds:itemID="{3FDA8187-A66E-4A14-8B90-36765B8BEDD8}"/>
</file>

<file path=docProps/app.xml><?xml version="1.0" encoding="utf-8"?>
<Properties xmlns="http://schemas.openxmlformats.org/officeDocument/2006/extended-properties" xmlns:vt="http://schemas.openxmlformats.org/officeDocument/2006/docPropsVTypes">
  <Template>Normal.dotm</Template>
  <TotalTime>1</TotalTime>
  <Pages>5</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11901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dc:description/>
  <cp:lastModifiedBy>Linda Gervais</cp:lastModifiedBy>
  <cp:revision>2</cp:revision>
  <cp:lastPrinted>2011-06-21T18:18:00Z</cp:lastPrinted>
  <dcterms:created xsi:type="dcterms:W3CDTF">2011-06-22T20:41:00Z</dcterms:created>
  <dcterms:modified xsi:type="dcterms:W3CDTF">2011-06-22T20:41:00Z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_docset_NoMedatataSyncRequired">
    <vt:lpwstr>False</vt:lpwstr>
  </property>
</Properties>
</file>