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EB4" w:rsidRDefault="005A4EB4" w:rsidP="009C71F2">
      <w:pPr>
        <w:pStyle w:val="Title"/>
        <w:ind w:right="-360"/>
        <w:jc w:val="left"/>
        <w:rPr>
          <w:rFonts w:ascii="Times New Roman" w:hAnsi="Times New Roman"/>
          <w:b w:val="0"/>
        </w:rPr>
      </w:pPr>
    </w:p>
    <w:p w:rsidR="00B62A29" w:rsidRDefault="00B62A29" w:rsidP="009C71F2">
      <w:pPr>
        <w:pStyle w:val="Title"/>
        <w:ind w:right="-360"/>
        <w:jc w:val="left"/>
        <w:rPr>
          <w:rFonts w:ascii="Times New Roman" w:hAnsi="Times New Roman"/>
          <w:b w:val="0"/>
        </w:rPr>
      </w:pPr>
    </w:p>
    <w:p w:rsidR="005A4EB4" w:rsidRDefault="005A4EB4" w:rsidP="009C71F2">
      <w:pPr>
        <w:pStyle w:val="Title"/>
        <w:ind w:right="-360"/>
        <w:jc w:val="left"/>
        <w:rPr>
          <w:rFonts w:ascii="Times New Roman" w:hAnsi="Times New Roman"/>
          <w:b w:val="0"/>
        </w:rPr>
      </w:pPr>
    </w:p>
    <w:p w:rsidR="005A4EB4" w:rsidRDefault="005A4EB4" w:rsidP="009C71F2">
      <w:pPr>
        <w:pStyle w:val="Title"/>
        <w:ind w:right="-360"/>
        <w:jc w:val="left"/>
        <w:rPr>
          <w:rFonts w:ascii="Times New Roman" w:hAnsi="Times New Roman"/>
          <w:b w:val="0"/>
        </w:rPr>
      </w:pPr>
    </w:p>
    <w:p w:rsidR="005A4EB4" w:rsidRDefault="005A4EB4" w:rsidP="009C71F2">
      <w:pPr>
        <w:pStyle w:val="Title"/>
        <w:ind w:right="-360"/>
        <w:jc w:val="left"/>
        <w:rPr>
          <w:rFonts w:ascii="Times New Roman" w:hAnsi="Times New Roman"/>
          <w:b w:val="0"/>
        </w:rPr>
      </w:pPr>
    </w:p>
    <w:p w:rsidR="005A4EB4" w:rsidRPr="00D276C3" w:rsidRDefault="005A4EB4" w:rsidP="00784E4D">
      <w:pPr>
        <w:pStyle w:val="Title"/>
        <w:ind w:right="-360" w:hanging="360"/>
        <w:rPr>
          <w:rFonts w:ascii="Times New Roman" w:hAnsi="Times New Roman"/>
          <w:b w:val="0"/>
        </w:rPr>
      </w:pPr>
      <w:r w:rsidRPr="00D276C3">
        <w:rPr>
          <w:rFonts w:ascii="Times New Roman" w:hAnsi="Times New Roman"/>
          <w:b w:val="0"/>
        </w:rPr>
        <w:t xml:space="preserve">BEFORE THE </w:t>
      </w:r>
      <w:smartTag w:uri="urn:schemas-microsoft-com:office:smarttags" w:element="place">
        <w:smartTag w:uri="urn:schemas-microsoft-com:office:smarttags" w:element="PlaceName">
          <w:r w:rsidRPr="00D276C3">
            <w:rPr>
              <w:rFonts w:ascii="Times New Roman" w:hAnsi="Times New Roman"/>
              <w:b w:val="0"/>
            </w:rPr>
            <w:t>WASHINGTON</w:t>
          </w:r>
        </w:smartTag>
        <w:r w:rsidRPr="00D276C3">
          <w:rPr>
            <w:rFonts w:ascii="Times New Roman" w:hAnsi="Times New Roman"/>
            <w:b w:val="0"/>
          </w:rPr>
          <w:t xml:space="preserve"> </w:t>
        </w:r>
        <w:smartTag w:uri="urn:schemas-microsoft-com:office:smarttags" w:element="PlaceType">
          <w:r w:rsidRPr="00D276C3">
            <w:rPr>
              <w:rFonts w:ascii="Times New Roman" w:hAnsi="Times New Roman"/>
              <w:b w:val="0"/>
            </w:rPr>
            <w:t>STATE</w:t>
          </w:r>
        </w:smartTag>
      </w:smartTag>
      <w:r>
        <w:rPr>
          <w:rFonts w:ascii="Times New Roman" w:hAnsi="Times New Roman"/>
          <w:b w:val="0"/>
        </w:rPr>
        <w:t xml:space="preserve"> </w:t>
      </w:r>
      <w:r w:rsidRPr="00D276C3">
        <w:rPr>
          <w:rFonts w:ascii="Times New Roman" w:hAnsi="Times New Roman"/>
          <w:b w:val="0"/>
        </w:rPr>
        <w:t>UTILITIES AND TRANSPORTATION COMMISSION</w:t>
      </w:r>
    </w:p>
    <w:p w:rsidR="005A4EB4" w:rsidRPr="004A2910" w:rsidRDefault="005A4EB4" w:rsidP="00784E4D">
      <w:pPr>
        <w:jc w:val="both"/>
      </w:pPr>
    </w:p>
    <w:tbl>
      <w:tblPr>
        <w:tblW w:w="0" w:type="auto"/>
        <w:tblInd w:w="124" w:type="dxa"/>
        <w:tblLayout w:type="fixed"/>
        <w:tblCellMar>
          <w:left w:w="124" w:type="dxa"/>
          <w:right w:w="124" w:type="dxa"/>
        </w:tblCellMar>
        <w:tblLook w:val="0000"/>
      </w:tblPr>
      <w:tblGrid>
        <w:gridCol w:w="4590"/>
        <w:gridCol w:w="4590"/>
      </w:tblGrid>
      <w:tr w:rsidR="005A4EB4" w:rsidRPr="00DB4C18" w:rsidTr="00F55BBF">
        <w:tc>
          <w:tcPr>
            <w:tcW w:w="4590" w:type="dxa"/>
            <w:tcBorders>
              <w:top w:val="single" w:sz="6" w:space="0" w:color="FFFFFF"/>
              <w:left w:val="single" w:sz="6" w:space="0" w:color="FFFFFF"/>
              <w:bottom w:val="single" w:sz="6" w:space="0" w:color="000000"/>
              <w:right w:val="single" w:sz="6" w:space="0" w:color="FFFFFF"/>
            </w:tcBorders>
          </w:tcPr>
          <w:p w:rsidR="005A4EB4" w:rsidRPr="00DB4C18" w:rsidRDefault="005A4EB4" w:rsidP="00F55BBF">
            <w:pPr>
              <w:tabs>
                <w:tab w:val="left" w:pos="2160"/>
              </w:tabs>
              <w:rPr>
                <w:bCs/>
                <w:sz w:val="25"/>
                <w:szCs w:val="25"/>
              </w:rPr>
            </w:pPr>
            <w:r w:rsidRPr="00DB4C18">
              <w:rPr>
                <w:bCs/>
                <w:sz w:val="25"/>
                <w:szCs w:val="25"/>
              </w:rPr>
              <w:t>KENNETH L. BINKLEY,</w:t>
            </w:r>
          </w:p>
          <w:p w:rsidR="005A4EB4" w:rsidRPr="00DB4C18" w:rsidRDefault="005A4EB4" w:rsidP="00F55BBF">
            <w:pPr>
              <w:tabs>
                <w:tab w:val="left" w:pos="2160"/>
              </w:tabs>
              <w:rPr>
                <w:bCs/>
                <w:sz w:val="25"/>
                <w:szCs w:val="25"/>
              </w:rPr>
            </w:pPr>
          </w:p>
          <w:p w:rsidR="005A4EB4" w:rsidRPr="00DB4C18" w:rsidRDefault="005A4EB4" w:rsidP="00F55BBF">
            <w:pPr>
              <w:tabs>
                <w:tab w:val="left" w:pos="2160"/>
              </w:tabs>
              <w:rPr>
                <w:bCs/>
                <w:sz w:val="25"/>
                <w:szCs w:val="25"/>
              </w:rPr>
            </w:pPr>
            <w:r w:rsidRPr="00DB4C18">
              <w:rPr>
                <w:bCs/>
                <w:sz w:val="25"/>
                <w:szCs w:val="25"/>
              </w:rPr>
              <w:tab/>
              <w:t>Complainant,</w:t>
            </w:r>
          </w:p>
          <w:p w:rsidR="005A4EB4" w:rsidRPr="00DB4C18" w:rsidRDefault="005A4EB4" w:rsidP="00F55BBF">
            <w:pPr>
              <w:tabs>
                <w:tab w:val="left" w:pos="2160"/>
              </w:tabs>
              <w:rPr>
                <w:sz w:val="25"/>
                <w:szCs w:val="25"/>
              </w:rPr>
            </w:pPr>
          </w:p>
          <w:p w:rsidR="005A4EB4" w:rsidRPr="00DB4C18" w:rsidRDefault="005A4EB4" w:rsidP="00F55BBF">
            <w:pPr>
              <w:tabs>
                <w:tab w:val="left" w:pos="2160"/>
              </w:tabs>
              <w:rPr>
                <w:sz w:val="25"/>
                <w:szCs w:val="25"/>
              </w:rPr>
            </w:pPr>
            <w:r w:rsidRPr="00DB4C18">
              <w:rPr>
                <w:sz w:val="25"/>
                <w:szCs w:val="25"/>
              </w:rPr>
              <w:t>v.</w:t>
            </w:r>
          </w:p>
          <w:p w:rsidR="005A4EB4" w:rsidRPr="00DB4C18" w:rsidRDefault="005A4EB4" w:rsidP="00F55BBF">
            <w:pPr>
              <w:tabs>
                <w:tab w:val="left" w:pos="2160"/>
              </w:tabs>
              <w:rPr>
                <w:sz w:val="25"/>
                <w:szCs w:val="25"/>
              </w:rPr>
            </w:pPr>
          </w:p>
          <w:p w:rsidR="005A4EB4" w:rsidRPr="00DB4C18" w:rsidRDefault="005A4EB4" w:rsidP="00F55BBF">
            <w:pPr>
              <w:tabs>
                <w:tab w:val="left" w:pos="2160"/>
              </w:tabs>
              <w:rPr>
                <w:sz w:val="25"/>
                <w:szCs w:val="25"/>
              </w:rPr>
            </w:pPr>
            <w:smartTag w:uri="urn:schemas-microsoft-com:office:smarttags" w:element="place">
              <w:smartTag w:uri="urn:schemas-microsoft-com:office:smarttags" w:element="PlaceName">
                <w:r w:rsidRPr="00DB4C18">
                  <w:rPr>
                    <w:sz w:val="25"/>
                    <w:szCs w:val="25"/>
                  </w:rPr>
                  <w:t>SALMON</w:t>
                </w:r>
              </w:smartTag>
              <w:r w:rsidRPr="00DB4C18">
                <w:rPr>
                  <w:sz w:val="25"/>
                  <w:szCs w:val="25"/>
                </w:rPr>
                <w:t xml:space="preserve"> </w:t>
              </w:r>
              <w:smartTag w:uri="urn:schemas-microsoft-com:office:smarttags" w:element="PlaceType">
                <w:r w:rsidRPr="00DB4C18">
                  <w:rPr>
                    <w:sz w:val="25"/>
                    <w:szCs w:val="25"/>
                  </w:rPr>
                  <w:t>SHORES</w:t>
                </w:r>
              </w:smartTag>
            </w:smartTag>
            <w:r w:rsidRPr="00DB4C18">
              <w:rPr>
                <w:sz w:val="25"/>
                <w:szCs w:val="25"/>
              </w:rPr>
              <w:t xml:space="preserve"> RV PARK and PUGET SOUND ENERGY, INC.,</w:t>
            </w:r>
          </w:p>
          <w:p w:rsidR="005A4EB4" w:rsidRPr="00DB4C18" w:rsidRDefault="005A4EB4" w:rsidP="00F55BBF">
            <w:pPr>
              <w:tabs>
                <w:tab w:val="left" w:pos="2160"/>
              </w:tabs>
              <w:rPr>
                <w:sz w:val="25"/>
                <w:szCs w:val="25"/>
              </w:rPr>
            </w:pPr>
          </w:p>
          <w:p w:rsidR="005A4EB4" w:rsidRPr="00DB4C18" w:rsidRDefault="005A4EB4" w:rsidP="00F55BBF">
            <w:pPr>
              <w:tabs>
                <w:tab w:val="left" w:pos="2160"/>
              </w:tabs>
              <w:rPr>
                <w:sz w:val="25"/>
                <w:szCs w:val="25"/>
              </w:rPr>
            </w:pPr>
            <w:r w:rsidRPr="00DB4C18">
              <w:rPr>
                <w:sz w:val="25"/>
                <w:szCs w:val="25"/>
              </w:rPr>
              <w:tab/>
              <w:t>Respondents</w:t>
            </w:r>
            <w:r w:rsidRPr="00DB4C18">
              <w:t>.</w:t>
            </w:r>
          </w:p>
        </w:tc>
        <w:tc>
          <w:tcPr>
            <w:tcW w:w="4590" w:type="dxa"/>
            <w:tcBorders>
              <w:top w:val="single" w:sz="6" w:space="0" w:color="FFFFFF"/>
              <w:left w:val="single" w:sz="6" w:space="0" w:color="000000"/>
              <w:bottom w:val="single" w:sz="6" w:space="0" w:color="FFFFFF"/>
              <w:right w:val="single" w:sz="6" w:space="0" w:color="FFFFFF"/>
            </w:tcBorders>
          </w:tcPr>
          <w:p w:rsidR="005A4EB4" w:rsidRPr="00DB4C18" w:rsidRDefault="005A4EB4" w:rsidP="00F55BBF">
            <w:pPr>
              <w:ind w:left="416"/>
            </w:pPr>
            <w:r w:rsidRPr="00DB4C18">
              <w:t>DOCKET UE-091531</w:t>
            </w:r>
          </w:p>
          <w:p w:rsidR="005A4EB4" w:rsidRPr="00DB4C18" w:rsidRDefault="005A4EB4" w:rsidP="00F55BBF">
            <w:pPr>
              <w:ind w:left="416"/>
            </w:pPr>
          </w:p>
          <w:p w:rsidR="005A4EB4" w:rsidRPr="00DB4C18" w:rsidRDefault="005A4EB4" w:rsidP="00F55BBF">
            <w:pPr>
              <w:ind w:left="416"/>
            </w:pPr>
          </w:p>
          <w:p w:rsidR="005A4EB4" w:rsidRPr="00DB4C18" w:rsidRDefault="005A4EB4" w:rsidP="00F55BBF">
            <w:pPr>
              <w:ind w:left="416"/>
            </w:pPr>
            <w:r w:rsidRPr="00DB4C18">
              <w:t xml:space="preserve">COMMISSION STAFF’S RESPONSE TO </w:t>
            </w:r>
            <w:smartTag w:uri="urn:schemas-microsoft-com:office:smarttags" w:element="place">
              <w:r w:rsidRPr="00DB4C18">
                <w:t>PUGET SOUND</w:t>
              </w:r>
            </w:smartTag>
            <w:r w:rsidRPr="00DB4C18">
              <w:t xml:space="preserve"> ENERGY’S MOTION FOR SUMMARY DETERMINATION </w:t>
            </w:r>
          </w:p>
          <w:p w:rsidR="005A4EB4" w:rsidRPr="00DB4C18" w:rsidRDefault="005A4EB4" w:rsidP="00F55BBF">
            <w:pPr>
              <w:ind w:left="720"/>
            </w:pPr>
          </w:p>
        </w:tc>
      </w:tr>
    </w:tbl>
    <w:p w:rsidR="005A4EB4" w:rsidRDefault="005A4EB4" w:rsidP="00784E4D">
      <w:pPr>
        <w:spacing w:line="480" w:lineRule="auto"/>
      </w:pPr>
    </w:p>
    <w:p w:rsidR="005A4EB4" w:rsidRPr="005F239C" w:rsidRDefault="005F239C" w:rsidP="00612AA3">
      <w:pPr>
        <w:pStyle w:val="ListParagraph"/>
        <w:numPr>
          <w:ilvl w:val="0"/>
          <w:numId w:val="6"/>
        </w:numPr>
        <w:spacing w:line="480" w:lineRule="auto"/>
        <w:jc w:val="center"/>
        <w:rPr>
          <w:b/>
        </w:rPr>
      </w:pPr>
      <w:r w:rsidRPr="005F239C">
        <w:rPr>
          <w:b/>
        </w:rPr>
        <w:t>NATURE OF PSE’S MOTION</w:t>
      </w:r>
    </w:p>
    <w:p w:rsidR="005A4EB4" w:rsidRDefault="005A4EB4" w:rsidP="009C71F2">
      <w:pPr>
        <w:pStyle w:val="ListParagraph"/>
        <w:numPr>
          <w:ilvl w:val="0"/>
          <w:numId w:val="1"/>
        </w:numPr>
        <w:spacing w:line="480" w:lineRule="auto"/>
        <w:ind w:left="0"/>
      </w:pPr>
      <w:r>
        <w:tab/>
        <w:t>Puget Sound Energy, Inc.’s (PSE) Motion for Summary Determination dated April 14, 2010</w:t>
      </w:r>
      <w:r w:rsidR="00F831EE">
        <w:t>,</w:t>
      </w:r>
      <w:r>
        <w:t xml:space="preserve"> (Motion) </w:t>
      </w:r>
      <w:r w:rsidR="00F831EE">
        <w:t>requests</w:t>
      </w:r>
      <w:r>
        <w:t xml:space="preserve"> the Commission to dismiss the Consumer Complaint (Complaint) as to PSE. </w:t>
      </w:r>
    </w:p>
    <w:p w:rsidR="005A4EB4" w:rsidRDefault="005A4EB4" w:rsidP="009C71F2">
      <w:pPr>
        <w:pStyle w:val="ListParagraph"/>
        <w:numPr>
          <w:ilvl w:val="0"/>
          <w:numId w:val="1"/>
        </w:numPr>
        <w:spacing w:line="480" w:lineRule="auto"/>
        <w:ind w:left="0"/>
      </w:pPr>
      <w:r>
        <w:tab/>
        <w:t xml:space="preserve">PSE argues:  (1) the Complaint does not allege PSE violated any statutes or rules of the Washington Utilities and Transportation Commission (Commission); (2) after PSE became aware of the matter, Salmon Shores changed its practices, and thereafter has not been engaged in reselling electricity in violation of PSE’s tariff; and therefore (3) the Commission should dismiss the Complaint as to PSE. </w:t>
      </w:r>
    </w:p>
    <w:p w:rsidR="008A3530" w:rsidRDefault="005A4EB4" w:rsidP="009C71F2">
      <w:pPr>
        <w:pStyle w:val="ListParagraph"/>
        <w:numPr>
          <w:ilvl w:val="0"/>
          <w:numId w:val="1"/>
        </w:numPr>
        <w:spacing w:line="480" w:lineRule="auto"/>
        <w:ind w:left="0"/>
      </w:pPr>
      <w:r>
        <w:tab/>
        <w:t xml:space="preserve">In this Response, Staff </w:t>
      </w:r>
      <w:r w:rsidR="008A3530">
        <w:t xml:space="preserve">agrees with PSE that it is permissible for Salmon Shores </w:t>
      </w:r>
      <w:r w:rsidR="002D69D8">
        <w:t>to</w:t>
      </w:r>
      <w:r w:rsidR="00184437">
        <w:t xml:space="preserve"> </w:t>
      </w:r>
      <w:r w:rsidR="008A3530">
        <w:t xml:space="preserve">charge its tenants kWh usage based on the average PSE rate.  However, Staff disagrees with PSE that the Commission should ignore Salmon Shores’ use of the “Energy Availability Charge” (EAC) </w:t>
      </w:r>
      <w:r w:rsidR="00194DDA">
        <w:t xml:space="preserve">on the basis that </w:t>
      </w:r>
      <w:r w:rsidR="008A3530">
        <w:t xml:space="preserve">it is not </w:t>
      </w:r>
      <w:r w:rsidR="00735ED1">
        <w:t xml:space="preserve">a </w:t>
      </w:r>
      <w:r w:rsidR="008A3530">
        <w:t>kWh</w:t>
      </w:r>
      <w:r w:rsidR="00735ED1">
        <w:t>-based charge</w:t>
      </w:r>
      <w:r w:rsidR="008A3530">
        <w:t>.  In Staff’s view, the EAC is a charge for electricity and should be considered</w:t>
      </w:r>
      <w:r w:rsidR="00194DDA">
        <w:t xml:space="preserve"> as such</w:t>
      </w:r>
      <w:r w:rsidR="008A3530">
        <w:t xml:space="preserve">.  </w:t>
      </w:r>
    </w:p>
    <w:p w:rsidR="00735ED1" w:rsidRDefault="008A3530" w:rsidP="008A3530">
      <w:pPr>
        <w:pStyle w:val="ListParagraph"/>
        <w:numPr>
          <w:ilvl w:val="0"/>
          <w:numId w:val="1"/>
        </w:numPr>
        <w:spacing w:line="480" w:lineRule="auto"/>
        <w:ind w:left="0"/>
      </w:pPr>
      <w:r>
        <w:lastRenderedPageBreak/>
        <w:tab/>
        <w:t xml:space="preserve">In the end, Staff argues that the EAC is permissible if it charges on a per capita basis for common area usage of electricity.  However, </w:t>
      </w:r>
      <w:r w:rsidR="00A929C4">
        <w:t>EAC, as</w:t>
      </w:r>
      <w:r w:rsidR="00194DDA">
        <w:t xml:space="preserve"> currently calculated by Salmon Shores, </w:t>
      </w:r>
      <w:r>
        <w:t xml:space="preserve">also charges for each tenant’s individual metered usage on a per capita basis.  Unless and until Salmon Shores eliminates </w:t>
      </w:r>
      <w:r w:rsidR="00A929C4">
        <w:t xml:space="preserve">the EAC or changes how it calculates the </w:t>
      </w:r>
      <w:r>
        <w:t xml:space="preserve">EAC, </w:t>
      </w:r>
      <w:r w:rsidR="00437D02">
        <w:t xml:space="preserve">or recovers its electricity cost through rents, </w:t>
      </w:r>
      <w:r>
        <w:t>Salmon Shores is in technical violation of PSE’s tariff.</w:t>
      </w:r>
      <w:r w:rsidDel="008A3530">
        <w:t xml:space="preserve"> </w:t>
      </w:r>
      <w:r w:rsidR="00194DDA">
        <w:t xml:space="preserve"> If Salmon Shores takes corrective action, PSE should not disconnect Salmon Shores.</w:t>
      </w:r>
    </w:p>
    <w:p w:rsidR="005A4EB4" w:rsidRDefault="00735ED1" w:rsidP="008A3530">
      <w:pPr>
        <w:pStyle w:val="ListParagraph"/>
        <w:numPr>
          <w:ilvl w:val="0"/>
          <w:numId w:val="1"/>
        </w:numPr>
        <w:spacing w:line="480" w:lineRule="auto"/>
        <w:ind w:left="0"/>
      </w:pPr>
      <w:r>
        <w:tab/>
        <w:t>S</w:t>
      </w:r>
      <w:r w:rsidR="00194DDA">
        <w:t xml:space="preserve">taff recommends </w:t>
      </w:r>
      <w:r>
        <w:t xml:space="preserve">if the </w:t>
      </w:r>
      <w:r w:rsidR="00A929C4">
        <w:t xml:space="preserve">Commission </w:t>
      </w:r>
      <w:r>
        <w:t xml:space="preserve">finds PSE violated its tariff, the Commission should </w:t>
      </w:r>
      <w:r w:rsidR="00194DDA">
        <w:t>no</w:t>
      </w:r>
      <w:r w:rsidR="00A929C4">
        <w:t xml:space="preserve">t issue a </w:t>
      </w:r>
      <w:r w:rsidR="00194DDA">
        <w:t>penalty against PSE.</w:t>
      </w:r>
      <w:r w:rsidR="002F2B7B">
        <w:t xml:space="preserve">  </w:t>
      </w:r>
      <w:r w:rsidR="00A929C4">
        <w:t>Staff recommends no remedy to Mr. Binkley from Salmon Shores, because</w:t>
      </w:r>
      <w:r w:rsidR="00B75280">
        <w:t xml:space="preserve"> the Commission does not regulate </w:t>
      </w:r>
      <w:r w:rsidR="00A929C4">
        <w:t xml:space="preserve">Salmon Shores or Salmon Shores’ </w:t>
      </w:r>
      <w:r w:rsidR="00B75280">
        <w:t>relationship</w:t>
      </w:r>
      <w:r w:rsidR="00A929C4">
        <w:t xml:space="preserve"> with Mr. Binkley</w:t>
      </w:r>
      <w:r w:rsidR="00B75280">
        <w:t>.</w:t>
      </w:r>
    </w:p>
    <w:p w:rsidR="005A4EB4" w:rsidRDefault="005A4EB4" w:rsidP="009C71F2">
      <w:pPr>
        <w:pStyle w:val="ListParagraph"/>
        <w:numPr>
          <w:ilvl w:val="0"/>
          <w:numId w:val="1"/>
        </w:numPr>
        <w:spacing w:line="480" w:lineRule="auto"/>
        <w:ind w:left="0"/>
      </w:pPr>
      <w:r>
        <w:tab/>
        <w:t>Staff also requests the Commission to order PSE to file tariff revisions within 90 days of the final order in this docket, that define the term “resold” in Schedule 80, Sheet 80b</w:t>
      </w:r>
      <w:r w:rsidR="002F2B7B">
        <w:t>, to</w:t>
      </w:r>
      <w:r>
        <w:t xml:space="preserve"> provide the Commission a vehicle for consideration of the resale issue in a more comprehensive way.</w:t>
      </w:r>
    </w:p>
    <w:p w:rsidR="005A4EB4" w:rsidRPr="00612AA3" w:rsidRDefault="005F239C" w:rsidP="00612AA3">
      <w:pPr>
        <w:pStyle w:val="ListParagraph"/>
        <w:numPr>
          <w:ilvl w:val="0"/>
          <w:numId w:val="6"/>
        </w:numPr>
        <w:spacing w:line="480" w:lineRule="auto"/>
        <w:jc w:val="center"/>
        <w:rPr>
          <w:b/>
        </w:rPr>
      </w:pPr>
      <w:r w:rsidRPr="00612AA3">
        <w:rPr>
          <w:b/>
        </w:rPr>
        <w:t>RULES AND TARIFF PROVISIONS AT ISSUE</w:t>
      </w:r>
    </w:p>
    <w:p w:rsidR="005A4EB4" w:rsidRDefault="005A4EB4" w:rsidP="009C71F2">
      <w:pPr>
        <w:pStyle w:val="ListParagraph"/>
        <w:numPr>
          <w:ilvl w:val="0"/>
          <w:numId w:val="1"/>
        </w:numPr>
        <w:spacing w:line="480" w:lineRule="auto"/>
        <w:ind w:left="0"/>
      </w:pPr>
      <w:r>
        <w:tab/>
        <w:t>WAC 480-100-108(5) states:  “A customer may not resell electricity unless specifically authorized in the utility</w:t>
      </w:r>
      <w:r w:rsidR="00F831EE">
        <w:t>’</w:t>
      </w:r>
      <w:r>
        <w:t>s tariff.”  Commission rules do not define the term “resell” or similar terms.</w:t>
      </w:r>
    </w:p>
    <w:p w:rsidR="005A4EB4" w:rsidRDefault="005A4EB4" w:rsidP="009C71F2">
      <w:pPr>
        <w:pStyle w:val="ListParagraph"/>
        <w:numPr>
          <w:ilvl w:val="0"/>
          <w:numId w:val="1"/>
        </w:numPr>
        <w:spacing w:line="480" w:lineRule="auto"/>
        <w:ind w:left="0"/>
      </w:pPr>
      <w:r>
        <w:tab/>
        <w:t xml:space="preserve">PSE’s </w:t>
      </w:r>
      <w:r w:rsidR="00A929C4">
        <w:t xml:space="preserve">tariff </w:t>
      </w:r>
      <w:r>
        <w:t>states:  “Service shall not be resold unless specifically authorized by the applicable rate schedule.”</w:t>
      </w:r>
      <w:r>
        <w:rPr>
          <w:rStyle w:val="FootnoteReference"/>
        </w:rPr>
        <w:footnoteReference w:id="1"/>
      </w:r>
      <w:r>
        <w:t xml:space="preserve">  PSE’s tariff does not define the term “resold” or similar terms.  No applicable PSE tariff specifically authorizes resale</w:t>
      </w:r>
      <w:r w:rsidR="00F831EE">
        <w:t>.</w:t>
      </w:r>
      <w:r>
        <w:rPr>
          <w:rStyle w:val="FootnoteReference"/>
        </w:rPr>
        <w:footnoteReference w:id="2"/>
      </w:r>
    </w:p>
    <w:p w:rsidR="005A4EB4" w:rsidRPr="00612AA3" w:rsidRDefault="005F239C" w:rsidP="008A3530">
      <w:pPr>
        <w:pStyle w:val="ListParagraph"/>
        <w:keepNext/>
        <w:numPr>
          <w:ilvl w:val="0"/>
          <w:numId w:val="6"/>
        </w:numPr>
        <w:spacing w:line="480" w:lineRule="auto"/>
        <w:ind w:left="0" w:firstLine="0"/>
        <w:jc w:val="center"/>
        <w:rPr>
          <w:b/>
        </w:rPr>
      </w:pPr>
      <w:r w:rsidRPr="00612AA3">
        <w:rPr>
          <w:b/>
        </w:rPr>
        <w:lastRenderedPageBreak/>
        <w:t>FACTS</w:t>
      </w:r>
    </w:p>
    <w:p w:rsidR="005A4EB4" w:rsidRDefault="005A4EB4" w:rsidP="009C71F2">
      <w:pPr>
        <w:pStyle w:val="ListParagraph"/>
        <w:numPr>
          <w:ilvl w:val="0"/>
          <w:numId w:val="1"/>
        </w:numPr>
        <w:spacing w:line="480" w:lineRule="auto"/>
        <w:ind w:left="0"/>
      </w:pPr>
      <w:r>
        <w:tab/>
      </w:r>
      <w:smartTag w:uri="urn:schemas-microsoft-com:office:smarttags" w:element="place">
        <w:smartTag w:uri="urn:schemas-microsoft-com:office:smarttags" w:element="PlaceName">
          <w:r>
            <w:t>Salmon</w:t>
          </w:r>
        </w:smartTag>
        <w:r>
          <w:t xml:space="preserve"> </w:t>
        </w:r>
        <w:smartTag w:uri="urn:schemas-microsoft-com:office:smarttags" w:element="PlaceType">
          <w:r>
            <w:t>Shores</w:t>
          </w:r>
        </w:smartTag>
      </w:smartTag>
      <w:r>
        <w:t xml:space="preserve"> operates a recreational vehicle (RV) park.  Salmon Shores has month-to-month tenants who reside in their RVs </w:t>
      </w:r>
      <w:r w:rsidR="002F2B7B">
        <w:t xml:space="preserve">parked </w:t>
      </w:r>
      <w:r>
        <w:t xml:space="preserve">in individual stalls </w:t>
      </w:r>
      <w:r w:rsidR="00A929C4">
        <w:t xml:space="preserve">which each tenant </w:t>
      </w:r>
      <w:r>
        <w:t>rent</w:t>
      </w:r>
      <w:r w:rsidR="00A929C4">
        <w:t>s</w:t>
      </w:r>
      <w:r>
        <w:t xml:space="preserve"> from Salmon Shores.</w:t>
      </w:r>
      <w:r>
        <w:rPr>
          <w:rStyle w:val="FootnoteReference"/>
        </w:rPr>
        <w:footnoteReference w:id="3"/>
      </w:r>
      <w:r>
        <w:t xml:space="preserve">  Salmon </w:t>
      </w:r>
      <w:smartTag w:uri="urn:schemas-microsoft-com:office:smarttags" w:element="PlaceType">
        <w:r>
          <w:t>Shores</w:t>
        </w:r>
      </w:smartTag>
      <w:r>
        <w:t xml:space="preserve"> is a customer of PSE.</w:t>
      </w:r>
      <w:r>
        <w:rPr>
          <w:rStyle w:val="FootnoteReference"/>
        </w:rPr>
        <w:footnoteReference w:id="4"/>
      </w:r>
      <w:r>
        <w:t xml:space="preserve">  To provide electricity to </w:t>
      </w:r>
      <w:smartTag w:uri="urn:schemas-microsoft-com:office:smarttags" w:element="PlaceName">
        <w:r>
          <w:t>Salmons</w:t>
        </w:r>
      </w:smartTag>
      <w:r>
        <w:t xml:space="preserve"> </w:t>
      </w:r>
      <w:smartTag w:uri="urn:schemas-microsoft-com:office:smarttags" w:element="PlaceType">
        <w:r>
          <w:t>Shores</w:t>
        </w:r>
      </w:smartTag>
      <w:r>
        <w:t xml:space="preserve">’ tenants, </w:t>
      </w:r>
      <w:smartTag w:uri="urn:schemas-microsoft-com:office:smarttags" w:element="place">
        <w:smartTag w:uri="urn:schemas-microsoft-com:office:smarttags" w:element="PlaceName">
          <w:r>
            <w:t>Salmon</w:t>
          </w:r>
        </w:smartTag>
        <w:r>
          <w:t xml:space="preserve"> </w:t>
        </w:r>
        <w:smartTag w:uri="urn:schemas-microsoft-com:office:smarttags" w:element="PlaceType">
          <w:r>
            <w:t>Shores</w:t>
          </w:r>
        </w:smartTag>
      </w:smartTag>
      <w:r>
        <w:t xml:space="preserve"> supplies each RV stall with a meter, which is connected to other electrical facilities that eventually run to PSE’s meters.</w:t>
      </w:r>
      <w:r>
        <w:rPr>
          <w:rStyle w:val="FootnoteReference"/>
        </w:rPr>
        <w:footnoteReference w:id="5"/>
      </w:r>
      <w:r>
        <w:t xml:space="preserve">  </w:t>
      </w:r>
    </w:p>
    <w:p w:rsidR="005A4EB4" w:rsidRDefault="005A4EB4" w:rsidP="009C71F2">
      <w:pPr>
        <w:pStyle w:val="ListParagraph"/>
        <w:numPr>
          <w:ilvl w:val="0"/>
          <w:numId w:val="1"/>
        </w:numPr>
        <w:spacing w:line="480" w:lineRule="auto"/>
        <w:ind w:left="0"/>
      </w:pPr>
      <w:r>
        <w:tab/>
        <w:t xml:space="preserve">PSE bills </w:t>
      </w:r>
      <w:smartTag w:uri="urn:schemas-microsoft-com:office:smarttags" w:element="PlaceName">
        <w:smartTag w:uri="urn:schemas-microsoft-com:office:smarttags" w:element="place">
          <w:r>
            <w:t>Salmon</w:t>
          </w:r>
        </w:smartTag>
        <w:r>
          <w:t xml:space="preserve"> </w:t>
        </w:r>
        <w:smartTag w:uri="urn:schemas-microsoft-com:office:smarttags" w:element="PlaceType">
          <w:r>
            <w:t>Shores</w:t>
          </w:r>
        </w:smartTag>
      </w:smartTag>
      <w:r>
        <w:t xml:space="preserve"> for electricity pursuant to PSE’s UTC-approved tariffs.</w:t>
      </w:r>
      <w:r>
        <w:rPr>
          <w:rStyle w:val="FootnoteReference"/>
        </w:rPr>
        <w:footnoteReference w:id="6"/>
      </w:r>
      <w:r>
        <w:t xml:space="preserve">  Salmon Shores charges its tenants for electricity by reading each of the Salmon Shores-supplied meters, and applying a per-kilowatt (kWh) rate to that metered electrical usage.  These charges are shown on Attachments 2-7 to the Complaint.  For the tenant’s metered usage, Salmon Shores charges no more per kWh</w:t>
      </w:r>
      <w:r w:rsidR="008A3530">
        <w:t>, and usually less,</w:t>
      </w:r>
      <w:r>
        <w:t xml:space="preserve"> than what PSE calculates to be an “average rate</w:t>
      </w:r>
      <w:r w:rsidR="008A3530">
        <w:t>.</w:t>
      </w:r>
      <w:r>
        <w:t>”</w:t>
      </w:r>
      <w:r>
        <w:rPr>
          <w:rStyle w:val="FootnoteReference"/>
        </w:rPr>
        <w:footnoteReference w:id="7"/>
      </w:r>
      <w:r>
        <w:t xml:space="preserve"> </w:t>
      </w:r>
      <w:r w:rsidR="00A929C4">
        <w:t xml:space="preserve"> </w:t>
      </w:r>
      <w:r w:rsidR="008A3530">
        <w:t>PSE calculate</w:t>
      </w:r>
      <w:r w:rsidR="002F2B7B">
        <w:t>s</w:t>
      </w:r>
      <w:r w:rsidR="008A3530">
        <w:t xml:space="preserve"> this “average rate” </w:t>
      </w:r>
      <w:r>
        <w:t>by melding the rates for each tariff schedule under which PSE serves Salmon Shores.</w:t>
      </w:r>
      <w:r>
        <w:rPr>
          <w:rStyle w:val="FootnoteReference"/>
        </w:rPr>
        <w:footnoteReference w:id="8"/>
      </w:r>
    </w:p>
    <w:p w:rsidR="005A4EB4" w:rsidRDefault="005A4EB4" w:rsidP="009C71F2">
      <w:pPr>
        <w:pStyle w:val="ListParagraph"/>
        <w:numPr>
          <w:ilvl w:val="0"/>
          <w:numId w:val="1"/>
        </w:numPr>
        <w:spacing w:line="480" w:lineRule="auto"/>
        <w:ind w:left="0"/>
      </w:pPr>
      <w:r>
        <w:tab/>
        <w:t xml:space="preserve">In addition to charging for </w:t>
      </w:r>
      <w:r w:rsidR="008A3530">
        <w:t xml:space="preserve">each tenant’s </w:t>
      </w:r>
      <w:r>
        <w:t xml:space="preserve">metered usage, Salmon Shores also assesses an “Energy Availability Charge” </w:t>
      </w:r>
      <w:r w:rsidR="002F2B7B">
        <w:t>(</w:t>
      </w:r>
      <w:r>
        <w:t>EAC</w:t>
      </w:r>
      <w:r w:rsidR="002F2B7B">
        <w:t>)</w:t>
      </w:r>
      <w:r>
        <w:t>.</w:t>
      </w:r>
      <w:r>
        <w:rPr>
          <w:rStyle w:val="FootnoteReference"/>
        </w:rPr>
        <w:footnoteReference w:id="9"/>
      </w:r>
      <w:r>
        <w:t xml:space="preserve">  Attachment 8 to the Complaint is an example of Salmon </w:t>
      </w:r>
      <w:r w:rsidR="00B75280">
        <w:t>Shores’</w:t>
      </w:r>
      <w:r>
        <w:t xml:space="preserve"> EAC calculation.  For the Commission’s convenience, we include that document as Exhibit 1 to this Response.  </w:t>
      </w:r>
    </w:p>
    <w:p w:rsidR="005A4EB4" w:rsidRDefault="005A4EB4" w:rsidP="009C71F2">
      <w:pPr>
        <w:pStyle w:val="ListParagraph"/>
        <w:numPr>
          <w:ilvl w:val="0"/>
          <w:numId w:val="1"/>
        </w:numPr>
        <w:spacing w:line="480" w:lineRule="auto"/>
        <w:ind w:left="0"/>
      </w:pPr>
      <w:r>
        <w:lastRenderedPageBreak/>
        <w:tab/>
        <w:t xml:space="preserve">As Exhibit 1 shows, Salmon Shores </w:t>
      </w:r>
      <w:r w:rsidR="00F831EE">
        <w:t>begins</w:t>
      </w:r>
      <w:r>
        <w:t xml:space="preserve"> with the amount PSE charged Salmon Shores for electricity ($2,243.38) and subtracts the amount Salmon Shores charged its own tenants for electricity ($1,440.78), i.e., the cumulative total of what </w:t>
      </w:r>
      <w:smartTag w:uri="urn:schemas-microsoft-com:office:smarttags" w:element="PlaceName">
        <w:smartTag w:uri="urn:schemas-microsoft-com:office:smarttags" w:element="place">
          <w:r>
            <w:t>Salmon</w:t>
          </w:r>
        </w:smartTag>
        <w:r>
          <w:t xml:space="preserve"> </w:t>
        </w:r>
        <w:smartTag w:uri="urn:schemas-microsoft-com:office:smarttags" w:element="PlaceType">
          <w:r>
            <w:t>Shores</w:t>
          </w:r>
        </w:smartTag>
      </w:smartTag>
      <w:r>
        <w:t xml:space="preserve"> billed each tenant based on usage measured by the Salmon Shores-supplied meters.  Salmon Shores further reduces the result ($802.60) by the usage attributable to the Salmon Shores office, and “Maintenance,” which Staff understands is usage attributable to work Salmon Shores performs to improve a vacant RV stall ($802.60 - $145.49 - $37.05 = $620.06).  </w:t>
      </w:r>
    </w:p>
    <w:p w:rsidR="002F2B7B" w:rsidRDefault="005A4EB4" w:rsidP="009C71F2">
      <w:pPr>
        <w:pStyle w:val="ListParagraph"/>
        <w:numPr>
          <w:ilvl w:val="0"/>
          <w:numId w:val="1"/>
        </w:numPr>
        <w:spacing w:line="480" w:lineRule="auto"/>
        <w:ind w:left="0"/>
      </w:pPr>
      <w:r>
        <w:tab/>
        <w:t xml:space="preserve">The resulting amount ($620.06) is attributable to electricity used in common (such as outdoor lighting, i.e., usage other than tenants’ use and office use) and </w:t>
      </w:r>
      <w:r w:rsidR="002F2B7B">
        <w:t xml:space="preserve">electricity </w:t>
      </w:r>
      <w:r>
        <w:t>“under-bill</w:t>
      </w:r>
      <w:r w:rsidR="002F2B7B">
        <w:t>ed</w:t>
      </w:r>
      <w:r>
        <w:t xml:space="preserve">” by Salmon Shores of its tenant’s </w:t>
      </w:r>
      <w:r w:rsidR="001B4742">
        <w:t>meter-specific</w:t>
      </w:r>
      <w:r>
        <w:t xml:space="preserve"> usage of electricity.  </w:t>
      </w:r>
    </w:p>
    <w:p w:rsidR="005A4EB4" w:rsidRDefault="002F2B7B" w:rsidP="009C71F2">
      <w:pPr>
        <w:pStyle w:val="ListParagraph"/>
        <w:numPr>
          <w:ilvl w:val="0"/>
          <w:numId w:val="1"/>
        </w:numPr>
        <w:spacing w:line="480" w:lineRule="auto"/>
        <w:ind w:left="0"/>
      </w:pPr>
      <w:r>
        <w:tab/>
      </w:r>
      <w:r w:rsidR="005A4EB4">
        <w:t xml:space="preserve">As an example of such “under-billing,” Attachment 4 to the Complaint shows Salmon Shores charged less than the applicable PSE rate for June 2009, i.e., </w:t>
      </w:r>
      <w:smartTag w:uri="urn:schemas-microsoft-com:office:smarttags" w:element="place">
        <w:smartTag w:uri="urn:schemas-microsoft-com:office:smarttags" w:element="PlaceName">
          <w:r w:rsidR="005A4EB4">
            <w:t>Salmon</w:t>
          </w:r>
        </w:smartTag>
        <w:r w:rsidR="005A4EB4">
          <w:t xml:space="preserve"> </w:t>
        </w:r>
        <w:smartTag w:uri="urn:schemas-microsoft-com:office:smarttags" w:element="PlaceType">
          <w:r w:rsidR="005A4EB4">
            <w:t>Shores</w:t>
          </w:r>
        </w:smartTag>
      </w:smartTag>
      <w:r w:rsidR="005A4EB4">
        <w:t xml:space="preserve"> charged its tenants $.08717/kWh, which is less than the PSE calculated “average” rate of $.088332/kWh shown on page 4 of Mr. Logen’s Declaration, </w:t>
      </w:r>
      <w:r w:rsidR="002D69D8">
        <w:t>Paragraph</w:t>
      </w:r>
      <w:r w:rsidR="005A4EB4">
        <w:t xml:space="preserve"> 12.  Therefore, in part, </w:t>
      </w:r>
      <w:r w:rsidR="00A929C4">
        <w:t xml:space="preserve">Salmon Shores collects this difference through </w:t>
      </w:r>
      <w:r w:rsidR="005A4EB4">
        <w:t xml:space="preserve">the EAC, but on a per capita basis, not </w:t>
      </w:r>
      <w:r w:rsidR="001B4742">
        <w:t xml:space="preserve">on </w:t>
      </w:r>
      <w:r w:rsidR="005A4EB4">
        <w:t xml:space="preserve">a </w:t>
      </w:r>
      <w:r w:rsidR="001B4742">
        <w:t xml:space="preserve">per </w:t>
      </w:r>
      <w:r w:rsidR="005A4EB4">
        <w:t xml:space="preserve">kWh basis.  Had Salmon Shores charged </w:t>
      </w:r>
      <w:r w:rsidR="00A929C4">
        <w:t>PSE’s</w:t>
      </w:r>
      <w:r w:rsidR="005A4EB4">
        <w:t xml:space="preserve"> “average” rate ($.088332) in the first place, the EAC would have been dramatically smaller.</w:t>
      </w:r>
    </w:p>
    <w:p w:rsidR="00437D02" w:rsidRDefault="00437D02" w:rsidP="00437D02">
      <w:pPr>
        <w:pStyle w:val="ListParagraph"/>
        <w:numPr>
          <w:ilvl w:val="0"/>
          <w:numId w:val="1"/>
        </w:numPr>
        <w:spacing w:line="480" w:lineRule="auto"/>
        <w:ind w:left="0"/>
      </w:pPr>
      <w:r>
        <w:tab/>
        <w:t>The EAC has varied widely over time, and has even been a credit in one month:</w:t>
      </w:r>
      <w:r>
        <w:rPr>
          <w:rStyle w:val="FootnoteReference"/>
        </w:rPr>
        <w:footnoteReference w:id="10"/>
      </w:r>
    </w:p>
    <w:p w:rsidR="00437D02" w:rsidRDefault="00437D02" w:rsidP="00437D02">
      <w:pPr>
        <w:ind w:left="1440"/>
      </w:pPr>
      <w:r>
        <w:t>April:</w:t>
      </w:r>
      <w:r>
        <w:tab/>
      </w:r>
      <w:r>
        <w:tab/>
        <w:t>$21.86</w:t>
      </w:r>
    </w:p>
    <w:p w:rsidR="00437D02" w:rsidRDefault="00437D02" w:rsidP="00437D02">
      <w:pPr>
        <w:ind w:left="1440"/>
      </w:pPr>
      <w:r>
        <w:t>May:</w:t>
      </w:r>
      <w:r>
        <w:tab/>
      </w:r>
      <w:r>
        <w:tab/>
        <w:t>$24.88</w:t>
      </w:r>
    </w:p>
    <w:p w:rsidR="00437D02" w:rsidRDefault="00437D02" w:rsidP="00437D02">
      <w:pPr>
        <w:ind w:left="1440"/>
      </w:pPr>
      <w:r>
        <w:t>June:</w:t>
      </w:r>
      <w:r>
        <w:tab/>
      </w:r>
      <w:r>
        <w:tab/>
        <w:t>$26.17</w:t>
      </w:r>
    </w:p>
    <w:p w:rsidR="00437D02" w:rsidRDefault="00437D02" w:rsidP="00437D02">
      <w:pPr>
        <w:ind w:left="1440"/>
      </w:pPr>
      <w:r>
        <w:t>July:</w:t>
      </w:r>
      <w:r>
        <w:tab/>
      </w:r>
      <w:r>
        <w:tab/>
        <w:t>$12.92</w:t>
      </w:r>
    </w:p>
    <w:p w:rsidR="00437D02" w:rsidRDefault="00437D02" w:rsidP="00437D02">
      <w:pPr>
        <w:ind w:left="1440"/>
      </w:pPr>
      <w:r>
        <w:t>August:</w:t>
      </w:r>
      <w:r>
        <w:tab/>
        <w:t>$  5.87</w:t>
      </w:r>
    </w:p>
    <w:p w:rsidR="00437D02" w:rsidRDefault="00437D02" w:rsidP="00A929C4">
      <w:pPr>
        <w:ind w:left="1440"/>
      </w:pPr>
      <w:r>
        <w:t>September:     -$   .97</w:t>
      </w:r>
    </w:p>
    <w:p w:rsidR="00A929C4" w:rsidRDefault="00A929C4" w:rsidP="00A929C4">
      <w:pPr>
        <w:ind w:left="1440"/>
      </w:pPr>
    </w:p>
    <w:p w:rsidR="005A4EB4" w:rsidRPr="00612AA3" w:rsidRDefault="005F239C" w:rsidP="00856684">
      <w:pPr>
        <w:pStyle w:val="ListParagraph"/>
        <w:keepNext/>
        <w:numPr>
          <w:ilvl w:val="0"/>
          <w:numId w:val="6"/>
        </w:numPr>
        <w:spacing w:line="480" w:lineRule="auto"/>
        <w:ind w:left="0" w:firstLine="0"/>
        <w:jc w:val="center"/>
        <w:rPr>
          <w:b/>
        </w:rPr>
      </w:pPr>
      <w:r w:rsidRPr="00612AA3">
        <w:rPr>
          <w:b/>
        </w:rPr>
        <w:lastRenderedPageBreak/>
        <w:t>DISCUSSION</w:t>
      </w:r>
    </w:p>
    <w:p w:rsidR="005A4EB4" w:rsidRDefault="005A4EB4" w:rsidP="009C71F2">
      <w:pPr>
        <w:pStyle w:val="ListParagraph"/>
        <w:numPr>
          <w:ilvl w:val="0"/>
          <w:numId w:val="1"/>
        </w:numPr>
        <w:spacing w:line="480" w:lineRule="auto"/>
        <w:ind w:left="0"/>
      </w:pPr>
      <w:r>
        <w:tab/>
        <w:t xml:space="preserve">PSE is correct that the Complaint contains no allegations that PSE did anything wrong.  In fact, the allegations in the Complaint are directed to the landlord, </w:t>
      </w:r>
      <w:smartTag w:uri="urn:schemas-microsoft-com:office:smarttags" w:element="place">
        <w:smartTag w:uri="urn:schemas-microsoft-com:office:smarttags" w:element="PlaceName">
          <w:r>
            <w:t>Salmon</w:t>
          </w:r>
        </w:smartTag>
        <w:r>
          <w:t xml:space="preserve"> </w:t>
        </w:r>
        <w:smartTag w:uri="urn:schemas-microsoft-com:office:smarttags" w:element="PlaceType">
          <w:r>
            <w:t>Shores</w:t>
          </w:r>
        </w:smartTag>
      </w:smartTag>
      <w:r>
        <w:t xml:space="preserve">, which the Complainant, Mr. Binkley, alleges is overcharging for electricity.  However, implicit </w:t>
      </w:r>
      <w:r w:rsidR="00A929C4">
        <w:t xml:space="preserve">in the Complaint </w:t>
      </w:r>
      <w:r w:rsidR="001B4742">
        <w:t xml:space="preserve">is </w:t>
      </w:r>
      <w:r w:rsidR="00A929C4">
        <w:t xml:space="preserve">the </w:t>
      </w:r>
      <w:r>
        <w:t>allegation that PSE is not ensuring compliance with its general tariff prohibition on resale.  Consequently, consistent with WAC 480-09-</w:t>
      </w:r>
      <w:r w:rsidR="008A3530">
        <w:t>395(4)</w:t>
      </w:r>
      <w:r>
        <w:t>, we will liberally construe the Complaint to allege in part that PSE is not ensuring compliance with PSE’s tariff resale</w:t>
      </w:r>
      <w:r w:rsidR="00A929C4">
        <w:t xml:space="preserve"> prohibition</w:t>
      </w:r>
      <w:r>
        <w:t>.</w:t>
      </w:r>
    </w:p>
    <w:p w:rsidR="005A4EB4" w:rsidRDefault="005A4EB4" w:rsidP="0086121F">
      <w:pPr>
        <w:pStyle w:val="ListParagraph"/>
        <w:numPr>
          <w:ilvl w:val="0"/>
          <w:numId w:val="1"/>
        </w:numPr>
        <w:spacing w:line="480" w:lineRule="auto"/>
        <w:ind w:left="0"/>
      </w:pPr>
      <w:r>
        <w:tab/>
        <w:t xml:space="preserve">Staff also requests </w:t>
      </w:r>
      <w:r w:rsidR="001B4742">
        <w:t xml:space="preserve">that </w:t>
      </w:r>
      <w:r>
        <w:t>the Commission order PSE to file tariff revisions defin</w:t>
      </w:r>
      <w:r w:rsidR="001B4742">
        <w:t>ing</w:t>
      </w:r>
      <w:r>
        <w:t xml:space="preserve"> the term “resold” in Schedule 80, Sheet 80b.  This will provide more certainty for customers, PSE and the Commission regarding correct application of the resale concept.  </w:t>
      </w:r>
    </w:p>
    <w:p w:rsidR="005A4EB4" w:rsidRPr="00612AA3" w:rsidRDefault="005A4EB4" w:rsidP="007771E0">
      <w:pPr>
        <w:pStyle w:val="ListParagraph"/>
        <w:numPr>
          <w:ilvl w:val="0"/>
          <w:numId w:val="7"/>
        </w:numPr>
        <w:spacing w:line="480" w:lineRule="auto"/>
        <w:ind w:firstLine="0"/>
        <w:rPr>
          <w:b/>
        </w:rPr>
      </w:pPr>
      <w:r>
        <w:rPr>
          <w:b/>
        </w:rPr>
        <w:t xml:space="preserve">The Plain Meaning </w:t>
      </w:r>
      <w:r w:rsidR="00194DDA">
        <w:rPr>
          <w:b/>
        </w:rPr>
        <w:t xml:space="preserve">of </w:t>
      </w:r>
      <w:r w:rsidR="001B4742">
        <w:rPr>
          <w:b/>
        </w:rPr>
        <w:t>“</w:t>
      </w:r>
      <w:r w:rsidR="00194DDA">
        <w:rPr>
          <w:b/>
        </w:rPr>
        <w:t>Resale</w:t>
      </w:r>
      <w:r w:rsidR="001B4742">
        <w:rPr>
          <w:b/>
        </w:rPr>
        <w:t>”</w:t>
      </w:r>
    </w:p>
    <w:p w:rsidR="005A4EB4" w:rsidRDefault="005A4EB4" w:rsidP="009C71F2">
      <w:pPr>
        <w:pStyle w:val="ListParagraph"/>
        <w:numPr>
          <w:ilvl w:val="0"/>
          <w:numId w:val="1"/>
        </w:numPr>
        <w:spacing w:line="480" w:lineRule="auto"/>
        <w:ind w:left="0"/>
      </w:pPr>
      <w:r>
        <w:tab/>
      </w:r>
      <w:r w:rsidR="00194DDA">
        <w:t xml:space="preserve">Neither the Commission’s rules nor PSE’s tariff define the term “resale,” and Staff has found no relevant Commission orders deciding that issue. </w:t>
      </w:r>
      <w:r w:rsidR="002F2B7B">
        <w:t xml:space="preserve"> </w:t>
      </w:r>
      <w:r>
        <w:t>The plain meaning of “resale” is “the act of selling again,”</w:t>
      </w:r>
      <w:r>
        <w:rPr>
          <w:rStyle w:val="FootnoteReference"/>
        </w:rPr>
        <w:footnoteReference w:id="11"/>
      </w:r>
      <w:r>
        <w:t xml:space="preserve"> or “the act of selling a second time.”</w:t>
      </w:r>
      <w:r>
        <w:rPr>
          <w:rStyle w:val="FootnoteReference"/>
        </w:rPr>
        <w:footnoteReference w:id="12"/>
      </w:r>
      <w:r>
        <w:t xml:space="preserve">  Under this plain meaning of “resale,” Salmon Shores is “reselling” electricity because PSE sells electricity to Salmon Shores, pursuant to PSE’s tariffs, and then Salmon Shores literally “sells that electricity a second time” to its tenants.  </w:t>
      </w:r>
    </w:p>
    <w:p w:rsidR="005A4EB4" w:rsidRDefault="005A4EB4" w:rsidP="00A16EBE">
      <w:pPr>
        <w:pStyle w:val="ListParagraph"/>
        <w:numPr>
          <w:ilvl w:val="0"/>
          <w:numId w:val="1"/>
        </w:numPr>
        <w:spacing w:line="480" w:lineRule="auto"/>
        <w:ind w:left="0"/>
        <w:rPr>
          <w:b/>
        </w:rPr>
      </w:pPr>
      <w:r>
        <w:tab/>
      </w:r>
      <w:r w:rsidR="00437D02">
        <w:t xml:space="preserve">Were the </w:t>
      </w:r>
      <w:r w:rsidR="002F2B7B">
        <w:t xml:space="preserve">Commission </w:t>
      </w:r>
      <w:r w:rsidR="00437D02">
        <w:t xml:space="preserve">to </w:t>
      </w:r>
      <w:r w:rsidR="002F2B7B">
        <w:t>appl</w:t>
      </w:r>
      <w:r w:rsidR="00437D02">
        <w:t>y</w:t>
      </w:r>
      <w:r w:rsidR="002F2B7B">
        <w:t xml:space="preserve"> the </w:t>
      </w:r>
      <w:r w:rsidR="0035594D">
        <w:t xml:space="preserve">plain meaning of resale, </w:t>
      </w:r>
      <w:r>
        <w:t>Salmon Shores would have to stop billing its tenants for electricity</w:t>
      </w:r>
      <w:r w:rsidR="0035594D">
        <w:t xml:space="preserve"> altogether</w:t>
      </w:r>
      <w:r>
        <w:t>, o</w:t>
      </w:r>
      <w:r w:rsidR="0035594D">
        <w:t>r</w:t>
      </w:r>
      <w:r>
        <w:t xml:space="preserve"> face disconnection by PSE.  </w:t>
      </w:r>
      <w:r w:rsidR="007771E0">
        <w:t xml:space="preserve">(Salmon Shores could do this by simply increasing its rental rate).  </w:t>
      </w:r>
      <w:r>
        <w:t xml:space="preserve">This also means PSE would be failing to </w:t>
      </w:r>
      <w:r w:rsidR="001B4742">
        <w:t>en</w:t>
      </w:r>
      <w:r>
        <w:t>sure correct application of its tariffs</w:t>
      </w:r>
      <w:r w:rsidR="0035594D">
        <w:t>.</w:t>
      </w:r>
      <w:r w:rsidR="002D69D8">
        <w:rPr>
          <w:rStyle w:val="FootnoteReference"/>
        </w:rPr>
        <w:footnoteReference w:id="13"/>
      </w:r>
      <w:r>
        <w:t xml:space="preserve"> </w:t>
      </w:r>
      <w:r w:rsidR="0035594D">
        <w:t xml:space="preserve"> </w:t>
      </w:r>
      <w:r>
        <w:t xml:space="preserve">The Commission could provide </w:t>
      </w:r>
      <w:r>
        <w:lastRenderedPageBreak/>
        <w:t xml:space="preserve">no </w:t>
      </w:r>
      <w:r w:rsidR="0035594D">
        <w:t xml:space="preserve">direct </w:t>
      </w:r>
      <w:r>
        <w:t>remedy to Salmon Shores</w:t>
      </w:r>
      <w:r w:rsidR="00437D02">
        <w:t>’</w:t>
      </w:r>
      <w:r>
        <w:t xml:space="preserve"> tenants, </w:t>
      </w:r>
      <w:r w:rsidR="0035594D">
        <w:t xml:space="preserve">such as </w:t>
      </w:r>
      <w:r w:rsidR="00437D02">
        <w:t xml:space="preserve">the Complainant </w:t>
      </w:r>
      <w:r w:rsidR="0035594D">
        <w:t xml:space="preserve">Mr. Binkley, </w:t>
      </w:r>
      <w:r>
        <w:t>because the Commission does not regulate the landlord-tenant relationship.  For that reason, Staff does not address whether those tenants may have some other f</w:t>
      </w:r>
      <w:r w:rsidR="0035594D">
        <w:t>or</w:t>
      </w:r>
      <w:r w:rsidR="001B4742">
        <w:t>u</w:t>
      </w:r>
      <w:r>
        <w:t>m for asserting whatever legal rights they may have vis</w:t>
      </w:r>
      <w:r w:rsidR="001B4742">
        <w:t>-</w:t>
      </w:r>
      <w:r>
        <w:t>a</w:t>
      </w:r>
      <w:r w:rsidR="001B4742">
        <w:t>-</w:t>
      </w:r>
      <w:r>
        <w:t>vis Salmon Shores.</w:t>
      </w:r>
    </w:p>
    <w:p w:rsidR="005A4EB4" w:rsidRPr="00CC7015" w:rsidRDefault="005A4EB4" w:rsidP="007771E0">
      <w:pPr>
        <w:pStyle w:val="ListParagraph"/>
        <w:numPr>
          <w:ilvl w:val="0"/>
          <w:numId w:val="7"/>
        </w:numPr>
        <w:spacing w:line="480" w:lineRule="auto"/>
        <w:ind w:firstLine="0"/>
        <w:rPr>
          <w:b/>
        </w:rPr>
      </w:pPr>
      <w:r w:rsidRPr="00CC7015">
        <w:rPr>
          <w:b/>
        </w:rPr>
        <w:t xml:space="preserve">PSE’s Concept of </w:t>
      </w:r>
      <w:r w:rsidR="001B4742">
        <w:rPr>
          <w:b/>
        </w:rPr>
        <w:t>“</w:t>
      </w:r>
      <w:r w:rsidRPr="00CC7015">
        <w:rPr>
          <w:b/>
        </w:rPr>
        <w:t>Resale</w:t>
      </w:r>
      <w:r w:rsidR="001B4742">
        <w:rPr>
          <w:b/>
        </w:rPr>
        <w:t>”</w:t>
      </w:r>
    </w:p>
    <w:p w:rsidR="0035594D" w:rsidRDefault="0035594D" w:rsidP="0035594D">
      <w:pPr>
        <w:pStyle w:val="ListParagraph"/>
        <w:numPr>
          <w:ilvl w:val="0"/>
          <w:numId w:val="1"/>
        </w:numPr>
        <w:spacing w:line="480" w:lineRule="auto"/>
        <w:ind w:left="0"/>
      </w:pPr>
      <w:r>
        <w:tab/>
        <w:t xml:space="preserve">Staff’s review of decisions by other regulatory commissions found that some commission decisions apply the plain meaning of </w:t>
      </w:r>
      <w:r w:rsidR="001B4742">
        <w:t>“</w:t>
      </w:r>
      <w:r>
        <w:t>resale</w:t>
      </w:r>
      <w:r w:rsidR="001B4742">
        <w:t>”</w:t>
      </w:r>
      <w:r>
        <w:t xml:space="preserve"> to prohibit any remarketing of utility service by a customer under a general tariff resale ban.  For example, in </w:t>
      </w:r>
      <w:r>
        <w:rPr>
          <w:i/>
        </w:rPr>
        <w:t>Re Wisc</w:t>
      </w:r>
      <w:r w:rsidR="00056CC7">
        <w:rPr>
          <w:i/>
        </w:rPr>
        <w:t>onsin</w:t>
      </w:r>
      <w:r>
        <w:rPr>
          <w:i/>
        </w:rPr>
        <w:t xml:space="preserve"> Elec</w:t>
      </w:r>
      <w:r w:rsidR="00056CC7">
        <w:rPr>
          <w:i/>
        </w:rPr>
        <w:t>tric</w:t>
      </w:r>
      <w:r>
        <w:rPr>
          <w:i/>
        </w:rPr>
        <w:t xml:space="preserve"> Power Co., </w:t>
      </w:r>
      <w:r>
        <w:t xml:space="preserve">46 PUR 3d 495, 498-99 (Wisc. PSC 1962), the Wisconsin commission defined </w:t>
      </w:r>
      <w:r w:rsidR="001B4742">
        <w:t>“</w:t>
      </w:r>
      <w:r>
        <w:t>resale</w:t>
      </w:r>
      <w:r w:rsidR="001B4742">
        <w:t>”</w:t>
      </w:r>
      <w:r>
        <w:t xml:space="preserve"> as any separate charge for electricity by a utility customer to a third person.  The commission considered resale not to occur if a landlord recovered the electricity cost through rent, i.e., as an incident to a tenancy.</w:t>
      </w:r>
      <w:r w:rsidR="007771E0">
        <w:rPr>
          <w:rStyle w:val="FootnoteReference"/>
        </w:rPr>
        <w:footnoteReference w:id="14"/>
      </w:r>
      <w:r>
        <w:t xml:space="preserve">  </w:t>
      </w:r>
    </w:p>
    <w:p w:rsidR="0035594D" w:rsidRDefault="0035594D" w:rsidP="0035594D">
      <w:pPr>
        <w:pStyle w:val="ListParagraph"/>
        <w:numPr>
          <w:ilvl w:val="0"/>
          <w:numId w:val="1"/>
        </w:numPr>
        <w:spacing w:line="480" w:lineRule="auto"/>
        <w:ind w:left="0"/>
      </w:pPr>
      <w:r>
        <w:tab/>
        <w:t xml:space="preserve">On the other hand, some commission decisions </w:t>
      </w:r>
      <w:r w:rsidR="00970651">
        <w:t xml:space="preserve">do not </w:t>
      </w:r>
      <w:r>
        <w:t xml:space="preserve">consider resale to occur </w:t>
      </w:r>
      <w:r w:rsidR="00970651">
        <w:t xml:space="preserve">if the landlord allocates the </w:t>
      </w:r>
      <w:r w:rsidR="007771E0">
        <w:t xml:space="preserve">landlord’s </w:t>
      </w:r>
      <w:r>
        <w:t xml:space="preserve">utility </w:t>
      </w:r>
      <w:r w:rsidR="00970651">
        <w:t xml:space="preserve">bill among its tenants.  For example, </w:t>
      </w:r>
      <w:r>
        <w:t xml:space="preserve">in </w:t>
      </w:r>
      <w:r>
        <w:rPr>
          <w:i/>
        </w:rPr>
        <w:t xml:space="preserve">Re Compugas, Inc., </w:t>
      </w:r>
      <w:r>
        <w:t>90 PUR 4</w:t>
      </w:r>
      <w:r w:rsidRPr="00AD502D">
        <w:rPr>
          <w:vertAlign w:val="superscript"/>
        </w:rPr>
        <w:t>th</w:t>
      </w:r>
      <w:r>
        <w:t xml:space="preserve"> 450, 458 (Mich. PSC 1988), the landlord used a formula to allocate the gas charges from its utility’s gas bill to each of its tenants</w:t>
      </w:r>
      <w:r w:rsidR="00437D02">
        <w:t xml:space="preserve">, </w:t>
      </w:r>
      <w:r w:rsidR="007771E0">
        <w:t xml:space="preserve">on the basis of the square footage of </w:t>
      </w:r>
      <w:r w:rsidR="00437D02">
        <w:t>apartment and other factors</w:t>
      </w:r>
      <w:r>
        <w:t xml:space="preserve">.  The Michigan commission did not consider this allocation </w:t>
      </w:r>
      <w:r w:rsidR="002F2B7B">
        <w:t xml:space="preserve">of the utility bill by the landlord </w:t>
      </w:r>
      <w:r>
        <w:t>to be resale</w:t>
      </w:r>
      <w:r w:rsidR="00437D02">
        <w:t xml:space="preserve"> of gas</w:t>
      </w:r>
      <w:r>
        <w:t>.</w:t>
      </w:r>
      <w:r w:rsidR="00897700">
        <w:rPr>
          <w:rStyle w:val="FootnoteReference"/>
        </w:rPr>
        <w:footnoteReference w:id="15"/>
      </w:r>
    </w:p>
    <w:p w:rsidR="00970651" w:rsidRDefault="0035594D" w:rsidP="0035594D">
      <w:pPr>
        <w:pStyle w:val="ListParagraph"/>
        <w:numPr>
          <w:ilvl w:val="0"/>
          <w:numId w:val="1"/>
        </w:numPr>
        <w:spacing w:line="480" w:lineRule="auto"/>
        <w:ind w:left="0"/>
      </w:pPr>
      <w:r>
        <w:lastRenderedPageBreak/>
        <w:tab/>
      </w:r>
      <w:r w:rsidR="00970651">
        <w:t>Th</w:t>
      </w:r>
      <w:r w:rsidR="00AB3E05">
        <w:t>e Michigan example</w:t>
      </w:r>
      <w:r w:rsidR="00970651">
        <w:t xml:space="preserve"> is analogous to </w:t>
      </w:r>
      <w:r w:rsidR="005A4EB4">
        <w:t>PSE</w:t>
      </w:r>
      <w:r w:rsidR="00970651">
        <w:t>’s theory in this case.  PSE</w:t>
      </w:r>
      <w:r w:rsidR="005A4EB4">
        <w:t xml:space="preserve"> considers resale as occurring “only when a landlord (PSE’s customer) charges tenants on a per kilowatt (“kWh”) basis for electricity and the per kWh rate used by the landlord is greater than PSE’s rate to the landlord.”</w:t>
      </w:r>
      <w:r w:rsidR="005A4EB4">
        <w:rPr>
          <w:rStyle w:val="FootnoteReference"/>
        </w:rPr>
        <w:footnoteReference w:id="16"/>
      </w:r>
      <w:r w:rsidR="005A4EB4">
        <w:t xml:space="preserve">  While PSE’s resale concept permits resale</w:t>
      </w:r>
      <w:r w:rsidR="00194DDA">
        <w:t xml:space="preserve"> in the literal sense of that term</w:t>
      </w:r>
      <w:r w:rsidR="005A4EB4">
        <w:t xml:space="preserve">, it prohibits the landlord from charging its tenant more per kWh than PSE charged the landlord, which serves to protect tenants from abuse.  </w:t>
      </w:r>
    </w:p>
    <w:p w:rsidR="005A4EB4" w:rsidRDefault="00970651" w:rsidP="0035594D">
      <w:pPr>
        <w:pStyle w:val="ListParagraph"/>
        <w:numPr>
          <w:ilvl w:val="0"/>
          <w:numId w:val="1"/>
        </w:numPr>
        <w:spacing w:line="480" w:lineRule="auto"/>
        <w:ind w:left="0"/>
      </w:pPr>
      <w:r>
        <w:tab/>
        <w:t>Staff can agree that if Salmon Shores charge</w:t>
      </w:r>
      <w:r w:rsidR="00AB3E05">
        <w:t>s</w:t>
      </w:r>
      <w:r>
        <w:t xml:space="preserve"> its tenants no more than the “average</w:t>
      </w:r>
      <w:r w:rsidR="00D713F1">
        <w:t>”</w:t>
      </w:r>
      <w:r>
        <w:t xml:space="preserve"> rate PSE charge</w:t>
      </w:r>
      <w:r w:rsidR="00F91F8A">
        <w:t>s</w:t>
      </w:r>
      <w:r>
        <w:t xml:space="preserve"> Salmon Shores, the Commission need not consider this allocation of the PSE bill to be “resale” for purposes of PSE’s tariff.</w:t>
      </w:r>
      <w:r w:rsidR="00AB3E05">
        <w:t xml:space="preserve"> </w:t>
      </w:r>
      <w:r w:rsidR="00437D02">
        <w:t xml:space="preserve"> </w:t>
      </w:r>
      <w:r>
        <w:t xml:space="preserve">However, </w:t>
      </w:r>
      <w:r w:rsidR="005A4EB4">
        <w:t>PSE does not consider as resale any charge other than a per-kWh charge:</w:t>
      </w:r>
    </w:p>
    <w:p w:rsidR="005A4EB4" w:rsidRDefault="005A4EB4" w:rsidP="0091461C">
      <w:pPr>
        <w:spacing w:line="276" w:lineRule="auto"/>
        <w:ind w:left="720"/>
        <w:rPr>
          <w:szCs w:val="24"/>
        </w:rPr>
      </w:pPr>
      <w:r>
        <w:t xml:space="preserve">Salmon Shores’ use of an EAC is likewise not in violation of PSE's tariff.  Salmon Shores charges its tenants an EAC that is calculated by dividing the portion of their bill from PSE that remains after subtracting amounts charged to each tenant on a per-kWh basis, by the number of tenants.  Allocation based on the number of tenants is not considered resale of electricity.  </w:t>
      </w:r>
      <w:r>
        <w:rPr>
          <w:szCs w:val="24"/>
        </w:rPr>
        <w:t>Logen Declaration at ¶ 5.</w:t>
      </w:r>
      <w:r>
        <w:rPr>
          <w:rStyle w:val="FootnoteReference"/>
          <w:szCs w:val="24"/>
        </w:rPr>
        <w:footnoteReference w:id="17"/>
      </w:r>
    </w:p>
    <w:p w:rsidR="005A4EB4" w:rsidRDefault="005A4EB4" w:rsidP="0091461C">
      <w:pPr>
        <w:spacing w:line="276" w:lineRule="auto"/>
        <w:ind w:left="720"/>
        <w:rPr>
          <w:szCs w:val="24"/>
        </w:rPr>
      </w:pPr>
    </w:p>
    <w:p w:rsidR="005A4EB4" w:rsidRDefault="005A4EB4" w:rsidP="009C71F2">
      <w:pPr>
        <w:pStyle w:val="ListParagraph"/>
        <w:numPr>
          <w:ilvl w:val="0"/>
          <w:numId w:val="1"/>
        </w:numPr>
        <w:spacing w:line="480" w:lineRule="auto"/>
        <w:ind w:left="0"/>
      </w:pPr>
      <w:r>
        <w:tab/>
        <w:t xml:space="preserve">Thus, PSE does not further address the EAC, because Salmon Shores assesses that charge on a per capita basis, not </w:t>
      </w:r>
      <w:r w:rsidR="00F91F8A">
        <w:t xml:space="preserve">on </w:t>
      </w:r>
      <w:r>
        <w:t xml:space="preserve">a per-kWh basis.  </w:t>
      </w:r>
    </w:p>
    <w:p w:rsidR="005A4EB4" w:rsidRDefault="005A4EB4" w:rsidP="009C71F2">
      <w:pPr>
        <w:pStyle w:val="ListParagraph"/>
        <w:numPr>
          <w:ilvl w:val="0"/>
          <w:numId w:val="1"/>
        </w:numPr>
        <w:spacing w:line="480" w:lineRule="auto"/>
        <w:ind w:left="0"/>
      </w:pPr>
      <w:r>
        <w:tab/>
      </w:r>
      <w:r w:rsidR="00D713F1">
        <w:t xml:space="preserve">While Staff can support PSE’s </w:t>
      </w:r>
      <w:r w:rsidR="00437D02">
        <w:t xml:space="preserve">resale concept </w:t>
      </w:r>
      <w:r w:rsidR="00D713F1">
        <w:t xml:space="preserve">in general, Staff cannot support that concept as it applies to </w:t>
      </w:r>
      <w:r>
        <w:t>the EAC.  First, as we described in detail above,</w:t>
      </w:r>
      <w:r>
        <w:rPr>
          <w:rStyle w:val="FootnoteReference"/>
        </w:rPr>
        <w:footnoteReference w:id="18"/>
      </w:r>
      <w:r>
        <w:t xml:space="preserve"> </w:t>
      </w:r>
      <w:r w:rsidR="00437D02">
        <w:t xml:space="preserve">Salmon Shores calculates </w:t>
      </w:r>
      <w:r>
        <w:t xml:space="preserve">the EAC based on the total amount PSE charged Salmon Shores for electricity, less each tenant’s usage that is separately metered by Salmon Shores, and less the amounts </w:t>
      </w:r>
      <w:r>
        <w:lastRenderedPageBreak/>
        <w:t>attributable to Salmon Shores</w:t>
      </w:r>
      <w:r w:rsidR="007D612C">
        <w:t>’</w:t>
      </w:r>
      <w:r>
        <w:t xml:space="preserve"> </w:t>
      </w:r>
      <w:r w:rsidR="00184437">
        <w:t>o</w:t>
      </w:r>
      <w:r>
        <w:t>ffice and maintenance.  Left over are amounts attributable to electricity for common areas and any amounts resulting from Salmon Shores charging a per-kWh rate less than the “average” rate PSE calculates (which we called “under</w:t>
      </w:r>
      <w:r w:rsidR="00AB3E05">
        <w:t xml:space="preserve"> </w:t>
      </w:r>
      <w:r>
        <w:t xml:space="preserve">billing” above).  This clearly shows </w:t>
      </w:r>
      <w:r w:rsidR="00D713F1">
        <w:t xml:space="preserve">that under the </w:t>
      </w:r>
      <w:r>
        <w:t>EAC</w:t>
      </w:r>
      <w:r w:rsidR="00D713F1">
        <w:t xml:space="preserve"> as applie</w:t>
      </w:r>
      <w:r w:rsidR="00735ED1">
        <w:t>d by Salmon Shores</w:t>
      </w:r>
      <w:r w:rsidR="00D713F1">
        <w:t>,</w:t>
      </w:r>
      <w:r>
        <w:t xml:space="preserve"> </w:t>
      </w:r>
      <w:r w:rsidR="00184437">
        <w:t>S</w:t>
      </w:r>
      <w:r w:rsidR="00AB3E05">
        <w:t xml:space="preserve">almon Shores </w:t>
      </w:r>
      <w:r w:rsidR="00D713F1">
        <w:t xml:space="preserve">recovers not only the </w:t>
      </w:r>
      <w:r>
        <w:t>cost of electricity</w:t>
      </w:r>
      <w:r w:rsidR="00AB3E05">
        <w:t xml:space="preserve"> in common areas, </w:t>
      </w:r>
      <w:r w:rsidR="00D713F1">
        <w:t xml:space="preserve">but also a portion of </w:t>
      </w:r>
      <w:r w:rsidR="00AB3E05">
        <w:t xml:space="preserve">its cost </w:t>
      </w:r>
      <w:r w:rsidR="00735ED1">
        <w:t xml:space="preserve">of electricity </w:t>
      </w:r>
      <w:r w:rsidR="00D713F1">
        <w:t xml:space="preserve">related to </w:t>
      </w:r>
      <w:r w:rsidR="00AB3E05">
        <w:t>separately metered tenant usage</w:t>
      </w:r>
      <w:r>
        <w:t>.</w:t>
      </w:r>
    </w:p>
    <w:p w:rsidR="005A4EB4" w:rsidRDefault="005A4EB4" w:rsidP="00F7706D">
      <w:pPr>
        <w:pStyle w:val="ListParagraph"/>
        <w:numPr>
          <w:ilvl w:val="0"/>
          <w:numId w:val="1"/>
        </w:numPr>
        <w:spacing w:line="480" w:lineRule="auto"/>
        <w:ind w:left="0"/>
      </w:pPr>
      <w:r>
        <w:tab/>
      </w:r>
      <w:r w:rsidR="007771E0">
        <w:t xml:space="preserve">Indeed, </w:t>
      </w:r>
      <w:r w:rsidR="00735ED1">
        <w:t xml:space="preserve">the </w:t>
      </w:r>
      <w:r>
        <w:t>EAC increases when</w:t>
      </w:r>
      <w:r w:rsidR="00D713F1">
        <w:t>ever</w:t>
      </w:r>
      <w:r>
        <w:t xml:space="preserve"> Salmon Shores charges a per-kWh rate that is less than the applicable “average” PSE rate, and </w:t>
      </w:r>
      <w:r w:rsidR="00D713F1">
        <w:t xml:space="preserve">then </w:t>
      </w:r>
      <w:r>
        <w:t>collects th</w:t>
      </w:r>
      <w:r w:rsidR="00184437">
        <w:t xml:space="preserve">is “under-billing” </w:t>
      </w:r>
      <w:r w:rsidR="00D713F1">
        <w:t>through</w:t>
      </w:r>
      <w:r w:rsidR="00184437">
        <w:t xml:space="preserve"> the EAC.  </w:t>
      </w:r>
      <w:r>
        <w:t>When that happens, Salmon Shores collects more of that “under-bill</w:t>
      </w:r>
      <w:r w:rsidR="00184437">
        <w:t>ed</w:t>
      </w:r>
      <w:r>
        <w:t xml:space="preserve">” amount from a below average usage tenant than an above average usage tenant.  For that below average usage tenant, that could calculate to a per-kWh rate higher than the “average” rate PSE calculated in this case, depending on the level of under-billing in a particular month, and the specific EAC calculation that month.  </w:t>
      </w:r>
      <w:r w:rsidR="00437D02">
        <w:t xml:space="preserve">On the other hand, for above average usage tenants, the per-kWh rate could be </w:t>
      </w:r>
      <w:r w:rsidR="00D713F1">
        <w:t>lower</w:t>
      </w:r>
      <w:r w:rsidR="00437D02">
        <w:t xml:space="preserve"> than the PSE “average” rate.</w:t>
      </w:r>
      <w:r w:rsidR="00437D02">
        <w:rPr>
          <w:rStyle w:val="FootnoteReference"/>
        </w:rPr>
        <w:footnoteReference w:id="19"/>
      </w:r>
    </w:p>
    <w:p w:rsidR="00AB3E05" w:rsidRDefault="00970651" w:rsidP="00F7706D">
      <w:pPr>
        <w:pStyle w:val="ListParagraph"/>
        <w:numPr>
          <w:ilvl w:val="0"/>
          <w:numId w:val="1"/>
        </w:numPr>
        <w:spacing w:line="480" w:lineRule="auto"/>
        <w:ind w:left="0"/>
      </w:pPr>
      <w:r>
        <w:tab/>
      </w:r>
      <w:r w:rsidR="00437D02">
        <w:t xml:space="preserve">To be clear, </w:t>
      </w:r>
      <w:r>
        <w:t xml:space="preserve">Staff has no issue with the EAC </w:t>
      </w:r>
      <w:r w:rsidR="00AB3E05">
        <w:t xml:space="preserve">to the extent it </w:t>
      </w:r>
      <w:r>
        <w:t>charg</w:t>
      </w:r>
      <w:r w:rsidR="00AB3E05">
        <w:t>es</w:t>
      </w:r>
      <w:r>
        <w:t xml:space="preserve"> tenants for common area usage on a per capita basis</w:t>
      </w:r>
      <w:r w:rsidR="00D713F1">
        <w:t>, so long as the total charged tenants overall does not exceed the total PSE bill, less Salmon Shores’ own usage.</w:t>
      </w:r>
      <w:r>
        <w:t xml:space="preserve">  However, </w:t>
      </w:r>
      <w:r w:rsidR="00184437">
        <w:t>as</w:t>
      </w:r>
      <w:r w:rsidR="00735ED1">
        <w:t xml:space="preserve"> </w:t>
      </w:r>
      <w:r>
        <w:t>Salmon Shores calculat</w:t>
      </w:r>
      <w:r w:rsidR="00735ED1">
        <w:t>es</w:t>
      </w:r>
      <w:r>
        <w:t xml:space="preserve"> the EAC</w:t>
      </w:r>
      <w:r w:rsidR="00735ED1">
        <w:t>, it</w:t>
      </w:r>
      <w:r>
        <w:t xml:space="preserve"> does more than that; </w:t>
      </w:r>
      <w:r w:rsidR="00735ED1">
        <w:t xml:space="preserve">the EAC </w:t>
      </w:r>
      <w:r>
        <w:t>charges for “under billed”</w:t>
      </w:r>
      <w:r w:rsidR="007771E0">
        <w:t xml:space="preserve"> usage as well, i.e.,</w:t>
      </w:r>
      <w:r>
        <w:t xml:space="preserve"> </w:t>
      </w:r>
      <w:r w:rsidR="007771E0">
        <w:t xml:space="preserve">a portion of the </w:t>
      </w:r>
      <w:r w:rsidR="00AB3E05">
        <w:t xml:space="preserve">separately metered </w:t>
      </w:r>
      <w:r>
        <w:t>tenant usage.</w:t>
      </w:r>
      <w:r w:rsidR="00D713F1">
        <w:rPr>
          <w:rStyle w:val="FootnoteReference"/>
        </w:rPr>
        <w:footnoteReference w:id="20"/>
      </w:r>
      <w:r>
        <w:t xml:space="preserve">  </w:t>
      </w:r>
    </w:p>
    <w:p w:rsidR="005A4EB4" w:rsidRDefault="00AB3E05" w:rsidP="00F7706D">
      <w:pPr>
        <w:pStyle w:val="ListParagraph"/>
        <w:numPr>
          <w:ilvl w:val="0"/>
          <w:numId w:val="1"/>
        </w:numPr>
        <w:spacing w:line="480" w:lineRule="auto"/>
        <w:ind w:left="0"/>
      </w:pPr>
      <w:r>
        <w:lastRenderedPageBreak/>
        <w:tab/>
      </w:r>
      <w:r w:rsidR="00970651">
        <w:t xml:space="preserve">Consequently, </w:t>
      </w:r>
      <w:r>
        <w:t xml:space="preserve">the EAC violates PSE’s concept of resale.  </w:t>
      </w:r>
      <w:r w:rsidR="00970651">
        <w:t>Salmon Shores</w:t>
      </w:r>
      <w:r>
        <w:t xml:space="preserve"> must</w:t>
      </w:r>
      <w:r w:rsidR="00970651">
        <w:t xml:space="preserve"> </w:t>
      </w:r>
      <w:r>
        <w:t xml:space="preserve">either </w:t>
      </w:r>
      <w:r w:rsidR="00184437">
        <w:t>(</w:t>
      </w:r>
      <w:r>
        <w:t xml:space="preserve">1) </w:t>
      </w:r>
      <w:r w:rsidR="00970651">
        <w:t>eliminate the EAC</w:t>
      </w:r>
      <w:r>
        <w:t>;</w:t>
      </w:r>
      <w:r w:rsidR="00437D02">
        <w:rPr>
          <w:rStyle w:val="FootnoteReference"/>
        </w:rPr>
        <w:footnoteReference w:id="21"/>
      </w:r>
      <w:r>
        <w:t xml:space="preserve"> </w:t>
      </w:r>
      <w:r w:rsidR="00184437">
        <w:t>(</w:t>
      </w:r>
      <w:r>
        <w:t xml:space="preserve">2) demonstrate the EAC charges only for common area electrical usage, which is appropriate to be charged on a per capita basis; or </w:t>
      </w:r>
      <w:r w:rsidR="00184437">
        <w:t>(</w:t>
      </w:r>
      <w:r>
        <w:t>3) collect its electricity costs through rents.</w:t>
      </w:r>
      <w:r w:rsidR="005A4EB4">
        <w:t xml:space="preserve">  </w:t>
      </w:r>
      <w:r w:rsidR="00735ED1">
        <w:t>(Because Salmon Shores can dramatically reduce the EAC by simply charging the full PSE “average” rate, it would be an easy end to this case if Salmon Shores would inform the Commission that it had eliminated the EAC).</w:t>
      </w:r>
    </w:p>
    <w:p w:rsidR="002F2B7B" w:rsidRPr="002F2B7B" w:rsidRDefault="00437D02" w:rsidP="00437D02">
      <w:pPr>
        <w:pStyle w:val="ListParagraph"/>
        <w:numPr>
          <w:ilvl w:val="0"/>
          <w:numId w:val="6"/>
        </w:numPr>
        <w:spacing w:line="480" w:lineRule="auto"/>
        <w:ind w:left="0" w:firstLine="0"/>
        <w:jc w:val="center"/>
        <w:rPr>
          <w:b/>
        </w:rPr>
      </w:pPr>
      <w:r>
        <w:rPr>
          <w:b/>
        </w:rPr>
        <w:t>REMEDIES</w:t>
      </w:r>
    </w:p>
    <w:p w:rsidR="00437D02" w:rsidRDefault="002F2B7B" w:rsidP="002F2B7B">
      <w:pPr>
        <w:pStyle w:val="ListParagraph"/>
        <w:numPr>
          <w:ilvl w:val="0"/>
          <w:numId w:val="1"/>
        </w:numPr>
        <w:spacing w:line="480" w:lineRule="auto"/>
        <w:ind w:left="0"/>
        <w:rPr>
          <w:szCs w:val="24"/>
        </w:rPr>
      </w:pPr>
      <w:r>
        <w:rPr>
          <w:szCs w:val="24"/>
        </w:rPr>
        <w:tab/>
      </w:r>
      <w:r w:rsidRPr="008B3A03">
        <w:rPr>
          <w:szCs w:val="24"/>
        </w:rPr>
        <w:t>Should the Commission find that</w:t>
      </w:r>
      <w:r w:rsidR="00AB3E05">
        <w:rPr>
          <w:szCs w:val="24"/>
        </w:rPr>
        <w:t xml:space="preserve"> </w:t>
      </w:r>
      <w:r w:rsidRPr="008B3A03">
        <w:rPr>
          <w:szCs w:val="24"/>
        </w:rPr>
        <w:t>Salmon Shores resold electricity in violation of PSE</w:t>
      </w:r>
      <w:r>
        <w:rPr>
          <w:szCs w:val="24"/>
        </w:rPr>
        <w:t>’</w:t>
      </w:r>
      <w:r w:rsidRPr="008B3A03">
        <w:rPr>
          <w:szCs w:val="24"/>
        </w:rPr>
        <w:t>s tariff,</w:t>
      </w:r>
      <w:r w:rsidRPr="00194DDA">
        <w:rPr>
          <w:szCs w:val="24"/>
        </w:rPr>
        <w:t xml:space="preserve"> </w:t>
      </w:r>
      <w:r w:rsidR="00184437">
        <w:rPr>
          <w:szCs w:val="24"/>
        </w:rPr>
        <w:t xml:space="preserve">both </w:t>
      </w:r>
      <w:r w:rsidRPr="00194DDA">
        <w:rPr>
          <w:szCs w:val="24"/>
        </w:rPr>
        <w:t xml:space="preserve">Salmon Shores </w:t>
      </w:r>
      <w:r w:rsidR="00437D02">
        <w:rPr>
          <w:szCs w:val="24"/>
        </w:rPr>
        <w:t xml:space="preserve">and PSE </w:t>
      </w:r>
      <w:r w:rsidRPr="00194DDA">
        <w:rPr>
          <w:szCs w:val="24"/>
        </w:rPr>
        <w:t xml:space="preserve">would </w:t>
      </w:r>
      <w:r>
        <w:rPr>
          <w:szCs w:val="24"/>
        </w:rPr>
        <w:t>be in violation of PSE’s tariffs</w:t>
      </w:r>
      <w:r w:rsidR="00437D02">
        <w:rPr>
          <w:szCs w:val="24"/>
        </w:rPr>
        <w:t>.</w:t>
      </w:r>
      <w:r w:rsidR="007771E0">
        <w:rPr>
          <w:rStyle w:val="FootnoteReference"/>
          <w:szCs w:val="24"/>
        </w:rPr>
        <w:footnoteReference w:id="22"/>
      </w:r>
    </w:p>
    <w:p w:rsidR="002F2B7B" w:rsidRPr="00D713F1" w:rsidRDefault="00437D02" w:rsidP="00437D02">
      <w:pPr>
        <w:pStyle w:val="ListParagraph"/>
        <w:numPr>
          <w:ilvl w:val="0"/>
          <w:numId w:val="1"/>
        </w:numPr>
        <w:spacing w:line="480" w:lineRule="auto"/>
        <w:ind w:left="0"/>
        <w:rPr>
          <w:szCs w:val="24"/>
        </w:rPr>
      </w:pPr>
      <w:r w:rsidRPr="00D713F1">
        <w:rPr>
          <w:szCs w:val="24"/>
        </w:rPr>
        <w:tab/>
      </w:r>
      <w:r w:rsidR="00D713F1" w:rsidRPr="00D713F1">
        <w:rPr>
          <w:szCs w:val="24"/>
        </w:rPr>
        <w:t xml:space="preserve">In that scenario, </w:t>
      </w:r>
      <w:r w:rsidR="002F2B7B" w:rsidRPr="00D713F1">
        <w:rPr>
          <w:szCs w:val="24"/>
        </w:rPr>
        <w:t>Salmon Shores would need to conform its conduct, or face disconnection by PSE.  Staff recommends the Commission not assess any monetary penalty against PSE</w:t>
      </w:r>
      <w:r w:rsidRPr="00D713F1">
        <w:rPr>
          <w:szCs w:val="24"/>
        </w:rPr>
        <w:t>.</w:t>
      </w:r>
      <w:r w:rsidR="002F2B7B" w:rsidRPr="00D713F1">
        <w:rPr>
          <w:szCs w:val="24"/>
        </w:rPr>
        <w:t xml:space="preserve"> </w:t>
      </w:r>
      <w:r w:rsidRPr="00D713F1">
        <w:rPr>
          <w:szCs w:val="24"/>
        </w:rPr>
        <w:t xml:space="preserve"> </w:t>
      </w:r>
      <w:r w:rsidR="002F2B7B" w:rsidRPr="00D713F1">
        <w:rPr>
          <w:szCs w:val="24"/>
        </w:rPr>
        <w:t xml:space="preserve">Mr. Logen’s declaration provides ample evidence that PSE has been very direct and responsive to this particular consumer complaint, and this particular issue.  </w:t>
      </w:r>
      <w:r w:rsidR="007771E0">
        <w:rPr>
          <w:szCs w:val="24"/>
        </w:rPr>
        <w:t xml:space="preserve">If </w:t>
      </w:r>
      <w:r w:rsidR="002F2B7B" w:rsidRPr="00D713F1">
        <w:rPr>
          <w:szCs w:val="24"/>
        </w:rPr>
        <w:t>PSE</w:t>
      </w:r>
      <w:r w:rsidR="00735ED1">
        <w:rPr>
          <w:szCs w:val="24"/>
        </w:rPr>
        <w:t>’s actions were</w:t>
      </w:r>
      <w:r w:rsidR="007771E0">
        <w:rPr>
          <w:szCs w:val="24"/>
        </w:rPr>
        <w:t xml:space="preserve"> </w:t>
      </w:r>
      <w:r w:rsidR="002F2B7B" w:rsidRPr="00D713F1">
        <w:rPr>
          <w:szCs w:val="24"/>
        </w:rPr>
        <w:t>deficien</w:t>
      </w:r>
      <w:r w:rsidR="007771E0">
        <w:rPr>
          <w:szCs w:val="24"/>
        </w:rPr>
        <w:t xml:space="preserve">t, that </w:t>
      </w:r>
      <w:r w:rsidR="002F2B7B" w:rsidRPr="00D713F1">
        <w:rPr>
          <w:szCs w:val="24"/>
        </w:rPr>
        <w:t xml:space="preserve">would be </w:t>
      </w:r>
      <w:r w:rsidR="007771E0">
        <w:rPr>
          <w:szCs w:val="24"/>
        </w:rPr>
        <w:t>because PSE</w:t>
      </w:r>
      <w:r w:rsidR="002F2B7B" w:rsidRPr="00D713F1">
        <w:rPr>
          <w:szCs w:val="24"/>
        </w:rPr>
        <w:t xml:space="preserve"> failed to apply an appropriate test for resale.  Given the lack of any definition of </w:t>
      </w:r>
      <w:r w:rsidR="00184437" w:rsidRPr="00D713F1">
        <w:rPr>
          <w:szCs w:val="24"/>
        </w:rPr>
        <w:t>“</w:t>
      </w:r>
      <w:r w:rsidR="002F2B7B" w:rsidRPr="00D713F1">
        <w:rPr>
          <w:szCs w:val="24"/>
        </w:rPr>
        <w:t>resale</w:t>
      </w:r>
      <w:r w:rsidR="00184437" w:rsidRPr="00D713F1">
        <w:rPr>
          <w:szCs w:val="24"/>
        </w:rPr>
        <w:t>”</w:t>
      </w:r>
      <w:r w:rsidR="002F2B7B" w:rsidRPr="00D713F1">
        <w:rPr>
          <w:szCs w:val="24"/>
        </w:rPr>
        <w:t xml:space="preserve"> in UTC rules or </w:t>
      </w:r>
      <w:r w:rsidR="00184437" w:rsidRPr="00D713F1">
        <w:rPr>
          <w:szCs w:val="24"/>
        </w:rPr>
        <w:t>PSE’s</w:t>
      </w:r>
      <w:r w:rsidR="002F2B7B" w:rsidRPr="00D713F1">
        <w:rPr>
          <w:szCs w:val="24"/>
        </w:rPr>
        <w:t xml:space="preserve"> tariff, and the apparent lack of Commission orders addressing the issue, it is difficult to fault PSE in this case sufficient to justify a penalty.  </w:t>
      </w:r>
    </w:p>
    <w:p w:rsidR="002F2B7B" w:rsidRDefault="002F2B7B" w:rsidP="002F2B7B">
      <w:pPr>
        <w:pStyle w:val="ListParagraph"/>
        <w:numPr>
          <w:ilvl w:val="0"/>
          <w:numId w:val="1"/>
        </w:numPr>
        <w:spacing w:line="480" w:lineRule="auto"/>
        <w:ind w:left="0"/>
      </w:pPr>
      <w:r w:rsidRPr="00194DDA">
        <w:rPr>
          <w:szCs w:val="24"/>
        </w:rPr>
        <w:tab/>
      </w:r>
      <w:r w:rsidR="00AB3E05">
        <w:rPr>
          <w:szCs w:val="24"/>
        </w:rPr>
        <w:t>T</w:t>
      </w:r>
      <w:r w:rsidRPr="00194DDA">
        <w:rPr>
          <w:szCs w:val="24"/>
        </w:rPr>
        <w:t>he Commission should not order PSE to disconnect Salmon Shores’ electric service</w:t>
      </w:r>
      <w:r w:rsidR="007D612C">
        <w:rPr>
          <w:szCs w:val="24"/>
        </w:rPr>
        <w:t xml:space="preserve"> at this time</w:t>
      </w:r>
      <w:r w:rsidRPr="00194DDA">
        <w:rPr>
          <w:szCs w:val="24"/>
        </w:rPr>
        <w:t xml:space="preserve">, because that would have a collateral, adverse impact </w:t>
      </w:r>
      <w:r w:rsidRPr="00735944">
        <w:t xml:space="preserve">on the Salmon Shores </w:t>
      </w:r>
      <w:r w:rsidRPr="00735944">
        <w:lastRenderedPageBreak/>
        <w:t xml:space="preserve">tenants, who have done nothing wrong.  Of course, should Salmon Shores </w:t>
      </w:r>
      <w:r w:rsidR="00D713F1">
        <w:t>fail to take appropriate action in response to the Commission</w:t>
      </w:r>
      <w:r w:rsidR="007D612C">
        <w:t xml:space="preserve">’s final </w:t>
      </w:r>
      <w:r w:rsidR="00D713F1">
        <w:t>order</w:t>
      </w:r>
      <w:r w:rsidR="007D612C">
        <w:t xml:space="preserve"> in this docket</w:t>
      </w:r>
      <w:r w:rsidR="00AB3E05">
        <w:t xml:space="preserve">, </w:t>
      </w:r>
      <w:r w:rsidRPr="00735944">
        <w:t xml:space="preserve">the Commission and PSE </w:t>
      </w:r>
      <w:r>
        <w:t xml:space="preserve">may have no choice but </w:t>
      </w:r>
      <w:r w:rsidR="00AB3E05">
        <w:t xml:space="preserve">for PSE </w:t>
      </w:r>
      <w:r>
        <w:t xml:space="preserve">to </w:t>
      </w:r>
      <w:r w:rsidRPr="00735944">
        <w:t xml:space="preserve">disconnect </w:t>
      </w:r>
      <w:r w:rsidR="007D612C">
        <w:t>service</w:t>
      </w:r>
      <w:r w:rsidRPr="00735944">
        <w:t>.</w:t>
      </w:r>
    </w:p>
    <w:p w:rsidR="002F2B7B" w:rsidRDefault="002F2B7B" w:rsidP="002F2B7B">
      <w:pPr>
        <w:pStyle w:val="ListParagraph"/>
        <w:numPr>
          <w:ilvl w:val="0"/>
          <w:numId w:val="1"/>
        </w:numPr>
        <w:spacing w:line="480" w:lineRule="auto"/>
        <w:ind w:left="0"/>
      </w:pPr>
      <w:r>
        <w:tab/>
        <w:t xml:space="preserve">In no event should the Commission order Salmon Shores to </w:t>
      </w:r>
      <w:r w:rsidR="00B75280">
        <w:t>re-bill</w:t>
      </w:r>
      <w:r>
        <w:t xml:space="preserve"> tenants, because the Commission has no jurisdiction over </w:t>
      </w:r>
      <w:r w:rsidR="00AB3E05">
        <w:t xml:space="preserve">the landlord-tenant relationship.  </w:t>
      </w:r>
      <w:r>
        <w:t xml:space="preserve">Salmon </w:t>
      </w:r>
      <w:r w:rsidR="00B75280">
        <w:t>Shores’ tenants</w:t>
      </w:r>
      <w:r>
        <w:t xml:space="preserve"> would need to pursue whatever remedies they may have, if any, elsewhere.</w:t>
      </w:r>
      <w:r w:rsidR="007D612C">
        <w:t xml:space="preserve">  Of course, as we have explained,</w:t>
      </w:r>
      <w:r w:rsidR="007D612C">
        <w:rPr>
          <w:rStyle w:val="FootnoteReference"/>
        </w:rPr>
        <w:footnoteReference w:id="23"/>
      </w:r>
      <w:r w:rsidR="007D612C">
        <w:t xml:space="preserve"> some tenants may be worse off in the re-billing scenario.</w:t>
      </w:r>
    </w:p>
    <w:p w:rsidR="001B4742" w:rsidRDefault="005A4EB4" w:rsidP="00AB3E05">
      <w:pPr>
        <w:pStyle w:val="ListParagraph"/>
        <w:numPr>
          <w:ilvl w:val="0"/>
          <w:numId w:val="6"/>
        </w:numPr>
        <w:ind w:left="0" w:firstLine="0"/>
        <w:jc w:val="center"/>
        <w:rPr>
          <w:b/>
        </w:rPr>
      </w:pPr>
      <w:r>
        <w:rPr>
          <w:b/>
        </w:rPr>
        <w:t>CONCLUSION</w:t>
      </w:r>
    </w:p>
    <w:p w:rsidR="001B4742" w:rsidRDefault="001B4742">
      <w:pPr>
        <w:jc w:val="center"/>
        <w:rPr>
          <w:b/>
        </w:rPr>
      </w:pPr>
    </w:p>
    <w:p w:rsidR="00194DDA" w:rsidRPr="00194DDA" w:rsidRDefault="005A4EB4">
      <w:pPr>
        <w:pStyle w:val="ListParagraph"/>
        <w:numPr>
          <w:ilvl w:val="0"/>
          <w:numId w:val="1"/>
        </w:numPr>
        <w:spacing w:line="480" w:lineRule="auto"/>
        <w:ind w:left="0"/>
        <w:rPr>
          <w:b/>
        </w:rPr>
      </w:pPr>
      <w:r>
        <w:tab/>
        <w:t>Staff recommends the Commission adopt PSE’s concept of resale</w:t>
      </w:r>
      <w:r w:rsidR="00194DDA">
        <w:t xml:space="preserve">, except the EAC needs to be considered.  </w:t>
      </w:r>
      <w:r w:rsidR="00AB3E05">
        <w:t>Based on consideration</w:t>
      </w:r>
      <w:r w:rsidR="00437D02">
        <w:t xml:space="preserve"> of </w:t>
      </w:r>
      <w:r w:rsidR="00735ED1">
        <w:t xml:space="preserve">how Salmon Shores calculates </w:t>
      </w:r>
      <w:r w:rsidR="00437D02">
        <w:t>the EAC</w:t>
      </w:r>
      <w:r w:rsidR="00AB3E05">
        <w:t xml:space="preserve">, </w:t>
      </w:r>
      <w:r w:rsidR="00970651">
        <w:t xml:space="preserve">Salmon Shores </w:t>
      </w:r>
      <w:r w:rsidR="00D713F1">
        <w:t xml:space="preserve">would </w:t>
      </w:r>
      <w:r w:rsidR="007771E0">
        <w:t xml:space="preserve">be reselling in violation of PSE’s tariff, and Salmon Shores would need </w:t>
      </w:r>
      <w:r w:rsidR="00970651">
        <w:t>to</w:t>
      </w:r>
      <w:r w:rsidR="007771E0">
        <w:t>:</w:t>
      </w:r>
      <w:r w:rsidR="00970651">
        <w:t xml:space="preserve"> </w:t>
      </w:r>
      <w:r w:rsidR="00184437">
        <w:t>(</w:t>
      </w:r>
      <w:r w:rsidR="00AB3E05">
        <w:t xml:space="preserve">1) eliminate the EAC; </w:t>
      </w:r>
      <w:r w:rsidR="00184437">
        <w:t>(</w:t>
      </w:r>
      <w:r w:rsidR="00AB3E05">
        <w:t xml:space="preserve">2) </w:t>
      </w:r>
      <w:r w:rsidR="002F2B7B">
        <w:t xml:space="preserve">demonstrate that the EAC </w:t>
      </w:r>
      <w:r w:rsidR="00970651">
        <w:t>charge</w:t>
      </w:r>
      <w:r w:rsidR="002F2B7B">
        <w:t>s only for common area electricity on a per capita basis</w:t>
      </w:r>
      <w:r w:rsidR="00AB3E05">
        <w:t xml:space="preserve">; or </w:t>
      </w:r>
      <w:r w:rsidR="00184437">
        <w:t>(</w:t>
      </w:r>
      <w:r w:rsidR="00AB3E05">
        <w:t>3) recover its electricity costs through rents.</w:t>
      </w:r>
      <w:r w:rsidR="00970651">
        <w:t xml:space="preserve"> </w:t>
      </w:r>
      <w:r w:rsidR="00184437">
        <w:t xml:space="preserve"> The Commission </w:t>
      </w:r>
      <w:r w:rsidR="00735ED1">
        <w:t xml:space="preserve">has no jurisdiction over Salmon Shores, so it </w:t>
      </w:r>
      <w:r w:rsidR="00184437">
        <w:t xml:space="preserve">cannot require Salmon Shores to do any of these things.  </w:t>
      </w:r>
      <w:r w:rsidR="00D713F1">
        <w:t>However, t</w:t>
      </w:r>
      <w:r w:rsidR="00184437">
        <w:t xml:space="preserve">he Commission can </w:t>
      </w:r>
      <w:r w:rsidR="00D713F1">
        <w:t xml:space="preserve">and should </w:t>
      </w:r>
      <w:r w:rsidR="00184437">
        <w:t xml:space="preserve">order PSE to disconnect Salmon Shores’ electric service if Salmon Shores does not act appropriately. </w:t>
      </w:r>
    </w:p>
    <w:p w:rsidR="00B62A29" w:rsidRPr="00B62A29" w:rsidRDefault="00194DDA">
      <w:pPr>
        <w:pStyle w:val="ListParagraph"/>
        <w:numPr>
          <w:ilvl w:val="0"/>
          <w:numId w:val="1"/>
        </w:numPr>
        <w:spacing w:line="480" w:lineRule="auto"/>
        <w:ind w:left="0"/>
        <w:rPr>
          <w:b/>
        </w:rPr>
      </w:pPr>
      <w:r>
        <w:tab/>
      </w:r>
      <w:r w:rsidR="005A4EB4">
        <w:t>The issues in this case arise primarily because of the lack of clarity surrounding the term “resold” in PSE’s tariff.  Therefore, Staff also requests the Commission to order PSE to file tariff revisions within 90 days of the final order in this docket, defin</w:t>
      </w:r>
      <w:r w:rsidR="00184437">
        <w:t>ing</w:t>
      </w:r>
      <w:r w:rsidR="005A4EB4">
        <w:t xml:space="preserve"> the term “resold” </w:t>
      </w:r>
    </w:p>
    <w:p w:rsidR="00B62A29" w:rsidRDefault="00B62A29" w:rsidP="00B62A29">
      <w:pPr>
        <w:pStyle w:val="ListParagraph"/>
        <w:spacing w:line="480" w:lineRule="auto"/>
        <w:ind w:left="0"/>
      </w:pPr>
      <w:r>
        <w:t>//</w:t>
      </w:r>
    </w:p>
    <w:p w:rsidR="00B62A29" w:rsidRDefault="00B62A29" w:rsidP="00B62A29">
      <w:pPr>
        <w:pStyle w:val="ListParagraph"/>
        <w:spacing w:line="480" w:lineRule="auto"/>
        <w:ind w:left="0"/>
      </w:pPr>
      <w:r>
        <w:t>//</w:t>
      </w:r>
    </w:p>
    <w:p w:rsidR="00B62A29" w:rsidRDefault="00B62A29" w:rsidP="00B62A29">
      <w:pPr>
        <w:pStyle w:val="ListParagraph"/>
        <w:spacing w:line="480" w:lineRule="auto"/>
        <w:ind w:left="0"/>
      </w:pPr>
      <w:r>
        <w:t>//</w:t>
      </w:r>
    </w:p>
    <w:p w:rsidR="001B4742" w:rsidRDefault="005A4EB4" w:rsidP="00B62A29">
      <w:pPr>
        <w:pStyle w:val="ListParagraph"/>
        <w:spacing w:line="480" w:lineRule="auto"/>
        <w:ind w:left="0"/>
        <w:rPr>
          <w:b/>
        </w:rPr>
      </w:pPr>
      <w:r>
        <w:lastRenderedPageBreak/>
        <w:t>in Schedule 80, Sheet 80b.  This will provide the Commission a vehicle for consideration of the resale issue in a more comprehensive way.</w:t>
      </w:r>
    </w:p>
    <w:p w:rsidR="005A4EB4" w:rsidRDefault="005A4EB4" w:rsidP="00784E4D">
      <w:pPr>
        <w:ind w:firstLine="720"/>
      </w:pPr>
      <w:r>
        <w:t>DATED this 24th</w:t>
      </w:r>
      <w:r>
        <w:rPr>
          <w:vertAlign w:val="superscript"/>
        </w:rPr>
        <w:t xml:space="preserve"> </w:t>
      </w:r>
      <w:r w:rsidRPr="004A2910">
        <w:t>day of</w:t>
      </w:r>
      <w:r>
        <w:t xml:space="preserve"> May,</w:t>
      </w:r>
      <w:r w:rsidRPr="004A2910">
        <w:t xml:space="preserve"> 20</w:t>
      </w:r>
      <w:r>
        <w:t>10</w:t>
      </w:r>
      <w:r w:rsidRPr="004A2910">
        <w:t>.</w:t>
      </w:r>
      <w:r>
        <w:t xml:space="preserve">  </w:t>
      </w:r>
    </w:p>
    <w:p w:rsidR="005A4EB4" w:rsidRDefault="005A4EB4" w:rsidP="00784E4D">
      <w:pPr>
        <w:ind w:left="3600" w:firstLine="720"/>
      </w:pPr>
    </w:p>
    <w:p w:rsidR="005A4EB4" w:rsidRPr="004A2910" w:rsidRDefault="005A4EB4" w:rsidP="00784E4D">
      <w:pPr>
        <w:ind w:left="3600" w:firstLine="720"/>
      </w:pPr>
      <w:r>
        <w:t xml:space="preserve">Respectfully submitted, </w:t>
      </w:r>
    </w:p>
    <w:p w:rsidR="005A4EB4" w:rsidRPr="004A2910" w:rsidRDefault="005A4EB4" w:rsidP="00784E4D">
      <w:pPr>
        <w:pStyle w:val="BodyTextIndent2"/>
        <w:ind w:left="4320"/>
        <w:rPr>
          <w:rFonts w:ascii="Times New Roman" w:hAnsi="Times New Roman"/>
        </w:rPr>
      </w:pPr>
    </w:p>
    <w:p w:rsidR="005A4EB4" w:rsidRPr="004A2910" w:rsidRDefault="005A4EB4" w:rsidP="00784E4D">
      <w:pPr>
        <w:ind w:left="4320"/>
        <w:jc w:val="both"/>
      </w:pPr>
      <w:r w:rsidRPr="004A2910">
        <w:t>ROB</w:t>
      </w:r>
      <w:r>
        <w:t>ERT M.</w:t>
      </w:r>
      <w:r w:rsidRPr="004A2910">
        <w:t xml:space="preserve"> MCKENNA </w:t>
      </w:r>
    </w:p>
    <w:p w:rsidR="005A4EB4" w:rsidRPr="004A2910" w:rsidRDefault="005A4EB4" w:rsidP="00784E4D">
      <w:pPr>
        <w:ind w:left="4320"/>
        <w:jc w:val="both"/>
      </w:pPr>
      <w:r w:rsidRPr="004A2910">
        <w:t>Attorney General</w:t>
      </w:r>
    </w:p>
    <w:p w:rsidR="005A4EB4" w:rsidRDefault="005A4EB4" w:rsidP="00784E4D">
      <w:pPr>
        <w:ind w:left="4320"/>
        <w:jc w:val="both"/>
      </w:pPr>
    </w:p>
    <w:p w:rsidR="005A4EB4" w:rsidRDefault="005A4EB4" w:rsidP="00784E4D">
      <w:pPr>
        <w:ind w:left="4320"/>
        <w:jc w:val="both"/>
      </w:pPr>
    </w:p>
    <w:p w:rsidR="00B62A29" w:rsidRDefault="00B62A29" w:rsidP="00784E4D">
      <w:pPr>
        <w:ind w:left="4320"/>
        <w:jc w:val="both"/>
      </w:pPr>
    </w:p>
    <w:p w:rsidR="005A4EB4" w:rsidRPr="004A2910" w:rsidRDefault="005A4EB4" w:rsidP="00784E4D">
      <w:pPr>
        <w:ind w:left="4320"/>
        <w:jc w:val="both"/>
      </w:pPr>
      <w:r>
        <w:t>_____________________</w:t>
      </w:r>
    </w:p>
    <w:p w:rsidR="005A4EB4" w:rsidRPr="004A2910" w:rsidRDefault="005A4EB4" w:rsidP="00784E4D">
      <w:pPr>
        <w:ind w:left="4320"/>
        <w:jc w:val="both"/>
      </w:pPr>
      <w:r>
        <w:t>DONALD T. TROTTER</w:t>
      </w:r>
    </w:p>
    <w:p w:rsidR="005A4EB4" w:rsidRPr="004A2910" w:rsidRDefault="005A4EB4" w:rsidP="00784E4D">
      <w:pPr>
        <w:ind w:left="4320"/>
        <w:jc w:val="both"/>
      </w:pPr>
      <w:r w:rsidRPr="004A2910">
        <w:t>Assistant Attorney General</w:t>
      </w:r>
    </w:p>
    <w:p w:rsidR="005A4EB4" w:rsidRPr="00593201" w:rsidRDefault="005A4EB4" w:rsidP="00184437">
      <w:pPr>
        <w:ind w:left="4320"/>
        <w:jc w:val="both"/>
      </w:pPr>
      <w:r w:rsidRPr="004A2910">
        <w:t xml:space="preserve">Counsel for </w:t>
      </w:r>
      <w:r>
        <w:t xml:space="preserve">Staff of the </w:t>
      </w:r>
      <w:r w:rsidRPr="004A2910">
        <w:t>Washington Utilities and</w:t>
      </w:r>
      <w:r>
        <w:t xml:space="preserve"> Transportation Commission</w:t>
      </w:r>
    </w:p>
    <w:sectPr w:rsidR="005A4EB4" w:rsidRPr="00593201" w:rsidSect="00B62A29">
      <w:footerReference w:type="default" r:id="rId8"/>
      <w:pgSz w:w="12240" w:h="15840"/>
      <w:pgMar w:top="1296" w:right="1440" w:bottom="1152"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B5D" w:rsidRDefault="00910B5D" w:rsidP="00A13896">
      <w:r>
        <w:separator/>
      </w:r>
    </w:p>
  </w:endnote>
  <w:endnote w:type="continuationSeparator" w:id="0">
    <w:p w:rsidR="00910B5D" w:rsidRDefault="00910B5D" w:rsidP="00A13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ED1" w:rsidRDefault="00735ED1">
    <w:pPr>
      <w:pStyle w:val="Footer"/>
      <w:rPr>
        <w:sz w:val="20"/>
      </w:rPr>
    </w:pPr>
  </w:p>
  <w:p w:rsidR="00735ED1" w:rsidRDefault="00735ED1">
    <w:pPr>
      <w:pStyle w:val="Footer"/>
      <w:rPr>
        <w:sz w:val="20"/>
      </w:rPr>
    </w:pPr>
    <w:r>
      <w:rPr>
        <w:sz w:val="20"/>
      </w:rPr>
      <w:t xml:space="preserve">COMMISSION </w:t>
    </w:r>
    <w:r w:rsidRPr="00784E4D">
      <w:rPr>
        <w:sz w:val="20"/>
      </w:rPr>
      <w:t>STAFF</w:t>
    </w:r>
    <w:r>
      <w:rPr>
        <w:sz w:val="20"/>
      </w:rPr>
      <w:t>’S</w:t>
    </w:r>
    <w:r w:rsidRPr="00784E4D">
      <w:rPr>
        <w:sz w:val="20"/>
      </w:rPr>
      <w:t xml:space="preserve"> RESPONSE TO </w:t>
    </w:r>
    <w:smartTag w:uri="urn:schemas-microsoft-com:office:smarttags" w:element="place">
      <w:r w:rsidRPr="00784E4D">
        <w:rPr>
          <w:sz w:val="20"/>
        </w:rPr>
        <w:t>PUGET SOUND</w:t>
      </w:r>
    </w:smartTag>
    <w:r w:rsidRPr="00784E4D">
      <w:rPr>
        <w:sz w:val="20"/>
      </w:rPr>
      <w:t xml:space="preserve"> ENERGY</w:t>
    </w:r>
    <w:r>
      <w:rPr>
        <w:sz w:val="20"/>
      </w:rPr>
      <w:t>’S</w:t>
    </w:r>
  </w:p>
  <w:p w:rsidR="00735ED1" w:rsidRPr="00784E4D" w:rsidRDefault="00735ED1">
    <w:pPr>
      <w:pStyle w:val="Footer"/>
      <w:rPr>
        <w:sz w:val="20"/>
      </w:rPr>
    </w:pPr>
    <w:r w:rsidRPr="00784E4D">
      <w:rPr>
        <w:sz w:val="20"/>
      </w:rPr>
      <w:t xml:space="preserve">MOTION FOR SUMMARY DETERMINATION - </w:t>
    </w:r>
    <w:r w:rsidR="00850DEC" w:rsidRPr="00784E4D">
      <w:rPr>
        <w:sz w:val="20"/>
      </w:rPr>
      <w:fldChar w:fldCharType="begin"/>
    </w:r>
    <w:r w:rsidRPr="00784E4D">
      <w:rPr>
        <w:sz w:val="20"/>
      </w:rPr>
      <w:instrText xml:space="preserve"> PAGE   \* MERGEFORMAT </w:instrText>
    </w:r>
    <w:r w:rsidR="00850DEC" w:rsidRPr="00784E4D">
      <w:rPr>
        <w:sz w:val="20"/>
      </w:rPr>
      <w:fldChar w:fldCharType="separate"/>
    </w:r>
    <w:r w:rsidR="00647283">
      <w:rPr>
        <w:noProof/>
        <w:sz w:val="20"/>
      </w:rPr>
      <w:t>11</w:t>
    </w:r>
    <w:r w:rsidR="00850DEC" w:rsidRPr="00784E4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B5D" w:rsidRDefault="00910B5D" w:rsidP="00A13896">
      <w:r>
        <w:separator/>
      </w:r>
    </w:p>
  </w:footnote>
  <w:footnote w:type="continuationSeparator" w:id="0">
    <w:p w:rsidR="00910B5D" w:rsidRDefault="00910B5D" w:rsidP="00A13896">
      <w:r>
        <w:continuationSeparator/>
      </w:r>
    </w:p>
  </w:footnote>
  <w:footnote w:id="1">
    <w:p w:rsidR="00735ED1" w:rsidRDefault="00735ED1">
      <w:pPr>
        <w:pStyle w:val="FootnoteText"/>
      </w:pPr>
      <w:r>
        <w:rPr>
          <w:rStyle w:val="FootnoteReference"/>
        </w:rPr>
        <w:footnoteRef/>
      </w:r>
      <w:r>
        <w:t xml:space="preserve"> Declaration of Lynn Logen in Support of Puget Sound Energy’s Motion for Summary Determination (April 12, 2010), Exhibit C, Tariff WN-U-60, Electric Tariff G, Schedule 80, Fourth Revision of Sheet 80b, last line. </w:t>
      </w:r>
    </w:p>
  </w:footnote>
  <w:footnote w:id="2">
    <w:p w:rsidR="00735ED1" w:rsidRDefault="00735ED1">
      <w:pPr>
        <w:pStyle w:val="FootnoteText"/>
      </w:pPr>
      <w:r>
        <w:rPr>
          <w:rStyle w:val="FootnoteReference"/>
        </w:rPr>
        <w:footnoteRef/>
      </w:r>
      <w:r>
        <w:t xml:space="preserve"> Though PSE’s tariff does not define “resale,” PSE Tariff WN-U-60, Electric Tariff G, Fifth Revision of Sheet 7-c expressly permits master meter customers to “directly pass electric costs on to the Occupants … on a per kWh basis” so long as the rate is no higher than “the average cents per kWh calculated from the Company’s monthly billing.”  This is the same concept PSE advances in this case.  However, that tariff provision applies only to apartment buildings four stories or more.  Staff requests the Commission take official notice of these provisions per WAC 480-07-495(2)(a)(1)(C).</w:t>
      </w:r>
    </w:p>
  </w:footnote>
  <w:footnote w:id="3">
    <w:p w:rsidR="00735ED1" w:rsidRDefault="00735ED1">
      <w:pPr>
        <w:pStyle w:val="FootnoteText"/>
      </w:pPr>
      <w:r>
        <w:rPr>
          <w:rStyle w:val="FootnoteReference"/>
        </w:rPr>
        <w:footnoteRef/>
      </w:r>
      <w:r>
        <w:t xml:space="preserve"> Declaration of Steve Young in Support of Salmon Shores’ Motion for Removing Salmon Shores RV Park as a Respondent (April 3, 2010) at 1, Paragraph 3.</w:t>
      </w:r>
    </w:p>
  </w:footnote>
  <w:footnote w:id="4">
    <w:p w:rsidR="00735ED1" w:rsidRDefault="00735ED1">
      <w:pPr>
        <w:pStyle w:val="FootnoteText"/>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at 1, Paragraph 2.</w:t>
      </w:r>
    </w:p>
  </w:footnote>
  <w:footnote w:id="5">
    <w:p w:rsidR="00735ED1" w:rsidRDefault="00735ED1">
      <w:pPr>
        <w:pStyle w:val="FootnoteText"/>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at 2, Paragraph 4.</w:t>
      </w:r>
    </w:p>
  </w:footnote>
  <w:footnote w:id="6">
    <w:p w:rsidR="00735ED1" w:rsidRDefault="00735ED1">
      <w:pPr>
        <w:pStyle w:val="FootnoteText"/>
      </w:pPr>
      <w:r>
        <w:rPr>
          <w:rStyle w:val="FootnoteReference"/>
        </w:rPr>
        <w:footnoteRef/>
      </w:r>
      <w:r>
        <w:t xml:space="preserve"> Declaration of Lynn Logen in Support of Puget Sound Energy’s Motion for Summary Determination (April 12, 2010) at 1, Paragraph 2, and at 2, Paragraph 4.</w:t>
      </w:r>
    </w:p>
  </w:footnote>
  <w:footnote w:id="7">
    <w:p w:rsidR="00735ED1" w:rsidRDefault="00735ED1" w:rsidP="00FB12DE">
      <w:pPr>
        <w:pStyle w:val="FootnoteText"/>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at 4, Paragraph12.</w:t>
      </w:r>
    </w:p>
  </w:footnote>
  <w:footnote w:id="8">
    <w:p w:rsidR="00735ED1" w:rsidRDefault="00735ED1">
      <w:pPr>
        <w:pStyle w:val="FootnoteText"/>
      </w:pPr>
      <w:r>
        <w:rPr>
          <w:rStyle w:val="FootnoteReference"/>
        </w:rPr>
        <w:footnoteRef/>
      </w:r>
      <w:r>
        <w:t xml:space="preserve"> Declaration of Lynn Logen in Support of Puget Sound Energy’s Motion for Summary Determination (April 12, 2010) at 4, Paragraphs 10-12.</w:t>
      </w:r>
    </w:p>
  </w:footnote>
  <w:footnote w:id="9">
    <w:p w:rsidR="00735ED1" w:rsidRDefault="00735ED1" w:rsidP="00D3498D">
      <w:pPr>
        <w:pStyle w:val="FootnoteText"/>
      </w:pPr>
      <w:r>
        <w:rPr>
          <w:rStyle w:val="FootnoteReference"/>
        </w:rPr>
        <w:footnoteRef/>
      </w:r>
      <w:r>
        <w:t xml:space="preserve"> Declaration of Steve Young in Support of Salmon Shores Motion for Removing Salmon Shores RV Park as a Respondent (April 3, 2010) at 2, Paragraph 4.</w:t>
      </w:r>
    </w:p>
  </w:footnote>
  <w:footnote w:id="10">
    <w:p w:rsidR="00735ED1" w:rsidRDefault="00735ED1" w:rsidP="00437D02">
      <w:pPr>
        <w:pStyle w:val="FootnoteText"/>
      </w:pPr>
      <w:r>
        <w:rPr>
          <w:rStyle w:val="FootnoteReference"/>
        </w:rPr>
        <w:footnoteRef/>
      </w:r>
      <w:r>
        <w:t xml:space="preserve"> Attachments 2-7 to the Complaint are the source of these EAC amounts.</w:t>
      </w:r>
    </w:p>
  </w:footnote>
  <w:footnote w:id="11">
    <w:p w:rsidR="00735ED1" w:rsidRDefault="00735ED1">
      <w:pPr>
        <w:pStyle w:val="FootnoteText"/>
      </w:pPr>
      <w:r>
        <w:rPr>
          <w:rStyle w:val="FootnoteReference"/>
        </w:rPr>
        <w:footnoteRef/>
      </w:r>
      <w:r>
        <w:t xml:space="preserve"> The American Heritage Dictionary of the English Language (4</w:t>
      </w:r>
      <w:r w:rsidRPr="00631EAF">
        <w:rPr>
          <w:vertAlign w:val="superscript"/>
        </w:rPr>
        <w:t>th</w:t>
      </w:r>
      <w:r>
        <w:t xml:space="preserve"> ed. 2000) at 1482.</w:t>
      </w:r>
    </w:p>
  </w:footnote>
  <w:footnote w:id="12">
    <w:p w:rsidR="00735ED1" w:rsidRDefault="00735ED1">
      <w:pPr>
        <w:pStyle w:val="FootnoteText"/>
      </w:pPr>
      <w:r>
        <w:rPr>
          <w:rStyle w:val="FootnoteReference"/>
        </w:rPr>
        <w:footnoteRef/>
      </w:r>
      <w:r>
        <w:t xml:space="preserve"> The Random House Dictionary of the English Language (2</w:t>
      </w:r>
      <w:r w:rsidRPr="00631EAF">
        <w:rPr>
          <w:vertAlign w:val="superscript"/>
        </w:rPr>
        <w:t>nd</w:t>
      </w:r>
      <w:r>
        <w:t xml:space="preserve"> ed. 1983) at 1637.</w:t>
      </w:r>
    </w:p>
  </w:footnote>
  <w:footnote w:id="13">
    <w:p w:rsidR="00735ED1" w:rsidRDefault="00735ED1">
      <w:pPr>
        <w:pStyle w:val="FootnoteText"/>
      </w:pPr>
      <w:r>
        <w:rPr>
          <w:rStyle w:val="FootnoteReference"/>
        </w:rPr>
        <w:footnoteRef/>
      </w:r>
      <w:r>
        <w:t xml:space="preserve"> In Part V, infra, we discuss remedies as to PSE and Salmon Shores.</w:t>
      </w:r>
    </w:p>
  </w:footnote>
  <w:footnote w:id="14">
    <w:p w:rsidR="00735ED1" w:rsidRDefault="00735ED1">
      <w:pPr>
        <w:pStyle w:val="FootnoteText"/>
      </w:pPr>
      <w:r>
        <w:rPr>
          <w:rStyle w:val="FootnoteReference"/>
        </w:rPr>
        <w:footnoteRef/>
      </w:r>
      <w:r>
        <w:t xml:space="preserve"> Staff found no case in which a commission or court considered the landlord’s recovery of its electricity cost through rents charged its tenants to be “resale” of electricity.  </w:t>
      </w:r>
    </w:p>
  </w:footnote>
  <w:footnote w:id="15">
    <w:p w:rsidR="00735ED1" w:rsidRDefault="00735ED1" w:rsidP="00F8551B">
      <w:pPr>
        <w:pStyle w:val="ListParagraph"/>
        <w:ind w:left="0"/>
        <w:rPr>
          <w:sz w:val="20"/>
        </w:rPr>
      </w:pPr>
      <w:r w:rsidRPr="00F8551B">
        <w:rPr>
          <w:rStyle w:val="FootnoteReference"/>
          <w:sz w:val="20"/>
        </w:rPr>
        <w:footnoteRef/>
      </w:r>
      <w:r w:rsidRPr="00F8551B">
        <w:rPr>
          <w:sz w:val="20"/>
        </w:rPr>
        <w:t xml:space="preserve"> Staff also reviewed the relevant tariffs for Pacific Power &amp; Light Company and Avista Corp.  </w:t>
      </w:r>
      <w:r>
        <w:rPr>
          <w:sz w:val="20"/>
        </w:rPr>
        <w:t>Though neither tariff defines “resale,” in</w:t>
      </w:r>
      <w:r w:rsidRPr="00F8551B">
        <w:rPr>
          <w:sz w:val="20"/>
        </w:rPr>
        <w:t xml:space="preserve"> Tariff WN U-74, Second Revised Sheet D2(e), PacifiCorp permits resale as follows (emphasis added):</w:t>
      </w:r>
    </w:p>
    <w:p w:rsidR="00735ED1" w:rsidRPr="00F8551B" w:rsidRDefault="00735ED1" w:rsidP="00F8551B">
      <w:pPr>
        <w:pStyle w:val="ListParagraph"/>
        <w:rPr>
          <w:sz w:val="20"/>
        </w:rPr>
      </w:pPr>
      <w:r w:rsidRPr="00F8551B">
        <w:rPr>
          <w:sz w:val="20"/>
        </w:rPr>
        <w:t xml:space="preserve">Resale of service shall be limited to the Customer’s tenants using such services entirely within the property described in the written agreement.  Service resold to tenants shall be metered and </w:t>
      </w:r>
      <w:r w:rsidRPr="00F8551B">
        <w:rPr>
          <w:i/>
          <w:sz w:val="20"/>
        </w:rPr>
        <w:t>billed to each tenant at the Company’s regular tariff rate schedule applicable to the type of service actually furnished the tenants</w:t>
      </w:r>
      <w:r w:rsidRPr="00F8551B">
        <w:rPr>
          <w:sz w:val="20"/>
        </w:rPr>
        <w:t>.</w:t>
      </w:r>
    </w:p>
    <w:p w:rsidR="00735ED1" w:rsidRDefault="00735ED1" w:rsidP="00F91F8A">
      <w:pPr>
        <w:autoSpaceDE w:val="0"/>
        <w:autoSpaceDN w:val="0"/>
      </w:pPr>
      <w:r w:rsidRPr="00F8551B">
        <w:rPr>
          <w:sz w:val="20"/>
        </w:rPr>
        <w:t>Avista</w:t>
      </w:r>
      <w:r>
        <w:rPr>
          <w:sz w:val="20"/>
        </w:rPr>
        <w:t xml:space="preserve"> Corp.’s</w:t>
      </w:r>
      <w:r w:rsidRPr="00F8551B">
        <w:rPr>
          <w:sz w:val="20"/>
        </w:rPr>
        <w:t xml:space="preserve"> tariff states: </w:t>
      </w:r>
      <w:r>
        <w:rPr>
          <w:sz w:val="20"/>
        </w:rPr>
        <w:t xml:space="preserve">“… </w:t>
      </w:r>
      <w:r w:rsidRPr="00F8551B">
        <w:rPr>
          <w:bCs/>
          <w:sz w:val="20"/>
        </w:rPr>
        <w:t>Customers shall not sell</w:t>
      </w:r>
      <w:r w:rsidRPr="00F8551B">
        <w:rPr>
          <w:sz w:val="20"/>
        </w:rPr>
        <w:t>, or permit</w:t>
      </w:r>
      <w:r>
        <w:rPr>
          <w:sz w:val="20"/>
        </w:rPr>
        <w:t xml:space="preserve"> </w:t>
      </w:r>
      <w:r w:rsidRPr="00F8551B">
        <w:rPr>
          <w:sz w:val="20"/>
        </w:rPr>
        <w:t>others to use such service, except when expressly authorized to do so under</w:t>
      </w:r>
      <w:r>
        <w:rPr>
          <w:sz w:val="20"/>
        </w:rPr>
        <w:t xml:space="preserve"> </w:t>
      </w:r>
      <w:r w:rsidRPr="00F8551B">
        <w:rPr>
          <w:sz w:val="20"/>
        </w:rPr>
        <w:t>appropriate contract.</w:t>
      </w:r>
      <w:r>
        <w:rPr>
          <w:sz w:val="20"/>
        </w:rPr>
        <w:t>”  Tariff WN-U-20, Original Sheet 70-A, Paragraph 4.  Staff requests the Commission take official notice of these provisions per WAC 480-07-495(2)(a)(1)(C).</w:t>
      </w:r>
    </w:p>
  </w:footnote>
  <w:footnote w:id="16">
    <w:p w:rsidR="00735ED1" w:rsidRDefault="00735ED1" w:rsidP="00CC7015">
      <w:pPr>
        <w:pStyle w:val="FootnoteText"/>
      </w:pPr>
      <w:r>
        <w:rPr>
          <w:rStyle w:val="FootnoteReference"/>
        </w:rPr>
        <w:footnoteRef/>
      </w:r>
      <w:r>
        <w:t xml:space="preserve"> Declaration of Lynn Logen in Support of Puget Sound Energy’s Motion for Summary Determination (April 12, 2010) at 2, Paragraph 3.  Mr. Logen goes on to state in that same Paragraph 3:  “Where a landlord recovers some or all of their costs relating to providing electric service to tenants on a basis other than on a per kWh basis, service is not considered resold, even if the practice results in charges to tenants that amount to a total greater than PSE’s bill to the landlord.”  There is no evidence that Salmon Shores is charging its tenants in the aggregate or on a per customer basis an amount greater than what PSE has billed Salmon Shores.  Consequently, the just-quoted statement by Mr. Logen is not applicable to this case, and Staff takes no position on the validity of that statement.</w:t>
      </w:r>
    </w:p>
  </w:footnote>
  <w:footnote w:id="17">
    <w:p w:rsidR="00735ED1" w:rsidRDefault="00735ED1" w:rsidP="00F91F8A">
      <w:pPr>
        <w:pStyle w:val="ListParagraph"/>
        <w:ind w:left="0"/>
      </w:pPr>
      <w:r w:rsidRPr="00700CBD">
        <w:rPr>
          <w:rStyle w:val="FootnoteReference"/>
          <w:sz w:val="20"/>
        </w:rPr>
        <w:footnoteRef/>
      </w:r>
      <w:r w:rsidRPr="00700CBD">
        <w:rPr>
          <w:sz w:val="20"/>
        </w:rPr>
        <w:t xml:space="preserve"> </w:t>
      </w:r>
      <w:r>
        <w:rPr>
          <w:sz w:val="20"/>
        </w:rPr>
        <w:t>PSE Motion at 3, Paragraph</w:t>
      </w:r>
      <w:r w:rsidRPr="00700CBD">
        <w:rPr>
          <w:sz w:val="20"/>
        </w:rPr>
        <w:t xml:space="preserve"> 6</w:t>
      </w:r>
      <w:r>
        <w:rPr>
          <w:sz w:val="20"/>
        </w:rPr>
        <w:t>.</w:t>
      </w:r>
      <w:r w:rsidRPr="00700CBD">
        <w:rPr>
          <w:sz w:val="20"/>
        </w:rPr>
        <w:t xml:space="preserve">  </w:t>
      </w:r>
    </w:p>
  </w:footnote>
  <w:footnote w:id="18">
    <w:p w:rsidR="00735ED1" w:rsidRDefault="00735ED1">
      <w:pPr>
        <w:pStyle w:val="FootnoteText"/>
      </w:pPr>
      <w:r>
        <w:rPr>
          <w:rStyle w:val="FootnoteReference"/>
        </w:rPr>
        <w:footnoteRef/>
      </w:r>
      <w:r>
        <w:t xml:space="preserve"> </w:t>
      </w:r>
      <w:r w:rsidRPr="00A929C4">
        <w:rPr>
          <w:i/>
        </w:rPr>
        <w:t>See</w:t>
      </w:r>
      <w:r>
        <w:t xml:space="preserve"> Paragraphs </w:t>
      </w:r>
      <w:r w:rsidR="0087326E">
        <w:t>11-15</w:t>
      </w:r>
      <w:r>
        <w:t>, supra.</w:t>
      </w:r>
    </w:p>
  </w:footnote>
  <w:footnote w:id="19">
    <w:p w:rsidR="00735ED1" w:rsidRDefault="00735ED1">
      <w:pPr>
        <w:pStyle w:val="FootnoteText"/>
      </w:pPr>
      <w:r>
        <w:rPr>
          <w:rStyle w:val="FootnoteReference"/>
        </w:rPr>
        <w:footnoteRef/>
      </w:r>
      <w:r>
        <w:t xml:space="preserve"> This means that if Salmon Shores re-billed its tenants based on application of the full PSE “average” rate, some tenants may owe more than they previously paid, and some may owe less.  It is unclear how Complainant Mr. Binkley would fare in that calculus, but that is between Salmon Shores and Mr. Binkley; it is not the Commission’s issue.</w:t>
      </w:r>
    </w:p>
  </w:footnote>
  <w:footnote w:id="20">
    <w:p w:rsidR="00B62A29" w:rsidRDefault="00735ED1" w:rsidP="00D713F1">
      <w:pPr>
        <w:pStyle w:val="FootnoteText"/>
      </w:pPr>
      <w:r>
        <w:rPr>
          <w:rStyle w:val="FootnoteReference"/>
        </w:rPr>
        <w:footnoteRef/>
      </w:r>
      <w:r>
        <w:t xml:space="preserve"> We note at this juncture that Salmon Shores characterizes the EAC as a charge to recover Salmon Shores’ billing and collection costs.  Salmon Shores’ Motion for an Order Dismissing Salmon Shores RV Park as a Respondent (May 3, 2010) at 2, Paragraph 4, citing Steve Young Declaration at Paragraph 5.  However, as we have explained, Salmon Shores calculates the EAC based directly on electric charges from PSE.  Salmon Shores does not reflect in that calculation its own costs to bill and collect electricity charges from its tenants.  </w:t>
      </w:r>
    </w:p>
    <w:p w:rsidR="00735ED1" w:rsidRDefault="00735ED1" w:rsidP="00D713F1">
      <w:pPr>
        <w:pStyle w:val="FootnoteText"/>
      </w:pPr>
      <w:r>
        <w:tab/>
        <w:t>Moreover, if Salmon Shores were correct that the EAC recovers Salmon Shores’ billing and collection costs, those costs should be relatively stable over time.  In fact, the EAC has varied widely, as we showed in Paragraph 1</w:t>
      </w:r>
      <w:r w:rsidR="0087326E">
        <w:t>5</w:t>
      </w:r>
      <w:r>
        <w:t xml:space="preserve">, supra.  </w:t>
      </w:r>
      <w:r w:rsidRPr="00BC7220">
        <w:t xml:space="preserve">Therefore, </w:t>
      </w:r>
      <w:r>
        <w:t xml:space="preserve">this case does not present the issue </w:t>
      </w:r>
      <w:r w:rsidRPr="00BC7220">
        <w:t>w</w:t>
      </w:r>
      <w:r>
        <w:t>hether Salmon Shores can charge its tenants for electricity billing and collection costs and avoid the PSE resale prohibition, because Salmon Shore does not calculate the EAC as a charge for billing and collection cost reimbursement.</w:t>
      </w:r>
    </w:p>
  </w:footnote>
  <w:footnote w:id="21">
    <w:p w:rsidR="00735ED1" w:rsidRDefault="00735ED1">
      <w:pPr>
        <w:pStyle w:val="FootnoteText"/>
      </w:pPr>
      <w:r>
        <w:rPr>
          <w:rStyle w:val="FootnoteReference"/>
        </w:rPr>
        <w:footnoteRef/>
      </w:r>
      <w:r>
        <w:t xml:space="preserve"> Were Salmon Shores to simply charge the full amount of PSE’s “average” rate to each tenant’s metered kWh, the EAC likely would be so small as to not make it worthwhile.</w:t>
      </w:r>
    </w:p>
  </w:footnote>
  <w:footnote w:id="22">
    <w:p w:rsidR="00735ED1" w:rsidRDefault="00735ED1" w:rsidP="007771E0">
      <w:pPr>
        <w:pStyle w:val="FootnoteText"/>
      </w:pPr>
      <w:r>
        <w:rPr>
          <w:rStyle w:val="FootnoteReference"/>
        </w:rPr>
        <w:footnoteRef/>
      </w:r>
      <w:r>
        <w:t xml:space="preserve"> PSE would violate its duty to enforce its tariff.  This duty arises from the general requirement that PSE’s rules be just and reasonable (RCW 80.28.010(3)), and that it would be an unjust and unreasonable practice under RCW 80.28.040 for PSE to fail to enforce its tariff. </w:t>
      </w:r>
    </w:p>
  </w:footnote>
  <w:footnote w:id="23">
    <w:p w:rsidR="00735ED1" w:rsidRDefault="00735ED1">
      <w:pPr>
        <w:pStyle w:val="FootnoteText"/>
      </w:pPr>
      <w:r>
        <w:rPr>
          <w:rStyle w:val="FootnoteReference"/>
        </w:rPr>
        <w:footnoteRef/>
      </w:r>
      <w:r>
        <w:t xml:space="preserve"> </w:t>
      </w:r>
      <w:r>
        <w:rPr>
          <w:i/>
        </w:rPr>
        <w:t xml:space="preserve">See </w:t>
      </w:r>
      <w:r>
        <w:t>Paragraph 26, supra.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8D3"/>
    <w:multiLevelType w:val="hybridMultilevel"/>
    <w:tmpl w:val="AFE43496"/>
    <w:lvl w:ilvl="0" w:tplc="08C6F7A8">
      <w:start w:val="1"/>
      <w:numFmt w:val="decimal"/>
      <w:lvlText w:val="%1"/>
      <w:lvlJc w:val="left"/>
      <w:pPr>
        <w:ind w:left="720" w:hanging="720"/>
      </w:pPr>
      <w:rPr>
        <w:rFonts w:ascii="Times New Roman" w:hAnsi="Times New Roman" w:cs="Times New Roman" w:hint="default"/>
        <w:b w:val="0"/>
        <w:i/>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16B68C3"/>
    <w:multiLevelType w:val="hybridMultilevel"/>
    <w:tmpl w:val="CE6449A8"/>
    <w:lvl w:ilvl="0" w:tplc="08C6F7A8">
      <w:start w:val="1"/>
      <w:numFmt w:val="decimal"/>
      <w:lvlText w:val="%1"/>
      <w:lvlJc w:val="left"/>
      <w:pPr>
        <w:ind w:hanging="720"/>
      </w:pPr>
      <w:rPr>
        <w:rFonts w:ascii="Times New Roman" w:hAnsi="Times New Roman" w:cs="Times New Roman" w:hint="default"/>
        <w:b w:val="0"/>
        <w:i/>
        <w:sz w:val="24"/>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88C47FE"/>
    <w:multiLevelType w:val="hybridMultilevel"/>
    <w:tmpl w:val="2F6E1888"/>
    <w:lvl w:ilvl="0" w:tplc="08C6F7A8">
      <w:start w:val="1"/>
      <w:numFmt w:val="decimal"/>
      <w:lvlText w:val="%1"/>
      <w:lvlJc w:val="left"/>
      <w:pPr>
        <w:ind w:left="720" w:hanging="720"/>
      </w:pPr>
      <w:rPr>
        <w:rFonts w:ascii="Times New Roman" w:hAnsi="Times New Roman" w:cs="Times New Roman" w:hint="default"/>
        <w:b w:val="0"/>
        <w:i/>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2C6C752F"/>
    <w:multiLevelType w:val="hybridMultilevel"/>
    <w:tmpl w:val="A6A6DD30"/>
    <w:lvl w:ilvl="0" w:tplc="08C6F7A8">
      <w:start w:val="1"/>
      <w:numFmt w:val="decimal"/>
      <w:lvlText w:val="%1"/>
      <w:lvlJc w:val="left"/>
      <w:pPr>
        <w:ind w:left="720" w:hanging="720"/>
      </w:pPr>
      <w:rPr>
        <w:rFonts w:ascii="Times New Roman" w:hAnsi="Times New Roman" w:cs="Times New Roman" w:hint="default"/>
        <w:b w:val="0"/>
        <w:i/>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CC25AAA"/>
    <w:multiLevelType w:val="hybridMultilevel"/>
    <w:tmpl w:val="F4DC4E52"/>
    <w:lvl w:ilvl="0" w:tplc="08C6F7A8">
      <w:start w:val="1"/>
      <w:numFmt w:val="decimal"/>
      <w:lvlText w:val="%1"/>
      <w:lvlJc w:val="left"/>
      <w:pPr>
        <w:ind w:left="720" w:hanging="720"/>
      </w:pPr>
      <w:rPr>
        <w:rFonts w:ascii="Times New Roman" w:hAnsi="Times New Roman" w:cs="Times New Roman" w:hint="default"/>
        <w:b w:val="0"/>
        <w:i/>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EC503EE"/>
    <w:multiLevelType w:val="hybridMultilevel"/>
    <w:tmpl w:val="1B3E681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D875462"/>
    <w:multiLevelType w:val="hybridMultilevel"/>
    <w:tmpl w:val="E0CC9310"/>
    <w:lvl w:ilvl="0" w:tplc="8D4CFDE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characterSpacingControl w:val="doNotCompress"/>
  <w:footnotePr>
    <w:footnote w:id="-1"/>
    <w:footnote w:id="0"/>
  </w:footnotePr>
  <w:endnotePr>
    <w:endnote w:id="-1"/>
    <w:endnote w:id="0"/>
  </w:endnotePr>
  <w:compat/>
  <w:rsids>
    <w:rsidRoot w:val="00333121"/>
    <w:rsid w:val="000364F6"/>
    <w:rsid w:val="00056CC7"/>
    <w:rsid w:val="00083AB3"/>
    <w:rsid w:val="00087DB4"/>
    <w:rsid w:val="00093C67"/>
    <w:rsid w:val="000C7D2F"/>
    <w:rsid w:val="00101D12"/>
    <w:rsid w:val="00142CE0"/>
    <w:rsid w:val="00184437"/>
    <w:rsid w:val="00194DDA"/>
    <w:rsid w:val="001B4742"/>
    <w:rsid w:val="001C6305"/>
    <w:rsid w:val="001D555F"/>
    <w:rsid w:val="001D78AE"/>
    <w:rsid w:val="00221359"/>
    <w:rsid w:val="002217B8"/>
    <w:rsid w:val="00225ED4"/>
    <w:rsid w:val="00244718"/>
    <w:rsid w:val="00283421"/>
    <w:rsid w:val="00286DE4"/>
    <w:rsid w:val="00297D86"/>
    <w:rsid w:val="002D69D8"/>
    <w:rsid w:val="002E5690"/>
    <w:rsid w:val="002F2B7B"/>
    <w:rsid w:val="00301640"/>
    <w:rsid w:val="00312BAD"/>
    <w:rsid w:val="00317F89"/>
    <w:rsid w:val="00333121"/>
    <w:rsid w:val="00341249"/>
    <w:rsid w:val="0035263F"/>
    <w:rsid w:val="0035594D"/>
    <w:rsid w:val="00364BC7"/>
    <w:rsid w:val="00382A5D"/>
    <w:rsid w:val="003C0BD6"/>
    <w:rsid w:val="003D2C20"/>
    <w:rsid w:val="00404BDC"/>
    <w:rsid w:val="00436CEF"/>
    <w:rsid w:val="00437D02"/>
    <w:rsid w:val="004430A6"/>
    <w:rsid w:val="00445996"/>
    <w:rsid w:val="004566FE"/>
    <w:rsid w:val="00480450"/>
    <w:rsid w:val="004A2910"/>
    <w:rsid w:val="004F1AA2"/>
    <w:rsid w:val="0051296E"/>
    <w:rsid w:val="00527F1F"/>
    <w:rsid w:val="00593201"/>
    <w:rsid w:val="00596BDF"/>
    <w:rsid w:val="005A4EB4"/>
    <w:rsid w:val="005B6924"/>
    <w:rsid w:val="005C25D5"/>
    <w:rsid w:val="005F239C"/>
    <w:rsid w:val="00612AA3"/>
    <w:rsid w:val="00616BC1"/>
    <w:rsid w:val="0062303E"/>
    <w:rsid w:val="00627286"/>
    <w:rsid w:val="00631EAF"/>
    <w:rsid w:val="00647283"/>
    <w:rsid w:val="006761ED"/>
    <w:rsid w:val="006A2DDF"/>
    <w:rsid w:val="006B4CD5"/>
    <w:rsid w:val="006B7946"/>
    <w:rsid w:val="00700A92"/>
    <w:rsid w:val="00700CBD"/>
    <w:rsid w:val="00714EDA"/>
    <w:rsid w:val="00735944"/>
    <w:rsid w:val="00735ED1"/>
    <w:rsid w:val="0076555C"/>
    <w:rsid w:val="00766E01"/>
    <w:rsid w:val="007771E0"/>
    <w:rsid w:val="00784E4D"/>
    <w:rsid w:val="007B349A"/>
    <w:rsid w:val="007D612C"/>
    <w:rsid w:val="00804AA7"/>
    <w:rsid w:val="00810C2A"/>
    <w:rsid w:val="0081510C"/>
    <w:rsid w:val="00850DEC"/>
    <w:rsid w:val="00856684"/>
    <w:rsid w:val="0086121F"/>
    <w:rsid w:val="0086281B"/>
    <w:rsid w:val="00872332"/>
    <w:rsid w:val="0087326E"/>
    <w:rsid w:val="00897700"/>
    <w:rsid w:val="008A0835"/>
    <w:rsid w:val="008A088B"/>
    <w:rsid w:val="008A3530"/>
    <w:rsid w:val="008A7745"/>
    <w:rsid w:val="008B3A03"/>
    <w:rsid w:val="008D1625"/>
    <w:rsid w:val="008E5B6C"/>
    <w:rsid w:val="008F4396"/>
    <w:rsid w:val="009004C7"/>
    <w:rsid w:val="00910B5D"/>
    <w:rsid w:val="0091461C"/>
    <w:rsid w:val="0094501C"/>
    <w:rsid w:val="00970651"/>
    <w:rsid w:val="009852D6"/>
    <w:rsid w:val="009953A5"/>
    <w:rsid w:val="009A1961"/>
    <w:rsid w:val="009C71F2"/>
    <w:rsid w:val="00A068AD"/>
    <w:rsid w:val="00A13896"/>
    <w:rsid w:val="00A16EBE"/>
    <w:rsid w:val="00A57C08"/>
    <w:rsid w:val="00A73C86"/>
    <w:rsid w:val="00A82C93"/>
    <w:rsid w:val="00A929C4"/>
    <w:rsid w:val="00AB3E05"/>
    <w:rsid w:val="00AC55EA"/>
    <w:rsid w:val="00AD502D"/>
    <w:rsid w:val="00B53F6E"/>
    <w:rsid w:val="00B60D17"/>
    <w:rsid w:val="00B62A29"/>
    <w:rsid w:val="00B75280"/>
    <w:rsid w:val="00B90AD8"/>
    <w:rsid w:val="00B9306B"/>
    <w:rsid w:val="00BC7220"/>
    <w:rsid w:val="00C15ABA"/>
    <w:rsid w:val="00C5550A"/>
    <w:rsid w:val="00C60FC6"/>
    <w:rsid w:val="00C96D14"/>
    <w:rsid w:val="00CA6DAE"/>
    <w:rsid w:val="00CB1F51"/>
    <w:rsid w:val="00CC0EF9"/>
    <w:rsid w:val="00CC7015"/>
    <w:rsid w:val="00CD497A"/>
    <w:rsid w:val="00CE2F02"/>
    <w:rsid w:val="00CF155C"/>
    <w:rsid w:val="00CF514B"/>
    <w:rsid w:val="00CF763C"/>
    <w:rsid w:val="00D04B78"/>
    <w:rsid w:val="00D276C3"/>
    <w:rsid w:val="00D3498D"/>
    <w:rsid w:val="00D55F0D"/>
    <w:rsid w:val="00D713F1"/>
    <w:rsid w:val="00DA4181"/>
    <w:rsid w:val="00DB4C18"/>
    <w:rsid w:val="00DF5C50"/>
    <w:rsid w:val="00E01217"/>
    <w:rsid w:val="00E56545"/>
    <w:rsid w:val="00E62C61"/>
    <w:rsid w:val="00ED215A"/>
    <w:rsid w:val="00EF27C0"/>
    <w:rsid w:val="00EF65AB"/>
    <w:rsid w:val="00F55BBF"/>
    <w:rsid w:val="00F7706D"/>
    <w:rsid w:val="00F77F18"/>
    <w:rsid w:val="00F831EE"/>
    <w:rsid w:val="00F8551B"/>
    <w:rsid w:val="00F91F8A"/>
    <w:rsid w:val="00FB12DE"/>
    <w:rsid w:val="00FC59D8"/>
    <w:rsid w:val="00FE041E"/>
    <w:rsid w:val="00FF4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51"/>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13896"/>
    <w:rPr>
      <w:sz w:val="20"/>
    </w:rPr>
  </w:style>
  <w:style w:type="character" w:customStyle="1" w:styleId="FootnoteTextChar">
    <w:name w:val="Footnote Text Char"/>
    <w:basedOn w:val="DefaultParagraphFont"/>
    <w:link w:val="FootnoteText"/>
    <w:uiPriority w:val="99"/>
    <w:semiHidden/>
    <w:locked/>
    <w:rsid w:val="00A13896"/>
    <w:rPr>
      <w:rFonts w:cs="Times New Roman"/>
      <w:sz w:val="20"/>
    </w:rPr>
  </w:style>
  <w:style w:type="character" w:styleId="FootnoteReference">
    <w:name w:val="footnote reference"/>
    <w:basedOn w:val="DefaultParagraphFont"/>
    <w:uiPriority w:val="99"/>
    <w:semiHidden/>
    <w:rsid w:val="00A13896"/>
    <w:rPr>
      <w:rFonts w:cs="Times New Roman"/>
      <w:vertAlign w:val="superscript"/>
    </w:rPr>
  </w:style>
  <w:style w:type="paragraph" w:styleId="Title">
    <w:name w:val="Title"/>
    <w:basedOn w:val="Normal"/>
    <w:link w:val="TitleChar"/>
    <w:uiPriority w:val="99"/>
    <w:qFormat/>
    <w:rsid w:val="00784E4D"/>
    <w:pPr>
      <w:jc w:val="center"/>
    </w:pPr>
    <w:rPr>
      <w:rFonts w:ascii="Palatino Linotype" w:eastAsia="Times New Roman" w:hAnsi="Palatino Linotype"/>
      <w:b/>
      <w:bCs/>
      <w:szCs w:val="24"/>
    </w:rPr>
  </w:style>
  <w:style w:type="character" w:customStyle="1" w:styleId="TitleChar">
    <w:name w:val="Title Char"/>
    <w:basedOn w:val="DefaultParagraphFont"/>
    <w:link w:val="Title"/>
    <w:uiPriority w:val="99"/>
    <w:locked/>
    <w:rsid w:val="00784E4D"/>
    <w:rPr>
      <w:rFonts w:ascii="Palatino Linotype" w:hAnsi="Palatino Linotype" w:cs="Times New Roman"/>
      <w:b/>
      <w:bCs/>
      <w:sz w:val="24"/>
      <w:szCs w:val="24"/>
    </w:rPr>
  </w:style>
  <w:style w:type="paragraph" w:styleId="BodyTextIndent2">
    <w:name w:val="Body Text Indent 2"/>
    <w:basedOn w:val="Normal"/>
    <w:link w:val="BodyTextIndent2Char"/>
    <w:uiPriority w:val="99"/>
    <w:rsid w:val="00784E4D"/>
    <w:pPr>
      <w:ind w:left="686"/>
    </w:pPr>
    <w:rPr>
      <w:rFonts w:ascii="Palatino Linotype" w:eastAsia="Times New Roman" w:hAnsi="Palatino Linotype"/>
      <w:szCs w:val="24"/>
    </w:rPr>
  </w:style>
  <w:style w:type="character" w:customStyle="1" w:styleId="BodyTextIndent2Char">
    <w:name w:val="Body Text Indent 2 Char"/>
    <w:basedOn w:val="DefaultParagraphFont"/>
    <w:link w:val="BodyTextIndent2"/>
    <w:uiPriority w:val="99"/>
    <w:locked/>
    <w:rsid w:val="00784E4D"/>
    <w:rPr>
      <w:rFonts w:ascii="Palatino Linotype" w:hAnsi="Palatino Linotype" w:cs="Times New Roman"/>
      <w:sz w:val="24"/>
      <w:szCs w:val="24"/>
    </w:rPr>
  </w:style>
  <w:style w:type="paragraph" w:styleId="Header">
    <w:name w:val="header"/>
    <w:basedOn w:val="Normal"/>
    <w:link w:val="HeaderChar"/>
    <w:uiPriority w:val="99"/>
    <w:semiHidden/>
    <w:rsid w:val="00784E4D"/>
    <w:pPr>
      <w:tabs>
        <w:tab w:val="center" w:pos="4680"/>
        <w:tab w:val="right" w:pos="9360"/>
      </w:tabs>
    </w:pPr>
  </w:style>
  <w:style w:type="character" w:customStyle="1" w:styleId="HeaderChar">
    <w:name w:val="Header Char"/>
    <w:basedOn w:val="DefaultParagraphFont"/>
    <w:link w:val="Header"/>
    <w:uiPriority w:val="99"/>
    <w:semiHidden/>
    <w:locked/>
    <w:rsid w:val="00784E4D"/>
    <w:rPr>
      <w:rFonts w:cs="Times New Roman"/>
    </w:rPr>
  </w:style>
  <w:style w:type="paragraph" w:styleId="Footer">
    <w:name w:val="footer"/>
    <w:basedOn w:val="Normal"/>
    <w:link w:val="FooterChar"/>
    <w:uiPriority w:val="99"/>
    <w:semiHidden/>
    <w:rsid w:val="00784E4D"/>
    <w:pPr>
      <w:tabs>
        <w:tab w:val="center" w:pos="4680"/>
        <w:tab w:val="right" w:pos="9360"/>
      </w:tabs>
    </w:pPr>
  </w:style>
  <w:style w:type="character" w:customStyle="1" w:styleId="FooterChar">
    <w:name w:val="Footer Char"/>
    <w:basedOn w:val="DefaultParagraphFont"/>
    <w:link w:val="Footer"/>
    <w:uiPriority w:val="99"/>
    <w:semiHidden/>
    <w:locked/>
    <w:rsid w:val="00784E4D"/>
    <w:rPr>
      <w:rFonts w:cs="Times New Roman"/>
    </w:rPr>
  </w:style>
  <w:style w:type="paragraph" w:styleId="ListParagraph">
    <w:name w:val="List Paragraph"/>
    <w:basedOn w:val="Normal"/>
    <w:uiPriority w:val="34"/>
    <w:qFormat/>
    <w:rsid w:val="009C71F2"/>
    <w:pPr>
      <w:ind w:left="720"/>
      <w:contextualSpacing/>
    </w:pPr>
  </w:style>
  <w:style w:type="paragraph" w:styleId="BalloonText">
    <w:name w:val="Balloon Text"/>
    <w:basedOn w:val="Normal"/>
    <w:link w:val="BalloonTextChar"/>
    <w:uiPriority w:val="99"/>
    <w:semiHidden/>
    <w:rsid w:val="00FE04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04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4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2009-09-14T07:00:00+00:00</OpenedDate>
    <Date1 xmlns="dc463f71-b30c-4ab2-9473-d307f9d35888">2010-05-24T07:00:00+00:00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091531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F9F4016E74264D89E301FE540D18D2" ma:contentTypeVersion="131" ma:contentTypeDescription="" ma:contentTypeScope="" ma:versionID="0e3a4e1ebd4e509945a4e2ccff184a9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391BD2-F100-4094-BC28-AADFC972812C}"/>
</file>

<file path=customXml/itemProps2.xml><?xml version="1.0" encoding="utf-8"?>
<ds:datastoreItem xmlns:ds="http://schemas.openxmlformats.org/officeDocument/2006/customXml" ds:itemID="{D3EFEF7D-F2E4-43FD-95E9-DE0C18A9E95E}"/>
</file>

<file path=customXml/itemProps3.xml><?xml version="1.0" encoding="utf-8"?>
<ds:datastoreItem xmlns:ds="http://schemas.openxmlformats.org/officeDocument/2006/customXml" ds:itemID="{7B8EBCA8-DAB2-4CC9-9DA7-D6C02E4F275C}"/>
</file>

<file path=customXml/itemProps4.xml><?xml version="1.0" encoding="utf-8"?>
<ds:datastoreItem xmlns:ds="http://schemas.openxmlformats.org/officeDocument/2006/customXml" ds:itemID="{041843AF-61A8-4BC4-B6AE-5DFEC4241004}"/>
</file>

<file path=customXml/itemProps5.xml><?xml version="1.0" encoding="utf-8"?>
<ds:datastoreItem xmlns:ds="http://schemas.openxmlformats.org/officeDocument/2006/customXml" ds:itemID="{BB9C9B7E-72DB-4A6D-A360-1A28A11469AD}"/>
</file>

<file path=docProps/app.xml><?xml version="1.0" encoding="utf-8"?>
<Properties xmlns="http://schemas.openxmlformats.org/officeDocument/2006/extended-properties" xmlns:vt="http://schemas.openxmlformats.org/officeDocument/2006/docPropsVTypes">
  <Template>Normal.dotm</Template>
  <TotalTime>6</TotalTime>
  <Pages>11</Pages>
  <Words>2548</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BEFORE THE WASHINGTON STATE UTILITIES AND TRANSPORTATION COMMISSION</vt:lpstr>
    </vt:vector>
  </TitlesOfParts>
  <Company>Washington Utilities and Transportation Commission</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 UTILITIES AND TRANSPORTATION COMMISSION</dc:title>
  <dc:subject/>
  <dc:creator>Don Trotter</dc:creator>
  <cp:keywords/>
  <dc:description/>
  <cp:lastModifiedBy>Krista Gross</cp:lastModifiedBy>
  <cp:revision>3</cp:revision>
  <cp:lastPrinted>2010-05-24T20:13:00Z</cp:lastPrinted>
  <dcterms:created xsi:type="dcterms:W3CDTF">2010-05-24T20:13:00Z</dcterms:created>
  <dcterms:modified xsi:type="dcterms:W3CDTF">2010-05-24T20:13:00Z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0x0101006E56B4D1795A2E4DB2F0B01679ED314A00FEF9F4016E74264D89E301FE540D18D2</vt:lpwstr>
  </property>
  <property fmtid="{D5CDD505-2E9C-101B-9397-08002B2CF9AE}" pid="3" name="_docset_NoMedatataSyncRequired">
    <vt:lpwstr>False</vt:lpwstr>
  </property>
</Properties>
</file>