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E6" w:rsidRPr="000175E9" w:rsidRDefault="00DC05E6" w:rsidP="00034D68">
      <w:pPr>
        <w:pStyle w:val="Header"/>
        <w:jc w:val="center"/>
        <w:rPr>
          <w:b/>
        </w:rPr>
      </w:pPr>
      <w:r w:rsidRPr="000175E9">
        <w:rPr>
          <w:b/>
        </w:rPr>
        <w:t>BEFORE THE WASHINGTON UTILITIES AND TRANSPORTATION COMMISSION</w:t>
      </w:r>
    </w:p>
    <w:p w:rsidR="00DC05E6" w:rsidRPr="000175E9" w:rsidRDefault="00DC05E6" w:rsidP="00DC05E6">
      <w:pPr>
        <w:pStyle w:val="Heade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DC05E6" w:rsidRPr="000175E9" w:rsidTr="00B0468A">
        <w:tc>
          <w:tcPr>
            <w:tcW w:w="4590" w:type="dxa"/>
            <w:tcBorders>
              <w:top w:val="single" w:sz="6" w:space="0" w:color="FFFFFF"/>
              <w:left w:val="single" w:sz="6" w:space="0" w:color="FFFFFF"/>
              <w:bottom w:val="single" w:sz="7" w:space="0" w:color="000000"/>
              <w:right w:val="single" w:sz="6" w:space="0" w:color="FFFFFF"/>
            </w:tcBorders>
          </w:tcPr>
          <w:p w:rsidR="00DC05E6" w:rsidRPr="000175E9" w:rsidRDefault="00DC05E6" w:rsidP="00B0468A">
            <w:pPr>
              <w:pStyle w:val="Header"/>
              <w:tabs>
                <w:tab w:val="left" w:pos="681"/>
                <w:tab w:val="left" w:pos="1401"/>
              </w:tabs>
              <w:rPr>
                <w:b/>
              </w:rPr>
            </w:pPr>
            <w:r w:rsidRPr="000175E9">
              <w:rPr>
                <w:b/>
              </w:rPr>
              <w:t xml:space="preserve">WASHINGTON UTILITIES AND TRANSPORTATION COMMISSION, </w:t>
            </w:r>
          </w:p>
          <w:p w:rsidR="00DC05E6" w:rsidRPr="000175E9" w:rsidRDefault="00DC05E6" w:rsidP="00B0468A">
            <w:pPr>
              <w:pStyle w:val="Header"/>
              <w:tabs>
                <w:tab w:val="left" w:pos="681"/>
                <w:tab w:val="left" w:pos="1401"/>
              </w:tabs>
              <w:rPr>
                <w:b/>
              </w:rPr>
            </w:pPr>
          </w:p>
          <w:p w:rsidR="00DC05E6" w:rsidRPr="000175E9" w:rsidRDefault="00DC05E6" w:rsidP="00B0468A">
            <w:pPr>
              <w:pStyle w:val="Header"/>
              <w:tabs>
                <w:tab w:val="left" w:pos="681"/>
                <w:tab w:val="left" w:pos="1401"/>
              </w:tabs>
              <w:rPr>
                <w:b/>
              </w:rPr>
            </w:pPr>
            <w:r w:rsidRPr="000175E9">
              <w:rPr>
                <w:b/>
              </w:rPr>
              <w:tab/>
            </w:r>
            <w:r w:rsidRPr="000175E9">
              <w:rPr>
                <w:b/>
              </w:rPr>
              <w:tab/>
              <w:t>Complainant,</w:t>
            </w:r>
          </w:p>
          <w:p w:rsidR="00DC05E6" w:rsidRPr="000175E9" w:rsidRDefault="00DC05E6" w:rsidP="00B0468A">
            <w:pPr>
              <w:pStyle w:val="Header"/>
              <w:tabs>
                <w:tab w:val="left" w:pos="681"/>
                <w:tab w:val="left" w:pos="1401"/>
              </w:tabs>
              <w:rPr>
                <w:b/>
              </w:rPr>
            </w:pPr>
          </w:p>
          <w:p w:rsidR="00DC05E6" w:rsidRPr="000175E9" w:rsidRDefault="00DC05E6" w:rsidP="00B0468A">
            <w:pPr>
              <w:pStyle w:val="Header"/>
              <w:tabs>
                <w:tab w:val="left" w:pos="681"/>
                <w:tab w:val="left" w:pos="1401"/>
              </w:tabs>
              <w:rPr>
                <w:b/>
              </w:rPr>
            </w:pPr>
            <w:r w:rsidRPr="000175E9">
              <w:rPr>
                <w:b/>
              </w:rPr>
              <w:tab/>
              <w:t>v.</w:t>
            </w:r>
          </w:p>
          <w:p w:rsidR="00DC05E6" w:rsidRPr="000175E9" w:rsidRDefault="00DC05E6" w:rsidP="00B0468A">
            <w:pPr>
              <w:pStyle w:val="Header"/>
              <w:tabs>
                <w:tab w:val="left" w:pos="681"/>
                <w:tab w:val="left" w:pos="1401"/>
              </w:tabs>
              <w:rPr>
                <w:b/>
              </w:rPr>
            </w:pPr>
          </w:p>
          <w:p w:rsidR="00DC05E6" w:rsidRPr="000175E9" w:rsidRDefault="00DC05E6" w:rsidP="00B0468A">
            <w:pPr>
              <w:pStyle w:val="Header"/>
              <w:tabs>
                <w:tab w:val="left" w:pos="681"/>
                <w:tab w:val="left" w:pos="1401"/>
              </w:tabs>
              <w:rPr>
                <w:b/>
              </w:rPr>
            </w:pPr>
            <w:r w:rsidRPr="000175E9">
              <w:rPr>
                <w:b/>
              </w:rPr>
              <w:t xml:space="preserve">AVISTA CORPORATION, d/b/a AVISTA UTILITIES, </w:t>
            </w:r>
          </w:p>
          <w:p w:rsidR="00DC05E6" w:rsidRPr="000175E9" w:rsidRDefault="00DC05E6" w:rsidP="00B0468A">
            <w:pPr>
              <w:pStyle w:val="Header"/>
              <w:tabs>
                <w:tab w:val="left" w:pos="681"/>
                <w:tab w:val="left" w:pos="1401"/>
              </w:tabs>
              <w:rPr>
                <w:b/>
              </w:rPr>
            </w:pPr>
          </w:p>
          <w:p w:rsidR="00DC05E6" w:rsidRPr="000175E9" w:rsidRDefault="00DC05E6" w:rsidP="00B0468A">
            <w:pPr>
              <w:pStyle w:val="Header"/>
              <w:pBdr>
                <w:bottom w:val="single" w:sz="12" w:space="1" w:color="auto"/>
              </w:pBdr>
              <w:tabs>
                <w:tab w:val="left" w:pos="681"/>
                <w:tab w:val="left" w:pos="1401"/>
              </w:tabs>
              <w:rPr>
                <w:b/>
              </w:rPr>
            </w:pPr>
            <w:r w:rsidRPr="000175E9">
              <w:rPr>
                <w:b/>
              </w:rPr>
              <w:tab/>
            </w:r>
            <w:r w:rsidRPr="000175E9">
              <w:rPr>
                <w:b/>
              </w:rPr>
              <w:tab/>
              <w:t>Respondent.</w:t>
            </w:r>
          </w:p>
          <w:p w:rsidR="00DC05E6" w:rsidRPr="000175E9" w:rsidRDefault="00DC05E6" w:rsidP="00B0468A">
            <w:pPr>
              <w:pStyle w:val="Header"/>
              <w:tabs>
                <w:tab w:val="left" w:pos="681"/>
                <w:tab w:val="left" w:pos="1401"/>
              </w:tabs>
              <w:rPr>
                <w:b/>
              </w:rPr>
            </w:pPr>
          </w:p>
          <w:p w:rsidR="00DC05E6" w:rsidRPr="000175E9" w:rsidRDefault="00DC05E6" w:rsidP="00B0468A">
            <w:pPr>
              <w:tabs>
                <w:tab w:val="left" w:pos="2160"/>
              </w:tabs>
              <w:rPr>
                <w:b/>
                <w:bCs/>
              </w:rPr>
            </w:pPr>
            <w:r w:rsidRPr="000175E9">
              <w:rPr>
                <w:b/>
                <w:bCs/>
              </w:rPr>
              <w:t>WASHINGTON UTILITIES AND TRANSPORTATION COMMISSION,</w:t>
            </w:r>
          </w:p>
          <w:p w:rsidR="00DC05E6" w:rsidRPr="000175E9" w:rsidRDefault="00DC05E6" w:rsidP="00B0468A">
            <w:pPr>
              <w:tabs>
                <w:tab w:val="left" w:pos="2160"/>
              </w:tabs>
              <w:rPr>
                <w:b/>
                <w:bCs/>
              </w:rPr>
            </w:pPr>
          </w:p>
          <w:p w:rsidR="00DC05E6" w:rsidRPr="000175E9" w:rsidRDefault="00DC05E6" w:rsidP="00B0468A">
            <w:pPr>
              <w:tabs>
                <w:tab w:val="left" w:pos="2160"/>
              </w:tabs>
              <w:rPr>
                <w:b/>
                <w:bCs/>
              </w:rPr>
            </w:pPr>
            <w:r w:rsidRPr="000175E9">
              <w:rPr>
                <w:b/>
                <w:bCs/>
              </w:rPr>
              <w:tab/>
              <w:t>Complainant,</w:t>
            </w:r>
          </w:p>
          <w:p w:rsidR="00DC05E6" w:rsidRPr="000175E9" w:rsidRDefault="00DC05E6" w:rsidP="00B0468A">
            <w:pPr>
              <w:tabs>
                <w:tab w:val="left" w:pos="2160"/>
              </w:tabs>
              <w:rPr>
                <w:b/>
                <w:bCs/>
              </w:rPr>
            </w:pPr>
          </w:p>
          <w:p w:rsidR="00DC05E6" w:rsidRPr="000175E9" w:rsidRDefault="00DC05E6" w:rsidP="00B0468A">
            <w:pPr>
              <w:tabs>
                <w:tab w:val="left" w:pos="2160"/>
              </w:tabs>
              <w:rPr>
                <w:b/>
                <w:bCs/>
              </w:rPr>
            </w:pPr>
            <w:r w:rsidRPr="000175E9">
              <w:rPr>
                <w:b/>
                <w:bCs/>
              </w:rPr>
              <w:t>v.</w:t>
            </w:r>
          </w:p>
          <w:p w:rsidR="00DC05E6" w:rsidRPr="000175E9" w:rsidRDefault="00DC05E6" w:rsidP="00B0468A">
            <w:pPr>
              <w:tabs>
                <w:tab w:val="left" w:pos="2160"/>
              </w:tabs>
              <w:rPr>
                <w:b/>
                <w:bCs/>
              </w:rPr>
            </w:pPr>
          </w:p>
          <w:p w:rsidR="00DC05E6" w:rsidRPr="000175E9" w:rsidRDefault="00DC05E6" w:rsidP="00B0468A">
            <w:pPr>
              <w:tabs>
                <w:tab w:val="left" w:pos="2160"/>
              </w:tabs>
              <w:rPr>
                <w:b/>
                <w:bCs/>
              </w:rPr>
            </w:pPr>
            <w:r w:rsidRPr="000175E9">
              <w:rPr>
                <w:b/>
                <w:bCs/>
              </w:rPr>
              <w:t>AVISTA CORPORATION d/b/a AVISTA UTILITIES,</w:t>
            </w:r>
          </w:p>
          <w:p w:rsidR="00DC05E6" w:rsidRPr="000175E9" w:rsidRDefault="00DC05E6" w:rsidP="00B0468A">
            <w:pPr>
              <w:tabs>
                <w:tab w:val="left" w:pos="2160"/>
              </w:tabs>
              <w:rPr>
                <w:b/>
                <w:bCs/>
              </w:rPr>
            </w:pPr>
          </w:p>
          <w:p w:rsidR="00DC05E6" w:rsidRPr="000175E9" w:rsidRDefault="00DC05E6" w:rsidP="00DC05E6">
            <w:pPr>
              <w:tabs>
                <w:tab w:val="left" w:pos="2160"/>
              </w:tabs>
              <w:rPr>
                <w:b/>
                <w:bCs/>
              </w:rPr>
            </w:pPr>
            <w:r w:rsidRPr="000175E9">
              <w:rPr>
                <w:b/>
                <w:bCs/>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DC05E6" w:rsidRPr="000175E9" w:rsidRDefault="00DC05E6" w:rsidP="00B0468A">
            <w:pPr>
              <w:pStyle w:val="Header"/>
              <w:ind w:left="416"/>
              <w:rPr>
                <w:b/>
              </w:rPr>
            </w:pPr>
            <w:r w:rsidRPr="000175E9">
              <w:rPr>
                <w:b/>
              </w:rPr>
              <w:t>DOCKETS UE-120436/UG-120437</w:t>
            </w:r>
          </w:p>
          <w:p w:rsidR="00DC05E6" w:rsidRPr="000175E9" w:rsidRDefault="00DC05E6" w:rsidP="00B0468A">
            <w:pPr>
              <w:pStyle w:val="Header"/>
              <w:ind w:left="1496" w:hanging="1080"/>
              <w:rPr>
                <w:b/>
                <w:i/>
              </w:rPr>
            </w:pPr>
            <w:r w:rsidRPr="000175E9">
              <w:rPr>
                <w:b/>
              </w:rPr>
              <w:tab/>
              <w:t>(</w:t>
            </w:r>
            <w:r w:rsidRPr="000175E9">
              <w:rPr>
                <w:b/>
                <w:i/>
              </w:rPr>
              <w:t>consolidated)</w:t>
            </w:r>
          </w:p>
          <w:p w:rsidR="00DC05E6" w:rsidRPr="000175E9" w:rsidRDefault="00DC05E6" w:rsidP="00B0468A">
            <w:pPr>
              <w:pStyle w:val="Header"/>
              <w:ind w:left="416"/>
              <w:rPr>
                <w:b/>
              </w:rPr>
            </w:pPr>
          </w:p>
          <w:p w:rsidR="00DC05E6" w:rsidRPr="000175E9" w:rsidRDefault="00DC05E6" w:rsidP="00B0468A">
            <w:pPr>
              <w:pStyle w:val="Header"/>
              <w:ind w:left="416"/>
              <w:rPr>
                <w:b/>
              </w:rPr>
            </w:pPr>
          </w:p>
          <w:p w:rsidR="00DC05E6" w:rsidRPr="000175E9" w:rsidRDefault="00DC05E6" w:rsidP="00B0468A">
            <w:pPr>
              <w:pStyle w:val="Header"/>
              <w:ind w:left="416"/>
              <w:rPr>
                <w:b/>
              </w:rPr>
            </w:pPr>
          </w:p>
          <w:p w:rsidR="00DC05E6" w:rsidRPr="000175E9" w:rsidRDefault="00DC05E6" w:rsidP="00B0468A">
            <w:pPr>
              <w:pStyle w:val="Header"/>
              <w:ind w:left="416"/>
              <w:rPr>
                <w:b/>
              </w:rPr>
            </w:pPr>
          </w:p>
          <w:p w:rsidR="00DC05E6" w:rsidRPr="000175E9" w:rsidRDefault="00DC05E6" w:rsidP="00B0468A">
            <w:pPr>
              <w:pStyle w:val="Header"/>
              <w:ind w:left="416"/>
              <w:rPr>
                <w:b/>
              </w:rPr>
            </w:pPr>
          </w:p>
          <w:p w:rsidR="00DC05E6" w:rsidRPr="000175E9" w:rsidRDefault="00DC05E6" w:rsidP="00B0468A">
            <w:pPr>
              <w:pStyle w:val="Header"/>
              <w:ind w:left="416"/>
              <w:rPr>
                <w:b/>
              </w:rPr>
            </w:pPr>
          </w:p>
          <w:p w:rsidR="00DC05E6" w:rsidRPr="000175E9" w:rsidRDefault="00DC05E6" w:rsidP="00B0468A">
            <w:pPr>
              <w:pStyle w:val="Header"/>
              <w:ind w:left="416"/>
              <w:rPr>
                <w:b/>
              </w:rPr>
            </w:pPr>
          </w:p>
          <w:p w:rsidR="00DC05E6" w:rsidRPr="000175E9" w:rsidRDefault="00DC05E6" w:rsidP="00B0468A">
            <w:pPr>
              <w:pStyle w:val="Header"/>
              <w:ind w:left="416"/>
              <w:rPr>
                <w:b/>
              </w:rPr>
            </w:pPr>
          </w:p>
          <w:p w:rsidR="00DC05E6" w:rsidRPr="000175E9" w:rsidRDefault="00DC05E6" w:rsidP="00B0468A">
            <w:pPr>
              <w:pStyle w:val="Header"/>
              <w:ind w:left="416"/>
              <w:rPr>
                <w:b/>
              </w:rPr>
            </w:pPr>
          </w:p>
          <w:p w:rsidR="00DC05E6" w:rsidRPr="000175E9" w:rsidRDefault="00DC05E6" w:rsidP="00B0468A">
            <w:pPr>
              <w:pStyle w:val="Header"/>
              <w:ind w:left="416"/>
              <w:rPr>
                <w:b/>
              </w:rPr>
            </w:pPr>
          </w:p>
          <w:p w:rsidR="00DC05E6" w:rsidRPr="000175E9" w:rsidRDefault="00DC05E6" w:rsidP="00B0468A">
            <w:pPr>
              <w:pStyle w:val="Header"/>
              <w:ind w:left="416"/>
              <w:rPr>
                <w:b/>
              </w:rPr>
            </w:pPr>
            <w:r w:rsidRPr="000175E9">
              <w:rPr>
                <w:b/>
              </w:rPr>
              <w:t>DOCKETS UE-110876/UG-110877</w:t>
            </w:r>
          </w:p>
          <w:p w:rsidR="00DC05E6" w:rsidRPr="000175E9" w:rsidRDefault="00DC05E6" w:rsidP="00B0468A">
            <w:pPr>
              <w:pStyle w:val="Header"/>
              <w:tabs>
                <w:tab w:val="left" w:pos="1543"/>
              </w:tabs>
              <w:ind w:left="416"/>
              <w:rPr>
                <w:b/>
                <w:i/>
              </w:rPr>
            </w:pPr>
            <w:r w:rsidRPr="000175E9">
              <w:rPr>
                <w:b/>
              </w:rPr>
              <w:tab/>
            </w:r>
            <w:r w:rsidRPr="000175E9">
              <w:rPr>
                <w:b/>
                <w:i/>
              </w:rPr>
              <w:t>(consolidated)</w:t>
            </w:r>
          </w:p>
          <w:p w:rsidR="00DC05E6" w:rsidRPr="000175E9" w:rsidRDefault="00DC05E6" w:rsidP="00B0468A">
            <w:pPr>
              <w:pStyle w:val="Header"/>
              <w:tabs>
                <w:tab w:val="left" w:pos="1543"/>
              </w:tabs>
              <w:ind w:left="416"/>
              <w:rPr>
                <w:b/>
                <w:i/>
              </w:rPr>
            </w:pPr>
          </w:p>
          <w:p w:rsidR="00DC05E6" w:rsidRPr="000175E9" w:rsidRDefault="00DC05E6" w:rsidP="00B0468A">
            <w:pPr>
              <w:pStyle w:val="BodyTextIndent2"/>
              <w:ind w:left="416"/>
              <w:rPr>
                <w:rFonts w:ascii="Times New Roman" w:hAnsi="Times New Roman"/>
                <w:b/>
              </w:rPr>
            </w:pPr>
          </w:p>
          <w:p w:rsidR="00DC05E6" w:rsidRPr="000175E9" w:rsidRDefault="00DC05E6" w:rsidP="00B0468A">
            <w:pPr>
              <w:pStyle w:val="Header"/>
              <w:tabs>
                <w:tab w:val="left" w:pos="1543"/>
              </w:tabs>
              <w:ind w:left="416"/>
              <w:rPr>
                <w:b/>
              </w:rPr>
            </w:pPr>
          </w:p>
          <w:p w:rsidR="00DC05E6" w:rsidRPr="000175E9" w:rsidRDefault="00DC05E6" w:rsidP="00B0468A">
            <w:pPr>
              <w:pStyle w:val="Header"/>
              <w:ind w:left="416"/>
              <w:rPr>
                <w:b/>
              </w:rPr>
            </w:pPr>
          </w:p>
        </w:tc>
      </w:tr>
    </w:tbl>
    <w:p w:rsidR="00DC05E6" w:rsidRPr="000175E9" w:rsidRDefault="00DC05E6" w:rsidP="00DC05E6">
      <w:pPr>
        <w:pStyle w:val="Header"/>
        <w:rPr>
          <w:b/>
        </w:rPr>
      </w:pPr>
    </w:p>
    <w:p w:rsidR="002E1421" w:rsidRPr="000175E9" w:rsidRDefault="002E1421" w:rsidP="00DC05E6">
      <w:pPr>
        <w:pStyle w:val="Header"/>
        <w:rPr>
          <w:b/>
        </w:rPr>
      </w:pPr>
    </w:p>
    <w:p w:rsidR="002E1421" w:rsidRDefault="000175E9" w:rsidP="002E1421">
      <w:pPr>
        <w:pStyle w:val="Header"/>
        <w:jc w:val="center"/>
        <w:rPr>
          <w:b/>
        </w:rPr>
      </w:pPr>
      <w:r>
        <w:rPr>
          <w:b/>
        </w:rPr>
        <w:t xml:space="preserve">BRIEF OF </w:t>
      </w:r>
      <w:r w:rsidR="002E1421" w:rsidRPr="000175E9">
        <w:rPr>
          <w:b/>
        </w:rPr>
        <w:t xml:space="preserve">COMMISSION STAFF </w:t>
      </w:r>
    </w:p>
    <w:p w:rsidR="000175E9" w:rsidRDefault="000175E9" w:rsidP="000175E9">
      <w:pPr>
        <w:pStyle w:val="Header"/>
        <w:rPr>
          <w:b/>
        </w:rPr>
      </w:pPr>
    </w:p>
    <w:p w:rsidR="000175E9" w:rsidRPr="000175E9" w:rsidRDefault="000175E9" w:rsidP="000175E9">
      <w:pPr>
        <w:pStyle w:val="Header"/>
        <w:rPr>
          <w:b/>
        </w:rPr>
      </w:pPr>
    </w:p>
    <w:p w:rsidR="000175E9" w:rsidRPr="007C62D9" w:rsidRDefault="000175E9" w:rsidP="000175E9">
      <w:pPr>
        <w:ind w:left="3600" w:firstLine="720"/>
        <w:rPr>
          <w:b/>
          <w:bCs/>
        </w:rPr>
      </w:pPr>
      <w:r>
        <w:rPr>
          <w:b/>
          <w:bCs/>
        </w:rPr>
        <w:t xml:space="preserve">December 7, 2012 </w:t>
      </w:r>
    </w:p>
    <w:p w:rsidR="000175E9" w:rsidRPr="007C62D9" w:rsidRDefault="000175E9" w:rsidP="000175E9">
      <w:pPr>
        <w:rPr>
          <w:b/>
          <w:bCs/>
        </w:rPr>
      </w:pPr>
    </w:p>
    <w:p w:rsidR="000175E9" w:rsidRPr="007C62D9" w:rsidRDefault="000175E9" w:rsidP="000175E9">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ROBERT M. MCKENNA</w:t>
      </w:r>
    </w:p>
    <w:p w:rsidR="000175E9" w:rsidRPr="007C62D9" w:rsidRDefault="000175E9" w:rsidP="000175E9">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 xml:space="preserve">Attorney General </w:t>
      </w:r>
    </w:p>
    <w:p w:rsidR="000175E9" w:rsidRPr="007C62D9" w:rsidRDefault="000175E9" w:rsidP="000175E9">
      <w:pPr>
        <w:rPr>
          <w:b/>
          <w:bCs/>
        </w:rPr>
      </w:pPr>
    </w:p>
    <w:p w:rsidR="000175E9" w:rsidRPr="007C62D9" w:rsidRDefault="000175E9" w:rsidP="000175E9">
      <w:pPr>
        <w:rPr>
          <w:b/>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r>
      <w:r>
        <w:rPr>
          <w:b/>
          <w:bCs/>
        </w:rPr>
        <w:t>DONALD T. TROTTER</w:t>
      </w:r>
    </w:p>
    <w:p w:rsidR="000175E9" w:rsidRPr="007C62D9" w:rsidRDefault="000175E9" w:rsidP="000175E9">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Assistant Attorney General </w:t>
      </w:r>
    </w:p>
    <w:p w:rsidR="000175E9" w:rsidRPr="007C62D9" w:rsidRDefault="000175E9" w:rsidP="000175E9">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Office of the Attorney General </w:t>
      </w:r>
    </w:p>
    <w:p w:rsidR="000175E9" w:rsidRPr="007C62D9" w:rsidRDefault="000175E9" w:rsidP="000175E9">
      <w:pPr>
        <w:rPr>
          <w:b/>
        </w:rPr>
      </w:pPr>
      <w:r w:rsidRPr="007C62D9">
        <w:rPr>
          <w:b/>
        </w:rPr>
        <w:tab/>
      </w:r>
      <w:r w:rsidRPr="007C62D9">
        <w:rPr>
          <w:b/>
        </w:rPr>
        <w:tab/>
      </w:r>
      <w:r w:rsidRPr="007C62D9">
        <w:rPr>
          <w:b/>
        </w:rPr>
        <w:tab/>
      </w:r>
      <w:r w:rsidRPr="007C62D9">
        <w:rPr>
          <w:b/>
        </w:rPr>
        <w:tab/>
      </w:r>
      <w:r w:rsidRPr="007C62D9">
        <w:rPr>
          <w:b/>
        </w:rPr>
        <w:tab/>
      </w:r>
      <w:r w:rsidRPr="007C62D9">
        <w:rPr>
          <w:b/>
        </w:rPr>
        <w:tab/>
        <w:t>Utilities &amp; Transportation Division</w:t>
      </w:r>
    </w:p>
    <w:p w:rsidR="000175E9" w:rsidRPr="007C62D9" w:rsidRDefault="000175E9" w:rsidP="000175E9">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 </w:t>
      </w:r>
    </w:p>
    <w:p w:rsidR="000175E9" w:rsidRPr="007C62D9" w:rsidRDefault="000175E9" w:rsidP="000175E9">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address">
        <w:smartTag w:uri="urn:schemas-microsoft-com:office:smarttags" w:element="Street">
          <w:r w:rsidRPr="007C62D9">
            <w:rPr>
              <w:b/>
            </w:rPr>
            <w:t>1400 S Evergreen Park Drive SW</w:t>
          </w:r>
        </w:smartTag>
      </w:smartTag>
      <w:r w:rsidRPr="007C62D9">
        <w:rPr>
          <w:b/>
        </w:rPr>
        <w:t xml:space="preserve"> </w:t>
      </w:r>
    </w:p>
    <w:p w:rsidR="000175E9" w:rsidRPr="007C62D9" w:rsidRDefault="000175E9" w:rsidP="000175E9">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7C62D9">
                <w:rPr>
                  <w:b/>
                </w:rPr>
                <w:t>P.O. Box</w:t>
              </w:r>
            </w:smartTag>
          </w:smartTag>
          <w:r w:rsidRPr="007C62D9">
            <w:rPr>
              <w:b/>
            </w:rPr>
            <w:t xml:space="preserve"> 40128</w:t>
          </w:r>
        </w:smartTag>
      </w:smartTag>
    </w:p>
    <w:p w:rsidR="000175E9" w:rsidRPr="007C62D9" w:rsidRDefault="000175E9" w:rsidP="000175E9">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City">
        <w:smartTag w:uri="urn:schemas-microsoft-com:office:smarttags" w:element="place">
          <w:r w:rsidRPr="007C62D9">
            <w:rPr>
              <w:b/>
            </w:rPr>
            <w:t>Olympia</w:t>
          </w:r>
        </w:smartTag>
        <w:r w:rsidRPr="007C62D9">
          <w:rPr>
            <w:b/>
          </w:rPr>
          <w:t xml:space="preserve">, </w:t>
        </w:r>
        <w:smartTag w:uri="urn:schemas-microsoft-com:office:smarttags" w:element="PostalCode">
          <w:smartTag w:uri="urn:schemas-microsoft-com:office:smarttags" w:element="State">
            <w:r w:rsidRPr="007C62D9">
              <w:rPr>
                <w:b/>
              </w:rPr>
              <w:t>WA</w:t>
            </w:r>
          </w:smartTag>
        </w:smartTag>
        <w:r w:rsidRPr="007C62D9">
          <w:rPr>
            <w:b/>
          </w:rPr>
          <w:t xml:space="preserve">  </w:t>
        </w:r>
        <w:smartTag w:uri="urn:schemas-microsoft-com:office:smarttags" w:element="PostalCode">
          <w:r w:rsidRPr="007C62D9">
            <w:rPr>
              <w:b/>
            </w:rPr>
            <w:t>98504-0128</w:t>
          </w:r>
        </w:smartTag>
      </w:smartTag>
      <w:r w:rsidRPr="007C62D9">
        <w:rPr>
          <w:b/>
        </w:rPr>
        <w:t xml:space="preserve"> </w:t>
      </w:r>
    </w:p>
    <w:p w:rsidR="000175E9" w:rsidRPr="00EF4795" w:rsidRDefault="000175E9" w:rsidP="000175E9">
      <w:pPr>
        <w:rPr>
          <w:b/>
          <w:bCs/>
        </w:rPr>
      </w:pPr>
      <w:r w:rsidRPr="00EF4795">
        <w:rPr>
          <w:b/>
        </w:rPr>
        <w:tab/>
      </w:r>
      <w:r w:rsidRPr="00EF4795">
        <w:rPr>
          <w:b/>
        </w:rPr>
        <w:tab/>
      </w:r>
      <w:r w:rsidRPr="00EF4795">
        <w:rPr>
          <w:b/>
        </w:rPr>
        <w:tab/>
      </w:r>
      <w:r w:rsidRPr="00EF4795">
        <w:rPr>
          <w:b/>
        </w:rPr>
        <w:tab/>
      </w:r>
      <w:r w:rsidRPr="00EF4795">
        <w:rPr>
          <w:b/>
        </w:rPr>
        <w:tab/>
      </w:r>
      <w:r w:rsidRPr="00EF4795">
        <w:rPr>
          <w:b/>
        </w:rPr>
        <w:tab/>
        <w:t>(360) 664-</w:t>
      </w:r>
      <w:r>
        <w:rPr>
          <w:b/>
        </w:rPr>
        <w:t>1189</w:t>
      </w:r>
    </w:p>
    <w:p w:rsidR="000175E9" w:rsidRDefault="000175E9" w:rsidP="000175E9"/>
    <w:p w:rsidR="000175E9" w:rsidRPr="00653BEE" w:rsidRDefault="000175E9" w:rsidP="000175E9">
      <w:pPr>
        <w:sectPr w:rsidR="000175E9" w:rsidRPr="00653BEE" w:rsidSect="00034D68">
          <w:footerReference w:type="default" r:id="rId9"/>
          <w:pgSz w:w="12240" w:h="15840"/>
          <w:pgMar w:top="1440" w:right="1440" w:bottom="1440" w:left="1440" w:header="720" w:footer="720" w:gutter="0"/>
          <w:pgNumType w:start="1"/>
          <w:cols w:space="720"/>
          <w:titlePg/>
          <w:docGrid w:linePitch="360"/>
        </w:sectPr>
      </w:pPr>
    </w:p>
    <w:p w:rsidR="002E7382"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lastRenderedPageBreak/>
        <w:tab/>
      </w:r>
      <w:r w:rsidR="00E40ABB" w:rsidRPr="000F0669">
        <w:rPr>
          <w:rFonts w:ascii="Times New Roman" w:hAnsi="Times New Roman" w:cs="Times New Roman"/>
          <w:sz w:val="24"/>
          <w:szCs w:val="24"/>
        </w:rPr>
        <w:t>A</w:t>
      </w:r>
      <w:r w:rsidR="00237E04" w:rsidRPr="000F0669">
        <w:rPr>
          <w:rFonts w:ascii="Times New Roman" w:hAnsi="Times New Roman" w:cs="Times New Roman"/>
          <w:sz w:val="24"/>
          <w:szCs w:val="24"/>
        </w:rPr>
        <w:t xml:space="preserve"> significant</w:t>
      </w:r>
      <w:r w:rsidR="00F03FB4" w:rsidRPr="000F0669">
        <w:rPr>
          <w:rFonts w:ascii="Times New Roman" w:hAnsi="Times New Roman" w:cs="Times New Roman"/>
          <w:sz w:val="24"/>
          <w:szCs w:val="24"/>
        </w:rPr>
        <w:t xml:space="preserve"> element of the Settlement</w:t>
      </w:r>
      <w:r w:rsidR="00F03FB4" w:rsidRPr="000F0669">
        <w:rPr>
          <w:rStyle w:val="FootnoteReference"/>
          <w:rFonts w:ascii="Times New Roman" w:hAnsi="Times New Roman" w:cs="Times New Roman"/>
          <w:sz w:val="24"/>
          <w:szCs w:val="24"/>
        </w:rPr>
        <w:footnoteReference w:id="1"/>
      </w:r>
      <w:r w:rsidR="00F03FB4" w:rsidRPr="000F0669">
        <w:rPr>
          <w:rFonts w:ascii="Times New Roman" w:hAnsi="Times New Roman" w:cs="Times New Roman"/>
          <w:sz w:val="24"/>
          <w:szCs w:val="24"/>
        </w:rPr>
        <w:t xml:space="preserve"> </w:t>
      </w:r>
      <w:r w:rsidR="002E7382" w:rsidRPr="000F0669">
        <w:rPr>
          <w:rFonts w:ascii="Times New Roman" w:hAnsi="Times New Roman" w:cs="Times New Roman"/>
          <w:sz w:val="24"/>
          <w:szCs w:val="24"/>
        </w:rPr>
        <w:t>is a rate plan</w:t>
      </w:r>
      <w:r w:rsidR="008112D1" w:rsidRPr="000F0669">
        <w:rPr>
          <w:rFonts w:ascii="Times New Roman" w:hAnsi="Times New Roman" w:cs="Times New Roman"/>
          <w:sz w:val="24"/>
          <w:szCs w:val="24"/>
        </w:rPr>
        <w:t xml:space="preserve"> that</w:t>
      </w:r>
      <w:r w:rsidR="002E7382" w:rsidRPr="000F0669">
        <w:rPr>
          <w:rFonts w:ascii="Times New Roman" w:hAnsi="Times New Roman" w:cs="Times New Roman"/>
          <w:sz w:val="24"/>
          <w:szCs w:val="24"/>
        </w:rPr>
        <w:t xml:space="preserve"> </w:t>
      </w:r>
      <w:r w:rsidR="00BD6C26" w:rsidRPr="000F0669">
        <w:rPr>
          <w:rFonts w:ascii="Times New Roman" w:hAnsi="Times New Roman" w:cs="Times New Roman"/>
          <w:sz w:val="24"/>
          <w:szCs w:val="24"/>
        </w:rPr>
        <w:t>stabiliz</w:t>
      </w:r>
      <w:r w:rsidR="008112D1" w:rsidRPr="000F0669">
        <w:rPr>
          <w:rFonts w:ascii="Times New Roman" w:hAnsi="Times New Roman" w:cs="Times New Roman"/>
          <w:sz w:val="24"/>
          <w:szCs w:val="24"/>
        </w:rPr>
        <w:t>es</w:t>
      </w:r>
      <w:r w:rsidR="00237E04" w:rsidRPr="000F0669">
        <w:rPr>
          <w:rFonts w:ascii="Times New Roman" w:hAnsi="Times New Roman" w:cs="Times New Roman"/>
          <w:sz w:val="24"/>
          <w:szCs w:val="24"/>
        </w:rPr>
        <w:t xml:space="preserve"> </w:t>
      </w:r>
      <w:r w:rsidR="008112D1" w:rsidRPr="000F0669">
        <w:rPr>
          <w:rFonts w:ascii="Times New Roman" w:hAnsi="Times New Roman" w:cs="Times New Roman"/>
          <w:sz w:val="24"/>
          <w:szCs w:val="24"/>
        </w:rPr>
        <w:t>Avista’s</w:t>
      </w:r>
      <w:r w:rsidR="00237E04" w:rsidRPr="000F0669">
        <w:rPr>
          <w:rFonts w:ascii="Times New Roman" w:hAnsi="Times New Roman" w:cs="Times New Roman"/>
          <w:sz w:val="24"/>
          <w:szCs w:val="24"/>
        </w:rPr>
        <w:t xml:space="preserve"> rates</w:t>
      </w:r>
      <w:r w:rsidR="002E7382" w:rsidRPr="000F0669">
        <w:rPr>
          <w:rFonts w:ascii="Times New Roman" w:hAnsi="Times New Roman" w:cs="Times New Roman"/>
          <w:sz w:val="24"/>
          <w:szCs w:val="24"/>
        </w:rPr>
        <w:t xml:space="preserve"> </w:t>
      </w:r>
      <w:r w:rsidR="008112D1" w:rsidRPr="000F0669">
        <w:rPr>
          <w:rFonts w:ascii="Times New Roman" w:hAnsi="Times New Roman" w:cs="Times New Roman"/>
          <w:sz w:val="24"/>
          <w:szCs w:val="24"/>
        </w:rPr>
        <w:t xml:space="preserve">through </w:t>
      </w:r>
      <w:r w:rsidR="002E7382" w:rsidRPr="000F0669">
        <w:rPr>
          <w:rFonts w:ascii="Times New Roman" w:hAnsi="Times New Roman" w:cs="Times New Roman"/>
          <w:sz w:val="24"/>
          <w:szCs w:val="24"/>
        </w:rPr>
        <w:t>2014</w:t>
      </w:r>
      <w:r w:rsidR="00237E04" w:rsidRPr="000F0669">
        <w:rPr>
          <w:rFonts w:ascii="Times New Roman" w:hAnsi="Times New Roman" w:cs="Times New Roman"/>
          <w:sz w:val="24"/>
          <w:szCs w:val="24"/>
        </w:rPr>
        <w:t>.</w:t>
      </w:r>
      <w:r w:rsidR="0050287E" w:rsidRPr="000F0669">
        <w:rPr>
          <w:rStyle w:val="FootnoteReference"/>
          <w:rFonts w:ascii="Times New Roman" w:hAnsi="Times New Roman" w:cs="Times New Roman"/>
          <w:sz w:val="24"/>
          <w:szCs w:val="24"/>
        </w:rPr>
        <w:footnoteReference w:id="2"/>
      </w:r>
      <w:r w:rsidR="00FC0CEB" w:rsidRPr="000F0669">
        <w:rPr>
          <w:rFonts w:ascii="Times New Roman" w:hAnsi="Times New Roman" w:cs="Times New Roman"/>
          <w:sz w:val="24"/>
          <w:szCs w:val="24"/>
        </w:rPr>
        <w:t xml:space="preserve">  </w:t>
      </w:r>
      <w:r w:rsidR="008112D1" w:rsidRPr="000F0669">
        <w:rPr>
          <w:rFonts w:ascii="Times New Roman" w:hAnsi="Times New Roman" w:cs="Times New Roman"/>
          <w:sz w:val="24"/>
          <w:szCs w:val="24"/>
        </w:rPr>
        <w:t xml:space="preserve">Under </w:t>
      </w:r>
      <w:r w:rsidR="00237E04" w:rsidRPr="000F0669">
        <w:rPr>
          <w:rFonts w:ascii="Times New Roman" w:hAnsi="Times New Roman" w:cs="Times New Roman"/>
          <w:sz w:val="24"/>
          <w:szCs w:val="24"/>
        </w:rPr>
        <w:t xml:space="preserve">this rate plan, Avista </w:t>
      </w:r>
      <w:r w:rsidR="008112D1" w:rsidRPr="000F0669">
        <w:rPr>
          <w:rFonts w:ascii="Times New Roman" w:hAnsi="Times New Roman" w:cs="Times New Roman"/>
          <w:sz w:val="24"/>
          <w:szCs w:val="24"/>
        </w:rPr>
        <w:t xml:space="preserve">is barred from </w:t>
      </w:r>
      <w:r w:rsidR="003B5DD4" w:rsidRPr="000F0669">
        <w:rPr>
          <w:rFonts w:ascii="Times New Roman" w:hAnsi="Times New Roman" w:cs="Times New Roman"/>
          <w:sz w:val="24"/>
          <w:szCs w:val="24"/>
        </w:rPr>
        <w:t>implement</w:t>
      </w:r>
      <w:r w:rsidR="008112D1" w:rsidRPr="000F0669">
        <w:rPr>
          <w:rFonts w:ascii="Times New Roman" w:hAnsi="Times New Roman" w:cs="Times New Roman"/>
          <w:sz w:val="24"/>
          <w:szCs w:val="24"/>
        </w:rPr>
        <w:t>ing</w:t>
      </w:r>
      <w:r w:rsidR="003B5DD4" w:rsidRPr="000F0669">
        <w:rPr>
          <w:rFonts w:ascii="Times New Roman" w:hAnsi="Times New Roman" w:cs="Times New Roman"/>
          <w:sz w:val="24"/>
          <w:szCs w:val="24"/>
        </w:rPr>
        <w:t xml:space="preserve"> </w:t>
      </w:r>
      <w:r w:rsidR="00237E04" w:rsidRPr="000F0669">
        <w:rPr>
          <w:rFonts w:ascii="Times New Roman" w:hAnsi="Times New Roman" w:cs="Times New Roman"/>
          <w:sz w:val="24"/>
          <w:szCs w:val="24"/>
        </w:rPr>
        <w:t xml:space="preserve">any further general rate </w:t>
      </w:r>
      <w:r w:rsidR="003B5DD4" w:rsidRPr="000F0669">
        <w:rPr>
          <w:rFonts w:ascii="Times New Roman" w:hAnsi="Times New Roman" w:cs="Times New Roman"/>
          <w:sz w:val="24"/>
          <w:szCs w:val="24"/>
        </w:rPr>
        <w:t xml:space="preserve">increase </w:t>
      </w:r>
      <w:r w:rsidR="00237E04" w:rsidRPr="000F0669">
        <w:rPr>
          <w:rFonts w:ascii="Times New Roman" w:hAnsi="Times New Roman" w:cs="Times New Roman"/>
          <w:sz w:val="24"/>
          <w:szCs w:val="24"/>
        </w:rPr>
        <w:t>during that period.</w:t>
      </w:r>
      <w:r w:rsidR="00237E04" w:rsidRPr="000F0669">
        <w:rPr>
          <w:rStyle w:val="FootnoteReference"/>
          <w:rFonts w:ascii="Times New Roman" w:hAnsi="Times New Roman" w:cs="Times New Roman"/>
          <w:sz w:val="24"/>
          <w:szCs w:val="24"/>
        </w:rPr>
        <w:footnoteReference w:id="3"/>
      </w:r>
      <w:r w:rsidR="00237E04" w:rsidRPr="000F0669">
        <w:rPr>
          <w:rFonts w:ascii="Times New Roman" w:hAnsi="Times New Roman" w:cs="Times New Roman"/>
          <w:sz w:val="24"/>
          <w:szCs w:val="24"/>
        </w:rPr>
        <w:t xml:space="preserve">  </w:t>
      </w:r>
      <w:r w:rsidR="002E7382" w:rsidRPr="000F0669">
        <w:rPr>
          <w:rFonts w:ascii="Times New Roman" w:hAnsi="Times New Roman" w:cs="Times New Roman"/>
          <w:sz w:val="24"/>
          <w:szCs w:val="24"/>
        </w:rPr>
        <w:t>The Commission has requested briefing on the 2014 rate increase</w:t>
      </w:r>
      <w:r w:rsidR="003B5DD4" w:rsidRPr="000F0669">
        <w:rPr>
          <w:rFonts w:ascii="Times New Roman" w:hAnsi="Times New Roman" w:cs="Times New Roman"/>
          <w:sz w:val="24"/>
          <w:szCs w:val="24"/>
        </w:rPr>
        <w:t xml:space="preserve"> part of the rate plan.</w:t>
      </w:r>
    </w:p>
    <w:p w:rsidR="00F03FB4"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tab/>
      </w:r>
      <w:r w:rsidR="00EE55BC" w:rsidRPr="000F0669">
        <w:rPr>
          <w:rFonts w:ascii="Times New Roman" w:hAnsi="Times New Roman" w:cs="Times New Roman"/>
          <w:sz w:val="24"/>
          <w:szCs w:val="24"/>
        </w:rPr>
        <w:t>As we explain below, th</w:t>
      </w:r>
      <w:r w:rsidR="002E7382" w:rsidRPr="000F0669">
        <w:rPr>
          <w:rFonts w:ascii="Times New Roman" w:hAnsi="Times New Roman" w:cs="Times New Roman"/>
          <w:sz w:val="24"/>
          <w:szCs w:val="24"/>
        </w:rPr>
        <w:t>e rate increases called for under the Settlement</w:t>
      </w:r>
      <w:r w:rsidR="003B5DD4" w:rsidRPr="000F0669">
        <w:rPr>
          <w:rFonts w:ascii="Times New Roman" w:hAnsi="Times New Roman" w:cs="Times New Roman"/>
          <w:sz w:val="24"/>
          <w:szCs w:val="24"/>
        </w:rPr>
        <w:t>, including the 2014 increase,</w:t>
      </w:r>
      <w:r w:rsidR="00061997" w:rsidRPr="000F0669">
        <w:rPr>
          <w:rFonts w:ascii="Times New Roman" w:hAnsi="Times New Roman" w:cs="Times New Roman"/>
          <w:sz w:val="24"/>
          <w:szCs w:val="24"/>
        </w:rPr>
        <w:t xml:space="preserve"> </w:t>
      </w:r>
      <w:r w:rsidR="00EE55BC" w:rsidRPr="000F0669">
        <w:rPr>
          <w:rFonts w:ascii="Times New Roman" w:hAnsi="Times New Roman" w:cs="Times New Roman"/>
          <w:sz w:val="24"/>
          <w:szCs w:val="24"/>
        </w:rPr>
        <w:t>are</w:t>
      </w:r>
      <w:r w:rsidR="001C153D" w:rsidRPr="000F0669">
        <w:rPr>
          <w:rFonts w:ascii="Times New Roman" w:hAnsi="Times New Roman" w:cs="Times New Roman"/>
          <w:sz w:val="24"/>
          <w:szCs w:val="24"/>
        </w:rPr>
        <w:t xml:space="preserve"> </w:t>
      </w:r>
      <w:r w:rsidR="002E7382" w:rsidRPr="000F0669">
        <w:rPr>
          <w:rFonts w:ascii="Times New Roman" w:hAnsi="Times New Roman" w:cs="Times New Roman"/>
          <w:sz w:val="24"/>
          <w:szCs w:val="24"/>
        </w:rPr>
        <w:t>fair, just and reasonable because:</w:t>
      </w:r>
      <w:r w:rsidR="00BD6C26" w:rsidRPr="000F0669">
        <w:rPr>
          <w:rFonts w:ascii="Times New Roman" w:hAnsi="Times New Roman" w:cs="Times New Roman"/>
          <w:sz w:val="24"/>
          <w:szCs w:val="24"/>
        </w:rPr>
        <w:t xml:space="preserve"> </w:t>
      </w:r>
      <w:r w:rsidR="00342C6C" w:rsidRPr="000F0669">
        <w:rPr>
          <w:rFonts w:ascii="Times New Roman" w:hAnsi="Times New Roman" w:cs="Times New Roman"/>
          <w:sz w:val="24"/>
          <w:szCs w:val="24"/>
        </w:rPr>
        <w:t xml:space="preserve"> </w:t>
      </w:r>
      <w:r w:rsidR="002E7382" w:rsidRPr="000F0669">
        <w:rPr>
          <w:rFonts w:ascii="Times New Roman" w:hAnsi="Times New Roman" w:cs="Times New Roman"/>
          <w:sz w:val="24"/>
          <w:szCs w:val="24"/>
        </w:rPr>
        <w:t xml:space="preserve">1) they are </w:t>
      </w:r>
      <w:r w:rsidR="001C153D" w:rsidRPr="000F0669">
        <w:rPr>
          <w:rFonts w:ascii="Times New Roman" w:hAnsi="Times New Roman" w:cs="Times New Roman"/>
          <w:sz w:val="24"/>
          <w:szCs w:val="24"/>
        </w:rPr>
        <w:t xml:space="preserve">well below </w:t>
      </w:r>
      <w:r w:rsidR="00EE55BC" w:rsidRPr="000F0669">
        <w:rPr>
          <w:rFonts w:ascii="Times New Roman" w:hAnsi="Times New Roman" w:cs="Times New Roman"/>
          <w:sz w:val="24"/>
          <w:szCs w:val="24"/>
        </w:rPr>
        <w:t xml:space="preserve">the </w:t>
      </w:r>
      <w:r w:rsidR="00061997" w:rsidRPr="000F0669">
        <w:rPr>
          <w:rFonts w:ascii="Times New Roman" w:hAnsi="Times New Roman" w:cs="Times New Roman"/>
          <w:sz w:val="24"/>
          <w:szCs w:val="24"/>
        </w:rPr>
        <w:t xml:space="preserve">total </w:t>
      </w:r>
      <w:r w:rsidR="001C153D" w:rsidRPr="000F0669">
        <w:rPr>
          <w:rFonts w:ascii="Times New Roman" w:hAnsi="Times New Roman" w:cs="Times New Roman"/>
          <w:sz w:val="24"/>
          <w:szCs w:val="24"/>
        </w:rPr>
        <w:t xml:space="preserve">amount of the </w:t>
      </w:r>
      <w:r w:rsidR="00EE55BC" w:rsidRPr="000F0669">
        <w:rPr>
          <w:rFonts w:ascii="Times New Roman" w:hAnsi="Times New Roman" w:cs="Times New Roman"/>
          <w:sz w:val="24"/>
          <w:szCs w:val="24"/>
        </w:rPr>
        <w:t xml:space="preserve">Company’s overall rate </w:t>
      </w:r>
      <w:r w:rsidR="001C153D" w:rsidRPr="000F0669">
        <w:rPr>
          <w:rFonts w:ascii="Times New Roman" w:hAnsi="Times New Roman" w:cs="Times New Roman"/>
          <w:sz w:val="24"/>
          <w:szCs w:val="24"/>
        </w:rPr>
        <w:t>request</w:t>
      </w:r>
      <w:r w:rsidR="002E7382" w:rsidRPr="000F0669">
        <w:rPr>
          <w:rFonts w:ascii="Times New Roman" w:hAnsi="Times New Roman" w:cs="Times New Roman"/>
          <w:sz w:val="24"/>
          <w:szCs w:val="24"/>
        </w:rPr>
        <w:t xml:space="preserve">; 2) </w:t>
      </w:r>
      <w:r w:rsidR="001B676D" w:rsidRPr="000F0669">
        <w:rPr>
          <w:rFonts w:ascii="Times New Roman" w:hAnsi="Times New Roman" w:cs="Times New Roman"/>
          <w:sz w:val="24"/>
          <w:szCs w:val="24"/>
        </w:rPr>
        <w:t>the</w:t>
      </w:r>
      <w:r w:rsidR="002E7382" w:rsidRPr="000F0669">
        <w:rPr>
          <w:rFonts w:ascii="Times New Roman" w:hAnsi="Times New Roman" w:cs="Times New Roman"/>
          <w:sz w:val="24"/>
          <w:szCs w:val="24"/>
        </w:rPr>
        <w:t>y</w:t>
      </w:r>
      <w:r w:rsidR="001B676D" w:rsidRPr="000F0669">
        <w:rPr>
          <w:rFonts w:ascii="Times New Roman" w:hAnsi="Times New Roman" w:cs="Times New Roman"/>
          <w:sz w:val="24"/>
          <w:szCs w:val="24"/>
        </w:rPr>
        <w:t xml:space="preserve"> </w:t>
      </w:r>
      <w:r w:rsidR="005446C1" w:rsidRPr="000F0669">
        <w:rPr>
          <w:rFonts w:ascii="Times New Roman" w:hAnsi="Times New Roman" w:cs="Times New Roman"/>
          <w:sz w:val="24"/>
          <w:szCs w:val="24"/>
        </w:rPr>
        <w:t>represent a reasonable exchange for the many ratepayer benefits of this Settlement</w:t>
      </w:r>
      <w:r w:rsidR="002E7382" w:rsidRPr="000F0669">
        <w:rPr>
          <w:rFonts w:ascii="Times New Roman" w:hAnsi="Times New Roman" w:cs="Times New Roman"/>
          <w:sz w:val="24"/>
          <w:szCs w:val="24"/>
        </w:rPr>
        <w:t xml:space="preserve">; </w:t>
      </w:r>
      <w:r w:rsidR="005446C1" w:rsidRPr="000F0669">
        <w:rPr>
          <w:rFonts w:ascii="Times New Roman" w:hAnsi="Times New Roman" w:cs="Times New Roman"/>
          <w:sz w:val="24"/>
          <w:szCs w:val="24"/>
        </w:rPr>
        <w:t xml:space="preserve">and </w:t>
      </w:r>
      <w:r w:rsidR="002E7382" w:rsidRPr="000F0669">
        <w:rPr>
          <w:rFonts w:ascii="Times New Roman" w:hAnsi="Times New Roman" w:cs="Times New Roman"/>
          <w:sz w:val="24"/>
          <w:szCs w:val="24"/>
        </w:rPr>
        <w:t xml:space="preserve">3) </w:t>
      </w:r>
      <w:r w:rsidR="001C153D" w:rsidRPr="000F0669">
        <w:rPr>
          <w:rFonts w:ascii="Times New Roman" w:hAnsi="Times New Roman" w:cs="Times New Roman"/>
          <w:sz w:val="24"/>
          <w:szCs w:val="24"/>
        </w:rPr>
        <w:t>they provide an incentive for the Company to operate efficiently</w:t>
      </w:r>
      <w:r w:rsidR="005446C1" w:rsidRPr="000F0669">
        <w:rPr>
          <w:rFonts w:ascii="Times New Roman" w:hAnsi="Times New Roman" w:cs="Times New Roman"/>
          <w:sz w:val="24"/>
          <w:szCs w:val="24"/>
        </w:rPr>
        <w:t>.</w:t>
      </w:r>
      <w:r w:rsidR="001B676D" w:rsidRPr="000F0669">
        <w:rPr>
          <w:rFonts w:ascii="Times New Roman" w:hAnsi="Times New Roman" w:cs="Times New Roman"/>
          <w:sz w:val="24"/>
          <w:szCs w:val="24"/>
        </w:rPr>
        <w:t xml:space="preserve">  </w:t>
      </w:r>
      <w:r w:rsidR="002E7382" w:rsidRPr="000F0669">
        <w:rPr>
          <w:rFonts w:ascii="Times New Roman" w:hAnsi="Times New Roman" w:cs="Times New Roman"/>
          <w:sz w:val="24"/>
          <w:szCs w:val="24"/>
        </w:rPr>
        <w:t xml:space="preserve">The rate increase in 2014 is </w:t>
      </w:r>
      <w:r w:rsidR="007E4DDE" w:rsidRPr="000F0669">
        <w:rPr>
          <w:rFonts w:ascii="Times New Roman" w:hAnsi="Times New Roman" w:cs="Times New Roman"/>
          <w:sz w:val="24"/>
          <w:szCs w:val="24"/>
        </w:rPr>
        <w:t xml:space="preserve">specifically </w:t>
      </w:r>
      <w:r w:rsidR="002E7382" w:rsidRPr="000F0669">
        <w:rPr>
          <w:rFonts w:ascii="Times New Roman" w:hAnsi="Times New Roman" w:cs="Times New Roman"/>
          <w:sz w:val="24"/>
          <w:szCs w:val="24"/>
        </w:rPr>
        <w:t xml:space="preserve">supported </w:t>
      </w:r>
      <w:r w:rsidR="007E4DDE" w:rsidRPr="000F0669">
        <w:rPr>
          <w:rFonts w:ascii="Times New Roman" w:hAnsi="Times New Roman" w:cs="Times New Roman"/>
          <w:sz w:val="24"/>
          <w:szCs w:val="24"/>
        </w:rPr>
        <w:t xml:space="preserve">by </w:t>
      </w:r>
      <w:r w:rsidR="002E7382" w:rsidRPr="000F0669">
        <w:rPr>
          <w:rFonts w:ascii="Times New Roman" w:hAnsi="Times New Roman" w:cs="Times New Roman"/>
          <w:sz w:val="24"/>
          <w:szCs w:val="24"/>
        </w:rPr>
        <w:t xml:space="preserve">the evidence </w:t>
      </w:r>
      <w:r w:rsidR="00BD6C26" w:rsidRPr="000F0669">
        <w:rPr>
          <w:rFonts w:ascii="Times New Roman" w:hAnsi="Times New Roman" w:cs="Times New Roman"/>
          <w:sz w:val="24"/>
          <w:szCs w:val="24"/>
        </w:rPr>
        <w:t>in this record.</w:t>
      </w:r>
      <w:r w:rsidR="003B5DD4" w:rsidRPr="000F0669">
        <w:rPr>
          <w:rFonts w:ascii="Times New Roman" w:hAnsi="Times New Roman" w:cs="Times New Roman"/>
          <w:sz w:val="24"/>
          <w:szCs w:val="24"/>
        </w:rPr>
        <w:t xml:space="preserve">  </w:t>
      </w:r>
      <w:r w:rsidR="00E40ABB" w:rsidRPr="000F0669">
        <w:rPr>
          <w:rFonts w:ascii="Times New Roman" w:hAnsi="Times New Roman" w:cs="Times New Roman"/>
          <w:sz w:val="24"/>
          <w:szCs w:val="24"/>
        </w:rPr>
        <w:t>In any event</w:t>
      </w:r>
      <w:r w:rsidR="001B676D" w:rsidRPr="000F0669">
        <w:rPr>
          <w:rFonts w:ascii="Times New Roman" w:hAnsi="Times New Roman" w:cs="Times New Roman"/>
          <w:sz w:val="24"/>
          <w:szCs w:val="24"/>
        </w:rPr>
        <w:t xml:space="preserve">, </w:t>
      </w:r>
      <w:r w:rsidR="00061997" w:rsidRPr="000F0669">
        <w:rPr>
          <w:rFonts w:ascii="Times New Roman" w:hAnsi="Times New Roman" w:cs="Times New Roman"/>
          <w:sz w:val="24"/>
          <w:szCs w:val="24"/>
        </w:rPr>
        <w:t xml:space="preserve">the rate changes under the Settlement </w:t>
      </w:r>
      <w:r w:rsidR="002E7382" w:rsidRPr="000F0669">
        <w:rPr>
          <w:rFonts w:ascii="Times New Roman" w:hAnsi="Times New Roman" w:cs="Times New Roman"/>
          <w:sz w:val="24"/>
          <w:szCs w:val="24"/>
        </w:rPr>
        <w:t xml:space="preserve">will </w:t>
      </w:r>
      <w:r w:rsidR="001B676D" w:rsidRPr="000F0669">
        <w:rPr>
          <w:rFonts w:ascii="Times New Roman" w:hAnsi="Times New Roman" w:cs="Times New Roman"/>
          <w:sz w:val="24"/>
          <w:szCs w:val="24"/>
        </w:rPr>
        <w:t xml:space="preserve">not be </w:t>
      </w:r>
      <w:r w:rsidR="002E7382" w:rsidRPr="000F0669">
        <w:rPr>
          <w:rFonts w:ascii="Times New Roman" w:hAnsi="Times New Roman" w:cs="Times New Roman"/>
          <w:sz w:val="24"/>
          <w:szCs w:val="24"/>
        </w:rPr>
        <w:t xml:space="preserve">unfair, unjust or unreasonable (i.e., </w:t>
      </w:r>
      <w:r w:rsidR="001B676D" w:rsidRPr="000F0669">
        <w:rPr>
          <w:rFonts w:ascii="Times New Roman" w:hAnsi="Times New Roman" w:cs="Times New Roman"/>
          <w:sz w:val="24"/>
          <w:szCs w:val="24"/>
        </w:rPr>
        <w:t>excessive</w:t>
      </w:r>
      <w:r w:rsidR="002E7382" w:rsidRPr="000F0669">
        <w:rPr>
          <w:rFonts w:ascii="Times New Roman" w:hAnsi="Times New Roman" w:cs="Times New Roman"/>
          <w:sz w:val="24"/>
          <w:szCs w:val="24"/>
        </w:rPr>
        <w:t>)</w:t>
      </w:r>
      <w:r w:rsidR="001B676D" w:rsidRPr="000F0669">
        <w:rPr>
          <w:rFonts w:ascii="Times New Roman" w:hAnsi="Times New Roman" w:cs="Times New Roman"/>
          <w:sz w:val="24"/>
          <w:szCs w:val="24"/>
        </w:rPr>
        <w:t xml:space="preserve"> because the Company has agreed to refund any amount of revenue it collects above a return on equity of 9.8 percent.</w:t>
      </w:r>
    </w:p>
    <w:p w:rsidR="00061997" w:rsidRPr="000F0669" w:rsidRDefault="000F0669" w:rsidP="000F0669">
      <w:pPr>
        <w:pStyle w:val="ListParagraph"/>
        <w:numPr>
          <w:ilvl w:val="0"/>
          <w:numId w:val="5"/>
        </w:numPr>
        <w:spacing w:line="480" w:lineRule="auto"/>
        <w:rPr>
          <w:rFonts w:ascii="Times New Roman" w:hAnsi="Times New Roman" w:cs="Times New Roman"/>
          <w:b/>
          <w:sz w:val="24"/>
          <w:szCs w:val="24"/>
        </w:rPr>
      </w:pPr>
      <w:r w:rsidRPr="000F0669">
        <w:rPr>
          <w:rFonts w:ascii="Times New Roman" w:hAnsi="Times New Roman" w:cs="Times New Roman"/>
          <w:sz w:val="24"/>
          <w:szCs w:val="24"/>
        </w:rPr>
        <w:tab/>
      </w:r>
      <w:r w:rsidR="00061997" w:rsidRPr="000F0669">
        <w:rPr>
          <w:rFonts w:ascii="Times New Roman" w:hAnsi="Times New Roman" w:cs="Times New Roman"/>
          <w:sz w:val="24"/>
          <w:szCs w:val="24"/>
        </w:rPr>
        <w:t>For these reasons, the Settlement will result in rates that are fair, just and reasonable.</w:t>
      </w:r>
    </w:p>
    <w:p w:rsidR="00F03FB4" w:rsidRDefault="00061997" w:rsidP="00F03FB4">
      <w:pPr>
        <w:ind w:left="720" w:hanging="720"/>
        <w:rPr>
          <w:b/>
        </w:rPr>
      </w:pPr>
      <w:r>
        <w:rPr>
          <w:b/>
        </w:rPr>
        <w:t>A</w:t>
      </w:r>
      <w:r w:rsidR="003176FA">
        <w:rPr>
          <w:b/>
        </w:rPr>
        <w:t>.</w:t>
      </w:r>
      <w:r w:rsidR="003176FA">
        <w:rPr>
          <w:b/>
        </w:rPr>
        <w:tab/>
        <w:t xml:space="preserve">The 2014 Rate Changes are </w:t>
      </w:r>
      <w:r>
        <w:rPr>
          <w:b/>
        </w:rPr>
        <w:t>Well Within the Scope of</w:t>
      </w:r>
      <w:r w:rsidR="003176FA">
        <w:rPr>
          <w:b/>
        </w:rPr>
        <w:t xml:space="preserve"> the </w:t>
      </w:r>
      <w:r w:rsidR="00F03FB4">
        <w:rPr>
          <w:b/>
        </w:rPr>
        <w:t xml:space="preserve">Company’s </w:t>
      </w:r>
      <w:r w:rsidR="003176FA">
        <w:rPr>
          <w:b/>
        </w:rPr>
        <w:t xml:space="preserve">Overall </w:t>
      </w:r>
      <w:r w:rsidR="00F03FB4">
        <w:rPr>
          <w:b/>
        </w:rPr>
        <w:t xml:space="preserve">Revenue </w:t>
      </w:r>
      <w:r w:rsidR="003176FA">
        <w:rPr>
          <w:b/>
        </w:rPr>
        <w:t>Request</w:t>
      </w:r>
      <w:r w:rsidR="001B676D">
        <w:rPr>
          <w:rStyle w:val="FootnoteReference"/>
          <w:b/>
        </w:rPr>
        <w:footnoteReference w:id="4"/>
      </w:r>
    </w:p>
    <w:p w:rsidR="00F03FB4" w:rsidRDefault="00F03FB4" w:rsidP="00F03FB4">
      <w:pPr>
        <w:ind w:left="720" w:hanging="720"/>
        <w:rPr>
          <w:b/>
        </w:rPr>
      </w:pPr>
    </w:p>
    <w:p w:rsidR="0032679D"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tab/>
      </w:r>
      <w:r w:rsidR="006F5FD5" w:rsidRPr="000F0669">
        <w:rPr>
          <w:rFonts w:ascii="Times New Roman" w:hAnsi="Times New Roman" w:cs="Times New Roman"/>
          <w:sz w:val="24"/>
          <w:szCs w:val="24"/>
        </w:rPr>
        <w:t>The Company’s rate case filing requested $50.071 million in additional revenues.</w:t>
      </w:r>
      <w:r w:rsidR="006F5FD5" w:rsidRPr="000F0669">
        <w:rPr>
          <w:rStyle w:val="FootnoteReference"/>
          <w:rFonts w:ascii="Times New Roman" w:hAnsi="Times New Roman" w:cs="Times New Roman"/>
          <w:sz w:val="24"/>
          <w:szCs w:val="24"/>
        </w:rPr>
        <w:footnoteReference w:id="5"/>
      </w:r>
      <w:r w:rsidR="006F5FD5" w:rsidRPr="000F0669">
        <w:rPr>
          <w:rFonts w:ascii="Times New Roman" w:hAnsi="Times New Roman" w:cs="Times New Roman"/>
          <w:sz w:val="24"/>
          <w:szCs w:val="24"/>
        </w:rPr>
        <w:t xml:space="preserve">  </w:t>
      </w:r>
      <w:r w:rsidR="001C153D" w:rsidRPr="000F0669">
        <w:rPr>
          <w:rFonts w:ascii="Times New Roman" w:hAnsi="Times New Roman" w:cs="Times New Roman"/>
          <w:sz w:val="24"/>
          <w:szCs w:val="24"/>
        </w:rPr>
        <w:t xml:space="preserve">As Avista witness Mr. Norwood </w:t>
      </w:r>
      <w:r w:rsidR="006F5FD5" w:rsidRPr="000F0669">
        <w:rPr>
          <w:rFonts w:ascii="Times New Roman" w:hAnsi="Times New Roman" w:cs="Times New Roman"/>
          <w:sz w:val="24"/>
          <w:szCs w:val="24"/>
        </w:rPr>
        <w:t xml:space="preserve">explained, after all the data was reviewed and updated, </w:t>
      </w:r>
      <w:r w:rsidR="001C153D" w:rsidRPr="000F0669">
        <w:rPr>
          <w:rFonts w:ascii="Times New Roman" w:hAnsi="Times New Roman" w:cs="Times New Roman"/>
          <w:sz w:val="24"/>
          <w:szCs w:val="24"/>
        </w:rPr>
        <w:t>t</w:t>
      </w:r>
      <w:r w:rsidR="00F03FB4" w:rsidRPr="000F0669">
        <w:rPr>
          <w:rFonts w:ascii="Times New Roman" w:hAnsi="Times New Roman" w:cs="Times New Roman"/>
          <w:sz w:val="24"/>
          <w:szCs w:val="24"/>
        </w:rPr>
        <w:t xml:space="preserve">he </w:t>
      </w:r>
      <w:r w:rsidR="001C153D" w:rsidRPr="000F0669">
        <w:rPr>
          <w:rFonts w:ascii="Times New Roman" w:hAnsi="Times New Roman" w:cs="Times New Roman"/>
          <w:sz w:val="24"/>
          <w:szCs w:val="24"/>
        </w:rPr>
        <w:t>Company</w:t>
      </w:r>
      <w:r w:rsidR="006F5FD5" w:rsidRPr="000F0669">
        <w:rPr>
          <w:rFonts w:ascii="Times New Roman" w:hAnsi="Times New Roman" w:cs="Times New Roman"/>
          <w:sz w:val="24"/>
          <w:szCs w:val="24"/>
        </w:rPr>
        <w:t>’s case</w:t>
      </w:r>
      <w:r w:rsidR="001C153D" w:rsidRPr="000F0669">
        <w:rPr>
          <w:rFonts w:ascii="Times New Roman" w:hAnsi="Times New Roman" w:cs="Times New Roman"/>
          <w:sz w:val="24"/>
          <w:szCs w:val="24"/>
        </w:rPr>
        <w:t xml:space="preserve"> would justify </w:t>
      </w:r>
      <w:r w:rsidR="00673A6C" w:rsidRPr="000F0669">
        <w:rPr>
          <w:rFonts w:ascii="Times New Roman" w:hAnsi="Times New Roman" w:cs="Times New Roman"/>
          <w:sz w:val="24"/>
          <w:szCs w:val="24"/>
        </w:rPr>
        <w:t xml:space="preserve">even more: </w:t>
      </w:r>
      <w:r w:rsidR="001C153D" w:rsidRPr="000F0669">
        <w:rPr>
          <w:rFonts w:ascii="Times New Roman" w:hAnsi="Times New Roman" w:cs="Times New Roman"/>
          <w:sz w:val="24"/>
          <w:szCs w:val="24"/>
        </w:rPr>
        <w:t>$53.3 million in additional revenues</w:t>
      </w:r>
      <w:r w:rsidR="006F5FD5" w:rsidRPr="000F0669">
        <w:rPr>
          <w:rFonts w:ascii="Times New Roman" w:hAnsi="Times New Roman" w:cs="Times New Roman"/>
          <w:sz w:val="24"/>
          <w:szCs w:val="24"/>
        </w:rPr>
        <w:t>.</w:t>
      </w:r>
      <w:r w:rsidR="006F5FD5" w:rsidRPr="000F0669">
        <w:rPr>
          <w:rStyle w:val="FootnoteReference"/>
          <w:rFonts w:ascii="Times New Roman" w:hAnsi="Times New Roman" w:cs="Times New Roman"/>
          <w:sz w:val="24"/>
          <w:szCs w:val="24"/>
        </w:rPr>
        <w:footnoteReference w:id="6"/>
      </w:r>
      <w:r w:rsidR="006F5FD5" w:rsidRPr="000F0669">
        <w:rPr>
          <w:rFonts w:ascii="Times New Roman" w:hAnsi="Times New Roman" w:cs="Times New Roman"/>
          <w:sz w:val="24"/>
          <w:szCs w:val="24"/>
        </w:rPr>
        <w:t xml:space="preserve">  The rate increases called for in the Settlement </w:t>
      </w:r>
      <w:r w:rsidR="007E4DDE" w:rsidRPr="000F0669">
        <w:rPr>
          <w:rFonts w:ascii="Times New Roman" w:hAnsi="Times New Roman" w:cs="Times New Roman"/>
          <w:sz w:val="24"/>
          <w:szCs w:val="24"/>
        </w:rPr>
        <w:t xml:space="preserve">in 2013 and 2014 </w:t>
      </w:r>
      <w:r w:rsidR="006F5FD5" w:rsidRPr="000F0669">
        <w:rPr>
          <w:rFonts w:ascii="Times New Roman" w:hAnsi="Times New Roman" w:cs="Times New Roman"/>
          <w:sz w:val="24"/>
          <w:szCs w:val="24"/>
        </w:rPr>
        <w:t>total $34.35 million,</w:t>
      </w:r>
      <w:r w:rsidR="006F5FD5" w:rsidRPr="000F0669">
        <w:rPr>
          <w:rStyle w:val="FootnoteReference"/>
          <w:rFonts w:ascii="Times New Roman" w:hAnsi="Times New Roman" w:cs="Times New Roman"/>
          <w:sz w:val="24"/>
          <w:szCs w:val="24"/>
        </w:rPr>
        <w:footnoteReference w:id="7"/>
      </w:r>
      <w:r w:rsidR="006F5FD5" w:rsidRPr="000F0669">
        <w:rPr>
          <w:rFonts w:ascii="Times New Roman" w:hAnsi="Times New Roman" w:cs="Times New Roman"/>
          <w:sz w:val="24"/>
          <w:szCs w:val="24"/>
        </w:rPr>
        <w:t xml:space="preserve"> well within either </w:t>
      </w:r>
      <w:r w:rsidR="006F5FD5" w:rsidRPr="000F0669">
        <w:rPr>
          <w:rFonts w:ascii="Times New Roman" w:hAnsi="Times New Roman" w:cs="Times New Roman"/>
          <w:sz w:val="24"/>
          <w:szCs w:val="24"/>
        </w:rPr>
        <w:lastRenderedPageBreak/>
        <w:t xml:space="preserve">of these overall amounts.  </w:t>
      </w:r>
      <w:r w:rsidR="007E4DDE" w:rsidRPr="000F0669">
        <w:rPr>
          <w:rFonts w:ascii="Times New Roman" w:hAnsi="Times New Roman" w:cs="Times New Roman"/>
          <w:sz w:val="24"/>
          <w:szCs w:val="24"/>
        </w:rPr>
        <w:t xml:space="preserve">In other words, </w:t>
      </w:r>
      <w:r w:rsidR="006F5FD5" w:rsidRPr="000F0669">
        <w:rPr>
          <w:rFonts w:ascii="Times New Roman" w:hAnsi="Times New Roman" w:cs="Times New Roman"/>
          <w:sz w:val="24"/>
          <w:szCs w:val="24"/>
        </w:rPr>
        <w:t>the 2014 rate increase is supported by record evidence for 2013 alone.</w:t>
      </w:r>
      <w:r w:rsidR="0077336C" w:rsidRPr="000F0669">
        <w:rPr>
          <w:rFonts w:ascii="Times New Roman" w:hAnsi="Times New Roman" w:cs="Times New Roman"/>
          <w:sz w:val="24"/>
          <w:szCs w:val="24"/>
        </w:rPr>
        <w:t xml:space="preserve">  </w:t>
      </w:r>
    </w:p>
    <w:p w:rsidR="00E504E5"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tab/>
      </w:r>
      <w:r w:rsidR="0032679D" w:rsidRPr="000F0669">
        <w:rPr>
          <w:rFonts w:ascii="Times New Roman" w:hAnsi="Times New Roman" w:cs="Times New Roman"/>
          <w:sz w:val="24"/>
          <w:szCs w:val="24"/>
        </w:rPr>
        <w:t xml:space="preserve">In 2000, </w:t>
      </w:r>
      <w:r w:rsidR="0077336C" w:rsidRPr="000F0669">
        <w:rPr>
          <w:rFonts w:ascii="Times New Roman" w:hAnsi="Times New Roman" w:cs="Times New Roman"/>
          <w:sz w:val="24"/>
          <w:szCs w:val="24"/>
        </w:rPr>
        <w:t>The Commission approved a five-year rate plan for PacifiCorp on similar facts.</w:t>
      </w:r>
      <w:r w:rsidR="0077336C" w:rsidRPr="000F0669">
        <w:rPr>
          <w:rStyle w:val="FootnoteReference"/>
          <w:rFonts w:ascii="Times New Roman" w:hAnsi="Times New Roman" w:cs="Times New Roman"/>
          <w:sz w:val="24"/>
          <w:szCs w:val="24"/>
        </w:rPr>
        <w:footnoteReference w:id="8"/>
      </w:r>
      <w:r w:rsidR="002E7382" w:rsidRPr="000F0669">
        <w:rPr>
          <w:rFonts w:ascii="Times New Roman" w:hAnsi="Times New Roman" w:cs="Times New Roman"/>
          <w:sz w:val="24"/>
          <w:szCs w:val="24"/>
        </w:rPr>
        <w:t xml:space="preserve"> </w:t>
      </w:r>
      <w:r w:rsidR="001E0A3A" w:rsidRPr="000F0669">
        <w:rPr>
          <w:rFonts w:ascii="Times New Roman" w:hAnsi="Times New Roman" w:cs="Times New Roman"/>
          <w:sz w:val="24"/>
          <w:szCs w:val="24"/>
        </w:rPr>
        <w:t xml:space="preserve"> In that case, the Commission did not require a separate showing that the three </w:t>
      </w:r>
      <w:r w:rsidR="008F40B8" w:rsidRPr="000F0669">
        <w:rPr>
          <w:rFonts w:ascii="Times New Roman" w:hAnsi="Times New Roman" w:cs="Times New Roman"/>
          <w:sz w:val="24"/>
          <w:szCs w:val="24"/>
        </w:rPr>
        <w:t xml:space="preserve">annual </w:t>
      </w:r>
      <w:r w:rsidR="001E0A3A" w:rsidRPr="000F0669">
        <w:rPr>
          <w:rFonts w:ascii="Times New Roman" w:hAnsi="Times New Roman" w:cs="Times New Roman"/>
          <w:sz w:val="24"/>
          <w:szCs w:val="24"/>
        </w:rPr>
        <w:t xml:space="preserve">rate increases </w:t>
      </w:r>
      <w:r w:rsidR="008F40B8" w:rsidRPr="000F0669">
        <w:rPr>
          <w:rFonts w:ascii="Times New Roman" w:hAnsi="Times New Roman" w:cs="Times New Roman"/>
          <w:sz w:val="24"/>
          <w:szCs w:val="24"/>
        </w:rPr>
        <w:t xml:space="preserve">followed by </w:t>
      </w:r>
      <w:r w:rsidR="001E0A3A" w:rsidRPr="000F0669">
        <w:rPr>
          <w:rFonts w:ascii="Times New Roman" w:hAnsi="Times New Roman" w:cs="Times New Roman"/>
          <w:sz w:val="24"/>
          <w:szCs w:val="24"/>
        </w:rPr>
        <w:t>two years of no rate changes were fair, just and reasonable based on a separate, rate base/rate of return analysis for each of the five years.</w:t>
      </w:r>
      <w:r w:rsidR="0008077D" w:rsidRPr="000F0669">
        <w:rPr>
          <w:rFonts w:ascii="Times New Roman" w:hAnsi="Times New Roman" w:cs="Times New Roman"/>
          <w:sz w:val="24"/>
          <w:szCs w:val="24"/>
        </w:rPr>
        <w:t xml:space="preserve">  Public Counsel </w:t>
      </w:r>
      <w:r w:rsidR="0032679D" w:rsidRPr="000F0669">
        <w:rPr>
          <w:rFonts w:ascii="Times New Roman" w:hAnsi="Times New Roman" w:cs="Times New Roman"/>
          <w:sz w:val="24"/>
          <w:szCs w:val="24"/>
        </w:rPr>
        <w:t xml:space="preserve">signed </w:t>
      </w:r>
      <w:r w:rsidR="008F40B8" w:rsidRPr="000F0669">
        <w:rPr>
          <w:rFonts w:ascii="Times New Roman" w:hAnsi="Times New Roman" w:cs="Times New Roman"/>
          <w:sz w:val="24"/>
          <w:szCs w:val="24"/>
        </w:rPr>
        <w:t xml:space="preserve">and supported </w:t>
      </w:r>
      <w:r w:rsidR="0008077D" w:rsidRPr="000F0669">
        <w:rPr>
          <w:rFonts w:ascii="Times New Roman" w:hAnsi="Times New Roman" w:cs="Times New Roman"/>
          <w:sz w:val="24"/>
          <w:szCs w:val="24"/>
        </w:rPr>
        <w:t>that settlement.</w:t>
      </w:r>
    </w:p>
    <w:p w:rsidR="00061997" w:rsidRDefault="00061997" w:rsidP="00061997">
      <w:pPr>
        <w:ind w:left="720" w:hanging="720"/>
        <w:rPr>
          <w:b/>
        </w:rPr>
      </w:pPr>
      <w:r>
        <w:rPr>
          <w:b/>
        </w:rPr>
        <w:t>B.</w:t>
      </w:r>
      <w:r>
        <w:rPr>
          <w:b/>
        </w:rPr>
        <w:tab/>
        <w:t>The 2014 Rate Increases are Appropriate in Light of the Overall Settlement Package</w:t>
      </w:r>
    </w:p>
    <w:p w:rsidR="00061997" w:rsidRDefault="00061997" w:rsidP="00061997">
      <w:pPr>
        <w:rPr>
          <w:b/>
        </w:rPr>
      </w:pPr>
    </w:p>
    <w:p w:rsidR="00061997"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tab/>
      </w:r>
      <w:r w:rsidR="00061997" w:rsidRPr="000F0669">
        <w:rPr>
          <w:rFonts w:ascii="Times New Roman" w:hAnsi="Times New Roman" w:cs="Times New Roman"/>
          <w:sz w:val="24"/>
          <w:szCs w:val="24"/>
        </w:rPr>
        <w:t xml:space="preserve">The Settlement </w:t>
      </w:r>
      <w:r w:rsidR="00E40ABB" w:rsidRPr="000F0669">
        <w:rPr>
          <w:rFonts w:ascii="Times New Roman" w:hAnsi="Times New Roman" w:cs="Times New Roman"/>
          <w:sz w:val="24"/>
          <w:szCs w:val="24"/>
        </w:rPr>
        <w:t>is</w:t>
      </w:r>
      <w:r w:rsidR="00696E6B" w:rsidRPr="000F0669">
        <w:rPr>
          <w:rFonts w:ascii="Times New Roman" w:hAnsi="Times New Roman" w:cs="Times New Roman"/>
          <w:sz w:val="24"/>
          <w:szCs w:val="24"/>
        </w:rPr>
        <w:t xml:space="preserve"> </w:t>
      </w:r>
      <w:r w:rsidR="00BD6C26" w:rsidRPr="000F0669">
        <w:rPr>
          <w:rFonts w:ascii="Times New Roman" w:hAnsi="Times New Roman" w:cs="Times New Roman"/>
          <w:sz w:val="24"/>
          <w:szCs w:val="24"/>
        </w:rPr>
        <w:t>a</w:t>
      </w:r>
      <w:r w:rsidR="007E4DDE" w:rsidRPr="000F0669">
        <w:rPr>
          <w:rFonts w:ascii="Times New Roman" w:hAnsi="Times New Roman" w:cs="Times New Roman"/>
          <w:sz w:val="24"/>
          <w:szCs w:val="24"/>
        </w:rPr>
        <w:t xml:space="preserve"> package</w:t>
      </w:r>
      <w:r w:rsidR="00C61386" w:rsidRPr="000F0669">
        <w:rPr>
          <w:rFonts w:ascii="Times New Roman" w:hAnsi="Times New Roman" w:cs="Times New Roman"/>
          <w:sz w:val="24"/>
          <w:szCs w:val="24"/>
        </w:rPr>
        <w:t xml:space="preserve"> </w:t>
      </w:r>
      <w:r w:rsidR="00E40ABB" w:rsidRPr="000F0669">
        <w:rPr>
          <w:rFonts w:ascii="Times New Roman" w:hAnsi="Times New Roman" w:cs="Times New Roman"/>
          <w:sz w:val="24"/>
          <w:szCs w:val="24"/>
        </w:rPr>
        <w:t>that</w:t>
      </w:r>
      <w:r w:rsidR="00061997" w:rsidRPr="000F0669">
        <w:rPr>
          <w:rFonts w:ascii="Times New Roman" w:hAnsi="Times New Roman" w:cs="Times New Roman"/>
          <w:sz w:val="24"/>
          <w:szCs w:val="24"/>
        </w:rPr>
        <w:t xml:space="preserve"> reflects a bargai</w:t>
      </w:r>
      <w:r w:rsidR="00C61386" w:rsidRPr="000F0669">
        <w:rPr>
          <w:rFonts w:ascii="Times New Roman" w:hAnsi="Times New Roman" w:cs="Times New Roman"/>
          <w:sz w:val="24"/>
          <w:szCs w:val="24"/>
        </w:rPr>
        <w:t>n</w:t>
      </w:r>
      <w:r w:rsidR="003B5DD4" w:rsidRPr="000F0669">
        <w:rPr>
          <w:rFonts w:ascii="Times New Roman" w:hAnsi="Times New Roman" w:cs="Times New Roman"/>
          <w:sz w:val="24"/>
          <w:szCs w:val="24"/>
        </w:rPr>
        <w:t>ed for</w:t>
      </w:r>
      <w:r w:rsidR="00C61386" w:rsidRPr="000F0669">
        <w:rPr>
          <w:rFonts w:ascii="Times New Roman" w:hAnsi="Times New Roman" w:cs="Times New Roman"/>
          <w:sz w:val="24"/>
          <w:szCs w:val="24"/>
        </w:rPr>
        <w:t xml:space="preserve"> </w:t>
      </w:r>
      <w:r w:rsidR="00061997" w:rsidRPr="000F0669">
        <w:rPr>
          <w:rFonts w:ascii="Times New Roman" w:hAnsi="Times New Roman" w:cs="Times New Roman"/>
          <w:sz w:val="24"/>
          <w:szCs w:val="24"/>
        </w:rPr>
        <w:t>exchange of benefits</w:t>
      </w:r>
      <w:r w:rsidR="0050287E" w:rsidRPr="000F0669">
        <w:rPr>
          <w:rFonts w:ascii="Times New Roman" w:hAnsi="Times New Roman" w:cs="Times New Roman"/>
          <w:sz w:val="24"/>
          <w:szCs w:val="24"/>
        </w:rPr>
        <w:t xml:space="preserve">, even </w:t>
      </w:r>
      <w:r w:rsidR="003B5DD4" w:rsidRPr="000F0669">
        <w:rPr>
          <w:rFonts w:ascii="Times New Roman" w:hAnsi="Times New Roman" w:cs="Times New Roman"/>
          <w:sz w:val="24"/>
          <w:szCs w:val="24"/>
        </w:rPr>
        <w:t>though</w:t>
      </w:r>
      <w:r w:rsidR="0050287E" w:rsidRPr="000F0669">
        <w:rPr>
          <w:rFonts w:ascii="Times New Roman" w:hAnsi="Times New Roman" w:cs="Times New Roman"/>
          <w:sz w:val="24"/>
          <w:szCs w:val="24"/>
        </w:rPr>
        <w:t xml:space="preserve"> some elements may not have a “dollar sign” attached to </w:t>
      </w:r>
      <w:r w:rsidR="00E40ABB" w:rsidRPr="000F0669">
        <w:rPr>
          <w:rFonts w:ascii="Times New Roman" w:hAnsi="Times New Roman" w:cs="Times New Roman"/>
          <w:sz w:val="24"/>
          <w:szCs w:val="24"/>
        </w:rPr>
        <w:t>them</w:t>
      </w:r>
      <w:r w:rsidR="00061997" w:rsidRPr="000F0669">
        <w:rPr>
          <w:rFonts w:ascii="Times New Roman" w:hAnsi="Times New Roman" w:cs="Times New Roman"/>
          <w:sz w:val="24"/>
          <w:szCs w:val="24"/>
        </w:rPr>
        <w:t xml:space="preserve">.  </w:t>
      </w:r>
    </w:p>
    <w:p w:rsidR="00061997"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tab/>
      </w:r>
      <w:r w:rsidR="00061997" w:rsidRPr="000F0669">
        <w:rPr>
          <w:rFonts w:ascii="Times New Roman" w:hAnsi="Times New Roman" w:cs="Times New Roman"/>
          <w:sz w:val="24"/>
          <w:szCs w:val="24"/>
        </w:rPr>
        <w:t>For example, the Settlement calls for Avista to cease deferred accounting for major maintenance,</w:t>
      </w:r>
      <w:r w:rsidR="00061997" w:rsidRPr="000F0669">
        <w:rPr>
          <w:rStyle w:val="FootnoteReference"/>
          <w:rFonts w:ascii="Times New Roman" w:hAnsi="Times New Roman" w:cs="Times New Roman"/>
          <w:sz w:val="24"/>
          <w:szCs w:val="24"/>
        </w:rPr>
        <w:footnoteReference w:id="9"/>
      </w:r>
      <w:r w:rsidR="00061997" w:rsidRPr="000F0669">
        <w:rPr>
          <w:rFonts w:ascii="Times New Roman" w:hAnsi="Times New Roman" w:cs="Times New Roman"/>
          <w:sz w:val="24"/>
          <w:szCs w:val="24"/>
        </w:rPr>
        <w:t xml:space="preserve"> consistent with the Commission’s clearly </w:t>
      </w:r>
      <w:r w:rsidR="00961C7C" w:rsidRPr="000F0669">
        <w:rPr>
          <w:rFonts w:ascii="Times New Roman" w:hAnsi="Times New Roman" w:cs="Times New Roman"/>
          <w:sz w:val="24"/>
          <w:szCs w:val="24"/>
        </w:rPr>
        <w:t xml:space="preserve">expressed </w:t>
      </w:r>
      <w:r w:rsidR="00061997" w:rsidRPr="000F0669">
        <w:rPr>
          <w:rFonts w:ascii="Times New Roman" w:hAnsi="Times New Roman" w:cs="Times New Roman"/>
          <w:sz w:val="24"/>
          <w:szCs w:val="24"/>
        </w:rPr>
        <w:t xml:space="preserve">criticisms </w:t>
      </w:r>
      <w:r w:rsidR="00E40ABB" w:rsidRPr="000F0669">
        <w:rPr>
          <w:rFonts w:ascii="Times New Roman" w:hAnsi="Times New Roman" w:cs="Times New Roman"/>
          <w:sz w:val="24"/>
          <w:szCs w:val="24"/>
        </w:rPr>
        <w:t>of</w:t>
      </w:r>
      <w:r w:rsidR="00061997" w:rsidRPr="000F0669">
        <w:rPr>
          <w:rFonts w:ascii="Times New Roman" w:hAnsi="Times New Roman" w:cs="Times New Roman"/>
          <w:sz w:val="24"/>
          <w:szCs w:val="24"/>
        </w:rPr>
        <w:t xml:space="preserve"> such accounting.</w:t>
      </w:r>
      <w:r w:rsidR="00061997" w:rsidRPr="000F0669">
        <w:rPr>
          <w:rStyle w:val="FootnoteReference"/>
          <w:rFonts w:ascii="Times New Roman" w:hAnsi="Times New Roman" w:cs="Times New Roman"/>
          <w:sz w:val="24"/>
          <w:szCs w:val="24"/>
        </w:rPr>
        <w:footnoteReference w:id="10"/>
      </w:r>
      <w:r w:rsidR="00061997" w:rsidRPr="000F0669">
        <w:rPr>
          <w:rFonts w:ascii="Times New Roman" w:hAnsi="Times New Roman" w:cs="Times New Roman"/>
          <w:sz w:val="24"/>
          <w:szCs w:val="24"/>
        </w:rPr>
        <w:t xml:space="preserve">  </w:t>
      </w:r>
      <w:r w:rsidR="007E4DDE" w:rsidRPr="000F0669">
        <w:rPr>
          <w:rFonts w:ascii="Times New Roman" w:hAnsi="Times New Roman" w:cs="Times New Roman"/>
          <w:sz w:val="24"/>
          <w:szCs w:val="24"/>
        </w:rPr>
        <w:t>Also, t</w:t>
      </w:r>
      <w:r w:rsidR="00061997" w:rsidRPr="000F0669">
        <w:rPr>
          <w:rFonts w:ascii="Times New Roman" w:hAnsi="Times New Roman" w:cs="Times New Roman"/>
          <w:sz w:val="24"/>
          <w:szCs w:val="24"/>
        </w:rPr>
        <w:t>he Settlement changes the ERM rate adjustment trigger to $30 million,</w:t>
      </w:r>
      <w:r w:rsidR="00061997" w:rsidRPr="000F0669">
        <w:rPr>
          <w:rStyle w:val="FootnoteReference"/>
          <w:rFonts w:ascii="Times New Roman" w:hAnsi="Times New Roman" w:cs="Times New Roman"/>
          <w:sz w:val="24"/>
          <w:szCs w:val="24"/>
        </w:rPr>
        <w:footnoteReference w:id="11"/>
      </w:r>
      <w:r w:rsidR="00061997" w:rsidRPr="000F0669">
        <w:rPr>
          <w:rFonts w:ascii="Times New Roman" w:hAnsi="Times New Roman" w:cs="Times New Roman"/>
          <w:sz w:val="24"/>
          <w:szCs w:val="24"/>
        </w:rPr>
        <w:t xml:space="preserve"> rather than eliminating the trigger in favor of annual ERM rate adjustments, as Avista had proposed.</w:t>
      </w:r>
      <w:r w:rsidR="00061997" w:rsidRPr="000F0669">
        <w:rPr>
          <w:rStyle w:val="FootnoteReference"/>
          <w:rFonts w:ascii="Times New Roman" w:hAnsi="Times New Roman" w:cs="Times New Roman"/>
          <w:sz w:val="24"/>
          <w:szCs w:val="24"/>
        </w:rPr>
        <w:footnoteReference w:id="12"/>
      </w:r>
      <w:r w:rsidR="00061997" w:rsidRPr="000F0669">
        <w:rPr>
          <w:rFonts w:ascii="Times New Roman" w:hAnsi="Times New Roman" w:cs="Times New Roman"/>
          <w:sz w:val="24"/>
          <w:szCs w:val="24"/>
        </w:rPr>
        <w:t xml:space="preserve">  And, the Settlement calls for a “stay out” under which Avista will file no general rate case with rates effective in 2014,</w:t>
      </w:r>
      <w:r w:rsidR="00061997" w:rsidRPr="000F0669">
        <w:rPr>
          <w:rStyle w:val="FootnoteReference"/>
          <w:rFonts w:ascii="Times New Roman" w:hAnsi="Times New Roman" w:cs="Times New Roman"/>
          <w:sz w:val="24"/>
          <w:szCs w:val="24"/>
        </w:rPr>
        <w:footnoteReference w:id="13"/>
      </w:r>
      <w:r w:rsidR="00061997" w:rsidRPr="000F0669">
        <w:rPr>
          <w:rFonts w:ascii="Times New Roman" w:hAnsi="Times New Roman" w:cs="Times New Roman"/>
          <w:sz w:val="24"/>
          <w:szCs w:val="24"/>
        </w:rPr>
        <w:t xml:space="preserve"> providing ratepayers </w:t>
      </w:r>
      <w:r w:rsidR="002E7382" w:rsidRPr="000F0669">
        <w:rPr>
          <w:rFonts w:ascii="Times New Roman" w:hAnsi="Times New Roman" w:cs="Times New Roman"/>
          <w:sz w:val="24"/>
          <w:szCs w:val="24"/>
        </w:rPr>
        <w:t xml:space="preserve">highly-valued </w:t>
      </w:r>
      <w:r w:rsidR="00061997" w:rsidRPr="000F0669">
        <w:rPr>
          <w:rFonts w:ascii="Times New Roman" w:hAnsi="Times New Roman" w:cs="Times New Roman"/>
          <w:sz w:val="24"/>
          <w:szCs w:val="24"/>
        </w:rPr>
        <w:t>rate certainty.</w:t>
      </w:r>
      <w:r w:rsidR="00061997" w:rsidRPr="000F0669">
        <w:rPr>
          <w:rStyle w:val="FootnoteReference"/>
          <w:rFonts w:ascii="Times New Roman" w:hAnsi="Times New Roman" w:cs="Times New Roman"/>
          <w:sz w:val="24"/>
          <w:szCs w:val="24"/>
        </w:rPr>
        <w:footnoteReference w:id="14"/>
      </w:r>
      <w:r w:rsidR="00061997" w:rsidRPr="000F0669">
        <w:rPr>
          <w:rFonts w:ascii="Times New Roman" w:hAnsi="Times New Roman" w:cs="Times New Roman"/>
          <w:sz w:val="24"/>
          <w:szCs w:val="24"/>
        </w:rPr>
        <w:t xml:space="preserve">  </w:t>
      </w:r>
    </w:p>
    <w:p w:rsidR="00061997"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lastRenderedPageBreak/>
        <w:tab/>
      </w:r>
      <w:r w:rsidR="00E40ABB" w:rsidRPr="000F0669">
        <w:rPr>
          <w:rFonts w:ascii="Times New Roman" w:hAnsi="Times New Roman" w:cs="Times New Roman"/>
          <w:sz w:val="24"/>
          <w:szCs w:val="24"/>
        </w:rPr>
        <w:t xml:space="preserve">While </w:t>
      </w:r>
      <w:r w:rsidR="00061997" w:rsidRPr="000F0669">
        <w:rPr>
          <w:rFonts w:ascii="Times New Roman" w:hAnsi="Times New Roman" w:cs="Times New Roman"/>
          <w:sz w:val="24"/>
          <w:szCs w:val="24"/>
        </w:rPr>
        <w:t xml:space="preserve">the Settlement attaches no specific dollar values </w:t>
      </w:r>
      <w:r w:rsidR="001E0A3A" w:rsidRPr="000F0669">
        <w:rPr>
          <w:rFonts w:ascii="Times New Roman" w:hAnsi="Times New Roman" w:cs="Times New Roman"/>
          <w:sz w:val="24"/>
          <w:szCs w:val="24"/>
        </w:rPr>
        <w:t xml:space="preserve">to </w:t>
      </w:r>
      <w:r w:rsidR="00061997" w:rsidRPr="000F0669">
        <w:rPr>
          <w:rFonts w:ascii="Times New Roman" w:hAnsi="Times New Roman" w:cs="Times New Roman"/>
          <w:sz w:val="24"/>
          <w:szCs w:val="24"/>
        </w:rPr>
        <w:t xml:space="preserve">these </w:t>
      </w:r>
      <w:r w:rsidR="004961C2" w:rsidRPr="000F0669">
        <w:rPr>
          <w:rFonts w:ascii="Times New Roman" w:hAnsi="Times New Roman" w:cs="Times New Roman"/>
          <w:sz w:val="24"/>
          <w:szCs w:val="24"/>
        </w:rPr>
        <w:t xml:space="preserve">and </w:t>
      </w:r>
      <w:r w:rsidR="001E0A3A" w:rsidRPr="000F0669">
        <w:rPr>
          <w:rFonts w:ascii="Times New Roman" w:hAnsi="Times New Roman" w:cs="Times New Roman"/>
          <w:sz w:val="24"/>
          <w:szCs w:val="24"/>
        </w:rPr>
        <w:t xml:space="preserve">all the </w:t>
      </w:r>
      <w:r w:rsidR="004961C2" w:rsidRPr="000F0669">
        <w:rPr>
          <w:rFonts w:ascii="Times New Roman" w:hAnsi="Times New Roman" w:cs="Times New Roman"/>
          <w:sz w:val="24"/>
          <w:szCs w:val="24"/>
        </w:rPr>
        <w:t xml:space="preserve">other </w:t>
      </w:r>
      <w:r w:rsidR="00061997" w:rsidRPr="000F0669">
        <w:rPr>
          <w:rFonts w:ascii="Times New Roman" w:hAnsi="Times New Roman" w:cs="Times New Roman"/>
          <w:sz w:val="24"/>
          <w:szCs w:val="24"/>
        </w:rPr>
        <w:t>substantial</w:t>
      </w:r>
      <w:r w:rsidR="0008077D" w:rsidRPr="000F0669">
        <w:rPr>
          <w:rFonts w:ascii="Times New Roman" w:hAnsi="Times New Roman" w:cs="Times New Roman"/>
          <w:sz w:val="24"/>
          <w:szCs w:val="24"/>
        </w:rPr>
        <w:t xml:space="preserve">, </w:t>
      </w:r>
      <w:r w:rsidR="00347870" w:rsidRPr="000F0669">
        <w:rPr>
          <w:rFonts w:ascii="Times New Roman" w:hAnsi="Times New Roman" w:cs="Times New Roman"/>
          <w:sz w:val="24"/>
          <w:szCs w:val="24"/>
        </w:rPr>
        <w:t>un-quantified</w:t>
      </w:r>
      <w:r w:rsidR="00061997" w:rsidRPr="000F0669">
        <w:rPr>
          <w:rFonts w:ascii="Times New Roman" w:hAnsi="Times New Roman" w:cs="Times New Roman"/>
          <w:sz w:val="24"/>
          <w:szCs w:val="24"/>
        </w:rPr>
        <w:t xml:space="preserve"> ratepayer benefits </w:t>
      </w:r>
      <w:r w:rsidR="003B5DD4" w:rsidRPr="000F0669">
        <w:rPr>
          <w:rFonts w:ascii="Times New Roman" w:hAnsi="Times New Roman" w:cs="Times New Roman"/>
          <w:sz w:val="24"/>
          <w:szCs w:val="24"/>
        </w:rPr>
        <w:t>under</w:t>
      </w:r>
      <w:r w:rsidR="00061997" w:rsidRPr="000F0669">
        <w:rPr>
          <w:rFonts w:ascii="Times New Roman" w:hAnsi="Times New Roman" w:cs="Times New Roman"/>
          <w:sz w:val="24"/>
          <w:szCs w:val="24"/>
        </w:rPr>
        <w:t xml:space="preserve"> the </w:t>
      </w:r>
      <w:proofErr w:type="gramStart"/>
      <w:r w:rsidR="00061997" w:rsidRPr="000F0669">
        <w:rPr>
          <w:rFonts w:ascii="Times New Roman" w:hAnsi="Times New Roman" w:cs="Times New Roman"/>
          <w:sz w:val="24"/>
          <w:szCs w:val="24"/>
        </w:rPr>
        <w:t>Settlement</w:t>
      </w:r>
      <w:r w:rsidR="00E40ABB" w:rsidRPr="000F0669">
        <w:rPr>
          <w:rFonts w:ascii="Times New Roman" w:hAnsi="Times New Roman" w:cs="Times New Roman"/>
          <w:sz w:val="24"/>
          <w:szCs w:val="24"/>
        </w:rPr>
        <w:t xml:space="preserve">, </w:t>
      </w:r>
      <w:r w:rsidR="00061997" w:rsidRPr="000F0669">
        <w:rPr>
          <w:rFonts w:ascii="Times New Roman" w:hAnsi="Times New Roman" w:cs="Times New Roman"/>
          <w:sz w:val="24"/>
          <w:szCs w:val="24"/>
        </w:rPr>
        <w:t>that</w:t>
      </w:r>
      <w:proofErr w:type="gramEnd"/>
      <w:r w:rsidR="00061997" w:rsidRPr="000F0669">
        <w:rPr>
          <w:rFonts w:ascii="Times New Roman" w:hAnsi="Times New Roman" w:cs="Times New Roman"/>
          <w:sz w:val="24"/>
          <w:szCs w:val="24"/>
        </w:rPr>
        <w:t xml:space="preserve"> does not mean the</w:t>
      </w:r>
      <w:r w:rsidR="00E40ABB" w:rsidRPr="000F0669">
        <w:rPr>
          <w:rFonts w:ascii="Times New Roman" w:hAnsi="Times New Roman" w:cs="Times New Roman"/>
          <w:sz w:val="24"/>
          <w:szCs w:val="24"/>
        </w:rPr>
        <w:t xml:space="preserve">y have </w:t>
      </w:r>
      <w:r w:rsidR="00061997" w:rsidRPr="000F0669">
        <w:rPr>
          <w:rFonts w:ascii="Times New Roman" w:hAnsi="Times New Roman" w:cs="Times New Roman"/>
          <w:sz w:val="24"/>
          <w:szCs w:val="24"/>
        </w:rPr>
        <w:t xml:space="preserve">zero value.  </w:t>
      </w:r>
      <w:r w:rsidR="00696E6B" w:rsidRPr="000F0669">
        <w:rPr>
          <w:rFonts w:ascii="Times New Roman" w:hAnsi="Times New Roman" w:cs="Times New Roman"/>
          <w:sz w:val="24"/>
          <w:szCs w:val="24"/>
        </w:rPr>
        <w:t>Accordingly, w</w:t>
      </w:r>
      <w:r w:rsidR="00061997" w:rsidRPr="000F0669">
        <w:rPr>
          <w:rFonts w:ascii="Times New Roman" w:hAnsi="Times New Roman" w:cs="Times New Roman"/>
          <w:sz w:val="24"/>
          <w:szCs w:val="24"/>
        </w:rPr>
        <w:t xml:space="preserve">hile the rate change element of the Settlement </w:t>
      </w:r>
      <w:r w:rsidR="003D3309" w:rsidRPr="000F0669">
        <w:rPr>
          <w:rFonts w:ascii="Times New Roman" w:hAnsi="Times New Roman" w:cs="Times New Roman"/>
          <w:sz w:val="24"/>
          <w:szCs w:val="24"/>
        </w:rPr>
        <w:t xml:space="preserve">has a </w:t>
      </w:r>
      <w:r w:rsidR="00BD6C26" w:rsidRPr="000F0669">
        <w:rPr>
          <w:rFonts w:ascii="Times New Roman" w:hAnsi="Times New Roman" w:cs="Times New Roman"/>
          <w:sz w:val="24"/>
          <w:szCs w:val="24"/>
        </w:rPr>
        <w:t>specifi</w:t>
      </w:r>
      <w:r w:rsidR="003D3309" w:rsidRPr="000F0669">
        <w:rPr>
          <w:rFonts w:ascii="Times New Roman" w:hAnsi="Times New Roman" w:cs="Times New Roman"/>
          <w:sz w:val="24"/>
          <w:szCs w:val="24"/>
        </w:rPr>
        <w:t>c dollar value</w:t>
      </w:r>
      <w:r w:rsidR="00061997" w:rsidRPr="000F0669">
        <w:rPr>
          <w:rFonts w:ascii="Times New Roman" w:hAnsi="Times New Roman" w:cs="Times New Roman"/>
          <w:sz w:val="24"/>
          <w:szCs w:val="24"/>
        </w:rPr>
        <w:t xml:space="preserve">, </w:t>
      </w:r>
      <w:r w:rsidR="008F40B8" w:rsidRPr="000F0669">
        <w:rPr>
          <w:rFonts w:ascii="Times New Roman" w:hAnsi="Times New Roman" w:cs="Times New Roman"/>
          <w:sz w:val="24"/>
          <w:szCs w:val="24"/>
        </w:rPr>
        <w:t>it</w:t>
      </w:r>
      <w:r w:rsidR="00061997" w:rsidRPr="000F0669">
        <w:rPr>
          <w:rFonts w:ascii="Times New Roman" w:hAnsi="Times New Roman" w:cs="Times New Roman"/>
          <w:sz w:val="24"/>
          <w:szCs w:val="24"/>
        </w:rPr>
        <w:t xml:space="preserve"> mark</w:t>
      </w:r>
      <w:r w:rsidR="00AF07A3" w:rsidRPr="000F0669">
        <w:rPr>
          <w:rFonts w:ascii="Times New Roman" w:hAnsi="Times New Roman" w:cs="Times New Roman"/>
          <w:sz w:val="24"/>
          <w:szCs w:val="24"/>
        </w:rPr>
        <w:t>s</w:t>
      </w:r>
      <w:r w:rsidR="00061997" w:rsidRPr="000F0669">
        <w:rPr>
          <w:rFonts w:ascii="Times New Roman" w:hAnsi="Times New Roman" w:cs="Times New Roman"/>
          <w:sz w:val="24"/>
          <w:szCs w:val="24"/>
        </w:rPr>
        <w:t xml:space="preserve"> a fair exchange for the </w:t>
      </w:r>
      <w:r w:rsidR="0050287E" w:rsidRPr="000F0669">
        <w:rPr>
          <w:rFonts w:ascii="Times New Roman" w:hAnsi="Times New Roman" w:cs="Times New Roman"/>
          <w:sz w:val="24"/>
          <w:szCs w:val="24"/>
        </w:rPr>
        <w:t xml:space="preserve">overall </w:t>
      </w:r>
      <w:r w:rsidR="00061997" w:rsidRPr="000F0669">
        <w:rPr>
          <w:rFonts w:ascii="Times New Roman" w:hAnsi="Times New Roman" w:cs="Times New Roman"/>
          <w:sz w:val="24"/>
          <w:szCs w:val="24"/>
        </w:rPr>
        <w:t>benefits conferred</w:t>
      </w:r>
      <w:r w:rsidR="00E40ABB" w:rsidRPr="000F0669">
        <w:rPr>
          <w:rFonts w:ascii="Times New Roman" w:hAnsi="Times New Roman" w:cs="Times New Roman"/>
          <w:sz w:val="24"/>
          <w:szCs w:val="24"/>
        </w:rPr>
        <w:t xml:space="preserve"> on ratepayers by the Settlement</w:t>
      </w:r>
      <w:r w:rsidR="00061997" w:rsidRPr="000F0669">
        <w:rPr>
          <w:rFonts w:ascii="Times New Roman" w:hAnsi="Times New Roman" w:cs="Times New Roman"/>
          <w:sz w:val="24"/>
          <w:szCs w:val="24"/>
        </w:rPr>
        <w:t>.</w:t>
      </w:r>
    </w:p>
    <w:p w:rsidR="009060BC" w:rsidRDefault="005446C1" w:rsidP="00DC05E6">
      <w:pPr>
        <w:keepNext/>
        <w:spacing w:line="480" w:lineRule="auto"/>
      </w:pPr>
      <w:r>
        <w:rPr>
          <w:b/>
        </w:rPr>
        <w:t>C.</w:t>
      </w:r>
      <w:r>
        <w:rPr>
          <w:b/>
        </w:rPr>
        <w:tab/>
        <w:t xml:space="preserve">The 2014 Rate Changes </w:t>
      </w:r>
      <w:r w:rsidR="00061997">
        <w:rPr>
          <w:b/>
        </w:rPr>
        <w:t>are Further Supported by</w:t>
      </w:r>
      <w:r>
        <w:rPr>
          <w:b/>
        </w:rPr>
        <w:t xml:space="preserve"> the Evidence Related to 2014 </w:t>
      </w:r>
    </w:p>
    <w:p w:rsidR="007E4DDE"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tab/>
      </w:r>
      <w:r w:rsidR="00E40ABB" w:rsidRPr="000F0669">
        <w:rPr>
          <w:rFonts w:ascii="Times New Roman" w:hAnsi="Times New Roman" w:cs="Times New Roman"/>
          <w:sz w:val="24"/>
          <w:szCs w:val="24"/>
        </w:rPr>
        <w:t>Alt</w:t>
      </w:r>
      <w:r w:rsidR="002E7382" w:rsidRPr="000F0669">
        <w:rPr>
          <w:rFonts w:ascii="Times New Roman" w:hAnsi="Times New Roman" w:cs="Times New Roman"/>
          <w:sz w:val="24"/>
          <w:szCs w:val="24"/>
        </w:rPr>
        <w:t xml:space="preserve">hough the </w:t>
      </w:r>
      <w:r w:rsidR="00B76529" w:rsidRPr="000F0669">
        <w:rPr>
          <w:rFonts w:ascii="Times New Roman" w:hAnsi="Times New Roman" w:cs="Times New Roman"/>
          <w:sz w:val="24"/>
          <w:szCs w:val="24"/>
        </w:rPr>
        <w:t xml:space="preserve">amount of the </w:t>
      </w:r>
      <w:r w:rsidR="002E7382" w:rsidRPr="000F0669">
        <w:rPr>
          <w:rFonts w:ascii="Times New Roman" w:hAnsi="Times New Roman" w:cs="Times New Roman"/>
          <w:sz w:val="24"/>
          <w:szCs w:val="24"/>
        </w:rPr>
        <w:t xml:space="preserve">2014 rate increase </w:t>
      </w:r>
      <w:r w:rsidR="007E4DDE" w:rsidRPr="000F0669">
        <w:rPr>
          <w:rFonts w:ascii="Times New Roman" w:hAnsi="Times New Roman" w:cs="Times New Roman"/>
          <w:sz w:val="24"/>
          <w:szCs w:val="24"/>
        </w:rPr>
        <w:t xml:space="preserve">is </w:t>
      </w:r>
      <w:r w:rsidR="002E7382" w:rsidRPr="000F0669">
        <w:rPr>
          <w:rFonts w:ascii="Times New Roman" w:hAnsi="Times New Roman" w:cs="Times New Roman"/>
          <w:sz w:val="24"/>
          <w:szCs w:val="24"/>
        </w:rPr>
        <w:t>within the scope of the Company’s rate filing, Staff analyzed th</w:t>
      </w:r>
      <w:r w:rsidR="00B76529" w:rsidRPr="000F0669">
        <w:rPr>
          <w:rFonts w:ascii="Times New Roman" w:hAnsi="Times New Roman" w:cs="Times New Roman"/>
          <w:sz w:val="24"/>
          <w:szCs w:val="24"/>
        </w:rPr>
        <w:t>at</w:t>
      </w:r>
      <w:r w:rsidR="002E7382" w:rsidRPr="000F0669">
        <w:rPr>
          <w:rFonts w:ascii="Times New Roman" w:hAnsi="Times New Roman" w:cs="Times New Roman"/>
          <w:sz w:val="24"/>
          <w:szCs w:val="24"/>
        </w:rPr>
        <w:t xml:space="preserve"> rate increase </w:t>
      </w:r>
      <w:r w:rsidR="008F40B8" w:rsidRPr="000F0669">
        <w:rPr>
          <w:rFonts w:ascii="Times New Roman" w:hAnsi="Times New Roman" w:cs="Times New Roman"/>
          <w:sz w:val="24"/>
          <w:szCs w:val="24"/>
        </w:rPr>
        <w:t xml:space="preserve">in a </w:t>
      </w:r>
      <w:r w:rsidR="00BD6C26" w:rsidRPr="000F0669">
        <w:rPr>
          <w:rFonts w:ascii="Times New Roman" w:hAnsi="Times New Roman" w:cs="Times New Roman"/>
          <w:sz w:val="24"/>
          <w:szCs w:val="24"/>
        </w:rPr>
        <w:t>different</w:t>
      </w:r>
      <w:r w:rsidR="008F40B8" w:rsidRPr="000F0669">
        <w:rPr>
          <w:rFonts w:ascii="Times New Roman" w:hAnsi="Times New Roman" w:cs="Times New Roman"/>
          <w:sz w:val="24"/>
          <w:szCs w:val="24"/>
        </w:rPr>
        <w:t xml:space="preserve"> way</w:t>
      </w:r>
      <w:r w:rsidR="002E7382" w:rsidRPr="000F0669">
        <w:rPr>
          <w:rFonts w:ascii="Times New Roman" w:hAnsi="Times New Roman" w:cs="Times New Roman"/>
          <w:sz w:val="24"/>
          <w:szCs w:val="24"/>
        </w:rPr>
        <w:t xml:space="preserve">.  </w:t>
      </w:r>
      <w:r w:rsidR="008730A7" w:rsidRPr="000F0669">
        <w:rPr>
          <w:rFonts w:ascii="Times New Roman" w:hAnsi="Times New Roman" w:cs="Times New Roman"/>
          <w:sz w:val="24"/>
          <w:szCs w:val="24"/>
        </w:rPr>
        <w:t>Staff considered many different factors in determining</w:t>
      </w:r>
      <w:r w:rsidR="00AB789B" w:rsidRPr="000F0669">
        <w:rPr>
          <w:rFonts w:ascii="Times New Roman" w:hAnsi="Times New Roman" w:cs="Times New Roman"/>
          <w:sz w:val="24"/>
          <w:szCs w:val="24"/>
        </w:rPr>
        <w:t xml:space="preserve"> the reasonableness of the 2014 rate increases</w:t>
      </w:r>
      <w:r w:rsidR="00683FCE" w:rsidRPr="000F0669">
        <w:rPr>
          <w:rFonts w:ascii="Times New Roman" w:hAnsi="Times New Roman" w:cs="Times New Roman"/>
          <w:sz w:val="24"/>
          <w:szCs w:val="24"/>
        </w:rPr>
        <w:t>.</w:t>
      </w:r>
      <w:r w:rsidR="008730A7" w:rsidRPr="000F0669">
        <w:rPr>
          <w:rStyle w:val="FootnoteReference"/>
          <w:rFonts w:ascii="Times New Roman" w:hAnsi="Times New Roman" w:cs="Times New Roman"/>
          <w:sz w:val="24"/>
          <w:szCs w:val="24"/>
        </w:rPr>
        <w:footnoteReference w:id="15"/>
      </w:r>
      <w:r w:rsidR="00683FCE" w:rsidRPr="000F0669">
        <w:rPr>
          <w:rFonts w:ascii="Times New Roman" w:hAnsi="Times New Roman" w:cs="Times New Roman"/>
          <w:sz w:val="24"/>
          <w:szCs w:val="24"/>
        </w:rPr>
        <w:t xml:space="preserve"> </w:t>
      </w:r>
      <w:r w:rsidR="004961C2" w:rsidRPr="000F0669">
        <w:rPr>
          <w:rFonts w:ascii="Times New Roman" w:hAnsi="Times New Roman" w:cs="Times New Roman"/>
          <w:sz w:val="24"/>
          <w:szCs w:val="24"/>
        </w:rPr>
        <w:t xml:space="preserve"> Fundamentally, </w:t>
      </w:r>
      <w:r w:rsidR="00AB789B" w:rsidRPr="000F0669">
        <w:rPr>
          <w:rFonts w:ascii="Times New Roman" w:hAnsi="Times New Roman" w:cs="Times New Roman"/>
          <w:sz w:val="24"/>
          <w:szCs w:val="24"/>
        </w:rPr>
        <w:t xml:space="preserve">Staff concluded that </w:t>
      </w:r>
      <w:r w:rsidR="00E504E5" w:rsidRPr="000F0669">
        <w:rPr>
          <w:rFonts w:ascii="Times New Roman" w:hAnsi="Times New Roman" w:cs="Times New Roman"/>
          <w:sz w:val="24"/>
          <w:szCs w:val="24"/>
        </w:rPr>
        <w:t xml:space="preserve">Avista is </w:t>
      </w:r>
      <w:r w:rsidR="00AB789B" w:rsidRPr="000F0669">
        <w:rPr>
          <w:rFonts w:ascii="Times New Roman" w:hAnsi="Times New Roman" w:cs="Times New Roman"/>
          <w:sz w:val="24"/>
          <w:szCs w:val="24"/>
        </w:rPr>
        <w:t xml:space="preserve">very </w:t>
      </w:r>
      <w:r w:rsidR="00E504E5" w:rsidRPr="000F0669">
        <w:rPr>
          <w:rFonts w:ascii="Times New Roman" w:hAnsi="Times New Roman" w:cs="Times New Roman"/>
          <w:sz w:val="24"/>
          <w:szCs w:val="24"/>
        </w:rPr>
        <w:t xml:space="preserve">likely to experience considerable attrition in 2014, </w:t>
      </w:r>
      <w:r w:rsidR="00AB789B" w:rsidRPr="000F0669">
        <w:rPr>
          <w:rFonts w:ascii="Times New Roman" w:hAnsi="Times New Roman" w:cs="Times New Roman"/>
          <w:sz w:val="24"/>
          <w:szCs w:val="24"/>
        </w:rPr>
        <w:t xml:space="preserve">because </w:t>
      </w:r>
      <w:r w:rsidR="00E504E5" w:rsidRPr="000F0669">
        <w:rPr>
          <w:rFonts w:ascii="Times New Roman" w:hAnsi="Times New Roman" w:cs="Times New Roman"/>
          <w:sz w:val="24"/>
          <w:szCs w:val="24"/>
        </w:rPr>
        <w:t>rate base</w:t>
      </w:r>
      <w:r w:rsidR="00AB789B" w:rsidRPr="000F0669">
        <w:rPr>
          <w:rFonts w:ascii="Times New Roman" w:hAnsi="Times New Roman" w:cs="Times New Roman"/>
          <w:sz w:val="24"/>
          <w:szCs w:val="24"/>
        </w:rPr>
        <w:t xml:space="preserve"> is increasing </w:t>
      </w:r>
      <w:r w:rsidR="007E4DDE" w:rsidRPr="000F0669">
        <w:rPr>
          <w:rFonts w:ascii="Times New Roman" w:hAnsi="Times New Roman" w:cs="Times New Roman"/>
          <w:sz w:val="24"/>
          <w:szCs w:val="24"/>
        </w:rPr>
        <w:t xml:space="preserve">at a </w:t>
      </w:r>
      <w:r w:rsidR="00AB789B" w:rsidRPr="000F0669">
        <w:rPr>
          <w:rFonts w:ascii="Times New Roman" w:hAnsi="Times New Roman" w:cs="Times New Roman"/>
          <w:sz w:val="24"/>
          <w:szCs w:val="24"/>
        </w:rPr>
        <w:t>substantial</w:t>
      </w:r>
      <w:r w:rsidR="007E4DDE" w:rsidRPr="000F0669">
        <w:rPr>
          <w:rFonts w:ascii="Times New Roman" w:hAnsi="Times New Roman" w:cs="Times New Roman"/>
          <w:sz w:val="24"/>
          <w:szCs w:val="24"/>
        </w:rPr>
        <w:t xml:space="preserve"> rate</w:t>
      </w:r>
      <w:r w:rsidR="00AB789B" w:rsidRPr="000F0669">
        <w:rPr>
          <w:rFonts w:ascii="Times New Roman" w:hAnsi="Times New Roman" w:cs="Times New Roman"/>
          <w:sz w:val="24"/>
          <w:szCs w:val="24"/>
        </w:rPr>
        <w:t xml:space="preserve">, and </w:t>
      </w:r>
      <w:r w:rsidR="00E504E5" w:rsidRPr="000F0669">
        <w:rPr>
          <w:rFonts w:ascii="Times New Roman" w:hAnsi="Times New Roman" w:cs="Times New Roman"/>
          <w:sz w:val="24"/>
          <w:szCs w:val="24"/>
        </w:rPr>
        <w:t>revenue</w:t>
      </w:r>
      <w:r w:rsidR="00AB789B" w:rsidRPr="000F0669">
        <w:rPr>
          <w:rFonts w:ascii="Times New Roman" w:hAnsi="Times New Roman" w:cs="Times New Roman"/>
          <w:sz w:val="24"/>
          <w:szCs w:val="24"/>
        </w:rPr>
        <w:t>s are not keeping up</w:t>
      </w:r>
      <w:r w:rsidR="00E504E5" w:rsidRPr="000F0669">
        <w:rPr>
          <w:rFonts w:ascii="Times New Roman" w:hAnsi="Times New Roman" w:cs="Times New Roman"/>
          <w:sz w:val="24"/>
          <w:szCs w:val="24"/>
        </w:rPr>
        <w:t>.</w:t>
      </w:r>
      <w:r w:rsidR="00E504E5" w:rsidRPr="000F0669">
        <w:rPr>
          <w:rStyle w:val="FootnoteReference"/>
          <w:rFonts w:ascii="Times New Roman" w:hAnsi="Times New Roman" w:cs="Times New Roman"/>
          <w:sz w:val="24"/>
          <w:szCs w:val="24"/>
        </w:rPr>
        <w:footnoteReference w:id="16"/>
      </w:r>
      <w:r w:rsidR="00E504E5" w:rsidRPr="000F0669">
        <w:rPr>
          <w:rFonts w:ascii="Times New Roman" w:hAnsi="Times New Roman" w:cs="Times New Roman"/>
          <w:sz w:val="24"/>
          <w:szCs w:val="24"/>
        </w:rPr>
        <w:t xml:space="preserve">  </w:t>
      </w:r>
    </w:p>
    <w:p w:rsidR="007F0543"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tab/>
      </w:r>
      <w:r w:rsidR="00801EEF" w:rsidRPr="000F0669">
        <w:rPr>
          <w:rFonts w:ascii="Times New Roman" w:hAnsi="Times New Roman" w:cs="Times New Roman"/>
          <w:sz w:val="24"/>
          <w:szCs w:val="24"/>
        </w:rPr>
        <w:t xml:space="preserve">Bench Exhibit No. 8C confirms </w:t>
      </w:r>
      <w:r w:rsidR="004961C2" w:rsidRPr="000F0669">
        <w:rPr>
          <w:rFonts w:ascii="Times New Roman" w:hAnsi="Times New Roman" w:cs="Times New Roman"/>
          <w:sz w:val="24"/>
          <w:szCs w:val="24"/>
        </w:rPr>
        <w:t xml:space="preserve">Staff’s conclusion </w:t>
      </w:r>
      <w:r w:rsidR="00801EEF" w:rsidRPr="000F0669">
        <w:rPr>
          <w:rFonts w:ascii="Times New Roman" w:hAnsi="Times New Roman" w:cs="Times New Roman"/>
          <w:sz w:val="24"/>
          <w:szCs w:val="24"/>
        </w:rPr>
        <w:t xml:space="preserve">and </w:t>
      </w:r>
      <w:r w:rsidR="004961C2" w:rsidRPr="000F0669">
        <w:rPr>
          <w:rFonts w:ascii="Times New Roman" w:hAnsi="Times New Roman" w:cs="Times New Roman"/>
          <w:sz w:val="24"/>
          <w:szCs w:val="24"/>
        </w:rPr>
        <w:t xml:space="preserve">it </w:t>
      </w:r>
      <w:r w:rsidR="00801EEF" w:rsidRPr="000F0669">
        <w:rPr>
          <w:rFonts w:ascii="Times New Roman" w:hAnsi="Times New Roman" w:cs="Times New Roman"/>
          <w:sz w:val="24"/>
          <w:szCs w:val="24"/>
        </w:rPr>
        <w:t>is consistent with the attrition analysis Staff performed for the 2013 rate year.</w:t>
      </w:r>
      <w:r w:rsidR="00801EEF" w:rsidRPr="000F0669">
        <w:rPr>
          <w:rStyle w:val="FootnoteReference"/>
          <w:rFonts w:ascii="Times New Roman" w:hAnsi="Times New Roman" w:cs="Times New Roman"/>
          <w:sz w:val="24"/>
          <w:szCs w:val="24"/>
        </w:rPr>
        <w:footnoteReference w:id="17"/>
      </w:r>
      <w:r w:rsidR="00801EEF" w:rsidRPr="000F0669">
        <w:rPr>
          <w:rFonts w:ascii="Times New Roman" w:hAnsi="Times New Roman" w:cs="Times New Roman"/>
          <w:sz w:val="24"/>
          <w:szCs w:val="24"/>
        </w:rPr>
        <w:t xml:space="preserve">  That exhibit shows </w:t>
      </w:r>
      <w:r w:rsidR="004961C2" w:rsidRPr="000F0669">
        <w:rPr>
          <w:rFonts w:ascii="Times New Roman" w:hAnsi="Times New Roman" w:cs="Times New Roman"/>
          <w:sz w:val="24"/>
          <w:szCs w:val="24"/>
        </w:rPr>
        <w:t xml:space="preserve">continued </w:t>
      </w:r>
      <w:r w:rsidR="00801EEF" w:rsidRPr="000F0669">
        <w:rPr>
          <w:rFonts w:ascii="Times New Roman" w:hAnsi="Times New Roman" w:cs="Times New Roman"/>
          <w:sz w:val="24"/>
          <w:szCs w:val="24"/>
        </w:rPr>
        <w:t xml:space="preserve">modest growth in utility operating revenues between 2013 and 2014, continued upward trends in non-fuel expenses, and </w:t>
      </w:r>
      <w:r w:rsidR="003D3309" w:rsidRPr="000F0669">
        <w:rPr>
          <w:rFonts w:ascii="Times New Roman" w:hAnsi="Times New Roman" w:cs="Times New Roman"/>
          <w:sz w:val="24"/>
          <w:szCs w:val="24"/>
        </w:rPr>
        <w:t xml:space="preserve">continued, substantial </w:t>
      </w:r>
      <w:r w:rsidR="004961C2" w:rsidRPr="000F0669">
        <w:rPr>
          <w:rFonts w:ascii="Times New Roman" w:hAnsi="Times New Roman" w:cs="Times New Roman"/>
          <w:sz w:val="24"/>
          <w:szCs w:val="24"/>
        </w:rPr>
        <w:t xml:space="preserve">annual </w:t>
      </w:r>
      <w:r w:rsidR="00801EEF" w:rsidRPr="000F0669">
        <w:rPr>
          <w:rFonts w:ascii="Times New Roman" w:hAnsi="Times New Roman" w:cs="Times New Roman"/>
          <w:sz w:val="24"/>
          <w:szCs w:val="24"/>
        </w:rPr>
        <w:t xml:space="preserve">investments </w:t>
      </w:r>
      <w:r w:rsidR="008F40B8" w:rsidRPr="000F0669">
        <w:rPr>
          <w:rFonts w:ascii="Times New Roman" w:hAnsi="Times New Roman" w:cs="Times New Roman"/>
          <w:sz w:val="24"/>
          <w:szCs w:val="24"/>
        </w:rPr>
        <w:t xml:space="preserve">in facilities </w:t>
      </w:r>
      <w:r w:rsidR="00801EEF" w:rsidRPr="000F0669">
        <w:rPr>
          <w:rFonts w:ascii="Times New Roman" w:hAnsi="Times New Roman" w:cs="Times New Roman"/>
          <w:sz w:val="24"/>
          <w:szCs w:val="24"/>
        </w:rPr>
        <w:t xml:space="preserve">of </w:t>
      </w:r>
      <w:r w:rsidR="008F40B8" w:rsidRPr="000F0669">
        <w:rPr>
          <w:rFonts w:ascii="Times New Roman" w:hAnsi="Times New Roman" w:cs="Times New Roman"/>
          <w:sz w:val="24"/>
          <w:szCs w:val="24"/>
        </w:rPr>
        <w:t xml:space="preserve">some </w:t>
      </w:r>
      <w:r w:rsidR="00801EEF" w:rsidRPr="000F0669">
        <w:rPr>
          <w:rFonts w:ascii="Times New Roman" w:hAnsi="Times New Roman" w:cs="Times New Roman"/>
          <w:sz w:val="24"/>
          <w:szCs w:val="24"/>
        </w:rPr>
        <w:t xml:space="preserve">$250 million, which </w:t>
      </w:r>
      <w:r w:rsidR="008F40B8" w:rsidRPr="000F0669">
        <w:rPr>
          <w:rFonts w:ascii="Times New Roman" w:hAnsi="Times New Roman" w:cs="Times New Roman"/>
          <w:sz w:val="24"/>
          <w:szCs w:val="24"/>
        </w:rPr>
        <w:t xml:space="preserve">(obviously) </w:t>
      </w:r>
      <w:r w:rsidR="00801EEF" w:rsidRPr="000F0669">
        <w:rPr>
          <w:rFonts w:ascii="Times New Roman" w:hAnsi="Times New Roman" w:cs="Times New Roman"/>
          <w:sz w:val="24"/>
          <w:szCs w:val="24"/>
        </w:rPr>
        <w:t>cause</w:t>
      </w:r>
      <w:r w:rsidR="004961C2" w:rsidRPr="000F0669">
        <w:rPr>
          <w:rFonts w:ascii="Times New Roman" w:hAnsi="Times New Roman" w:cs="Times New Roman"/>
          <w:sz w:val="24"/>
          <w:szCs w:val="24"/>
        </w:rPr>
        <w:t>s</w:t>
      </w:r>
      <w:r w:rsidR="00801EEF" w:rsidRPr="000F0669">
        <w:rPr>
          <w:rFonts w:ascii="Times New Roman" w:hAnsi="Times New Roman" w:cs="Times New Roman"/>
          <w:sz w:val="24"/>
          <w:szCs w:val="24"/>
        </w:rPr>
        <w:t xml:space="preserve"> rate base to increase. </w:t>
      </w:r>
      <w:r w:rsidR="004961C2" w:rsidRPr="000F0669">
        <w:rPr>
          <w:rFonts w:ascii="Times New Roman" w:hAnsi="Times New Roman" w:cs="Times New Roman"/>
          <w:sz w:val="24"/>
          <w:szCs w:val="24"/>
        </w:rPr>
        <w:t xml:space="preserve"> </w:t>
      </w:r>
      <w:r w:rsidR="00801EEF" w:rsidRPr="000F0669">
        <w:rPr>
          <w:rFonts w:ascii="Times New Roman" w:hAnsi="Times New Roman" w:cs="Times New Roman"/>
          <w:sz w:val="24"/>
          <w:szCs w:val="24"/>
        </w:rPr>
        <w:t>In other words, Exhibit 8C shows that 2014 is consistent with Staff’s attrition study</w:t>
      </w:r>
      <w:r w:rsidR="003D3309" w:rsidRPr="000F0669">
        <w:rPr>
          <w:rFonts w:ascii="Times New Roman" w:hAnsi="Times New Roman" w:cs="Times New Roman"/>
          <w:sz w:val="24"/>
          <w:szCs w:val="24"/>
        </w:rPr>
        <w:t>’s</w:t>
      </w:r>
      <w:r w:rsidR="00801EEF" w:rsidRPr="000F0669">
        <w:rPr>
          <w:rFonts w:ascii="Times New Roman" w:hAnsi="Times New Roman" w:cs="Times New Roman"/>
          <w:sz w:val="24"/>
          <w:szCs w:val="24"/>
        </w:rPr>
        <w:t xml:space="preserve"> trended estimates of rate base, expenses and revenue, between the</w:t>
      </w:r>
      <w:r w:rsidR="004961C2" w:rsidRPr="000F0669">
        <w:rPr>
          <w:rFonts w:ascii="Times New Roman" w:hAnsi="Times New Roman" w:cs="Times New Roman"/>
          <w:sz w:val="24"/>
          <w:szCs w:val="24"/>
        </w:rPr>
        <w:t xml:space="preserve"> </w:t>
      </w:r>
      <w:r w:rsidR="00801EEF" w:rsidRPr="000F0669">
        <w:rPr>
          <w:rFonts w:ascii="Times New Roman" w:hAnsi="Times New Roman" w:cs="Times New Roman"/>
          <w:sz w:val="24"/>
          <w:szCs w:val="24"/>
        </w:rPr>
        <w:t>2011 test period and</w:t>
      </w:r>
      <w:r w:rsidR="00FB7D8B" w:rsidRPr="000F0669">
        <w:rPr>
          <w:rFonts w:ascii="Times New Roman" w:hAnsi="Times New Roman" w:cs="Times New Roman"/>
          <w:sz w:val="24"/>
          <w:szCs w:val="24"/>
        </w:rPr>
        <w:t xml:space="preserve"> </w:t>
      </w:r>
      <w:r w:rsidR="00801EEF" w:rsidRPr="000F0669">
        <w:rPr>
          <w:rFonts w:ascii="Times New Roman" w:hAnsi="Times New Roman" w:cs="Times New Roman"/>
          <w:sz w:val="24"/>
          <w:szCs w:val="24"/>
        </w:rPr>
        <w:t>2013 rate year.</w:t>
      </w:r>
      <w:r w:rsidR="00EB1432" w:rsidRPr="000F0669">
        <w:rPr>
          <w:rStyle w:val="FootnoteReference"/>
          <w:rFonts w:ascii="Times New Roman" w:hAnsi="Times New Roman" w:cs="Times New Roman"/>
          <w:sz w:val="24"/>
          <w:szCs w:val="24"/>
        </w:rPr>
        <w:footnoteReference w:id="18"/>
      </w:r>
      <w:r w:rsidR="00AB789B" w:rsidRPr="000F0669">
        <w:rPr>
          <w:rFonts w:ascii="Times New Roman" w:hAnsi="Times New Roman" w:cs="Times New Roman"/>
          <w:sz w:val="24"/>
          <w:szCs w:val="24"/>
        </w:rPr>
        <w:t xml:space="preserve"> </w:t>
      </w:r>
      <w:r w:rsidR="007F0543" w:rsidRPr="000F0669">
        <w:rPr>
          <w:rStyle w:val="FootnoteReference"/>
          <w:rFonts w:ascii="Times New Roman" w:hAnsi="Times New Roman" w:cs="Times New Roman"/>
          <w:sz w:val="24"/>
          <w:szCs w:val="24"/>
        </w:rPr>
        <w:footnoteReference w:id="19"/>
      </w:r>
    </w:p>
    <w:p w:rsidR="00864C9B"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lastRenderedPageBreak/>
        <w:tab/>
      </w:r>
      <w:r w:rsidR="004961C2" w:rsidRPr="000F0669">
        <w:rPr>
          <w:rFonts w:ascii="Times New Roman" w:hAnsi="Times New Roman" w:cs="Times New Roman"/>
          <w:sz w:val="24"/>
          <w:szCs w:val="24"/>
        </w:rPr>
        <w:t>T</w:t>
      </w:r>
      <w:r w:rsidR="00801EEF" w:rsidRPr="000F0669">
        <w:rPr>
          <w:rFonts w:ascii="Times New Roman" w:hAnsi="Times New Roman" w:cs="Times New Roman"/>
          <w:sz w:val="24"/>
          <w:szCs w:val="24"/>
        </w:rPr>
        <w:t xml:space="preserve">he Commission’s </w:t>
      </w:r>
      <w:r w:rsidR="0008077D" w:rsidRPr="000F0669">
        <w:rPr>
          <w:rFonts w:ascii="Times New Roman" w:hAnsi="Times New Roman" w:cs="Times New Roman"/>
          <w:sz w:val="24"/>
          <w:szCs w:val="24"/>
        </w:rPr>
        <w:t xml:space="preserve">decade-long </w:t>
      </w:r>
      <w:r w:rsidR="00801EEF" w:rsidRPr="000F0669">
        <w:rPr>
          <w:rFonts w:ascii="Times New Roman" w:hAnsi="Times New Roman" w:cs="Times New Roman"/>
          <w:sz w:val="24"/>
          <w:szCs w:val="24"/>
        </w:rPr>
        <w:t>rate case experience</w:t>
      </w:r>
      <w:r w:rsidR="00AB789B" w:rsidRPr="000F0669">
        <w:rPr>
          <w:rFonts w:ascii="Times New Roman" w:hAnsi="Times New Roman" w:cs="Times New Roman"/>
          <w:sz w:val="24"/>
          <w:szCs w:val="24"/>
        </w:rPr>
        <w:t xml:space="preserve"> </w:t>
      </w:r>
      <w:r w:rsidR="0008077D" w:rsidRPr="000F0669">
        <w:rPr>
          <w:rFonts w:ascii="Times New Roman" w:hAnsi="Times New Roman" w:cs="Times New Roman"/>
          <w:sz w:val="24"/>
          <w:szCs w:val="24"/>
        </w:rPr>
        <w:t xml:space="preserve">with Avista </w:t>
      </w:r>
      <w:r w:rsidR="007D4746" w:rsidRPr="000F0669">
        <w:rPr>
          <w:rFonts w:ascii="Times New Roman" w:hAnsi="Times New Roman" w:cs="Times New Roman"/>
          <w:sz w:val="24"/>
          <w:szCs w:val="24"/>
        </w:rPr>
        <w:t xml:space="preserve">further </w:t>
      </w:r>
      <w:r w:rsidR="00AB789B" w:rsidRPr="000F0669">
        <w:rPr>
          <w:rFonts w:ascii="Times New Roman" w:hAnsi="Times New Roman" w:cs="Times New Roman"/>
          <w:sz w:val="24"/>
          <w:szCs w:val="24"/>
        </w:rPr>
        <w:t xml:space="preserve">confirms </w:t>
      </w:r>
      <w:r w:rsidR="002E7382" w:rsidRPr="000F0669">
        <w:rPr>
          <w:rFonts w:ascii="Times New Roman" w:hAnsi="Times New Roman" w:cs="Times New Roman"/>
          <w:sz w:val="24"/>
          <w:szCs w:val="24"/>
        </w:rPr>
        <w:t>this</w:t>
      </w:r>
      <w:r w:rsidR="00EB1432" w:rsidRPr="000F0669">
        <w:rPr>
          <w:rFonts w:ascii="Times New Roman" w:hAnsi="Times New Roman" w:cs="Times New Roman"/>
          <w:sz w:val="24"/>
          <w:szCs w:val="24"/>
        </w:rPr>
        <w:t xml:space="preserve"> </w:t>
      </w:r>
      <w:r w:rsidR="00590C0F" w:rsidRPr="000F0669">
        <w:rPr>
          <w:rFonts w:ascii="Times New Roman" w:hAnsi="Times New Roman" w:cs="Times New Roman"/>
          <w:sz w:val="24"/>
          <w:szCs w:val="24"/>
        </w:rPr>
        <w:t>unfortunate</w:t>
      </w:r>
      <w:r w:rsidR="001E0A3A" w:rsidRPr="000F0669">
        <w:rPr>
          <w:rFonts w:ascii="Times New Roman" w:hAnsi="Times New Roman" w:cs="Times New Roman"/>
          <w:sz w:val="24"/>
          <w:szCs w:val="24"/>
        </w:rPr>
        <w:t>, though real</w:t>
      </w:r>
      <w:r w:rsidR="00590C0F" w:rsidRPr="000F0669">
        <w:rPr>
          <w:rFonts w:ascii="Times New Roman" w:hAnsi="Times New Roman" w:cs="Times New Roman"/>
          <w:sz w:val="24"/>
          <w:szCs w:val="24"/>
        </w:rPr>
        <w:t xml:space="preserve"> </w:t>
      </w:r>
      <w:r w:rsidR="00EB1432" w:rsidRPr="000F0669">
        <w:rPr>
          <w:rFonts w:ascii="Times New Roman" w:hAnsi="Times New Roman" w:cs="Times New Roman"/>
          <w:sz w:val="24"/>
          <w:szCs w:val="24"/>
        </w:rPr>
        <w:t xml:space="preserve">relationship between </w:t>
      </w:r>
      <w:r w:rsidR="00436947" w:rsidRPr="000F0669">
        <w:rPr>
          <w:rFonts w:ascii="Times New Roman" w:hAnsi="Times New Roman" w:cs="Times New Roman"/>
          <w:sz w:val="24"/>
          <w:szCs w:val="24"/>
        </w:rPr>
        <w:t xml:space="preserve">low load </w:t>
      </w:r>
      <w:r w:rsidR="00EB1432" w:rsidRPr="000F0669">
        <w:rPr>
          <w:rFonts w:ascii="Times New Roman" w:hAnsi="Times New Roman" w:cs="Times New Roman"/>
          <w:sz w:val="24"/>
          <w:szCs w:val="24"/>
        </w:rPr>
        <w:t xml:space="preserve">growth </w:t>
      </w:r>
      <w:r w:rsidR="00436947" w:rsidRPr="000F0669">
        <w:rPr>
          <w:rFonts w:ascii="Times New Roman" w:hAnsi="Times New Roman" w:cs="Times New Roman"/>
          <w:sz w:val="24"/>
          <w:szCs w:val="24"/>
        </w:rPr>
        <w:t xml:space="preserve">and high </w:t>
      </w:r>
      <w:r w:rsidR="00EB1432" w:rsidRPr="000F0669">
        <w:rPr>
          <w:rFonts w:ascii="Times New Roman" w:hAnsi="Times New Roman" w:cs="Times New Roman"/>
          <w:sz w:val="24"/>
          <w:szCs w:val="24"/>
        </w:rPr>
        <w:t xml:space="preserve">rate base </w:t>
      </w:r>
      <w:r w:rsidR="00436947" w:rsidRPr="000F0669">
        <w:rPr>
          <w:rFonts w:ascii="Times New Roman" w:hAnsi="Times New Roman" w:cs="Times New Roman"/>
          <w:sz w:val="24"/>
          <w:szCs w:val="24"/>
        </w:rPr>
        <w:t xml:space="preserve">growth </w:t>
      </w:r>
      <w:r w:rsidR="001E0A3A" w:rsidRPr="000F0669">
        <w:rPr>
          <w:rFonts w:ascii="Times New Roman" w:hAnsi="Times New Roman" w:cs="Times New Roman"/>
          <w:sz w:val="24"/>
          <w:szCs w:val="24"/>
        </w:rPr>
        <w:t>is</w:t>
      </w:r>
      <w:r w:rsidR="00590C0F" w:rsidRPr="000F0669">
        <w:rPr>
          <w:rFonts w:ascii="Times New Roman" w:hAnsi="Times New Roman" w:cs="Times New Roman"/>
          <w:sz w:val="24"/>
          <w:szCs w:val="24"/>
        </w:rPr>
        <w:t xml:space="preserve"> </w:t>
      </w:r>
      <w:r w:rsidR="003B5DD4" w:rsidRPr="000F0669">
        <w:rPr>
          <w:rFonts w:ascii="Times New Roman" w:hAnsi="Times New Roman" w:cs="Times New Roman"/>
          <w:sz w:val="24"/>
          <w:szCs w:val="24"/>
        </w:rPr>
        <w:t>an ongoing</w:t>
      </w:r>
      <w:r w:rsidR="008F40B8" w:rsidRPr="000F0669">
        <w:rPr>
          <w:rFonts w:ascii="Times New Roman" w:hAnsi="Times New Roman" w:cs="Times New Roman"/>
          <w:sz w:val="24"/>
          <w:szCs w:val="24"/>
        </w:rPr>
        <w:t>, rate pressure-causing</w:t>
      </w:r>
      <w:r w:rsidR="003B5DD4" w:rsidRPr="000F0669">
        <w:rPr>
          <w:rFonts w:ascii="Times New Roman" w:hAnsi="Times New Roman" w:cs="Times New Roman"/>
          <w:sz w:val="24"/>
          <w:szCs w:val="24"/>
        </w:rPr>
        <w:t xml:space="preserve"> </w:t>
      </w:r>
      <w:r w:rsidR="002E7382" w:rsidRPr="000F0669">
        <w:rPr>
          <w:rFonts w:ascii="Times New Roman" w:hAnsi="Times New Roman" w:cs="Times New Roman"/>
          <w:sz w:val="24"/>
          <w:szCs w:val="24"/>
        </w:rPr>
        <w:t>phenomenon</w:t>
      </w:r>
      <w:r w:rsidR="00AB789B" w:rsidRPr="000F0669">
        <w:rPr>
          <w:rFonts w:ascii="Times New Roman" w:hAnsi="Times New Roman" w:cs="Times New Roman"/>
          <w:sz w:val="24"/>
          <w:szCs w:val="24"/>
        </w:rPr>
        <w:t xml:space="preserve">.  Since 2001, </w:t>
      </w:r>
      <w:r w:rsidR="004961C2" w:rsidRPr="000F0669">
        <w:rPr>
          <w:rFonts w:ascii="Times New Roman" w:hAnsi="Times New Roman" w:cs="Times New Roman"/>
          <w:sz w:val="24"/>
          <w:szCs w:val="24"/>
        </w:rPr>
        <w:t xml:space="preserve">Avista’s </w:t>
      </w:r>
      <w:r w:rsidR="00657BED" w:rsidRPr="000F0669">
        <w:rPr>
          <w:rFonts w:ascii="Times New Roman" w:hAnsi="Times New Roman" w:cs="Times New Roman"/>
          <w:sz w:val="24"/>
          <w:szCs w:val="24"/>
        </w:rPr>
        <w:t>electric rates have increased</w:t>
      </w:r>
      <w:r w:rsidR="00AB789B" w:rsidRPr="000F0669">
        <w:rPr>
          <w:rFonts w:ascii="Times New Roman" w:hAnsi="Times New Roman" w:cs="Times New Roman"/>
          <w:sz w:val="24"/>
          <w:szCs w:val="24"/>
        </w:rPr>
        <w:t xml:space="preserve"> almost annually, averaging 8.6 percent, and since 2009, </w:t>
      </w:r>
      <w:r w:rsidR="004961C2" w:rsidRPr="000F0669">
        <w:rPr>
          <w:rFonts w:ascii="Times New Roman" w:hAnsi="Times New Roman" w:cs="Times New Roman"/>
          <w:sz w:val="24"/>
          <w:szCs w:val="24"/>
        </w:rPr>
        <w:t xml:space="preserve">electric rates have </w:t>
      </w:r>
      <w:r w:rsidR="00AB789B" w:rsidRPr="000F0669">
        <w:rPr>
          <w:rFonts w:ascii="Times New Roman" w:hAnsi="Times New Roman" w:cs="Times New Roman"/>
          <w:sz w:val="24"/>
          <w:szCs w:val="24"/>
        </w:rPr>
        <w:t>increase</w:t>
      </w:r>
      <w:r w:rsidR="004961C2" w:rsidRPr="000F0669">
        <w:rPr>
          <w:rFonts w:ascii="Times New Roman" w:hAnsi="Times New Roman" w:cs="Times New Roman"/>
          <w:sz w:val="24"/>
          <w:szCs w:val="24"/>
        </w:rPr>
        <w:t>d</w:t>
      </w:r>
      <w:r w:rsidR="00AB789B" w:rsidRPr="000F0669">
        <w:rPr>
          <w:rFonts w:ascii="Times New Roman" w:hAnsi="Times New Roman" w:cs="Times New Roman"/>
          <w:sz w:val="24"/>
          <w:szCs w:val="24"/>
        </w:rPr>
        <w:t xml:space="preserve"> 4.9 percent </w:t>
      </w:r>
      <w:r w:rsidR="003D3309" w:rsidRPr="000F0669">
        <w:rPr>
          <w:rFonts w:ascii="Times New Roman" w:hAnsi="Times New Roman" w:cs="Times New Roman"/>
          <w:sz w:val="24"/>
          <w:szCs w:val="24"/>
        </w:rPr>
        <w:t xml:space="preserve">per year </w:t>
      </w:r>
      <w:r w:rsidR="00AB789B" w:rsidRPr="000F0669">
        <w:rPr>
          <w:rFonts w:ascii="Times New Roman" w:hAnsi="Times New Roman" w:cs="Times New Roman"/>
          <w:sz w:val="24"/>
          <w:szCs w:val="24"/>
        </w:rPr>
        <w:t>on average.</w:t>
      </w:r>
      <w:r w:rsidR="00AB789B" w:rsidRPr="000F0669">
        <w:rPr>
          <w:rStyle w:val="FootnoteReference"/>
          <w:rFonts w:ascii="Times New Roman" w:hAnsi="Times New Roman" w:cs="Times New Roman"/>
          <w:sz w:val="24"/>
          <w:szCs w:val="24"/>
        </w:rPr>
        <w:footnoteReference w:id="20"/>
      </w:r>
      <w:r w:rsidR="00AB789B" w:rsidRPr="000F0669">
        <w:rPr>
          <w:rFonts w:ascii="Times New Roman" w:hAnsi="Times New Roman" w:cs="Times New Roman"/>
          <w:sz w:val="24"/>
          <w:szCs w:val="24"/>
        </w:rPr>
        <w:t xml:space="preserve"> </w:t>
      </w:r>
      <w:r w:rsidR="002E1421" w:rsidRPr="000F0669">
        <w:rPr>
          <w:rFonts w:ascii="Times New Roman" w:hAnsi="Times New Roman" w:cs="Times New Roman"/>
          <w:sz w:val="24"/>
          <w:szCs w:val="24"/>
        </w:rPr>
        <w:t xml:space="preserve"> </w:t>
      </w:r>
      <w:r w:rsidR="00E40ABB" w:rsidRPr="000F0669">
        <w:rPr>
          <w:rFonts w:ascii="Times New Roman" w:hAnsi="Times New Roman" w:cs="Times New Roman"/>
          <w:sz w:val="24"/>
          <w:szCs w:val="24"/>
        </w:rPr>
        <w:t xml:space="preserve">Despite these non-stop </w:t>
      </w:r>
      <w:r w:rsidR="002E1421" w:rsidRPr="000F0669">
        <w:rPr>
          <w:rFonts w:ascii="Times New Roman" w:hAnsi="Times New Roman" w:cs="Times New Roman"/>
          <w:sz w:val="24"/>
          <w:szCs w:val="24"/>
        </w:rPr>
        <w:t xml:space="preserve">rate increase </w:t>
      </w:r>
      <w:r w:rsidR="00E40ABB" w:rsidRPr="000F0669">
        <w:rPr>
          <w:rFonts w:ascii="Times New Roman" w:hAnsi="Times New Roman" w:cs="Times New Roman"/>
          <w:sz w:val="24"/>
          <w:szCs w:val="24"/>
        </w:rPr>
        <w:t>requests, Avista has not over-earned.</w:t>
      </w:r>
      <w:r w:rsidR="00E40ABB" w:rsidRPr="000F0669">
        <w:rPr>
          <w:rStyle w:val="FootnoteReference"/>
          <w:rFonts w:ascii="Times New Roman" w:hAnsi="Times New Roman" w:cs="Times New Roman"/>
          <w:sz w:val="24"/>
          <w:szCs w:val="24"/>
        </w:rPr>
        <w:footnoteReference w:id="21"/>
      </w:r>
      <w:r w:rsidR="00E40ABB" w:rsidRPr="000F0669">
        <w:rPr>
          <w:rFonts w:ascii="Times New Roman" w:hAnsi="Times New Roman" w:cs="Times New Roman"/>
          <w:sz w:val="24"/>
          <w:szCs w:val="24"/>
        </w:rPr>
        <w:t xml:space="preserve">  </w:t>
      </w:r>
      <w:r w:rsidR="00B76529" w:rsidRPr="000F0669">
        <w:rPr>
          <w:rFonts w:ascii="Times New Roman" w:hAnsi="Times New Roman" w:cs="Times New Roman"/>
          <w:sz w:val="24"/>
          <w:szCs w:val="24"/>
        </w:rPr>
        <w:t xml:space="preserve">A substantial </w:t>
      </w:r>
      <w:r w:rsidR="00657BED" w:rsidRPr="000F0669">
        <w:rPr>
          <w:rFonts w:ascii="Times New Roman" w:hAnsi="Times New Roman" w:cs="Times New Roman"/>
          <w:sz w:val="24"/>
          <w:szCs w:val="24"/>
        </w:rPr>
        <w:t xml:space="preserve">cause of </w:t>
      </w:r>
      <w:r w:rsidR="00C70A05" w:rsidRPr="000F0669">
        <w:rPr>
          <w:rFonts w:ascii="Times New Roman" w:hAnsi="Times New Roman" w:cs="Times New Roman"/>
          <w:sz w:val="24"/>
          <w:szCs w:val="24"/>
        </w:rPr>
        <w:t xml:space="preserve">these annual </w:t>
      </w:r>
      <w:r w:rsidR="00657BED" w:rsidRPr="000F0669">
        <w:rPr>
          <w:rFonts w:ascii="Times New Roman" w:hAnsi="Times New Roman" w:cs="Times New Roman"/>
          <w:sz w:val="24"/>
          <w:szCs w:val="24"/>
        </w:rPr>
        <w:t xml:space="preserve">increases </w:t>
      </w:r>
      <w:r w:rsidR="00E40ABB" w:rsidRPr="000F0669">
        <w:rPr>
          <w:rFonts w:ascii="Times New Roman" w:hAnsi="Times New Roman" w:cs="Times New Roman"/>
          <w:sz w:val="24"/>
          <w:szCs w:val="24"/>
        </w:rPr>
        <w:t>is</w:t>
      </w:r>
      <w:r w:rsidR="00657BED" w:rsidRPr="000F0669">
        <w:rPr>
          <w:rFonts w:ascii="Times New Roman" w:hAnsi="Times New Roman" w:cs="Times New Roman"/>
          <w:sz w:val="24"/>
          <w:szCs w:val="24"/>
        </w:rPr>
        <w:t xml:space="preserve"> attrition.</w:t>
      </w:r>
      <w:r w:rsidR="00657BED" w:rsidRPr="000F0669">
        <w:rPr>
          <w:rStyle w:val="FootnoteReference"/>
          <w:rFonts w:ascii="Times New Roman" w:hAnsi="Times New Roman" w:cs="Times New Roman"/>
          <w:sz w:val="24"/>
          <w:szCs w:val="24"/>
        </w:rPr>
        <w:footnoteReference w:id="22"/>
      </w:r>
      <w:r w:rsidR="00657BED" w:rsidRPr="000F0669">
        <w:rPr>
          <w:rFonts w:ascii="Times New Roman" w:hAnsi="Times New Roman" w:cs="Times New Roman"/>
          <w:sz w:val="24"/>
          <w:szCs w:val="24"/>
        </w:rPr>
        <w:t xml:space="preserve"> </w:t>
      </w:r>
      <w:r w:rsidR="00864C9B" w:rsidRPr="000F0669">
        <w:rPr>
          <w:rFonts w:ascii="Times New Roman" w:hAnsi="Times New Roman" w:cs="Times New Roman"/>
          <w:sz w:val="24"/>
          <w:szCs w:val="24"/>
        </w:rPr>
        <w:t xml:space="preserve"> </w:t>
      </w:r>
    </w:p>
    <w:p w:rsidR="00E504E5"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tab/>
      </w:r>
      <w:r w:rsidR="00AB789B" w:rsidRPr="000F0669">
        <w:rPr>
          <w:rFonts w:ascii="Times New Roman" w:hAnsi="Times New Roman" w:cs="Times New Roman"/>
          <w:sz w:val="24"/>
          <w:szCs w:val="24"/>
        </w:rPr>
        <w:t xml:space="preserve">While Public Counsel </w:t>
      </w:r>
      <w:r w:rsidR="00436947" w:rsidRPr="000F0669">
        <w:rPr>
          <w:rFonts w:ascii="Times New Roman" w:hAnsi="Times New Roman" w:cs="Times New Roman"/>
          <w:sz w:val="24"/>
          <w:szCs w:val="24"/>
        </w:rPr>
        <w:t xml:space="preserve">surely </w:t>
      </w:r>
      <w:r w:rsidR="0008077D" w:rsidRPr="000F0669">
        <w:rPr>
          <w:rFonts w:ascii="Times New Roman" w:hAnsi="Times New Roman" w:cs="Times New Roman"/>
          <w:sz w:val="24"/>
          <w:szCs w:val="24"/>
        </w:rPr>
        <w:t xml:space="preserve">will </w:t>
      </w:r>
      <w:r w:rsidR="00711E8C" w:rsidRPr="000F0669">
        <w:rPr>
          <w:rFonts w:ascii="Times New Roman" w:hAnsi="Times New Roman" w:cs="Times New Roman"/>
          <w:sz w:val="24"/>
          <w:szCs w:val="24"/>
        </w:rPr>
        <w:t>try to co</w:t>
      </w:r>
      <w:r w:rsidR="0008077D" w:rsidRPr="000F0669">
        <w:rPr>
          <w:rFonts w:ascii="Times New Roman" w:hAnsi="Times New Roman" w:cs="Times New Roman"/>
          <w:sz w:val="24"/>
          <w:szCs w:val="24"/>
        </w:rPr>
        <w:t>ax</w:t>
      </w:r>
      <w:r w:rsidR="00711E8C" w:rsidRPr="000F0669">
        <w:rPr>
          <w:rFonts w:ascii="Times New Roman" w:hAnsi="Times New Roman" w:cs="Times New Roman"/>
          <w:sz w:val="24"/>
          <w:szCs w:val="24"/>
        </w:rPr>
        <w:t xml:space="preserve"> the </w:t>
      </w:r>
      <w:r w:rsidR="002E7382" w:rsidRPr="000F0669">
        <w:rPr>
          <w:rFonts w:ascii="Times New Roman" w:hAnsi="Times New Roman" w:cs="Times New Roman"/>
          <w:sz w:val="24"/>
          <w:szCs w:val="24"/>
        </w:rPr>
        <w:t xml:space="preserve">Commission </w:t>
      </w:r>
      <w:r w:rsidR="0008077D" w:rsidRPr="000F0669">
        <w:rPr>
          <w:rFonts w:ascii="Times New Roman" w:hAnsi="Times New Roman" w:cs="Times New Roman"/>
          <w:sz w:val="24"/>
          <w:szCs w:val="24"/>
        </w:rPr>
        <w:t>in</w:t>
      </w:r>
      <w:r w:rsidR="00711E8C" w:rsidRPr="000F0669">
        <w:rPr>
          <w:rFonts w:ascii="Times New Roman" w:hAnsi="Times New Roman" w:cs="Times New Roman"/>
          <w:sz w:val="24"/>
          <w:szCs w:val="24"/>
        </w:rPr>
        <w:t>to</w:t>
      </w:r>
      <w:r w:rsidR="002E7382" w:rsidRPr="000F0669">
        <w:rPr>
          <w:rFonts w:ascii="Times New Roman" w:hAnsi="Times New Roman" w:cs="Times New Roman"/>
          <w:sz w:val="24"/>
          <w:szCs w:val="24"/>
        </w:rPr>
        <w:t xml:space="preserve"> </w:t>
      </w:r>
      <w:r w:rsidR="00AB789B" w:rsidRPr="000F0669">
        <w:rPr>
          <w:rFonts w:ascii="Times New Roman" w:hAnsi="Times New Roman" w:cs="Times New Roman"/>
          <w:sz w:val="24"/>
          <w:szCs w:val="24"/>
        </w:rPr>
        <w:t>ignor</w:t>
      </w:r>
      <w:r w:rsidR="0008077D" w:rsidRPr="000F0669">
        <w:rPr>
          <w:rFonts w:ascii="Times New Roman" w:hAnsi="Times New Roman" w:cs="Times New Roman"/>
          <w:sz w:val="24"/>
          <w:szCs w:val="24"/>
        </w:rPr>
        <w:t>ing</w:t>
      </w:r>
      <w:r w:rsidR="00AB789B" w:rsidRPr="000F0669">
        <w:rPr>
          <w:rFonts w:ascii="Times New Roman" w:hAnsi="Times New Roman" w:cs="Times New Roman"/>
          <w:sz w:val="24"/>
          <w:szCs w:val="24"/>
        </w:rPr>
        <w:t xml:space="preserve"> this evidence, Staff could not</w:t>
      </w:r>
      <w:r w:rsidR="002E7382" w:rsidRPr="000F0669">
        <w:rPr>
          <w:rFonts w:ascii="Times New Roman" w:hAnsi="Times New Roman" w:cs="Times New Roman"/>
          <w:sz w:val="24"/>
          <w:szCs w:val="24"/>
        </w:rPr>
        <w:t xml:space="preserve"> ignore it</w:t>
      </w:r>
      <w:r w:rsidR="007E4DDE" w:rsidRPr="000F0669">
        <w:rPr>
          <w:rFonts w:ascii="Times New Roman" w:hAnsi="Times New Roman" w:cs="Times New Roman"/>
          <w:sz w:val="24"/>
          <w:szCs w:val="24"/>
        </w:rPr>
        <w:t xml:space="preserve">, </w:t>
      </w:r>
      <w:r w:rsidR="00E40ABB" w:rsidRPr="000F0669">
        <w:rPr>
          <w:rFonts w:ascii="Times New Roman" w:hAnsi="Times New Roman" w:cs="Times New Roman"/>
          <w:sz w:val="24"/>
          <w:szCs w:val="24"/>
        </w:rPr>
        <w:t xml:space="preserve">and the </w:t>
      </w:r>
      <w:r w:rsidR="007E4DDE" w:rsidRPr="000F0669">
        <w:rPr>
          <w:rFonts w:ascii="Times New Roman" w:hAnsi="Times New Roman" w:cs="Times New Roman"/>
          <w:sz w:val="24"/>
          <w:szCs w:val="24"/>
        </w:rPr>
        <w:t>Commission</w:t>
      </w:r>
      <w:r w:rsidR="00E40ABB" w:rsidRPr="000F0669">
        <w:rPr>
          <w:rFonts w:ascii="Times New Roman" w:hAnsi="Times New Roman" w:cs="Times New Roman"/>
          <w:sz w:val="24"/>
          <w:szCs w:val="24"/>
        </w:rPr>
        <w:t xml:space="preserve"> should not ignore it</w:t>
      </w:r>
      <w:r w:rsidR="00AB789B" w:rsidRPr="000F0669">
        <w:rPr>
          <w:rFonts w:ascii="Times New Roman" w:hAnsi="Times New Roman" w:cs="Times New Roman"/>
          <w:sz w:val="24"/>
          <w:szCs w:val="24"/>
        </w:rPr>
        <w:t>.</w:t>
      </w:r>
      <w:r w:rsidR="004961C2" w:rsidRPr="000F0669">
        <w:rPr>
          <w:rFonts w:ascii="Times New Roman" w:hAnsi="Times New Roman" w:cs="Times New Roman"/>
          <w:sz w:val="24"/>
          <w:szCs w:val="24"/>
        </w:rPr>
        <w:t xml:space="preserve">  </w:t>
      </w:r>
      <w:r w:rsidR="00AB789B" w:rsidRPr="000F0669">
        <w:rPr>
          <w:rFonts w:ascii="Times New Roman" w:hAnsi="Times New Roman" w:cs="Times New Roman"/>
          <w:sz w:val="24"/>
          <w:szCs w:val="24"/>
        </w:rPr>
        <w:t xml:space="preserve"> </w:t>
      </w:r>
      <w:r w:rsidR="00E504E5" w:rsidRPr="000F0669">
        <w:rPr>
          <w:rFonts w:ascii="Times New Roman" w:hAnsi="Times New Roman" w:cs="Times New Roman"/>
          <w:sz w:val="24"/>
          <w:szCs w:val="24"/>
        </w:rPr>
        <w:t xml:space="preserve"> </w:t>
      </w:r>
    </w:p>
    <w:p w:rsidR="001B676D" w:rsidRDefault="007E4DDE" w:rsidP="005446C1">
      <w:pPr>
        <w:rPr>
          <w:b/>
        </w:rPr>
      </w:pPr>
      <w:r>
        <w:rPr>
          <w:b/>
        </w:rPr>
        <w:t>D</w:t>
      </w:r>
      <w:r w:rsidR="001B676D">
        <w:rPr>
          <w:b/>
        </w:rPr>
        <w:t>.</w:t>
      </w:r>
      <w:r w:rsidR="001B676D">
        <w:rPr>
          <w:b/>
        </w:rPr>
        <w:tab/>
        <w:t>The 2014 Rate Changes Provide Avista an Incentive to Operate Efficiently</w:t>
      </w:r>
    </w:p>
    <w:p w:rsidR="00BC0922" w:rsidRDefault="00BC0922" w:rsidP="005446C1">
      <w:pPr>
        <w:rPr>
          <w:b/>
        </w:rPr>
      </w:pPr>
    </w:p>
    <w:p w:rsidR="00BC0922"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tab/>
      </w:r>
      <w:r w:rsidR="003B5DD4" w:rsidRPr="000F0669">
        <w:rPr>
          <w:rFonts w:ascii="Times New Roman" w:hAnsi="Times New Roman" w:cs="Times New Roman"/>
          <w:sz w:val="24"/>
          <w:szCs w:val="24"/>
        </w:rPr>
        <w:t xml:space="preserve">As the Commission stated in </w:t>
      </w:r>
      <w:r w:rsidR="003B5DD4" w:rsidRPr="000F0669">
        <w:rPr>
          <w:rFonts w:ascii="Times New Roman" w:hAnsi="Times New Roman" w:cs="Times New Roman"/>
          <w:i/>
          <w:sz w:val="24"/>
          <w:szCs w:val="24"/>
        </w:rPr>
        <w:t xml:space="preserve">Utilities and Transportation Commission v. Verizon Northwest Inc., </w:t>
      </w:r>
      <w:r w:rsidR="003B5DD4" w:rsidRPr="000F0669">
        <w:rPr>
          <w:rFonts w:ascii="Times New Roman" w:hAnsi="Times New Roman" w:cs="Times New Roman"/>
          <w:sz w:val="24"/>
          <w:szCs w:val="24"/>
        </w:rPr>
        <w:t>Dockets UT-040788 and UT</w:t>
      </w:r>
      <w:bookmarkStart w:id="0" w:name="_GoBack"/>
      <w:bookmarkEnd w:id="0"/>
      <w:r w:rsidR="003B5DD4" w:rsidRPr="000F0669">
        <w:rPr>
          <w:rFonts w:ascii="Times New Roman" w:hAnsi="Times New Roman" w:cs="Times New Roman"/>
          <w:sz w:val="24"/>
          <w:szCs w:val="24"/>
        </w:rPr>
        <w:t>-040520: “We understand the nature of the settlement process and believe that parties should have some latitude to experiment with creative solutions to difficult problems</w:t>
      </w:r>
      <w:r w:rsidR="00DC05E6" w:rsidRPr="000F0669">
        <w:rPr>
          <w:rFonts w:ascii="Times New Roman" w:hAnsi="Times New Roman" w:cs="Times New Roman"/>
          <w:sz w:val="24"/>
          <w:szCs w:val="24"/>
        </w:rPr>
        <w:t>.</w:t>
      </w:r>
      <w:r w:rsidR="003B5DD4" w:rsidRPr="000F0669">
        <w:rPr>
          <w:rFonts w:ascii="Times New Roman" w:hAnsi="Times New Roman" w:cs="Times New Roman"/>
          <w:sz w:val="24"/>
          <w:szCs w:val="24"/>
        </w:rPr>
        <w:t>”</w:t>
      </w:r>
      <w:r w:rsidR="008F40B8" w:rsidRPr="000F0669">
        <w:rPr>
          <w:rStyle w:val="FootnoteReference"/>
          <w:rFonts w:ascii="Times New Roman" w:hAnsi="Times New Roman" w:cs="Times New Roman"/>
          <w:sz w:val="24"/>
          <w:szCs w:val="24"/>
        </w:rPr>
        <w:footnoteReference w:id="23"/>
      </w:r>
      <w:r w:rsidR="003B5DD4" w:rsidRPr="000F0669">
        <w:rPr>
          <w:rFonts w:ascii="Times New Roman" w:hAnsi="Times New Roman" w:cs="Times New Roman"/>
          <w:sz w:val="24"/>
          <w:szCs w:val="24"/>
        </w:rPr>
        <w:t xml:space="preserve">  </w:t>
      </w:r>
      <w:r w:rsidR="00696E6B" w:rsidRPr="000F0669">
        <w:rPr>
          <w:rFonts w:ascii="Times New Roman" w:hAnsi="Times New Roman" w:cs="Times New Roman"/>
          <w:sz w:val="24"/>
          <w:szCs w:val="24"/>
        </w:rPr>
        <w:t>Staff view</w:t>
      </w:r>
      <w:r w:rsidR="0077336C" w:rsidRPr="000F0669">
        <w:rPr>
          <w:rFonts w:ascii="Times New Roman" w:hAnsi="Times New Roman" w:cs="Times New Roman"/>
          <w:sz w:val="24"/>
          <w:szCs w:val="24"/>
        </w:rPr>
        <w:t xml:space="preserve">s </w:t>
      </w:r>
      <w:r w:rsidR="00696E6B" w:rsidRPr="000F0669">
        <w:rPr>
          <w:rFonts w:ascii="Times New Roman" w:hAnsi="Times New Roman" w:cs="Times New Roman"/>
          <w:sz w:val="24"/>
          <w:szCs w:val="24"/>
        </w:rPr>
        <w:t xml:space="preserve">the Settlement </w:t>
      </w:r>
      <w:r w:rsidR="0077336C" w:rsidRPr="000F0669">
        <w:rPr>
          <w:rFonts w:ascii="Times New Roman" w:hAnsi="Times New Roman" w:cs="Times New Roman"/>
          <w:sz w:val="24"/>
          <w:szCs w:val="24"/>
        </w:rPr>
        <w:t>as</w:t>
      </w:r>
      <w:r w:rsidR="00696E6B" w:rsidRPr="000F0669">
        <w:rPr>
          <w:rFonts w:ascii="Times New Roman" w:hAnsi="Times New Roman" w:cs="Times New Roman"/>
          <w:sz w:val="24"/>
          <w:szCs w:val="24"/>
        </w:rPr>
        <w:t xml:space="preserve"> a creative solution </w:t>
      </w:r>
      <w:r w:rsidR="00711E8C" w:rsidRPr="000F0669">
        <w:rPr>
          <w:rFonts w:ascii="Times New Roman" w:hAnsi="Times New Roman" w:cs="Times New Roman"/>
          <w:sz w:val="24"/>
          <w:szCs w:val="24"/>
        </w:rPr>
        <w:t xml:space="preserve">that </w:t>
      </w:r>
      <w:r w:rsidR="002E7382" w:rsidRPr="000F0669">
        <w:rPr>
          <w:rFonts w:ascii="Times New Roman" w:hAnsi="Times New Roman" w:cs="Times New Roman"/>
          <w:sz w:val="24"/>
          <w:szCs w:val="24"/>
        </w:rPr>
        <w:t xml:space="preserve">will require </w:t>
      </w:r>
      <w:r w:rsidR="00BC0922" w:rsidRPr="000F0669">
        <w:rPr>
          <w:rFonts w:ascii="Times New Roman" w:hAnsi="Times New Roman" w:cs="Times New Roman"/>
          <w:sz w:val="24"/>
          <w:szCs w:val="24"/>
        </w:rPr>
        <w:t>Avista to manage its costs within a specific rate structure</w:t>
      </w:r>
      <w:r w:rsidR="002E7382" w:rsidRPr="000F0669">
        <w:rPr>
          <w:rFonts w:ascii="Times New Roman" w:hAnsi="Times New Roman" w:cs="Times New Roman"/>
          <w:sz w:val="24"/>
          <w:szCs w:val="24"/>
        </w:rPr>
        <w:t xml:space="preserve"> in order to earn a fair return</w:t>
      </w:r>
      <w:r w:rsidR="00BC0922" w:rsidRPr="000F0669">
        <w:rPr>
          <w:rFonts w:ascii="Times New Roman" w:hAnsi="Times New Roman" w:cs="Times New Roman"/>
          <w:sz w:val="24"/>
          <w:szCs w:val="24"/>
        </w:rPr>
        <w:t xml:space="preserve">, while </w:t>
      </w:r>
      <w:r w:rsidR="007E4DDE" w:rsidRPr="000F0669">
        <w:rPr>
          <w:rFonts w:ascii="Times New Roman" w:hAnsi="Times New Roman" w:cs="Times New Roman"/>
          <w:sz w:val="24"/>
          <w:szCs w:val="24"/>
        </w:rPr>
        <w:t xml:space="preserve">at the same time, </w:t>
      </w:r>
      <w:r w:rsidR="00BC0922" w:rsidRPr="000F0669">
        <w:rPr>
          <w:rFonts w:ascii="Times New Roman" w:hAnsi="Times New Roman" w:cs="Times New Roman"/>
          <w:sz w:val="24"/>
          <w:szCs w:val="24"/>
        </w:rPr>
        <w:t>providing ratepayers rate stability under which to manage their own affairs.</w:t>
      </w:r>
      <w:r w:rsidR="00711E8C" w:rsidRPr="000F0669">
        <w:rPr>
          <w:rFonts w:ascii="Times New Roman" w:hAnsi="Times New Roman" w:cs="Times New Roman"/>
          <w:sz w:val="24"/>
          <w:szCs w:val="24"/>
        </w:rPr>
        <w:t xml:space="preserve">  </w:t>
      </w:r>
      <w:r w:rsidR="00696E6B" w:rsidRPr="000F0669">
        <w:rPr>
          <w:rFonts w:ascii="Times New Roman" w:hAnsi="Times New Roman" w:cs="Times New Roman"/>
          <w:sz w:val="24"/>
          <w:szCs w:val="24"/>
        </w:rPr>
        <w:t xml:space="preserve">The Settlement breaks the </w:t>
      </w:r>
      <w:r w:rsidR="008F40B8" w:rsidRPr="000F0669">
        <w:rPr>
          <w:rFonts w:ascii="Times New Roman" w:hAnsi="Times New Roman" w:cs="Times New Roman"/>
          <w:sz w:val="24"/>
          <w:szCs w:val="24"/>
        </w:rPr>
        <w:t xml:space="preserve">seemingly </w:t>
      </w:r>
      <w:r w:rsidR="00696E6B" w:rsidRPr="000F0669">
        <w:rPr>
          <w:rFonts w:ascii="Times New Roman" w:hAnsi="Times New Roman" w:cs="Times New Roman"/>
          <w:sz w:val="24"/>
          <w:szCs w:val="24"/>
        </w:rPr>
        <w:t>endless cycle of contested rate cases and the inherent uncertainty that presents for both the Company and its customers.</w:t>
      </w:r>
      <w:r w:rsidR="00696E6B" w:rsidRPr="000F0669">
        <w:rPr>
          <w:rStyle w:val="FootnoteReference"/>
          <w:rFonts w:ascii="Times New Roman" w:hAnsi="Times New Roman" w:cs="Times New Roman"/>
          <w:sz w:val="24"/>
          <w:szCs w:val="24"/>
        </w:rPr>
        <w:footnoteReference w:id="24"/>
      </w:r>
    </w:p>
    <w:p w:rsidR="0038021F"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tab/>
      </w:r>
      <w:r w:rsidR="0038021F" w:rsidRPr="000F0669">
        <w:rPr>
          <w:rFonts w:ascii="Times New Roman" w:hAnsi="Times New Roman" w:cs="Times New Roman"/>
          <w:sz w:val="24"/>
          <w:szCs w:val="24"/>
        </w:rPr>
        <w:t xml:space="preserve">As Mr. Elgin summarized, </w:t>
      </w:r>
      <w:r w:rsidR="001E0A3A" w:rsidRPr="000F0669">
        <w:rPr>
          <w:rFonts w:ascii="Times New Roman" w:hAnsi="Times New Roman" w:cs="Times New Roman"/>
          <w:sz w:val="24"/>
          <w:szCs w:val="24"/>
        </w:rPr>
        <w:t xml:space="preserve">while </w:t>
      </w:r>
      <w:r w:rsidR="0038021F" w:rsidRPr="000F0669">
        <w:rPr>
          <w:rFonts w:ascii="Times New Roman" w:hAnsi="Times New Roman" w:cs="Times New Roman"/>
          <w:sz w:val="24"/>
          <w:szCs w:val="24"/>
        </w:rPr>
        <w:t xml:space="preserve">the </w:t>
      </w:r>
      <w:r w:rsidR="001769AA" w:rsidRPr="000F0669">
        <w:rPr>
          <w:rFonts w:ascii="Times New Roman" w:hAnsi="Times New Roman" w:cs="Times New Roman"/>
          <w:sz w:val="24"/>
          <w:szCs w:val="24"/>
        </w:rPr>
        <w:t xml:space="preserve">record </w:t>
      </w:r>
      <w:r w:rsidR="0038021F" w:rsidRPr="000F0669">
        <w:rPr>
          <w:rFonts w:ascii="Times New Roman" w:hAnsi="Times New Roman" w:cs="Times New Roman"/>
          <w:sz w:val="24"/>
          <w:szCs w:val="24"/>
        </w:rPr>
        <w:t xml:space="preserve">evidence clearly indicates </w:t>
      </w:r>
      <w:r w:rsidR="001769AA" w:rsidRPr="000F0669">
        <w:rPr>
          <w:rFonts w:ascii="Times New Roman" w:hAnsi="Times New Roman" w:cs="Times New Roman"/>
          <w:sz w:val="24"/>
          <w:szCs w:val="24"/>
        </w:rPr>
        <w:t xml:space="preserve">substantial </w:t>
      </w:r>
      <w:r w:rsidR="0038021F" w:rsidRPr="000F0669">
        <w:rPr>
          <w:rFonts w:ascii="Times New Roman" w:hAnsi="Times New Roman" w:cs="Times New Roman"/>
          <w:sz w:val="24"/>
          <w:szCs w:val="24"/>
        </w:rPr>
        <w:t xml:space="preserve">ongoing attrition, “we need some kind of mechanism to incent the company to take actions on the cost side.  And rather than looking at 5 percent increases or 8 percent increases that we’ve </w:t>
      </w:r>
      <w:r w:rsidR="0038021F" w:rsidRPr="000F0669">
        <w:rPr>
          <w:rFonts w:ascii="Times New Roman" w:hAnsi="Times New Roman" w:cs="Times New Roman"/>
          <w:sz w:val="24"/>
          <w:szCs w:val="24"/>
        </w:rPr>
        <w:lastRenderedPageBreak/>
        <w:t>experienced over the past ten years, a moderate increase in having a clear message to them to manage the business, reduce the costs and stop this cycle of increases was the right outcome.”</w:t>
      </w:r>
      <w:r w:rsidR="0038021F" w:rsidRPr="000F0669">
        <w:rPr>
          <w:rStyle w:val="FootnoteReference"/>
          <w:rFonts w:ascii="Times New Roman" w:hAnsi="Times New Roman" w:cs="Times New Roman"/>
          <w:sz w:val="24"/>
          <w:szCs w:val="24"/>
        </w:rPr>
        <w:footnoteReference w:id="25"/>
      </w:r>
      <w:r w:rsidR="0038021F" w:rsidRPr="000F0669">
        <w:rPr>
          <w:rFonts w:ascii="Times New Roman" w:hAnsi="Times New Roman" w:cs="Times New Roman"/>
          <w:sz w:val="24"/>
          <w:szCs w:val="24"/>
        </w:rPr>
        <w:t xml:space="preserve"> </w:t>
      </w:r>
      <w:r w:rsidR="0008077D" w:rsidRPr="000F0669">
        <w:rPr>
          <w:rFonts w:ascii="Times New Roman" w:hAnsi="Times New Roman" w:cs="Times New Roman"/>
          <w:sz w:val="24"/>
          <w:szCs w:val="24"/>
        </w:rPr>
        <w:t xml:space="preserve">As Mr. Norwood </w:t>
      </w:r>
      <w:r w:rsidR="00347870" w:rsidRPr="000F0669">
        <w:rPr>
          <w:rFonts w:ascii="Times New Roman" w:hAnsi="Times New Roman" w:cs="Times New Roman"/>
          <w:sz w:val="24"/>
          <w:szCs w:val="24"/>
        </w:rPr>
        <w:t>confirmed</w:t>
      </w:r>
      <w:r w:rsidR="0008077D" w:rsidRPr="000F0669">
        <w:rPr>
          <w:rFonts w:ascii="Times New Roman" w:hAnsi="Times New Roman" w:cs="Times New Roman"/>
          <w:sz w:val="24"/>
          <w:szCs w:val="24"/>
        </w:rPr>
        <w:t>, the rate plan itself is not enough for Avista to achieve a fair return; the Company must take action to operate more efficiently</w:t>
      </w:r>
      <w:r w:rsidR="003D3309" w:rsidRPr="000F0669">
        <w:rPr>
          <w:rFonts w:ascii="Times New Roman" w:hAnsi="Times New Roman" w:cs="Times New Roman"/>
          <w:sz w:val="24"/>
          <w:szCs w:val="24"/>
        </w:rPr>
        <w:t>,</w:t>
      </w:r>
      <w:r w:rsidR="0008077D" w:rsidRPr="000F0669">
        <w:rPr>
          <w:rStyle w:val="FootnoteReference"/>
          <w:rFonts w:ascii="Times New Roman" w:hAnsi="Times New Roman" w:cs="Times New Roman"/>
          <w:sz w:val="24"/>
          <w:szCs w:val="24"/>
        </w:rPr>
        <w:footnoteReference w:id="26"/>
      </w:r>
      <w:r w:rsidR="003D3309" w:rsidRPr="000F0669">
        <w:rPr>
          <w:rFonts w:ascii="Times New Roman" w:hAnsi="Times New Roman" w:cs="Times New Roman"/>
          <w:sz w:val="24"/>
          <w:szCs w:val="24"/>
        </w:rPr>
        <w:t xml:space="preserve"> action which the Company is now aggressively taking.</w:t>
      </w:r>
      <w:r w:rsidR="003D3309" w:rsidRPr="000F0669">
        <w:rPr>
          <w:rStyle w:val="FootnoteReference"/>
          <w:rFonts w:ascii="Times New Roman" w:hAnsi="Times New Roman" w:cs="Times New Roman"/>
          <w:sz w:val="24"/>
          <w:szCs w:val="24"/>
        </w:rPr>
        <w:footnoteReference w:id="27"/>
      </w:r>
      <w:r w:rsidR="0008077D" w:rsidRPr="000F0669">
        <w:rPr>
          <w:rFonts w:ascii="Times New Roman" w:hAnsi="Times New Roman" w:cs="Times New Roman"/>
          <w:sz w:val="24"/>
          <w:szCs w:val="24"/>
        </w:rPr>
        <w:t xml:space="preserve">  </w:t>
      </w:r>
    </w:p>
    <w:p w:rsidR="007E4DDE" w:rsidRPr="000F0669" w:rsidRDefault="000F0669" w:rsidP="000F0669">
      <w:pPr>
        <w:pStyle w:val="ListParagraph"/>
        <w:numPr>
          <w:ilvl w:val="0"/>
          <w:numId w:val="5"/>
        </w:numPr>
        <w:spacing w:line="480" w:lineRule="auto"/>
        <w:rPr>
          <w:rFonts w:ascii="Times New Roman" w:hAnsi="Times New Roman" w:cs="Times New Roman"/>
          <w:sz w:val="24"/>
          <w:szCs w:val="24"/>
        </w:rPr>
      </w:pPr>
      <w:r w:rsidRPr="000F0669">
        <w:rPr>
          <w:rFonts w:ascii="Times New Roman" w:hAnsi="Times New Roman" w:cs="Times New Roman"/>
          <w:sz w:val="24"/>
          <w:szCs w:val="24"/>
        </w:rPr>
        <w:tab/>
      </w:r>
      <w:r w:rsidR="0050287E" w:rsidRPr="000F0669">
        <w:rPr>
          <w:rFonts w:ascii="Times New Roman" w:hAnsi="Times New Roman" w:cs="Times New Roman"/>
          <w:sz w:val="24"/>
          <w:szCs w:val="24"/>
        </w:rPr>
        <w:t>In sum, t</w:t>
      </w:r>
      <w:r w:rsidR="007E4DDE" w:rsidRPr="000F0669">
        <w:rPr>
          <w:rFonts w:ascii="Times New Roman" w:hAnsi="Times New Roman" w:cs="Times New Roman"/>
          <w:sz w:val="24"/>
          <w:szCs w:val="24"/>
        </w:rPr>
        <w:t>he Settlement</w:t>
      </w:r>
      <w:r w:rsidR="0077336C" w:rsidRPr="000F0669">
        <w:rPr>
          <w:rFonts w:ascii="Times New Roman" w:hAnsi="Times New Roman" w:cs="Times New Roman"/>
          <w:sz w:val="24"/>
          <w:szCs w:val="24"/>
        </w:rPr>
        <w:t>, including the 2014 rate increase,</w:t>
      </w:r>
      <w:r w:rsidR="007E4DDE" w:rsidRPr="000F0669">
        <w:rPr>
          <w:rFonts w:ascii="Times New Roman" w:hAnsi="Times New Roman" w:cs="Times New Roman"/>
          <w:sz w:val="24"/>
          <w:szCs w:val="24"/>
        </w:rPr>
        <w:t xml:space="preserve"> is a creative solution to a real problem</w:t>
      </w:r>
      <w:r w:rsidR="0050287E" w:rsidRPr="000F0669">
        <w:rPr>
          <w:rFonts w:ascii="Times New Roman" w:hAnsi="Times New Roman" w:cs="Times New Roman"/>
          <w:sz w:val="24"/>
          <w:szCs w:val="24"/>
        </w:rPr>
        <w:t>, and it is worthy of the Commission’s favorable consideration</w:t>
      </w:r>
      <w:r w:rsidR="003B5DD4" w:rsidRPr="000F0669">
        <w:rPr>
          <w:rFonts w:ascii="Times New Roman" w:hAnsi="Times New Roman" w:cs="Times New Roman"/>
          <w:sz w:val="24"/>
          <w:szCs w:val="24"/>
        </w:rPr>
        <w:t xml:space="preserve"> for that reason</w:t>
      </w:r>
      <w:r w:rsidR="0050287E" w:rsidRPr="000F0669">
        <w:rPr>
          <w:rFonts w:ascii="Times New Roman" w:hAnsi="Times New Roman" w:cs="Times New Roman"/>
          <w:sz w:val="24"/>
          <w:szCs w:val="24"/>
        </w:rPr>
        <w:t>.</w:t>
      </w:r>
    </w:p>
    <w:p w:rsidR="007E4DDE" w:rsidRPr="000F0669" w:rsidRDefault="007E4DDE" w:rsidP="007E4DDE">
      <w:pPr>
        <w:rPr>
          <w:rFonts w:cs="Times New Roman"/>
          <w:szCs w:val="24"/>
        </w:rPr>
      </w:pPr>
      <w:r w:rsidRPr="000F0669">
        <w:rPr>
          <w:rFonts w:cs="Times New Roman"/>
          <w:b/>
          <w:szCs w:val="24"/>
        </w:rPr>
        <w:t>D.</w:t>
      </w:r>
      <w:r w:rsidRPr="000F0669">
        <w:rPr>
          <w:rFonts w:cs="Times New Roman"/>
          <w:b/>
          <w:szCs w:val="24"/>
        </w:rPr>
        <w:tab/>
        <w:t xml:space="preserve">The 2014 Rate Changes Will Not be Excessive in Light of the Company’s </w:t>
      </w:r>
      <w:r w:rsidRPr="000F0669">
        <w:rPr>
          <w:rFonts w:cs="Times New Roman"/>
          <w:b/>
          <w:szCs w:val="24"/>
        </w:rPr>
        <w:tab/>
        <w:t>Refund Commitment</w:t>
      </w:r>
      <w:r w:rsidR="008F40B8" w:rsidRPr="000F0669">
        <w:rPr>
          <w:rStyle w:val="FootnoteReference"/>
          <w:rFonts w:cs="Times New Roman"/>
          <w:b/>
          <w:szCs w:val="24"/>
        </w:rPr>
        <w:footnoteReference w:id="28"/>
      </w:r>
    </w:p>
    <w:p w:rsidR="007E4DDE" w:rsidRPr="000F0669" w:rsidRDefault="007E4DDE" w:rsidP="007E4DDE">
      <w:pPr>
        <w:rPr>
          <w:rFonts w:cs="Times New Roman"/>
          <w:b/>
          <w:szCs w:val="24"/>
        </w:rPr>
      </w:pPr>
    </w:p>
    <w:p w:rsidR="007E4DDE" w:rsidRPr="000F0669" w:rsidRDefault="000F0669" w:rsidP="000F0669">
      <w:pPr>
        <w:pStyle w:val="ListParagraph"/>
        <w:numPr>
          <w:ilvl w:val="0"/>
          <w:numId w:val="5"/>
        </w:numPr>
        <w:spacing w:line="480" w:lineRule="auto"/>
        <w:rPr>
          <w:rFonts w:ascii="Times New Roman" w:hAnsi="Times New Roman" w:cs="Times New Roman"/>
          <w:b/>
          <w:sz w:val="24"/>
          <w:szCs w:val="24"/>
        </w:rPr>
      </w:pPr>
      <w:r w:rsidRPr="000F0669">
        <w:rPr>
          <w:rFonts w:ascii="Times New Roman" w:hAnsi="Times New Roman" w:cs="Times New Roman"/>
          <w:sz w:val="24"/>
          <w:szCs w:val="24"/>
        </w:rPr>
        <w:tab/>
      </w:r>
      <w:r w:rsidR="007E4DDE" w:rsidRPr="000F0669">
        <w:rPr>
          <w:rFonts w:ascii="Times New Roman" w:hAnsi="Times New Roman" w:cs="Times New Roman"/>
          <w:sz w:val="24"/>
          <w:szCs w:val="24"/>
        </w:rPr>
        <w:t>The 2014 rate increase will not produce unfair, unjust or unreasonable rates because Avista has committed to refund any amounts the Company collects in excess of a 9.8 percent return on equity (ROE), based on Commission-basis reporting.</w:t>
      </w:r>
      <w:r w:rsidR="007E4DDE" w:rsidRPr="000F0669">
        <w:rPr>
          <w:rStyle w:val="FootnoteReference"/>
          <w:rFonts w:ascii="Times New Roman" w:hAnsi="Times New Roman" w:cs="Times New Roman"/>
          <w:sz w:val="24"/>
          <w:szCs w:val="24"/>
        </w:rPr>
        <w:footnoteReference w:id="29"/>
      </w:r>
      <w:r w:rsidR="007E4DDE" w:rsidRPr="000F0669">
        <w:rPr>
          <w:rFonts w:ascii="Times New Roman" w:hAnsi="Times New Roman" w:cs="Times New Roman"/>
          <w:sz w:val="24"/>
          <w:szCs w:val="24"/>
        </w:rPr>
        <w:t xml:space="preserve">  This </w:t>
      </w:r>
      <w:r w:rsidR="00696E6B" w:rsidRPr="000F0669">
        <w:rPr>
          <w:rFonts w:ascii="Times New Roman" w:hAnsi="Times New Roman" w:cs="Times New Roman"/>
          <w:sz w:val="24"/>
          <w:szCs w:val="24"/>
        </w:rPr>
        <w:t xml:space="preserve">confirms </w:t>
      </w:r>
      <w:r w:rsidR="003B5DD4" w:rsidRPr="000F0669">
        <w:rPr>
          <w:rFonts w:ascii="Times New Roman" w:hAnsi="Times New Roman" w:cs="Times New Roman"/>
          <w:sz w:val="24"/>
          <w:szCs w:val="24"/>
        </w:rPr>
        <w:t xml:space="preserve">the rates in the rate plan will be fair, just </w:t>
      </w:r>
      <w:r w:rsidR="0008077D" w:rsidRPr="000F0669">
        <w:rPr>
          <w:rFonts w:ascii="Times New Roman" w:hAnsi="Times New Roman" w:cs="Times New Roman"/>
          <w:sz w:val="24"/>
          <w:szCs w:val="24"/>
        </w:rPr>
        <w:t xml:space="preserve">and </w:t>
      </w:r>
      <w:r w:rsidR="003B5DD4" w:rsidRPr="000F0669">
        <w:rPr>
          <w:rFonts w:ascii="Times New Roman" w:hAnsi="Times New Roman" w:cs="Times New Roman"/>
          <w:sz w:val="24"/>
          <w:szCs w:val="24"/>
        </w:rPr>
        <w:t xml:space="preserve">reasonable, and not </w:t>
      </w:r>
      <w:r w:rsidR="007E4DDE" w:rsidRPr="000F0669">
        <w:rPr>
          <w:rFonts w:ascii="Times New Roman" w:hAnsi="Times New Roman" w:cs="Times New Roman"/>
          <w:sz w:val="24"/>
          <w:szCs w:val="24"/>
        </w:rPr>
        <w:t>excessive.</w:t>
      </w:r>
    </w:p>
    <w:p w:rsidR="00DC05E6" w:rsidRPr="00DF53F5" w:rsidRDefault="00DC05E6" w:rsidP="00DC05E6">
      <w:pPr>
        <w:pStyle w:val="BodyTextIndent2"/>
        <w:spacing w:line="240" w:lineRule="exact"/>
        <w:ind w:left="720"/>
        <w:rPr>
          <w:rFonts w:ascii="Times New Roman" w:hAnsi="Times New Roman"/>
        </w:rPr>
      </w:pPr>
      <w:r w:rsidRPr="00DF53F5">
        <w:rPr>
          <w:rFonts w:ascii="Times New Roman" w:hAnsi="Times New Roman"/>
        </w:rPr>
        <w:t xml:space="preserve">Dated this </w:t>
      </w:r>
      <w:r>
        <w:rPr>
          <w:rFonts w:ascii="Times New Roman" w:hAnsi="Times New Roman"/>
        </w:rPr>
        <w:t>7</w:t>
      </w:r>
      <w:r w:rsidRPr="00DF53F5">
        <w:rPr>
          <w:rFonts w:ascii="Times New Roman" w:hAnsi="Times New Roman"/>
          <w:vertAlign w:val="superscript"/>
        </w:rPr>
        <w:t>th</w:t>
      </w:r>
      <w:r w:rsidRPr="00DF53F5">
        <w:rPr>
          <w:rFonts w:ascii="Times New Roman" w:hAnsi="Times New Roman"/>
        </w:rPr>
        <w:t xml:space="preserve"> day of </w:t>
      </w:r>
      <w:r>
        <w:rPr>
          <w:rFonts w:ascii="Times New Roman" w:hAnsi="Times New Roman"/>
        </w:rPr>
        <w:t>December</w:t>
      </w:r>
      <w:r w:rsidRPr="00DF53F5">
        <w:rPr>
          <w:rFonts w:ascii="Times New Roman" w:hAnsi="Times New Roman"/>
        </w:rPr>
        <w:t xml:space="preserve"> 2012.  </w:t>
      </w:r>
    </w:p>
    <w:p w:rsidR="00DC05E6" w:rsidRPr="00DF53F5" w:rsidRDefault="00DC05E6" w:rsidP="00DC05E6">
      <w:pPr>
        <w:pStyle w:val="BodyTextIndent2"/>
        <w:spacing w:line="240" w:lineRule="exact"/>
        <w:rPr>
          <w:rFonts w:ascii="Times New Roman" w:hAnsi="Times New Roman"/>
        </w:rPr>
      </w:pPr>
    </w:p>
    <w:p w:rsidR="00DC05E6" w:rsidRPr="00093BCF" w:rsidRDefault="00DC05E6" w:rsidP="00DC05E6">
      <w:pPr>
        <w:widowControl w:val="0"/>
        <w:autoSpaceDE w:val="0"/>
        <w:autoSpaceDN w:val="0"/>
        <w:adjustRightInd w:val="0"/>
        <w:ind w:left="720"/>
      </w:pPr>
      <w:r w:rsidRPr="00093BCF">
        <w:tab/>
      </w:r>
      <w:r w:rsidRPr="00093BCF">
        <w:tab/>
      </w:r>
      <w:r w:rsidRPr="00093BCF">
        <w:tab/>
      </w:r>
      <w:r w:rsidRPr="00093BCF">
        <w:tab/>
      </w:r>
      <w:r w:rsidRPr="00093BCF">
        <w:tab/>
      </w:r>
      <w:r w:rsidRPr="00093BCF">
        <w:tab/>
        <w:t xml:space="preserve">Respectfully submitted, </w:t>
      </w:r>
    </w:p>
    <w:p w:rsidR="00DC05E6" w:rsidRPr="00093BCF" w:rsidRDefault="00DC05E6" w:rsidP="00DC05E6">
      <w:pPr>
        <w:ind w:left="686"/>
      </w:pPr>
    </w:p>
    <w:p w:rsidR="00DC05E6" w:rsidRPr="00093BCF" w:rsidRDefault="00DC05E6" w:rsidP="00DC05E6">
      <w:pPr>
        <w:widowControl w:val="0"/>
        <w:autoSpaceDE w:val="0"/>
        <w:autoSpaceDN w:val="0"/>
        <w:adjustRightInd w:val="0"/>
        <w:ind w:left="5040"/>
        <w:jc w:val="both"/>
      </w:pPr>
      <w:r w:rsidRPr="00093BCF">
        <w:t xml:space="preserve">ROBERT M. MCKENNA </w:t>
      </w:r>
    </w:p>
    <w:p w:rsidR="00DC05E6" w:rsidRPr="00093BCF" w:rsidRDefault="00DC05E6" w:rsidP="00DC05E6">
      <w:pPr>
        <w:widowControl w:val="0"/>
        <w:autoSpaceDE w:val="0"/>
        <w:autoSpaceDN w:val="0"/>
        <w:adjustRightInd w:val="0"/>
        <w:ind w:firstLine="5040"/>
        <w:jc w:val="both"/>
      </w:pPr>
      <w:r w:rsidRPr="00093BCF">
        <w:t>Attorney General</w:t>
      </w:r>
    </w:p>
    <w:p w:rsidR="00DC05E6" w:rsidRPr="00093BCF" w:rsidRDefault="00DC05E6" w:rsidP="00DC05E6">
      <w:pPr>
        <w:widowControl w:val="0"/>
        <w:autoSpaceDE w:val="0"/>
        <w:autoSpaceDN w:val="0"/>
        <w:adjustRightInd w:val="0"/>
        <w:jc w:val="both"/>
      </w:pPr>
    </w:p>
    <w:p w:rsidR="00DC05E6" w:rsidRPr="00093BCF" w:rsidRDefault="00DC05E6" w:rsidP="00DC05E6">
      <w:pPr>
        <w:widowControl w:val="0"/>
        <w:autoSpaceDE w:val="0"/>
        <w:autoSpaceDN w:val="0"/>
        <w:adjustRightInd w:val="0"/>
        <w:jc w:val="both"/>
      </w:pPr>
    </w:p>
    <w:p w:rsidR="00DC05E6" w:rsidRPr="00093BCF" w:rsidRDefault="00DC05E6" w:rsidP="00DC05E6">
      <w:pPr>
        <w:widowControl w:val="0"/>
        <w:autoSpaceDE w:val="0"/>
        <w:autoSpaceDN w:val="0"/>
        <w:adjustRightInd w:val="0"/>
        <w:ind w:left="1440" w:firstLine="3600"/>
        <w:jc w:val="both"/>
      </w:pPr>
      <w:r w:rsidRPr="00093BCF">
        <w:t>______________________________</w:t>
      </w:r>
    </w:p>
    <w:p w:rsidR="00DC05E6" w:rsidRPr="00093BCF" w:rsidRDefault="00DC05E6" w:rsidP="00DC05E6">
      <w:pPr>
        <w:widowControl w:val="0"/>
        <w:autoSpaceDE w:val="0"/>
        <w:autoSpaceDN w:val="0"/>
        <w:adjustRightInd w:val="0"/>
        <w:ind w:firstLine="5040"/>
        <w:jc w:val="both"/>
      </w:pPr>
      <w:r w:rsidRPr="00DF53F5">
        <w:t xml:space="preserve">DONALD T. TROTTER </w:t>
      </w:r>
    </w:p>
    <w:p w:rsidR="00DC05E6" w:rsidRPr="00093BCF" w:rsidRDefault="00DC05E6" w:rsidP="00DC05E6">
      <w:pPr>
        <w:widowControl w:val="0"/>
        <w:autoSpaceDE w:val="0"/>
        <w:autoSpaceDN w:val="0"/>
        <w:adjustRightInd w:val="0"/>
        <w:ind w:left="1440" w:firstLine="3600"/>
        <w:jc w:val="both"/>
      </w:pPr>
      <w:r w:rsidRPr="00093BCF">
        <w:t>Assistant Attorney General</w:t>
      </w:r>
    </w:p>
    <w:p w:rsidR="00DC05E6" w:rsidRPr="00093BCF" w:rsidRDefault="00DC05E6" w:rsidP="00DC05E6">
      <w:pPr>
        <w:widowControl w:val="0"/>
        <w:autoSpaceDE w:val="0"/>
        <w:autoSpaceDN w:val="0"/>
        <w:adjustRightInd w:val="0"/>
        <w:ind w:left="2160" w:firstLine="2880"/>
        <w:jc w:val="both"/>
      </w:pPr>
      <w:r w:rsidRPr="00093BCF">
        <w:t>Counsel for Washington Utilities and</w:t>
      </w:r>
    </w:p>
    <w:p w:rsidR="007E4DDE" w:rsidRPr="00BC0922" w:rsidRDefault="00DC05E6" w:rsidP="002E1421">
      <w:pPr>
        <w:widowControl w:val="0"/>
        <w:autoSpaceDE w:val="0"/>
        <w:autoSpaceDN w:val="0"/>
        <w:adjustRightInd w:val="0"/>
        <w:ind w:left="2880" w:firstLine="2160"/>
        <w:jc w:val="both"/>
      </w:pPr>
      <w:r w:rsidRPr="00093BCF">
        <w:t>Transportation Commission Staff</w:t>
      </w:r>
    </w:p>
    <w:sectPr w:rsidR="007E4DDE" w:rsidRPr="00BC0922" w:rsidSect="00034D6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AB6" w:rsidRDefault="00012AB6" w:rsidP="00AA36CD">
      <w:r>
        <w:separator/>
      </w:r>
    </w:p>
  </w:endnote>
  <w:endnote w:type="continuationSeparator" w:id="0">
    <w:p w:rsidR="00012AB6" w:rsidRDefault="00012AB6" w:rsidP="00AA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28249921"/>
      <w:docPartObj>
        <w:docPartGallery w:val="Page Numbers (Bottom of Page)"/>
        <w:docPartUnique/>
      </w:docPartObj>
    </w:sdtPr>
    <w:sdtEndPr>
      <w:rPr>
        <w:noProof/>
      </w:rPr>
    </w:sdtEndPr>
    <w:sdtContent>
      <w:p w:rsidR="0032679D" w:rsidRPr="00DC05E6" w:rsidRDefault="00DC05E6" w:rsidP="00DC05E6">
        <w:pPr>
          <w:pStyle w:val="Footer"/>
          <w:rPr>
            <w:sz w:val="20"/>
            <w:szCs w:val="20"/>
          </w:rPr>
        </w:pPr>
        <w:r w:rsidRPr="00DC05E6">
          <w:rPr>
            <w:sz w:val="20"/>
            <w:szCs w:val="20"/>
          </w:rPr>
          <w:t xml:space="preserve">COMMISSION STAFF BRIEF - </w:t>
        </w:r>
        <w:r w:rsidR="0032679D" w:rsidRPr="00DC05E6">
          <w:rPr>
            <w:sz w:val="20"/>
            <w:szCs w:val="20"/>
          </w:rPr>
          <w:fldChar w:fldCharType="begin"/>
        </w:r>
        <w:r w:rsidR="0032679D" w:rsidRPr="00DC05E6">
          <w:rPr>
            <w:sz w:val="20"/>
            <w:szCs w:val="20"/>
          </w:rPr>
          <w:instrText xml:space="preserve"> PAGE   \* MERGEFORMAT </w:instrText>
        </w:r>
        <w:r w:rsidR="0032679D" w:rsidRPr="00DC05E6">
          <w:rPr>
            <w:sz w:val="20"/>
            <w:szCs w:val="20"/>
          </w:rPr>
          <w:fldChar w:fldCharType="separate"/>
        </w:r>
        <w:r w:rsidR="000F0669">
          <w:rPr>
            <w:noProof/>
            <w:sz w:val="20"/>
            <w:szCs w:val="20"/>
          </w:rPr>
          <w:t>5</w:t>
        </w:r>
        <w:r w:rsidR="0032679D" w:rsidRPr="00DC05E6">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AB6" w:rsidRDefault="00012AB6" w:rsidP="00AA36CD">
      <w:r>
        <w:separator/>
      </w:r>
    </w:p>
  </w:footnote>
  <w:footnote w:type="continuationSeparator" w:id="0">
    <w:p w:rsidR="00012AB6" w:rsidRDefault="00012AB6" w:rsidP="00AA36CD">
      <w:r>
        <w:continuationSeparator/>
      </w:r>
    </w:p>
  </w:footnote>
  <w:footnote w:id="1">
    <w:p w:rsidR="0032679D" w:rsidRDefault="0032679D" w:rsidP="00F03FB4">
      <w:pPr>
        <w:pStyle w:val="FootnoteText"/>
      </w:pPr>
      <w:r>
        <w:rPr>
          <w:rStyle w:val="FootnoteReference"/>
        </w:rPr>
        <w:footnoteRef/>
      </w:r>
      <w:r>
        <w:t xml:space="preserve"> Multiparty Settlement Stipulation, Exh. No. 5.</w:t>
      </w:r>
    </w:p>
  </w:footnote>
  <w:footnote w:id="2">
    <w:p w:rsidR="0032679D" w:rsidRDefault="0032679D">
      <w:pPr>
        <w:pStyle w:val="FootnoteText"/>
      </w:pPr>
      <w:r>
        <w:rPr>
          <w:rStyle w:val="FootnoteReference"/>
        </w:rPr>
        <w:footnoteRef/>
      </w:r>
      <w:r>
        <w:t xml:space="preserve"> Id. at 3-4, </w:t>
      </w:r>
      <w:r>
        <w:rPr>
          <w:rFonts w:cs="Times New Roman"/>
        </w:rPr>
        <w:t>¶¶ 4 &amp;</w:t>
      </w:r>
      <w:r>
        <w:t xml:space="preserve"> 5.  </w:t>
      </w:r>
    </w:p>
  </w:footnote>
  <w:footnote w:id="3">
    <w:p w:rsidR="0032679D" w:rsidRDefault="0032679D" w:rsidP="00237E04">
      <w:pPr>
        <w:pStyle w:val="FootnoteText"/>
      </w:pPr>
      <w:r>
        <w:rPr>
          <w:rStyle w:val="FootnoteReference"/>
        </w:rPr>
        <w:footnoteRef/>
      </w:r>
      <w:r>
        <w:t xml:space="preserve"> Id. at 12, </w:t>
      </w:r>
      <w:r>
        <w:rPr>
          <w:rFonts w:cs="Times New Roman"/>
        </w:rPr>
        <w:t>¶ 23</w:t>
      </w:r>
      <w:r>
        <w:t>.</w:t>
      </w:r>
    </w:p>
  </w:footnote>
  <w:footnote w:id="4">
    <w:p w:rsidR="0032679D" w:rsidRDefault="0032679D">
      <w:pPr>
        <w:pStyle w:val="FootnoteText"/>
      </w:pPr>
      <w:r>
        <w:rPr>
          <w:rStyle w:val="FootnoteReference"/>
        </w:rPr>
        <w:footnoteRef/>
      </w:r>
      <w:r>
        <w:t xml:space="preserve"> Staff notes that Public Counsel analyzed these data using the rate of return figure contained in the Settlement.</w:t>
      </w:r>
      <w:r w:rsidR="008F40B8">
        <w:t xml:space="preserve">  E.g., Dittmer, Exh. No. JRD-12CT at 8.  </w:t>
      </w:r>
      <w:r>
        <w:t xml:space="preserve">However, that rate of return itself represents a substantial compromise.  In other words, the “at risk” revenues in this case are much higher than Public Counsel wants the Commission to believe. </w:t>
      </w:r>
    </w:p>
  </w:footnote>
  <w:footnote w:id="5">
    <w:p w:rsidR="0032679D" w:rsidRDefault="0032679D">
      <w:pPr>
        <w:pStyle w:val="FootnoteText"/>
      </w:pPr>
      <w:r>
        <w:rPr>
          <w:rStyle w:val="FootnoteReference"/>
        </w:rPr>
        <w:footnoteRef/>
      </w:r>
      <w:r>
        <w:t xml:space="preserve"> Andrews, Exh. No. EMA-1T at 4:12-19 ($40.983 million for electric service and $10.088 million for gas service).</w:t>
      </w:r>
    </w:p>
  </w:footnote>
  <w:footnote w:id="6">
    <w:p w:rsidR="0032679D" w:rsidRDefault="0032679D">
      <w:pPr>
        <w:pStyle w:val="FootnoteText"/>
      </w:pPr>
      <w:r>
        <w:rPr>
          <w:rStyle w:val="FootnoteReference"/>
        </w:rPr>
        <w:footnoteRef/>
      </w:r>
      <w:r>
        <w:t xml:space="preserve"> Norwood, Exh. No. KON-7T at 7:6 to 8:16. </w:t>
      </w:r>
    </w:p>
  </w:footnote>
  <w:footnote w:id="7">
    <w:p w:rsidR="0032679D" w:rsidRDefault="0032679D">
      <w:pPr>
        <w:pStyle w:val="FootnoteText"/>
      </w:pPr>
      <w:r>
        <w:rPr>
          <w:rStyle w:val="FootnoteReference"/>
        </w:rPr>
        <w:footnoteRef/>
      </w:r>
      <w:r>
        <w:t xml:space="preserve"> Multiparty Settlement Stipulation, Exh. No. 5 at 3, </w:t>
      </w:r>
      <w:r>
        <w:rPr>
          <w:rFonts w:cs="Times New Roman"/>
        </w:rPr>
        <w:t>¶¶</w:t>
      </w:r>
      <w:r>
        <w:t xml:space="preserve"> 4-5 (</w:t>
      </w:r>
      <w:r w:rsidR="00393B92">
        <w:t>electric</w:t>
      </w:r>
      <w:r>
        <w:t xml:space="preserve">: $13.650m + $14.038m; </w:t>
      </w:r>
      <w:r w:rsidR="008F40B8">
        <w:t>g</w:t>
      </w:r>
      <w:r>
        <w:t xml:space="preserve">as: $5.3 m + $1.4m; total of all figures = $34.35 million). </w:t>
      </w:r>
    </w:p>
  </w:footnote>
  <w:footnote w:id="8">
    <w:p w:rsidR="0032679D" w:rsidRPr="0077336C" w:rsidRDefault="0032679D">
      <w:pPr>
        <w:pStyle w:val="FootnoteText"/>
      </w:pPr>
      <w:r>
        <w:rPr>
          <w:rStyle w:val="FootnoteReference"/>
        </w:rPr>
        <w:footnoteRef/>
      </w:r>
      <w:r>
        <w:t xml:space="preserve"> </w:t>
      </w:r>
      <w:r>
        <w:rPr>
          <w:i/>
        </w:rPr>
        <w:t xml:space="preserve">Utilities and Transp. Comm’n v. PacifiCorp, </w:t>
      </w:r>
      <w:r>
        <w:t xml:space="preserve">Docket UE-991832, Third Supplemental Order (August 9, 2000) at </w:t>
      </w:r>
      <w:r>
        <w:rPr>
          <w:rFonts w:cs="Times New Roman"/>
        </w:rPr>
        <w:t>¶</w:t>
      </w:r>
      <w:r>
        <w:t xml:space="preserve"> 50.  In that instance, PacifiCorp had filed a rate case seeking a rate increase to be implemented over a two-year period.  The settlement established rates for five years.  In Paragraph 50 of its order, the Commission noted that the overall revenues for the five-year period were less than what the utility had filed. </w:t>
      </w:r>
      <w:r w:rsidR="002E1421">
        <w:t>The same situation applies here.</w:t>
      </w:r>
      <w:r>
        <w:t xml:space="preserve">   </w:t>
      </w:r>
    </w:p>
  </w:footnote>
  <w:footnote w:id="9">
    <w:p w:rsidR="0032679D" w:rsidRDefault="0032679D" w:rsidP="00061997">
      <w:pPr>
        <w:pStyle w:val="FootnoteText"/>
      </w:pPr>
      <w:r>
        <w:rPr>
          <w:rStyle w:val="FootnoteReference"/>
        </w:rPr>
        <w:footnoteRef/>
      </w:r>
      <w:r>
        <w:t xml:space="preserve"> Multiparty Settlement Stipulation, Exh. No. 5 at 6, </w:t>
      </w:r>
      <w:r>
        <w:rPr>
          <w:rFonts w:cs="Times New Roman"/>
        </w:rPr>
        <w:t>¶</w:t>
      </w:r>
      <w:r>
        <w:t xml:space="preserve"> 15.</w:t>
      </w:r>
    </w:p>
  </w:footnote>
  <w:footnote w:id="10">
    <w:p w:rsidR="0032679D" w:rsidRDefault="0032679D" w:rsidP="00061997">
      <w:pPr>
        <w:pStyle w:val="FootnoteText"/>
      </w:pPr>
      <w:r>
        <w:rPr>
          <w:rStyle w:val="FootnoteReference"/>
        </w:rPr>
        <w:footnoteRef/>
      </w:r>
      <w:r>
        <w:t xml:space="preserve"> Ms. Breda’s direct testimony discusses the two Commission orders criticizing such deferred accounting.  Exhibit No. KHB-1CT at 11:16 to 12:23.  These criticisms formed the basis for Staff’s recommendation to terminate the mechanism.  Id.  See also Elgin, TR. 290:21 to 292:2.  </w:t>
      </w:r>
    </w:p>
  </w:footnote>
  <w:footnote w:id="11">
    <w:p w:rsidR="0032679D" w:rsidRDefault="0032679D" w:rsidP="00061997">
      <w:pPr>
        <w:pStyle w:val="FootnoteText"/>
      </w:pPr>
      <w:r>
        <w:rPr>
          <w:rStyle w:val="FootnoteReference"/>
        </w:rPr>
        <w:footnoteRef/>
      </w:r>
      <w:r>
        <w:t xml:space="preserve"> Multiparty Settlement Stipulation, Exh. No. 5 at 5, </w:t>
      </w:r>
      <w:r>
        <w:rPr>
          <w:rFonts w:cs="Times New Roman"/>
        </w:rPr>
        <w:t>¶</w:t>
      </w:r>
      <w:r>
        <w:t xml:space="preserve"> 10.</w:t>
      </w:r>
    </w:p>
  </w:footnote>
  <w:footnote w:id="12">
    <w:p w:rsidR="0032679D" w:rsidRDefault="0032679D" w:rsidP="00061997">
      <w:pPr>
        <w:pStyle w:val="FootnoteText"/>
      </w:pPr>
      <w:r>
        <w:rPr>
          <w:rStyle w:val="FootnoteReference"/>
        </w:rPr>
        <w:footnoteRef/>
      </w:r>
      <w:r>
        <w:t xml:space="preserve"> Johnson, Exh. No. WGJ-1T at 23.</w:t>
      </w:r>
    </w:p>
  </w:footnote>
  <w:footnote w:id="13">
    <w:p w:rsidR="0032679D" w:rsidRDefault="0032679D" w:rsidP="00061997">
      <w:pPr>
        <w:pStyle w:val="FootnoteText"/>
      </w:pPr>
      <w:r>
        <w:rPr>
          <w:rStyle w:val="FootnoteReference"/>
        </w:rPr>
        <w:footnoteRef/>
      </w:r>
      <w:r>
        <w:t xml:space="preserve"> Multiparty Settlement Stipulation, Exh. No. 5 at 12, </w:t>
      </w:r>
      <w:r>
        <w:rPr>
          <w:rFonts w:cs="Times New Roman"/>
        </w:rPr>
        <w:t>¶</w:t>
      </w:r>
      <w:r>
        <w:t xml:space="preserve"> 23. </w:t>
      </w:r>
    </w:p>
  </w:footnote>
  <w:footnote w:id="14">
    <w:p w:rsidR="0032679D" w:rsidRDefault="0032679D" w:rsidP="00061997">
      <w:pPr>
        <w:pStyle w:val="FootnoteText"/>
      </w:pPr>
      <w:r>
        <w:rPr>
          <w:rStyle w:val="FootnoteReference"/>
        </w:rPr>
        <w:footnoteRef/>
      </w:r>
      <w:r>
        <w:t xml:space="preserve"> Norwood, Exh. No. KON-7T at 2:19-21; Deen, Exh. No. JT-1T at 32:14-20.</w:t>
      </w:r>
    </w:p>
  </w:footnote>
  <w:footnote w:id="15">
    <w:p w:rsidR="0032679D" w:rsidRDefault="0032679D">
      <w:pPr>
        <w:pStyle w:val="FootnoteText"/>
      </w:pPr>
      <w:r>
        <w:rPr>
          <w:rStyle w:val="FootnoteReference"/>
        </w:rPr>
        <w:footnoteRef/>
      </w:r>
      <w:r>
        <w:t xml:space="preserve"> Elgin </w:t>
      </w:r>
      <w:r w:rsidRPr="00980A1A">
        <w:t xml:space="preserve">Exh. No. </w:t>
      </w:r>
      <w:r>
        <w:rPr>
          <w:rFonts w:cs="Times New Roman"/>
        </w:rPr>
        <w:t>KLE-7T at 6:8-7:5.</w:t>
      </w:r>
    </w:p>
  </w:footnote>
  <w:footnote w:id="16">
    <w:p w:rsidR="0032679D" w:rsidRDefault="0032679D">
      <w:pPr>
        <w:pStyle w:val="FootnoteText"/>
      </w:pPr>
      <w:r>
        <w:rPr>
          <w:rStyle w:val="FootnoteReference"/>
        </w:rPr>
        <w:footnoteRef/>
      </w:r>
      <w:r>
        <w:t xml:space="preserve"> Id. at 7:6-8.</w:t>
      </w:r>
    </w:p>
  </w:footnote>
  <w:footnote w:id="17">
    <w:p w:rsidR="0032679D" w:rsidRDefault="0032679D">
      <w:pPr>
        <w:pStyle w:val="FootnoteText"/>
      </w:pPr>
      <w:r>
        <w:rPr>
          <w:rStyle w:val="FootnoteReference"/>
        </w:rPr>
        <w:footnoteRef/>
      </w:r>
      <w:r>
        <w:t xml:space="preserve"> Breda, Exh. Nos. KHB-9C and KHB-10C.</w:t>
      </w:r>
    </w:p>
  </w:footnote>
  <w:footnote w:id="18">
    <w:p w:rsidR="0032679D" w:rsidRDefault="0032679D">
      <w:pPr>
        <w:pStyle w:val="FootnoteText"/>
      </w:pPr>
      <w:r>
        <w:rPr>
          <w:rStyle w:val="FootnoteReference"/>
        </w:rPr>
        <w:footnoteRef/>
      </w:r>
      <w:r>
        <w:t xml:space="preserve"> Breda, Exh. No. KHB-1CT at 30:1-3 and at 31:23.</w:t>
      </w:r>
    </w:p>
  </w:footnote>
  <w:footnote w:id="19">
    <w:p w:rsidR="0032679D" w:rsidRDefault="0032679D" w:rsidP="007F0543">
      <w:pPr>
        <w:pStyle w:val="FootnoteText"/>
      </w:pPr>
      <w:r>
        <w:rPr>
          <w:rStyle w:val="FootnoteReference"/>
        </w:rPr>
        <w:footnoteRef/>
      </w:r>
      <w:r>
        <w:t xml:space="preserve"> While Public Counsel complains these are total company figures (Dittmer, Exh. No. </w:t>
      </w:r>
      <w:r w:rsidRPr="00C70A05">
        <w:t>JRD-12T at 2:14-16</w:t>
      </w:r>
      <w:r w:rsidRPr="0077336C">
        <w:t>)</w:t>
      </w:r>
      <w:r>
        <w:t xml:space="preserve">, it is eminently reasonable to assume the allocations between services and jurisdictions remain similar and the rates of growth are proportional into 2014.  Certainly Public Counsel offered nothing to the contrary.  Furthermore, while </w:t>
      </w:r>
      <w:r>
        <w:rPr>
          <w:rFonts w:cs="Times New Roman"/>
          <w:szCs w:val="24"/>
        </w:rPr>
        <w:t xml:space="preserve">Staff acknowledges that these data do not reflect the potential impact of the Company’s just-announced early retirement offer, such efficiency gains are exactly the sort of actions the Company needs to take to earn a reasonable return under the rate plan.  Elgin, Exh. No. KLE-7T at 8:3-10.  Moreover, ratepayers will share in these benefits should Avista somehow break with history and earn in excess of 9.8 percent on equity (Norwood, Exh. No. KON-7T at 2:32-36), and because the next general rate case test period will reflect a full year’s effect of whatever cost reductions the early retirement offer produces.  Elgin, Exh. No. KLE-7T at 8:12-15; TR. 249:2-8. </w:t>
      </w:r>
    </w:p>
  </w:footnote>
  <w:footnote w:id="20">
    <w:p w:rsidR="0032679D" w:rsidRDefault="0032679D">
      <w:pPr>
        <w:pStyle w:val="FootnoteText"/>
      </w:pPr>
      <w:r w:rsidRPr="007E4DDE">
        <w:rPr>
          <w:rStyle w:val="FootnoteReference"/>
        </w:rPr>
        <w:footnoteRef/>
      </w:r>
      <w:r w:rsidRPr="007E4DDE">
        <w:t xml:space="preserve"> </w:t>
      </w:r>
      <w:r w:rsidR="00D56B4A">
        <w:t xml:space="preserve">Elgin, </w:t>
      </w:r>
      <w:r w:rsidRPr="007E4DDE">
        <w:t>Exh</w:t>
      </w:r>
      <w:r>
        <w:t>.</w:t>
      </w:r>
      <w:r w:rsidRPr="007E4DDE">
        <w:t xml:space="preserve"> No. </w:t>
      </w:r>
      <w:r w:rsidRPr="007E4DDE">
        <w:rPr>
          <w:rFonts w:cs="Times New Roman"/>
        </w:rPr>
        <w:t>KLE-7T at 6:13-15; Exh</w:t>
      </w:r>
      <w:r>
        <w:rPr>
          <w:rFonts w:cs="Times New Roman"/>
        </w:rPr>
        <w:t>.</w:t>
      </w:r>
      <w:r w:rsidRPr="007E4DDE">
        <w:rPr>
          <w:rFonts w:cs="Times New Roman"/>
        </w:rPr>
        <w:t xml:space="preserve"> No. KLE-5</w:t>
      </w:r>
      <w:r>
        <w:rPr>
          <w:rFonts w:cs="Times New Roman"/>
          <w:sz w:val="24"/>
          <w:szCs w:val="24"/>
        </w:rPr>
        <w:t>.</w:t>
      </w:r>
    </w:p>
  </w:footnote>
  <w:footnote w:id="21">
    <w:p w:rsidR="0032679D" w:rsidRDefault="0032679D" w:rsidP="00E40ABB">
      <w:pPr>
        <w:pStyle w:val="FootnoteText"/>
      </w:pPr>
      <w:r>
        <w:rPr>
          <w:rStyle w:val="FootnoteReference"/>
        </w:rPr>
        <w:footnoteRef/>
      </w:r>
      <w:r>
        <w:t xml:space="preserve"> </w:t>
      </w:r>
      <w:r w:rsidR="00D56B4A">
        <w:t xml:space="preserve">Elgin, </w:t>
      </w:r>
      <w:r>
        <w:t>Exh. No. KLE-7T at</w:t>
      </w:r>
      <w:r w:rsidR="00287949">
        <w:t xml:space="preserve"> 6</w:t>
      </w:r>
      <w:r>
        <w:t>:</w:t>
      </w:r>
      <w:r w:rsidR="00287949">
        <w:t xml:space="preserve">20-23, </w:t>
      </w:r>
      <w:r w:rsidR="003D3309">
        <w:t xml:space="preserve">Morris, Exh. No. </w:t>
      </w:r>
      <w:r w:rsidR="00287949">
        <w:t>SLM-1T at 14, Illustration 5.</w:t>
      </w:r>
    </w:p>
  </w:footnote>
  <w:footnote w:id="22">
    <w:p w:rsidR="0032679D" w:rsidRDefault="0032679D">
      <w:pPr>
        <w:pStyle w:val="FootnoteText"/>
      </w:pPr>
      <w:r>
        <w:rPr>
          <w:rStyle w:val="FootnoteReference"/>
        </w:rPr>
        <w:footnoteRef/>
      </w:r>
      <w:r>
        <w:t xml:space="preserve"> E.g., Morris, Exh. No. SLM-1T at 2:5-10; Norwood, Exh. No. KON-7T at 9:20-22.</w:t>
      </w:r>
    </w:p>
  </w:footnote>
  <w:footnote w:id="23">
    <w:p w:rsidR="008F40B8" w:rsidRDefault="008F40B8" w:rsidP="008F40B8">
      <w:pPr>
        <w:pStyle w:val="FootnoteText"/>
      </w:pPr>
      <w:r>
        <w:rPr>
          <w:rStyle w:val="FootnoteReference"/>
        </w:rPr>
        <w:footnoteRef/>
      </w:r>
      <w:r>
        <w:t xml:space="preserve"> Order 15 in Docket UT-040788 and Order 03 in Docket UT-040520 (April 12, 2005) at 9, </w:t>
      </w:r>
      <w:r>
        <w:rPr>
          <w:rFonts w:cs="Times New Roman"/>
        </w:rPr>
        <w:t>¶</w:t>
      </w:r>
      <w:r>
        <w:t xml:space="preserve"> 25.</w:t>
      </w:r>
    </w:p>
  </w:footnote>
  <w:footnote w:id="24">
    <w:p w:rsidR="0032679D" w:rsidRPr="0074276C" w:rsidRDefault="0032679D" w:rsidP="00696E6B">
      <w:pPr>
        <w:pStyle w:val="FootnoteText"/>
      </w:pPr>
      <w:r>
        <w:rPr>
          <w:rStyle w:val="FootnoteReference"/>
        </w:rPr>
        <w:footnoteRef/>
      </w:r>
      <w:r>
        <w:t xml:space="preserve"> </w:t>
      </w:r>
      <w:r>
        <w:rPr>
          <w:rFonts w:cs="Times New Roman"/>
          <w:szCs w:val="24"/>
        </w:rPr>
        <w:t>Public Counsel’s insistence that customers have a right to a full statutory suspension period before a rate can be increased (</w:t>
      </w:r>
      <w:r>
        <w:t xml:space="preserve">Dittmer, Exh. No. JRD-12CT at 5:12 to 6:5; Daeschel, Exh. No. LD-1CT at 6:15 to 7:5) is not only poor public policy, it </w:t>
      </w:r>
      <w:r w:rsidR="00D56B4A">
        <w:t>has no legal basis</w:t>
      </w:r>
      <w:r>
        <w:t>.</w:t>
      </w:r>
      <w:r>
        <w:rPr>
          <w:i/>
        </w:rPr>
        <w:t xml:space="preserve">  State ex rel. Puget Sound Navigation Co. v. Dep’t of Transp., </w:t>
      </w:r>
      <w:r>
        <w:t>33 Wn.2d 448, 482 (1949) (commission has implied power to allow rates into effect subject to refund during suspension period).</w:t>
      </w:r>
    </w:p>
  </w:footnote>
  <w:footnote w:id="25">
    <w:p w:rsidR="0032679D" w:rsidRDefault="0032679D" w:rsidP="0038021F">
      <w:pPr>
        <w:pStyle w:val="FootnoteText"/>
      </w:pPr>
      <w:r>
        <w:rPr>
          <w:rStyle w:val="FootnoteReference"/>
        </w:rPr>
        <w:footnoteRef/>
      </w:r>
      <w:r>
        <w:t xml:space="preserve"> Elgin, TR. 248:16-24</w:t>
      </w:r>
      <w:r w:rsidR="001769AA">
        <w:t>.</w:t>
      </w:r>
      <w:r>
        <w:t xml:space="preserve"> </w:t>
      </w:r>
    </w:p>
  </w:footnote>
  <w:footnote w:id="26">
    <w:p w:rsidR="0032679D" w:rsidRDefault="0032679D">
      <w:pPr>
        <w:pStyle w:val="FootnoteText"/>
      </w:pPr>
      <w:r>
        <w:rPr>
          <w:rStyle w:val="FootnoteReference"/>
        </w:rPr>
        <w:footnoteRef/>
      </w:r>
      <w:r>
        <w:t xml:space="preserve"> Norwood, TR. 236:9-20.</w:t>
      </w:r>
    </w:p>
  </w:footnote>
  <w:footnote w:id="27">
    <w:p w:rsidR="003D3309" w:rsidRDefault="003D3309">
      <w:pPr>
        <w:pStyle w:val="FootnoteText"/>
      </w:pPr>
      <w:r>
        <w:rPr>
          <w:rStyle w:val="FootnoteReference"/>
        </w:rPr>
        <w:footnoteRef/>
      </w:r>
      <w:r>
        <w:t xml:space="preserve"> </w:t>
      </w:r>
      <w:r w:rsidR="000A4829">
        <w:t>Norwood, Exh. No. JT-1T at 21:12-15 and Exh. No. KON-7T at 16:1-23.</w:t>
      </w:r>
    </w:p>
  </w:footnote>
  <w:footnote w:id="28">
    <w:p w:rsidR="008F40B8" w:rsidRDefault="008F40B8">
      <w:pPr>
        <w:pStyle w:val="FootnoteText"/>
      </w:pPr>
      <w:r>
        <w:rPr>
          <w:rStyle w:val="FootnoteReference"/>
        </w:rPr>
        <w:footnoteRef/>
      </w:r>
      <w:r>
        <w:t xml:space="preserve"> </w:t>
      </w:r>
      <w:r w:rsidR="006A2541">
        <w:t>This is a unilateral Company commitment; it is not contained in the Settlement.</w:t>
      </w:r>
    </w:p>
  </w:footnote>
  <w:footnote w:id="29">
    <w:p w:rsidR="0032679D" w:rsidRDefault="0032679D" w:rsidP="007E4DDE">
      <w:pPr>
        <w:pStyle w:val="FootnoteText"/>
      </w:pPr>
      <w:r>
        <w:rPr>
          <w:rStyle w:val="FootnoteReference"/>
        </w:rPr>
        <w:footnoteRef/>
      </w:r>
      <w:r>
        <w:t xml:space="preserve"> Norwood, Exh. No. KON-7T at 23:3 to 24:2.  As Staff explained, the 9.8 percent ROE is fair in light of the Settlement and the Commission’s recent PSE order.  Elgin, Exh. No. KLE-7T at 11:11 to 12:5.  In that testimony, Mr. Elgin acknowledged his own ROE estimate in this case is lower than 9.8 percent.  However, he also notes the Commission has not accepted his analysis in other cases, and he is comfortable with the 9.8 percent figure in the context of this Settlement.  See also Elgin, TR. 255:7-14.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3A80"/>
    <w:multiLevelType w:val="hybridMultilevel"/>
    <w:tmpl w:val="F5A8DFB2"/>
    <w:lvl w:ilvl="0" w:tplc="0C28B88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A8464E"/>
    <w:multiLevelType w:val="hybridMultilevel"/>
    <w:tmpl w:val="DBEE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DA648A"/>
    <w:multiLevelType w:val="hybridMultilevel"/>
    <w:tmpl w:val="A6EEA24E"/>
    <w:lvl w:ilvl="0" w:tplc="0C28B88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9075EF"/>
    <w:multiLevelType w:val="hybridMultilevel"/>
    <w:tmpl w:val="2D5CADC8"/>
    <w:lvl w:ilvl="0" w:tplc="0C28B88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BC"/>
    <w:rsid w:val="00004931"/>
    <w:rsid w:val="00012AB6"/>
    <w:rsid w:val="0001368C"/>
    <w:rsid w:val="000175E9"/>
    <w:rsid w:val="00034D68"/>
    <w:rsid w:val="00061997"/>
    <w:rsid w:val="0008077D"/>
    <w:rsid w:val="000A4829"/>
    <w:rsid w:val="000F0669"/>
    <w:rsid w:val="00151969"/>
    <w:rsid w:val="001769AA"/>
    <w:rsid w:val="001B676D"/>
    <w:rsid w:val="001C153D"/>
    <w:rsid w:val="001E0A3A"/>
    <w:rsid w:val="00237E04"/>
    <w:rsid w:val="00263369"/>
    <w:rsid w:val="00287949"/>
    <w:rsid w:val="002E1421"/>
    <w:rsid w:val="002E7382"/>
    <w:rsid w:val="002F2963"/>
    <w:rsid w:val="002F7245"/>
    <w:rsid w:val="003176FA"/>
    <w:rsid w:val="0032679D"/>
    <w:rsid w:val="00342C6C"/>
    <w:rsid w:val="00347870"/>
    <w:rsid w:val="0038021F"/>
    <w:rsid w:val="00393B92"/>
    <w:rsid w:val="003B5DD4"/>
    <w:rsid w:val="003C0093"/>
    <w:rsid w:val="003C6F9C"/>
    <w:rsid w:val="003D3309"/>
    <w:rsid w:val="004051C9"/>
    <w:rsid w:val="00435842"/>
    <w:rsid w:val="00436947"/>
    <w:rsid w:val="00472EC5"/>
    <w:rsid w:val="004961C2"/>
    <w:rsid w:val="004C1975"/>
    <w:rsid w:val="0050287E"/>
    <w:rsid w:val="00510593"/>
    <w:rsid w:val="005446C1"/>
    <w:rsid w:val="005463FD"/>
    <w:rsid w:val="00582AA0"/>
    <w:rsid w:val="00590C0F"/>
    <w:rsid w:val="00653BEE"/>
    <w:rsid w:val="00657BED"/>
    <w:rsid w:val="00673A6C"/>
    <w:rsid w:val="00683FCE"/>
    <w:rsid w:val="006953CE"/>
    <w:rsid w:val="00696E6B"/>
    <w:rsid w:val="006A2541"/>
    <w:rsid w:val="006F5FD5"/>
    <w:rsid w:val="0070750F"/>
    <w:rsid w:val="00711E8C"/>
    <w:rsid w:val="0074276C"/>
    <w:rsid w:val="0077336C"/>
    <w:rsid w:val="007A3E03"/>
    <w:rsid w:val="007D4746"/>
    <w:rsid w:val="007E4DDE"/>
    <w:rsid w:val="007F0543"/>
    <w:rsid w:val="00801EEF"/>
    <w:rsid w:val="008112D1"/>
    <w:rsid w:val="00864C9B"/>
    <w:rsid w:val="008730A7"/>
    <w:rsid w:val="008F40B8"/>
    <w:rsid w:val="009060BC"/>
    <w:rsid w:val="00914D3D"/>
    <w:rsid w:val="00923D70"/>
    <w:rsid w:val="00926EE0"/>
    <w:rsid w:val="00961C7C"/>
    <w:rsid w:val="00980A1A"/>
    <w:rsid w:val="00991766"/>
    <w:rsid w:val="00996F42"/>
    <w:rsid w:val="009B2FA6"/>
    <w:rsid w:val="00AA0FF3"/>
    <w:rsid w:val="00AA36CD"/>
    <w:rsid w:val="00AB05DD"/>
    <w:rsid w:val="00AB789B"/>
    <w:rsid w:val="00AF07A3"/>
    <w:rsid w:val="00B74343"/>
    <w:rsid w:val="00B76529"/>
    <w:rsid w:val="00B8202E"/>
    <w:rsid w:val="00BB7745"/>
    <w:rsid w:val="00BC0922"/>
    <w:rsid w:val="00BD6C26"/>
    <w:rsid w:val="00C61386"/>
    <w:rsid w:val="00C70A05"/>
    <w:rsid w:val="00CE658E"/>
    <w:rsid w:val="00D56B4A"/>
    <w:rsid w:val="00D808C5"/>
    <w:rsid w:val="00DC05E6"/>
    <w:rsid w:val="00DE3435"/>
    <w:rsid w:val="00DF4041"/>
    <w:rsid w:val="00E34FDB"/>
    <w:rsid w:val="00E40ABB"/>
    <w:rsid w:val="00E504E5"/>
    <w:rsid w:val="00E708B1"/>
    <w:rsid w:val="00E96B67"/>
    <w:rsid w:val="00EB1432"/>
    <w:rsid w:val="00EB4992"/>
    <w:rsid w:val="00EE55BC"/>
    <w:rsid w:val="00F03FB4"/>
    <w:rsid w:val="00F047C3"/>
    <w:rsid w:val="00F67632"/>
    <w:rsid w:val="00F86532"/>
    <w:rsid w:val="00FA3885"/>
    <w:rsid w:val="00FB7D8B"/>
    <w:rsid w:val="00FC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36CD"/>
    <w:rPr>
      <w:sz w:val="20"/>
      <w:szCs w:val="20"/>
    </w:rPr>
  </w:style>
  <w:style w:type="character" w:customStyle="1" w:styleId="FootnoteTextChar">
    <w:name w:val="Footnote Text Char"/>
    <w:basedOn w:val="DefaultParagraphFont"/>
    <w:link w:val="FootnoteText"/>
    <w:uiPriority w:val="99"/>
    <w:semiHidden/>
    <w:rsid w:val="00AA36CD"/>
    <w:rPr>
      <w:sz w:val="20"/>
      <w:szCs w:val="20"/>
    </w:rPr>
  </w:style>
  <w:style w:type="character" w:styleId="FootnoteReference">
    <w:name w:val="footnote reference"/>
    <w:basedOn w:val="DefaultParagraphFont"/>
    <w:uiPriority w:val="99"/>
    <w:semiHidden/>
    <w:unhideWhenUsed/>
    <w:rsid w:val="00AA36CD"/>
    <w:rPr>
      <w:vertAlign w:val="superscript"/>
    </w:rPr>
  </w:style>
  <w:style w:type="paragraph" w:styleId="Header">
    <w:name w:val="header"/>
    <w:basedOn w:val="Normal"/>
    <w:link w:val="HeaderChar"/>
    <w:unhideWhenUsed/>
    <w:rsid w:val="001C153D"/>
    <w:pPr>
      <w:tabs>
        <w:tab w:val="center" w:pos="4680"/>
        <w:tab w:val="right" w:pos="9360"/>
      </w:tabs>
    </w:pPr>
  </w:style>
  <w:style w:type="character" w:customStyle="1" w:styleId="HeaderChar">
    <w:name w:val="Header Char"/>
    <w:basedOn w:val="DefaultParagraphFont"/>
    <w:link w:val="Header"/>
    <w:uiPriority w:val="99"/>
    <w:rsid w:val="001C153D"/>
  </w:style>
  <w:style w:type="paragraph" w:styleId="Footer">
    <w:name w:val="footer"/>
    <w:basedOn w:val="Normal"/>
    <w:link w:val="FooterChar"/>
    <w:uiPriority w:val="99"/>
    <w:unhideWhenUsed/>
    <w:rsid w:val="001C153D"/>
    <w:pPr>
      <w:tabs>
        <w:tab w:val="center" w:pos="4680"/>
        <w:tab w:val="right" w:pos="9360"/>
      </w:tabs>
    </w:pPr>
  </w:style>
  <w:style w:type="character" w:customStyle="1" w:styleId="FooterChar">
    <w:name w:val="Footer Char"/>
    <w:basedOn w:val="DefaultParagraphFont"/>
    <w:link w:val="Footer"/>
    <w:uiPriority w:val="99"/>
    <w:rsid w:val="001C153D"/>
  </w:style>
  <w:style w:type="paragraph" w:styleId="ListParagraph">
    <w:name w:val="List Paragraph"/>
    <w:basedOn w:val="Normal"/>
    <w:uiPriority w:val="34"/>
    <w:qFormat/>
    <w:rsid w:val="00E504E5"/>
    <w:pPr>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7E4DDE"/>
    <w:rPr>
      <w:sz w:val="16"/>
      <w:szCs w:val="16"/>
    </w:rPr>
  </w:style>
  <w:style w:type="paragraph" w:styleId="CommentText">
    <w:name w:val="annotation text"/>
    <w:basedOn w:val="Normal"/>
    <w:link w:val="CommentTextChar"/>
    <w:uiPriority w:val="99"/>
    <w:semiHidden/>
    <w:unhideWhenUsed/>
    <w:rsid w:val="007E4DDE"/>
    <w:rPr>
      <w:sz w:val="20"/>
      <w:szCs w:val="20"/>
    </w:rPr>
  </w:style>
  <w:style w:type="character" w:customStyle="1" w:styleId="CommentTextChar">
    <w:name w:val="Comment Text Char"/>
    <w:basedOn w:val="DefaultParagraphFont"/>
    <w:link w:val="CommentText"/>
    <w:uiPriority w:val="99"/>
    <w:semiHidden/>
    <w:rsid w:val="007E4DDE"/>
    <w:rPr>
      <w:sz w:val="20"/>
      <w:szCs w:val="20"/>
    </w:rPr>
  </w:style>
  <w:style w:type="paragraph" w:styleId="CommentSubject">
    <w:name w:val="annotation subject"/>
    <w:basedOn w:val="CommentText"/>
    <w:next w:val="CommentText"/>
    <w:link w:val="CommentSubjectChar"/>
    <w:uiPriority w:val="99"/>
    <w:semiHidden/>
    <w:unhideWhenUsed/>
    <w:rsid w:val="007E4DDE"/>
    <w:rPr>
      <w:b/>
      <w:bCs/>
    </w:rPr>
  </w:style>
  <w:style w:type="character" w:customStyle="1" w:styleId="CommentSubjectChar">
    <w:name w:val="Comment Subject Char"/>
    <w:basedOn w:val="CommentTextChar"/>
    <w:link w:val="CommentSubject"/>
    <w:uiPriority w:val="99"/>
    <w:semiHidden/>
    <w:rsid w:val="007E4DDE"/>
    <w:rPr>
      <w:b/>
      <w:bCs/>
      <w:sz w:val="20"/>
      <w:szCs w:val="20"/>
    </w:rPr>
  </w:style>
  <w:style w:type="paragraph" w:styleId="BalloonText">
    <w:name w:val="Balloon Text"/>
    <w:basedOn w:val="Normal"/>
    <w:link w:val="BalloonTextChar"/>
    <w:uiPriority w:val="99"/>
    <w:semiHidden/>
    <w:unhideWhenUsed/>
    <w:rsid w:val="007E4DDE"/>
    <w:rPr>
      <w:rFonts w:ascii="Tahoma" w:hAnsi="Tahoma" w:cs="Tahoma"/>
      <w:sz w:val="16"/>
      <w:szCs w:val="16"/>
    </w:rPr>
  </w:style>
  <w:style w:type="character" w:customStyle="1" w:styleId="BalloonTextChar">
    <w:name w:val="Balloon Text Char"/>
    <w:basedOn w:val="DefaultParagraphFont"/>
    <w:link w:val="BalloonText"/>
    <w:uiPriority w:val="99"/>
    <w:semiHidden/>
    <w:rsid w:val="007E4DDE"/>
    <w:rPr>
      <w:rFonts w:ascii="Tahoma" w:hAnsi="Tahoma" w:cs="Tahoma"/>
      <w:sz w:val="16"/>
      <w:szCs w:val="16"/>
    </w:rPr>
  </w:style>
  <w:style w:type="paragraph" w:styleId="BodyTextIndent2">
    <w:name w:val="Body Text Indent 2"/>
    <w:basedOn w:val="Normal"/>
    <w:link w:val="BodyTextIndent2Char"/>
    <w:rsid w:val="00DC05E6"/>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DC05E6"/>
    <w:rPr>
      <w:rFonts w:ascii="Palatino Linotype" w:eastAsia="Times New Roman" w:hAnsi="Palatino Linotyp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36CD"/>
    <w:rPr>
      <w:sz w:val="20"/>
      <w:szCs w:val="20"/>
    </w:rPr>
  </w:style>
  <w:style w:type="character" w:customStyle="1" w:styleId="FootnoteTextChar">
    <w:name w:val="Footnote Text Char"/>
    <w:basedOn w:val="DefaultParagraphFont"/>
    <w:link w:val="FootnoteText"/>
    <w:uiPriority w:val="99"/>
    <w:semiHidden/>
    <w:rsid w:val="00AA36CD"/>
    <w:rPr>
      <w:sz w:val="20"/>
      <w:szCs w:val="20"/>
    </w:rPr>
  </w:style>
  <w:style w:type="character" w:styleId="FootnoteReference">
    <w:name w:val="footnote reference"/>
    <w:basedOn w:val="DefaultParagraphFont"/>
    <w:uiPriority w:val="99"/>
    <w:semiHidden/>
    <w:unhideWhenUsed/>
    <w:rsid w:val="00AA36CD"/>
    <w:rPr>
      <w:vertAlign w:val="superscript"/>
    </w:rPr>
  </w:style>
  <w:style w:type="paragraph" w:styleId="Header">
    <w:name w:val="header"/>
    <w:basedOn w:val="Normal"/>
    <w:link w:val="HeaderChar"/>
    <w:unhideWhenUsed/>
    <w:rsid w:val="001C153D"/>
    <w:pPr>
      <w:tabs>
        <w:tab w:val="center" w:pos="4680"/>
        <w:tab w:val="right" w:pos="9360"/>
      </w:tabs>
    </w:pPr>
  </w:style>
  <w:style w:type="character" w:customStyle="1" w:styleId="HeaderChar">
    <w:name w:val="Header Char"/>
    <w:basedOn w:val="DefaultParagraphFont"/>
    <w:link w:val="Header"/>
    <w:uiPriority w:val="99"/>
    <w:rsid w:val="001C153D"/>
  </w:style>
  <w:style w:type="paragraph" w:styleId="Footer">
    <w:name w:val="footer"/>
    <w:basedOn w:val="Normal"/>
    <w:link w:val="FooterChar"/>
    <w:uiPriority w:val="99"/>
    <w:unhideWhenUsed/>
    <w:rsid w:val="001C153D"/>
    <w:pPr>
      <w:tabs>
        <w:tab w:val="center" w:pos="4680"/>
        <w:tab w:val="right" w:pos="9360"/>
      </w:tabs>
    </w:pPr>
  </w:style>
  <w:style w:type="character" w:customStyle="1" w:styleId="FooterChar">
    <w:name w:val="Footer Char"/>
    <w:basedOn w:val="DefaultParagraphFont"/>
    <w:link w:val="Footer"/>
    <w:uiPriority w:val="99"/>
    <w:rsid w:val="001C153D"/>
  </w:style>
  <w:style w:type="paragraph" w:styleId="ListParagraph">
    <w:name w:val="List Paragraph"/>
    <w:basedOn w:val="Normal"/>
    <w:uiPriority w:val="34"/>
    <w:qFormat/>
    <w:rsid w:val="00E504E5"/>
    <w:pPr>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7E4DDE"/>
    <w:rPr>
      <w:sz w:val="16"/>
      <w:szCs w:val="16"/>
    </w:rPr>
  </w:style>
  <w:style w:type="paragraph" w:styleId="CommentText">
    <w:name w:val="annotation text"/>
    <w:basedOn w:val="Normal"/>
    <w:link w:val="CommentTextChar"/>
    <w:uiPriority w:val="99"/>
    <w:semiHidden/>
    <w:unhideWhenUsed/>
    <w:rsid w:val="007E4DDE"/>
    <w:rPr>
      <w:sz w:val="20"/>
      <w:szCs w:val="20"/>
    </w:rPr>
  </w:style>
  <w:style w:type="character" w:customStyle="1" w:styleId="CommentTextChar">
    <w:name w:val="Comment Text Char"/>
    <w:basedOn w:val="DefaultParagraphFont"/>
    <w:link w:val="CommentText"/>
    <w:uiPriority w:val="99"/>
    <w:semiHidden/>
    <w:rsid w:val="007E4DDE"/>
    <w:rPr>
      <w:sz w:val="20"/>
      <w:szCs w:val="20"/>
    </w:rPr>
  </w:style>
  <w:style w:type="paragraph" w:styleId="CommentSubject">
    <w:name w:val="annotation subject"/>
    <w:basedOn w:val="CommentText"/>
    <w:next w:val="CommentText"/>
    <w:link w:val="CommentSubjectChar"/>
    <w:uiPriority w:val="99"/>
    <w:semiHidden/>
    <w:unhideWhenUsed/>
    <w:rsid w:val="007E4DDE"/>
    <w:rPr>
      <w:b/>
      <w:bCs/>
    </w:rPr>
  </w:style>
  <w:style w:type="character" w:customStyle="1" w:styleId="CommentSubjectChar">
    <w:name w:val="Comment Subject Char"/>
    <w:basedOn w:val="CommentTextChar"/>
    <w:link w:val="CommentSubject"/>
    <w:uiPriority w:val="99"/>
    <w:semiHidden/>
    <w:rsid w:val="007E4DDE"/>
    <w:rPr>
      <w:b/>
      <w:bCs/>
      <w:sz w:val="20"/>
      <w:szCs w:val="20"/>
    </w:rPr>
  </w:style>
  <w:style w:type="paragraph" w:styleId="BalloonText">
    <w:name w:val="Balloon Text"/>
    <w:basedOn w:val="Normal"/>
    <w:link w:val="BalloonTextChar"/>
    <w:uiPriority w:val="99"/>
    <w:semiHidden/>
    <w:unhideWhenUsed/>
    <w:rsid w:val="007E4DDE"/>
    <w:rPr>
      <w:rFonts w:ascii="Tahoma" w:hAnsi="Tahoma" w:cs="Tahoma"/>
      <w:sz w:val="16"/>
      <w:szCs w:val="16"/>
    </w:rPr>
  </w:style>
  <w:style w:type="character" w:customStyle="1" w:styleId="BalloonTextChar">
    <w:name w:val="Balloon Text Char"/>
    <w:basedOn w:val="DefaultParagraphFont"/>
    <w:link w:val="BalloonText"/>
    <w:uiPriority w:val="99"/>
    <w:semiHidden/>
    <w:rsid w:val="007E4DDE"/>
    <w:rPr>
      <w:rFonts w:ascii="Tahoma" w:hAnsi="Tahoma" w:cs="Tahoma"/>
      <w:sz w:val="16"/>
      <w:szCs w:val="16"/>
    </w:rPr>
  </w:style>
  <w:style w:type="paragraph" w:styleId="BodyTextIndent2">
    <w:name w:val="Body Text Indent 2"/>
    <w:basedOn w:val="Normal"/>
    <w:link w:val="BodyTextIndent2Char"/>
    <w:rsid w:val="00DC05E6"/>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DC05E6"/>
    <w:rPr>
      <w:rFonts w:ascii="Palatino Linotype" w:eastAsia="Times New Roman" w:hAnsi="Palatino Linotyp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2012-12-07T08:00:00+00:00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E424D-75B3-419C-8AA9-29F61EB6893A}"/>
</file>

<file path=customXml/itemProps2.xml><?xml version="1.0" encoding="utf-8"?>
<ds:datastoreItem xmlns:ds="http://schemas.openxmlformats.org/officeDocument/2006/customXml" ds:itemID="{82ACABA1-DBED-4FF8-8284-7FD7FA0C61A4}"/>
</file>

<file path=customXml/itemProps3.xml><?xml version="1.0" encoding="utf-8"?>
<ds:datastoreItem xmlns:ds="http://schemas.openxmlformats.org/officeDocument/2006/customXml" ds:itemID="{253A60E3-917C-4B0F-A8F1-EC50A40BD9C8}"/>
</file>

<file path=customXml/itemProps4.xml><?xml version="1.0" encoding="utf-8"?>
<ds:datastoreItem xmlns:ds="http://schemas.openxmlformats.org/officeDocument/2006/customXml" ds:itemID="{EDCA14B9-6793-4A6F-8731-D80568B6C94A}"/>
</file>

<file path=customXml/itemProps5.xml><?xml version="1.0" encoding="utf-8"?>
<ds:datastoreItem xmlns:ds="http://schemas.openxmlformats.org/officeDocument/2006/customXml" ds:itemID="{72A9E369-DCC1-45C8-BA65-1431A6822DB3}"/>
</file>

<file path=docProps/app.xml><?xml version="1.0" encoding="utf-8"?>
<Properties xmlns="http://schemas.openxmlformats.org/officeDocument/2006/extended-properties" xmlns:vt="http://schemas.openxmlformats.org/officeDocument/2006/docPropsVTypes">
  <Template>Normal.dotm</Template>
  <TotalTime>9</TotalTime>
  <Pages>6</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4</cp:revision>
  <cp:lastPrinted>2012-12-07T18:13:00Z</cp:lastPrinted>
  <dcterms:created xsi:type="dcterms:W3CDTF">2012-12-07T18:06:00Z</dcterms:created>
  <dcterms:modified xsi:type="dcterms:W3CDTF">2012-12-07T18:58:00Z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