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AA03" w14:textId="77777777" w:rsidR="00C63797" w:rsidRPr="00DA5DBB" w:rsidRDefault="00C63797" w:rsidP="003D42C5">
      <w:pPr>
        <w:pStyle w:val="BodyText"/>
        <w:spacing w:line="264" w:lineRule="auto"/>
        <w:rPr>
          <w:b/>
          <w:bCs/>
          <w:sz w:val="25"/>
          <w:szCs w:val="25"/>
        </w:rPr>
      </w:pPr>
      <w:bookmarkStart w:id="0" w:name="_GoBack"/>
      <w:bookmarkEnd w:id="0"/>
      <w:r w:rsidRPr="00DA5DBB">
        <w:rPr>
          <w:b/>
          <w:bCs/>
          <w:sz w:val="25"/>
          <w:szCs w:val="25"/>
        </w:rPr>
        <w:t>BEFORE THE WASHINGTON</w:t>
      </w:r>
    </w:p>
    <w:p w14:paraId="71BC13DF" w14:textId="77777777" w:rsidR="00C63797" w:rsidRPr="00DA5DBB" w:rsidRDefault="00C63797" w:rsidP="003D42C5">
      <w:pPr>
        <w:pStyle w:val="BodyText"/>
        <w:spacing w:line="264" w:lineRule="auto"/>
        <w:rPr>
          <w:b/>
          <w:bCs/>
          <w:sz w:val="25"/>
          <w:szCs w:val="25"/>
        </w:rPr>
      </w:pPr>
      <w:r w:rsidRPr="00DA5DBB">
        <w:rPr>
          <w:b/>
          <w:bCs/>
          <w:sz w:val="25"/>
          <w:szCs w:val="25"/>
        </w:rPr>
        <w:t>UTILITIES AND TRANSPORTATION COMMISSION</w:t>
      </w:r>
    </w:p>
    <w:p w14:paraId="313B4887" w14:textId="77777777" w:rsidR="00A42163" w:rsidRDefault="00A42163" w:rsidP="003D42C5">
      <w:pPr>
        <w:spacing w:line="264" w:lineRule="auto"/>
        <w:rPr>
          <w:sz w:val="25"/>
          <w:szCs w:val="25"/>
        </w:rPr>
      </w:pPr>
    </w:p>
    <w:p w14:paraId="59400B33" w14:textId="77777777" w:rsidR="00682321" w:rsidRPr="00DA5DBB" w:rsidRDefault="00682321" w:rsidP="003D42C5">
      <w:pPr>
        <w:spacing w:line="264" w:lineRule="auto"/>
        <w:rPr>
          <w:sz w:val="25"/>
          <w:szCs w:val="25"/>
        </w:rPr>
      </w:pPr>
    </w:p>
    <w:tbl>
      <w:tblPr>
        <w:tblW w:w="0" w:type="auto"/>
        <w:tblLook w:val="0000" w:firstRow="0" w:lastRow="0" w:firstColumn="0" w:lastColumn="0" w:noHBand="0" w:noVBand="0"/>
      </w:tblPr>
      <w:tblGrid>
        <w:gridCol w:w="4209"/>
        <w:gridCol w:w="356"/>
        <w:gridCol w:w="4075"/>
      </w:tblGrid>
      <w:tr w:rsidR="0034257A" w:rsidRPr="00CB7F45" w14:paraId="6E28D789" w14:textId="77777777" w:rsidTr="00F52154">
        <w:tc>
          <w:tcPr>
            <w:tcW w:w="4209" w:type="dxa"/>
          </w:tcPr>
          <w:p w14:paraId="4A5A23A1" w14:textId="77777777" w:rsidR="0034257A" w:rsidRDefault="0034257A" w:rsidP="003D42C5">
            <w:pPr>
              <w:tabs>
                <w:tab w:val="left" w:pos="2160"/>
              </w:tabs>
              <w:spacing w:line="264" w:lineRule="auto"/>
              <w:rPr>
                <w:bCs/>
                <w:sz w:val="25"/>
                <w:szCs w:val="25"/>
              </w:rPr>
            </w:pPr>
            <w:r>
              <w:rPr>
                <w:bCs/>
                <w:sz w:val="25"/>
                <w:szCs w:val="25"/>
              </w:rPr>
              <w:t>WASHINGTON UTILITIES AND TRANSPORTATION COMMISSION,</w:t>
            </w:r>
          </w:p>
          <w:p w14:paraId="7F15C75A" w14:textId="77777777" w:rsidR="0034257A" w:rsidRDefault="0034257A" w:rsidP="003D42C5">
            <w:pPr>
              <w:tabs>
                <w:tab w:val="left" w:pos="2160"/>
              </w:tabs>
              <w:spacing w:line="264" w:lineRule="auto"/>
              <w:rPr>
                <w:bCs/>
                <w:sz w:val="25"/>
                <w:szCs w:val="25"/>
              </w:rPr>
            </w:pPr>
          </w:p>
          <w:p w14:paraId="018DCF2B" w14:textId="77777777" w:rsidR="0034257A" w:rsidRDefault="0034257A" w:rsidP="003D42C5">
            <w:pPr>
              <w:tabs>
                <w:tab w:val="left" w:pos="2160"/>
              </w:tabs>
              <w:spacing w:line="264" w:lineRule="auto"/>
              <w:rPr>
                <w:bCs/>
                <w:sz w:val="25"/>
                <w:szCs w:val="25"/>
              </w:rPr>
            </w:pPr>
            <w:r>
              <w:rPr>
                <w:b/>
                <w:bCs/>
                <w:sz w:val="25"/>
                <w:szCs w:val="25"/>
              </w:rPr>
              <w:tab/>
            </w:r>
            <w:r w:rsidRPr="009C7F90">
              <w:rPr>
                <w:bCs/>
                <w:sz w:val="25"/>
                <w:szCs w:val="25"/>
              </w:rPr>
              <w:t>Complainant,</w:t>
            </w:r>
          </w:p>
          <w:p w14:paraId="385167AF" w14:textId="77777777" w:rsidR="0034257A" w:rsidRDefault="0034257A" w:rsidP="003D42C5">
            <w:pPr>
              <w:tabs>
                <w:tab w:val="left" w:pos="2160"/>
              </w:tabs>
              <w:spacing w:line="264" w:lineRule="auto"/>
              <w:rPr>
                <w:bCs/>
                <w:sz w:val="25"/>
                <w:szCs w:val="25"/>
              </w:rPr>
            </w:pPr>
          </w:p>
          <w:p w14:paraId="26036DDB" w14:textId="77777777" w:rsidR="0034257A" w:rsidRDefault="0034257A" w:rsidP="003D42C5">
            <w:pPr>
              <w:tabs>
                <w:tab w:val="left" w:pos="2160"/>
              </w:tabs>
              <w:spacing w:line="264" w:lineRule="auto"/>
              <w:rPr>
                <w:bCs/>
                <w:sz w:val="25"/>
                <w:szCs w:val="25"/>
              </w:rPr>
            </w:pPr>
            <w:r>
              <w:rPr>
                <w:bCs/>
                <w:sz w:val="25"/>
                <w:szCs w:val="25"/>
              </w:rPr>
              <w:t>v.</w:t>
            </w:r>
          </w:p>
          <w:p w14:paraId="6C9A4239" w14:textId="77777777" w:rsidR="0034257A" w:rsidRDefault="0034257A" w:rsidP="003D42C5">
            <w:pPr>
              <w:tabs>
                <w:tab w:val="left" w:pos="2160"/>
              </w:tabs>
              <w:spacing w:line="264" w:lineRule="auto"/>
              <w:rPr>
                <w:bCs/>
                <w:sz w:val="25"/>
                <w:szCs w:val="25"/>
              </w:rPr>
            </w:pPr>
          </w:p>
          <w:p w14:paraId="74EB7279" w14:textId="77777777" w:rsidR="0034257A" w:rsidRDefault="0034257A" w:rsidP="003D42C5">
            <w:pPr>
              <w:tabs>
                <w:tab w:val="left" w:pos="2160"/>
              </w:tabs>
              <w:spacing w:line="264" w:lineRule="auto"/>
              <w:rPr>
                <w:bCs/>
                <w:sz w:val="25"/>
                <w:szCs w:val="25"/>
              </w:rPr>
            </w:pPr>
            <w:r>
              <w:rPr>
                <w:bCs/>
                <w:sz w:val="25"/>
                <w:szCs w:val="25"/>
              </w:rPr>
              <w:t>AVISTA CORPORATION d/b/a AVISTA UTILITIES,</w:t>
            </w:r>
          </w:p>
          <w:p w14:paraId="07939036" w14:textId="77777777" w:rsidR="0034257A" w:rsidRDefault="0034257A" w:rsidP="003D42C5">
            <w:pPr>
              <w:tabs>
                <w:tab w:val="left" w:pos="2160"/>
              </w:tabs>
              <w:spacing w:line="264" w:lineRule="auto"/>
              <w:rPr>
                <w:bCs/>
                <w:sz w:val="25"/>
                <w:szCs w:val="25"/>
              </w:rPr>
            </w:pPr>
          </w:p>
          <w:p w14:paraId="43100BA8" w14:textId="77777777" w:rsidR="0034257A" w:rsidRDefault="0034257A" w:rsidP="003D42C5">
            <w:pPr>
              <w:tabs>
                <w:tab w:val="left" w:pos="2160"/>
              </w:tabs>
              <w:spacing w:line="264" w:lineRule="auto"/>
              <w:rPr>
                <w:bCs/>
                <w:sz w:val="25"/>
                <w:szCs w:val="25"/>
              </w:rPr>
            </w:pPr>
            <w:r>
              <w:rPr>
                <w:bCs/>
                <w:sz w:val="25"/>
                <w:szCs w:val="25"/>
              </w:rPr>
              <w:tab/>
              <w:t>Respondent.</w:t>
            </w:r>
          </w:p>
          <w:p w14:paraId="2AAA104C" w14:textId="77777777" w:rsidR="00682321" w:rsidRDefault="00682321" w:rsidP="003D42C5">
            <w:pPr>
              <w:tabs>
                <w:tab w:val="left" w:pos="2160"/>
              </w:tabs>
              <w:spacing w:line="264" w:lineRule="auto"/>
              <w:rPr>
                <w:bCs/>
                <w:sz w:val="25"/>
                <w:szCs w:val="25"/>
              </w:rPr>
            </w:pPr>
          </w:p>
          <w:p w14:paraId="599C1408" w14:textId="77777777" w:rsidR="0034257A" w:rsidRPr="00CB7F45" w:rsidRDefault="0034257A" w:rsidP="003D42C5">
            <w:pPr>
              <w:tabs>
                <w:tab w:val="left" w:pos="2160"/>
              </w:tabs>
              <w:spacing w:line="264" w:lineRule="auto"/>
              <w:rPr>
                <w:sz w:val="25"/>
                <w:szCs w:val="25"/>
              </w:rPr>
            </w:pPr>
            <w:r w:rsidRPr="00CB7F45">
              <w:rPr>
                <w:sz w:val="25"/>
                <w:szCs w:val="25"/>
              </w:rPr>
              <w:t xml:space="preserve">. . . . . . . . . . . . . . . . . . . . . . . . . . . . . . . . </w:t>
            </w:r>
          </w:p>
        </w:tc>
        <w:tc>
          <w:tcPr>
            <w:tcW w:w="356" w:type="dxa"/>
          </w:tcPr>
          <w:p w14:paraId="53B9553D" w14:textId="77777777" w:rsidR="0034257A" w:rsidRPr="00CB7F45" w:rsidRDefault="0034257A" w:rsidP="003D42C5">
            <w:pPr>
              <w:spacing w:line="264" w:lineRule="auto"/>
              <w:rPr>
                <w:sz w:val="25"/>
                <w:szCs w:val="25"/>
              </w:rPr>
            </w:pPr>
            <w:r w:rsidRPr="00CB7F45">
              <w:rPr>
                <w:sz w:val="25"/>
                <w:szCs w:val="25"/>
              </w:rPr>
              <w:t>)</w:t>
            </w:r>
          </w:p>
          <w:p w14:paraId="0807F94E" w14:textId="77777777" w:rsidR="0034257A" w:rsidRPr="00CB7F45" w:rsidRDefault="0034257A" w:rsidP="003D42C5">
            <w:pPr>
              <w:spacing w:line="264" w:lineRule="auto"/>
              <w:rPr>
                <w:sz w:val="25"/>
                <w:szCs w:val="25"/>
              </w:rPr>
            </w:pPr>
            <w:r w:rsidRPr="00CB7F45">
              <w:rPr>
                <w:sz w:val="25"/>
                <w:szCs w:val="25"/>
              </w:rPr>
              <w:t>)</w:t>
            </w:r>
          </w:p>
          <w:p w14:paraId="34F3C748" w14:textId="77777777" w:rsidR="0034257A" w:rsidRPr="00CB7F45" w:rsidRDefault="0034257A" w:rsidP="003D42C5">
            <w:pPr>
              <w:spacing w:line="264" w:lineRule="auto"/>
              <w:rPr>
                <w:sz w:val="25"/>
                <w:szCs w:val="25"/>
              </w:rPr>
            </w:pPr>
            <w:r w:rsidRPr="00CB7F45">
              <w:rPr>
                <w:sz w:val="25"/>
                <w:szCs w:val="25"/>
              </w:rPr>
              <w:t>)</w:t>
            </w:r>
          </w:p>
          <w:p w14:paraId="0730D380" w14:textId="77777777" w:rsidR="0034257A" w:rsidRPr="00CB7F45" w:rsidRDefault="0034257A" w:rsidP="003D42C5">
            <w:pPr>
              <w:spacing w:line="264" w:lineRule="auto"/>
              <w:rPr>
                <w:sz w:val="25"/>
                <w:szCs w:val="25"/>
              </w:rPr>
            </w:pPr>
            <w:r w:rsidRPr="00CB7F45">
              <w:rPr>
                <w:sz w:val="25"/>
                <w:szCs w:val="25"/>
              </w:rPr>
              <w:t>)</w:t>
            </w:r>
          </w:p>
          <w:p w14:paraId="772E8DC5" w14:textId="77777777" w:rsidR="0034257A" w:rsidRPr="00CB7F45" w:rsidRDefault="0034257A" w:rsidP="003D42C5">
            <w:pPr>
              <w:spacing w:line="264" w:lineRule="auto"/>
              <w:rPr>
                <w:sz w:val="25"/>
                <w:szCs w:val="25"/>
              </w:rPr>
            </w:pPr>
            <w:r w:rsidRPr="00CB7F45">
              <w:rPr>
                <w:sz w:val="25"/>
                <w:szCs w:val="25"/>
              </w:rPr>
              <w:t>)</w:t>
            </w:r>
          </w:p>
          <w:p w14:paraId="5001A837" w14:textId="77777777" w:rsidR="0034257A" w:rsidRPr="00CB7F45" w:rsidRDefault="0034257A" w:rsidP="003D42C5">
            <w:pPr>
              <w:spacing w:line="264" w:lineRule="auto"/>
              <w:rPr>
                <w:sz w:val="25"/>
                <w:szCs w:val="25"/>
              </w:rPr>
            </w:pPr>
            <w:r w:rsidRPr="00CB7F45">
              <w:rPr>
                <w:sz w:val="25"/>
                <w:szCs w:val="25"/>
              </w:rPr>
              <w:t>)</w:t>
            </w:r>
          </w:p>
          <w:p w14:paraId="6A9F2450" w14:textId="77777777" w:rsidR="0034257A" w:rsidRPr="00CB7F45" w:rsidRDefault="0034257A" w:rsidP="003D42C5">
            <w:pPr>
              <w:spacing w:line="264" w:lineRule="auto"/>
              <w:rPr>
                <w:sz w:val="25"/>
                <w:szCs w:val="25"/>
              </w:rPr>
            </w:pPr>
            <w:r w:rsidRPr="00CB7F45">
              <w:rPr>
                <w:sz w:val="25"/>
                <w:szCs w:val="25"/>
              </w:rPr>
              <w:t>)</w:t>
            </w:r>
          </w:p>
          <w:p w14:paraId="76410533" w14:textId="77777777" w:rsidR="0034257A" w:rsidRPr="00CB7F45" w:rsidRDefault="0034257A" w:rsidP="003D42C5">
            <w:pPr>
              <w:spacing w:line="264" w:lineRule="auto"/>
              <w:rPr>
                <w:sz w:val="25"/>
                <w:szCs w:val="25"/>
              </w:rPr>
            </w:pPr>
            <w:r w:rsidRPr="00CB7F45">
              <w:rPr>
                <w:sz w:val="25"/>
                <w:szCs w:val="25"/>
              </w:rPr>
              <w:t>)</w:t>
            </w:r>
          </w:p>
          <w:p w14:paraId="37716433" w14:textId="77777777" w:rsidR="0034257A" w:rsidRPr="00CB7F45" w:rsidRDefault="0034257A" w:rsidP="003D42C5">
            <w:pPr>
              <w:spacing w:line="264" w:lineRule="auto"/>
              <w:rPr>
                <w:sz w:val="25"/>
                <w:szCs w:val="25"/>
              </w:rPr>
            </w:pPr>
            <w:r w:rsidRPr="00CB7F45">
              <w:rPr>
                <w:sz w:val="25"/>
                <w:szCs w:val="25"/>
              </w:rPr>
              <w:t>)</w:t>
            </w:r>
          </w:p>
          <w:p w14:paraId="141DB6F2" w14:textId="77777777" w:rsidR="0034257A" w:rsidRDefault="0034257A" w:rsidP="003D42C5">
            <w:pPr>
              <w:spacing w:line="264" w:lineRule="auto"/>
              <w:rPr>
                <w:sz w:val="25"/>
                <w:szCs w:val="25"/>
              </w:rPr>
            </w:pPr>
            <w:r w:rsidRPr="00CB7F45">
              <w:rPr>
                <w:sz w:val="25"/>
                <w:szCs w:val="25"/>
              </w:rPr>
              <w:t>)</w:t>
            </w:r>
          </w:p>
          <w:p w14:paraId="53002127" w14:textId="77777777" w:rsidR="0034257A" w:rsidRDefault="0034257A" w:rsidP="003D42C5">
            <w:pPr>
              <w:spacing w:line="264" w:lineRule="auto"/>
              <w:rPr>
                <w:sz w:val="25"/>
                <w:szCs w:val="25"/>
              </w:rPr>
            </w:pPr>
            <w:r>
              <w:rPr>
                <w:sz w:val="25"/>
                <w:szCs w:val="25"/>
              </w:rPr>
              <w:t>)</w:t>
            </w:r>
          </w:p>
          <w:p w14:paraId="003E4DE4" w14:textId="77777777" w:rsidR="0034257A" w:rsidRDefault="0034257A" w:rsidP="003D42C5">
            <w:pPr>
              <w:spacing w:line="264" w:lineRule="auto"/>
              <w:rPr>
                <w:sz w:val="25"/>
                <w:szCs w:val="25"/>
              </w:rPr>
            </w:pPr>
            <w:r>
              <w:rPr>
                <w:sz w:val="25"/>
                <w:szCs w:val="25"/>
              </w:rPr>
              <w:t>)</w:t>
            </w:r>
          </w:p>
          <w:p w14:paraId="4704BAB2" w14:textId="713ECC96" w:rsidR="00C01D48" w:rsidRPr="00CB7F45" w:rsidRDefault="00C01D48" w:rsidP="003D42C5">
            <w:pPr>
              <w:spacing w:line="264" w:lineRule="auto"/>
              <w:rPr>
                <w:sz w:val="25"/>
                <w:szCs w:val="25"/>
              </w:rPr>
            </w:pPr>
            <w:r>
              <w:rPr>
                <w:sz w:val="25"/>
                <w:szCs w:val="25"/>
              </w:rPr>
              <w:t>)</w:t>
            </w:r>
          </w:p>
        </w:tc>
        <w:tc>
          <w:tcPr>
            <w:tcW w:w="4075" w:type="dxa"/>
          </w:tcPr>
          <w:p w14:paraId="1B7B1D3A" w14:textId="77777777" w:rsidR="0034257A" w:rsidRDefault="0034257A" w:rsidP="003D42C5">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w:t>
            </w:r>
            <w:r w:rsidR="0094621D">
              <w:rPr>
                <w:sz w:val="25"/>
                <w:szCs w:val="25"/>
              </w:rPr>
              <w:t>40188</w:t>
            </w:r>
            <w:r>
              <w:rPr>
                <w:sz w:val="25"/>
                <w:szCs w:val="25"/>
              </w:rPr>
              <w:t xml:space="preserve"> and             UG-1</w:t>
            </w:r>
            <w:r w:rsidR="0094621D">
              <w:rPr>
                <w:sz w:val="25"/>
                <w:szCs w:val="25"/>
              </w:rPr>
              <w:t>40189</w:t>
            </w:r>
            <w:r>
              <w:rPr>
                <w:sz w:val="25"/>
                <w:szCs w:val="25"/>
              </w:rPr>
              <w:t xml:space="preserve"> (</w:t>
            </w:r>
            <w:r>
              <w:rPr>
                <w:i/>
                <w:sz w:val="25"/>
                <w:szCs w:val="25"/>
              </w:rPr>
              <w:t>Consolidated)</w:t>
            </w:r>
          </w:p>
          <w:p w14:paraId="5D1CF663" w14:textId="77777777" w:rsidR="0034257A" w:rsidRPr="00CB7F45" w:rsidRDefault="0034257A" w:rsidP="003D42C5">
            <w:pPr>
              <w:spacing w:line="264" w:lineRule="auto"/>
              <w:rPr>
                <w:sz w:val="25"/>
                <w:szCs w:val="25"/>
              </w:rPr>
            </w:pPr>
          </w:p>
          <w:p w14:paraId="3B251645" w14:textId="77777777" w:rsidR="0034257A" w:rsidRPr="001275DD" w:rsidRDefault="0034257A" w:rsidP="003D42C5">
            <w:pPr>
              <w:pStyle w:val="Header"/>
              <w:tabs>
                <w:tab w:val="clear" w:pos="4320"/>
                <w:tab w:val="clear" w:pos="8640"/>
              </w:tabs>
              <w:spacing w:line="264" w:lineRule="auto"/>
              <w:rPr>
                <w:sz w:val="25"/>
                <w:szCs w:val="25"/>
              </w:rPr>
            </w:pPr>
            <w:r w:rsidRPr="001275DD">
              <w:rPr>
                <w:sz w:val="25"/>
                <w:szCs w:val="25"/>
              </w:rPr>
              <w:t>ORDER 0</w:t>
            </w:r>
            <w:r w:rsidR="00EB7F38">
              <w:rPr>
                <w:sz w:val="25"/>
                <w:szCs w:val="25"/>
              </w:rPr>
              <w:t>5</w:t>
            </w:r>
          </w:p>
          <w:p w14:paraId="18D43AE6" w14:textId="77777777" w:rsidR="0034257A" w:rsidRDefault="0034257A" w:rsidP="003D42C5">
            <w:pPr>
              <w:spacing w:line="264" w:lineRule="auto"/>
              <w:rPr>
                <w:sz w:val="25"/>
                <w:szCs w:val="25"/>
              </w:rPr>
            </w:pPr>
          </w:p>
          <w:p w14:paraId="20E43743" w14:textId="77777777" w:rsidR="0034257A" w:rsidRPr="00CB7F45" w:rsidRDefault="00F16FD3" w:rsidP="003D42C5">
            <w:pPr>
              <w:spacing w:line="264" w:lineRule="auto"/>
              <w:rPr>
                <w:sz w:val="25"/>
                <w:szCs w:val="25"/>
              </w:rPr>
            </w:pPr>
            <w:r>
              <w:rPr>
                <w:sz w:val="25"/>
                <w:szCs w:val="25"/>
              </w:rPr>
              <w:t>FINAL ORDER REJECTING TARIFF FILING, ACCEPTING WITH CONDITIONS FULL SETTLEMENT STIPULATION, AUTHORIZING TARIFF FILING, AND REQUIRING COMPLIANCE FILING</w:t>
            </w:r>
          </w:p>
        </w:tc>
      </w:tr>
    </w:tbl>
    <w:p w14:paraId="79F48D24" w14:textId="77777777" w:rsidR="007448F5" w:rsidRDefault="007448F5" w:rsidP="007448F5">
      <w:pPr>
        <w:spacing w:line="264" w:lineRule="auto"/>
        <w:rPr>
          <w:b/>
          <w:i/>
          <w:sz w:val="25"/>
          <w:szCs w:val="25"/>
        </w:rPr>
      </w:pPr>
    </w:p>
    <w:p w14:paraId="08FA8A55" w14:textId="77777777" w:rsidR="00682321" w:rsidRDefault="00682321" w:rsidP="007448F5">
      <w:pPr>
        <w:spacing w:line="264" w:lineRule="auto"/>
        <w:rPr>
          <w:b/>
          <w:i/>
          <w:sz w:val="25"/>
          <w:szCs w:val="25"/>
        </w:rPr>
      </w:pPr>
    </w:p>
    <w:p w14:paraId="35D792D1" w14:textId="27F1B756" w:rsidR="00C34242" w:rsidRDefault="00A240F5" w:rsidP="00682321">
      <w:pPr>
        <w:spacing w:line="264" w:lineRule="auto"/>
        <w:rPr>
          <w:i/>
          <w:sz w:val="25"/>
          <w:szCs w:val="25"/>
        </w:rPr>
      </w:pPr>
      <w:r w:rsidRPr="00967F42">
        <w:rPr>
          <w:b/>
          <w:i/>
          <w:sz w:val="25"/>
          <w:szCs w:val="25"/>
        </w:rPr>
        <w:t>Synopsis:</w:t>
      </w:r>
      <w:r w:rsidRPr="00967F42">
        <w:rPr>
          <w:i/>
          <w:sz w:val="25"/>
          <w:szCs w:val="25"/>
        </w:rPr>
        <w:t xml:space="preserve">  The Commission </w:t>
      </w:r>
      <w:r>
        <w:rPr>
          <w:i/>
          <w:sz w:val="25"/>
          <w:szCs w:val="25"/>
        </w:rPr>
        <w:t xml:space="preserve">rejects </w:t>
      </w:r>
      <w:r w:rsidR="003A283E">
        <w:rPr>
          <w:i/>
          <w:sz w:val="25"/>
          <w:szCs w:val="25"/>
        </w:rPr>
        <w:t xml:space="preserve">the </w:t>
      </w:r>
      <w:r>
        <w:rPr>
          <w:i/>
          <w:sz w:val="25"/>
          <w:szCs w:val="25"/>
        </w:rPr>
        <w:t>tariff sheets Avista Corporation d/b/a Avista Utilities (Avista or Company) filed on February 4, 2014, by which the Company requested to increase electric base rates by $18.2 million</w:t>
      </w:r>
      <w:r w:rsidR="003A283E">
        <w:rPr>
          <w:i/>
          <w:sz w:val="25"/>
          <w:szCs w:val="25"/>
        </w:rPr>
        <w:t>,</w:t>
      </w:r>
      <w:r>
        <w:rPr>
          <w:i/>
          <w:sz w:val="25"/>
          <w:szCs w:val="25"/>
        </w:rPr>
        <w:t xml:space="preserve"> or 3.8 percent</w:t>
      </w:r>
      <w:r w:rsidR="003A283E">
        <w:rPr>
          <w:i/>
          <w:sz w:val="25"/>
          <w:szCs w:val="25"/>
        </w:rPr>
        <w:t>,</w:t>
      </w:r>
      <w:r>
        <w:rPr>
          <w:i/>
          <w:sz w:val="25"/>
          <w:szCs w:val="25"/>
        </w:rPr>
        <w:t xml:space="preserve"> and natural gas base rates by $12.2 </w:t>
      </w:r>
      <w:r w:rsidR="003A283E">
        <w:rPr>
          <w:i/>
          <w:sz w:val="25"/>
          <w:szCs w:val="25"/>
        </w:rPr>
        <w:t xml:space="preserve">million, </w:t>
      </w:r>
      <w:r>
        <w:rPr>
          <w:i/>
          <w:sz w:val="25"/>
          <w:szCs w:val="25"/>
        </w:rPr>
        <w:t>or 8.1 percent.  Instead, the Commission approves</w:t>
      </w:r>
      <w:r w:rsidR="00BD77D9">
        <w:rPr>
          <w:i/>
          <w:sz w:val="25"/>
          <w:szCs w:val="25"/>
        </w:rPr>
        <w:t>, with conditions a settlement filed by Avista, Commission Staff, Public Counsel, ICNU, NWIGU, and The Energy Project on August 18, 2014, and as amended on September 8, 2014.</w:t>
      </w:r>
    </w:p>
    <w:p w14:paraId="2A2835C4" w14:textId="77777777" w:rsidR="00C34242" w:rsidRDefault="00C34242" w:rsidP="007448F5">
      <w:pPr>
        <w:spacing w:line="264" w:lineRule="auto"/>
        <w:rPr>
          <w:i/>
          <w:sz w:val="25"/>
          <w:szCs w:val="25"/>
        </w:rPr>
      </w:pPr>
    </w:p>
    <w:p w14:paraId="63A371E0" w14:textId="3377E143" w:rsidR="00431795" w:rsidRDefault="00C34242" w:rsidP="007448F5">
      <w:pPr>
        <w:spacing w:line="264" w:lineRule="auto"/>
        <w:rPr>
          <w:i/>
          <w:sz w:val="25"/>
          <w:szCs w:val="25"/>
        </w:rPr>
      </w:pPr>
      <w:r>
        <w:rPr>
          <w:i/>
          <w:sz w:val="25"/>
          <w:szCs w:val="25"/>
        </w:rPr>
        <w:t xml:space="preserve">We approve the agreed upon </w:t>
      </w:r>
      <w:r w:rsidR="00A240F5">
        <w:rPr>
          <w:i/>
          <w:sz w:val="25"/>
          <w:szCs w:val="25"/>
        </w:rPr>
        <w:t>increase in electric revenues by approximately $4 million or 0.8 percent,</w:t>
      </w:r>
      <w:r w:rsidR="00233BC1">
        <w:rPr>
          <w:i/>
          <w:sz w:val="25"/>
          <w:szCs w:val="25"/>
        </w:rPr>
        <w:t xml:space="preserve"> which</w:t>
      </w:r>
      <w:r w:rsidR="00A240F5">
        <w:rPr>
          <w:i/>
          <w:sz w:val="25"/>
          <w:szCs w:val="25"/>
        </w:rPr>
        <w:t xml:space="preserve"> includ</w:t>
      </w:r>
      <w:r w:rsidR="00233BC1">
        <w:rPr>
          <w:i/>
          <w:sz w:val="25"/>
          <w:szCs w:val="25"/>
        </w:rPr>
        <w:t xml:space="preserve">es </w:t>
      </w:r>
      <w:r w:rsidR="004F0691">
        <w:rPr>
          <w:i/>
          <w:sz w:val="25"/>
          <w:szCs w:val="25"/>
        </w:rPr>
        <w:t xml:space="preserve">the impact of </w:t>
      </w:r>
      <w:r w:rsidR="00233BC1">
        <w:rPr>
          <w:i/>
          <w:sz w:val="25"/>
          <w:szCs w:val="25"/>
        </w:rPr>
        <w:t>a</w:t>
      </w:r>
      <w:r w:rsidR="00A240F5">
        <w:rPr>
          <w:i/>
          <w:sz w:val="25"/>
          <w:szCs w:val="25"/>
        </w:rPr>
        <w:t xml:space="preserve"> $3 million credit from the existing Energy Recovery Mechanism (ERM) deferral balance.  In addition, the Commission approves </w:t>
      </w:r>
      <w:r w:rsidR="00F26281">
        <w:rPr>
          <w:i/>
          <w:sz w:val="25"/>
          <w:szCs w:val="25"/>
        </w:rPr>
        <w:t xml:space="preserve">an </w:t>
      </w:r>
      <w:r w:rsidR="00A240F5">
        <w:rPr>
          <w:i/>
          <w:sz w:val="25"/>
          <w:szCs w:val="25"/>
        </w:rPr>
        <w:t xml:space="preserve">electric </w:t>
      </w:r>
      <w:r w:rsidR="00233BC1">
        <w:rPr>
          <w:i/>
          <w:sz w:val="25"/>
          <w:szCs w:val="25"/>
        </w:rPr>
        <w:t xml:space="preserve">low income rate assistance program </w:t>
      </w:r>
      <w:r w:rsidR="00303B31">
        <w:rPr>
          <w:i/>
          <w:sz w:val="25"/>
          <w:szCs w:val="25"/>
        </w:rPr>
        <w:t>(</w:t>
      </w:r>
      <w:r w:rsidR="00A240F5">
        <w:rPr>
          <w:i/>
          <w:sz w:val="25"/>
          <w:szCs w:val="25"/>
        </w:rPr>
        <w:t>LIRAP</w:t>
      </w:r>
      <w:r w:rsidR="00303B31">
        <w:rPr>
          <w:i/>
          <w:sz w:val="25"/>
          <w:szCs w:val="25"/>
        </w:rPr>
        <w:t>)</w:t>
      </w:r>
      <w:r w:rsidR="00A240F5">
        <w:rPr>
          <w:i/>
          <w:sz w:val="25"/>
          <w:szCs w:val="25"/>
        </w:rPr>
        <w:t xml:space="preserve"> funding increase of $0.4 million. To partially offset the </w:t>
      </w:r>
      <w:r w:rsidR="00233BC1">
        <w:rPr>
          <w:i/>
          <w:sz w:val="25"/>
          <w:szCs w:val="25"/>
        </w:rPr>
        <w:t xml:space="preserve">rate impact of the </w:t>
      </w:r>
      <w:r w:rsidR="00A240F5">
        <w:rPr>
          <w:i/>
          <w:sz w:val="25"/>
          <w:szCs w:val="25"/>
        </w:rPr>
        <w:t xml:space="preserve">expiration of the current </w:t>
      </w:r>
      <w:r w:rsidR="00AF403C">
        <w:rPr>
          <w:i/>
          <w:sz w:val="25"/>
          <w:szCs w:val="25"/>
        </w:rPr>
        <w:t xml:space="preserve">period’s </w:t>
      </w:r>
      <w:r w:rsidR="00A240F5">
        <w:rPr>
          <w:i/>
          <w:sz w:val="25"/>
          <w:szCs w:val="25"/>
        </w:rPr>
        <w:t xml:space="preserve">ERM </w:t>
      </w:r>
      <w:r w:rsidR="00AF403C">
        <w:rPr>
          <w:i/>
          <w:sz w:val="25"/>
          <w:szCs w:val="25"/>
        </w:rPr>
        <w:t xml:space="preserve">credit </w:t>
      </w:r>
      <w:r w:rsidR="00A240F5">
        <w:rPr>
          <w:i/>
          <w:sz w:val="25"/>
          <w:szCs w:val="25"/>
        </w:rPr>
        <w:t xml:space="preserve">and Bonneville Power Administration </w:t>
      </w:r>
      <w:r w:rsidR="00957541" w:rsidRPr="00957541">
        <w:rPr>
          <w:i/>
          <w:sz w:val="25"/>
          <w:szCs w:val="25"/>
        </w:rPr>
        <w:t xml:space="preserve">transmission </w:t>
      </w:r>
      <w:r w:rsidR="00A240F5">
        <w:rPr>
          <w:i/>
          <w:sz w:val="25"/>
          <w:szCs w:val="25"/>
        </w:rPr>
        <w:t xml:space="preserve">credits </w:t>
      </w:r>
      <w:r w:rsidR="00AF403C">
        <w:rPr>
          <w:i/>
          <w:sz w:val="25"/>
          <w:szCs w:val="25"/>
        </w:rPr>
        <w:t>total</w:t>
      </w:r>
      <w:r w:rsidR="00957541">
        <w:rPr>
          <w:i/>
          <w:sz w:val="25"/>
          <w:szCs w:val="25"/>
        </w:rPr>
        <w:t>ing</w:t>
      </w:r>
      <w:r w:rsidR="00A240F5">
        <w:rPr>
          <w:i/>
          <w:sz w:val="25"/>
          <w:szCs w:val="25"/>
        </w:rPr>
        <w:t xml:space="preserve"> approximately $13.</w:t>
      </w:r>
      <w:r w:rsidR="00E33972">
        <w:rPr>
          <w:i/>
          <w:sz w:val="25"/>
          <w:szCs w:val="25"/>
        </w:rPr>
        <w:t>7</w:t>
      </w:r>
      <w:r w:rsidR="00A240F5">
        <w:rPr>
          <w:i/>
          <w:sz w:val="25"/>
          <w:szCs w:val="25"/>
        </w:rPr>
        <w:t xml:space="preserve"> million, the Commission approves </w:t>
      </w:r>
      <w:r>
        <w:rPr>
          <w:i/>
          <w:sz w:val="25"/>
          <w:szCs w:val="25"/>
        </w:rPr>
        <w:t xml:space="preserve">a settlement that would </w:t>
      </w:r>
      <w:r w:rsidR="00A240F5">
        <w:rPr>
          <w:i/>
          <w:sz w:val="25"/>
          <w:szCs w:val="25"/>
        </w:rPr>
        <w:t xml:space="preserve">rebate approximately $8.6 million of Renewable Energy Credit revenues to electric customers over 18 months. </w:t>
      </w:r>
      <w:r w:rsidR="00AF403C">
        <w:rPr>
          <w:i/>
          <w:sz w:val="25"/>
          <w:szCs w:val="25"/>
        </w:rPr>
        <w:t>In addition, t</w:t>
      </w:r>
      <w:r w:rsidR="00A240F5">
        <w:rPr>
          <w:i/>
          <w:sz w:val="25"/>
          <w:szCs w:val="25"/>
        </w:rPr>
        <w:t>he Commission approves an increase in natural gas revenues by approximately $8.</w:t>
      </w:r>
      <w:r w:rsidR="005D5C57">
        <w:rPr>
          <w:i/>
          <w:sz w:val="25"/>
          <w:szCs w:val="25"/>
        </w:rPr>
        <w:t>9 million or 5.58</w:t>
      </w:r>
      <w:r w:rsidR="00A240F5">
        <w:rPr>
          <w:i/>
          <w:sz w:val="25"/>
          <w:szCs w:val="25"/>
        </w:rPr>
        <w:t xml:space="preserve"> percent</w:t>
      </w:r>
      <w:r w:rsidR="00AF403C">
        <w:rPr>
          <w:i/>
          <w:sz w:val="25"/>
          <w:szCs w:val="25"/>
        </w:rPr>
        <w:t>,</w:t>
      </w:r>
      <w:r w:rsidR="00A240F5">
        <w:rPr>
          <w:i/>
          <w:sz w:val="25"/>
          <w:szCs w:val="25"/>
        </w:rPr>
        <w:t xml:space="preserve"> including </w:t>
      </w:r>
      <w:r w:rsidR="00AF403C">
        <w:rPr>
          <w:i/>
          <w:sz w:val="25"/>
          <w:szCs w:val="25"/>
        </w:rPr>
        <w:t xml:space="preserve">a </w:t>
      </w:r>
      <w:r w:rsidR="00A240F5">
        <w:rPr>
          <w:i/>
          <w:sz w:val="25"/>
          <w:szCs w:val="25"/>
        </w:rPr>
        <w:t xml:space="preserve">natural gas LIRAP funding increase of $0.42 million or 0.14 percent. </w:t>
      </w:r>
    </w:p>
    <w:p w14:paraId="105477C5" w14:textId="507B2345" w:rsidR="0056783F" w:rsidRDefault="0056783F">
      <w:pPr>
        <w:rPr>
          <w:i/>
          <w:sz w:val="25"/>
          <w:szCs w:val="25"/>
        </w:rPr>
      </w:pPr>
      <w:r>
        <w:rPr>
          <w:i/>
          <w:sz w:val="25"/>
          <w:szCs w:val="25"/>
        </w:rPr>
        <w:br w:type="page"/>
      </w:r>
    </w:p>
    <w:p w14:paraId="623F2CF6" w14:textId="77777777" w:rsidR="00431795" w:rsidRDefault="00431795" w:rsidP="007448F5">
      <w:pPr>
        <w:spacing w:line="264" w:lineRule="auto"/>
        <w:rPr>
          <w:i/>
          <w:sz w:val="25"/>
          <w:szCs w:val="25"/>
        </w:rPr>
      </w:pPr>
    </w:p>
    <w:p w14:paraId="2CACC2CB" w14:textId="77777777" w:rsidR="00C01D48" w:rsidRDefault="00C01D48" w:rsidP="007448F5">
      <w:pPr>
        <w:spacing w:line="264" w:lineRule="auto"/>
        <w:rPr>
          <w:i/>
          <w:sz w:val="25"/>
          <w:szCs w:val="25"/>
        </w:rPr>
      </w:pPr>
    </w:p>
    <w:p w14:paraId="1383686E" w14:textId="49C9FD38" w:rsidR="008F695B" w:rsidRDefault="00C34242" w:rsidP="007448F5">
      <w:pPr>
        <w:spacing w:line="264" w:lineRule="auto"/>
        <w:rPr>
          <w:i/>
          <w:sz w:val="25"/>
          <w:szCs w:val="25"/>
        </w:rPr>
      </w:pPr>
      <w:r>
        <w:rPr>
          <w:i/>
          <w:sz w:val="25"/>
          <w:szCs w:val="25"/>
        </w:rPr>
        <w:t>T</w:t>
      </w:r>
      <w:r w:rsidR="00FB5CBF">
        <w:rPr>
          <w:i/>
          <w:sz w:val="25"/>
          <w:szCs w:val="25"/>
        </w:rPr>
        <w:t xml:space="preserve">he Commission </w:t>
      </w:r>
      <w:r>
        <w:rPr>
          <w:i/>
          <w:sz w:val="25"/>
          <w:szCs w:val="25"/>
        </w:rPr>
        <w:t xml:space="preserve">also </w:t>
      </w:r>
      <w:r w:rsidR="00FB5CBF">
        <w:rPr>
          <w:i/>
          <w:sz w:val="25"/>
          <w:szCs w:val="25"/>
        </w:rPr>
        <w:t>approves</w:t>
      </w:r>
      <w:r w:rsidR="00B60692" w:rsidRPr="00431795">
        <w:rPr>
          <w:i/>
          <w:sz w:val="25"/>
          <w:szCs w:val="25"/>
        </w:rPr>
        <w:t xml:space="preserve"> </w:t>
      </w:r>
      <w:r>
        <w:rPr>
          <w:i/>
          <w:sz w:val="25"/>
          <w:szCs w:val="25"/>
        </w:rPr>
        <w:t xml:space="preserve">the settling parties’ request to implement electric and gas decoupling mechanisms for </w:t>
      </w:r>
      <w:r w:rsidR="00AF403C">
        <w:rPr>
          <w:i/>
          <w:sz w:val="25"/>
          <w:szCs w:val="25"/>
        </w:rPr>
        <w:t>five</w:t>
      </w:r>
      <w:r>
        <w:rPr>
          <w:i/>
          <w:sz w:val="25"/>
          <w:szCs w:val="25"/>
        </w:rPr>
        <w:t xml:space="preserve"> </w:t>
      </w:r>
      <w:r w:rsidR="00FB5CBF">
        <w:rPr>
          <w:i/>
          <w:sz w:val="25"/>
          <w:szCs w:val="25"/>
        </w:rPr>
        <w:t>year</w:t>
      </w:r>
      <w:r>
        <w:rPr>
          <w:i/>
          <w:sz w:val="25"/>
          <w:szCs w:val="25"/>
        </w:rPr>
        <w:t>s</w:t>
      </w:r>
      <w:r w:rsidR="00991923">
        <w:rPr>
          <w:i/>
          <w:sz w:val="25"/>
          <w:szCs w:val="25"/>
        </w:rPr>
        <w:t>,</w:t>
      </w:r>
      <w:r w:rsidR="00FB5CBF">
        <w:rPr>
          <w:i/>
          <w:sz w:val="25"/>
          <w:szCs w:val="25"/>
        </w:rPr>
        <w:t xml:space="preserve"> as we</w:t>
      </w:r>
      <w:r w:rsidR="00991923">
        <w:rPr>
          <w:i/>
          <w:sz w:val="25"/>
          <w:szCs w:val="25"/>
        </w:rPr>
        <w:t xml:space="preserve">ll as the </w:t>
      </w:r>
      <w:r w:rsidR="00AF403C">
        <w:rPr>
          <w:i/>
          <w:sz w:val="25"/>
          <w:szCs w:val="25"/>
        </w:rPr>
        <w:t xml:space="preserve">use of a </w:t>
      </w:r>
      <w:r w:rsidR="00991923">
        <w:rPr>
          <w:i/>
          <w:sz w:val="25"/>
          <w:szCs w:val="25"/>
        </w:rPr>
        <w:t>third-party evaluation</w:t>
      </w:r>
      <w:r w:rsidR="00FB5CBF">
        <w:rPr>
          <w:i/>
          <w:sz w:val="25"/>
          <w:szCs w:val="25"/>
        </w:rPr>
        <w:t>, paid for by Avista</w:t>
      </w:r>
      <w:r w:rsidR="00991923">
        <w:rPr>
          <w:i/>
          <w:sz w:val="25"/>
          <w:szCs w:val="25"/>
        </w:rPr>
        <w:t xml:space="preserve"> shareholders and</w:t>
      </w:r>
      <w:r w:rsidR="00FB5CBF">
        <w:rPr>
          <w:i/>
          <w:sz w:val="25"/>
          <w:szCs w:val="25"/>
        </w:rPr>
        <w:t xml:space="preserve"> to be completed following the end of the third full year of the implementation</w:t>
      </w:r>
      <w:r>
        <w:rPr>
          <w:i/>
          <w:sz w:val="25"/>
          <w:szCs w:val="25"/>
        </w:rPr>
        <w:t xml:space="preserve"> of the mechanisms</w:t>
      </w:r>
      <w:r w:rsidR="00FB5CBF">
        <w:rPr>
          <w:i/>
          <w:sz w:val="25"/>
          <w:szCs w:val="25"/>
        </w:rPr>
        <w:t xml:space="preserve">.  We </w:t>
      </w:r>
      <w:r w:rsidR="004A02D1">
        <w:rPr>
          <w:i/>
          <w:sz w:val="25"/>
          <w:szCs w:val="25"/>
        </w:rPr>
        <w:t xml:space="preserve">require the Company to consult with its Conservation Advisory Group in the development of the request for proposals (RFP) and the selection of the consultant to perform the </w:t>
      </w:r>
      <w:r w:rsidR="00991923">
        <w:rPr>
          <w:i/>
          <w:sz w:val="25"/>
          <w:szCs w:val="25"/>
        </w:rPr>
        <w:t>evaluation</w:t>
      </w:r>
      <w:r w:rsidR="004A02D1">
        <w:rPr>
          <w:i/>
          <w:sz w:val="25"/>
          <w:szCs w:val="25"/>
        </w:rPr>
        <w:t xml:space="preserve">.  After incorporating input from its advisory group, Avista must file its draft RFP, </w:t>
      </w:r>
      <w:r w:rsidR="00E27E8E">
        <w:rPr>
          <w:i/>
          <w:sz w:val="25"/>
          <w:szCs w:val="25"/>
        </w:rPr>
        <w:t xml:space="preserve">including the scope of the </w:t>
      </w:r>
      <w:r w:rsidR="00991923">
        <w:rPr>
          <w:i/>
          <w:sz w:val="25"/>
          <w:szCs w:val="25"/>
        </w:rPr>
        <w:t>evaluation query</w:t>
      </w:r>
      <w:r w:rsidR="00E27E8E">
        <w:rPr>
          <w:i/>
          <w:sz w:val="25"/>
          <w:szCs w:val="25"/>
        </w:rPr>
        <w:t xml:space="preserve">, </w:t>
      </w:r>
      <w:r w:rsidR="004A02D1">
        <w:rPr>
          <w:i/>
          <w:sz w:val="25"/>
          <w:szCs w:val="25"/>
        </w:rPr>
        <w:t xml:space="preserve">with the Commission for </w:t>
      </w:r>
      <w:r w:rsidR="00AF403C">
        <w:rPr>
          <w:i/>
          <w:sz w:val="25"/>
          <w:szCs w:val="25"/>
        </w:rPr>
        <w:t xml:space="preserve">its </w:t>
      </w:r>
      <w:r w:rsidR="004A02D1">
        <w:rPr>
          <w:i/>
          <w:sz w:val="25"/>
          <w:szCs w:val="25"/>
        </w:rPr>
        <w:t>approval</w:t>
      </w:r>
      <w:r w:rsidR="00E27E8E">
        <w:rPr>
          <w:i/>
          <w:sz w:val="25"/>
          <w:szCs w:val="25"/>
        </w:rPr>
        <w:t xml:space="preserve">.  At a minimum, we expect the evaluation to address decoupling’s effect on revenues, </w:t>
      </w:r>
      <w:r w:rsidR="003A283E">
        <w:rPr>
          <w:i/>
          <w:sz w:val="25"/>
          <w:szCs w:val="25"/>
        </w:rPr>
        <w:t xml:space="preserve">its impact </w:t>
      </w:r>
      <w:r w:rsidR="00E27E8E">
        <w:rPr>
          <w:i/>
          <w:sz w:val="25"/>
          <w:szCs w:val="25"/>
        </w:rPr>
        <w:t xml:space="preserve">on conservation, </w:t>
      </w:r>
      <w:r w:rsidR="008F695B">
        <w:rPr>
          <w:i/>
          <w:sz w:val="25"/>
          <w:szCs w:val="25"/>
        </w:rPr>
        <w:t xml:space="preserve">the extent </w:t>
      </w:r>
      <w:r w:rsidR="003A283E">
        <w:rPr>
          <w:i/>
          <w:sz w:val="25"/>
          <w:szCs w:val="25"/>
        </w:rPr>
        <w:t xml:space="preserve">to which </w:t>
      </w:r>
      <w:r w:rsidR="008F695B">
        <w:rPr>
          <w:i/>
          <w:sz w:val="25"/>
          <w:szCs w:val="25"/>
        </w:rPr>
        <w:t xml:space="preserve">the allowed revenues are recovering their allocated cost of service by customer class, </w:t>
      </w:r>
      <w:r w:rsidR="00E27E8E">
        <w:rPr>
          <w:i/>
          <w:sz w:val="25"/>
          <w:szCs w:val="25"/>
        </w:rPr>
        <w:t xml:space="preserve">and </w:t>
      </w:r>
      <w:r w:rsidR="003A283E">
        <w:rPr>
          <w:i/>
          <w:sz w:val="25"/>
          <w:szCs w:val="25"/>
        </w:rPr>
        <w:t>the</w:t>
      </w:r>
      <w:r w:rsidR="0008508B">
        <w:rPr>
          <w:i/>
          <w:sz w:val="25"/>
          <w:szCs w:val="25"/>
        </w:rPr>
        <w:t xml:space="preserve"> extent</w:t>
      </w:r>
      <w:r w:rsidR="003A283E">
        <w:rPr>
          <w:i/>
          <w:sz w:val="25"/>
          <w:szCs w:val="25"/>
        </w:rPr>
        <w:t xml:space="preserve"> to which</w:t>
      </w:r>
      <w:r w:rsidR="0008508B">
        <w:rPr>
          <w:i/>
          <w:sz w:val="25"/>
          <w:szCs w:val="25"/>
        </w:rPr>
        <w:t xml:space="preserve"> </w:t>
      </w:r>
      <w:r w:rsidR="00E27E8E">
        <w:rPr>
          <w:i/>
          <w:sz w:val="25"/>
          <w:szCs w:val="25"/>
        </w:rPr>
        <w:t xml:space="preserve">fixed costs are recovered in fixed charges for the </w:t>
      </w:r>
      <w:r w:rsidR="00036F14">
        <w:rPr>
          <w:i/>
          <w:sz w:val="25"/>
          <w:szCs w:val="25"/>
        </w:rPr>
        <w:t xml:space="preserve">customer classes excluded from the decoupling mechanisms.  </w:t>
      </w:r>
    </w:p>
    <w:p w14:paraId="334A0FB7" w14:textId="77777777" w:rsidR="008F695B" w:rsidRDefault="008F695B" w:rsidP="007448F5">
      <w:pPr>
        <w:spacing w:line="264" w:lineRule="auto"/>
        <w:rPr>
          <w:i/>
          <w:sz w:val="25"/>
          <w:szCs w:val="25"/>
        </w:rPr>
      </w:pPr>
    </w:p>
    <w:p w14:paraId="3B49AB75" w14:textId="2F8D7C16" w:rsidR="005930A4" w:rsidRDefault="00A7125C" w:rsidP="007448F5">
      <w:pPr>
        <w:spacing w:line="264" w:lineRule="auto"/>
      </w:pPr>
      <w:r>
        <w:rPr>
          <w:i/>
          <w:sz w:val="25"/>
          <w:szCs w:val="25"/>
        </w:rPr>
        <w:t xml:space="preserve">The Commission orders </w:t>
      </w:r>
      <w:r w:rsidR="0072319E">
        <w:rPr>
          <w:i/>
          <w:sz w:val="25"/>
          <w:szCs w:val="25"/>
        </w:rPr>
        <w:t xml:space="preserve">that </w:t>
      </w:r>
      <w:r>
        <w:rPr>
          <w:i/>
          <w:sz w:val="25"/>
          <w:szCs w:val="25"/>
        </w:rPr>
        <w:t>the LIRAP funding increase proposed in the Settlement be doubled</w:t>
      </w:r>
      <w:r w:rsidR="004962DD">
        <w:rPr>
          <w:i/>
          <w:sz w:val="25"/>
          <w:szCs w:val="25"/>
        </w:rPr>
        <w:t>, for a total electric LIRAP funding increase of $400,000 and a total natural gas LIRAP funding increase of $428,000</w:t>
      </w:r>
      <w:r w:rsidR="00FE7364">
        <w:rPr>
          <w:i/>
          <w:sz w:val="25"/>
          <w:szCs w:val="25"/>
        </w:rPr>
        <w:t xml:space="preserve"> and </w:t>
      </w:r>
      <w:r w:rsidR="00FD77A3" w:rsidRPr="00B07D53">
        <w:rPr>
          <w:i/>
          <w:sz w:val="25"/>
          <w:szCs w:val="25"/>
        </w:rPr>
        <w:t>encourage</w:t>
      </w:r>
      <w:r w:rsidR="00FE7364">
        <w:rPr>
          <w:i/>
          <w:sz w:val="25"/>
          <w:szCs w:val="25"/>
        </w:rPr>
        <w:t>s</w:t>
      </w:r>
      <w:r w:rsidR="00FD77A3" w:rsidRPr="00B07D53">
        <w:rPr>
          <w:i/>
          <w:sz w:val="25"/>
          <w:szCs w:val="25"/>
        </w:rPr>
        <w:t xml:space="preserve"> parties to file mutually agreed upon additions to the LIRAP program</w:t>
      </w:r>
      <w:r w:rsidR="00B237DB">
        <w:rPr>
          <w:i/>
          <w:sz w:val="25"/>
          <w:szCs w:val="25"/>
        </w:rPr>
        <w:t xml:space="preserve"> </w:t>
      </w:r>
      <w:r w:rsidR="00FD77A3" w:rsidRPr="00B07D53">
        <w:rPr>
          <w:i/>
          <w:sz w:val="25"/>
          <w:szCs w:val="25"/>
        </w:rPr>
        <w:t>at the same time</w:t>
      </w:r>
      <w:r w:rsidR="00DC014B">
        <w:rPr>
          <w:i/>
          <w:sz w:val="25"/>
          <w:szCs w:val="25"/>
        </w:rPr>
        <w:t xml:space="preserve"> as any mutually agreed</w:t>
      </w:r>
      <w:r w:rsidR="0072319E">
        <w:rPr>
          <w:i/>
          <w:sz w:val="25"/>
          <w:szCs w:val="25"/>
        </w:rPr>
        <w:t>-</w:t>
      </w:r>
      <w:r w:rsidR="00DC014B">
        <w:rPr>
          <w:i/>
          <w:sz w:val="25"/>
          <w:szCs w:val="25"/>
        </w:rPr>
        <w:t>upon modifications without waiting un</w:t>
      </w:r>
      <w:r w:rsidR="00FD77A3" w:rsidRPr="00B07D53">
        <w:rPr>
          <w:i/>
          <w:sz w:val="25"/>
          <w:szCs w:val="25"/>
        </w:rPr>
        <w:t xml:space="preserve">til the following year as contemplated by the Settlement.  If the parties cannot agree upon modifications or additions to the program by June 1, 2015, </w:t>
      </w:r>
      <w:r w:rsidR="00DC014B">
        <w:rPr>
          <w:i/>
          <w:sz w:val="25"/>
          <w:szCs w:val="25"/>
        </w:rPr>
        <w:t>they</w:t>
      </w:r>
      <w:r w:rsidR="00FD77A3" w:rsidRPr="00B07D53">
        <w:rPr>
          <w:i/>
          <w:sz w:val="25"/>
          <w:szCs w:val="25"/>
        </w:rPr>
        <w:t xml:space="preserve"> </w:t>
      </w:r>
      <w:r w:rsidR="00DC014B">
        <w:rPr>
          <w:i/>
          <w:sz w:val="25"/>
          <w:szCs w:val="25"/>
        </w:rPr>
        <w:t>should</w:t>
      </w:r>
      <w:r w:rsidR="00FD77A3" w:rsidRPr="00B07D53">
        <w:rPr>
          <w:i/>
          <w:sz w:val="25"/>
          <w:szCs w:val="25"/>
        </w:rPr>
        <w:t xml:space="preserve"> file alternative or competing proposals with the Commission at that time</w:t>
      </w:r>
      <w:r w:rsidR="00FD77A3">
        <w:t xml:space="preserve">  </w:t>
      </w:r>
    </w:p>
    <w:p w14:paraId="14438864" w14:textId="77777777" w:rsidR="00B0094B" w:rsidRDefault="00B0094B" w:rsidP="007448F5">
      <w:pPr>
        <w:spacing w:line="264" w:lineRule="auto"/>
      </w:pPr>
    </w:p>
    <w:p w14:paraId="7DD4127B" w14:textId="24D7024B" w:rsidR="00B0094B" w:rsidRDefault="00B0094B" w:rsidP="007448F5">
      <w:pPr>
        <w:spacing w:line="264" w:lineRule="auto"/>
        <w:rPr>
          <w:i/>
          <w:sz w:val="25"/>
          <w:szCs w:val="25"/>
        </w:rPr>
      </w:pPr>
      <w:r>
        <w:rPr>
          <w:i/>
          <w:sz w:val="25"/>
          <w:szCs w:val="25"/>
        </w:rPr>
        <w:t xml:space="preserve">The Settlement proposed a separate forum in which the parties could discuss attrition and other rate making policy issues.  </w:t>
      </w:r>
      <w:r w:rsidR="0072319E">
        <w:rPr>
          <w:i/>
          <w:sz w:val="25"/>
          <w:szCs w:val="25"/>
        </w:rPr>
        <w:t>We</w:t>
      </w:r>
      <w:r>
        <w:rPr>
          <w:i/>
          <w:sz w:val="25"/>
          <w:szCs w:val="25"/>
        </w:rPr>
        <w:t xml:space="preserve"> direct Staff to open an investigatory docket </w:t>
      </w:r>
      <w:r w:rsidR="00FE7364">
        <w:rPr>
          <w:i/>
          <w:sz w:val="25"/>
          <w:szCs w:val="25"/>
        </w:rPr>
        <w:t xml:space="preserve">to discuss attrition and other rate making policy issues. </w:t>
      </w:r>
    </w:p>
    <w:p w14:paraId="4BD5F4B1" w14:textId="77777777" w:rsidR="00FB5CBF" w:rsidRDefault="00FB5CBF" w:rsidP="007448F5">
      <w:pPr>
        <w:spacing w:line="264" w:lineRule="auto"/>
        <w:rPr>
          <w:i/>
          <w:sz w:val="25"/>
          <w:szCs w:val="25"/>
        </w:rPr>
      </w:pPr>
    </w:p>
    <w:p w14:paraId="6A18F574" w14:textId="77777777" w:rsidR="00967F42" w:rsidRDefault="00BF7EDE" w:rsidP="007448F5">
      <w:pPr>
        <w:spacing w:line="264" w:lineRule="auto"/>
        <w:rPr>
          <w:i/>
          <w:sz w:val="25"/>
          <w:szCs w:val="25"/>
        </w:rPr>
      </w:pPr>
      <w:r>
        <w:rPr>
          <w:i/>
          <w:sz w:val="25"/>
          <w:szCs w:val="25"/>
        </w:rPr>
        <w:t>With the above additional requirements</w:t>
      </w:r>
      <w:r w:rsidR="003D595F">
        <w:rPr>
          <w:i/>
          <w:sz w:val="25"/>
          <w:szCs w:val="25"/>
        </w:rPr>
        <w:t xml:space="preserve"> and conditions</w:t>
      </w:r>
      <w:r>
        <w:rPr>
          <w:i/>
          <w:sz w:val="25"/>
          <w:szCs w:val="25"/>
        </w:rPr>
        <w:t>, we approve the Settlement Stipulation.</w:t>
      </w:r>
      <w:r w:rsidR="00A61101">
        <w:rPr>
          <w:i/>
          <w:sz w:val="25"/>
          <w:szCs w:val="25"/>
        </w:rPr>
        <w:t xml:space="preserve">  </w:t>
      </w:r>
    </w:p>
    <w:p w14:paraId="5A8D4419" w14:textId="0E999A73" w:rsidR="00682321" w:rsidRDefault="00682321">
      <w:pPr>
        <w:rPr>
          <w:sz w:val="25"/>
          <w:szCs w:val="25"/>
        </w:rPr>
      </w:pPr>
      <w:r>
        <w:rPr>
          <w:sz w:val="25"/>
          <w:szCs w:val="25"/>
        </w:rPr>
        <w:br w:type="page"/>
      </w:r>
    </w:p>
    <w:p w14:paraId="35C6F0C4" w14:textId="77777777" w:rsidR="00A42163" w:rsidRPr="00DA5DBB" w:rsidRDefault="00A42163" w:rsidP="007448F5">
      <w:pPr>
        <w:pStyle w:val="Header"/>
        <w:tabs>
          <w:tab w:val="clear" w:pos="4320"/>
          <w:tab w:val="clear" w:pos="8640"/>
        </w:tabs>
        <w:spacing w:line="264" w:lineRule="auto"/>
        <w:rPr>
          <w:sz w:val="25"/>
          <w:szCs w:val="25"/>
        </w:rPr>
      </w:pPr>
    </w:p>
    <w:p w14:paraId="787A4E91" w14:textId="77777777" w:rsidR="00C67FF4" w:rsidRPr="000960FC" w:rsidRDefault="00967F42" w:rsidP="007448F5">
      <w:pPr>
        <w:pStyle w:val="Heading1"/>
        <w:spacing w:before="0" w:after="0" w:line="264" w:lineRule="auto"/>
        <w:jc w:val="center"/>
        <w:rPr>
          <w:rFonts w:ascii="Times New Roman" w:hAnsi="Times New Roman" w:cs="Times New Roman"/>
          <w:sz w:val="25"/>
          <w:szCs w:val="25"/>
          <w:u w:val="single"/>
        </w:rPr>
      </w:pPr>
      <w:bookmarkStart w:id="1" w:name="_Toc249233754"/>
      <w:bookmarkStart w:id="2" w:name="_Toc249252782"/>
      <w:r w:rsidRPr="000960FC">
        <w:rPr>
          <w:rFonts w:ascii="Times New Roman" w:hAnsi="Times New Roman" w:cs="Times New Roman"/>
          <w:sz w:val="25"/>
          <w:szCs w:val="25"/>
          <w:u w:val="single"/>
        </w:rPr>
        <w:t>SUMMARY</w:t>
      </w:r>
      <w:bookmarkEnd w:id="1"/>
      <w:bookmarkEnd w:id="2"/>
    </w:p>
    <w:p w14:paraId="07250891" w14:textId="77777777" w:rsidR="00967F42" w:rsidRPr="00967F42" w:rsidRDefault="00967F42" w:rsidP="007448F5">
      <w:pPr>
        <w:spacing w:line="264" w:lineRule="auto"/>
      </w:pPr>
    </w:p>
    <w:p w14:paraId="32C647C4" w14:textId="2FC242AF" w:rsidR="0052351E" w:rsidRDefault="00C67FF4" w:rsidP="007448F5">
      <w:pPr>
        <w:numPr>
          <w:ilvl w:val="0"/>
          <w:numId w:val="10"/>
        </w:numPr>
        <w:spacing w:line="264" w:lineRule="auto"/>
        <w:ind w:hanging="720"/>
        <w:rPr>
          <w:sz w:val="25"/>
          <w:szCs w:val="25"/>
        </w:rPr>
      </w:pPr>
      <w:r w:rsidRPr="0086319F">
        <w:rPr>
          <w:b/>
          <w:sz w:val="25"/>
          <w:szCs w:val="25"/>
        </w:rPr>
        <w:t xml:space="preserve">PROCEEDINGS:  </w:t>
      </w:r>
      <w:r w:rsidR="002A7C2E" w:rsidRPr="00383C59">
        <w:rPr>
          <w:bCs/>
          <w:sz w:val="25"/>
          <w:szCs w:val="25"/>
        </w:rPr>
        <w:t xml:space="preserve">On </w:t>
      </w:r>
      <w:r w:rsidR="00A17221">
        <w:rPr>
          <w:bCs/>
          <w:sz w:val="25"/>
          <w:szCs w:val="25"/>
        </w:rPr>
        <w:t>February 4, 2014</w:t>
      </w:r>
      <w:r w:rsidR="002A7C2E" w:rsidRPr="00383C59">
        <w:rPr>
          <w:bCs/>
          <w:sz w:val="25"/>
          <w:szCs w:val="25"/>
        </w:rPr>
        <w:t>, Avista Corporation d/b/a Avista Utilities (Avista</w:t>
      </w:r>
      <w:r w:rsidR="002A7C2E">
        <w:rPr>
          <w:bCs/>
          <w:sz w:val="25"/>
          <w:szCs w:val="25"/>
        </w:rPr>
        <w:t xml:space="preserve"> or </w:t>
      </w:r>
      <w:r w:rsidR="0059397C">
        <w:rPr>
          <w:bCs/>
          <w:sz w:val="25"/>
          <w:szCs w:val="25"/>
        </w:rPr>
        <w:t xml:space="preserve">the </w:t>
      </w:r>
      <w:r w:rsidR="002A7C2E">
        <w:rPr>
          <w:bCs/>
          <w:sz w:val="25"/>
          <w:szCs w:val="25"/>
        </w:rPr>
        <w:t>Company</w:t>
      </w:r>
      <w:r w:rsidR="002A7C2E" w:rsidRPr="00383C59">
        <w:rPr>
          <w:bCs/>
          <w:sz w:val="25"/>
          <w:szCs w:val="25"/>
        </w:rPr>
        <w:t>)</w:t>
      </w:r>
      <w:r w:rsidR="002A7C2E" w:rsidRPr="00383C59">
        <w:rPr>
          <w:sz w:val="25"/>
          <w:szCs w:val="25"/>
        </w:rPr>
        <w:t xml:space="preserve"> </w:t>
      </w:r>
      <w:r w:rsidR="00BF7EDE">
        <w:rPr>
          <w:sz w:val="25"/>
          <w:szCs w:val="25"/>
        </w:rPr>
        <w:t xml:space="preserve">filed </w:t>
      </w:r>
      <w:r w:rsidR="0072319E">
        <w:rPr>
          <w:sz w:val="25"/>
          <w:szCs w:val="25"/>
        </w:rPr>
        <w:t xml:space="preserve">with the Washington Utilities and Transportation Commission (Commission) </w:t>
      </w:r>
      <w:r w:rsidR="002A7C2E" w:rsidRPr="00383C59">
        <w:rPr>
          <w:sz w:val="25"/>
          <w:szCs w:val="25"/>
        </w:rPr>
        <w:t>revisions to its currently effective Tariff WN U-28, Electric Service in Docket UE-1</w:t>
      </w:r>
      <w:r w:rsidR="00A17221">
        <w:rPr>
          <w:sz w:val="25"/>
          <w:szCs w:val="25"/>
        </w:rPr>
        <w:t>40188</w:t>
      </w:r>
      <w:r w:rsidR="0072319E">
        <w:rPr>
          <w:sz w:val="25"/>
          <w:szCs w:val="25"/>
        </w:rPr>
        <w:t>,</w:t>
      </w:r>
      <w:r w:rsidR="002A7C2E" w:rsidRPr="00383C59">
        <w:rPr>
          <w:sz w:val="25"/>
          <w:szCs w:val="25"/>
        </w:rPr>
        <w:t xml:space="preserve"> and its currently effective Tariff WN U-29, Gas Service in Docket UG-1</w:t>
      </w:r>
      <w:r w:rsidR="00A17221">
        <w:rPr>
          <w:sz w:val="25"/>
          <w:szCs w:val="25"/>
        </w:rPr>
        <w:t>40189</w:t>
      </w:r>
      <w:r w:rsidR="002A7C2E" w:rsidRPr="00383C59">
        <w:rPr>
          <w:sz w:val="25"/>
          <w:szCs w:val="25"/>
        </w:rPr>
        <w:t xml:space="preserve">.  </w:t>
      </w:r>
      <w:r w:rsidR="0052351E" w:rsidRPr="00FC327E">
        <w:rPr>
          <w:sz w:val="25"/>
          <w:szCs w:val="25"/>
        </w:rPr>
        <w:t xml:space="preserve">In </w:t>
      </w:r>
      <w:r w:rsidR="008479C9">
        <w:rPr>
          <w:sz w:val="25"/>
          <w:szCs w:val="25"/>
        </w:rPr>
        <w:t>its</w:t>
      </w:r>
      <w:r w:rsidR="0052351E" w:rsidRPr="00FC327E">
        <w:rPr>
          <w:sz w:val="25"/>
          <w:szCs w:val="25"/>
        </w:rPr>
        <w:t xml:space="preserve"> filing</w:t>
      </w:r>
      <w:r w:rsidR="0072319E">
        <w:rPr>
          <w:sz w:val="25"/>
          <w:szCs w:val="25"/>
        </w:rPr>
        <w:t>s</w:t>
      </w:r>
      <w:r w:rsidR="0052351E" w:rsidRPr="00FC327E">
        <w:rPr>
          <w:sz w:val="25"/>
          <w:szCs w:val="25"/>
        </w:rPr>
        <w:t xml:space="preserve">, Avista </w:t>
      </w:r>
      <w:r w:rsidR="0052351E">
        <w:rPr>
          <w:sz w:val="25"/>
          <w:szCs w:val="25"/>
        </w:rPr>
        <w:t>request</w:t>
      </w:r>
      <w:r w:rsidR="00DC014B">
        <w:rPr>
          <w:sz w:val="25"/>
          <w:szCs w:val="25"/>
        </w:rPr>
        <w:t>ed</w:t>
      </w:r>
      <w:r w:rsidR="0052351E">
        <w:rPr>
          <w:sz w:val="25"/>
          <w:szCs w:val="25"/>
        </w:rPr>
        <w:t xml:space="preserve"> authority to</w:t>
      </w:r>
      <w:r w:rsidR="0052351E" w:rsidRPr="00FC327E">
        <w:rPr>
          <w:sz w:val="25"/>
          <w:szCs w:val="25"/>
        </w:rPr>
        <w:t xml:space="preserve"> increase charges and rates for </w:t>
      </w:r>
      <w:r w:rsidR="0052351E">
        <w:rPr>
          <w:sz w:val="25"/>
          <w:szCs w:val="25"/>
        </w:rPr>
        <w:t xml:space="preserve">electric </w:t>
      </w:r>
      <w:r w:rsidR="0052351E" w:rsidRPr="00FC327E">
        <w:rPr>
          <w:sz w:val="25"/>
          <w:szCs w:val="25"/>
        </w:rPr>
        <w:t>service by approximately $</w:t>
      </w:r>
      <w:r w:rsidR="0052351E">
        <w:rPr>
          <w:sz w:val="25"/>
          <w:szCs w:val="25"/>
        </w:rPr>
        <w:t>18.2 million</w:t>
      </w:r>
      <w:r w:rsidR="0052351E" w:rsidRPr="00FC327E">
        <w:rPr>
          <w:sz w:val="25"/>
          <w:szCs w:val="25"/>
        </w:rPr>
        <w:t xml:space="preserve"> or </w:t>
      </w:r>
      <w:r w:rsidR="0052351E">
        <w:rPr>
          <w:sz w:val="25"/>
          <w:szCs w:val="25"/>
        </w:rPr>
        <w:t>3.8</w:t>
      </w:r>
      <w:r w:rsidR="0052351E" w:rsidRPr="00FC327E">
        <w:rPr>
          <w:sz w:val="25"/>
          <w:szCs w:val="25"/>
        </w:rPr>
        <w:t xml:space="preserve"> percent.  </w:t>
      </w:r>
      <w:r w:rsidR="0052351E">
        <w:rPr>
          <w:sz w:val="25"/>
          <w:szCs w:val="25"/>
        </w:rPr>
        <w:t xml:space="preserve">The overall electric increase </w:t>
      </w:r>
      <w:r w:rsidR="0072319E">
        <w:rPr>
          <w:sz w:val="25"/>
          <w:szCs w:val="25"/>
        </w:rPr>
        <w:t xml:space="preserve">Avista </w:t>
      </w:r>
      <w:r w:rsidR="0052351E">
        <w:rPr>
          <w:sz w:val="25"/>
          <w:szCs w:val="25"/>
        </w:rPr>
        <w:t>proposed is 5.5 percent, including the above</w:t>
      </w:r>
      <w:r w:rsidR="00142547">
        <w:rPr>
          <w:sz w:val="25"/>
          <w:szCs w:val="25"/>
        </w:rPr>
        <w:t>-mentioned</w:t>
      </w:r>
      <w:r w:rsidR="0052351E">
        <w:rPr>
          <w:sz w:val="25"/>
          <w:szCs w:val="25"/>
        </w:rPr>
        <w:t xml:space="preserve"> 3.8 percent base rate increase</w:t>
      </w:r>
      <w:r w:rsidR="00142547">
        <w:rPr>
          <w:sz w:val="25"/>
          <w:szCs w:val="25"/>
        </w:rPr>
        <w:t>,</w:t>
      </w:r>
      <w:r w:rsidR="0052351E">
        <w:rPr>
          <w:sz w:val="25"/>
          <w:szCs w:val="25"/>
        </w:rPr>
        <w:t xml:space="preserve"> a</w:t>
      </w:r>
      <w:r w:rsidR="0052351E" w:rsidRPr="00F250BF">
        <w:rPr>
          <w:sz w:val="25"/>
          <w:szCs w:val="25"/>
        </w:rPr>
        <w:t xml:space="preserve"> </w:t>
      </w:r>
      <w:r w:rsidR="0052351E">
        <w:rPr>
          <w:sz w:val="25"/>
          <w:szCs w:val="25"/>
        </w:rPr>
        <w:t>Renewable Energy Credit Revenue Mechanism rebate of 1.1 percent</w:t>
      </w:r>
      <w:r w:rsidR="00142547">
        <w:rPr>
          <w:sz w:val="25"/>
          <w:szCs w:val="25"/>
        </w:rPr>
        <w:t>,</w:t>
      </w:r>
      <w:r w:rsidR="0052351E">
        <w:rPr>
          <w:sz w:val="25"/>
          <w:szCs w:val="25"/>
        </w:rPr>
        <w:t xml:space="preserve"> and the expiration of two rebates currently received by electric customers totaling 2.8 percent</w:t>
      </w:r>
      <w:r w:rsidR="00B237DB">
        <w:rPr>
          <w:sz w:val="25"/>
          <w:szCs w:val="25"/>
        </w:rPr>
        <w:t>,</w:t>
      </w:r>
      <w:r w:rsidR="0052351E">
        <w:rPr>
          <w:sz w:val="25"/>
          <w:szCs w:val="25"/>
        </w:rPr>
        <w:t xml:space="preserve"> effective January 1, 2015.</w:t>
      </w:r>
    </w:p>
    <w:p w14:paraId="7BBC00AB" w14:textId="77777777" w:rsidR="0052351E" w:rsidRDefault="0052351E" w:rsidP="007448F5">
      <w:pPr>
        <w:spacing w:line="264" w:lineRule="auto"/>
        <w:rPr>
          <w:sz w:val="25"/>
          <w:szCs w:val="25"/>
        </w:rPr>
      </w:pPr>
    </w:p>
    <w:p w14:paraId="7672917C" w14:textId="25BFCA5C" w:rsidR="00CC5973" w:rsidRDefault="003A7D5D" w:rsidP="007448F5">
      <w:pPr>
        <w:numPr>
          <w:ilvl w:val="0"/>
          <w:numId w:val="10"/>
        </w:numPr>
        <w:spacing w:line="264" w:lineRule="auto"/>
        <w:ind w:hanging="720"/>
        <w:rPr>
          <w:sz w:val="25"/>
          <w:szCs w:val="25"/>
        </w:rPr>
      </w:pPr>
      <w:r>
        <w:rPr>
          <w:sz w:val="25"/>
          <w:szCs w:val="25"/>
        </w:rPr>
        <w:t xml:space="preserve">The Company also requested </w:t>
      </w:r>
      <w:r w:rsidR="002A7C2E" w:rsidRPr="00383C59">
        <w:rPr>
          <w:sz w:val="25"/>
          <w:szCs w:val="25"/>
        </w:rPr>
        <w:t xml:space="preserve">a </w:t>
      </w:r>
      <w:r w:rsidR="0052351E">
        <w:rPr>
          <w:sz w:val="25"/>
          <w:szCs w:val="25"/>
        </w:rPr>
        <w:t xml:space="preserve">natural </w:t>
      </w:r>
      <w:r w:rsidR="002A7C2E" w:rsidRPr="00383C59">
        <w:rPr>
          <w:sz w:val="25"/>
          <w:szCs w:val="25"/>
        </w:rPr>
        <w:t>gas rate increase of $1</w:t>
      </w:r>
      <w:r>
        <w:rPr>
          <w:sz w:val="25"/>
          <w:szCs w:val="25"/>
        </w:rPr>
        <w:t>2</w:t>
      </w:r>
      <w:r w:rsidR="002A7C2E" w:rsidRPr="00383C59">
        <w:rPr>
          <w:sz w:val="25"/>
          <w:szCs w:val="25"/>
        </w:rPr>
        <w:t>.1 million</w:t>
      </w:r>
      <w:r w:rsidR="00142547">
        <w:rPr>
          <w:sz w:val="25"/>
          <w:szCs w:val="25"/>
        </w:rPr>
        <w:t>,</w:t>
      </w:r>
      <w:r w:rsidR="002A7C2E" w:rsidRPr="00383C59">
        <w:rPr>
          <w:sz w:val="25"/>
          <w:szCs w:val="25"/>
        </w:rPr>
        <w:t xml:space="preserve"> or </w:t>
      </w:r>
      <w:r w:rsidR="00DC014B">
        <w:rPr>
          <w:sz w:val="25"/>
          <w:szCs w:val="25"/>
        </w:rPr>
        <w:t>8.1</w:t>
      </w:r>
      <w:r w:rsidR="002A7C2E" w:rsidRPr="00383C59">
        <w:rPr>
          <w:sz w:val="25"/>
          <w:szCs w:val="25"/>
        </w:rPr>
        <w:t xml:space="preserve"> percent.  On </w:t>
      </w:r>
      <w:r w:rsidR="0052351E">
        <w:rPr>
          <w:sz w:val="25"/>
          <w:szCs w:val="25"/>
        </w:rPr>
        <w:t>February 14, 2014</w:t>
      </w:r>
      <w:r w:rsidR="002A7C2E" w:rsidRPr="00383C59">
        <w:rPr>
          <w:sz w:val="25"/>
          <w:szCs w:val="25"/>
        </w:rPr>
        <w:t>, the Commission suspended operation of the tariffs and consolidated the dockets for hearing.</w:t>
      </w:r>
      <w:r w:rsidR="002A7C2E">
        <w:rPr>
          <w:sz w:val="25"/>
          <w:szCs w:val="25"/>
        </w:rPr>
        <w:t xml:space="preserve">  </w:t>
      </w:r>
    </w:p>
    <w:p w14:paraId="24443B82" w14:textId="77777777" w:rsidR="009E271D" w:rsidRPr="00ED0914" w:rsidRDefault="009E271D" w:rsidP="007448F5">
      <w:pPr>
        <w:spacing w:line="264" w:lineRule="auto"/>
        <w:rPr>
          <w:sz w:val="25"/>
          <w:szCs w:val="25"/>
        </w:rPr>
      </w:pPr>
    </w:p>
    <w:p w14:paraId="68ABAEA2" w14:textId="77777777" w:rsidR="00C67FF4" w:rsidRDefault="00C67FF4" w:rsidP="007448F5">
      <w:pPr>
        <w:numPr>
          <w:ilvl w:val="0"/>
          <w:numId w:val="10"/>
        </w:numPr>
        <w:spacing w:line="264" w:lineRule="auto"/>
        <w:ind w:hanging="720"/>
        <w:rPr>
          <w:sz w:val="25"/>
          <w:szCs w:val="25"/>
        </w:rPr>
      </w:pPr>
      <w:r w:rsidRPr="0083198C">
        <w:rPr>
          <w:b/>
          <w:bCs/>
          <w:sz w:val="25"/>
          <w:szCs w:val="25"/>
        </w:rPr>
        <w:t>PARTY REPRESENTATIVES:</w:t>
      </w:r>
      <w:r w:rsidRPr="0083198C">
        <w:rPr>
          <w:sz w:val="25"/>
          <w:szCs w:val="25"/>
        </w:rPr>
        <w:t xml:space="preserve">  </w:t>
      </w:r>
      <w:r w:rsidR="00F753CA">
        <w:rPr>
          <w:sz w:val="25"/>
          <w:szCs w:val="25"/>
        </w:rPr>
        <w:t xml:space="preserve">David J. Meyer, Vice President and Chief Counsel for Regulatory and Governmental Affairs, Spokane, Washington, </w:t>
      </w:r>
      <w:r w:rsidR="00F753CA" w:rsidRPr="0083198C">
        <w:rPr>
          <w:sz w:val="25"/>
          <w:szCs w:val="25"/>
        </w:rPr>
        <w:t>represent</w:t>
      </w:r>
      <w:r w:rsidR="00F753CA">
        <w:rPr>
          <w:sz w:val="25"/>
          <w:szCs w:val="25"/>
        </w:rPr>
        <w:t>s Avista</w:t>
      </w:r>
      <w:r w:rsidR="00F753CA" w:rsidRPr="0083198C">
        <w:rPr>
          <w:sz w:val="25"/>
          <w:szCs w:val="25"/>
        </w:rPr>
        <w:t xml:space="preserve">.  </w:t>
      </w:r>
      <w:r w:rsidR="006B7BB1">
        <w:rPr>
          <w:sz w:val="25"/>
          <w:szCs w:val="25"/>
        </w:rPr>
        <w:t>Brett P. Shearer</w:t>
      </w:r>
      <w:r w:rsidR="00F753CA">
        <w:rPr>
          <w:sz w:val="25"/>
          <w:szCs w:val="25"/>
        </w:rPr>
        <w:t>,</w:t>
      </w:r>
      <w:r w:rsidR="00F753CA" w:rsidRPr="0083198C">
        <w:rPr>
          <w:sz w:val="25"/>
          <w:szCs w:val="25"/>
        </w:rPr>
        <w:t xml:space="preserve"> Assistant Attorney General, Olympia, Washington, represent</w:t>
      </w:r>
      <w:r w:rsidR="006B7BB1">
        <w:rPr>
          <w:sz w:val="25"/>
          <w:szCs w:val="25"/>
        </w:rPr>
        <w:t>s</w:t>
      </w:r>
      <w:r w:rsidR="00F753CA" w:rsidRPr="0083198C">
        <w:rPr>
          <w:sz w:val="25"/>
          <w:szCs w:val="25"/>
        </w:rPr>
        <w:t xml:space="preserve"> </w:t>
      </w:r>
      <w:r w:rsidR="00F753CA">
        <w:rPr>
          <w:sz w:val="25"/>
          <w:szCs w:val="25"/>
        </w:rPr>
        <w:t>the Commission’s regulatory staff (</w:t>
      </w:r>
      <w:r w:rsidR="00F753CA" w:rsidRPr="0083198C">
        <w:rPr>
          <w:sz w:val="25"/>
          <w:szCs w:val="25"/>
        </w:rPr>
        <w:t>Staff</w:t>
      </w:r>
      <w:r w:rsidR="00F753CA">
        <w:rPr>
          <w:sz w:val="25"/>
          <w:szCs w:val="25"/>
        </w:rPr>
        <w:t xml:space="preserve"> or Commission Staff)</w:t>
      </w:r>
      <w:r w:rsidR="00F753CA" w:rsidRPr="0083198C">
        <w:rPr>
          <w:sz w:val="25"/>
          <w:szCs w:val="25"/>
        </w:rPr>
        <w:t>.</w:t>
      </w:r>
      <w:r w:rsidR="00F753CA" w:rsidRPr="00DA5DBB">
        <w:rPr>
          <w:rStyle w:val="FootnoteReference"/>
          <w:bCs/>
          <w:sz w:val="25"/>
          <w:szCs w:val="25"/>
        </w:rPr>
        <w:footnoteReference w:id="1"/>
      </w:r>
      <w:r w:rsidR="006B7BB1">
        <w:rPr>
          <w:sz w:val="25"/>
          <w:szCs w:val="25"/>
        </w:rPr>
        <w:t xml:space="preserve">  Lisa W. Gafken</w:t>
      </w:r>
      <w:r w:rsidR="006B7BB1" w:rsidRPr="0083198C">
        <w:rPr>
          <w:sz w:val="25"/>
          <w:szCs w:val="25"/>
        </w:rPr>
        <w:t xml:space="preserve">, </w:t>
      </w:r>
      <w:r w:rsidR="006B7BB1">
        <w:rPr>
          <w:sz w:val="25"/>
          <w:szCs w:val="25"/>
        </w:rPr>
        <w:t xml:space="preserve">Assistant Attorney General, </w:t>
      </w:r>
      <w:r w:rsidR="006B7BB1" w:rsidRPr="0083198C">
        <w:rPr>
          <w:sz w:val="25"/>
          <w:szCs w:val="25"/>
        </w:rPr>
        <w:t>Seattle, Washington, represent</w:t>
      </w:r>
      <w:r w:rsidR="008343AF">
        <w:rPr>
          <w:sz w:val="25"/>
          <w:szCs w:val="25"/>
        </w:rPr>
        <w:t>s</w:t>
      </w:r>
      <w:r w:rsidR="006B7BB1" w:rsidRPr="0083198C">
        <w:rPr>
          <w:sz w:val="25"/>
          <w:szCs w:val="25"/>
        </w:rPr>
        <w:t xml:space="preserve"> the Public Counsel Section of the Washington </w:t>
      </w:r>
      <w:r w:rsidR="006B7BB1">
        <w:rPr>
          <w:sz w:val="25"/>
          <w:szCs w:val="25"/>
        </w:rPr>
        <w:t xml:space="preserve">State </w:t>
      </w:r>
      <w:r w:rsidR="006B7BB1" w:rsidRPr="0083198C">
        <w:rPr>
          <w:sz w:val="25"/>
          <w:szCs w:val="25"/>
        </w:rPr>
        <w:t>Attorney General</w:t>
      </w:r>
      <w:r w:rsidR="006B7BB1">
        <w:rPr>
          <w:sz w:val="25"/>
          <w:szCs w:val="25"/>
        </w:rPr>
        <w:t>’s Office</w:t>
      </w:r>
      <w:r w:rsidR="006B7BB1" w:rsidRPr="0083198C">
        <w:rPr>
          <w:sz w:val="25"/>
          <w:szCs w:val="25"/>
        </w:rPr>
        <w:t xml:space="preserve"> (Public Counsel).  </w:t>
      </w:r>
    </w:p>
    <w:p w14:paraId="1D5776D6" w14:textId="77777777" w:rsidR="00F753CA" w:rsidRDefault="00F753CA" w:rsidP="007448F5">
      <w:pPr>
        <w:pStyle w:val="ListParagraph"/>
        <w:spacing w:line="264" w:lineRule="auto"/>
        <w:rPr>
          <w:sz w:val="25"/>
          <w:szCs w:val="25"/>
        </w:rPr>
      </w:pPr>
    </w:p>
    <w:p w14:paraId="3F76BE7E" w14:textId="77777777" w:rsidR="00F753CA" w:rsidRPr="000845FD" w:rsidRDefault="00F753CA" w:rsidP="007448F5">
      <w:pPr>
        <w:numPr>
          <w:ilvl w:val="0"/>
          <w:numId w:val="10"/>
        </w:numPr>
        <w:spacing w:line="264" w:lineRule="auto"/>
        <w:ind w:hanging="720"/>
        <w:rPr>
          <w:sz w:val="25"/>
          <w:szCs w:val="25"/>
        </w:rPr>
      </w:pPr>
      <w:r>
        <w:rPr>
          <w:sz w:val="25"/>
          <w:szCs w:val="25"/>
        </w:rPr>
        <w:t>Melinda J. Davison and Joshua D. Weber</w:t>
      </w:r>
      <w:r w:rsidRPr="0083198C">
        <w:rPr>
          <w:sz w:val="25"/>
          <w:szCs w:val="25"/>
        </w:rPr>
        <w:t xml:space="preserve">, Davison Van Cleve, P.C., Portland, Oregon, represent the Industrial Customers of Northwest Utilities (ICNU).  </w:t>
      </w:r>
      <w:r>
        <w:rPr>
          <w:sz w:val="25"/>
          <w:szCs w:val="25"/>
        </w:rPr>
        <w:t>Ronald L. Roseman, Attorney, Seattle, Washington, repr</w:t>
      </w:r>
      <w:r w:rsidRPr="0083198C">
        <w:rPr>
          <w:sz w:val="25"/>
          <w:szCs w:val="25"/>
        </w:rPr>
        <w:t>esents The Energy Project</w:t>
      </w:r>
      <w:r>
        <w:rPr>
          <w:sz w:val="25"/>
          <w:szCs w:val="25"/>
        </w:rPr>
        <w:t xml:space="preserve">.  Chad M. Stokes and Tommy A. Brooks, Cable Huston, Portland, Oregon, represent the Northwest Industrial Gas Users (NWIGU).  </w:t>
      </w:r>
    </w:p>
    <w:p w14:paraId="4976BDF1" w14:textId="77777777" w:rsidR="00BE352E" w:rsidRPr="00DA5DBB" w:rsidRDefault="00BE352E" w:rsidP="007448F5">
      <w:pPr>
        <w:spacing w:line="264" w:lineRule="auto"/>
        <w:rPr>
          <w:sz w:val="25"/>
          <w:szCs w:val="25"/>
        </w:rPr>
      </w:pPr>
    </w:p>
    <w:p w14:paraId="6B619C0B" w14:textId="77777777" w:rsidR="003C113B" w:rsidRDefault="009E271D" w:rsidP="007448F5">
      <w:pPr>
        <w:numPr>
          <w:ilvl w:val="0"/>
          <w:numId w:val="10"/>
        </w:numPr>
        <w:spacing w:line="264" w:lineRule="auto"/>
        <w:ind w:hanging="720"/>
        <w:rPr>
          <w:sz w:val="25"/>
          <w:szCs w:val="25"/>
        </w:rPr>
      </w:pPr>
      <w:r>
        <w:rPr>
          <w:b/>
          <w:sz w:val="25"/>
          <w:szCs w:val="25"/>
        </w:rPr>
        <w:lastRenderedPageBreak/>
        <w:t>COMMISSION DETERMINATION</w:t>
      </w:r>
      <w:r w:rsidR="00BF6B15">
        <w:rPr>
          <w:b/>
          <w:sz w:val="25"/>
          <w:szCs w:val="25"/>
        </w:rPr>
        <w:t>S</w:t>
      </w:r>
      <w:r>
        <w:rPr>
          <w:b/>
          <w:sz w:val="25"/>
          <w:szCs w:val="25"/>
        </w:rPr>
        <w:t>:</w:t>
      </w:r>
      <w:r>
        <w:rPr>
          <w:sz w:val="25"/>
          <w:szCs w:val="25"/>
        </w:rPr>
        <w:t xml:space="preserve">  </w:t>
      </w:r>
      <w:r w:rsidR="00A7125C">
        <w:rPr>
          <w:sz w:val="25"/>
          <w:szCs w:val="25"/>
        </w:rPr>
        <w:t>The Commission approves and adopts the proposed Settlement Stipulation (Settlement) with the following conditions:</w:t>
      </w:r>
    </w:p>
    <w:p w14:paraId="1AAC3581" w14:textId="77777777" w:rsidR="001869E4" w:rsidRDefault="001869E4" w:rsidP="007448F5">
      <w:pPr>
        <w:pStyle w:val="ListParagraph"/>
        <w:spacing w:line="264" w:lineRule="auto"/>
        <w:rPr>
          <w:sz w:val="25"/>
          <w:szCs w:val="25"/>
        </w:rPr>
      </w:pPr>
    </w:p>
    <w:p w14:paraId="5B8D51BB" w14:textId="77777777" w:rsidR="001869E4" w:rsidRPr="001869E4" w:rsidRDefault="001869E4" w:rsidP="007448F5">
      <w:pPr>
        <w:spacing w:line="264" w:lineRule="auto"/>
        <w:rPr>
          <w:i/>
          <w:sz w:val="25"/>
          <w:szCs w:val="25"/>
          <w:u w:val="single"/>
        </w:rPr>
      </w:pPr>
      <w:r w:rsidRPr="001869E4">
        <w:rPr>
          <w:i/>
          <w:sz w:val="25"/>
          <w:szCs w:val="25"/>
          <w:u w:val="single"/>
        </w:rPr>
        <w:t>Decoupling Mechanisms and Third-Party Evaluator</w:t>
      </w:r>
    </w:p>
    <w:p w14:paraId="578551CB" w14:textId="77777777" w:rsidR="00A7125C" w:rsidRDefault="00A7125C" w:rsidP="007448F5">
      <w:pPr>
        <w:pStyle w:val="ListParagraph"/>
        <w:spacing w:line="264" w:lineRule="auto"/>
        <w:rPr>
          <w:sz w:val="25"/>
          <w:szCs w:val="25"/>
        </w:rPr>
      </w:pPr>
    </w:p>
    <w:p w14:paraId="309FB0F0" w14:textId="567D51BD" w:rsidR="002047B5" w:rsidRDefault="00DC014B" w:rsidP="007448F5">
      <w:pPr>
        <w:numPr>
          <w:ilvl w:val="0"/>
          <w:numId w:val="44"/>
        </w:numPr>
        <w:spacing w:line="264" w:lineRule="auto"/>
        <w:rPr>
          <w:sz w:val="25"/>
          <w:szCs w:val="25"/>
        </w:rPr>
      </w:pPr>
      <w:r>
        <w:rPr>
          <w:sz w:val="25"/>
          <w:szCs w:val="25"/>
        </w:rPr>
        <w:t>Avista must consult with its C</w:t>
      </w:r>
      <w:r w:rsidR="00A7125C">
        <w:rPr>
          <w:sz w:val="25"/>
          <w:szCs w:val="25"/>
        </w:rPr>
        <w:t>o</w:t>
      </w:r>
      <w:r>
        <w:rPr>
          <w:sz w:val="25"/>
          <w:szCs w:val="25"/>
        </w:rPr>
        <w:t>nservation Advisory G</w:t>
      </w:r>
      <w:r w:rsidR="00A7125C">
        <w:rPr>
          <w:sz w:val="25"/>
          <w:szCs w:val="25"/>
        </w:rPr>
        <w:t xml:space="preserve">roup when developing the request for proposal </w:t>
      </w:r>
      <w:r w:rsidR="001869E4">
        <w:rPr>
          <w:sz w:val="25"/>
          <w:szCs w:val="25"/>
        </w:rPr>
        <w:t xml:space="preserve">(RFP) </w:t>
      </w:r>
      <w:r w:rsidR="00A7125C">
        <w:rPr>
          <w:sz w:val="25"/>
          <w:szCs w:val="25"/>
        </w:rPr>
        <w:t xml:space="preserve">for the third-party evaluator </w:t>
      </w:r>
      <w:r w:rsidR="001869E4">
        <w:rPr>
          <w:sz w:val="25"/>
          <w:szCs w:val="25"/>
        </w:rPr>
        <w:t xml:space="preserve">tasked with reviewing the Company’s </w:t>
      </w:r>
      <w:r w:rsidR="004F0674">
        <w:rPr>
          <w:sz w:val="25"/>
          <w:szCs w:val="25"/>
        </w:rPr>
        <w:t>five-</w:t>
      </w:r>
      <w:r w:rsidR="001869E4">
        <w:rPr>
          <w:sz w:val="25"/>
          <w:szCs w:val="25"/>
        </w:rPr>
        <w:t>year electric and natural gas decoupling mechanisms as well as the selection of the evaluator</w:t>
      </w:r>
      <w:r w:rsidR="00142547">
        <w:rPr>
          <w:sz w:val="25"/>
          <w:szCs w:val="25"/>
        </w:rPr>
        <w:t>.</w:t>
      </w:r>
    </w:p>
    <w:p w14:paraId="7953B902" w14:textId="0924B32D" w:rsidR="001869E4" w:rsidRDefault="001869E4" w:rsidP="007448F5">
      <w:pPr>
        <w:numPr>
          <w:ilvl w:val="0"/>
          <w:numId w:val="44"/>
        </w:numPr>
        <w:spacing w:line="264" w:lineRule="auto"/>
        <w:rPr>
          <w:sz w:val="25"/>
          <w:szCs w:val="25"/>
        </w:rPr>
      </w:pPr>
      <w:r>
        <w:rPr>
          <w:sz w:val="25"/>
          <w:szCs w:val="25"/>
        </w:rPr>
        <w:t xml:space="preserve">After incorporating input from its advisory group, Avista must file its RFP with the Commission, including the scope of the </w:t>
      </w:r>
      <w:r w:rsidR="00DC014B">
        <w:rPr>
          <w:sz w:val="25"/>
          <w:szCs w:val="25"/>
        </w:rPr>
        <w:t>evaluation query</w:t>
      </w:r>
      <w:r>
        <w:rPr>
          <w:sz w:val="25"/>
          <w:szCs w:val="25"/>
        </w:rPr>
        <w:t>, for approval</w:t>
      </w:r>
      <w:r w:rsidR="0063159C">
        <w:rPr>
          <w:sz w:val="25"/>
          <w:szCs w:val="25"/>
        </w:rPr>
        <w:t>.</w:t>
      </w:r>
    </w:p>
    <w:p w14:paraId="1BED690E" w14:textId="45140E0D" w:rsidR="001869E4" w:rsidRDefault="001869E4" w:rsidP="007448F5">
      <w:pPr>
        <w:numPr>
          <w:ilvl w:val="0"/>
          <w:numId w:val="44"/>
        </w:numPr>
        <w:spacing w:line="264" w:lineRule="auto"/>
        <w:rPr>
          <w:sz w:val="25"/>
          <w:szCs w:val="25"/>
        </w:rPr>
      </w:pPr>
      <w:r w:rsidRPr="001869E4">
        <w:rPr>
          <w:sz w:val="25"/>
          <w:szCs w:val="25"/>
        </w:rPr>
        <w:t xml:space="preserve">At a minimum, the third-party evaluation must address decoupling’s effect on revenues, </w:t>
      </w:r>
      <w:r w:rsidR="0063159C">
        <w:rPr>
          <w:sz w:val="25"/>
          <w:szCs w:val="25"/>
        </w:rPr>
        <w:t>its</w:t>
      </w:r>
      <w:r w:rsidRPr="001869E4">
        <w:rPr>
          <w:sz w:val="25"/>
          <w:szCs w:val="25"/>
        </w:rPr>
        <w:t xml:space="preserve"> impact on conservation, the extent </w:t>
      </w:r>
      <w:r w:rsidR="0063159C">
        <w:rPr>
          <w:sz w:val="25"/>
          <w:szCs w:val="25"/>
        </w:rPr>
        <w:t xml:space="preserve">to which </w:t>
      </w:r>
      <w:r w:rsidRPr="001869E4">
        <w:rPr>
          <w:sz w:val="25"/>
          <w:szCs w:val="25"/>
        </w:rPr>
        <w:t xml:space="preserve">the allowed revenues are recovering their allocated cost of service by customer class, and </w:t>
      </w:r>
      <w:r w:rsidR="0063159C">
        <w:rPr>
          <w:sz w:val="25"/>
          <w:szCs w:val="25"/>
        </w:rPr>
        <w:t>the</w:t>
      </w:r>
      <w:r w:rsidR="0008508B">
        <w:rPr>
          <w:sz w:val="25"/>
          <w:szCs w:val="25"/>
        </w:rPr>
        <w:t xml:space="preserve"> extent</w:t>
      </w:r>
      <w:r w:rsidR="0008508B" w:rsidRPr="001869E4">
        <w:rPr>
          <w:sz w:val="25"/>
          <w:szCs w:val="25"/>
        </w:rPr>
        <w:t xml:space="preserve"> </w:t>
      </w:r>
      <w:r w:rsidR="0063159C">
        <w:rPr>
          <w:sz w:val="25"/>
          <w:szCs w:val="25"/>
        </w:rPr>
        <w:t xml:space="preserve">to which </w:t>
      </w:r>
      <w:r w:rsidRPr="001869E4">
        <w:rPr>
          <w:sz w:val="25"/>
          <w:szCs w:val="25"/>
        </w:rPr>
        <w:t>fixed costs are recovered in fixed charges for the customer classes excluded from the decoupling mechanisms.</w:t>
      </w:r>
    </w:p>
    <w:p w14:paraId="7DE40424" w14:textId="77777777" w:rsidR="001869E4" w:rsidRDefault="001869E4" w:rsidP="007448F5">
      <w:pPr>
        <w:spacing w:line="264" w:lineRule="auto"/>
        <w:ind w:left="360"/>
        <w:rPr>
          <w:sz w:val="25"/>
          <w:szCs w:val="25"/>
        </w:rPr>
      </w:pPr>
    </w:p>
    <w:p w14:paraId="2F7FD2EA" w14:textId="77777777" w:rsidR="001869E4" w:rsidRDefault="001869E4" w:rsidP="007448F5">
      <w:pPr>
        <w:spacing w:line="264" w:lineRule="auto"/>
        <w:rPr>
          <w:i/>
          <w:sz w:val="25"/>
          <w:szCs w:val="25"/>
          <w:u w:val="single"/>
        </w:rPr>
      </w:pPr>
      <w:r w:rsidRPr="001869E4">
        <w:rPr>
          <w:i/>
          <w:sz w:val="25"/>
          <w:szCs w:val="25"/>
          <w:u w:val="single"/>
        </w:rPr>
        <w:t>LIRAP</w:t>
      </w:r>
    </w:p>
    <w:p w14:paraId="55CB1BF8" w14:textId="77777777" w:rsidR="001869E4" w:rsidRDefault="001869E4" w:rsidP="007448F5">
      <w:pPr>
        <w:spacing w:line="264" w:lineRule="auto"/>
        <w:ind w:left="360"/>
        <w:rPr>
          <w:sz w:val="25"/>
          <w:szCs w:val="25"/>
        </w:rPr>
      </w:pPr>
    </w:p>
    <w:p w14:paraId="59990AB2" w14:textId="77777777" w:rsidR="0063159C" w:rsidRDefault="0063159C" w:rsidP="000A341B">
      <w:pPr>
        <w:numPr>
          <w:ilvl w:val="0"/>
          <w:numId w:val="45"/>
        </w:numPr>
        <w:spacing w:line="264" w:lineRule="auto"/>
        <w:ind w:left="720"/>
        <w:rPr>
          <w:sz w:val="25"/>
          <w:szCs w:val="25"/>
        </w:rPr>
      </w:pPr>
      <w:r w:rsidRPr="0063159C">
        <w:rPr>
          <w:sz w:val="25"/>
          <w:szCs w:val="25"/>
        </w:rPr>
        <w:t>Avista must double f</w:t>
      </w:r>
      <w:r w:rsidR="001869E4" w:rsidRPr="0063159C">
        <w:rPr>
          <w:sz w:val="25"/>
          <w:szCs w:val="25"/>
        </w:rPr>
        <w:t xml:space="preserve">unding for </w:t>
      </w:r>
      <w:r w:rsidR="00DC014B" w:rsidRPr="0063159C">
        <w:rPr>
          <w:sz w:val="25"/>
          <w:szCs w:val="25"/>
        </w:rPr>
        <w:t>the l</w:t>
      </w:r>
      <w:r w:rsidR="001869E4" w:rsidRPr="0063159C">
        <w:rPr>
          <w:sz w:val="25"/>
          <w:szCs w:val="25"/>
        </w:rPr>
        <w:t xml:space="preserve">ow </w:t>
      </w:r>
      <w:r w:rsidR="00DC014B" w:rsidRPr="0063159C">
        <w:rPr>
          <w:sz w:val="25"/>
          <w:szCs w:val="25"/>
        </w:rPr>
        <w:t>income rate assistance p</w:t>
      </w:r>
      <w:r w:rsidR="001869E4" w:rsidRPr="0063159C">
        <w:rPr>
          <w:sz w:val="25"/>
          <w:szCs w:val="25"/>
        </w:rPr>
        <w:t xml:space="preserve">rogram (LIRAP) from the </w:t>
      </w:r>
      <w:r w:rsidRPr="0063159C">
        <w:rPr>
          <w:sz w:val="25"/>
          <w:szCs w:val="25"/>
        </w:rPr>
        <w:t xml:space="preserve">amount </w:t>
      </w:r>
      <w:r w:rsidR="001869E4" w:rsidRPr="0063159C">
        <w:rPr>
          <w:sz w:val="25"/>
          <w:szCs w:val="25"/>
        </w:rPr>
        <w:t>proposed in the Settlement</w:t>
      </w:r>
      <w:r w:rsidRPr="0063159C">
        <w:rPr>
          <w:sz w:val="25"/>
          <w:szCs w:val="25"/>
        </w:rPr>
        <w:t>.</w:t>
      </w:r>
    </w:p>
    <w:p w14:paraId="5FFAEC8D" w14:textId="3C326CA9" w:rsidR="001869E4" w:rsidRPr="0063159C" w:rsidRDefault="0008508B" w:rsidP="000A341B">
      <w:pPr>
        <w:numPr>
          <w:ilvl w:val="0"/>
          <w:numId w:val="45"/>
        </w:numPr>
        <w:spacing w:line="264" w:lineRule="auto"/>
        <w:ind w:left="720"/>
        <w:rPr>
          <w:sz w:val="25"/>
          <w:szCs w:val="25"/>
        </w:rPr>
      </w:pPr>
      <w:r w:rsidRPr="0063159C">
        <w:rPr>
          <w:sz w:val="25"/>
          <w:szCs w:val="25"/>
        </w:rPr>
        <w:t>Using Staff’s proposed pilot program as a basis, t</w:t>
      </w:r>
      <w:r w:rsidR="0070692B" w:rsidRPr="0063159C">
        <w:rPr>
          <w:sz w:val="25"/>
          <w:szCs w:val="25"/>
        </w:rPr>
        <w:t xml:space="preserve">he parties should work together to file mutually agreed upon </w:t>
      </w:r>
      <w:r w:rsidR="00DC014B" w:rsidRPr="0063159C">
        <w:rPr>
          <w:sz w:val="25"/>
          <w:szCs w:val="25"/>
        </w:rPr>
        <w:t>additions and modifications to</w:t>
      </w:r>
      <w:r w:rsidR="0070692B" w:rsidRPr="0063159C">
        <w:rPr>
          <w:sz w:val="25"/>
          <w:szCs w:val="25"/>
        </w:rPr>
        <w:t xml:space="preserve"> </w:t>
      </w:r>
      <w:r w:rsidR="0063159C">
        <w:rPr>
          <w:sz w:val="25"/>
          <w:szCs w:val="25"/>
        </w:rPr>
        <w:t xml:space="preserve">the </w:t>
      </w:r>
      <w:r w:rsidR="0070692B" w:rsidRPr="0063159C">
        <w:rPr>
          <w:sz w:val="25"/>
          <w:szCs w:val="25"/>
        </w:rPr>
        <w:t>LIRAP</w:t>
      </w:r>
      <w:r w:rsidR="0063159C">
        <w:rPr>
          <w:sz w:val="25"/>
          <w:szCs w:val="25"/>
        </w:rPr>
        <w:t>.</w:t>
      </w:r>
      <w:r w:rsidR="0070692B" w:rsidRPr="0063159C">
        <w:rPr>
          <w:sz w:val="25"/>
          <w:szCs w:val="25"/>
        </w:rPr>
        <w:t xml:space="preserve"> </w:t>
      </w:r>
      <w:r w:rsidR="0063159C">
        <w:rPr>
          <w:sz w:val="25"/>
          <w:szCs w:val="25"/>
        </w:rPr>
        <w:t xml:space="preserve"> If</w:t>
      </w:r>
      <w:r w:rsidR="0070692B" w:rsidRPr="0063159C">
        <w:rPr>
          <w:sz w:val="25"/>
          <w:szCs w:val="25"/>
        </w:rPr>
        <w:t xml:space="preserve"> the parties cannot agree upon modifications or additions to the program they </w:t>
      </w:r>
      <w:r w:rsidR="00DC014B" w:rsidRPr="0063159C">
        <w:rPr>
          <w:sz w:val="25"/>
          <w:szCs w:val="25"/>
        </w:rPr>
        <w:t>should</w:t>
      </w:r>
      <w:r w:rsidR="0070692B" w:rsidRPr="0063159C">
        <w:rPr>
          <w:sz w:val="25"/>
          <w:szCs w:val="25"/>
        </w:rPr>
        <w:t xml:space="preserve"> file </w:t>
      </w:r>
      <w:r w:rsidRPr="0063159C">
        <w:rPr>
          <w:sz w:val="25"/>
          <w:szCs w:val="25"/>
        </w:rPr>
        <w:t xml:space="preserve">alternative or </w:t>
      </w:r>
      <w:r w:rsidR="0070692B" w:rsidRPr="0063159C">
        <w:rPr>
          <w:sz w:val="25"/>
          <w:szCs w:val="25"/>
        </w:rPr>
        <w:t xml:space="preserve">competing proposals with the Commission </w:t>
      </w:r>
      <w:r w:rsidR="003A12AE" w:rsidRPr="0063159C">
        <w:rPr>
          <w:sz w:val="25"/>
          <w:szCs w:val="25"/>
        </w:rPr>
        <w:t>no later than June 1, 2015.</w:t>
      </w:r>
    </w:p>
    <w:p w14:paraId="3851C898" w14:textId="77777777" w:rsidR="00B0094B" w:rsidRDefault="00B0094B" w:rsidP="007448F5">
      <w:pPr>
        <w:spacing w:line="264" w:lineRule="auto"/>
        <w:rPr>
          <w:sz w:val="25"/>
          <w:szCs w:val="25"/>
        </w:rPr>
      </w:pPr>
    </w:p>
    <w:p w14:paraId="34895439" w14:textId="77777777" w:rsidR="00B0094B" w:rsidRDefault="00B0094B" w:rsidP="007448F5">
      <w:pPr>
        <w:spacing w:line="264" w:lineRule="auto"/>
        <w:rPr>
          <w:sz w:val="25"/>
          <w:szCs w:val="25"/>
        </w:rPr>
      </w:pPr>
      <w:r>
        <w:rPr>
          <w:i/>
          <w:sz w:val="25"/>
          <w:szCs w:val="25"/>
          <w:u w:val="single"/>
        </w:rPr>
        <w:t>Attrition</w:t>
      </w:r>
    </w:p>
    <w:p w14:paraId="1370E2DB" w14:textId="77777777" w:rsidR="00B0094B" w:rsidRDefault="00B0094B" w:rsidP="007448F5">
      <w:pPr>
        <w:spacing w:line="264" w:lineRule="auto"/>
        <w:ind w:left="180"/>
        <w:rPr>
          <w:sz w:val="25"/>
          <w:szCs w:val="25"/>
        </w:rPr>
      </w:pPr>
    </w:p>
    <w:p w14:paraId="6CBB9E5C" w14:textId="326E060F" w:rsidR="00B0094B" w:rsidRPr="00C8056B" w:rsidRDefault="00C8056B" w:rsidP="007448F5">
      <w:pPr>
        <w:numPr>
          <w:ilvl w:val="0"/>
          <w:numId w:val="48"/>
        </w:numPr>
        <w:spacing w:line="264" w:lineRule="auto"/>
        <w:ind w:left="720" w:hanging="450"/>
        <w:rPr>
          <w:sz w:val="25"/>
          <w:szCs w:val="25"/>
        </w:rPr>
      </w:pPr>
      <w:r w:rsidRPr="00C8056B">
        <w:rPr>
          <w:sz w:val="25"/>
          <w:szCs w:val="25"/>
        </w:rPr>
        <w:t xml:space="preserve">Staff </w:t>
      </w:r>
      <w:r w:rsidR="0063159C">
        <w:rPr>
          <w:sz w:val="25"/>
          <w:szCs w:val="25"/>
        </w:rPr>
        <w:t>will</w:t>
      </w:r>
      <w:r w:rsidRPr="00C8056B">
        <w:rPr>
          <w:sz w:val="25"/>
          <w:szCs w:val="25"/>
        </w:rPr>
        <w:t xml:space="preserve"> open an investigatory docket </w:t>
      </w:r>
      <w:r>
        <w:rPr>
          <w:sz w:val="25"/>
          <w:szCs w:val="25"/>
        </w:rPr>
        <w:t>to facilitate</w:t>
      </w:r>
      <w:r w:rsidRPr="00C8056B">
        <w:rPr>
          <w:sz w:val="25"/>
          <w:szCs w:val="25"/>
        </w:rPr>
        <w:t xml:space="preserve"> discuss</w:t>
      </w:r>
      <w:r w:rsidR="00DC014B">
        <w:rPr>
          <w:sz w:val="25"/>
          <w:szCs w:val="25"/>
        </w:rPr>
        <w:t>ion</w:t>
      </w:r>
      <w:r w:rsidRPr="00C8056B">
        <w:rPr>
          <w:sz w:val="25"/>
          <w:szCs w:val="25"/>
        </w:rPr>
        <w:t xml:space="preserve"> </w:t>
      </w:r>
      <w:r>
        <w:rPr>
          <w:sz w:val="25"/>
          <w:szCs w:val="25"/>
        </w:rPr>
        <w:t xml:space="preserve">of </w:t>
      </w:r>
      <w:r w:rsidRPr="00C8056B">
        <w:rPr>
          <w:sz w:val="25"/>
          <w:szCs w:val="25"/>
        </w:rPr>
        <w:t>attrition and other rate making policy issues.</w:t>
      </w:r>
    </w:p>
    <w:p w14:paraId="74B70F1A" w14:textId="2C0F5184" w:rsidR="00682321" w:rsidRDefault="00682321">
      <w:pPr>
        <w:rPr>
          <w:b/>
          <w:bCs/>
          <w:kern w:val="32"/>
          <w:sz w:val="25"/>
          <w:szCs w:val="25"/>
          <w:u w:val="single"/>
        </w:rPr>
      </w:pPr>
      <w:bookmarkStart w:id="3" w:name="_Toc249233755"/>
      <w:bookmarkStart w:id="4" w:name="_Toc249252783"/>
      <w:bookmarkStart w:id="5" w:name="OLE_LINK3"/>
      <w:bookmarkStart w:id="6" w:name="OLE_LINK4"/>
      <w:r>
        <w:rPr>
          <w:sz w:val="25"/>
          <w:szCs w:val="25"/>
          <w:u w:val="single"/>
        </w:rPr>
        <w:br w:type="page"/>
      </w:r>
    </w:p>
    <w:p w14:paraId="62B70546" w14:textId="77777777" w:rsidR="003D42C5" w:rsidRDefault="003D42C5" w:rsidP="007448F5">
      <w:pPr>
        <w:pStyle w:val="Heading1"/>
        <w:spacing w:before="0" w:after="0" w:line="264" w:lineRule="auto"/>
        <w:jc w:val="center"/>
        <w:rPr>
          <w:rFonts w:ascii="Times New Roman" w:hAnsi="Times New Roman" w:cs="Times New Roman"/>
          <w:sz w:val="25"/>
          <w:szCs w:val="25"/>
          <w:u w:val="single"/>
        </w:rPr>
      </w:pPr>
    </w:p>
    <w:p w14:paraId="2DCB5700" w14:textId="77777777" w:rsidR="00851753" w:rsidRPr="000960FC" w:rsidRDefault="002B79EA" w:rsidP="007448F5">
      <w:pPr>
        <w:pStyle w:val="Heading1"/>
        <w:spacing w:before="0" w:after="0" w:line="264" w:lineRule="auto"/>
        <w:jc w:val="center"/>
        <w:rPr>
          <w:rFonts w:ascii="Times New Roman" w:hAnsi="Times New Roman" w:cs="Times New Roman"/>
          <w:sz w:val="25"/>
          <w:szCs w:val="25"/>
          <w:u w:val="single"/>
        </w:rPr>
      </w:pPr>
      <w:r w:rsidRPr="000960FC">
        <w:rPr>
          <w:rFonts w:ascii="Times New Roman" w:hAnsi="Times New Roman" w:cs="Times New Roman"/>
          <w:sz w:val="25"/>
          <w:szCs w:val="25"/>
          <w:u w:val="single"/>
        </w:rPr>
        <w:t>MEMORANDUM</w:t>
      </w:r>
      <w:bookmarkEnd w:id="3"/>
      <w:bookmarkEnd w:id="4"/>
    </w:p>
    <w:p w14:paraId="6CD56CE5" w14:textId="77777777" w:rsidR="006E38C1" w:rsidRDefault="006E38C1" w:rsidP="007448F5">
      <w:pPr>
        <w:pStyle w:val="NoSpacing"/>
        <w:spacing w:line="264" w:lineRule="auto"/>
      </w:pPr>
    </w:p>
    <w:p w14:paraId="52BF7B7C" w14:textId="77777777" w:rsidR="002B79EA" w:rsidRPr="000960FC" w:rsidRDefault="002B79EA" w:rsidP="007448F5">
      <w:pPr>
        <w:pStyle w:val="Heading2"/>
        <w:spacing w:line="264" w:lineRule="auto"/>
        <w:jc w:val="left"/>
        <w:rPr>
          <w:b/>
          <w:sz w:val="25"/>
          <w:szCs w:val="25"/>
          <w:u w:val="none"/>
        </w:rPr>
      </w:pPr>
      <w:bookmarkStart w:id="7" w:name="_Toc249233756"/>
      <w:bookmarkStart w:id="8" w:name="_Toc249252784"/>
      <w:r w:rsidRPr="000960FC">
        <w:rPr>
          <w:b/>
          <w:sz w:val="25"/>
          <w:szCs w:val="25"/>
          <w:u w:val="none"/>
        </w:rPr>
        <w:t xml:space="preserve">I. </w:t>
      </w:r>
      <w:r w:rsidRPr="000960FC">
        <w:rPr>
          <w:b/>
          <w:sz w:val="25"/>
          <w:szCs w:val="25"/>
          <w:u w:val="none"/>
        </w:rPr>
        <w:tab/>
        <w:t>Background and Procedural History</w:t>
      </w:r>
      <w:bookmarkEnd w:id="7"/>
      <w:bookmarkEnd w:id="8"/>
    </w:p>
    <w:p w14:paraId="16F12C46" w14:textId="77777777" w:rsidR="002B79EA" w:rsidRDefault="002B79EA" w:rsidP="007448F5">
      <w:pPr>
        <w:pStyle w:val="NoSpacing"/>
        <w:spacing w:line="264" w:lineRule="auto"/>
      </w:pPr>
    </w:p>
    <w:p w14:paraId="3D3C464E" w14:textId="01C07512" w:rsidR="00C03AE9" w:rsidRPr="00E33972" w:rsidRDefault="003C113B" w:rsidP="007448F5">
      <w:pPr>
        <w:keepNext/>
        <w:numPr>
          <w:ilvl w:val="0"/>
          <w:numId w:val="10"/>
        </w:numPr>
        <w:spacing w:line="264" w:lineRule="auto"/>
        <w:ind w:hanging="720"/>
        <w:rPr>
          <w:sz w:val="25"/>
          <w:szCs w:val="25"/>
        </w:rPr>
      </w:pPr>
      <w:r w:rsidRPr="00E33972">
        <w:rPr>
          <w:bCs/>
          <w:sz w:val="25"/>
          <w:szCs w:val="25"/>
        </w:rPr>
        <w:t xml:space="preserve">On February 4, 2014, Avista </w:t>
      </w:r>
      <w:r w:rsidRPr="00E33972">
        <w:rPr>
          <w:sz w:val="25"/>
          <w:szCs w:val="25"/>
        </w:rPr>
        <w:t>filed revisions to its currently effective Tariff WN U-28, Electric Service</w:t>
      </w:r>
      <w:r w:rsidR="00E33972" w:rsidRPr="00E33972">
        <w:rPr>
          <w:sz w:val="25"/>
          <w:szCs w:val="25"/>
        </w:rPr>
        <w:t>,</w:t>
      </w:r>
      <w:r w:rsidRPr="00E33972">
        <w:rPr>
          <w:sz w:val="25"/>
          <w:szCs w:val="25"/>
        </w:rPr>
        <w:t xml:space="preserve"> and Tariff WN U-29, Gas Service.  </w:t>
      </w:r>
      <w:r w:rsidR="00E33972" w:rsidRPr="00E33972">
        <w:rPr>
          <w:sz w:val="25"/>
          <w:szCs w:val="25"/>
        </w:rPr>
        <w:t>The Company</w:t>
      </w:r>
      <w:r w:rsidRPr="00E33972">
        <w:rPr>
          <w:sz w:val="25"/>
          <w:szCs w:val="25"/>
        </w:rPr>
        <w:t xml:space="preserve"> request</w:t>
      </w:r>
      <w:r w:rsidR="00DC014B" w:rsidRPr="00E33972">
        <w:rPr>
          <w:sz w:val="25"/>
          <w:szCs w:val="25"/>
        </w:rPr>
        <w:t>ed</w:t>
      </w:r>
      <w:r w:rsidRPr="00E33972">
        <w:rPr>
          <w:sz w:val="25"/>
          <w:szCs w:val="25"/>
        </w:rPr>
        <w:t xml:space="preserve"> authority to increase charges and rates for electric service by approximately $18.2 million</w:t>
      </w:r>
      <w:r w:rsidR="00A65711">
        <w:rPr>
          <w:sz w:val="25"/>
          <w:szCs w:val="25"/>
        </w:rPr>
        <w:t>,</w:t>
      </w:r>
      <w:r w:rsidRPr="00E33972">
        <w:rPr>
          <w:sz w:val="25"/>
          <w:szCs w:val="25"/>
        </w:rPr>
        <w:t xml:space="preserve"> or 3.8 percent.  The Company also requested a natural gas rate increase of $12.1 million</w:t>
      </w:r>
      <w:r w:rsidR="00A65711">
        <w:rPr>
          <w:sz w:val="25"/>
          <w:szCs w:val="25"/>
        </w:rPr>
        <w:t>,</w:t>
      </w:r>
      <w:r w:rsidRPr="00E33972">
        <w:rPr>
          <w:sz w:val="25"/>
          <w:szCs w:val="25"/>
        </w:rPr>
        <w:t xml:space="preserve"> or </w:t>
      </w:r>
      <w:r w:rsidR="00A03326" w:rsidRPr="00E33972">
        <w:rPr>
          <w:sz w:val="25"/>
          <w:szCs w:val="25"/>
        </w:rPr>
        <w:t>8.1</w:t>
      </w:r>
      <w:r w:rsidRPr="00E33972">
        <w:rPr>
          <w:sz w:val="25"/>
          <w:szCs w:val="25"/>
        </w:rPr>
        <w:t xml:space="preserve"> percent.  On February 14, 2014, the Commission suspended operation of the tariffs and consolidated the dockets for hearing.</w:t>
      </w:r>
    </w:p>
    <w:p w14:paraId="7AD0131A" w14:textId="77777777" w:rsidR="005576A7" w:rsidRDefault="005576A7" w:rsidP="007448F5">
      <w:pPr>
        <w:keepNext/>
        <w:spacing w:line="264" w:lineRule="auto"/>
        <w:rPr>
          <w:sz w:val="25"/>
          <w:szCs w:val="25"/>
        </w:rPr>
      </w:pPr>
    </w:p>
    <w:p w14:paraId="67914FF6" w14:textId="441D1BC1" w:rsidR="00ED4934" w:rsidRDefault="00C03AE9" w:rsidP="007448F5">
      <w:pPr>
        <w:numPr>
          <w:ilvl w:val="0"/>
          <w:numId w:val="10"/>
        </w:numPr>
        <w:spacing w:line="264" w:lineRule="auto"/>
        <w:ind w:hanging="720"/>
        <w:rPr>
          <w:sz w:val="25"/>
          <w:szCs w:val="25"/>
        </w:rPr>
      </w:pPr>
      <w:r>
        <w:rPr>
          <w:sz w:val="25"/>
          <w:szCs w:val="25"/>
        </w:rPr>
        <w:t>Avista</w:t>
      </w:r>
      <w:r w:rsidR="00A65711">
        <w:rPr>
          <w:sz w:val="25"/>
          <w:szCs w:val="25"/>
        </w:rPr>
        <w:t xml:space="preserve"> based its</w:t>
      </w:r>
      <w:r>
        <w:rPr>
          <w:sz w:val="25"/>
          <w:szCs w:val="25"/>
        </w:rPr>
        <w:t xml:space="preserve"> initial request on </w:t>
      </w:r>
      <w:r w:rsidR="00ED4934">
        <w:rPr>
          <w:sz w:val="25"/>
          <w:szCs w:val="25"/>
        </w:rPr>
        <w:t xml:space="preserve">a test year </w:t>
      </w:r>
      <w:r w:rsidR="00C179A1">
        <w:rPr>
          <w:sz w:val="25"/>
          <w:szCs w:val="25"/>
        </w:rPr>
        <w:t>from July 1, 2012, through</w:t>
      </w:r>
      <w:r w:rsidR="00ED4934" w:rsidRPr="00ED4934">
        <w:rPr>
          <w:sz w:val="25"/>
          <w:szCs w:val="25"/>
        </w:rPr>
        <w:t xml:space="preserve"> </w:t>
      </w:r>
      <w:r w:rsidR="00C179A1">
        <w:rPr>
          <w:sz w:val="25"/>
          <w:szCs w:val="25"/>
        </w:rPr>
        <w:t>June 30, 2013</w:t>
      </w:r>
      <w:r>
        <w:rPr>
          <w:sz w:val="25"/>
          <w:szCs w:val="25"/>
        </w:rPr>
        <w:t xml:space="preserve">.  The filing </w:t>
      </w:r>
      <w:r w:rsidR="00FD5C2F">
        <w:rPr>
          <w:sz w:val="25"/>
          <w:szCs w:val="25"/>
        </w:rPr>
        <w:t>included proposals for the following</w:t>
      </w:r>
      <w:r w:rsidR="00ED4934">
        <w:rPr>
          <w:sz w:val="25"/>
          <w:szCs w:val="25"/>
        </w:rPr>
        <w:t>:</w:t>
      </w:r>
    </w:p>
    <w:p w14:paraId="7EE1FBD1" w14:textId="77777777" w:rsidR="00682321" w:rsidRDefault="00682321" w:rsidP="007448F5">
      <w:pPr>
        <w:spacing w:line="264" w:lineRule="auto"/>
        <w:rPr>
          <w:sz w:val="25"/>
          <w:szCs w:val="25"/>
        </w:rPr>
      </w:pPr>
    </w:p>
    <w:p w14:paraId="6C838231" w14:textId="77777777" w:rsidR="00ED4934" w:rsidRDefault="00ED4934" w:rsidP="00682321">
      <w:pPr>
        <w:numPr>
          <w:ilvl w:val="0"/>
          <w:numId w:val="22"/>
        </w:numPr>
        <w:spacing w:line="264" w:lineRule="auto"/>
        <w:ind w:left="720"/>
        <w:rPr>
          <w:sz w:val="25"/>
          <w:szCs w:val="25"/>
        </w:rPr>
      </w:pPr>
      <w:r>
        <w:rPr>
          <w:sz w:val="25"/>
          <w:szCs w:val="25"/>
        </w:rPr>
        <w:t>An overall rate of return</w:t>
      </w:r>
      <w:r w:rsidR="001622D8">
        <w:rPr>
          <w:sz w:val="25"/>
          <w:szCs w:val="25"/>
        </w:rPr>
        <w:t xml:space="preserve"> (ROR)</w:t>
      </w:r>
      <w:r>
        <w:rPr>
          <w:sz w:val="25"/>
          <w:szCs w:val="25"/>
        </w:rPr>
        <w:t xml:space="preserve"> of </w:t>
      </w:r>
      <w:r w:rsidR="00C179A1">
        <w:rPr>
          <w:sz w:val="25"/>
          <w:szCs w:val="25"/>
        </w:rPr>
        <w:t>7.71</w:t>
      </w:r>
      <w:r>
        <w:rPr>
          <w:sz w:val="25"/>
          <w:szCs w:val="25"/>
        </w:rPr>
        <w:t xml:space="preserve"> percent.</w:t>
      </w:r>
      <w:r w:rsidR="00312710">
        <w:rPr>
          <w:rStyle w:val="FootnoteReference"/>
          <w:sz w:val="25"/>
          <w:szCs w:val="25"/>
        </w:rPr>
        <w:footnoteReference w:id="2"/>
      </w:r>
    </w:p>
    <w:p w14:paraId="0C268113" w14:textId="77777777" w:rsidR="00ED4934" w:rsidRDefault="00ED4934" w:rsidP="00682321">
      <w:pPr>
        <w:numPr>
          <w:ilvl w:val="0"/>
          <w:numId w:val="22"/>
        </w:numPr>
        <w:spacing w:line="264" w:lineRule="auto"/>
        <w:ind w:left="720"/>
        <w:rPr>
          <w:sz w:val="25"/>
          <w:szCs w:val="25"/>
        </w:rPr>
      </w:pPr>
      <w:r>
        <w:rPr>
          <w:sz w:val="25"/>
          <w:szCs w:val="25"/>
        </w:rPr>
        <w:t xml:space="preserve">A return on common equity </w:t>
      </w:r>
      <w:r w:rsidR="001622D8">
        <w:rPr>
          <w:sz w:val="25"/>
          <w:szCs w:val="25"/>
        </w:rPr>
        <w:t xml:space="preserve">(ROE) </w:t>
      </w:r>
      <w:r>
        <w:rPr>
          <w:sz w:val="25"/>
          <w:szCs w:val="25"/>
        </w:rPr>
        <w:t xml:space="preserve">of </w:t>
      </w:r>
      <w:r w:rsidR="00105473">
        <w:rPr>
          <w:sz w:val="25"/>
          <w:szCs w:val="25"/>
        </w:rPr>
        <w:t>10.</w:t>
      </w:r>
      <w:r w:rsidR="00D66738">
        <w:rPr>
          <w:sz w:val="25"/>
          <w:szCs w:val="25"/>
        </w:rPr>
        <w:t>1</w:t>
      </w:r>
      <w:r>
        <w:rPr>
          <w:sz w:val="25"/>
          <w:szCs w:val="25"/>
        </w:rPr>
        <w:t xml:space="preserve"> percent.</w:t>
      </w:r>
      <w:r w:rsidR="00B26310">
        <w:rPr>
          <w:rStyle w:val="FootnoteReference"/>
          <w:sz w:val="25"/>
          <w:szCs w:val="25"/>
        </w:rPr>
        <w:footnoteReference w:id="3"/>
      </w:r>
    </w:p>
    <w:p w14:paraId="3C325F57" w14:textId="77777777" w:rsidR="00ED4934" w:rsidRDefault="00ED4934" w:rsidP="00682321">
      <w:pPr>
        <w:numPr>
          <w:ilvl w:val="0"/>
          <w:numId w:val="22"/>
        </w:numPr>
        <w:spacing w:line="264" w:lineRule="auto"/>
        <w:ind w:left="720"/>
        <w:rPr>
          <w:sz w:val="25"/>
          <w:szCs w:val="25"/>
        </w:rPr>
      </w:pPr>
      <w:r>
        <w:rPr>
          <w:sz w:val="25"/>
          <w:szCs w:val="25"/>
        </w:rPr>
        <w:t xml:space="preserve">A capital structure consisting of </w:t>
      </w:r>
      <w:r w:rsidR="00D66738">
        <w:rPr>
          <w:sz w:val="25"/>
          <w:szCs w:val="25"/>
        </w:rPr>
        <w:t>49.0</w:t>
      </w:r>
      <w:r>
        <w:rPr>
          <w:sz w:val="25"/>
          <w:szCs w:val="25"/>
        </w:rPr>
        <w:t xml:space="preserve"> percent equity and 5</w:t>
      </w:r>
      <w:r w:rsidR="00105473">
        <w:rPr>
          <w:sz w:val="25"/>
          <w:szCs w:val="25"/>
        </w:rPr>
        <w:t>1</w:t>
      </w:r>
      <w:r>
        <w:rPr>
          <w:sz w:val="25"/>
          <w:szCs w:val="25"/>
        </w:rPr>
        <w:t>.</w:t>
      </w:r>
      <w:r w:rsidR="00D66738">
        <w:rPr>
          <w:sz w:val="25"/>
          <w:szCs w:val="25"/>
        </w:rPr>
        <w:t>0</w:t>
      </w:r>
      <w:r>
        <w:rPr>
          <w:sz w:val="25"/>
          <w:szCs w:val="25"/>
        </w:rPr>
        <w:t xml:space="preserve"> percent debt.</w:t>
      </w:r>
      <w:r w:rsidR="00B26310">
        <w:rPr>
          <w:rStyle w:val="FootnoteReference"/>
          <w:sz w:val="25"/>
          <w:szCs w:val="25"/>
        </w:rPr>
        <w:footnoteReference w:id="4"/>
      </w:r>
    </w:p>
    <w:p w14:paraId="7380513D" w14:textId="77777777" w:rsidR="00ED4934" w:rsidRDefault="00ED4934" w:rsidP="007448F5">
      <w:pPr>
        <w:spacing w:line="264" w:lineRule="auto"/>
        <w:rPr>
          <w:sz w:val="25"/>
          <w:szCs w:val="25"/>
        </w:rPr>
      </w:pPr>
    </w:p>
    <w:p w14:paraId="1CB979B0" w14:textId="56276345" w:rsidR="00CE0D34" w:rsidRPr="001A5C65" w:rsidRDefault="00517B2D" w:rsidP="007448F5">
      <w:pPr>
        <w:keepNext/>
        <w:numPr>
          <w:ilvl w:val="0"/>
          <w:numId w:val="10"/>
        </w:numPr>
        <w:spacing w:line="264" w:lineRule="auto"/>
        <w:ind w:hanging="720"/>
        <w:rPr>
          <w:sz w:val="25"/>
          <w:szCs w:val="25"/>
        </w:rPr>
      </w:pPr>
      <w:r w:rsidRPr="001A5C65">
        <w:rPr>
          <w:sz w:val="25"/>
          <w:szCs w:val="25"/>
        </w:rPr>
        <w:t xml:space="preserve">On </w:t>
      </w:r>
      <w:r w:rsidR="00D66738" w:rsidRPr="001A5C65">
        <w:rPr>
          <w:sz w:val="25"/>
          <w:szCs w:val="25"/>
        </w:rPr>
        <w:t>March 7, 2014</w:t>
      </w:r>
      <w:r w:rsidRPr="001A5C65">
        <w:rPr>
          <w:sz w:val="25"/>
          <w:szCs w:val="25"/>
        </w:rPr>
        <w:t>, t</w:t>
      </w:r>
      <w:r w:rsidR="001614A7" w:rsidRPr="001A5C65">
        <w:rPr>
          <w:sz w:val="25"/>
          <w:szCs w:val="25"/>
        </w:rPr>
        <w:t>he Commission conducted a preh</w:t>
      </w:r>
      <w:r w:rsidR="007513CD" w:rsidRPr="001A5C65">
        <w:rPr>
          <w:sz w:val="25"/>
          <w:szCs w:val="25"/>
        </w:rPr>
        <w:t xml:space="preserve">earing conference </w:t>
      </w:r>
      <w:r w:rsidR="001614A7" w:rsidRPr="001A5C65">
        <w:rPr>
          <w:sz w:val="25"/>
          <w:szCs w:val="25"/>
        </w:rPr>
        <w:t>before Administrative Law Judg</w:t>
      </w:r>
      <w:r w:rsidR="007513CD" w:rsidRPr="001A5C65">
        <w:rPr>
          <w:sz w:val="25"/>
          <w:szCs w:val="25"/>
        </w:rPr>
        <w:t xml:space="preserve">e </w:t>
      </w:r>
      <w:r w:rsidR="00AA5758" w:rsidRPr="001A5C65">
        <w:rPr>
          <w:sz w:val="25"/>
          <w:szCs w:val="25"/>
        </w:rPr>
        <w:t>Marguerite E. Friedlander</w:t>
      </w:r>
      <w:r w:rsidR="007513CD" w:rsidRPr="001A5C65">
        <w:rPr>
          <w:sz w:val="25"/>
          <w:szCs w:val="25"/>
        </w:rPr>
        <w:t xml:space="preserve">.  </w:t>
      </w:r>
      <w:r w:rsidR="00AC1C34" w:rsidRPr="001A5C65">
        <w:rPr>
          <w:sz w:val="25"/>
          <w:szCs w:val="25"/>
        </w:rPr>
        <w:t>On July 22, 2014, Staff, Public Counsel, The Energy Project, NWIGU, and ICNU filed response testimony and exhibits</w:t>
      </w:r>
      <w:r w:rsidR="00FD5A58" w:rsidRPr="001A5C65">
        <w:rPr>
          <w:sz w:val="25"/>
          <w:szCs w:val="25"/>
        </w:rPr>
        <w:t xml:space="preserve">.  Following notification from the parties that </w:t>
      </w:r>
      <w:r w:rsidR="00A65711">
        <w:rPr>
          <w:sz w:val="25"/>
          <w:szCs w:val="25"/>
        </w:rPr>
        <w:t xml:space="preserve">they had reached </w:t>
      </w:r>
      <w:r w:rsidR="00FD5A58" w:rsidRPr="001A5C65">
        <w:rPr>
          <w:sz w:val="25"/>
          <w:szCs w:val="25"/>
        </w:rPr>
        <w:t>a full settlement</w:t>
      </w:r>
      <w:r w:rsidR="00A65711">
        <w:rPr>
          <w:sz w:val="25"/>
          <w:szCs w:val="25"/>
        </w:rPr>
        <w:t>,</w:t>
      </w:r>
      <w:r w:rsidR="00FD5A58" w:rsidRPr="001A5C65">
        <w:rPr>
          <w:sz w:val="25"/>
          <w:szCs w:val="25"/>
        </w:rPr>
        <w:t xml:space="preserve"> the Commission suspended the remaining procedural schedule on August 14, 2014.  </w:t>
      </w:r>
      <w:r w:rsidR="00A65711">
        <w:rPr>
          <w:sz w:val="25"/>
          <w:szCs w:val="25"/>
        </w:rPr>
        <w:t>The Commission held p</w:t>
      </w:r>
      <w:r w:rsidR="00393EB3" w:rsidRPr="001A5C65">
        <w:rPr>
          <w:sz w:val="25"/>
          <w:szCs w:val="25"/>
        </w:rPr>
        <w:t xml:space="preserve">ublic comment hearings in </w:t>
      </w:r>
      <w:r w:rsidR="002047B5" w:rsidRPr="001A5C65">
        <w:rPr>
          <w:sz w:val="25"/>
          <w:szCs w:val="25"/>
        </w:rPr>
        <w:t xml:space="preserve">both Spokane and </w:t>
      </w:r>
      <w:r w:rsidR="00393EB3" w:rsidRPr="001A5C65">
        <w:rPr>
          <w:sz w:val="25"/>
          <w:szCs w:val="25"/>
        </w:rPr>
        <w:t>Spokane</w:t>
      </w:r>
      <w:r w:rsidR="009D2A7D" w:rsidRPr="001A5C65">
        <w:rPr>
          <w:sz w:val="25"/>
          <w:szCs w:val="25"/>
        </w:rPr>
        <w:t xml:space="preserve"> Valley</w:t>
      </w:r>
      <w:r w:rsidR="00393EB3" w:rsidRPr="001A5C65">
        <w:rPr>
          <w:sz w:val="25"/>
          <w:szCs w:val="25"/>
        </w:rPr>
        <w:t xml:space="preserve">, Washington, on </w:t>
      </w:r>
      <w:r w:rsidR="001A5C65">
        <w:rPr>
          <w:sz w:val="25"/>
          <w:szCs w:val="25"/>
        </w:rPr>
        <w:t>August 26, 2014</w:t>
      </w:r>
      <w:r w:rsidR="009D2A7D" w:rsidRPr="001A5C65">
        <w:rPr>
          <w:sz w:val="25"/>
          <w:szCs w:val="25"/>
        </w:rPr>
        <w:t>,</w:t>
      </w:r>
      <w:r w:rsidR="00393EB3" w:rsidRPr="001A5C65">
        <w:rPr>
          <w:sz w:val="25"/>
          <w:szCs w:val="25"/>
        </w:rPr>
        <w:t xml:space="preserve"> and </w:t>
      </w:r>
      <w:r w:rsidR="001A5C65">
        <w:rPr>
          <w:sz w:val="25"/>
          <w:szCs w:val="25"/>
        </w:rPr>
        <w:t>August 27, 2014</w:t>
      </w:r>
      <w:r w:rsidR="009D2A7D" w:rsidRPr="001A5C65">
        <w:rPr>
          <w:sz w:val="25"/>
          <w:szCs w:val="25"/>
        </w:rPr>
        <w:t xml:space="preserve">, respectively.  </w:t>
      </w:r>
      <w:r w:rsidR="00304FC8" w:rsidRPr="001A5C65">
        <w:rPr>
          <w:sz w:val="25"/>
          <w:szCs w:val="25"/>
        </w:rPr>
        <w:t xml:space="preserve">Collectively, </w:t>
      </w:r>
      <w:r w:rsidR="00A65711">
        <w:rPr>
          <w:sz w:val="25"/>
          <w:szCs w:val="25"/>
        </w:rPr>
        <w:t>15</w:t>
      </w:r>
      <w:r w:rsidR="00304FC8" w:rsidRPr="001A5C65">
        <w:rPr>
          <w:sz w:val="25"/>
          <w:szCs w:val="25"/>
        </w:rPr>
        <w:t xml:space="preserve"> members of the public spoke at the public comment hearings</w:t>
      </w:r>
      <w:r w:rsidR="00CE0D34" w:rsidRPr="001A5C65">
        <w:rPr>
          <w:sz w:val="25"/>
          <w:szCs w:val="25"/>
        </w:rPr>
        <w:t xml:space="preserve">.  </w:t>
      </w:r>
      <w:r w:rsidR="00CE0D34" w:rsidRPr="001A5C65">
        <w:rPr>
          <w:sz w:val="26"/>
          <w:szCs w:val="26"/>
        </w:rPr>
        <w:t>In total, the Commission and Public Counsel received 17</w:t>
      </w:r>
      <w:r w:rsidR="006B5B88">
        <w:rPr>
          <w:sz w:val="26"/>
          <w:szCs w:val="26"/>
        </w:rPr>
        <w:t>9</w:t>
      </w:r>
      <w:r w:rsidR="00CE0D34" w:rsidRPr="001A5C65">
        <w:rPr>
          <w:sz w:val="26"/>
          <w:szCs w:val="26"/>
        </w:rPr>
        <w:t xml:space="preserve"> comments </w:t>
      </w:r>
      <w:r w:rsidR="00A65711">
        <w:rPr>
          <w:sz w:val="26"/>
          <w:szCs w:val="26"/>
        </w:rPr>
        <w:t>regarding</w:t>
      </w:r>
      <w:r w:rsidR="00CE0D34" w:rsidRPr="001A5C65">
        <w:rPr>
          <w:sz w:val="26"/>
          <w:szCs w:val="26"/>
        </w:rPr>
        <w:t xml:space="preserve"> the proposed rate increase from Washington customers, with 1</w:t>
      </w:r>
      <w:r w:rsidR="00BE02B4">
        <w:rPr>
          <w:sz w:val="26"/>
          <w:szCs w:val="26"/>
        </w:rPr>
        <w:t>5</w:t>
      </w:r>
      <w:r w:rsidR="006B5B88">
        <w:rPr>
          <w:sz w:val="26"/>
          <w:szCs w:val="26"/>
        </w:rPr>
        <w:t>8</w:t>
      </w:r>
      <w:r w:rsidR="00CE0D34" w:rsidRPr="001A5C65">
        <w:rPr>
          <w:sz w:val="26"/>
          <w:szCs w:val="26"/>
        </w:rPr>
        <w:t xml:space="preserve"> comments opposing the increase, </w:t>
      </w:r>
      <w:r w:rsidR="00A65711">
        <w:rPr>
          <w:sz w:val="26"/>
          <w:szCs w:val="26"/>
        </w:rPr>
        <w:t>one</w:t>
      </w:r>
      <w:r w:rsidR="00BE02B4">
        <w:rPr>
          <w:sz w:val="26"/>
          <w:szCs w:val="26"/>
        </w:rPr>
        <w:t xml:space="preserve"> comment supporting the increase, </w:t>
      </w:r>
      <w:r w:rsidR="00CE0D34" w:rsidRPr="001A5C65">
        <w:rPr>
          <w:sz w:val="26"/>
          <w:szCs w:val="26"/>
        </w:rPr>
        <w:t xml:space="preserve">and </w:t>
      </w:r>
      <w:r w:rsidR="00BE02B4">
        <w:rPr>
          <w:sz w:val="26"/>
          <w:szCs w:val="26"/>
        </w:rPr>
        <w:t>20</w:t>
      </w:r>
      <w:r w:rsidR="00CE0D34" w:rsidRPr="001A5C65">
        <w:rPr>
          <w:sz w:val="26"/>
          <w:szCs w:val="26"/>
        </w:rPr>
        <w:t xml:space="preserve"> comments </w:t>
      </w:r>
      <w:r w:rsidR="00A65711">
        <w:rPr>
          <w:sz w:val="26"/>
          <w:szCs w:val="26"/>
        </w:rPr>
        <w:t>neither supporting nor opposing</w:t>
      </w:r>
      <w:r w:rsidR="00CE0D34" w:rsidRPr="001A5C65">
        <w:rPr>
          <w:sz w:val="26"/>
          <w:szCs w:val="26"/>
        </w:rPr>
        <w:t>.</w:t>
      </w:r>
      <w:r w:rsidR="00CE0D34">
        <w:rPr>
          <w:rStyle w:val="FootnoteReference"/>
          <w:sz w:val="26"/>
          <w:szCs w:val="26"/>
        </w:rPr>
        <w:footnoteReference w:id="5"/>
      </w:r>
      <w:r w:rsidR="006B5B88">
        <w:rPr>
          <w:sz w:val="26"/>
          <w:szCs w:val="26"/>
        </w:rPr>
        <w:t xml:space="preserve">  </w:t>
      </w:r>
    </w:p>
    <w:p w14:paraId="127E1767" w14:textId="77777777" w:rsidR="00CE0D34" w:rsidRDefault="00CE0D34" w:rsidP="007448F5">
      <w:pPr>
        <w:pStyle w:val="ListParagraph"/>
        <w:spacing w:line="264" w:lineRule="auto"/>
        <w:rPr>
          <w:sz w:val="25"/>
          <w:szCs w:val="25"/>
        </w:rPr>
      </w:pPr>
    </w:p>
    <w:p w14:paraId="0A548251" w14:textId="77777777" w:rsidR="00304FC8" w:rsidRDefault="00304FC8" w:rsidP="007448F5">
      <w:pPr>
        <w:numPr>
          <w:ilvl w:val="0"/>
          <w:numId w:val="10"/>
        </w:numPr>
        <w:spacing w:line="264" w:lineRule="auto"/>
        <w:ind w:hanging="720"/>
        <w:rPr>
          <w:sz w:val="25"/>
          <w:szCs w:val="25"/>
        </w:rPr>
      </w:pPr>
      <w:r w:rsidRPr="00B74A81">
        <w:rPr>
          <w:sz w:val="25"/>
          <w:szCs w:val="25"/>
        </w:rPr>
        <w:t xml:space="preserve">On </w:t>
      </w:r>
      <w:r w:rsidR="006B5B88" w:rsidRPr="00B74A81">
        <w:rPr>
          <w:sz w:val="25"/>
          <w:szCs w:val="25"/>
        </w:rPr>
        <w:t>August 18, 2014</w:t>
      </w:r>
      <w:r w:rsidRPr="00B74A81">
        <w:rPr>
          <w:sz w:val="25"/>
          <w:szCs w:val="25"/>
        </w:rPr>
        <w:t xml:space="preserve">, </w:t>
      </w:r>
      <w:r w:rsidR="006B5B88" w:rsidRPr="00B74A81">
        <w:rPr>
          <w:sz w:val="25"/>
          <w:szCs w:val="25"/>
        </w:rPr>
        <w:t>Avista, Staff, Public Counsel, ICNU, NWIGU, and The Energy Proje</w:t>
      </w:r>
      <w:r w:rsidR="005F153A" w:rsidRPr="00B74A81">
        <w:rPr>
          <w:sz w:val="25"/>
          <w:szCs w:val="25"/>
        </w:rPr>
        <w:t>ct filed a Settlement</w:t>
      </w:r>
      <w:r w:rsidR="005226E3" w:rsidRPr="00B74A81">
        <w:rPr>
          <w:sz w:val="25"/>
          <w:szCs w:val="25"/>
        </w:rPr>
        <w:t>, attached to this Order as Appendix A</w:t>
      </w:r>
      <w:r w:rsidRPr="00B74A81">
        <w:rPr>
          <w:sz w:val="25"/>
          <w:szCs w:val="25"/>
        </w:rPr>
        <w:t xml:space="preserve">.  </w:t>
      </w:r>
      <w:r w:rsidR="003A62CF" w:rsidRPr="00B74A81">
        <w:rPr>
          <w:sz w:val="25"/>
          <w:szCs w:val="25"/>
        </w:rPr>
        <w:t>The settling parties also filed j</w:t>
      </w:r>
      <w:r w:rsidR="00CC3108" w:rsidRPr="00B74A81">
        <w:rPr>
          <w:sz w:val="25"/>
          <w:szCs w:val="25"/>
        </w:rPr>
        <w:t xml:space="preserve">oint testimony in support of the Settlement </w:t>
      </w:r>
      <w:r w:rsidR="00B74A81" w:rsidRPr="00B74A81">
        <w:rPr>
          <w:sz w:val="25"/>
          <w:szCs w:val="25"/>
        </w:rPr>
        <w:t>on August 29, 2014</w:t>
      </w:r>
      <w:r w:rsidR="00CC3108" w:rsidRPr="00B74A81">
        <w:rPr>
          <w:sz w:val="25"/>
          <w:szCs w:val="25"/>
        </w:rPr>
        <w:t xml:space="preserve">. </w:t>
      </w:r>
      <w:r w:rsidR="0047050E">
        <w:rPr>
          <w:sz w:val="25"/>
          <w:szCs w:val="25"/>
        </w:rPr>
        <w:t xml:space="preserve"> On September 8, 2014, the settling parties filed certain amendments to the Settlement and Joint Testimony to reflect corrections to the level of LIRAP funding increases.</w:t>
      </w:r>
      <w:r w:rsidR="0047050E" w:rsidRPr="00B74A81">
        <w:rPr>
          <w:sz w:val="25"/>
          <w:szCs w:val="25"/>
        </w:rPr>
        <w:t xml:space="preserve"> </w:t>
      </w:r>
      <w:r w:rsidR="00CC3108" w:rsidRPr="00B74A81">
        <w:rPr>
          <w:sz w:val="25"/>
          <w:szCs w:val="25"/>
        </w:rPr>
        <w:t xml:space="preserve"> </w:t>
      </w:r>
      <w:r w:rsidR="00B74A81">
        <w:rPr>
          <w:sz w:val="25"/>
          <w:szCs w:val="25"/>
        </w:rPr>
        <w:t xml:space="preserve">On September 23, 2014, the Commission convened a settlement hearing in Olympia, Washington.  </w:t>
      </w:r>
      <w:r w:rsidR="00CE0D34" w:rsidRPr="00B74A81">
        <w:rPr>
          <w:sz w:val="25"/>
          <w:szCs w:val="25"/>
        </w:rPr>
        <w:t xml:space="preserve">Chairman </w:t>
      </w:r>
      <w:r w:rsidR="00B74A81">
        <w:rPr>
          <w:sz w:val="25"/>
          <w:szCs w:val="25"/>
        </w:rPr>
        <w:t>David W. Danner</w:t>
      </w:r>
      <w:r w:rsidR="00CE0D34" w:rsidRPr="00B74A81">
        <w:rPr>
          <w:sz w:val="25"/>
          <w:szCs w:val="25"/>
        </w:rPr>
        <w:t>, Commissioner Philip B. Jones</w:t>
      </w:r>
      <w:r w:rsidR="00B74A81">
        <w:rPr>
          <w:sz w:val="25"/>
          <w:szCs w:val="25"/>
        </w:rPr>
        <w:t xml:space="preserve">, and Commissioner Jeffrey </w:t>
      </w:r>
      <w:r w:rsidR="002E421D">
        <w:rPr>
          <w:sz w:val="25"/>
          <w:szCs w:val="25"/>
        </w:rPr>
        <w:t xml:space="preserve">D. </w:t>
      </w:r>
      <w:r w:rsidR="00B74A81">
        <w:rPr>
          <w:sz w:val="25"/>
          <w:szCs w:val="25"/>
        </w:rPr>
        <w:t>Goltz</w:t>
      </w:r>
      <w:r w:rsidR="00CE0D34" w:rsidRPr="00B74A81">
        <w:rPr>
          <w:sz w:val="25"/>
          <w:szCs w:val="25"/>
        </w:rPr>
        <w:t xml:space="preserve"> were assisted at the bench by Judge Friedlander.  Altogether, the record includes more than 2</w:t>
      </w:r>
      <w:r w:rsidR="002E421D">
        <w:rPr>
          <w:sz w:val="25"/>
          <w:szCs w:val="25"/>
        </w:rPr>
        <w:t>0</w:t>
      </w:r>
      <w:r w:rsidR="00CE0D34" w:rsidRPr="00B74A81">
        <w:rPr>
          <w:sz w:val="25"/>
          <w:szCs w:val="25"/>
        </w:rPr>
        <w:t xml:space="preserve">0 exhibits entered during the </w:t>
      </w:r>
      <w:r w:rsidR="002E421D">
        <w:rPr>
          <w:sz w:val="25"/>
          <w:szCs w:val="25"/>
        </w:rPr>
        <w:t>settlement</w:t>
      </w:r>
      <w:r w:rsidR="00CE0D34" w:rsidRPr="00B74A81">
        <w:rPr>
          <w:sz w:val="25"/>
          <w:szCs w:val="25"/>
        </w:rPr>
        <w:t xml:space="preserve"> hearing.  The transcript of this proceeding exceeds </w:t>
      </w:r>
      <w:r w:rsidR="002E421D">
        <w:rPr>
          <w:sz w:val="25"/>
          <w:szCs w:val="25"/>
        </w:rPr>
        <w:t>2</w:t>
      </w:r>
      <w:r w:rsidR="00CE0D34" w:rsidRPr="00B74A81">
        <w:rPr>
          <w:sz w:val="25"/>
          <w:szCs w:val="25"/>
        </w:rPr>
        <w:t>50 pages in length.</w:t>
      </w:r>
    </w:p>
    <w:p w14:paraId="6718243B" w14:textId="77777777" w:rsidR="0047050E" w:rsidRDefault="0047050E" w:rsidP="007448F5">
      <w:pPr>
        <w:pStyle w:val="ListParagraph"/>
        <w:spacing w:line="264" w:lineRule="auto"/>
        <w:rPr>
          <w:sz w:val="25"/>
          <w:szCs w:val="25"/>
        </w:rPr>
      </w:pPr>
    </w:p>
    <w:p w14:paraId="2432DE3A" w14:textId="401827D5" w:rsidR="0047050E" w:rsidRPr="0047050E" w:rsidRDefault="0047050E" w:rsidP="007448F5">
      <w:pPr>
        <w:numPr>
          <w:ilvl w:val="0"/>
          <w:numId w:val="10"/>
        </w:numPr>
        <w:spacing w:line="264" w:lineRule="auto"/>
        <w:ind w:hanging="720"/>
        <w:rPr>
          <w:sz w:val="25"/>
          <w:szCs w:val="25"/>
        </w:rPr>
      </w:pPr>
      <w:r>
        <w:rPr>
          <w:sz w:val="25"/>
          <w:szCs w:val="25"/>
        </w:rPr>
        <w:t>On November 12, 2014, Avista filed</w:t>
      </w:r>
      <w:r w:rsidR="00A65711">
        <w:rPr>
          <w:sz w:val="25"/>
          <w:szCs w:val="25"/>
        </w:rPr>
        <w:t>,</w:t>
      </w:r>
      <w:r>
        <w:rPr>
          <w:sz w:val="25"/>
          <w:szCs w:val="25"/>
        </w:rPr>
        <w:t xml:space="preserve"> in compliance with conditions in the Settlement, </w:t>
      </w:r>
      <w:r w:rsidR="00711D8D">
        <w:rPr>
          <w:sz w:val="25"/>
          <w:szCs w:val="25"/>
        </w:rPr>
        <w:t xml:space="preserve">an </w:t>
      </w:r>
      <w:r>
        <w:rPr>
          <w:sz w:val="25"/>
          <w:szCs w:val="25"/>
        </w:rPr>
        <w:t>updated power supply revenue requirement increase of $5.6 million</w:t>
      </w:r>
      <w:r w:rsidR="003A12AE">
        <w:rPr>
          <w:sz w:val="25"/>
          <w:szCs w:val="25"/>
        </w:rPr>
        <w:t xml:space="preserve">, </w:t>
      </w:r>
      <w:r w:rsidR="007708A7">
        <w:rPr>
          <w:sz w:val="25"/>
          <w:szCs w:val="25"/>
        </w:rPr>
        <w:t xml:space="preserve">an amount </w:t>
      </w:r>
      <w:r w:rsidR="003A12AE">
        <w:rPr>
          <w:sz w:val="25"/>
          <w:szCs w:val="25"/>
        </w:rPr>
        <w:t>l</w:t>
      </w:r>
      <w:r w:rsidR="007708A7">
        <w:rPr>
          <w:sz w:val="25"/>
          <w:szCs w:val="25"/>
        </w:rPr>
        <w:t>ower</w:t>
      </w:r>
      <w:r w:rsidR="003A12AE">
        <w:rPr>
          <w:sz w:val="25"/>
          <w:szCs w:val="25"/>
        </w:rPr>
        <w:t xml:space="preserve"> than </w:t>
      </w:r>
      <w:r w:rsidR="007708A7">
        <w:rPr>
          <w:sz w:val="25"/>
          <w:szCs w:val="25"/>
        </w:rPr>
        <w:t>the</w:t>
      </w:r>
      <w:r>
        <w:rPr>
          <w:sz w:val="25"/>
          <w:szCs w:val="25"/>
        </w:rPr>
        <w:t xml:space="preserve"> $6.3 million</w:t>
      </w:r>
      <w:r w:rsidR="003A12AE">
        <w:rPr>
          <w:sz w:val="25"/>
          <w:szCs w:val="25"/>
        </w:rPr>
        <w:t xml:space="preserve"> originally requested</w:t>
      </w:r>
      <w:r>
        <w:rPr>
          <w:sz w:val="25"/>
          <w:szCs w:val="25"/>
        </w:rPr>
        <w:t>.</w:t>
      </w:r>
    </w:p>
    <w:p w14:paraId="4E841509" w14:textId="77777777" w:rsidR="006D1366" w:rsidRDefault="006D1366" w:rsidP="007448F5">
      <w:pPr>
        <w:pStyle w:val="ListParagraph"/>
        <w:spacing w:line="264" w:lineRule="auto"/>
        <w:ind w:left="0"/>
        <w:rPr>
          <w:sz w:val="25"/>
          <w:szCs w:val="25"/>
        </w:rPr>
      </w:pPr>
    </w:p>
    <w:p w14:paraId="3C27DC6D" w14:textId="77777777" w:rsidR="002B79EA" w:rsidRPr="000960FC" w:rsidRDefault="002B79EA" w:rsidP="007448F5">
      <w:pPr>
        <w:pStyle w:val="Heading2"/>
        <w:spacing w:line="264" w:lineRule="auto"/>
        <w:jc w:val="left"/>
        <w:rPr>
          <w:b/>
          <w:sz w:val="25"/>
          <w:szCs w:val="25"/>
          <w:u w:val="none"/>
        </w:rPr>
      </w:pPr>
      <w:bookmarkStart w:id="9" w:name="_Toc249233757"/>
      <w:bookmarkStart w:id="10" w:name="_Toc249252785"/>
      <w:r w:rsidRPr="000960FC">
        <w:rPr>
          <w:b/>
          <w:sz w:val="25"/>
          <w:szCs w:val="25"/>
          <w:u w:val="none"/>
        </w:rPr>
        <w:t>II.</w:t>
      </w:r>
      <w:r w:rsidRPr="000960FC">
        <w:rPr>
          <w:b/>
          <w:sz w:val="25"/>
          <w:szCs w:val="25"/>
          <w:u w:val="none"/>
        </w:rPr>
        <w:tab/>
      </w:r>
      <w:bookmarkEnd w:id="9"/>
      <w:bookmarkEnd w:id="10"/>
      <w:r w:rsidR="00C641C8">
        <w:rPr>
          <w:b/>
          <w:sz w:val="25"/>
          <w:szCs w:val="25"/>
          <w:u w:val="none"/>
        </w:rPr>
        <w:t>Settlement Stipulation</w:t>
      </w:r>
    </w:p>
    <w:p w14:paraId="6040197D" w14:textId="77777777" w:rsidR="002B79EA" w:rsidRDefault="002B79EA" w:rsidP="007448F5">
      <w:pPr>
        <w:pStyle w:val="ListParagraph"/>
        <w:tabs>
          <w:tab w:val="left" w:pos="360"/>
        </w:tabs>
        <w:spacing w:line="264" w:lineRule="auto"/>
        <w:ind w:left="360" w:hanging="360"/>
        <w:rPr>
          <w:sz w:val="25"/>
          <w:szCs w:val="25"/>
        </w:rPr>
      </w:pPr>
    </w:p>
    <w:p w14:paraId="161EACBA" w14:textId="77777777" w:rsidR="0011014C" w:rsidRPr="000960FC" w:rsidRDefault="00857595" w:rsidP="00682321">
      <w:pPr>
        <w:pStyle w:val="Heading3"/>
        <w:spacing w:line="264" w:lineRule="auto"/>
        <w:jc w:val="left"/>
        <w:rPr>
          <w:rFonts w:ascii="Times New Roman" w:hAnsi="Times New Roman"/>
          <w:sz w:val="25"/>
          <w:szCs w:val="25"/>
        </w:rPr>
      </w:pPr>
      <w:bookmarkStart w:id="11" w:name="_Toc249233758"/>
      <w:bookmarkStart w:id="12" w:name="_Toc249252786"/>
      <w:r w:rsidRPr="000960FC">
        <w:rPr>
          <w:rFonts w:ascii="Times New Roman" w:hAnsi="Times New Roman"/>
          <w:sz w:val="25"/>
          <w:szCs w:val="25"/>
        </w:rPr>
        <w:t>A.</w:t>
      </w:r>
      <w:r w:rsidRPr="000960FC">
        <w:rPr>
          <w:rFonts w:ascii="Times New Roman" w:hAnsi="Times New Roman"/>
          <w:sz w:val="25"/>
          <w:szCs w:val="25"/>
        </w:rPr>
        <w:tab/>
        <w:t>Introduction</w:t>
      </w:r>
      <w:bookmarkEnd w:id="11"/>
      <w:bookmarkEnd w:id="12"/>
    </w:p>
    <w:p w14:paraId="31D506A8" w14:textId="77777777" w:rsidR="00FD450C" w:rsidRDefault="00FD450C" w:rsidP="007448F5">
      <w:pPr>
        <w:pStyle w:val="ListParagraph"/>
        <w:tabs>
          <w:tab w:val="left" w:pos="360"/>
        </w:tabs>
        <w:spacing w:line="264" w:lineRule="auto"/>
        <w:ind w:left="360" w:hanging="360"/>
        <w:rPr>
          <w:sz w:val="25"/>
          <w:szCs w:val="25"/>
        </w:rPr>
      </w:pPr>
    </w:p>
    <w:p w14:paraId="546D1F84" w14:textId="5E13C023" w:rsidR="0011014C" w:rsidRPr="00B87014" w:rsidRDefault="00B87014" w:rsidP="007448F5">
      <w:pPr>
        <w:numPr>
          <w:ilvl w:val="0"/>
          <w:numId w:val="10"/>
        </w:numPr>
        <w:spacing w:line="264" w:lineRule="auto"/>
        <w:ind w:hanging="720"/>
        <w:rPr>
          <w:sz w:val="25"/>
          <w:szCs w:val="25"/>
        </w:rPr>
      </w:pPr>
      <w:r w:rsidRPr="00B87014">
        <w:rPr>
          <w:sz w:val="25"/>
          <w:szCs w:val="25"/>
        </w:rPr>
        <w:t xml:space="preserve">The Commission’s statutory duty, in the context of a general rate case, is to balance the needs of the public to have safe and reliable </w:t>
      </w:r>
      <w:r w:rsidR="00711D8D">
        <w:rPr>
          <w:sz w:val="25"/>
          <w:szCs w:val="25"/>
        </w:rPr>
        <w:t xml:space="preserve">gas and </w:t>
      </w:r>
      <w:r w:rsidRPr="00B87014">
        <w:rPr>
          <w:sz w:val="25"/>
          <w:szCs w:val="25"/>
        </w:rPr>
        <w:t>electric service at reasonable rates with the financial ability of the utility to provide such service</w:t>
      </w:r>
      <w:r w:rsidR="00A65711">
        <w:rPr>
          <w:sz w:val="25"/>
          <w:szCs w:val="25"/>
        </w:rPr>
        <w:t xml:space="preserve"> prospectively</w:t>
      </w:r>
      <w:r w:rsidRPr="00B87014">
        <w:rPr>
          <w:sz w:val="25"/>
          <w:szCs w:val="25"/>
        </w:rPr>
        <w:t>.  In fulfilling its statutory duty, the Commission must establish rates that are “fair, just, reasonable and sufficient.”</w:t>
      </w:r>
      <w:r w:rsidRPr="00B87014">
        <w:rPr>
          <w:rStyle w:val="FootnoteReference"/>
          <w:sz w:val="25"/>
          <w:szCs w:val="25"/>
        </w:rPr>
        <w:footnoteReference w:id="6"/>
      </w:r>
      <w:r w:rsidRPr="00B87014">
        <w:rPr>
          <w:sz w:val="25"/>
          <w:szCs w:val="25"/>
        </w:rPr>
        <w:t xml:space="preserve">  The rates must be fair to both customers and the utility</w:t>
      </w:r>
      <w:r w:rsidR="00711D8D">
        <w:rPr>
          <w:sz w:val="25"/>
          <w:szCs w:val="25"/>
        </w:rPr>
        <w:t>;</w:t>
      </w:r>
      <w:r w:rsidRPr="00B87014">
        <w:rPr>
          <w:sz w:val="25"/>
          <w:szCs w:val="25"/>
        </w:rPr>
        <w:t xml:space="preserve"> just</w:t>
      </w:r>
      <w:r w:rsidR="00711D8D">
        <w:rPr>
          <w:sz w:val="25"/>
          <w:szCs w:val="25"/>
        </w:rPr>
        <w:t>,</w:t>
      </w:r>
      <w:r w:rsidRPr="00B87014">
        <w:rPr>
          <w:sz w:val="25"/>
          <w:szCs w:val="25"/>
        </w:rPr>
        <w:t xml:space="preserve"> in that the rates are based solely on the record in this case following the principles of due process of law</w:t>
      </w:r>
      <w:r w:rsidR="00711D8D">
        <w:rPr>
          <w:sz w:val="25"/>
          <w:szCs w:val="25"/>
        </w:rPr>
        <w:t>;</w:t>
      </w:r>
      <w:r w:rsidRPr="00B87014">
        <w:rPr>
          <w:sz w:val="25"/>
          <w:szCs w:val="25"/>
        </w:rPr>
        <w:t xml:space="preserve"> reasonable</w:t>
      </w:r>
      <w:r w:rsidR="00711D8D">
        <w:rPr>
          <w:sz w:val="25"/>
          <w:szCs w:val="25"/>
        </w:rPr>
        <w:t>,</w:t>
      </w:r>
      <w:r w:rsidRPr="00B87014">
        <w:rPr>
          <w:sz w:val="25"/>
          <w:szCs w:val="25"/>
        </w:rPr>
        <w:t xml:space="preserve"> in light of the range of potential outcomes presented in the record</w:t>
      </w:r>
      <w:r w:rsidR="00711D8D">
        <w:rPr>
          <w:sz w:val="25"/>
          <w:szCs w:val="25"/>
        </w:rPr>
        <w:t>;</w:t>
      </w:r>
      <w:r w:rsidRPr="00B87014">
        <w:rPr>
          <w:sz w:val="25"/>
          <w:szCs w:val="25"/>
        </w:rPr>
        <w:t xml:space="preserve"> and sufficient</w:t>
      </w:r>
      <w:r w:rsidR="00711D8D">
        <w:rPr>
          <w:sz w:val="25"/>
          <w:szCs w:val="25"/>
        </w:rPr>
        <w:t>,</w:t>
      </w:r>
      <w:r w:rsidRPr="00B87014">
        <w:rPr>
          <w:sz w:val="25"/>
          <w:szCs w:val="25"/>
        </w:rPr>
        <w:t xml:space="preserve"> to meet the financial needs of the utility to cover its expenses and attract capital on reasonable terms.</w:t>
      </w:r>
      <w:r w:rsidRPr="00B87014">
        <w:rPr>
          <w:rStyle w:val="FootnoteReference"/>
          <w:sz w:val="25"/>
          <w:szCs w:val="25"/>
        </w:rPr>
        <w:footnoteReference w:id="7"/>
      </w:r>
    </w:p>
    <w:p w14:paraId="795EE58A" w14:textId="77777777" w:rsidR="0011014C" w:rsidRDefault="0011014C" w:rsidP="007448F5">
      <w:pPr>
        <w:spacing w:line="264" w:lineRule="auto"/>
        <w:rPr>
          <w:sz w:val="25"/>
          <w:szCs w:val="25"/>
        </w:rPr>
      </w:pPr>
    </w:p>
    <w:p w14:paraId="4898D020" w14:textId="09B0CD20" w:rsidR="00B87014" w:rsidRPr="00236666" w:rsidRDefault="00770125" w:rsidP="007448F5">
      <w:pPr>
        <w:numPr>
          <w:ilvl w:val="0"/>
          <w:numId w:val="10"/>
        </w:numPr>
        <w:spacing w:line="264" w:lineRule="auto"/>
        <w:ind w:hanging="720"/>
        <w:rPr>
          <w:color w:val="000000"/>
          <w:sz w:val="25"/>
          <w:szCs w:val="25"/>
        </w:rPr>
      </w:pPr>
      <w:r>
        <w:rPr>
          <w:color w:val="000000"/>
          <w:sz w:val="25"/>
          <w:szCs w:val="25"/>
        </w:rPr>
        <w:t xml:space="preserve">Pursuant to </w:t>
      </w:r>
      <w:r w:rsidR="00B87014" w:rsidRPr="00236666">
        <w:rPr>
          <w:color w:val="000000"/>
          <w:sz w:val="25"/>
          <w:szCs w:val="25"/>
        </w:rPr>
        <w:t>WAC 480-07-750(1)</w:t>
      </w:r>
      <w:r>
        <w:rPr>
          <w:color w:val="000000"/>
          <w:sz w:val="25"/>
          <w:szCs w:val="25"/>
        </w:rPr>
        <w:t>,</w:t>
      </w:r>
      <w:r w:rsidR="00B87014" w:rsidRPr="00236666">
        <w:rPr>
          <w:color w:val="000000"/>
          <w:sz w:val="25"/>
          <w:szCs w:val="25"/>
        </w:rPr>
        <w:t xml:space="preserve"> </w:t>
      </w:r>
      <w:r>
        <w:rPr>
          <w:color w:val="000000"/>
          <w:sz w:val="25"/>
          <w:szCs w:val="25"/>
        </w:rPr>
        <w:t>the C</w:t>
      </w:r>
      <w:r w:rsidR="00B87014" w:rsidRPr="00236666">
        <w:rPr>
          <w:color w:val="000000"/>
          <w:sz w:val="25"/>
          <w:szCs w:val="25"/>
        </w:rPr>
        <w:t>ommission will approve settlements when doing so is lawful, the settlement terms are supported by an appropriate record, and when the result is consistent with the public interest in light of all th</w:t>
      </w:r>
      <w:r w:rsidR="003A62CF">
        <w:rPr>
          <w:color w:val="000000"/>
          <w:sz w:val="25"/>
          <w:szCs w:val="25"/>
        </w:rPr>
        <w:t>e information available to the C</w:t>
      </w:r>
      <w:r w:rsidR="00B87014" w:rsidRPr="00236666">
        <w:rPr>
          <w:color w:val="000000"/>
          <w:sz w:val="25"/>
          <w:szCs w:val="25"/>
        </w:rPr>
        <w:t>ommission.</w:t>
      </w:r>
      <w:r w:rsidR="00E1008C">
        <w:rPr>
          <w:color w:val="000000"/>
          <w:sz w:val="25"/>
          <w:szCs w:val="25"/>
        </w:rPr>
        <w:t xml:space="preserve">  Ultimately, in settlements, as in litigated rate cases, the Commission must determine that the resulting rates are fair, just, reasonable, </w:t>
      </w:r>
      <w:r w:rsidR="00476A0E">
        <w:rPr>
          <w:color w:val="000000"/>
          <w:sz w:val="25"/>
          <w:szCs w:val="25"/>
        </w:rPr>
        <w:t xml:space="preserve">and </w:t>
      </w:r>
      <w:r w:rsidR="00E1008C">
        <w:rPr>
          <w:color w:val="000000"/>
          <w:sz w:val="25"/>
          <w:szCs w:val="25"/>
        </w:rPr>
        <w:t xml:space="preserve">sufficient, as required by state law. </w:t>
      </w:r>
    </w:p>
    <w:p w14:paraId="2975322B" w14:textId="77777777" w:rsidR="00B87014" w:rsidRPr="00236666" w:rsidRDefault="00B87014" w:rsidP="007448F5">
      <w:pPr>
        <w:autoSpaceDE w:val="0"/>
        <w:autoSpaceDN w:val="0"/>
        <w:adjustRightInd w:val="0"/>
        <w:spacing w:line="264" w:lineRule="auto"/>
        <w:rPr>
          <w:color w:val="000000"/>
          <w:sz w:val="25"/>
          <w:szCs w:val="25"/>
        </w:rPr>
      </w:pPr>
    </w:p>
    <w:p w14:paraId="10126D99" w14:textId="77777777" w:rsidR="00B87014" w:rsidRDefault="00B87014" w:rsidP="007448F5">
      <w:pPr>
        <w:numPr>
          <w:ilvl w:val="0"/>
          <w:numId w:val="10"/>
        </w:numPr>
        <w:spacing w:line="264" w:lineRule="auto"/>
        <w:ind w:hanging="720"/>
        <w:rPr>
          <w:color w:val="000000"/>
          <w:sz w:val="25"/>
          <w:szCs w:val="25"/>
        </w:rPr>
      </w:pPr>
      <w:r w:rsidRPr="00265425">
        <w:rPr>
          <w:sz w:val="25"/>
          <w:szCs w:val="25"/>
        </w:rPr>
        <w:t>Thus</w:t>
      </w:r>
      <w:r w:rsidRPr="00236666">
        <w:rPr>
          <w:color w:val="000000"/>
          <w:sz w:val="25"/>
          <w:szCs w:val="25"/>
        </w:rPr>
        <w:t>, the Commission considers th</w:t>
      </w:r>
      <w:r w:rsidR="00DC014B">
        <w:rPr>
          <w:color w:val="000000"/>
          <w:sz w:val="25"/>
          <w:szCs w:val="25"/>
        </w:rPr>
        <w:t>e individual components of the s</w:t>
      </w:r>
      <w:r w:rsidRPr="00236666">
        <w:rPr>
          <w:color w:val="000000"/>
          <w:sz w:val="25"/>
          <w:szCs w:val="25"/>
        </w:rPr>
        <w:t xml:space="preserve">ettlement under a three-part inquiry. </w:t>
      </w:r>
      <w:r>
        <w:rPr>
          <w:color w:val="000000"/>
          <w:sz w:val="25"/>
          <w:szCs w:val="25"/>
        </w:rPr>
        <w:t xml:space="preserve"> </w:t>
      </w:r>
      <w:r w:rsidRPr="00236666">
        <w:rPr>
          <w:color w:val="000000"/>
          <w:sz w:val="25"/>
          <w:szCs w:val="25"/>
        </w:rPr>
        <w:t xml:space="preserve">We ask: </w:t>
      </w:r>
    </w:p>
    <w:p w14:paraId="2E032F1F" w14:textId="77777777" w:rsidR="00B87014" w:rsidRDefault="00B87014" w:rsidP="007448F5">
      <w:pPr>
        <w:pStyle w:val="ListParagraph"/>
        <w:spacing w:line="264" w:lineRule="auto"/>
        <w:rPr>
          <w:color w:val="000000"/>
          <w:sz w:val="25"/>
          <w:szCs w:val="25"/>
        </w:rPr>
      </w:pPr>
    </w:p>
    <w:p w14:paraId="4B337601" w14:textId="77777777" w:rsidR="00B87014" w:rsidRPr="00236666" w:rsidRDefault="00B87014" w:rsidP="00682321">
      <w:pPr>
        <w:numPr>
          <w:ilvl w:val="0"/>
          <w:numId w:val="22"/>
        </w:numPr>
        <w:spacing w:line="264" w:lineRule="auto"/>
        <w:ind w:left="720"/>
        <w:rPr>
          <w:color w:val="000000"/>
          <w:sz w:val="25"/>
          <w:szCs w:val="25"/>
        </w:rPr>
      </w:pPr>
      <w:r w:rsidRPr="00236666">
        <w:rPr>
          <w:color w:val="000000"/>
          <w:sz w:val="25"/>
          <w:szCs w:val="25"/>
        </w:rPr>
        <w:t xml:space="preserve">Whether any aspect of the proposal is contrary to law. </w:t>
      </w:r>
    </w:p>
    <w:p w14:paraId="1042D19E" w14:textId="77777777" w:rsidR="00B87014" w:rsidRPr="00236666" w:rsidRDefault="00B87014" w:rsidP="00682321">
      <w:pPr>
        <w:numPr>
          <w:ilvl w:val="0"/>
          <w:numId w:val="22"/>
        </w:numPr>
        <w:spacing w:line="264" w:lineRule="auto"/>
        <w:ind w:left="720"/>
        <w:rPr>
          <w:color w:val="000000"/>
          <w:sz w:val="25"/>
          <w:szCs w:val="25"/>
        </w:rPr>
      </w:pPr>
      <w:r w:rsidRPr="00236666">
        <w:rPr>
          <w:color w:val="000000"/>
          <w:sz w:val="25"/>
          <w:szCs w:val="25"/>
        </w:rPr>
        <w:t xml:space="preserve">Whether any aspect of the proposal offends public policy. </w:t>
      </w:r>
    </w:p>
    <w:p w14:paraId="6E705849" w14:textId="77777777" w:rsidR="00B87014" w:rsidRPr="00236666" w:rsidRDefault="00B87014" w:rsidP="00682321">
      <w:pPr>
        <w:numPr>
          <w:ilvl w:val="0"/>
          <w:numId w:val="22"/>
        </w:numPr>
        <w:spacing w:line="264" w:lineRule="auto"/>
        <w:ind w:left="720"/>
        <w:rPr>
          <w:color w:val="000000"/>
          <w:sz w:val="25"/>
          <w:szCs w:val="25"/>
        </w:rPr>
      </w:pPr>
      <w:r w:rsidRPr="00236666">
        <w:rPr>
          <w:color w:val="000000"/>
          <w:sz w:val="25"/>
          <w:szCs w:val="25"/>
        </w:rPr>
        <w:t xml:space="preserve">Whether the evidence supports the proposed elements of the </w:t>
      </w:r>
      <w:r w:rsidR="00DC014B">
        <w:rPr>
          <w:color w:val="000000"/>
          <w:sz w:val="25"/>
          <w:szCs w:val="25"/>
        </w:rPr>
        <w:t>s</w:t>
      </w:r>
      <w:r w:rsidRPr="00236666">
        <w:rPr>
          <w:color w:val="000000"/>
          <w:sz w:val="25"/>
          <w:szCs w:val="25"/>
        </w:rPr>
        <w:t>ettlement as a reasonable resolution of the issue</w:t>
      </w:r>
      <w:r w:rsidR="008575DA">
        <w:rPr>
          <w:color w:val="000000"/>
          <w:sz w:val="25"/>
          <w:szCs w:val="25"/>
        </w:rPr>
        <w:t>s</w:t>
      </w:r>
      <w:r w:rsidRPr="00236666">
        <w:rPr>
          <w:color w:val="000000"/>
          <w:sz w:val="25"/>
          <w:szCs w:val="25"/>
        </w:rPr>
        <w:t xml:space="preserve"> at hand. </w:t>
      </w:r>
    </w:p>
    <w:p w14:paraId="66F7EA12" w14:textId="77777777" w:rsidR="007448F5" w:rsidRDefault="007448F5" w:rsidP="007448F5">
      <w:pPr>
        <w:autoSpaceDE w:val="0"/>
        <w:autoSpaceDN w:val="0"/>
        <w:adjustRightInd w:val="0"/>
        <w:spacing w:line="264" w:lineRule="auto"/>
        <w:rPr>
          <w:color w:val="000000"/>
          <w:sz w:val="25"/>
          <w:szCs w:val="25"/>
        </w:rPr>
      </w:pPr>
    </w:p>
    <w:p w14:paraId="4FDB90A0" w14:textId="77777777" w:rsidR="00B87014" w:rsidRDefault="00B87014" w:rsidP="007448F5">
      <w:pPr>
        <w:numPr>
          <w:ilvl w:val="0"/>
          <w:numId w:val="10"/>
        </w:numPr>
        <w:spacing w:line="264" w:lineRule="auto"/>
        <w:ind w:hanging="720"/>
        <w:rPr>
          <w:color w:val="000000"/>
          <w:sz w:val="25"/>
          <w:szCs w:val="25"/>
        </w:rPr>
      </w:pPr>
      <w:r w:rsidRPr="00236666">
        <w:rPr>
          <w:color w:val="000000"/>
          <w:sz w:val="25"/>
          <w:szCs w:val="25"/>
        </w:rPr>
        <w:t xml:space="preserve">The Commission must </w:t>
      </w:r>
      <w:r w:rsidR="001E2B3C">
        <w:rPr>
          <w:color w:val="000000"/>
          <w:sz w:val="25"/>
          <w:szCs w:val="25"/>
        </w:rPr>
        <w:t>reach</w:t>
      </w:r>
      <w:r w:rsidRPr="00236666">
        <w:rPr>
          <w:color w:val="000000"/>
          <w:sz w:val="25"/>
          <w:szCs w:val="25"/>
        </w:rPr>
        <w:t xml:space="preserve"> one of three possible results: </w:t>
      </w:r>
    </w:p>
    <w:p w14:paraId="3E867B22" w14:textId="77777777" w:rsidR="00682321" w:rsidRPr="00236666" w:rsidRDefault="00682321" w:rsidP="007448F5">
      <w:pPr>
        <w:spacing w:line="264" w:lineRule="auto"/>
        <w:rPr>
          <w:color w:val="000000"/>
          <w:sz w:val="25"/>
          <w:szCs w:val="25"/>
        </w:rPr>
      </w:pPr>
    </w:p>
    <w:p w14:paraId="2CF45CC1" w14:textId="77777777" w:rsidR="00B87014" w:rsidRPr="00236666" w:rsidRDefault="00B87014" w:rsidP="00682321">
      <w:pPr>
        <w:numPr>
          <w:ilvl w:val="0"/>
          <w:numId w:val="22"/>
        </w:numPr>
        <w:spacing w:line="264" w:lineRule="auto"/>
        <w:ind w:left="720"/>
        <w:rPr>
          <w:color w:val="000000"/>
          <w:sz w:val="25"/>
          <w:szCs w:val="25"/>
        </w:rPr>
      </w:pPr>
      <w:r w:rsidRPr="004A74DE">
        <w:rPr>
          <w:sz w:val="25"/>
          <w:szCs w:val="25"/>
        </w:rPr>
        <w:t>Approve</w:t>
      </w:r>
      <w:r w:rsidRPr="00236666">
        <w:rPr>
          <w:color w:val="000000"/>
          <w:sz w:val="25"/>
          <w:szCs w:val="25"/>
        </w:rPr>
        <w:t xml:space="preserve"> the proposed settlement without condition. </w:t>
      </w:r>
    </w:p>
    <w:p w14:paraId="35973194" w14:textId="77777777" w:rsidR="00B87014" w:rsidRPr="00236666" w:rsidRDefault="00B87014" w:rsidP="00682321">
      <w:pPr>
        <w:numPr>
          <w:ilvl w:val="0"/>
          <w:numId w:val="22"/>
        </w:numPr>
        <w:spacing w:line="264" w:lineRule="auto"/>
        <w:ind w:left="720"/>
        <w:rPr>
          <w:color w:val="000000"/>
          <w:sz w:val="25"/>
          <w:szCs w:val="25"/>
        </w:rPr>
      </w:pPr>
      <w:r w:rsidRPr="004A74DE">
        <w:rPr>
          <w:sz w:val="25"/>
          <w:szCs w:val="25"/>
        </w:rPr>
        <w:t>Approve</w:t>
      </w:r>
      <w:r w:rsidRPr="00236666">
        <w:rPr>
          <w:color w:val="000000"/>
          <w:sz w:val="25"/>
          <w:szCs w:val="25"/>
        </w:rPr>
        <w:t xml:space="preserve"> the proposed settlement subject to </w:t>
      </w:r>
      <w:r w:rsidR="008575DA">
        <w:rPr>
          <w:color w:val="000000"/>
          <w:sz w:val="25"/>
          <w:szCs w:val="25"/>
        </w:rPr>
        <w:t xml:space="preserve">one or more </w:t>
      </w:r>
      <w:r w:rsidRPr="00236666">
        <w:rPr>
          <w:color w:val="000000"/>
          <w:sz w:val="25"/>
          <w:szCs w:val="25"/>
        </w:rPr>
        <w:t xml:space="preserve">conditions. </w:t>
      </w:r>
    </w:p>
    <w:p w14:paraId="0455CFF7" w14:textId="77777777" w:rsidR="00770125" w:rsidRDefault="00B87014" w:rsidP="00682321">
      <w:pPr>
        <w:numPr>
          <w:ilvl w:val="0"/>
          <w:numId w:val="22"/>
        </w:numPr>
        <w:spacing w:line="264" w:lineRule="auto"/>
        <w:ind w:left="720"/>
        <w:rPr>
          <w:color w:val="000000"/>
          <w:sz w:val="25"/>
          <w:szCs w:val="25"/>
        </w:rPr>
      </w:pPr>
      <w:r w:rsidRPr="004A74DE">
        <w:rPr>
          <w:sz w:val="25"/>
          <w:szCs w:val="25"/>
        </w:rPr>
        <w:t>Reject</w:t>
      </w:r>
      <w:r w:rsidRPr="00236666">
        <w:rPr>
          <w:color w:val="000000"/>
          <w:sz w:val="25"/>
          <w:szCs w:val="25"/>
        </w:rPr>
        <w:t xml:space="preserve"> the proposed settlement.</w:t>
      </w:r>
      <w:r w:rsidRPr="00236666">
        <w:rPr>
          <w:color w:val="000000"/>
          <w:position w:val="8"/>
          <w:sz w:val="25"/>
          <w:szCs w:val="25"/>
          <w:vertAlign w:val="superscript"/>
        </w:rPr>
        <w:t xml:space="preserve"> </w:t>
      </w:r>
    </w:p>
    <w:p w14:paraId="6B17D7FF" w14:textId="77777777" w:rsidR="004049E7" w:rsidRDefault="004049E7" w:rsidP="007448F5">
      <w:pPr>
        <w:pStyle w:val="ListParagraph"/>
        <w:tabs>
          <w:tab w:val="left" w:pos="360"/>
        </w:tabs>
        <w:spacing w:line="264" w:lineRule="auto"/>
        <w:ind w:left="0"/>
        <w:rPr>
          <w:sz w:val="25"/>
          <w:szCs w:val="25"/>
        </w:rPr>
      </w:pPr>
    </w:p>
    <w:p w14:paraId="0CC6445B" w14:textId="77777777" w:rsidR="005246A9" w:rsidRPr="000960FC" w:rsidRDefault="0065344D" w:rsidP="007448F5">
      <w:pPr>
        <w:pStyle w:val="Heading3"/>
        <w:spacing w:line="264" w:lineRule="auto"/>
        <w:jc w:val="left"/>
        <w:rPr>
          <w:rFonts w:ascii="Times New Roman" w:hAnsi="Times New Roman"/>
          <w:sz w:val="25"/>
          <w:szCs w:val="25"/>
        </w:rPr>
      </w:pPr>
      <w:bookmarkStart w:id="13" w:name="_Toc249233759"/>
      <w:bookmarkStart w:id="14" w:name="_Toc249252787"/>
      <w:r w:rsidRPr="000960FC">
        <w:rPr>
          <w:rFonts w:ascii="Times New Roman" w:hAnsi="Times New Roman"/>
          <w:sz w:val="25"/>
          <w:szCs w:val="25"/>
        </w:rPr>
        <w:t>B.</w:t>
      </w:r>
      <w:r w:rsidR="005246A9" w:rsidRPr="000960FC">
        <w:rPr>
          <w:rFonts w:ascii="Times New Roman" w:hAnsi="Times New Roman"/>
          <w:sz w:val="25"/>
          <w:szCs w:val="25"/>
        </w:rPr>
        <w:tab/>
      </w:r>
      <w:r w:rsidR="00C641C8">
        <w:rPr>
          <w:rFonts w:ascii="Times New Roman" w:hAnsi="Times New Roman"/>
          <w:sz w:val="25"/>
          <w:szCs w:val="25"/>
        </w:rPr>
        <w:t>Terms and Conditions</w:t>
      </w:r>
      <w:r w:rsidR="005246A9" w:rsidRPr="000960FC">
        <w:rPr>
          <w:rFonts w:ascii="Times New Roman" w:hAnsi="Times New Roman"/>
          <w:sz w:val="25"/>
          <w:szCs w:val="25"/>
        </w:rPr>
        <w:t xml:space="preserve"> </w:t>
      </w:r>
      <w:bookmarkEnd w:id="13"/>
      <w:bookmarkEnd w:id="14"/>
    </w:p>
    <w:p w14:paraId="2D390E22" w14:textId="77777777" w:rsidR="005246A9" w:rsidRPr="00F27FE5" w:rsidRDefault="005246A9" w:rsidP="007448F5">
      <w:pPr>
        <w:pStyle w:val="ListParagraph"/>
        <w:tabs>
          <w:tab w:val="left" w:pos="360"/>
        </w:tabs>
        <w:spacing w:line="264" w:lineRule="auto"/>
        <w:ind w:left="360" w:hanging="360"/>
        <w:rPr>
          <w:sz w:val="25"/>
          <w:szCs w:val="25"/>
        </w:rPr>
      </w:pPr>
    </w:p>
    <w:p w14:paraId="00DFF53D" w14:textId="77777777" w:rsidR="003C4E68" w:rsidRPr="003C4E68" w:rsidRDefault="00AA762A" w:rsidP="007448F5">
      <w:pPr>
        <w:numPr>
          <w:ilvl w:val="0"/>
          <w:numId w:val="38"/>
        </w:numPr>
        <w:spacing w:line="264" w:lineRule="auto"/>
        <w:rPr>
          <w:sz w:val="25"/>
          <w:szCs w:val="25"/>
        </w:rPr>
      </w:pPr>
      <w:r>
        <w:rPr>
          <w:b/>
          <w:sz w:val="25"/>
          <w:szCs w:val="25"/>
        </w:rPr>
        <w:t xml:space="preserve">Summary </w:t>
      </w:r>
    </w:p>
    <w:p w14:paraId="2ACFD232" w14:textId="77777777" w:rsidR="003C4E68" w:rsidRPr="003C4E68" w:rsidRDefault="003C4E68" w:rsidP="007448F5">
      <w:pPr>
        <w:spacing w:line="264" w:lineRule="auto"/>
        <w:rPr>
          <w:sz w:val="25"/>
          <w:szCs w:val="25"/>
        </w:rPr>
      </w:pPr>
    </w:p>
    <w:p w14:paraId="01BF8204" w14:textId="5433F1F8" w:rsidR="006D03D5" w:rsidRPr="00070FB1" w:rsidRDefault="001614A7" w:rsidP="007448F5">
      <w:pPr>
        <w:numPr>
          <w:ilvl w:val="0"/>
          <w:numId w:val="10"/>
        </w:numPr>
        <w:spacing w:line="264" w:lineRule="auto"/>
        <w:ind w:hanging="720"/>
        <w:rPr>
          <w:sz w:val="25"/>
          <w:szCs w:val="25"/>
        </w:rPr>
      </w:pPr>
      <w:r w:rsidRPr="00070FB1">
        <w:rPr>
          <w:sz w:val="25"/>
          <w:szCs w:val="25"/>
        </w:rPr>
        <w:t xml:space="preserve">On </w:t>
      </w:r>
      <w:r w:rsidR="00070FB1" w:rsidRPr="00070FB1">
        <w:rPr>
          <w:sz w:val="25"/>
          <w:szCs w:val="25"/>
        </w:rPr>
        <w:t>August 18, 2014</w:t>
      </w:r>
      <w:r w:rsidRPr="00070FB1">
        <w:rPr>
          <w:sz w:val="25"/>
          <w:szCs w:val="25"/>
        </w:rPr>
        <w:t>, the Company filed a Settlement on behalf of all parties</w:t>
      </w:r>
      <w:r w:rsidR="00070FB1" w:rsidRPr="00070FB1">
        <w:rPr>
          <w:sz w:val="25"/>
          <w:szCs w:val="25"/>
        </w:rPr>
        <w:t xml:space="preserve">.  </w:t>
      </w:r>
      <w:r w:rsidR="00975749" w:rsidRPr="00070FB1">
        <w:rPr>
          <w:sz w:val="25"/>
          <w:szCs w:val="25"/>
        </w:rPr>
        <w:t xml:space="preserve">The agreement </w:t>
      </w:r>
      <w:r w:rsidR="0006635E" w:rsidRPr="00070FB1">
        <w:rPr>
          <w:sz w:val="25"/>
          <w:szCs w:val="25"/>
        </w:rPr>
        <w:t xml:space="preserve">itself </w:t>
      </w:r>
      <w:r w:rsidR="00975749" w:rsidRPr="00070FB1">
        <w:rPr>
          <w:sz w:val="25"/>
          <w:szCs w:val="25"/>
        </w:rPr>
        <w:t xml:space="preserve">is a “black box” Settlement.  </w:t>
      </w:r>
      <w:r w:rsidR="0068758C" w:rsidRPr="00070FB1">
        <w:rPr>
          <w:sz w:val="25"/>
          <w:szCs w:val="25"/>
        </w:rPr>
        <w:t>This means that the settling parties agree on some important compo</w:t>
      </w:r>
      <w:r w:rsidR="00DC014B">
        <w:rPr>
          <w:sz w:val="25"/>
          <w:szCs w:val="25"/>
        </w:rPr>
        <w:t>nents in the rate case, such as revenue requirement</w:t>
      </w:r>
      <w:r w:rsidR="00C3112F">
        <w:rPr>
          <w:sz w:val="25"/>
          <w:szCs w:val="25"/>
        </w:rPr>
        <w:t xml:space="preserve">, decoupling mechanisms with a </w:t>
      </w:r>
      <w:r w:rsidR="00DC014B">
        <w:rPr>
          <w:sz w:val="25"/>
          <w:szCs w:val="25"/>
        </w:rPr>
        <w:t>third-party evaluator</w:t>
      </w:r>
      <w:r w:rsidR="0068758C" w:rsidRPr="00070FB1">
        <w:rPr>
          <w:sz w:val="25"/>
          <w:szCs w:val="25"/>
        </w:rPr>
        <w:t xml:space="preserve">, and rate spread and rate design, but the Settlement </w:t>
      </w:r>
      <w:r w:rsidR="006339B9" w:rsidRPr="00070FB1">
        <w:rPr>
          <w:sz w:val="25"/>
          <w:szCs w:val="25"/>
        </w:rPr>
        <w:t>does not</w:t>
      </w:r>
      <w:r w:rsidR="0068758C" w:rsidRPr="00070FB1">
        <w:rPr>
          <w:sz w:val="25"/>
          <w:szCs w:val="25"/>
        </w:rPr>
        <w:t xml:space="preserve"> articulate the “give and take” process that produced these results.  Put another way, the settling parties agree to firm end-result numbers without indicating which </w:t>
      </w:r>
      <w:r w:rsidR="0006635E" w:rsidRPr="00070FB1">
        <w:rPr>
          <w:sz w:val="25"/>
          <w:szCs w:val="25"/>
        </w:rPr>
        <w:t xml:space="preserve">parties’ </w:t>
      </w:r>
      <w:r w:rsidR="0068758C" w:rsidRPr="00070FB1">
        <w:rPr>
          <w:sz w:val="25"/>
          <w:szCs w:val="25"/>
        </w:rPr>
        <w:t xml:space="preserve">adjustments </w:t>
      </w:r>
      <w:r w:rsidR="0006635E" w:rsidRPr="00070FB1">
        <w:rPr>
          <w:sz w:val="25"/>
          <w:szCs w:val="25"/>
        </w:rPr>
        <w:t xml:space="preserve">or issues </w:t>
      </w:r>
      <w:r w:rsidR="0068758C" w:rsidRPr="00070FB1">
        <w:rPr>
          <w:sz w:val="25"/>
          <w:szCs w:val="25"/>
        </w:rPr>
        <w:t xml:space="preserve">have been included in the final numbers.  </w:t>
      </w:r>
    </w:p>
    <w:p w14:paraId="2AEB74C3" w14:textId="225243D8" w:rsidR="00682321" w:rsidRDefault="00682321">
      <w:pPr>
        <w:rPr>
          <w:sz w:val="25"/>
          <w:szCs w:val="25"/>
        </w:rPr>
      </w:pPr>
      <w:r>
        <w:rPr>
          <w:sz w:val="25"/>
          <w:szCs w:val="25"/>
        </w:rPr>
        <w:br w:type="page"/>
      </w:r>
    </w:p>
    <w:p w14:paraId="49018125" w14:textId="77777777" w:rsidR="0006635E" w:rsidRDefault="0006635E" w:rsidP="007448F5">
      <w:pPr>
        <w:pStyle w:val="ListParagraph"/>
        <w:spacing w:line="264" w:lineRule="auto"/>
        <w:rPr>
          <w:sz w:val="25"/>
          <w:szCs w:val="25"/>
        </w:rPr>
      </w:pPr>
    </w:p>
    <w:p w14:paraId="25EB1980" w14:textId="77777777" w:rsidR="0006635E" w:rsidRPr="00F27FE5" w:rsidRDefault="0006635E" w:rsidP="007448F5">
      <w:pPr>
        <w:numPr>
          <w:ilvl w:val="0"/>
          <w:numId w:val="10"/>
        </w:numPr>
        <w:spacing w:line="264" w:lineRule="auto"/>
        <w:ind w:hanging="720"/>
        <w:rPr>
          <w:sz w:val="25"/>
          <w:szCs w:val="25"/>
        </w:rPr>
      </w:pPr>
      <w:r>
        <w:rPr>
          <w:sz w:val="25"/>
          <w:szCs w:val="25"/>
        </w:rPr>
        <w:t>Some of the contested issues that t</w:t>
      </w:r>
      <w:r w:rsidRPr="00F27FE5">
        <w:rPr>
          <w:sz w:val="25"/>
          <w:szCs w:val="25"/>
        </w:rPr>
        <w:t xml:space="preserve">he Settlement proposes </w:t>
      </w:r>
      <w:r>
        <w:rPr>
          <w:sz w:val="25"/>
          <w:szCs w:val="25"/>
        </w:rPr>
        <w:t xml:space="preserve">to </w:t>
      </w:r>
      <w:r w:rsidRPr="00F27FE5">
        <w:rPr>
          <w:sz w:val="25"/>
          <w:szCs w:val="25"/>
        </w:rPr>
        <w:t>resol</w:t>
      </w:r>
      <w:r>
        <w:rPr>
          <w:sz w:val="25"/>
          <w:szCs w:val="25"/>
        </w:rPr>
        <w:t>ve</w:t>
      </w:r>
      <w:r w:rsidRPr="00F27FE5">
        <w:rPr>
          <w:sz w:val="25"/>
          <w:szCs w:val="25"/>
        </w:rPr>
        <w:t xml:space="preserve"> </w:t>
      </w:r>
      <w:r>
        <w:rPr>
          <w:sz w:val="25"/>
          <w:szCs w:val="25"/>
        </w:rPr>
        <w:t>are</w:t>
      </w:r>
      <w:r w:rsidRPr="00F27FE5">
        <w:rPr>
          <w:sz w:val="25"/>
          <w:szCs w:val="25"/>
        </w:rPr>
        <w:t>:</w:t>
      </w:r>
    </w:p>
    <w:p w14:paraId="473DFC42" w14:textId="77777777" w:rsidR="0006635E" w:rsidRPr="00F27FE5" w:rsidRDefault="0006635E" w:rsidP="007448F5">
      <w:pPr>
        <w:spacing w:line="264" w:lineRule="auto"/>
        <w:rPr>
          <w:sz w:val="25"/>
          <w:szCs w:val="25"/>
        </w:rPr>
      </w:pPr>
    </w:p>
    <w:p w14:paraId="30034D60" w14:textId="2D9168DB" w:rsidR="0006635E" w:rsidRDefault="0018156E" w:rsidP="00682321">
      <w:pPr>
        <w:numPr>
          <w:ilvl w:val="0"/>
          <w:numId w:val="22"/>
        </w:numPr>
        <w:spacing w:line="264" w:lineRule="auto"/>
        <w:ind w:left="720"/>
        <w:rPr>
          <w:sz w:val="25"/>
          <w:szCs w:val="25"/>
        </w:rPr>
      </w:pPr>
      <w:r>
        <w:rPr>
          <w:sz w:val="25"/>
          <w:szCs w:val="25"/>
        </w:rPr>
        <w:t>Rate</w:t>
      </w:r>
      <w:r w:rsidR="0006635E">
        <w:rPr>
          <w:sz w:val="25"/>
          <w:szCs w:val="25"/>
        </w:rPr>
        <w:t xml:space="preserve"> </w:t>
      </w:r>
      <w:r w:rsidR="00C3112F">
        <w:rPr>
          <w:sz w:val="25"/>
          <w:szCs w:val="25"/>
        </w:rPr>
        <w:t>i</w:t>
      </w:r>
      <w:r w:rsidR="00A70DE3">
        <w:rPr>
          <w:sz w:val="25"/>
          <w:szCs w:val="25"/>
        </w:rPr>
        <w:t>ncrease</w:t>
      </w:r>
      <w:r w:rsidR="0006635E">
        <w:rPr>
          <w:sz w:val="25"/>
          <w:szCs w:val="25"/>
        </w:rPr>
        <w:t xml:space="preserve">s for </w:t>
      </w:r>
      <w:r w:rsidR="00DD14F4">
        <w:rPr>
          <w:sz w:val="25"/>
          <w:szCs w:val="25"/>
        </w:rPr>
        <w:t>2015</w:t>
      </w:r>
      <w:r w:rsidR="0006635E">
        <w:rPr>
          <w:sz w:val="25"/>
          <w:szCs w:val="25"/>
        </w:rPr>
        <w:t xml:space="preserve"> (both electric and natural gas); </w:t>
      </w:r>
    </w:p>
    <w:p w14:paraId="09BC327F" w14:textId="5C72224B" w:rsidR="0006635E" w:rsidRDefault="0018156E" w:rsidP="00682321">
      <w:pPr>
        <w:numPr>
          <w:ilvl w:val="0"/>
          <w:numId w:val="22"/>
        </w:numPr>
        <w:spacing w:line="264" w:lineRule="auto"/>
        <w:ind w:left="720"/>
        <w:rPr>
          <w:sz w:val="25"/>
          <w:szCs w:val="25"/>
        </w:rPr>
      </w:pPr>
      <w:r>
        <w:rPr>
          <w:sz w:val="25"/>
          <w:szCs w:val="25"/>
        </w:rPr>
        <w:t>Five</w:t>
      </w:r>
      <w:r w:rsidR="00957541">
        <w:rPr>
          <w:sz w:val="25"/>
          <w:szCs w:val="25"/>
        </w:rPr>
        <w:t>-</w:t>
      </w:r>
      <w:r w:rsidR="00C3112F">
        <w:rPr>
          <w:sz w:val="25"/>
          <w:szCs w:val="25"/>
        </w:rPr>
        <w:t>year electric and natural gas decoupling mechanisms and third-party e</w:t>
      </w:r>
      <w:r>
        <w:rPr>
          <w:sz w:val="25"/>
          <w:szCs w:val="25"/>
        </w:rPr>
        <w:t>valuations</w:t>
      </w:r>
      <w:r w:rsidR="0006635E">
        <w:rPr>
          <w:sz w:val="25"/>
          <w:szCs w:val="25"/>
        </w:rPr>
        <w:t xml:space="preserve">; </w:t>
      </w:r>
    </w:p>
    <w:p w14:paraId="13E9E4B7" w14:textId="4B4A53F3" w:rsidR="00566ABC" w:rsidRDefault="00490D3C" w:rsidP="00682321">
      <w:pPr>
        <w:numPr>
          <w:ilvl w:val="0"/>
          <w:numId w:val="22"/>
        </w:numPr>
        <w:spacing w:line="264" w:lineRule="auto"/>
        <w:ind w:left="720"/>
        <w:rPr>
          <w:sz w:val="25"/>
          <w:szCs w:val="25"/>
        </w:rPr>
      </w:pPr>
      <w:r>
        <w:rPr>
          <w:sz w:val="25"/>
          <w:szCs w:val="25"/>
        </w:rPr>
        <w:t xml:space="preserve">Determination of </w:t>
      </w:r>
      <w:r w:rsidR="00C3112F">
        <w:rPr>
          <w:sz w:val="25"/>
          <w:szCs w:val="25"/>
        </w:rPr>
        <w:t>power supply c</w:t>
      </w:r>
      <w:r w:rsidR="00566ABC">
        <w:rPr>
          <w:sz w:val="25"/>
          <w:szCs w:val="25"/>
        </w:rPr>
        <w:t>ost</w:t>
      </w:r>
      <w:r>
        <w:rPr>
          <w:sz w:val="25"/>
          <w:szCs w:val="25"/>
        </w:rPr>
        <w:t>s</w:t>
      </w:r>
      <w:r w:rsidR="00566ABC">
        <w:rPr>
          <w:sz w:val="25"/>
          <w:szCs w:val="25"/>
        </w:rPr>
        <w:t>;</w:t>
      </w:r>
    </w:p>
    <w:p w14:paraId="0EF80B43" w14:textId="3BEFE44F" w:rsidR="00C641C8" w:rsidRDefault="00C3112F" w:rsidP="00682321">
      <w:pPr>
        <w:numPr>
          <w:ilvl w:val="0"/>
          <w:numId w:val="22"/>
        </w:numPr>
        <w:spacing w:line="264" w:lineRule="auto"/>
        <w:ind w:left="720"/>
        <w:rPr>
          <w:sz w:val="25"/>
          <w:szCs w:val="25"/>
        </w:rPr>
      </w:pPr>
      <w:r>
        <w:rPr>
          <w:sz w:val="25"/>
          <w:szCs w:val="25"/>
        </w:rPr>
        <w:t>Rate spread and rate d</w:t>
      </w:r>
      <w:r w:rsidR="0006635E" w:rsidRPr="00C641C8">
        <w:rPr>
          <w:sz w:val="25"/>
          <w:szCs w:val="25"/>
        </w:rPr>
        <w:t>esign (both electric and natural gas)</w:t>
      </w:r>
      <w:r w:rsidR="0018156E" w:rsidRPr="00C641C8">
        <w:rPr>
          <w:sz w:val="25"/>
          <w:szCs w:val="25"/>
        </w:rPr>
        <w:t xml:space="preserve">; and </w:t>
      </w:r>
    </w:p>
    <w:p w14:paraId="5CD4C774" w14:textId="6091BA36" w:rsidR="00CF7FEB" w:rsidRDefault="0018156E" w:rsidP="00682321">
      <w:pPr>
        <w:numPr>
          <w:ilvl w:val="0"/>
          <w:numId w:val="22"/>
        </w:numPr>
        <w:spacing w:line="264" w:lineRule="auto"/>
        <w:ind w:left="720"/>
        <w:rPr>
          <w:sz w:val="25"/>
          <w:szCs w:val="25"/>
        </w:rPr>
      </w:pPr>
      <w:r w:rsidRPr="00C641C8">
        <w:rPr>
          <w:sz w:val="25"/>
          <w:szCs w:val="25"/>
        </w:rPr>
        <w:t xml:space="preserve">Increased </w:t>
      </w:r>
      <w:r w:rsidR="00DC014B">
        <w:rPr>
          <w:sz w:val="25"/>
          <w:szCs w:val="25"/>
        </w:rPr>
        <w:t>LIRAP</w:t>
      </w:r>
      <w:r w:rsidR="00C3112F">
        <w:rPr>
          <w:sz w:val="25"/>
          <w:szCs w:val="25"/>
        </w:rPr>
        <w:t xml:space="preserve"> f</w:t>
      </w:r>
      <w:r w:rsidRPr="00C641C8">
        <w:rPr>
          <w:sz w:val="25"/>
          <w:szCs w:val="25"/>
        </w:rPr>
        <w:t>unding</w:t>
      </w:r>
      <w:r w:rsidR="0006635E" w:rsidRPr="00C641C8">
        <w:rPr>
          <w:sz w:val="25"/>
          <w:szCs w:val="25"/>
        </w:rPr>
        <w:t>.</w:t>
      </w:r>
    </w:p>
    <w:p w14:paraId="4FA45917" w14:textId="77777777" w:rsidR="00682321" w:rsidRPr="00CF7FEB" w:rsidRDefault="00682321" w:rsidP="00682321">
      <w:pPr>
        <w:spacing w:line="264" w:lineRule="auto"/>
        <w:ind w:left="360"/>
        <w:rPr>
          <w:sz w:val="25"/>
          <w:szCs w:val="25"/>
        </w:rPr>
      </w:pPr>
    </w:p>
    <w:p w14:paraId="69F49D3B" w14:textId="77777777" w:rsidR="00483D04" w:rsidRDefault="008F2D34" w:rsidP="007448F5">
      <w:pPr>
        <w:spacing w:line="264" w:lineRule="auto"/>
        <w:rPr>
          <w:sz w:val="25"/>
          <w:szCs w:val="25"/>
        </w:rPr>
      </w:pPr>
      <w:r>
        <w:rPr>
          <w:sz w:val="25"/>
          <w:szCs w:val="25"/>
        </w:rPr>
        <w:t>The settling parties propose a January 1, 201</w:t>
      </w:r>
      <w:r w:rsidR="00F0423A">
        <w:rPr>
          <w:sz w:val="25"/>
          <w:szCs w:val="25"/>
        </w:rPr>
        <w:t>5</w:t>
      </w:r>
      <w:r>
        <w:rPr>
          <w:sz w:val="25"/>
          <w:szCs w:val="25"/>
        </w:rPr>
        <w:t>, effective date for the rate increases.</w:t>
      </w:r>
      <w:r>
        <w:rPr>
          <w:rStyle w:val="FootnoteReference"/>
          <w:sz w:val="25"/>
          <w:szCs w:val="25"/>
        </w:rPr>
        <w:footnoteReference w:id="8"/>
      </w:r>
      <w:r>
        <w:rPr>
          <w:sz w:val="25"/>
          <w:szCs w:val="25"/>
        </w:rPr>
        <w:t xml:space="preserve">  They indicate that this provision is an integral part of the Settlement.</w:t>
      </w:r>
      <w:r>
        <w:rPr>
          <w:rStyle w:val="FootnoteReference"/>
          <w:sz w:val="25"/>
          <w:szCs w:val="25"/>
        </w:rPr>
        <w:footnoteReference w:id="9"/>
      </w:r>
    </w:p>
    <w:p w14:paraId="23036A70" w14:textId="77777777" w:rsidR="007448F5" w:rsidRDefault="007448F5" w:rsidP="007448F5">
      <w:pPr>
        <w:pStyle w:val="ListParagraph"/>
        <w:spacing w:line="264" w:lineRule="auto"/>
        <w:rPr>
          <w:sz w:val="25"/>
          <w:szCs w:val="25"/>
        </w:rPr>
      </w:pPr>
    </w:p>
    <w:p w14:paraId="1A6FB07A" w14:textId="77777777" w:rsidR="00183EE2" w:rsidRDefault="00183EE2" w:rsidP="007448F5">
      <w:pPr>
        <w:numPr>
          <w:ilvl w:val="0"/>
          <w:numId w:val="38"/>
        </w:numPr>
        <w:spacing w:line="264" w:lineRule="auto"/>
        <w:rPr>
          <w:b/>
          <w:sz w:val="25"/>
          <w:szCs w:val="25"/>
        </w:rPr>
      </w:pPr>
      <w:r w:rsidRPr="00183EE2">
        <w:rPr>
          <w:b/>
          <w:sz w:val="25"/>
          <w:szCs w:val="25"/>
        </w:rPr>
        <w:t>Discussion</w:t>
      </w:r>
    </w:p>
    <w:p w14:paraId="49D202B9" w14:textId="77777777" w:rsidR="003D42C5" w:rsidRDefault="003D42C5" w:rsidP="007448F5">
      <w:pPr>
        <w:spacing w:line="264" w:lineRule="auto"/>
        <w:ind w:left="720"/>
        <w:rPr>
          <w:b/>
          <w:sz w:val="25"/>
          <w:szCs w:val="25"/>
        </w:rPr>
      </w:pPr>
    </w:p>
    <w:p w14:paraId="18BF5B36" w14:textId="77777777" w:rsidR="009D369A" w:rsidRDefault="009D369A" w:rsidP="00682321">
      <w:pPr>
        <w:numPr>
          <w:ilvl w:val="1"/>
          <w:numId w:val="38"/>
        </w:numPr>
        <w:spacing w:line="264" w:lineRule="auto"/>
        <w:ind w:left="1080"/>
        <w:rPr>
          <w:b/>
          <w:sz w:val="25"/>
          <w:szCs w:val="25"/>
        </w:rPr>
      </w:pPr>
      <w:r>
        <w:rPr>
          <w:b/>
          <w:sz w:val="25"/>
          <w:szCs w:val="25"/>
        </w:rPr>
        <w:t>Rate Increases</w:t>
      </w:r>
    </w:p>
    <w:p w14:paraId="001ADE98" w14:textId="77777777" w:rsidR="00032B87" w:rsidRDefault="00032B87" w:rsidP="007448F5">
      <w:pPr>
        <w:spacing w:line="264" w:lineRule="auto"/>
        <w:rPr>
          <w:b/>
          <w:sz w:val="25"/>
          <w:szCs w:val="25"/>
        </w:rPr>
      </w:pPr>
    </w:p>
    <w:p w14:paraId="21DA14A2" w14:textId="41E71EBB" w:rsidR="00C641C8" w:rsidRDefault="00C641C8" w:rsidP="007448F5">
      <w:pPr>
        <w:numPr>
          <w:ilvl w:val="0"/>
          <w:numId w:val="10"/>
        </w:numPr>
        <w:spacing w:line="264" w:lineRule="auto"/>
        <w:ind w:hanging="720"/>
        <w:rPr>
          <w:sz w:val="25"/>
          <w:szCs w:val="25"/>
        </w:rPr>
      </w:pPr>
      <w:r w:rsidRPr="00C641C8">
        <w:rPr>
          <w:sz w:val="25"/>
          <w:szCs w:val="25"/>
        </w:rPr>
        <w:t>Effective January 1, 2015, the Settlement provides for an increase in</w:t>
      </w:r>
      <w:r w:rsidRPr="00796952">
        <w:rPr>
          <w:sz w:val="25"/>
          <w:szCs w:val="25"/>
        </w:rPr>
        <w:t xml:space="preserve"> Avista’s annual electric revenues </w:t>
      </w:r>
      <w:r w:rsidR="00C3112F">
        <w:rPr>
          <w:sz w:val="25"/>
          <w:szCs w:val="25"/>
        </w:rPr>
        <w:t>of</w:t>
      </w:r>
      <w:r w:rsidRPr="00796952">
        <w:rPr>
          <w:sz w:val="25"/>
          <w:szCs w:val="25"/>
        </w:rPr>
        <w:t xml:space="preserve"> $7.0 million</w:t>
      </w:r>
      <w:r w:rsidR="00C3112F">
        <w:rPr>
          <w:sz w:val="25"/>
          <w:szCs w:val="25"/>
        </w:rPr>
        <w:t>,</w:t>
      </w:r>
      <w:r w:rsidRPr="00796952">
        <w:rPr>
          <w:sz w:val="25"/>
          <w:szCs w:val="25"/>
        </w:rPr>
        <w:t xml:space="preserve"> or 1.4 percent.</w:t>
      </w:r>
      <w:r>
        <w:rPr>
          <w:rStyle w:val="FootnoteReference"/>
          <w:szCs w:val="25"/>
        </w:rPr>
        <w:footnoteReference w:id="10"/>
      </w:r>
      <w:r w:rsidRPr="00796952">
        <w:rPr>
          <w:sz w:val="25"/>
          <w:szCs w:val="25"/>
        </w:rPr>
        <w:t xml:space="preserve">  The overall net billed impact of this Settlement is an increase of $11.9 million</w:t>
      </w:r>
      <w:r w:rsidR="00C3112F">
        <w:rPr>
          <w:sz w:val="25"/>
          <w:szCs w:val="25"/>
        </w:rPr>
        <w:t>,</w:t>
      </w:r>
      <w:r w:rsidRPr="00796952">
        <w:rPr>
          <w:sz w:val="25"/>
          <w:szCs w:val="25"/>
        </w:rPr>
        <w:t xml:space="preserve"> or 2.4</w:t>
      </w:r>
      <w:r w:rsidR="005D5C57">
        <w:rPr>
          <w:sz w:val="25"/>
          <w:szCs w:val="25"/>
        </w:rPr>
        <w:t>8</w:t>
      </w:r>
      <w:r w:rsidRPr="00796952">
        <w:rPr>
          <w:sz w:val="25"/>
          <w:szCs w:val="25"/>
        </w:rPr>
        <w:t xml:space="preserve"> percent, consisting of an increase in base rates and the following </w:t>
      </w:r>
      <w:r w:rsidR="0042370B">
        <w:rPr>
          <w:sz w:val="25"/>
          <w:szCs w:val="25"/>
        </w:rPr>
        <w:t xml:space="preserve">revenue increases and </w:t>
      </w:r>
      <w:r>
        <w:rPr>
          <w:sz w:val="25"/>
          <w:szCs w:val="25"/>
        </w:rPr>
        <w:t>credits</w:t>
      </w:r>
      <w:r w:rsidR="007708A7">
        <w:rPr>
          <w:sz w:val="25"/>
          <w:szCs w:val="25"/>
        </w:rPr>
        <w:t xml:space="preserve"> due to</w:t>
      </w:r>
      <w:r w:rsidRPr="00796952">
        <w:rPr>
          <w:sz w:val="25"/>
          <w:szCs w:val="25"/>
        </w:rPr>
        <w:t xml:space="preserve">: </w:t>
      </w:r>
    </w:p>
    <w:p w14:paraId="46565329" w14:textId="77777777" w:rsidR="003D42C5" w:rsidRDefault="003D42C5" w:rsidP="007448F5">
      <w:pPr>
        <w:spacing w:line="264" w:lineRule="auto"/>
        <w:rPr>
          <w:sz w:val="25"/>
          <w:szCs w:val="25"/>
        </w:rPr>
      </w:pPr>
    </w:p>
    <w:p w14:paraId="78C1189E" w14:textId="77777777" w:rsidR="00C641C8" w:rsidRDefault="00884A4D" w:rsidP="00682321">
      <w:pPr>
        <w:numPr>
          <w:ilvl w:val="0"/>
          <w:numId w:val="22"/>
        </w:numPr>
        <w:spacing w:line="264" w:lineRule="auto"/>
        <w:ind w:left="720"/>
        <w:rPr>
          <w:sz w:val="25"/>
          <w:szCs w:val="25"/>
        </w:rPr>
      </w:pPr>
      <w:r>
        <w:rPr>
          <w:sz w:val="25"/>
          <w:szCs w:val="25"/>
        </w:rPr>
        <w:t xml:space="preserve">The </w:t>
      </w:r>
      <w:r w:rsidR="00C641C8" w:rsidRPr="008B1B44">
        <w:rPr>
          <w:sz w:val="25"/>
          <w:szCs w:val="25"/>
        </w:rPr>
        <w:t>January 1, 2015</w:t>
      </w:r>
      <w:r w:rsidR="007708A7">
        <w:rPr>
          <w:sz w:val="25"/>
          <w:szCs w:val="25"/>
        </w:rPr>
        <w:t>,</w:t>
      </w:r>
      <w:r w:rsidR="00237800">
        <w:rPr>
          <w:sz w:val="25"/>
          <w:szCs w:val="25"/>
        </w:rPr>
        <w:t xml:space="preserve"> expiration of</w:t>
      </w:r>
      <w:r w:rsidR="00C641C8" w:rsidRPr="008B1B44">
        <w:rPr>
          <w:sz w:val="25"/>
          <w:szCs w:val="25"/>
        </w:rPr>
        <w:t xml:space="preserve"> the current Energy Recovery Mechanism (ERM)</w:t>
      </w:r>
      <w:r w:rsidR="0042370B">
        <w:rPr>
          <w:rStyle w:val="FootnoteReference"/>
          <w:sz w:val="25"/>
          <w:szCs w:val="25"/>
        </w:rPr>
        <w:footnoteReference w:id="11"/>
      </w:r>
      <w:r w:rsidR="00C641C8" w:rsidRPr="008B1B44">
        <w:rPr>
          <w:sz w:val="25"/>
          <w:szCs w:val="25"/>
        </w:rPr>
        <w:t xml:space="preserve"> and Bonneville Power Authority transmission</w:t>
      </w:r>
      <w:r w:rsidR="0042370B">
        <w:rPr>
          <w:rStyle w:val="FootnoteReference"/>
          <w:sz w:val="25"/>
          <w:szCs w:val="25"/>
        </w:rPr>
        <w:footnoteReference w:id="12"/>
      </w:r>
      <w:r w:rsidR="00C641C8" w:rsidRPr="008B1B44">
        <w:rPr>
          <w:sz w:val="25"/>
          <w:szCs w:val="25"/>
        </w:rPr>
        <w:t xml:space="preserve"> credits, increasing electric rates by $13.7 million or 2.8 percent</w:t>
      </w:r>
      <w:r w:rsidR="004952A4">
        <w:rPr>
          <w:sz w:val="25"/>
          <w:szCs w:val="25"/>
        </w:rPr>
        <w:t>.</w:t>
      </w:r>
    </w:p>
    <w:p w14:paraId="22DA659A" w14:textId="77777777" w:rsidR="00C641C8" w:rsidRDefault="00237800" w:rsidP="00682321">
      <w:pPr>
        <w:numPr>
          <w:ilvl w:val="0"/>
          <w:numId w:val="22"/>
        </w:numPr>
        <w:spacing w:line="264" w:lineRule="auto"/>
        <w:ind w:left="720"/>
        <w:rPr>
          <w:sz w:val="25"/>
          <w:szCs w:val="25"/>
        </w:rPr>
      </w:pPr>
      <w:r>
        <w:rPr>
          <w:sz w:val="25"/>
          <w:szCs w:val="25"/>
        </w:rPr>
        <w:t>M</w:t>
      </w:r>
      <w:r w:rsidR="00C641C8" w:rsidRPr="008B1B44">
        <w:rPr>
          <w:sz w:val="25"/>
          <w:szCs w:val="25"/>
        </w:rPr>
        <w:t>itigat</w:t>
      </w:r>
      <w:r>
        <w:rPr>
          <w:sz w:val="25"/>
          <w:szCs w:val="25"/>
        </w:rPr>
        <w:t>ion of</w:t>
      </w:r>
      <w:r w:rsidR="00C641C8" w:rsidRPr="008B1B44">
        <w:rPr>
          <w:sz w:val="25"/>
          <w:szCs w:val="25"/>
        </w:rPr>
        <w:t xml:space="preserve"> the increase in electric rates </w:t>
      </w:r>
      <w:r>
        <w:rPr>
          <w:sz w:val="25"/>
          <w:szCs w:val="25"/>
        </w:rPr>
        <w:t>by using</w:t>
      </w:r>
      <w:r w:rsidR="00C641C8">
        <w:rPr>
          <w:sz w:val="25"/>
          <w:szCs w:val="25"/>
        </w:rPr>
        <w:t xml:space="preserve"> </w:t>
      </w:r>
      <w:r w:rsidR="00C641C8" w:rsidRPr="008B1B44">
        <w:rPr>
          <w:sz w:val="25"/>
          <w:szCs w:val="25"/>
        </w:rPr>
        <w:t xml:space="preserve">$3 million from the ERM deferral account, </w:t>
      </w:r>
      <w:r w:rsidR="00303B31">
        <w:rPr>
          <w:sz w:val="25"/>
          <w:szCs w:val="25"/>
        </w:rPr>
        <w:t>resulting in increased</w:t>
      </w:r>
      <w:r w:rsidR="00C641C8" w:rsidRPr="008B1B44">
        <w:rPr>
          <w:sz w:val="25"/>
          <w:szCs w:val="25"/>
        </w:rPr>
        <w:t xml:space="preserve"> electric rates </w:t>
      </w:r>
      <w:r w:rsidR="00303B31">
        <w:rPr>
          <w:sz w:val="25"/>
          <w:szCs w:val="25"/>
        </w:rPr>
        <w:t>of</w:t>
      </w:r>
      <w:r w:rsidR="00C641C8" w:rsidRPr="008B1B44">
        <w:rPr>
          <w:sz w:val="25"/>
          <w:szCs w:val="25"/>
        </w:rPr>
        <w:t xml:space="preserve"> </w:t>
      </w:r>
      <w:r w:rsidR="00303B31">
        <w:rPr>
          <w:sz w:val="25"/>
          <w:szCs w:val="25"/>
        </w:rPr>
        <w:t xml:space="preserve">only </w:t>
      </w:r>
      <w:r w:rsidR="00C641C8" w:rsidRPr="008B1B44">
        <w:rPr>
          <w:sz w:val="25"/>
          <w:szCs w:val="25"/>
        </w:rPr>
        <w:t>0.8 percent</w:t>
      </w:r>
      <w:r w:rsidR="004952A4">
        <w:rPr>
          <w:sz w:val="25"/>
          <w:szCs w:val="25"/>
        </w:rPr>
        <w:t>.</w:t>
      </w:r>
      <w:r w:rsidR="00C641C8">
        <w:rPr>
          <w:rStyle w:val="FootnoteReference"/>
          <w:szCs w:val="25"/>
        </w:rPr>
        <w:footnoteReference w:id="13"/>
      </w:r>
    </w:p>
    <w:p w14:paraId="2F7896B2" w14:textId="77777777" w:rsidR="00C641C8" w:rsidRDefault="00237800" w:rsidP="00682321">
      <w:pPr>
        <w:numPr>
          <w:ilvl w:val="0"/>
          <w:numId w:val="22"/>
        </w:numPr>
        <w:spacing w:line="264" w:lineRule="auto"/>
        <w:ind w:left="720"/>
        <w:rPr>
          <w:sz w:val="25"/>
          <w:szCs w:val="25"/>
        </w:rPr>
      </w:pPr>
      <w:r>
        <w:rPr>
          <w:sz w:val="25"/>
          <w:szCs w:val="25"/>
        </w:rPr>
        <w:t>Rebates to customers over 18 months using</w:t>
      </w:r>
      <w:r w:rsidR="00C641C8">
        <w:rPr>
          <w:sz w:val="25"/>
          <w:szCs w:val="25"/>
        </w:rPr>
        <w:t xml:space="preserve"> </w:t>
      </w:r>
      <w:r w:rsidR="00C641C8" w:rsidRPr="008B1B44">
        <w:rPr>
          <w:sz w:val="25"/>
          <w:szCs w:val="25"/>
        </w:rPr>
        <w:t>$8.6 million from the Renewable Energy Credit (REC) deferral account</w:t>
      </w:r>
      <w:r>
        <w:rPr>
          <w:sz w:val="25"/>
          <w:szCs w:val="25"/>
        </w:rPr>
        <w:t>,</w:t>
      </w:r>
      <w:r w:rsidR="00C641C8" w:rsidRPr="008B1B44">
        <w:rPr>
          <w:sz w:val="25"/>
          <w:szCs w:val="25"/>
        </w:rPr>
        <w:t xml:space="preserve"> lowering electric rates by $5.9 million annualized or 1.2 percent.</w:t>
      </w:r>
      <w:r w:rsidR="00C641C8">
        <w:rPr>
          <w:rStyle w:val="FootnoteReference"/>
          <w:szCs w:val="25"/>
        </w:rPr>
        <w:footnoteReference w:id="14"/>
      </w:r>
      <w:r w:rsidR="00C641C8" w:rsidRPr="008B1B44">
        <w:rPr>
          <w:sz w:val="25"/>
          <w:szCs w:val="25"/>
        </w:rPr>
        <w:t xml:space="preserve">  </w:t>
      </w:r>
    </w:p>
    <w:p w14:paraId="4039E4A9" w14:textId="77777777" w:rsidR="004952A4" w:rsidRDefault="004952A4" w:rsidP="00682321">
      <w:pPr>
        <w:numPr>
          <w:ilvl w:val="0"/>
          <w:numId w:val="22"/>
        </w:numPr>
        <w:spacing w:line="264" w:lineRule="auto"/>
        <w:ind w:left="720"/>
        <w:rPr>
          <w:sz w:val="25"/>
          <w:szCs w:val="25"/>
        </w:rPr>
      </w:pPr>
      <w:r>
        <w:rPr>
          <w:sz w:val="25"/>
          <w:szCs w:val="25"/>
        </w:rPr>
        <w:t>An increase in LIRAP funding by $0.2 million or 0.04 percent.</w:t>
      </w:r>
    </w:p>
    <w:p w14:paraId="0805F181" w14:textId="77777777" w:rsidR="00C641C8" w:rsidRPr="008B1B44" w:rsidRDefault="00C641C8" w:rsidP="007448F5">
      <w:pPr>
        <w:pStyle w:val="ListParagraph"/>
        <w:spacing w:line="264" w:lineRule="auto"/>
        <w:rPr>
          <w:sz w:val="25"/>
          <w:szCs w:val="25"/>
        </w:rPr>
      </w:pPr>
    </w:p>
    <w:p w14:paraId="670E87A0" w14:textId="2A51BDF7" w:rsidR="004952A4" w:rsidRDefault="00645676" w:rsidP="007448F5">
      <w:pPr>
        <w:numPr>
          <w:ilvl w:val="0"/>
          <w:numId w:val="10"/>
        </w:numPr>
        <w:spacing w:line="264" w:lineRule="auto"/>
        <w:ind w:hanging="720"/>
        <w:rPr>
          <w:sz w:val="25"/>
          <w:szCs w:val="25"/>
        </w:rPr>
      </w:pPr>
      <w:r w:rsidRPr="00377D84">
        <w:rPr>
          <w:sz w:val="25"/>
          <w:szCs w:val="25"/>
        </w:rPr>
        <w:t xml:space="preserve">The </w:t>
      </w:r>
      <w:r w:rsidR="00E33972">
        <w:rPr>
          <w:sz w:val="25"/>
          <w:szCs w:val="25"/>
        </w:rPr>
        <w:t>S</w:t>
      </w:r>
      <w:r w:rsidR="00513934">
        <w:rPr>
          <w:sz w:val="25"/>
          <w:szCs w:val="25"/>
        </w:rPr>
        <w:t xml:space="preserve">ettlement reflects a </w:t>
      </w:r>
      <w:r w:rsidRPr="00377D84">
        <w:rPr>
          <w:sz w:val="25"/>
          <w:szCs w:val="25"/>
        </w:rPr>
        <w:t>net electric rate increase impact</w:t>
      </w:r>
      <w:r w:rsidR="00513934">
        <w:rPr>
          <w:sz w:val="25"/>
          <w:szCs w:val="25"/>
        </w:rPr>
        <w:t>,</w:t>
      </w:r>
      <w:r w:rsidRPr="00377D84">
        <w:rPr>
          <w:sz w:val="25"/>
          <w:szCs w:val="25"/>
        </w:rPr>
        <w:t xml:space="preserve"> including offsets from credits and refunds</w:t>
      </w:r>
      <w:r w:rsidR="00513934">
        <w:rPr>
          <w:sz w:val="25"/>
          <w:szCs w:val="25"/>
        </w:rPr>
        <w:t>,</w:t>
      </w:r>
      <w:r w:rsidRPr="00377D84">
        <w:rPr>
          <w:sz w:val="25"/>
          <w:szCs w:val="25"/>
        </w:rPr>
        <w:t xml:space="preserve"> </w:t>
      </w:r>
      <w:r w:rsidR="00237800">
        <w:rPr>
          <w:sz w:val="25"/>
          <w:szCs w:val="25"/>
        </w:rPr>
        <w:t>of</w:t>
      </w:r>
      <w:r w:rsidRPr="00377D84">
        <w:rPr>
          <w:sz w:val="25"/>
          <w:szCs w:val="25"/>
        </w:rPr>
        <w:t xml:space="preserve"> approximately $11.9 million (2.4</w:t>
      </w:r>
      <w:r w:rsidR="005D5C57">
        <w:rPr>
          <w:sz w:val="25"/>
          <w:szCs w:val="25"/>
        </w:rPr>
        <w:t>8</w:t>
      </w:r>
      <w:r w:rsidRPr="00377D84">
        <w:rPr>
          <w:sz w:val="25"/>
          <w:szCs w:val="25"/>
        </w:rPr>
        <w:t xml:space="preserve"> percent).</w:t>
      </w:r>
      <w:r w:rsidRPr="00377D84">
        <w:rPr>
          <w:rStyle w:val="FootnoteReference"/>
          <w:sz w:val="25"/>
          <w:szCs w:val="25"/>
        </w:rPr>
        <w:footnoteReference w:id="15"/>
      </w:r>
      <w:r w:rsidRPr="00377D84">
        <w:rPr>
          <w:sz w:val="25"/>
          <w:szCs w:val="25"/>
        </w:rPr>
        <w:t xml:space="preserve"> </w:t>
      </w:r>
      <w:r w:rsidR="00BC7A5A">
        <w:rPr>
          <w:sz w:val="25"/>
          <w:szCs w:val="25"/>
        </w:rPr>
        <w:t xml:space="preserve"> </w:t>
      </w:r>
      <w:r w:rsidRPr="00377D84">
        <w:rPr>
          <w:sz w:val="25"/>
          <w:szCs w:val="25"/>
        </w:rPr>
        <w:t>The settling parties also agree that natural gas base revenues would increase by</w:t>
      </w:r>
      <w:r w:rsidR="005D5C57">
        <w:rPr>
          <w:sz w:val="25"/>
          <w:szCs w:val="25"/>
        </w:rPr>
        <w:t xml:space="preserve"> approximately $8.5 million (5.58</w:t>
      </w:r>
      <w:r w:rsidRPr="00377D84">
        <w:rPr>
          <w:sz w:val="25"/>
          <w:szCs w:val="25"/>
        </w:rPr>
        <w:t xml:space="preserve"> percent overall) over existing 2014 levels.</w:t>
      </w:r>
      <w:r w:rsidRPr="00377D84">
        <w:rPr>
          <w:rStyle w:val="FootnoteReference"/>
          <w:sz w:val="25"/>
          <w:szCs w:val="25"/>
        </w:rPr>
        <w:footnoteReference w:id="16"/>
      </w:r>
      <w:r w:rsidR="00665FB8">
        <w:rPr>
          <w:sz w:val="25"/>
          <w:szCs w:val="25"/>
        </w:rPr>
        <w:t xml:space="preserve">  </w:t>
      </w:r>
    </w:p>
    <w:p w14:paraId="515EFA05" w14:textId="77777777" w:rsidR="004952A4" w:rsidRDefault="004952A4" w:rsidP="007448F5">
      <w:pPr>
        <w:spacing w:line="264" w:lineRule="auto"/>
        <w:rPr>
          <w:sz w:val="25"/>
          <w:szCs w:val="25"/>
        </w:rPr>
      </w:pPr>
    </w:p>
    <w:p w14:paraId="4F1C5731" w14:textId="77777777" w:rsidR="00645676" w:rsidRPr="004952A4" w:rsidRDefault="00665FB8" w:rsidP="007448F5">
      <w:pPr>
        <w:numPr>
          <w:ilvl w:val="0"/>
          <w:numId w:val="10"/>
        </w:numPr>
        <w:spacing w:line="264" w:lineRule="auto"/>
        <w:ind w:hanging="720"/>
        <w:rPr>
          <w:sz w:val="25"/>
          <w:szCs w:val="25"/>
        </w:rPr>
      </w:pPr>
      <w:r w:rsidRPr="004952A4">
        <w:rPr>
          <w:sz w:val="25"/>
          <w:szCs w:val="25"/>
        </w:rPr>
        <w:t xml:space="preserve">On November 12, 2014, Avista filed </w:t>
      </w:r>
      <w:r w:rsidR="004952A4" w:rsidRPr="004952A4">
        <w:rPr>
          <w:sz w:val="25"/>
          <w:szCs w:val="25"/>
        </w:rPr>
        <w:t>its</w:t>
      </w:r>
      <w:r w:rsidRPr="004952A4">
        <w:rPr>
          <w:sz w:val="25"/>
          <w:szCs w:val="25"/>
        </w:rPr>
        <w:t xml:space="preserve"> updated power supply costs</w:t>
      </w:r>
      <w:r w:rsidR="00F26281">
        <w:rPr>
          <w:sz w:val="25"/>
          <w:szCs w:val="25"/>
        </w:rPr>
        <w:t xml:space="preserve"> </w:t>
      </w:r>
      <w:r w:rsidR="00F26281" w:rsidRPr="004952A4">
        <w:rPr>
          <w:sz w:val="25"/>
          <w:szCs w:val="25"/>
        </w:rPr>
        <w:t>in compliance with the Settlement</w:t>
      </w:r>
      <w:r w:rsidRPr="004952A4">
        <w:rPr>
          <w:sz w:val="25"/>
          <w:szCs w:val="25"/>
        </w:rPr>
        <w:t>.</w:t>
      </w:r>
      <w:r w:rsidRPr="004952A4">
        <w:rPr>
          <w:rStyle w:val="FootnoteReference"/>
          <w:sz w:val="25"/>
          <w:szCs w:val="25"/>
        </w:rPr>
        <w:footnoteReference w:id="17"/>
      </w:r>
      <w:r w:rsidRPr="004952A4">
        <w:rPr>
          <w:sz w:val="25"/>
          <w:szCs w:val="25"/>
        </w:rPr>
        <w:t xml:space="preserve"> </w:t>
      </w:r>
      <w:r w:rsidR="004952A4">
        <w:rPr>
          <w:sz w:val="25"/>
          <w:szCs w:val="25"/>
        </w:rPr>
        <w:t xml:space="preserve"> </w:t>
      </w:r>
      <w:r w:rsidRPr="004952A4">
        <w:rPr>
          <w:sz w:val="25"/>
          <w:szCs w:val="25"/>
        </w:rPr>
        <w:t>Th</w:t>
      </w:r>
      <w:r w:rsidR="00237800">
        <w:rPr>
          <w:sz w:val="25"/>
          <w:szCs w:val="25"/>
        </w:rPr>
        <w:t>e</w:t>
      </w:r>
      <w:r w:rsidRPr="004952A4">
        <w:rPr>
          <w:sz w:val="25"/>
          <w:szCs w:val="25"/>
        </w:rPr>
        <w:t xml:space="preserve"> </w:t>
      </w:r>
      <w:r w:rsidR="007708A7">
        <w:rPr>
          <w:sz w:val="25"/>
          <w:szCs w:val="25"/>
        </w:rPr>
        <w:t>C</w:t>
      </w:r>
      <w:r w:rsidR="00237800">
        <w:rPr>
          <w:sz w:val="25"/>
          <w:szCs w:val="25"/>
        </w:rPr>
        <w:t xml:space="preserve">ompany’s </w:t>
      </w:r>
      <w:r w:rsidRPr="004952A4">
        <w:rPr>
          <w:sz w:val="25"/>
          <w:szCs w:val="25"/>
        </w:rPr>
        <w:t xml:space="preserve">update reflects a </w:t>
      </w:r>
      <w:r w:rsidR="00F26281">
        <w:rPr>
          <w:sz w:val="25"/>
          <w:szCs w:val="25"/>
        </w:rPr>
        <w:t xml:space="preserve">total </w:t>
      </w:r>
      <w:r w:rsidRPr="004952A4">
        <w:rPr>
          <w:sz w:val="25"/>
          <w:szCs w:val="25"/>
        </w:rPr>
        <w:t xml:space="preserve">base power supply increase of </w:t>
      </w:r>
      <w:r w:rsidR="00237800">
        <w:rPr>
          <w:sz w:val="25"/>
          <w:szCs w:val="25"/>
        </w:rPr>
        <w:t xml:space="preserve">approximately </w:t>
      </w:r>
      <w:r w:rsidRPr="004952A4">
        <w:rPr>
          <w:sz w:val="25"/>
          <w:szCs w:val="25"/>
        </w:rPr>
        <w:t xml:space="preserve">$5.6 million </w:t>
      </w:r>
      <w:r w:rsidR="00237800">
        <w:rPr>
          <w:sz w:val="25"/>
          <w:szCs w:val="25"/>
        </w:rPr>
        <w:t xml:space="preserve">that </w:t>
      </w:r>
      <w:r w:rsidR="007708A7">
        <w:rPr>
          <w:sz w:val="25"/>
          <w:szCs w:val="25"/>
        </w:rPr>
        <w:t>will be</w:t>
      </w:r>
      <w:r w:rsidR="00237800">
        <w:rPr>
          <w:sz w:val="25"/>
          <w:szCs w:val="25"/>
        </w:rPr>
        <w:t xml:space="preserve"> fully</w:t>
      </w:r>
      <w:r w:rsidRPr="004952A4">
        <w:rPr>
          <w:sz w:val="25"/>
          <w:szCs w:val="25"/>
        </w:rPr>
        <w:t xml:space="preserve"> offset by </w:t>
      </w:r>
      <w:r w:rsidR="00237800">
        <w:rPr>
          <w:sz w:val="25"/>
          <w:szCs w:val="25"/>
        </w:rPr>
        <w:t xml:space="preserve">an available </w:t>
      </w:r>
      <w:r w:rsidRPr="004952A4">
        <w:rPr>
          <w:sz w:val="25"/>
          <w:szCs w:val="25"/>
        </w:rPr>
        <w:t>credit from the ERM deferral balance.</w:t>
      </w:r>
      <w:r w:rsidRPr="004952A4">
        <w:rPr>
          <w:rStyle w:val="FootnoteReference"/>
          <w:sz w:val="25"/>
          <w:szCs w:val="25"/>
        </w:rPr>
        <w:footnoteReference w:id="18"/>
      </w:r>
      <w:r w:rsidR="00494206">
        <w:rPr>
          <w:sz w:val="25"/>
          <w:szCs w:val="25"/>
        </w:rPr>
        <w:t xml:space="preserve">  </w:t>
      </w:r>
      <w:r w:rsidR="00494206" w:rsidRPr="00C3112F">
        <w:rPr>
          <w:sz w:val="25"/>
          <w:szCs w:val="25"/>
        </w:rPr>
        <w:t>Under the terms of the Settlement, if the update which includes updated natural gas and electricity market prices, new short term contracts for gas and electric, updated power and transmission service contracts, $0.5 million power supply expense reduction, and $0.7 million 2015 REC expenses, results in an increase in net power supply costs, the increase will be offset with available ERM deferral balance.</w:t>
      </w:r>
      <w:r w:rsidR="00494206" w:rsidRPr="00C3112F">
        <w:rPr>
          <w:rStyle w:val="FootnoteReference"/>
          <w:sz w:val="25"/>
          <w:szCs w:val="25"/>
        </w:rPr>
        <w:footnoteReference w:id="19"/>
      </w:r>
    </w:p>
    <w:p w14:paraId="0D49C932" w14:textId="77777777" w:rsidR="00665FB8" w:rsidRPr="004952A4" w:rsidRDefault="00665FB8" w:rsidP="007448F5">
      <w:pPr>
        <w:spacing w:line="264" w:lineRule="auto"/>
        <w:rPr>
          <w:sz w:val="25"/>
          <w:szCs w:val="25"/>
        </w:rPr>
      </w:pPr>
    </w:p>
    <w:p w14:paraId="62B84732" w14:textId="107BB6A4" w:rsidR="00665FB8" w:rsidRPr="004952A4" w:rsidRDefault="00665FB8" w:rsidP="007448F5">
      <w:pPr>
        <w:numPr>
          <w:ilvl w:val="0"/>
          <w:numId w:val="10"/>
        </w:numPr>
        <w:spacing w:line="264" w:lineRule="auto"/>
        <w:ind w:hanging="720"/>
        <w:rPr>
          <w:sz w:val="25"/>
          <w:szCs w:val="25"/>
        </w:rPr>
      </w:pPr>
      <w:r w:rsidRPr="004952A4">
        <w:rPr>
          <w:sz w:val="25"/>
          <w:szCs w:val="25"/>
        </w:rPr>
        <w:t>Table A</w:t>
      </w:r>
      <w:r w:rsidR="00237800">
        <w:rPr>
          <w:sz w:val="25"/>
          <w:szCs w:val="25"/>
        </w:rPr>
        <w:t xml:space="preserve"> below</w:t>
      </w:r>
      <w:r w:rsidR="004F4AA3">
        <w:rPr>
          <w:sz w:val="25"/>
          <w:szCs w:val="25"/>
        </w:rPr>
        <w:t>,</w:t>
      </w:r>
      <w:r w:rsidRPr="004952A4">
        <w:rPr>
          <w:sz w:val="25"/>
          <w:szCs w:val="25"/>
        </w:rPr>
        <w:t xml:space="preserve"> </w:t>
      </w:r>
      <w:r w:rsidR="00237800">
        <w:rPr>
          <w:sz w:val="25"/>
          <w:szCs w:val="25"/>
        </w:rPr>
        <w:t xml:space="preserve">which was originally </w:t>
      </w:r>
      <w:r w:rsidRPr="004952A4">
        <w:rPr>
          <w:sz w:val="25"/>
          <w:szCs w:val="25"/>
        </w:rPr>
        <w:t>presented in the Joint Testimony</w:t>
      </w:r>
      <w:r w:rsidR="004952A4">
        <w:rPr>
          <w:sz w:val="25"/>
          <w:szCs w:val="25"/>
        </w:rPr>
        <w:t xml:space="preserve"> in support of the Settlement</w:t>
      </w:r>
      <w:r w:rsidR="004F4AA3">
        <w:rPr>
          <w:sz w:val="25"/>
          <w:szCs w:val="25"/>
        </w:rPr>
        <w:t>,</w:t>
      </w:r>
      <w:r w:rsidR="004952A4" w:rsidRPr="004952A4">
        <w:rPr>
          <w:rStyle w:val="FootnoteReference"/>
          <w:sz w:val="25"/>
          <w:szCs w:val="25"/>
        </w:rPr>
        <w:footnoteReference w:id="20"/>
      </w:r>
      <w:r w:rsidR="004952A4">
        <w:rPr>
          <w:sz w:val="25"/>
          <w:szCs w:val="25"/>
        </w:rPr>
        <w:t xml:space="preserve"> </w:t>
      </w:r>
      <w:r w:rsidR="00237800">
        <w:rPr>
          <w:sz w:val="25"/>
          <w:szCs w:val="25"/>
        </w:rPr>
        <w:t>has been modified to take into account</w:t>
      </w:r>
      <w:r w:rsidR="007708A7">
        <w:rPr>
          <w:sz w:val="25"/>
          <w:szCs w:val="25"/>
        </w:rPr>
        <w:t xml:space="preserve"> </w:t>
      </w:r>
      <w:r w:rsidRPr="004952A4">
        <w:rPr>
          <w:sz w:val="25"/>
          <w:szCs w:val="25"/>
        </w:rPr>
        <w:t xml:space="preserve">the </w:t>
      </w:r>
      <w:r w:rsidR="007708A7">
        <w:rPr>
          <w:sz w:val="25"/>
          <w:szCs w:val="25"/>
        </w:rPr>
        <w:t>C</w:t>
      </w:r>
      <w:r w:rsidR="00237800">
        <w:rPr>
          <w:sz w:val="25"/>
          <w:szCs w:val="25"/>
        </w:rPr>
        <w:t xml:space="preserve">ompany’s updated </w:t>
      </w:r>
      <w:r w:rsidRPr="004952A4">
        <w:rPr>
          <w:sz w:val="25"/>
          <w:szCs w:val="25"/>
        </w:rPr>
        <w:t xml:space="preserve">power supply impacts </w:t>
      </w:r>
      <w:r w:rsidR="00237800">
        <w:rPr>
          <w:sz w:val="25"/>
          <w:szCs w:val="25"/>
        </w:rPr>
        <w:t xml:space="preserve">as well as the </w:t>
      </w:r>
      <w:r w:rsidRPr="004952A4">
        <w:rPr>
          <w:sz w:val="25"/>
          <w:szCs w:val="25"/>
        </w:rPr>
        <w:t xml:space="preserve">Commission decision to double the </w:t>
      </w:r>
      <w:r w:rsidR="00237800">
        <w:rPr>
          <w:sz w:val="25"/>
          <w:szCs w:val="25"/>
        </w:rPr>
        <w:t xml:space="preserve">Settlement’s proposed </w:t>
      </w:r>
      <w:r w:rsidRPr="004952A4">
        <w:rPr>
          <w:sz w:val="25"/>
          <w:szCs w:val="25"/>
        </w:rPr>
        <w:t>LIRAP increase</w:t>
      </w:r>
      <w:r w:rsidR="007708A7">
        <w:rPr>
          <w:sz w:val="25"/>
          <w:szCs w:val="25"/>
        </w:rPr>
        <w:t>s</w:t>
      </w:r>
      <w:r w:rsidR="00265D89">
        <w:rPr>
          <w:sz w:val="25"/>
          <w:szCs w:val="25"/>
        </w:rPr>
        <w:t>, which are discussed below</w:t>
      </w:r>
      <w:r w:rsidRPr="004952A4">
        <w:rPr>
          <w:sz w:val="25"/>
          <w:szCs w:val="25"/>
        </w:rPr>
        <w:t xml:space="preserve">.  </w:t>
      </w:r>
    </w:p>
    <w:p w14:paraId="529046AB" w14:textId="5DF089D2" w:rsidR="00682321" w:rsidRDefault="00682321">
      <w:pPr>
        <w:rPr>
          <w:b/>
          <w:sz w:val="25"/>
          <w:szCs w:val="25"/>
        </w:rPr>
      </w:pPr>
      <w:r>
        <w:rPr>
          <w:b/>
          <w:sz w:val="25"/>
          <w:szCs w:val="25"/>
        </w:rPr>
        <w:br w:type="page"/>
      </w:r>
    </w:p>
    <w:p w14:paraId="6FE41673" w14:textId="77777777" w:rsidR="005F6618" w:rsidRDefault="005F6618" w:rsidP="007448F5">
      <w:pPr>
        <w:pStyle w:val="ListParagraph"/>
        <w:spacing w:line="264" w:lineRule="auto"/>
        <w:jc w:val="center"/>
        <w:rPr>
          <w:b/>
          <w:sz w:val="25"/>
          <w:szCs w:val="25"/>
        </w:rPr>
      </w:pPr>
    </w:p>
    <w:p w14:paraId="03F3F17B" w14:textId="77777777" w:rsidR="00665FB8" w:rsidRDefault="00D60029" w:rsidP="00682321">
      <w:pPr>
        <w:pStyle w:val="ListParagraph"/>
        <w:tabs>
          <w:tab w:val="left" w:pos="3960"/>
        </w:tabs>
        <w:spacing w:line="264" w:lineRule="auto"/>
        <w:ind w:left="0"/>
        <w:jc w:val="center"/>
        <w:rPr>
          <w:b/>
          <w:sz w:val="25"/>
          <w:szCs w:val="25"/>
          <w:u w:val="single"/>
        </w:rPr>
      </w:pPr>
      <w:r>
        <w:rPr>
          <w:b/>
          <w:sz w:val="25"/>
          <w:szCs w:val="25"/>
          <w:u w:val="single"/>
        </w:rPr>
        <w:t xml:space="preserve">Revised </w:t>
      </w:r>
      <w:r w:rsidR="005F6618" w:rsidRPr="005F6618">
        <w:rPr>
          <w:b/>
          <w:sz w:val="25"/>
          <w:szCs w:val="25"/>
          <w:u w:val="single"/>
        </w:rPr>
        <w:t>Table A</w:t>
      </w:r>
    </w:p>
    <w:p w14:paraId="4083A99D" w14:textId="77777777" w:rsidR="007448F5" w:rsidRPr="005F6618" w:rsidRDefault="007448F5" w:rsidP="007448F5">
      <w:pPr>
        <w:pStyle w:val="ListParagraph"/>
        <w:tabs>
          <w:tab w:val="left" w:pos="3960"/>
        </w:tabs>
        <w:spacing w:line="264" w:lineRule="auto"/>
        <w:jc w:val="center"/>
        <w:rPr>
          <w:sz w:val="25"/>
          <w:szCs w:val="25"/>
          <w:u w:val="single"/>
        </w:rPr>
      </w:pPr>
    </w:p>
    <w:p w14:paraId="160ED324" w14:textId="52C050CF" w:rsidR="00513934" w:rsidRDefault="00476A0E" w:rsidP="007448F5">
      <w:pPr>
        <w:keepNext/>
        <w:spacing w:line="264" w:lineRule="auto"/>
        <w:jc w:val="center"/>
      </w:pPr>
      <w:r w:rsidRPr="005924C4">
        <w:rPr>
          <w:noProof/>
        </w:rPr>
        <w:drawing>
          <wp:inline distT="0" distB="0" distL="0" distR="0" wp14:anchorId="36E8FE66" wp14:editId="237469CB">
            <wp:extent cx="4952381" cy="4885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2381" cy="4885714"/>
                    </a:xfrm>
                    <a:prstGeom prst="rect">
                      <a:avLst/>
                    </a:prstGeom>
                  </pic:spPr>
                </pic:pic>
              </a:graphicData>
            </a:graphic>
          </wp:inline>
        </w:drawing>
      </w:r>
    </w:p>
    <w:p w14:paraId="51C6BD28" w14:textId="77777777" w:rsidR="00665FB8" w:rsidRPr="007448F5" w:rsidRDefault="00665FB8" w:rsidP="007448F5">
      <w:pPr>
        <w:pStyle w:val="Caption"/>
        <w:spacing w:after="0" w:line="264" w:lineRule="auto"/>
        <w:jc w:val="center"/>
        <w:rPr>
          <w:i w:val="0"/>
          <w:sz w:val="25"/>
          <w:szCs w:val="25"/>
        </w:rPr>
      </w:pPr>
    </w:p>
    <w:p w14:paraId="50538065" w14:textId="6EEF3098" w:rsidR="00566ABC" w:rsidRPr="00377D84" w:rsidRDefault="009D369A" w:rsidP="007448F5">
      <w:pPr>
        <w:numPr>
          <w:ilvl w:val="0"/>
          <w:numId w:val="10"/>
        </w:numPr>
        <w:spacing w:line="264" w:lineRule="auto"/>
        <w:ind w:hanging="720"/>
        <w:rPr>
          <w:sz w:val="25"/>
          <w:szCs w:val="25"/>
        </w:rPr>
      </w:pPr>
      <w:r w:rsidRPr="00377D84">
        <w:rPr>
          <w:i/>
          <w:sz w:val="25"/>
          <w:szCs w:val="25"/>
        </w:rPr>
        <w:t>Decision</w:t>
      </w:r>
      <w:r w:rsidR="00032B87" w:rsidRPr="00377D84">
        <w:rPr>
          <w:i/>
          <w:sz w:val="25"/>
          <w:szCs w:val="25"/>
        </w:rPr>
        <w:t xml:space="preserve">.  </w:t>
      </w:r>
      <w:r w:rsidR="00032B87" w:rsidRPr="00377D84">
        <w:rPr>
          <w:sz w:val="25"/>
          <w:szCs w:val="25"/>
        </w:rPr>
        <w:t xml:space="preserve">The </w:t>
      </w:r>
      <w:r w:rsidR="000D5327">
        <w:rPr>
          <w:sz w:val="25"/>
          <w:szCs w:val="25"/>
        </w:rPr>
        <w:t>Settlement’s proposed rate</w:t>
      </w:r>
      <w:r w:rsidR="00032B87" w:rsidRPr="00377D84">
        <w:rPr>
          <w:sz w:val="25"/>
          <w:szCs w:val="25"/>
        </w:rPr>
        <w:t xml:space="preserve"> increases result from compromises</w:t>
      </w:r>
      <w:r w:rsidR="000D5327">
        <w:rPr>
          <w:sz w:val="25"/>
          <w:szCs w:val="25"/>
        </w:rPr>
        <w:t xml:space="preserve"> among the parties and reflect a</w:t>
      </w:r>
      <w:r w:rsidRPr="00377D84">
        <w:rPr>
          <w:sz w:val="25"/>
          <w:szCs w:val="25"/>
        </w:rPr>
        <w:t xml:space="preserve"> </w:t>
      </w:r>
      <w:r w:rsidR="00032B87" w:rsidRPr="00377D84">
        <w:rPr>
          <w:sz w:val="25"/>
          <w:szCs w:val="25"/>
        </w:rPr>
        <w:t>negotiated</w:t>
      </w:r>
      <w:r w:rsidR="007708A7">
        <w:rPr>
          <w:sz w:val="25"/>
          <w:szCs w:val="25"/>
        </w:rPr>
        <w:t>,</w:t>
      </w:r>
      <w:r w:rsidR="00032B87" w:rsidRPr="00377D84">
        <w:rPr>
          <w:sz w:val="25"/>
          <w:szCs w:val="25"/>
        </w:rPr>
        <w:t xml:space="preserve"> comprehensive package and were not </w:t>
      </w:r>
      <w:r w:rsidR="00177471">
        <w:rPr>
          <w:sz w:val="25"/>
          <w:szCs w:val="25"/>
        </w:rPr>
        <w:t xml:space="preserve">necessarily </w:t>
      </w:r>
      <w:r w:rsidR="00032B87" w:rsidRPr="00377D84">
        <w:rPr>
          <w:sz w:val="25"/>
          <w:szCs w:val="25"/>
        </w:rPr>
        <w:t>determined by a</w:t>
      </w:r>
      <w:r w:rsidR="000D5327">
        <w:rPr>
          <w:sz w:val="25"/>
          <w:szCs w:val="25"/>
        </w:rPr>
        <w:t>ny</w:t>
      </w:r>
      <w:r w:rsidR="00032B87" w:rsidRPr="00377D84">
        <w:rPr>
          <w:sz w:val="25"/>
          <w:szCs w:val="25"/>
        </w:rPr>
        <w:t xml:space="preserve"> </w:t>
      </w:r>
      <w:r w:rsidR="00177471">
        <w:rPr>
          <w:sz w:val="25"/>
          <w:szCs w:val="25"/>
        </w:rPr>
        <w:t xml:space="preserve">agreed to </w:t>
      </w:r>
      <w:r w:rsidR="00032B87" w:rsidRPr="00377D84">
        <w:rPr>
          <w:sz w:val="25"/>
          <w:szCs w:val="25"/>
        </w:rPr>
        <w:t>specific ratemaking methodology</w:t>
      </w:r>
      <w:r w:rsidR="004952A4">
        <w:rPr>
          <w:sz w:val="25"/>
          <w:szCs w:val="25"/>
        </w:rPr>
        <w:t xml:space="preserve">.  </w:t>
      </w:r>
      <w:r w:rsidR="00265D89">
        <w:rPr>
          <w:sz w:val="25"/>
          <w:szCs w:val="25"/>
        </w:rPr>
        <w:t>After</w:t>
      </w:r>
      <w:r w:rsidR="00032B87" w:rsidRPr="00377D84">
        <w:rPr>
          <w:sz w:val="25"/>
          <w:szCs w:val="25"/>
        </w:rPr>
        <w:t xml:space="preserve"> extensive discussions</w:t>
      </w:r>
      <w:r w:rsidRPr="00377D84">
        <w:rPr>
          <w:sz w:val="25"/>
          <w:szCs w:val="25"/>
        </w:rPr>
        <w:t xml:space="preserve"> and </w:t>
      </w:r>
      <w:r w:rsidR="00566ABC" w:rsidRPr="00377D84">
        <w:rPr>
          <w:sz w:val="25"/>
          <w:szCs w:val="25"/>
        </w:rPr>
        <w:t>scrutiny</w:t>
      </w:r>
      <w:r w:rsidR="00177471">
        <w:rPr>
          <w:sz w:val="25"/>
          <w:szCs w:val="25"/>
        </w:rPr>
        <w:t>,</w:t>
      </w:r>
      <w:r w:rsidR="00566ABC" w:rsidRPr="00377D84">
        <w:rPr>
          <w:sz w:val="25"/>
          <w:szCs w:val="25"/>
        </w:rPr>
        <w:t xml:space="preserve"> the p</w:t>
      </w:r>
      <w:r w:rsidR="00032B87" w:rsidRPr="00377D84">
        <w:rPr>
          <w:sz w:val="25"/>
          <w:szCs w:val="25"/>
        </w:rPr>
        <w:t xml:space="preserve">arties were able to resolve their revenue requirement differences. </w:t>
      </w:r>
      <w:r w:rsidR="00566ABC" w:rsidRPr="00377D84">
        <w:rPr>
          <w:sz w:val="25"/>
          <w:szCs w:val="25"/>
        </w:rPr>
        <w:t xml:space="preserve"> </w:t>
      </w:r>
      <w:r w:rsidR="000D5327">
        <w:rPr>
          <w:sz w:val="25"/>
          <w:szCs w:val="25"/>
        </w:rPr>
        <w:t>I</w:t>
      </w:r>
      <w:r w:rsidR="004B5551">
        <w:rPr>
          <w:sz w:val="25"/>
          <w:szCs w:val="25"/>
        </w:rPr>
        <w:t>n their Joint T</w:t>
      </w:r>
      <w:r w:rsidR="00566ABC" w:rsidRPr="00377D84">
        <w:rPr>
          <w:sz w:val="25"/>
          <w:szCs w:val="25"/>
        </w:rPr>
        <w:t xml:space="preserve">estimony, </w:t>
      </w:r>
      <w:r w:rsidR="000D5327">
        <w:rPr>
          <w:sz w:val="25"/>
          <w:szCs w:val="25"/>
        </w:rPr>
        <w:t>the settling parties contend</w:t>
      </w:r>
      <w:r w:rsidR="00566ABC" w:rsidRPr="00377D84">
        <w:rPr>
          <w:sz w:val="25"/>
          <w:szCs w:val="25"/>
        </w:rPr>
        <w:t xml:space="preserve"> they have</w:t>
      </w:r>
      <w:r w:rsidR="00032B87" w:rsidRPr="00377D84">
        <w:rPr>
          <w:sz w:val="25"/>
          <w:szCs w:val="25"/>
        </w:rPr>
        <w:t xml:space="preserve"> achieved a reasonable balancing of interests that is supported by sound analysis and sufficient evidence.</w:t>
      </w:r>
      <w:r w:rsidR="00032B87" w:rsidRPr="00377D84">
        <w:rPr>
          <w:rStyle w:val="FootnoteReference"/>
          <w:sz w:val="25"/>
          <w:szCs w:val="25"/>
        </w:rPr>
        <w:footnoteReference w:id="21"/>
      </w:r>
      <w:r w:rsidR="00032B87" w:rsidRPr="00377D84">
        <w:rPr>
          <w:sz w:val="25"/>
          <w:szCs w:val="25"/>
        </w:rPr>
        <w:t xml:space="preserve"> </w:t>
      </w:r>
      <w:r w:rsidR="00CF00C1">
        <w:rPr>
          <w:sz w:val="25"/>
          <w:szCs w:val="25"/>
        </w:rPr>
        <w:t xml:space="preserve"> </w:t>
      </w:r>
      <w:r w:rsidR="00032B87" w:rsidRPr="00377D84">
        <w:rPr>
          <w:sz w:val="25"/>
          <w:szCs w:val="25"/>
        </w:rPr>
        <w:t>After consideration of all the relevant factors, we determine that the agreed revenue changes result in rates that are fair, just, reasonable</w:t>
      </w:r>
      <w:r w:rsidR="00566ABC" w:rsidRPr="00377D84">
        <w:rPr>
          <w:sz w:val="25"/>
          <w:szCs w:val="25"/>
        </w:rPr>
        <w:t>,</w:t>
      </w:r>
      <w:r w:rsidR="00032B87" w:rsidRPr="00377D84">
        <w:rPr>
          <w:sz w:val="25"/>
          <w:szCs w:val="25"/>
        </w:rPr>
        <w:t xml:space="preserve"> and sufficient</w:t>
      </w:r>
      <w:r w:rsidR="00265D89">
        <w:rPr>
          <w:sz w:val="25"/>
          <w:szCs w:val="25"/>
        </w:rPr>
        <w:t>,</w:t>
      </w:r>
      <w:r w:rsidR="00032B87" w:rsidRPr="00377D84">
        <w:rPr>
          <w:sz w:val="25"/>
          <w:szCs w:val="25"/>
        </w:rPr>
        <w:t xml:space="preserve"> and </w:t>
      </w:r>
      <w:r w:rsidR="00265D89">
        <w:rPr>
          <w:sz w:val="25"/>
          <w:szCs w:val="25"/>
        </w:rPr>
        <w:t xml:space="preserve">that </w:t>
      </w:r>
      <w:r w:rsidR="00032B87" w:rsidRPr="00377D84">
        <w:rPr>
          <w:sz w:val="25"/>
          <w:szCs w:val="25"/>
        </w:rPr>
        <w:t>approval is in the public interest.</w:t>
      </w:r>
    </w:p>
    <w:p w14:paraId="2E718CDE" w14:textId="77777777" w:rsidR="00F20659" w:rsidRDefault="00F20659" w:rsidP="007448F5">
      <w:pPr>
        <w:spacing w:line="264" w:lineRule="auto"/>
        <w:rPr>
          <w:i/>
          <w:sz w:val="25"/>
          <w:szCs w:val="25"/>
        </w:rPr>
      </w:pPr>
    </w:p>
    <w:p w14:paraId="5535E2E2" w14:textId="0D33C9BA" w:rsidR="00F20659" w:rsidRPr="00F20659" w:rsidRDefault="00F20659" w:rsidP="00682321">
      <w:pPr>
        <w:numPr>
          <w:ilvl w:val="1"/>
          <w:numId w:val="38"/>
        </w:numPr>
        <w:spacing w:line="264" w:lineRule="auto"/>
        <w:ind w:left="1080"/>
        <w:rPr>
          <w:sz w:val="25"/>
          <w:szCs w:val="25"/>
        </w:rPr>
      </w:pPr>
      <w:r>
        <w:rPr>
          <w:b/>
          <w:sz w:val="25"/>
          <w:szCs w:val="25"/>
        </w:rPr>
        <w:t>Decoupling</w:t>
      </w:r>
      <w:r w:rsidR="000C22CE">
        <w:rPr>
          <w:rStyle w:val="FootnoteReference"/>
          <w:b/>
          <w:sz w:val="25"/>
          <w:szCs w:val="25"/>
        </w:rPr>
        <w:footnoteReference w:id="22"/>
      </w:r>
    </w:p>
    <w:p w14:paraId="0F4DE7D3" w14:textId="77777777" w:rsidR="00F20659" w:rsidRDefault="00F20659" w:rsidP="007448F5">
      <w:pPr>
        <w:spacing w:line="264" w:lineRule="auto"/>
        <w:rPr>
          <w:b/>
          <w:sz w:val="25"/>
          <w:szCs w:val="25"/>
        </w:rPr>
      </w:pPr>
    </w:p>
    <w:p w14:paraId="3AC33676" w14:textId="77777777" w:rsidR="00F20659" w:rsidRPr="00BD1BDA" w:rsidRDefault="00F20659" w:rsidP="007448F5">
      <w:pPr>
        <w:numPr>
          <w:ilvl w:val="0"/>
          <w:numId w:val="10"/>
        </w:numPr>
        <w:spacing w:line="264" w:lineRule="auto"/>
        <w:ind w:hanging="720"/>
        <w:rPr>
          <w:sz w:val="25"/>
          <w:szCs w:val="25"/>
        </w:rPr>
      </w:pPr>
      <w:r w:rsidRPr="00BD1BDA">
        <w:rPr>
          <w:sz w:val="25"/>
          <w:szCs w:val="25"/>
        </w:rPr>
        <w:t>The Settlement adopts revenue-per-customer full decoupling mechanism</w:t>
      </w:r>
      <w:r>
        <w:rPr>
          <w:sz w:val="25"/>
          <w:szCs w:val="25"/>
        </w:rPr>
        <w:t>s</w:t>
      </w:r>
      <w:r w:rsidRPr="00BD1BDA">
        <w:rPr>
          <w:sz w:val="25"/>
          <w:szCs w:val="25"/>
        </w:rPr>
        <w:t xml:space="preserve"> for all fixed costs of Avista’s electric and natural gas systems for the next five years.</w:t>
      </w:r>
      <w:r w:rsidRPr="00BD1BDA">
        <w:rPr>
          <w:rStyle w:val="FootnoteReference"/>
          <w:sz w:val="25"/>
          <w:szCs w:val="25"/>
        </w:rPr>
        <w:footnoteReference w:id="23"/>
      </w:r>
      <w:r w:rsidRPr="00BD1BDA">
        <w:rPr>
          <w:sz w:val="25"/>
          <w:szCs w:val="25"/>
        </w:rPr>
        <w:t xml:space="preserve">  The</w:t>
      </w:r>
      <w:r>
        <w:rPr>
          <w:sz w:val="25"/>
          <w:szCs w:val="25"/>
        </w:rPr>
        <w:t xml:space="preserve"> </w:t>
      </w:r>
      <w:r w:rsidR="00F26281">
        <w:rPr>
          <w:sz w:val="25"/>
          <w:szCs w:val="25"/>
        </w:rPr>
        <w:t xml:space="preserve">electric </w:t>
      </w:r>
      <w:r w:rsidRPr="00BD1BDA">
        <w:rPr>
          <w:sz w:val="25"/>
          <w:szCs w:val="25"/>
        </w:rPr>
        <w:t>decoupling mechanism</w:t>
      </w:r>
      <w:r>
        <w:rPr>
          <w:sz w:val="25"/>
          <w:szCs w:val="25"/>
        </w:rPr>
        <w:t xml:space="preserve"> appl</w:t>
      </w:r>
      <w:r w:rsidR="00F26281">
        <w:rPr>
          <w:sz w:val="25"/>
          <w:szCs w:val="25"/>
        </w:rPr>
        <w:t>ies</w:t>
      </w:r>
      <w:r w:rsidRPr="00BD1BDA">
        <w:rPr>
          <w:sz w:val="25"/>
          <w:szCs w:val="25"/>
        </w:rPr>
        <w:t xml:space="preserve"> to revenues </w:t>
      </w:r>
      <w:r w:rsidRPr="00AE5A97">
        <w:rPr>
          <w:sz w:val="25"/>
          <w:szCs w:val="25"/>
        </w:rPr>
        <w:t>attributed</w:t>
      </w:r>
      <w:r w:rsidRPr="00BD1BDA">
        <w:rPr>
          <w:sz w:val="25"/>
          <w:szCs w:val="25"/>
        </w:rPr>
        <w:t xml:space="preserve"> to distribution systems costs as well as the fixed-cost portion of production costs.</w:t>
      </w:r>
      <w:r w:rsidRPr="00BD1BDA">
        <w:rPr>
          <w:rStyle w:val="FootnoteReference"/>
          <w:sz w:val="25"/>
          <w:szCs w:val="25"/>
        </w:rPr>
        <w:footnoteReference w:id="24"/>
      </w:r>
      <w:r w:rsidRPr="00BD1BDA">
        <w:rPr>
          <w:sz w:val="25"/>
          <w:szCs w:val="25"/>
        </w:rPr>
        <w:t xml:space="preserve">  The decoupling mechanism</w:t>
      </w:r>
      <w:r>
        <w:rPr>
          <w:sz w:val="25"/>
          <w:szCs w:val="25"/>
        </w:rPr>
        <w:t>s</w:t>
      </w:r>
      <w:r w:rsidRPr="00BD1BDA">
        <w:rPr>
          <w:sz w:val="25"/>
          <w:szCs w:val="25"/>
        </w:rPr>
        <w:t xml:space="preserve"> commence on January 1, 2015, </w:t>
      </w:r>
      <w:r w:rsidR="00F26281">
        <w:rPr>
          <w:sz w:val="25"/>
          <w:szCs w:val="25"/>
        </w:rPr>
        <w:t>and terminate on December 31</w:t>
      </w:r>
      <w:r w:rsidR="00F26281" w:rsidRPr="00BD1BDA">
        <w:rPr>
          <w:sz w:val="25"/>
          <w:szCs w:val="25"/>
        </w:rPr>
        <w:t xml:space="preserve">, </w:t>
      </w:r>
      <w:r w:rsidR="00F26281">
        <w:rPr>
          <w:sz w:val="25"/>
          <w:szCs w:val="25"/>
        </w:rPr>
        <w:t>2019</w:t>
      </w:r>
      <w:r w:rsidR="00D41455">
        <w:rPr>
          <w:sz w:val="25"/>
          <w:szCs w:val="25"/>
        </w:rPr>
        <w:t xml:space="preserve"> and</w:t>
      </w:r>
      <w:r w:rsidR="00F26281">
        <w:rPr>
          <w:sz w:val="25"/>
          <w:szCs w:val="25"/>
        </w:rPr>
        <w:t xml:space="preserve"> </w:t>
      </w:r>
      <w:r w:rsidRPr="00BD1BDA">
        <w:rPr>
          <w:sz w:val="25"/>
          <w:szCs w:val="25"/>
        </w:rPr>
        <w:t xml:space="preserve">do not apply to </w:t>
      </w:r>
      <w:r w:rsidR="00D41455">
        <w:rPr>
          <w:sz w:val="25"/>
          <w:szCs w:val="25"/>
        </w:rPr>
        <w:t xml:space="preserve">certain </w:t>
      </w:r>
      <w:r w:rsidRPr="00BD1BDA">
        <w:rPr>
          <w:sz w:val="25"/>
          <w:szCs w:val="25"/>
        </w:rPr>
        <w:t>customer</w:t>
      </w:r>
      <w:r w:rsidR="00F26281">
        <w:rPr>
          <w:sz w:val="25"/>
          <w:szCs w:val="25"/>
        </w:rPr>
        <w:t xml:space="preserve"> classes</w:t>
      </w:r>
      <w:r w:rsidRPr="00BD1BDA">
        <w:rPr>
          <w:sz w:val="25"/>
          <w:szCs w:val="25"/>
        </w:rPr>
        <w:t xml:space="preserve"> including electric Schedules 25, and 41-48, or natural gas Schedules 112, 122, 132, and 146.</w:t>
      </w:r>
      <w:r w:rsidRPr="00BD1BDA">
        <w:rPr>
          <w:sz w:val="25"/>
          <w:szCs w:val="25"/>
          <w:vertAlign w:val="superscript"/>
        </w:rPr>
        <w:footnoteReference w:id="25"/>
      </w:r>
      <w:r w:rsidRPr="00BD1BDA">
        <w:rPr>
          <w:sz w:val="25"/>
          <w:szCs w:val="25"/>
        </w:rPr>
        <w:t xml:space="preserve">  At hearing, Avista clarified that the decoupling deferral balance</w:t>
      </w:r>
      <w:r>
        <w:rPr>
          <w:sz w:val="25"/>
          <w:szCs w:val="25"/>
        </w:rPr>
        <w:t>s</w:t>
      </w:r>
      <w:r w:rsidRPr="00BD1BDA">
        <w:rPr>
          <w:sz w:val="25"/>
          <w:szCs w:val="25"/>
        </w:rPr>
        <w:t xml:space="preserve"> will accrue interest at the Federal Energy Regulatory Commission’s (FERC) rate </w:t>
      </w:r>
      <w:r w:rsidR="004F4AA3">
        <w:rPr>
          <w:sz w:val="25"/>
          <w:szCs w:val="25"/>
        </w:rPr>
        <w:t xml:space="preserve">which </w:t>
      </w:r>
      <w:r w:rsidR="004C4686">
        <w:rPr>
          <w:sz w:val="25"/>
          <w:szCs w:val="25"/>
        </w:rPr>
        <w:t>is presently</w:t>
      </w:r>
      <w:r w:rsidRPr="00BD1BDA">
        <w:rPr>
          <w:sz w:val="25"/>
          <w:szCs w:val="25"/>
        </w:rPr>
        <w:t xml:space="preserve"> 3.25 percent.</w:t>
      </w:r>
      <w:r w:rsidRPr="00BD1BDA">
        <w:rPr>
          <w:rStyle w:val="FootnoteReference"/>
          <w:szCs w:val="25"/>
        </w:rPr>
        <w:footnoteReference w:id="26"/>
      </w:r>
      <w:r w:rsidRPr="00BD1BDA">
        <w:rPr>
          <w:sz w:val="25"/>
          <w:szCs w:val="25"/>
        </w:rPr>
        <w:t xml:space="preserve">  The parties also offered clarifications regarding the decoupling mechanism</w:t>
      </w:r>
      <w:r w:rsidR="003A3755">
        <w:rPr>
          <w:sz w:val="25"/>
          <w:szCs w:val="25"/>
        </w:rPr>
        <w:t>s’</w:t>
      </w:r>
      <w:r w:rsidRPr="00BD1BDA">
        <w:rPr>
          <w:sz w:val="25"/>
          <w:szCs w:val="25"/>
        </w:rPr>
        <w:t xml:space="preserve"> earnings test</w:t>
      </w:r>
      <w:r w:rsidR="003A3755">
        <w:rPr>
          <w:sz w:val="25"/>
          <w:szCs w:val="25"/>
        </w:rPr>
        <w:t>s</w:t>
      </w:r>
      <w:r w:rsidRPr="00BD1BDA">
        <w:rPr>
          <w:sz w:val="25"/>
          <w:szCs w:val="25"/>
        </w:rPr>
        <w:t>, conservation commitment</w:t>
      </w:r>
      <w:r w:rsidR="003A3755">
        <w:rPr>
          <w:sz w:val="25"/>
          <w:szCs w:val="25"/>
        </w:rPr>
        <w:t>s</w:t>
      </w:r>
      <w:r w:rsidRPr="00BD1BDA">
        <w:rPr>
          <w:sz w:val="25"/>
          <w:szCs w:val="25"/>
        </w:rPr>
        <w:t>, and third-party review</w:t>
      </w:r>
      <w:r w:rsidR="003A3755">
        <w:rPr>
          <w:sz w:val="25"/>
          <w:szCs w:val="25"/>
        </w:rPr>
        <w:t>s</w:t>
      </w:r>
      <w:r w:rsidRPr="00BD1BDA">
        <w:rPr>
          <w:sz w:val="25"/>
          <w:szCs w:val="25"/>
        </w:rPr>
        <w:t>, which are each described below.</w:t>
      </w:r>
    </w:p>
    <w:p w14:paraId="6E0D182B" w14:textId="77777777" w:rsidR="00F20659" w:rsidRDefault="00F20659" w:rsidP="007448F5">
      <w:pPr>
        <w:spacing w:line="264" w:lineRule="auto"/>
        <w:rPr>
          <w:sz w:val="25"/>
          <w:szCs w:val="25"/>
        </w:rPr>
      </w:pPr>
    </w:p>
    <w:p w14:paraId="07651885" w14:textId="280D3423" w:rsidR="008743B8" w:rsidRDefault="00305AD2" w:rsidP="007448F5">
      <w:pPr>
        <w:numPr>
          <w:ilvl w:val="0"/>
          <w:numId w:val="10"/>
        </w:numPr>
        <w:spacing w:line="264" w:lineRule="auto"/>
        <w:ind w:hanging="720"/>
        <w:rPr>
          <w:sz w:val="25"/>
          <w:szCs w:val="25"/>
        </w:rPr>
      </w:pPr>
      <w:r w:rsidRPr="008743B8">
        <w:rPr>
          <w:sz w:val="25"/>
          <w:szCs w:val="25"/>
        </w:rPr>
        <w:t xml:space="preserve">The decoupling mechanisms include an earnings test that the settling parties intend to </w:t>
      </w:r>
      <w:r w:rsidR="00D41455">
        <w:rPr>
          <w:sz w:val="25"/>
          <w:szCs w:val="25"/>
        </w:rPr>
        <w:t xml:space="preserve">operate as a </w:t>
      </w:r>
      <w:r w:rsidRPr="008743B8">
        <w:rPr>
          <w:sz w:val="25"/>
          <w:szCs w:val="25"/>
        </w:rPr>
        <w:t xml:space="preserve">benefit </w:t>
      </w:r>
      <w:r w:rsidR="00D41455">
        <w:rPr>
          <w:sz w:val="25"/>
          <w:szCs w:val="25"/>
        </w:rPr>
        <w:t xml:space="preserve">to </w:t>
      </w:r>
      <w:r w:rsidRPr="008743B8">
        <w:rPr>
          <w:sz w:val="25"/>
          <w:szCs w:val="25"/>
        </w:rPr>
        <w:t>Avista’s customers.</w:t>
      </w:r>
      <w:r w:rsidRPr="00BD1BDA">
        <w:rPr>
          <w:rStyle w:val="FootnoteReference"/>
          <w:sz w:val="25"/>
          <w:szCs w:val="25"/>
        </w:rPr>
        <w:footnoteReference w:id="27"/>
      </w:r>
      <w:r w:rsidRPr="008743B8">
        <w:rPr>
          <w:sz w:val="25"/>
          <w:szCs w:val="25"/>
        </w:rPr>
        <w:t xml:space="preserve">  For example, if volumetric rates produce a surplus of revenue (i.e., sales revenue is above the product of the number of customers in the rate year times the revenue per customer), all of the surplus will be returned to the customers.  In addition, if </w:t>
      </w:r>
      <w:r w:rsidR="00D41455">
        <w:rPr>
          <w:sz w:val="25"/>
          <w:szCs w:val="25"/>
        </w:rPr>
        <w:t xml:space="preserve">Avista’s achieved </w:t>
      </w:r>
      <w:r w:rsidRPr="008743B8">
        <w:rPr>
          <w:sz w:val="25"/>
          <w:szCs w:val="25"/>
        </w:rPr>
        <w:t>ROR</w:t>
      </w:r>
      <w:r w:rsidR="00D41455">
        <w:rPr>
          <w:sz w:val="25"/>
          <w:szCs w:val="25"/>
        </w:rPr>
        <w:t>,</w:t>
      </w:r>
      <w:r w:rsidRPr="008743B8">
        <w:rPr>
          <w:sz w:val="25"/>
          <w:szCs w:val="25"/>
        </w:rPr>
        <w:t xml:space="preserve"> </w:t>
      </w:r>
      <w:r w:rsidR="00D41455">
        <w:rPr>
          <w:sz w:val="25"/>
          <w:szCs w:val="25"/>
        </w:rPr>
        <w:t xml:space="preserve">as </w:t>
      </w:r>
      <w:r w:rsidRPr="008743B8">
        <w:rPr>
          <w:sz w:val="25"/>
          <w:szCs w:val="25"/>
        </w:rPr>
        <w:t xml:space="preserve">determined in </w:t>
      </w:r>
      <w:r w:rsidR="00D41455">
        <w:rPr>
          <w:sz w:val="25"/>
          <w:szCs w:val="25"/>
        </w:rPr>
        <w:t xml:space="preserve">the </w:t>
      </w:r>
      <w:r w:rsidR="004B5551">
        <w:rPr>
          <w:sz w:val="25"/>
          <w:szCs w:val="25"/>
        </w:rPr>
        <w:t>C</w:t>
      </w:r>
      <w:r w:rsidR="00D41455">
        <w:rPr>
          <w:sz w:val="25"/>
          <w:szCs w:val="25"/>
        </w:rPr>
        <w:t>ompany’s</w:t>
      </w:r>
      <w:r w:rsidRPr="008743B8">
        <w:rPr>
          <w:sz w:val="25"/>
          <w:szCs w:val="25"/>
        </w:rPr>
        <w:t xml:space="preserve"> annual Commission Basis Report exceeds 7.32</w:t>
      </w:r>
      <w:r w:rsidR="008743B8">
        <w:rPr>
          <w:sz w:val="25"/>
          <w:szCs w:val="25"/>
        </w:rPr>
        <w:t xml:space="preserve"> percent</w:t>
      </w:r>
      <w:r w:rsidRPr="008743B8">
        <w:rPr>
          <w:sz w:val="25"/>
          <w:szCs w:val="25"/>
        </w:rPr>
        <w:t xml:space="preserve">, the rebate </w:t>
      </w:r>
      <w:r w:rsidR="00D41455">
        <w:rPr>
          <w:sz w:val="25"/>
          <w:szCs w:val="25"/>
        </w:rPr>
        <w:t xml:space="preserve">to customers </w:t>
      </w:r>
      <w:r w:rsidRPr="008743B8">
        <w:rPr>
          <w:sz w:val="25"/>
          <w:szCs w:val="25"/>
        </w:rPr>
        <w:t>will be increased by half the revenue causing the excess ROR.</w:t>
      </w:r>
      <w:r w:rsidRPr="00BD1BDA">
        <w:rPr>
          <w:rStyle w:val="FootnoteReference"/>
          <w:szCs w:val="25"/>
        </w:rPr>
        <w:footnoteReference w:id="28"/>
      </w:r>
    </w:p>
    <w:p w14:paraId="4C6A5333" w14:textId="77777777" w:rsidR="00377D84" w:rsidRDefault="00377D84" w:rsidP="007448F5">
      <w:pPr>
        <w:pStyle w:val="ListParagraph"/>
        <w:spacing w:line="264" w:lineRule="auto"/>
        <w:rPr>
          <w:sz w:val="25"/>
          <w:szCs w:val="25"/>
        </w:rPr>
      </w:pPr>
    </w:p>
    <w:p w14:paraId="26069DCD" w14:textId="77777777" w:rsidR="00305AD2" w:rsidRDefault="00D41455" w:rsidP="007448F5">
      <w:pPr>
        <w:numPr>
          <w:ilvl w:val="0"/>
          <w:numId w:val="10"/>
        </w:numPr>
        <w:spacing w:line="264" w:lineRule="auto"/>
        <w:ind w:hanging="720"/>
        <w:rPr>
          <w:sz w:val="25"/>
          <w:szCs w:val="25"/>
        </w:rPr>
      </w:pPr>
      <w:r>
        <w:rPr>
          <w:sz w:val="25"/>
          <w:szCs w:val="25"/>
        </w:rPr>
        <w:t>Alternatively, i</w:t>
      </w:r>
      <w:r w:rsidR="00305AD2" w:rsidRPr="00BD1BDA">
        <w:rPr>
          <w:sz w:val="25"/>
          <w:szCs w:val="25"/>
        </w:rPr>
        <w:t>f the decoupling mechanism</w:t>
      </w:r>
      <w:r w:rsidR="008743B8">
        <w:rPr>
          <w:sz w:val="25"/>
          <w:szCs w:val="25"/>
        </w:rPr>
        <w:t>s</w:t>
      </w:r>
      <w:r w:rsidR="00305AD2" w:rsidRPr="00BD1BDA">
        <w:rPr>
          <w:sz w:val="25"/>
          <w:szCs w:val="25"/>
        </w:rPr>
        <w:t xml:space="preserve"> produce a revenue deficit </w:t>
      </w:r>
      <w:r w:rsidR="00305AD2" w:rsidRPr="005A3386">
        <w:rPr>
          <w:sz w:val="25"/>
          <w:szCs w:val="25"/>
        </w:rPr>
        <w:t xml:space="preserve">(i.e., sales revenue </w:t>
      </w:r>
      <w:r w:rsidR="00305AD2">
        <w:rPr>
          <w:sz w:val="25"/>
          <w:szCs w:val="25"/>
        </w:rPr>
        <w:t>is below</w:t>
      </w:r>
      <w:r w:rsidR="00305AD2" w:rsidRPr="005A3386">
        <w:rPr>
          <w:sz w:val="25"/>
          <w:szCs w:val="25"/>
        </w:rPr>
        <w:t xml:space="preserve"> the product of the number of customers in the rate year times the revenue per customer)</w:t>
      </w:r>
      <w:r w:rsidR="00305AD2">
        <w:rPr>
          <w:sz w:val="25"/>
          <w:szCs w:val="25"/>
        </w:rPr>
        <w:t xml:space="preserve"> </w:t>
      </w:r>
      <w:r w:rsidR="00305AD2" w:rsidRPr="00BD1BDA">
        <w:rPr>
          <w:sz w:val="25"/>
          <w:szCs w:val="25"/>
        </w:rPr>
        <w:t>and Avista’s ROR is less than 7.32</w:t>
      </w:r>
      <w:r w:rsidR="008743B8">
        <w:rPr>
          <w:sz w:val="25"/>
          <w:szCs w:val="25"/>
        </w:rPr>
        <w:t xml:space="preserve"> percent</w:t>
      </w:r>
      <w:r w:rsidR="00305AD2" w:rsidRPr="00BD1BDA">
        <w:rPr>
          <w:sz w:val="25"/>
          <w:szCs w:val="25"/>
        </w:rPr>
        <w:t xml:space="preserve">, a bill surcharge is applied to </w:t>
      </w:r>
      <w:r>
        <w:rPr>
          <w:sz w:val="25"/>
          <w:szCs w:val="25"/>
        </w:rPr>
        <w:t xml:space="preserve">customer bills to </w:t>
      </w:r>
      <w:r w:rsidR="00305AD2" w:rsidRPr="00BD1BDA">
        <w:rPr>
          <w:sz w:val="25"/>
          <w:szCs w:val="25"/>
        </w:rPr>
        <w:t>recover the full deficit amount</w:t>
      </w:r>
      <w:r>
        <w:rPr>
          <w:sz w:val="25"/>
          <w:szCs w:val="25"/>
        </w:rPr>
        <w:t>.</w:t>
      </w:r>
      <w:r w:rsidR="00305AD2" w:rsidRPr="00BD1BDA">
        <w:rPr>
          <w:sz w:val="25"/>
          <w:szCs w:val="25"/>
        </w:rPr>
        <w:t xml:space="preserve">  However, </w:t>
      </w:r>
      <w:r>
        <w:rPr>
          <w:sz w:val="25"/>
          <w:szCs w:val="25"/>
        </w:rPr>
        <w:t xml:space="preserve">should that condition arise, to the extent </w:t>
      </w:r>
      <w:r w:rsidR="00305AD2" w:rsidRPr="00BD1BDA">
        <w:rPr>
          <w:sz w:val="25"/>
          <w:szCs w:val="25"/>
        </w:rPr>
        <w:t>Avista’s ROR is greater than 7.32</w:t>
      </w:r>
      <w:r w:rsidR="008743B8">
        <w:rPr>
          <w:sz w:val="25"/>
          <w:szCs w:val="25"/>
        </w:rPr>
        <w:t xml:space="preserve"> percent</w:t>
      </w:r>
      <w:r w:rsidR="00305AD2" w:rsidRPr="00BD1BDA">
        <w:rPr>
          <w:sz w:val="25"/>
          <w:szCs w:val="25"/>
        </w:rPr>
        <w:t xml:space="preserve">, the surcharge </w:t>
      </w:r>
      <w:r>
        <w:rPr>
          <w:sz w:val="25"/>
          <w:szCs w:val="25"/>
        </w:rPr>
        <w:t xml:space="preserve">on customer bills </w:t>
      </w:r>
      <w:r w:rsidR="00305AD2" w:rsidRPr="00BD1BDA">
        <w:rPr>
          <w:sz w:val="25"/>
          <w:szCs w:val="25"/>
        </w:rPr>
        <w:t>will be decreased by half the revenue causing the excess ROR.</w:t>
      </w:r>
      <w:r w:rsidR="00305AD2" w:rsidRPr="00BD1BDA">
        <w:rPr>
          <w:rStyle w:val="FootnoteReference"/>
          <w:szCs w:val="25"/>
        </w:rPr>
        <w:footnoteReference w:id="29"/>
      </w:r>
    </w:p>
    <w:p w14:paraId="66E085E1" w14:textId="77777777" w:rsidR="00377D84" w:rsidRDefault="00377D84" w:rsidP="007448F5">
      <w:pPr>
        <w:pStyle w:val="ListParagraph"/>
        <w:spacing w:line="264" w:lineRule="auto"/>
        <w:rPr>
          <w:sz w:val="25"/>
          <w:szCs w:val="25"/>
        </w:rPr>
      </w:pPr>
    </w:p>
    <w:p w14:paraId="4E7D02B9" w14:textId="1BA8208C" w:rsidR="00305AD2" w:rsidRDefault="00305AD2" w:rsidP="007448F5">
      <w:pPr>
        <w:numPr>
          <w:ilvl w:val="0"/>
          <w:numId w:val="10"/>
        </w:numPr>
        <w:spacing w:line="264" w:lineRule="auto"/>
        <w:ind w:hanging="720"/>
        <w:rPr>
          <w:sz w:val="25"/>
          <w:szCs w:val="25"/>
        </w:rPr>
      </w:pPr>
      <w:r w:rsidRPr="00BD1BDA">
        <w:rPr>
          <w:sz w:val="25"/>
          <w:szCs w:val="25"/>
        </w:rPr>
        <w:t xml:space="preserve">At hearing, the </w:t>
      </w:r>
      <w:r w:rsidR="008743B8">
        <w:rPr>
          <w:sz w:val="25"/>
          <w:szCs w:val="25"/>
        </w:rPr>
        <w:t xml:space="preserve">settling </w:t>
      </w:r>
      <w:r w:rsidRPr="00BD1BDA">
        <w:rPr>
          <w:sz w:val="25"/>
          <w:szCs w:val="25"/>
        </w:rPr>
        <w:t xml:space="preserve">parties made three clarifications regarding the earnings test.  First, Avista indicated that </w:t>
      </w:r>
      <w:r w:rsidR="008743B8">
        <w:rPr>
          <w:sz w:val="25"/>
          <w:szCs w:val="25"/>
        </w:rPr>
        <w:t xml:space="preserve">the </w:t>
      </w:r>
      <w:r w:rsidRPr="00BD1BDA">
        <w:rPr>
          <w:sz w:val="25"/>
          <w:szCs w:val="25"/>
        </w:rPr>
        <w:t xml:space="preserve">Settlement’s use of the term “one-half the rate of return in excess of 7.32%” in paragraph 13(c) has the same meaning as the term “one-half the </w:t>
      </w:r>
      <w:r w:rsidRPr="00BD1BDA">
        <w:rPr>
          <w:i/>
          <w:sz w:val="25"/>
          <w:szCs w:val="25"/>
        </w:rPr>
        <w:t>revenue causing</w:t>
      </w:r>
      <w:r w:rsidRPr="00BD1BDA">
        <w:rPr>
          <w:sz w:val="25"/>
          <w:szCs w:val="25"/>
        </w:rPr>
        <w:t xml:space="preserve"> the excess ROR.”</w:t>
      </w:r>
      <w:r w:rsidRPr="00BD1BDA">
        <w:rPr>
          <w:rStyle w:val="FootnoteReference"/>
          <w:szCs w:val="25"/>
        </w:rPr>
        <w:footnoteReference w:id="30"/>
      </w:r>
      <w:r w:rsidRPr="00BD1BDA">
        <w:rPr>
          <w:sz w:val="25"/>
          <w:szCs w:val="25"/>
        </w:rPr>
        <w:t xml:space="preserve">  Second, Mr. Norwood clarified that if Avista’s ROR is exactly 7.32</w:t>
      </w:r>
      <w:r w:rsidR="008743B8">
        <w:rPr>
          <w:sz w:val="25"/>
          <w:szCs w:val="25"/>
        </w:rPr>
        <w:t xml:space="preserve"> percent</w:t>
      </w:r>
      <w:r w:rsidRPr="00BD1BDA">
        <w:rPr>
          <w:sz w:val="25"/>
          <w:szCs w:val="25"/>
        </w:rPr>
        <w:t xml:space="preserve">, there will be no adjustment to </w:t>
      </w:r>
      <w:r w:rsidR="00810364">
        <w:rPr>
          <w:sz w:val="25"/>
          <w:szCs w:val="25"/>
        </w:rPr>
        <w:t xml:space="preserve">any </w:t>
      </w:r>
      <w:r w:rsidRPr="00BD1BDA">
        <w:rPr>
          <w:sz w:val="25"/>
          <w:szCs w:val="25"/>
        </w:rPr>
        <w:t>surcharge or rebate.</w:t>
      </w:r>
      <w:r w:rsidRPr="00BD1BDA">
        <w:rPr>
          <w:rStyle w:val="FootnoteReference"/>
          <w:szCs w:val="25"/>
        </w:rPr>
        <w:footnoteReference w:id="31"/>
      </w:r>
      <w:r w:rsidRPr="00BD1BDA">
        <w:rPr>
          <w:sz w:val="25"/>
          <w:szCs w:val="25"/>
        </w:rPr>
        <w:t xml:space="preserve">  </w:t>
      </w:r>
      <w:r w:rsidR="00F63DC7">
        <w:rPr>
          <w:sz w:val="25"/>
          <w:szCs w:val="25"/>
        </w:rPr>
        <w:t>Third</w:t>
      </w:r>
      <w:r w:rsidRPr="00BD1BDA">
        <w:rPr>
          <w:sz w:val="25"/>
          <w:szCs w:val="25"/>
        </w:rPr>
        <w:t xml:space="preserve">, Mr. Norwood specified that the earnings test applies to all of the </w:t>
      </w:r>
      <w:r>
        <w:rPr>
          <w:sz w:val="25"/>
          <w:szCs w:val="25"/>
        </w:rPr>
        <w:t>C</w:t>
      </w:r>
      <w:r w:rsidRPr="00BD1BDA">
        <w:rPr>
          <w:sz w:val="25"/>
          <w:szCs w:val="25"/>
        </w:rPr>
        <w:t xml:space="preserve">ompany’s earnings, and is not limited </w:t>
      </w:r>
      <w:r>
        <w:rPr>
          <w:sz w:val="25"/>
          <w:szCs w:val="25"/>
        </w:rPr>
        <w:t xml:space="preserve">to the amount of </w:t>
      </w:r>
      <w:r w:rsidRPr="00BD1BDA">
        <w:rPr>
          <w:sz w:val="25"/>
          <w:szCs w:val="25"/>
        </w:rPr>
        <w:t xml:space="preserve">decoupling </w:t>
      </w:r>
      <w:r>
        <w:rPr>
          <w:sz w:val="25"/>
          <w:szCs w:val="25"/>
        </w:rPr>
        <w:t>surcharges or rebates</w:t>
      </w:r>
      <w:r w:rsidRPr="00BD1BDA">
        <w:rPr>
          <w:sz w:val="25"/>
          <w:szCs w:val="25"/>
        </w:rPr>
        <w:t>.</w:t>
      </w:r>
      <w:r w:rsidRPr="00BD1BDA">
        <w:rPr>
          <w:rStyle w:val="FootnoteReference"/>
          <w:szCs w:val="25"/>
        </w:rPr>
        <w:footnoteReference w:id="32"/>
      </w:r>
    </w:p>
    <w:p w14:paraId="2CDE41F5" w14:textId="77777777" w:rsidR="00C8056B" w:rsidRDefault="00C8056B" w:rsidP="007448F5">
      <w:pPr>
        <w:pStyle w:val="ListParagraph"/>
        <w:spacing w:line="264" w:lineRule="auto"/>
        <w:rPr>
          <w:sz w:val="25"/>
          <w:szCs w:val="25"/>
        </w:rPr>
      </w:pPr>
    </w:p>
    <w:p w14:paraId="4515D929" w14:textId="397CF222" w:rsidR="005B5089" w:rsidRPr="007A791C" w:rsidRDefault="005B5089" w:rsidP="005B5089">
      <w:pPr>
        <w:numPr>
          <w:ilvl w:val="0"/>
          <w:numId w:val="10"/>
        </w:numPr>
        <w:spacing w:line="264" w:lineRule="auto"/>
        <w:ind w:hanging="720"/>
      </w:pPr>
      <w:r w:rsidRPr="007A791C">
        <w:rPr>
          <w:sz w:val="25"/>
          <w:szCs w:val="25"/>
        </w:rPr>
        <w:t>Avista also agrees in the Settlement to increase its electric conservation achievement by 5 percent over its biennial target.</w:t>
      </w:r>
      <w:r w:rsidRPr="00BD1BDA">
        <w:rPr>
          <w:rStyle w:val="FootnoteReference"/>
          <w:sz w:val="25"/>
          <w:szCs w:val="25"/>
        </w:rPr>
        <w:footnoteReference w:id="33"/>
      </w:r>
      <w:r>
        <w:rPr>
          <w:sz w:val="25"/>
          <w:szCs w:val="25"/>
        </w:rPr>
        <w:t xml:space="preserve">  </w:t>
      </w:r>
      <w:r w:rsidRPr="007A791C">
        <w:rPr>
          <w:sz w:val="25"/>
          <w:szCs w:val="25"/>
        </w:rPr>
        <w:t>At hearing, Avista specified that its 2014-2015 biennial conservation target is currently 64,956 megawatt-hours (MWh), 5 percent of which is 3,248 MWh.</w:t>
      </w:r>
      <w:r w:rsidRPr="00BD1BDA">
        <w:rPr>
          <w:rStyle w:val="FootnoteReference"/>
          <w:szCs w:val="25"/>
        </w:rPr>
        <w:footnoteReference w:id="34"/>
      </w:r>
      <w:r>
        <w:rPr>
          <w:sz w:val="25"/>
          <w:szCs w:val="25"/>
        </w:rPr>
        <w:t xml:space="preserve">  </w:t>
      </w:r>
      <w:r w:rsidRPr="007A791C">
        <w:rPr>
          <w:sz w:val="25"/>
          <w:szCs w:val="25"/>
        </w:rPr>
        <w:t xml:space="preserve">Thus, the Settlement commits Avista to achieving 68,204 MWh of conservation in the 2014-2015 biennium.  If the electric decoupling mechanism is in effect for any portion of a subsequent biennium, Avista commits to increasing its electric conservation achievement by </w:t>
      </w:r>
      <w:r w:rsidR="00F63DC7">
        <w:rPr>
          <w:sz w:val="25"/>
          <w:szCs w:val="25"/>
        </w:rPr>
        <w:t>5</w:t>
      </w:r>
      <w:r w:rsidRPr="007A791C">
        <w:rPr>
          <w:sz w:val="25"/>
          <w:szCs w:val="25"/>
        </w:rPr>
        <w:t xml:space="preserve"> percent</w:t>
      </w:r>
      <w:r w:rsidR="00F63DC7">
        <w:rPr>
          <w:sz w:val="25"/>
          <w:szCs w:val="25"/>
        </w:rPr>
        <w:t xml:space="preserve"> for the entire biennium.  In other words, </w:t>
      </w:r>
      <w:r w:rsidRPr="007A791C">
        <w:rPr>
          <w:sz w:val="25"/>
          <w:szCs w:val="25"/>
        </w:rPr>
        <w:t xml:space="preserve">the </w:t>
      </w:r>
      <w:r w:rsidR="00F63DC7">
        <w:rPr>
          <w:sz w:val="25"/>
          <w:szCs w:val="25"/>
        </w:rPr>
        <w:t>5</w:t>
      </w:r>
      <w:r w:rsidRPr="007A791C">
        <w:rPr>
          <w:sz w:val="25"/>
          <w:szCs w:val="25"/>
        </w:rPr>
        <w:t xml:space="preserve"> percent will not be reduced or pro-rated because decoupling is not in effect for the full biennium.</w:t>
      </w:r>
      <w:r w:rsidRPr="00BD1BDA">
        <w:rPr>
          <w:rStyle w:val="FootnoteReference"/>
          <w:szCs w:val="25"/>
        </w:rPr>
        <w:footnoteReference w:id="35"/>
      </w:r>
      <w:r>
        <w:rPr>
          <w:sz w:val="25"/>
          <w:szCs w:val="25"/>
        </w:rPr>
        <w:t xml:space="preserve">  </w:t>
      </w:r>
      <w:r w:rsidRPr="007A791C">
        <w:rPr>
          <w:sz w:val="25"/>
          <w:szCs w:val="25"/>
        </w:rPr>
        <w:t xml:space="preserve">If this decoupling mechanism is in effect when Avista files a biennial conservation plan, that plan should state the </w:t>
      </w:r>
      <w:r w:rsidR="00F63DC7">
        <w:rPr>
          <w:sz w:val="25"/>
          <w:szCs w:val="25"/>
        </w:rPr>
        <w:t>5</w:t>
      </w:r>
      <w:r w:rsidRPr="007A791C">
        <w:rPr>
          <w:sz w:val="25"/>
          <w:szCs w:val="25"/>
        </w:rPr>
        <w:t xml:space="preserve"> percent of additional conservation in MWh and the sum of Avista’s biennial conservation target, plus this five percent commitment, in MWh.</w:t>
      </w:r>
    </w:p>
    <w:p w14:paraId="267FAF7B" w14:textId="77777777" w:rsidR="00377D84" w:rsidRPr="00BD1BDA" w:rsidRDefault="00377D84" w:rsidP="007448F5">
      <w:pPr>
        <w:spacing w:line="264" w:lineRule="auto"/>
        <w:rPr>
          <w:sz w:val="25"/>
          <w:szCs w:val="25"/>
        </w:rPr>
      </w:pPr>
    </w:p>
    <w:p w14:paraId="0B7BBED4" w14:textId="77777777" w:rsidR="00305AD2" w:rsidRDefault="008743B8" w:rsidP="007448F5">
      <w:pPr>
        <w:numPr>
          <w:ilvl w:val="0"/>
          <w:numId w:val="10"/>
        </w:numPr>
        <w:spacing w:line="264" w:lineRule="auto"/>
        <w:ind w:hanging="720"/>
        <w:rPr>
          <w:sz w:val="25"/>
          <w:szCs w:val="25"/>
        </w:rPr>
      </w:pPr>
      <w:r>
        <w:rPr>
          <w:sz w:val="25"/>
          <w:szCs w:val="25"/>
        </w:rPr>
        <w:t>Finally, Avista clarified that the S</w:t>
      </w:r>
      <w:r w:rsidR="00305AD2" w:rsidRPr="00BD1BDA">
        <w:rPr>
          <w:sz w:val="25"/>
          <w:szCs w:val="25"/>
        </w:rPr>
        <w:t>ettlement obligates its shareholders to pay for a third-party evaluation of the decoupling mechanism</w:t>
      </w:r>
      <w:r>
        <w:rPr>
          <w:sz w:val="25"/>
          <w:szCs w:val="25"/>
        </w:rPr>
        <w:t>s</w:t>
      </w:r>
      <w:r w:rsidR="00305AD2" w:rsidRPr="00BD1BDA">
        <w:rPr>
          <w:sz w:val="25"/>
          <w:szCs w:val="25"/>
        </w:rPr>
        <w:t xml:space="preserve"> after three years.</w:t>
      </w:r>
      <w:r w:rsidR="00305AD2" w:rsidRPr="00BD1BDA">
        <w:rPr>
          <w:rStyle w:val="FootnoteReference"/>
          <w:sz w:val="25"/>
          <w:szCs w:val="25"/>
        </w:rPr>
        <w:footnoteReference w:id="36"/>
      </w:r>
      <w:r w:rsidR="00305AD2" w:rsidRPr="00BD1BDA">
        <w:rPr>
          <w:sz w:val="25"/>
          <w:szCs w:val="25"/>
        </w:rPr>
        <w:t xml:space="preserve">  The Settlement does not include specific requirements regarding the scope or contents of this evaluation, though Avista plans to consult with stakeholders as it develops the scope of the evaluation.</w:t>
      </w:r>
      <w:r w:rsidR="00305AD2" w:rsidRPr="00BD1BDA">
        <w:rPr>
          <w:rStyle w:val="FootnoteReference"/>
          <w:szCs w:val="25"/>
        </w:rPr>
        <w:footnoteReference w:id="37"/>
      </w:r>
      <w:r w:rsidR="00305AD2" w:rsidRPr="00BD1BDA">
        <w:rPr>
          <w:sz w:val="25"/>
          <w:szCs w:val="25"/>
        </w:rPr>
        <w:t xml:space="preserve">  Mr. Schooley testified for Staff that the evaluation should include, at a minimum: </w:t>
      </w:r>
    </w:p>
    <w:p w14:paraId="255486E3" w14:textId="77777777" w:rsidR="003D42C5" w:rsidRPr="00BD1BDA" w:rsidRDefault="003D42C5" w:rsidP="007448F5">
      <w:pPr>
        <w:spacing w:line="264" w:lineRule="auto"/>
        <w:rPr>
          <w:sz w:val="25"/>
          <w:szCs w:val="25"/>
        </w:rPr>
      </w:pPr>
    </w:p>
    <w:p w14:paraId="36C76AF6" w14:textId="77777777" w:rsidR="00305AD2" w:rsidRPr="00BD1BDA" w:rsidRDefault="00305AD2" w:rsidP="00682321">
      <w:pPr>
        <w:numPr>
          <w:ilvl w:val="0"/>
          <w:numId w:val="22"/>
        </w:numPr>
        <w:spacing w:line="264" w:lineRule="auto"/>
        <w:ind w:left="720"/>
        <w:rPr>
          <w:sz w:val="25"/>
          <w:szCs w:val="25"/>
        </w:rPr>
      </w:pPr>
      <w:r w:rsidRPr="00BD1BDA">
        <w:rPr>
          <w:sz w:val="25"/>
          <w:szCs w:val="25"/>
        </w:rPr>
        <w:t>an analysis of the mechanism’s impact on conservation achievement,</w:t>
      </w:r>
    </w:p>
    <w:p w14:paraId="1B5F378F" w14:textId="0961D932" w:rsidR="00305AD2" w:rsidRPr="00BD1BDA" w:rsidRDefault="00305AD2" w:rsidP="00682321">
      <w:pPr>
        <w:numPr>
          <w:ilvl w:val="0"/>
          <w:numId w:val="22"/>
        </w:numPr>
        <w:spacing w:line="264" w:lineRule="auto"/>
        <w:ind w:left="720"/>
        <w:rPr>
          <w:sz w:val="25"/>
          <w:szCs w:val="25"/>
        </w:rPr>
      </w:pPr>
      <w:r w:rsidRPr="00BD1BDA">
        <w:rPr>
          <w:sz w:val="25"/>
          <w:szCs w:val="25"/>
        </w:rPr>
        <w:t>an analysi</w:t>
      </w:r>
      <w:r w:rsidR="00155040">
        <w:rPr>
          <w:sz w:val="25"/>
          <w:szCs w:val="25"/>
        </w:rPr>
        <w:t xml:space="preserve">s of the mechanism’s impact on Company </w:t>
      </w:r>
      <w:r w:rsidRPr="00BD1BDA">
        <w:rPr>
          <w:sz w:val="25"/>
          <w:szCs w:val="25"/>
        </w:rPr>
        <w:t xml:space="preserve">revenues (i.e., </w:t>
      </w:r>
      <w:r w:rsidR="00F63DC7">
        <w:rPr>
          <w:sz w:val="25"/>
          <w:szCs w:val="25"/>
        </w:rPr>
        <w:t xml:space="preserve">whether there </w:t>
      </w:r>
      <w:r w:rsidRPr="00BD1BDA">
        <w:rPr>
          <w:sz w:val="25"/>
          <w:szCs w:val="25"/>
        </w:rPr>
        <w:t>has there been a stabilizing effect),</w:t>
      </w:r>
      <w:r w:rsidR="00155040">
        <w:rPr>
          <w:sz w:val="25"/>
          <w:szCs w:val="25"/>
        </w:rPr>
        <w:t xml:space="preserve"> and</w:t>
      </w:r>
    </w:p>
    <w:p w14:paraId="2EE33AC6" w14:textId="77777777" w:rsidR="00305AD2" w:rsidRDefault="00066E1C" w:rsidP="00682321">
      <w:pPr>
        <w:numPr>
          <w:ilvl w:val="0"/>
          <w:numId w:val="22"/>
        </w:numPr>
        <w:spacing w:line="264" w:lineRule="auto"/>
        <w:ind w:left="720"/>
        <w:rPr>
          <w:sz w:val="25"/>
          <w:szCs w:val="25"/>
        </w:rPr>
      </w:pPr>
      <w:r>
        <w:rPr>
          <w:sz w:val="25"/>
          <w:szCs w:val="25"/>
        </w:rPr>
        <w:t xml:space="preserve">an analysis of the </w:t>
      </w:r>
      <w:r w:rsidRPr="00066E1C">
        <w:rPr>
          <w:sz w:val="25"/>
          <w:szCs w:val="25"/>
        </w:rPr>
        <w:t xml:space="preserve">extent </w:t>
      </w:r>
      <w:r>
        <w:rPr>
          <w:sz w:val="25"/>
          <w:szCs w:val="25"/>
        </w:rPr>
        <w:t xml:space="preserve">to which </w:t>
      </w:r>
      <w:r w:rsidRPr="00066E1C">
        <w:rPr>
          <w:sz w:val="25"/>
          <w:szCs w:val="25"/>
        </w:rPr>
        <w:t>fixed costs are recovered in fixed charges for the customer classes excluded from the decoupling mechanisms</w:t>
      </w:r>
      <w:r w:rsidR="00305AD2" w:rsidRPr="00BD1BDA">
        <w:rPr>
          <w:sz w:val="25"/>
          <w:szCs w:val="25"/>
        </w:rPr>
        <w:t>.</w:t>
      </w:r>
      <w:r w:rsidR="00305AD2" w:rsidRPr="00BD1BDA">
        <w:rPr>
          <w:rStyle w:val="FootnoteReference"/>
          <w:szCs w:val="25"/>
        </w:rPr>
        <w:footnoteReference w:id="38"/>
      </w:r>
    </w:p>
    <w:p w14:paraId="5E527EE4" w14:textId="77777777" w:rsidR="003D42C5" w:rsidRDefault="003D42C5" w:rsidP="007448F5">
      <w:pPr>
        <w:pStyle w:val="ListParagraph"/>
        <w:spacing w:line="264" w:lineRule="auto"/>
        <w:contextualSpacing/>
        <w:rPr>
          <w:sz w:val="25"/>
          <w:szCs w:val="25"/>
        </w:rPr>
      </w:pPr>
    </w:p>
    <w:p w14:paraId="1DDADD2D" w14:textId="04D3F05E" w:rsidR="0044777A" w:rsidRDefault="0044777A" w:rsidP="007448F5">
      <w:pPr>
        <w:numPr>
          <w:ilvl w:val="0"/>
          <w:numId w:val="10"/>
        </w:numPr>
        <w:spacing w:line="264" w:lineRule="auto"/>
        <w:ind w:hanging="720"/>
        <w:rPr>
          <w:sz w:val="25"/>
          <w:szCs w:val="25"/>
        </w:rPr>
      </w:pPr>
      <w:r w:rsidRPr="0044777A">
        <w:rPr>
          <w:i/>
          <w:sz w:val="25"/>
          <w:szCs w:val="25"/>
        </w:rPr>
        <w:t xml:space="preserve">Decision.  </w:t>
      </w:r>
      <w:r w:rsidR="00155040">
        <w:rPr>
          <w:sz w:val="25"/>
          <w:szCs w:val="25"/>
        </w:rPr>
        <w:t xml:space="preserve">We find that the decoupling mechanisms presented in the Settlement are </w:t>
      </w:r>
      <w:r w:rsidR="007B3835">
        <w:rPr>
          <w:sz w:val="25"/>
          <w:szCs w:val="25"/>
        </w:rPr>
        <w:t>in</w:t>
      </w:r>
      <w:r w:rsidR="00155040">
        <w:rPr>
          <w:sz w:val="25"/>
          <w:szCs w:val="25"/>
        </w:rPr>
        <w:t xml:space="preserve"> the public interest, will promote the policy goals of increased conservation, and will result in fair, just, reasonable, and </w:t>
      </w:r>
      <w:r w:rsidR="004C4686">
        <w:rPr>
          <w:sz w:val="25"/>
          <w:szCs w:val="25"/>
        </w:rPr>
        <w:t>sufficient</w:t>
      </w:r>
      <w:r w:rsidR="00155040">
        <w:rPr>
          <w:sz w:val="25"/>
          <w:szCs w:val="25"/>
        </w:rPr>
        <w:t xml:space="preserve"> rates.  </w:t>
      </w:r>
      <w:r w:rsidR="004E489F">
        <w:rPr>
          <w:sz w:val="25"/>
          <w:szCs w:val="25"/>
        </w:rPr>
        <w:t>We require that</w:t>
      </w:r>
      <w:r w:rsidR="00155040">
        <w:rPr>
          <w:sz w:val="25"/>
          <w:szCs w:val="25"/>
        </w:rPr>
        <w:t xml:space="preserve"> any review of the mechanisms should, at a minimum, include the three above-referenced analyses</w:t>
      </w:r>
      <w:r w:rsidR="004E489F">
        <w:rPr>
          <w:sz w:val="25"/>
          <w:szCs w:val="25"/>
        </w:rPr>
        <w:t xml:space="preserve"> Mr. Schooley described</w:t>
      </w:r>
      <w:r w:rsidR="00155040">
        <w:rPr>
          <w:sz w:val="25"/>
          <w:szCs w:val="25"/>
        </w:rPr>
        <w:t xml:space="preserve">.  </w:t>
      </w:r>
      <w:r w:rsidR="004E489F">
        <w:rPr>
          <w:sz w:val="25"/>
          <w:szCs w:val="25"/>
        </w:rPr>
        <w:t>A</w:t>
      </w:r>
      <w:r w:rsidR="00F26281" w:rsidRPr="00453202">
        <w:rPr>
          <w:sz w:val="25"/>
          <w:szCs w:val="25"/>
        </w:rPr>
        <w:t>ddition</w:t>
      </w:r>
      <w:r w:rsidR="004E489F">
        <w:rPr>
          <w:sz w:val="25"/>
          <w:szCs w:val="25"/>
        </w:rPr>
        <w:t>ally</w:t>
      </w:r>
      <w:r w:rsidR="00F26281" w:rsidRPr="00453202">
        <w:rPr>
          <w:sz w:val="25"/>
          <w:szCs w:val="25"/>
        </w:rPr>
        <w:t xml:space="preserve">, </w:t>
      </w:r>
      <w:r w:rsidR="004E489F">
        <w:rPr>
          <w:sz w:val="25"/>
          <w:szCs w:val="25"/>
        </w:rPr>
        <w:t xml:space="preserve">we require Avista’s decoupling </w:t>
      </w:r>
      <w:r w:rsidR="00F26281" w:rsidRPr="00453202">
        <w:rPr>
          <w:sz w:val="25"/>
          <w:szCs w:val="25"/>
        </w:rPr>
        <w:t xml:space="preserve">evaluation </w:t>
      </w:r>
      <w:r w:rsidR="004E489F">
        <w:rPr>
          <w:sz w:val="25"/>
          <w:szCs w:val="25"/>
        </w:rPr>
        <w:t>to</w:t>
      </w:r>
      <w:r w:rsidR="00F26281">
        <w:rPr>
          <w:sz w:val="25"/>
          <w:szCs w:val="25"/>
        </w:rPr>
        <w:t xml:space="preserve"> analyze if allowed revenues f</w:t>
      </w:r>
      <w:r w:rsidR="00F26281" w:rsidRPr="00453202">
        <w:rPr>
          <w:sz w:val="25"/>
          <w:szCs w:val="25"/>
        </w:rPr>
        <w:t>r</w:t>
      </w:r>
      <w:r w:rsidR="00F26281">
        <w:rPr>
          <w:sz w:val="25"/>
          <w:szCs w:val="25"/>
        </w:rPr>
        <w:t>om</w:t>
      </w:r>
      <w:r w:rsidR="00F26281" w:rsidRPr="00453202">
        <w:rPr>
          <w:sz w:val="25"/>
          <w:szCs w:val="25"/>
        </w:rPr>
        <w:t xml:space="preserve"> the following rate classes are recovering their cost of service: residential class, non-residential class, and customers not subject to decoupling.  </w:t>
      </w:r>
      <w:r w:rsidR="00F26281">
        <w:rPr>
          <w:sz w:val="25"/>
          <w:szCs w:val="25"/>
        </w:rPr>
        <w:t>Finally</w:t>
      </w:r>
      <w:r w:rsidR="00155040">
        <w:rPr>
          <w:sz w:val="25"/>
          <w:szCs w:val="25"/>
        </w:rPr>
        <w:t xml:space="preserve">, to ensure that the evaluation’s scope </w:t>
      </w:r>
      <w:r w:rsidR="00F26281">
        <w:rPr>
          <w:sz w:val="25"/>
          <w:szCs w:val="25"/>
        </w:rPr>
        <w:t>is</w:t>
      </w:r>
      <w:r w:rsidR="00155040">
        <w:rPr>
          <w:sz w:val="25"/>
          <w:szCs w:val="25"/>
        </w:rPr>
        <w:t xml:space="preserve"> sufficient to provide the Commission and stakeholders with a meaningful review of the new mechanisms, </w:t>
      </w:r>
      <w:r w:rsidRPr="00BD1BDA">
        <w:rPr>
          <w:sz w:val="25"/>
          <w:szCs w:val="25"/>
        </w:rPr>
        <w:t>we require Avista to:</w:t>
      </w:r>
    </w:p>
    <w:p w14:paraId="7063D3D9" w14:textId="77777777" w:rsidR="003D42C5" w:rsidRPr="00BD1BDA" w:rsidRDefault="003D42C5" w:rsidP="007448F5">
      <w:pPr>
        <w:spacing w:line="264" w:lineRule="auto"/>
        <w:rPr>
          <w:sz w:val="25"/>
          <w:szCs w:val="25"/>
        </w:rPr>
      </w:pPr>
    </w:p>
    <w:p w14:paraId="40C31721" w14:textId="77777777" w:rsidR="0044777A" w:rsidRPr="00BD1BDA" w:rsidRDefault="0044777A" w:rsidP="00682321">
      <w:pPr>
        <w:numPr>
          <w:ilvl w:val="0"/>
          <w:numId w:val="22"/>
        </w:numPr>
        <w:spacing w:line="264" w:lineRule="auto"/>
        <w:ind w:left="720"/>
        <w:rPr>
          <w:sz w:val="25"/>
          <w:szCs w:val="25"/>
        </w:rPr>
      </w:pPr>
      <w:r w:rsidRPr="00BD1BDA">
        <w:rPr>
          <w:sz w:val="25"/>
          <w:szCs w:val="25"/>
        </w:rPr>
        <w:t>consult with its conservation advisory group in the d</w:t>
      </w:r>
      <w:r w:rsidR="00155040">
        <w:rPr>
          <w:sz w:val="25"/>
          <w:szCs w:val="25"/>
        </w:rPr>
        <w:t>evelopment of the evaluation’s request for p</w:t>
      </w:r>
      <w:r w:rsidRPr="00BD1BDA">
        <w:rPr>
          <w:sz w:val="25"/>
          <w:szCs w:val="25"/>
        </w:rPr>
        <w:t>roposals (RFP), and incorporate the input from its advisory group in a draft RFP;</w:t>
      </w:r>
    </w:p>
    <w:p w14:paraId="175B2B07" w14:textId="77777777" w:rsidR="0044777A" w:rsidRPr="00BD1BDA" w:rsidRDefault="0044777A" w:rsidP="00682321">
      <w:pPr>
        <w:numPr>
          <w:ilvl w:val="0"/>
          <w:numId w:val="22"/>
        </w:numPr>
        <w:spacing w:line="264" w:lineRule="auto"/>
        <w:ind w:left="720"/>
        <w:rPr>
          <w:sz w:val="25"/>
          <w:szCs w:val="25"/>
        </w:rPr>
      </w:pPr>
      <w:r w:rsidRPr="00BD1BDA">
        <w:rPr>
          <w:sz w:val="25"/>
          <w:szCs w:val="25"/>
        </w:rPr>
        <w:t>file a draft RFP</w:t>
      </w:r>
      <w:r>
        <w:rPr>
          <w:sz w:val="25"/>
          <w:szCs w:val="25"/>
        </w:rPr>
        <w:t xml:space="preserve"> for Commission approval that </w:t>
      </w:r>
      <w:r w:rsidRPr="00BD1BDA">
        <w:rPr>
          <w:sz w:val="25"/>
          <w:szCs w:val="25"/>
        </w:rPr>
        <w:t>include</w:t>
      </w:r>
      <w:r>
        <w:rPr>
          <w:sz w:val="25"/>
          <w:szCs w:val="25"/>
        </w:rPr>
        <w:t>s</w:t>
      </w:r>
      <w:r w:rsidRPr="00BD1BDA">
        <w:rPr>
          <w:sz w:val="25"/>
          <w:szCs w:val="25"/>
        </w:rPr>
        <w:t xml:space="preserve"> the scope of </w:t>
      </w:r>
      <w:r w:rsidR="00155040">
        <w:rPr>
          <w:sz w:val="25"/>
          <w:szCs w:val="25"/>
        </w:rPr>
        <w:t>evaluation query</w:t>
      </w:r>
      <w:r w:rsidR="004E489F">
        <w:rPr>
          <w:sz w:val="25"/>
          <w:szCs w:val="25"/>
        </w:rPr>
        <w:t>, allowing sufficient time for Commission consideration</w:t>
      </w:r>
      <w:r w:rsidRPr="00BD1BDA">
        <w:rPr>
          <w:sz w:val="25"/>
          <w:szCs w:val="25"/>
        </w:rPr>
        <w:t>;</w:t>
      </w:r>
      <w:r>
        <w:rPr>
          <w:sz w:val="25"/>
          <w:szCs w:val="25"/>
        </w:rPr>
        <w:t xml:space="preserve"> and</w:t>
      </w:r>
    </w:p>
    <w:p w14:paraId="1F8E5D73" w14:textId="77777777" w:rsidR="0044777A" w:rsidRPr="00BD1BDA" w:rsidRDefault="0044777A" w:rsidP="00682321">
      <w:pPr>
        <w:numPr>
          <w:ilvl w:val="0"/>
          <w:numId w:val="22"/>
        </w:numPr>
        <w:spacing w:line="264" w:lineRule="auto"/>
        <w:ind w:left="720"/>
        <w:rPr>
          <w:sz w:val="25"/>
          <w:szCs w:val="25"/>
        </w:rPr>
      </w:pPr>
      <w:r w:rsidRPr="00BD1BDA">
        <w:rPr>
          <w:sz w:val="25"/>
          <w:szCs w:val="25"/>
        </w:rPr>
        <w:t xml:space="preserve">consult with its conservation advisory group </w:t>
      </w:r>
      <w:r>
        <w:rPr>
          <w:sz w:val="25"/>
          <w:szCs w:val="25"/>
        </w:rPr>
        <w:t>o</w:t>
      </w:r>
      <w:r w:rsidRPr="00BD1BDA">
        <w:rPr>
          <w:sz w:val="25"/>
          <w:szCs w:val="25"/>
        </w:rPr>
        <w:t>n the selection of the entity to perform the evaluation.</w:t>
      </w:r>
    </w:p>
    <w:p w14:paraId="33A3B735" w14:textId="77777777" w:rsidR="0044777A" w:rsidRPr="00BD1BDA" w:rsidRDefault="0044777A" w:rsidP="007448F5">
      <w:pPr>
        <w:pStyle w:val="NoSpacing"/>
        <w:spacing w:line="264" w:lineRule="auto"/>
        <w:rPr>
          <w:sz w:val="25"/>
          <w:szCs w:val="25"/>
        </w:rPr>
      </w:pPr>
    </w:p>
    <w:p w14:paraId="2AB82919" w14:textId="77777777" w:rsidR="00DB532E" w:rsidRPr="00FF74BF" w:rsidRDefault="00DB532E" w:rsidP="00682321">
      <w:pPr>
        <w:numPr>
          <w:ilvl w:val="1"/>
          <w:numId w:val="38"/>
        </w:numPr>
        <w:spacing w:line="264" w:lineRule="auto"/>
        <w:ind w:left="1080"/>
        <w:rPr>
          <w:i/>
          <w:sz w:val="25"/>
          <w:szCs w:val="25"/>
        </w:rPr>
      </w:pPr>
      <w:r>
        <w:rPr>
          <w:b/>
          <w:sz w:val="25"/>
          <w:szCs w:val="25"/>
        </w:rPr>
        <w:t xml:space="preserve">Power Supply </w:t>
      </w:r>
    </w:p>
    <w:p w14:paraId="760D6A70" w14:textId="77777777" w:rsidR="00FF74BF" w:rsidRDefault="00FF74BF" w:rsidP="007448F5">
      <w:pPr>
        <w:spacing w:line="264" w:lineRule="auto"/>
        <w:rPr>
          <w:b/>
          <w:sz w:val="25"/>
          <w:szCs w:val="25"/>
        </w:rPr>
      </w:pPr>
    </w:p>
    <w:p w14:paraId="7BB93A07" w14:textId="2C726ECE" w:rsidR="00377D84" w:rsidRDefault="00F26281" w:rsidP="007448F5">
      <w:pPr>
        <w:numPr>
          <w:ilvl w:val="0"/>
          <w:numId w:val="10"/>
        </w:numPr>
        <w:spacing w:line="264" w:lineRule="auto"/>
        <w:ind w:hanging="720"/>
        <w:rPr>
          <w:sz w:val="25"/>
          <w:szCs w:val="25"/>
        </w:rPr>
      </w:pPr>
      <w:r>
        <w:rPr>
          <w:sz w:val="25"/>
          <w:szCs w:val="25"/>
        </w:rPr>
        <w:t>The base power costs for the Energy Recovery Mechanism (ERM) proposed in the Settlement are derived from the Company’s power cost modeling with two additional out</w:t>
      </w:r>
      <w:r w:rsidR="00000357">
        <w:rPr>
          <w:sz w:val="25"/>
          <w:szCs w:val="25"/>
        </w:rPr>
        <w:t>-</w:t>
      </w:r>
      <w:r>
        <w:rPr>
          <w:sz w:val="25"/>
          <w:szCs w:val="25"/>
        </w:rPr>
        <w:t>of</w:t>
      </w:r>
      <w:r w:rsidR="00000357">
        <w:rPr>
          <w:sz w:val="25"/>
          <w:szCs w:val="25"/>
        </w:rPr>
        <w:t>-</w:t>
      </w:r>
      <w:r>
        <w:rPr>
          <w:sz w:val="25"/>
          <w:szCs w:val="25"/>
        </w:rPr>
        <w:t xml:space="preserve">model adjustments.  At the time of the filing of the Settlement, </w:t>
      </w:r>
      <w:r w:rsidR="00F63DC7">
        <w:rPr>
          <w:sz w:val="25"/>
          <w:szCs w:val="25"/>
        </w:rPr>
        <w:t xml:space="preserve">the Company estimated </w:t>
      </w:r>
      <w:r>
        <w:rPr>
          <w:sz w:val="25"/>
          <w:szCs w:val="25"/>
        </w:rPr>
        <w:t xml:space="preserve">base power costs to increase by </w:t>
      </w:r>
      <w:r w:rsidR="007E310F">
        <w:rPr>
          <w:sz w:val="25"/>
          <w:szCs w:val="25"/>
        </w:rPr>
        <w:t xml:space="preserve">approximately </w:t>
      </w:r>
      <w:r>
        <w:rPr>
          <w:sz w:val="25"/>
          <w:szCs w:val="25"/>
        </w:rPr>
        <w:t xml:space="preserve">$6.3 million.  The Settlement proposed that the Company re-run its power cost model </w:t>
      </w:r>
      <w:r w:rsidR="007E310F">
        <w:rPr>
          <w:sz w:val="25"/>
          <w:szCs w:val="25"/>
        </w:rPr>
        <w:t xml:space="preserve">on </w:t>
      </w:r>
      <w:r>
        <w:rPr>
          <w:sz w:val="25"/>
          <w:szCs w:val="25"/>
        </w:rPr>
        <w:t>November 1, 2014.</w:t>
      </w:r>
      <w:r>
        <w:rPr>
          <w:rStyle w:val="FootnoteReference"/>
          <w:szCs w:val="25"/>
        </w:rPr>
        <w:footnoteReference w:id="39"/>
      </w:r>
      <w:r>
        <w:rPr>
          <w:sz w:val="25"/>
          <w:szCs w:val="25"/>
        </w:rPr>
        <w:t xml:space="preserve">  </w:t>
      </w:r>
      <w:r w:rsidR="00377D84">
        <w:rPr>
          <w:sz w:val="25"/>
          <w:szCs w:val="25"/>
        </w:rPr>
        <w:t xml:space="preserve">At hearing, the Company agreed to include in this filing its </w:t>
      </w:r>
      <w:r w:rsidR="00377D84" w:rsidRPr="005C32B2">
        <w:rPr>
          <w:sz w:val="25"/>
          <w:szCs w:val="25"/>
        </w:rPr>
        <w:t>level of planned</w:t>
      </w:r>
      <w:r w:rsidR="00377D84">
        <w:rPr>
          <w:sz w:val="25"/>
          <w:szCs w:val="25"/>
        </w:rPr>
        <w:t xml:space="preserve"> </w:t>
      </w:r>
      <w:r w:rsidR="00377D84" w:rsidRPr="005C32B2">
        <w:rPr>
          <w:sz w:val="25"/>
          <w:szCs w:val="25"/>
        </w:rPr>
        <w:t>hedging for the rate year</w:t>
      </w:r>
      <w:r w:rsidR="00377D84">
        <w:rPr>
          <w:sz w:val="25"/>
          <w:szCs w:val="25"/>
        </w:rPr>
        <w:t xml:space="preserve">, and its level of hedged positions </w:t>
      </w:r>
      <w:r w:rsidR="00377D84" w:rsidRPr="005C32B2">
        <w:rPr>
          <w:sz w:val="25"/>
          <w:szCs w:val="25"/>
        </w:rPr>
        <w:t>included</w:t>
      </w:r>
      <w:r w:rsidR="00377D84">
        <w:rPr>
          <w:sz w:val="25"/>
          <w:szCs w:val="25"/>
        </w:rPr>
        <w:t xml:space="preserve"> in the update base</w:t>
      </w:r>
      <w:r w:rsidR="00377D84" w:rsidRPr="005C32B2">
        <w:rPr>
          <w:sz w:val="25"/>
          <w:szCs w:val="25"/>
        </w:rPr>
        <w:t xml:space="preserve"> power costs</w:t>
      </w:r>
      <w:r w:rsidR="00377D84">
        <w:rPr>
          <w:sz w:val="25"/>
          <w:szCs w:val="25"/>
        </w:rPr>
        <w:t>.</w:t>
      </w:r>
      <w:r w:rsidR="00377D84">
        <w:rPr>
          <w:rStyle w:val="FootnoteReference"/>
          <w:szCs w:val="25"/>
        </w:rPr>
        <w:footnoteReference w:id="40"/>
      </w:r>
      <w:r w:rsidR="004D2673">
        <w:rPr>
          <w:sz w:val="25"/>
          <w:szCs w:val="25"/>
        </w:rPr>
        <w:t xml:space="preserve">  </w:t>
      </w:r>
      <w:r w:rsidR="004D2673" w:rsidRPr="00F63DC7">
        <w:rPr>
          <w:sz w:val="25"/>
          <w:szCs w:val="25"/>
        </w:rPr>
        <w:t>On November 12, 2014, Avista filed updated power costs</w:t>
      </w:r>
      <w:r w:rsidRPr="00F63DC7">
        <w:rPr>
          <w:sz w:val="25"/>
          <w:szCs w:val="25"/>
        </w:rPr>
        <w:t xml:space="preserve"> based on the November 1, 2014</w:t>
      </w:r>
      <w:r w:rsidR="006865CB">
        <w:rPr>
          <w:sz w:val="25"/>
          <w:szCs w:val="25"/>
        </w:rPr>
        <w:t>,</w:t>
      </w:r>
      <w:r w:rsidRPr="00F63DC7">
        <w:rPr>
          <w:sz w:val="25"/>
          <w:szCs w:val="25"/>
        </w:rPr>
        <w:t xml:space="preserve"> model run</w:t>
      </w:r>
      <w:r w:rsidR="004D2673" w:rsidRPr="00F63DC7">
        <w:rPr>
          <w:sz w:val="25"/>
          <w:szCs w:val="25"/>
        </w:rPr>
        <w:t>.</w:t>
      </w:r>
      <w:r w:rsidR="004D2673" w:rsidRPr="00F63DC7">
        <w:rPr>
          <w:rStyle w:val="FootnoteReference"/>
          <w:sz w:val="25"/>
          <w:szCs w:val="25"/>
        </w:rPr>
        <w:footnoteReference w:id="41"/>
      </w:r>
      <w:r w:rsidR="004D2673">
        <w:t xml:space="preserve"> </w:t>
      </w:r>
      <w:r w:rsidR="006865CB">
        <w:t xml:space="preserve"> </w:t>
      </w:r>
      <w:r w:rsidR="004D2673" w:rsidRPr="00F63DC7">
        <w:rPr>
          <w:sz w:val="25"/>
          <w:szCs w:val="25"/>
        </w:rPr>
        <w:t>Th</w:t>
      </w:r>
      <w:r w:rsidR="00D6261C" w:rsidRPr="00F63DC7">
        <w:rPr>
          <w:sz w:val="25"/>
          <w:szCs w:val="25"/>
        </w:rPr>
        <w:t>at</w:t>
      </w:r>
      <w:r w:rsidR="004D2673" w:rsidRPr="00F63DC7">
        <w:rPr>
          <w:sz w:val="25"/>
          <w:szCs w:val="25"/>
        </w:rPr>
        <w:t xml:space="preserve"> </w:t>
      </w:r>
      <w:r w:rsidRPr="00F63DC7">
        <w:rPr>
          <w:sz w:val="25"/>
          <w:szCs w:val="25"/>
        </w:rPr>
        <w:t xml:space="preserve">filing decreased total </w:t>
      </w:r>
      <w:r w:rsidR="004D2673" w:rsidRPr="00F63DC7">
        <w:rPr>
          <w:sz w:val="25"/>
          <w:szCs w:val="25"/>
        </w:rPr>
        <w:t xml:space="preserve">power supply </w:t>
      </w:r>
      <w:r w:rsidRPr="00F63DC7">
        <w:rPr>
          <w:sz w:val="25"/>
          <w:szCs w:val="25"/>
        </w:rPr>
        <w:t xml:space="preserve">costs to </w:t>
      </w:r>
      <w:r w:rsidR="004D2673" w:rsidRPr="00F63DC7">
        <w:rPr>
          <w:sz w:val="25"/>
          <w:szCs w:val="25"/>
        </w:rPr>
        <w:t>$5.6 million</w:t>
      </w:r>
      <w:r w:rsidR="00D6261C" w:rsidRPr="00F63DC7">
        <w:rPr>
          <w:sz w:val="25"/>
          <w:szCs w:val="25"/>
        </w:rPr>
        <w:t>.</w:t>
      </w:r>
    </w:p>
    <w:p w14:paraId="0BF41BC0" w14:textId="77777777" w:rsidR="00377D84" w:rsidRDefault="00377D84" w:rsidP="007448F5">
      <w:pPr>
        <w:spacing w:line="264" w:lineRule="auto"/>
        <w:rPr>
          <w:sz w:val="25"/>
          <w:szCs w:val="25"/>
        </w:rPr>
      </w:pPr>
    </w:p>
    <w:p w14:paraId="2ED95C4F" w14:textId="3E246714" w:rsidR="00EA5EE4" w:rsidRDefault="00F26281" w:rsidP="007448F5">
      <w:pPr>
        <w:numPr>
          <w:ilvl w:val="0"/>
          <w:numId w:val="10"/>
        </w:numPr>
        <w:spacing w:line="264" w:lineRule="auto"/>
        <w:ind w:hanging="720"/>
        <w:rPr>
          <w:sz w:val="25"/>
          <w:szCs w:val="25"/>
        </w:rPr>
      </w:pPr>
      <w:r>
        <w:rPr>
          <w:sz w:val="25"/>
          <w:szCs w:val="25"/>
        </w:rPr>
        <w:t>The Settlement provides two additional out</w:t>
      </w:r>
      <w:r w:rsidR="006865CB">
        <w:rPr>
          <w:sz w:val="25"/>
          <w:szCs w:val="25"/>
        </w:rPr>
        <w:t>-</w:t>
      </w:r>
      <w:r>
        <w:rPr>
          <w:sz w:val="25"/>
          <w:szCs w:val="25"/>
        </w:rPr>
        <w:t>of</w:t>
      </w:r>
      <w:r w:rsidR="006865CB">
        <w:rPr>
          <w:sz w:val="25"/>
          <w:szCs w:val="25"/>
        </w:rPr>
        <w:t>-</w:t>
      </w:r>
      <w:r>
        <w:rPr>
          <w:sz w:val="25"/>
          <w:szCs w:val="25"/>
        </w:rPr>
        <w:t>model adjustments to base power costs.  First, base power costs will include</w:t>
      </w:r>
      <w:r w:rsidR="00377D84">
        <w:rPr>
          <w:sz w:val="25"/>
          <w:szCs w:val="25"/>
        </w:rPr>
        <w:t xml:space="preserve"> 2015 </w:t>
      </w:r>
      <w:r w:rsidR="006865CB">
        <w:rPr>
          <w:sz w:val="25"/>
          <w:szCs w:val="25"/>
        </w:rPr>
        <w:t>renewable energy credit (</w:t>
      </w:r>
      <w:r w:rsidR="00155040">
        <w:rPr>
          <w:sz w:val="25"/>
          <w:szCs w:val="25"/>
        </w:rPr>
        <w:t>REC</w:t>
      </w:r>
      <w:r w:rsidR="006865CB">
        <w:rPr>
          <w:sz w:val="25"/>
          <w:szCs w:val="25"/>
        </w:rPr>
        <w:t>)</w:t>
      </w:r>
      <w:r w:rsidR="00377D84">
        <w:rPr>
          <w:sz w:val="25"/>
          <w:szCs w:val="25"/>
        </w:rPr>
        <w:t xml:space="preserve"> expenses.</w:t>
      </w:r>
      <w:r w:rsidR="00377D84">
        <w:rPr>
          <w:rStyle w:val="FootnoteReference"/>
          <w:szCs w:val="25"/>
        </w:rPr>
        <w:footnoteReference w:id="42"/>
      </w:r>
      <w:r w:rsidR="00377D84">
        <w:rPr>
          <w:sz w:val="25"/>
          <w:szCs w:val="25"/>
        </w:rPr>
        <w:t xml:space="preserve">  In Avista’s future filings, REC expenses will be included in base power supply costs and subject to the ERM’s dead band and sharing bands.</w:t>
      </w:r>
      <w:r w:rsidR="00377D84">
        <w:rPr>
          <w:rStyle w:val="FootnoteReference"/>
          <w:szCs w:val="25"/>
        </w:rPr>
        <w:footnoteReference w:id="43"/>
      </w:r>
      <w:r w:rsidR="00377D84">
        <w:rPr>
          <w:sz w:val="25"/>
          <w:szCs w:val="25"/>
        </w:rPr>
        <w:t xml:space="preserve"> </w:t>
      </w:r>
      <w:r w:rsidR="000C796F">
        <w:rPr>
          <w:sz w:val="25"/>
          <w:szCs w:val="25"/>
        </w:rPr>
        <w:t xml:space="preserve">Second, base power supply costs </w:t>
      </w:r>
      <w:r w:rsidR="00377D84">
        <w:rPr>
          <w:sz w:val="25"/>
          <w:szCs w:val="25"/>
        </w:rPr>
        <w:t xml:space="preserve">will also include </w:t>
      </w:r>
      <w:r w:rsidR="000C796F">
        <w:rPr>
          <w:sz w:val="25"/>
          <w:szCs w:val="25"/>
        </w:rPr>
        <w:t>Staff’s</w:t>
      </w:r>
      <w:r w:rsidR="00377D84">
        <w:rPr>
          <w:sz w:val="25"/>
          <w:szCs w:val="25"/>
        </w:rPr>
        <w:t xml:space="preserve"> </w:t>
      </w:r>
      <w:r w:rsidR="007E310F">
        <w:rPr>
          <w:sz w:val="25"/>
          <w:szCs w:val="25"/>
        </w:rPr>
        <w:t xml:space="preserve">proposed </w:t>
      </w:r>
      <w:r w:rsidR="00377D84">
        <w:rPr>
          <w:sz w:val="25"/>
          <w:szCs w:val="25"/>
        </w:rPr>
        <w:t>$500,000 expense reduction.</w:t>
      </w:r>
      <w:r w:rsidR="00377D84">
        <w:rPr>
          <w:rStyle w:val="FootnoteReference"/>
          <w:szCs w:val="25"/>
        </w:rPr>
        <w:footnoteReference w:id="44"/>
      </w:r>
      <w:r w:rsidR="00377D84">
        <w:rPr>
          <w:sz w:val="25"/>
          <w:szCs w:val="25"/>
        </w:rPr>
        <w:t xml:space="preserve">  </w:t>
      </w:r>
    </w:p>
    <w:p w14:paraId="63B70815" w14:textId="77777777" w:rsidR="00EA5EE4" w:rsidRDefault="00EA5EE4" w:rsidP="007448F5">
      <w:pPr>
        <w:pStyle w:val="ListParagraph"/>
        <w:spacing w:line="264" w:lineRule="auto"/>
        <w:rPr>
          <w:sz w:val="25"/>
          <w:szCs w:val="25"/>
        </w:rPr>
      </w:pPr>
    </w:p>
    <w:p w14:paraId="7FBDEF1B" w14:textId="77777777" w:rsidR="00A56E88" w:rsidRDefault="007E310F" w:rsidP="007448F5">
      <w:pPr>
        <w:numPr>
          <w:ilvl w:val="0"/>
          <w:numId w:val="10"/>
        </w:numPr>
        <w:spacing w:line="264" w:lineRule="auto"/>
        <w:ind w:hanging="720"/>
        <w:rPr>
          <w:sz w:val="25"/>
          <w:szCs w:val="25"/>
        </w:rPr>
      </w:pPr>
      <w:r>
        <w:rPr>
          <w:sz w:val="25"/>
          <w:szCs w:val="25"/>
        </w:rPr>
        <w:t>A</w:t>
      </w:r>
      <w:r w:rsidR="00155040">
        <w:rPr>
          <w:sz w:val="25"/>
          <w:szCs w:val="25"/>
        </w:rPr>
        <w:t>ddition</w:t>
      </w:r>
      <w:r>
        <w:rPr>
          <w:sz w:val="25"/>
          <w:szCs w:val="25"/>
        </w:rPr>
        <w:t>ally</w:t>
      </w:r>
      <w:r w:rsidR="00155040">
        <w:rPr>
          <w:sz w:val="25"/>
          <w:szCs w:val="25"/>
        </w:rPr>
        <w:t>, the settling p</w:t>
      </w:r>
      <w:r w:rsidR="00A56E88">
        <w:rPr>
          <w:sz w:val="25"/>
          <w:szCs w:val="25"/>
        </w:rPr>
        <w:t>arties agreed to allow Avista to recover the costs of improving dissolved oxygen levels in Lake Spokane.</w:t>
      </w:r>
      <w:r w:rsidR="00A56E88">
        <w:rPr>
          <w:rStyle w:val="FootnoteReference"/>
          <w:szCs w:val="25"/>
        </w:rPr>
        <w:footnoteReference w:id="45"/>
      </w:r>
    </w:p>
    <w:p w14:paraId="348AEB13" w14:textId="77777777" w:rsidR="00A56E88" w:rsidRDefault="00A56E88" w:rsidP="007448F5">
      <w:pPr>
        <w:pStyle w:val="ListParagraph"/>
        <w:spacing w:line="264" w:lineRule="auto"/>
        <w:rPr>
          <w:sz w:val="25"/>
          <w:szCs w:val="25"/>
        </w:rPr>
      </w:pPr>
    </w:p>
    <w:p w14:paraId="506912F1" w14:textId="194A77BD" w:rsidR="00377D84" w:rsidRDefault="00A56E88" w:rsidP="007448F5">
      <w:pPr>
        <w:numPr>
          <w:ilvl w:val="0"/>
          <w:numId w:val="10"/>
        </w:numPr>
        <w:spacing w:line="264" w:lineRule="auto"/>
        <w:ind w:hanging="720"/>
        <w:rPr>
          <w:sz w:val="25"/>
          <w:szCs w:val="25"/>
        </w:rPr>
      </w:pPr>
      <w:r>
        <w:rPr>
          <w:i/>
          <w:sz w:val="25"/>
          <w:szCs w:val="25"/>
        </w:rPr>
        <w:t xml:space="preserve">Decision.  </w:t>
      </w:r>
      <w:r w:rsidR="00377D84">
        <w:rPr>
          <w:sz w:val="25"/>
          <w:szCs w:val="25"/>
        </w:rPr>
        <w:t xml:space="preserve">The </w:t>
      </w:r>
      <w:r w:rsidR="000C796F">
        <w:rPr>
          <w:sz w:val="25"/>
          <w:szCs w:val="25"/>
        </w:rPr>
        <w:t>proposed modification</w:t>
      </w:r>
      <w:r w:rsidR="007E310F">
        <w:rPr>
          <w:sz w:val="25"/>
          <w:szCs w:val="25"/>
        </w:rPr>
        <w:t>s</w:t>
      </w:r>
      <w:r w:rsidR="000C796F">
        <w:rPr>
          <w:sz w:val="25"/>
          <w:szCs w:val="25"/>
        </w:rPr>
        <w:t xml:space="preserve"> </w:t>
      </w:r>
      <w:r w:rsidR="007E310F">
        <w:rPr>
          <w:sz w:val="25"/>
          <w:szCs w:val="25"/>
        </w:rPr>
        <w:t xml:space="preserve">are </w:t>
      </w:r>
      <w:r w:rsidR="000C796F">
        <w:rPr>
          <w:sz w:val="25"/>
          <w:szCs w:val="25"/>
        </w:rPr>
        <w:t xml:space="preserve">reasonable as a part of the whole Settlement.  The </w:t>
      </w:r>
      <w:r w:rsidR="00377D84">
        <w:rPr>
          <w:sz w:val="25"/>
          <w:szCs w:val="25"/>
        </w:rPr>
        <w:t>ERM currently includes both fixed and variable costs.  The Settlement remov</w:t>
      </w:r>
      <w:r w:rsidR="000C796F">
        <w:rPr>
          <w:sz w:val="25"/>
          <w:szCs w:val="25"/>
        </w:rPr>
        <w:t>es</w:t>
      </w:r>
      <w:r w:rsidR="00377D84">
        <w:rPr>
          <w:sz w:val="25"/>
          <w:szCs w:val="25"/>
        </w:rPr>
        <w:t xml:space="preserve"> fixed costs from the ERM and from the application of the Retail Revenue Credit adjustment.</w:t>
      </w:r>
      <w:r w:rsidR="00377D84">
        <w:rPr>
          <w:rStyle w:val="FootnoteReference"/>
          <w:szCs w:val="25"/>
        </w:rPr>
        <w:footnoteReference w:id="46"/>
      </w:r>
      <w:r w:rsidR="00377D84">
        <w:rPr>
          <w:sz w:val="25"/>
          <w:szCs w:val="25"/>
        </w:rPr>
        <w:t xml:space="preserve">  </w:t>
      </w:r>
      <w:r w:rsidR="00CC50FF">
        <w:rPr>
          <w:sz w:val="25"/>
          <w:szCs w:val="25"/>
        </w:rPr>
        <w:t xml:space="preserve">The removal of fixed costs </w:t>
      </w:r>
      <w:r w:rsidR="00377D84">
        <w:rPr>
          <w:sz w:val="25"/>
          <w:szCs w:val="25"/>
        </w:rPr>
        <w:t>is appropriate because Avista will recover the fixed costs through the decoupling mechanism.</w:t>
      </w:r>
      <w:r w:rsidR="00377D84">
        <w:rPr>
          <w:rStyle w:val="FootnoteReference"/>
          <w:szCs w:val="25"/>
        </w:rPr>
        <w:footnoteReference w:id="47"/>
      </w:r>
    </w:p>
    <w:p w14:paraId="6A0875A0" w14:textId="77777777" w:rsidR="00377D84" w:rsidRDefault="00377D84" w:rsidP="007448F5">
      <w:pPr>
        <w:spacing w:line="264" w:lineRule="auto"/>
        <w:rPr>
          <w:sz w:val="25"/>
          <w:szCs w:val="25"/>
        </w:rPr>
      </w:pPr>
    </w:p>
    <w:p w14:paraId="61955F4D" w14:textId="77777777" w:rsidR="00DB532E" w:rsidRPr="00DB532E" w:rsidRDefault="00DB532E" w:rsidP="00682321">
      <w:pPr>
        <w:numPr>
          <w:ilvl w:val="1"/>
          <w:numId w:val="38"/>
        </w:numPr>
        <w:spacing w:line="264" w:lineRule="auto"/>
        <w:ind w:left="1080"/>
        <w:rPr>
          <w:i/>
          <w:sz w:val="25"/>
          <w:szCs w:val="25"/>
        </w:rPr>
      </w:pPr>
      <w:r>
        <w:rPr>
          <w:b/>
          <w:sz w:val="25"/>
          <w:szCs w:val="25"/>
        </w:rPr>
        <w:t>Rate Spread/Rate Design</w:t>
      </w:r>
    </w:p>
    <w:p w14:paraId="3A76078E" w14:textId="77777777" w:rsidR="00DB532E" w:rsidRPr="00DB532E" w:rsidRDefault="00DB532E" w:rsidP="007448F5">
      <w:pPr>
        <w:spacing w:line="264" w:lineRule="auto"/>
        <w:ind w:left="1440"/>
        <w:rPr>
          <w:i/>
          <w:sz w:val="25"/>
          <w:szCs w:val="25"/>
        </w:rPr>
      </w:pPr>
    </w:p>
    <w:p w14:paraId="5D0CB2B8" w14:textId="4BD4068F" w:rsidR="00DB532E" w:rsidRPr="00665FB8" w:rsidRDefault="009B3BBB" w:rsidP="007448F5">
      <w:pPr>
        <w:numPr>
          <w:ilvl w:val="0"/>
          <w:numId w:val="10"/>
        </w:numPr>
        <w:spacing w:line="264" w:lineRule="auto"/>
        <w:ind w:hanging="720"/>
        <w:rPr>
          <w:b/>
          <w:sz w:val="25"/>
          <w:szCs w:val="25"/>
        </w:rPr>
      </w:pPr>
      <w:r>
        <w:rPr>
          <w:sz w:val="25"/>
          <w:szCs w:val="25"/>
        </w:rPr>
        <w:t>In the Settlement, t</w:t>
      </w:r>
      <w:r w:rsidR="00DB532E" w:rsidRPr="00DB532E">
        <w:rPr>
          <w:sz w:val="25"/>
          <w:szCs w:val="25"/>
        </w:rPr>
        <w:t>he settling parties agree</w:t>
      </w:r>
      <w:r>
        <w:rPr>
          <w:sz w:val="25"/>
          <w:szCs w:val="25"/>
        </w:rPr>
        <w:t>d</w:t>
      </w:r>
      <w:r w:rsidR="00DB532E" w:rsidRPr="00DB532E">
        <w:rPr>
          <w:sz w:val="25"/>
          <w:szCs w:val="25"/>
        </w:rPr>
        <w:t xml:space="preserve"> to a uniform percentage increase for purposes of spreading </w:t>
      </w:r>
      <w:r w:rsidR="006865CB">
        <w:rPr>
          <w:sz w:val="25"/>
          <w:szCs w:val="25"/>
        </w:rPr>
        <w:t xml:space="preserve">among customer classes </w:t>
      </w:r>
      <w:r w:rsidR="00DB532E" w:rsidRPr="00DB532E">
        <w:rPr>
          <w:sz w:val="25"/>
          <w:szCs w:val="25"/>
        </w:rPr>
        <w:t xml:space="preserve">the </w:t>
      </w:r>
      <w:r>
        <w:rPr>
          <w:sz w:val="25"/>
          <w:szCs w:val="25"/>
        </w:rPr>
        <w:t xml:space="preserve">final </w:t>
      </w:r>
      <w:r w:rsidR="00DB532E" w:rsidRPr="00DB532E">
        <w:rPr>
          <w:sz w:val="25"/>
          <w:szCs w:val="25"/>
        </w:rPr>
        <w:t xml:space="preserve">electric base revenue increase </w:t>
      </w:r>
      <w:r>
        <w:rPr>
          <w:sz w:val="25"/>
          <w:szCs w:val="25"/>
        </w:rPr>
        <w:t>approved by the Commission</w:t>
      </w:r>
      <w:r w:rsidR="00DB532E" w:rsidRPr="00DB532E">
        <w:rPr>
          <w:sz w:val="25"/>
          <w:szCs w:val="25"/>
        </w:rPr>
        <w:t>, as well as the ERM rebate</w:t>
      </w:r>
      <w:r>
        <w:rPr>
          <w:sz w:val="25"/>
          <w:szCs w:val="25"/>
        </w:rPr>
        <w:t xml:space="preserve"> amount</w:t>
      </w:r>
      <w:r w:rsidR="00DB532E" w:rsidRPr="00DB532E">
        <w:rPr>
          <w:sz w:val="25"/>
          <w:szCs w:val="25"/>
        </w:rPr>
        <w:t>.</w:t>
      </w:r>
      <w:r w:rsidR="00DB532E">
        <w:rPr>
          <w:rStyle w:val="FootnoteReference"/>
          <w:szCs w:val="25"/>
        </w:rPr>
        <w:footnoteReference w:id="48"/>
      </w:r>
      <w:r w:rsidR="00DB532E" w:rsidRPr="00DB532E">
        <w:rPr>
          <w:sz w:val="25"/>
          <w:szCs w:val="25"/>
        </w:rPr>
        <w:t xml:space="preserve">  With regard to the natural gas increase, the settling parties d</w:t>
      </w:r>
      <w:r>
        <w:rPr>
          <w:sz w:val="25"/>
          <w:szCs w:val="25"/>
        </w:rPr>
        <w:t>id</w:t>
      </w:r>
      <w:r w:rsidR="00DB532E" w:rsidRPr="00DB532E">
        <w:rPr>
          <w:sz w:val="25"/>
          <w:szCs w:val="25"/>
        </w:rPr>
        <w:t xml:space="preserve"> not agree on </w:t>
      </w:r>
      <w:r>
        <w:rPr>
          <w:sz w:val="25"/>
          <w:szCs w:val="25"/>
        </w:rPr>
        <w:t xml:space="preserve">utilization of </w:t>
      </w:r>
      <w:r w:rsidR="00DB532E" w:rsidRPr="00DB532E">
        <w:rPr>
          <w:sz w:val="25"/>
          <w:szCs w:val="25"/>
        </w:rPr>
        <w:t xml:space="preserve">the results of a single cost of service study </w:t>
      </w:r>
      <w:r>
        <w:rPr>
          <w:sz w:val="25"/>
          <w:szCs w:val="25"/>
        </w:rPr>
        <w:t>for purposes of allocating the final natural gas base revenue increase.  I</w:t>
      </w:r>
      <w:r w:rsidR="00DB532E" w:rsidRPr="00DB532E">
        <w:rPr>
          <w:sz w:val="25"/>
          <w:szCs w:val="25"/>
        </w:rPr>
        <w:t>nstead</w:t>
      </w:r>
      <w:r>
        <w:rPr>
          <w:sz w:val="25"/>
          <w:szCs w:val="25"/>
        </w:rPr>
        <w:t>, the settling parties</w:t>
      </w:r>
      <w:r w:rsidR="00DB532E" w:rsidRPr="00DB532E">
        <w:rPr>
          <w:sz w:val="25"/>
          <w:szCs w:val="25"/>
        </w:rPr>
        <w:t xml:space="preserve"> agreed to a </w:t>
      </w:r>
      <w:r>
        <w:rPr>
          <w:sz w:val="25"/>
          <w:szCs w:val="25"/>
        </w:rPr>
        <w:t xml:space="preserve">negotiated </w:t>
      </w:r>
      <w:r w:rsidR="00DB532E" w:rsidRPr="00DB532E">
        <w:rPr>
          <w:sz w:val="25"/>
          <w:szCs w:val="25"/>
        </w:rPr>
        <w:t xml:space="preserve">rate spread </w:t>
      </w:r>
      <w:r>
        <w:rPr>
          <w:sz w:val="25"/>
          <w:szCs w:val="25"/>
        </w:rPr>
        <w:t xml:space="preserve">specifically </w:t>
      </w:r>
      <w:r w:rsidR="00DB532E" w:rsidRPr="00DB532E">
        <w:rPr>
          <w:sz w:val="25"/>
          <w:szCs w:val="25"/>
        </w:rPr>
        <w:t xml:space="preserve">described </w:t>
      </w:r>
      <w:r>
        <w:rPr>
          <w:sz w:val="25"/>
          <w:szCs w:val="25"/>
        </w:rPr>
        <w:t xml:space="preserve">and set forth </w:t>
      </w:r>
      <w:r w:rsidR="00DB532E" w:rsidRPr="00DB532E">
        <w:rPr>
          <w:sz w:val="25"/>
          <w:szCs w:val="25"/>
        </w:rPr>
        <w:t>in paragraph 15(a) of the Settlement.</w:t>
      </w:r>
      <w:r w:rsidR="00DB532E">
        <w:rPr>
          <w:rStyle w:val="FootnoteReference"/>
          <w:szCs w:val="25"/>
        </w:rPr>
        <w:footnoteReference w:id="49"/>
      </w:r>
      <w:r w:rsidR="00155040">
        <w:rPr>
          <w:sz w:val="25"/>
          <w:szCs w:val="25"/>
        </w:rPr>
        <w:t xml:space="preserve">  </w:t>
      </w:r>
      <w:r>
        <w:rPr>
          <w:sz w:val="25"/>
          <w:szCs w:val="25"/>
        </w:rPr>
        <w:t xml:space="preserve">The overall result is </w:t>
      </w:r>
      <w:r w:rsidR="007A5580">
        <w:rPr>
          <w:sz w:val="25"/>
          <w:szCs w:val="25"/>
        </w:rPr>
        <w:t xml:space="preserve">a </w:t>
      </w:r>
      <w:r w:rsidR="00DB532E" w:rsidRPr="00DB532E">
        <w:rPr>
          <w:sz w:val="25"/>
          <w:szCs w:val="25"/>
        </w:rPr>
        <w:t>modest</w:t>
      </w:r>
      <w:r>
        <w:rPr>
          <w:sz w:val="25"/>
          <w:szCs w:val="25"/>
        </w:rPr>
        <w:t xml:space="preserve"> </w:t>
      </w:r>
      <w:r w:rsidR="00DB532E" w:rsidRPr="00DB532E">
        <w:rPr>
          <w:sz w:val="25"/>
          <w:szCs w:val="25"/>
        </w:rPr>
        <w:t xml:space="preserve">increase </w:t>
      </w:r>
      <w:r>
        <w:rPr>
          <w:sz w:val="25"/>
          <w:szCs w:val="25"/>
        </w:rPr>
        <w:t xml:space="preserve">in base rates across </w:t>
      </w:r>
      <w:r w:rsidR="00DB532E" w:rsidRPr="00DB532E">
        <w:rPr>
          <w:sz w:val="25"/>
          <w:szCs w:val="25"/>
        </w:rPr>
        <w:t>most schedules.</w:t>
      </w:r>
      <w:r w:rsidR="00DB532E">
        <w:rPr>
          <w:rStyle w:val="FootnoteReference"/>
          <w:szCs w:val="25"/>
        </w:rPr>
        <w:footnoteReference w:id="50"/>
      </w:r>
    </w:p>
    <w:p w14:paraId="4B311868" w14:textId="77777777" w:rsidR="00665FB8" w:rsidRDefault="00665FB8" w:rsidP="007448F5">
      <w:pPr>
        <w:spacing w:line="264" w:lineRule="auto"/>
        <w:rPr>
          <w:sz w:val="25"/>
          <w:szCs w:val="25"/>
        </w:rPr>
      </w:pPr>
    </w:p>
    <w:p w14:paraId="35822646" w14:textId="578CCF1F" w:rsidR="00665FB8" w:rsidRPr="00665FB8" w:rsidRDefault="00665FB8" w:rsidP="007448F5">
      <w:pPr>
        <w:numPr>
          <w:ilvl w:val="0"/>
          <w:numId w:val="10"/>
        </w:numPr>
        <w:spacing w:line="264" w:lineRule="auto"/>
        <w:ind w:hanging="720"/>
        <w:rPr>
          <w:b/>
          <w:sz w:val="25"/>
          <w:szCs w:val="25"/>
        </w:rPr>
      </w:pPr>
      <w:r w:rsidRPr="00665FB8">
        <w:rPr>
          <w:i/>
          <w:sz w:val="25"/>
          <w:szCs w:val="25"/>
        </w:rPr>
        <w:t>Decision.</w:t>
      </w:r>
      <w:r>
        <w:rPr>
          <w:sz w:val="25"/>
          <w:szCs w:val="25"/>
        </w:rPr>
        <w:t xml:space="preserve">  The rate spread proposed in the Settlement results in fair, just, and reasonable allocation of costs</w:t>
      </w:r>
      <w:r w:rsidR="00D6261C">
        <w:rPr>
          <w:sz w:val="25"/>
          <w:szCs w:val="25"/>
        </w:rPr>
        <w:t xml:space="preserve"> among</w:t>
      </w:r>
      <w:r>
        <w:rPr>
          <w:sz w:val="25"/>
          <w:szCs w:val="25"/>
        </w:rPr>
        <w:t xml:space="preserve"> customer classes.  The rate design proposed in the Settlement is </w:t>
      </w:r>
      <w:r w:rsidR="009B3BBB">
        <w:rPr>
          <w:sz w:val="25"/>
          <w:szCs w:val="25"/>
        </w:rPr>
        <w:t xml:space="preserve">basically </w:t>
      </w:r>
      <w:r>
        <w:rPr>
          <w:sz w:val="25"/>
          <w:szCs w:val="25"/>
        </w:rPr>
        <w:t xml:space="preserve">unchanged from current rates, except for </w:t>
      </w:r>
      <w:r w:rsidR="009B3BBB">
        <w:rPr>
          <w:sz w:val="25"/>
          <w:szCs w:val="25"/>
        </w:rPr>
        <w:t xml:space="preserve">modest increases in </w:t>
      </w:r>
      <w:r>
        <w:rPr>
          <w:sz w:val="25"/>
          <w:szCs w:val="25"/>
        </w:rPr>
        <w:t>basic charges in most schedules</w:t>
      </w:r>
      <w:r w:rsidR="009B3BBB">
        <w:rPr>
          <w:sz w:val="25"/>
          <w:szCs w:val="25"/>
        </w:rPr>
        <w:t xml:space="preserve"> resulting </w:t>
      </w:r>
      <w:r>
        <w:rPr>
          <w:sz w:val="25"/>
          <w:szCs w:val="25"/>
        </w:rPr>
        <w:t>in fair, just</w:t>
      </w:r>
      <w:r w:rsidR="00155040">
        <w:rPr>
          <w:sz w:val="25"/>
          <w:szCs w:val="25"/>
        </w:rPr>
        <w:t>,</w:t>
      </w:r>
      <w:r>
        <w:rPr>
          <w:sz w:val="25"/>
          <w:szCs w:val="25"/>
        </w:rPr>
        <w:t xml:space="preserve"> reasonable</w:t>
      </w:r>
      <w:r w:rsidR="007A5580">
        <w:rPr>
          <w:sz w:val="25"/>
          <w:szCs w:val="25"/>
        </w:rPr>
        <w:t>, and sufficient</w:t>
      </w:r>
      <w:r>
        <w:rPr>
          <w:sz w:val="25"/>
          <w:szCs w:val="25"/>
        </w:rPr>
        <w:t xml:space="preserve"> rates.</w:t>
      </w:r>
    </w:p>
    <w:p w14:paraId="5D0312C3" w14:textId="37F7F8A9" w:rsidR="007448F5" w:rsidRDefault="007448F5" w:rsidP="007448F5">
      <w:pPr>
        <w:spacing w:line="264" w:lineRule="auto"/>
        <w:rPr>
          <w:sz w:val="25"/>
          <w:szCs w:val="25"/>
        </w:rPr>
      </w:pPr>
    </w:p>
    <w:p w14:paraId="59F399AE" w14:textId="77777777" w:rsidR="00DB532E" w:rsidRDefault="00FF74BF" w:rsidP="00682321">
      <w:pPr>
        <w:numPr>
          <w:ilvl w:val="1"/>
          <w:numId w:val="38"/>
        </w:numPr>
        <w:spacing w:line="264" w:lineRule="auto"/>
        <w:ind w:left="1080"/>
        <w:rPr>
          <w:b/>
          <w:sz w:val="25"/>
          <w:szCs w:val="25"/>
        </w:rPr>
      </w:pPr>
      <w:r>
        <w:rPr>
          <w:b/>
          <w:sz w:val="25"/>
          <w:szCs w:val="25"/>
        </w:rPr>
        <w:t>LIRAP</w:t>
      </w:r>
    </w:p>
    <w:p w14:paraId="715B960E" w14:textId="77777777" w:rsidR="00FF74BF" w:rsidRDefault="00FF74BF" w:rsidP="007448F5">
      <w:pPr>
        <w:spacing w:line="264" w:lineRule="auto"/>
        <w:ind w:left="1440"/>
        <w:rPr>
          <w:b/>
          <w:sz w:val="25"/>
          <w:szCs w:val="25"/>
        </w:rPr>
      </w:pPr>
    </w:p>
    <w:p w14:paraId="61987BDD" w14:textId="77777777" w:rsidR="00C657BA" w:rsidRDefault="00C657BA" w:rsidP="007448F5">
      <w:pPr>
        <w:numPr>
          <w:ilvl w:val="0"/>
          <w:numId w:val="10"/>
        </w:numPr>
        <w:spacing w:line="264" w:lineRule="auto"/>
        <w:ind w:hanging="720"/>
        <w:rPr>
          <w:sz w:val="25"/>
          <w:szCs w:val="25"/>
        </w:rPr>
      </w:pPr>
      <w:r w:rsidRPr="00C657BA">
        <w:rPr>
          <w:sz w:val="25"/>
          <w:szCs w:val="25"/>
        </w:rPr>
        <w:t>The Settlement increases annual electric and natural gas LIRAP funding by</w:t>
      </w:r>
      <w:r w:rsidR="00100332">
        <w:rPr>
          <w:sz w:val="25"/>
          <w:szCs w:val="25"/>
        </w:rPr>
        <w:t xml:space="preserve"> </w:t>
      </w:r>
      <w:r w:rsidR="007A5580">
        <w:rPr>
          <w:sz w:val="25"/>
          <w:szCs w:val="25"/>
        </w:rPr>
        <w:t xml:space="preserve">twice </w:t>
      </w:r>
      <w:r w:rsidRPr="00C657BA">
        <w:rPr>
          <w:sz w:val="25"/>
          <w:szCs w:val="25"/>
        </w:rPr>
        <w:t xml:space="preserve">the </w:t>
      </w:r>
      <w:r w:rsidR="007A5580">
        <w:rPr>
          <w:sz w:val="25"/>
          <w:szCs w:val="25"/>
        </w:rPr>
        <w:t>proposed</w:t>
      </w:r>
      <w:r w:rsidR="007A3588">
        <w:rPr>
          <w:sz w:val="25"/>
          <w:szCs w:val="25"/>
        </w:rPr>
        <w:t xml:space="preserve"> </w:t>
      </w:r>
      <w:r w:rsidR="007A5580">
        <w:rPr>
          <w:sz w:val="25"/>
          <w:szCs w:val="25"/>
        </w:rPr>
        <w:t xml:space="preserve">Schedule 1 </w:t>
      </w:r>
      <w:r w:rsidR="007A3588">
        <w:rPr>
          <w:sz w:val="25"/>
          <w:szCs w:val="25"/>
        </w:rPr>
        <w:t>increase</w:t>
      </w:r>
      <w:r w:rsidRPr="00C657BA">
        <w:rPr>
          <w:sz w:val="25"/>
          <w:szCs w:val="25"/>
        </w:rPr>
        <w:t>, for a total increase of $200,000 (5 percent) for electric LIRAP funding and $214,000 (11.6 percent) for natural gas LIRAP funding.</w:t>
      </w:r>
      <w:r w:rsidRPr="00462F04">
        <w:rPr>
          <w:rStyle w:val="FootnoteReference"/>
          <w:sz w:val="25"/>
          <w:szCs w:val="25"/>
        </w:rPr>
        <w:footnoteReference w:id="51"/>
      </w:r>
      <w:r w:rsidRPr="00C657BA">
        <w:rPr>
          <w:sz w:val="25"/>
          <w:szCs w:val="25"/>
        </w:rPr>
        <w:t xml:space="preserve">  The Energy Project estimates that the increased </w:t>
      </w:r>
      <w:r w:rsidR="00100332">
        <w:rPr>
          <w:sz w:val="25"/>
          <w:szCs w:val="25"/>
        </w:rPr>
        <w:t xml:space="preserve">LIRAP </w:t>
      </w:r>
      <w:r w:rsidRPr="00C657BA">
        <w:rPr>
          <w:sz w:val="25"/>
          <w:szCs w:val="25"/>
        </w:rPr>
        <w:t>funding will provide assistance to an additional 400 households</w:t>
      </w:r>
      <w:r w:rsidR="00100332">
        <w:rPr>
          <w:sz w:val="25"/>
          <w:szCs w:val="25"/>
        </w:rPr>
        <w:t xml:space="preserve"> with</w:t>
      </w:r>
      <w:r w:rsidR="007A5580">
        <w:rPr>
          <w:sz w:val="25"/>
          <w:szCs w:val="25"/>
        </w:rPr>
        <w:t>in</w:t>
      </w:r>
      <w:r w:rsidR="00100332">
        <w:rPr>
          <w:sz w:val="25"/>
          <w:szCs w:val="25"/>
        </w:rPr>
        <w:t xml:space="preserve"> the </w:t>
      </w:r>
      <w:r w:rsidR="007A5580">
        <w:rPr>
          <w:sz w:val="25"/>
          <w:szCs w:val="25"/>
        </w:rPr>
        <w:t>C</w:t>
      </w:r>
      <w:r w:rsidR="00100332">
        <w:rPr>
          <w:sz w:val="25"/>
          <w:szCs w:val="25"/>
        </w:rPr>
        <w:t>ompany’s service area</w:t>
      </w:r>
      <w:r w:rsidRPr="00C657BA">
        <w:rPr>
          <w:sz w:val="25"/>
          <w:szCs w:val="25"/>
        </w:rPr>
        <w:t>.</w:t>
      </w:r>
      <w:r w:rsidRPr="00462F04">
        <w:rPr>
          <w:rStyle w:val="FootnoteReference"/>
          <w:sz w:val="25"/>
          <w:szCs w:val="25"/>
        </w:rPr>
        <w:footnoteReference w:id="52"/>
      </w:r>
      <w:r w:rsidRPr="00C657BA">
        <w:rPr>
          <w:sz w:val="25"/>
          <w:szCs w:val="25"/>
        </w:rPr>
        <w:t xml:space="preserve">  At hearing, Avista and the Energy Project indicated that they would be amenable to </w:t>
      </w:r>
      <w:r w:rsidR="00100332">
        <w:rPr>
          <w:sz w:val="25"/>
          <w:szCs w:val="25"/>
        </w:rPr>
        <w:t>the Commission approving even more L</w:t>
      </w:r>
      <w:r w:rsidR="007A5580">
        <w:rPr>
          <w:sz w:val="25"/>
          <w:szCs w:val="25"/>
        </w:rPr>
        <w:t>IRAP</w:t>
      </w:r>
      <w:r w:rsidR="00100332">
        <w:rPr>
          <w:sz w:val="25"/>
          <w:szCs w:val="25"/>
        </w:rPr>
        <w:t xml:space="preserve"> funding than set forth in the Settlement, by </w:t>
      </w:r>
      <w:r w:rsidR="00733887">
        <w:rPr>
          <w:sz w:val="25"/>
          <w:szCs w:val="25"/>
        </w:rPr>
        <w:t xml:space="preserve">doubling </w:t>
      </w:r>
      <w:r w:rsidRPr="00C657BA">
        <w:rPr>
          <w:sz w:val="25"/>
          <w:szCs w:val="25"/>
        </w:rPr>
        <w:t>the</w:t>
      </w:r>
      <w:r w:rsidR="007A3588">
        <w:rPr>
          <w:sz w:val="25"/>
          <w:szCs w:val="25"/>
        </w:rPr>
        <w:t xml:space="preserve"> </w:t>
      </w:r>
      <w:r w:rsidR="00100332">
        <w:rPr>
          <w:sz w:val="25"/>
          <w:szCs w:val="25"/>
        </w:rPr>
        <w:t xml:space="preserve">Settlement’s </w:t>
      </w:r>
      <w:r w:rsidR="007A5580">
        <w:rPr>
          <w:sz w:val="25"/>
          <w:szCs w:val="25"/>
        </w:rPr>
        <w:t xml:space="preserve">proposed </w:t>
      </w:r>
      <w:r w:rsidR="00733887">
        <w:rPr>
          <w:sz w:val="25"/>
          <w:szCs w:val="25"/>
        </w:rPr>
        <w:t xml:space="preserve">LIRAP </w:t>
      </w:r>
      <w:r w:rsidR="007A5580">
        <w:rPr>
          <w:sz w:val="25"/>
          <w:szCs w:val="25"/>
        </w:rPr>
        <w:t>increase</w:t>
      </w:r>
      <w:r w:rsidR="00100332">
        <w:rPr>
          <w:sz w:val="25"/>
          <w:szCs w:val="25"/>
        </w:rPr>
        <w:t>.</w:t>
      </w:r>
      <w:r w:rsidRPr="00462F04">
        <w:rPr>
          <w:rStyle w:val="FootnoteReference"/>
          <w:sz w:val="25"/>
          <w:szCs w:val="25"/>
        </w:rPr>
        <w:footnoteReference w:id="53"/>
      </w:r>
      <w:r w:rsidRPr="00C657BA">
        <w:rPr>
          <w:sz w:val="25"/>
          <w:szCs w:val="25"/>
        </w:rPr>
        <w:t xml:space="preserve">  Staff did not take a position, but did not oppose an increase in funding</w:t>
      </w:r>
      <w:r w:rsidR="007A3588">
        <w:rPr>
          <w:sz w:val="25"/>
          <w:szCs w:val="25"/>
        </w:rPr>
        <w:t xml:space="preserve"> above th</w:t>
      </w:r>
      <w:r w:rsidR="00100332">
        <w:rPr>
          <w:sz w:val="25"/>
          <w:szCs w:val="25"/>
        </w:rPr>
        <w:t xml:space="preserve">e </w:t>
      </w:r>
      <w:r w:rsidR="00733887">
        <w:rPr>
          <w:sz w:val="25"/>
          <w:szCs w:val="25"/>
        </w:rPr>
        <w:t>increase</w:t>
      </w:r>
      <w:r w:rsidR="00100332">
        <w:rPr>
          <w:sz w:val="25"/>
          <w:szCs w:val="25"/>
        </w:rPr>
        <w:t xml:space="preserve"> set forth </w:t>
      </w:r>
      <w:r w:rsidR="007A3588">
        <w:rPr>
          <w:sz w:val="25"/>
          <w:szCs w:val="25"/>
        </w:rPr>
        <w:t>in the Settlement</w:t>
      </w:r>
      <w:r w:rsidRPr="00C657BA">
        <w:rPr>
          <w:sz w:val="25"/>
          <w:szCs w:val="25"/>
        </w:rPr>
        <w:t>.</w:t>
      </w:r>
      <w:r>
        <w:rPr>
          <w:rStyle w:val="FootnoteReference"/>
          <w:sz w:val="25"/>
          <w:szCs w:val="25"/>
        </w:rPr>
        <w:footnoteReference w:id="54"/>
      </w:r>
      <w:r w:rsidRPr="00C657BA">
        <w:rPr>
          <w:sz w:val="25"/>
          <w:szCs w:val="25"/>
        </w:rPr>
        <w:t xml:space="preserve">  </w:t>
      </w:r>
    </w:p>
    <w:p w14:paraId="31D4B2F7" w14:textId="77777777" w:rsidR="00B83E8A" w:rsidRDefault="00B83E8A" w:rsidP="007448F5">
      <w:pPr>
        <w:spacing w:line="264" w:lineRule="auto"/>
        <w:rPr>
          <w:sz w:val="25"/>
          <w:szCs w:val="25"/>
        </w:rPr>
      </w:pPr>
    </w:p>
    <w:p w14:paraId="47E273DD" w14:textId="77777777" w:rsidR="00B83E8A" w:rsidRDefault="0040521C" w:rsidP="007448F5">
      <w:pPr>
        <w:numPr>
          <w:ilvl w:val="0"/>
          <w:numId w:val="10"/>
        </w:numPr>
        <w:spacing w:line="264" w:lineRule="auto"/>
        <w:ind w:hanging="720"/>
        <w:rPr>
          <w:sz w:val="25"/>
          <w:szCs w:val="25"/>
        </w:rPr>
      </w:pPr>
      <w:r>
        <w:rPr>
          <w:sz w:val="25"/>
          <w:szCs w:val="25"/>
        </w:rPr>
        <w:t>I</w:t>
      </w:r>
      <w:r w:rsidR="00B83E8A" w:rsidRPr="00462F04">
        <w:rPr>
          <w:sz w:val="25"/>
          <w:szCs w:val="25"/>
        </w:rPr>
        <w:t xml:space="preserve">n Avista’s </w:t>
      </w:r>
      <w:r w:rsidR="007A3588">
        <w:rPr>
          <w:sz w:val="25"/>
          <w:szCs w:val="25"/>
        </w:rPr>
        <w:t>2012</w:t>
      </w:r>
      <w:r w:rsidR="00B83E8A" w:rsidRPr="00462F04">
        <w:rPr>
          <w:sz w:val="25"/>
          <w:szCs w:val="25"/>
        </w:rPr>
        <w:t xml:space="preserve"> general rate case, the Commission approved a multiparty settlement </w:t>
      </w:r>
      <w:r w:rsidR="00B83E8A">
        <w:rPr>
          <w:sz w:val="25"/>
          <w:szCs w:val="25"/>
        </w:rPr>
        <w:t>in which Avista</w:t>
      </w:r>
      <w:r w:rsidR="00B83E8A" w:rsidRPr="00462F04">
        <w:rPr>
          <w:sz w:val="25"/>
          <w:szCs w:val="25"/>
        </w:rPr>
        <w:t xml:space="preserve"> committed to discuss potential program design options with </w:t>
      </w:r>
      <w:r w:rsidR="007D32E2">
        <w:rPr>
          <w:sz w:val="25"/>
          <w:szCs w:val="25"/>
        </w:rPr>
        <w:t>S</w:t>
      </w:r>
      <w:r w:rsidR="00B83E8A" w:rsidRPr="00462F04">
        <w:rPr>
          <w:sz w:val="25"/>
          <w:szCs w:val="25"/>
        </w:rPr>
        <w:t xml:space="preserve">taff and other interested parties, and to propose changes to </w:t>
      </w:r>
      <w:r w:rsidR="00B83E8A">
        <w:rPr>
          <w:sz w:val="25"/>
          <w:szCs w:val="25"/>
        </w:rPr>
        <w:t>LIRAP</w:t>
      </w:r>
      <w:r w:rsidR="00B83E8A" w:rsidRPr="00462F04">
        <w:rPr>
          <w:sz w:val="25"/>
          <w:szCs w:val="25"/>
        </w:rPr>
        <w:t xml:space="preserve"> in its next general rate case, if necessary.</w:t>
      </w:r>
      <w:r w:rsidR="00B83E8A" w:rsidRPr="00462F04">
        <w:rPr>
          <w:rStyle w:val="FootnoteReference"/>
          <w:sz w:val="25"/>
          <w:szCs w:val="25"/>
        </w:rPr>
        <w:footnoteReference w:id="55"/>
      </w:r>
      <w:r w:rsidR="00B83E8A" w:rsidRPr="00462F04">
        <w:rPr>
          <w:sz w:val="25"/>
          <w:szCs w:val="25"/>
        </w:rPr>
        <w:t xml:space="preserve">  In September 2013, Avista </w:t>
      </w:r>
      <w:r w:rsidR="007D32E2">
        <w:rPr>
          <w:sz w:val="25"/>
          <w:szCs w:val="25"/>
        </w:rPr>
        <w:t xml:space="preserve">and Staff hosted </w:t>
      </w:r>
      <w:r w:rsidR="00B83E8A" w:rsidRPr="00462F04">
        <w:rPr>
          <w:sz w:val="25"/>
          <w:szCs w:val="25"/>
        </w:rPr>
        <w:t>a meeting on this topic with representatives of other invest</w:t>
      </w:r>
      <w:r w:rsidR="007D32E2">
        <w:rPr>
          <w:sz w:val="25"/>
          <w:szCs w:val="25"/>
        </w:rPr>
        <w:t>or-owned utilities, Commission S</w:t>
      </w:r>
      <w:r w:rsidR="00B83E8A" w:rsidRPr="00462F04">
        <w:rPr>
          <w:sz w:val="25"/>
          <w:szCs w:val="25"/>
        </w:rPr>
        <w:t>taff, the Energy Project, Public Counsel and other stakeholders.</w:t>
      </w:r>
      <w:r w:rsidR="00B83E8A" w:rsidRPr="00462F04">
        <w:rPr>
          <w:rStyle w:val="FootnoteReference"/>
          <w:sz w:val="25"/>
          <w:szCs w:val="25"/>
        </w:rPr>
        <w:footnoteReference w:id="56"/>
      </w:r>
      <w:r w:rsidR="00B83E8A" w:rsidRPr="00462F04">
        <w:rPr>
          <w:sz w:val="25"/>
          <w:szCs w:val="25"/>
        </w:rPr>
        <w:t xml:space="preserve">  In May 2014, Avista participated in a Commission-led workshop on low-income assistance programs.</w:t>
      </w:r>
      <w:r w:rsidR="00B83E8A" w:rsidRPr="00462F04">
        <w:rPr>
          <w:rStyle w:val="FootnoteReference"/>
          <w:sz w:val="25"/>
          <w:szCs w:val="25"/>
        </w:rPr>
        <w:footnoteReference w:id="57"/>
      </w:r>
      <w:r w:rsidR="00B83E8A" w:rsidRPr="00462F04">
        <w:rPr>
          <w:rStyle w:val="FootnoteReference"/>
          <w:sz w:val="25"/>
          <w:szCs w:val="25"/>
        </w:rPr>
        <w:t xml:space="preserve"> </w:t>
      </w:r>
      <w:r w:rsidR="00B83E8A" w:rsidRPr="00462F04">
        <w:rPr>
          <w:sz w:val="25"/>
          <w:szCs w:val="25"/>
        </w:rPr>
        <w:t xml:space="preserve"> </w:t>
      </w:r>
    </w:p>
    <w:p w14:paraId="5583BFB9" w14:textId="77777777" w:rsidR="00B83E8A" w:rsidRPr="00EA392E" w:rsidRDefault="00B83E8A" w:rsidP="007448F5">
      <w:pPr>
        <w:spacing w:line="264" w:lineRule="auto"/>
        <w:rPr>
          <w:i/>
          <w:sz w:val="25"/>
          <w:szCs w:val="25"/>
        </w:rPr>
      </w:pPr>
    </w:p>
    <w:p w14:paraId="3A5EFF43" w14:textId="08F33C41" w:rsidR="00B83E8A" w:rsidRDefault="00B83E8A" w:rsidP="007448F5">
      <w:pPr>
        <w:numPr>
          <w:ilvl w:val="0"/>
          <w:numId w:val="10"/>
        </w:numPr>
        <w:spacing w:line="264" w:lineRule="auto"/>
        <w:ind w:hanging="720"/>
        <w:rPr>
          <w:sz w:val="25"/>
          <w:szCs w:val="25"/>
        </w:rPr>
      </w:pPr>
      <w:r w:rsidRPr="00462F04">
        <w:rPr>
          <w:sz w:val="25"/>
          <w:szCs w:val="25"/>
        </w:rPr>
        <w:t>Avista did not propose any changes to LIRAP in this case</w:t>
      </w:r>
      <w:r w:rsidR="001B6A96">
        <w:rPr>
          <w:sz w:val="25"/>
          <w:szCs w:val="25"/>
        </w:rPr>
        <w:t>, a decision Staff noted and opposed in its response testimony</w:t>
      </w:r>
      <w:r w:rsidRPr="00462F04">
        <w:rPr>
          <w:sz w:val="25"/>
          <w:szCs w:val="25"/>
        </w:rPr>
        <w:t>.</w:t>
      </w:r>
      <w:r w:rsidRPr="00462F04">
        <w:rPr>
          <w:rStyle w:val="FootnoteReference"/>
          <w:sz w:val="25"/>
          <w:szCs w:val="25"/>
        </w:rPr>
        <w:footnoteReference w:id="58"/>
      </w:r>
      <w:r w:rsidRPr="00462F04">
        <w:rPr>
          <w:sz w:val="25"/>
          <w:szCs w:val="25"/>
        </w:rPr>
        <w:t xml:space="preserve">  Staff </w:t>
      </w:r>
      <w:r w:rsidR="007D32E2">
        <w:rPr>
          <w:sz w:val="25"/>
          <w:szCs w:val="25"/>
        </w:rPr>
        <w:t>proposed</w:t>
      </w:r>
      <w:r w:rsidRPr="00462F04">
        <w:rPr>
          <w:sz w:val="25"/>
          <w:szCs w:val="25"/>
        </w:rPr>
        <w:t xml:space="preserve"> that Avista create a pilot program offering </w:t>
      </w:r>
      <w:r w:rsidR="006865CB">
        <w:rPr>
          <w:sz w:val="25"/>
          <w:szCs w:val="25"/>
        </w:rPr>
        <w:t xml:space="preserve">rate discounts for low-income </w:t>
      </w:r>
      <w:r w:rsidRPr="00462F04">
        <w:rPr>
          <w:sz w:val="25"/>
          <w:szCs w:val="25"/>
        </w:rPr>
        <w:t xml:space="preserve">electric and natural gas </w:t>
      </w:r>
      <w:r w:rsidR="006865CB">
        <w:rPr>
          <w:sz w:val="25"/>
          <w:szCs w:val="25"/>
        </w:rPr>
        <w:t>customers</w:t>
      </w:r>
      <w:r w:rsidRPr="00462F04">
        <w:rPr>
          <w:sz w:val="25"/>
          <w:szCs w:val="25"/>
        </w:rPr>
        <w:t>,</w:t>
      </w:r>
      <w:r w:rsidRPr="00462F04">
        <w:rPr>
          <w:rStyle w:val="FootnoteReference"/>
          <w:sz w:val="25"/>
          <w:szCs w:val="25"/>
        </w:rPr>
        <w:footnoteReference w:id="59"/>
      </w:r>
      <w:r w:rsidRPr="00462F04">
        <w:rPr>
          <w:sz w:val="25"/>
          <w:szCs w:val="25"/>
        </w:rPr>
        <w:t xml:space="preserve"> and develop a data collection plan to determine the impact of low-income assistance in its service territory.</w:t>
      </w:r>
      <w:r w:rsidRPr="00462F04">
        <w:rPr>
          <w:rStyle w:val="FootnoteReference"/>
          <w:sz w:val="25"/>
          <w:szCs w:val="25"/>
        </w:rPr>
        <w:footnoteReference w:id="60"/>
      </w:r>
      <w:r w:rsidRPr="00462F04">
        <w:rPr>
          <w:sz w:val="25"/>
          <w:szCs w:val="25"/>
        </w:rPr>
        <w:t xml:space="preserve"> </w:t>
      </w:r>
    </w:p>
    <w:p w14:paraId="69738C1F" w14:textId="77777777" w:rsidR="00B83E8A" w:rsidRPr="00C657BA" w:rsidRDefault="00B83E8A" w:rsidP="007448F5">
      <w:pPr>
        <w:spacing w:line="264" w:lineRule="auto"/>
        <w:rPr>
          <w:sz w:val="25"/>
          <w:szCs w:val="25"/>
        </w:rPr>
      </w:pPr>
    </w:p>
    <w:p w14:paraId="10D378DA" w14:textId="77777777" w:rsidR="00B83E8A" w:rsidRDefault="00B83E8A" w:rsidP="007448F5">
      <w:pPr>
        <w:numPr>
          <w:ilvl w:val="0"/>
          <w:numId w:val="10"/>
        </w:numPr>
        <w:spacing w:line="264" w:lineRule="auto"/>
        <w:ind w:hanging="720"/>
        <w:rPr>
          <w:sz w:val="25"/>
          <w:szCs w:val="25"/>
        </w:rPr>
      </w:pPr>
      <w:r>
        <w:rPr>
          <w:sz w:val="25"/>
          <w:szCs w:val="25"/>
        </w:rPr>
        <w:t>The S</w:t>
      </w:r>
      <w:r w:rsidRPr="00462F04">
        <w:rPr>
          <w:sz w:val="25"/>
          <w:szCs w:val="25"/>
        </w:rPr>
        <w:t>ettlement does not include any modifications to the design of LIRAP, or any additional low-income assistance programs.  Instead, Avista agrees to continue to meet with Staff, the Energy Project, and other interested parties to develop mutually agreed-upon modifications or additions to LIRAP, and establish a filing schedule.</w:t>
      </w:r>
      <w:r w:rsidRPr="00462F04">
        <w:rPr>
          <w:rStyle w:val="FootnoteReference"/>
          <w:sz w:val="25"/>
          <w:szCs w:val="25"/>
        </w:rPr>
        <w:footnoteReference w:id="61"/>
      </w:r>
      <w:r w:rsidRPr="00462F04">
        <w:rPr>
          <w:rStyle w:val="FootnoteReference"/>
          <w:sz w:val="25"/>
          <w:szCs w:val="25"/>
        </w:rPr>
        <w:t xml:space="preserve"> </w:t>
      </w:r>
      <w:r w:rsidRPr="00462F04">
        <w:rPr>
          <w:sz w:val="25"/>
          <w:szCs w:val="25"/>
        </w:rPr>
        <w:t xml:space="preserve"> </w:t>
      </w:r>
    </w:p>
    <w:p w14:paraId="1BCFF2C7" w14:textId="77777777" w:rsidR="00B83E8A" w:rsidRDefault="00B83E8A" w:rsidP="007448F5">
      <w:pPr>
        <w:pStyle w:val="ListParagraph"/>
        <w:spacing w:line="264" w:lineRule="auto"/>
        <w:rPr>
          <w:sz w:val="25"/>
          <w:szCs w:val="25"/>
        </w:rPr>
      </w:pPr>
    </w:p>
    <w:p w14:paraId="13A17CE2" w14:textId="305C106F" w:rsidR="00B83E8A" w:rsidRDefault="007D32E2" w:rsidP="007448F5">
      <w:pPr>
        <w:numPr>
          <w:ilvl w:val="0"/>
          <w:numId w:val="10"/>
        </w:numPr>
        <w:spacing w:line="264" w:lineRule="auto"/>
        <w:ind w:hanging="720"/>
        <w:rPr>
          <w:sz w:val="25"/>
          <w:szCs w:val="25"/>
        </w:rPr>
      </w:pPr>
      <w:r>
        <w:rPr>
          <w:sz w:val="25"/>
          <w:szCs w:val="25"/>
        </w:rPr>
        <w:t>We find</w:t>
      </w:r>
      <w:r w:rsidR="00B83E8A">
        <w:rPr>
          <w:sz w:val="25"/>
          <w:szCs w:val="25"/>
        </w:rPr>
        <w:t xml:space="preserve"> that it</w:t>
      </w:r>
      <w:r w:rsidR="001B6A96">
        <w:rPr>
          <w:sz w:val="25"/>
          <w:szCs w:val="25"/>
        </w:rPr>
        <w:t xml:space="preserve"> is difficult for the p</w:t>
      </w:r>
      <w:r w:rsidR="00B83E8A" w:rsidRPr="00CC0F95">
        <w:rPr>
          <w:sz w:val="25"/>
          <w:szCs w:val="25"/>
        </w:rPr>
        <w:t xml:space="preserve">arties to </w:t>
      </w:r>
      <w:r w:rsidR="001B6A96">
        <w:rPr>
          <w:sz w:val="25"/>
          <w:szCs w:val="25"/>
        </w:rPr>
        <w:t>evaluate and manage</w:t>
      </w:r>
      <w:r w:rsidR="00B83E8A" w:rsidRPr="00CC0F95">
        <w:rPr>
          <w:sz w:val="25"/>
          <w:szCs w:val="25"/>
        </w:rPr>
        <w:t xml:space="preserve"> </w:t>
      </w:r>
      <w:r w:rsidR="00B83E8A">
        <w:rPr>
          <w:sz w:val="25"/>
          <w:szCs w:val="25"/>
        </w:rPr>
        <w:t>LIRAP</w:t>
      </w:r>
      <w:r w:rsidR="006865CB">
        <w:rPr>
          <w:sz w:val="25"/>
          <w:szCs w:val="25"/>
        </w:rPr>
        <w:t xml:space="preserve"> effectively</w:t>
      </w:r>
      <w:r w:rsidR="00B83E8A">
        <w:rPr>
          <w:sz w:val="25"/>
          <w:szCs w:val="25"/>
        </w:rPr>
        <w:t xml:space="preserve"> due to insufficient data.</w:t>
      </w:r>
      <w:r w:rsidR="00B83E8A">
        <w:rPr>
          <w:rStyle w:val="FootnoteReference"/>
          <w:sz w:val="25"/>
          <w:szCs w:val="25"/>
        </w:rPr>
        <w:footnoteReference w:id="62"/>
      </w:r>
      <w:r w:rsidR="00B83E8A" w:rsidRPr="00CC0F95">
        <w:rPr>
          <w:sz w:val="25"/>
          <w:szCs w:val="25"/>
        </w:rPr>
        <w:t xml:space="preserve"> </w:t>
      </w:r>
      <w:r w:rsidR="00B83E8A">
        <w:rPr>
          <w:sz w:val="25"/>
          <w:szCs w:val="25"/>
        </w:rPr>
        <w:t xml:space="preserve"> </w:t>
      </w:r>
      <w:r w:rsidR="00B83E8A" w:rsidRPr="00462F04">
        <w:rPr>
          <w:sz w:val="25"/>
          <w:szCs w:val="25"/>
        </w:rPr>
        <w:t xml:space="preserve">Staff recommended that the Commission </w:t>
      </w:r>
      <w:r w:rsidR="00B83E8A">
        <w:rPr>
          <w:sz w:val="25"/>
          <w:szCs w:val="25"/>
        </w:rPr>
        <w:t xml:space="preserve">facilitate more effective management of the program by </w:t>
      </w:r>
      <w:r w:rsidR="00B83E8A" w:rsidRPr="00462F04">
        <w:rPr>
          <w:sz w:val="25"/>
          <w:szCs w:val="25"/>
        </w:rPr>
        <w:t>order</w:t>
      </w:r>
      <w:r w:rsidR="00B83E8A">
        <w:rPr>
          <w:sz w:val="25"/>
          <w:szCs w:val="25"/>
        </w:rPr>
        <w:t>ing</w:t>
      </w:r>
      <w:r w:rsidR="00B83E8A" w:rsidRPr="00462F04">
        <w:rPr>
          <w:sz w:val="25"/>
          <w:szCs w:val="25"/>
        </w:rPr>
        <w:t xml:space="preserve"> Avista to adopt express goals for LIRAP.</w:t>
      </w:r>
      <w:r w:rsidR="00B83E8A" w:rsidRPr="00462F04">
        <w:rPr>
          <w:rStyle w:val="FootnoteReference"/>
          <w:sz w:val="25"/>
          <w:szCs w:val="25"/>
        </w:rPr>
        <w:footnoteReference w:id="63"/>
      </w:r>
      <w:r w:rsidR="00B83E8A" w:rsidRPr="00462F04">
        <w:rPr>
          <w:sz w:val="25"/>
          <w:szCs w:val="25"/>
        </w:rPr>
        <w:t xml:space="preserve">  </w:t>
      </w:r>
      <w:r w:rsidR="00B83E8A">
        <w:rPr>
          <w:sz w:val="25"/>
          <w:szCs w:val="25"/>
        </w:rPr>
        <w:t>In the Settlement, the parties agree that the primary intention of any additions or modifications to LIRAP should be to keep low-income customers connected to services, and serve more customers who need assistance.</w:t>
      </w:r>
      <w:r w:rsidR="00B83E8A" w:rsidRPr="0092522D">
        <w:rPr>
          <w:rStyle w:val="FootnoteReference"/>
          <w:sz w:val="25"/>
          <w:szCs w:val="25"/>
        </w:rPr>
        <w:t xml:space="preserve"> </w:t>
      </w:r>
      <w:r w:rsidR="00B83E8A">
        <w:rPr>
          <w:rStyle w:val="FootnoteReference"/>
          <w:sz w:val="25"/>
          <w:szCs w:val="25"/>
        </w:rPr>
        <w:footnoteReference w:id="64"/>
      </w:r>
      <w:r w:rsidR="00B83E8A">
        <w:rPr>
          <w:sz w:val="25"/>
          <w:szCs w:val="25"/>
        </w:rPr>
        <w:t xml:space="preserve">  </w:t>
      </w:r>
      <w:r w:rsidR="00B83E8A" w:rsidRPr="0092522D">
        <w:rPr>
          <w:sz w:val="25"/>
          <w:szCs w:val="25"/>
        </w:rPr>
        <w:t xml:space="preserve">At hearing, the </w:t>
      </w:r>
      <w:r w:rsidR="00B83E8A">
        <w:rPr>
          <w:sz w:val="25"/>
          <w:szCs w:val="25"/>
        </w:rPr>
        <w:t>p</w:t>
      </w:r>
      <w:r w:rsidR="00B83E8A" w:rsidRPr="0092522D">
        <w:rPr>
          <w:sz w:val="25"/>
          <w:szCs w:val="25"/>
        </w:rPr>
        <w:t xml:space="preserve">arties </w:t>
      </w:r>
      <w:r>
        <w:rPr>
          <w:sz w:val="25"/>
          <w:szCs w:val="25"/>
        </w:rPr>
        <w:t>also expressed</w:t>
      </w:r>
      <w:r w:rsidR="00B83E8A" w:rsidRPr="0092522D">
        <w:rPr>
          <w:sz w:val="25"/>
          <w:szCs w:val="25"/>
        </w:rPr>
        <w:t xml:space="preserve"> support </w:t>
      </w:r>
      <w:r>
        <w:rPr>
          <w:sz w:val="25"/>
          <w:szCs w:val="25"/>
        </w:rPr>
        <w:t xml:space="preserve">for </w:t>
      </w:r>
      <w:r w:rsidR="00B83E8A" w:rsidRPr="0092522D">
        <w:rPr>
          <w:sz w:val="25"/>
          <w:szCs w:val="25"/>
        </w:rPr>
        <w:t>the goal of reducing low-income customers’ energy burden</w:t>
      </w:r>
      <w:r>
        <w:rPr>
          <w:sz w:val="25"/>
          <w:szCs w:val="25"/>
        </w:rPr>
        <w:t>.</w:t>
      </w:r>
      <w:r w:rsidRPr="00462F04">
        <w:rPr>
          <w:rStyle w:val="FootnoteReference"/>
          <w:sz w:val="25"/>
          <w:szCs w:val="25"/>
        </w:rPr>
        <w:footnoteReference w:id="65"/>
      </w:r>
      <w:r>
        <w:rPr>
          <w:sz w:val="25"/>
          <w:szCs w:val="25"/>
        </w:rPr>
        <w:t xml:space="preserve">  We agree that it is important</w:t>
      </w:r>
      <w:r w:rsidR="00B83E8A" w:rsidRPr="0092522D">
        <w:rPr>
          <w:sz w:val="25"/>
          <w:szCs w:val="25"/>
        </w:rPr>
        <w:t xml:space="preserve"> to </w:t>
      </w:r>
      <w:r>
        <w:rPr>
          <w:sz w:val="25"/>
          <w:szCs w:val="25"/>
        </w:rPr>
        <w:t>identify program goals before attempting to redesign a program</w:t>
      </w:r>
      <w:r w:rsidR="00B83E8A" w:rsidRPr="0092522D">
        <w:rPr>
          <w:sz w:val="25"/>
          <w:szCs w:val="25"/>
        </w:rPr>
        <w:t>.</w:t>
      </w:r>
      <w:r w:rsidR="00B83E8A" w:rsidRPr="00462F04">
        <w:rPr>
          <w:rStyle w:val="FootnoteReference"/>
          <w:sz w:val="25"/>
          <w:szCs w:val="25"/>
        </w:rPr>
        <w:footnoteReference w:id="66"/>
      </w:r>
      <w:r w:rsidR="00B83E8A" w:rsidRPr="00462F04">
        <w:rPr>
          <w:sz w:val="25"/>
          <w:szCs w:val="25"/>
        </w:rPr>
        <w:t xml:space="preserve"> </w:t>
      </w:r>
      <w:r>
        <w:rPr>
          <w:sz w:val="25"/>
          <w:szCs w:val="25"/>
        </w:rPr>
        <w:t xml:space="preserve"> We find that the program goals discussed in the Settlement and at hearing are appropriate </w:t>
      </w:r>
      <w:r w:rsidR="000C7E9B">
        <w:rPr>
          <w:sz w:val="25"/>
          <w:szCs w:val="25"/>
        </w:rPr>
        <w:t xml:space="preserve">for Avista’s low-income assistance programs.  </w:t>
      </w:r>
    </w:p>
    <w:p w14:paraId="3540B39B" w14:textId="77777777" w:rsidR="00B83E8A" w:rsidRDefault="00B83E8A" w:rsidP="007448F5">
      <w:pPr>
        <w:pStyle w:val="ListParagraph"/>
        <w:spacing w:line="264" w:lineRule="auto"/>
        <w:rPr>
          <w:sz w:val="25"/>
          <w:szCs w:val="25"/>
        </w:rPr>
      </w:pPr>
    </w:p>
    <w:p w14:paraId="0E37226B" w14:textId="354C98CD" w:rsidR="00B83E8A" w:rsidRDefault="00B83E8A" w:rsidP="007448F5">
      <w:pPr>
        <w:numPr>
          <w:ilvl w:val="0"/>
          <w:numId w:val="10"/>
        </w:numPr>
        <w:spacing w:line="264" w:lineRule="auto"/>
        <w:ind w:hanging="720"/>
        <w:rPr>
          <w:sz w:val="25"/>
          <w:szCs w:val="25"/>
        </w:rPr>
      </w:pPr>
      <w:r>
        <w:rPr>
          <w:sz w:val="25"/>
          <w:szCs w:val="25"/>
        </w:rPr>
        <w:t>The S</w:t>
      </w:r>
      <w:r w:rsidRPr="00462F04">
        <w:rPr>
          <w:sz w:val="25"/>
          <w:szCs w:val="25"/>
        </w:rPr>
        <w:t xml:space="preserve">ettlement requires the </w:t>
      </w:r>
      <w:r>
        <w:rPr>
          <w:sz w:val="25"/>
          <w:szCs w:val="25"/>
        </w:rPr>
        <w:t>p</w:t>
      </w:r>
      <w:r w:rsidRPr="00462F04">
        <w:rPr>
          <w:sz w:val="25"/>
          <w:szCs w:val="25"/>
        </w:rPr>
        <w:t xml:space="preserve">arties to meet no later than 30 days after the effective date of this order, and at least </w:t>
      </w:r>
      <w:r w:rsidR="006865CB">
        <w:rPr>
          <w:sz w:val="25"/>
          <w:szCs w:val="25"/>
        </w:rPr>
        <w:t>every other month</w:t>
      </w:r>
      <w:r w:rsidRPr="00462F04">
        <w:rPr>
          <w:sz w:val="25"/>
          <w:szCs w:val="25"/>
        </w:rPr>
        <w:t xml:space="preserve"> thereafter to explore additional program options.</w:t>
      </w:r>
      <w:r w:rsidRPr="00462F04">
        <w:rPr>
          <w:rStyle w:val="FootnoteReference"/>
          <w:sz w:val="25"/>
          <w:szCs w:val="25"/>
        </w:rPr>
        <w:footnoteReference w:id="67"/>
      </w:r>
      <w:r w:rsidRPr="00462F04">
        <w:rPr>
          <w:sz w:val="25"/>
          <w:szCs w:val="25"/>
        </w:rPr>
        <w:t xml:space="preserve">  </w:t>
      </w:r>
      <w:r w:rsidR="00100332">
        <w:rPr>
          <w:sz w:val="25"/>
          <w:szCs w:val="25"/>
        </w:rPr>
        <w:t>The Settlement</w:t>
      </w:r>
      <w:r w:rsidRPr="00462F04">
        <w:rPr>
          <w:sz w:val="25"/>
          <w:szCs w:val="25"/>
        </w:rPr>
        <w:t xml:space="preserve"> provides a filing deadline of June 1, 2015</w:t>
      </w:r>
      <w:r>
        <w:rPr>
          <w:sz w:val="25"/>
          <w:szCs w:val="25"/>
        </w:rPr>
        <w:t>,</w:t>
      </w:r>
      <w:r w:rsidRPr="00462F04">
        <w:rPr>
          <w:sz w:val="25"/>
          <w:szCs w:val="25"/>
        </w:rPr>
        <w:t xml:space="preserve"> for modifications to the existing LIRAP and June 1, 2016</w:t>
      </w:r>
      <w:r>
        <w:rPr>
          <w:sz w:val="25"/>
          <w:szCs w:val="25"/>
        </w:rPr>
        <w:t>,</w:t>
      </w:r>
      <w:r w:rsidRPr="00462F04">
        <w:rPr>
          <w:sz w:val="25"/>
          <w:szCs w:val="25"/>
        </w:rPr>
        <w:t xml:space="preserve"> for any additions to LIRAP.</w:t>
      </w:r>
      <w:r w:rsidRPr="00462F04">
        <w:rPr>
          <w:rStyle w:val="FootnoteReference"/>
          <w:sz w:val="25"/>
          <w:szCs w:val="25"/>
        </w:rPr>
        <w:footnoteReference w:id="68"/>
      </w:r>
      <w:r w:rsidRPr="00462F04">
        <w:rPr>
          <w:rStyle w:val="FootnoteReference"/>
          <w:sz w:val="25"/>
          <w:szCs w:val="25"/>
        </w:rPr>
        <w:t xml:space="preserve"> </w:t>
      </w:r>
      <w:r w:rsidRPr="00462F04">
        <w:rPr>
          <w:sz w:val="25"/>
          <w:szCs w:val="25"/>
        </w:rPr>
        <w:t xml:space="preserve"> </w:t>
      </w:r>
    </w:p>
    <w:p w14:paraId="743025EE" w14:textId="77777777" w:rsidR="00B83E8A" w:rsidRDefault="00B83E8A" w:rsidP="007448F5">
      <w:pPr>
        <w:pStyle w:val="ListParagraph"/>
        <w:spacing w:line="264" w:lineRule="auto"/>
        <w:rPr>
          <w:sz w:val="25"/>
          <w:szCs w:val="25"/>
        </w:rPr>
      </w:pPr>
    </w:p>
    <w:p w14:paraId="762C0B1A" w14:textId="77777777" w:rsidR="00C657BA" w:rsidRDefault="00B83E8A" w:rsidP="007448F5">
      <w:pPr>
        <w:numPr>
          <w:ilvl w:val="0"/>
          <w:numId w:val="10"/>
        </w:numPr>
        <w:spacing w:line="264" w:lineRule="auto"/>
        <w:ind w:hanging="720"/>
        <w:rPr>
          <w:sz w:val="25"/>
          <w:szCs w:val="25"/>
        </w:rPr>
      </w:pPr>
      <w:r w:rsidRPr="000C7E9B">
        <w:rPr>
          <w:sz w:val="25"/>
          <w:szCs w:val="25"/>
        </w:rPr>
        <w:t xml:space="preserve">The Settlement </w:t>
      </w:r>
      <w:r w:rsidR="000C7E9B" w:rsidRPr="000C7E9B">
        <w:rPr>
          <w:sz w:val="25"/>
          <w:szCs w:val="25"/>
        </w:rPr>
        <w:t xml:space="preserve">requires </w:t>
      </w:r>
      <w:r w:rsidR="001B6A96">
        <w:rPr>
          <w:sz w:val="25"/>
          <w:szCs w:val="25"/>
        </w:rPr>
        <w:t xml:space="preserve">that </w:t>
      </w:r>
      <w:r w:rsidRPr="000C7E9B">
        <w:rPr>
          <w:sz w:val="25"/>
          <w:szCs w:val="25"/>
        </w:rPr>
        <w:t>Avista</w:t>
      </w:r>
      <w:r w:rsidR="000C7E9B" w:rsidRPr="000C7E9B">
        <w:rPr>
          <w:sz w:val="25"/>
          <w:szCs w:val="25"/>
        </w:rPr>
        <w:t>’s shareholders pay for a</w:t>
      </w:r>
      <w:r w:rsidRPr="000C7E9B">
        <w:rPr>
          <w:sz w:val="25"/>
          <w:szCs w:val="25"/>
        </w:rPr>
        <w:t xml:space="preserve"> third-party facilitator acceptable to all the parties </w:t>
      </w:r>
      <w:r w:rsidR="000C7E9B" w:rsidRPr="000C7E9B">
        <w:rPr>
          <w:sz w:val="25"/>
          <w:szCs w:val="25"/>
        </w:rPr>
        <w:t>to help manage this process.</w:t>
      </w:r>
      <w:r w:rsidRPr="00462F04">
        <w:rPr>
          <w:rStyle w:val="FootnoteReference"/>
          <w:sz w:val="25"/>
          <w:szCs w:val="25"/>
        </w:rPr>
        <w:footnoteReference w:id="69"/>
      </w:r>
      <w:r w:rsidRPr="000C7E9B">
        <w:rPr>
          <w:sz w:val="25"/>
          <w:szCs w:val="25"/>
        </w:rPr>
        <w:t xml:space="preserve">  We believe that the Community Action Agencies administering</w:t>
      </w:r>
      <w:r w:rsidR="001B6A96">
        <w:rPr>
          <w:sz w:val="25"/>
          <w:szCs w:val="25"/>
        </w:rPr>
        <w:t xml:space="preserve"> </w:t>
      </w:r>
      <w:r w:rsidRPr="000C7E9B">
        <w:rPr>
          <w:sz w:val="25"/>
          <w:szCs w:val="25"/>
        </w:rPr>
        <w:t xml:space="preserve">LIRAP are essential stakeholders in </w:t>
      </w:r>
      <w:r w:rsidR="000C7E9B" w:rsidRPr="000C7E9B">
        <w:rPr>
          <w:sz w:val="25"/>
          <w:szCs w:val="25"/>
        </w:rPr>
        <w:t>this process</w:t>
      </w:r>
      <w:r w:rsidRPr="000C7E9B">
        <w:rPr>
          <w:sz w:val="25"/>
          <w:szCs w:val="25"/>
        </w:rPr>
        <w:t>, and recognize that agencies located outside of the Spokane area may lack the resources</w:t>
      </w:r>
      <w:r w:rsidR="000C7E9B" w:rsidRPr="000C7E9B">
        <w:rPr>
          <w:sz w:val="25"/>
          <w:szCs w:val="25"/>
        </w:rPr>
        <w:t xml:space="preserve"> needed</w:t>
      </w:r>
      <w:r w:rsidRPr="000C7E9B">
        <w:rPr>
          <w:sz w:val="25"/>
          <w:szCs w:val="25"/>
        </w:rPr>
        <w:t xml:space="preserve"> to attend meetings.  </w:t>
      </w:r>
    </w:p>
    <w:p w14:paraId="12B2D72A" w14:textId="77777777" w:rsidR="000C7E9B" w:rsidRDefault="000C7E9B" w:rsidP="007448F5">
      <w:pPr>
        <w:pStyle w:val="ListParagraph"/>
        <w:spacing w:line="264" w:lineRule="auto"/>
        <w:rPr>
          <w:sz w:val="25"/>
          <w:szCs w:val="25"/>
        </w:rPr>
      </w:pPr>
    </w:p>
    <w:p w14:paraId="71F51D54" w14:textId="77777777" w:rsidR="00C657BA" w:rsidRDefault="00C657BA" w:rsidP="007448F5">
      <w:pPr>
        <w:numPr>
          <w:ilvl w:val="0"/>
          <w:numId w:val="10"/>
        </w:numPr>
        <w:spacing w:line="264" w:lineRule="auto"/>
        <w:ind w:hanging="720"/>
        <w:rPr>
          <w:sz w:val="25"/>
          <w:szCs w:val="25"/>
        </w:rPr>
      </w:pPr>
      <w:r>
        <w:rPr>
          <w:i/>
          <w:sz w:val="25"/>
          <w:szCs w:val="25"/>
        </w:rPr>
        <w:t xml:space="preserve">Decision.  </w:t>
      </w:r>
      <w:r>
        <w:rPr>
          <w:sz w:val="25"/>
          <w:szCs w:val="25"/>
        </w:rPr>
        <w:t xml:space="preserve">We are concerned that the </w:t>
      </w:r>
      <w:r w:rsidR="00724B96">
        <w:rPr>
          <w:sz w:val="25"/>
          <w:szCs w:val="25"/>
        </w:rPr>
        <w:t xml:space="preserve">LIRAP </w:t>
      </w:r>
      <w:r>
        <w:rPr>
          <w:sz w:val="25"/>
          <w:szCs w:val="25"/>
        </w:rPr>
        <w:t xml:space="preserve">funding </w:t>
      </w:r>
      <w:r w:rsidR="00724B96">
        <w:rPr>
          <w:sz w:val="25"/>
          <w:szCs w:val="25"/>
        </w:rPr>
        <w:t xml:space="preserve">set forth in the Settlement </w:t>
      </w:r>
      <w:r w:rsidR="00733887">
        <w:rPr>
          <w:sz w:val="25"/>
          <w:szCs w:val="25"/>
        </w:rPr>
        <w:t>is</w:t>
      </w:r>
      <w:r>
        <w:rPr>
          <w:sz w:val="25"/>
          <w:szCs w:val="25"/>
        </w:rPr>
        <w:t xml:space="preserve"> not sufficient to meet existing and increasing</w:t>
      </w:r>
      <w:r w:rsidR="00724B96">
        <w:rPr>
          <w:sz w:val="25"/>
          <w:szCs w:val="25"/>
        </w:rPr>
        <w:t xml:space="preserve"> low income customers’</w:t>
      </w:r>
      <w:r>
        <w:rPr>
          <w:sz w:val="25"/>
          <w:szCs w:val="25"/>
        </w:rPr>
        <w:t xml:space="preserve"> need</w:t>
      </w:r>
      <w:r w:rsidR="00724B96">
        <w:rPr>
          <w:sz w:val="25"/>
          <w:szCs w:val="25"/>
        </w:rPr>
        <w:t>s</w:t>
      </w:r>
      <w:r w:rsidR="000C7E9B">
        <w:rPr>
          <w:sz w:val="25"/>
          <w:szCs w:val="25"/>
        </w:rPr>
        <w:t xml:space="preserve"> while</w:t>
      </w:r>
      <w:r>
        <w:rPr>
          <w:sz w:val="25"/>
          <w:szCs w:val="25"/>
        </w:rPr>
        <w:t xml:space="preserve"> also implement</w:t>
      </w:r>
      <w:r w:rsidR="000C7E9B">
        <w:rPr>
          <w:sz w:val="25"/>
          <w:szCs w:val="25"/>
        </w:rPr>
        <w:t>ing</w:t>
      </w:r>
      <w:r>
        <w:rPr>
          <w:sz w:val="25"/>
          <w:szCs w:val="25"/>
        </w:rPr>
        <w:t xml:space="preserve"> needed program reforms and additions.  At </w:t>
      </w:r>
      <w:r w:rsidR="000C7E9B">
        <w:rPr>
          <w:sz w:val="25"/>
          <w:szCs w:val="25"/>
        </w:rPr>
        <w:t>the</w:t>
      </w:r>
      <w:r>
        <w:rPr>
          <w:sz w:val="25"/>
          <w:szCs w:val="25"/>
        </w:rPr>
        <w:t xml:space="preserve"> public comment hearing in Spokane, we heard comments from </w:t>
      </w:r>
      <w:r w:rsidR="000C7E9B">
        <w:rPr>
          <w:sz w:val="25"/>
          <w:szCs w:val="25"/>
        </w:rPr>
        <w:t>several</w:t>
      </w:r>
      <w:r>
        <w:rPr>
          <w:sz w:val="25"/>
          <w:szCs w:val="25"/>
        </w:rPr>
        <w:t xml:space="preserve"> low-income customers and advocates stating </w:t>
      </w:r>
      <w:r w:rsidR="00BA23D1">
        <w:rPr>
          <w:sz w:val="25"/>
          <w:szCs w:val="25"/>
        </w:rPr>
        <w:t xml:space="preserve">that the </w:t>
      </w:r>
      <w:r w:rsidR="00724B96">
        <w:rPr>
          <w:sz w:val="25"/>
          <w:szCs w:val="25"/>
        </w:rPr>
        <w:t xml:space="preserve">overall </w:t>
      </w:r>
      <w:r w:rsidR="00BA23D1">
        <w:rPr>
          <w:sz w:val="25"/>
          <w:szCs w:val="25"/>
        </w:rPr>
        <w:t>rate increases in the S</w:t>
      </w:r>
      <w:r>
        <w:rPr>
          <w:sz w:val="25"/>
          <w:szCs w:val="25"/>
        </w:rPr>
        <w:t xml:space="preserve">ettlement would be burdensome to Avista’s low-income customers.  Specifically, the Spokane Neighborhood Action Partners </w:t>
      </w:r>
      <w:r w:rsidR="00BA23D1">
        <w:rPr>
          <w:sz w:val="25"/>
          <w:szCs w:val="25"/>
        </w:rPr>
        <w:t xml:space="preserve">(SNAP) </w:t>
      </w:r>
      <w:r>
        <w:rPr>
          <w:sz w:val="25"/>
          <w:szCs w:val="25"/>
        </w:rPr>
        <w:t xml:space="preserve">stated that it did not support the </w:t>
      </w:r>
      <w:r w:rsidR="00F86E71">
        <w:rPr>
          <w:sz w:val="25"/>
          <w:szCs w:val="25"/>
        </w:rPr>
        <w:t>S</w:t>
      </w:r>
      <w:r>
        <w:rPr>
          <w:sz w:val="25"/>
          <w:szCs w:val="25"/>
        </w:rPr>
        <w:t xml:space="preserve">ettlement, and encouraged us </w:t>
      </w:r>
      <w:r w:rsidRPr="00462F04">
        <w:rPr>
          <w:sz w:val="25"/>
          <w:szCs w:val="25"/>
        </w:rPr>
        <w:t>to consider further expanding LIRAP funding to serve more eligible customers.</w:t>
      </w:r>
      <w:r w:rsidRPr="00462F04">
        <w:rPr>
          <w:rStyle w:val="FootnoteReference"/>
          <w:sz w:val="25"/>
          <w:szCs w:val="25"/>
        </w:rPr>
        <w:footnoteReference w:id="70"/>
      </w:r>
      <w:r w:rsidRPr="00462F04">
        <w:rPr>
          <w:sz w:val="25"/>
          <w:szCs w:val="25"/>
        </w:rPr>
        <w:t xml:space="preserve"> </w:t>
      </w:r>
      <w:r>
        <w:rPr>
          <w:sz w:val="25"/>
          <w:szCs w:val="25"/>
        </w:rPr>
        <w:t xml:space="preserve"> </w:t>
      </w:r>
    </w:p>
    <w:p w14:paraId="63730CC2" w14:textId="77777777" w:rsidR="00AA1864" w:rsidRDefault="00AA1864" w:rsidP="007448F5">
      <w:pPr>
        <w:pStyle w:val="ListParagraph"/>
        <w:spacing w:line="264" w:lineRule="auto"/>
        <w:rPr>
          <w:sz w:val="25"/>
          <w:szCs w:val="25"/>
        </w:rPr>
      </w:pPr>
    </w:p>
    <w:p w14:paraId="4FBD6862" w14:textId="642A85DD" w:rsidR="00AA1864" w:rsidRPr="00577605" w:rsidRDefault="00AA1864" w:rsidP="007448F5">
      <w:pPr>
        <w:numPr>
          <w:ilvl w:val="0"/>
          <w:numId w:val="10"/>
        </w:numPr>
        <w:spacing w:line="264" w:lineRule="auto"/>
        <w:ind w:hanging="720"/>
        <w:rPr>
          <w:sz w:val="25"/>
          <w:szCs w:val="25"/>
        </w:rPr>
      </w:pPr>
      <w:r w:rsidRPr="00577605">
        <w:rPr>
          <w:sz w:val="25"/>
          <w:szCs w:val="25"/>
        </w:rPr>
        <w:t>We find that</w:t>
      </w:r>
      <w:r w:rsidR="00577605" w:rsidRPr="00577605">
        <w:rPr>
          <w:sz w:val="25"/>
          <w:szCs w:val="25"/>
        </w:rPr>
        <w:t xml:space="preserve"> the program</w:t>
      </w:r>
      <w:r w:rsidRPr="00577605">
        <w:rPr>
          <w:sz w:val="25"/>
          <w:szCs w:val="25"/>
        </w:rPr>
        <w:t xml:space="preserve"> goals </w:t>
      </w:r>
      <w:r w:rsidR="00577605" w:rsidRPr="00577605">
        <w:rPr>
          <w:sz w:val="25"/>
          <w:szCs w:val="25"/>
        </w:rPr>
        <w:t xml:space="preserve">discussed in the Settlement and at hearing </w:t>
      </w:r>
      <w:r w:rsidRPr="00577605">
        <w:rPr>
          <w:sz w:val="25"/>
          <w:szCs w:val="25"/>
        </w:rPr>
        <w:t xml:space="preserve">are </w:t>
      </w:r>
      <w:r w:rsidR="00577605" w:rsidRPr="00577605">
        <w:rPr>
          <w:sz w:val="25"/>
          <w:szCs w:val="25"/>
        </w:rPr>
        <w:t>appropriate for Avista’s</w:t>
      </w:r>
      <w:r w:rsidRPr="00577605">
        <w:rPr>
          <w:sz w:val="25"/>
          <w:szCs w:val="25"/>
        </w:rPr>
        <w:t xml:space="preserve"> low-income assistance</w:t>
      </w:r>
      <w:r w:rsidR="00577605">
        <w:rPr>
          <w:sz w:val="25"/>
          <w:szCs w:val="25"/>
        </w:rPr>
        <w:t xml:space="preserve"> program.  When proposing additions to the LIRAP program or pilot projects, the parties should consider collecting appropriate </w:t>
      </w:r>
      <w:r w:rsidR="00577605" w:rsidRPr="00D87C34">
        <w:rPr>
          <w:sz w:val="25"/>
          <w:szCs w:val="25"/>
        </w:rPr>
        <w:t xml:space="preserve">data </w:t>
      </w:r>
      <w:r w:rsidR="00577605">
        <w:rPr>
          <w:sz w:val="25"/>
          <w:szCs w:val="25"/>
        </w:rPr>
        <w:t xml:space="preserve">necessary both </w:t>
      </w:r>
      <w:r w:rsidR="000A341B">
        <w:rPr>
          <w:sz w:val="25"/>
          <w:szCs w:val="25"/>
        </w:rPr>
        <w:t xml:space="preserve">to </w:t>
      </w:r>
      <w:r w:rsidR="00577605" w:rsidRPr="00D87C34">
        <w:rPr>
          <w:sz w:val="25"/>
          <w:szCs w:val="25"/>
        </w:rPr>
        <w:t xml:space="preserve">evaluate the effectiveness of the program and inform </w:t>
      </w:r>
      <w:r w:rsidR="00577605">
        <w:rPr>
          <w:sz w:val="25"/>
          <w:szCs w:val="25"/>
        </w:rPr>
        <w:t>ongoing policy discussions.</w:t>
      </w:r>
      <w:r w:rsidR="00577605">
        <w:rPr>
          <w:rStyle w:val="FootnoteReference"/>
          <w:sz w:val="25"/>
          <w:szCs w:val="25"/>
        </w:rPr>
        <w:footnoteReference w:id="71"/>
      </w:r>
    </w:p>
    <w:p w14:paraId="305A65BF" w14:textId="77777777" w:rsidR="00C657BA" w:rsidRDefault="00C657BA" w:rsidP="007448F5">
      <w:pPr>
        <w:pStyle w:val="ListParagraph"/>
        <w:spacing w:line="264" w:lineRule="auto"/>
        <w:rPr>
          <w:sz w:val="25"/>
          <w:szCs w:val="25"/>
        </w:rPr>
      </w:pPr>
    </w:p>
    <w:p w14:paraId="16FE2AAE" w14:textId="3E9854A0" w:rsidR="00AA1864" w:rsidRPr="00577605" w:rsidRDefault="00C657BA" w:rsidP="007448F5">
      <w:pPr>
        <w:numPr>
          <w:ilvl w:val="0"/>
          <w:numId w:val="10"/>
        </w:numPr>
        <w:spacing w:line="264" w:lineRule="auto"/>
        <w:ind w:hanging="720"/>
        <w:rPr>
          <w:sz w:val="25"/>
          <w:szCs w:val="25"/>
        </w:rPr>
      </w:pPr>
      <w:r>
        <w:rPr>
          <w:sz w:val="25"/>
          <w:szCs w:val="25"/>
        </w:rPr>
        <w:t xml:space="preserve">Further, the record in this case shows that </w:t>
      </w:r>
      <w:r w:rsidRPr="00287190">
        <w:rPr>
          <w:sz w:val="25"/>
          <w:szCs w:val="25"/>
        </w:rPr>
        <w:t>the poverty rate in Avista’s service territory is higher than the statewide average</w:t>
      </w:r>
      <w:r>
        <w:rPr>
          <w:sz w:val="25"/>
          <w:szCs w:val="25"/>
        </w:rPr>
        <w:t>,</w:t>
      </w:r>
      <w:r>
        <w:rPr>
          <w:rStyle w:val="FootnoteReference"/>
          <w:sz w:val="25"/>
          <w:szCs w:val="25"/>
        </w:rPr>
        <w:footnoteReference w:id="72"/>
      </w:r>
      <w:r>
        <w:rPr>
          <w:sz w:val="25"/>
          <w:szCs w:val="25"/>
        </w:rPr>
        <w:t xml:space="preserve"> and that </w:t>
      </w:r>
      <w:r w:rsidRPr="00287190">
        <w:rPr>
          <w:sz w:val="25"/>
          <w:szCs w:val="25"/>
        </w:rPr>
        <w:t>the majority of customers eligible for LIRAP assistance are not served by the current program</w:t>
      </w:r>
      <w:r>
        <w:rPr>
          <w:sz w:val="25"/>
          <w:szCs w:val="25"/>
        </w:rPr>
        <w:t>.</w:t>
      </w:r>
      <w:r>
        <w:rPr>
          <w:rStyle w:val="FootnoteReference"/>
          <w:sz w:val="25"/>
          <w:szCs w:val="25"/>
        </w:rPr>
        <w:footnoteReference w:id="73"/>
      </w:r>
      <w:r w:rsidR="009A3FB7">
        <w:rPr>
          <w:sz w:val="25"/>
          <w:szCs w:val="25"/>
        </w:rPr>
        <w:t xml:space="preserve"> </w:t>
      </w:r>
      <w:r w:rsidR="00724B96" w:rsidRPr="00724B96">
        <w:rPr>
          <w:sz w:val="25"/>
          <w:szCs w:val="25"/>
        </w:rPr>
        <w:t xml:space="preserve"> We are sensitive to the needs of low income consumers and recognize that as energy prices increase to all consumers so must the available funding to those portions of the Company’s customer base that are most affected by such increases.  Although we are pleased the settling parties agreed to increase LIRAP funding for electric and natural gas consumers, we find the new </w:t>
      </w:r>
      <w:r w:rsidR="000A341B">
        <w:rPr>
          <w:sz w:val="25"/>
          <w:szCs w:val="25"/>
        </w:rPr>
        <w:t xml:space="preserve">proposed </w:t>
      </w:r>
      <w:r w:rsidR="00724B96" w:rsidRPr="00724B96">
        <w:rPr>
          <w:sz w:val="25"/>
          <w:szCs w:val="25"/>
        </w:rPr>
        <w:t xml:space="preserve">annual LIRAP funding levels to be inadequate and modify that portion of the Settlement.  </w:t>
      </w:r>
      <w:r>
        <w:rPr>
          <w:sz w:val="25"/>
          <w:szCs w:val="25"/>
        </w:rPr>
        <w:t xml:space="preserve">We therefore find that it is in the public interest to </w:t>
      </w:r>
      <w:r w:rsidRPr="00462F04">
        <w:rPr>
          <w:sz w:val="25"/>
          <w:szCs w:val="25"/>
        </w:rPr>
        <w:t>double the increase in LIR</w:t>
      </w:r>
      <w:r w:rsidR="00BA23D1">
        <w:rPr>
          <w:sz w:val="25"/>
          <w:szCs w:val="25"/>
        </w:rPr>
        <w:t>AP funding provided for in the S</w:t>
      </w:r>
      <w:r w:rsidRPr="00462F04">
        <w:rPr>
          <w:sz w:val="25"/>
          <w:szCs w:val="25"/>
        </w:rPr>
        <w:t>ettlement</w:t>
      </w:r>
      <w:r w:rsidR="00EA5EE4">
        <w:rPr>
          <w:sz w:val="25"/>
          <w:szCs w:val="25"/>
        </w:rPr>
        <w:t xml:space="preserve">, to </w:t>
      </w:r>
      <w:r w:rsidR="00577605">
        <w:rPr>
          <w:sz w:val="25"/>
          <w:szCs w:val="25"/>
        </w:rPr>
        <w:t xml:space="preserve">a </w:t>
      </w:r>
      <w:r w:rsidR="00EA5EE4">
        <w:rPr>
          <w:sz w:val="25"/>
          <w:szCs w:val="25"/>
        </w:rPr>
        <w:t xml:space="preserve">total increase of </w:t>
      </w:r>
      <w:r w:rsidRPr="00462F04">
        <w:rPr>
          <w:sz w:val="25"/>
          <w:szCs w:val="25"/>
        </w:rPr>
        <w:t xml:space="preserve">$400,000 for electric LIRAP funding and $428,000 </w:t>
      </w:r>
      <w:r w:rsidR="00577605">
        <w:rPr>
          <w:sz w:val="25"/>
          <w:szCs w:val="25"/>
        </w:rPr>
        <w:t>for</w:t>
      </w:r>
      <w:r w:rsidRPr="00462F04">
        <w:rPr>
          <w:sz w:val="25"/>
          <w:szCs w:val="25"/>
        </w:rPr>
        <w:t xml:space="preserve"> natural gas LIRAP funding.</w:t>
      </w:r>
      <w:r w:rsidR="00724B96">
        <w:rPr>
          <w:sz w:val="25"/>
          <w:szCs w:val="25"/>
        </w:rPr>
        <w:t xml:space="preserve"> </w:t>
      </w:r>
    </w:p>
    <w:p w14:paraId="2FB803F8" w14:textId="77777777" w:rsidR="00B83E8A" w:rsidRDefault="00B83E8A" w:rsidP="007448F5">
      <w:pPr>
        <w:pStyle w:val="ListParagraph"/>
        <w:spacing w:line="264" w:lineRule="auto"/>
        <w:rPr>
          <w:sz w:val="25"/>
          <w:szCs w:val="25"/>
        </w:rPr>
      </w:pPr>
    </w:p>
    <w:p w14:paraId="417D01C2" w14:textId="77777777" w:rsidR="00B83E8A" w:rsidRDefault="00B83E8A" w:rsidP="007448F5">
      <w:pPr>
        <w:numPr>
          <w:ilvl w:val="0"/>
          <w:numId w:val="10"/>
        </w:numPr>
        <w:spacing w:line="264" w:lineRule="auto"/>
        <w:ind w:hanging="720"/>
        <w:rPr>
          <w:sz w:val="25"/>
          <w:szCs w:val="25"/>
        </w:rPr>
      </w:pPr>
      <w:r w:rsidRPr="00462F04">
        <w:rPr>
          <w:sz w:val="25"/>
          <w:szCs w:val="25"/>
        </w:rPr>
        <w:t>We</w:t>
      </w:r>
      <w:r>
        <w:rPr>
          <w:sz w:val="25"/>
          <w:szCs w:val="25"/>
        </w:rPr>
        <w:t xml:space="preserve"> </w:t>
      </w:r>
      <w:r w:rsidR="00733887">
        <w:rPr>
          <w:sz w:val="25"/>
          <w:szCs w:val="25"/>
        </w:rPr>
        <w:t xml:space="preserve">believe </w:t>
      </w:r>
      <w:r w:rsidRPr="00462F04">
        <w:rPr>
          <w:sz w:val="25"/>
          <w:szCs w:val="25"/>
        </w:rPr>
        <w:t xml:space="preserve">that </w:t>
      </w:r>
      <w:r>
        <w:rPr>
          <w:sz w:val="25"/>
          <w:szCs w:val="25"/>
        </w:rPr>
        <w:t>it is in the</w:t>
      </w:r>
      <w:r w:rsidRPr="00462F04">
        <w:rPr>
          <w:sz w:val="25"/>
          <w:szCs w:val="25"/>
        </w:rPr>
        <w:t xml:space="preserve"> public interest </w:t>
      </w:r>
      <w:r>
        <w:rPr>
          <w:sz w:val="25"/>
          <w:szCs w:val="25"/>
        </w:rPr>
        <w:t xml:space="preserve">to avoid </w:t>
      </w:r>
      <w:r w:rsidRPr="00462F04">
        <w:rPr>
          <w:sz w:val="25"/>
          <w:szCs w:val="25"/>
        </w:rPr>
        <w:t xml:space="preserve">further delay </w:t>
      </w:r>
      <w:r w:rsidR="00724B96">
        <w:rPr>
          <w:sz w:val="25"/>
          <w:szCs w:val="25"/>
        </w:rPr>
        <w:t xml:space="preserve">in developing LIRAP program options to increase low income customer participation in the program.  </w:t>
      </w:r>
      <w:r>
        <w:rPr>
          <w:sz w:val="25"/>
          <w:szCs w:val="25"/>
        </w:rPr>
        <w:t>At hearing, the p</w:t>
      </w:r>
      <w:r w:rsidRPr="00462F04">
        <w:rPr>
          <w:sz w:val="25"/>
          <w:szCs w:val="25"/>
        </w:rPr>
        <w:t xml:space="preserve">arties </w:t>
      </w:r>
      <w:r w:rsidR="00BA23D1">
        <w:rPr>
          <w:sz w:val="25"/>
          <w:szCs w:val="25"/>
        </w:rPr>
        <w:t>consented</w:t>
      </w:r>
      <w:r w:rsidRPr="00462F04">
        <w:rPr>
          <w:sz w:val="25"/>
          <w:szCs w:val="25"/>
        </w:rPr>
        <w:t xml:space="preserve"> to file a</w:t>
      </w:r>
      <w:r w:rsidR="002D5128">
        <w:rPr>
          <w:sz w:val="25"/>
          <w:szCs w:val="25"/>
        </w:rPr>
        <w:t>n</w:t>
      </w:r>
      <w:r w:rsidRPr="00462F04">
        <w:rPr>
          <w:sz w:val="25"/>
          <w:szCs w:val="25"/>
        </w:rPr>
        <w:t xml:space="preserve"> agreed-</w:t>
      </w:r>
      <w:r w:rsidR="00BF1B6A">
        <w:rPr>
          <w:sz w:val="25"/>
          <w:szCs w:val="25"/>
        </w:rPr>
        <w:t>upon</w:t>
      </w:r>
      <w:r w:rsidRPr="00462F04">
        <w:rPr>
          <w:sz w:val="25"/>
          <w:szCs w:val="25"/>
        </w:rPr>
        <w:t xml:space="preserve"> proposal for modifications </w:t>
      </w:r>
      <w:r>
        <w:rPr>
          <w:sz w:val="25"/>
          <w:szCs w:val="25"/>
        </w:rPr>
        <w:t>and</w:t>
      </w:r>
      <w:r w:rsidRPr="00462F04">
        <w:rPr>
          <w:sz w:val="25"/>
          <w:szCs w:val="25"/>
        </w:rPr>
        <w:t xml:space="preserve"> additions by June 2015; or file </w:t>
      </w:r>
      <w:r w:rsidR="00BF1B6A">
        <w:rPr>
          <w:sz w:val="25"/>
          <w:szCs w:val="25"/>
        </w:rPr>
        <w:t>competing</w:t>
      </w:r>
      <w:r w:rsidRPr="00462F04">
        <w:rPr>
          <w:sz w:val="25"/>
          <w:szCs w:val="25"/>
        </w:rPr>
        <w:t xml:space="preserve"> proposals, if no consensus is reached.</w:t>
      </w:r>
      <w:r w:rsidRPr="00462F04">
        <w:rPr>
          <w:rStyle w:val="FootnoteReference"/>
          <w:sz w:val="25"/>
          <w:szCs w:val="25"/>
        </w:rPr>
        <w:footnoteReference w:id="74"/>
      </w:r>
      <w:r w:rsidRPr="00462F04">
        <w:rPr>
          <w:rStyle w:val="FootnoteReference"/>
          <w:sz w:val="25"/>
          <w:szCs w:val="25"/>
        </w:rPr>
        <w:t xml:space="preserve"> </w:t>
      </w:r>
      <w:r w:rsidRPr="00462F04">
        <w:rPr>
          <w:sz w:val="25"/>
          <w:szCs w:val="25"/>
        </w:rPr>
        <w:t xml:space="preserve"> </w:t>
      </w:r>
    </w:p>
    <w:p w14:paraId="73B93FF2" w14:textId="77777777" w:rsidR="00B83E8A" w:rsidRDefault="00B83E8A" w:rsidP="007448F5">
      <w:pPr>
        <w:pStyle w:val="ListParagraph"/>
        <w:spacing w:line="264" w:lineRule="auto"/>
        <w:rPr>
          <w:sz w:val="25"/>
          <w:szCs w:val="25"/>
        </w:rPr>
      </w:pPr>
    </w:p>
    <w:p w14:paraId="24D72A44" w14:textId="77777777" w:rsidR="00B83E8A" w:rsidRDefault="00B83E8A" w:rsidP="007448F5">
      <w:pPr>
        <w:numPr>
          <w:ilvl w:val="0"/>
          <w:numId w:val="10"/>
        </w:numPr>
        <w:spacing w:line="264" w:lineRule="auto"/>
        <w:ind w:hanging="720"/>
        <w:rPr>
          <w:sz w:val="25"/>
          <w:szCs w:val="25"/>
        </w:rPr>
      </w:pPr>
      <w:r w:rsidRPr="00462F04">
        <w:rPr>
          <w:sz w:val="25"/>
          <w:szCs w:val="25"/>
        </w:rPr>
        <w:t>We therefore require Avista to file agreed-</w:t>
      </w:r>
      <w:r w:rsidR="00BF1B6A">
        <w:rPr>
          <w:sz w:val="25"/>
          <w:szCs w:val="25"/>
        </w:rPr>
        <w:t>upon</w:t>
      </w:r>
      <w:r w:rsidRPr="00462F04">
        <w:rPr>
          <w:sz w:val="25"/>
          <w:szCs w:val="25"/>
        </w:rPr>
        <w:t xml:space="preserve"> proposals for modifications </w:t>
      </w:r>
      <w:r w:rsidRPr="00BF1B6A">
        <w:rPr>
          <w:i/>
          <w:sz w:val="25"/>
          <w:szCs w:val="25"/>
        </w:rPr>
        <w:t>and additions</w:t>
      </w:r>
      <w:r w:rsidRPr="00462F04">
        <w:rPr>
          <w:sz w:val="25"/>
          <w:szCs w:val="25"/>
        </w:rPr>
        <w:t xml:space="preserve"> to LIRAP by June 1, 2015.  </w:t>
      </w:r>
      <w:r>
        <w:rPr>
          <w:sz w:val="25"/>
          <w:szCs w:val="25"/>
        </w:rPr>
        <w:t xml:space="preserve">We recognize that additional meetings or teleconferences may be necessary to comply with this timeline.  </w:t>
      </w:r>
      <w:r w:rsidRPr="00462F04">
        <w:rPr>
          <w:sz w:val="25"/>
          <w:szCs w:val="25"/>
        </w:rPr>
        <w:t xml:space="preserve">If </w:t>
      </w:r>
      <w:r w:rsidR="00BF1B6A">
        <w:rPr>
          <w:sz w:val="25"/>
          <w:szCs w:val="25"/>
        </w:rPr>
        <w:t xml:space="preserve">the parties do not reach </w:t>
      </w:r>
      <w:r w:rsidRPr="00462F04">
        <w:rPr>
          <w:sz w:val="25"/>
          <w:szCs w:val="25"/>
        </w:rPr>
        <w:t>consensus</w:t>
      </w:r>
      <w:r w:rsidR="00BF1B6A">
        <w:rPr>
          <w:sz w:val="25"/>
          <w:szCs w:val="25"/>
        </w:rPr>
        <w:t>, they</w:t>
      </w:r>
      <w:r w:rsidRPr="00462F04">
        <w:rPr>
          <w:sz w:val="25"/>
          <w:szCs w:val="25"/>
        </w:rPr>
        <w:t xml:space="preserve"> may file separate proposals </w:t>
      </w:r>
      <w:r w:rsidR="004E599B">
        <w:rPr>
          <w:sz w:val="25"/>
          <w:szCs w:val="25"/>
        </w:rPr>
        <w:t>containing</w:t>
      </w:r>
      <w:r w:rsidRPr="00462F04">
        <w:rPr>
          <w:sz w:val="25"/>
          <w:szCs w:val="25"/>
        </w:rPr>
        <w:t xml:space="preserve"> </w:t>
      </w:r>
      <w:r w:rsidR="004E599B">
        <w:rPr>
          <w:sz w:val="25"/>
          <w:szCs w:val="25"/>
        </w:rPr>
        <w:t xml:space="preserve">program modifications and additions </w:t>
      </w:r>
      <w:r w:rsidR="00BA23D1">
        <w:rPr>
          <w:sz w:val="25"/>
          <w:szCs w:val="25"/>
        </w:rPr>
        <w:t>for</w:t>
      </w:r>
      <w:r w:rsidR="004E599B">
        <w:rPr>
          <w:sz w:val="25"/>
          <w:szCs w:val="25"/>
        </w:rPr>
        <w:t xml:space="preserve"> </w:t>
      </w:r>
      <w:r w:rsidRPr="00462F04">
        <w:rPr>
          <w:sz w:val="25"/>
          <w:szCs w:val="25"/>
        </w:rPr>
        <w:t>the Commission’s consideration by July 1, 2015.</w:t>
      </w:r>
      <w:r>
        <w:rPr>
          <w:sz w:val="25"/>
          <w:szCs w:val="25"/>
        </w:rPr>
        <w:t xml:space="preserve">  </w:t>
      </w:r>
    </w:p>
    <w:p w14:paraId="6D7D3636" w14:textId="77777777" w:rsidR="00B83E8A" w:rsidRDefault="00B83E8A" w:rsidP="007448F5">
      <w:pPr>
        <w:pStyle w:val="ListParagraph"/>
        <w:spacing w:line="264" w:lineRule="auto"/>
        <w:rPr>
          <w:sz w:val="25"/>
          <w:szCs w:val="25"/>
        </w:rPr>
      </w:pPr>
    </w:p>
    <w:p w14:paraId="7795A8B4" w14:textId="4C3D3F7F" w:rsidR="00B83E8A" w:rsidRDefault="00724B96" w:rsidP="007448F5">
      <w:pPr>
        <w:numPr>
          <w:ilvl w:val="0"/>
          <w:numId w:val="10"/>
        </w:numPr>
        <w:spacing w:line="264" w:lineRule="auto"/>
        <w:ind w:hanging="720"/>
        <w:rPr>
          <w:sz w:val="25"/>
          <w:szCs w:val="25"/>
        </w:rPr>
      </w:pPr>
      <w:r w:rsidRPr="00A70A63">
        <w:rPr>
          <w:sz w:val="25"/>
          <w:szCs w:val="25"/>
        </w:rPr>
        <w:t>Finally, a</w:t>
      </w:r>
      <w:r w:rsidR="00B83E8A" w:rsidRPr="00A70A63">
        <w:rPr>
          <w:sz w:val="25"/>
          <w:szCs w:val="25"/>
        </w:rPr>
        <w:t xml:space="preserve">t hearing, Avista agreed </w:t>
      </w:r>
      <w:r w:rsidR="009A0FAF" w:rsidRPr="00A70A63">
        <w:rPr>
          <w:sz w:val="25"/>
          <w:szCs w:val="25"/>
        </w:rPr>
        <w:t xml:space="preserve">also </w:t>
      </w:r>
      <w:r w:rsidR="00BC484B">
        <w:rPr>
          <w:sz w:val="25"/>
          <w:szCs w:val="25"/>
        </w:rPr>
        <w:t xml:space="preserve">to </w:t>
      </w:r>
      <w:r w:rsidR="009A0FAF" w:rsidRPr="00A70A63">
        <w:rPr>
          <w:sz w:val="25"/>
          <w:szCs w:val="25"/>
        </w:rPr>
        <w:t>pay for</w:t>
      </w:r>
      <w:r w:rsidR="00B83E8A" w:rsidRPr="00A70A63">
        <w:rPr>
          <w:sz w:val="25"/>
          <w:szCs w:val="25"/>
        </w:rPr>
        <w:t xml:space="preserve"> the travel and lodging expenses </w:t>
      </w:r>
      <w:r w:rsidR="009A0FAF" w:rsidRPr="00A70A63">
        <w:rPr>
          <w:sz w:val="25"/>
          <w:szCs w:val="25"/>
        </w:rPr>
        <w:t>of</w:t>
      </w:r>
      <w:r w:rsidR="00B83E8A" w:rsidRPr="00A70A63">
        <w:rPr>
          <w:sz w:val="25"/>
          <w:szCs w:val="25"/>
        </w:rPr>
        <w:t xml:space="preserve"> Community Action Agencies located </w:t>
      </w:r>
      <w:r w:rsidR="009A0FAF" w:rsidRPr="00A70A63">
        <w:rPr>
          <w:sz w:val="25"/>
          <w:szCs w:val="25"/>
        </w:rPr>
        <w:t xml:space="preserve">in its service territory </w:t>
      </w:r>
      <w:r w:rsidRPr="00A70A63">
        <w:rPr>
          <w:sz w:val="25"/>
          <w:szCs w:val="25"/>
        </w:rPr>
        <w:t xml:space="preserve">to </w:t>
      </w:r>
      <w:r w:rsidR="009A0FAF" w:rsidRPr="00A70A63">
        <w:rPr>
          <w:sz w:val="25"/>
          <w:szCs w:val="25"/>
        </w:rPr>
        <w:t>participat</w:t>
      </w:r>
      <w:r w:rsidRPr="00A70A63">
        <w:rPr>
          <w:sz w:val="25"/>
          <w:szCs w:val="25"/>
        </w:rPr>
        <w:t>e</w:t>
      </w:r>
      <w:r w:rsidR="009A0FAF" w:rsidRPr="00A70A63">
        <w:rPr>
          <w:sz w:val="25"/>
          <w:szCs w:val="25"/>
        </w:rPr>
        <w:t xml:space="preserve"> in meetings</w:t>
      </w:r>
      <w:r w:rsidR="00B83E8A" w:rsidRPr="00A70A63">
        <w:rPr>
          <w:sz w:val="25"/>
          <w:szCs w:val="25"/>
        </w:rPr>
        <w:t>.</w:t>
      </w:r>
      <w:r w:rsidR="00B83E8A" w:rsidRPr="00462F04">
        <w:rPr>
          <w:rStyle w:val="FootnoteReference"/>
          <w:sz w:val="25"/>
          <w:szCs w:val="25"/>
        </w:rPr>
        <w:footnoteReference w:id="75"/>
      </w:r>
      <w:r w:rsidRPr="00A70A63">
        <w:rPr>
          <w:sz w:val="25"/>
          <w:szCs w:val="25"/>
        </w:rPr>
        <w:t xml:space="preserve">  </w:t>
      </w:r>
      <w:r w:rsidR="00733887">
        <w:rPr>
          <w:sz w:val="25"/>
          <w:szCs w:val="25"/>
        </w:rPr>
        <w:t xml:space="preserve">We recognize </w:t>
      </w:r>
      <w:r w:rsidR="00BC484B">
        <w:rPr>
          <w:sz w:val="25"/>
          <w:szCs w:val="25"/>
        </w:rPr>
        <w:t xml:space="preserve">and commend </w:t>
      </w:r>
      <w:r w:rsidR="00733887">
        <w:rPr>
          <w:sz w:val="25"/>
          <w:szCs w:val="25"/>
        </w:rPr>
        <w:t xml:space="preserve">Avista’s continued commitment to improving its low-income assistance programs, and we find that it is in the public interest for shareholders to bear these costs.  </w:t>
      </w:r>
      <w:r w:rsidR="001F3B9F">
        <w:rPr>
          <w:sz w:val="25"/>
          <w:szCs w:val="25"/>
        </w:rPr>
        <w:t xml:space="preserve">In addition to paying for a third-party facilitator, we also </w:t>
      </w:r>
      <w:r w:rsidRPr="00A70A63">
        <w:rPr>
          <w:sz w:val="25"/>
          <w:szCs w:val="25"/>
        </w:rPr>
        <w:t>require</w:t>
      </w:r>
      <w:r w:rsidR="00A70A63" w:rsidRPr="00A70A63">
        <w:rPr>
          <w:sz w:val="25"/>
          <w:szCs w:val="25"/>
        </w:rPr>
        <w:t xml:space="preserve"> </w:t>
      </w:r>
      <w:r w:rsidR="00A70A63">
        <w:rPr>
          <w:sz w:val="25"/>
          <w:szCs w:val="25"/>
        </w:rPr>
        <w:t xml:space="preserve">Avista </w:t>
      </w:r>
      <w:r w:rsidR="001F3B9F">
        <w:rPr>
          <w:sz w:val="25"/>
          <w:szCs w:val="25"/>
        </w:rPr>
        <w:t>to</w:t>
      </w:r>
      <w:r w:rsidR="00A70A63">
        <w:rPr>
          <w:sz w:val="25"/>
          <w:szCs w:val="25"/>
        </w:rPr>
        <w:t xml:space="preserve"> pay for </w:t>
      </w:r>
      <w:r w:rsidR="00B83E8A" w:rsidRPr="00462F04">
        <w:rPr>
          <w:sz w:val="25"/>
          <w:szCs w:val="25"/>
        </w:rPr>
        <w:t>any reasonable travel an</w:t>
      </w:r>
      <w:r w:rsidR="00B83E8A">
        <w:rPr>
          <w:sz w:val="25"/>
          <w:szCs w:val="25"/>
        </w:rPr>
        <w:t xml:space="preserve">d lodging expenses </w:t>
      </w:r>
      <w:r w:rsidR="009A0FAF">
        <w:rPr>
          <w:sz w:val="25"/>
          <w:szCs w:val="25"/>
        </w:rPr>
        <w:t>incurred by</w:t>
      </w:r>
      <w:r w:rsidR="00B83E8A">
        <w:rPr>
          <w:sz w:val="25"/>
          <w:szCs w:val="25"/>
        </w:rPr>
        <w:t xml:space="preserve"> Community Action A</w:t>
      </w:r>
      <w:r w:rsidR="00B83E8A" w:rsidRPr="00462F04">
        <w:rPr>
          <w:sz w:val="25"/>
          <w:szCs w:val="25"/>
        </w:rPr>
        <w:t>gencies participat</w:t>
      </w:r>
      <w:r w:rsidR="009A0FAF">
        <w:rPr>
          <w:sz w:val="25"/>
          <w:szCs w:val="25"/>
        </w:rPr>
        <w:t xml:space="preserve">ing </w:t>
      </w:r>
      <w:r w:rsidR="00B83E8A" w:rsidRPr="00462F04">
        <w:rPr>
          <w:sz w:val="25"/>
          <w:szCs w:val="25"/>
        </w:rPr>
        <w:t xml:space="preserve">in the </w:t>
      </w:r>
      <w:r w:rsidR="009A0FAF">
        <w:rPr>
          <w:sz w:val="25"/>
          <w:szCs w:val="25"/>
        </w:rPr>
        <w:t>meetings</w:t>
      </w:r>
      <w:r w:rsidR="00B83E8A" w:rsidRPr="00462F04">
        <w:rPr>
          <w:sz w:val="25"/>
          <w:szCs w:val="25"/>
        </w:rPr>
        <w:t>.</w:t>
      </w:r>
      <w:r w:rsidR="009A0FAF">
        <w:rPr>
          <w:sz w:val="25"/>
          <w:szCs w:val="25"/>
        </w:rPr>
        <w:t xml:space="preserve">  </w:t>
      </w:r>
    </w:p>
    <w:p w14:paraId="43760198" w14:textId="77777777" w:rsidR="00C657BA" w:rsidRDefault="00C657BA" w:rsidP="007448F5">
      <w:pPr>
        <w:pStyle w:val="ListParagraph"/>
        <w:spacing w:line="264" w:lineRule="auto"/>
        <w:rPr>
          <w:sz w:val="25"/>
          <w:szCs w:val="25"/>
        </w:rPr>
      </w:pPr>
    </w:p>
    <w:p w14:paraId="2127F5F8" w14:textId="77777777" w:rsidR="00FF74BF" w:rsidRDefault="00FF74BF" w:rsidP="00682321">
      <w:pPr>
        <w:numPr>
          <w:ilvl w:val="1"/>
          <w:numId w:val="38"/>
        </w:numPr>
        <w:spacing w:line="264" w:lineRule="auto"/>
        <w:ind w:left="1080"/>
        <w:rPr>
          <w:b/>
          <w:sz w:val="25"/>
          <w:szCs w:val="25"/>
        </w:rPr>
      </w:pPr>
      <w:r>
        <w:rPr>
          <w:b/>
          <w:sz w:val="25"/>
          <w:szCs w:val="25"/>
        </w:rPr>
        <w:t>Attrition</w:t>
      </w:r>
    </w:p>
    <w:p w14:paraId="1513E517" w14:textId="77777777" w:rsidR="00FF74BF" w:rsidRDefault="00FF74BF" w:rsidP="007448F5">
      <w:pPr>
        <w:spacing w:line="264" w:lineRule="auto"/>
        <w:rPr>
          <w:b/>
          <w:sz w:val="25"/>
          <w:szCs w:val="25"/>
        </w:rPr>
      </w:pPr>
    </w:p>
    <w:p w14:paraId="37486D76" w14:textId="5E5F5BBA" w:rsidR="002938AD" w:rsidRDefault="0057514E" w:rsidP="007448F5">
      <w:pPr>
        <w:numPr>
          <w:ilvl w:val="0"/>
          <w:numId w:val="10"/>
        </w:numPr>
        <w:spacing w:line="264" w:lineRule="auto"/>
        <w:ind w:hanging="720"/>
        <w:rPr>
          <w:sz w:val="25"/>
          <w:szCs w:val="25"/>
        </w:rPr>
      </w:pPr>
      <w:r w:rsidRPr="007D3929">
        <w:rPr>
          <w:sz w:val="25"/>
          <w:szCs w:val="25"/>
        </w:rPr>
        <w:t xml:space="preserve">In its filing, Avista maintains that it </w:t>
      </w:r>
      <w:r>
        <w:rPr>
          <w:sz w:val="25"/>
          <w:szCs w:val="25"/>
        </w:rPr>
        <w:t xml:space="preserve">is </w:t>
      </w:r>
      <w:r w:rsidRPr="007D3929">
        <w:rPr>
          <w:sz w:val="25"/>
          <w:szCs w:val="25"/>
        </w:rPr>
        <w:t>experienc</w:t>
      </w:r>
      <w:r>
        <w:rPr>
          <w:sz w:val="25"/>
          <w:szCs w:val="25"/>
        </w:rPr>
        <w:t>ing</w:t>
      </w:r>
      <w:r w:rsidRPr="007D3929">
        <w:rPr>
          <w:sz w:val="25"/>
          <w:szCs w:val="25"/>
        </w:rPr>
        <w:t xml:space="preserve"> attrition of earnings and that the decline</w:t>
      </w:r>
      <w:r>
        <w:rPr>
          <w:sz w:val="25"/>
          <w:szCs w:val="25"/>
        </w:rPr>
        <w:t xml:space="preserve"> in earnings</w:t>
      </w:r>
      <w:r w:rsidRPr="007D3929">
        <w:rPr>
          <w:sz w:val="25"/>
          <w:szCs w:val="25"/>
        </w:rPr>
        <w:t xml:space="preserve"> is </w:t>
      </w:r>
      <w:r>
        <w:rPr>
          <w:sz w:val="25"/>
          <w:szCs w:val="25"/>
        </w:rPr>
        <w:t xml:space="preserve">expected to be </w:t>
      </w:r>
      <w:r w:rsidRPr="007D3929">
        <w:rPr>
          <w:sz w:val="25"/>
          <w:szCs w:val="25"/>
        </w:rPr>
        <w:t>a</w:t>
      </w:r>
      <w:r>
        <w:rPr>
          <w:sz w:val="25"/>
          <w:szCs w:val="25"/>
        </w:rPr>
        <w:t>n</w:t>
      </w:r>
      <w:r w:rsidRPr="007D3929">
        <w:rPr>
          <w:sz w:val="25"/>
          <w:szCs w:val="25"/>
        </w:rPr>
        <w:t xml:space="preserve"> ongoing phenomenon</w:t>
      </w:r>
      <w:r w:rsidR="002938AD" w:rsidRPr="007D3929">
        <w:rPr>
          <w:sz w:val="25"/>
          <w:szCs w:val="25"/>
        </w:rPr>
        <w:t>.</w:t>
      </w:r>
      <w:r w:rsidR="002938AD">
        <w:rPr>
          <w:rStyle w:val="FootnoteReference"/>
          <w:sz w:val="25"/>
          <w:szCs w:val="25"/>
        </w:rPr>
        <w:footnoteReference w:id="76"/>
      </w:r>
      <w:r w:rsidR="002938AD" w:rsidRPr="007D3929">
        <w:rPr>
          <w:sz w:val="25"/>
          <w:szCs w:val="25"/>
        </w:rPr>
        <w:t xml:space="preserve"> </w:t>
      </w:r>
      <w:r w:rsidR="00353735">
        <w:rPr>
          <w:sz w:val="25"/>
          <w:szCs w:val="25"/>
        </w:rPr>
        <w:t xml:space="preserve"> </w:t>
      </w:r>
      <w:r w:rsidRPr="007D3929">
        <w:rPr>
          <w:sz w:val="25"/>
          <w:szCs w:val="25"/>
        </w:rPr>
        <w:t xml:space="preserve">In support of its claim, the Company prepared an attrition study </w:t>
      </w:r>
      <w:r>
        <w:rPr>
          <w:sz w:val="25"/>
          <w:szCs w:val="25"/>
        </w:rPr>
        <w:t>that trends</w:t>
      </w:r>
      <w:r w:rsidRPr="007D3929">
        <w:rPr>
          <w:sz w:val="25"/>
          <w:szCs w:val="25"/>
        </w:rPr>
        <w:t xml:space="preserve"> the </w:t>
      </w:r>
      <w:r>
        <w:rPr>
          <w:sz w:val="25"/>
          <w:szCs w:val="25"/>
        </w:rPr>
        <w:t>impact of</w:t>
      </w:r>
      <w:r w:rsidRPr="007D3929">
        <w:rPr>
          <w:sz w:val="25"/>
          <w:szCs w:val="25"/>
        </w:rPr>
        <w:t xml:space="preserve"> att</w:t>
      </w:r>
      <w:r>
        <w:rPr>
          <w:sz w:val="25"/>
          <w:szCs w:val="25"/>
        </w:rPr>
        <w:t>rition,</w:t>
      </w:r>
      <w:r w:rsidRPr="007D3929">
        <w:rPr>
          <w:sz w:val="25"/>
          <w:szCs w:val="25"/>
        </w:rPr>
        <w:t xml:space="preserve"> </w:t>
      </w:r>
      <w:r>
        <w:rPr>
          <w:sz w:val="25"/>
          <w:szCs w:val="25"/>
        </w:rPr>
        <w:t>by expense class, on its earnings</w:t>
      </w:r>
      <w:r w:rsidR="00BC484B">
        <w:rPr>
          <w:sz w:val="25"/>
          <w:szCs w:val="25"/>
        </w:rPr>
        <w:t>,</w:t>
      </w:r>
      <w:r>
        <w:rPr>
          <w:sz w:val="25"/>
          <w:szCs w:val="25"/>
        </w:rPr>
        <w:t xml:space="preserve"> which it then uses to derive</w:t>
      </w:r>
      <w:r w:rsidRPr="007D3929">
        <w:rPr>
          <w:sz w:val="25"/>
          <w:szCs w:val="25"/>
        </w:rPr>
        <w:t xml:space="preserve"> its revenue deficiency. Staff, in its response testimony, adopted a similar trending method identifying projected expense level</w:t>
      </w:r>
      <w:r>
        <w:rPr>
          <w:sz w:val="25"/>
          <w:szCs w:val="25"/>
        </w:rPr>
        <w:t>s</w:t>
      </w:r>
      <w:r w:rsidRPr="007D3929">
        <w:rPr>
          <w:sz w:val="25"/>
          <w:szCs w:val="25"/>
        </w:rPr>
        <w:t xml:space="preserve"> which </w:t>
      </w:r>
      <w:r>
        <w:rPr>
          <w:sz w:val="25"/>
          <w:szCs w:val="25"/>
        </w:rPr>
        <w:t>Staff proposed the Commission use</w:t>
      </w:r>
      <w:r w:rsidRPr="007D3929">
        <w:rPr>
          <w:sz w:val="25"/>
          <w:szCs w:val="25"/>
        </w:rPr>
        <w:t xml:space="preserve"> to set rates</w:t>
      </w:r>
      <w:r w:rsidR="002938AD" w:rsidRPr="007D3929">
        <w:rPr>
          <w:sz w:val="25"/>
          <w:szCs w:val="25"/>
        </w:rPr>
        <w:t>.</w:t>
      </w:r>
      <w:r w:rsidR="002938AD">
        <w:rPr>
          <w:rStyle w:val="FootnoteReference"/>
          <w:sz w:val="25"/>
          <w:szCs w:val="25"/>
        </w:rPr>
        <w:footnoteReference w:id="77"/>
      </w:r>
      <w:r w:rsidR="002938AD" w:rsidRPr="007D3929">
        <w:rPr>
          <w:sz w:val="25"/>
          <w:szCs w:val="25"/>
        </w:rPr>
        <w:t xml:space="preserve"> </w:t>
      </w:r>
      <w:r w:rsidR="00353735">
        <w:rPr>
          <w:sz w:val="25"/>
          <w:szCs w:val="25"/>
        </w:rPr>
        <w:t xml:space="preserve"> </w:t>
      </w:r>
      <w:r w:rsidRPr="007D3929">
        <w:rPr>
          <w:sz w:val="25"/>
          <w:szCs w:val="25"/>
        </w:rPr>
        <w:t xml:space="preserve">Public Counsel strongly opposed the trending methodology </w:t>
      </w:r>
      <w:r>
        <w:rPr>
          <w:sz w:val="25"/>
          <w:szCs w:val="25"/>
        </w:rPr>
        <w:t>used</w:t>
      </w:r>
      <w:r w:rsidRPr="007D3929">
        <w:rPr>
          <w:sz w:val="25"/>
          <w:szCs w:val="25"/>
        </w:rPr>
        <w:t xml:space="preserve"> by Avista and Commission Staff</w:t>
      </w:r>
      <w:r w:rsidR="009B1C51">
        <w:rPr>
          <w:sz w:val="25"/>
          <w:szCs w:val="25"/>
        </w:rPr>
        <w:t>, a</w:t>
      </w:r>
      <w:r>
        <w:rPr>
          <w:sz w:val="25"/>
          <w:szCs w:val="25"/>
        </w:rPr>
        <w:t>rguing</w:t>
      </w:r>
      <w:r w:rsidRPr="007D3929">
        <w:rPr>
          <w:sz w:val="25"/>
          <w:szCs w:val="25"/>
        </w:rPr>
        <w:t xml:space="preserve"> that, although it appears the trending approach </w:t>
      </w:r>
      <w:r>
        <w:rPr>
          <w:sz w:val="25"/>
          <w:szCs w:val="25"/>
        </w:rPr>
        <w:t xml:space="preserve">used in the prior case </w:t>
      </w:r>
      <w:r w:rsidRPr="007D3929">
        <w:rPr>
          <w:sz w:val="25"/>
          <w:szCs w:val="25"/>
        </w:rPr>
        <w:t>“</w:t>
      </w:r>
      <w:r w:rsidR="00BC484B">
        <w:rPr>
          <w:sz w:val="25"/>
          <w:szCs w:val="25"/>
        </w:rPr>
        <w:t>…</w:t>
      </w:r>
      <w:r w:rsidRPr="007D3929">
        <w:rPr>
          <w:sz w:val="25"/>
          <w:szCs w:val="25"/>
        </w:rPr>
        <w:t>is working and [is] quite precise,” upon closer examination</w:t>
      </w:r>
      <w:r>
        <w:rPr>
          <w:sz w:val="25"/>
          <w:szCs w:val="25"/>
        </w:rPr>
        <w:t xml:space="preserve">, </w:t>
      </w:r>
      <w:r w:rsidRPr="007D3929">
        <w:rPr>
          <w:sz w:val="25"/>
          <w:szCs w:val="25"/>
        </w:rPr>
        <w:t xml:space="preserve">the </w:t>
      </w:r>
      <w:r>
        <w:rPr>
          <w:sz w:val="25"/>
          <w:szCs w:val="25"/>
        </w:rPr>
        <w:t>apparent precision is</w:t>
      </w:r>
      <w:r w:rsidRPr="007D3929">
        <w:rPr>
          <w:sz w:val="25"/>
          <w:szCs w:val="25"/>
        </w:rPr>
        <w:t xml:space="preserve"> not due to the trending</w:t>
      </w:r>
      <w:r w:rsidR="009B1C51">
        <w:rPr>
          <w:sz w:val="25"/>
          <w:szCs w:val="25"/>
        </w:rPr>
        <w:t>.  Instead</w:t>
      </w:r>
      <w:r w:rsidRPr="007D3929">
        <w:rPr>
          <w:sz w:val="25"/>
          <w:szCs w:val="25"/>
        </w:rPr>
        <w:t xml:space="preserve">, </w:t>
      </w:r>
      <w:r w:rsidR="009B1C51">
        <w:rPr>
          <w:sz w:val="25"/>
          <w:szCs w:val="25"/>
        </w:rPr>
        <w:t>Public Counsel suggest</w:t>
      </w:r>
      <w:r w:rsidR="00BC484B">
        <w:rPr>
          <w:sz w:val="25"/>
          <w:szCs w:val="25"/>
        </w:rPr>
        <w:t>s</w:t>
      </w:r>
      <w:r w:rsidR="009B1C51">
        <w:rPr>
          <w:sz w:val="25"/>
          <w:szCs w:val="25"/>
        </w:rPr>
        <w:t xml:space="preserve"> the attrition study results are </w:t>
      </w:r>
      <w:r w:rsidR="00BC484B">
        <w:rPr>
          <w:sz w:val="25"/>
          <w:szCs w:val="25"/>
        </w:rPr>
        <w:t>due to</w:t>
      </w:r>
      <w:r w:rsidRPr="007D3929">
        <w:rPr>
          <w:sz w:val="25"/>
          <w:szCs w:val="25"/>
        </w:rPr>
        <w:t xml:space="preserve"> </w:t>
      </w:r>
      <w:r w:rsidR="009B1C51">
        <w:rPr>
          <w:sz w:val="25"/>
          <w:szCs w:val="25"/>
        </w:rPr>
        <w:t xml:space="preserve">the </w:t>
      </w:r>
      <w:r w:rsidRPr="007D3929">
        <w:rPr>
          <w:sz w:val="25"/>
          <w:szCs w:val="25"/>
        </w:rPr>
        <w:t>Company</w:t>
      </w:r>
      <w:r w:rsidR="009B1C51">
        <w:rPr>
          <w:sz w:val="25"/>
          <w:szCs w:val="25"/>
        </w:rPr>
        <w:t>’s</w:t>
      </w:r>
      <w:r w:rsidRPr="007D3929">
        <w:rPr>
          <w:sz w:val="25"/>
          <w:szCs w:val="25"/>
        </w:rPr>
        <w:t xml:space="preserve"> decisions to accelerate capital expenditures</w:t>
      </w:r>
      <w:r>
        <w:rPr>
          <w:sz w:val="25"/>
          <w:szCs w:val="25"/>
        </w:rPr>
        <w:t xml:space="preserve"> before the end of the test period</w:t>
      </w:r>
      <w:r w:rsidR="002938AD" w:rsidRPr="007D3929">
        <w:rPr>
          <w:sz w:val="25"/>
          <w:szCs w:val="25"/>
        </w:rPr>
        <w:t>.</w:t>
      </w:r>
      <w:r w:rsidR="002938AD">
        <w:rPr>
          <w:rStyle w:val="FootnoteReference"/>
          <w:sz w:val="25"/>
          <w:szCs w:val="25"/>
        </w:rPr>
        <w:footnoteReference w:id="78"/>
      </w:r>
      <w:r w:rsidR="002938AD">
        <w:rPr>
          <w:sz w:val="25"/>
          <w:szCs w:val="25"/>
        </w:rPr>
        <w:t xml:space="preserve">  </w:t>
      </w:r>
      <w:r w:rsidRPr="007D3929">
        <w:rPr>
          <w:sz w:val="25"/>
          <w:szCs w:val="25"/>
        </w:rPr>
        <w:t>ICNU also opposed the use of the attrition study</w:t>
      </w:r>
      <w:r>
        <w:rPr>
          <w:sz w:val="25"/>
          <w:szCs w:val="25"/>
        </w:rPr>
        <w:t xml:space="preserve"> by</w:t>
      </w:r>
      <w:r w:rsidRPr="007D3929">
        <w:rPr>
          <w:sz w:val="25"/>
          <w:szCs w:val="25"/>
        </w:rPr>
        <w:t xml:space="preserve"> </w:t>
      </w:r>
      <w:r>
        <w:rPr>
          <w:sz w:val="25"/>
          <w:szCs w:val="25"/>
        </w:rPr>
        <w:t>pointing out</w:t>
      </w:r>
      <w:r w:rsidRPr="007D3929">
        <w:rPr>
          <w:sz w:val="25"/>
          <w:szCs w:val="25"/>
        </w:rPr>
        <w:t xml:space="preserve"> that the proposed methodology </w:t>
      </w:r>
      <w:r>
        <w:rPr>
          <w:sz w:val="25"/>
          <w:szCs w:val="25"/>
        </w:rPr>
        <w:t xml:space="preserve">has not </w:t>
      </w:r>
      <w:r w:rsidRPr="007D3929">
        <w:rPr>
          <w:sz w:val="25"/>
          <w:szCs w:val="25"/>
        </w:rPr>
        <w:t xml:space="preserve">been approved by the Commission nor has the Company satisfied the burden necessary to justify </w:t>
      </w:r>
      <w:r>
        <w:rPr>
          <w:sz w:val="25"/>
          <w:szCs w:val="25"/>
        </w:rPr>
        <w:t xml:space="preserve">the Commission </w:t>
      </w:r>
      <w:r w:rsidRPr="007D3929">
        <w:rPr>
          <w:sz w:val="25"/>
          <w:szCs w:val="25"/>
        </w:rPr>
        <w:t xml:space="preserve">changing from </w:t>
      </w:r>
      <w:r>
        <w:rPr>
          <w:sz w:val="25"/>
          <w:szCs w:val="25"/>
        </w:rPr>
        <w:t>its</w:t>
      </w:r>
      <w:r w:rsidRPr="007D3929">
        <w:rPr>
          <w:sz w:val="25"/>
          <w:szCs w:val="25"/>
        </w:rPr>
        <w:t xml:space="preserve"> normal practice of setting </w:t>
      </w:r>
      <w:r>
        <w:rPr>
          <w:sz w:val="25"/>
          <w:szCs w:val="25"/>
        </w:rPr>
        <w:t>revenue requirements</w:t>
      </w:r>
      <w:r w:rsidR="002938AD" w:rsidRPr="007D3929">
        <w:rPr>
          <w:sz w:val="25"/>
          <w:szCs w:val="25"/>
        </w:rPr>
        <w:t>.</w:t>
      </w:r>
      <w:r w:rsidR="002938AD">
        <w:rPr>
          <w:rStyle w:val="FootnoteReference"/>
          <w:sz w:val="25"/>
          <w:szCs w:val="25"/>
        </w:rPr>
        <w:footnoteReference w:id="79"/>
      </w:r>
      <w:r>
        <w:rPr>
          <w:sz w:val="25"/>
          <w:szCs w:val="25"/>
        </w:rPr>
        <w:t xml:space="preserve"> </w:t>
      </w:r>
    </w:p>
    <w:p w14:paraId="709C13FE" w14:textId="77777777" w:rsidR="003D42C5" w:rsidRDefault="003D42C5" w:rsidP="007448F5">
      <w:pPr>
        <w:spacing w:line="264" w:lineRule="auto"/>
        <w:rPr>
          <w:sz w:val="25"/>
          <w:szCs w:val="25"/>
        </w:rPr>
      </w:pPr>
    </w:p>
    <w:p w14:paraId="2EB7E618" w14:textId="2DE0857E" w:rsidR="002938AD" w:rsidRDefault="00066E1C" w:rsidP="007448F5">
      <w:pPr>
        <w:numPr>
          <w:ilvl w:val="0"/>
          <w:numId w:val="10"/>
        </w:numPr>
        <w:spacing w:line="264" w:lineRule="auto"/>
        <w:ind w:hanging="720"/>
      </w:pPr>
      <w:r>
        <w:rPr>
          <w:sz w:val="25"/>
          <w:szCs w:val="25"/>
        </w:rPr>
        <w:t>Since the p</w:t>
      </w:r>
      <w:r w:rsidR="00B9290E" w:rsidRPr="00FF451D">
        <w:rPr>
          <w:sz w:val="25"/>
          <w:szCs w:val="25"/>
        </w:rPr>
        <w:t>arties d</w:t>
      </w:r>
      <w:r w:rsidR="00B9290E">
        <w:rPr>
          <w:sz w:val="25"/>
          <w:szCs w:val="25"/>
        </w:rPr>
        <w:t>o</w:t>
      </w:r>
      <w:r w:rsidR="00B9290E" w:rsidRPr="00FF451D">
        <w:rPr>
          <w:sz w:val="25"/>
          <w:szCs w:val="25"/>
        </w:rPr>
        <w:t xml:space="preserve"> not agree </w:t>
      </w:r>
      <w:r w:rsidR="00B61645">
        <w:rPr>
          <w:sz w:val="25"/>
          <w:szCs w:val="25"/>
        </w:rPr>
        <w:t xml:space="preserve">that an attrition adjustment is included </w:t>
      </w:r>
      <w:r w:rsidR="00B9290E">
        <w:rPr>
          <w:sz w:val="25"/>
          <w:szCs w:val="25"/>
        </w:rPr>
        <w:t xml:space="preserve">within the Settlement </w:t>
      </w:r>
      <w:r w:rsidR="009B1C51">
        <w:rPr>
          <w:sz w:val="25"/>
          <w:szCs w:val="25"/>
        </w:rPr>
        <w:t>o</w:t>
      </w:r>
      <w:r w:rsidR="00B61645">
        <w:rPr>
          <w:sz w:val="25"/>
          <w:szCs w:val="25"/>
        </w:rPr>
        <w:t>r</w:t>
      </w:r>
      <w:r w:rsidR="009B1C51">
        <w:rPr>
          <w:sz w:val="25"/>
          <w:szCs w:val="25"/>
        </w:rPr>
        <w:t xml:space="preserve"> </w:t>
      </w:r>
      <w:r w:rsidR="00B9290E" w:rsidRPr="00FF451D">
        <w:rPr>
          <w:sz w:val="25"/>
          <w:szCs w:val="25"/>
        </w:rPr>
        <w:t xml:space="preserve">whether an attrition adjustment </w:t>
      </w:r>
      <w:r w:rsidR="00B9290E">
        <w:rPr>
          <w:sz w:val="25"/>
          <w:szCs w:val="25"/>
        </w:rPr>
        <w:t>is</w:t>
      </w:r>
      <w:r w:rsidR="00B9290E" w:rsidRPr="00FF451D">
        <w:rPr>
          <w:sz w:val="25"/>
          <w:szCs w:val="25"/>
        </w:rPr>
        <w:t xml:space="preserve"> appropriate</w:t>
      </w:r>
      <w:r w:rsidR="00B61645">
        <w:rPr>
          <w:sz w:val="25"/>
          <w:szCs w:val="25"/>
        </w:rPr>
        <w:t xml:space="preserve"> at all</w:t>
      </w:r>
      <w:r w:rsidR="00B9290E" w:rsidRPr="00FF451D">
        <w:rPr>
          <w:sz w:val="25"/>
          <w:szCs w:val="25"/>
        </w:rPr>
        <w:t xml:space="preserve">, we do not deliberate </w:t>
      </w:r>
      <w:r w:rsidR="00B9290E">
        <w:rPr>
          <w:sz w:val="25"/>
          <w:szCs w:val="25"/>
        </w:rPr>
        <w:t xml:space="preserve">on </w:t>
      </w:r>
      <w:r w:rsidR="00B9290E" w:rsidRPr="00FF451D">
        <w:rPr>
          <w:sz w:val="25"/>
          <w:szCs w:val="25"/>
        </w:rPr>
        <w:t xml:space="preserve">the merits of any </w:t>
      </w:r>
      <w:r w:rsidR="009B1C51">
        <w:rPr>
          <w:sz w:val="25"/>
          <w:szCs w:val="25"/>
        </w:rPr>
        <w:t xml:space="preserve">position on the issue </w:t>
      </w:r>
      <w:r w:rsidR="00B9290E" w:rsidRPr="00FF451D">
        <w:rPr>
          <w:sz w:val="25"/>
          <w:szCs w:val="25"/>
        </w:rPr>
        <w:t>presented in this case</w:t>
      </w:r>
      <w:r w:rsidR="002938AD" w:rsidRPr="00FF451D">
        <w:rPr>
          <w:sz w:val="25"/>
          <w:szCs w:val="25"/>
        </w:rPr>
        <w:t>.</w:t>
      </w:r>
      <w:r w:rsidR="002938AD">
        <w:rPr>
          <w:rStyle w:val="FootnoteReference"/>
          <w:szCs w:val="25"/>
        </w:rPr>
        <w:footnoteReference w:id="80"/>
      </w:r>
      <w:r w:rsidR="002938AD" w:rsidRPr="00145147">
        <w:t xml:space="preserve">  </w:t>
      </w:r>
      <w:r>
        <w:rPr>
          <w:sz w:val="25"/>
          <w:szCs w:val="25"/>
        </w:rPr>
        <w:t>The settling p</w:t>
      </w:r>
      <w:r w:rsidR="00B9290E" w:rsidRPr="00FF451D">
        <w:rPr>
          <w:sz w:val="25"/>
          <w:szCs w:val="25"/>
        </w:rPr>
        <w:t xml:space="preserve">arties do, however, recommend that the Commission </w:t>
      </w:r>
      <w:r w:rsidR="009B1C51">
        <w:rPr>
          <w:sz w:val="25"/>
          <w:szCs w:val="25"/>
        </w:rPr>
        <w:t>establish</w:t>
      </w:r>
      <w:r w:rsidR="00B9290E" w:rsidRPr="00FF451D">
        <w:rPr>
          <w:sz w:val="25"/>
          <w:szCs w:val="25"/>
        </w:rPr>
        <w:t xml:space="preserve"> a separate forum to discuss attrition and other </w:t>
      </w:r>
      <w:r w:rsidR="009B1C51">
        <w:rPr>
          <w:sz w:val="25"/>
          <w:szCs w:val="25"/>
        </w:rPr>
        <w:t xml:space="preserve">general </w:t>
      </w:r>
      <w:r w:rsidR="00B9290E" w:rsidRPr="00FF451D">
        <w:rPr>
          <w:sz w:val="25"/>
          <w:szCs w:val="25"/>
        </w:rPr>
        <w:t>rate making policy issues</w:t>
      </w:r>
      <w:r w:rsidR="00B9290E">
        <w:rPr>
          <w:sz w:val="25"/>
          <w:szCs w:val="25"/>
        </w:rPr>
        <w:t>.</w:t>
      </w:r>
      <w:r w:rsidR="002938AD">
        <w:rPr>
          <w:rStyle w:val="FootnoteReference"/>
          <w:szCs w:val="25"/>
        </w:rPr>
        <w:footnoteReference w:id="81"/>
      </w:r>
      <w:r w:rsidR="002938AD" w:rsidRPr="00FF451D">
        <w:rPr>
          <w:sz w:val="25"/>
          <w:szCs w:val="25"/>
        </w:rPr>
        <w:t xml:space="preserve"> </w:t>
      </w:r>
      <w:r w:rsidR="00BC7A5A">
        <w:rPr>
          <w:sz w:val="25"/>
          <w:szCs w:val="25"/>
        </w:rPr>
        <w:t xml:space="preserve"> </w:t>
      </w:r>
      <w:r w:rsidR="00B9290E" w:rsidRPr="00FF451D">
        <w:rPr>
          <w:sz w:val="25"/>
          <w:szCs w:val="25"/>
        </w:rPr>
        <w:t xml:space="preserve">Clearly there is a consensus </w:t>
      </w:r>
      <w:r w:rsidR="00B61645">
        <w:rPr>
          <w:sz w:val="25"/>
          <w:szCs w:val="25"/>
        </w:rPr>
        <w:t>among</w:t>
      </w:r>
      <w:r w:rsidR="00B9290E" w:rsidRPr="00FF451D">
        <w:rPr>
          <w:sz w:val="25"/>
          <w:szCs w:val="25"/>
        </w:rPr>
        <w:t xml:space="preserve"> the parties regarding the need for a formalized discussion of attrition along with </w:t>
      </w:r>
      <w:r w:rsidR="00B9290E">
        <w:rPr>
          <w:sz w:val="25"/>
          <w:szCs w:val="25"/>
        </w:rPr>
        <w:t>other</w:t>
      </w:r>
      <w:r w:rsidR="00B9290E" w:rsidRPr="00FF451D">
        <w:rPr>
          <w:sz w:val="25"/>
          <w:szCs w:val="25"/>
        </w:rPr>
        <w:t xml:space="preserve"> possible ratemaking mechanisms </w:t>
      </w:r>
      <w:r w:rsidR="00B9290E">
        <w:rPr>
          <w:sz w:val="25"/>
          <w:szCs w:val="25"/>
        </w:rPr>
        <w:t>that may</w:t>
      </w:r>
      <w:r w:rsidR="00B9290E" w:rsidRPr="00FF451D">
        <w:rPr>
          <w:sz w:val="25"/>
          <w:szCs w:val="25"/>
        </w:rPr>
        <w:t xml:space="preserve"> address attrition’s effects on earnings</w:t>
      </w:r>
      <w:r w:rsidR="002938AD" w:rsidRPr="00FF451D">
        <w:rPr>
          <w:sz w:val="25"/>
          <w:szCs w:val="25"/>
        </w:rPr>
        <w:t>.</w:t>
      </w:r>
      <w:r w:rsidR="002938AD" w:rsidRPr="00081384">
        <w:rPr>
          <w:rStyle w:val="FootnoteReference"/>
          <w:szCs w:val="25"/>
        </w:rPr>
        <w:footnoteReference w:id="82"/>
      </w:r>
      <w:r w:rsidR="002938AD" w:rsidRPr="00081384">
        <w:rPr>
          <w:rStyle w:val="FootnoteReference"/>
        </w:rPr>
        <w:t xml:space="preserve"> </w:t>
      </w:r>
    </w:p>
    <w:p w14:paraId="6002F312" w14:textId="77777777" w:rsidR="003D42C5" w:rsidRDefault="003D42C5" w:rsidP="007448F5">
      <w:pPr>
        <w:spacing w:line="264" w:lineRule="auto"/>
      </w:pPr>
    </w:p>
    <w:p w14:paraId="6C33D6E6" w14:textId="77777777" w:rsidR="00FF74BF" w:rsidRDefault="002938AD" w:rsidP="007448F5">
      <w:pPr>
        <w:numPr>
          <w:ilvl w:val="0"/>
          <w:numId w:val="10"/>
        </w:numPr>
        <w:spacing w:line="264" w:lineRule="auto"/>
        <w:ind w:hanging="720"/>
        <w:rPr>
          <w:sz w:val="25"/>
          <w:szCs w:val="25"/>
        </w:rPr>
      </w:pPr>
      <w:r>
        <w:rPr>
          <w:sz w:val="25"/>
          <w:szCs w:val="25"/>
        </w:rPr>
        <w:t xml:space="preserve">In addition to the forum, </w:t>
      </w:r>
      <w:r w:rsidRPr="0017747B">
        <w:rPr>
          <w:sz w:val="25"/>
          <w:szCs w:val="25"/>
        </w:rPr>
        <w:t xml:space="preserve">Avista agrees to provide semi-annual reporting of 2014 and 2015 capital expenditures with actual data by expenditure request, in the categories provided in its </w:t>
      </w:r>
      <w:r w:rsidRPr="00BC484B">
        <w:rPr>
          <w:i/>
          <w:sz w:val="25"/>
          <w:szCs w:val="25"/>
        </w:rPr>
        <w:t>pro forma</w:t>
      </w:r>
      <w:r w:rsidRPr="0017747B">
        <w:rPr>
          <w:sz w:val="25"/>
          <w:szCs w:val="25"/>
        </w:rPr>
        <w:t xml:space="preserve"> “cross check” plant adjustments.</w:t>
      </w:r>
      <w:r>
        <w:rPr>
          <w:rStyle w:val="FootnoteReference"/>
          <w:szCs w:val="25"/>
        </w:rPr>
        <w:footnoteReference w:id="83"/>
      </w:r>
      <w:r w:rsidR="00353735">
        <w:rPr>
          <w:sz w:val="25"/>
          <w:szCs w:val="25"/>
        </w:rPr>
        <w:t xml:space="preserve">  The settling p</w:t>
      </w:r>
      <w:r w:rsidRPr="0017747B">
        <w:rPr>
          <w:sz w:val="25"/>
          <w:szCs w:val="25"/>
        </w:rPr>
        <w:t>arties agree to meet no later than January 31, 2015, to establish any additional details of the capital reporting requirements.</w:t>
      </w:r>
      <w:r>
        <w:rPr>
          <w:rStyle w:val="FootnoteReference"/>
          <w:szCs w:val="25"/>
        </w:rPr>
        <w:footnoteReference w:id="84"/>
      </w:r>
    </w:p>
    <w:p w14:paraId="1BC81BD6" w14:textId="77777777" w:rsidR="009A0FAF" w:rsidRDefault="009A0FAF" w:rsidP="007448F5">
      <w:pPr>
        <w:pStyle w:val="ListParagraph"/>
        <w:spacing w:line="264" w:lineRule="auto"/>
        <w:rPr>
          <w:sz w:val="25"/>
          <w:szCs w:val="25"/>
        </w:rPr>
      </w:pPr>
    </w:p>
    <w:p w14:paraId="66E091F8" w14:textId="196DF4B7" w:rsidR="009A0FAF" w:rsidRDefault="009A0FAF" w:rsidP="007448F5">
      <w:pPr>
        <w:numPr>
          <w:ilvl w:val="0"/>
          <w:numId w:val="10"/>
        </w:numPr>
        <w:spacing w:line="264" w:lineRule="auto"/>
        <w:ind w:hanging="720"/>
        <w:rPr>
          <w:sz w:val="25"/>
          <w:szCs w:val="25"/>
        </w:rPr>
      </w:pPr>
      <w:r>
        <w:rPr>
          <w:i/>
          <w:sz w:val="25"/>
          <w:szCs w:val="25"/>
        </w:rPr>
        <w:t>Decision.</w:t>
      </w:r>
      <w:r>
        <w:rPr>
          <w:sz w:val="25"/>
          <w:szCs w:val="25"/>
        </w:rPr>
        <w:t xml:space="preserve">  </w:t>
      </w:r>
      <w:r w:rsidR="001622D8">
        <w:rPr>
          <w:sz w:val="25"/>
          <w:szCs w:val="25"/>
        </w:rPr>
        <w:t>We direct</w:t>
      </w:r>
      <w:r w:rsidR="002938AD" w:rsidRPr="00FF451D">
        <w:rPr>
          <w:sz w:val="25"/>
          <w:szCs w:val="25"/>
        </w:rPr>
        <w:t xml:space="preserve"> Commission Staff to open an investigatory docket for the purpose of convening a forum to address attrition consistent with the Settlement. </w:t>
      </w:r>
      <w:r w:rsidR="00BC7A5A">
        <w:rPr>
          <w:sz w:val="25"/>
          <w:szCs w:val="25"/>
        </w:rPr>
        <w:t xml:space="preserve"> </w:t>
      </w:r>
      <w:r w:rsidR="002938AD" w:rsidRPr="00102C2B">
        <w:rPr>
          <w:sz w:val="25"/>
          <w:szCs w:val="25"/>
        </w:rPr>
        <w:t xml:space="preserve">We expect </w:t>
      </w:r>
      <w:r w:rsidR="00353735">
        <w:rPr>
          <w:sz w:val="25"/>
          <w:szCs w:val="25"/>
        </w:rPr>
        <w:t xml:space="preserve">the forum </w:t>
      </w:r>
      <w:r w:rsidR="001622D8">
        <w:rPr>
          <w:sz w:val="25"/>
          <w:szCs w:val="25"/>
        </w:rPr>
        <w:t>to</w:t>
      </w:r>
      <w:r w:rsidR="00353735">
        <w:rPr>
          <w:sz w:val="25"/>
          <w:szCs w:val="25"/>
        </w:rPr>
        <w:t xml:space="preserve"> be inclusive</w:t>
      </w:r>
      <w:r w:rsidR="001D3EA6">
        <w:rPr>
          <w:sz w:val="25"/>
          <w:szCs w:val="25"/>
        </w:rPr>
        <w:t>,</w:t>
      </w:r>
      <w:r w:rsidR="00353735">
        <w:rPr>
          <w:sz w:val="25"/>
          <w:szCs w:val="25"/>
        </w:rPr>
        <w:t xml:space="preserve"> </w:t>
      </w:r>
      <w:r w:rsidR="002938AD" w:rsidRPr="00102C2B">
        <w:rPr>
          <w:sz w:val="25"/>
          <w:szCs w:val="25"/>
        </w:rPr>
        <w:t>open to participation by not only the parties in this proceeding but also the broader community of commission</w:t>
      </w:r>
      <w:r w:rsidR="00353735">
        <w:rPr>
          <w:sz w:val="25"/>
          <w:szCs w:val="25"/>
        </w:rPr>
        <w:t>-</w:t>
      </w:r>
      <w:r w:rsidR="002938AD" w:rsidRPr="00102C2B">
        <w:rPr>
          <w:sz w:val="25"/>
          <w:szCs w:val="25"/>
        </w:rPr>
        <w:t>regulated utility companies and interested consumer groups.</w:t>
      </w:r>
    </w:p>
    <w:p w14:paraId="504CBDE5" w14:textId="77777777" w:rsidR="00FF74BF" w:rsidRDefault="00FF74BF" w:rsidP="007448F5">
      <w:pPr>
        <w:spacing w:line="264" w:lineRule="auto"/>
        <w:rPr>
          <w:b/>
          <w:sz w:val="25"/>
          <w:szCs w:val="25"/>
        </w:rPr>
      </w:pPr>
    </w:p>
    <w:p w14:paraId="2B1DDC20" w14:textId="77777777" w:rsidR="00FF74BF" w:rsidRPr="00DB532E" w:rsidRDefault="00FF74BF" w:rsidP="00682321">
      <w:pPr>
        <w:numPr>
          <w:ilvl w:val="1"/>
          <w:numId w:val="38"/>
        </w:numPr>
        <w:spacing w:line="264" w:lineRule="auto"/>
        <w:ind w:left="1080"/>
        <w:rPr>
          <w:b/>
          <w:sz w:val="25"/>
          <w:szCs w:val="25"/>
        </w:rPr>
      </w:pPr>
      <w:r>
        <w:rPr>
          <w:b/>
          <w:sz w:val="25"/>
          <w:szCs w:val="25"/>
        </w:rPr>
        <w:t>Cost of Capital</w:t>
      </w:r>
    </w:p>
    <w:p w14:paraId="33927A9D" w14:textId="77777777" w:rsidR="00DB532E" w:rsidRPr="00DB532E" w:rsidRDefault="00DB532E" w:rsidP="007448F5">
      <w:pPr>
        <w:spacing w:line="264" w:lineRule="auto"/>
        <w:rPr>
          <w:i/>
          <w:sz w:val="25"/>
          <w:szCs w:val="25"/>
        </w:rPr>
      </w:pPr>
    </w:p>
    <w:p w14:paraId="15769B5A" w14:textId="3B029D4C" w:rsidR="00F54EB2" w:rsidRDefault="00F54EB2" w:rsidP="007448F5">
      <w:pPr>
        <w:numPr>
          <w:ilvl w:val="0"/>
          <w:numId w:val="10"/>
        </w:numPr>
        <w:spacing w:line="264" w:lineRule="auto"/>
        <w:ind w:hanging="720"/>
        <w:rPr>
          <w:sz w:val="25"/>
          <w:szCs w:val="25"/>
        </w:rPr>
      </w:pPr>
      <w:r>
        <w:rPr>
          <w:sz w:val="25"/>
          <w:szCs w:val="25"/>
        </w:rPr>
        <w:t xml:space="preserve">The parties have not formally agreed to capital structure ratios or the elements that make up the Company’s authorized cost of capital including ROE or </w:t>
      </w:r>
      <w:r w:rsidR="00B61645">
        <w:rPr>
          <w:sz w:val="25"/>
          <w:szCs w:val="25"/>
        </w:rPr>
        <w:t xml:space="preserve">overall </w:t>
      </w:r>
      <w:r>
        <w:rPr>
          <w:sz w:val="25"/>
          <w:szCs w:val="25"/>
        </w:rPr>
        <w:t>ROR.</w:t>
      </w:r>
      <w:r>
        <w:rPr>
          <w:rStyle w:val="FootnoteReference"/>
          <w:sz w:val="25"/>
          <w:szCs w:val="25"/>
        </w:rPr>
        <w:footnoteReference w:id="85"/>
      </w:r>
      <w:r>
        <w:rPr>
          <w:sz w:val="25"/>
          <w:szCs w:val="25"/>
        </w:rPr>
        <w:t xml:space="preserve">  However, despite the lack of formal agreement on the individual components of cost of capital, the parties have agreed to a 7.32 percent ROR for certain purposes including the determination of </w:t>
      </w:r>
      <w:r w:rsidRPr="00564075">
        <w:rPr>
          <w:sz w:val="25"/>
          <w:szCs w:val="25"/>
        </w:rPr>
        <w:t>Allowance for Funds Used During Construction (AFUDC)</w:t>
      </w:r>
      <w:r>
        <w:rPr>
          <w:sz w:val="25"/>
          <w:szCs w:val="25"/>
        </w:rPr>
        <w:t>.</w:t>
      </w:r>
      <w:r>
        <w:rPr>
          <w:rStyle w:val="FootnoteReference"/>
          <w:szCs w:val="25"/>
        </w:rPr>
        <w:footnoteReference w:id="86"/>
      </w:r>
      <w:r>
        <w:rPr>
          <w:sz w:val="25"/>
          <w:szCs w:val="25"/>
        </w:rPr>
        <w:t xml:space="preserve">  The Settlement also uses a 7.32 percent ROR as the potential </w:t>
      </w:r>
      <w:r w:rsidRPr="00564075">
        <w:rPr>
          <w:sz w:val="25"/>
          <w:szCs w:val="25"/>
        </w:rPr>
        <w:t xml:space="preserve">trigger </w:t>
      </w:r>
      <w:r>
        <w:rPr>
          <w:sz w:val="25"/>
          <w:szCs w:val="25"/>
        </w:rPr>
        <w:t xml:space="preserve">for future </w:t>
      </w:r>
      <w:r w:rsidRPr="00564075">
        <w:rPr>
          <w:sz w:val="25"/>
          <w:szCs w:val="25"/>
        </w:rPr>
        <w:t>earnings test</w:t>
      </w:r>
      <w:r>
        <w:rPr>
          <w:sz w:val="25"/>
          <w:szCs w:val="25"/>
        </w:rPr>
        <w:t>s</w:t>
      </w:r>
      <w:r w:rsidRPr="00564075">
        <w:rPr>
          <w:sz w:val="25"/>
          <w:szCs w:val="25"/>
        </w:rPr>
        <w:t xml:space="preserve"> associated with </w:t>
      </w:r>
      <w:r>
        <w:rPr>
          <w:sz w:val="25"/>
          <w:szCs w:val="25"/>
        </w:rPr>
        <w:t>any</w:t>
      </w:r>
      <w:r w:rsidRPr="00564075">
        <w:rPr>
          <w:sz w:val="25"/>
          <w:szCs w:val="25"/>
        </w:rPr>
        <w:t xml:space="preserve"> decoupling deferral</w:t>
      </w:r>
      <w:r>
        <w:rPr>
          <w:sz w:val="25"/>
          <w:szCs w:val="25"/>
        </w:rPr>
        <w:t xml:space="preserve"> based on the company’s reported annual earnings</w:t>
      </w:r>
      <w:r w:rsidRPr="00564075">
        <w:rPr>
          <w:sz w:val="25"/>
          <w:szCs w:val="25"/>
        </w:rPr>
        <w:t>.</w:t>
      </w:r>
      <w:r w:rsidRPr="00564075">
        <w:rPr>
          <w:sz w:val="25"/>
          <w:szCs w:val="25"/>
          <w:vertAlign w:val="superscript"/>
        </w:rPr>
        <w:footnoteReference w:id="87"/>
      </w:r>
      <w:r>
        <w:rPr>
          <w:sz w:val="25"/>
          <w:szCs w:val="25"/>
        </w:rPr>
        <w:t xml:space="preserve">  Appropriately, the Settlement recognizes that the 7.32 percent ROR will be changed to reflect any future ROR authorization that may be established by the Commission.</w:t>
      </w:r>
      <w:r>
        <w:rPr>
          <w:rStyle w:val="FootnoteReference"/>
          <w:szCs w:val="25"/>
        </w:rPr>
        <w:footnoteReference w:id="88"/>
      </w:r>
      <w:r>
        <w:rPr>
          <w:sz w:val="25"/>
          <w:szCs w:val="25"/>
        </w:rPr>
        <w:t xml:space="preserve"> </w:t>
      </w:r>
    </w:p>
    <w:p w14:paraId="023275A9" w14:textId="77777777" w:rsidR="00F54EB2" w:rsidRDefault="00F54EB2" w:rsidP="007448F5">
      <w:pPr>
        <w:pStyle w:val="NoSpacing"/>
        <w:spacing w:line="264" w:lineRule="auto"/>
        <w:rPr>
          <w:sz w:val="25"/>
          <w:szCs w:val="25"/>
        </w:rPr>
      </w:pPr>
    </w:p>
    <w:p w14:paraId="64D87D14" w14:textId="6713070B" w:rsidR="00F54EB2" w:rsidRPr="007B12D4" w:rsidRDefault="007B12D4" w:rsidP="007448F5">
      <w:pPr>
        <w:numPr>
          <w:ilvl w:val="0"/>
          <w:numId w:val="10"/>
        </w:numPr>
        <w:spacing w:line="264" w:lineRule="auto"/>
        <w:ind w:hanging="720"/>
        <w:rPr>
          <w:sz w:val="25"/>
          <w:szCs w:val="25"/>
        </w:rPr>
      </w:pPr>
      <w:r w:rsidRPr="007B12D4">
        <w:rPr>
          <w:i/>
          <w:sz w:val="25"/>
          <w:szCs w:val="25"/>
        </w:rPr>
        <w:t xml:space="preserve">Decision.  </w:t>
      </w:r>
      <w:r w:rsidR="00F54EB2" w:rsidRPr="007B12D4">
        <w:rPr>
          <w:sz w:val="25"/>
          <w:szCs w:val="25"/>
        </w:rPr>
        <w:t>The settling parties note that they undertook extensive negotiations over many components of the Company’s filing including the various components of cost of capital.  The settlement discussions produced a reasonable balancing of interests with each party making certain concessions on matters which would not have been resolved or agreed to if the parties were to proceed to evidentiary hearings.</w:t>
      </w:r>
      <w:r w:rsidR="00F54EB2">
        <w:rPr>
          <w:rStyle w:val="FootnoteReference"/>
          <w:szCs w:val="25"/>
        </w:rPr>
        <w:footnoteReference w:id="89"/>
      </w:r>
      <w:r w:rsidR="00F54EB2" w:rsidRPr="007B12D4">
        <w:rPr>
          <w:sz w:val="25"/>
          <w:szCs w:val="25"/>
        </w:rPr>
        <w:t xml:space="preserve">  </w:t>
      </w:r>
      <w:r w:rsidRPr="007B12D4">
        <w:rPr>
          <w:sz w:val="25"/>
          <w:szCs w:val="25"/>
        </w:rPr>
        <w:t>We</w:t>
      </w:r>
      <w:r w:rsidR="00F54EB2" w:rsidRPr="007B12D4">
        <w:rPr>
          <w:sz w:val="25"/>
          <w:szCs w:val="25"/>
        </w:rPr>
        <w:t xml:space="preserve"> accept the 7.32 percent ROR to be used for AFUDC purposes and for the earnings test to be applied for decoupling purposes.  </w:t>
      </w:r>
    </w:p>
    <w:p w14:paraId="60435A4F" w14:textId="0F329DA5" w:rsidR="004E5965" w:rsidRDefault="004E5965">
      <w:pPr>
        <w:rPr>
          <w:b/>
          <w:sz w:val="25"/>
          <w:szCs w:val="25"/>
        </w:rPr>
      </w:pPr>
      <w:r>
        <w:rPr>
          <w:b/>
          <w:sz w:val="25"/>
          <w:szCs w:val="25"/>
        </w:rPr>
        <w:br w:type="page"/>
      </w:r>
    </w:p>
    <w:p w14:paraId="23D67F56" w14:textId="77777777" w:rsidR="00DD4469" w:rsidRDefault="00DD4469" w:rsidP="007448F5">
      <w:pPr>
        <w:spacing w:line="264" w:lineRule="auto"/>
        <w:rPr>
          <w:b/>
          <w:sz w:val="25"/>
          <w:szCs w:val="25"/>
        </w:rPr>
      </w:pPr>
    </w:p>
    <w:p w14:paraId="12EC64B7" w14:textId="77777777" w:rsidR="00AE2522" w:rsidRPr="00103CD2" w:rsidRDefault="00AE2522" w:rsidP="007448F5">
      <w:pPr>
        <w:pStyle w:val="Heading1"/>
        <w:spacing w:before="0" w:after="0" w:line="264" w:lineRule="auto"/>
        <w:jc w:val="center"/>
        <w:rPr>
          <w:rFonts w:ascii="Times New Roman" w:hAnsi="Times New Roman" w:cs="Times New Roman"/>
          <w:sz w:val="25"/>
          <w:szCs w:val="25"/>
          <w:u w:val="single"/>
        </w:rPr>
      </w:pPr>
      <w:bookmarkStart w:id="15" w:name="_Toc249252825"/>
      <w:r w:rsidRPr="00103CD2">
        <w:rPr>
          <w:rFonts w:ascii="Times New Roman" w:hAnsi="Times New Roman" w:cs="Times New Roman"/>
          <w:sz w:val="25"/>
          <w:szCs w:val="25"/>
          <w:u w:val="single"/>
        </w:rPr>
        <w:t>FINDINGS OF FACT</w:t>
      </w:r>
      <w:bookmarkEnd w:id="15"/>
    </w:p>
    <w:p w14:paraId="11E0760F" w14:textId="77777777" w:rsidR="00AE2522" w:rsidRPr="00705ED7" w:rsidRDefault="00AE2522" w:rsidP="007448F5">
      <w:pPr>
        <w:pStyle w:val="NoSpacing"/>
        <w:spacing w:line="264" w:lineRule="auto"/>
      </w:pPr>
    </w:p>
    <w:p w14:paraId="6B1DCC0D" w14:textId="77777777" w:rsidR="00AE2522" w:rsidRPr="00705ED7" w:rsidRDefault="00AE2522" w:rsidP="007448F5">
      <w:pPr>
        <w:numPr>
          <w:ilvl w:val="0"/>
          <w:numId w:val="10"/>
        </w:numPr>
        <w:spacing w:line="264" w:lineRule="auto"/>
        <w:ind w:hanging="720"/>
        <w:rPr>
          <w:sz w:val="25"/>
          <w:szCs w:val="25"/>
        </w:rPr>
      </w:pPr>
      <w:r w:rsidRPr="00705ED7">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712A0E2C" w14:textId="77777777" w:rsidR="00F00B1C" w:rsidRPr="00705ED7" w:rsidRDefault="00F00B1C" w:rsidP="007448F5">
      <w:pPr>
        <w:spacing w:line="264" w:lineRule="auto"/>
        <w:ind w:left="-720"/>
        <w:rPr>
          <w:sz w:val="25"/>
          <w:szCs w:val="25"/>
        </w:rPr>
      </w:pPr>
    </w:p>
    <w:p w14:paraId="756EAD22" w14:textId="77777777" w:rsidR="00183EE2" w:rsidRPr="00B8365F" w:rsidRDefault="00AE2522" w:rsidP="007448F5">
      <w:pPr>
        <w:numPr>
          <w:ilvl w:val="0"/>
          <w:numId w:val="10"/>
        </w:numPr>
        <w:spacing w:line="264" w:lineRule="auto"/>
        <w:ind w:left="720" w:hanging="1440"/>
        <w:rPr>
          <w:sz w:val="25"/>
          <w:szCs w:val="25"/>
        </w:rPr>
      </w:pPr>
      <w:r w:rsidRPr="00705ED7">
        <w:rPr>
          <w:sz w:val="25"/>
          <w:szCs w:val="25"/>
        </w:rPr>
        <w:t>(1)</w:t>
      </w:r>
      <w:r w:rsidRPr="00705ED7">
        <w:rPr>
          <w:sz w:val="25"/>
          <w:szCs w:val="25"/>
        </w:rPr>
        <w:tab/>
      </w:r>
      <w:r w:rsidR="00B8365F" w:rsidRPr="002532DF">
        <w:rPr>
          <w:sz w:val="25"/>
          <w:szCs w:val="25"/>
        </w:rPr>
        <w:t xml:space="preserve">The Washington Utilities and Transportation Commission is an agency of the State of </w:t>
      </w:r>
      <w:smartTag w:uri="urn:schemas-microsoft-com:office:smarttags" w:element="State">
        <w:smartTag w:uri="urn:schemas-microsoft-com:office:smarttags" w:element="place">
          <w:r w:rsidR="00B8365F" w:rsidRPr="002532DF">
            <w:rPr>
              <w:sz w:val="25"/>
              <w:szCs w:val="25"/>
            </w:rPr>
            <w:t>Washington</w:t>
          </w:r>
        </w:smartTag>
      </w:smartTag>
      <w:r w:rsidR="00B8365F" w:rsidRPr="002532DF">
        <w:rPr>
          <w:sz w:val="25"/>
          <w:szCs w:val="25"/>
        </w:rPr>
        <w:t>, vested by statute with authority to regulate rates, rules, regulations, practices, and accounts of public service companies, including gas and electrical companies</w:t>
      </w:r>
      <w:r w:rsidR="00B8365F" w:rsidRPr="002532DF">
        <w:rPr>
          <w:i/>
          <w:iCs/>
          <w:sz w:val="25"/>
          <w:szCs w:val="25"/>
        </w:rPr>
        <w:t>.</w:t>
      </w:r>
    </w:p>
    <w:p w14:paraId="31F4FAFF" w14:textId="77777777" w:rsidR="00B8365F" w:rsidRDefault="00B8365F" w:rsidP="007448F5">
      <w:pPr>
        <w:spacing w:line="264" w:lineRule="auto"/>
        <w:rPr>
          <w:iCs/>
          <w:sz w:val="25"/>
          <w:szCs w:val="25"/>
        </w:rPr>
      </w:pPr>
    </w:p>
    <w:p w14:paraId="1E4DD60A" w14:textId="77777777" w:rsidR="00B8365F" w:rsidRDefault="00B8365F" w:rsidP="007448F5">
      <w:pPr>
        <w:numPr>
          <w:ilvl w:val="0"/>
          <w:numId w:val="10"/>
        </w:numPr>
        <w:spacing w:line="264" w:lineRule="auto"/>
        <w:ind w:left="720" w:hanging="1440"/>
        <w:rPr>
          <w:sz w:val="25"/>
          <w:szCs w:val="25"/>
        </w:rPr>
      </w:pPr>
      <w:r>
        <w:rPr>
          <w:sz w:val="25"/>
          <w:szCs w:val="25"/>
        </w:rPr>
        <w:t>(2)</w:t>
      </w:r>
      <w:r>
        <w:rPr>
          <w:sz w:val="25"/>
          <w:szCs w:val="25"/>
        </w:rPr>
        <w:tab/>
        <w:t>Avista</w:t>
      </w:r>
      <w:r w:rsidRPr="002532DF">
        <w:rPr>
          <w:sz w:val="25"/>
          <w:szCs w:val="25"/>
        </w:rPr>
        <w:t xml:space="preserve"> </w:t>
      </w:r>
      <w:r>
        <w:rPr>
          <w:sz w:val="25"/>
          <w:szCs w:val="25"/>
        </w:rPr>
        <w:t xml:space="preserve">is a “public service company,” an “electrical company,” and “gas company” as those terms are defined in RCW 80.04.010 and used in Title 80 RCW.  Avista </w:t>
      </w:r>
      <w:r w:rsidRPr="002532DF">
        <w:rPr>
          <w:sz w:val="25"/>
          <w:szCs w:val="25"/>
        </w:rPr>
        <w:t xml:space="preserve">provides electric </w:t>
      </w:r>
      <w:r>
        <w:rPr>
          <w:sz w:val="25"/>
          <w:szCs w:val="25"/>
        </w:rPr>
        <w:t xml:space="preserve">and natural gas </w:t>
      </w:r>
      <w:r w:rsidRPr="002532DF">
        <w:rPr>
          <w:sz w:val="25"/>
          <w:szCs w:val="25"/>
        </w:rPr>
        <w:t>utility service to customers in Washington.</w:t>
      </w:r>
    </w:p>
    <w:p w14:paraId="2B190976" w14:textId="77777777" w:rsidR="00B8365F" w:rsidRDefault="00B8365F" w:rsidP="007448F5">
      <w:pPr>
        <w:pStyle w:val="ListParagraph"/>
        <w:spacing w:line="264" w:lineRule="auto"/>
        <w:rPr>
          <w:sz w:val="25"/>
          <w:szCs w:val="25"/>
        </w:rPr>
      </w:pPr>
    </w:p>
    <w:p w14:paraId="7A8CC6CF" w14:textId="77777777" w:rsidR="00B8365F" w:rsidRDefault="00B8365F" w:rsidP="007448F5">
      <w:pPr>
        <w:numPr>
          <w:ilvl w:val="0"/>
          <w:numId w:val="10"/>
        </w:numPr>
        <w:spacing w:line="264" w:lineRule="auto"/>
        <w:ind w:left="720" w:hanging="1440"/>
        <w:rPr>
          <w:sz w:val="25"/>
          <w:szCs w:val="25"/>
        </w:rPr>
      </w:pPr>
      <w:r>
        <w:rPr>
          <w:sz w:val="25"/>
          <w:szCs w:val="25"/>
        </w:rPr>
        <w:t>(3)</w:t>
      </w:r>
      <w:r>
        <w:rPr>
          <w:sz w:val="25"/>
          <w:szCs w:val="25"/>
        </w:rPr>
        <w:tab/>
        <w:t>On February 4, 2014, Avista filed certain revisions to its currently effective tariffs for electric and natural gas services.</w:t>
      </w:r>
    </w:p>
    <w:p w14:paraId="05B3F654" w14:textId="77777777" w:rsidR="00B8365F" w:rsidRDefault="00B8365F" w:rsidP="007448F5">
      <w:pPr>
        <w:pStyle w:val="ListParagraph"/>
        <w:spacing w:line="264" w:lineRule="auto"/>
        <w:rPr>
          <w:sz w:val="25"/>
          <w:szCs w:val="25"/>
        </w:rPr>
      </w:pPr>
    </w:p>
    <w:p w14:paraId="63FDA332" w14:textId="77777777" w:rsidR="00B8365F" w:rsidRDefault="00B8365F" w:rsidP="007448F5">
      <w:pPr>
        <w:numPr>
          <w:ilvl w:val="0"/>
          <w:numId w:val="10"/>
        </w:numPr>
        <w:spacing w:line="264" w:lineRule="auto"/>
        <w:ind w:left="720" w:hanging="1440"/>
        <w:rPr>
          <w:sz w:val="25"/>
          <w:szCs w:val="25"/>
        </w:rPr>
      </w:pPr>
      <w:r>
        <w:rPr>
          <w:sz w:val="25"/>
          <w:szCs w:val="25"/>
        </w:rPr>
        <w:t>(4)</w:t>
      </w:r>
      <w:r>
        <w:rPr>
          <w:sz w:val="25"/>
          <w:szCs w:val="25"/>
        </w:rPr>
        <w:tab/>
        <w:t xml:space="preserve">The Commission suspended </w:t>
      </w:r>
      <w:r w:rsidRPr="00705ED7">
        <w:rPr>
          <w:sz w:val="25"/>
          <w:szCs w:val="25"/>
        </w:rPr>
        <w:t>the operation of the proposed tariff revisions</w:t>
      </w:r>
      <w:r>
        <w:rPr>
          <w:sz w:val="25"/>
          <w:szCs w:val="25"/>
        </w:rPr>
        <w:t xml:space="preserve"> </w:t>
      </w:r>
      <w:r w:rsidRPr="00705ED7">
        <w:rPr>
          <w:sz w:val="25"/>
          <w:szCs w:val="25"/>
        </w:rPr>
        <w:t xml:space="preserve">pending an investigation and hearing </w:t>
      </w:r>
      <w:r>
        <w:rPr>
          <w:sz w:val="25"/>
          <w:szCs w:val="25"/>
        </w:rPr>
        <w:t>and</w:t>
      </w:r>
      <w:r w:rsidRPr="00705ED7">
        <w:rPr>
          <w:sz w:val="25"/>
          <w:szCs w:val="25"/>
        </w:rPr>
        <w:t xml:space="preserve"> consolidated the Company’s proposed tariff revisions</w:t>
      </w:r>
      <w:r>
        <w:rPr>
          <w:sz w:val="25"/>
          <w:szCs w:val="25"/>
        </w:rPr>
        <w:t>.</w:t>
      </w:r>
    </w:p>
    <w:p w14:paraId="146A953A" w14:textId="77777777" w:rsidR="00B8365F" w:rsidRDefault="00B8365F" w:rsidP="007448F5">
      <w:pPr>
        <w:pStyle w:val="ListParagraph"/>
        <w:spacing w:line="264" w:lineRule="auto"/>
        <w:rPr>
          <w:sz w:val="25"/>
          <w:szCs w:val="25"/>
        </w:rPr>
      </w:pPr>
    </w:p>
    <w:p w14:paraId="57EB804D" w14:textId="77777777" w:rsidR="00B8365F" w:rsidRDefault="00B8365F" w:rsidP="007448F5">
      <w:pPr>
        <w:numPr>
          <w:ilvl w:val="0"/>
          <w:numId w:val="10"/>
        </w:numPr>
        <w:spacing w:line="264" w:lineRule="auto"/>
        <w:ind w:left="720" w:hanging="1440"/>
        <w:rPr>
          <w:sz w:val="25"/>
          <w:szCs w:val="25"/>
        </w:rPr>
      </w:pPr>
      <w:r>
        <w:rPr>
          <w:sz w:val="25"/>
          <w:szCs w:val="25"/>
        </w:rPr>
        <w:t>(5)</w:t>
      </w:r>
      <w:r>
        <w:rPr>
          <w:sz w:val="25"/>
          <w:szCs w:val="25"/>
        </w:rPr>
        <w:tab/>
      </w:r>
      <w:r w:rsidR="00FC57F3">
        <w:rPr>
          <w:sz w:val="25"/>
          <w:szCs w:val="25"/>
        </w:rPr>
        <w:t xml:space="preserve">On August 18, 2014, the parties filed a Settlement Stipulation that, if approved, would resolve the contested issues raised in Avista’s initial filing.  </w:t>
      </w:r>
    </w:p>
    <w:p w14:paraId="00A5E697" w14:textId="77777777" w:rsidR="00FC57F3" w:rsidRDefault="00FC57F3" w:rsidP="007448F5">
      <w:pPr>
        <w:pStyle w:val="ListParagraph"/>
        <w:spacing w:line="264" w:lineRule="auto"/>
        <w:rPr>
          <w:sz w:val="25"/>
          <w:szCs w:val="25"/>
        </w:rPr>
      </w:pPr>
    </w:p>
    <w:p w14:paraId="778BCF72" w14:textId="77777777" w:rsidR="00EB3D65" w:rsidRPr="00BA6127" w:rsidRDefault="00FC57F3" w:rsidP="007448F5">
      <w:pPr>
        <w:numPr>
          <w:ilvl w:val="0"/>
          <w:numId w:val="10"/>
        </w:numPr>
        <w:spacing w:line="264" w:lineRule="auto"/>
        <w:ind w:left="720" w:hanging="1440"/>
        <w:rPr>
          <w:sz w:val="25"/>
          <w:szCs w:val="25"/>
        </w:rPr>
      </w:pPr>
      <w:r>
        <w:rPr>
          <w:sz w:val="25"/>
          <w:szCs w:val="25"/>
        </w:rPr>
        <w:t>(6)</w:t>
      </w:r>
      <w:r>
        <w:rPr>
          <w:sz w:val="25"/>
          <w:szCs w:val="25"/>
        </w:rPr>
        <w:tab/>
      </w:r>
      <w:r w:rsidR="00EB3D65">
        <w:rPr>
          <w:sz w:val="25"/>
          <w:szCs w:val="25"/>
        </w:rPr>
        <w:t xml:space="preserve">On September </w:t>
      </w:r>
      <w:r w:rsidR="00FC2A8F">
        <w:rPr>
          <w:sz w:val="25"/>
          <w:szCs w:val="25"/>
        </w:rPr>
        <w:t>23</w:t>
      </w:r>
      <w:r w:rsidR="00EB3D65">
        <w:rPr>
          <w:sz w:val="25"/>
          <w:szCs w:val="25"/>
        </w:rPr>
        <w:t xml:space="preserve">, 2014, the Commission convened a settlement hearing </w:t>
      </w:r>
      <w:r w:rsidR="00BA6127">
        <w:rPr>
          <w:sz w:val="25"/>
          <w:szCs w:val="25"/>
        </w:rPr>
        <w:t xml:space="preserve">to hear the parties’ views on why the Settlement should be approved and adopted and to </w:t>
      </w:r>
      <w:r w:rsidR="00FC2A8F">
        <w:rPr>
          <w:sz w:val="25"/>
          <w:szCs w:val="25"/>
        </w:rPr>
        <w:t>clarify portions of the Settlement</w:t>
      </w:r>
      <w:r w:rsidR="00BA6127">
        <w:rPr>
          <w:sz w:val="25"/>
          <w:szCs w:val="25"/>
        </w:rPr>
        <w:t xml:space="preserve">.   </w:t>
      </w:r>
    </w:p>
    <w:p w14:paraId="49A24924" w14:textId="3C8B6BD2" w:rsidR="004E5965" w:rsidRDefault="004E5965">
      <w:pPr>
        <w:rPr>
          <w:sz w:val="25"/>
          <w:szCs w:val="25"/>
        </w:rPr>
      </w:pPr>
      <w:r>
        <w:rPr>
          <w:sz w:val="25"/>
          <w:szCs w:val="25"/>
        </w:rPr>
        <w:br w:type="page"/>
      </w:r>
    </w:p>
    <w:p w14:paraId="4BB425F7" w14:textId="77777777" w:rsidR="00103CD2" w:rsidRDefault="00103CD2" w:rsidP="007448F5">
      <w:pPr>
        <w:pStyle w:val="ListParagraph"/>
        <w:spacing w:line="264" w:lineRule="auto"/>
        <w:rPr>
          <w:sz w:val="25"/>
          <w:szCs w:val="25"/>
        </w:rPr>
      </w:pPr>
    </w:p>
    <w:p w14:paraId="71DCD1B4" w14:textId="77777777" w:rsidR="00AE2522" w:rsidRPr="00103CD2" w:rsidRDefault="00AE2522" w:rsidP="007448F5">
      <w:pPr>
        <w:pStyle w:val="Heading1"/>
        <w:spacing w:before="0" w:after="0" w:line="264" w:lineRule="auto"/>
        <w:jc w:val="center"/>
        <w:rPr>
          <w:rFonts w:ascii="Times New Roman" w:hAnsi="Times New Roman" w:cs="Times New Roman"/>
          <w:sz w:val="25"/>
          <w:szCs w:val="25"/>
          <w:u w:val="single"/>
        </w:rPr>
      </w:pPr>
      <w:bookmarkStart w:id="16" w:name="_Toc249252826"/>
      <w:r w:rsidRPr="00103CD2">
        <w:rPr>
          <w:rFonts w:ascii="Times New Roman" w:hAnsi="Times New Roman" w:cs="Times New Roman"/>
          <w:sz w:val="25"/>
          <w:szCs w:val="25"/>
          <w:u w:val="single"/>
        </w:rPr>
        <w:t>CONCLUSIONS OF LAW</w:t>
      </w:r>
      <w:bookmarkEnd w:id="16"/>
    </w:p>
    <w:p w14:paraId="3F65C83F" w14:textId="77777777" w:rsidR="00AE2522" w:rsidRPr="00705ED7" w:rsidRDefault="00AE2522" w:rsidP="007448F5">
      <w:pPr>
        <w:pStyle w:val="NoSpacing"/>
        <w:spacing w:line="264" w:lineRule="auto"/>
      </w:pPr>
    </w:p>
    <w:p w14:paraId="3EBFFB6B" w14:textId="77777777" w:rsidR="00AE2522" w:rsidRPr="00705ED7" w:rsidRDefault="00AE2522" w:rsidP="007448F5">
      <w:pPr>
        <w:numPr>
          <w:ilvl w:val="0"/>
          <w:numId w:val="10"/>
        </w:numPr>
        <w:spacing w:line="264" w:lineRule="auto"/>
        <w:ind w:hanging="720"/>
        <w:rPr>
          <w:b/>
          <w:sz w:val="25"/>
          <w:szCs w:val="25"/>
        </w:rPr>
      </w:pPr>
      <w:r w:rsidRPr="00705ED7">
        <w:rPr>
          <w:color w:val="000000"/>
          <w:sz w:val="25"/>
          <w:szCs w:val="25"/>
        </w:rPr>
        <w:t>Having</w:t>
      </w:r>
      <w:r w:rsidRPr="00705ED7">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661D0C3D" w14:textId="77777777" w:rsidR="00966D6E" w:rsidRPr="00705ED7" w:rsidRDefault="00966D6E" w:rsidP="007448F5">
      <w:pPr>
        <w:spacing w:line="264" w:lineRule="auto"/>
        <w:ind w:left="-720"/>
        <w:rPr>
          <w:b/>
          <w:sz w:val="25"/>
          <w:szCs w:val="25"/>
        </w:rPr>
      </w:pPr>
    </w:p>
    <w:p w14:paraId="036B6E3C" w14:textId="77777777" w:rsidR="00F54D59" w:rsidRDefault="00AE2522" w:rsidP="007448F5">
      <w:pPr>
        <w:numPr>
          <w:ilvl w:val="0"/>
          <w:numId w:val="10"/>
        </w:numPr>
        <w:spacing w:line="264" w:lineRule="auto"/>
        <w:ind w:left="720" w:hanging="1440"/>
        <w:rPr>
          <w:sz w:val="25"/>
          <w:szCs w:val="25"/>
        </w:rPr>
      </w:pPr>
      <w:r w:rsidRPr="00183EE2">
        <w:rPr>
          <w:sz w:val="25"/>
          <w:szCs w:val="25"/>
        </w:rPr>
        <w:t>(1)</w:t>
      </w:r>
      <w:r w:rsidRPr="00183EE2">
        <w:rPr>
          <w:sz w:val="25"/>
          <w:szCs w:val="25"/>
        </w:rPr>
        <w:tab/>
      </w:r>
      <w:r w:rsidR="00F54D59" w:rsidRPr="002532DF">
        <w:rPr>
          <w:sz w:val="25"/>
          <w:szCs w:val="25"/>
        </w:rPr>
        <w:t xml:space="preserve">The Washington Utilities and Transportation Commission has jurisdiction over the </w:t>
      </w:r>
      <w:r w:rsidR="00F54D59" w:rsidRPr="002532DF">
        <w:rPr>
          <w:color w:val="000000"/>
          <w:sz w:val="25"/>
          <w:szCs w:val="25"/>
        </w:rPr>
        <w:t>subject</w:t>
      </w:r>
      <w:r w:rsidR="00F54D59" w:rsidRPr="002532DF">
        <w:rPr>
          <w:sz w:val="25"/>
          <w:szCs w:val="25"/>
        </w:rPr>
        <w:t xml:space="preserve"> matter of, and parties to, these proceedings.  </w:t>
      </w:r>
    </w:p>
    <w:p w14:paraId="4B70A0C1" w14:textId="77777777" w:rsidR="00F54D59" w:rsidRDefault="00F54D59" w:rsidP="007448F5">
      <w:pPr>
        <w:pStyle w:val="ListParagraph"/>
        <w:spacing w:line="264" w:lineRule="auto"/>
        <w:rPr>
          <w:color w:val="000000"/>
          <w:sz w:val="25"/>
          <w:szCs w:val="25"/>
        </w:rPr>
      </w:pPr>
    </w:p>
    <w:p w14:paraId="3AD3E55B" w14:textId="77777777" w:rsidR="002A3667" w:rsidRPr="00F54D59" w:rsidRDefault="00F54D59" w:rsidP="007448F5">
      <w:pPr>
        <w:numPr>
          <w:ilvl w:val="0"/>
          <w:numId w:val="10"/>
        </w:numPr>
        <w:spacing w:line="264" w:lineRule="auto"/>
        <w:ind w:left="720" w:hanging="1440"/>
        <w:rPr>
          <w:sz w:val="25"/>
          <w:szCs w:val="25"/>
        </w:rPr>
      </w:pPr>
      <w:r>
        <w:rPr>
          <w:color w:val="000000"/>
          <w:sz w:val="25"/>
          <w:szCs w:val="25"/>
        </w:rPr>
        <w:t>(2)</w:t>
      </w:r>
      <w:r>
        <w:rPr>
          <w:color w:val="000000"/>
          <w:sz w:val="25"/>
          <w:szCs w:val="25"/>
        </w:rPr>
        <w:tab/>
      </w:r>
      <w:r w:rsidRPr="001823E4">
        <w:rPr>
          <w:color w:val="000000"/>
          <w:sz w:val="25"/>
          <w:szCs w:val="25"/>
        </w:rPr>
        <w:t>T</w:t>
      </w:r>
      <w:r w:rsidRPr="001823E4">
        <w:rPr>
          <w:sz w:val="25"/>
          <w:szCs w:val="25"/>
        </w:rPr>
        <w:t xml:space="preserve">he rates proposed by tariff revisions filed by </w:t>
      </w:r>
      <w:r>
        <w:rPr>
          <w:sz w:val="25"/>
          <w:szCs w:val="25"/>
        </w:rPr>
        <w:t>Avista</w:t>
      </w:r>
      <w:r w:rsidRPr="001823E4">
        <w:rPr>
          <w:sz w:val="25"/>
          <w:szCs w:val="25"/>
        </w:rPr>
        <w:t xml:space="preserve"> on </w:t>
      </w:r>
      <w:r>
        <w:rPr>
          <w:sz w:val="25"/>
          <w:szCs w:val="25"/>
        </w:rPr>
        <w:t>February 4, 2014</w:t>
      </w:r>
      <w:r w:rsidRPr="001823E4">
        <w:rPr>
          <w:sz w:val="25"/>
          <w:szCs w:val="25"/>
        </w:rPr>
        <w:t xml:space="preserve">, and </w:t>
      </w:r>
      <w:r w:rsidRPr="00BD2C68">
        <w:rPr>
          <w:sz w:val="25"/>
          <w:szCs w:val="25"/>
        </w:rPr>
        <w:t>suspended</w:t>
      </w:r>
      <w:r w:rsidRPr="001823E4">
        <w:rPr>
          <w:sz w:val="25"/>
          <w:szCs w:val="25"/>
        </w:rPr>
        <w:t xml:space="preserve"> by prior Co</w:t>
      </w:r>
      <w:r w:rsidRPr="001823E4">
        <w:rPr>
          <w:color w:val="000000"/>
          <w:sz w:val="25"/>
          <w:szCs w:val="25"/>
        </w:rPr>
        <w:t>m</w:t>
      </w:r>
      <w:r w:rsidRPr="001823E4">
        <w:rPr>
          <w:sz w:val="25"/>
          <w:szCs w:val="25"/>
        </w:rPr>
        <w:t xml:space="preserve">mission order, were not shown to be fair, just or reasonable and should be rejected.  </w:t>
      </w:r>
      <w:r w:rsidR="00AE2522" w:rsidRPr="00183EE2">
        <w:rPr>
          <w:color w:val="000000"/>
          <w:sz w:val="25"/>
          <w:szCs w:val="25"/>
        </w:rPr>
        <w:tab/>
      </w:r>
    </w:p>
    <w:p w14:paraId="6E129458" w14:textId="77777777" w:rsidR="00F54D59" w:rsidRDefault="00F54D59" w:rsidP="007448F5">
      <w:pPr>
        <w:pStyle w:val="ListParagraph"/>
        <w:spacing w:line="264" w:lineRule="auto"/>
        <w:rPr>
          <w:sz w:val="25"/>
          <w:szCs w:val="25"/>
        </w:rPr>
      </w:pPr>
    </w:p>
    <w:p w14:paraId="59D1EE53" w14:textId="77777777" w:rsidR="00F54D59" w:rsidRDefault="00F54D59" w:rsidP="007448F5">
      <w:pPr>
        <w:numPr>
          <w:ilvl w:val="0"/>
          <w:numId w:val="10"/>
        </w:numPr>
        <w:spacing w:line="264" w:lineRule="auto"/>
        <w:ind w:left="720" w:hanging="1440"/>
        <w:rPr>
          <w:sz w:val="25"/>
          <w:szCs w:val="25"/>
        </w:rPr>
      </w:pPr>
      <w:r>
        <w:rPr>
          <w:sz w:val="25"/>
          <w:szCs w:val="25"/>
        </w:rPr>
        <w:t>(3)</w:t>
      </w:r>
      <w:r>
        <w:rPr>
          <w:sz w:val="25"/>
          <w:szCs w:val="25"/>
        </w:rPr>
        <w:tab/>
      </w:r>
      <w:r>
        <w:rPr>
          <w:color w:val="000000"/>
          <w:sz w:val="25"/>
          <w:szCs w:val="25"/>
        </w:rPr>
        <w:t>Avista</w:t>
      </w:r>
      <w:r w:rsidRPr="002532DF">
        <w:rPr>
          <w:color w:val="000000"/>
          <w:sz w:val="25"/>
          <w:szCs w:val="25"/>
        </w:rPr>
        <w:t>’s</w:t>
      </w:r>
      <w:r w:rsidRPr="002532DF">
        <w:rPr>
          <w:sz w:val="25"/>
          <w:szCs w:val="25"/>
        </w:rPr>
        <w:t xml:space="preserve"> existing rates for electric service provided in Washington are </w:t>
      </w:r>
      <w:r w:rsidRPr="00BD2C68">
        <w:rPr>
          <w:sz w:val="25"/>
          <w:szCs w:val="25"/>
        </w:rPr>
        <w:t>insufficient</w:t>
      </w:r>
      <w:r w:rsidRPr="002532DF">
        <w:rPr>
          <w:sz w:val="25"/>
          <w:szCs w:val="25"/>
        </w:rPr>
        <w:t xml:space="preserve"> to yield reasonable compensation for the service rendered</w:t>
      </w:r>
      <w:r>
        <w:rPr>
          <w:sz w:val="25"/>
          <w:szCs w:val="25"/>
        </w:rPr>
        <w:t>.</w:t>
      </w:r>
      <w:r w:rsidRPr="002532DF">
        <w:rPr>
          <w:sz w:val="25"/>
          <w:szCs w:val="25"/>
        </w:rPr>
        <w:t xml:space="preserve">  </w:t>
      </w:r>
    </w:p>
    <w:p w14:paraId="65B0D7D1" w14:textId="77777777" w:rsidR="00F54D59" w:rsidRDefault="00F54D59" w:rsidP="007448F5">
      <w:pPr>
        <w:pStyle w:val="ListParagraph"/>
        <w:spacing w:line="264" w:lineRule="auto"/>
        <w:rPr>
          <w:sz w:val="25"/>
          <w:szCs w:val="25"/>
        </w:rPr>
      </w:pPr>
    </w:p>
    <w:p w14:paraId="4C545BD2" w14:textId="77777777" w:rsidR="00F54D59" w:rsidRDefault="00F54D59" w:rsidP="007448F5">
      <w:pPr>
        <w:numPr>
          <w:ilvl w:val="0"/>
          <w:numId w:val="10"/>
        </w:numPr>
        <w:spacing w:line="264" w:lineRule="auto"/>
        <w:ind w:left="720" w:hanging="1440"/>
        <w:rPr>
          <w:sz w:val="25"/>
          <w:szCs w:val="25"/>
        </w:rPr>
      </w:pPr>
      <w:r>
        <w:rPr>
          <w:sz w:val="25"/>
          <w:szCs w:val="25"/>
        </w:rPr>
        <w:t>(4)</w:t>
      </w:r>
      <w:r>
        <w:rPr>
          <w:sz w:val="25"/>
          <w:szCs w:val="25"/>
        </w:rPr>
        <w:tab/>
        <w:t>Avista requires relief with respect to the rates it charges for electric and natural gas services provided in Washington</w:t>
      </w:r>
      <w:r w:rsidRPr="002532DF">
        <w:rPr>
          <w:sz w:val="25"/>
          <w:szCs w:val="25"/>
        </w:rPr>
        <w:t xml:space="preserve">.  </w:t>
      </w:r>
    </w:p>
    <w:p w14:paraId="5B535A88" w14:textId="77777777" w:rsidR="00F54D59" w:rsidRDefault="00F54D59" w:rsidP="007448F5">
      <w:pPr>
        <w:pStyle w:val="ListParagraph"/>
        <w:spacing w:line="264" w:lineRule="auto"/>
        <w:rPr>
          <w:sz w:val="25"/>
          <w:szCs w:val="25"/>
        </w:rPr>
      </w:pPr>
    </w:p>
    <w:p w14:paraId="27C50C0B" w14:textId="77777777" w:rsidR="00F54D59" w:rsidRPr="00881328" w:rsidRDefault="00F54D59" w:rsidP="007448F5">
      <w:pPr>
        <w:numPr>
          <w:ilvl w:val="0"/>
          <w:numId w:val="10"/>
        </w:numPr>
        <w:spacing w:line="264" w:lineRule="auto"/>
        <w:ind w:left="720" w:hanging="1440"/>
        <w:rPr>
          <w:sz w:val="25"/>
          <w:szCs w:val="25"/>
        </w:rPr>
      </w:pPr>
      <w:r>
        <w:rPr>
          <w:sz w:val="25"/>
          <w:szCs w:val="25"/>
        </w:rPr>
        <w:t>(5)</w:t>
      </w:r>
      <w:r>
        <w:rPr>
          <w:sz w:val="25"/>
          <w:szCs w:val="25"/>
        </w:rPr>
        <w:tab/>
      </w:r>
      <w:r w:rsidR="00881328">
        <w:rPr>
          <w:color w:val="000000"/>
          <w:sz w:val="25"/>
          <w:szCs w:val="25"/>
        </w:rPr>
        <w:t xml:space="preserve">The Settlement filed by the parties to this proceeding on August 18, 2014, </w:t>
      </w:r>
      <w:r w:rsidR="00FC2A8F">
        <w:rPr>
          <w:color w:val="000000"/>
          <w:sz w:val="25"/>
          <w:szCs w:val="25"/>
        </w:rPr>
        <w:t>and revised on</w:t>
      </w:r>
      <w:r w:rsidR="007B12D4">
        <w:rPr>
          <w:color w:val="000000"/>
          <w:sz w:val="25"/>
          <w:szCs w:val="25"/>
        </w:rPr>
        <w:t xml:space="preserve"> September 8, 2014,</w:t>
      </w:r>
      <w:r w:rsidR="00FC2A8F">
        <w:rPr>
          <w:color w:val="000000"/>
          <w:sz w:val="25"/>
          <w:szCs w:val="25"/>
        </w:rPr>
        <w:t xml:space="preserve"> </w:t>
      </w:r>
      <w:r w:rsidR="00881328">
        <w:rPr>
          <w:color w:val="000000"/>
          <w:sz w:val="25"/>
          <w:szCs w:val="25"/>
        </w:rPr>
        <w:t>if approved</w:t>
      </w:r>
      <w:r w:rsidR="00FC2A8F">
        <w:rPr>
          <w:color w:val="000000"/>
          <w:sz w:val="25"/>
          <w:szCs w:val="25"/>
        </w:rPr>
        <w:t xml:space="preserve"> with conditions, wou</w:t>
      </w:r>
      <w:r w:rsidR="00881328">
        <w:rPr>
          <w:color w:val="000000"/>
          <w:sz w:val="25"/>
          <w:szCs w:val="25"/>
        </w:rPr>
        <w:t xml:space="preserve">ld result in rates that are fair, just, reasonable, and sufficient, and are neither unduly preferential nor discriminatory.  </w:t>
      </w:r>
    </w:p>
    <w:p w14:paraId="4D6BC668" w14:textId="77777777" w:rsidR="00881328" w:rsidRDefault="00FC2A8F" w:rsidP="007448F5">
      <w:pPr>
        <w:pStyle w:val="ListParagraph"/>
        <w:spacing w:line="264" w:lineRule="auto"/>
        <w:rPr>
          <w:sz w:val="25"/>
          <w:szCs w:val="25"/>
        </w:rPr>
      </w:pPr>
      <w:r>
        <w:rPr>
          <w:sz w:val="25"/>
          <w:szCs w:val="25"/>
        </w:rPr>
        <w:t xml:space="preserve"> </w:t>
      </w:r>
    </w:p>
    <w:p w14:paraId="3AA75767" w14:textId="77777777" w:rsidR="00881328" w:rsidRDefault="00881328" w:rsidP="007448F5">
      <w:pPr>
        <w:numPr>
          <w:ilvl w:val="0"/>
          <w:numId w:val="10"/>
        </w:numPr>
        <w:spacing w:line="264" w:lineRule="auto"/>
        <w:ind w:left="720" w:hanging="1440"/>
        <w:rPr>
          <w:sz w:val="25"/>
          <w:szCs w:val="25"/>
        </w:rPr>
      </w:pPr>
      <w:r>
        <w:rPr>
          <w:sz w:val="25"/>
          <w:szCs w:val="25"/>
        </w:rPr>
        <w:t>(6)</w:t>
      </w:r>
      <w:r>
        <w:rPr>
          <w:sz w:val="25"/>
          <w:szCs w:val="25"/>
        </w:rPr>
        <w:tab/>
      </w:r>
      <w:r>
        <w:rPr>
          <w:color w:val="000000"/>
          <w:sz w:val="25"/>
          <w:szCs w:val="25"/>
        </w:rPr>
        <w:t xml:space="preserve">The Settlement, which is attached to this Order as Appendix A, </w:t>
      </w:r>
      <w:r w:rsidR="00FC2A8F">
        <w:rPr>
          <w:color w:val="000000"/>
          <w:sz w:val="25"/>
          <w:szCs w:val="25"/>
        </w:rPr>
        <w:t xml:space="preserve">and </w:t>
      </w:r>
      <w:r w:rsidR="001F3B9F">
        <w:rPr>
          <w:color w:val="000000"/>
          <w:sz w:val="25"/>
          <w:szCs w:val="25"/>
        </w:rPr>
        <w:t xml:space="preserve">subject to the </w:t>
      </w:r>
      <w:r w:rsidR="00FC2A8F">
        <w:rPr>
          <w:color w:val="000000"/>
          <w:sz w:val="25"/>
          <w:szCs w:val="25"/>
        </w:rPr>
        <w:t>condition</w:t>
      </w:r>
      <w:r w:rsidR="001F3B9F">
        <w:rPr>
          <w:color w:val="000000"/>
          <w:sz w:val="25"/>
          <w:szCs w:val="25"/>
        </w:rPr>
        <w:t>s</w:t>
      </w:r>
      <w:r w:rsidR="00FC2A8F">
        <w:rPr>
          <w:color w:val="000000"/>
          <w:sz w:val="25"/>
          <w:szCs w:val="25"/>
        </w:rPr>
        <w:t xml:space="preserve"> in paragraph 5, </w:t>
      </w:r>
      <w:r>
        <w:rPr>
          <w:color w:val="000000"/>
          <w:sz w:val="25"/>
          <w:szCs w:val="25"/>
        </w:rPr>
        <w:t>should be approved by the Commission as a reasonable resolution of the issues presented</w:t>
      </w:r>
      <w:r w:rsidRPr="002532DF">
        <w:rPr>
          <w:sz w:val="25"/>
          <w:szCs w:val="25"/>
        </w:rPr>
        <w:t>.</w:t>
      </w:r>
    </w:p>
    <w:p w14:paraId="40D0D92B" w14:textId="77777777" w:rsidR="00881328" w:rsidRDefault="00881328" w:rsidP="007448F5">
      <w:pPr>
        <w:pStyle w:val="ListParagraph"/>
        <w:spacing w:line="264" w:lineRule="auto"/>
        <w:rPr>
          <w:sz w:val="25"/>
          <w:szCs w:val="25"/>
        </w:rPr>
      </w:pPr>
    </w:p>
    <w:p w14:paraId="27281CCA" w14:textId="334A24A2" w:rsidR="00881328" w:rsidRDefault="00881328" w:rsidP="007448F5">
      <w:pPr>
        <w:numPr>
          <w:ilvl w:val="0"/>
          <w:numId w:val="10"/>
        </w:numPr>
        <w:spacing w:line="264" w:lineRule="auto"/>
        <w:ind w:left="720" w:hanging="1440"/>
        <w:rPr>
          <w:sz w:val="25"/>
          <w:szCs w:val="25"/>
        </w:rPr>
      </w:pPr>
      <w:r>
        <w:rPr>
          <w:sz w:val="25"/>
          <w:szCs w:val="25"/>
        </w:rPr>
        <w:t>(7)</w:t>
      </w:r>
      <w:r>
        <w:rPr>
          <w:sz w:val="25"/>
          <w:szCs w:val="25"/>
        </w:rPr>
        <w:tab/>
        <w:t xml:space="preserve">The Low Income Rate Assistance Program portion of Schedules 91 and 191 should be increased in Avista’s electric and natural gas tariffs to levels </w:t>
      </w:r>
      <w:r w:rsidR="00FC2A8F">
        <w:rPr>
          <w:sz w:val="25"/>
          <w:szCs w:val="25"/>
        </w:rPr>
        <w:t>double th</w:t>
      </w:r>
      <w:r w:rsidR="00BD2C68">
        <w:rPr>
          <w:sz w:val="25"/>
          <w:szCs w:val="25"/>
        </w:rPr>
        <w:t>ose</w:t>
      </w:r>
      <w:r w:rsidR="00FC2A8F">
        <w:rPr>
          <w:sz w:val="25"/>
          <w:szCs w:val="25"/>
        </w:rPr>
        <w:t xml:space="preserve"> listed in </w:t>
      </w:r>
      <w:r>
        <w:rPr>
          <w:sz w:val="25"/>
          <w:szCs w:val="25"/>
        </w:rPr>
        <w:t>the Settlement.</w:t>
      </w:r>
    </w:p>
    <w:p w14:paraId="48E546E0" w14:textId="77777777" w:rsidR="00881328" w:rsidRDefault="00881328" w:rsidP="007448F5">
      <w:pPr>
        <w:pStyle w:val="ListParagraph"/>
        <w:spacing w:line="264" w:lineRule="auto"/>
        <w:rPr>
          <w:sz w:val="25"/>
          <w:szCs w:val="25"/>
        </w:rPr>
      </w:pPr>
    </w:p>
    <w:p w14:paraId="1EDCE2E2" w14:textId="77777777" w:rsidR="00881328" w:rsidRDefault="00881328" w:rsidP="007448F5">
      <w:pPr>
        <w:numPr>
          <w:ilvl w:val="0"/>
          <w:numId w:val="10"/>
        </w:numPr>
        <w:spacing w:line="264" w:lineRule="auto"/>
        <w:ind w:left="720" w:hanging="1440"/>
        <w:rPr>
          <w:sz w:val="25"/>
          <w:szCs w:val="25"/>
        </w:rPr>
      </w:pPr>
      <w:r>
        <w:rPr>
          <w:sz w:val="25"/>
          <w:szCs w:val="25"/>
        </w:rPr>
        <w:t>(8)</w:t>
      </w:r>
      <w:r>
        <w:rPr>
          <w:sz w:val="25"/>
          <w:szCs w:val="25"/>
        </w:rPr>
        <w:tab/>
      </w:r>
      <w:r w:rsidR="00546F61">
        <w:rPr>
          <w:sz w:val="25"/>
          <w:szCs w:val="25"/>
        </w:rPr>
        <w:t>The Settlement is lawful and a</w:t>
      </w:r>
      <w:r>
        <w:rPr>
          <w:sz w:val="25"/>
          <w:szCs w:val="25"/>
        </w:rPr>
        <w:t xml:space="preserve">pproval and adoption of </w:t>
      </w:r>
      <w:r w:rsidR="00546F61">
        <w:rPr>
          <w:sz w:val="25"/>
          <w:szCs w:val="25"/>
        </w:rPr>
        <w:t xml:space="preserve">it, subject to the conditions set forth in </w:t>
      </w:r>
      <w:r w:rsidR="00546F61" w:rsidRPr="009D309B">
        <w:rPr>
          <w:sz w:val="25"/>
          <w:szCs w:val="25"/>
        </w:rPr>
        <w:t>paragraph</w:t>
      </w:r>
      <w:r w:rsidR="00546F61">
        <w:rPr>
          <w:sz w:val="25"/>
          <w:szCs w:val="25"/>
        </w:rPr>
        <w:t xml:space="preserve"> </w:t>
      </w:r>
      <w:r w:rsidR="009D309B">
        <w:rPr>
          <w:sz w:val="25"/>
          <w:szCs w:val="25"/>
        </w:rPr>
        <w:t>5</w:t>
      </w:r>
      <w:r w:rsidR="00546F61">
        <w:rPr>
          <w:sz w:val="25"/>
          <w:szCs w:val="25"/>
        </w:rPr>
        <w:t>,</w:t>
      </w:r>
      <w:r>
        <w:rPr>
          <w:sz w:val="25"/>
          <w:szCs w:val="25"/>
        </w:rPr>
        <w:t xml:space="preserve"> is in the public interest</w:t>
      </w:r>
      <w:r w:rsidRPr="002532DF">
        <w:rPr>
          <w:sz w:val="25"/>
          <w:szCs w:val="25"/>
        </w:rPr>
        <w:t>.</w:t>
      </w:r>
    </w:p>
    <w:p w14:paraId="1AF8B3F9" w14:textId="77777777" w:rsidR="00881328" w:rsidRDefault="00881328" w:rsidP="007448F5">
      <w:pPr>
        <w:pStyle w:val="ListParagraph"/>
        <w:spacing w:line="264" w:lineRule="auto"/>
        <w:rPr>
          <w:sz w:val="25"/>
          <w:szCs w:val="25"/>
        </w:rPr>
      </w:pPr>
    </w:p>
    <w:p w14:paraId="521D0FF4" w14:textId="77777777" w:rsidR="00881328" w:rsidRPr="00881328" w:rsidRDefault="00881328" w:rsidP="007448F5">
      <w:pPr>
        <w:numPr>
          <w:ilvl w:val="0"/>
          <w:numId w:val="10"/>
        </w:numPr>
        <w:spacing w:line="264" w:lineRule="auto"/>
        <w:ind w:left="720" w:hanging="1440"/>
        <w:rPr>
          <w:sz w:val="25"/>
          <w:szCs w:val="25"/>
        </w:rPr>
      </w:pPr>
      <w:r>
        <w:rPr>
          <w:sz w:val="25"/>
          <w:szCs w:val="25"/>
        </w:rPr>
        <w:t>(9)</w:t>
      </w:r>
      <w:r>
        <w:rPr>
          <w:sz w:val="25"/>
          <w:szCs w:val="25"/>
        </w:rPr>
        <w:tab/>
      </w:r>
      <w:r>
        <w:rPr>
          <w:bCs/>
          <w:sz w:val="25"/>
          <w:szCs w:val="25"/>
        </w:rPr>
        <w:t>Avista should be required to make such compliance and subsequent filings as are necessary to effectuate the terms of this Order</w:t>
      </w:r>
      <w:r w:rsidRPr="002532DF">
        <w:rPr>
          <w:sz w:val="25"/>
          <w:szCs w:val="25"/>
        </w:rPr>
        <w:t>.</w:t>
      </w:r>
      <w:r w:rsidRPr="002532DF">
        <w:rPr>
          <w:i/>
          <w:iCs/>
          <w:sz w:val="25"/>
          <w:szCs w:val="25"/>
        </w:rPr>
        <w:t xml:space="preserve">  </w:t>
      </w:r>
    </w:p>
    <w:p w14:paraId="3FF9DBD5" w14:textId="77777777" w:rsidR="00881328" w:rsidRDefault="00881328" w:rsidP="007448F5">
      <w:pPr>
        <w:pStyle w:val="ListParagraph"/>
        <w:spacing w:line="264" w:lineRule="auto"/>
        <w:rPr>
          <w:sz w:val="25"/>
          <w:szCs w:val="25"/>
        </w:rPr>
      </w:pPr>
    </w:p>
    <w:p w14:paraId="6F734C33" w14:textId="77777777" w:rsidR="00881328" w:rsidRDefault="00881328" w:rsidP="007448F5">
      <w:pPr>
        <w:numPr>
          <w:ilvl w:val="0"/>
          <w:numId w:val="10"/>
        </w:numPr>
        <w:spacing w:line="264" w:lineRule="auto"/>
        <w:ind w:left="720" w:hanging="1440"/>
        <w:rPr>
          <w:sz w:val="25"/>
          <w:szCs w:val="25"/>
        </w:rPr>
      </w:pPr>
      <w:r>
        <w:rPr>
          <w:sz w:val="25"/>
          <w:szCs w:val="25"/>
        </w:rPr>
        <w:t>(10)</w:t>
      </w:r>
      <w:r>
        <w:rPr>
          <w:sz w:val="25"/>
          <w:szCs w:val="25"/>
        </w:rPr>
        <w:tab/>
      </w:r>
      <w:r w:rsidRPr="002532DF">
        <w:rPr>
          <w:sz w:val="25"/>
          <w:szCs w:val="25"/>
        </w:rPr>
        <w:t xml:space="preserve">The Commission Secretary should be authorized to accept by letter, with </w:t>
      </w:r>
      <w:r w:rsidRPr="002532DF">
        <w:rPr>
          <w:sz w:val="26"/>
          <w:szCs w:val="26"/>
        </w:rPr>
        <w:t>copies</w:t>
      </w:r>
      <w:r w:rsidRPr="002532DF">
        <w:rPr>
          <w:sz w:val="25"/>
          <w:szCs w:val="25"/>
        </w:rPr>
        <w:t xml:space="preserve"> to all parties to this proceeding, a filing that complies with the requirements of this Order.  </w:t>
      </w:r>
    </w:p>
    <w:p w14:paraId="353F27DB" w14:textId="77777777" w:rsidR="00881328" w:rsidRDefault="00881328" w:rsidP="007448F5">
      <w:pPr>
        <w:pStyle w:val="ListParagraph"/>
        <w:spacing w:line="264" w:lineRule="auto"/>
        <w:rPr>
          <w:sz w:val="25"/>
          <w:szCs w:val="25"/>
        </w:rPr>
      </w:pPr>
    </w:p>
    <w:p w14:paraId="52E8C29E" w14:textId="77777777" w:rsidR="00881328" w:rsidRDefault="00881328" w:rsidP="007448F5">
      <w:pPr>
        <w:numPr>
          <w:ilvl w:val="0"/>
          <w:numId w:val="10"/>
        </w:numPr>
        <w:spacing w:line="264" w:lineRule="auto"/>
        <w:ind w:left="720" w:hanging="1440"/>
        <w:rPr>
          <w:sz w:val="25"/>
          <w:szCs w:val="25"/>
        </w:rPr>
      </w:pPr>
      <w:r>
        <w:rPr>
          <w:sz w:val="25"/>
          <w:szCs w:val="25"/>
        </w:rPr>
        <w:t>(11)</w:t>
      </w:r>
      <w:r>
        <w:rPr>
          <w:sz w:val="25"/>
          <w:szCs w:val="25"/>
        </w:rPr>
        <w:tab/>
      </w:r>
      <w:r w:rsidRPr="00995FF3">
        <w:rPr>
          <w:sz w:val="25"/>
          <w:szCs w:val="25"/>
        </w:rPr>
        <w:t xml:space="preserve">The Commission should retain jurisdiction over the subject matters and the parties to this proceeding to effectuate the terms of this Order.  </w:t>
      </w:r>
    </w:p>
    <w:p w14:paraId="21B3F109" w14:textId="77777777" w:rsidR="007B12D4" w:rsidRPr="00183EE2" w:rsidRDefault="007B12D4" w:rsidP="007448F5">
      <w:pPr>
        <w:spacing w:line="264" w:lineRule="auto"/>
        <w:ind w:left="720"/>
        <w:rPr>
          <w:sz w:val="25"/>
          <w:szCs w:val="25"/>
        </w:rPr>
      </w:pPr>
    </w:p>
    <w:p w14:paraId="106AFDD4" w14:textId="77777777" w:rsidR="00AE2522" w:rsidRPr="00103CD2" w:rsidRDefault="00AE2522" w:rsidP="007448F5">
      <w:pPr>
        <w:pStyle w:val="Heading1"/>
        <w:spacing w:before="0" w:after="0" w:line="264" w:lineRule="auto"/>
        <w:jc w:val="center"/>
        <w:rPr>
          <w:rFonts w:ascii="Times New Roman" w:hAnsi="Times New Roman" w:cs="Times New Roman"/>
          <w:sz w:val="25"/>
          <w:szCs w:val="25"/>
          <w:u w:val="single"/>
        </w:rPr>
      </w:pPr>
      <w:bookmarkStart w:id="17" w:name="_Toc249252827"/>
      <w:r w:rsidRPr="00103CD2">
        <w:rPr>
          <w:rFonts w:ascii="Times New Roman" w:hAnsi="Times New Roman" w:cs="Times New Roman"/>
          <w:sz w:val="25"/>
          <w:szCs w:val="25"/>
          <w:u w:val="single"/>
        </w:rPr>
        <w:t>ORDER</w:t>
      </w:r>
      <w:bookmarkEnd w:id="17"/>
    </w:p>
    <w:p w14:paraId="7398660F" w14:textId="77777777" w:rsidR="00AE2522" w:rsidRPr="000D4629" w:rsidRDefault="00AE2522" w:rsidP="007448F5">
      <w:pPr>
        <w:spacing w:line="264" w:lineRule="auto"/>
        <w:rPr>
          <w:sz w:val="25"/>
          <w:szCs w:val="25"/>
        </w:rPr>
      </w:pPr>
    </w:p>
    <w:p w14:paraId="3890488F" w14:textId="77777777" w:rsidR="00AE2522" w:rsidRPr="009E4B37" w:rsidRDefault="00AE2522" w:rsidP="007448F5">
      <w:pPr>
        <w:spacing w:line="264" w:lineRule="auto"/>
        <w:rPr>
          <w:bCs/>
          <w:sz w:val="25"/>
          <w:szCs w:val="25"/>
        </w:rPr>
      </w:pPr>
      <w:r w:rsidRPr="009E4B37">
        <w:rPr>
          <w:bCs/>
          <w:sz w:val="25"/>
          <w:szCs w:val="25"/>
        </w:rPr>
        <w:t>THE COMMISSION ORDERS:</w:t>
      </w:r>
    </w:p>
    <w:p w14:paraId="123C5A36" w14:textId="77777777" w:rsidR="00AE2522" w:rsidRPr="009E4B37" w:rsidRDefault="00AE2522" w:rsidP="007448F5">
      <w:pPr>
        <w:spacing w:line="264" w:lineRule="auto"/>
        <w:jc w:val="center"/>
        <w:rPr>
          <w:sz w:val="25"/>
          <w:szCs w:val="25"/>
        </w:rPr>
      </w:pPr>
    </w:p>
    <w:p w14:paraId="305D8F4D" w14:textId="77777777" w:rsidR="00AE2522" w:rsidRDefault="00AE2522" w:rsidP="007448F5">
      <w:pPr>
        <w:numPr>
          <w:ilvl w:val="0"/>
          <w:numId w:val="10"/>
        </w:numPr>
        <w:spacing w:line="264" w:lineRule="auto"/>
        <w:ind w:left="720" w:hanging="1440"/>
        <w:rPr>
          <w:sz w:val="25"/>
          <w:szCs w:val="25"/>
        </w:rPr>
      </w:pPr>
      <w:r w:rsidRPr="009E4B37">
        <w:rPr>
          <w:sz w:val="25"/>
          <w:szCs w:val="25"/>
        </w:rPr>
        <w:t>(1)</w:t>
      </w:r>
      <w:r w:rsidRPr="009E4B37">
        <w:rPr>
          <w:sz w:val="25"/>
          <w:szCs w:val="25"/>
        </w:rPr>
        <w:tab/>
      </w:r>
      <w:r w:rsidR="00881328" w:rsidRPr="00881328">
        <w:rPr>
          <w:rStyle w:val="RCWSLText"/>
          <w:rFonts w:ascii="Times New Roman" w:hAnsi="Times New Roman" w:cs="Times New Roman"/>
          <w:sz w:val="25"/>
          <w:szCs w:val="25"/>
        </w:rPr>
        <w:t>T</w:t>
      </w:r>
      <w:r w:rsidR="00881328" w:rsidRPr="002532DF">
        <w:rPr>
          <w:sz w:val="25"/>
          <w:szCs w:val="25"/>
        </w:rPr>
        <w:t xml:space="preserve">he proposed tariff revisions </w:t>
      </w:r>
      <w:r w:rsidR="00881328">
        <w:rPr>
          <w:sz w:val="25"/>
          <w:szCs w:val="25"/>
        </w:rPr>
        <w:t xml:space="preserve">Avista Corporation, d/b/a Avista Utilities, </w:t>
      </w:r>
      <w:r w:rsidR="00881328" w:rsidRPr="002532DF">
        <w:rPr>
          <w:sz w:val="25"/>
          <w:szCs w:val="25"/>
        </w:rPr>
        <w:t xml:space="preserve">filed on </w:t>
      </w:r>
      <w:r w:rsidR="00881328">
        <w:rPr>
          <w:sz w:val="25"/>
          <w:szCs w:val="25"/>
        </w:rPr>
        <w:t>February 4, 2014</w:t>
      </w:r>
      <w:r w:rsidR="00881328" w:rsidRPr="002532DF">
        <w:rPr>
          <w:sz w:val="25"/>
          <w:szCs w:val="25"/>
        </w:rPr>
        <w:t>, and suspended by prior Commission order, are rejected.</w:t>
      </w:r>
    </w:p>
    <w:p w14:paraId="104F53F8" w14:textId="77777777" w:rsidR="00881328" w:rsidRDefault="00881328" w:rsidP="007448F5">
      <w:pPr>
        <w:spacing w:line="264" w:lineRule="auto"/>
        <w:rPr>
          <w:sz w:val="25"/>
          <w:szCs w:val="25"/>
        </w:rPr>
      </w:pPr>
    </w:p>
    <w:p w14:paraId="4E550026" w14:textId="77777777" w:rsidR="00881328" w:rsidRDefault="00881328" w:rsidP="007448F5">
      <w:pPr>
        <w:numPr>
          <w:ilvl w:val="0"/>
          <w:numId w:val="10"/>
        </w:numPr>
        <w:spacing w:line="264" w:lineRule="auto"/>
        <w:ind w:left="720" w:hanging="1440"/>
        <w:rPr>
          <w:sz w:val="25"/>
          <w:szCs w:val="25"/>
        </w:rPr>
      </w:pPr>
      <w:r>
        <w:rPr>
          <w:sz w:val="25"/>
          <w:szCs w:val="25"/>
        </w:rPr>
        <w:t>(2)</w:t>
      </w:r>
      <w:r>
        <w:rPr>
          <w:sz w:val="25"/>
          <w:szCs w:val="25"/>
        </w:rPr>
        <w:tab/>
        <w:t xml:space="preserve">The Settlement filed by the parties on </w:t>
      </w:r>
      <w:r w:rsidR="009D309B">
        <w:rPr>
          <w:sz w:val="25"/>
          <w:szCs w:val="25"/>
        </w:rPr>
        <w:t>August 18, 2014</w:t>
      </w:r>
      <w:r>
        <w:rPr>
          <w:sz w:val="25"/>
          <w:szCs w:val="25"/>
        </w:rPr>
        <w:t>,</w:t>
      </w:r>
      <w:r w:rsidR="00C92299">
        <w:rPr>
          <w:sz w:val="25"/>
          <w:szCs w:val="25"/>
        </w:rPr>
        <w:t xml:space="preserve"> </w:t>
      </w:r>
      <w:r w:rsidR="00FC2A8F">
        <w:rPr>
          <w:sz w:val="25"/>
          <w:szCs w:val="25"/>
        </w:rPr>
        <w:t xml:space="preserve">and revised on </w:t>
      </w:r>
      <w:r w:rsidR="007B12D4">
        <w:rPr>
          <w:sz w:val="25"/>
          <w:szCs w:val="25"/>
        </w:rPr>
        <w:t xml:space="preserve">September 8, 2014, </w:t>
      </w:r>
      <w:r>
        <w:rPr>
          <w:sz w:val="25"/>
          <w:szCs w:val="25"/>
        </w:rPr>
        <w:t>which is attach</w:t>
      </w:r>
      <w:r w:rsidR="009D309B">
        <w:rPr>
          <w:sz w:val="25"/>
          <w:szCs w:val="25"/>
        </w:rPr>
        <w:t xml:space="preserve">ed to this Order as Appendix A and subject to the conditions listed in paragraph 5, </w:t>
      </w:r>
      <w:r>
        <w:rPr>
          <w:sz w:val="25"/>
          <w:szCs w:val="25"/>
        </w:rPr>
        <w:t>is approved and adopted as being in the public interest</w:t>
      </w:r>
      <w:r w:rsidRPr="002532DF">
        <w:rPr>
          <w:sz w:val="25"/>
          <w:szCs w:val="25"/>
        </w:rPr>
        <w:t>.</w:t>
      </w:r>
    </w:p>
    <w:p w14:paraId="2DF38E58" w14:textId="77777777" w:rsidR="00881328" w:rsidRDefault="00881328" w:rsidP="007448F5">
      <w:pPr>
        <w:pStyle w:val="ListParagraph"/>
        <w:spacing w:line="264" w:lineRule="auto"/>
        <w:rPr>
          <w:sz w:val="25"/>
          <w:szCs w:val="25"/>
        </w:rPr>
      </w:pPr>
    </w:p>
    <w:p w14:paraId="73A885F4" w14:textId="2F2274EE" w:rsidR="00881328" w:rsidRDefault="00881328" w:rsidP="007448F5">
      <w:pPr>
        <w:numPr>
          <w:ilvl w:val="0"/>
          <w:numId w:val="10"/>
        </w:numPr>
        <w:spacing w:line="264" w:lineRule="auto"/>
        <w:ind w:left="720" w:hanging="1440"/>
        <w:rPr>
          <w:sz w:val="25"/>
          <w:szCs w:val="25"/>
        </w:rPr>
      </w:pPr>
      <w:r>
        <w:rPr>
          <w:sz w:val="25"/>
          <w:szCs w:val="25"/>
        </w:rPr>
        <w:t>(3)</w:t>
      </w:r>
      <w:r>
        <w:rPr>
          <w:sz w:val="25"/>
          <w:szCs w:val="25"/>
        </w:rPr>
        <w:tab/>
        <w:t>Avista is required to make a compliance filing including such new and revised tariff sheets as are necessary to implement the requirements of this Order.  The stated effective date of the revised tariff sheets shall be January 1, 2015, in accordance with the terms of the Settlement.  Avista must make its compliance filing</w:t>
      </w:r>
      <w:r w:rsidR="00F6355C">
        <w:rPr>
          <w:sz w:val="25"/>
          <w:szCs w:val="25"/>
        </w:rPr>
        <w:t>, assuming conditions are accepted, as soon as possible, but no later than December 15, 2014,</w:t>
      </w:r>
      <w:r>
        <w:rPr>
          <w:sz w:val="25"/>
          <w:szCs w:val="25"/>
        </w:rPr>
        <w:t xml:space="preserve"> , to afford Staff a reasonable opportunity to review the filing and to inform the Commission whether Staff finds the revised tariff sheets fully conform to the requirements of this Order</w:t>
      </w:r>
      <w:r w:rsidRPr="002532DF">
        <w:rPr>
          <w:sz w:val="25"/>
          <w:szCs w:val="25"/>
        </w:rPr>
        <w:t>.</w:t>
      </w:r>
    </w:p>
    <w:p w14:paraId="7401024C" w14:textId="77777777" w:rsidR="00CC7B60" w:rsidRDefault="00CC7B60" w:rsidP="00CC7B60">
      <w:pPr>
        <w:pStyle w:val="ListParagraph"/>
        <w:rPr>
          <w:sz w:val="25"/>
          <w:szCs w:val="25"/>
        </w:rPr>
      </w:pPr>
    </w:p>
    <w:p w14:paraId="22A02039" w14:textId="390CE9C8" w:rsidR="00CC7B60" w:rsidRDefault="00CC7B60" w:rsidP="007448F5">
      <w:pPr>
        <w:numPr>
          <w:ilvl w:val="0"/>
          <w:numId w:val="10"/>
        </w:numPr>
        <w:spacing w:line="264" w:lineRule="auto"/>
        <w:ind w:left="720" w:hanging="1440"/>
        <w:rPr>
          <w:sz w:val="25"/>
          <w:szCs w:val="25"/>
        </w:rPr>
      </w:pPr>
      <w:r>
        <w:rPr>
          <w:sz w:val="25"/>
          <w:szCs w:val="25"/>
        </w:rPr>
        <w:t>(4)</w:t>
      </w:r>
      <w:r>
        <w:rPr>
          <w:sz w:val="25"/>
          <w:szCs w:val="25"/>
        </w:rPr>
        <w:tab/>
      </w:r>
      <w:r w:rsidRPr="00D32212">
        <w:rPr>
          <w:sz w:val="25"/>
          <w:szCs w:val="25"/>
        </w:rPr>
        <w:t xml:space="preserve">Within </w:t>
      </w:r>
      <w:r>
        <w:rPr>
          <w:sz w:val="25"/>
          <w:szCs w:val="25"/>
        </w:rPr>
        <w:t>10</w:t>
      </w:r>
      <w:r w:rsidRPr="00D32212">
        <w:rPr>
          <w:sz w:val="25"/>
          <w:szCs w:val="25"/>
        </w:rPr>
        <w:t xml:space="preserve"> days </w:t>
      </w:r>
      <w:r w:rsidRPr="00F12D4B">
        <w:rPr>
          <w:color w:val="000000"/>
          <w:sz w:val="25"/>
          <w:szCs w:val="25"/>
        </w:rPr>
        <w:t>from</w:t>
      </w:r>
      <w:r w:rsidRPr="00D32212">
        <w:rPr>
          <w:sz w:val="25"/>
          <w:szCs w:val="25"/>
        </w:rPr>
        <w:t xml:space="preserve"> the </w:t>
      </w:r>
      <w:r w:rsidRPr="001C32A0">
        <w:rPr>
          <w:color w:val="000000"/>
          <w:sz w:val="25"/>
          <w:szCs w:val="25"/>
        </w:rPr>
        <w:t>date</w:t>
      </w:r>
      <w:r w:rsidRPr="00D32212">
        <w:rPr>
          <w:sz w:val="25"/>
          <w:szCs w:val="25"/>
        </w:rPr>
        <w:t xml:space="preserve"> of this Order, </w:t>
      </w:r>
      <w:r>
        <w:rPr>
          <w:sz w:val="25"/>
          <w:szCs w:val="25"/>
        </w:rPr>
        <w:t>Avista</w:t>
      </w:r>
      <w:r w:rsidRPr="00D32212">
        <w:rPr>
          <w:sz w:val="25"/>
          <w:szCs w:val="25"/>
        </w:rPr>
        <w:t xml:space="preserve"> must </w:t>
      </w:r>
      <w:r w:rsidR="00356FE5">
        <w:rPr>
          <w:sz w:val="25"/>
          <w:szCs w:val="25"/>
        </w:rPr>
        <w:t xml:space="preserve">file </w:t>
      </w:r>
      <w:r>
        <w:rPr>
          <w:sz w:val="25"/>
          <w:szCs w:val="25"/>
        </w:rPr>
        <w:t>notif</w:t>
      </w:r>
      <w:r w:rsidR="00356FE5">
        <w:rPr>
          <w:sz w:val="25"/>
          <w:szCs w:val="25"/>
        </w:rPr>
        <w:t>ication with</w:t>
      </w:r>
      <w:r>
        <w:rPr>
          <w:sz w:val="25"/>
          <w:szCs w:val="25"/>
        </w:rPr>
        <w:t xml:space="preserve"> the Commission </w:t>
      </w:r>
      <w:r w:rsidR="00356FE5">
        <w:rPr>
          <w:sz w:val="25"/>
          <w:szCs w:val="25"/>
        </w:rPr>
        <w:t xml:space="preserve">if it </w:t>
      </w:r>
      <w:r w:rsidRPr="00D32212">
        <w:rPr>
          <w:sz w:val="25"/>
          <w:szCs w:val="25"/>
        </w:rPr>
        <w:t>accept</w:t>
      </w:r>
      <w:r w:rsidR="00356FE5">
        <w:rPr>
          <w:sz w:val="25"/>
          <w:szCs w:val="25"/>
        </w:rPr>
        <w:t>s</w:t>
      </w:r>
      <w:r w:rsidRPr="00D32212">
        <w:rPr>
          <w:sz w:val="25"/>
          <w:szCs w:val="25"/>
        </w:rPr>
        <w:t xml:space="preserve"> the conditions imposed by the Commission.</w:t>
      </w:r>
    </w:p>
    <w:p w14:paraId="2327E67E" w14:textId="77777777" w:rsidR="00881328" w:rsidRDefault="00881328" w:rsidP="007448F5">
      <w:pPr>
        <w:pStyle w:val="ListParagraph"/>
        <w:spacing w:line="264" w:lineRule="auto"/>
        <w:rPr>
          <w:sz w:val="25"/>
          <w:szCs w:val="25"/>
        </w:rPr>
      </w:pPr>
    </w:p>
    <w:p w14:paraId="4CC22532" w14:textId="2C40CC50" w:rsidR="00881328" w:rsidRPr="002532DF" w:rsidRDefault="00881328" w:rsidP="007448F5">
      <w:pPr>
        <w:numPr>
          <w:ilvl w:val="0"/>
          <w:numId w:val="10"/>
        </w:numPr>
        <w:spacing w:line="264" w:lineRule="auto"/>
        <w:ind w:left="720" w:hanging="1440"/>
        <w:rPr>
          <w:b/>
          <w:sz w:val="25"/>
          <w:szCs w:val="25"/>
        </w:rPr>
      </w:pPr>
      <w:r>
        <w:rPr>
          <w:sz w:val="25"/>
          <w:szCs w:val="25"/>
        </w:rPr>
        <w:t>(</w:t>
      </w:r>
      <w:r w:rsidR="00F6355C">
        <w:rPr>
          <w:sz w:val="25"/>
          <w:szCs w:val="25"/>
        </w:rPr>
        <w:t>5</w:t>
      </w:r>
      <w:r>
        <w:rPr>
          <w:sz w:val="25"/>
          <w:szCs w:val="25"/>
        </w:rPr>
        <w:t>)</w:t>
      </w:r>
      <w:r>
        <w:rPr>
          <w:sz w:val="25"/>
          <w:szCs w:val="25"/>
        </w:rPr>
        <w:tab/>
      </w:r>
      <w:r w:rsidRPr="002532DF">
        <w:rPr>
          <w:sz w:val="25"/>
          <w:szCs w:val="25"/>
        </w:rPr>
        <w:t xml:space="preserve">The Commission Secretary is authorized to accept by letter, with copies to all parties to this proceeding, </w:t>
      </w:r>
      <w:r>
        <w:rPr>
          <w:sz w:val="25"/>
          <w:szCs w:val="25"/>
        </w:rPr>
        <w:t xml:space="preserve">such </w:t>
      </w:r>
      <w:r w:rsidRPr="002532DF">
        <w:rPr>
          <w:sz w:val="25"/>
          <w:szCs w:val="25"/>
        </w:rPr>
        <w:t>filing</w:t>
      </w:r>
      <w:r>
        <w:rPr>
          <w:sz w:val="25"/>
          <w:szCs w:val="25"/>
        </w:rPr>
        <w:t xml:space="preserve">s as Avista makes to </w:t>
      </w:r>
      <w:r w:rsidRPr="002532DF">
        <w:rPr>
          <w:sz w:val="25"/>
          <w:szCs w:val="25"/>
        </w:rPr>
        <w:t>compl</w:t>
      </w:r>
      <w:r>
        <w:rPr>
          <w:sz w:val="25"/>
          <w:szCs w:val="25"/>
        </w:rPr>
        <w:t>y</w:t>
      </w:r>
      <w:r w:rsidRPr="002532DF">
        <w:rPr>
          <w:sz w:val="25"/>
          <w:szCs w:val="25"/>
        </w:rPr>
        <w:t xml:space="preserve"> with the </w:t>
      </w:r>
      <w:r>
        <w:rPr>
          <w:sz w:val="25"/>
          <w:szCs w:val="25"/>
        </w:rPr>
        <w:t>term</w:t>
      </w:r>
      <w:r w:rsidRPr="002532DF">
        <w:rPr>
          <w:sz w:val="25"/>
          <w:szCs w:val="25"/>
        </w:rPr>
        <w:t>s of this Order.</w:t>
      </w:r>
    </w:p>
    <w:p w14:paraId="4F19DC8F" w14:textId="77777777" w:rsidR="00881328" w:rsidRDefault="00881328" w:rsidP="007448F5">
      <w:pPr>
        <w:spacing w:line="264" w:lineRule="auto"/>
        <w:rPr>
          <w:sz w:val="25"/>
          <w:szCs w:val="25"/>
        </w:rPr>
      </w:pPr>
    </w:p>
    <w:p w14:paraId="2E2F3B48" w14:textId="67C6AF84" w:rsidR="00881328" w:rsidRPr="00881328" w:rsidRDefault="00881328" w:rsidP="007448F5">
      <w:pPr>
        <w:numPr>
          <w:ilvl w:val="0"/>
          <w:numId w:val="10"/>
        </w:numPr>
        <w:spacing w:line="264" w:lineRule="auto"/>
        <w:ind w:left="720" w:hanging="1440"/>
        <w:rPr>
          <w:sz w:val="25"/>
          <w:szCs w:val="25"/>
        </w:rPr>
      </w:pPr>
      <w:r>
        <w:rPr>
          <w:sz w:val="25"/>
          <w:szCs w:val="25"/>
        </w:rPr>
        <w:t>(</w:t>
      </w:r>
      <w:r w:rsidR="00F6355C">
        <w:rPr>
          <w:sz w:val="25"/>
          <w:szCs w:val="25"/>
        </w:rPr>
        <w:t>6</w:t>
      </w:r>
      <w:r>
        <w:rPr>
          <w:sz w:val="25"/>
          <w:szCs w:val="25"/>
        </w:rPr>
        <w:t>)</w:t>
      </w:r>
      <w:r>
        <w:rPr>
          <w:sz w:val="25"/>
          <w:szCs w:val="25"/>
        </w:rPr>
        <w:tab/>
      </w:r>
      <w:r w:rsidRPr="00BD2C68">
        <w:rPr>
          <w:sz w:val="25"/>
          <w:szCs w:val="25"/>
        </w:rPr>
        <w:t>The Commission retains jurisdiction over the subject matters and parties to this proceeding to effectuate the terms of this Order.</w:t>
      </w:r>
    </w:p>
    <w:p w14:paraId="6502111F" w14:textId="77777777" w:rsidR="00881328" w:rsidRPr="00705ED7" w:rsidRDefault="00881328" w:rsidP="007448F5">
      <w:pPr>
        <w:spacing w:line="264" w:lineRule="auto"/>
        <w:ind w:left="720"/>
        <w:rPr>
          <w:sz w:val="25"/>
          <w:szCs w:val="25"/>
        </w:rPr>
      </w:pPr>
    </w:p>
    <w:p w14:paraId="1B57B58B" w14:textId="546756A2" w:rsidR="00C34B05" w:rsidRPr="000D4629" w:rsidRDefault="00C34B05" w:rsidP="007448F5">
      <w:pPr>
        <w:spacing w:line="264" w:lineRule="auto"/>
        <w:rPr>
          <w:sz w:val="25"/>
          <w:szCs w:val="25"/>
        </w:rPr>
      </w:pPr>
      <w:r w:rsidRPr="000D4629">
        <w:rPr>
          <w:sz w:val="25"/>
          <w:szCs w:val="25"/>
        </w:rPr>
        <w:t>Dated at Olympia, Washington, and effective</w:t>
      </w:r>
      <w:r w:rsidR="003D42C5">
        <w:rPr>
          <w:sz w:val="25"/>
          <w:szCs w:val="25"/>
        </w:rPr>
        <w:t xml:space="preserve"> November </w:t>
      </w:r>
      <w:r w:rsidR="00F36A1B">
        <w:rPr>
          <w:sz w:val="25"/>
          <w:szCs w:val="25"/>
        </w:rPr>
        <w:t>25</w:t>
      </w:r>
      <w:r w:rsidR="003D42C5">
        <w:rPr>
          <w:sz w:val="25"/>
          <w:szCs w:val="25"/>
        </w:rPr>
        <w:t>, 2014</w:t>
      </w:r>
      <w:r w:rsidRPr="000D4629">
        <w:rPr>
          <w:sz w:val="25"/>
          <w:szCs w:val="25"/>
        </w:rPr>
        <w:t>.</w:t>
      </w:r>
    </w:p>
    <w:p w14:paraId="0EDC62D3" w14:textId="77777777" w:rsidR="00C34B05" w:rsidRPr="000D4629" w:rsidRDefault="00C34B05" w:rsidP="007448F5">
      <w:pPr>
        <w:pStyle w:val="Header"/>
        <w:tabs>
          <w:tab w:val="clear" w:pos="4320"/>
          <w:tab w:val="clear" w:pos="8640"/>
        </w:tabs>
        <w:spacing w:line="264" w:lineRule="auto"/>
        <w:rPr>
          <w:sz w:val="25"/>
          <w:szCs w:val="25"/>
        </w:rPr>
      </w:pPr>
    </w:p>
    <w:bookmarkEnd w:id="5"/>
    <w:bookmarkEnd w:id="6"/>
    <w:p w14:paraId="37C7FD83" w14:textId="77777777" w:rsidR="00D17551" w:rsidRPr="000D4629" w:rsidRDefault="00D17551" w:rsidP="007448F5">
      <w:pPr>
        <w:spacing w:line="264" w:lineRule="auto"/>
        <w:jc w:val="center"/>
        <w:rPr>
          <w:sz w:val="25"/>
          <w:szCs w:val="25"/>
        </w:rPr>
      </w:pPr>
      <w:r w:rsidRPr="000D4629">
        <w:rPr>
          <w:sz w:val="25"/>
          <w:szCs w:val="25"/>
        </w:rPr>
        <w:t>WASHINGTON UTILITIES AND TRANSPORTATION COMMISSION</w:t>
      </w:r>
    </w:p>
    <w:p w14:paraId="0E5561A9" w14:textId="77777777" w:rsidR="00F00B1C" w:rsidRPr="000D4629" w:rsidRDefault="00F00B1C" w:rsidP="007448F5">
      <w:pPr>
        <w:spacing w:line="264" w:lineRule="auto"/>
        <w:rPr>
          <w:sz w:val="25"/>
          <w:szCs w:val="25"/>
        </w:rPr>
      </w:pPr>
    </w:p>
    <w:p w14:paraId="7C90466A" w14:textId="77777777" w:rsidR="00D17551" w:rsidRDefault="00D17551" w:rsidP="007448F5">
      <w:pPr>
        <w:spacing w:line="264" w:lineRule="auto"/>
        <w:rPr>
          <w:sz w:val="25"/>
          <w:szCs w:val="25"/>
        </w:rPr>
      </w:pPr>
    </w:p>
    <w:p w14:paraId="45EA4F49" w14:textId="77777777" w:rsidR="00F52154" w:rsidRPr="000D4629" w:rsidRDefault="00F52154" w:rsidP="007448F5">
      <w:pPr>
        <w:spacing w:line="264" w:lineRule="auto"/>
        <w:rPr>
          <w:sz w:val="25"/>
          <w:szCs w:val="25"/>
        </w:rPr>
      </w:pPr>
    </w:p>
    <w:p w14:paraId="48F08A3F" w14:textId="53BB860F" w:rsidR="00D17551" w:rsidRPr="000D4629" w:rsidRDefault="00D17551" w:rsidP="007448F5">
      <w:pPr>
        <w:spacing w:line="264" w:lineRule="auto"/>
        <w:rPr>
          <w:sz w:val="25"/>
          <w:szCs w:val="25"/>
        </w:rPr>
      </w:pPr>
      <w:r w:rsidRPr="000D4629">
        <w:rPr>
          <w:sz w:val="25"/>
          <w:szCs w:val="25"/>
        </w:rPr>
        <w:tab/>
      </w:r>
      <w:r w:rsidRPr="000D4629">
        <w:rPr>
          <w:sz w:val="25"/>
          <w:szCs w:val="25"/>
        </w:rPr>
        <w:tab/>
      </w:r>
      <w:r w:rsidRPr="000D4629">
        <w:rPr>
          <w:sz w:val="25"/>
          <w:szCs w:val="25"/>
        </w:rPr>
        <w:tab/>
      </w:r>
      <w:r w:rsidRPr="000D4629">
        <w:rPr>
          <w:sz w:val="25"/>
          <w:szCs w:val="25"/>
        </w:rPr>
        <w:tab/>
      </w:r>
      <w:r w:rsidRPr="000D4629">
        <w:rPr>
          <w:sz w:val="25"/>
          <w:szCs w:val="25"/>
        </w:rPr>
        <w:tab/>
      </w:r>
      <w:r w:rsidR="00881328">
        <w:rPr>
          <w:sz w:val="25"/>
          <w:szCs w:val="25"/>
        </w:rPr>
        <w:t>DAVID W. DANNER, Chairman</w:t>
      </w:r>
    </w:p>
    <w:p w14:paraId="4EF46DD9" w14:textId="77777777" w:rsidR="00D17551" w:rsidRDefault="00D17551" w:rsidP="007448F5">
      <w:pPr>
        <w:spacing w:line="264" w:lineRule="auto"/>
        <w:rPr>
          <w:sz w:val="25"/>
          <w:szCs w:val="25"/>
        </w:rPr>
      </w:pPr>
    </w:p>
    <w:p w14:paraId="12270B4E" w14:textId="77777777" w:rsidR="00F00B1C" w:rsidRPr="000D4629" w:rsidRDefault="00F00B1C" w:rsidP="007448F5">
      <w:pPr>
        <w:spacing w:line="264" w:lineRule="auto"/>
        <w:rPr>
          <w:sz w:val="25"/>
          <w:szCs w:val="25"/>
        </w:rPr>
      </w:pPr>
    </w:p>
    <w:p w14:paraId="7EE97145" w14:textId="77777777" w:rsidR="00D17551" w:rsidRPr="000D4629" w:rsidRDefault="00D17551" w:rsidP="007448F5">
      <w:pPr>
        <w:spacing w:line="264" w:lineRule="auto"/>
        <w:rPr>
          <w:sz w:val="25"/>
          <w:szCs w:val="25"/>
        </w:rPr>
      </w:pPr>
    </w:p>
    <w:p w14:paraId="5CAB5E46" w14:textId="5C12C198" w:rsidR="00D17551" w:rsidRPr="000D4629" w:rsidRDefault="00D17551" w:rsidP="007448F5">
      <w:pPr>
        <w:spacing w:line="264" w:lineRule="auto"/>
        <w:rPr>
          <w:sz w:val="25"/>
          <w:szCs w:val="25"/>
        </w:rPr>
      </w:pPr>
      <w:r w:rsidRPr="000D4629">
        <w:rPr>
          <w:sz w:val="25"/>
          <w:szCs w:val="25"/>
        </w:rPr>
        <w:tab/>
      </w:r>
      <w:r w:rsidRPr="000D4629">
        <w:rPr>
          <w:sz w:val="25"/>
          <w:szCs w:val="25"/>
        </w:rPr>
        <w:tab/>
      </w:r>
      <w:r w:rsidRPr="000D4629">
        <w:rPr>
          <w:sz w:val="25"/>
          <w:szCs w:val="25"/>
        </w:rPr>
        <w:tab/>
      </w:r>
      <w:r w:rsidRPr="000D4629">
        <w:rPr>
          <w:sz w:val="25"/>
          <w:szCs w:val="25"/>
        </w:rPr>
        <w:tab/>
      </w:r>
      <w:r w:rsidRPr="000D4629">
        <w:rPr>
          <w:sz w:val="25"/>
          <w:szCs w:val="25"/>
        </w:rPr>
        <w:tab/>
      </w:r>
      <w:r w:rsidR="00881328" w:rsidRPr="000D4629">
        <w:rPr>
          <w:sz w:val="25"/>
          <w:szCs w:val="25"/>
        </w:rPr>
        <w:t>PHILIP B. JONES, Commissioner</w:t>
      </w:r>
    </w:p>
    <w:p w14:paraId="354C8729" w14:textId="77777777" w:rsidR="00D17551" w:rsidRDefault="00D17551" w:rsidP="007448F5">
      <w:pPr>
        <w:spacing w:line="264" w:lineRule="auto"/>
        <w:rPr>
          <w:sz w:val="25"/>
          <w:szCs w:val="25"/>
        </w:rPr>
      </w:pPr>
    </w:p>
    <w:p w14:paraId="53EA00AB" w14:textId="77777777" w:rsidR="00F00B1C" w:rsidRDefault="00F00B1C" w:rsidP="007448F5">
      <w:pPr>
        <w:spacing w:line="264" w:lineRule="auto"/>
        <w:rPr>
          <w:sz w:val="25"/>
          <w:szCs w:val="25"/>
        </w:rPr>
      </w:pPr>
    </w:p>
    <w:p w14:paraId="5328729E" w14:textId="77777777" w:rsidR="00F52154" w:rsidRPr="000D4629" w:rsidRDefault="00F52154" w:rsidP="007448F5">
      <w:pPr>
        <w:spacing w:line="264" w:lineRule="auto"/>
        <w:rPr>
          <w:sz w:val="25"/>
          <w:szCs w:val="25"/>
        </w:rPr>
      </w:pPr>
    </w:p>
    <w:p w14:paraId="51C1F0B6" w14:textId="77777777" w:rsidR="00D17551" w:rsidRPr="000D4629" w:rsidRDefault="00881328" w:rsidP="004E5965">
      <w:pPr>
        <w:spacing w:line="264" w:lineRule="auto"/>
        <w:ind w:left="3600"/>
        <w:rPr>
          <w:sz w:val="25"/>
          <w:szCs w:val="25"/>
        </w:rPr>
      </w:pPr>
      <w:r w:rsidRPr="000D4629">
        <w:rPr>
          <w:sz w:val="25"/>
          <w:szCs w:val="25"/>
        </w:rPr>
        <w:t xml:space="preserve">JEFFREY D. GOLTZ, </w:t>
      </w:r>
      <w:r w:rsidR="007448F5" w:rsidRPr="000D4629">
        <w:rPr>
          <w:sz w:val="25"/>
          <w:szCs w:val="25"/>
        </w:rPr>
        <w:t>Commissioner</w:t>
      </w:r>
    </w:p>
    <w:p w14:paraId="183C63BD" w14:textId="77777777" w:rsidR="00D17551" w:rsidRPr="000D4629" w:rsidRDefault="00D17551" w:rsidP="007448F5">
      <w:pPr>
        <w:spacing w:line="264" w:lineRule="auto"/>
        <w:rPr>
          <w:sz w:val="25"/>
          <w:szCs w:val="25"/>
        </w:rPr>
      </w:pPr>
      <w:r w:rsidRPr="000D4629">
        <w:rPr>
          <w:sz w:val="25"/>
          <w:szCs w:val="25"/>
        </w:rPr>
        <w:tab/>
      </w:r>
      <w:r w:rsidRPr="000D4629">
        <w:rPr>
          <w:sz w:val="25"/>
          <w:szCs w:val="25"/>
        </w:rPr>
        <w:tab/>
      </w:r>
      <w:r w:rsidRPr="000D4629">
        <w:rPr>
          <w:sz w:val="25"/>
          <w:szCs w:val="25"/>
        </w:rPr>
        <w:tab/>
      </w:r>
      <w:r w:rsidRPr="000D4629">
        <w:rPr>
          <w:sz w:val="25"/>
          <w:szCs w:val="25"/>
        </w:rPr>
        <w:tab/>
      </w:r>
      <w:r w:rsidRPr="000D4629">
        <w:rPr>
          <w:sz w:val="25"/>
          <w:szCs w:val="25"/>
        </w:rPr>
        <w:tab/>
      </w:r>
      <w:r w:rsidRPr="000D4629">
        <w:rPr>
          <w:sz w:val="25"/>
          <w:szCs w:val="25"/>
        </w:rPr>
        <w:tab/>
      </w:r>
    </w:p>
    <w:p w14:paraId="5FCB1988" w14:textId="77777777" w:rsidR="00D17551" w:rsidRDefault="00D17551" w:rsidP="007448F5">
      <w:pPr>
        <w:spacing w:line="264" w:lineRule="auto"/>
        <w:rPr>
          <w:sz w:val="25"/>
          <w:szCs w:val="25"/>
        </w:rPr>
      </w:pPr>
    </w:p>
    <w:p w14:paraId="0D9F6860" w14:textId="77777777" w:rsidR="00853A29" w:rsidRDefault="00853A29" w:rsidP="007448F5">
      <w:pPr>
        <w:spacing w:line="264" w:lineRule="auto"/>
        <w:rPr>
          <w:sz w:val="25"/>
          <w:szCs w:val="25"/>
        </w:rPr>
      </w:pPr>
    </w:p>
    <w:p w14:paraId="3773E8EB" w14:textId="77777777" w:rsidR="002B79EA" w:rsidRPr="000D4629" w:rsidRDefault="002B79EA" w:rsidP="007448F5">
      <w:pPr>
        <w:pStyle w:val="BodyText"/>
        <w:spacing w:line="264" w:lineRule="auto"/>
        <w:jc w:val="left"/>
        <w:rPr>
          <w:b/>
          <w:sz w:val="25"/>
          <w:szCs w:val="25"/>
        </w:rPr>
      </w:pPr>
      <w:r w:rsidRPr="000D4629">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74BB4221" w14:textId="77777777" w:rsidR="001C5489" w:rsidRDefault="00966D6E" w:rsidP="009D6042">
      <w:pPr>
        <w:pStyle w:val="Heading1"/>
        <w:spacing w:before="0" w:after="0" w:line="288" w:lineRule="auto"/>
        <w:jc w:val="center"/>
        <w:rPr>
          <w:rFonts w:ascii="Times New Roman" w:hAnsi="Times New Roman" w:cs="Times New Roman"/>
          <w:sz w:val="26"/>
          <w:szCs w:val="26"/>
          <w:u w:val="single"/>
        </w:rPr>
      </w:pPr>
      <w:r>
        <w:rPr>
          <w:rFonts w:ascii="Times New Roman" w:hAnsi="Times New Roman" w:cs="Times New Roman"/>
          <w:sz w:val="26"/>
          <w:szCs w:val="26"/>
          <w:u w:val="single"/>
        </w:rPr>
        <w:br w:type="page"/>
      </w:r>
    </w:p>
    <w:p w14:paraId="4EE4E61F" w14:textId="77777777" w:rsidR="003D42C5" w:rsidRDefault="003D42C5" w:rsidP="009D6042">
      <w:pPr>
        <w:pStyle w:val="Heading1"/>
        <w:spacing w:before="0" w:after="0" w:line="288" w:lineRule="auto"/>
        <w:jc w:val="center"/>
        <w:rPr>
          <w:rFonts w:ascii="Times New Roman" w:hAnsi="Times New Roman" w:cs="Times New Roman"/>
          <w:sz w:val="26"/>
          <w:szCs w:val="26"/>
          <w:u w:val="single"/>
        </w:rPr>
      </w:pPr>
      <w:bookmarkStart w:id="18" w:name="_Toc249252828"/>
    </w:p>
    <w:p w14:paraId="14BA33B6" w14:textId="77777777" w:rsidR="004E5965" w:rsidRPr="004E5965" w:rsidRDefault="004E5965" w:rsidP="004E5965"/>
    <w:p w14:paraId="3E5D1019" w14:textId="77777777" w:rsidR="001C5489" w:rsidRDefault="001C5489" w:rsidP="009D6042">
      <w:pPr>
        <w:pStyle w:val="Heading1"/>
        <w:spacing w:before="0" w:after="0" w:line="288" w:lineRule="auto"/>
        <w:jc w:val="center"/>
        <w:rPr>
          <w:rFonts w:ascii="Times New Roman" w:hAnsi="Times New Roman" w:cs="Times New Roman"/>
          <w:sz w:val="26"/>
          <w:szCs w:val="26"/>
          <w:u w:val="single"/>
        </w:rPr>
      </w:pPr>
      <w:r w:rsidRPr="001C5489">
        <w:rPr>
          <w:rFonts w:ascii="Times New Roman" w:hAnsi="Times New Roman" w:cs="Times New Roman"/>
          <w:sz w:val="26"/>
          <w:szCs w:val="26"/>
          <w:u w:val="single"/>
        </w:rPr>
        <w:t>A</w:t>
      </w:r>
      <w:r>
        <w:rPr>
          <w:rFonts w:ascii="Times New Roman" w:hAnsi="Times New Roman" w:cs="Times New Roman"/>
          <w:sz w:val="26"/>
          <w:szCs w:val="26"/>
          <w:u w:val="single"/>
        </w:rPr>
        <w:t>PPENDIX</w:t>
      </w:r>
      <w:r w:rsidRPr="001C5489">
        <w:rPr>
          <w:rFonts w:ascii="Times New Roman" w:hAnsi="Times New Roman" w:cs="Times New Roman"/>
          <w:sz w:val="26"/>
          <w:szCs w:val="26"/>
          <w:u w:val="single"/>
        </w:rPr>
        <w:t xml:space="preserve"> A</w:t>
      </w:r>
      <w:bookmarkEnd w:id="18"/>
    </w:p>
    <w:p w14:paraId="133F6AF2" w14:textId="77777777" w:rsidR="001C5489" w:rsidRDefault="001C5489" w:rsidP="001C5489"/>
    <w:p w14:paraId="02F693EB" w14:textId="77777777" w:rsidR="001C5489" w:rsidRDefault="001C5489" w:rsidP="001C5489">
      <w:pPr>
        <w:jc w:val="center"/>
        <w:rPr>
          <w:b/>
          <w:sz w:val="25"/>
          <w:szCs w:val="25"/>
        </w:rPr>
      </w:pPr>
      <w:r w:rsidRPr="001C5489">
        <w:rPr>
          <w:b/>
          <w:sz w:val="25"/>
          <w:szCs w:val="25"/>
        </w:rPr>
        <w:t>S</w:t>
      </w:r>
      <w:r>
        <w:rPr>
          <w:b/>
          <w:sz w:val="25"/>
          <w:szCs w:val="25"/>
        </w:rPr>
        <w:t>ETTLEMENT</w:t>
      </w:r>
      <w:r w:rsidRPr="001C5489">
        <w:rPr>
          <w:b/>
          <w:sz w:val="25"/>
          <w:szCs w:val="25"/>
        </w:rPr>
        <w:t xml:space="preserve"> S</w:t>
      </w:r>
      <w:r>
        <w:rPr>
          <w:b/>
          <w:sz w:val="25"/>
          <w:szCs w:val="25"/>
        </w:rPr>
        <w:t>TIPULATION</w:t>
      </w:r>
    </w:p>
    <w:p w14:paraId="48955538" w14:textId="77777777" w:rsidR="002B79EA" w:rsidRPr="002B79EA" w:rsidRDefault="00B34C76" w:rsidP="00853A29">
      <w:pPr>
        <w:jc w:val="center"/>
      </w:pPr>
      <w:r w:rsidRPr="00C61316">
        <w:rPr>
          <w:b/>
          <w:bCs/>
          <w:sz w:val="26"/>
          <w:szCs w:val="26"/>
        </w:rPr>
        <w:t>DOCKET</w:t>
      </w:r>
      <w:r>
        <w:rPr>
          <w:b/>
          <w:bCs/>
          <w:sz w:val="26"/>
          <w:szCs w:val="26"/>
        </w:rPr>
        <w:t>S</w:t>
      </w:r>
      <w:r w:rsidRPr="00C61316">
        <w:rPr>
          <w:b/>
          <w:bCs/>
          <w:sz w:val="26"/>
          <w:szCs w:val="26"/>
        </w:rPr>
        <w:t xml:space="preserve"> </w:t>
      </w:r>
      <w:r>
        <w:rPr>
          <w:b/>
          <w:bCs/>
          <w:sz w:val="26"/>
          <w:szCs w:val="26"/>
        </w:rPr>
        <w:t>UE-</w:t>
      </w:r>
      <w:r w:rsidR="00853A29">
        <w:rPr>
          <w:b/>
          <w:bCs/>
          <w:sz w:val="26"/>
          <w:szCs w:val="26"/>
        </w:rPr>
        <w:t>1</w:t>
      </w:r>
      <w:r w:rsidR="00183EE2">
        <w:rPr>
          <w:b/>
          <w:bCs/>
          <w:sz w:val="26"/>
          <w:szCs w:val="26"/>
        </w:rPr>
        <w:t>40188 and</w:t>
      </w:r>
      <w:r>
        <w:rPr>
          <w:b/>
          <w:bCs/>
          <w:sz w:val="26"/>
          <w:szCs w:val="26"/>
        </w:rPr>
        <w:t xml:space="preserve"> UG-</w:t>
      </w:r>
      <w:r w:rsidR="00853A29">
        <w:rPr>
          <w:b/>
          <w:bCs/>
          <w:sz w:val="26"/>
          <w:szCs w:val="26"/>
        </w:rPr>
        <w:t>1</w:t>
      </w:r>
      <w:r w:rsidR="00183EE2">
        <w:rPr>
          <w:b/>
          <w:bCs/>
          <w:sz w:val="26"/>
          <w:szCs w:val="26"/>
        </w:rPr>
        <w:t>40189</w:t>
      </w:r>
      <w:r w:rsidR="00853A29">
        <w:rPr>
          <w:b/>
          <w:bCs/>
          <w:sz w:val="26"/>
          <w:szCs w:val="26"/>
        </w:rPr>
        <w:t xml:space="preserve"> (consolidated)</w:t>
      </w:r>
    </w:p>
    <w:sectPr w:rsidR="002B79EA" w:rsidRPr="002B79EA" w:rsidSect="00F52154">
      <w:headerReference w:type="default" r:id="rId12"/>
      <w:headerReference w:type="first" r:id="rId13"/>
      <w:type w:val="continuous"/>
      <w:pgSz w:w="12240" w:h="15840" w:code="1"/>
      <w:pgMar w:top="1440" w:right="1440" w:bottom="1440" w:left="2160" w:header="1440" w:footer="1685" w:gutter="0"/>
      <w:paperSrc w:first="1025" w:other="102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71DB1" w14:textId="77777777" w:rsidR="00C64F87" w:rsidRDefault="00C64F87">
      <w:r>
        <w:separator/>
      </w:r>
    </w:p>
  </w:endnote>
  <w:endnote w:type="continuationSeparator" w:id="0">
    <w:p w14:paraId="3FDE1F0E" w14:textId="77777777" w:rsidR="00C64F87" w:rsidRDefault="00C6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6AA9" w14:textId="77777777" w:rsidR="00C64F87" w:rsidRDefault="00C64F87">
      <w:r>
        <w:separator/>
      </w:r>
    </w:p>
  </w:footnote>
  <w:footnote w:type="continuationSeparator" w:id="0">
    <w:p w14:paraId="160DEA4A" w14:textId="77777777" w:rsidR="00C64F87" w:rsidRDefault="00C64F87">
      <w:r>
        <w:continuationSeparator/>
      </w:r>
    </w:p>
  </w:footnote>
  <w:footnote w:id="1">
    <w:p w14:paraId="39B8C273" w14:textId="77777777" w:rsidR="000A341B" w:rsidRDefault="000A341B" w:rsidP="00F52154">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A71F17">
        <w:rPr>
          <w:i/>
          <w:sz w:val="22"/>
          <w:szCs w:val="22"/>
        </w:rPr>
        <w:t>See</w:t>
      </w:r>
      <w:r w:rsidRPr="003B4861">
        <w:rPr>
          <w:sz w:val="22"/>
          <w:szCs w:val="22"/>
        </w:rPr>
        <w:t xml:space="preserve"> RCW 34.05.455.</w:t>
      </w:r>
    </w:p>
    <w:p w14:paraId="00089384" w14:textId="77777777" w:rsidR="000A341B" w:rsidRPr="008738B8" w:rsidRDefault="000A341B" w:rsidP="00F753CA">
      <w:pPr>
        <w:pStyle w:val="FootnoteText"/>
        <w:tabs>
          <w:tab w:val="left" w:pos="0"/>
        </w:tabs>
        <w:rPr>
          <w:szCs w:val="22"/>
        </w:rPr>
      </w:pPr>
    </w:p>
  </w:footnote>
  <w:footnote w:id="2">
    <w:p w14:paraId="51C4783E" w14:textId="77777777" w:rsidR="000A341B" w:rsidRDefault="000A341B" w:rsidP="00F52154">
      <w:pPr>
        <w:pStyle w:val="FootnoteText"/>
        <w:spacing w:after="120"/>
      </w:pPr>
      <w:r>
        <w:rPr>
          <w:rStyle w:val="FootnoteReference"/>
        </w:rPr>
        <w:footnoteRef/>
      </w:r>
      <w:r>
        <w:t xml:space="preserve"> Morris, Exh. No. SLM-1T, at 3:18.</w:t>
      </w:r>
    </w:p>
  </w:footnote>
  <w:footnote w:id="3">
    <w:p w14:paraId="7945D1DD" w14:textId="77777777" w:rsidR="000A341B" w:rsidRDefault="000A341B" w:rsidP="00F52154">
      <w:pPr>
        <w:pStyle w:val="FootnoteText"/>
        <w:spacing w:after="120"/>
      </w:pPr>
      <w:r>
        <w:rPr>
          <w:rStyle w:val="FootnoteReference"/>
        </w:rPr>
        <w:footnoteRef/>
      </w:r>
      <w:r>
        <w:t xml:space="preserve"> </w:t>
      </w:r>
      <w:r>
        <w:rPr>
          <w:i/>
        </w:rPr>
        <w:t>Id.</w:t>
      </w:r>
    </w:p>
  </w:footnote>
  <w:footnote w:id="4">
    <w:p w14:paraId="06910858" w14:textId="77777777" w:rsidR="000A341B" w:rsidRDefault="000A341B" w:rsidP="00F52154">
      <w:pPr>
        <w:pStyle w:val="FootnoteText"/>
        <w:spacing w:after="120"/>
      </w:pPr>
      <w:r>
        <w:rPr>
          <w:rStyle w:val="FootnoteReference"/>
        </w:rPr>
        <w:footnoteRef/>
      </w:r>
      <w:r>
        <w:t xml:space="preserve"> </w:t>
      </w:r>
      <w:r>
        <w:rPr>
          <w:i/>
        </w:rPr>
        <w:t>Id.</w:t>
      </w:r>
    </w:p>
  </w:footnote>
  <w:footnote w:id="5">
    <w:p w14:paraId="04F9D198" w14:textId="77777777" w:rsidR="000A341B" w:rsidRPr="00477D07" w:rsidRDefault="000A341B" w:rsidP="00F52154">
      <w:pPr>
        <w:pStyle w:val="FootnoteText"/>
        <w:spacing w:after="120"/>
        <w:rPr>
          <w:szCs w:val="22"/>
        </w:rPr>
      </w:pPr>
      <w:r w:rsidRPr="00477D07">
        <w:rPr>
          <w:rStyle w:val="FootnoteReference"/>
          <w:szCs w:val="22"/>
        </w:rPr>
        <w:footnoteRef/>
      </w:r>
      <w:r w:rsidRPr="00477D07">
        <w:rPr>
          <w:szCs w:val="22"/>
        </w:rPr>
        <w:t xml:space="preserve"> </w:t>
      </w:r>
      <w:r>
        <w:rPr>
          <w:szCs w:val="22"/>
        </w:rPr>
        <w:t>Exh. No. 5</w:t>
      </w:r>
      <w:r w:rsidRPr="00477D07">
        <w:rPr>
          <w:szCs w:val="22"/>
        </w:rPr>
        <w:t>.</w:t>
      </w:r>
    </w:p>
  </w:footnote>
  <w:footnote w:id="6">
    <w:p w14:paraId="7EEA5B7A" w14:textId="77777777" w:rsidR="000A341B" w:rsidRDefault="000A341B" w:rsidP="00F52154">
      <w:pPr>
        <w:pStyle w:val="FootnoteText"/>
        <w:spacing w:after="120"/>
      </w:pPr>
      <w:r>
        <w:rPr>
          <w:rStyle w:val="FootnoteReference"/>
        </w:rPr>
        <w:footnoteRef/>
      </w:r>
      <w:r>
        <w:t xml:space="preserve"> RCW 80.28.010(1); RCW 80.28.020.</w:t>
      </w:r>
    </w:p>
  </w:footnote>
  <w:footnote w:id="7">
    <w:p w14:paraId="7FC45E6A" w14:textId="77777777" w:rsidR="000A341B" w:rsidRPr="00441C1C" w:rsidRDefault="000A341B" w:rsidP="00F52154">
      <w:pPr>
        <w:pStyle w:val="FootnoteText"/>
        <w:spacing w:after="120"/>
      </w:pPr>
      <w:r>
        <w:rPr>
          <w:rStyle w:val="FootnoteReference"/>
        </w:rPr>
        <w:footnoteRef/>
      </w:r>
      <w:r>
        <w:t xml:space="preserve"> </w:t>
      </w:r>
      <w:r>
        <w:rPr>
          <w:i/>
        </w:rPr>
        <w:t xml:space="preserve">Federal Power Commission v. Hope Natural Gas, </w:t>
      </w:r>
      <w:r>
        <w:t xml:space="preserve">320 U.S. 591 (1944); </w:t>
      </w:r>
      <w:r>
        <w:rPr>
          <w:i/>
        </w:rPr>
        <w:t xml:space="preserve">Bluefield Water Works &amp; Improvement Company v. Public Service Commission of West Virginia, </w:t>
      </w:r>
      <w:r w:rsidRPr="00C17E16">
        <w:t xml:space="preserve">262 U.S. 679 (1923).  </w:t>
      </w:r>
      <w:r>
        <w:rPr>
          <w:i/>
        </w:rPr>
        <w:t>See People’s Organization for Washington Energy Resources v. Washington Utilities &amp; Transportation Comm’n</w:t>
      </w:r>
      <w:r>
        <w:t>, 104 Wn.2d 798, 807-13, 711 P.2d 319 (1985) (describing rate setting process in Washington).</w:t>
      </w:r>
    </w:p>
  </w:footnote>
  <w:footnote w:id="8">
    <w:p w14:paraId="2B66F588" w14:textId="77777777" w:rsidR="000A341B" w:rsidRPr="009D369A" w:rsidRDefault="000A341B" w:rsidP="00F52154">
      <w:pPr>
        <w:pStyle w:val="FootnoteText"/>
        <w:spacing w:after="120"/>
        <w:rPr>
          <w:szCs w:val="22"/>
        </w:rPr>
      </w:pPr>
      <w:r w:rsidRPr="009D369A">
        <w:rPr>
          <w:rStyle w:val="FootnoteReference"/>
          <w:szCs w:val="22"/>
        </w:rPr>
        <w:footnoteRef/>
      </w:r>
      <w:r w:rsidRPr="009D369A">
        <w:rPr>
          <w:szCs w:val="22"/>
        </w:rPr>
        <w:t xml:space="preserve"> Exh. No. 5, ¶ 22. </w:t>
      </w:r>
    </w:p>
  </w:footnote>
  <w:footnote w:id="9">
    <w:p w14:paraId="27E620F9" w14:textId="77777777" w:rsidR="000A341B" w:rsidRPr="009D369A" w:rsidRDefault="000A341B" w:rsidP="00F52154">
      <w:pPr>
        <w:pStyle w:val="FootnoteText"/>
        <w:spacing w:after="120"/>
        <w:rPr>
          <w:szCs w:val="22"/>
        </w:rPr>
      </w:pPr>
      <w:r w:rsidRPr="009D369A">
        <w:rPr>
          <w:rStyle w:val="FootnoteReference"/>
          <w:szCs w:val="22"/>
        </w:rPr>
        <w:footnoteRef/>
      </w:r>
      <w:r w:rsidRPr="009D369A">
        <w:rPr>
          <w:szCs w:val="22"/>
        </w:rPr>
        <w:t xml:space="preserve"> </w:t>
      </w:r>
      <w:r>
        <w:rPr>
          <w:i/>
          <w:szCs w:val="22"/>
        </w:rPr>
        <w:t>Id</w:t>
      </w:r>
      <w:r w:rsidRPr="009D369A">
        <w:rPr>
          <w:szCs w:val="22"/>
        </w:rPr>
        <w:t>.</w:t>
      </w:r>
    </w:p>
  </w:footnote>
  <w:footnote w:id="10">
    <w:p w14:paraId="428BBDA2" w14:textId="77777777" w:rsidR="000A341B" w:rsidRPr="009D369A" w:rsidRDefault="000A341B" w:rsidP="00F52154">
      <w:pPr>
        <w:pStyle w:val="FootnoteText"/>
        <w:spacing w:after="120"/>
        <w:rPr>
          <w:szCs w:val="22"/>
        </w:rPr>
      </w:pPr>
      <w:r w:rsidRPr="009D369A">
        <w:rPr>
          <w:rStyle w:val="FootnoteReference"/>
          <w:szCs w:val="22"/>
        </w:rPr>
        <w:footnoteRef/>
      </w:r>
      <w:r w:rsidRPr="009D369A">
        <w:rPr>
          <w:i/>
          <w:szCs w:val="22"/>
        </w:rPr>
        <w:t xml:space="preserve"> </w:t>
      </w:r>
      <w:r w:rsidRPr="009D369A">
        <w:rPr>
          <w:szCs w:val="22"/>
        </w:rPr>
        <w:t xml:space="preserve">Settlement, ¶ 4.  </w:t>
      </w:r>
    </w:p>
  </w:footnote>
  <w:footnote w:id="11">
    <w:p w14:paraId="05F6CD24" w14:textId="77777777" w:rsidR="000A341B" w:rsidRDefault="000A341B" w:rsidP="00F52154">
      <w:pPr>
        <w:pStyle w:val="FootnoteText"/>
        <w:spacing w:after="120"/>
      </w:pPr>
      <w:r>
        <w:rPr>
          <w:rStyle w:val="FootnoteReference"/>
        </w:rPr>
        <w:footnoteRef/>
      </w:r>
      <w:r>
        <w:t xml:space="preserve"> Credit of approximately $9.2 million originated in Docket</w:t>
      </w:r>
      <w:r w:rsidRPr="0042370B">
        <w:rPr>
          <w:sz w:val="25"/>
          <w:szCs w:val="25"/>
        </w:rPr>
        <w:t xml:space="preserve"> </w:t>
      </w:r>
      <w:r w:rsidRPr="0042370B">
        <w:rPr>
          <w:szCs w:val="25"/>
        </w:rPr>
        <w:t>UE-120436</w:t>
      </w:r>
      <w:r>
        <w:rPr>
          <w:szCs w:val="25"/>
        </w:rPr>
        <w:t xml:space="preserve"> as an ERM refund.</w:t>
      </w:r>
    </w:p>
  </w:footnote>
  <w:footnote w:id="12">
    <w:p w14:paraId="68289706" w14:textId="77777777" w:rsidR="000A341B" w:rsidRDefault="000A341B" w:rsidP="00F52154">
      <w:pPr>
        <w:pStyle w:val="FootnoteText"/>
        <w:spacing w:after="120"/>
      </w:pPr>
      <w:r>
        <w:rPr>
          <w:rStyle w:val="FootnoteReference"/>
        </w:rPr>
        <w:footnoteRef/>
      </w:r>
      <w:r>
        <w:t xml:space="preserve"> Credit of approximately $4.4 million stems from a settlement with the Bonneville Power Administration implemented in Docket UE-130536.</w:t>
      </w:r>
    </w:p>
  </w:footnote>
  <w:footnote w:id="13">
    <w:p w14:paraId="78369CD0" w14:textId="77777777" w:rsidR="000A341B" w:rsidRPr="009D369A" w:rsidRDefault="000A341B" w:rsidP="00F52154">
      <w:pPr>
        <w:pStyle w:val="FootnoteText"/>
        <w:spacing w:after="120"/>
        <w:rPr>
          <w:szCs w:val="22"/>
        </w:rPr>
      </w:pPr>
      <w:r w:rsidRPr="009D369A">
        <w:rPr>
          <w:rStyle w:val="FootnoteReference"/>
          <w:szCs w:val="22"/>
        </w:rPr>
        <w:footnoteRef/>
      </w:r>
      <w:r w:rsidRPr="009D369A">
        <w:rPr>
          <w:szCs w:val="22"/>
        </w:rPr>
        <w:t xml:space="preserve"> </w:t>
      </w:r>
      <w:r w:rsidRPr="009D369A">
        <w:rPr>
          <w:i/>
          <w:szCs w:val="22"/>
        </w:rPr>
        <w:t>Id</w:t>
      </w:r>
      <w:r w:rsidRPr="009D369A">
        <w:rPr>
          <w:szCs w:val="22"/>
        </w:rPr>
        <w:t xml:space="preserve">. </w:t>
      </w:r>
    </w:p>
  </w:footnote>
  <w:footnote w:id="14">
    <w:p w14:paraId="622ADD62" w14:textId="77777777" w:rsidR="000A341B" w:rsidRPr="009D369A" w:rsidRDefault="000A341B" w:rsidP="00F52154">
      <w:pPr>
        <w:pStyle w:val="FootnoteText"/>
        <w:spacing w:after="120"/>
        <w:rPr>
          <w:szCs w:val="22"/>
        </w:rPr>
      </w:pPr>
      <w:r w:rsidRPr="009D369A">
        <w:rPr>
          <w:rStyle w:val="FootnoteReference"/>
          <w:szCs w:val="22"/>
        </w:rPr>
        <w:footnoteRef/>
      </w:r>
      <w:r w:rsidRPr="009D369A">
        <w:rPr>
          <w:szCs w:val="22"/>
        </w:rPr>
        <w:t xml:space="preserve"> </w:t>
      </w:r>
      <w:r w:rsidRPr="009D369A">
        <w:rPr>
          <w:i/>
          <w:szCs w:val="22"/>
        </w:rPr>
        <w:t>Id.</w:t>
      </w:r>
      <w:r w:rsidRPr="009D369A">
        <w:rPr>
          <w:szCs w:val="22"/>
        </w:rPr>
        <w:t>, ¶ 5(b).</w:t>
      </w:r>
    </w:p>
  </w:footnote>
  <w:footnote w:id="15">
    <w:p w14:paraId="217BE254" w14:textId="77777777" w:rsidR="000A341B" w:rsidRDefault="000A341B" w:rsidP="00F52154">
      <w:pPr>
        <w:pStyle w:val="FootnoteText"/>
        <w:spacing w:after="120"/>
      </w:pPr>
      <w:r>
        <w:rPr>
          <w:rStyle w:val="FootnoteReference"/>
        </w:rPr>
        <w:footnoteRef/>
      </w:r>
      <w:r>
        <w:t xml:space="preserve"> Joint Testimony, at 34:14.</w:t>
      </w:r>
    </w:p>
  </w:footnote>
  <w:footnote w:id="16">
    <w:p w14:paraId="28A66F4F" w14:textId="77777777" w:rsidR="000A341B" w:rsidRDefault="000A341B" w:rsidP="00F52154">
      <w:pPr>
        <w:pStyle w:val="FootnoteText"/>
        <w:spacing w:after="120"/>
      </w:pPr>
      <w:r>
        <w:rPr>
          <w:rStyle w:val="FootnoteReference"/>
        </w:rPr>
        <w:footnoteRef/>
      </w:r>
      <w:r>
        <w:t xml:space="preserve"> Settlement, ¶4.</w:t>
      </w:r>
    </w:p>
  </w:footnote>
  <w:footnote w:id="17">
    <w:p w14:paraId="1408E56C" w14:textId="28CA5A44" w:rsidR="000A341B" w:rsidRDefault="000A341B" w:rsidP="00F52154">
      <w:pPr>
        <w:pStyle w:val="FootnoteText"/>
        <w:spacing w:after="120"/>
      </w:pPr>
      <w:r>
        <w:rPr>
          <w:rStyle w:val="FootnoteReference"/>
        </w:rPr>
        <w:footnoteRef/>
      </w:r>
      <w:r w:rsidR="00BC7A5A">
        <w:rPr>
          <w:i/>
        </w:rPr>
        <w:t xml:space="preserve"> </w:t>
      </w:r>
      <w:r>
        <w:rPr>
          <w:i/>
        </w:rPr>
        <w:t>Id.</w:t>
      </w:r>
      <w:r>
        <w:t>, ¶6.</w:t>
      </w:r>
    </w:p>
  </w:footnote>
  <w:footnote w:id="18">
    <w:p w14:paraId="34560ACB" w14:textId="77777777" w:rsidR="000A341B" w:rsidRDefault="000A341B" w:rsidP="00F52154">
      <w:pPr>
        <w:pStyle w:val="FootnoteText"/>
        <w:spacing w:after="120"/>
      </w:pPr>
      <w:r>
        <w:rPr>
          <w:rStyle w:val="FootnoteReference"/>
        </w:rPr>
        <w:footnoteRef/>
      </w:r>
      <w:r>
        <w:t xml:space="preserve"> November 2014 Update, Appendix 2.</w:t>
      </w:r>
    </w:p>
  </w:footnote>
  <w:footnote w:id="19">
    <w:p w14:paraId="63E8EE2D" w14:textId="34219EDB" w:rsidR="000A341B" w:rsidRPr="00813AC7" w:rsidRDefault="000A341B" w:rsidP="00F52154">
      <w:pPr>
        <w:pStyle w:val="FootnoteText"/>
        <w:spacing w:after="120"/>
      </w:pPr>
      <w:r>
        <w:rPr>
          <w:rStyle w:val="FootnoteReference"/>
        </w:rPr>
        <w:footnoteRef/>
      </w:r>
      <w:r>
        <w:t xml:space="preserve"> The ERM deferral balance as of June 30, 2014 is $16.7 million, and is currently estimated to be $13.9 million by December 31, 2014. Settlement, ¶6.</w:t>
      </w:r>
    </w:p>
  </w:footnote>
  <w:footnote w:id="20">
    <w:p w14:paraId="7A062BC8" w14:textId="77777777" w:rsidR="000A341B" w:rsidRDefault="000A341B" w:rsidP="00F52154">
      <w:pPr>
        <w:pStyle w:val="FootnoteText"/>
        <w:spacing w:after="120"/>
      </w:pPr>
      <w:r>
        <w:rPr>
          <w:rStyle w:val="FootnoteReference"/>
        </w:rPr>
        <w:footnoteRef/>
      </w:r>
      <w:r>
        <w:t xml:space="preserve"> Joint Testimony, at 34 at 34:1-14.</w:t>
      </w:r>
    </w:p>
  </w:footnote>
  <w:footnote w:id="21">
    <w:p w14:paraId="59CA8606" w14:textId="77777777" w:rsidR="000A341B" w:rsidRDefault="000A341B" w:rsidP="00F52154">
      <w:pPr>
        <w:pStyle w:val="FootnoteText"/>
        <w:spacing w:after="120"/>
      </w:pPr>
      <w:r>
        <w:rPr>
          <w:rStyle w:val="FootnoteReference"/>
        </w:rPr>
        <w:footnoteRef/>
      </w:r>
      <w:r>
        <w:t xml:space="preserve"> Joint Testimony at 1:16-24.</w:t>
      </w:r>
    </w:p>
  </w:footnote>
  <w:footnote w:id="22">
    <w:p w14:paraId="5013BB3A" w14:textId="20027976" w:rsidR="00CF00C1" w:rsidRDefault="000C22CE" w:rsidP="00682321">
      <w:pPr>
        <w:pStyle w:val="FootnoteText"/>
        <w:spacing w:after="120"/>
      </w:pPr>
      <w:r>
        <w:rPr>
          <w:rStyle w:val="FootnoteReference"/>
        </w:rPr>
        <w:footnoteRef/>
      </w:r>
      <w:r>
        <w:t xml:space="preserve"> </w:t>
      </w:r>
      <w:r w:rsidRPr="00193935">
        <w:rPr>
          <w:iCs/>
          <w:szCs w:val="25"/>
        </w:rPr>
        <w:t xml:space="preserve">Decoupling allows for the utility’s recovery of </w:t>
      </w:r>
      <w:r>
        <w:rPr>
          <w:iCs/>
          <w:szCs w:val="25"/>
        </w:rPr>
        <w:t xml:space="preserve">the </w:t>
      </w:r>
      <w:r w:rsidRPr="00193935">
        <w:rPr>
          <w:iCs/>
          <w:szCs w:val="25"/>
        </w:rPr>
        <w:t xml:space="preserve">fixed costs it incurs independent of the amounts of electricity and natural gas it sells. </w:t>
      </w:r>
      <w:r>
        <w:rPr>
          <w:iCs/>
          <w:szCs w:val="25"/>
        </w:rPr>
        <w:t xml:space="preserve"> Decoupling </w:t>
      </w:r>
      <w:r w:rsidRPr="00193935">
        <w:rPr>
          <w:iCs/>
          <w:szCs w:val="25"/>
        </w:rPr>
        <w:t>removes the so-called throughput incentive and is intended to promote more aggressive pursuit of cost-effective conservation.</w:t>
      </w:r>
    </w:p>
  </w:footnote>
  <w:footnote w:id="23">
    <w:p w14:paraId="49848373" w14:textId="77777777" w:rsidR="000A341B" w:rsidRPr="004869B3" w:rsidRDefault="000A341B" w:rsidP="00F52154">
      <w:pPr>
        <w:pStyle w:val="FootnoteText"/>
        <w:spacing w:after="120"/>
        <w:rPr>
          <w:szCs w:val="22"/>
        </w:rPr>
      </w:pPr>
      <w:r w:rsidRPr="00BD1BDA">
        <w:rPr>
          <w:rStyle w:val="FootnoteReference"/>
          <w:szCs w:val="22"/>
        </w:rPr>
        <w:footnoteRef/>
      </w:r>
      <w:r w:rsidRPr="00BD1BDA">
        <w:rPr>
          <w:szCs w:val="22"/>
        </w:rPr>
        <w:t xml:space="preserve"> </w:t>
      </w:r>
      <w:r w:rsidRPr="00682321">
        <w:rPr>
          <w:iCs/>
          <w:szCs w:val="25"/>
        </w:rPr>
        <w:t>Settlement</w:t>
      </w:r>
      <w:r w:rsidRPr="00BD1BDA">
        <w:rPr>
          <w:szCs w:val="22"/>
        </w:rPr>
        <w:t>, ¶ 13.  The decoupling mechanism</w:t>
      </w:r>
      <w:r>
        <w:rPr>
          <w:szCs w:val="22"/>
        </w:rPr>
        <w:t>s agreed to by the parties are</w:t>
      </w:r>
      <w:r w:rsidRPr="00BD1BDA">
        <w:rPr>
          <w:szCs w:val="22"/>
        </w:rPr>
        <w:t xml:space="preserve"> based on Avista’</w:t>
      </w:r>
      <w:r>
        <w:rPr>
          <w:szCs w:val="22"/>
        </w:rPr>
        <w:t>s original proposal, as modified by the S</w:t>
      </w:r>
      <w:r w:rsidRPr="00BD1BDA">
        <w:rPr>
          <w:szCs w:val="22"/>
        </w:rPr>
        <w:t xml:space="preserve">ettlement.  Ehrbar, Exh. No. PDE-1T, at </w:t>
      </w:r>
      <w:r w:rsidRPr="004869B3">
        <w:rPr>
          <w:szCs w:val="22"/>
        </w:rPr>
        <w:t xml:space="preserve">49-78.  For a complete description </w:t>
      </w:r>
      <w:r>
        <w:rPr>
          <w:szCs w:val="22"/>
        </w:rPr>
        <w:t xml:space="preserve">and discussion of the Commission’s decoupling policy see </w:t>
      </w:r>
      <w:r w:rsidRPr="004869B3">
        <w:rPr>
          <w:i/>
          <w:iCs/>
          <w:szCs w:val="22"/>
        </w:rPr>
        <w:t xml:space="preserve">In re WUTC Investigation into Energy Conservation Incentives, </w:t>
      </w:r>
      <w:r w:rsidRPr="004869B3">
        <w:rPr>
          <w:szCs w:val="22"/>
        </w:rPr>
        <w:t>Docket U-100522, Report and Policy Statement on Regulatory Mechanisms, including Decoupling, To Encourage Utilities To Meet or Exceed Their Conservation Targets (Nov. 4, 2010) (Decoupling Policy Statement)</w:t>
      </w:r>
      <w:r>
        <w:rPr>
          <w:szCs w:val="22"/>
        </w:rPr>
        <w:t>.</w:t>
      </w:r>
      <w:r w:rsidRPr="004869B3">
        <w:t xml:space="preserve"> </w:t>
      </w:r>
    </w:p>
  </w:footnote>
  <w:footnote w:id="24">
    <w:p w14:paraId="7BB3A27F" w14:textId="77777777" w:rsidR="000A341B" w:rsidRPr="00BD1BDA" w:rsidRDefault="000A341B" w:rsidP="00F52154">
      <w:pPr>
        <w:pStyle w:val="FootnoteText"/>
        <w:spacing w:after="120"/>
        <w:rPr>
          <w:szCs w:val="22"/>
        </w:rPr>
      </w:pPr>
      <w:r w:rsidRPr="00BD1BDA">
        <w:rPr>
          <w:rStyle w:val="FootnoteReference"/>
          <w:szCs w:val="22"/>
        </w:rPr>
        <w:footnoteRef/>
      </w:r>
      <w:r w:rsidRPr="00BD1BDA">
        <w:rPr>
          <w:szCs w:val="22"/>
        </w:rPr>
        <w:t xml:space="preserve"> </w:t>
      </w:r>
      <w:r w:rsidRPr="00682321">
        <w:rPr>
          <w:iCs/>
          <w:szCs w:val="25"/>
        </w:rPr>
        <w:t>Exh</w:t>
      </w:r>
      <w:r>
        <w:rPr>
          <w:szCs w:val="22"/>
        </w:rPr>
        <w:t>. No. 4,</w:t>
      </w:r>
      <w:r w:rsidRPr="00BD1BDA">
        <w:rPr>
          <w:szCs w:val="22"/>
        </w:rPr>
        <w:t xml:space="preserve"> at 18-19.  The mechanism</w:t>
      </w:r>
      <w:r>
        <w:rPr>
          <w:szCs w:val="22"/>
        </w:rPr>
        <w:t>s</w:t>
      </w:r>
      <w:r w:rsidRPr="00BD1BDA">
        <w:rPr>
          <w:szCs w:val="22"/>
        </w:rPr>
        <w:t xml:space="preserve"> accomplish this by removing the fixed-cost portion of production costs from the ERM and the application of the Retail Revenue Credit in the decoupling mechanism</w:t>
      </w:r>
      <w:r>
        <w:rPr>
          <w:szCs w:val="22"/>
        </w:rPr>
        <w:t>s</w:t>
      </w:r>
      <w:r w:rsidRPr="00BD1BDA">
        <w:rPr>
          <w:szCs w:val="22"/>
        </w:rPr>
        <w:t xml:space="preserve">.  </w:t>
      </w:r>
    </w:p>
  </w:footnote>
  <w:footnote w:id="25">
    <w:p w14:paraId="356DEC88" w14:textId="52FFE0CD" w:rsidR="000A341B" w:rsidRPr="00BD1BDA" w:rsidRDefault="000A341B" w:rsidP="00F52154">
      <w:pPr>
        <w:pStyle w:val="FootnoteText"/>
        <w:spacing w:after="120"/>
        <w:rPr>
          <w:b/>
          <w:szCs w:val="22"/>
        </w:rPr>
      </w:pPr>
      <w:r w:rsidRPr="00BD1BDA">
        <w:rPr>
          <w:rStyle w:val="FootnoteReference"/>
          <w:szCs w:val="22"/>
        </w:rPr>
        <w:footnoteRef/>
      </w:r>
      <w:r w:rsidRPr="00BD1BDA">
        <w:rPr>
          <w:szCs w:val="22"/>
        </w:rPr>
        <w:t xml:space="preserve"> </w:t>
      </w:r>
      <w:r w:rsidRPr="00682321">
        <w:rPr>
          <w:iCs/>
          <w:szCs w:val="25"/>
        </w:rPr>
        <w:t>Settlement</w:t>
      </w:r>
      <w:r w:rsidRPr="00BD1BDA">
        <w:rPr>
          <w:szCs w:val="22"/>
        </w:rPr>
        <w:t>, ¶ 13(b).  The mechanism</w:t>
      </w:r>
      <w:r>
        <w:rPr>
          <w:szCs w:val="22"/>
        </w:rPr>
        <w:t xml:space="preserve"> specified in this S</w:t>
      </w:r>
      <w:r w:rsidRPr="00BD1BDA">
        <w:rPr>
          <w:szCs w:val="22"/>
        </w:rPr>
        <w:t xml:space="preserve">ettlement supersedes Avista’s currently-effective natural gas decoupling mechanism.  </w:t>
      </w:r>
      <w:r>
        <w:rPr>
          <w:szCs w:val="22"/>
        </w:rPr>
        <w:t>Exh. No. 4,</w:t>
      </w:r>
      <w:r w:rsidRPr="00BD1BDA">
        <w:rPr>
          <w:szCs w:val="22"/>
        </w:rPr>
        <w:t xml:space="preserve"> at 17, note 13.</w:t>
      </w:r>
      <w:r>
        <w:rPr>
          <w:szCs w:val="22"/>
        </w:rPr>
        <w:t xml:space="preserve">  The electric schedules omitted from the decoupling mechanism include Extra Large General Service (Schedule 25) and Street and Area Lighting (Schedules 41-48).  Appendix 2 to Settlement at 3.  The natural gas schedules omitted from the decoupling mechanism include Large General Service – Firm (Schedule 112), High Annual Load Factor Large General Service – Firm (Schedule 122), Interruptible Service (Schedule 132), and Transportation Service for Customer-owned Gas (Schedule 146).</w:t>
      </w:r>
    </w:p>
  </w:footnote>
  <w:footnote w:id="26">
    <w:p w14:paraId="5517E3C3" w14:textId="17D0D44D" w:rsidR="000A341B" w:rsidRPr="00BD1BDA" w:rsidRDefault="000A341B" w:rsidP="00F52154">
      <w:pPr>
        <w:pStyle w:val="FootnoteText"/>
        <w:spacing w:after="120"/>
      </w:pPr>
      <w:r w:rsidRPr="00BD1BDA">
        <w:rPr>
          <w:rStyle w:val="FootnoteReference"/>
        </w:rPr>
        <w:footnoteRef/>
      </w:r>
      <w:r w:rsidRPr="00BD1BDA">
        <w:t xml:space="preserve"> </w:t>
      </w:r>
      <w:r w:rsidRPr="00682321">
        <w:rPr>
          <w:iCs/>
          <w:szCs w:val="25"/>
        </w:rPr>
        <w:t>Norwood</w:t>
      </w:r>
      <w:r w:rsidRPr="00BD1BDA">
        <w:t>, TR 181:16-183:12; Ehrbar, Exh. No. PDE-9, at 4, line 35; Ehrbar, Exh. No. PDE-10, at 4, line 17.</w:t>
      </w:r>
      <w:r>
        <w:t xml:space="preserve">  The Settlement did not specify if or when the interest rate will be adjusted to reflect the current FERC rate.  Avista must update the interest rate to the current FERC rate on January 1 of each year the mechanisms are in effect.</w:t>
      </w:r>
    </w:p>
  </w:footnote>
  <w:footnote w:id="27">
    <w:p w14:paraId="10899F30" w14:textId="77777777" w:rsidR="000A341B" w:rsidRPr="00BD1BDA" w:rsidRDefault="000A341B" w:rsidP="00F52154">
      <w:pPr>
        <w:pStyle w:val="FootnoteText"/>
        <w:spacing w:after="120"/>
        <w:rPr>
          <w:szCs w:val="22"/>
        </w:rPr>
      </w:pPr>
      <w:r w:rsidRPr="00BD1BDA">
        <w:rPr>
          <w:rStyle w:val="FootnoteReference"/>
          <w:szCs w:val="22"/>
        </w:rPr>
        <w:footnoteRef/>
      </w:r>
      <w:r w:rsidRPr="00BD1BDA">
        <w:rPr>
          <w:szCs w:val="22"/>
        </w:rPr>
        <w:t xml:space="preserve"> Settlement, ¶ 13</w:t>
      </w:r>
      <w:r>
        <w:rPr>
          <w:szCs w:val="22"/>
        </w:rPr>
        <w:t>;</w:t>
      </w:r>
      <w:r w:rsidRPr="00BD1BDA">
        <w:rPr>
          <w:szCs w:val="22"/>
        </w:rPr>
        <w:t xml:space="preserve"> TR 179:24-181:7</w:t>
      </w:r>
      <w:r>
        <w:rPr>
          <w:szCs w:val="22"/>
        </w:rPr>
        <w:t xml:space="preserve"> (exchange between Commissioner Goltz and Mr. Norwood); Exh. No. 4, at 46:10-15</w:t>
      </w:r>
      <w:r w:rsidRPr="00BD1BDA">
        <w:rPr>
          <w:szCs w:val="22"/>
        </w:rPr>
        <w:t>.</w:t>
      </w:r>
    </w:p>
  </w:footnote>
  <w:footnote w:id="28">
    <w:p w14:paraId="0AACA4C5" w14:textId="77777777" w:rsidR="000A341B" w:rsidRPr="00BD1BDA" w:rsidRDefault="000A341B" w:rsidP="00F52154">
      <w:pPr>
        <w:pStyle w:val="FootnoteText"/>
        <w:spacing w:after="120"/>
      </w:pPr>
      <w:r w:rsidRPr="00BD1BDA">
        <w:rPr>
          <w:rStyle w:val="FootnoteReference"/>
        </w:rPr>
        <w:footnoteRef/>
      </w:r>
      <w:r w:rsidRPr="00BD1BDA">
        <w:t xml:space="preserve"> </w:t>
      </w:r>
      <w:r w:rsidRPr="00BD1BDA">
        <w:rPr>
          <w:szCs w:val="22"/>
        </w:rPr>
        <w:t>Sett</w:t>
      </w:r>
      <w:r>
        <w:rPr>
          <w:szCs w:val="22"/>
        </w:rPr>
        <w:t>lement, ¶ 13(c)(ii);</w:t>
      </w:r>
      <w:r w:rsidRPr="00BD1BDA">
        <w:rPr>
          <w:szCs w:val="22"/>
        </w:rPr>
        <w:t xml:space="preserve"> TR 178:12-179:2.</w:t>
      </w:r>
    </w:p>
  </w:footnote>
  <w:footnote w:id="29">
    <w:p w14:paraId="1C39D31D" w14:textId="77777777" w:rsidR="000A341B" w:rsidRPr="00BD1BDA" w:rsidRDefault="000A341B" w:rsidP="00F52154">
      <w:pPr>
        <w:pStyle w:val="FootnoteText"/>
        <w:spacing w:after="120"/>
      </w:pPr>
      <w:r w:rsidRPr="00BD1BDA">
        <w:rPr>
          <w:rStyle w:val="FootnoteReference"/>
        </w:rPr>
        <w:footnoteRef/>
      </w:r>
      <w:r w:rsidRPr="00BD1BDA">
        <w:t xml:space="preserve"> </w:t>
      </w:r>
      <w:r w:rsidRPr="00BD1BDA">
        <w:rPr>
          <w:szCs w:val="22"/>
        </w:rPr>
        <w:t>Settlement, ¶ 13(c)(iii).</w:t>
      </w:r>
    </w:p>
  </w:footnote>
  <w:footnote w:id="30">
    <w:p w14:paraId="7164C631" w14:textId="77777777" w:rsidR="000A341B" w:rsidRPr="00BD1BDA" w:rsidRDefault="000A341B" w:rsidP="00F52154">
      <w:pPr>
        <w:pStyle w:val="FootnoteText"/>
        <w:spacing w:after="120"/>
      </w:pPr>
      <w:r w:rsidRPr="00BD1BDA">
        <w:rPr>
          <w:rStyle w:val="FootnoteReference"/>
        </w:rPr>
        <w:footnoteRef/>
      </w:r>
      <w:r>
        <w:rPr>
          <w:szCs w:val="22"/>
        </w:rPr>
        <w:t xml:space="preserve"> Norwood, </w:t>
      </w:r>
      <w:r w:rsidRPr="00BD1BDA">
        <w:rPr>
          <w:szCs w:val="22"/>
        </w:rPr>
        <w:t>TR 178:12-179:2; Settlement, ¶ 13(c).</w:t>
      </w:r>
    </w:p>
  </w:footnote>
  <w:footnote w:id="31">
    <w:p w14:paraId="42142AA8" w14:textId="77777777" w:rsidR="000A341B" w:rsidRPr="00BD1BDA" w:rsidRDefault="000A341B" w:rsidP="00F52154">
      <w:pPr>
        <w:pStyle w:val="FootnoteText"/>
        <w:spacing w:after="120"/>
      </w:pPr>
      <w:r w:rsidRPr="00BD1BDA">
        <w:rPr>
          <w:rStyle w:val="FootnoteReference"/>
        </w:rPr>
        <w:footnoteRef/>
      </w:r>
      <w:r>
        <w:rPr>
          <w:szCs w:val="22"/>
        </w:rPr>
        <w:t xml:space="preserve"> Norwood, </w:t>
      </w:r>
      <w:r w:rsidRPr="00BD1BDA">
        <w:rPr>
          <w:szCs w:val="22"/>
        </w:rPr>
        <w:t>TR 179:3-6.</w:t>
      </w:r>
    </w:p>
  </w:footnote>
  <w:footnote w:id="32">
    <w:p w14:paraId="1AB53564" w14:textId="77777777" w:rsidR="000A341B" w:rsidRPr="00BD1BDA" w:rsidRDefault="000A341B" w:rsidP="00F52154">
      <w:pPr>
        <w:pStyle w:val="FootnoteText"/>
        <w:spacing w:after="120"/>
      </w:pPr>
      <w:r w:rsidRPr="00BD1BDA">
        <w:rPr>
          <w:rStyle w:val="FootnoteReference"/>
        </w:rPr>
        <w:footnoteRef/>
      </w:r>
      <w:r w:rsidRPr="00BD1BDA">
        <w:t xml:space="preserve"> </w:t>
      </w:r>
      <w:r w:rsidRPr="00BD1BDA">
        <w:rPr>
          <w:szCs w:val="22"/>
        </w:rPr>
        <w:t>TR 179:24-181:7</w:t>
      </w:r>
      <w:r>
        <w:rPr>
          <w:szCs w:val="22"/>
        </w:rPr>
        <w:t xml:space="preserve"> (exchange between Commissioner Goltz and Mr. Norwood)</w:t>
      </w:r>
      <w:r w:rsidRPr="00BD1BDA">
        <w:rPr>
          <w:szCs w:val="22"/>
        </w:rPr>
        <w:t>.</w:t>
      </w:r>
    </w:p>
  </w:footnote>
  <w:footnote w:id="33">
    <w:p w14:paraId="7238D84D" w14:textId="77777777" w:rsidR="000A341B" w:rsidRPr="00BD1BDA" w:rsidRDefault="000A341B" w:rsidP="005B5089">
      <w:pPr>
        <w:pStyle w:val="FootnoteText"/>
        <w:spacing w:line="288" w:lineRule="auto"/>
        <w:rPr>
          <w:szCs w:val="22"/>
        </w:rPr>
      </w:pPr>
      <w:r w:rsidRPr="00BD1BDA">
        <w:rPr>
          <w:rStyle w:val="FootnoteReference"/>
          <w:szCs w:val="22"/>
        </w:rPr>
        <w:footnoteRef/>
      </w:r>
      <w:r w:rsidRPr="00BD1BDA">
        <w:rPr>
          <w:szCs w:val="22"/>
        </w:rPr>
        <w:t xml:space="preserve"> Settlement, ¶ 13(f)</w:t>
      </w:r>
      <w:r>
        <w:rPr>
          <w:szCs w:val="22"/>
        </w:rPr>
        <w:t xml:space="preserve">; </w:t>
      </w:r>
      <w:r w:rsidRPr="00FC5E07">
        <w:rPr>
          <w:szCs w:val="22"/>
        </w:rPr>
        <w:t>RCW 19.285.040</w:t>
      </w:r>
      <w:r>
        <w:rPr>
          <w:szCs w:val="22"/>
        </w:rPr>
        <w:t>(1)(b).</w:t>
      </w:r>
    </w:p>
  </w:footnote>
  <w:footnote w:id="34">
    <w:p w14:paraId="09CEFD15" w14:textId="77777777" w:rsidR="000A341B" w:rsidRPr="004E5965" w:rsidRDefault="000A341B" w:rsidP="004E5965">
      <w:pPr>
        <w:pStyle w:val="FootnoteText"/>
        <w:spacing w:after="120"/>
        <w:rPr>
          <w:szCs w:val="22"/>
        </w:rPr>
      </w:pPr>
      <w:r w:rsidRPr="004E5965">
        <w:rPr>
          <w:rStyle w:val="FootnoteReference"/>
        </w:rPr>
        <w:footnoteRef/>
      </w:r>
      <w:r w:rsidRPr="004E5965">
        <w:t xml:space="preserve"> Norwood, </w:t>
      </w:r>
      <w:r w:rsidRPr="004E5965">
        <w:rPr>
          <w:szCs w:val="22"/>
        </w:rPr>
        <w:t xml:space="preserve">TR 179:16-23; </w:t>
      </w:r>
      <w:r w:rsidRPr="004E5965">
        <w:rPr>
          <w:i/>
          <w:szCs w:val="22"/>
        </w:rPr>
        <w:t>Avista Corp</w:t>
      </w:r>
      <w:r w:rsidRPr="004E5965">
        <w:rPr>
          <w:szCs w:val="22"/>
        </w:rPr>
        <w:t>.,</w:t>
      </w:r>
      <w:r w:rsidRPr="004E5965">
        <w:t xml:space="preserve"> </w:t>
      </w:r>
      <w:r w:rsidRPr="004E5965">
        <w:rPr>
          <w:szCs w:val="22"/>
        </w:rPr>
        <w:t>Docket UE-132045, Order 01, Order Approving Avista Corporation's 2014-2023 Achievable Conservation Potential and 2014-2015 Biennial Conservation Target, Subject To Conditions, ¶ 9 (Dec. 19, 2013).</w:t>
      </w:r>
    </w:p>
  </w:footnote>
  <w:footnote w:id="35">
    <w:p w14:paraId="64CFD2E3" w14:textId="77354FB7" w:rsidR="000A341B" w:rsidRPr="004E5965" w:rsidRDefault="000A341B" w:rsidP="004E5965">
      <w:pPr>
        <w:pStyle w:val="FootnoteText"/>
        <w:spacing w:after="120"/>
      </w:pPr>
      <w:r w:rsidRPr="004E5965">
        <w:rPr>
          <w:rStyle w:val="FootnoteReference"/>
        </w:rPr>
        <w:footnoteRef/>
      </w:r>
      <w:r w:rsidRPr="004E5965">
        <w:t xml:space="preserve"> Norwood, </w:t>
      </w:r>
      <w:r w:rsidRPr="004E5965">
        <w:rPr>
          <w:szCs w:val="22"/>
        </w:rPr>
        <w:t>TR 181:11-15.</w:t>
      </w:r>
    </w:p>
  </w:footnote>
  <w:footnote w:id="36">
    <w:p w14:paraId="16ABC9D2" w14:textId="691B8C23"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t>
      </w:r>
      <w:r w:rsidRPr="004E5965">
        <w:t>Settlement Stipulation</w:t>
      </w:r>
      <w:r w:rsidRPr="004E5965">
        <w:rPr>
          <w:szCs w:val="22"/>
        </w:rPr>
        <w:t>, ¶ 13(a); TR 186:2-13</w:t>
      </w:r>
      <w:r w:rsidR="004E5965">
        <w:rPr>
          <w:szCs w:val="22"/>
        </w:rPr>
        <w:t>.</w:t>
      </w:r>
    </w:p>
  </w:footnote>
  <w:footnote w:id="37">
    <w:p w14:paraId="576A3BC7" w14:textId="77777777" w:rsidR="000A341B" w:rsidRPr="004E5965" w:rsidRDefault="000A341B" w:rsidP="00F52154">
      <w:pPr>
        <w:pStyle w:val="FootnoteText"/>
        <w:spacing w:after="120"/>
      </w:pPr>
      <w:r w:rsidRPr="004E5965">
        <w:rPr>
          <w:rStyle w:val="FootnoteReference"/>
        </w:rPr>
        <w:footnoteRef/>
      </w:r>
      <w:r w:rsidRPr="004E5965">
        <w:t xml:space="preserve"> Settlement Stipulation</w:t>
      </w:r>
      <w:r w:rsidRPr="004E5965">
        <w:rPr>
          <w:szCs w:val="22"/>
        </w:rPr>
        <w:t>, ¶ 13(a); TR 184:25-185:15; TR 186:14-17.</w:t>
      </w:r>
    </w:p>
  </w:footnote>
  <w:footnote w:id="38">
    <w:p w14:paraId="21842DDE" w14:textId="77777777" w:rsidR="000A341B" w:rsidRPr="00BD1BDA" w:rsidRDefault="000A341B" w:rsidP="00F52154">
      <w:pPr>
        <w:pStyle w:val="FootnoteText"/>
        <w:spacing w:after="120"/>
      </w:pPr>
      <w:r w:rsidRPr="004E5965">
        <w:rPr>
          <w:rStyle w:val="FootnoteReference"/>
        </w:rPr>
        <w:footnoteRef/>
      </w:r>
      <w:r w:rsidRPr="004E5965">
        <w:t xml:space="preserve"> TR 186:18-187:3; TR 187:22-188:11.</w:t>
      </w:r>
    </w:p>
  </w:footnote>
  <w:footnote w:id="39">
    <w:p w14:paraId="66E058B1" w14:textId="77777777" w:rsidR="000A341B" w:rsidRPr="00F757CD" w:rsidRDefault="000A341B" w:rsidP="00F52154">
      <w:pPr>
        <w:pStyle w:val="FootnoteText"/>
        <w:spacing w:after="120"/>
      </w:pPr>
      <w:r w:rsidRPr="0098256A">
        <w:rPr>
          <w:rStyle w:val="FootnoteReference"/>
        </w:rPr>
        <w:footnoteRef/>
      </w:r>
      <w:r w:rsidRPr="0098256A">
        <w:rPr>
          <w:sz w:val="18"/>
        </w:rPr>
        <w:t xml:space="preserve"> </w:t>
      </w:r>
      <w:r>
        <w:rPr>
          <w:i/>
        </w:rPr>
        <w:t>Id.</w:t>
      </w:r>
      <w:r>
        <w:t xml:space="preserve">  This update will provide more recent: three-month average natural gas and electricity prices, short-term contracts, transmission contract prices.  </w:t>
      </w:r>
      <w:r w:rsidRPr="00D06E91">
        <w:rPr>
          <w:i/>
        </w:rPr>
        <w:t>Id</w:t>
      </w:r>
      <w:r>
        <w:rPr>
          <w:i/>
        </w:rPr>
        <w:t xml:space="preserve">.  </w:t>
      </w:r>
      <w:r w:rsidRPr="00D06E91">
        <w:t>Based</w:t>
      </w:r>
      <w:r>
        <w:t xml:space="preserve"> on this update, the Company will file with the Commission revised appendices to the Settlement Stipulation by November 17, 2014.</w:t>
      </w:r>
    </w:p>
  </w:footnote>
  <w:footnote w:id="40">
    <w:p w14:paraId="47B75D3C" w14:textId="77777777" w:rsidR="000A341B" w:rsidRDefault="000A341B" w:rsidP="00F52154">
      <w:pPr>
        <w:pStyle w:val="FootnoteText"/>
        <w:spacing w:after="120"/>
      </w:pPr>
      <w:r>
        <w:rPr>
          <w:rStyle w:val="FootnoteReference"/>
        </w:rPr>
        <w:footnoteRef/>
      </w:r>
      <w:r>
        <w:t xml:space="preserve"> Norwood, TR 233:22.</w:t>
      </w:r>
    </w:p>
  </w:footnote>
  <w:footnote w:id="41">
    <w:p w14:paraId="6080A5F4" w14:textId="77777777" w:rsidR="000A341B" w:rsidRDefault="000A341B" w:rsidP="00F52154">
      <w:pPr>
        <w:pStyle w:val="FootnoteText"/>
        <w:spacing w:after="120"/>
      </w:pPr>
      <w:r>
        <w:rPr>
          <w:rStyle w:val="FootnoteReference"/>
        </w:rPr>
        <w:footnoteRef/>
      </w:r>
      <w:r>
        <w:t xml:space="preserve"> November 2014 Update, Appendix 2; Settlement, ¶6.</w:t>
      </w:r>
    </w:p>
  </w:footnote>
  <w:footnote w:id="42">
    <w:p w14:paraId="426B75B4" w14:textId="6A21CDC9" w:rsidR="000A341B" w:rsidRDefault="000A341B" w:rsidP="00F52154">
      <w:pPr>
        <w:pStyle w:val="FootnoteText"/>
        <w:spacing w:after="120"/>
      </w:pPr>
      <w:r>
        <w:rPr>
          <w:rStyle w:val="FootnoteReference"/>
        </w:rPr>
        <w:footnoteRef/>
      </w:r>
      <w:r>
        <w:t xml:space="preserve"> November 2014 Update, Appendix 2.  Ms. Fisher provides Public Counsel’s rationale for moving these expenses from the REC Revenue Tracker to the ERM.  Fisher, Exh. No. LF-1CT, at 15:1-13.</w:t>
      </w:r>
    </w:p>
  </w:footnote>
  <w:footnote w:id="43">
    <w:p w14:paraId="2F8F6218" w14:textId="77777777" w:rsidR="000A341B" w:rsidRPr="00B765BE" w:rsidRDefault="000A341B" w:rsidP="00F52154">
      <w:pPr>
        <w:pStyle w:val="FootnoteText"/>
        <w:spacing w:after="120"/>
      </w:pPr>
      <w:r w:rsidRPr="0098256A">
        <w:rPr>
          <w:rStyle w:val="FootnoteReference"/>
        </w:rPr>
        <w:footnoteRef/>
      </w:r>
      <w:r w:rsidRPr="0098256A">
        <w:rPr>
          <w:sz w:val="18"/>
        </w:rPr>
        <w:t xml:space="preserve"> </w:t>
      </w:r>
      <w:r>
        <w:rPr>
          <w:i/>
        </w:rPr>
        <w:t>Id.</w:t>
      </w:r>
      <w:r>
        <w:t>, ¶ 5(b).</w:t>
      </w:r>
    </w:p>
  </w:footnote>
  <w:footnote w:id="44">
    <w:p w14:paraId="2AB2F52F" w14:textId="77777777" w:rsidR="000A341B" w:rsidRPr="00711897" w:rsidRDefault="000A341B" w:rsidP="00F52154">
      <w:pPr>
        <w:pStyle w:val="FootnoteText"/>
        <w:spacing w:after="120"/>
      </w:pPr>
      <w:r>
        <w:rPr>
          <w:rStyle w:val="FootnoteReference"/>
        </w:rPr>
        <w:footnoteRef/>
      </w:r>
      <w:r>
        <w:t xml:space="preserve"> </w:t>
      </w:r>
      <w:r>
        <w:rPr>
          <w:i/>
        </w:rPr>
        <w:t>Id</w:t>
      </w:r>
      <w:r>
        <w:t xml:space="preserve">.  </w:t>
      </w:r>
      <w:r w:rsidRPr="00665FB8">
        <w:t>Staff proposed this adjustment in Ball, Exhibit No. JBL-2, at 8:8-10:4.</w:t>
      </w:r>
    </w:p>
  </w:footnote>
  <w:footnote w:id="45">
    <w:p w14:paraId="2E74C3F9" w14:textId="77777777" w:rsidR="000A341B" w:rsidRPr="0098256A" w:rsidRDefault="000A341B" w:rsidP="00F52154">
      <w:pPr>
        <w:pStyle w:val="FootnoteText"/>
        <w:spacing w:after="120"/>
      </w:pPr>
      <w:r w:rsidRPr="0098256A">
        <w:rPr>
          <w:rStyle w:val="FootnoteReference"/>
        </w:rPr>
        <w:footnoteRef/>
      </w:r>
      <w:r w:rsidRPr="0098256A">
        <w:rPr>
          <w:sz w:val="18"/>
        </w:rPr>
        <w:t xml:space="preserve"> </w:t>
      </w:r>
      <w:r w:rsidRPr="00965CC3">
        <w:t>Settlement</w:t>
      </w:r>
      <w:r>
        <w:t>, ¶ 8.</w:t>
      </w:r>
    </w:p>
  </w:footnote>
  <w:footnote w:id="46">
    <w:p w14:paraId="508EEE43" w14:textId="77777777" w:rsidR="000A341B" w:rsidRPr="00B82AEB" w:rsidRDefault="000A341B" w:rsidP="00F52154">
      <w:pPr>
        <w:pStyle w:val="FootnoteText"/>
        <w:spacing w:after="120"/>
      </w:pPr>
      <w:r w:rsidRPr="00B82AEB">
        <w:rPr>
          <w:rStyle w:val="FootnoteReference"/>
        </w:rPr>
        <w:footnoteRef/>
      </w:r>
      <w:r w:rsidRPr="00B82AEB">
        <w:rPr>
          <w:sz w:val="18"/>
        </w:rPr>
        <w:t xml:space="preserve"> </w:t>
      </w:r>
      <w:r>
        <w:rPr>
          <w:i/>
        </w:rPr>
        <w:t>Id.</w:t>
      </w:r>
      <w:r>
        <w:t>, ¶ 13(e).</w:t>
      </w:r>
    </w:p>
  </w:footnote>
  <w:footnote w:id="47">
    <w:p w14:paraId="16577322" w14:textId="77777777" w:rsidR="000A341B" w:rsidRDefault="000A341B" w:rsidP="00F52154">
      <w:pPr>
        <w:pStyle w:val="FootnoteText"/>
        <w:spacing w:after="120"/>
      </w:pPr>
      <w:r>
        <w:rPr>
          <w:rStyle w:val="FootnoteReference"/>
        </w:rPr>
        <w:footnoteRef/>
      </w:r>
      <w:r>
        <w:t xml:space="preserve"> Ball, Exhibit No. JLB-1T, at 10:1-13.</w:t>
      </w:r>
    </w:p>
  </w:footnote>
  <w:footnote w:id="48">
    <w:p w14:paraId="33E89D51" w14:textId="77777777" w:rsidR="000A341B" w:rsidRPr="001B6A96" w:rsidRDefault="000A341B" w:rsidP="00F52154">
      <w:pPr>
        <w:pStyle w:val="FootnoteText"/>
        <w:spacing w:after="120"/>
        <w:rPr>
          <w:szCs w:val="22"/>
        </w:rPr>
      </w:pPr>
      <w:r w:rsidRPr="001B6A96">
        <w:rPr>
          <w:rStyle w:val="FootnoteReference"/>
          <w:szCs w:val="22"/>
        </w:rPr>
        <w:footnoteRef/>
      </w:r>
      <w:r w:rsidRPr="001B6A96">
        <w:rPr>
          <w:szCs w:val="22"/>
        </w:rPr>
        <w:t xml:space="preserve"> Settlement, ¶ 14.</w:t>
      </w:r>
    </w:p>
  </w:footnote>
  <w:footnote w:id="49">
    <w:p w14:paraId="7DE80E94" w14:textId="77777777" w:rsidR="000A341B" w:rsidRPr="001B6A96" w:rsidRDefault="000A341B" w:rsidP="00F52154">
      <w:pPr>
        <w:pStyle w:val="FootnoteText"/>
        <w:spacing w:after="120"/>
        <w:rPr>
          <w:szCs w:val="22"/>
        </w:rPr>
      </w:pPr>
      <w:r w:rsidRPr="001B6A96">
        <w:rPr>
          <w:rStyle w:val="FootnoteReference"/>
          <w:szCs w:val="22"/>
        </w:rPr>
        <w:footnoteRef/>
      </w:r>
      <w:r w:rsidRPr="001B6A96">
        <w:rPr>
          <w:szCs w:val="22"/>
        </w:rPr>
        <w:t xml:space="preserve"> </w:t>
      </w:r>
      <w:r w:rsidRPr="001B6A96">
        <w:rPr>
          <w:i/>
          <w:szCs w:val="22"/>
        </w:rPr>
        <w:t>Id.</w:t>
      </w:r>
      <w:r w:rsidRPr="001B6A96">
        <w:rPr>
          <w:szCs w:val="22"/>
        </w:rPr>
        <w:t>, ¶ 15.</w:t>
      </w:r>
    </w:p>
  </w:footnote>
  <w:footnote w:id="50">
    <w:p w14:paraId="4A844205" w14:textId="77777777" w:rsidR="000A341B" w:rsidRPr="001B6A96" w:rsidRDefault="000A341B" w:rsidP="00F52154">
      <w:pPr>
        <w:pStyle w:val="FootnoteText"/>
        <w:spacing w:after="120"/>
        <w:rPr>
          <w:szCs w:val="22"/>
        </w:rPr>
      </w:pPr>
      <w:r w:rsidRPr="001B6A96">
        <w:rPr>
          <w:rStyle w:val="FootnoteReference"/>
          <w:szCs w:val="22"/>
        </w:rPr>
        <w:footnoteRef/>
      </w:r>
      <w:r w:rsidRPr="001B6A96">
        <w:rPr>
          <w:szCs w:val="22"/>
        </w:rPr>
        <w:t xml:space="preserve"> </w:t>
      </w:r>
      <w:r w:rsidRPr="001B6A96">
        <w:rPr>
          <w:i/>
          <w:szCs w:val="22"/>
        </w:rPr>
        <w:t>Id.</w:t>
      </w:r>
      <w:r w:rsidRPr="001B6A96">
        <w:rPr>
          <w:szCs w:val="22"/>
        </w:rPr>
        <w:t xml:space="preserve">  At hearing, Avista clarified that the proposed basic charges for Schedules 111 and 121 remove the natural gas commodity costs, consistent with a prior Commission decision.  Ehrbar, TR 229:22-230:9.</w:t>
      </w:r>
    </w:p>
  </w:footnote>
  <w:footnote w:id="51">
    <w:p w14:paraId="4EE59634" w14:textId="3F0B2E75" w:rsidR="000A341B" w:rsidRPr="001B6A96" w:rsidRDefault="000A341B" w:rsidP="00F52154">
      <w:pPr>
        <w:autoSpaceDE w:val="0"/>
        <w:autoSpaceDN w:val="0"/>
        <w:adjustRightInd w:val="0"/>
        <w:spacing w:after="120"/>
        <w:rPr>
          <w:sz w:val="22"/>
          <w:szCs w:val="22"/>
        </w:rPr>
      </w:pPr>
      <w:r w:rsidRPr="001B6A96">
        <w:rPr>
          <w:rStyle w:val="FootnoteReference"/>
          <w:sz w:val="22"/>
          <w:szCs w:val="22"/>
        </w:rPr>
        <w:footnoteRef/>
      </w:r>
      <w:r w:rsidRPr="001B6A96">
        <w:rPr>
          <w:sz w:val="22"/>
          <w:szCs w:val="22"/>
        </w:rPr>
        <w:t xml:space="preserve"> Settlement, ¶ 18</w:t>
      </w:r>
      <w:r w:rsidR="004E5965">
        <w:rPr>
          <w:sz w:val="22"/>
          <w:szCs w:val="22"/>
        </w:rPr>
        <w:t>.</w:t>
      </w:r>
    </w:p>
  </w:footnote>
  <w:footnote w:id="52">
    <w:p w14:paraId="58C0214E" w14:textId="77777777" w:rsidR="000A341B" w:rsidRPr="001B6A96" w:rsidRDefault="000A341B" w:rsidP="00F52154">
      <w:pPr>
        <w:pStyle w:val="FootnoteText"/>
        <w:spacing w:after="120"/>
        <w:rPr>
          <w:szCs w:val="22"/>
        </w:rPr>
      </w:pPr>
      <w:r w:rsidRPr="001B6A96">
        <w:rPr>
          <w:rStyle w:val="FootnoteReference"/>
          <w:szCs w:val="22"/>
        </w:rPr>
        <w:footnoteRef/>
      </w:r>
      <w:r w:rsidRPr="001B6A96">
        <w:rPr>
          <w:szCs w:val="22"/>
        </w:rPr>
        <w:t xml:space="preserve"> Joint Testimony, 57:21-28:2.</w:t>
      </w:r>
    </w:p>
  </w:footnote>
  <w:footnote w:id="53">
    <w:p w14:paraId="5DCA9410" w14:textId="77777777" w:rsidR="000A341B" w:rsidRPr="001B6A96" w:rsidRDefault="000A341B" w:rsidP="00F52154">
      <w:pPr>
        <w:pStyle w:val="FootnoteText"/>
        <w:spacing w:after="120"/>
        <w:rPr>
          <w:szCs w:val="22"/>
        </w:rPr>
      </w:pPr>
      <w:r w:rsidRPr="001B6A96">
        <w:rPr>
          <w:rStyle w:val="FootnoteReference"/>
          <w:szCs w:val="22"/>
        </w:rPr>
        <w:footnoteRef/>
      </w:r>
      <w:r w:rsidRPr="001B6A96">
        <w:rPr>
          <w:szCs w:val="22"/>
        </w:rPr>
        <w:t xml:space="preserve"> TR 253:17-25, 254:1-23 </w:t>
      </w:r>
      <w:r>
        <w:rPr>
          <w:szCs w:val="22"/>
        </w:rPr>
        <w:t xml:space="preserve">(Exchange between Commissioner Jones and Mr. Norwood) </w:t>
      </w:r>
      <w:r w:rsidRPr="001B6A96">
        <w:rPr>
          <w:szCs w:val="22"/>
        </w:rPr>
        <w:t>(September 23, 2014)</w:t>
      </w:r>
      <w:r>
        <w:rPr>
          <w:szCs w:val="22"/>
        </w:rPr>
        <w:t>.</w:t>
      </w:r>
    </w:p>
  </w:footnote>
  <w:footnote w:id="54">
    <w:p w14:paraId="3F9F04C7" w14:textId="77777777" w:rsidR="000A341B" w:rsidRDefault="000A341B" w:rsidP="00F52154">
      <w:pPr>
        <w:pStyle w:val="FootnoteText"/>
        <w:spacing w:after="120"/>
      </w:pPr>
      <w:r w:rsidRPr="001B6A96">
        <w:rPr>
          <w:rStyle w:val="FootnoteReference"/>
          <w:szCs w:val="22"/>
        </w:rPr>
        <w:footnoteRef/>
      </w:r>
      <w:r w:rsidRPr="001B6A96">
        <w:rPr>
          <w:szCs w:val="22"/>
        </w:rPr>
        <w:t xml:space="preserve"> </w:t>
      </w:r>
      <w:r>
        <w:rPr>
          <w:szCs w:val="22"/>
        </w:rPr>
        <w:t xml:space="preserve">Schooley, </w:t>
      </w:r>
      <w:r w:rsidRPr="001B6A96">
        <w:rPr>
          <w:szCs w:val="22"/>
        </w:rPr>
        <w:t>TR 254:11-13 (September 23, 2014)</w:t>
      </w:r>
      <w:r>
        <w:rPr>
          <w:szCs w:val="22"/>
        </w:rPr>
        <w:t>.</w:t>
      </w:r>
    </w:p>
  </w:footnote>
  <w:footnote w:id="55">
    <w:p w14:paraId="52870D66" w14:textId="2B0207C9"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w:t>
      </w:r>
      <w:r w:rsidRPr="008B0E09">
        <w:rPr>
          <w:i/>
          <w:szCs w:val="22"/>
        </w:rPr>
        <w:t>Utilities &amp; Transp. Comm’n v. Avista Corp</w:t>
      </w:r>
      <w:r w:rsidRPr="008B0E09">
        <w:rPr>
          <w:szCs w:val="22"/>
        </w:rPr>
        <w:t>., Dockets UE-120436 and UG-120437, Order 09 (December 26, 2012)</w:t>
      </w:r>
      <w:r w:rsidR="004E5965">
        <w:rPr>
          <w:szCs w:val="22"/>
        </w:rPr>
        <w:t>.</w:t>
      </w:r>
    </w:p>
  </w:footnote>
  <w:footnote w:id="56">
    <w:p w14:paraId="2219EA5B" w14:textId="07F1763A" w:rsidR="000A341B" w:rsidRPr="008B0E09" w:rsidRDefault="000A341B" w:rsidP="00F52154">
      <w:pPr>
        <w:pStyle w:val="FootnoteText"/>
        <w:spacing w:after="120"/>
        <w:rPr>
          <w:szCs w:val="22"/>
        </w:rPr>
      </w:pPr>
      <w:r w:rsidRPr="008B0E09">
        <w:rPr>
          <w:rStyle w:val="FootnoteReference"/>
          <w:szCs w:val="22"/>
        </w:rPr>
        <w:footnoteRef/>
      </w:r>
      <w:r>
        <w:rPr>
          <w:szCs w:val="22"/>
        </w:rPr>
        <w:t xml:space="preserve"> Williams, Exh.</w:t>
      </w:r>
      <w:r w:rsidRPr="008B0E09">
        <w:rPr>
          <w:szCs w:val="22"/>
        </w:rPr>
        <w:t xml:space="preserve"> No. JMW-1T, 5:14-19</w:t>
      </w:r>
      <w:r w:rsidR="004E5965">
        <w:rPr>
          <w:szCs w:val="22"/>
        </w:rPr>
        <w:t>.</w:t>
      </w:r>
    </w:p>
  </w:footnote>
  <w:footnote w:id="57">
    <w:p w14:paraId="574078E7" w14:textId="55513821" w:rsidR="000A341B" w:rsidRPr="00F52154" w:rsidRDefault="000A341B" w:rsidP="00F52154">
      <w:pPr>
        <w:pStyle w:val="FootnoteText"/>
        <w:spacing w:after="120"/>
        <w:rPr>
          <w:szCs w:val="22"/>
        </w:rPr>
      </w:pPr>
      <w:r w:rsidRPr="00F52154">
        <w:rPr>
          <w:rStyle w:val="FootnoteReference"/>
          <w:szCs w:val="22"/>
        </w:rPr>
        <w:footnoteRef/>
      </w:r>
      <w:r w:rsidRPr="00F52154">
        <w:rPr>
          <w:szCs w:val="22"/>
        </w:rPr>
        <w:t xml:space="preserve"> </w:t>
      </w:r>
      <w:r w:rsidRPr="00F52154">
        <w:rPr>
          <w:i/>
          <w:szCs w:val="22"/>
        </w:rPr>
        <w:t>Id.</w:t>
      </w:r>
      <w:r w:rsidRPr="00F52154">
        <w:rPr>
          <w:szCs w:val="22"/>
        </w:rPr>
        <w:t>, 6:1-15</w:t>
      </w:r>
      <w:r w:rsidR="004E5965">
        <w:rPr>
          <w:szCs w:val="22"/>
        </w:rPr>
        <w:t>.</w:t>
      </w:r>
    </w:p>
  </w:footnote>
  <w:footnote w:id="58">
    <w:p w14:paraId="5F6B1992" w14:textId="77777777" w:rsidR="000A341B" w:rsidRPr="00F52154" w:rsidRDefault="000A341B" w:rsidP="00F52154">
      <w:pPr>
        <w:pStyle w:val="FootnoteText"/>
        <w:spacing w:after="120"/>
        <w:rPr>
          <w:szCs w:val="22"/>
        </w:rPr>
      </w:pPr>
      <w:r w:rsidRPr="00F52154">
        <w:rPr>
          <w:rStyle w:val="FootnoteReference"/>
          <w:szCs w:val="22"/>
        </w:rPr>
        <w:footnoteRef/>
      </w:r>
      <w:r w:rsidRPr="00F52154">
        <w:rPr>
          <w:szCs w:val="22"/>
        </w:rPr>
        <w:t xml:space="preserve"> Kopczynski, Exh. No. DFK-1T, at 17:14-16. Williams, Exh. No. JMW-1T, 7:1-3.</w:t>
      </w:r>
    </w:p>
  </w:footnote>
  <w:footnote w:id="59">
    <w:p w14:paraId="2AC0E635"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Williams, Exh. No. JMW-1T, 11:14-17, 17:9-10.</w:t>
      </w:r>
    </w:p>
  </w:footnote>
  <w:footnote w:id="60">
    <w:p w14:paraId="454C55DF" w14:textId="7E170C9E"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t>
      </w:r>
      <w:r w:rsidRPr="004E5965">
        <w:rPr>
          <w:i/>
          <w:szCs w:val="22"/>
        </w:rPr>
        <w:t>Id.</w:t>
      </w:r>
      <w:r w:rsidRPr="004E5965">
        <w:rPr>
          <w:szCs w:val="22"/>
        </w:rPr>
        <w:t>, 20:1-2</w:t>
      </w:r>
      <w:r w:rsidR="004E5965" w:rsidRPr="004E5965">
        <w:rPr>
          <w:szCs w:val="22"/>
        </w:rPr>
        <w:t>.</w:t>
      </w:r>
    </w:p>
  </w:footnote>
  <w:footnote w:id="61">
    <w:p w14:paraId="1C8724F4" w14:textId="179D06B5" w:rsidR="000A341B" w:rsidRPr="004E5965" w:rsidRDefault="000A341B" w:rsidP="00F52154">
      <w:pPr>
        <w:spacing w:after="120"/>
        <w:rPr>
          <w:sz w:val="22"/>
          <w:szCs w:val="22"/>
        </w:rPr>
      </w:pPr>
      <w:r w:rsidRPr="004E5965">
        <w:rPr>
          <w:rStyle w:val="FootnoteReference"/>
          <w:sz w:val="22"/>
          <w:szCs w:val="22"/>
        </w:rPr>
        <w:footnoteRef/>
      </w:r>
      <w:r w:rsidRPr="004E5965">
        <w:rPr>
          <w:sz w:val="22"/>
          <w:szCs w:val="22"/>
        </w:rPr>
        <w:t xml:space="preserve"> Settlement, ¶ 17</w:t>
      </w:r>
      <w:r w:rsidR="004E5965" w:rsidRPr="004E5965">
        <w:rPr>
          <w:sz w:val="22"/>
          <w:szCs w:val="22"/>
        </w:rPr>
        <w:t>.</w:t>
      </w:r>
    </w:p>
  </w:footnote>
  <w:footnote w:id="62">
    <w:p w14:paraId="07A16F6C"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Williams, Exh. No. JMW-1T, 7:5-21, 8:1-10; Eberdt, Exh. No. CME-1T, 7:7-11.</w:t>
      </w:r>
    </w:p>
  </w:footnote>
  <w:footnote w:id="63">
    <w:p w14:paraId="573C4059" w14:textId="1BB55C2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Williams, Exh. No. JMW-1T, 2:13-16</w:t>
      </w:r>
      <w:r w:rsidR="004E5965" w:rsidRPr="004E5965">
        <w:rPr>
          <w:szCs w:val="22"/>
        </w:rPr>
        <w:t>.</w:t>
      </w:r>
    </w:p>
  </w:footnote>
  <w:footnote w:id="64">
    <w:p w14:paraId="3D7D866D" w14:textId="52FBA9FE"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17</w:t>
      </w:r>
      <w:r w:rsidR="004E5965" w:rsidRPr="004E5965">
        <w:rPr>
          <w:szCs w:val="22"/>
        </w:rPr>
        <w:t>.</w:t>
      </w:r>
    </w:p>
  </w:footnote>
  <w:footnote w:id="65">
    <w:p w14:paraId="139AD340"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TR 271:1-272:20 (Exchange between Chairman Danner and Mr. Eberdt) (September 23, 2014).</w:t>
      </w:r>
    </w:p>
  </w:footnote>
  <w:footnote w:id="66">
    <w:p w14:paraId="35A6F4F3"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w:t>
      </w:r>
      <w:r w:rsidRPr="004E5965">
        <w:rPr>
          <w:i/>
          <w:szCs w:val="22"/>
        </w:rPr>
        <w:t>Id.</w:t>
      </w:r>
    </w:p>
  </w:footnote>
  <w:footnote w:id="67">
    <w:p w14:paraId="610FD8AE" w14:textId="27E33882"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17</w:t>
      </w:r>
      <w:r w:rsidR="004E5965" w:rsidRPr="004E5965">
        <w:rPr>
          <w:szCs w:val="22"/>
        </w:rPr>
        <w:t>.</w:t>
      </w:r>
    </w:p>
  </w:footnote>
  <w:footnote w:id="68">
    <w:p w14:paraId="37F87336" w14:textId="77777777" w:rsidR="000A341B" w:rsidRPr="008B0E09" w:rsidRDefault="000A341B" w:rsidP="00F52154">
      <w:pPr>
        <w:pStyle w:val="FootnoteText"/>
        <w:spacing w:after="120"/>
        <w:rPr>
          <w:i/>
          <w:szCs w:val="22"/>
        </w:rPr>
      </w:pPr>
      <w:r w:rsidRPr="004E5965">
        <w:rPr>
          <w:rStyle w:val="FootnoteReference"/>
          <w:szCs w:val="22"/>
        </w:rPr>
        <w:footnoteRef/>
      </w:r>
      <w:r w:rsidRPr="004E5965">
        <w:rPr>
          <w:szCs w:val="22"/>
        </w:rPr>
        <w:t xml:space="preserve"> </w:t>
      </w:r>
      <w:r w:rsidRPr="004E5965">
        <w:rPr>
          <w:i/>
          <w:szCs w:val="22"/>
        </w:rPr>
        <w:t>Id.</w:t>
      </w:r>
    </w:p>
  </w:footnote>
  <w:footnote w:id="69">
    <w:p w14:paraId="5168BCF3" w14:textId="1B5BB8B9"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Settlement, ¶ 17</w:t>
      </w:r>
      <w:r w:rsidR="00BC7A5A">
        <w:rPr>
          <w:szCs w:val="22"/>
        </w:rPr>
        <w:t>.</w:t>
      </w:r>
    </w:p>
  </w:footnote>
  <w:footnote w:id="70">
    <w:p w14:paraId="3A25AA6B" w14:textId="3FBB8095"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w:t>
      </w:r>
      <w:r>
        <w:rPr>
          <w:szCs w:val="22"/>
        </w:rPr>
        <w:t xml:space="preserve">Honekamp, </w:t>
      </w:r>
      <w:r w:rsidRPr="008B0E09">
        <w:rPr>
          <w:szCs w:val="22"/>
        </w:rPr>
        <w:t>TR 96:7-12, 98:1-5</w:t>
      </w:r>
      <w:r>
        <w:rPr>
          <w:szCs w:val="22"/>
        </w:rPr>
        <w:t xml:space="preserve"> (August 27</w:t>
      </w:r>
      <w:r w:rsidRPr="008B0E09">
        <w:rPr>
          <w:szCs w:val="22"/>
        </w:rPr>
        <w:t>, 2014</w:t>
      </w:r>
      <w:r>
        <w:rPr>
          <w:szCs w:val="22"/>
        </w:rPr>
        <w:t xml:space="preserve">).  </w:t>
      </w:r>
      <w:r w:rsidRPr="008B0E09">
        <w:rPr>
          <w:szCs w:val="22"/>
        </w:rPr>
        <w:t>SNAP is an independent community action agency, represented by the Energy Project in this proceeding</w:t>
      </w:r>
      <w:r>
        <w:rPr>
          <w:szCs w:val="22"/>
        </w:rPr>
        <w:t xml:space="preserve">, and </w:t>
      </w:r>
      <w:r w:rsidRPr="008B0E09">
        <w:rPr>
          <w:szCs w:val="22"/>
        </w:rPr>
        <w:t xml:space="preserve">the largest of the community action agencies administering Avista’s LIRAP. </w:t>
      </w:r>
      <w:r>
        <w:rPr>
          <w:szCs w:val="22"/>
        </w:rPr>
        <w:t xml:space="preserve"> Mr. Eberdt, on behalf of the Energy Project, clarified at hearing that he didn’t understand SNAP’s objection to be anything other than concern “that there are a lot of people that are hurting and we’re not getting to enough of them.”  Eberdt, TR 256:12-13.</w:t>
      </w:r>
    </w:p>
  </w:footnote>
  <w:footnote w:id="71">
    <w:p w14:paraId="5207932D" w14:textId="01ED772C"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For example, Aging and Long-term Care of Eastern Washington proposes using the Elder Economic Security Index to qualify customers for low-income energy assistance instead of </w:t>
      </w:r>
      <w:r>
        <w:rPr>
          <w:szCs w:val="22"/>
        </w:rPr>
        <w:t xml:space="preserve">the Federal Poverty Guidelines; </w:t>
      </w:r>
      <w:r w:rsidRPr="008B0E09">
        <w:rPr>
          <w:szCs w:val="22"/>
        </w:rPr>
        <w:t>TR 66</w:t>
      </w:r>
      <w:r>
        <w:rPr>
          <w:szCs w:val="22"/>
        </w:rPr>
        <w:t>:</w:t>
      </w:r>
      <w:r w:rsidRPr="008B0E09">
        <w:rPr>
          <w:szCs w:val="22"/>
        </w:rPr>
        <w:t>5-7</w:t>
      </w:r>
      <w:r>
        <w:rPr>
          <w:szCs w:val="22"/>
        </w:rPr>
        <w:t xml:space="preserve"> (August 26, 2014); TR 261:22-264:20 (September 23, 2014)</w:t>
      </w:r>
      <w:r w:rsidR="004E5965">
        <w:rPr>
          <w:szCs w:val="22"/>
        </w:rPr>
        <w:t>.</w:t>
      </w:r>
    </w:p>
  </w:footnote>
  <w:footnote w:id="72">
    <w:p w14:paraId="07A60A0E" w14:textId="69767EDB"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w:t>
      </w:r>
      <w:r>
        <w:rPr>
          <w:szCs w:val="22"/>
        </w:rPr>
        <w:t xml:space="preserve">Honekamp, </w:t>
      </w:r>
      <w:r w:rsidRPr="008B0E09">
        <w:rPr>
          <w:szCs w:val="22"/>
        </w:rPr>
        <w:t>TR 93:4-22</w:t>
      </w:r>
      <w:r>
        <w:rPr>
          <w:szCs w:val="22"/>
        </w:rPr>
        <w:t xml:space="preserve"> (</w:t>
      </w:r>
      <w:r w:rsidRPr="008B0E09">
        <w:rPr>
          <w:szCs w:val="22"/>
        </w:rPr>
        <w:t>August 2</w:t>
      </w:r>
      <w:r>
        <w:rPr>
          <w:szCs w:val="22"/>
        </w:rPr>
        <w:t>7</w:t>
      </w:r>
      <w:r w:rsidRPr="008B0E09">
        <w:rPr>
          <w:szCs w:val="22"/>
        </w:rPr>
        <w:t>, 2014</w:t>
      </w:r>
      <w:r>
        <w:rPr>
          <w:szCs w:val="22"/>
        </w:rPr>
        <w:t>)</w:t>
      </w:r>
      <w:r w:rsidR="004E5965">
        <w:rPr>
          <w:szCs w:val="22"/>
        </w:rPr>
        <w:t>.</w:t>
      </w:r>
    </w:p>
  </w:footnote>
  <w:footnote w:id="73">
    <w:p w14:paraId="07DC735C" w14:textId="77777777" w:rsidR="000A341B" w:rsidRPr="008B0E09" w:rsidRDefault="000A341B" w:rsidP="00F52154">
      <w:pPr>
        <w:pStyle w:val="FootnoteText"/>
        <w:spacing w:after="120"/>
        <w:rPr>
          <w:szCs w:val="22"/>
        </w:rPr>
      </w:pPr>
      <w:r w:rsidRPr="008B0E09">
        <w:rPr>
          <w:rStyle w:val="FootnoteReference"/>
          <w:szCs w:val="22"/>
        </w:rPr>
        <w:footnoteRef/>
      </w:r>
      <w:r>
        <w:rPr>
          <w:szCs w:val="22"/>
        </w:rPr>
        <w:t xml:space="preserve"> Eberdt, Exh.</w:t>
      </w:r>
      <w:r w:rsidRPr="008B0E09">
        <w:rPr>
          <w:szCs w:val="22"/>
        </w:rPr>
        <w:t xml:space="preserve"> No. CME-1T, 7:8-18; Williams, E</w:t>
      </w:r>
      <w:r>
        <w:rPr>
          <w:szCs w:val="22"/>
        </w:rPr>
        <w:t>xh.</w:t>
      </w:r>
      <w:r w:rsidRPr="008B0E09">
        <w:rPr>
          <w:szCs w:val="22"/>
        </w:rPr>
        <w:t xml:space="preserve"> No. JMW-1T, 7:8-10, </w:t>
      </w:r>
      <w:r>
        <w:rPr>
          <w:szCs w:val="22"/>
        </w:rPr>
        <w:t>17-19; TR 261:15-20 (Exchange between Commissioner Goltz and Mr. Eberdt) (September 23, 2014).</w:t>
      </w:r>
    </w:p>
  </w:footnote>
  <w:footnote w:id="74">
    <w:p w14:paraId="2F4253B5" w14:textId="77777777"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w:t>
      </w:r>
      <w:r>
        <w:rPr>
          <w:szCs w:val="22"/>
        </w:rPr>
        <w:t xml:space="preserve">Jones, </w:t>
      </w:r>
      <w:r w:rsidRPr="008B0E09">
        <w:rPr>
          <w:szCs w:val="22"/>
        </w:rPr>
        <w:t>TR 268:8-16</w:t>
      </w:r>
      <w:r>
        <w:rPr>
          <w:szCs w:val="22"/>
        </w:rPr>
        <w:t xml:space="preserve"> (September 23, 2014).</w:t>
      </w:r>
    </w:p>
  </w:footnote>
  <w:footnote w:id="75">
    <w:p w14:paraId="1E9224F1" w14:textId="77777777" w:rsidR="000A341B" w:rsidRPr="008B0E09" w:rsidRDefault="000A341B" w:rsidP="00F52154">
      <w:pPr>
        <w:pStyle w:val="FootnoteText"/>
        <w:spacing w:after="120"/>
        <w:rPr>
          <w:szCs w:val="22"/>
        </w:rPr>
      </w:pPr>
      <w:r w:rsidRPr="008B0E09">
        <w:rPr>
          <w:rStyle w:val="FootnoteReference"/>
          <w:szCs w:val="22"/>
        </w:rPr>
        <w:footnoteRef/>
      </w:r>
      <w:r w:rsidRPr="008B0E09">
        <w:rPr>
          <w:szCs w:val="22"/>
        </w:rPr>
        <w:t xml:space="preserve"> TR 269:2-12</w:t>
      </w:r>
      <w:r>
        <w:rPr>
          <w:szCs w:val="22"/>
        </w:rPr>
        <w:t xml:space="preserve"> (Exchange between Commissioner Jones and Ms. Gervais).</w:t>
      </w:r>
    </w:p>
  </w:footnote>
  <w:footnote w:id="76">
    <w:p w14:paraId="679FF163" w14:textId="77777777" w:rsidR="000A341B" w:rsidRDefault="000A341B" w:rsidP="00F52154">
      <w:pPr>
        <w:pStyle w:val="FootnoteText"/>
        <w:spacing w:after="120"/>
      </w:pPr>
      <w:r>
        <w:rPr>
          <w:rStyle w:val="FootnoteReference"/>
        </w:rPr>
        <w:footnoteRef/>
      </w:r>
      <w:r>
        <w:t xml:space="preserve"> Norwood, Exh. No. KON-1T, at 11:6-8.</w:t>
      </w:r>
    </w:p>
  </w:footnote>
  <w:footnote w:id="77">
    <w:p w14:paraId="7DFC59DF" w14:textId="77777777" w:rsidR="000A341B" w:rsidRDefault="000A341B" w:rsidP="00F52154">
      <w:pPr>
        <w:pStyle w:val="FootnoteText"/>
        <w:spacing w:after="120"/>
      </w:pPr>
      <w:r>
        <w:rPr>
          <w:rStyle w:val="FootnoteReference"/>
        </w:rPr>
        <w:footnoteRef/>
      </w:r>
      <w:r>
        <w:t xml:space="preserve"> McGuire, Exh. No. CRM-1CT.</w:t>
      </w:r>
    </w:p>
  </w:footnote>
  <w:footnote w:id="78">
    <w:p w14:paraId="5510CA54" w14:textId="77777777" w:rsidR="000A341B" w:rsidRDefault="000A341B" w:rsidP="00F52154">
      <w:pPr>
        <w:pStyle w:val="FootnoteText"/>
        <w:spacing w:after="120"/>
      </w:pPr>
      <w:r>
        <w:rPr>
          <w:rStyle w:val="FootnoteReference"/>
        </w:rPr>
        <w:footnoteRef/>
      </w:r>
      <w:r>
        <w:t xml:space="preserve"> Dittmer, Exh. No. JRD-1CT, at 25:3-18.</w:t>
      </w:r>
    </w:p>
  </w:footnote>
  <w:footnote w:id="79">
    <w:p w14:paraId="002EDE59" w14:textId="77777777" w:rsidR="000A341B" w:rsidRDefault="000A341B" w:rsidP="00F52154">
      <w:pPr>
        <w:pStyle w:val="FootnoteText"/>
        <w:spacing w:after="120"/>
      </w:pPr>
      <w:r>
        <w:rPr>
          <w:rStyle w:val="FootnoteReference"/>
        </w:rPr>
        <w:footnoteRef/>
      </w:r>
      <w:r>
        <w:t xml:space="preserve"> Mullins, Exh. No. BGM-1T, at 2:15-26.</w:t>
      </w:r>
    </w:p>
  </w:footnote>
  <w:footnote w:id="80">
    <w:p w14:paraId="2114AA0A" w14:textId="77777777" w:rsidR="000A341B" w:rsidRPr="00145147" w:rsidRDefault="000A341B" w:rsidP="00F52154">
      <w:pPr>
        <w:pStyle w:val="FootnoteText"/>
        <w:spacing w:after="120"/>
      </w:pPr>
      <w:r w:rsidRPr="00145147">
        <w:rPr>
          <w:rStyle w:val="FootnoteReference"/>
        </w:rPr>
        <w:footnoteRef/>
      </w:r>
      <w:r w:rsidRPr="00145147">
        <w:rPr>
          <w:sz w:val="20"/>
        </w:rPr>
        <w:t xml:space="preserve"> </w:t>
      </w:r>
      <w:r w:rsidRPr="002147C6">
        <w:t>Settlement</w:t>
      </w:r>
      <w:r>
        <w:t>, ¶ 11.</w:t>
      </w:r>
    </w:p>
  </w:footnote>
  <w:footnote w:id="81">
    <w:p w14:paraId="30CC13D5" w14:textId="2843E40E" w:rsidR="000A341B" w:rsidRPr="00145147" w:rsidRDefault="000A341B" w:rsidP="00F52154">
      <w:pPr>
        <w:pStyle w:val="FootnoteText"/>
        <w:spacing w:after="120"/>
      </w:pPr>
      <w:r w:rsidRPr="00145147">
        <w:rPr>
          <w:rStyle w:val="FootnoteReference"/>
        </w:rPr>
        <w:footnoteRef/>
      </w:r>
      <w:r w:rsidRPr="00145147">
        <w:rPr>
          <w:sz w:val="18"/>
        </w:rPr>
        <w:t xml:space="preserve"> </w:t>
      </w:r>
      <w:r w:rsidRPr="00DD6AF1">
        <w:rPr>
          <w:i/>
        </w:rPr>
        <w:t>Id.</w:t>
      </w:r>
      <w:r>
        <w:t>, ¶ 21.</w:t>
      </w:r>
    </w:p>
  </w:footnote>
  <w:footnote w:id="82">
    <w:p w14:paraId="20219E35" w14:textId="77777777" w:rsidR="000A341B" w:rsidRDefault="000A341B" w:rsidP="00F52154">
      <w:pPr>
        <w:pStyle w:val="FootnoteText"/>
        <w:spacing w:after="120"/>
      </w:pPr>
      <w:r>
        <w:rPr>
          <w:rStyle w:val="FootnoteReference"/>
        </w:rPr>
        <w:footnoteRef/>
      </w:r>
      <w:r>
        <w:t xml:space="preserve"> Fisher, TR 213:11-18.</w:t>
      </w:r>
    </w:p>
  </w:footnote>
  <w:footnote w:id="83">
    <w:p w14:paraId="44BF2A33" w14:textId="77777777" w:rsidR="000A341B" w:rsidRPr="00B82AEB" w:rsidRDefault="000A341B" w:rsidP="00F52154">
      <w:pPr>
        <w:pStyle w:val="FootnoteText"/>
        <w:spacing w:after="120"/>
      </w:pPr>
      <w:r w:rsidRPr="00B82AEB">
        <w:rPr>
          <w:rStyle w:val="FootnoteReference"/>
        </w:rPr>
        <w:footnoteRef/>
      </w:r>
      <w:r w:rsidRPr="00B82AEB">
        <w:rPr>
          <w:sz w:val="18"/>
        </w:rPr>
        <w:t xml:space="preserve"> </w:t>
      </w:r>
      <w:r w:rsidRPr="002147C6">
        <w:t>Settlement</w:t>
      </w:r>
      <w:r>
        <w:t>, ¶ 20.</w:t>
      </w:r>
    </w:p>
  </w:footnote>
  <w:footnote w:id="84">
    <w:p w14:paraId="74C2C349" w14:textId="77777777" w:rsidR="000A341B" w:rsidRPr="00B82AEB" w:rsidRDefault="000A341B" w:rsidP="00F52154">
      <w:pPr>
        <w:pStyle w:val="FootnoteText"/>
        <w:spacing w:after="120"/>
        <w:rPr>
          <w:i/>
        </w:rPr>
      </w:pPr>
      <w:r w:rsidRPr="00B82AEB">
        <w:rPr>
          <w:rStyle w:val="FootnoteReference"/>
        </w:rPr>
        <w:footnoteRef/>
      </w:r>
      <w:r w:rsidRPr="00B82AEB">
        <w:rPr>
          <w:sz w:val="18"/>
        </w:rPr>
        <w:t xml:space="preserve"> </w:t>
      </w:r>
      <w:r>
        <w:rPr>
          <w:i/>
        </w:rPr>
        <w:t>Id.</w:t>
      </w:r>
    </w:p>
  </w:footnote>
  <w:footnote w:id="85">
    <w:p w14:paraId="6ECAC2C6"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10 and 24 and Joint Testimony, Exh. No. 4, at 1:19-20, 11:14-19 and 43:3-6.</w:t>
      </w:r>
    </w:p>
  </w:footnote>
  <w:footnote w:id="86">
    <w:p w14:paraId="739F1E7D" w14:textId="73BFCB2F"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10, </w:t>
      </w:r>
      <w:r w:rsidR="00D202F1" w:rsidRPr="004E5965">
        <w:rPr>
          <w:szCs w:val="22"/>
        </w:rPr>
        <w:t>n. 7</w:t>
      </w:r>
      <w:r w:rsidRPr="004E5965">
        <w:rPr>
          <w:szCs w:val="22"/>
        </w:rPr>
        <w:t xml:space="preserve">.  </w:t>
      </w:r>
    </w:p>
  </w:footnote>
  <w:footnote w:id="87">
    <w:p w14:paraId="3A61854A" w14:textId="77777777"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13 Part c.</w:t>
      </w:r>
    </w:p>
  </w:footnote>
  <w:footnote w:id="88">
    <w:p w14:paraId="4A4346AB" w14:textId="1700EB2A" w:rsidR="000A341B" w:rsidRPr="004E5965" w:rsidRDefault="000A341B" w:rsidP="00F52154">
      <w:pPr>
        <w:pStyle w:val="FootnoteText"/>
        <w:spacing w:after="120"/>
        <w:rPr>
          <w:szCs w:val="22"/>
        </w:rPr>
      </w:pPr>
      <w:r w:rsidRPr="004E5965">
        <w:rPr>
          <w:rStyle w:val="FootnoteReference"/>
          <w:szCs w:val="22"/>
        </w:rPr>
        <w:footnoteRef/>
      </w:r>
      <w:r w:rsidRPr="004E5965">
        <w:rPr>
          <w:szCs w:val="22"/>
        </w:rPr>
        <w:t xml:space="preserve"> Settlement, ¶ 13 Part c.ii.1</w:t>
      </w:r>
      <w:r w:rsidR="00D202F1" w:rsidRPr="004E5965">
        <w:rPr>
          <w:szCs w:val="22"/>
        </w:rPr>
        <w:t>, n. 10</w:t>
      </w:r>
      <w:r w:rsidRPr="004E5965">
        <w:rPr>
          <w:szCs w:val="22"/>
        </w:rPr>
        <w:t>.</w:t>
      </w:r>
    </w:p>
  </w:footnote>
  <w:footnote w:id="89">
    <w:p w14:paraId="11FADF59" w14:textId="77777777" w:rsidR="000A341B" w:rsidRDefault="000A341B" w:rsidP="00F52154">
      <w:pPr>
        <w:pStyle w:val="FootnoteText"/>
        <w:spacing w:after="120"/>
      </w:pPr>
      <w:r w:rsidRPr="004E5965">
        <w:rPr>
          <w:rStyle w:val="FootnoteReference"/>
          <w:szCs w:val="22"/>
        </w:rPr>
        <w:footnoteRef/>
      </w:r>
      <w:r w:rsidRPr="004E5965">
        <w:rPr>
          <w:szCs w:val="22"/>
        </w:rPr>
        <w:t xml:space="preserve"> Joint Testimony, Exh. No. 4, at 11, 14-19.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2297" w14:textId="77777777" w:rsidR="000A341B" w:rsidRPr="00A3058F" w:rsidRDefault="000A341B">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140188 and UG-140189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4E1A71">
      <w:rPr>
        <w:b/>
        <w:noProof/>
        <w:sz w:val="20"/>
        <w:szCs w:val="20"/>
      </w:rPr>
      <w:t>20</w:t>
    </w:r>
    <w:r w:rsidRPr="00AF4197">
      <w:rPr>
        <w:b/>
        <w:sz w:val="20"/>
        <w:szCs w:val="20"/>
      </w:rPr>
      <w:fldChar w:fldCharType="end"/>
    </w:r>
  </w:p>
  <w:p w14:paraId="5152CF13" w14:textId="77777777" w:rsidR="000A341B" w:rsidRDefault="000A341B" w:rsidP="0034257A">
    <w:pPr>
      <w:pStyle w:val="Header"/>
      <w:tabs>
        <w:tab w:val="left" w:pos="7500"/>
      </w:tabs>
      <w:rPr>
        <w:b/>
        <w:sz w:val="20"/>
        <w:szCs w:val="20"/>
      </w:rPr>
    </w:pPr>
    <w:r w:rsidRPr="00A3058F">
      <w:rPr>
        <w:b/>
        <w:sz w:val="20"/>
        <w:szCs w:val="20"/>
      </w:rPr>
      <w:t xml:space="preserve">ORDER </w:t>
    </w:r>
    <w:r>
      <w:rPr>
        <w:b/>
        <w:sz w:val="20"/>
        <w:szCs w:val="20"/>
      </w:rPr>
      <w:t>05</w:t>
    </w:r>
  </w:p>
  <w:p w14:paraId="70DEEC08" w14:textId="77777777" w:rsidR="000A341B" w:rsidRPr="00A3058F" w:rsidRDefault="000A341B">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F405" w14:textId="06FA2265" w:rsidR="000A341B" w:rsidRPr="00A93991" w:rsidRDefault="000A341B" w:rsidP="00721611">
    <w:pPr>
      <w:pStyle w:val="Header"/>
      <w:tabs>
        <w:tab w:val="clear" w:pos="8640"/>
        <w:tab w:val="right" w:pos="8500"/>
      </w:tabs>
      <w:rPr>
        <w:b/>
        <w:sz w:val="20"/>
        <w:szCs w:val="20"/>
      </w:rPr>
    </w:pPr>
    <w:r>
      <w:rPr>
        <w:b/>
        <w:sz w:val="20"/>
        <w:szCs w:val="20"/>
      </w:rPr>
      <w:tab/>
    </w:r>
    <w:r>
      <w:rPr>
        <w:b/>
        <w:sz w:val="20"/>
        <w:szCs w:val="20"/>
      </w:rPr>
      <w:tab/>
    </w:r>
    <w:r w:rsidR="001316C5">
      <w:rPr>
        <w:b/>
        <w:sz w:val="20"/>
        <w:szCs w:val="20"/>
      </w:rPr>
      <w:t>[Service Date November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0C4439"/>
    <w:multiLevelType w:val="hybridMultilevel"/>
    <w:tmpl w:val="8A00A92C"/>
    <w:lvl w:ilvl="0" w:tplc="5B08A2AA">
      <w:start w:val="1"/>
      <w:numFmt w:val="decimal"/>
      <w:lvlText w:val="%1."/>
      <w:lvlJc w:val="left"/>
      <w:pPr>
        <w:ind w:left="720" w:hanging="360"/>
      </w:pPr>
      <w:rPr>
        <w:rFonts w:hint="default"/>
        <w:b/>
      </w:rPr>
    </w:lvl>
    <w:lvl w:ilvl="1" w:tplc="69B6FF9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B71849"/>
    <w:multiLevelType w:val="hybridMultilevel"/>
    <w:tmpl w:val="A04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364732"/>
    <w:multiLevelType w:val="hybridMultilevel"/>
    <w:tmpl w:val="3F540E3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17525"/>
    <w:multiLevelType w:val="hybridMultilevel"/>
    <w:tmpl w:val="88DCE3FE"/>
    <w:lvl w:ilvl="0" w:tplc="BB38F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00358"/>
    <w:multiLevelType w:val="hybridMultilevel"/>
    <w:tmpl w:val="009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8F02C2C"/>
    <w:multiLevelType w:val="hybridMultilevel"/>
    <w:tmpl w:val="ADEE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4757C3"/>
    <w:multiLevelType w:val="hybridMultilevel"/>
    <w:tmpl w:val="40684C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325F17CF"/>
    <w:multiLevelType w:val="hybridMultilevel"/>
    <w:tmpl w:val="1AA48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FD4578"/>
    <w:multiLevelType w:val="hybridMultilevel"/>
    <w:tmpl w:val="2F36A1C4"/>
    <w:lvl w:ilvl="0" w:tplc="77BCE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7A5BCB"/>
    <w:multiLevelType w:val="hybridMultilevel"/>
    <w:tmpl w:val="7D800742"/>
    <w:lvl w:ilvl="0" w:tplc="7548E2BE">
      <w:start w:val="1"/>
      <w:numFmt w:val="decimal"/>
      <w:lvlText w:val="%1"/>
      <w:lvlJc w:val="left"/>
      <w:pPr>
        <w:ind w:left="0" w:hanging="360"/>
      </w:pPr>
      <w:rPr>
        <w:rFonts w:ascii="Times New Roman" w:hAnsi="Times New Roman" w:hint="default"/>
        <w:b w:val="0"/>
        <w:i/>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3C066C8"/>
    <w:multiLevelType w:val="hybridMultilevel"/>
    <w:tmpl w:val="8EF868D0"/>
    <w:lvl w:ilvl="0" w:tplc="04090001">
      <w:start w:val="1"/>
      <w:numFmt w:val="bullet"/>
      <w:lvlText w:val=""/>
      <w:lvlJc w:val="left"/>
      <w:pPr>
        <w:ind w:left="720" w:hanging="360"/>
      </w:pPr>
      <w:rPr>
        <w:rFonts w:ascii="Symbol" w:hAnsi="Symbol" w:hint="default"/>
      </w:rPr>
    </w:lvl>
    <w:lvl w:ilvl="1" w:tplc="6B2A9EA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4638D"/>
    <w:multiLevelType w:val="hybridMultilevel"/>
    <w:tmpl w:val="5956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488739A2"/>
    <w:multiLevelType w:val="hybridMultilevel"/>
    <w:tmpl w:val="09D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BED0177"/>
    <w:multiLevelType w:val="hybridMultilevel"/>
    <w:tmpl w:val="B47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0469D"/>
    <w:multiLevelType w:val="hybridMultilevel"/>
    <w:tmpl w:val="E81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4EAE3BF9"/>
    <w:multiLevelType w:val="hybridMultilevel"/>
    <w:tmpl w:val="EEFA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60606"/>
    <w:multiLevelType w:val="hybridMultilevel"/>
    <w:tmpl w:val="210ADAC6"/>
    <w:lvl w:ilvl="0" w:tplc="AEE89776">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nsid w:val="561242D3"/>
    <w:multiLevelType w:val="hybridMultilevel"/>
    <w:tmpl w:val="B11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4947D7"/>
    <w:multiLevelType w:val="hybridMultilevel"/>
    <w:tmpl w:val="69CAFD4C"/>
    <w:lvl w:ilvl="0" w:tplc="F0904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CA904DB"/>
    <w:multiLevelType w:val="hybridMultilevel"/>
    <w:tmpl w:val="CDA4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A551D0"/>
    <w:multiLevelType w:val="hybridMultilevel"/>
    <w:tmpl w:val="62F6FF2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0425CA"/>
    <w:multiLevelType w:val="hybridMultilevel"/>
    <w:tmpl w:val="F30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E24915"/>
    <w:multiLevelType w:val="hybridMultilevel"/>
    <w:tmpl w:val="E7AC5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FF4133D"/>
    <w:multiLevelType w:val="hybridMultilevel"/>
    <w:tmpl w:val="67B86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9"/>
  </w:num>
  <w:num w:numId="3">
    <w:abstractNumId w:val="1"/>
  </w:num>
  <w:num w:numId="4">
    <w:abstractNumId w:val="42"/>
  </w:num>
  <w:num w:numId="5">
    <w:abstractNumId w:val="5"/>
  </w:num>
  <w:num w:numId="6">
    <w:abstractNumId w:val="34"/>
  </w:num>
  <w:num w:numId="7">
    <w:abstractNumId w:val="15"/>
  </w:num>
  <w:num w:numId="8">
    <w:abstractNumId w:val="41"/>
  </w:num>
  <w:num w:numId="9">
    <w:abstractNumId w:val="26"/>
  </w:num>
  <w:num w:numId="10">
    <w:abstractNumId w:val="7"/>
  </w:num>
  <w:num w:numId="11">
    <w:abstractNumId w:val="14"/>
  </w:num>
  <w:num w:numId="12">
    <w:abstractNumId w:val="39"/>
  </w:num>
  <w:num w:numId="13">
    <w:abstractNumId w:val="0"/>
  </w:num>
  <w:num w:numId="14">
    <w:abstractNumId w:val="3"/>
  </w:num>
  <w:num w:numId="15">
    <w:abstractNumId w:val="8"/>
  </w:num>
  <w:num w:numId="16">
    <w:abstractNumId w:val="7"/>
  </w:num>
  <w:num w:numId="17">
    <w:abstractNumId w:val="21"/>
  </w:num>
  <w:num w:numId="18">
    <w:abstractNumId w:val="12"/>
  </w:num>
  <w:num w:numId="19">
    <w:abstractNumId w:val="9"/>
  </w:num>
  <w:num w:numId="20">
    <w:abstractNumId w:val="11"/>
  </w:num>
  <w:num w:numId="21">
    <w:abstractNumId w:val="38"/>
  </w:num>
  <w:num w:numId="22">
    <w:abstractNumId w:val="24"/>
  </w:num>
  <w:num w:numId="23">
    <w:abstractNumId w:val="28"/>
  </w:num>
  <w:num w:numId="24">
    <w:abstractNumId w:val="4"/>
  </w:num>
  <w:num w:numId="25">
    <w:abstractNumId w:val="43"/>
  </w:num>
  <w:num w:numId="26">
    <w:abstractNumId w:val="35"/>
  </w:num>
  <w:num w:numId="27">
    <w:abstractNumId w:val="19"/>
  </w:num>
  <w:num w:numId="28">
    <w:abstractNumId w:val="33"/>
  </w:num>
  <w:num w:numId="29">
    <w:abstractNumId w:val="37"/>
  </w:num>
  <w:num w:numId="30">
    <w:abstractNumId w:val="32"/>
  </w:num>
  <w:num w:numId="31">
    <w:abstractNumId w:val="20"/>
  </w:num>
  <w:num w:numId="32">
    <w:abstractNumId w:val="31"/>
  </w:num>
  <w:num w:numId="33">
    <w:abstractNumId w:val="10"/>
  </w:num>
  <w:num w:numId="34">
    <w:abstractNumId w:val="40"/>
  </w:num>
  <w:num w:numId="35">
    <w:abstractNumId w:val="7"/>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236"/>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
  </w:num>
  <w:num w:numId="39">
    <w:abstractNumId w:val="6"/>
  </w:num>
  <w:num w:numId="40">
    <w:abstractNumId w:val="23"/>
  </w:num>
  <w:num w:numId="41">
    <w:abstractNumId w:val="25"/>
  </w:num>
  <w:num w:numId="42">
    <w:abstractNumId w:val="13"/>
  </w:num>
  <w:num w:numId="43">
    <w:abstractNumId w:val="22"/>
  </w:num>
  <w:num w:numId="44">
    <w:abstractNumId w:val="27"/>
  </w:num>
  <w:num w:numId="45">
    <w:abstractNumId w:val="18"/>
  </w:num>
  <w:num w:numId="46">
    <w:abstractNumId w:val="7"/>
    <w:lvlOverride w:ilvl="0">
      <w:startOverride w:val="7"/>
    </w:lvlOverride>
  </w:num>
  <w:num w:numId="47">
    <w:abstractNumId w:val="30"/>
  </w:num>
  <w:num w:numId="48">
    <w:abstractNumId w:val="17"/>
  </w:num>
  <w:num w:numId="49">
    <w:abstractNumId w:val="7"/>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47FC"/>
    <w:rsid w:val="000159B7"/>
    <w:rsid w:val="00016522"/>
    <w:rsid w:val="0001732D"/>
    <w:rsid w:val="00017B9B"/>
    <w:rsid w:val="000201E1"/>
    <w:rsid w:val="00020FB4"/>
    <w:rsid w:val="00023B49"/>
    <w:rsid w:val="00023F20"/>
    <w:rsid w:val="00024758"/>
    <w:rsid w:val="00024C92"/>
    <w:rsid w:val="00024F34"/>
    <w:rsid w:val="000262F5"/>
    <w:rsid w:val="00026DC1"/>
    <w:rsid w:val="00030100"/>
    <w:rsid w:val="000324DF"/>
    <w:rsid w:val="0003266C"/>
    <w:rsid w:val="00032998"/>
    <w:rsid w:val="00032B87"/>
    <w:rsid w:val="00033982"/>
    <w:rsid w:val="00034524"/>
    <w:rsid w:val="00036EC8"/>
    <w:rsid w:val="00036F14"/>
    <w:rsid w:val="00036F9F"/>
    <w:rsid w:val="00040110"/>
    <w:rsid w:val="00042719"/>
    <w:rsid w:val="000443A9"/>
    <w:rsid w:val="0004583F"/>
    <w:rsid w:val="0004796B"/>
    <w:rsid w:val="00050223"/>
    <w:rsid w:val="000516EA"/>
    <w:rsid w:val="000519C1"/>
    <w:rsid w:val="00052575"/>
    <w:rsid w:val="0005471E"/>
    <w:rsid w:val="000553DB"/>
    <w:rsid w:val="000615F6"/>
    <w:rsid w:val="0006635E"/>
    <w:rsid w:val="00066E1C"/>
    <w:rsid w:val="0006728F"/>
    <w:rsid w:val="00067314"/>
    <w:rsid w:val="00067E87"/>
    <w:rsid w:val="00070FB1"/>
    <w:rsid w:val="00071678"/>
    <w:rsid w:val="00071D55"/>
    <w:rsid w:val="000749EC"/>
    <w:rsid w:val="00083923"/>
    <w:rsid w:val="00083B1C"/>
    <w:rsid w:val="000845FD"/>
    <w:rsid w:val="00084FF4"/>
    <w:rsid w:val="0008508B"/>
    <w:rsid w:val="00086E37"/>
    <w:rsid w:val="0009120E"/>
    <w:rsid w:val="00091417"/>
    <w:rsid w:val="00093519"/>
    <w:rsid w:val="00094097"/>
    <w:rsid w:val="000955E7"/>
    <w:rsid w:val="00095A81"/>
    <w:rsid w:val="000960FC"/>
    <w:rsid w:val="00097C8B"/>
    <w:rsid w:val="000A18F8"/>
    <w:rsid w:val="000A341B"/>
    <w:rsid w:val="000A49A5"/>
    <w:rsid w:val="000A65AE"/>
    <w:rsid w:val="000A6651"/>
    <w:rsid w:val="000A76C8"/>
    <w:rsid w:val="000B034F"/>
    <w:rsid w:val="000B2109"/>
    <w:rsid w:val="000B371E"/>
    <w:rsid w:val="000B4A00"/>
    <w:rsid w:val="000C1BF5"/>
    <w:rsid w:val="000C22CE"/>
    <w:rsid w:val="000C3468"/>
    <w:rsid w:val="000C44A4"/>
    <w:rsid w:val="000C55DB"/>
    <w:rsid w:val="000C796F"/>
    <w:rsid w:val="000C7E9B"/>
    <w:rsid w:val="000D17D1"/>
    <w:rsid w:val="000D4629"/>
    <w:rsid w:val="000D5327"/>
    <w:rsid w:val="000D7085"/>
    <w:rsid w:val="000D78CF"/>
    <w:rsid w:val="000E1D48"/>
    <w:rsid w:val="000E5C2E"/>
    <w:rsid w:val="000E7AB9"/>
    <w:rsid w:val="000E7CDC"/>
    <w:rsid w:val="000F0BFD"/>
    <w:rsid w:val="000F297F"/>
    <w:rsid w:val="000F2CED"/>
    <w:rsid w:val="000F5D57"/>
    <w:rsid w:val="000F5EF9"/>
    <w:rsid w:val="000F77CF"/>
    <w:rsid w:val="000F7DE3"/>
    <w:rsid w:val="00100332"/>
    <w:rsid w:val="00100566"/>
    <w:rsid w:val="00103CD2"/>
    <w:rsid w:val="00105473"/>
    <w:rsid w:val="00106640"/>
    <w:rsid w:val="001066EB"/>
    <w:rsid w:val="0011014C"/>
    <w:rsid w:val="001114EF"/>
    <w:rsid w:val="00112AB8"/>
    <w:rsid w:val="0011477C"/>
    <w:rsid w:val="00115A22"/>
    <w:rsid w:val="00117A40"/>
    <w:rsid w:val="0012091B"/>
    <w:rsid w:val="001221D9"/>
    <w:rsid w:val="00122A12"/>
    <w:rsid w:val="00130349"/>
    <w:rsid w:val="0013106B"/>
    <w:rsid w:val="001316C5"/>
    <w:rsid w:val="00132749"/>
    <w:rsid w:val="00134553"/>
    <w:rsid w:val="00134A6B"/>
    <w:rsid w:val="00135734"/>
    <w:rsid w:val="00135F80"/>
    <w:rsid w:val="00136191"/>
    <w:rsid w:val="00137C23"/>
    <w:rsid w:val="001413A3"/>
    <w:rsid w:val="00142547"/>
    <w:rsid w:val="00142743"/>
    <w:rsid w:val="001478FD"/>
    <w:rsid w:val="00147CED"/>
    <w:rsid w:val="00151690"/>
    <w:rsid w:val="00155040"/>
    <w:rsid w:val="00156B2F"/>
    <w:rsid w:val="001611DF"/>
    <w:rsid w:val="001614A7"/>
    <w:rsid w:val="00161D01"/>
    <w:rsid w:val="001622D8"/>
    <w:rsid w:val="00165D2E"/>
    <w:rsid w:val="0017442C"/>
    <w:rsid w:val="0017610D"/>
    <w:rsid w:val="001762FE"/>
    <w:rsid w:val="00176CDD"/>
    <w:rsid w:val="00176E3B"/>
    <w:rsid w:val="00177471"/>
    <w:rsid w:val="001814D2"/>
    <w:rsid w:val="0018156E"/>
    <w:rsid w:val="00181F6E"/>
    <w:rsid w:val="0018207C"/>
    <w:rsid w:val="00183B12"/>
    <w:rsid w:val="00183EE2"/>
    <w:rsid w:val="001869E4"/>
    <w:rsid w:val="00186FAD"/>
    <w:rsid w:val="00190527"/>
    <w:rsid w:val="00193EA4"/>
    <w:rsid w:val="001A5664"/>
    <w:rsid w:val="001A5C65"/>
    <w:rsid w:val="001A7DC8"/>
    <w:rsid w:val="001B278C"/>
    <w:rsid w:val="001B3597"/>
    <w:rsid w:val="001B3B73"/>
    <w:rsid w:val="001B4CE5"/>
    <w:rsid w:val="001B4D9E"/>
    <w:rsid w:val="001B5A4D"/>
    <w:rsid w:val="001B6A96"/>
    <w:rsid w:val="001B70F0"/>
    <w:rsid w:val="001B76E5"/>
    <w:rsid w:val="001C114B"/>
    <w:rsid w:val="001C51FF"/>
    <w:rsid w:val="001C5489"/>
    <w:rsid w:val="001C6360"/>
    <w:rsid w:val="001C739D"/>
    <w:rsid w:val="001C776B"/>
    <w:rsid w:val="001D1C1F"/>
    <w:rsid w:val="001D2A75"/>
    <w:rsid w:val="001D36D6"/>
    <w:rsid w:val="001D3EA6"/>
    <w:rsid w:val="001D75FA"/>
    <w:rsid w:val="001E132B"/>
    <w:rsid w:val="001E1649"/>
    <w:rsid w:val="001E224F"/>
    <w:rsid w:val="001E2B3C"/>
    <w:rsid w:val="001E3C96"/>
    <w:rsid w:val="001E4C32"/>
    <w:rsid w:val="001F31CC"/>
    <w:rsid w:val="001F3B9F"/>
    <w:rsid w:val="001F462D"/>
    <w:rsid w:val="001F4CD9"/>
    <w:rsid w:val="001F51D8"/>
    <w:rsid w:val="001F5662"/>
    <w:rsid w:val="001F5693"/>
    <w:rsid w:val="001F5D2E"/>
    <w:rsid w:val="00200C58"/>
    <w:rsid w:val="00203AED"/>
    <w:rsid w:val="002047B5"/>
    <w:rsid w:val="00204CC2"/>
    <w:rsid w:val="00204CCB"/>
    <w:rsid w:val="0020684B"/>
    <w:rsid w:val="00210B72"/>
    <w:rsid w:val="002126AF"/>
    <w:rsid w:val="002130A7"/>
    <w:rsid w:val="0021399F"/>
    <w:rsid w:val="00220DE0"/>
    <w:rsid w:val="0022258C"/>
    <w:rsid w:val="00222C70"/>
    <w:rsid w:val="00222E8F"/>
    <w:rsid w:val="002232D4"/>
    <w:rsid w:val="002267F5"/>
    <w:rsid w:val="0023263D"/>
    <w:rsid w:val="002327A0"/>
    <w:rsid w:val="00233403"/>
    <w:rsid w:val="00233BC1"/>
    <w:rsid w:val="00237564"/>
    <w:rsid w:val="00237800"/>
    <w:rsid w:val="00237FAC"/>
    <w:rsid w:val="0024089B"/>
    <w:rsid w:val="002412C7"/>
    <w:rsid w:val="00241872"/>
    <w:rsid w:val="00241D69"/>
    <w:rsid w:val="00242FD2"/>
    <w:rsid w:val="0024536A"/>
    <w:rsid w:val="00245951"/>
    <w:rsid w:val="0024771F"/>
    <w:rsid w:val="00250079"/>
    <w:rsid w:val="00250400"/>
    <w:rsid w:val="0025071B"/>
    <w:rsid w:val="0025149F"/>
    <w:rsid w:val="00255E8D"/>
    <w:rsid w:val="002630A7"/>
    <w:rsid w:val="0026352B"/>
    <w:rsid w:val="00265D89"/>
    <w:rsid w:val="00266DA2"/>
    <w:rsid w:val="0027078C"/>
    <w:rsid w:val="00273E97"/>
    <w:rsid w:val="002758D1"/>
    <w:rsid w:val="00281143"/>
    <w:rsid w:val="00281CC5"/>
    <w:rsid w:val="0028643C"/>
    <w:rsid w:val="002875EA"/>
    <w:rsid w:val="00290475"/>
    <w:rsid w:val="002905AB"/>
    <w:rsid w:val="002938AD"/>
    <w:rsid w:val="00294903"/>
    <w:rsid w:val="002959DD"/>
    <w:rsid w:val="002A1059"/>
    <w:rsid w:val="002A3667"/>
    <w:rsid w:val="002A4D0E"/>
    <w:rsid w:val="002A560A"/>
    <w:rsid w:val="002A7C2E"/>
    <w:rsid w:val="002B208E"/>
    <w:rsid w:val="002B2D55"/>
    <w:rsid w:val="002B4D62"/>
    <w:rsid w:val="002B79EA"/>
    <w:rsid w:val="002C12B1"/>
    <w:rsid w:val="002C1ECB"/>
    <w:rsid w:val="002D01AE"/>
    <w:rsid w:val="002D50E6"/>
    <w:rsid w:val="002D5128"/>
    <w:rsid w:val="002D64F4"/>
    <w:rsid w:val="002E1251"/>
    <w:rsid w:val="002E1838"/>
    <w:rsid w:val="002E1995"/>
    <w:rsid w:val="002E2A3C"/>
    <w:rsid w:val="002E2CAC"/>
    <w:rsid w:val="002E421D"/>
    <w:rsid w:val="002E4C85"/>
    <w:rsid w:val="002E5BD2"/>
    <w:rsid w:val="002F2594"/>
    <w:rsid w:val="002F288C"/>
    <w:rsid w:val="002F3615"/>
    <w:rsid w:val="002F4B2B"/>
    <w:rsid w:val="002F511B"/>
    <w:rsid w:val="002F5DAB"/>
    <w:rsid w:val="00301528"/>
    <w:rsid w:val="00301582"/>
    <w:rsid w:val="00301809"/>
    <w:rsid w:val="003032DB"/>
    <w:rsid w:val="00303B31"/>
    <w:rsid w:val="00304FC8"/>
    <w:rsid w:val="0030533C"/>
    <w:rsid w:val="003057EE"/>
    <w:rsid w:val="00305AD2"/>
    <w:rsid w:val="0030616D"/>
    <w:rsid w:val="00311523"/>
    <w:rsid w:val="003123EC"/>
    <w:rsid w:val="00312710"/>
    <w:rsid w:val="00312876"/>
    <w:rsid w:val="00312900"/>
    <w:rsid w:val="00312FC0"/>
    <w:rsid w:val="00314DE5"/>
    <w:rsid w:val="0031555F"/>
    <w:rsid w:val="00315F7F"/>
    <w:rsid w:val="00316308"/>
    <w:rsid w:val="0031787F"/>
    <w:rsid w:val="00320FC3"/>
    <w:rsid w:val="00322C50"/>
    <w:rsid w:val="0032506D"/>
    <w:rsid w:val="00327DF9"/>
    <w:rsid w:val="00332F1D"/>
    <w:rsid w:val="00333288"/>
    <w:rsid w:val="00336664"/>
    <w:rsid w:val="003370BA"/>
    <w:rsid w:val="003418DD"/>
    <w:rsid w:val="00341F6A"/>
    <w:rsid w:val="0034257A"/>
    <w:rsid w:val="003442DB"/>
    <w:rsid w:val="00347544"/>
    <w:rsid w:val="00350A43"/>
    <w:rsid w:val="00353735"/>
    <w:rsid w:val="00354D2E"/>
    <w:rsid w:val="00355125"/>
    <w:rsid w:val="00356FE5"/>
    <w:rsid w:val="00360219"/>
    <w:rsid w:val="003615AC"/>
    <w:rsid w:val="003622CA"/>
    <w:rsid w:val="003633BB"/>
    <w:rsid w:val="00363675"/>
    <w:rsid w:val="00367259"/>
    <w:rsid w:val="00370778"/>
    <w:rsid w:val="00370C5B"/>
    <w:rsid w:val="00372C8A"/>
    <w:rsid w:val="00376871"/>
    <w:rsid w:val="0037732E"/>
    <w:rsid w:val="00377D84"/>
    <w:rsid w:val="003814A6"/>
    <w:rsid w:val="00382E07"/>
    <w:rsid w:val="0038336A"/>
    <w:rsid w:val="003838B4"/>
    <w:rsid w:val="00393E21"/>
    <w:rsid w:val="00393EB3"/>
    <w:rsid w:val="00394513"/>
    <w:rsid w:val="00394F38"/>
    <w:rsid w:val="0039670F"/>
    <w:rsid w:val="003A015A"/>
    <w:rsid w:val="003A12AE"/>
    <w:rsid w:val="003A13E2"/>
    <w:rsid w:val="003A20D5"/>
    <w:rsid w:val="003A283E"/>
    <w:rsid w:val="003A3755"/>
    <w:rsid w:val="003A5CB1"/>
    <w:rsid w:val="003A61A9"/>
    <w:rsid w:val="003A627C"/>
    <w:rsid w:val="003A62CF"/>
    <w:rsid w:val="003A66B2"/>
    <w:rsid w:val="003A7D5D"/>
    <w:rsid w:val="003B1068"/>
    <w:rsid w:val="003B28B0"/>
    <w:rsid w:val="003B4527"/>
    <w:rsid w:val="003C0E2C"/>
    <w:rsid w:val="003C113B"/>
    <w:rsid w:val="003C1D0F"/>
    <w:rsid w:val="003C4E2F"/>
    <w:rsid w:val="003C4E46"/>
    <w:rsid w:val="003C4E68"/>
    <w:rsid w:val="003C5193"/>
    <w:rsid w:val="003C556C"/>
    <w:rsid w:val="003C741B"/>
    <w:rsid w:val="003C7AA0"/>
    <w:rsid w:val="003C7F59"/>
    <w:rsid w:val="003D3457"/>
    <w:rsid w:val="003D35F1"/>
    <w:rsid w:val="003D42C5"/>
    <w:rsid w:val="003D595F"/>
    <w:rsid w:val="003D6235"/>
    <w:rsid w:val="003D6D99"/>
    <w:rsid w:val="003E2D9B"/>
    <w:rsid w:val="003E5B9D"/>
    <w:rsid w:val="003E5CA0"/>
    <w:rsid w:val="003E5F23"/>
    <w:rsid w:val="003E5F47"/>
    <w:rsid w:val="003E6587"/>
    <w:rsid w:val="003E672D"/>
    <w:rsid w:val="003E744E"/>
    <w:rsid w:val="003F00DC"/>
    <w:rsid w:val="003F0395"/>
    <w:rsid w:val="003F1521"/>
    <w:rsid w:val="003F26CE"/>
    <w:rsid w:val="003F39BB"/>
    <w:rsid w:val="003F3C33"/>
    <w:rsid w:val="0040277A"/>
    <w:rsid w:val="004049E7"/>
    <w:rsid w:val="0040521C"/>
    <w:rsid w:val="004116DA"/>
    <w:rsid w:val="00414D6D"/>
    <w:rsid w:val="00415611"/>
    <w:rsid w:val="00415A15"/>
    <w:rsid w:val="00415CF5"/>
    <w:rsid w:val="0042370B"/>
    <w:rsid w:val="00424C97"/>
    <w:rsid w:val="00426D95"/>
    <w:rsid w:val="00431795"/>
    <w:rsid w:val="00431DA9"/>
    <w:rsid w:val="00433462"/>
    <w:rsid w:val="004337AA"/>
    <w:rsid w:val="00435362"/>
    <w:rsid w:val="00440C11"/>
    <w:rsid w:val="00441258"/>
    <w:rsid w:val="00441F74"/>
    <w:rsid w:val="0044367F"/>
    <w:rsid w:val="00444025"/>
    <w:rsid w:val="00444E8D"/>
    <w:rsid w:val="00445B96"/>
    <w:rsid w:val="00446D7F"/>
    <w:rsid w:val="0044777A"/>
    <w:rsid w:val="0045139B"/>
    <w:rsid w:val="00451F7F"/>
    <w:rsid w:val="00452BEA"/>
    <w:rsid w:val="00454A30"/>
    <w:rsid w:val="00457434"/>
    <w:rsid w:val="004634D2"/>
    <w:rsid w:val="00465CB3"/>
    <w:rsid w:val="0047050E"/>
    <w:rsid w:val="00470D9E"/>
    <w:rsid w:val="00471CF2"/>
    <w:rsid w:val="0047497D"/>
    <w:rsid w:val="00475197"/>
    <w:rsid w:val="00475BE5"/>
    <w:rsid w:val="00476A0E"/>
    <w:rsid w:val="00477854"/>
    <w:rsid w:val="00483100"/>
    <w:rsid w:val="004839F2"/>
    <w:rsid w:val="00483D04"/>
    <w:rsid w:val="00484207"/>
    <w:rsid w:val="004842E7"/>
    <w:rsid w:val="00486531"/>
    <w:rsid w:val="00487EB4"/>
    <w:rsid w:val="0049005C"/>
    <w:rsid w:val="0049055F"/>
    <w:rsid w:val="004906A5"/>
    <w:rsid w:val="00490D3C"/>
    <w:rsid w:val="004910F2"/>
    <w:rsid w:val="0049157A"/>
    <w:rsid w:val="0049312D"/>
    <w:rsid w:val="00494206"/>
    <w:rsid w:val="0049492E"/>
    <w:rsid w:val="004952A4"/>
    <w:rsid w:val="0049626A"/>
    <w:rsid w:val="004962DD"/>
    <w:rsid w:val="004963E4"/>
    <w:rsid w:val="004A02D1"/>
    <w:rsid w:val="004A097B"/>
    <w:rsid w:val="004A455D"/>
    <w:rsid w:val="004A50F1"/>
    <w:rsid w:val="004A7D1E"/>
    <w:rsid w:val="004B14A6"/>
    <w:rsid w:val="004B3077"/>
    <w:rsid w:val="004B3C0B"/>
    <w:rsid w:val="004B3DC3"/>
    <w:rsid w:val="004B5551"/>
    <w:rsid w:val="004B5CFA"/>
    <w:rsid w:val="004C17D7"/>
    <w:rsid w:val="004C2DC4"/>
    <w:rsid w:val="004C460E"/>
    <w:rsid w:val="004C4686"/>
    <w:rsid w:val="004D028A"/>
    <w:rsid w:val="004D0E26"/>
    <w:rsid w:val="004D2673"/>
    <w:rsid w:val="004D41BB"/>
    <w:rsid w:val="004D5C4D"/>
    <w:rsid w:val="004D62EF"/>
    <w:rsid w:val="004D6327"/>
    <w:rsid w:val="004D656C"/>
    <w:rsid w:val="004E182A"/>
    <w:rsid w:val="004E1A71"/>
    <w:rsid w:val="004E2C9B"/>
    <w:rsid w:val="004E3A23"/>
    <w:rsid w:val="004E4260"/>
    <w:rsid w:val="004E489F"/>
    <w:rsid w:val="004E4C1F"/>
    <w:rsid w:val="004E5187"/>
    <w:rsid w:val="004E521E"/>
    <w:rsid w:val="004E5965"/>
    <w:rsid w:val="004E599B"/>
    <w:rsid w:val="004E5E3B"/>
    <w:rsid w:val="004E6783"/>
    <w:rsid w:val="004F0424"/>
    <w:rsid w:val="004F0674"/>
    <w:rsid w:val="004F0691"/>
    <w:rsid w:val="004F20BC"/>
    <w:rsid w:val="004F2E52"/>
    <w:rsid w:val="004F425A"/>
    <w:rsid w:val="004F447A"/>
    <w:rsid w:val="004F4AA3"/>
    <w:rsid w:val="004F52E8"/>
    <w:rsid w:val="004F5339"/>
    <w:rsid w:val="004F5D4C"/>
    <w:rsid w:val="004F68DD"/>
    <w:rsid w:val="004F7D9E"/>
    <w:rsid w:val="00501C2C"/>
    <w:rsid w:val="00506281"/>
    <w:rsid w:val="0050663B"/>
    <w:rsid w:val="00512B48"/>
    <w:rsid w:val="00512D91"/>
    <w:rsid w:val="00512FBF"/>
    <w:rsid w:val="00513934"/>
    <w:rsid w:val="00513942"/>
    <w:rsid w:val="00517B2D"/>
    <w:rsid w:val="005226E3"/>
    <w:rsid w:val="0052351E"/>
    <w:rsid w:val="005246A9"/>
    <w:rsid w:val="005266CF"/>
    <w:rsid w:val="005272F9"/>
    <w:rsid w:val="00527BE7"/>
    <w:rsid w:val="005315E2"/>
    <w:rsid w:val="00532CAF"/>
    <w:rsid w:val="005332E5"/>
    <w:rsid w:val="00535E10"/>
    <w:rsid w:val="0053608A"/>
    <w:rsid w:val="0054205F"/>
    <w:rsid w:val="0054348C"/>
    <w:rsid w:val="0054374E"/>
    <w:rsid w:val="00546F61"/>
    <w:rsid w:val="005473EB"/>
    <w:rsid w:val="00551345"/>
    <w:rsid w:val="00556A81"/>
    <w:rsid w:val="005576A7"/>
    <w:rsid w:val="005578B1"/>
    <w:rsid w:val="005618D2"/>
    <w:rsid w:val="00562D7A"/>
    <w:rsid w:val="00564523"/>
    <w:rsid w:val="0056542D"/>
    <w:rsid w:val="00566ABC"/>
    <w:rsid w:val="0056783F"/>
    <w:rsid w:val="005679BD"/>
    <w:rsid w:val="00570C58"/>
    <w:rsid w:val="0057514E"/>
    <w:rsid w:val="005764B9"/>
    <w:rsid w:val="00577605"/>
    <w:rsid w:val="00580132"/>
    <w:rsid w:val="00580A07"/>
    <w:rsid w:val="005828F9"/>
    <w:rsid w:val="00582AFE"/>
    <w:rsid w:val="00584D20"/>
    <w:rsid w:val="0058694A"/>
    <w:rsid w:val="00587665"/>
    <w:rsid w:val="005906B1"/>
    <w:rsid w:val="00592F9C"/>
    <w:rsid w:val="005930A4"/>
    <w:rsid w:val="0059397C"/>
    <w:rsid w:val="00594127"/>
    <w:rsid w:val="005949D0"/>
    <w:rsid w:val="005971DF"/>
    <w:rsid w:val="005A09F0"/>
    <w:rsid w:val="005A145F"/>
    <w:rsid w:val="005A272D"/>
    <w:rsid w:val="005A2B62"/>
    <w:rsid w:val="005A37BC"/>
    <w:rsid w:val="005A4896"/>
    <w:rsid w:val="005A55C2"/>
    <w:rsid w:val="005A608F"/>
    <w:rsid w:val="005A6598"/>
    <w:rsid w:val="005A689B"/>
    <w:rsid w:val="005A7A12"/>
    <w:rsid w:val="005B5089"/>
    <w:rsid w:val="005B7178"/>
    <w:rsid w:val="005C1A51"/>
    <w:rsid w:val="005C1FD4"/>
    <w:rsid w:val="005C6966"/>
    <w:rsid w:val="005D11AE"/>
    <w:rsid w:val="005D315B"/>
    <w:rsid w:val="005D373E"/>
    <w:rsid w:val="005D5C57"/>
    <w:rsid w:val="005E2ABF"/>
    <w:rsid w:val="005E2EFB"/>
    <w:rsid w:val="005E5983"/>
    <w:rsid w:val="005F0CFA"/>
    <w:rsid w:val="005F1405"/>
    <w:rsid w:val="005F153A"/>
    <w:rsid w:val="005F6618"/>
    <w:rsid w:val="005F712F"/>
    <w:rsid w:val="00604FA8"/>
    <w:rsid w:val="00605DE1"/>
    <w:rsid w:val="00606933"/>
    <w:rsid w:val="00610FE6"/>
    <w:rsid w:val="00612E50"/>
    <w:rsid w:val="00621D9C"/>
    <w:rsid w:val="0062213F"/>
    <w:rsid w:val="0062391D"/>
    <w:rsid w:val="0063030C"/>
    <w:rsid w:val="0063159C"/>
    <w:rsid w:val="0063287A"/>
    <w:rsid w:val="00632D28"/>
    <w:rsid w:val="006339B9"/>
    <w:rsid w:val="006364E8"/>
    <w:rsid w:val="00636D82"/>
    <w:rsid w:val="00637AD3"/>
    <w:rsid w:val="006418A3"/>
    <w:rsid w:val="006443A9"/>
    <w:rsid w:val="006448E1"/>
    <w:rsid w:val="0064495E"/>
    <w:rsid w:val="00644E21"/>
    <w:rsid w:val="0064523D"/>
    <w:rsid w:val="00645676"/>
    <w:rsid w:val="00645EAD"/>
    <w:rsid w:val="006463BF"/>
    <w:rsid w:val="00647794"/>
    <w:rsid w:val="00647CA1"/>
    <w:rsid w:val="006501B4"/>
    <w:rsid w:val="00651344"/>
    <w:rsid w:val="0065344D"/>
    <w:rsid w:val="006537C7"/>
    <w:rsid w:val="00654B62"/>
    <w:rsid w:val="00657C3C"/>
    <w:rsid w:val="0066102B"/>
    <w:rsid w:val="0066138E"/>
    <w:rsid w:val="00661B90"/>
    <w:rsid w:val="00665FB8"/>
    <w:rsid w:val="006673D8"/>
    <w:rsid w:val="00670D33"/>
    <w:rsid w:val="00671D25"/>
    <w:rsid w:val="00674AF0"/>
    <w:rsid w:val="0067642E"/>
    <w:rsid w:val="00682321"/>
    <w:rsid w:val="006865CB"/>
    <w:rsid w:val="0068758C"/>
    <w:rsid w:val="00690F2C"/>
    <w:rsid w:val="006955D8"/>
    <w:rsid w:val="00697A09"/>
    <w:rsid w:val="006A091F"/>
    <w:rsid w:val="006A2469"/>
    <w:rsid w:val="006A29F7"/>
    <w:rsid w:val="006A4CAF"/>
    <w:rsid w:val="006A5054"/>
    <w:rsid w:val="006A5ADF"/>
    <w:rsid w:val="006A694C"/>
    <w:rsid w:val="006A7594"/>
    <w:rsid w:val="006B4083"/>
    <w:rsid w:val="006B518D"/>
    <w:rsid w:val="006B5B88"/>
    <w:rsid w:val="006B731C"/>
    <w:rsid w:val="006B7888"/>
    <w:rsid w:val="006B7BB1"/>
    <w:rsid w:val="006B7DFD"/>
    <w:rsid w:val="006C0E03"/>
    <w:rsid w:val="006C48F0"/>
    <w:rsid w:val="006C4CD6"/>
    <w:rsid w:val="006C5A3B"/>
    <w:rsid w:val="006C64A0"/>
    <w:rsid w:val="006C7A1A"/>
    <w:rsid w:val="006D03D5"/>
    <w:rsid w:val="006D0D7C"/>
    <w:rsid w:val="006D0DE5"/>
    <w:rsid w:val="006D1366"/>
    <w:rsid w:val="006D1CC4"/>
    <w:rsid w:val="006D47FB"/>
    <w:rsid w:val="006D491D"/>
    <w:rsid w:val="006D5178"/>
    <w:rsid w:val="006D7D13"/>
    <w:rsid w:val="006E1E9F"/>
    <w:rsid w:val="006E29D9"/>
    <w:rsid w:val="006E33BA"/>
    <w:rsid w:val="006E3811"/>
    <w:rsid w:val="006E38C1"/>
    <w:rsid w:val="006E4760"/>
    <w:rsid w:val="006E4A01"/>
    <w:rsid w:val="006E4BEE"/>
    <w:rsid w:val="006E6F18"/>
    <w:rsid w:val="006F1F39"/>
    <w:rsid w:val="006F289B"/>
    <w:rsid w:val="006F50CB"/>
    <w:rsid w:val="006F6299"/>
    <w:rsid w:val="00701951"/>
    <w:rsid w:val="00702B7B"/>
    <w:rsid w:val="007038C7"/>
    <w:rsid w:val="00703EE5"/>
    <w:rsid w:val="00704413"/>
    <w:rsid w:val="00704562"/>
    <w:rsid w:val="00705F32"/>
    <w:rsid w:val="0070692B"/>
    <w:rsid w:val="0071069F"/>
    <w:rsid w:val="00710868"/>
    <w:rsid w:val="00711471"/>
    <w:rsid w:val="00711D8D"/>
    <w:rsid w:val="00712AF3"/>
    <w:rsid w:val="00715ADC"/>
    <w:rsid w:val="0071717A"/>
    <w:rsid w:val="00721611"/>
    <w:rsid w:val="0072319E"/>
    <w:rsid w:val="00724B96"/>
    <w:rsid w:val="00726EC4"/>
    <w:rsid w:val="00730F8B"/>
    <w:rsid w:val="00731988"/>
    <w:rsid w:val="0073286A"/>
    <w:rsid w:val="00733887"/>
    <w:rsid w:val="00736D0A"/>
    <w:rsid w:val="00740AE6"/>
    <w:rsid w:val="00740ED6"/>
    <w:rsid w:val="007448F5"/>
    <w:rsid w:val="00744E59"/>
    <w:rsid w:val="00745688"/>
    <w:rsid w:val="0075002E"/>
    <w:rsid w:val="007513CD"/>
    <w:rsid w:val="00751592"/>
    <w:rsid w:val="00751AD5"/>
    <w:rsid w:val="00753114"/>
    <w:rsid w:val="00753801"/>
    <w:rsid w:val="0075609B"/>
    <w:rsid w:val="00765FAD"/>
    <w:rsid w:val="00770125"/>
    <w:rsid w:val="007708A7"/>
    <w:rsid w:val="00771703"/>
    <w:rsid w:val="00772153"/>
    <w:rsid w:val="007736D3"/>
    <w:rsid w:val="00777234"/>
    <w:rsid w:val="0077744C"/>
    <w:rsid w:val="007819AF"/>
    <w:rsid w:val="007825EA"/>
    <w:rsid w:val="00783D24"/>
    <w:rsid w:val="00786C1C"/>
    <w:rsid w:val="00787B9C"/>
    <w:rsid w:val="00787DAE"/>
    <w:rsid w:val="00787DC2"/>
    <w:rsid w:val="00793F5D"/>
    <w:rsid w:val="0079456A"/>
    <w:rsid w:val="00794E4B"/>
    <w:rsid w:val="00794E62"/>
    <w:rsid w:val="007951D6"/>
    <w:rsid w:val="007A1D0C"/>
    <w:rsid w:val="007A3588"/>
    <w:rsid w:val="007A368E"/>
    <w:rsid w:val="007A394E"/>
    <w:rsid w:val="007A4AEF"/>
    <w:rsid w:val="007A5580"/>
    <w:rsid w:val="007A6431"/>
    <w:rsid w:val="007A6AA2"/>
    <w:rsid w:val="007B12D4"/>
    <w:rsid w:val="007B167E"/>
    <w:rsid w:val="007B2DA4"/>
    <w:rsid w:val="007B37AC"/>
    <w:rsid w:val="007B3835"/>
    <w:rsid w:val="007B4E87"/>
    <w:rsid w:val="007B6757"/>
    <w:rsid w:val="007B7BD3"/>
    <w:rsid w:val="007C091F"/>
    <w:rsid w:val="007C0EED"/>
    <w:rsid w:val="007C13D8"/>
    <w:rsid w:val="007C188F"/>
    <w:rsid w:val="007C1AE8"/>
    <w:rsid w:val="007C2B76"/>
    <w:rsid w:val="007C2BFB"/>
    <w:rsid w:val="007C46EC"/>
    <w:rsid w:val="007C64A8"/>
    <w:rsid w:val="007D1068"/>
    <w:rsid w:val="007D3255"/>
    <w:rsid w:val="007D32E2"/>
    <w:rsid w:val="007D3C64"/>
    <w:rsid w:val="007D5C4F"/>
    <w:rsid w:val="007D6392"/>
    <w:rsid w:val="007E310F"/>
    <w:rsid w:val="007E43AA"/>
    <w:rsid w:val="007E4E24"/>
    <w:rsid w:val="007E51B2"/>
    <w:rsid w:val="007E66A5"/>
    <w:rsid w:val="007E68C9"/>
    <w:rsid w:val="007E790D"/>
    <w:rsid w:val="007F6CE0"/>
    <w:rsid w:val="00800121"/>
    <w:rsid w:val="00802153"/>
    <w:rsid w:val="008031DD"/>
    <w:rsid w:val="00805EBF"/>
    <w:rsid w:val="00810364"/>
    <w:rsid w:val="00810F94"/>
    <w:rsid w:val="008119B6"/>
    <w:rsid w:val="00814B10"/>
    <w:rsid w:val="00815613"/>
    <w:rsid w:val="0081567E"/>
    <w:rsid w:val="00820210"/>
    <w:rsid w:val="00820751"/>
    <w:rsid w:val="0082136A"/>
    <w:rsid w:val="008240D2"/>
    <w:rsid w:val="00824799"/>
    <w:rsid w:val="00824DEC"/>
    <w:rsid w:val="00825156"/>
    <w:rsid w:val="0082598E"/>
    <w:rsid w:val="0082609C"/>
    <w:rsid w:val="00827053"/>
    <w:rsid w:val="0083198C"/>
    <w:rsid w:val="0083256C"/>
    <w:rsid w:val="008330FF"/>
    <w:rsid w:val="008341A6"/>
    <w:rsid w:val="008343AF"/>
    <w:rsid w:val="008344E3"/>
    <w:rsid w:val="0084068E"/>
    <w:rsid w:val="008413C1"/>
    <w:rsid w:val="00845815"/>
    <w:rsid w:val="008476BE"/>
    <w:rsid w:val="008479C9"/>
    <w:rsid w:val="00847A63"/>
    <w:rsid w:val="00850AD3"/>
    <w:rsid w:val="00851753"/>
    <w:rsid w:val="00852D87"/>
    <w:rsid w:val="00853A29"/>
    <w:rsid w:val="00853BAE"/>
    <w:rsid w:val="0085558C"/>
    <w:rsid w:val="00855941"/>
    <w:rsid w:val="008560D7"/>
    <w:rsid w:val="00856D2B"/>
    <w:rsid w:val="00856DCD"/>
    <w:rsid w:val="00857595"/>
    <w:rsid w:val="008575DA"/>
    <w:rsid w:val="00860509"/>
    <w:rsid w:val="0086130A"/>
    <w:rsid w:val="00861A93"/>
    <w:rsid w:val="00861C6B"/>
    <w:rsid w:val="008628C8"/>
    <w:rsid w:val="0086319F"/>
    <w:rsid w:val="0086406F"/>
    <w:rsid w:val="0086445E"/>
    <w:rsid w:val="00865A8C"/>
    <w:rsid w:val="00871A60"/>
    <w:rsid w:val="008743B8"/>
    <w:rsid w:val="00875A80"/>
    <w:rsid w:val="00875DD8"/>
    <w:rsid w:val="00880EAC"/>
    <w:rsid w:val="00881328"/>
    <w:rsid w:val="00884A4D"/>
    <w:rsid w:val="0088501F"/>
    <w:rsid w:val="008949EC"/>
    <w:rsid w:val="00894F90"/>
    <w:rsid w:val="008A08A2"/>
    <w:rsid w:val="008A1A08"/>
    <w:rsid w:val="008A221D"/>
    <w:rsid w:val="008A3FD5"/>
    <w:rsid w:val="008A6068"/>
    <w:rsid w:val="008A64BE"/>
    <w:rsid w:val="008A7705"/>
    <w:rsid w:val="008B0348"/>
    <w:rsid w:val="008B23AC"/>
    <w:rsid w:val="008B46E9"/>
    <w:rsid w:val="008B4B49"/>
    <w:rsid w:val="008B647B"/>
    <w:rsid w:val="008B74CC"/>
    <w:rsid w:val="008C0F3B"/>
    <w:rsid w:val="008C3A8A"/>
    <w:rsid w:val="008C5164"/>
    <w:rsid w:val="008C5275"/>
    <w:rsid w:val="008C55F3"/>
    <w:rsid w:val="008C6103"/>
    <w:rsid w:val="008C644E"/>
    <w:rsid w:val="008D0447"/>
    <w:rsid w:val="008D0517"/>
    <w:rsid w:val="008D2936"/>
    <w:rsid w:val="008D3550"/>
    <w:rsid w:val="008D4E30"/>
    <w:rsid w:val="008D7FFD"/>
    <w:rsid w:val="008E1A5A"/>
    <w:rsid w:val="008E2948"/>
    <w:rsid w:val="008F01FD"/>
    <w:rsid w:val="008F2D34"/>
    <w:rsid w:val="008F3D5E"/>
    <w:rsid w:val="008F68A2"/>
    <w:rsid w:val="008F695B"/>
    <w:rsid w:val="008F7E1D"/>
    <w:rsid w:val="008F7E23"/>
    <w:rsid w:val="009007A5"/>
    <w:rsid w:val="00900AB2"/>
    <w:rsid w:val="00905433"/>
    <w:rsid w:val="00910F3A"/>
    <w:rsid w:val="009136A8"/>
    <w:rsid w:val="009147A8"/>
    <w:rsid w:val="0092011C"/>
    <w:rsid w:val="009215D1"/>
    <w:rsid w:val="00922670"/>
    <w:rsid w:val="00925287"/>
    <w:rsid w:val="00926519"/>
    <w:rsid w:val="00927751"/>
    <w:rsid w:val="00932D9D"/>
    <w:rsid w:val="009332D9"/>
    <w:rsid w:val="00935320"/>
    <w:rsid w:val="00935719"/>
    <w:rsid w:val="00935F00"/>
    <w:rsid w:val="00937F03"/>
    <w:rsid w:val="0094070D"/>
    <w:rsid w:val="0094096E"/>
    <w:rsid w:val="00940B13"/>
    <w:rsid w:val="00941516"/>
    <w:rsid w:val="009418E1"/>
    <w:rsid w:val="00943A9F"/>
    <w:rsid w:val="00943F56"/>
    <w:rsid w:val="00943FFE"/>
    <w:rsid w:val="0094428E"/>
    <w:rsid w:val="0094590A"/>
    <w:rsid w:val="00945912"/>
    <w:rsid w:val="0094621D"/>
    <w:rsid w:val="009462D8"/>
    <w:rsid w:val="00947BC9"/>
    <w:rsid w:val="00955D5D"/>
    <w:rsid w:val="00957541"/>
    <w:rsid w:val="009576B5"/>
    <w:rsid w:val="00957EFA"/>
    <w:rsid w:val="009627F9"/>
    <w:rsid w:val="00966D6E"/>
    <w:rsid w:val="00967F42"/>
    <w:rsid w:val="00971DA6"/>
    <w:rsid w:val="00972F01"/>
    <w:rsid w:val="00974998"/>
    <w:rsid w:val="00975749"/>
    <w:rsid w:val="00976301"/>
    <w:rsid w:val="00976F04"/>
    <w:rsid w:val="00977605"/>
    <w:rsid w:val="009817F2"/>
    <w:rsid w:val="00985A07"/>
    <w:rsid w:val="009900D4"/>
    <w:rsid w:val="00991923"/>
    <w:rsid w:val="00991E68"/>
    <w:rsid w:val="009926F4"/>
    <w:rsid w:val="00992FD2"/>
    <w:rsid w:val="009A04F7"/>
    <w:rsid w:val="009A0FAF"/>
    <w:rsid w:val="009A14DC"/>
    <w:rsid w:val="009A39C2"/>
    <w:rsid w:val="009A3FB7"/>
    <w:rsid w:val="009A614B"/>
    <w:rsid w:val="009A62A9"/>
    <w:rsid w:val="009B0BED"/>
    <w:rsid w:val="009B1153"/>
    <w:rsid w:val="009B1C51"/>
    <w:rsid w:val="009B1D59"/>
    <w:rsid w:val="009B2521"/>
    <w:rsid w:val="009B3BBB"/>
    <w:rsid w:val="009B4586"/>
    <w:rsid w:val="009B647D"/>
    <w:rsid w:val="009B64C8"/>
    <w:rsid w:val="009B75CE"/>
    <w:rsid w:val="009C050C"/>
    <w:rsid w:val="009C1CBE"/>
    <w:rsid w:val="009C4B93"/>
    <w:rsid w:val="009C6DEC"/>
    <w:rsid w:val="009D120A"/>
    <w:rsid w:val="009D2A7D"/>
    <w:rsid w:val="009D309B"/>
    <w:rsid w:val="009D369A"/>
    <w:rsid w:val="009D3B8C"/>
    <w:rsid w:val="009D6042"/>
    <w:rsid w:val="009D73B2"/>
    <w:rsid w:val="009E0A5F"/>
    <w:rsid w:val="009E109C"/>
    <w:rsid w:val="009E18F2"/>
    <w:rsid w:val="009E271D"/>
    <w:rsid w:val="009E2C99"/>
    <w:rsid w:val="009E3DB7"/>
    <w:rsid w:val="009E4B37"/>
    <w:rsid w:val="009F03CC"/>
    <w:rsid w:val="009F1E33"/>
    <w:rsid w:val="009F39AA"/>
    <w:rsid w:val="009F3C66"/>
    <w:rsid w:val="009F5811"/>
    <w:rsid w:val="009F6C2C"/>
    <w:rsid w:val="009F7EA7"/>
    <w:rsid w:val="00A01A16"/>
    <w:rsid w:val="00A032C1"/>
    <w:rsid w:val="00A03326"/>
    <w:rsid w:val="00A05261"/>
    <w:rsid w:val="00A10884"/>
    <w:rsid w:val="00A10FF3"/>
    <w:rsid w:val="00A11208"/>
    <w:rsid w:val="00A115A6"/>
    <w:rsid w:val="00A12AC0"/>
    <w:rsid w:val="00A15598"/>
    <w:rsid w:val="00A169EB"/>
    <w:rsid w:val="00A17221"/>
    <w:rsid w:val="00A174CA"/>
    <w:rsid w:val="00A20447"/>
    <w:rsid w:val="00A2254B"/>
    <w:rsid w:val="00A22808"/>
    <w:rsid w:val="00A240F5"/>
    <w:rsid w:val="00A24A68"/>
    <w:rsid w:val="00A26969"/>
    <w:rsid w:val="00A27B9B"/>
    <w:rsid w:val="00A27D9C"/>
    <w:rsid w:val="00A3058F"/>
    <w:rsid w:val="00A31EA0"/>
    <w:rsid w:val="00A34ACB"/>
    <w:rsid w:val="00A35C2E"/>
    <w:rsid w:val="00A35F2D"/>
    <w:rsid w:val="00A36099"/>
    <w:rsid w:val="00A42163"/>
    <w:rsid w:val="00A42D07"/>
    <w:rsid w:val="00A44D90"/>
    <w:rsid w:val="00A466E0"/>
    <w:rsid w:val="00A46B70"/>
    <w:rsid w:val="00A46D5D"/>
    <w:rsid w:val="00A47C2B"/>
    <w:rsid w:val="00A50349"/>
    <w:rsid w:val="00A513EA"/>
    <w:rsid w:val="00A556EE"/>
    <w:rsid w:val="00A55AFF"/>
    <w:rsid w:val="00A56A49"/>
    <w:rsid w:val="00A56E88"/>
    <w:rsid w:val="00A61101"/>
    <w:rsid w:val="00A61EA6"/>
    <w:rsid w:val="00A63D21"/>
    <w:rsid w:val="00A65711"/>
    <w:rsid w:val="00A65D8D"/>
    <w:rsid w:val="00A66DFE"/>
    <w:rsid w:val="00A70A63"/>
    <w:rsid w:val="00A70D52"/>
    <w:rsid w:val="00A70DE3"/>
    <w:rsid w:val="00A7125C"/>
    <w:rsid w:val="00A717B8"/>
    <w:rsid w:val="00A7195E"/>
    <w:rsid w:val="00A80B43"/>
    <w:rsid w:val="00A81214"/>
    <w:rsid w:val="00A812B5"/>
    <w:rsid w:val="00A8259D"/>
    <w:rsid w:val="00A825C7"/>
    <w:rsid w:val="00A85F58"/>
    <w:rsid w:val="00A91241"/>
    <w:rsid w:val="00A93991"/>
    <w:rsid w:val="00A96F31"/>
    <w:rsid w:val="00A97BC2"/>
    <w:rsid w:val="00AA08D3"/>
    <w:rsid w:val="00AA1864"/>
    <w:rsid w:val="00AA1962"/>
    <w:rsid w:val="00AA2E43"/>
    <w:rsid w:val="00AA5758"/>
    <w:rsid w:val="00AA5C0C"/>
    <w:rsid w:val="00AA762A"/>
    <w:rsid w:val="00AA7EAC"/>
    <w:rsid w:val="00AB0E6F"/>
    <w:rsid w:val="00AB1E17"/>
    <w:rsid w:val="00AB232F"/>
    <w:rsid w:val="00AB422E"/>
    <w:rsid w:val="00AB54CF"/>
    <w:rsid w:val="00AB6AA3"/>
    <w:rsid w:val="00AC1C34"/>
    <w:rsid w:val="00AC1FF1"/>
    <w:rsid w:val="00AC2D6C"/>
    <w:rsid w:val="00AD0199"/>
    <w:rsid w:val="00AD08D6"/>
    <w:rsid w:val="00AD50FF"/>
    <w:rsid w:val="00AD5AC6"/>
    <w:rsid w:val="00AD5B4F"/>
    <w:rsid w:val="00AD5C48"/>
    <w:rsid w:val="00AD6B02"/>
    <w:rsid w:val="00AE0317"/>
    <w:rsid w:val="00AE03DD"/>
    <w:rsid w:val="00AE1A00"/>
    <w:rsid w:val="00AE2522"/>
    <w:rsid w:val="00AE3F16"/>
    <w:rsid w:val="00AE4399"/>
    <w:rsid w:val="00AE51A0"/>
    <w:rsid w:val="00AE5A97"/>
    <w:rsid w:val="00AE6198"/>
    <w:rsid w:val="00AF08BD"/>
    <w:rsid w:val="00AF403C"/>
    <w:rsid w:val="00AF4197"/>
    <w:rsid w:val="00B0094B"/>
    <w:rsid w:val="00B01B5C"/>
    <w:rsid w:val="00B0319E"/>
    <w:rsid w:val="00B10005"/>
    <w:rsid w:val="00B13A14"/>
    <w:rsid w:val="00B16332"/>
    <w:rsid w:val="00B2284E"/>
    <w:rsid w:val="00B237DB"/>
    <w:rsid w:val="00B25E57"/>
    <w:rsid w:val="00B26310"/>
    <w:rsid w:val="00B27BB4"/>
    <w:rsid w:val="00B3111F"/>
    <w:rsid w:val="00B3123E"/>
    <w:rsid w:val="00B31CE7"/>
    <w:rsid w:val="00B32ECE"/>
    <w:rsid w:val="00B33C93"/>
    <w:rsid w:val="00B34C76"/>
    <w:rsid w:val="00B34E92"/>
    <w:rsid w:val="00B41454"/>
    <w:rsid w:val="00B41CD9"/>
    <w:rsid w:val="00B45097"/>
    <w:rsid w:val="00B4519C"/>
    <w:rsid w:val="00B4694A"/>
    <w:rsid w:val="00B506CB"/>
    <w:rsid w:val="00B517F6"/>
    <w:rsid w:val="00B57E89"/>
    <w:rsid w:val="00B60692"/>
    <w:rsid w:val="00B6071C"/>
    <w:rsid w:val="00B60F8E"/>
    <w:rsid w:val="00B61645"/>
    <w:rsid w:val="00B64E63"/>
    <w:rsid w:val="00B664D3"/>
    <w:rsid w:val="00B66F44"/>
    <w:rsid w:val="00B72847"/>
    <w:rsid w:val="00B74A81"/>
    <w:rsid w:val="00B75A24"/>
    <w:rsid w:val="00B7704B"/>
    <w:rsid w:val="00B81261"/>
    <w:rsid w:val="00B8267C"/>
    <w:rsid w:val="00B8365F"/>
    <w:rsid w:val="00B83E8A"/>
    <w:rsid w:val="00B8647F"/>
    <w:rsid w:val="00B87014"/>
    <w:rsid w:val="00B87D0E"/>
    <w:rsid w:val="00B90833"/>
    <w:rsid w:val="00B90CB9"/>
    <w:rsid w:val="00B9290E"/>
    <w:rsid w:val="00B929D0"/>
    <w:rsid w:val="00B97996"/>
    <w:rsid w:val="00BA1A4E"/>
    <w:rsid w:val="00BA23D1"/>
    <w:rsid w:val="00BA3764"/>
    <w:rsid w:val="00BA6127"/>
    <w:rsid w:val="00BA6920"/>
    <w:rsid w:val="00BB02A9"/>
    <w:rsid w:val="00BB2DAF"/>
    <w:rsid w:val="00BB2E3E"/>
    <w:rsid w:val="00BC1145"/>
    <w:rsid w:val="00BC17A4"/>
    <w:rsid w:val="00BC1F86"/>
    <w:rsid w:val="00BC4617"/>
    <w:rsid w:val="00BC484B"/>
    <w:rsid w:val="00BC54C9"/>
    <w:rsid w:val="00BC7A5A"/>
    <w:rsid w:val="00BC7B3E"/>
    <w:rsid w:val="00BD161A"/>
    <w:rsid w:val="00BD191C"/>
    <w:rsid w:val="00BD2C68"/>
    <w:rsid w:val="00BD3749"/>
    <w:rsid w:val="00BD687F"/>
    <w:rsid w:val="00BD77D9"/>
    <w:rsid w:val="00BE02B4"/>
    <w:rsid w:val="00BE0322"/>
    <w:rsid w:val="00BE08B9"/>
    <w:rsid w:val="00BE16C8"/>
    <w:rsid w:val="00BE1E62"/>
    <w:rsid w:val="00BE352E"/>
    <w:rsid w:val="00BE3D20"/>
    <w:rsid w:val="00BE54C8"/>
    <w:rsid w:val="00BE5D44"/>
    <w:rsid w:val="00BE6D67"/>
    <w:rsid w:val="00BF0947"/>
    <w:rsid w:val="00BF1B6A"/>
    <w:rsid w:val="00BF299E"/>
    <w:rsid w:val="00BF6B15"/>
    <w:rsid w:val="00BF7EDE"/>
    <w:rsid w:val="00C0131C"/>
    <w:rsid w:val="00C01D48"/>
    <w:rsid w:val="00C01DE8"/>
    <w:rsid w:val="00C0341B"/>
    <w:rsid w:val="00C03AE9"/>
    <w:rsid w:val="00C03BE8"/>
    <w:rsid w:val="00C04422"/>
    <w:rsid w:val="00C05089"/>
    <w:rsid w:val="00C05860"/>
    <w:rsid w:val="00C0605F"/>
    <w:rsid w:val="00C06675"/>
    <w:rsid w:val="00C06F5C"/>
    <w:rsid w:val="00C1064E"/>
    <w:rsid w:val="00C12D92"/>
    <w:rsid w:val="00C162B5"/>
    <w:rsid w:val="00C17734"/>
    <w:rsid w:val="00C179A1"/>
    <w:rsid w:val="00C24396"/>
    <w:rsid w:val="00C246D0"/>
    <w:rsid w:val="00C26469"/>
    <w:rsid w:val="00C3112F"/>
    <w:rsid w:val="00C313A4"/>
    <w:rsid w:val="00C34242"/>
    <w:rsid w:val="00C34B05"/>
    <w:rsid w:val="00C42021"/>
    <w:rsid w:val="00C431B7"/>
    <w:rsid w:val="00C4341E"/>
    <w:rsid w:val="00C4403F"/>
    <w:rsid w:val="00C5092C"/>
    <w:rsid w:val="00C512E0"/>
    <w:rsid w:val="00C5360E"/>
    <w:rsid w:val="00C53D55"/>
    <w:rsid w:val="00C53E36"/>
    <w:rsid w:val="00C550DC"/>
    <w:rsid w:val="00C56310"/>
    <w:rsid w:val="00C61727"/>
    <w:rsid w:val="00C63797"/>
    <w:rsid w:val="00C641C8"/>
    <w:rsid w:val="00C64F87"/>
    <w:rsid w:val="00C657BA"/>
    <w:rsid w:val="00C67FF4"/>
    <w:rsid w:val="00C748B8"/>
    <w:rsid w:val="00C74A18"/>
    <w:rsid w:val="00C75CEF"/>
    <w:rsid w:val="00C77185"/>
    <w:rsid w:val="00C8056B"/>
    <w:rsid w:val="00C811F2"/>
    <w:rsid w:val="00C8483E"/>
    <w:rsid w:val="00C85722"/>
    <w:rsid w:val="00C85F5F"/>
    <w:rsid w:val="00C87793"/>
    <w:rsid w:val="00C91758"/>
    <w:rsid w:val="00C9222E"/>
    <w:rsid w:val="00C92299"/>
    <w:rsid w:val="00C93D1B"/>
    <w:rsid w:val="00C94960"/>
    <w:rsid w:val="00C9551E"/>
    <w:rsid w:val="00C9562C"/>
    <w:rsid w:val="00C95E7A"/>
    <w:rsid w:val="00C96F9C"/>
    <w:rsid w:val="00CA2A68"/>
    <w:rsid w:val="00CA3136"/>
    <w:rsid w:val="00CA4ED5"/>
    <w:rsid w:val="00CA569C"/>
    <w:rsid w:val="00CA5FCE"/>
    <w:rsid w:val="00CB08B6"/>
    <w:rsid w:val="00CB48DB"/>
    <w:rsid w:val="00CB5AA2"/>
    <w:rsid w:val="00CB63A5"/>
    <w:rsid w:val="00CB6783"/>
    <w:rsid w:val="00CB6AE9"/>
    <w:rsid w:val="00CC020C"/>
    <w:rsid w:val="00CC032B"/>
    <w:rsid w:val="00CC1B29"/>
    <w:rsid w:val="00CC3108"/>
    <w:rsid w:val="00CC50FF"/>
    <w:rsid w:val="00CC561A"/>
    <w:rsid w:val="00CC5973"/>
    <w:rsid w:val="00CC764F"/>
    <w:rsid w:val="00CC7B04"/>
    <w:rsid w:val="00CC7B60"/>
    <w:rsid w:val="00CD1118"/>
    <w:rsid w:val="00CD28B1"/>
    <w:rsid w:val="00CD3D49"/>
    <w:rsid w:val="00CD5D30"/>
    <w:rsid w:val="00CD76AC"/>
    <w:rsid w:val="00CE0D34"/>
    <w:rsid w:val="00CE27D6"/>
    <w:rsid w:val="00CE41C1"/>
    <w:rsid w:val="00CE4A7D"/>
    <w:rsid w:val="00CE552A"/>
    <w:rsid w:val="00CE7D37"/>
    <w:rsid w:val="00CF00C1"/>
    <w:rsid w:val="00CF0760"/>
    <w:rsid w:val="00CF3CD9"/>
    <w:rsid w:val="00CF3F68"/>
    <w:rsid w:val="00CF6307"/>
    <w:rsid w:val="00CF784B"/>
    <w:rsid w:val="00CF7FEB"/>
    <w:rsid w:val="00D022F6"/>
    <w:rsid w:val="00D053AD"/>
    <w:rsid w:val="00D1007C"/>
    <w:rsid w:val="00D11918"/>
    <w:rsid w:val="00D131F9"/>
    <w:rsid w:val="00D13F08"/>
    <w:rsid w:val="00D14F18"/>
    <w:rsid w:val="00D15610"/>
    <w:rsid w:val="00D16724"/>
    <w:rsid w:val="00D17551"/>
    <w:rsid w:val="00D202F1"/>
    <w:rsid w:val="00D229C1"/>
    <w:rsid w:val="00D24472"/>
    <w:rsid w:val="00D25CC0"/>
    <w:rsid w:val="00D27AAC"/>
    <w:rsid w:val="00D30650"/>
    <w:rsid w:val="00D31C31"/>
    <w:rsid w:val="00D368A5"/>
    <w:rsid w:val="00D41455"/>
    <w:rsid w:val="00D42841"/>
    <w:rsid w:val="00D42AC8"/>
    <w:rsid w:val="00D431E2"/>
    <w:rsid w:val="00D46E3F"/>
    <w:rsid w:val="00D4730E"/>
    <w:rsid w:val="00D4799C"/>
    <w:rsid w:val="00D5294C"/>
    <w:rsid w:val="00D52D0C"/>
    <w:rsid w:val="00D568C4"/>
    <w:rsid w:val="00D60029"/>
    <w:rsid w:val="00D60940"/>
    <w:rsid w:val="00D60DC5"/>
    <w:rsid w:val="00D6261C"/>
    <w:rsid w:val="00D64F53"/>
    <w:rsid w:val="00D65000"/>
    <w:rsid w:val="00D66738"/>
    <w:rsid w:val="00D668A4"/>
    <w:rsid w:val="00D67891"/>
    <w:rsid w:val="00D70BB7"/>
    <w:rsid w:val="00D71404"/>
    <w:rsid w:val="00D7152B"/>
    <w:rsid w:val="00D73B75"/>
    <w:rsid w:val="00D808FE"/>
    <w:rsid w:val="00D84951"/>
    <w:rsid w:val="00D84C1C"/>
    <w:rsid w:val="00D84CB1"/>
    <w:rsid w:val="00D90268"/>
    <w:rsid w:val="00D91554"/>
    <w:rsid w:val="00D92241"/>
    <w:rsid w:val="00D92664"/>
    <w:rsid w:val="00D92D5F"/>
    <w:rsid w:val="00D94439"/>
    <w:rsid w:val="00D9510E"/>
    <w:rsid w:val="00D95410"/>
    <w:rsid w:val="00DA22EF"/>
    <w:rsid w:val="00DA5DBB"/>
    <w:rsid w:val="00DA67B5"/>
    <w:rsid w:val="00DA7F2A"/>
    <w:rsid w:val="00DB2066"/>
    <w:rsid w:val="00DB3396"/>
    <w:rsid w:val="00DB532E"/>
    <w:rsid w:val="00DB5DB5"/>
    <w:rsid w:val="00DB5DFD"/>
    <w:rsid w:val="00DB633E"/>
    <w:rsid w:val="00DC014B"/>
    <w:rsid w:val="00DC06D9"/>
    <w:rsid w:val="00DC1377"/>
    <w:rsid w:val="00DC2871"/>
    <w:rsid w:val="00DC2C00"/>
    <w:rsid w:val="00DC3734"/>
    <w:rsid w:val="00DC7B3C"/>
    <w:rsid w:val="00DD0C7A"/>
    <w:rsid w:val="00DD0DCE"/>
    <w:rsid w:val="00DD14F4"/>
    <w:rsid w:val="00DD4469"/>
    <w:rsid w:val="00DD4EB2"/>
    <w:rsid w:val="00DD6AF1"/>
    <w:rsid w:val="00DE1A51"/>
    <w:rsid w:val="00DE3898"/>
    <w:rsid w:val="00DF015B"/>
    <w:rsid w:val="00DF3192"/>
    <w:rsid w:val="00DF60A2"/>
    <w:rsid w:val="00E00106"/>
    <w:rsid w:val="00E001DA"/>
    <w:rsid w:val="00E02381"/>
    <w:rsid w:val="00E02986"/>
    <w:rsid w:val="00E034C9"/>
    <w:rsid w:val="00E064C0"/>
    <w:rsid w:val="00E064E0"/>
    <w:rsid w:val="00E1008C"/>
    <w:rsid w:val="00E105D7"/>
    <w:rsid w:val="00E12B40"/>
    <w:rsid w:val="00E12C72"/>
    <w:rsid w:val="00E141C7"/>
    <w:rsid w:val="00E20C4F"/>
    <w:rsid w:val="00E21373"/>
    <w:rsid w:val="00E21E5C"/>
    <w:rsid w:val="00E228E4"/>
    <w:rsid w:val="00E27E8E"/>
    <w:rsid w:val="00E320B5"/>
    <w:rsid w:val="00E33972"/>
    <w:rsid w:val="00E35DCB"/>
    <w:rsid w:val="00E360D0"/>
    <w:rsid w:val="00E421EF"/>
    <w:rsid w:val="00E42F47"/>
    <w:rsid w:val="00E46605"/>
    <w:rsid w:val="00E468F3"/>
    <w:rsid w:val="00E50171"/>
    <w:rsid w:val="00E504E6"/>
    <w:rsid w:val="00E52504"/>
    <w:rsid w:val="00E56FAF"/>
    <w:rsid w:val="00E57A6D"/>
    <w:rsid w:val="00E6499B"/>
    <w:rsid w:val="00E6614D"/>
    <w:rsid w:val="00E67A29"/>
    <w:rsid w:val="00E70853"/>
    <w:rsid w:val="00E70C1B"/>
    <w:rsid w:val="00E71B2D"/>
    <w:rsid w:val="00E72785"/>
    <w:rsid w:val="00E76BFC"/>
    <w:rsid w:val="00E77DD3"/>
    <w:rsid w:val="00E8410E"/>
    <w:rsid w:val="00E84131"/>
    <w:rsid w:val="00E849C2"/>
    <w:rsid w:val="00E853E6"/>
    <w:rsid w:val="00E9036E"/>
    <w:rsid w:val="00E913FC"/>
    <w:rsid w:val="00E95059"/>
    <w:rsid w:val="00E9557D"/>
    <w:rsid w:val="00EA14AB"/>
    <w:rsid w:val="00EA1C75"/>
    <w:rsid w:val="00EA5EE4"/>
    <w:rsid w:val="00EA5EEC"/>
    <w:rsid w:val="00EB2091"/>
    <w:rsid w:val="00EB3D65"/>
    <w:rsid w:val="00EB5D94"/>
    <w:rsid w:val="00EB66A5"/>
    <w:rsid w:val="00EB6D44"/>
    <w:rsid w:val="00EB7F38"/>
    <w:rsid w:val="00EC6569"/>
    <w:rsid w:val="00EC7954"/>
    <w:rsid w:val="00EC7A9C"/>
    <w:rsid w:val="00ED0120"/>
    <w:rsid w:val="00ED0914"/>
    <w:rsid w:val="00ED39BC"/>
    <w:rsid w:val="00ED43A1"/>
    <w:rsid w:val="00ED4934"/>
    <w:rsid w:val="00EE439A"/>
    <w:rsid w:val="00EE61A1"/>
    <w:rsid w:val="00EF1BBC"/>
    <w:rsid w:val="00EF1BEA"/>
    <w:rsid w:val="00EF1C56"/>
    <w:rsid w:val="00EF2087"/>
    <w:rsid w:val="00EF4697"/>
    <w:rsid w:val="00EF5A24"/>
    <w:rsid w:val="00F00B1C"/>
    <w:rsid w:val="00F01B32"/>
    <w:rsid w:val="00F01D20"/>
    <w:rsid w:val="00F02A8A"/>
    <w:rsid w:val="00F03D4E"/>
    <w:rsid w:val="00F0423A"/>
    <w:rsid w:val="00F0613B"/>
    <w:rsid w:val="00F11E1B"/>
    <w:rsid w:val="00F1337E"/>
    <w:rsid w:val="00F13FD3"/>
    <w:rsid w:val="00F13FD5"/>
    <w:rsid w:val="00F14EE3"/>
    <w:rsid w:val="00F152F5"/>
    <w:rsid w:val="00F16FD3"/>
    <w:rsid w:val="00F17312"/>
    <w:rsid w:val="00F20659"/>
    <w:rsid w:val="00F213BA"/>
    <w:rsid w:val="00F22FBD"/>
    <w:rsid w:val="00F243CB"/>
    <w:rsid w:val="00F257C8"/>
    <w:rsid w:val="00F25CA3"/>
    <w:rsid w:val="00F26281"/>
    <w:rsid w:val="00F268BC"/>
    <w:rsid w:val="00F27FE5"/>
    <w:rsid w:val="00F311ED"/>
    <w:rsid w:val="00F3373A"/>
    <w:rsid w:val="00F35ED6"/>
    <w:rsid w:val="00F36598"/>
    <w:rsid w:val="00F36922"/>
    <w:rsid w:val="00F36A1B"/>
    <w:rsid w:val="00F374A2"/>
    <w:rsid w:val="00F40811"/>
    <w:rsid w:val="00F40CF9"/>
    <w:rsid w:val="00F43C59"/>
    <w:rsid w:val="00F44803"/>
    <w:rsid w:val="00F4684A"/>
    <w:rsid w:val="00F47E1C"/>
    <w:rsid w:val="00F52154"/>
    <w:rsid w:val="00F527C7"/>
    <w:rsid w:val="00F52846"/>
    <w:rsid w:val="00F53E7F"/>
    <w:rsid w:val="00F54D59"/>
    <w:rsid w:val="00F54EB2"/>
    <w:rsid w:val="00F55C84"/>
    <w:rsid w:val="00F562E6"/>
    <w:rsid w:val="00F5751D"/>
    <w:rsid w:val="00F60E63"/>
    <w:rsid w:val="00F62416"/>
    <w:rsid w:val="00F6355C"/>
    <w:rsid w:val="00F638CF"/>
    <w:rsid w:val="00F63DC7"/>
    <w:rsid w:val="00F67AD3"/>
    <w:rsid w:val="00F701E0"/>
    <w:rsid w:val="00F74668"/>
    <w:rsid w:val="00F753CA"/>
    <w:rsid w:val="00F8208E"/>
    <w:rsid w:val="00F82200"/>
    <w:rsid w:val="00F843E2"/>
    <w:rsid w:val="00F86E71"/>
    <w:rsid w:val="00F872AF"/>
    <w:rsid w:val="00F9121A"/>
    <w:rsid w:val="00F9348C"/>
    <w:rsid w:val="00F93AC2"/>
    <w:rsid w:val="00F93EAE"/>
    <w:rsid w:val="00F957FB"/>
    <w:rsid w:val="00F967AA"/>
    <w:rsid w:val="00FA23E1"/>
    <w:rsid w:val="00FA2667"/>
    <w:rsid w:val="00FA2E4B"/>
    <w:rsid w:val="00FB002B"/>
    <w:rsid w:val="00FB03BF"/>
    <w:rsid w:val="00FB4C69"/>
    <w:rsid w:val="00FB4F63"/>
    <w:rsid w:val="00FB567F"/>
    <w:rsid w:val="00FB5CBF"/>
    <w:rsid w:val="00FB680A"/>
    <w:rsid w:val="00FC0F04"/>
    <w:rsid w:val="00FC2A8F"/>
    <w:rsid w:val="00FC3EFA"/>
    <w:rsid w:val="00FC4F59"/>
    <w:rsid w:val="00FC5217"/>
    <w:rsid w:val="00FC565B"/>
    <w:rsid w:val="00FC57F3"/>
    <w:rsid w:val="00FC61CB"/>
    <w:rsid w:val="00FC685D"/>
    <w:rsid w:val="00FC7D26"/>
    <w:rsid w:val="00FD0942"/>
    <w:rsid w:val="00FD1050"/>
    <w:rsid w:val="00FD450C"/>
    <w:rsid w:val="00FD5A58"/>
    <w:rsid w:val="00FD5C2F"/>
    <w:rsid w:val="00FD6C3B"/>
    <w:rsid w:val="00FD77A3"/>
    <w:rsid w:val="00FE1DE5"/>
    <w:rsid w:val="00FE1F9C"/>
    <w:rsid w:val="00FE6303"/>
    <w:rsid w:val="00FE6CC0"/>
    <w:rsid w:val="00FE7364"/>
    <w:rsid w:val="00FF0DB1"/>
    <w:rsid w:val="00FF12A2"/>
    <w:rsid w:val="00FF1447"/>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1C5EC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4E3A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3A23"/>
    <w:pPr>
      <w:keepNext/>
      <w:jc w:val="center"/>
      <w:outlineLvl w:val="1"/>
    </w:pPr>
    <w:rPr>
      <w:u w:val="single"/>
    </w:rPr>
  </w:style>
  <w:style w:type="paragraph" w:styleId="Heading3">
    <w:name w:val="heading 3"/>
    <w:basedOn w:val="Normal"/>
    <w:next w:val="Normal"/>
    <w:link w:val="Heading3Char"/>
    <w:qFormat/>
    <w:rsid w:val="004E3A23"/>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paragraph" w:styleId="Heading5">
    <w:name w:val="heading 5"/>
    <w:basedOn w:val="Normal"/>
    <w:next w:val="Normal"/>
    <w:link w:val="Heading5Char"/>
    <w:unhideWhenUsed/>
    <w:qFormat/>
    <w:rsid w:val="00726EC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0"/>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rsid w:val="00FF1447"/>
    <w:rPr>
      <w:sz w:val="22"/>
      <w:szCs w:val="20"/>
    </w:rPr>
  </w:style>
  <w:style w:type="character" w:styleId="FootnoteReference">
    <w:name w:val="footnote reference"/>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eastAsia="Times New Roman" w:hAnsi="Calibri" w:cs="Times New Roman"/>
      <w:b/>
      <w:bCs/>
      <w:i/>
      <w:iCs/>
      <w:sz w:val="26"/>
      <w:szCs w:val="26"/>
    </w:rPr>
  </w:style>
  <w:style w:type="paragraph" w:styleId="TOC1">
    <w:name w:val="toc 1"/>
    <w:basedOn w:val="Normal"/>
    <w:next w:val="Normal"/>
    <w:autoRedefine/>
    <w:uiPriority w:val="39"/>
    <w:rsid w:val="00787DC2"/>
  </w:style>
  <w:style w:type="paragraph" w:styleId="TOC2">
    <w:name w:val="toc 2"/>
    <w:basedOn w:val="Normal"/>
    <w:next w:val="Normal"/>
    <w:autoRedefine/>
    <w:uiPriority w:val="39"/>
    <w:rsid w:val="00787DC2"/>
    <w:pPr>
      <w:ind w:left="240"/>
    </w:p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eastAsia="Times New Roman" w:hAnsi="Calibri" w:cs="Times New Roman"/>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4910F2"/>
    <w:rPr>
      <w:sz w:val="24"/>
      <w:szCs w:val="24"/>
      <w:u w:val="single"/>
    </w:rPr>
  </w:style>
  <w:style w:type="paragraph" w:styleId="Caption">
    <w:name w:val="caption"/>
    <w:basedOn w:val="Normal"/>
    <w:next w:val="Normal"/>
    <w:unhideWhenUsed/>
    <w:qFormat/>
    <w:rsid w:val="0051393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2014-11-25T08:00:00+00:00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F718-CA65-44C1-B549-4073399F3ECE}"/>
</file>

<file path=customXml/itemProps2.xml><?xml version="1.0" encoding="utf-8"?>
<ds:datastoreItem xmlns:ds="http://schemas.openxmlformats.org/officeDocument/2006/customXml" ds:itemID="{987CD278-80B1-4CA4-9D70-E24BE4B9378F}"/>
</file>

<file path=customXml/itemProps3.xml><?xml version="1.0" encoding="utf-8"?>
<ds:datastoreItem xmlns:ds="http://schemas.openxmlformats.org/officeDocument/2006/customXml" ds:itemID="{277D7165-5770-4E26-B46A-80E88ED4C05D}"/>
</file>

<file path=customXml/itemProps4.xml><?xml version="1.0" encoding="utf-8"?>
<ds:datastoreItem xmlns:ds="http://schemas.openxmlformats.org/officeDocument/2006/customXml" ds:itemID="{777929EF-15A2-4917-859A-76F1E2136841}"/>
</file>

<file path=customXml/itemProps5.xml><?xml version="1.0" encoding="utf-8"?>
<ds:datastoreItem xmlns:ds="http://schemas.openxmlformats.org/officeDocument/2006/customXml" ds:itemID="{9735BDB2-BBC0-48D6-98D1-A06786B60B12}"/>
</file>

<file path=docProps/app.xml><?xml version="1.0" encoding="utf-8"?>
<Properties xmlns="http://schemas.openxmlformats.org/officeDocument/2006/extended-properties" xmlns:vt="http://schemas.openxmlformats.org/officeDocument/2006/docPropsVTypes">
  <Template>Normal</Template>
  <TotalTime>0</TotalTime>
  <Pages>26</Pages>
  <Words>6312</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40940</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2014-11-25T21:14:00Z</dcterms:created>
  <dcterms:modified xsi:type="dcterms:W3CDTF">2014-11-25T21:14:00Z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