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CE022" w14:textId="77777777" w:rsidR="00720C35" w:rsidRPr="00720C35" w:rsidRDefault="00720C35" w:rsidP="00720C35">
      <w:pPr>
        <w:rPr>
          <w:b/>
          <w:bCs/>
        </w:rPr>
      </w:pPr>
    </w:p>
    <w:p w14:paraId="1F0F770F" w14:textId="77777777" w:rsidR="00720C35" w:rsidRPr="00720C35" w:rsidRDefault="00720C35" w:rsidP="00720C35">
      <w:pPr>
        <w:jc w:val="center"/>
        <w:rPr>
          <w:b/>
          <w:bCs/>
        </w:rPr>
      </w:pPr>
      <w:r w:rsidRPr="00720C35">
        <w:rPr>
          <w:b/>
          <w:bCs/>
        </w:rPr>
        <w:t>BEFORE THE WASHINGTON</w:t>
      </w:r>
    </w:p>
    <w:p w14:paraId="2F5733EC" w14:textId="77777777" w:rsidR="00720C35" w:rsidRPr="00720C35" w:rsidRDefault="00720C35" w:rsidP="00720C35">
      <w:pPr>
        <w:jc w:val="center"/>
        <w:rPr>
          <w:b/>
          <w:bCs/>
        </w:rPr>
      </w:pPr>
      <w:r w:rsidRPr="00720C35">
        <w:rPr>
          <w:b/>
          <w:bCs/>
        </w:rPr>
        <w:t>UTILITIES AND TRANSPORTATION COMMISSION</w:t>
      </w:r>
    </w:p>
    <w:p w14:paraId="3F6FA46C" w14:textId="77777777" w:rsidR="00720C35" w:rsidRPr="00720C35" w:rsidRDefault="00720C35" w:rsidP="00720C35"/>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720C35" w:rsidRPr="00720C35" w14:paraId="0740697C" w14:textId="77777777" w:rsidTr="00D93CEE">
        <w:trPr>
          <w:trHeight w:val="1593"/>
        </w:trPr>
        <w:tc>
          <w:tcPr>
            <w:tcW w:w="4508" w:type="dxa"/>
            <w:tcBorders>
              <w:bottom w:val="single" w:sz="4" w:space="0" w:color="auto"/>
            </w:tcBorders>
          </w:tcPr>
          <w:p w14:paraId="3903AC36" w14:textId="77777777" w:rsidR="00720C35" w:rsidRPr="00720C35" w:rsidRDefault="00720C35" w:rsidP="00720C35">
            <w:pPr>
              <w:rPr>
                <w:bCs/>
              </w:rPr>
            </w:pPr>
            <w:r w:rsidRPr="00720C35">
              <w:rPr>
                <w:bCs/>
              </w:rPr>
              <w:t>WASHINGTON UTILITIES AND TRANSPORTATION COMMISSION,</w:t>
            </w:r>
          </w:p>
          <w:p w14:paraId="5CF25973" w14:textId="77777777" w:rsidR="00720C35" w:rsidRPr="00720C35" w:rsidRDefault="00720C35" w:rsidP="00720C35">
            <w:pPr>
              <w:rPr>
                <w:bCs/>
              </w:rPr>
            </w:pPr>
          </w:p>
          <w:p w14:paraId="585E75B4" w14:textId="77777777" w:rsidR="00720C35" w:rsidRPr="00720C35" w:rsidRDefault="00720C35" w:rsidP="00720C35">
            <w:pPr>
              <w:rPr>
                <w:bCs/>
              </w:rPr>
            </w:pPr>
            <w:r w:rsidRPr="00720C35">
              <w:rPr>
                <w:bCs/>
              </w:rPr>
              <w:tab/>
              <w:t>Complainant,</w:t>
            </w:r>
          </w:p>
          <w:p w14:paraId="3AD66DEE" w14:textId="77777777" w:rsidR="00720C35" w:rsidRPr="00720C35" w:rsidRDefault="00720C35" w:rsidP="00720C35">
            <w:pPr>
              <w:rPr>
                <w:bCs/>
              </w:rPr>
            </w:pPr>
          </w:p>
          <w:p w14:paraId="4F4420BF" w14:textId="77777777" w:rsidR="00720C35" w:rsidRPr="00720C35" w:rsidRDefault="00720C35" w:rsidP="00720C35">
            <w:pPr>
              <w:rPr>
                <w:bCs/>
              </w:rPr>
            </w:pPr>
            <w:r w:rsidRPr="00720C35">
              <w:rPr>
                <w:bCs/>
              </w:rPr>
              <w:t>v.</w:t>
            </w:r>
          </w:p>
          <w:p w14:paraId="03A91EB3" w14:textId="77777777" w:rsidR="00720C35" w:rsidRPr="00720C35" w:rsidRDefault="00720C35" w:rsidP="00720C35">
            <w:pPr>
              <w:rPr>
                <w:bCs/>
              </w:rPr>
            </w:pPr>
          </w:p>
          <w:p w14:paraId="0A0B6E4E" w14:textId="77777777" w:rsidR="00720C35" w:rsidRPr="00720C35" w:rsidRDefault="00720C35" w:rsidP="00720C35">
            <w:pPr>
              <w:rPr>
                <w:bCs/>
              </w:rPr>
            </w:pPr>
            <w:r w:rsidRPr="00720C35">
              <w:rPr>
                <w:bCs/>
              </w:rPr>
              <w:t xml:space="preserve">PACIFICORP D/B/A PACIFIC POWER &amp; LIGHT COMPANY, </w:t>
            </w:r>
          </w:p>
          <w:p w14:paraId="73935F6E" w14:textId="77777777" w:rsidR="00720C35" w:rsidRPr="00720C35" w:rsidRDefault="00720C35" w:rsidP="00720C35">
            <w:pPr>
              <w:rPr>
                <w:bCs/>
              </w:rPr>
            </w:pPr>
          </w:p>
          <w:p w14:paraId="77C0E888" w14:textId="77777777" w:rsidR="00720C35" w:rsidRPr="00720C35" w:rsidRDefault="00720C35" w:rsidP="00720C35">
            <w:r w:rsidRPr="00720C35">
              <w:rPr>
                <w:bCs/>
              </w:rPr>
              <w:tab/>
              <w:t>Respondent.</w:t>
            </w:r>
          </w:p>
        </w:tc>
        <w:tc>
          <w:tcPr>
            <w:tcW w:w="310" w:type="dxa"/>
          </w:tcPr>
          <w:p w14:paraId="3EA5A710" w14:textId="77777777" w:rsidR="00720C35" w:rsidRPr="00720C35" w:rsidRDefault="00720C35" w:rsidP="00720C35">
            <w:r w:rsidRPr="00720C35">
              <w:t>)</w:t>
            </w:r>
          </w:p>
          <w:p w14:paraId="7406DBD0" w14:textId="77777777" w:rsidR="00720C35" w:rsidRPr="00720C35" w:rsidRDefault="00720C35" w:rsidP="00720C35">
            <w:r w:rsidRPr="00720C35">
              <w:t>)</w:t>
            </w:r>
          </w:p>
          <w:p w14:paraId="462BB3F2" w14:textId="77777777" w:rsidR="00720C35" w:rsidRPr="00720C35" w:rsidRDefault="00720C35" w:rsidP="00720C35">
            <w:r w:rsidRPr="00720C35">
              <w:t>)</w:t>
            </w:r>
          </w:p>
          <w:p w14:paraId="15A32EA6" w14:textId="77777777" w:rsidR="00720C35" w:rsidRPr="00720C35" w:rsidRDefault="00720C35" w:rsidP="00720C35">
            <w:r w:rsidRPr="00720C35">
              <w:t>)</w:t>
            </w:r>
          </w:p>
          <w:p w14:paraId="304140B7" w14:textId="77777777" w:rsidR="00720C35" w:rsidRPr="00720C35" w:rsidRDefault="00720C35" w:rsidP="00720C35">
            <w:r w:rsidRPr="00720C35">
              <w:t>)</w:t>
            </w:r>
          </w:p>
          <w:p w14:paraId="525C7EFA" w14:textId="77777777" w:rsidR="00720C35" w:rsidRPr="00720C35" w:rsidRDefault="00720C35" w:rsidP="00720C35">
            <w:r w:rsidRPr="00720C35">
              <w:t>)</w:t>
            </w:r>
          </w:p>
          <w:p w14:paraId="41801623" w14:textId="77777777" w:rsidR="00720C35" w:rsidRPr="00720C35" w:rsidRDefault="00720C35" w:rsidP="00720C35">
            <w:r w:rsidRPr="00720C35">
              <w:t>)</w:t>
            </w:r>
          </w:p>
          <w:p w14:paraId="69DE03F8" w14:textId="77777777" w:rsidR="00720C35" w:rsidRPr="00720C35" w:rsidRDefault="00720C35" w:rsidP="00720C35">
            <w:r w:rsidRPr="00720C35">
              <w:t>)</w:t>
            </w:r>
          </w:p>
          <w:p w14:paraId="054B3756" w14:textId="77777777" w:rsidR="00720C35" w:rsidRPr="00720C35" w:rsidRDefault="00720C35" w:rsidP="00720C35">
            <w:r w:rsidRPr="00720C35">
              <w:t>)</w:t>
            </w:r>
          </w:p>
          <w:p w14:paraId="3196837C" w14:textId="77777777" w:rsidR="00720C35" w:rsidRPr="00720C35" w:rsidRDefault="00720C35" w:rsidP="00720C35">
            <w:r w:rsidRPr="00720C35">
              <w:t>)</w:t>
            </w:r>
          </w:p>
          <w:p w14:paraId="763EEA16" w14:textId="77777777" w:rsidR="00720C35" w:rsidRPr="00720C35" w:rsidRDefault="00720C35" w:rsidP="00720C35">
            <w:r w:rsidRPr="00720C35">
              <w:t>)</w:t>
            </w:r>
          </w:p>
        </w:tc>
        <w:tc>
          <w:tcPr>
            <w:tcW w:w="4542" w:type="dxa"/>
          </w:tcPr>
          <w:p w14:paraId="66A7371D" w14:textId="77777777" w:rsidR="00720C35" w:rsidRPr="00720C35" w:rsidRDefault="00720C35" w:rsidP="00720C35">
            <w:pPr>
              <w:rPr>
                <w:b/>
              </w:rPr>
            </w:pPr>
            <w:bookmarkStart w:id="0" w:name="CaseNumber"/>
            <w:bookmarkEnd w:id="0"/>
            <w:r w:rsidRPr="00720C35">
              <w:rPr>
                <w:b/>
              </w:rPr>
              <w:t>DOCKET NO. UE-144160</w:t>
            </w:r>
          </w:p>
          <w:p w14:paraId="37FA4DBE" w14:textId="77777777" w:rsidR="00720C35" w:rsidRPr="00720C35" w:rsidRDefault="00720C35" w:rsidP="00720C35"/>
          <w:p w14:paraId="188555AE" w14:textId="77777777" w:rsidR="00720C35" w:rsidRPr="00720C35" w:rsidRDefault="00720C35" w:rsidP="00720C35">
            <w:pPr>
              <w:rPr>
                <w:b/>
              </w:rPr>
            </w:pPr>
          </w:p>
          <w:p w14:paraId="4E34BE04" w14:textId="77777777" w:rsidR="00720C35" w:rsidRPr="00720C35" w:rsidRDefault="00720C35" w:rsidP="00720C35">
            <w:pPr>
              <w:rPr>
                <w:b/>
              </w:rPr>
            </w:pPr>
          </w:p>
          <w:p w14:paraId="586A7612" w14:textId="77777777" w:rsidR="00720C35" w:rsidRPr="00720C35" w:rsidRDefault="00720C35" w:rsidP="00720C35">
            <w:pPr>
              <w:rPr>
                <w:b/>
              </w:rPr>
            </w:pPr>
            <w:r>
              <w:rPr>
                <w:b/>
              </w:rPr>
              <w:t>DECLARATION OF JOHN R. LOWE</w:t>
            </w:r>
            <w:r w:rsidRPr="00720C35">
              <w:rPr>
                <w:b/>
              </w:rPr>
              <w:t xml:space="preserve"> </w:t>
            </w:r>
          </w:p>
        </w:tc>
      </w:tr>
    </w:tbl>
    <w:p w14:paraId="4D1B5E76" w14:textId="77777777" w:rsidR="00BB4A55" w:rsidRDefault="00BB4A55"/>
    <w:p w14:paraId="2E03B959" w14:textId="77777777" w:rsidR="00720C35" w:rsidRDefault="00720C35">
      <w:r>
        <w:t>John R. Lowe declares:</w:t>
      </w:r>
    </w:p>
    <w:p w14:paraId="5FEA550F" w14:textId="77777777" w:rsidR="00720C35" w:rsidRDefault="00720C35"/>
    <w:p w14:paraId="3BCE1676" w14:textId="3CF22B4A" w:rsidR="00730774" w:rsidRPr="00730774" w:rsidRDefault="00730774" w:rsidP="00730774">
      <w:pPr>
        <w:pStyle w:val="ListParagraph"/>
        <w:numPr>
          <w:ilvl w:val="0"/>
          <w:numId w:val="1"/>
        </w:numPr>
        <w:spacing w:line="480" w:lineRule="auto"/>
        <w:ind w:left="0" w:firstLine="720"/>
        <w:rPr>
          <w:lang w:val="x-none"/>
        </w:rPr>
      </w:pPr>
      <w:r>
        <w:t xml:space="preserve">My name is John R. Lowe.   </w:t>
      </w:r>
      <w:r w:rsidRPr="00730774">
        <w:rPr>
          <w:lang w:val="x-none"/>
        </w:rPr>
        <w:t xml:space="preserve">I am the Executive Director of the Renewable </w:t>
      </w:r>
      <w:r w:rsidR="00F26A53">
        <w:rPr>
          <w:lang w:val="x-none"/>
        </w:rPr>
        <w:t>Energy Coalition (“REC</w:t>
      </w:r>
      <w:r w:rsidR="00802FCD">
        <w:rPr>
          <w:lang w:val="x-none"/>
        </w:rPr>
        <w:t>”).  My business address is 1205</w:t>
      </w:r>
      <w:r w:rsidRPr="00730774">
        <w:rPr>
          <w:lang w:val="x-none"/>
        </w:rPr>
        <w:t>0 SW Tremont Street, Portland, Oregon 97225.</w:t>
      </w:r>
    </w:p>
    <w:p w14:paraId="6C4089ED" w14:textId="77777777" w:rsidR="00720C35" w:rsidRDefault="00730774" w:rsidP="00730774">
      <w:pPr>
        <w:pStyle w:val="ListParagraph"/>
        <w:numPr>
          <w:ilvl w:val="0"/>
          <w:numId w:val="1"/>
        </w:numPr>
        <w:spacing w:line="480" w:lineRule="auto"/>
        <w:ind w:left="0" w:firstLine="720"/>
      </w:pPr>
      <w:r>
        <w:t>I am over the age of twenty-one, have personal knowledge of the facts set forth herein, and am competent to testify to those facts.</w:t>
      </w:r>
    </w:p>
    <w:p w14:paraId="02F839DE" w14:textId="317382D6" w:rsidR="00730774" w:rsidRDefault="00730774" w:rsidP="00730774">
      <w:pPr>
        <w:pStyle w:val="ListParagraph"/>
        <w:numPr>
          <w:ilvl w:val="0"/>
          <w:numId w:val="1"/>
        </w:numPr>
        <w:spacing w:line="480" w:lineRule="auto"/>
        <w:ind w:left="0" w:firstLine="720"/>
      </w:pPr>
      <w:r>
        <w:t xml:space="preserve"> The purpose of this declaration is to oppose Pacific P</w:t>
      </w:r>
      <w:r w:rsidR="0088139D">
        <w:t>ower &amp; Light Company’s</w:t>
      </w:r>
      <w:r w:rsidR="00E32F01">
        <w:t xml:space="preserve"> (“PacifiCorp</w:t>
      </w:r>
      <w:r>
        <w:t>”)</w:t>
      </w:r>
      <w:r w:rsidR="00E32F01">
        <w:rPr>
          <w:rStyle w:val="FootnoteReference"/>
        </w:rPr>
        <w:footnoteReference w:id="1"/>
      </w:r>
      <w:r>
        <w:t xml:space="preserve"> Schedule 37 avoided cost update that was filed in this proceeding on December 29, 2014.  </w:t>
      </w:r>
      <w:r w:rsidR="00F26A53">
        <w:t>REC</w:t>
      </w:r>
      <w:r w:rsidR="00D764D7">
        <w:t xml:space="preserve"> </w:t>
      </w:r>
      <w:r w:rsidR="00782303">
        <w:t>re</w:t>
      </w:r>
      <w:r w:rsidR="00D764D7">
        <w:t xml:space="preserve">commends that the </w:t>
      </w:r>
      <w:r w:rsidR="0088139D">
        <w:t>Washington Util</w:t>
      </w:r>
      <w:r w:rsidR="00745C1D">
        <w:t>i</w:t>
      </w:r>
      <w:r w:rsidR="0088139D">
        <w:t xml:space="preserve">ties and Transportation </w:t>
      </w:r>
      <w:r w:rsidR="00D764D7">
        <w:t xml:space="preserve">Commission </w:t>
      </w:r>
      <w:r w:rsidR="0088139D">
        <w:t xml:space="preserve">(the “Commission”) </w:t>
      </w:r>
      <w:r w:rsidR="00D764D7">
        <w:t xml:space="preserve">retain Schedule 37’s current rate design with a </w:t>
      </w:r>
      <w:r w:rsidR="00782303">
        <w:t>monthly kilowatt (“kW”) ca</w:t>
      </w:r>
      <w:r w:rsidR="00385B7F">
        <w:t>pacity payment, and</w:t>
      </w:r>
      <w:r w:rsidR="00D764D7">
        <w:t xml:space="preserve"> a</w:t>
      </w:r>
      <w:r w:rsidR="00385B7F">
        <w:t xml:space="preserve"> megawatt hour (“M</w:t>
      </w:r>
      <w:r w:rsidR="00782303">
        <w:t>Wh”) energy charge</w:t>
      </w:r>
      <w:r w:rsidR="00D764D7">
        <w:t>.  REC also recommends that the Commission increase the</w:t>
      </w:r>
      <w:r w:rsidR="00D764D7" w:rsidRPr="00D764D7">
        <w:t xml:space="preserve"> </w:t>
      </w:r>
      <w:r w:rsidR="00D764D7">
        <w:t>monthly kW</w:t>
      </w:r>
      <w:r w:rsidR="00D764D7" w:rsidRPr="00D764D7">
        <w:t xml:space="preserve"> </w:t>
      </w:r>
      <w:r w:rsidR="00D764D7" w:rsidRPr="00D764D7">
        <w:lastRenderedPageBreak/>
        <w:t>capacity payment, and</w:t>
      </w:r>
      <w:r w:rsidR="00D764D7">
        <w:t xml:space="preserve">/or </w:t>
      </w:r>
      <w:r w:rsidR="00D764D7" w:rsidRPr="00D764D7">
        <w:t>M</w:t>
      </w:r>
      <w:r w:rsidR="00D764D7">
        <w:t>Wh</w:t>
      </w:r>
      <w:r w:rsidR="00D764D7" w:rsidRPr="00D764D7">
        <w:t xml:space="preserve"> energy charge </w:t>
      </w:r>
      <w:r w:rsidR="00782303">
        <w:t>because th</w:t>
      </w:r>
      <w:r w:rsidR="00E32F01">
        <w:t>ey under</w:t>
      </w:r>
      <w:r w:rsidR="00802FCD">
        <w:t xml:space="preserve"> </w:t>
      </w:r>
      <w:r w:rsidR="00E32F01">
        <w:t>compensate Washington qualifying facilities (“QF”) for the capacity and energy they provide to PacifiCorp</w:t>
      </w:r>
      <w:r w:rsidR="00782303">
        <w:t>.</w:t>
      </w:r>
    </w:p>
    <w:p w14:paraId="24E0BDB3" w14:textId="7E518098" w:rsidR="00776F92" w:rsidRPr="00776F92" w:rsidRDefault="00776F92" w:rsidP="00776F92">
      <w:pPr>
        <w:spacing w:line="480" w:lineRule="auto"/>
        <w:rPr>
          <w:b/>
        </w:rPr>
      </w:pPr>
      <w:r>
        <w:tab/>
      </w:r>
      <w:r>
        <w:rPr>
          <w:b/>
        </w:rPr>
        <w:t>Background</w:t>
      </w:r>
    </w:p>
    <w:p w14:paraId="07D0BB5D" w14:textId="268F8982" w:rsidR="00730774" w:rsidRDefault="00730774" w:rsidP="00730774">
      <w:pPr>
        <w:pStyle w:val="ListParagraph"/>
        <w:numPr>
          <w:ilvl w:val="0"/>
          <w:numId w:val="1"/>
        </w:numPr>
        <w:spacing w:line="480" w:lineRule="auto"/>
        <w:ind w:left="0" w:firstLine="720"/>
      </w:pPr>
      <w:r>
        <w:t xml:space="preserve"> </w:t>
      </w:r>
      <w:r w:rsidR="00F26A53">
        <w:t>REC</w:t>
      </w:r>
      <w:r w:rsidR="00776F92" w:rsidRPr="00776F92">
        <w:t xml:space="preserve"> was established in 2009, and is comprised of </w:t>
      </w:r>
      <w:r w:rsidR="00745C1D">
        <w:t>over thirty members</w:t>
      </w:r>
      <w:r w:rsidR="00776F92" w:rsidRPr="00776F92">
        <w:t xml:space="preserve"> who own and operate nearly forty non-intermittent QFs in Oregon, Idaho, Was</w:t>
      </w:r>
      <w:r w:rsidR="00776F92">
        <w:t xml:space="preserve">hington, Utah, and Wyoming.  </w:t>
      </w:r>
      <w:r w:rsidR="00F26A53">
        <w:t>REC</w:t>
      </w:r>
      <w:r w:rsidR="00776F92" w:rsidRPr="00776F92">
        <w:t>’s members have po</w:t>
      </w:r>
      <w:r w:rsidR="00303A39">
        <w:t>wer purchase agreements</w:t>
      </w:r>
      <w:r w:rsidR="00776F92" w:rsidRPr="00776F92">
        <w:t xml:space="preserve"> with Northwest utilities, including </w:t>
      </w:r>
      <w:r w:rsidR="00E32F01">
        <w:t>PacifiCorp</w:t>
      </w:r>
      <w:r w:rsidR="00776F92" w:rsidRPr="00776F92">
        <w:t>.  Yakima-Tieton Irriga</w:t>
      </w:r>
      <w:r w:rsidR="00776F92">
        <w:t>tion District has been a Coalition</w:t>
      </w:r>
      <w:r w:rsidR="00776F92" w:rsidRPr="00776F92">
        <w:t xml:space="preserve"> member since 2011, and sells its power to </w:t>
      </w:r>
      <w:r w:rsidR="00E32F01">
        <w:t>PacifiCorp</w:t>
      </w:r>
      <w:r w:rsidR="00776F92" w:rsidRPr="00776F92">
        <w:t xml:space="preserve"> from two </w:t>
      </w:r>
      <w:r w:rsidR="00E32F01">
        <w:t xml:space="preserve">about </w:t>
      </w:r>
      <w:r w:rsidR="00A764DF">
        <w:t>1.5</w:t>
      </w:r>
      <w:r w:rsidR="006C6A83">
        <w:t xml:space="preserve"> MW</w:t>
      </w:r>
      <w:r w:rsidR="00F34803">
        <w:t xml:space="preserve"> </w:t>
      </w:r>
      <w:r w:rsidR="00776F92" w:rsidRPr="00776F92">
        <w:t xml:space="preserve">hydroelectric projects (the Orchard and Cowiche projects).  </w:t>
      </w:r>
      <w:r w:rsidR="00E32F01">
        <w:t>These</w:t>
      </w:r>
      <w:r w:rsidR="00782303">
        <w:t xml:space="preserve"> faciliti</w:t>
      </w:r>
      <w:r w:rsidR="00E32F01">
        <w:t>es have been operating since 1986</w:t>
      </w:r>
      <w:r w:rsidR="00A764DF">
        <w:t xml:space="preserve">, and have been a </w:t>
      </w:r>
      <w:r w:rsidR="00A764DF" w:rsidRPr="00A764DF">
        <w:t xml:space="preserve">consistent reliable source of generation </w:t>
      </w:r>
      <w:r w:rsidR="00DC6D25">
        <w:t>even in drought years due to their</w:t>
      </w:r>
      <w:r w:rsidR="00A764DF">
        <w:t xml:space="preserve"> senior water rights.  As an irrigation district, the power sales for these facilities are reinvested into the community, and providing significant benefits to the local economy.  </w:t>
      </w:r>
    </w:p>
    <w:p w14:paraId="3E6C577E" w14:textId="7DB82545" w:rsidR="00F34803" w:rsidRDefault="00730774" w:rsidP="00730774">
      <w:pPr>
        <w:pStyle w:val="ListParagraph"/>
        <w:numPr>
          <w:ilvl w:val="0"/>
          <w:numId w:val="1"/>
        </w:numPr>
        <w:spacing w:line="480" w:lineRule="auto"/>
        <w:ind w:left="0" w:firstLine="720"/>
      </w:pPr>
      <w:r>
        <w:t xml:space="preserve"> </w:t>
      </w:r>
      <w:r w:rsidR="00F26A53">
        <w:t>REC</w:t>
      </w:r>
      <w:r w:rsidR="00D93CEE">
        <w:t xml:space="preserve"> actively participates in utility rate proceedings and investigations in the Northwest regarding </w:t>
      </w:r>
      <w:r w:rsidR="00EF602D" w:rsidRPr="00EF602D">
        <w:t xml:space="preserve">power purchase </w:t>
      </w:r>
      <w:r w:rsidR="00EF602D">
        <w:t xml:space="preserve">agreement </w:t>
      </w:r>
      <w:r w:rsidR="00EF602D" w:rsidRPr="00EF602D">
        <w:t>terms and conditions including avoided cost prices</w:t>
      </w:r>
      <w:r w:rsidR="00D93CEE">
        <w:t xml:space="preserve">, integrated resource planning, interconnection, and other matters relevant to QFs and independent power producers.  </w:t>
      </w:r>
      <w:r w:rsidR="00F26A53">
        <w:t>REC</w:t>
      </w:r>
      <w:r w:rsidR="00D93CEE">
        <w:t xml:space="preserve"> also monitors and lobbies legislatures on energy policy matters.  In addition, </w:t>
      </w:r>
      <w:r w:rsidR="00F26A53">
        <w:t>REC</w:t>
      </w:r>
      <w:r w:rsidR="00D93CEE">
        <w:t xml:space="preserve"> provides consulting services to individual members on contractual, operational, interconnection, and other issues</w:t>
      </w:r>
      <w:r w:rsidR="00F34803">
        <w:t xml:space="preserve"> related to their electric generation facilities</w:t>
      </w:r>
      <w:r w:rsidR="00EF602D" w:rsidRPr="00EF602D">
        <w:rPr>
          <w:rFonts w:eastAsia="MS Mincho" w:cs="Times New Roman"/>
        </w:rPr>
        <w:t xml:space="preserve"> </w:t>
      </w:r>
      <w:r w:rsidR="00EF602D" w:rsidRPr="00EF602D">
        <w:t>and the interface with the purchasing utility</w:t>
      </w:r>
      <w:r w:rsidR="00D93CEE">
        <w:t>.</w:t>
      </w:r>
    </w:p>
    <w:p w14:paraId="1BE8BC2F" w14:textId="360F6044" w:rsidR="002675FA" w:rsidRDefault="00023B86" w:rsidP="00730774">
      <w:pPr>
        <w:pStyle w:val="ListParagraph"/>
        <w:numPr>
          <w:ilvl w:val="0"/>
          <w:numId w:val="1"/>
        </w:numPr>
        <w:spacing w:line="480" w:lineRule="auto"/>
        <w:ind w:left="0" w:firstLine="720"/>
      </w:pPr>
      <w:r w:rsidRPr="00023B86">
        <w:t xml:space="preserve">PacifiCorp has </w:t>
      </w:r>
      <w:r w:rsidR="00802FCD">
        <w:t xml:space="preserve">141 existing QFs representing 1,732 MW of installed capacity </w:t>
      </w:r>
      <w:r>
        <w:t xml:space="preserve">in all six of </w:t>
      </w:r>
      <w:r w:rsidR="00E32F01">
        <w:t xml:space="preserve">its </w:t>
      </w:r>
      <w:r>
        <w:t xml:space="preserve">state jurisdictions.  </w:t>
      </w:r>
    </w:p>
    <w:p w14:paraId="307C725D" w14:textId="462F5490" w:rsidR="00F22E18" w:rsidRDefault="00023B86" w:rsidP="00730774">
      <w:pPr>
        <w:pStyle w:val="ListParagraph"/>
        <w:numPr>
          <w:ilvl w:val="0"/>
          <w:numId w:val="1"/>
        </w:numPr>
        <w:spacing w:line="480" w:lineRule="auto"/>
        <w:ind w:left="0" w:firstLine="720"/>
      </w:pPr>
      <w:r>
        <w:t xml:space="preserve">In contrast, </w:t>
      </w:r>
      <w:r w:rsidR="00E32F01">
        <w:t>PacifiCorp</w:t>
      </w:r>
      <w:r w:rsidR="00F22E18" w:rsidRPr="00F22E18">
        <w:t xml:space="preserve"> currently has only three Washington QFs selling power to the company.  These are </w:t>
      </w:r>
      <w:r w:rsidR="00AE023E">
        <w:t xml:space="preserve">the </w:t>
      </w:r>
      <w:r w:rsidR="00F22E18" w:rsidRPr="00F22E18">
        <w:t xml:space="preserve">Yakima-Tieton Irrigation District’s Orchard and Cowiche projects, and Deruyter Dairy’s </w:t>
      </w:r>
      <w:r w:rsidR="00782303">
        <w:t>1.</w:t>
      </w:r>
      <w:r w:rsidR="00F22E18" w:rsidRPr="00F22E18">
        <w:t>2 M</w:t>
      </w:r>
      <w:r w:rsidR="00782303">
        <w:t xml:space="preserve">W methane facility.  </w:t>
      </w:r>
      <w:r w:rsidR="008C1B45">
        <w:t>The Deruy</w:t>
      </w:r>
      <w:r w:rsidR="00E32F01">
        <w:t xml:space="preserve">ter Dairy methane facility is the only Washington QF that has been built in and </w:t>
      </w:r>
      <w:r w:rsidR="00EF602D">
        <w:t xml:space="preserve">currently </w:t>
      </w:r>
      <w:r w:rsidR="00E32F01">
        <w:t>sellin</w:t>
      </w:r>
      <w:r w:rsidR="00802FCD">
        <w:t>g power to PacifiCorp since 1990</w:t>
      </w:r>
      <w:r w:rsidR="00E32F01">
        <w:t xml:space="preserve">.  </w:t>
      </w:r>
      <w:r w:rsidR="00802FCD">
        <w:t xml:space="preserve"> To my knowledge, t</w:t>
      </w:r>
      <w:r w:rsidR="00EF602D">
        <w:t>he only other</w:t>
      </w:r>
      <w:r w:rsidR="008C1B45">
        <w:t xml:space="preserve"> </w:t>
      </w:r>
      <w:r w:rsidR="00802FCD">
        <w:t>QF</w:t>
      </w:r>
      <w:r w:rsidR="00EF602D">
        <w:t xml:space="preserve"> </w:t>
      </w:r>
      <w:r w:rsidR="00EF602D" w:rsidRPr="00EF602D">
        <w:t>to ha</w:t>
      </w:r>
      <w:r w:rsidR="00802FCD">
        <w:t>ve sold to PacifiCorp since 1990</w:t>
      </w:r>
      <w:r w:rsidR="00EF602D" w:rsidRPr="00EF602D">
        <w:t xml:space="preserve"> in Washington was the City of Walla Walla.  The City has since decided to te</w:t>
      </w:r>
      <w:r w:rsidR="008C1B45">
        <w:t>rminate sales to PacifiCorp after</w:t>
      </w:r>
      <w:r w:rsidR="00EF602D" w:rsidRPr="00EF602D">
        <w:t xml:space="preserve"> the</w:t>
      </w:r>
      <w:r w:rsidR="00DC6D25">
        <w:t xml:space="preserve"> original</w:t>
      </w:r>
      <w:r w:rsidR="00EF602D">
        <w:t xml:space="preserve"> purchase power </w:t>
      </w:r>
      <w:r w:rsidR="00EF602D" w:rsidRPr="00EF602D">
        <w:t>agreement expired and the prices</w:t>
      </w:r>
      <w:r w:rsidR="00802FCD">
        <w:t xml:space="preserve"> dramatically</w:t>
      </w:r>
      <w:r w:rsidR="00EF602D" w:rsidRPr="00EF602D">
        <w:t xml:space="preserve"> dropped in accordance with recent Schedule 37 prices.  </w:t>
      </w:r>
      <w:r w:rsidR="00782303">
        <w:t xml:space="preserve">The total MWs of </w:t>
      </w:r>
      <w:r w:rsidR="00E32F01">
        <w:t xml:space="preserve">all three </w:t>
      </w:r>
      <w:r w:rsidR="00EF602D">
        <w:t xml:space="preserve">operating </w:t>
      </w:r>
      <w:r w:rsidR="00782303">
        <w:t xml:space="preserve">projects </w:t>
      </w:r>
      <w:r w:rsidR="00EF602D">
        <w:t xml:space="preserve">selling power to PacifiCorp in Washington </w:t>
      </w:r>
      <w:r w:rsidR="00782303">
        <w:t>is about</w:t>
      </w:r>
      <w:r w:rsidR="00E32F01">
        <w:t xml:space="preserve"> 4 MWs, which</w:t>
      </w:r>
      <w:r>
        <w:t xml:space="preserve"> represent</w:t>
      </w:r>
      <w:r w:rsidR="00745C1D">
        <w:t>s less than 0.</w:t>
      </w:r>
      <w:r>
        <w:t xml:space="preserve">3% of all PacifiCorp’s MWs of </w:t>
      </w:r>
      <w:r w:rsidR="00EF602D">
        <w:t xml:space="preserve">QF </w:t>
      </w:r>
      <w:r>
        <w:t>contracts.</w:t>
      </w:r>
    </w:p>
    <w:p w14:paraId="23AFB914" w14:textId="3B040811" w:rsidR="002675FA" w:rsidRPr="002675FA" w:rsidRDefault="00AE023E" w:rsidP="002675FA">
      <w:pPr>
        <w:pStyle w:val="ListParagraph"/>
        <w:numPr>
          <w:ilvl w:val="0"/>
          <w:numId w:val="1"/>
        </w:numPr>
        <w:spacing w:line="480" w:lineRule="auto"/>
        <w:ind w:left="0" w:firstLine="720"/>
      </w:pPr>
      <w:r>
        <w:t xml:space="preserve">In its other states, </w:t>
      </w:r>
      <w:r w:rsidR="0062003D">
        <w:t>PacifiCorp has</w:t>
      </w:r>
      <w:r w:rsidR="0062003D" w:rsidRPr="0062003D">
        <w:t xml:space="preserve"> 816 MW of </w:t>
      </w:r>
      <w:r w:rsidR="0062003D">
        <w:t xml:space="preserve">newly </w:t>
      </w:r>
      <w:r w:rsidR="0062003D" w:rsidRPr="0062003D">
        <w:t xml:space="preserve">executed wind and solar qualifying facility power purchase agreements from 36 projects having in-service dates by the end of 2016. </w:t>
      </w:r>
      <w:r w:rsidR="0062003D">
        <w:t xml:space="preserve"> PacifiCorp 2015 Integrated Resource Plan (“IRP”) at 4.  </w:t>
      </w:r>
      <w:r w:rsidR="00745C1D">
        <w:t>As of March 2015, PacifiCorp had</w:t>
      </w:r>
      <w:r w:rsidR="002675FA" w:rsidRPr="002675FA">
        <w:t xml:space="preserve"> about 89 requests for new QF contracts in its oth</w:t>
      </w:r>
      <w:r>
        <w:t xml:space="preserve">er </w:t>
      </w:r>
      <w:r w:rsidR="002675FA" w:rsidRPr="002675FA">
        <w:t xml:space="preserve">states, all but two of which are wind and solar.  </w:t>
      </w:r>
    </w:p>
    <w:p w14:paraId="7EC1E571" w14:textId="65DED57F" w:rsidR="00EF602D" w:rsidRDefault="00EF602D" w:rsidP="00EF602D">
      <w:pPr>
        <w:pStyle w:val="ListParagraph"/>
        <w:numPr>
          <w:ilvl w:val="0"/>
          <w:numId w:val="1"/>
        </w:numPr>
        <w:spacing w:line="480" w:lineRule="auto"/>
        <w:ind w:left="0" w:firstLine="720"/>
      </w:pPr>
      <w:r w:rsidRPr="002675FA">
        <w:t>In my experience</w:t>
      </w:r>
      <w:r>
        <w:t xml:space="preserve"> based upon 35-years plus of implementing the Public Utility Regulatory Policies Act (“PURPA”) in the Northwest</w:t>
      </w:r>
      <w:r w:rsidRPr="002675FA">
        <w:t>, it is</w:t>
      </w:r>
      <w:r>
        <w:t xml:space="preserve"> highly</w:t>
      </w:r>
      <w:r w:rsidRPr="002675FA">
        <w:t xml:space="preserve"> unlikely that all</w:t>
      </w:r>
      <w:r>
        <w:t xml:space="preserve"> requests for new contracts or</w:t>
      </w:r>
      <w:r w:rsidRPr="002675FA">
        <w:t xml:space="preserve"> </w:t>
      </w:r>
      <w:r>
        <w:t>even all</w:t>
      </w:r>
      <w:r w:rsidRPr="002675FA">
        <w:t xml:space="preserve"> QFs that sign contracts with the utility will result in a constructed QF that sells electricity to the utility.  In other words, many QFs request contracts or enter into contracts, but are unable to complete</w:t>
      </w:r>
      <w:r>
        <w:t xml:space="preserve"> financing and</w:t>
      </w:r>
      <w:r w:rsidRPr="002675FA">
        <w:t xml:space="preserve"> construction of their facility.  Regardless, the requests for contracts and</w:t>
      </w:r>
      <w:r>
        <w:t xml:space="preserve"> the number of </w:t>
      </w:r>
      <w:r w:rsidRPr="002675FA">
        <w:t xml:space="preserve">new contracts in PacifiCorp’s non-Washington service territory are significant.  </w:t>
      </w:r>
    </w:p>
    <w:p w14:paraId="0ABB5469" w14:textId="23A7BC07" w:rsidR="00F00716" w:rsidRDefault="00023B86" w:rsidP="00730774">
      <w:pPr>
        <w:pStyle w:val="ListParagraph"/>
        <w:numPr>
          <w:ilvl w:val="0"/>
          <w:numId w:val="1"/>
        </w:numPr>
        <w:spacing w:line="480" w:lineRule="auto"/>
        <w:ind w:left="0" w:firstLine="720"/>
      </w:pPr>
      <w:r>
        <w:t>PacifiCorp has zero newly executed QF power purchase agreements in Washington.</w:t>
      </w:r>
      <w:r w:rsidR="002675FA">
        <w:t xml:space="preserve">  </w:t>
      </w:r>
      <w:r w:rsidR="00E32F01">
        <w:t>PacifiCorp</w:t>
      </w:r>
      <w:r w:rsidR="00F22E18" w:rsidRPr="00F22E18">
        <w:t xml:space="preserve"> has</w:t>
      </w:r>
      <w:r w:rsidR="008C1B45">
        <w:t xml:space="preserve"> no interconnection or </w:t>
      </w:r>
      <w:r w:rsidR="00F22E18" w:rsidRPr="00F22E18">
        <w:t xml:space="preserve">power </w:t>
      </w:r>
      <w:r w:rsidR="008C1B45">
        <w:t xml:space="preserve">purchase </w:t>
      </w:r>
      <w:r w:rsidR="00F22E18" w:rsidRPr="00F22E18">
        <w:t>agreement requests from any QFs in Washington.</w:t>
      </w:r>
      <w:r w:rsidR="002675FA">
        <w:t xml:space="preserve">  It is</w:t>
      </w:r>
      <w:r w:rsidR="00F00716">
        <w:t xml:space="preserve"> significant that there are no requests for contracts or new contracts in Washin</w:t>
      </w:r>
      <w:r w:rsidR="00AE023E">
        <w:t>gton, especially given the requests and new contracts in other states.</w:t>
      </w:r>
      <w:r w:rsidR="002675FA">
        <w:t xml:space="preserve"> </w:t>
      </w:r>
    </w:p>
    <w:p w14:paraId="1C2E92A6" w14:textId="645D7098" w:rsidR="00FB6A20" w:rsidRDefault="00E77D19" w:rsidP="00730774">
      <w:pPr>
        <w:pStyle w:val="ListParagraph"/>
        <w:numPr>
          <w:ilvl w:val="0"/>
          <w:numId w:val="1"/>
        </w:numPr>
        <w:spacing w:line="480" w:lineRule="auto"/>
        <w:ind w:left="0" w:firstLine="720"/>
      </w:pPr>
      <w:r>
        <w:t>The</w:t>
      </w:r>
      <w:r w:rsidR="003A6507">
        <w:t xml:space="preserve"> numbers of </w:t>
      </w:r>
      <w:r w:rsidR="00E32F01">
        <w:t>PacifiCorp</w:t>
      </w:r>
      <w:r>
        <w:t>’s</w:t>
      </w:r>
      <w:r w:rsidR="00802FCD">
        <w:t xml:space="preserve"> Washington</w:t>
      </w:r>
      <w:r>
        <w:t xml:space="preserve"> </w:t>
      </w:r>
      <w:r w:rsidR="003A6507">
        <w:t xml:space="preserve">QFs and </w:t>
      </w:r>
      <w:r w:rsidR="00582B3A">
        <w:t xml:space="preserve">MWs </w:t>
      </w:r>
      <w:r w:rsidR="00802FCD">
        <w:t xml:space="preserve">has been and continues to be </w:t>
      </w:r>
      <w:r w:rsidR="00FB6A20">
        <w:t xml:space="preserve">significantly lower than </w:t>
      </w:r>
      <w:r w:rsidR="00E32F01">
        <w:t>PacifiCorp</w:t>
      </w:r>
      <w:r w:rsidR="00387D0E">
        <w:t>’s other</w:t>
      </w:r>
      <w:r w:rsidR="00FB6A20">
        <w:t xml:space="preserve"> states.</w:t>
      </w:r>
      <w:r w:rsidR="00387D0E">
        <w:t xml:space="preserve">  </w:t>
      </w:r>
      <w:r w:rsidR="00DF176B">
        <w:t xml:space="preserve">This indicates that </w:t>
      </w:r>
      <w:r w:rsidR="00E32F01">
        <w:t>PacifiCorp</w:t>
      </w:r>
      <w:r w:rsidR="00AE023E">
        <w:t xml:space="preserve">’s Washington </w:t>
      </w:r>
      <w:r w:rsidR="00DF176B">
        <w:t xml:space="preserve">implementation </w:t>
      </w:r>
      <w:r w:rsidR="00AE023E">
        <w:t xml:space="preserve">of the Public Utility Regulatory Policies Act </w:t>
      </w:r>
      <w:r w:rsidR="00DF176B">
        <w:t>has not been, and is currently not, favorable to the development of QFs.</w:t>
      </w:r>
      <w:r w:rsidR="00EF602D">
        <w:t xml:space="preserve">  </w:t>
      </w:r>
      <w:r w:rsidR="00EF602D" w:rsidRPr="00EF602D">
        <w:t>Favorable contract terms</w:t>
      </w:r>
      <w:r w:rsidR="00745C1D">
        <w:t>,</w:t>
      </w:r>
      <w:r w:rsidR="00EF602D" w:rsidRPr="00EF602D">
        <w:t xml:space="preserve"> including length of contract and prices</w:t>
      </w:r>
      <w:r w:rsidR="00745C1D">
        <w:t>,</w:t>
      </w:r>
      <w:r w:rsidR="00EF602D" w:rsidRPr="00EF602D">
        <w:t xml:space="preserve"> are necessary to encourage the development of QFs.</w:t>
      </w:r>
      <w:r w:rsidR="00745C1D">
        <w:t xml:space="preserve">  Washington has a </w:t>
      </w:r>
      <w:r w:rsidR="00A764DF">
        <w:t xml:space="preserve">number of </w:t>
      </w:r>
      <w:r w:rsidR="00745C1D">
        <w:t>significant untapped renewable energy resources that could be developed to benefit utility customers and the local economy with proper implementation of PURPA.</w:t>
      </w:r>
      <w:r w:rsidR="00A764DF">
        <w:t xml:space="preserve">  The need for expansion of the Washington</w:t>
      </w:r>
      <w:r w:rsidR="003C1157">
        <w:t xml:space="preserve"> renewable portfolio standard,</w:t>
      </w:r>
      <w:r w:rsidR="00A764DF">
        <w:t xml:space="preserve"> compliance with the Environmental Protection Agencies (“EPA”) Section 111(d) rules </w:t>
      </w:r>
      <w:r w:rsidR="003C1157">
        <w:t xml:space="preserve">or other regulator requirements </w:t>
      </w:r>
      <w:r w:rsidR="00A764DF">
        <w:t xml:space="preserve">could also be reduced with the development </w:t>
      </w:r>
      <w:r w:rsidR="00802FCD">
        <w:t xml:space="preserve">and retention </w:t>
      </w:r>
      <w:r w:rsidR="00A764DF">
        <w:t>of cost effective QFs.</w:t>
      </w:r>
    </w:p>
    <w:p w14:paraId="6DB09DBA" w14:textId="20B6AEF9" w:rsidR="00730774" w:rsidRDefault="00F34803" w:rsidP="00F34803">
      <w:pPr>
        <w:spacing w:line="480" w:lineRule="auto"/>
      </w:pPr>
      <w:r>
        <w:rPr>
          <w:b/>
        </w:rPr>
        <w:t>PacifiCorp Schedule 37</w:t>
      </w:r>
      <w:r w:rsidR="00D93CEE">
        <w:t xml:space="preserve">  </w:t>
      </w:r>
    </w:p>
    <w:p w14:paraId="6A882250" w14:textId="1E012F70" w:rsidR="001F2DB3" w:rsidRDefault="001F2DB3" w:rsidP="00730774">
      <w:pPr>
        <w:pStyle w:val="ListParagraph"/>
        <w:numPr>
          <w:ilvl w:val="0"/>
          <w:numId w:val="1"/>
        </w:numPr>
        <w:spacing w:line="480" w:lineRule="auto"/>
        <w:ind w:left="0" w:firstLine="720"/>
      </w:pPr>
      <w:r>
        <w:t xml:space="preserve"> </w:t>
      </w:r>
      <w:r w:rsidR="00E32F01">
        <w:t>PacifiCorp</w:t>
      </w:r>
      <w:r w:rsidR="00F34803">
        <w:t xml:space="preserve"> purchases power from QFs two MWs or smaller in Washington pursuant to its Schedule 37 Cogeneration and Small Power Production rate schedule.  QFs above 2 MWs must negotiate contracts with </w:t>
      </w:r>
      <w:r w:rsidR="00E32F01">
        <w:t>PacifiCorp</w:t>
      </w:r>
      <w:r w:rsidR="00F34803">
        <w:t>.</w:t>
      </w:r>
      <w:r w:rsidR="00D7012E">
        <w:t xml:space="preserve">  No QFs larger than</w:t>
      </w:r>
      <w:r w:rsidR="00F00716">
        <w:t xml:space="preserve"> 2 MWs have been built in Washington</w:t>
      </w:r>
      <w:r w:rsidR="00EF602D">
        <w:t xml:space="preserve"> and sold their power to PacifiCorp</w:t>
      </w:r>
      <w:r w:rsidR="00F00716">
        <w:t xml:space="preserve">.  All of </w:t>
      </w:r>
      <w:r w:rsidR="00E32F01">
        <w:t>PacifiCorp</w:t>
      </w:r>
      <w:r w:rsidR="00F00716">
        <w:t>’s other states have larger QFs</w:t>
      </w:r>
      <w:r w:rsidR="00385B7F">
        <w:t xml:space="preserve">, and </w:t>
      </w:r>
      <w:r w:rsidR="00AE023E">
        <w:t xml:space="preserve">every state but Washington has </w:t>
      </w:r>
      <w:r w:rsidR="00385B7F">
        <w:t xml:space="preserve">at least one QF 20 MWs or larger.  </w:t>
      </w:r>
      <w:r w:rsidR="00EF602D" w:rsidRPr="00EF602D">
        <w:t>Even the recently built</w:t>
      </w:r>
      <w:r w:rsidR="00D7012E">
        <w:t xml:space="preserve"> </w:t>
      </w:r>
      <w:r w:rsidR="00EF602D">
        <w:t>15 MW</w:t>
      </w:r>
      <w:r w:rsidR="00EF602D" w:rsidRPr="00EF602D">
        <w:t xml:space="preserve"> Tieton Dam project in PacifiCorp’s service territory </w:t>
      </w:r>
      <w:r w:rsidR="00EF602D">
        <w:t>northwest</w:t>
      </w:r>
      <w:r w:rsidR="00EF602D" w:rsidRPr="00EF602D">
        <w:t xml:space="preserve"> of Yakima had t</w:t>
      </w:r>
      <w:r w:rsidR="003C1157">
        <w:t>o sell its output out of state</w:t>
      </w:r>
      <w:r w:rsidR="00EF602D" w:rsidRPr="00EF602D">
        <w:t>.</w:t>
      </w:r>
      <w:r w:rsidR="00A764DF">
        <w:t xml:space="preserve">  The fact that PacifiCorp’s avoided cost rates and contract terms were less favorable than transmitting the power out of state is illustrative of the problems facing local energy developers in PacifiCorp’s Washington service territory.</w:t>
      </w:r>
    </w:p>
    <w:p w14:paraId="06B5DE3E" w14:textId="331F5ACB" w:rsidR="00F34803" w:rsidRDefault="001F2DB3" w:rsidP="00730774">
      <w:pPr>
        <w:pStyle w:val="ListParagraph"/>
        <w:numPr>
          <w:ilvl w:val="0"/>
          <w:numId w:val="1"/>
        </w:numPr>
        <w:spacing w:line="480" w:lineRule="auto"/>
        <w:ind w:left="0" w:firstLine="720"/>
      </w:pPr>
      <w:r>
        <w:t xml:space="preserve"> </w:t>
      </w:r>
      <w:r w:rsidR="00F34803">
        <w:t>Avoided cost rates under Schedule 37 include capacity and energy payments.  The capacity</w:t>
      </w:r>
      <w:r w:rsidR="00F34803" w:rsidRPr="00F34803">
        <w:t xml:space="preserve"> payment </w:t>
      </w:r>
      <w:r w:rsidR="00F34803">
        <w:t xml:space="preserve">is </w:t>
      </w:r>
      <w:r w:rsidR="00F34803" w:rsidRPr="00F34803">
        <w:t>based o</w:t>
      </w:r>
      <w:r w:rsidR="00385B7F">
        <w:t>n a fixed dollar per kW month</w:t>
      </w:r>
      <w:r w:rsidR="00F34803">
        <w:t xml:space="preserve"> rate.  Under the currently effective Schedule 37,</w:t>
      </w:r>
      <w:r w:rsidR="00F34803" w:rsidRPr="00F34803">
        <w:t xml:space="preserve"> the fixed </w:t>
      </w:r>
      <w:r w:rsidR="00385B7F" w:rsidRPr="00385B7F">
        <w:t xml:space="preserve">dollar per kW month </w:t>
      </w:r>
      <w:r w:rsidR="00F34803">
        <w:t xml:space="preserve">capacity </w:t>
      </w:r>
      <w:r w:rsidR="00F34803" w:rsidRPr="00F34803">
        <w:t xml:space="preserve">rates </w:t>
      </w:r>
      <w:r w:rsidR="00C21338">
        <w:t>for the five-</w:t>
      </w:r>
      <w:r w:rsidR="00F34803">
        <w:t>year period of 2015-2019 start at</w:t>
      </w:r>
      <w:r w:rsidR="00F34803" w:rsidRPr="00F34803">
        <w:t xml:space="preserve"> $2.49 and rise to $2.66.  </w:t>
      </w:r>
      <w:r w:rsidR="00F34803">
        <w:t>The energy pay</w:t>
      </w:r>
      <w:r w:rsidR="00F22E18">
        <w:t xml:space="preserve">ment is a </w:t>
      </w:r>
      <w:r w:rsidR="00385B7F">
        <w:t xml:space="preserve">fixed </w:t>
      </w:r>
      <w:r w:rsidR="00F22E18">
        <w:t xml:space="preserve">dollar per MW hour </w:t>
      </w:r>
      <w:r w:rsidR="00F34803">
        <w:t>rate.  Under the currently effective</w:t>
      </w:r>
      <w:r w:rsidR="00F34803" w:rsidRPr="00F34803">
        <w:t xml:space="preserve"> Schedule 37, the</w:t>
      </w:r>
      <w:r w:rsidR="00F22E18">
        <w:t xml:space="preserve"> fixed </w:t>
      </w:r>
      <w:r w:rsidR="00385B7F">
        <w:t>dollar per MW hour</w:t>
      </w:r>
      <w:r w:rsidR="002675FA">
        <w:t xml:space="preserve"> energy rates for the five-</w:t>
      </w:r>
      <w:r w:rsidR="00F34803">
        <w:t>year period of 2015-2019 start</w:t>
      </w:r>
      <w:r w:rsidR="00F34803" w:rsidRPr="00F34803">
        <w:t xml:space="preserve"> at $31.92 and </w:t>
      </w:r>
      <w:r w:rsidR="00F34803">
        <w:t>rise</w:t>
      </w:r>
      <w:r w:rsidR="00F34803" w:rsidRPr="00F34803">
        <w:t xml:space="preserve"> to $40.22.</w:t>
      </w:r>
    </w:p>
    <w:p w14:paraId="4D955334" w14:textId="156F8570" w:rsidR="00F22E18" w:rsidRDefault="00F34803" w:rsidP="00730774">
      <w:pPr>
        <w:pStyle w:val="ListParagraph"/>
        <w:numPr>
          <w:ilvl w:val="0"/>
          <w:numId w:val="1"/>
        </w:numPr>
        <w:spacing w:line="480" w:lineRule="auto"/>
        <w:ind w:left="0" w:firstLine="720"/>
      </w:pPr>
      <w:r>
        <w:t>Fixed</w:t>
      </w:r>
      <w:r w:rsidR="00E85B94">
        <w:t xml:space="preserve"> energy and capacity</w:t>
      </w:r>
      <w:r>
        <w:t xml:space="preserve"> rates are only available to QFs for the first five years of any contract.  </w:t>
      </w:r>
    </w:p>
    <w:p w14:paraId="42D2D6BE" w14:textId="1DEFBC51" w:rsidR="0062003D" w:rsidRDefault="0062003D" w:rsidP="00730774">
      <w:pPr>
        <w:pStyle w:val="ListParagraph"/>
        <w:numPr>
          <w:ilvl w:val="0"/>
          <w:numId w:val="1"/>
        </w:numPr>
        <w:spacing w:line="480" w:lineRule="auto"/>
        <w:ind w:left="0" w:firstLine="720"/>
      </w:pPr>
      <w:r>
        <w:t xml:space="preserve">PacifiCorp’s avoided cost rates in Schedule 37 are significantly lower than the avoided cost rates for Puget Sound Energy </w:t>
      </w:r>
      <w:r w:rsidR="002675FA">
        <w:t xml:space="preserve">(“PSE”) </w:t>
      </w:r>
      <w:r>
        <w:t xml:space="preserve">and Avista.  </w:t>
      </w:r>
      <w:r w:rsidR="00802FCD" w:rsidRPr="00802FCD">
        <w:t>Also, PacifiCorp files Schedule 37 in all other states except California</w:t>
      </w:r>
      <w:r w:rsidR="00802FCD">
        <w:t>,</w:t>
      </w:r>
      <w:r w:rsidR="00802FCD" w:rsidRPr="00802FCD">
        <w:t xml:space="preserve"> and the rates and/or terms are more favorable in all of those states compared to Washington. </w:t>
      </w:r>
      <w:r w:rsidR="00802FCD">
        <w:t xml:space="preserve"> </w:t>
      </w:r>
      <w:r w:rsidR="00802FCD" w:rsidRPr="00802FCD">
        <w:t>This indicates that PacifiCorp’s avoided cost rates and/or terms need improvement rather than further degradation in the form of eliminating capacity payments</w:t>
      </w:r>
    </w:p>
    <w:p w14:paraId="23B419C4" w14:textId="71BB259D" w:rsidR="00F34803" w:rsidRPr="00F34803" w:rsidRDefault="00E32F01" w:rsidP="00F34803">
      <w:pPr>
        <w:spacing w:line="480" w:lineRule="auto"/>
        <w:rPr>
          <w:b/>
        </w:rPr>
      </w:pPr>
      <w:r>
        <w:rPr>
          <w:b/>
        </w:rPr>
        <w:t>PacifiCorp</w:t>
      </w:r>
      <w:r w:rsidR="00F22E18">
        <w:rPr>
          <w:b/>
        </w:rPr>
        <w:t>’s Proposed Revision to Schedule 37 Avoided Cost Rates</w:t>
      </w:r>
    </w:p>
    <w:p w14:paraId="413225ED" w14:textId="7033C11E" w:rsidR="001F2DB3" w:rsidRDefault="00E32F01" w:rsidP="00730774">
      <w:pPr>
        <w:pStyle w:val="ListParagraph"/>
        <w:numPr>
          <w:ilvl w:val="0"/>
          <w:numId w:val="1"/>
        </w:numPr>
        <w:spacing w:line="480" w:lineRule="auto"/>
        <w:ind w:left="0" w:firstLine="720"/>
      </w:pPr>
      <w:r>
        <w:t>PacifiCorp</w:t>
      </w:r>
      <w:r w:rsidR="00F22E18">
        <w:t xml:space="preserve"> has proposed to eliminate the dolla</w:t>
      </w:r>
      <w:r w:rsidR="00385B7F">
        <w:t xml:space="preserve">r per kW </w:t>
      </w:r>
      <w:r w:rsidR="00F22E18">
        <w:t>month capacity rate.</w:t>
      </w:r>
    </w:p>
    <w:p w14:paraId="77F6393D" w14:textId="6686E382" w:rsidR="001F2DB3" w:rsidRDefault="00E32F01" w:rsidP="00730774">
      <w:pPr>
        <w:pStyle w:val="ListParagraph"/>
        <w:numPr>
          <w:ilvl w:val="0"/>
          <w:numId w:val="1"/>
        </w:numPr>
        <w:spacing w:line="480" w:lineRule="auto"/>
        <w:ind w:left="0" w:firstLine="720"/>
      </w:pPr>
      <w:r>
        <w:t>PacifiCorp</w:t>
      </w:r>
      <w:r w:rsidR="006E2CD3">
        <w:t xml:space="preserve"> supports its proposal because its 2013 in</w:t>
      </w:r>
      <w:r w:rsidR="00802FCD">
        <w:t>tegrated resource plan (“IRP”) U</w:t>
      </w:r>
      <w:r w:rsidR="006E2CD3">
        <w:t>pdate indicates that its next major thermal resource will be acquired in 2027.</w:t>
      </w:r>
      <w:r w:rsidR="00F22E18">
        <w:t xml:space="preserve"> </w:t>
      </w:r>
      <w:r w:rsidR="00385B7F">
        <w:t xml:space="preserve"> </w:t>
      </w:r>
      <w:r>
        <w:t>PacifiCorp</w:t>
      </w:r>
      <w:r w:rsidR="00C47C77">
        <w:t xml:space="preserve"> claims that QFs will not </w:t>
      </w:r>
      <w:r w:rsidR="0033297A">
        <w:t xml:space="preserve">cause the company to </w:t>
      </w:r>
      <w:r w:rsidR="00C47C77">
        <w:t>avoid capacity costs be</w:t>
      </w:r>
      <w:r w:rsidR="00542E0A">
        <w:t>cause the company may</w:t>
      </w:r>
      <w:r w:rsidR="00C47C77">
        <w:t xml:space="preserve"> not need to acquire a new thermal resource until 2027.</w:t>
      </w:r>
    </w:p>
    <w:p w14:paraId="3A55DD00" w14:textId="335DA0BD" w:rsidR="001F2DB3" w:rsidRDefault="00BD23E8" w:rsidP="00730774">
      <w:pPr>
        <w:pStyle w:val="ListParagraph"/>
        <w:numPr>
          <w:ilvl w:val="0"/>
          <w:numId w:val="1"/>
        </w:numPr>
        <w:spacing w:line="480" w:lineRule="auto"/>
        <w:ind w:left="0" w:firstLine="720"/>
      </w:pPr>
      <w:r>
        <w:t xml:space="preserve">Prior to 2027, </w:t>
      </w:r>
      <w:r w:rsidR="00E32F01">
        <w:t>PacifiCorp</w:t>
      </w:r>
      <w:r>
        <w:t xml:space="preserve"> </w:t>
      </w:r>
      <w:r w:rsidR="00BE53FF">
        <w:t xml:space="preserve">has a significant energy and capacity resource need.  </w:t>
      </w:r>
      <w:r w:rsidR="001A6BD6">
        <w:t xml:space="preserve">In this proceeding, </w:t>
      </w:r>
      <w:r w:rsidR="00E32F01">
        <w:t>PacifiCorp</w:t>
      </w:r>
      <w:r w:rsidR="00BE53FF">
        <w:t xml:space="preserve"> </w:t>
      </w:r>
      <w:r>
        <w:t xml:space="preserve">states that it will rely upon </w:t>
      </w:r>
      <w:r w:rsidR="00685C42">
        <w:t xml:space="preserve">market purchases, or front office transactions for </w:t>
      </w:r>
      <w:r w:rsidR="00BE53FF">
        <w:t xml:space="preserve">both </w:t>
      </w:r>
      <w:r w:rsidR="00685C42">
        <w:t xml:space="preserve">its </w:t>
      </w:r>
      <w:r w:rsidR="00BE53FF">
        <w:t xml:space="preserve">energy and </w:t>
      </w:r>
      <w:r w:rsidR="00685C42">
        <w:t xml:space="preserve">capacity needs.  </w:t>
      </w:r>
      <w:r w:rsidR="00E32F01">
        <w:t>PacifiCorp</w:t>
      </w:r>
      <w:r w:rsidR="00685C42">
        <w:t xml:space="preserve"> proposes that Schedule 37 only include the company’</w:t>
      </w:r>
      <w:r w:rsidR="00BE53FF">
        <w:t>s estimates of the market purchase prices</w:t>
      </w:r>
      <w:r w:rsidR="00685C42">
        <w:t>.  The value of these market purchase</w:t>
      </w:r>
      <w:r w:rsidR="00BE53FF">
        <w:t>s would</w:t>
      </w:r>
      <w:r w:rsidR="00685C42">
        <w:t xml:space="preserve"> be estimated using </w:t>
      </w:r>
      <w:r w:rsidR="00E32F01">
        <w:t>PacifiCorp</w:t>
      </w:r>
      <w:r w:rsidR="00685C42">
        <w:t>’s Generation and Regulation Initiative Decision computer model.</w:t>
      </w:r>
    </w:p>
    <w:p w14:paraId="5601177D" w14:textId="61B1BF7E" w:rsidR="00685C42" w:rsidRDefault="00E32F01" w:rsidP="00730774">
      <w:pPr>
        <w:pStyle w:val="ListParagraph"/>
        <w:numPr>
          <w:ilvl w:val="0"/>
          <w:numId w:val="1"/>
        </w:numPr>
        <w:spacing w:line="480" w:lineRule="auto"/>
        <w:ind w:left="0" w:firstLine="720"/>
      </w:pPr>
      <w:r>
        <w:t>PacifiCorp</w:t>
      </w:r>
      <w:r w:rsidR="00685C42">
        <w:t xml:space="preserve"> has proposed an alternative rate design.  </w:t>
      </w:r>
      <w:r>
        <w:t>PacifiCorp</w:t>
      </w:r>
      <w:r w:rsidR="00685C42">
        <w:t xml:space="preserve"> proposes to differentiate the </w:t>
      </w:r>
      <w:r w:rsidR="00385B7F">
        <w:t xml:space="preserve">fixed </w:t>
      </w:r>
      <w:r w:rsidR="00685C42">
        <w:t>dollar per MWh energy rate into a heavy load hour and a light load hour rate.</w:t>
      </w:r>
      <w:r w:rsidR="00EF602D">
        <w:t xml:space="preserve">  </w:t>
      </w:r>
      <w:r w:rsidR="00EF602D" w:rsidRPr="00EF602D">
        <w:t>This does not change the effective value of sales from consistent 24-7 producer like Yakima-Tieton’s irrigation system hydro projects</w:t>
      </w:r>
      <w:r w:rsidR="0033297A">
        <w:t>, but could change the compensation paid to wind and solar projects</w:t>
      </w:r>
      <w:r w:rsidR="00EF602D" w:rsidRPr="00EF602D">
        <w:t>.</w:t>
      </w:r>
    </w:p>
    <w:p w14:paraId="52A31B75" w14:textId="2747C476" w:rsidR="00A6452F" w:rsidRPr="00A6452F" w:rsidRDefault="00A6452F" w:rsidP="00A6452F">
      <w:pPr>
        <w:spacing w:line="480" w:lineRule="auto"/>
        <w:rPr>
          <w:b/>
        </w:rPr>
      </w:pPr>
      <w:r w:rsidRPr="00A6452F">
        <w:rPr>
          <w:b/>
        </w:rPr>
        <w:t>Renewable Energy Coalition Proposed Schedule 37 Avoided Cost Rates</w:t>
      </w:r>
    </w:p>
    <w:p w14:paraId="3102ED37" w14:textId="51B3984D" w:rsidR="00A22DB0" w:rsidRDefault="00A22DB0" w:rsidP="00730774">
      <w:pPr>
        <w:pStyle w:val="ListParagraph"/>
        <w:numPr>
          <w:ilvl w:val="0"/>
          <w:numId w:val="1"/>
        </w:numPr>
        <w:spacing w:line="480" w:lineRule="auto"/>
        <w:ind w:left="0" w:firstLine="720"/>
      </w:pPr>
      <w:r>
        <w:t xml:space="preserve"> </w:t>
      </w:r>
      <w:r w:rsidR="00767B00" w:rsidRPr="00767B00">
        <w:t>REC recommends that the kW month capacity rate should at a minimum be retained because QFs are providing the company with capacity.  REC further recommends that the: 1) the dollar per kW month capacity rate be increased to better reflect the capacity resources the company plans to acquire; and/or 2) the dollar per kWh energy rate be increased because it does not accurately reflect expected energy costs.</w:t>
      </w:r>
    </w:p>
    <w:p w14:paraId="00C613E7" w14:textId="77777777" w:rsidR="006E7270" w:rsidRDefault="00BB7C78" w:rsidP="00BB7C78">
      <w:pPr>
        <w:spacing w:line="480" w:lineRule="auto"/>
        <w:rPr>
          <w:b/>
        </w:rPr>
        <w:sectPr w:rsidR="006E7270" w:rsidSect="00BB4A55">
          <w:footerReference w:type="default" r:id="rId8"/>
          <w:pgSz w:w="12240" w:h="15840"/>
          <w:pgMar w:top="1440" w:right="1800" w:bottom="1440" w:left="1800" w:header="720" w:footer="720" w:gutter="0"/>
          <w:cols w:space="720"/>
        </w:sectPr>
      </w:pPr>
      <w:r>
        <w:rPr>
          <w:b/>
        </w:rPr>
        <w:tab/>
      </w:r>
    </w:p>
    <w:p w14:paraId="6BC1B38A" w14:textId="49F63F70" w:rsidR="00BB7C78" w:rsidRPr="00BB7C78" w:rsidRDefault="006E7270" w:rsidP="00BB7C78">
      <w:pPr>
        <w:spacing w:line="480" w:lineRule="auto"/>
        <w:rPr>
          <w:b/>
        </w:rPr>
      </w:pPr>
      <w:r>
        <w:rPr>
          <w:b/>
        </w:rPr>
        <w:tab/>
      </w:r>
      <w:r w:rsidR="00BB7C78">
        <w:rPr>
          <w:b/>
        </w:rPr>
        <w:t>A.</w:t>
      </w:r>
      <w:r w:rsidR="00BB7C78">
        <w:rPr>
          <w:b/>
        </w:rPr>
        <w:tab/>
        <w:t>The Commission Should Retain a kW Month Capacity Rate</w:t>
      </w:r>
    </w:p>
    <w:p w14:paraId="5455FD98" w14:textId="71F5C666" w:rsidR="005E3F07" w:rsidRDefault="009511FE" w:rsidP="00730774">
      <w:pPr>
        <w:pStyle w:val="ListParagraph"/>
        <w:numPr>
          <w:ilvl w:val="0"/>
          <w:numId w:val="1"/>
        </w:numPr>
        <w:spacing w:line="480" w:lineRule="auto"/>
        <w:ind w:left="0" w:firstLine="720"/>
      </w:pPr>
      <w:r>
        <w:t>PacifiCorp</w:t>
      </w:r>
      <w:r w:rsidR="00C25213">
        <w:t xml:space="preserve"> </w:t>
      </w:r>
      <w:r w:rsidR="00181EC8">
        <w:t>needs both energy and capacity</w:t>
      </w:r>
      <w:r w:rsidR="00F67155">
        <w:t xml:space="preserve"> that can be avoided by QF purchases</w:t>
      </w:r>
      <w:r w:rsidR="00181EC8">
        <w:t xml:space="preserve">.  </w:t>
      </w:r>
      <w:r w:rsidR="003E7D1A">
        <w:t xml:space="preserve">In its 2015 IRP, </w:t>
      </w:r>
      <w:r w:rsidR="00965311">
        <w:t>PacifiCorp plans to meet its energy and</w:t>
      </w:r>
      <w:r w:rsidR="00542E0A">
        <w:t xml:space="preserve"> capacity needs over its twenty-</w:t>
      </w:r>
      <w:r w:rsidR="00965311">
        <w:t>year planning horizon with short-term market purchases, demand side management, coal plant conversions, and almost 3,000 MWs of new natural gas facilities.  PacifiCorp is also planning on significant investments in its existing coal fleet to maintain its existing</w:t>
      </w:r>
      <w:r w:rsidR="00542E0A">
        <w:t xml:space="preserve"> energy </w:t>
      </w:r>
      <w:r w:rsidR="009C6C34">
        <w:t xml:space="preserve">and capacity resources that </w:t>
      </w:r>
      <w:r w:rsidR="00F709E5">
        <w:t>will be made</w:t>
      </w:r>
      <w:r w:rsidR="00542E0A">
        <w:t xml:space="preserve"> before the acquisition of its next thermal resource.  </w:t>
      </w:r>
      <w:r w:rsidR="00485A2D">
        <w:t>QFs</w:t>
      </w:r>
      <w:r>
        <w:t xml:space="preserve"> that sell power to </w:t>
      </w:r>
      <w:r w:rsidR="00E32F01">
        <w:t>PacifiCorp</w:t>
      </w:r>
      <w:r w:rsidR="003E7D1A">
        <w:t xml:space="preserve"> </w:t>
      </w:r>
      <w:r>
        <w:t>will help the company avoid its need for these energy and capacity resources</w:t>
      </w:r>
      <w:r w:rsidR="00675BDA">
        <w:t xml:space="preserve">, including coal plant investments and new gas generation facilities. </w:t>
      </w:r>
    </w:p>
    <w:p w14:paraId="29044E31" w14:textId="7FF1665C" w:rsidR="000E4C1C" w:rsidRDefault="000E4C1C" w:rsidP="00730774">
      <w:pPr>
        <w:pStyle w:val="ListParagraph"/>
        <w:numPr>
          <w:ilvl w:val="0"/>
          <w:numId w:val="1"/>
        </w:numPr>
        <w:spacing w:line="480" w:lineRule="auto"/>
        <w:ind w:left="0" w:firstLine="720"/>
      </w:pPr>
      <w:r w:rsidRPr="000E4C1C">
        <w:t xml:space="preserve">PacifiCorp’s IRP plans on acquiring a new combined cycle combustion turbine in 2027 </w:t>
      </w:r>
      <w:r w:rsidR="00EF602D">
        <w:t xml:space="preserve">or 2028 (2013 IRP Update and </w:t>
      </w:r>
      <w:r w:rsidRPr="000E4C1C">
        <w:t>2015 IRP).</w:t>
      </w:r>
      <w:r w:rsidR="00306E60">
        <w:t xml:space="preserve"> </w:t>
      </w:r>
      <w:r w:rsidRPr="000E4C1C">
        <w:t xml:space="preserve"> </w:t>
      </w:r>
      <w:r w:rsidR="00E32F01">
        <w:t>PacifiCorp</w:t>
      </w:r>
      <w:r w:rsidRPr="000E4C1C">
        <w:t xml:space="preserve">’s planned resource acquisitions have historically been inaccurate, especially during the longer-term.  For example, in 2008 PacifiCorp did not </w:t>
      </w:r>
      <w:r w:rsidR="00306E60">
        <w:t>“</w:t>
      </w:r>
      <w:r w:rsidRPr="000E4C1C">
        <w:t>plan</w:t>
      </w:r>
      <w:r w:rsidR="00306E60">
        <w:t>”</w:t>
      </w:r>
      <w:r w:rsidRPr="000E4C1C">
        <w:t xml:space="preserve"> on acquiring a new thermal resource until 2012.  However, PacifiCorp acquired the 520 MW Chehalis plant in 2008.  </w:t>
      </w:r>
      <w:r w:rsidR="00E32F01">
        <w:t>PacifiCorp</w:t>
      </w:r>
      <w:r w:rsidRPr="000E4C1C">
        <w:t xml:space="preserve">’s resource needs identified in its current IRPs may be even more inaccurate.  </w:t>
      </w:r>
      <w:r w:rsidR="00465A8A">
        <w:t>PacifiCorp’s actual resource acquisitions could significant change if its IRP assumptions prove inaccurate, including</w:t>
      </w:r>
      <w:r w:rsidR="009A1B09">
        <w:t xml:space="preserve"> but not limited to</w:t>
      </w:r>
      <w:r w:rsidR="00465A8A">
        <w:t>: 1) c</w:t>
      </w:r>
      <w:r w:rsidR="00A764DF">
        <w:t>hanges in Washington’s RPS</w:t>
      </w:r>
      <w:r w:rsidR="00465A8A">
        <w:t xml:space="preserve">; 2) </w:t>
      </w:r>
      <w:r w:rsidRPr="000E4C1C">
        <w:t>PacifiCorp joining the California Ind</w:t>
      </w:r>
      <w:r w:rsidR="00465A8A">
        <w:t xml:space="preserve">ependent System Operator; 3) the adoption of a federal RPS; 4) adoption of a state or federal carbon tax; 5) </w:t>
      </w:r>
      <w:r w:rsidRPr="000E4C1C">
        <w:t>the</w:t>
      </w:r>
      <w:r w:rsidR="00465A8A">
        <w:t xml:space="preserve"> adoption of</w:t>
      </w:r>
      <w:r w:rsidRPr="000E4C1C">
        <w:t xml:space="preserve"> </w:t>
      </w:r>
      <w:r w:rsidR="00A764DF">
        <w:t>EPA’s</w:t>
      </w:r>
      <w:r w:rsidR="00047385">
        <w:t xml:space="preserve"> Section 111(d) rules; 6</w:t>
      </w:r>
      <w:r w:rsidR="00465A8A">
        <w:t xml:space="preserve">) closure of part or all of the Colstrip or other coal generation facilities; 7) the inability to capture the high </w:t>
      </w:r>
      <w:r w:rsidR="00EF602D">
        <w:t>l</w:t>
      </w:r>
      <w:r w:rsidR="00465A8A">
        <w:t>evels of demand side management;</w:t>
      </w:r>
      <w:r w:rsidR="00EF602D">
        <w:t xml:space="preserve"> and </w:t>
      </w:r>
      <w:r w:rsidR="00465A8A">
        <w:t xml:space="preserve">8) the lack of </w:t>
      </w:r>
      <w:r w:rsidR="00EF602D">
        <w:t xml:space="preserve">availability of power in the </w:t>
      </w:r>
      <w:r w:rsidR="00EF602D" w:rsidRPr="00EF602D">
        <w:t>wholes</w:t>
      </w:r>
      <w:r w:rsidR="00EF602D">
        <w:t>ale market.</w:t>
      </w:r>
      <w:r w:rsidR="00465A8A">
        <w:t xml:space="preserve"> </w:t>
      </w:r>
      <w:r w:rsidR="00EF602D">
        <w:t xml:space="preserve"> </w:t>
      </w:r>
      <w:r w:rsidRPr="000E4C1C">
        <w:t>All of these policies could result in a reduction in coal generation, and an</w:t>
      </w:r>
      <w:r w:rsidR="009C6C34">
        <w:t xml:space="preserve"> increase in renewables,</w:t>
      </w:r>
      <w:r w:rsidRPr="000E4C1C">
        <w:t xml:space="preserve"> base</w:t>
      </w:r>
      <w:r w:rsidR="00306E60">
        <w:t xml:space="preserve">load </w:t>
      </w:r>
      <w:r w:rsidR="009C6C34">
        <w:t xml:space="preserve">gas, </w:t>
      </w:r>
      <w:r w:rsidR="00306E60">
        <w:t>and peaking gas generation well before 2027.</w:t>
      </w:r>
    </w:p>
    <w:p w14:paraId="51830A58" w14:textId="5FD2F01B" w:rsidR="002E496C" w:rsidRDefault="003E7D1A" w:rsidP="002E496C">
      <w:pPr>
        <w:pStyle w:val="ListParagraph"/>
        <w:numPr>
          <w:ilvl w:val="0"/>
          <w:numId w:val="1"/>
        </w:numPr>
        <w:spacing w:line="480" w:lineRule="auto"/>
        <w:ind w:left="0" w:firstLine="720"/>
      </w:pPr>
      <w:r>
        <w:t xml:space="preserve">In the past, </w:t>
      </w:r>
      <w:r w:rsidR="00E32F01">
        <w:t>PacifiCorp</w:t>
      </w:r>
      <w:r>
        <w:t xml:space="preserve">’s </w:t>
      </w:r>
      <w:r w:rsidR="00FA3E7B">
        <w:t>IRPs planned to acquire a new thermal</w:t>
      </w:r>
      <w:r w:rsidR="00E02B31">
        <w:t xml:space="preserve"> resource in</w:t>
      </w:r>
      <w:r>
        <w:t xml:space="preserve"> about</w:t>
      </w:r>
      <w:r w:rsidR="00E02B31">
        <w:t xml:space="preserve"> four or five years.  </w:t>
      </w:r>
      <w:r w:rsidR="00442165">
        <w:t>As each subsequent IRP was released, the</w:t>
      </w:r>
      <w:r w:rsidR="00802FCD">
        <w:t xml:space="preserve"> four to five year time period remained constant, but the actual</w:t>
      </w:r>
      <w:r w:rsidR="00442165">
        <w:t xml:space="preserve"> date for the company’s planned</w:t>
      </w:r>
      <w:r w:rsidR="00306E60">
        <w:t xml:space="preserve"> thermal</w:t>
      </w:r>
      <w:r w:rsidR="00F67155">
        <w:t xml:space="preserve"> resource acquisition moved</w:t>
      </w:r>
      <w:r w:rsidR="00442165">
        <w:t xml:space="preserve"> further out in time.  For example, in 2005 the next planned thermal resource acquisition was 2010, in 2007 the planned next thermal resource acquisition was 2012, in 2009 the next planned thermal resource acquisition was 2014, etc</w:t>
      </w:r>
      <w:r w:rsidR="009A1B09">
        <w:t>.</w:t>
      </w:r>
      <w:r w:rsidR="002E496C">
        <w:t xml:space="preserve">  </w:t>
      </w:r>
    </w:p>
    <w:p w14:paraId="3449B516" w14:textId="7AC1AD96" w:rsidR="002E496C" w:rsidRDefault="002E496C" w:rsidP="00730774">
      <w:pPr>
        <w:pStyle w:val="ListParagraph"/>
        <w:numPr>
          <w:ilvl w:val="0"/>
          <w:numId w:val="1"/>
        </w:numPr>
        <w:spacing w:line="480" w:lineRule="auto"/>
        <w:ind w:left="0" w:firstLine="720"/>
      </w:pPr>
      <w:r w:rsidRPr="002E496C">
        <w:t>The next planned thermal resource acquisition in PacifiCorp’s most recent IRPs is</w:t>
      </w:r>
      <w:r w:rsidR="00802FCD">
        <w:t xml:space="preserve"> now much longer than five years.  Specifically,</w:t>
      </w:r>
      <w:r w:rsidRPr="002E496C">
        <w:t xml:space="preserve"> </w:t>
      </w:r>
      <w:r w:rsidR="00802FCD">
        <w:t xml:space="preserve">PacifiCorp claims that it will not build a new thermal resource until 2028, which is </w:t>
      </w:r>
      <w:r w:rsidR="00455615">
        <w:t xml:space="preserve">in </w:t>
      </w:r>
      <w:r w:rsidR="00802FCD">
        <w:t>12 or 13 years.  Under PacifiCorp’s approach, this w</w:t>
      </w:r>
      <w:r w:rsidRPr="002E496C">
        <w:t>ill result in much longer and historically unpreced</w:t>
      </w:r>
      <w:r w:rsidR="00802FCD">
        <w:t>ented “sufficiency” periods</w:t>
      </w:r>
      <w:r w:rsidRPr="002E496C">
        <w:t xml:space="preserve">.  </w:t>
      </w:r>
    </w:p>
    <w:p w14:paraId="308DFE19" w14:textId="09D4D661" w:rsidR="00EF602D" w:rsidRDefault="00EF602D" w:rsidP="00EF602D">
      <w:pPr>
        <w:pStyle w:val="ListParagraph"/>
        <w:numPr>
          <w:ilvl w:val="0"/>
          <w:numId w:val="1"/>
        </w:numPr>
        <w:spacing w:line="480" w:lineRule="auto"/>
        <w:ind w:left="0" w:firstLine="720"/>
      </w:pPr>
      <w:r w:rsidRPr="009C6C34">
        <w:t>PacifiCorp’s proposal to not make capacity payments until the acquisition of a planned t</w:t>
      </w:r>
      <w:r w:rsidR="00802FCD">
        <w:t>hermal resource acquisition could</w:t>
      </w:r>
      <w:r w:rsidRPr="009C6C34">
        <w:t xml:space="preserve"> mean that </w:t>
      </w:r>
      <w:r w:rsidR="00047385">
        <w:t xml:space="preserve">there </w:t>
      </w:r>
      <w:r w:rsidRPr="009C6C34">
        <w:t>will</w:t>
      </w:r>
      <w:r>
        <w:t xml:space="preserve"> always</w:t>
      </w:r>
      <w:r w:rsidRPr="009C6C34">
        <w:t xml:space="preserve"> be a period of resource “</w:t>
      </w:r>
      <w:r>
        <w:t>sufficiency</w:t>
      </w:r>
      <w:r w:rsidRPr="009C6C34">
        <w:t xml:space="preserve">” and no capacity payments. </w:t>
      </w:r>
      <w:r w:rsidR="00802FCD">
        <w:t xml:space="preserve"> If</w:t>
      </w:r>
      <w:r>
        <w:t xml:space="preserve"> the resource suffi</w:t>
      </w:r>
      <w:r w:rsidR="00455615">
        <w:t>ciency period is short</w:t>
      </w:r>
      <w:r>
        <w:t xml:space="preserve"> and the contract term length is limited to five years, projects</w:t>
      </w:r>
      <w:r w:rsidR="00802FCD">
        <w:t xml:space="preserve"> will receive no or only a year or two of capacity payments</w:t>
      </w:r>
      <w:r w:rsidR="006050BD">
        <w:t xml:space="preserve">.  </w:t>
      </w:r>
      <w:r w:rsidR="00802FCD">
        <w:t xml:space="preserve">With longer sufficiency periods, as is the case now, </w:t>
      </w:r>
      <w:r w:rsidR="006050BD">
        <w:t xml:space="preserve">projects </w:t>
      </w:r>
      <w:r w:rsidR="00A22C4B">
        <w:t>will</w:t>
      </w:r>
      <w:r w:rsidR="00802FCD">
        <w:t xml:space="preserve"> no</w:t>
      </w:r>
      <w:r w:rsidR="00EC39FE">
        <w:t xml:space="preserve"> longer receive capacity payments</w:t>
      </w:r>
      <w:r>
        <w:t xml:space="preserve">.  </w:t>
      </w:r>
      <w:r w:rsidR="00EC39FE">
        <w:t xml:space="preserve">This means that existing Washington projects </w:t>
      </w:r>
      <w:r w:rsidR="00EC39FE" w:rsidRPr="00EC39FE">
        <w:t>that have always recei</w:t>
      </w:r>
      <w:r w:rsidR="00EC39FE">
        <w:t xml:space="preserve">ved capacity payments will no longer be paid for the capacity they provide to PacifiCorp.  </w:t>
      </w:r>
    </w:p>
    <w:p w14:paraId="281B16CE" w14:textId="18AE3000" w:rsidR="00D9006B" w:rsidRDefault="003E6004" w:rsidP="00D9006B">
      <w:pPr>
        <w:pStyle w:val="ListParagraph"/>
        <w:numPr>
          <w:ilvl w:val="0"/>
          <w:numId w:val="1"/>
        </w:numPr>
        <w:spacing w:line="480" w:lineRule="auto"/>
        <w:ind w:left="0" w:firstLine="720"/>
      </w:pPr>
      <w:r>
        <w:t>Under PacifiCorp’s proposal, Washington QFs will not be paid for capacity if the</w:t>
      </w:r>
      <w:r w:rsidR="00A22C4B">
        <w:t>y enter into a contract when the</w:t>
      </w:r>
      <w:r>
        <w:t xml:space="preserve"> </w:t>
      </w:r>
      <w:r w:rsidR="005F10F3">
        <w:t xml:space="preserve">next thermal resource acquisition is in </w:t>
      </w:r>
      <w:r>
        <w:t>six years (</w:t>
      </w:r>
      <w:r w:rsidR="006C236B">
        <w:t>2021</w:t>
      </w:r>
      <w:r w:rsidR="00F67155">
        <w:t>) or longer</w:t>
      </w:r>
      <w:r>
        <w:t xml:space="preserve">.  </w:t>
      </w:r>
      <w:r w:rsidR="00FA3E7B">
        <w:t xml:space="preserve">For example, assume that </w:t>
      </w:r>
      <w:r w:rsidR="00E32F01">
        <w:t>PacifiCorp</w:t>
      </w:r>
      <w:r w:rsidR="00FA3E7B">
        <w:t xml:space="preserve"> is planning its next thermal resource acquisition in six years (2021).  Under</w:t>
      </w:r>
      <w:r w:rsidR="00E02B31">
        <w:t xml:space="preserve"> </w:t>
      </w:r>
      <w:r w:rsidR="00E32F01">
        <w:t>PacifiCorp</w:t>
      </w:r>
      <w:r w:rsidR="00E02B31">
        <w:t>’s proposal, a</w:t>
      </w:r>
      <w:r w:rsidR="00FA3E7B">
        <w:t xml:space="preserve"> QF th</w:t>
      </w:r>
      <w:r w:rsidR="00E02B31">
        <w:t>at enters into a new five-year contract</w:t>
      </w:r>
      <w:r w:rsidR="00A22C4B">
        <w:t xml:space="preserve"> in 2015</w:t>
      </w:r>
      <w:r w:rsidR="00E02B31">
        <w:t xml:space="preserve"> will not be paid for capacity during the entire </w:t>
      </w:r>
      <w:r w:rsidR="00B267D4">
        <w:t xml:space="preserve">contract </w:t>
      </w:r>
      <w:r w:rsidR="00E02B31">
        <w:t xml:space="preserve">term.  In 2021, </w:t>
      </w:r>
      <w:r w:rsidR="00E32F01">
        <w:t>PacifiCorp</w:t>
      </w:r>
      <w:r w:rsidR="00E02B31">
        <w:t xml:space="preserve"> will have a new IRP</w:t>
      </w:r>
      <w:r w:rsidR="003B6E21">
        <w:t>,</w:t>
      </w:r>
      <w:r w:rsidR="00E02B31">
        <w:t xml:space="preserve"> which will </w:t>
      </w:r>
      <w:r w:rsidR="003A15D9">
        <w:t xml:space="preserve">likely </w:t>
      </w:r>
      <w:r w:rsidR="00E02B31">
        <w:t>not be planning on a</w:t>
      </w:r>
      <w:r w:rsidR="003A15D9">
        <w:t xml:space="preserve"> new thermal resource for more than five years, and its new </w:t>
      </w:r>
      <w:r w:rsidR="003A15D9" w:rsidRPr="003A15D9">
        <w:t>Schedule 37 will not have any capacity payments.</w:t>
      </w:r>
      <w:r w:rsidR="00A22C4B">
        <w:t xml:space="preserve">  If</w:t>
      </w:r>
      <w:r w:rsidR="003A15D9">
        <w:t xml:space="preserve"> the QF renews its contract and enters into a new fiv</w:t>
      </w:r>
      <w:r w:rsidR="00B267D4">
        <w:t>e-year contract in 2021, then the QF will again</w:t>
      </w:r>
      <w:r w:rsidR="003A15D9">
        <w:t xml:space="preserve"> not be paid for capacity. </w:t>
      </w:r>
      <w:r w:rsidR="00F47268">
        <w:t xml:space="preserve"> The QF will have caused </w:t>
      </w:r>
      <w:r w:rsidR="00E32F01">
        <w:t>PacifiCorp</w:t>
      </w:r>
      <w:r w:rsidR="00F47268">
        <w:t xml:space="preserve"> to reduce both its energy and capaci</w:t>
      </w:r>
      <w:r w:rsidR="00B267D4">
        <w:t>ty needs</w:t>
      </w:r>
      <w:r w:rsidR="00EC39FE">
        <w:t xml:space="preserve"> (including the capacity related to the next planned thermal resource), however, the QF</w:t>
      </w:r>
      <w:r w:rsidR="00B267D4">
        <w:t xml:space="preserve"> will not</w:t>
      </w:r>
      <w:r w:rsidR="00F47268">
        <w:t xml:space="preserve"> be paid for capacit</w:t>
      </w:r>
      <w:r w:rsidR="001C47A8">
        <w:t>y under the company’s approach.</w:t>
      </w:r>
    </w:p>
    <w:p w14:paraId="3B057A8A" w14:textId="737CE35C" w:rsidR="00BB7C78" w:rsidRDefault="00BB7C78" w:rsidP="00D9006B">
      <w:pPr>
        <w:pStyle w:val="ListParagraph"/>
        <w:numPr>
          <w:ilvl w:val="0"/>
          <w:numId w:val="1"/>
        </w:numPr>
        <w:spacing w:line="480" w:lineRule="auto"/>
        <w:ind w:left="0" w:firstLine="720"/>
      </w:pPr>
      <w:r>
        <w:t xml:space="preserve">All </w:t>
      </w:r>
      <w:r w:rsidR="00241028">
        <w:t xml:space="preserve">QFs provide capacity during all years, including </w:t>
      </w:r>
      <w:r>
        <w:t xml:space="preserve">the years </w:t>
      </w:r>
      <w:r w:rsidR="00241028">
        <w:t xml:space="preserve">before the next acquisition of a new thermal resource.  For example, </w:t>
      </w:r>
      <w:r w:rsidR="00F148C9">
        <w:t xml:space="preserve">QFs can reduce PacifiCorp’s need to re-invest in its coal fleet.  In addition, </w:t>
      </w:r>
      <w:r w:rsidR="006C236B">
        <w:t>PacifiCorp plans on QFs as</w:t>
      </w:r>
      <w:r w:rsidR="00F148C9">
        <w:t xml:space="preserve"> capacity r</w:t>
      </w:r>
      <w:r w:rsidR="006C236B">
        <w:t>esources</w:t>
      </w:r>
      <w:r w:rsidR="00F148C9">
        <w:t>.  I</w:t>
      </w:r>
      <w:r w:rsidR="00107A94">
        <w:t>n its 2015 IRP</w:t>
      </w:r>
      <w:r w:rsidR="006C236B">
        <w:t>,</w:t>
      </w:r>
      <w:r w:rsidR="00107A94">
        <w:t xml:space="preserve"> </w:t>
      </w:r>
      <w:r w:rsidR="00241028">
        <w:t xml:space="preserve">PacifiCorp </w:t>
      </w:r>
      <w:r>
        <w:t>is planning on the availability of</w:t>
      </w:r>
      <w:r w:rsidR="00241028">
        <w:t xml:space="preserve"> 255 MWs of QFs to meet its system peak. </w:t>
      </w:r>
      <w:r w:rsidR="00107A94">
        <w:t xml:space="preserve"> </w:t>
      </w:r>
      <w:r w:rsidR="00E52C91">
        <w:t xml:space="preserve">PacifiCorp 2015 IRP at 62.  </w:t>
      </w:r>
      <w:r w:rsidR="00107A94">
        <w:t>These QFs have been</w:t>
      </w:r>
      <w:r>
        <w:t xml:space="preserve"> causing,</w:t>
      </w:r>
      <w:r w:rsidR="00107A94">
        <w:t xml:space="preserve"> and those that renew their contracts will continue to cause</w:t>
      </w:r>
      <w:r>
        <w:t>,</w:t>
      </w:r>
      <w:r w:rsidR="00107A94">
        <w:t xml:space="preserve"> </w:t>
      </w:r>
      <w:r w:rsidR="00E32F01">
        <w:t>PacifiCorp</w:t>
      </w:r>
      <w:r w:rsidR="00107A94">
        <w:t xml:space="preserve"> to avoid capacity costs.  </w:t>
      </w:r>
    </w:p>
    <w:p w14:paraId="6F16D12F" w14:textId="5F99E0AB" w:rsidR="00C01452" w:rsidRDefault="00D9006B" w:rsidP="00D9006B">
      <w:pPr>
        <w:pStyle w:val="ListParagraph"/>
        <w:numPr>
          <w:ilvl w:val="0"/>
          <w:numId w:val="1"/>
        </w:numPr>
        <w:spacing w:line="480" w:lineRule="auto"/>
        <w:ind w:left="0" w:firstLine="720"/>
      </w:pPr>
      <w:r>
        <w:t xml:space="preserve">It </w:t>
      </w:r>
      <w:r w:rsidR="00107A94">
        <w:t xml:space="preserve">is </w:t>
      </w:r>
      <w:r>
        <w:t xml:space="preserve">particularly </w:t>
      </w:r>
      <w:r w:rsidR="00BB7C78">
        <w:t xml:space="preserve">inappropriate to not pay </w:t>
      </w:r>
      <w:r w:rsidR="00107A94" w:rsidRPr="00107A94">
        <w:t xml:space="preserve">QFs </w:t>
      </w:r>
      <w:r w:rsidR="006C236B">
        <w:t>that</w:t>
      </w:r>
      <w:r w:rsidR="00107A94">
        <w:t xml:space="preserve"> </w:t>
      </w:r>
      <w:r w:rsidR="00E32F01">
        <w:t>PacifiCorp</w:t>
      </w:r>
      <w:r w:rsidR="00BB7C78">
        <w:t xml:space="preserve"> plans </w:t>
      </w:r>
      <w:r w:rsidR="00EB63C3">
        <w:t xml:space="preserve">on </w:t>
      </w:r>
      <w:r w:rsidR="00107A94">
        <w:t>enter</w:t>
      </w:r>
      <w:r w:rsidR="00EB63C3">
        <w:t>ing</w:t>
      </w:r>
      <w:r w:rsidR="00107A94">
        <w:t xml:space="preserve"> </w:t>
      </w:r>
      <w:r w:rsidR="00107A94" w:rsidRPr="00107A94">
        <w:t xml:space="preserve">into follow-on contract extensions </w:t>
      </w:r>
      <w:r w:rsidR="00107A94">
        <w:t xml:space="preserve">a full capacity payment. </w:t>
      </w:r>
      <w:r w:rsidR="00A8635B">
        <w:t xml:space="preserve"> A</w:t>
      </w:r>
      <w:r w:rsidR="00A8635B" w:rsidRPr="00C01452">
        <w:t xml:space="preserve"> QF </w:t>
      </w:r>
      <w:r w:rsidR="00A8635B">
        <w:t xml:space="preserve">that is seeking renewal and/or </w:t>
      </w:r>
      <w:r w:rsidR="00A8635B" w:rsidRPr="00C01452">
        <w:t xml:space="preserve">extension of </w:t>
      </w:r>
      <w:r w:rsidR="00A8635B">
        <w:t>its</w:t>
      </w:r>
      <w:r w:rsidR="00A8635B" w:rsidRPr="00C01452">
        <w:t xml:space="preserve"> contract</w:t>
      </w:r>
      <w:r w:rsidR="00A8635B">
        <w:t xml:space="preserve"> should receive a </w:t>
      </w:r>
      <w:r w:rsidR="00A8635B" w:rsidRPr="00C01452">
        <w:t xml:space="preserve">capacity </w:t>
      </w:r>
      <w:r w:rsidR="00A8635B">
        <w:t>payment because the capacity that it provides has</w:t>
      </w:r>
      <w:r w:rsidR="00A8635B" w:rsidRPr="00C01452">
        <w:t xml:space="preserve"> already been included in the utility’s </w:t>
      </w:r>
      <w:r w:rsidR="00A8635B">
        <w:t xml:space="preserve">IRP </w:t>
      </w:r>
      <w:r w:rsidR="00A8635B" w:rsidRPr="00C01452">
        <w:t>load resource balance</w:t>
      </w:r>
      <w:r w:rsidR="00A8635B">
        <w:t xml:space="preserve">. </w:t>
      </w:r>
      <w:r w:rsidR="00A8635B" w:rsidRPr="00C01452">
        <w:t xml:space="preserve"> </w:t>
      </w:r>
      <w:r w:rsidR="00EC39FE">
        <w:t xml:space="preserve">In other words, PacifiCorp’s IRP assumes these QFs renew their contracts. </w:t>
      </w:r>
      <w:r w:rsidR="00A8635B">
        <w:t xml:space="preserve"> Without </w:t>
      </w:r>
      <w:r w:rsidR="00EC39FE">
        <w:t>including these QFs in its resource plans</w:t>
      </w:r>
      <w:r w:rsidR="00A8635B">
        <w:t xml:space="preserve">, the company would have would need to acquire new capacity and energy resources.  </w:t>
      </w:r>
    </w:p>
    <w:p w14:paraId="58A912A6" w14:textId="150357AC" w:rsidR="00BB7C78" w:rsidRPr="00BB7C78" w:rsidRDefault="00BB7C78" w:rsidP="00BB7C78">
      <w:pPr>
        <w:spacing w:line="480" w:lineRule="auto"/>
        <w:rPr>
          <w:b/>
        </w:rPr>
      </w:pPr>
      <w:r>
        <w:rPr>
          <w:b/>
        </w:rPr>
        <w:tab/>
        <w:t>B</w:t>
      </w:r>
      <w:r>
        <w:rPr>
          <w:b/>
        </w:rPr>
        <w:tab/>
        <w:t>PacifiCorp’s Current Schedule 37 Fails to Fully Compensate QFs</w:t>
      </w:r>
    </w:p>
    <w:p w14:paraId="436740E1" w14:textId="2D4CFBE7" w:rsidR="00754A91" w:rsidRPr="00107A94" w:rsidRDefault="00E32F01" w:rsidP="00107A94">
      <w:pPr>
        <w:pStyle w:val="ListParagraph"/>
        <w:numPr>
          <w:ilvl w:val="0"/>
          <w:numId w:val="1"/>
        </w:numPr>
        <w:spacing w:line="480" w:lineRule="auto"/>
        <w:ind w:left="0" w:firstLine="720"/>
      </w:pPr>
      <w:r>
        <w:t>PacifiCorp</w:t>
      </w:r>
      <w:r w:rsidR="00460ED6">
        <w:t>’s avoided cost rates under</w:t>
      </w:r>
      <w:r w:rsidR="00EC39FE">
        <w:t xml:space="preserve"> </w:t>
      </w:r>
      <w:r w:rsidR="00460ED6">
        <w:t xml:space="preserve">compensate QFs </w:t>
      </w:r>
      <w:r w:rsidR="00754A91" w:rsidRPr="00754A91">
        <w:t>because they do not fully account for the potential availability of mar</w:t>
      </w:r>
      <w:r w:rsidR="00F148C9">
        <w:t>ket purchases.  Over the twenty-</w:t>
      </w:r>
      <w:r w:rsidR="00754A91" w:rsidRPr="00754A91">
        <w:t xml:space="preserve">year planning period, PacifiCorp’s </w:t>
      </w:r>
      <w:r w:rsidR="00FD57E9">
        <w:t xml:space="preserve">2015 </w:t>
      </w:r>
      <w:r w:rsidR="00754A91" w:rsidRPr="00754A91">
        <w:t>IRP assumes that it will be able to purch</w:t>
      </w:r>
      <w:r w:rsidR="00A8635B">
        <w:t>ase between 727 and 1,411 MWs from the market</w:t>
      </w:r>
      <w:r w:rsidR="00754A91" w:rsidRPr="00754A91">
        <w:t xml:space="preserve">, or front office transactions.  My understanding is that PacifiCorp has not conducted an analysis in its IRP to determine if there will be sufficient market liquidity to enter into these market purchases.  The Northwest Power Planning and Conservation Council has estimated an overall Northwest market shortfall, and PSE’s current IRP is studying the impact of a market shortfall on its operations.  The acquisition of electricity from QFs would reduce the need for </w:t>
      </w:r>
      <w:r>
        <w:t>PacifiCorp</w:t>
      </w:r>
      <w:r w:rsidR="00754A91" w:rsidRPr="00754A91">
        <w:t xml:space="preserve"> to rely upon an uncertain wholesale market. </w:t>
      </w:r>
      <w:r w:rsidR="00754A91">
        <w:t xml:space="preserve"> I do not have a specific adjustment to </w:t>
      </w:r>
      <w:r>
        <w:t>PacifiCorp</w:t>
      </w:r>
      <w:r w:rsidR="00754A91">
        <w:t xml:space="preserve">’s Schedule 37 to compensate for the potential market illiquidity; however, this supports increasing the </w:t>
      </w:r>
      <w:r w:rsidR="00460ED6">
        <w:t>PacifiCorp’s avoided cost rates to reduce this risk.</w:t>
      </w:r>
      <w:r w:rsidR="00754A91">
        <w:t xml:space="preserve"> </w:t>
      </w:r>
      <w:r w:rsidR="00FD57E9">
        <w:t xml:space="preserve"> The Commission could also direct PacifiCorp to develop an adder to the energy or capacity rate to account for the risk reduction associated with QFs.  </w:t>
      </w:r>
    </w:p>
    <w:p w14:paraId="7D9BD1A9" w14:textId="18199FB2" w:rsidR="00107A94" w:rsidRDefault="00E32F01" w:rsidP="00730774">
      <w:pPr>
        <w:pStyle w:val="ListParagraph"/>
        <w:numPr>
          <w:ilvl w:val="0"/>
          <w:numId w:val="1"/>
        </w:numPr>
        <w:spacing w:line="480" w:lineRule="auto"/>
        <w:ind w:left="0" w:firstLine="720"/>
      </w:pPr>
      <w:r>
        <w:t>PacifiCorp</w:t>
      </w:r>
      <w:r w:rsidR="000E4C1C">
        <w:t xml:space="preserve">’s </w:t>
      </w:r>
      <w:r w:rsidR="00460ED6">
        <w:t>kW per month capacity</w:t>
      </w:r>
      <w:r w:rsidR="00FA3D8B">
        <w:t xml:space="preserve"> </w:t>
      </w:r>
      <w:r w:rsidR="00232C53">
        <w:t xml:space="preserve">rate </w:t>
      </w:r>
      <w:r w:rsidR="00FA3D8B">
        <w:t>under</w:t>
      </w:r>
      <w:r w:rsidR="00A22C4B">
        <w:t xml:space="preserve"> </w:t>
      </w:r>
      <w:r w:rsidR="00FA3D8B">
        <w:t>compensate</w:t>
      </w:r>
      <w:r w:rsidR="00460ED6">
        <w:t>s</w:t>
      </w:r>
      <w:r w:rsidR="00A3729A">
        <w:t xml:space="preserve"> QFs for capacity</w:t>
      </w:r>
      <w:r w:rsidR="00460ED6">
        <w:t xml:space="preserve"> because its past approach was</w:t>
      </w:r>
      <w:r w:rsidR="00754A91">
        <w:t xml:space="preserve"> </w:t>
      </w:r>
      <w:r w:rsidR="00FA3D8B">
        <w:t xml:space="preserve">based on the fixed costs of simple cycle combustion turbine (“SCCT”) </w:t>
      </w:r>
      <w:r w:rsidR="00460ED6">
        <w:t xml:space="preserve">for </w:t>
      </w:r>
      <w:r w:rsidR="00A8635B">
        <w:t xml:space="preserve">only </w:t>
      </w:r>
      <w:r w:rsidR="00460ED6">
        <w:t>three months out of year.  T</w:t>
      </w:r>
      <w:r w:rsidR="00FA3D8B">
        <w:t xml:space="preserve">his means that </w:t>
      </w:r>
      <w:r w:rsidR="00754A91">
        <w:t xml:space="preserve">only </w:t>
      </w:r>
      <w:r w:rsidR="00FA3D8B">
        <w:t xml:space="preserve">one fourth of the fixed costs of a SCCT </w:t>
      </w:r>
      <w:r w:rsidR="00232C53">
        <w:t>have been</w:t>
      </w:r>
      <w:r w:rsidR="00FA3D8B">
        <w:t xml:space="preserve"> used to calc</w:t>
      </w:r>
      <w:r w:rsidR="00232C53">
        <w:t>ulate the capacity payment.  If PacifiCorp acquires a SCCT peaking resource, then it will incur its fixed costs for all twelve months out of the year.  In other words, PacifiCorp is unlikely to acquire a SCCT for only those months for which it has peak capacity need.  Therefore, it is more</w:t>
      </w:r>
      <w:r w:rsidR="00FA3D8B">
        <w:t xml:space="preserve"> appropriate to include the full costs of a SCCT in the capacity payment for QFs.</w:t>
      </w:r>
    </w:p>
    <w:p w14:paraId="59038C88" w14:textId="2A103280" w:rsidR="002B214C" w:rsidRPr="002B214C" w:rsidRDefault="00E32F01" w:rsidP="002B214C">
      <w:pPr>
        <w:pStyle w:val="ListParagraph"/>
        <w:numPr>
          <w:ilvl w:val="0"/>
          <w:numId w:val="1"/>
        </w:numPr>
        <w:spacing w:line="480" w:lineRule="auto"/>
        <w:ind w:left="0" w:firstLine="720"/>
      </w:pPr>
      <w:r>
        <w:t>PacifiCorp</w:t>
      </w:r>
      <w:r w:rsidR="000E4C1C">
        <w:t xml:space="preserve">’s </w:t>
      </w:r>
      <w:r w:rsidR="00460ED6">
        <w:t xml:space="preserve">avoided cost rates </w:t>
      </w:r>
      <w:r w:rsidR="000E4C1C">
        <w:t>also under</w:t>
      </w:r>
      <w:r w:rsidR="00A22C4B">
        <w:t xml:space="preserve"> </w:t>
      </w:r>
      <w:r w:rsidR="000E4C1C">
        <w:t>compensate</w:t>
      </w:r>
      <w:r w:rsidR="00460ED6">
        <w:t xml:space="preserve"> QFs because they do</w:t>
      </w:r>
      <w:r w:rsidR="000E4C1C">
        <w:t xml:space="preserve"> not account for the costs associated with </w:t>
      </w:r>
      <w:r w:rsidR="00754A91">
        <w:t xml:space="preserve">the company’s </w:t>
      </w:r>
      <w:r w:rsidR="000E4C1C" w:rsidRPr="000E4C1C">
        <w:t xml:space="preserve">significant </w:t>
      </w:r>
      <w:r w:rsidR="000E4C1C">
        <w:t xml:space="preserve">planned </w:t>
      </w:r>
      <w:r w:rsidR="000E4C1C" w:rsidRPr="000E4C1C">
        <w:t xml:space="preserve">investments in environmental upgrades to retain its </w:t>
      </w:r>
      <w:r w:rsidR="002B214C">
        <w:t>existing coal facilities</w:t>
      </w:r>
      <w:r w:rsidR="000E4C1C" w:rsidRPr="000E4C1C">
        <w:t>.</w:t>
      </w:r>
      <w:r w:rsidR="00460ED6">
        <w:t xml:space="preserve">  These are actual and planned investments that are not included in the company’s current Schedule 37 avoided cost rates.</w:t>
      </w:r>
      <w:r w:rsidR="000E4C1C" w:rsidRPr="000E4C1C">
        <w:t xml:space="preserve">  </w:t>
      </w:r>
      <w:r w:rsidR="00A8635B" w:rsidRPr="00A8635B">
        <w:t xml:space="preserve">Without these upgrades, PacifiCorp would have to secure a large amount of new capacity and energy resources, thereby significantly reducing its period of resource sufficiency. </w:t>
      </w:r>
      <w:r w:rsidR="00A8635B">
        <w:t xml:space="preserve"> </w:t>
      </w:r>
      <w:r>
        <w:t>PacifiCorp</w:t>
      </w:r>
      <w:r w:rsidR="002B214C">
        <w:t xml:space="preserve"> has identified a number of environmental upgrades at its existing coal facilities in its 2015 IRP</w:t>
      </w:r>
      <w:r w:rsidR="00EB5EFF">
        <w:t xml:space="preserve"> that it plans to make before the acquisition of its next thermal resource</w:t>
      </w:r>
      <w:r w:rsidR="00A8635B">
        <w:t>,</w:t>
      </w:r>
      <w:r w:rsidR="002B214C">
        <w:t xml:space="preserve"> including: </w:t>
      </w:r>
    </w:p>
    <w:p w14:paraId="78333091" w14:textId="77777777" w:rsidR="002B214C" w:rsidRPr="002B214C" w:rsidRDefault="002B214C" w:rsidP="002B214C">
      <w:pPr>
        <w:numPr>
          <w:ilvl w:val="0"/>
          <w:numId w:val="2"/>
        </w:numPr>
      </w:pPr>
      <w:r w:rsidRPr="002B214C">
        <w:t>Hayden 1 SCR</w:t>
      </w:r>
      <w:bookmarkStart w:id="1" w:name="_GoBack"/>
      <w:bookmarkEnd w:id="1"/>
      <w:r w:rsidRPr="002B214C">
        <w:t xml:space="preserve"> by Jun 2015</w:t>
      </w:r>
    </w:p>
    <w:p w14:paraId="5EDB31D8" w14:textId="77777777" w:rsidR="002B214C" w:rsidRPr="002B214C" w:rsidRDefault="002B214C" w:rsidP="002B214C">
      <w:pPr>
        <w:numPr>
          <w:ilvl w:val="0"/>
          <w:numId w:val="2"/>
        </w:numPr>
      </w:pPr>
      <w:r w:rsidRPr="002B214C">
        <w:t>Jim Bridger 3 SCR by Dec 2015</w:t>
      </w:r>
    </w:p>
    <w:p w14:paraId="1A141F63" w14:textId="77777777" w:rsidR="002B214C" w:rsidRPr="002B214C" w:rsidRDefault="002B214C" w:rsidP="002B214C">
      <w:pPr>
        <w:numPr>
          <w:ilvl w:val="0"/>
          <w:numId w:val="2"/>
        </w:numPr>
      </w:pPr>
      <w:r w:rsidRPr="002B214C">
        <w:t>Hayden 2 SCR by Jun 2016</w:t>
      </w:r>
    </w:p>
    <w:p w14:paraId="1104CC5E" w14:textId="77777777" w:rsidR="002B214C" w:rsidRPr="002B214C" w:rsidRDefault="002B214C" w:rsidP="002B214C">
      <w:pPr>
        <w:numPr>
          <w:ilvl w:val="0"/>
          <w:numId w:val="2"/>
        </w:numPr>
      </w:pPr>
      <w:r w:rsidRPr="002B214C">
        <w:t>Jim Bridger 4 SCR by Dec 2016</w:t>
      </w:r>
    </w:p>
    <w:p w14:paraId="0020FCDB" w14:textId="77777777" w:rsidR="002B214C" w:rsidRPr="002B214C" w:rsidRDefault="002B214C" w:rsidP="002B214C">
      <w:pPr>
        <w:numPr>
          <w:ilvl w:val="0"/>
          <w:numId w:val="2"/>
        </w:numPr>
      </w:pPr>
      <w:r w:rsidRPr="002B214C">
        <w:t>Craig 2 SCR by Jan 2018</w:t>
      </w:r>
    </w:p>
    <w:p w14:paraId="0C9114B6" w14:textId="77777777" w:rsidR="002B214C" w:rsidRPr="002B214C" w:rsidRDefault="002B214C" w:rsidP="002B214C">
      <w:pPr>
        <w:numPr>
          <w:ilvl w:val="0"/>
          <w:numId w:val="2"/>
        </w:numPr>
      </w:pPr>
      <w:r w:rsidRPr="002B214C">
        <w:t>Naughton 3 Conversion by Jun 2018</w:t>
      </w:r>
    </w:p>
    <w:p w14:paraId="34D4319B" w14:textId="77777777" w:rsidR="002B214C" w:rsidRPr="002B214C" w:rsidRDefault="002B214C" w:rsidP="002B214C">
      <w:pPr>
        <w:numPr>
          <w:ilvl w:val="0"/>
          <w:numId w:val="2"/>
        </w:numPr>
      </w:pPr>
      <w:r w:rsidRPr="002B214C">
        <w:t>Craig 1 SCR by Aug 2021</w:t>
      </w:r>
    </w:p>
    <w:p w14:paraId="4B7FE4F6" w14:textId="77777777" w:rsidR="002B214C" w:rsidRPr="002B214C" w:rsidRDefault="002B214C" w:rsidP="002B214C">
      <w:pPr>
        <w:numPr>
          <w:ilvl w:val="0"/>
          <w:numId w:val="2"/>
        </w:numPr>
      </w:pPr>
      <w:r w:rsidRPr="002B214C">
        <w:t>Hunter 1 SCR by Dec 2021</w:t>
      </w:r>
    </w:p>
    <w:p w14:paraId="047F7DE9" w14:textId="77777777" w:rsidR="002B214C" w:rsidRPr="002B214C" w:rsidRDefault="002B214C" w:rsidP="002B214C">
      <w:pPr>
        <w:numPr>
          <w:ilvl w:val="0"/>
          <w:numId w:val="2"/>
        </w:numPr>
      </w:pPr>
      <w:r w:rsidRPr="002B214C">
        <w:t>Jim Bridger 2 SCR by Dec 2021</w:t>
      </w:r>
    </w:p>
    <w:p w14:paraId="2A0E08D8" w14:textId="77777777" w:rsidR="002B214C" w:rsidRPr="002B214C" w:rsidRDefault="002B214C" w:rsidP="002B214C">
      <w:pPr>
        <w:numPr>
          <w:ilvl w:val="0"/>
          <w:numId w:val="2"/>
        </w:numPr>
      </w:pPr>
      <w:r w:rsidRPr="002B214C">
        <w:t>Jim Bridger 1 SCR by Dec 2022</w:t>
      </w:r>
    </w:p>
    <w:p w14:paraId="77761EF5" w14:textId="77777777" w:rsidR="002B214C" w:rsidRPr="002B214C" w:rsidRDefault="002B214C" w:rsidP="002B214C">
      <w:pPr>
        <w:numPr>
          <w:ilvl w:val="0"/>
          <w:numId w:val="2"/>
        </w:numPr>
      </w:pPr>
      <w:r w:rsidRPr="002B214C">
        <w:t>Colstrip 4 SCR by Dec 2022</w:t>
      </w:r>
    </w:p>
    <w:p w14:paraId="098E8AB4" w14:textId="77777777" w:rsidR="002B214C" w:rsidRPr="002B214C" w:rsidRDefault="002B214C" w:rsidP="002B214C">
      <w:pPr>
        <w:numPr>
          <w:ilvl w:val="0"/>
          <w:numId w:val="2"/>
        </w:numPr>
      </w:pPr>
      <w:r w:rsidRPr="002B214C">
        <w:t>Huntington 1 SCR by Dec 2022</w:t>
      </w:r>
    </w:p>
    <w:p w14:paraId="3C6BCBDF" w14:textId="77777777" w:rsidR="002B214C" w:rsidRPr="002B214C" w:rsidRDefault="002B214C" w:rsidP="002B214C">
      <w:pPr>
        <w:numPr>
          <w:ilvl w:val="0"/>
          <w:numId w:val="2"/>
        </w:numPr>
      </w:pPr>
      <w:r w:rsidRPr="002B214C">
        <w:t>Colstrip 3 SCR by Dec 2023</w:t>
      </w:r>
    </w:p>
    <w:p w14:paraId="0E78F17F" w14:textId="77777777" w:rsidR="002B214C" w:rsidRPr="002B214C" w:rsidRDefault="002B214C" w:rsidP="002B214C">
      <w:pPr>
        <w:numPr>
          <w:ilvl w:val="0"/>
          <w:numId w:val="2"/>
        </w:numPr>
      </w:pPr>
      <w:r w:rsidRPr="002B214C">
        <w:t>Hunter 3 SCR by Dec 2024</w:t>
      </w:r>
    </w:p>
    <w:p w14:paraId="50D5538D" w14:textId="77777777" w:rsidR="002B214C" w:rsidRDefault="002B214C" w:rsidP="002B214C">
      <w:pPr>
        <w:numPr>
          <w:ilvl w:val="0"/>
          <w:numId w:val="2"/>
        </w:numPr>
      </w:pPr>
      <w:r w:rsidRPr="002B214C">
        <w:t>Cholla 4 Conversion by Jun 2025</w:t>
      </w:r>
    </w:p>
    <w:p w14:paraId="0B8D7C1D" w14:textId="77777777" w:rsidR="002B214C" w:rsidRPr="002B214C" w:rsidRDefault="002B214C" w:rsidP="002B214C"/>
    <w:p w14:paraId="20B71A80" w14:textId="58C402F9" w:rsidR="002B214C" w:rsidRDefault="002B214C" w:rsidP="002B214C">
      <w:pPr>
        <w:spacing w:line="480" w:lineRule="auto"/>
      </w:pPr>
      <w:r>
        <w:t>2015 IRP, Vol. II at 298-299.</w:t>
      </w:r>
      <w:r w:rsidR="006C236B">
        <w:t xml:space="preserve">  </w:t>
      </w:r>
    </w:p>
    <w:p w14:paraId="2D34E0EB" w14:textId="163A536A" w:rsidR="00322312" w:rsidRDefault="00BC6CEF" w:rsidP="00730774">
      <w:pPr>
        <w:pStyle w:val="ListParagraph"/>
        <w:numPr>
          <w:ilvl w:val="0"/>
          <w:numId w:val="1"/>
        </w:numPr>
        <w:spacing w:line="480" w:lineRule="auto"/>
        <w:ind w:left="0" w:firstLine="720"/>
      </w:pPr>
      <w:r>
        <w:t>Similarly, PacifiCorp’s proposed</w:t>
      </w:r>
      <w:r w:rsidR="00322312" w:rsidRPr="00322312">
        <w:t xml:space="preserve"> extraordinarily long sufficiency period is sending a price signal to prospective QFs that the long-term value of their capacity is worth very little.  At the same time, the Company is facing the challenge of compliance with EPA’s proposed Section 111(d) rules</w:t>
      </w:r>
      <w:r>
        <w:t xml:space="preserve"> and other greenhouse gas regulations</w:t>
      </w:r>
      <w:r w:rsidR="00322312" w:rsidRPr="00322312">
        <w:t xml:space="preserve">, which propose significant reductions in </w:t>
      </w:r>
      <w:r>
        <w:t>carbon</w:t>
      </w:r>
      <w:r w:rsidR="00322312" w:rsidRPr="00322312">
        <w:t xml:space="preserve"> emissions.  The proposed rules are creating significant uncertainty with respect to the Company’s long-term resource plan.  An important policy question that the Commission should consider is whether it is wise to be signaling to QFs, particularly renewable QFs, that their capacity is of little long-term value, and consequently discouraging their development, at this critical time of changing environmental regulations.  </w:t>
      </w:r>
      <w:r w:rsidR="00322312">
        <w:t xml:space="preserve"> </w:t>
      </w:r>
    </w:p>
    <w:p w14:paraId="6F9059BF" w14:textId="60A566B8" w:rsidR="002B214C" w:rsidRDefault="002B214C" w:rsidP="00730774">
      <w:pPr>
        <w:pStyle w:val="ListParagraph"/>
        <w:numPr>
          <w:ilvl w:val="0"/>
          <w:numId w:val="1"/>
        </w:numPr>
        <w:spacing w:line="480" w:lineRule="auto"/>
        <w:ind w:left="0" w:firstLine="720"/>
      </w:pPr>
      <w:r>
        <w:t>In an Oregon Public Utility Commission</w:t>
      </w:r>
      <w:r w:rsidR="00C53DE4">
        <w:t xml:space="preserve"> (“OPUC”)</w:t>
      </w:r>
      <w:r>
        <w:t xml:space="preserve"> investigation into PURPA and QF policies</w:t>
      </w:r>
      <w:r w:rsidR="00754A91">
        <w:t xml:space="preserve"> Docket No. UM 1610</w:t>
      </w:r>
      <w:r>
        <w:t>, the Renewable Energy Coalition and other QF parties have sponsored the testimony of</w:t>
      </w:r>
      <w:r w:rsidR="00A22C4B">
        <w:t xml:space="preserve"> expert witness</w:t>
      </w:r>
      <w:r>
        <w:t xml:space="preserve"> Kevin Higgins</w:t>
      </w:r>
      <w:r w:rsidR="00A22C4B">
        <w:t xml:space="preserve"> of Energy Strategies</w:t>
      </w:r>
      <w:r>
        <w:t>.  Mr. Higgins estimated the capacity value of only the first six listed environmental</w:t>
      </w:r>
      <w:r w:rsidR="00C53DE4">
        <w:t xml:space="preserve"> upgrades, which resulted in a </w:t>
      </w:r>
      <w:r>
        <w:t xml:space="preserve">capacity value of </w:t>
      </w:r>
      <w:r w:rsidRPr="002B214C">
        <w:t xml:space="preserve">$47.11 per kW-year.  </w:t>
      </w:r>
      <w:r>
        <w:t xml:space="preserve"> </w:t>
      </w:r>
      <w:r w:rsidR="001C4AB5">
        <w:t xml:space="preserve">I have attached </w:t>
      </w:r>
      <w:r w:rsidR="00C53DE4">
        <w:t xml:space="preserve">Mr. Higgins testimony from the OPUC proceeding, which explains how the capacity value </w:t>
      </w:r>
      <w:r w:rsidR="00232C53">
        <w:t xml:space="preserve">with these environmental upgrades </w:t>
      </w:r>
      <w:r w:rsidR="00C53DE4">
        <w:t xml:space="preserve">was calculated. </w:t>
      </w:r>
      <w:r w:rsidR="00754A91">
        <w:t xml:space="preserve"> </w:t>
      </w:r>
      <w:r w:rsidR="006C236B">
        <w:t>It would be appropriate to include these capacity costs in PacifiCorp’s Schedule 37 rates.</w:t>
      </w:r>
    </w:p>
    <w:p w14:paraId="3F888742" w14:textId="626FE9D7" w:rsidR="00284475" w:rsidRPr="00284475" w:rsidRDefault="00284475" w:rsidP="00284475">
      <w:pPr>
        <w:spacing w:line="480" w:lineRule="auto"/>
        <w:rPr>
          <w:b/>
        </w:rPr>
      </w:pPr>
      <w:r>
        <w:rPr>
          <w:b/>
        </w:rPr>
        <w:t>Conclusion</w:t>
      </w:r>
    </w:p>
    <w:p w14:paraId="48F7739F" w14:textId="500159C8" w:rsidR="00FA3D8B" w:rsidRDefault="00E32F01" w:rsidP="00730774">
      <w:pPr>
        <w:pStyle w:val="ListParagraph"/>
        <w:numPr>
          <w:ilvl w:val="0"/>
          <w:numId w:val="1"/>
        </w:numPr>
        <w:spacing w:line="480" w:lineRule="auto"/>
        <w:ind w:left="0" w:firstLine="720"/>
      </w:pPr>
      <w:r>
        <w:t>PacifiCorp</w:t>
      </w:r>
      <w:r w:rsidR="00284475">
        <w:t xml:space="preserve">’s current Schedule 37 does not fully compensate QFs for the capacity and energy they provide </w:t>
      </w:r>
      <w:r w:rsidR="00B42379">
        <w:t xml:space="preserve">to the company.  </w:t>
      </w:r>
      <w:r w:rsidR="00FA3D8B">
        <w:t xml:space="preserve"> </w:t>
      </w:r>
      <w:r w:rsidR="00B42379">
        <w:t xml:space="preserve">This is illustrated by the extremely low level of existing QFs and the lack of any interest in QF development in </w:t>
      </w:r>
      <w:r>
        <w:t>PacifiCorp</w:t>
      </w:r>
      <w:r w:rsidR="00A22C4B">
        <w:t>’s Washington service territory</w:t>
      </w:r>
      <w:r w:rsidR="00B42379">
        <w:t>.</w:t>
      </w:r>
    </w:p>
    <w:p w14:paraId="58531B2A" w14:textId="1D5F7256" w:rsidR="00A22DB0" w:rsidRDefault="00B42379" w:rsidP="00A22DB0">
      <w:pPr>
        <w:pStyle w:val="ListParagraph"/>
        <w:numPr>
          <w:ilvl w:val="0"/>
          <w:numId w:val="1"/>
        </w:numPr>
        <w:spacing w:line="480" w:lineRule="auto"/>
        <w:ind w:left="0" w:firstLine="720"/>
      </w:pPr>
      <w:r>
        <w:t xml:space="preserve">At a minimum, the Commission should retain </w:t>
      </w:r>
      <w:r w:rsidR="00A06646">
        <w:t xml:space="preserve">the current kilowatt month capacity payment in </w:t>
      </w:r>
      <w:r w:rsidR="00E32F01">
        <w:t>PacifiCorp</w:t>
      </w:r>
      <w:r w:rsidR="00A06646">
        <w:t>’s Schedule 37.  I recommend, however, that the Commission increase the current kW capacity payment.  Options to increase the capacity pay</w:t>
      </w:r>
      <w:r w:rsidR="00754A91">
        <w:t xml:space="preserve">ment </w:t>
      </w:r>
      <w:r w:rsidR="00A8635B">
        <w:t>are: 1) including</w:t>
      </w:r>
      <w:r w:rsidR="00754A91">
        <w:t xml:space="preserve"> the entire annual fixed costs of a SCCT rat</w:t>
      </w:r>
      <w:r w:rsidR="00DD4B15">
        <w:t xml:space="preserve">her than only three months; and </w:t>
      </w:r>
      <w:r w:rsidR="00754A91">
        <w:t xml:space="preserve">2) including the costs of </w:t>
      </w:r>
      <w:r w:rsidR="00E32F01">
        <w:t>PacifiCorp</w:t>
      </w:r>
      <w:r w:rsidR="00754A91">
        <w:t xml:space="preserve">’s planned environmental upgrades </w:t>
      </w:r>
      <w:r w:rsidR="00DD4B15">
        <w:t xml:space="preserve">at its existing coal facilities.  The Commission could direct PacifiCorp to make other changes, including a market risk adder to reflect the potential market illiquidity associated with relying upon short-term market purchases. </w:t>
      </w:r>
      <w:r w:rsidR="00754A91">
        <w:t xml:space="preserve">  </w:t>
      </w:r>
    </w:p>
    <w:p w14:paraId="30E603F8" w14:textId="657FDAB7" w:rsidR="00754A91" w:rsidRDefault="00754A91" w:rsidP="00A22DB0">
      <w:pPr>
        <w:pStyle w:val="ListParagraph"/>
        <w:numPr>
          <w:ilvl w:val="0"/>
          <w:numId w:val="1"/>
        </w:numPr>
        <w:spacing w:line="480" w:lineRule="auto"/>
        <w:ind w:left="0" w:firstLine="720"/>
      </w:pPr>
      <w:r>
        <w:t>If the Commission does not retain or increase the current kW month capacity payment</w:t>
      </w:r>
      <w:r w:rsidR="000E1222">
        <w:t xml:space="preserve"> for all QFs</w:t>
      </w:r>
      <w:r>
        <w:t xml:space="preserve">, then </w:t>
      </w:r>
      <w:r w:rsidR="00F26A53">
        <w:t>REC</w:t>
      </w:r>
      <w:r w:rsidR="000E1222">
        <w:t xml:space="preserve"> recommends that the Commission consider other solutions to more accurately compensate QFs.  These could include maintaining the capacity payment for already operating QFs that </w:t>
      </w:r>
      <w:r w:rsidR="00E32F01">
        <w:t>PacifiCorp</w:t>
      </w:r>
      <w:r w:rsidR="000E1222">
        <w:t xml:space="preserve"> </w:t>
      </w:r>
      <w:r w:rsidR="00232C53">
        <w:t>is relying upon in</w:t>
      </w:r>
      <w:r w:rsidR="000E1222">
        <w:t xml:space="preserve"> its IRP, and increasing the contract term for all QFs.  </w:t>
      </w:r>
    </w:p>
    <w:p w14:paraId="4C37E6C7" w14:textId="3EA2F37C" w:rsidR="00DC6D25" w:rsidRDefault="00DC6D25" w:rsidP="00DC6D25">
      <w:pPr>
        <w:spacing w:line="480" w:lineRule="auto"/>
      </w:pPr>
      <w:r>
        <w:t>I declare that under the laws of the State of Washington that the foregoing is true and correct.  Signe</w:t>
      </w:r>
      <w:r w:rsidR="008B6D2A">
        <w:t>d at Portland, Oregon on July 12</w:t>
      </w:r>
      <w:r>
        <w:t>, 2015.</w:t>
      </w:r>
    </w:p>
    <w:p w14:paraId="3DDA7C9F" w14:textId="77777777" w:rsidR="00DC6D25" w:rsidRDefault="00DC6D25" w:rsidP="00DC6D25">
      <w:pPr>
        <w:spacing w:line="480" w:lineRule="auto"/>
      </w:pPr>
    </w:p>
    <w:p w14:paraId="01EBA347" w14:textId="77777777" w:rsidR="00DC6D25" w:rsidRDefault="00DC6D25" w:rsidP="00DC6D25">
      <w:pPr>
        <w:spacing w:line="480" w:lineRule="auto"/>
      </w:pPr>
    </w:p>
    <w:p w14:paraId="47E38128" w14:textId="244A3266" w:rsidR="00DC6D25" w:rsidRDefault="00DC6D25" w:rsidP="00DC6D25">
      <w:r>
        <w:t>_______________________________</w:t>
      </w:r>
    </w:p>
    <w:p w14:paraId="24CB0F3C" w14:textId="482490F9" w:rsidR="00DC6D25" w:rsidRDefault="00DC6D25" w:rsidP="00DC6D25">
      <w:pPr>
        <w:spacing w:line="480" w:lineRule="auto"/>
      </w:pPr>
      <w:r>
        <w:t>John Lowe</w:t>
      </w:r>
    </w:p>
    <w:p w14:paraId="52ED3BDA" w14:textId="77777777" w:rsidR="00CC4E90" w:rsidRDefault="00CC4E90" w:rsidP="00730774">
      <w:pPr>
        <w:spacing w:line="480" w:lineRule="auto"/>
        <w:ind w:firstLine="720"/>
      </w:pPr>
    </w:p>
    <w:sectPr w:rsidR="00CC4E90" w:rsidSect="00BB4A5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DF4B2" w14:textId="77777777" w:rsidR="008015AE" w:rsidRDefault="008015AE" w:rsidP="00F34803">
      <w:r>
        <w:separator/>
      </w:r>
    </w:p>
  </w:endnote>
  <w:endnote w:type="continuationSeparator" w:id="0">
    <w:p w14:paraId="14D1C8F8" w14:textId="77777777" w:rsidR="008015AE" w:rsidRDefault="008015AE" w:rsidP="00F3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F7275" w14:textId="77777777" w:rsidR="008015AE" w:rsidRDefault="008015AE">
    <w:pPr>
      <w:pStyle w:val="Footer"/>
    </w:pPr>
  </w:p>
  <w:p w14:paraId="503DD7D2" w14:textId="18CE5F7E" w:rsidR="008015AE" w:rsidRDefault="008015AE">
    <w:pPr>
      <w:pStyle w:val="Footer"/>
    </w:pPr>
    <w:r>
      <w:t>Docket No. UE-144160 – Declaration of John R. Lowe</w:t>
    </w:r>
  </w:p>
  <w:p w14:paraId="3A4233EA" w14:textId="74F93B28" w:rsidR="008015AE" w:rsidRDefault="008015AE">
    <w:pPr>
      <w:pStyle w:val="Footer"/>
    </w:pPr>
    <w:r>
      <w:t xml:space="preserve">Page </w:t>
    </w:r>
    <w:r>
      <w:fldChar w:fldCharType="begin"/>
    </w:r>
    <w:r>
      <w:instrText xml:space="preserve"> PAGE </w:instrText>
    </w:r>
    <w:r>
      <w:fldChar w:fldCharType="separate"/>
    </w:r>
    <w:r w:rsidR="003009EA">
      <w:rPr>
        <w:noProof/>
      </w:rPr>
      <w:t>1</w:t>
    </w:r>
    <w:r>
      <w:fldChar w:fldCharType="end"/>
    </w:r>
    <w:r>
      <w:t xml:space="preserve"> of </w:t>
    </w:r>
    <w:fldSimple w:instr=" NUMPAGES ">
      <w:r w:rsidR="003009EA">
        <w:rPr>
          <w:noProof/>
        </w:rPr>
        <w:t>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10DA7" w14:textId="77777777" w:rsidR="008015AE" w:rsidRDefault="008015AE" w:rsidP="00F34803">
      <w:r>
        <w:separator/>
      </w:r>
    </w:p>
  </w:footnote>
  <w:footnote w:type="continuationSeparator" w:id="0">
    <w:p w14:paraId="5E9BA9E1" w14:textId="77777777" w:rsidR="008015AE" w:rsidRDefault="008015AE" w:rsidP="00F34803">
      <w:r>
        <w:continuationSeparator/>
      </w:r>
    </w:p>
  </w:footnote>
  <w:footnote w:id="1">
    <w:p w14:paraId="618B8E3A" w14:textId="7903A548" w:rsidR="008015AE" w:rsidRDefault="008015AE" w:rsidP="00E32F01">
      <w:pPr>
        <w:pStyle w:val="FootnoteText"/>
        <w:ind w:left="720" w:hanging="720"/>
      </w:pPr>
      <w:r>
        <w:rPr>
          <w:rStyle w:val="FootnoteReference"/>
        </w:rPr>
        <w:footnoteRef/>
      </w:r>
      <w:r>
        <w:t xml:space="preserve"> </w:t>
      </w:r>
      <w:r>
        <w:tab/>
        <w:t>This declaration refers to Pacific Power &amp; Light Co. as PacifiCorp for the sake of convenience because I discuss both the company’s Washington operations (which are under the name Pacific Power &amp; Light Co.), and the company’s other operations (which are under the name PacifiCorp, or sometimes Rocky Mountain Power).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2019"/>
    <w:multiLevelType w:val="hybridMultilevel"/>
    <w:tmpl w:val="4FB8982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nsid w:val="6D3855BC"/>
    <w:multiLevelType w:val="hybridMultilevel"/>
    <w:tmpl w:val="9444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35"/>
    <w:rsid w:val="00023B86"/>
    <w:rsid w:val="00027747"/>
    <w:rsid w:val="00047385"/>
    <w:rsid w:val="00070A98"/>
    <w:rsid w:val="00087755"/>
    <w:rsid w:val="000D7BD9"/>
    <w:rsid w:val="000E1222"/>
    <w:rsid w:val="000E4C1C"/>
    <w:rsid w:val="00107A94"/>
    <w:rsid w:val="00124EAA"/>
    <w:rsid w:val="0015358C"/>
    <w:rsid w:val="00177B81"/>
    <w:rsid w:val="00181EC8"/>
    <w:rsid w:val="0018798C"/>
    <w:rsid w:val="001A6BD6"/>
    <w:rsid w:val="001C47A8"/>
    <w:rsid w:val="001C4AB5"/>
    <w:rsid w:val="001F2DB3"/>
    <w:rsid w:val="00232C53"/>
    <w:rsid w:val="00241028"/>
    <w:rsid w:val="002675FA"/>
    <w:rsid w:val="00284475"/>
    <w:rsid w:val="002B214C"/>
    <w:rsid w:val="002C4537"/>
    <w:rsid w:val="002E496C"/>
    <w:rsid w:val="003009EA"/>
    <w:rsid w:val="00303A39"/>
    <w:rsid w:val="00306E60"/>
    <w:rsid w:val="00322312"/>
    <w:rsid w:val="0033297A"/>
    <w:rsid w:val="00365FC3"/>
    <w:rsid w:val="00366BC9"/>
    <w:rsid w:val="00380FA5"/>
    <w:rsid w:val="00385B7F"/>
    <w:rsid w:val="00387D0E"/>
    <w:rsid w:val="003A15D9"/>
    <w:rsid w:val="003A6507"/>
    <w:rsid w:val="003B6E21"/>
    <w:rsid w:val="003C1157"/>
    <w:rsid w:val="003E6004"/>
    <w:rsid w:val="003E7D1A"/>
    <w:rsid w:val="003F0573"/>
    <w:rsid w:val="00431C3B"/>
    <w:rsid w:val="004406BB"/>
    <w:rsid w:val="00442165"/>
    <w:rsid w:val="00455615"/>
    <w:rsid w:val="00460ED6"/>
    <w:rsid w:val="00465A8A"/>
    <w:rsid w:val="00485A2D"/>
    <w:rsid w:val="004D48B6"/>
    <w:rsid w:val="00542E0A"/>
    <w:rsid w:val="00582B3A"/>
    <w:rsid w:val="005A6BCD"/>
    <w:rsid w:val="005C2493"/>
    <w:rsid w:val="005E3F07"/>
    <w:rsid w:val="005E6720"/>
    <w:rsid w:val="005F10F3"/>
    <w:rsid w:val="006050BD"/>
    <w:rsid w:val="0062003D"/>
    <w:rsid w:val="00675BDA"/>
    <w:rsid w:val="00685C42"/>
    <w:rsid w:val="006C236B"/>
    <w:rsid w:val="006C3AAD"/>
    <w:rsid w:val="006C6A83"/>
    <w:rsid w:val="006E2CD3"/>
    <w:rsid w:val="006E7270"/>
    <w:rsid w:val="00707C99"/>
    <w:rsid w:val="00720C35"/>
    <w:rsid w:val="00730774"/>
    <w:rsid w:val="00745C1D"/>
    <w:rsid w:val="00754A91"/>
    <w:rsid w:val="00767B00"/>
    <w:rsid w:val="00776F92"/>
    <w:rsid w:val="00782303"/>
    <w:rsid w:val="007C468A"/>
    <w:rsid w:val="007C78AD"/>
    <w:rsid w:val="008015AE"/>
    <w:rsid w:val="00802FCD"/>
    <w:rsid w:val="008565DD"/>
    <w:rsid w:val="0088139D"/>
    <w:rsid w:val="008B6D2A"/>
    <w:rsid w:val="008C147E"/>
    <w:rsid w:val="008C1B45"/>
    <w:rsid w:val="008E3F8F"/>
    <w:rsid w:val="00944DD3"/>
    <w:rsid w:val="009511FE"/>
    <w:rsid w:val="00965311"/>
    <w:rsid w:val="009A1B09"/>
    <w:rsid w:val="009B50B1"/>
    <w:rsid w:val="009C6C34"/>
    <w:rsid w:val="009E1960"/>
    <w:rsid w:val="00A06646"/>
    <w:rsid w:val="00A22C4B"/>
    <w:rsid w:val="00A22DB0"/>
    <w:rsid w:val="00A35DCA"/>
    <w:rsid w:val="00A3729A"/>
    <w:rsid w:val="00A5716F"/>
    <w:rsid w:val="00A6452F"/>
    <w:rsid w:val="00A764DF"/>
    <w:rsid w:val="00A8635B"/>
    <w:rsid w:val="00AE023E"/>
    <w:rsid w:val="00B217E0"/>
    <w:rsid w:val="00B267D4"/>
    <w:rsid w:val="00B42379"/>
    <w:rsid w:val="00BB4A55"/>
    <w:rsid w:val="00BB7C78"/>
    <w:rsid w:val="00BC6CEF"/>
    <w:rsid w:val="00BD23E8"/>
    <w:rsid w:val="00BE53FF"/>
    <w:rsid w:val="00C01452"/>
    <w:rsid w:val="00C21338"/>
    <w:rsid w:val="00C25213"/>
    <w:rsid w:val="00C47C77"/>
    <w:rsid w:val="00C51DFF"/>
    <w:rsid w:val="00C53DE4"/>
    <w:rsid w:val="00C85FFA"/>
    <w:rsid w:val="00CC4E90"/>
    <w:rsid w:val="00CF5CA8"/>
    <w:rsid w:val="00D20DAC"/>
    <w:rsid w:val="00D654DC"/>
    <w:rsid w:val="00D7012E"/>
    <w:rsid w:val="00D764D7"/>
    <w:rsid w:val="00D9006B"/>
    <w:rsid w:val="00D93CEE"/>
    <w:rsid w:val="00DC6D25"/>
    <w:rsid w:val="00DD4B15"/>
    <w:rsid w:val="00DE5D75"/>
    <w:rsid w:val="00DF176B"/>
    <w:rsid w:val="00E02B31"/>
    <w:rsid w:val="00E32F01"/>
    <w:rsid w:val="00E52C91"/>
    <w:rsid w:val="00E66577"/>
    <w:rsid w:val="00E77D19"/>
    <w:rsid w:val="00E85B94"/>
    <w:rsid w:val="00E928B7"/>
    <w:rsid w:val="00EB5EFF"/>
    <w:rsid w:val="00EB63C3"/>
    <w:rsid w:val="00EC39FE"/>
    <w:rsid w:val="00EF602D"/>
    <w:rsid w:val="00F00716"/>
    <w:rsid w:val="00F148C9"/>
    <w:rsid w:val="00F22E18"/>
    <w:rsid w:val="00F26A53"/>
    <w:rsid w:val="00F27573"/>
    <w:rsid w:val="00F32B3C"/>
    <w:rsid w:val="00F34803"/>
    <w:rsid w:val="00F47268"/>
    <w:rsid w:val="00F67155"/>
    <w:rsid w:val="00F709E5"/>
    <w:rsid w:val="00FA3D8B"/>
    <w:rsid w:val="00FA3E7B"/>
    <w:rsid w:val="00FB6A20"/>
    <w:rsid w:val="00FD57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66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BC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74"/>
    <w:pPr>
      <w:ind w:left="720"/>
      <w:contextualSpacing/>
    </w:pPr>
  </w:style>
  <w:style w:type="paragraph" w:styleId="Header">
    <w:name w:val="header"/>
    <w:basedOn w:val="Normal"/>
    <w:link w:val="HeaderChar"/>
    <w:uiPriority w:val="99"/>
    <w:unhideWhenUsed/>
    <w:rsid w:val="00F34803"/>
    <w:pPr>
      <w:tabs>
        <w:tab w:val="center" w:pos="4320"/>
        <w:tab w:val="right" w:pos="8640"/>
      </w:tabs>
    </w:pPr>
  </w:style>
  <w:style w:type="character" w:customStyle="1" w:styleId="HeaderChar">
    <w:name w:val="Header Char"/>
    <w:basedOn w:val="DefaultParagraphFont"/>
    <w:link w:val="Header"/>
    <w:uiPriority w:val="99"/>
    <w:rsid w:val="00F34803"/>
    <w:rPr>
      <w:rFonts w:ascii="Times New Roman" w:hAnsi="Times New Roman"/>
    </w:rPr>
  </w:style>
  <w:style w:type="paragraph" w:styleId="Footer">
    <w:name w:val="footer"/>
    <w:basedOn w:val="Normal"/>
    <w:link w:val="FooterChar"/>
    <w:uiPriority w:val="99"/>
    <w:unhideWhenUsed/>
    <w:rsid w:val="00F34803"/>
    <w:pPr>
      <w:tabs>
        <w:tab w:val="center" w:pos="4320"/>
        <w:tab w:val="right" w:pos="8640"/>
      </w:tabs>
    </w:pPr>
  </w:style>
  <w:style w:type="character" w:customStyle="1" w:styleId="FooterChar">
    <w:name w:val="Footer Char"/>
    <w:basedOn w:val="DefaultParagraphFont"/>
    <w:link w:val="Footer"/>
    <w:uiPriority w:val="99"/>
    <w:rsid w:val="00F34803"/>
    <w:rPr>
      <w:rFonts w:ascii="Times New Roman" w:hAnsi="Times New Roman"/>
    </w:rPr>
  </w:style>
  <w:style w:type="paragraph" w:styleId="FootnoteText">
    <w:name w:val="footnote text"/>
    <w:basedOn w:val="Normal"/>
    <w:link w:val="FootnoteTextChar"/>
    <w:uiPriority w:val="99"/>
    <w:unhideWhenUsed/>
    <w:rsid w:val="002B214C"/>
  </w:style>
  <w:style w:type="character" w:customStyle="1" w:styleId="FootnoteTextChar">
    <w:name w:val="Footnote Text Char"/>
    <w:basedOn w:val="DefaultParagraphFont"/>
    <w:link w:val="FootnoteText"/>
    <w:uiPriority w:val="99"/>
    <w:rsid w:val="002B214C"/>
    <w:rPr>
      <w:rFonts w:ascii="Times New Roman" w:hAnsi="Times New Roman"/>
    </w:rPr>
  </w:style>
  <w:style w:type="character" w:styleId="FootnoteReference">
    <w:name w:val="footnote reference"/>
    <w:basedOn w:val="DefaultParagraphFont"/>
    <w:unhideWhenUsed/>
    <w:rsid w:val="002B214C"/>
    <w:rPr>
      <w:vertAlign w:val="superscript"/>
    </w:rPr>
  </w:style>
  <w:style w:type="paragraph" w:styleId="BalloonText">
    <w:name w:val="Balloon Text"/>
    <w:basedOn w:val="Normal"/>
    <w:link w:val="BalloonTextChar"/>
    <w:uiPriority w:val="99"/>
    <w:semiHidden/>
    <w:unhideWhenUsed/>
    <w:rsid w:val="008015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15A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BC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74"/>
    <w:pPr>
      <w:ind w:left="720"/>
      <w:contextualSpacing/>
    </w:pPr>
  </w:style>
  <w:style w:type="paragraph" w:styleId="Header">
    <w:name w:val="header"/>
    <w:basedOn w:val="Normal"/>
    <w:link w:val="HeaderChar"/>
    <w:uiPriority w:val="99"/>
    <w:unhideWhenUsed/>
    <w:rsid w:val="00F34803"/>
    <w:pPr>
      <w:tabs>
        <w:tab w:val="center" w:pos="4320"/>
        <w:tab w:val="right" w:pos="8640"/>
      </w:tabs>
    </w:pPr>
  </w:style>
  <w:style w:type="character" w:customStyle="1" w:styleId="HeaderChar">
    <w:name w:val="Header Char"/>
    <w:basedOn w:val="DefaultParagraphFont"/>
    <w:link w:val="Header"/>
    <w:uiPriority w:val="99"/>
    <w:rsid w:val="00F34803"/>
    <w:rPr>
      <w:rFonts w:ascii="Times New Roman" w:hAnsi="Times New Roman"/>
    </w:rPr>
  </w:style>
  <w:style w:type="paragraph" w:styleId="Footer">
    <w:name w:val="footer"/>
    <w:basedOn w:val="Normal"/>
    <w:link w:val="FooterChar"/>
    <w:uiPriority w:val="99"/>
    <w:unhideWhenUsed/>
    <w:rsid w:val="00F34803"/>
    <w:pPr>
      <w:tabs>
        <w:tab w:val="center" w:pos="4320"/>
        <w:tab w:val="right" w:pos="8640"/>
      </w:tabs>
    </w:pPr>
  </w:style>
  <w:style w:type="character" w:customStyle="1" w:styleId="FooterChar">
    <w:name w:val="Footer Char"/>
    <w:basedOn w:val="DefaultParagraphFont"/>
    <w:link w:val="Footer"/>
    <w:uiPriority w:val="99"/>
    <w:rsid w:val="00F34803"/>
    <w:rPr>
      <w:rFonts w:ascii="Times New Roman" w:hAnsi="Times New Roman"/>
    </w:rPr>
  </w:style>
  <w:style w:type="paragraph" w:styleId="FootnoteText">
    <w:name w:val="footnote text"/>
    <w:basedOn w:val="Normal"/>
    <w:link w:val="FootnoteTextChar"/>
    <w:uiPriority w:val="99"/>
    <w:unhideWhenUsed/>
    <w:rsid w:val="002B214C"/>
  </w:style>
  <w:style w:type="character" w:customStyle="1" w:styleId="FootnoteTextChar">
    <w:name w:val="Footnote Text Char"/>
    <w:basedOn w:val="DefaultParagraphFont"/>
    <w:link w:val="FootnoteText"/>
    <w:uiPriority w:val="99"/>
    <w:rsid w:val="002B214C"/>
    <w:rPr>
      <w:rFonts w:ascii="Times New Roman" w:hAnsi="Times New Roman"/>
    </w:rPr>
  </w:style>
  <w:style w:type="character" w:styleId="FootnoteReference">
    <w:name w:val="footnote reference"/>
    <w:basedOn w:val="DefaultParagraphFont"/>
    <w:unhideWhenUsed/>
    <w:rsid w:val="002B214C"/>
    <w:rPr>
      <w:vertAlign w:val="superscript"/>
    </w:rPr>
  </w:style>
  <w:style w:type="paragraph" w:styleId="BalloonText">
    <w:name w:val="Balloon Text"/>
    <w:basedOn w:val="Normal"/>
    <w:link w:val="BalloonTextChar"/>
    <w:uiPriority w:val="99"/>
    <w:semiHidden/>
    <w:unhideWhenUsed/>
    <w:rsid w:val="008015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15A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3351">
      <w:bodyDiv w:val="1"/>
      <w:marLeft w:val="0"/>
      <w:marRight w:val="0"/>
      <w:marTop w:val="0"/>
      <w:marBottom w:val="0"/>
      <w:divBdr>
        <w:top w:val="none" w:sz="0" w:space="0" w:color="auto"/>
        <w:left w:val="none" w:sz="0" w:space="0" w:color="auto"/>
        <w:bottom w:val="none" w:sz="0" w:space="0" w:color="auto"/>
        <w:right w:val="none" w:sz="0" w:space="0" w:color="auto"/>
      </w:divBdr>
      <w:divsChild>
        <w:div w:id="2132548103">
          <w:marLeft w:val="0"/>
          <w:marRight w:val="0"/>
          <w:marTop w:val="0"/>
          <w:marBottom w:val="0"/>
          <w:divBdr>
            <w:top w:val="none" w:sz="0" w:space="0" w:color="auto"/>
            <w:left w:val="none" w:sz="0" w:space="0" w:color="auto"/>
            <w:bottom w:val="none" w:sz="0" w:space="0" w:color="auto"/>
            <w:right w:val="none" w:sz="0" w:space="0" w:color="auto"/>
          </w:divBdr>
          <w:divsChild>
            <w:div w:id="2046297125">
              <w:marLeft w:val="0"/>
              <w:marRight w:val="0"/>
              <w:marTop w:val="0"/>
              <w:marBottom w:val="0"/>
              <w:divBdr>
                <w:top w:val="none" w:sz="0" w:space="0" w:color="auto"/>
                <w:left w:val="none" w:sz="0" w:space="0" w:color="auto"/>
                <w:bottom w:val="none" w:sz="0" w:space="0" w:color="auto"/>
                <w:right w:val="none" w:sz="0" w:space="0" w:color="auto"/>
              </w:divBdr>
              <w:divsChild>
                <w:div w:id="760445884">
                  <w:marLeft w:val="0"/>
                  <w:marRight w:val="0"/>
                  <w:marTop w:val="0"/>
                  <w:marBottom w:val="0"/>
                  <w:divBdr>
                    <w:top w:val="none" w:sz="0" w:space="0" w:color="auto"/>
                    <w:left w:val="none" w:sz="0" w:space="0" w:color="auto"/>
                    <w:bottom w:val="none" w:sz="0" w:space="0" w:color="auto"/>
                    <w:right w:val="none" w:sz="0" w:space="0" w:color="auto"/>
                  </w:divBdr>
                  <w:divsChild>
                    <w:div w:id="5892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51617">
      <w:bodyDiv w:val="1"/>
      <w:marLeft w:val="0"/>
      <w:marRight w:val="0"/>
      <w:marTop w:val="0"/>
      <w:marBottom w:val="0"/>
      <w:divBdr>
        <w:top w:val="none" w:sz="0" w:space="0" w:color="auto"/>
        <w:left w:val="none" w:sz="0" w:space="0" w:color="auto"/>
        <w:bottom w:val="none" w:sz="0" w:space="0" w:color="auto"/>
        <w:right w:val="none" w:sz="0" w:space="0" w:color="auto"/>
      </w:divBdr>
      <w:divsChild>
        <w:div w:id="1384139600">
          <w:marLeft w:val="0"/>
          <w:marRight w:val="0"/>
          <w:marTop w:val="0"/>
          <w:marBottom w:val="0"/>
          <w:divBdr>
            <w:top w:val="none" w:sz="0" w:space="0" w:color="auto"/>
            <w:left w:val="none" w:sz="0" w:space="0" w:color="auto"/>
            <w:bottom w:val="none" w:sz="0" w:space="0" w:color="auto"/>
            <w:right w:val="none" w:sz="0" w:space="0" w:color="auto"/>
          </w:divBdr>
          <w:divsChild>
            <w:div w:id="287440931">
              <w:marLeft w:val="0"/>
              <w:marRight w:val="0"/>
              <w:marTop w:val="0"/>
              <w:marBottom w:val="0"/>
              <w:divBdr>
                <w:top w:val="none" w:sz="0" w:space="0" w:color="auto"/>
                <w:left w:val="none" w:sz="0" w:space="0" w:color="auto"/>
                <w:bottom w:val="none" w:sz="0" w:space="0" w:color="auto"/>
                <w:right w:val="none" w:sz="0" w:space="0" w:color="auto"/>
              </w:divBdr>
              <w:divsChild>
                <w:div w:id="1047754387">
                  <w:marLeft w:val="0"/>
                  <w:marRight w:val="0"/>
                  <w:marTop w:val="0"/>
                  <w:marBottom w:val="0"/>
                  <w:divBdr>
                    <w:top w:val="none" w:sz="0" w:space="0" w:color="auto"/>
                    <w:left w:val="none" w:sz="0" w:space="0" w:color="auto"/>
                    <w:bottom w:val="none" w:sz="0" w:space="0" w:color="auto"/>
                    <w:right w:val="none" w:sz="0" w:space="0" w:color="auto"/>
                  </w:divBdr>
                  <w:divsChild>
                    <w:div w:id="16316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2015-07-13T07:00:00+00:00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25168C7-BC2B-4F5B-9CA5-80F5BC439CCE}"/>
</file>

<file path=customXml/itemProps2.xml><?xml version="1.0" encoding="utf-8"?>
<ds:datastoreItem xmlns:ds="http://schemas.openxmlformats.org/officeDocument/2006/customXml" ds:itemID="{5F6932C3-79B2-430F-A297-A4639EDD3B55}"/>
</file>

<file path=customXml/itemProps3.xml><?xml version="1.0" encoding="utf-8"?>
<ds:datastoreItem xmlns:ds="http://schemas.openxmlformats.org/officeDocument/2006/customXml" ds:itemID="{420411C2-F05B-4FEB-8FFF-9FDA8534F3EA}"/>
</file>

<file path=customXml/itemProps4.xml><?xml version="1.0" encoding="utf-8"?>
<ds:datastoreItem xmlns:ds="http://schemas.openxmlformats.org/officeDocument/2006/customXml" ds:itemID="{0FDE2B76-C190-4680-A082-1EB0C48DD55C}"/>
</file>

<file path=docProps/app.xml><?xml version="1.0" encoding="utf-8"?>
<Properties xmlns="http://schemas.openxmlformats.org/officeDocument/2006/extended-properties" xmlns:vt="http://schemas.openxmlformats.org/officeDocument/2006/docPropsVTypes">
  <Template>Normal.dotm</Template>
  <TotalTime>2</TotalTime>
  <Pages>13</Pages>
  <Words>3144</Words>
  <Characters>17921</Characters>
  <Application>Microsoft Macintosh Word</Application>
  <DocSecurity>0</DocSecurity>
  <Lines>149</Lines>
  <Paragraphs>42</Paragraphs>
  <ScaleCrop>false</ScaleCrop>
  <Company>Sanger Law</Company>
  <LinksUpToDate>false</LinksUpToDate>
  <CharactersWithSpaces>21023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Irion Sanger</dc:creator>
  <cp:keywords/>
  <dc:description/>
  <cp:lastModifiedBy>Irion Sanger</cp:lastModifiedBy>
  <cp:revision>3</cp:revision>
  <cp:lastPrinted>2015-07-13T00:22:00Z</cp:lastPrinted>
  <dcterms:created xsi:type="dcterms:W3CDTF">2015-07-13T00:22:00Z</dcterms:created>
  <dcterms:modified xsi:type="dcterms:W3CDTF">2015-07-13T01:19:00Z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