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B814E2" w:rsidRDefault="00B814E2" w:rsidP="00B814E2">
      <w:pPr>
        <w:ind w:left="5760"/>
        <w:rPr>
          <w:b/>
        </w:rPr>
      </w:pPr>
      <w:bookmarkStart w:id="0" w:name="_GoBack"/>
      <w:bookmarkEnd w:id="0"/>
      <w:r w:rsidRPr="00B814E2">
        <w:rPr>
          <w:b/>
        </w:rPr>
        <w:t xml:space="preserve">Exhibit No. ___T </w:t>
      </w:r>
      <w:r w:rsidR="00523F58" w:rsidRPr="00B814E2">
        <w:rPr>
          <w:b/>
        </w:rPr>
        <w:t>(</w:t>
      </w:r>
      <w:r w:rsidR="00523F58">
        <w:rPr>
          <w:b/>
        </w:rPr>
        <w:t>SW-1</w:t>
      </w:r>
      <w:r w:rsidRPr="00B814E2">
        <w:rPr>
          <w:b/>
        </w:rPr>
        <w:t>T)</w:t>
      </w:r>
    </w:p>
    <w:p w:rsidR="00B814E2" w:rsidRPr="00B814E2" w:rsidRDefault="00B814E2" w:rsidP="00B814E2">
      <w:pPr>
        <w:ind w:left="5760"/>
        <w:rPr>
          <w:b/>
        </w:rPr>
      </w:pPr>
      <w:r w:rsidRPr="00B814E2">
        <w:rPr>
          <w:b/>
        </w:rPr>
        <w:t>Docket</w:t>
      </w:r>
      <w:r w:rsidR="003B69E5">
        <w:rPr>
          <w:b/>
        </w:rPr>
        <w:t xml:space="preserve">: </w:t>
      </w:r>
      <w:r w:rsidRPr="00B814E2">
        <w:rPr>
          <w:b/>
        </w:rPr>
        <w:t xml:space="preserve"> </w:t>
      </w:r>
      <w:r w:rsidR="00BE6E2C">
        <w:rPr>
          <w:b/>
        </w:rPr>
        <w:t>U</w:t>
      </w:r>
      <w:r w:rsidRPr="00B814E2">
        <w:rPr>
          <w:b/>
        </w:rPr>
        <w:t>-</w:t>
      </w:r>
      <w:r w:rsidR="00BE6E2C">
        <w:rPr>
          <w:b/>
        </w:rPr>
        <w:t>110808</w:t>
      </w:r>
    </w:p>
    <w:p w:rsidR="00B814E2" w:rsidRPr="00B814E2" w:rsidRDefault="0046251D" w:rsidP="00B814E2">
      <w:pPr>
        <w:ind w:left="5760"/>
        <w:rPr>
          <w:b/>
        </w:rPr>
      </w:pPr>
      <w:r>
        <w:rPr>
          <w:b/>
        </w:rPr>
        <w:t xml:space="preserve">Witness:  </w:t>
      </w:r>
      <w:r w:rsidR="002C077A">
        <w:rPr>
          <w:b/>
        </w:rPr>
        <w:t>Sharon Wallace</w:t>
      </w:r>
      <w:r w:rsidR="00B814E2" w:rsidRPr="00B814E2">
        <w:rPr>
          <w:b/>
        </w:rPr>
        <w:t xml:space="preserve"> </w:t>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Default="00B814E2" w:rsidP="00B814E2">
      <w:pPr>
        <w:rPr>
          <w:b/>
        </w:rPr>
      </w:pPr>
    </w:p>
    <w:p w:rsidR="003B69E5" w:rsidRPr="00B814E2" w:rsidRDefault="003B69E5" w:rsidP="00B814E2">
      <w:pP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8407B2">
        <w:tc>
          <w:tcPr>
            <w:tcW w:w="4590" w:type="dxa"/>
            <w:tcBorders>
              <w:top w:val="single" w:sz="6" w:space="0" w:color="FFFFFF"/>
              <w:left w:val="single" w:sz="6" w:space="0" w:color="FFFFFF"/>
              <w:bottom w:val="single" w:sz="7" w:space="0" w:color="000000"/>
              <w:right w:val="single" w:sz="6" w:space="0" w:color="FFFFFF"/>
            </w:tcBorders>
          </w:tcPr>
          <w:p w:rsidR="00B814E2" w:rsidRDefault="003B69E5" w:rsidP="00523F58">
            <w:pPr>
              <w:rPr>
                <w:b/>
                <w:bCs/>
              </w:rPr>
            </w:pPr>
            <w:r>
              <w:rPr>
                <w:b/>
                <w:bCs/>
              </w:rPr>
              <w:t>WASHINGTON UTILITIES AND TRANSPORTATION COMMISSION</w:t>
            </w:r>
            <w:r w:rsidR="00B814E2">
              <w:rPr>
                <w:b/>
                <w:bCs/>
              </w:rPr>
              <w:t>,</w:t>
            </w:r>
          </w:p>
          <w:p w:rsidR="00B814E2" w:rsidRDefault="00B814E2" w:rsidP="00523F58">
            <w:pPr>
              <w:rPr>
                <w:b/>
                <w:bCs/>
              </w:rPr>
            </w:pPr>
          </w:p>
          <w:p w:rsidR="00B814E2" w:rsidRDefault="00B814E2" w:rsidP="00523F58">
            <w:pPr>
              <w:rPr>
                <w:b/>
                <w:bCs/>
              </w:rPr>
            </w:pPr>
            <w:r>
              <w:rPr>
                <w:b/>
                <w:bCs/>
              </w:rPr>
              <w:tab/>
              <w:t xml:space="preserve">Complainant, </w:t>
            </w:r>
          </w:p>
          <w:p w:rsidR="00B814E2" w:rsidRDefault="00B814E2" w:rsidP="00523F58">
            <w:pPr>
              <w:rPr>
                <w:b/>
                <w:bCs/>
              </w:rPr>
            </w:pPr>
          </w:p>
          <w:p w:rsidR="00B814E2" w:rsidRDefault="00B814E2" w:rsidP="00523F58">
            <w:pPr>
              <w:rPr>
                <w:b/>
                <w:bCs/>
              </w:rPr>
            </w:pPr>
            <w:r>
              <w:rPr>
                <w:b/>
                <w:bCs/>
              </w:rPr>
              <w:t>v.</w:t>
            </w:r>
          </w:p>
          <w:p w:rsidR="00B814E2" w:rsidRDefault="00B814E2" w:rsidP="00523F58">
            <w:pPr>
              <w:rPr>
                <w:b/>
                <w:bCs/>
              </w:rPr>
            </w:pPr>
          </w:p>
          <w:p w:rsidR="00B814E2" w:rsidRDefault="003B69E5" w:rsidP="00523F58">
            <w:pPr>
              <w:rPr>
                <w:b/>
                <w:bCs/>
              </w:rPr>
            </w:pPr>
            <w:r>
              <w:rPr>
                <w:b/>
                <w:bCs/>
              </w:rPr>
              <w:t>PUGET SOUND ENERGY, INC.</w:t>
            </w:r>
          </w:p>
          <w:p w:rsidR="00B814E2" w:rsidRDefault="00B814E2" w:rsidP="00523F58">
            <w:pPr>
              <w:rPr>
                <w:b/>
                <w:bCs/>
              </w:rPr>
            </w:pPr>
          </w:p>
          <w:p w:rsidR="00B814E2" w:rsidRDefault="002C077A" w:rsidP="00523F58">
            <w:pPr>
              <w:spacing w:after="19"/>
              <w:rPr>
                <w:b/>
                <w:bCs/>
              </w:rPr>
            </w:pPr>
            <w:r>
              <w:rPr>
                <w:b/>
                <w:bCs/>
              </w:rPr>
              <w:tab/>
              <w:t>Respondent</w:t>
            </w:r>
            <w:r w:rsidR="00B814E2">
              <w:rPr>
                <w:b/>
                <w:bCs/>
              </w:rPr>
              <w:t>.</w:t>
            </w:r>
          </w:p>
          <w:p w:rsidR="003B69E5" w:rsidRDefault="003B69E5" w:rsidP="00523F58">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523F58">
            <w:pPr>
              <w:ind w:firstLine="720"/>
              <w:rPr>
                <w:b/>
                <w:bCs/>
              </w:rPr>
            </w:pPr>
            <w:r>
              <w:rPr>
                <w:b/>
                <w:bCs/>
              </w:rPr>
              <w:t xml:space="preserve">DOCKET </w:t>
            </w:r>
            <w:r w:rsidR="008407B2">
              <w:rPr>
                <w:b/>
                <w:bCs/>
              </w:rPr>
              <w:t>U-110808</w:t>
            </w:r>
          </w:p>
          <w:p w:rsidR="00B814E2" w:rsidRDefault="00B814E2" w:rsidP="00523F58">
            <w:pPr>
              <w:rPr>
                <w:b/>
                <w:bCs/>
              </w:rPr>
            </w:pPr>
          </w:p>
          <w:p w:rsidR="00B814E2" w:rsidRDefault="00B814E2" w:rsidP="00523F58">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p>
    <w:p w:rsidR="00B814E2" w:rsidRDefault="00B814E2" w:rsidP="00B814E2">
      <w:pPr>
        <w:jc w:val="center"/>
        <w:rPr>
          <w:b/>
          <w:bCs/>
        </w:rPr>
      </w:pPr>
    </w:p>
    <w:p w:rsidR="00B814E2" w:rsidRDefault="009312CE" w:rsidP="00B814E2">
      <w:pPr>
        <w:tabs>
          <w:tab w:val="center" w:pos="4680"/>
        </w:tabs>
        <w:jc w:val="center"/>
        <w:rPr>
          <w:b/>
          <w:bCs/>
        </w:rPr>
      </w:pPr>
      <w:r>
        <w:rPr>
          <w:b/>
          <w:bCs/>
        </w:rPr>
        <w:t>Sharon Wallace</w:t>
      </w:r>
    </w:p>
    <w:p w:rsidR="00B814E2" w:rsidRDefault="00B814E2"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jc w:val="center"/>
        <w:rPr>
          <w:b/>
          <w:bCs/>
        </w:rPr>
      </w:pPr>
    </w:p>
    <w:p w:rsidR="00B814E2" w:rsidRPr="00B814E2" w:rsidRDefault="00B814E2" w:rsidP="00F47D98">
      <w:pPr>
        <w:rPr>
          <w:b/>
          <w:bCs/>
          <w:i/>
        </w:rPr>
      </w:pPr>
    </w:p>
    <w:p w:rsidR="00B814E2" w:rsidRDefault="00B814E2" w:rsidP="00B814E2">
      <w:pPr>
        <w:rPr>
          <w:b/>
          <w:bCs/>
        </w:rPr>
      </w:pPr>
    </w:p>
    <w:p w:rsidR="003B69E5" w:rsidRDefault="003B69E5" w:rsidP="00B814E2">
      <w:pPr>
        <w:rPr>
          <w:b/>
          <w:bCs/>
        </w:rPr>
      </w:pPr>
    </w:p>
    <w:p w:rsidR="00B814E2" w:rsidRDefault="00B814E2" w:rsidP="00B814E2">
      <w:pPr>
        <w:rPr>
          <w:b/>
          <w:bCs/>
        </w:rPr>
      </w:pPr>
    </w:p>
    <w:p w:rsidR="00B814E2" w:rsidRDefault="00341E09" w:rsidP="00B814E2">
      <w:pPr>
        <w:jc w:val="center"/>
        <w:rPr>
          <w:b/>
          <w:bCs/>
        </w:rPr>
      </w:pPr>
      <w:r>
        <w:rPr>
          <w:b/>
          <w:bCs/>
        </w:rPr>
        <w:t>May 3, 2012</w:t>
      </w:r>
    </w:p>
    <w:p w:rsidR="00B814E2" w:rsidRDefault="00B814E2" w:rsidP="00B814E2"/>
    <w:p w:rsidR="00B814E2" w:rsidRDefault="00B814E2" w:rsidP="00B814E2"/>
    <w:p w:rsidR="00B814E2" w:rsidRDefault="00B814E2" w:rsidP="00B814E2">
      <w:pPr>
        <w:sectPr w:rsidR="00B814E2" w:rsidSect="00571420">
          <w:pgSz w:w="12240" w:h="15840"/>
          <w:pgMar w:top="1440" w:right="1440" w:bottom="1440" w:left="1872" w:header="720" w:footer="720" w:gutter="0"/>
          <w:paperSrc w:first="261" w:other="261"/>
          <w:cols w:space="720"/>
          <w:docGrid w:linePitch="360"/>
        </w:sectPr>
      </w:pPr>
    </w:p>
    <w:p w:rsidR="00B814E2" w:rsidRDefault="00B814E2" w:rsidP="00B814E2">
      <w:pPr>
        <w:jc w:val="center"/>
      </w:pPr>
      <w:r>
        <w:rPr>
          <w:b/>
        </w:rPr>
        <w:lastRenderedPageBreak/>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r>
      <w:r w:rsidR="00523F58">
        <w:t>DISCUSSION</w:t>
      </w:r>
      <w:r>
        <w:t xml:space="preserve"> </w:t>
      </w:r>
      <w:r>
        <w:tab/>
      </w:r>
      <w:r w:rsidR="00341E09">
        <w:t>2</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p>
    <w:p w:rsidR="00B814E2" w:rsidRDefault="00B814E2" w:rsidP="00B814E2"/>
    <w:p w:rsidR="00B814E2" w:rsidRDefault="00B814E2" w:rsidP="00B814E2"/>
    <w:p w:rsidR="00B814E2" w:rsidRDefault="00B814E2" w:rsidP="00B814E2"/>
    <w:p w:rsidR="00B814E2" w:rsidRDefault="00B814E2" w:rsidP="00B814E2">
      <w:pPr>
        <w:sectPr w:rsidR="00B814E2" w:rsidSect="0015026F">
          <w:footerReference w:type="default" r:id="rId9"/>
          <w:pgSz w:w="12240" w:h="15840"/>
          <w:pgMar w:top="1440" w:right="1440" w:bottom="1440" w:left="1872" w:header="720" w:footer="720" w:gutter="0"/>
          <w:pgNumType w:fmt="lowerRoman" w:start="1"/>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B814E2" w:rsidRDefault="00B814E2" w:rsidP="00B814E2">
      <w:pPr>
        <w:spacing w:line="480" w:lineRule="auto"/>
        <w:rPr>
          <w:b/>
        </w:rPr>
      </w:pPr>
    </w:p>
    <w:p w:rsidR="00B814E2" w:rsidRDefault="00B814E2" w:rsidP="00B814E2">
      <w:pPr>
        <w:spacing w:line="480" w:lineRule="auto"/>
      </w:pPr>
      <w:r>
        <w:rPr>
          <w:b/>
        </w:rPr>
        <w:t>Q.</w:t>
      </w:r>
      <w:r>
        <w:rPr>
          <w:b/>
        </w:rPr>
        <w:tab/>
        <w:t xml:space="preserve">Please state your name and business address.  </w:t>
      </w:r>
    </w:p>
    <w:p w:rsidR="00B814E2" w:rsidRDefault="00B814E2" w:rsidP="00B814E2">
      <w:pPr>
        <w:spacing w:line="480" w:lineRule="auto"/>
        <w:ind w:left="720" w:hanging="720"/>
      </w:pPr>
      <w:r>
        <w:t>A.</w:t>
      </w:r>
      <w:r>
        <w:tab/>
      </w:r>
      <w:r w:rsidR="00341E09">
        <w:t>My name is</w:t>
      </w:r>
      <w:r>
        <w:t xml:space="preserve"> </w:t>
      </w:r>
      <w:r w:rsidR="009312CE">
        <w:t>Sharon Wallace</w:t>
      </w:r>
      <w:r>
        <w:t xml:space="preserve">.  My business address is 1300 S. Evergreen Park Drive SW, P.O. Box 47250, Olympia, WA  98504.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 xml:space="preserve">I am employed by the Washington Utilities and Transportation Commission as </w:t>
      </w:r>
      <w:r w:rsidR="00285989">
        <w:t xml:space="preserve">the </w:t>
      </w:r>
      <w:r w:rsidR="009312CE">
        <w:t xml:space="preserve">Assistant </w:t>
      </w:r>
      <w:r w:rsidR="00285989">
        <w:t xml:space="preserve">Director </w:t>
      </w:r>
      <w:r w:rsidR="008D56AC">
        <w:t xml:space="preserve">for </w:t>
      </w:r>
      <w:r w:rsidR="00285989">
        <w:t>Consumer Protection</w:t>
      </w:r>
      <w:r w:rsidR="009312CE">
        <w:t xml:space="preserve"> and Communications</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How long have you been employed by the Commission?  </w:t>
      </w:r>
      <w:r>
        <w:t xml:space="preserve"> </w:t>
      </w:r>
    </w:p>
    <w:p w:rsidR="00B814E2" w:rsidRDefault="00B814E2" w:rsidP="00B814E2">
      <w:pPr>
        <w:spacing w:line="480" w:lineRule="auto"/>
        <w:ind w:left="720" w:hanging="720"/>
      </w:pPr>
      <w:r>
        <w:t>A.</w:t>
      </w:r>
      <w:r>
        <w:tab/>
      </w:r>
      <w:r w:rsidR="00057A90">
        <w:t>Four years and six months.</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rsidR="00341E09" w:rsidRDefault="00B814E2" w:rsidP="00B814E2">
      <w:pPr>
        <w:spacing w:line="480" w:lineRule="auto"/>
        <w:ind w:left="720" w:hanging="720"/>
      </w:pPr>
      <w:r>
        <w:t>A.</w:t>
      </w:r>
      <w:r>
        <w:tab/>
      </w:r>
      <w:r w:rsidR="00057A90">
        <w:t>I have a liberal arts degree from The Evergreen State College, Olympia, WA, and am a Master’s in Public Administration candidate at the University of Washington, Seattle.</w:t>
      </w:r>
      <w:r w:rsidR="00523F58">
        <w:t xml:space="preserve"> </w:t>
      </w:r>
      <w:r w:rsidR="00057A90">
        <w:t xml:space="preserve"> I have worked for the State of Washington for 10 years, having served as a Special Deputy to the Chief of the Washington State Patrol and on senior staff as Communications Director for Governor Gary Locke</w:t>
      </w:r>
      <w:r w:rsidR="00F47D98">
        <w:t>.</w:t>
      </w:r>
      <w:r w:rsidR="00057A90">
        <w:t xml:space="preserve"> </w:t>
      </w:r>
    </w:p>
    <w:p w:rsidR="00341E09" w:rsidRDefault="00341E09" w:rsidP="00B814E2">
      <w:pPr>
        <w:spacing w:line="480" w:lineRule="auto"/>
        <w:ind w:left="720" w:hanging="720"/>
      </w:pPr>
    </w:p>
    <w:p w:rsidR="00341E09" w:rsidRDefault="00341E09" w:rsidP="00B814E2">
      <w:pPr>
        <w:spacing w:line="480" w:lineRule="auto"/>
        <w:ind w:left="720" w:hanging="720"/>
      </w:pPr>
    </w:p>
    <w:p w:rsidR="00F47D98" w:rsidRDefault="00F47D98" w:rsidP="00B814E2">
      <w:pPr>
        <w:spacing w:line="480" w:lineRule="auto"/>
        <w:ind w:left="720" w:hanging="720"/>
      </w:pPr>
    </w:p>
    <w:p w:rsidR="00341E09" w:rsidRDefault="00341E09" w:rsidP="00B814E2">
      <w:pPr>
        <w:spacing w:line="480" w:lineRule="auto"/>
        <w:ind w:left="720" w:hanging="720"/>
      </w:pPr>
    </w:p>
    <w:p w:rsidR="00B814E2" w:rsidRDefault="00B814E2" w:rsidP="003B69E5">
      <w:pPr>
        <w:spacing w:line="480" w:lineRule="auto"/>
        <w:jc w:val="center"/>
      </w:pPr>
      <w:r>
        <w:rPr>
          <w:b/>
        </w:rPr>
        <w:lastRenderedPageBreak/>
        <w:t>II.</w:t>
      </w:r>
      <w:r>
        <w:rPr>
          <w:b/>
        </w:rPr>
        <w:tab/>
      </w:r>
      <w:r w:rsidR="00523F58">
        <w:rPr>
          <w:b/>
        </w:rPr>
        <w:t>DISCUSSION</w:t>
      </w:r>
    </w:p>
    <w:p w:rsidR="00B814E2" w:rsidRDefault="00B814E2" w:rsidP="00B814E2">
      <w:pPr>
        <w:spacing w:line="480" w:lineRule="auto"/>
        <w:ind w:left="720" w:hanging="720"/>
      </w:pPr>
    </w:p>
    <w:p w:rsidR="00B814E2" w:rsidRDefault="00B814E2" w:rsidP="00B814E2">
      <w:pPr>
        <w:spacing w:line="480" w:lineRule="auto"/>
        <w:ind w:left="720" w:hanging="720"/>
        <w:rPr>
          <w:b/>
        </w:rPr>
      </w:pPr>
      <w:r>
        <w:rPr>
          <w:b/>
        </w:rPr>
        <w:t>Q.</w:t>
      </w:r>
      <w:r>
        <w:rPr>
          <w:b/>
        </w:rPr>
        <w:tab/>
      </w:r>
      <w:r w:rsidR="009A03A7">
        <w:rPr>
          <w:b/>
        </w:rPr>
        <w:t xml:space="preserve">Please </w:t>
      </w:r>
      <w:r w:rsidR="00285989">
        <w:rPr>
          <w:b/>
        </w:rPr>
        <w:t>describe your</w:t>
      </w:r>
      <w:r w:rsidR="00C5213D">
        <w:rPr>
          <w:b/>
        </w:rPr>
        <w:t xml:space="preserve"> </w:t>
      </w:r>
      <w:r w:rsidR="00285989" w:rsidRPr="00F47D98">
        <w:rPr>
          <w:b/>
        </w:rPr>
        <w:t>role</w:t>
      </w:r>
      <w:r w:rsidR="00285989">
        <w:rPr>
          <w:b/>
        </w:rPr>
        <w:t xml:space="preserve"> in</w:t>
      </w:r>
      <w:r w:rsidR="009A03A7">
        <w:rPr>
          <w:b/>
        </w:rPr>
        <w:t xml:space="preserve"> the investigation </w:t>
      </w:r>
      <w:r w:rsidR="00285989">
        <w:rPr>
          <w:b/>
        </w:rPr>
        <w:t>related to</w:t>
      </w:r>
      <w:r w:rsidR="00F47D98">
        <w:rPr>
          <w:b/>
        </w:rPr>
        <w:t xml:space="preserve"> Docket U-100182</w:t>
      </w:r>
      <w:r w:rsidR="009A03A7">
        <w:rPr>
          <w:b/>
        </w:rPr>
        <w:t xml:space="preserve"> and </w:t>
      </w:r>
      <w:r w:rsidR="00285989">
        <w:rPr>
          <w:b/>
        </w:rPr>
        <w:t>your understanding of the violations contained in the</w:t>
      </w:r>
      <w:r w:rsidR="009A03A7">
        <w:rPr>
          <w:b/>
        </w:rPr>
        <w:t xml:space="preserve"> 26 accounts</w:t>
      </w:r>
      <w:r w:rsidR="00931369">
        <w:rPr>
          <w:b/>
        </w:rPr>
        <w:t xml:space="preserve"> </w:t>
      </w:r>
      <w:r w:rsidR="00285989">
        <w:rPr>
          <w:b/>
        </w:rPr>
        <w:t>identified</w:t>
      </w:r>
      <w:r w:rsidR="00931369">
        <w:rPr>
          <w:b/>
        </w:rPr>
        <w:t xml:space="preserve"> in the </w:t>
      </w:r>
      <w:r w:rsidR="003B69E5">
        <w:rPr>
          <w:b/>
        </w:rPr>
        <w:t>I</w:t>
      </w:r>
      <w:r w:rsidR="00931369">
        <w:rPr>
          <w:b/>
        </w:rPr>
        <w:t xml:space="preserve">nvestigation </w:t>
      </w:r>
      <w:r w:rsidR="003B69E5">
        <w:rPr>
          <w:b/>
        </w:rPr>
        <w:t>R</w:t>
      </w:r>
      <w:r w:rsidR="00931369">
        <w:rPr>
          <w:b/>
        </w:rPr>
        <w:t>eport</w:t>
      </w:r>
      <w:r w:rsidR="009A03A7">
        <w:rPr>
          <w:b/>
        </w:rPr>
        <w:t>.</w:t>
      </w:r>
    </w:p>
    <w:p w:rsidR="00820EB0" w:rsidRDefault="00285989" w:rsidP="00820EB0">
      <w:pPr>
        <w:spacing w:line="480" w:lineRule="auto"/>
        <w:ind w:left="720" w:hanging="720"/>
      </w:pPr>
      <w:r>
        <w:t>A.</w:t>
      </w:r>
      <w:r>
        <w:tab/>
      </w:r>
      <w:r w:rsidR="00820EB0">
        <w:t>In 2010,</w:t>
      </w:r>
      <w:r w:rsidR="002C077A">
        <w:t xml:space="preserve"> Commission</w:t>
      </w:r>
      <w:r w:rsidR="00820EB0">
        <w:t xml:space="preserve"> Staff</w:t>
      </w:r>
      <w:r w:rsidR="002C077A">
        <w:t xml:space="preserve"> (“Staff”)</w:t>
      </w:r>
      <w:r w:rsidR="00820EB0">
        <w:t xml:space="preserve"> began</w:t>
      </w:r>
      <w:r w:rsidR="00F47D98">
        <w:t xml:space="preserve"> an investigation</w:t>
      </w:r>
      <w:r w:rsidR="00820EB0">
        <w:t xml:space="preserve"> into how each of the regulated energy companies in Washington state were applying</w:t>
      </w:r>
      <w:r w:rsidR="00523F58">
        <w:t xml:space="preserve"> </w:t>
      </w:r>
      <w:r w:rsidR="003B69E5">
        <w:t>r</w:t>
      </w:r>
      <w:r w:rsidR="00523F58">
        <w:t>efusal of service rules,</w:t>
      </w:r>
      <w:r w:rsidR="00820EB0">
        <w:t xml:space="preserve"> WAC 480-90</w:t>
      </w:r>
      <w:r w:rsidR="00523F58">
        <w:t xml:space="preserve">-123 and WAC 480-100-123.  </w:t>
      </w:r>
      <w:r w:rsidR="003B69E5">
        <w:t xml:space="preserve">The </w:t>
      </w:r>
      <w:r w:rsidR="002C077A">
        <w:t>Puget Sound Energy, Inc. (“</w:t>
      </w:r>
      <w:r w:rsidR="00820EB0">
        <w:t>PSE</w:t>
      </w:r>
      <w:r w:rsidR="002C077A">
        <w:t>” or “Company”)</w:t>
      </w:r>
      <w:r w:rsidR="00820EB0">
        <w:t xml:space="preserve"> investigation, and subsequent </w:t>
      </w:r>
      <w:r w:rsidR="00523F58">
        <w:t>penalty assessment</w:t>
      </w:r>
      <w:r w:rsidR="00820EB0">
        <w:t xml:space="preserve">, </w:t>
      </w:r>
      <w:r w:rsidR="00F47D98">
        <w:t>may be found</w:t>
      </w:r>
      <w:r w:rsidR="00820EB0">
        <w:t xml:space="preserve"> in Docket U-100182</w:t>
      </w:r>
      <w:r w:rsidR="007304BB">
        <w:t>.</w:t>
      </w:r>
    </w:p>
    <w:p w:rsidR="00EB5E36" w:rsidRDefault="003B69E5" w:rsidP="00EB5E36">
      <w:pPr>
        <w:spacing w:line="480" w:lineRule="auto"/>
        <w:ind w:left="720" w:firstLine="720"/>
      </w:pPr>
      <w:r>
        <w:t>Compliance I</w:t>
      </w:r>
      <w:r w:rsidR="00FF7E18">
        <w:t>nvestigator Rayne Pearson</w:t>
      </w:r>
      <w:r w:rsidR="00F47D98">
        <w:t xml:space="preserve"> is an employee in the Consumer Protection and Communications section, which I supervise</w:t>
      </w:r>
      <w:r w:rsidR="00FF7E18">
        <w:t xml:space="preserve">. </w:t>
      </w:r>
      <w:r w:rsidR="00523F58">
        <w:t xml:space="preserve"> </w:t>
      </w:r>
      <w:r w:rsidR="00407C67">
        <w:t xml:space="preserve">I worked with Ms. Pearson on the initiation of the </w:t>
      </w:r>
      <w:r w:rsidR="00820EB0">
        <w:t xml:space="preserve">investigation.  I reviewed the investigation reports on </w:t>
      </w:r>
      <w:r w:rsidR="00407C67">
        <w:t>all five companies and forwarded recommendations for enforcement action on two</w:t>
      </w:r>
      <w:r w:rsidR="00F47D98">
        <w:t xml:space="preserve"> of the five companies</w:t>
      </w:r>
      <w:r w:rsidR="00407C67">
        <w:t xml:space="preserve"> to my supervisor, Mr. Steven King, Director of the Safety and Consumer Protection Division</w:t>
      </w:r>
      <w:r w:rsidR="00820EB0">
        <w:t>.</w:t>
      </w:r>
    </w:p>
    <w:p w:rsidR="001F4C57" w:rsidRDefault="001F4C57" w:rsidP="001F4C57">
      <w:pPr>
        <w:spacing w:line="480" w:lineRule="auto"/>
        <w:ind w:left="720" w:firstLine="720"/>
      </w:pPr>
      <w:r>
        <w:t>The 26 accounts from</w:t>
      </w:r>
      <w:r w:rsidRPr="00C97976">
        <w:t xml:space="preserve"> U-100182</w:t>
      </w:r>
      <w:r>
        <w:t xml:space="preserve"> were randomly selected from a sample of customer accounts the Company provided in response to a Commission data request. </w:t>
      </w:r>
    </w:p>
    <w:p w:rsidR="00EB5E36" w:rsidRDefault="00F47D98" w:rsidP="001F4C57">
      <w:pPr>
        <w:spacing w:line="480" w:lineRule="auto"/>
        <w:ind w:left="720" w:firstLine="720"/>
      </w:pPr>
      <w:r>
        <w:t>The Commission alleged</w:t>
      </w:r>
      <w:r w:rsidR="003B69E5">
        <w:t>,</w:t>
      </w:r>
      <w:r>
        <w:t xml:space="preserve"> and the </w:t>
      </w:r>
      <w:r w:rsidR="003B69E5">
        <w:t>C</w:t>
      </w:r>
      <w:r>
        <w:t>ompany admitted</w:t>
      </w:r>
      <w:r w:rsidR="003B69E5">
        <w:t>,</w:t>
      </w:r>
      <w:r>
        <w:t xml:space="preserve"> several rule violations, including: </w:t>
      </w:r>
      <w:r w:rsidR="003B69E5">
        <w:t xml:space="preserve"> </w:t>
      </w:r>
      <w:r w:rsidR="00D36429">
        <w:t xml:space="preserve">requiring customers </w:t>
      </w:r>
      <w:r>
        <w:t xml:space="preserve">to </w:t>
      </w:r>
      <w:r w:rsidR="00D36429">
        <w:t xml:space="preserve">pay more money for reconnection than permitted by </w:t>
      </w:r>
      <w:r w:rsidR="003B69E5">
        <w:t>C</w:t>
      </w:r>
      <w:r w:rsidR="00D36429">
        <w:t>ommission rules; refusing to reconnect service until the customer paid all or part of the balanced owed; and improperly applying grant money from low-income agencies to the outstanding debt rather than to the current account</w:t>
      </w:r>
      <w:r>
        <w:t>,</w:t>
      </w:r>
      <w:r w:rsidR="00D36429">
        <w:t xml:space="preserve"> preventing </w:t>
      </w:r>
      <w:r w:rsidR="00D36429">
        <w:lastRenderedPageBreak/>
        <w:t>customers from getting their service reconnected.</w:t>
      </w:r>
      <w:r w:rsidR="002C077A">
        <w:t xml:space="preserve">  Rayne Pearson discusses th</w:t>
      </w:r>
      <w:r w:rsidR="00A62D93">
        <w:t xml:space="preserve">is investigation and the rule </w:t>
      </w:r>
      <w:r w:rsidR="002C077A">
        <w:t>violations</w:t>
      </w:r>
      <w:r w:rsidR="00A62D93">
        <w:t xml:space="preserve"> in more detail</w:t>
      </w:r>
      <w:r w:rsidR="002C077A">
        <w:t xml:space="preserve"> in her testimony.  </w:t>
      </w:r>
    </w:p>
    <w:p w:rsidR="00285989" w:rsidRDefault="00285989" w:rsidP="00B814E2">
      <w:pPr>
        <w:spacing w:line="480" w:lineRule="auto"/>
        <w:ind w:left="720" w:hanging="720"/>
      </w:pPr>
    </w:p>
    <w:p w:rsidR="00B814E2" w:rsidRDefault="00B814E2" w:rsidP="00B814E2">
      <w:pPr>
        <w:spacing w:line="480" w:lineRule="auto"/>
        <w:ind w:left="720" w:hanging="720"/>
        <w:rPr>
          <w:b/>
        </w:rPr>
      </w:pPr>
      <w:r>
        <w:rPr>
          <w:b/>
        </w:rPr>
        <w:t>Q.</w:t>
      </w:r>
      <w:r>
        <w:rPr>
          <w:b/>
        </w:rPr>
        <w:tab/>
      </w:r>
      <w:r w:rsidR="000C1129">
        <w:rPr>
          <w:b/>
        </w:rPr>
        <w:t xml:space="preserve">What was your understanding </w:t>
      </w:r>
      <w:r w:rsidR="00F47D98">
        <w:rPr>
          <w:b/>
        </w:rPr>
        <w:t>as to</w:t>
      </w:r>
      <w:r w:rsidR="000C1129">
        <w:rPr>
          <w:b/>
        </w:rPr>
        <w:t xml:space="preserve"> how the account errors would be remedied as a result of the settlement agreement that was reached in December 2010</w:t>
      </w:r>
      <w:r w:rsidR="00F47D98">
        <w:rPr>
          <w:b/>
        </w:rPr>
        <w:t xml:space="preserve"> and approved by the Commission in its Order 01 adopting the settlement agreement and granting the joint motion</w:t>
      </w:r>
      <w:r w:rsidR="000C1129">
        <w:rPr>
          <w:b/>
        </w:rPr>
        <w:t>?</w:t>
      </w:r>
      <w:r>
        <w:rPr>
          <w:b/>
        </w:rPr>
        <w:t xml:space="preserve">  </w:t>
      </w:r>
    </w:p>
    <w:p w:rsidR="006C6F4A" w:rsidRDefault="00B814E2" w:rsidP="00B814E2">
      <w:pPr>
        <w:spacing w:line="480" w:lineRule="auto"/>
        <w:ind w:left="720" w:hanging="720"/>
      </w:pPr>
      <w:r>
        <w:t>A.</w:t>
      </w:r>
      <w:r>
        <w:tab/>
      </w:r>
      <w:r w:rsidR="00D32097">
        <w:t xml:space="preserve">I </w:t>
      </w:r>
      <w:r w:rsidR="00F47D98">
        <w:t xml:space="preserve">had </w:t>
      </w:r>
      <w:r w:rsidR="00D32097">
        <w:t xml:space="preserve">requested that the Company review the complete debit and credit history for each customer account to determine the correct account treatment and application of </w:t>
      </w:r>
      <w:r w:rsidR="0093076F">
        <w:t xml:space="preserve">the </w:t>
      </w:r>
      <w:r w:rsidR="00D32097">
        <w:t>prior obligation</w:t>
      </w:r>
      <w:r w:rsidR="0093076F">
        <w:t xml:space="preserve"> rule</w:t>
      </w:r>
      <w:r w:rsidR="00D32097">
        <w:t>.</w:t>
      </w:r>
      <w:r w:rsidR="00523F58">
        <w:t xml:space="preserve"> </w:t>
      </w:r>
      <w:r w:rsidR="00D32097">
        <w:t xml:space="preserve"> I stated that this would mean reviewing the accounts for fees</w:t>
      </w:r>
      <w:r w:rsidR="00FA5276">
        <w:t>, usage charges, pledges, customer payments, fees for disconnections and reconnections, application of deposits, etc.</w:t>
      </w:r>
      <w:r w:rsidR="00523F58">
        <w:t xml:space="preserve"> </w:t>
      </w:r>
      <w:r w:rsidR="00F47D98">
        <w:t xml:space="preserve"> </w:t>
      </w:r>
      <w:r w:rsidR="00E138CC">
        <w:t>If any adjustments needed to be made</w:t>
      </w:r>
      <w:r w:rsidR="002C077A">
        <w:t xml:space="preserve"> to</w:t>
      </w:r>
      <w:r w:rsidR="00E138CC">
        <w:t xml:space="preserve"> a customer’s account, the Company was to contact each customer and explain what changes had been made to their accounts and why.</w:t>
      </w:r>
    </w:p>
    <w:p w:rsidR="00285989" w:rsidRDefault="00285989" w:rsidP="00B814E2">
      <w:pPr>
        <w:spacing w:line="480" w:lineRule="auto"/>
        <w:ind w:left="720" w:hanging="720"/>
      </w:pPr>
    </w:p>
    <w:p w:rsidR="006C6F4A" w:rsidRDefault="000C1129" w:rsidP="000C1129">
      <w:pPr>
        <w:spacing w:line="480" w:lineRule="auto"/>
        <w:ind w:left="720" w:hanging="720"/>
        <w:rPr>
          <w:b/>
        </w:rPr>
      </w:pPr>
      <w:r>
        <w:rPr>
          <w:b/>
        </w:rPr>
        <w:t>Q.</w:t>
      </w:r>
      <w:r>
        <w:rPr>
          <w:b/>
        </w:rPr>
        <w:tab/>
      </w:r>
      <w:r w:rsidR="006C6F4A">
        <w:rPr>
          <w:b/>
        </w:rPr>
        <w:t>What was your understanding of the requirement</w:t>
      </w:r>
      <w:r w:rsidR="00A62D93">
        <w:rPr>
          <w:b/>
        </w:rPr>
        <w:t xml:space="preserve"> in Order 01 in </w:t>
      </w:r>
      <w:r w:rsidR="00F47D98">
        <w:rPr>
          <w:b/>
        </w:rPr>
        <w:t>D</w:t>
      </w:r>
      <w:r w:rsidR="00A62D93">
        <w:rPr>
          <w:b/>
        </w:rPr>
        <w:t>ocket U-100182</w:t>
      </w:r>
      <w:r w:rsidR="006C6F4A">
        <w:rPr>
          <w:b/>
        </w:rPr>
        <w:t xml:space="preserve"> that PSE investigate these accounts “promptly</w:t>
      </w:r>
      <w:r w:rsidR="003B69E5">
        <w:rPr>
          <w:b/>
        </w:rPr>
        <w:t>?</w:t>
      </w:r>
      <w:r w:rsidR="006C6F4A">
        <w:rPr>
          <w:b/>
        </w:rPr>
        <w:t>”</w:t>
      </w:r>
    </w:p>
    <w:p w:rsidR="006C6F4A" w:rsidRDefault="006C6F4A" w:rsidP="000C1129">
      <w:pPr>
        <w:spacing w:line="480" w:lineRule="auto"/>
        <w:ind w:left="720" w:hanging="720"/>
      </w:pPr>
      <w:r>
        <w:t>A.</w:t>
      </w:r>
      <w:r>
        <w:tab/>
      </w:r>
      <w:r w:rsidR="004202F5">
        <w:t>My understanding was that the Company would investigate these accounts immediately</w:t>
      </w:r>
      <w:r w:rsidR="009D507D">
        <w:t xml:space="preserve"> and that the results would </w:t>
      </w:r>
      <w:r w:rsidR="00D56F34">
        <w:t xml:space="preserve">subsequently </w:t>
      </w:r>
      <w:r w:rsidR="009D507D">
        <w:t xml:space="preserve">be shared with </w:t>
      </w:r>
      <w:r w:rsidR="00C5213D">
        <w:t>S</w:t>
      </w:r>
      <w:r w:rsidR="009D507D">
        <w:t xml:space="preserve">taff. </w:t>
      </w:r>
    </w:p>
    <w:p w:rsidR="008835FD" w:rsidRDefault="008835FD" w:rsidP="000C1129">
      <w:pPr>
        <w:spacing w:line="480" w:lineRule="auto"/>
        <w:ind w:left="720" w:hanging="720"/>
        <w:rPr>
          <w:b/>
        </w:rPr>
      </w:pPr>
    </w:p>
    <w:p w:rsidR="00285989" w:rsidRDefault="00285989" w:rsidP="00285989">
      <w:pPr>
        <w:spacing w:line="480" w:lineRule="auto"/>
        <w:ind w:left="720" w:hanging="720"/>
        <w:rPr>
          <w:b/>
        </w:rPr>
      </w:pPr>
      <w:r>
        <w:rPr>
          <w:b/>
        </w:rPr>
        <w:t>Q.</w:t>
      </w:r>
      <w:r>
        <w:rPr>
          <w:b/>
        </w:rPr>
        <w:tab/>
        <w:t>What representations did PSE make at the May 3, 2011, meeting with Staff regarding the 26 accounts when the status of the first quarterly report was discussed?</w:t>
      </w:r>
    </w:p>
    <w:p w:rsidR="00285989" w:rsidRPr="00285989" w:rsidRDefault="00285989" w:rsidP="000C1129">
      <w:pPr>
        <w:spacing w:line="480" w:lineRule="auto"/>
        <w:ind w:left="720" w:hanging="720"/>
      </w:pPr>
      <w:r w:rsidRPr="00285989">
        <w:lastRenderedPageBreak/>
        <w:t>A.</w:t>
      </w:r>
      <w:r w:rsidR="00C201BF">
        <w:tab/>
      </w:r>
      <w:r w:rsidR="00C201BF" w:rsidRPr="00572D53">
        <w:t xml:space="preserve">On </w:t>
      </w:r>
      <w:smartTag w:uri="urn:schemas-microsoft-com:office:smarttags" w:element="date">
        <w:smartTagPr>
          <w:attr w:name="Year" w:val="2011"/>
          <w:attr w:name="Day" w:val="3"/>
          <w:attr w:name="Month" w:val="5"/>
          <w:attr w:name="ls" w:val="trans"/>
        </w:smartTagPr>
        <w:r w:rsidR="00C201BF" w:rsidRPr="00572D53">
          <w:t>May 3, 2011</w:t>
        </w:r>
      </w:smartTag>
      <w:r w:rsidR="00C201BF" w:rsidRPr="00572D53">
        <w:t xml:space="preserve">, </w:t>
      </w:r>
      <w:r w:rsidR="00C201BF">
        <w:t>at a meeting at the Company’s office in Tacoma, WA, Company representatives Mr. Tom DeBoer</w:t>
      </w:r>
      <w:r w:rsidR="00C201BF" w:rsidRPr="00572D53">
        <w:t xml:space="preserve"> </w:t>
      </w:r>
      <w:r w:rsidR="00C201BF">
        <w:t xml:space="preserve">and Mr. Randy Dieterle </w:t>
      </w:r>
      <w:r w:rsidR="00F47D98">
        <w:t xml:space="preserve">explained </w:t>
      </w:r>
      <w:r w:rsidR="00C201BF">
        <w:t>to me that the investigations and corrections of the 26 accounts were complete and that the results would be forwarded to Staff the next day.</w:t>
      </w:r>
      <w:r w:rsidR="002C077A">
        <w:t xml:space="preserve"> </w:t>
      </w:r>
      <w:r w:rsidR="00C201BF">
        <w:t xml:space="preserve"> Ultimately, the account review results were not provided to Staff until </w:t>
      </w:r>
      <w:smartTag w:uri="urn:schemas-microsoft-com:office:smarttags" w:element="date">
        <w:smartTagPr>
          <w:attr w:name="Year" w:val="2011"/>
          <w:attr w:name="Day" w:val="20"/>
          <w:attr w:name="Month" w:val="5"/>
          <w:attr w:name="ls" w:val="trans"/>
        </w:smartTagPr>
        <w:r w:rsidR="00C201BF">
          <w:t>May 20, 2011</w:t>
        </w:r>
      </w:smartTag>
      <w:r w:rsidR="00C201BF">
        <w:t xml:space="preserve">, and it was clear by the dates of activities entered in the </w:t>
      </w:r>
      <w:r w:rsidR="00C5213D">
        <w:t>C</w:t>
      </w:r>
      <w:r w:rsidR="00C201BF">
        <w:t>ompany-provided information</w:t>
      </w:r>
      <w:r w:rsidR="003B69E5">
        <w:t>,</w:t>
      </w:r>
      <w:r w:rsidR="00C201BF">
        <w:t xml:space="preserve"> that some accounts had not in fact been reviewed until </w:t>
      </w:r>
      <w:r w:rsidR="00DF1E46">
        <w:t xml:space="preserve">on or </w:t>
      </w:r>
      <w:r w:rsidR="00DE6FE2">
        <w:t xml:space="preserve">after </w:t>
      </w:r>
      <w:r w:rsidR="00C201BF">
        <w:t>May 20, 2011.</w:t>
      </w:r>
    </w:p>
    <w:p w:rsidR="00285989" w:rsidRDefault="00285989" w:rsidP="000C1129">
      <w:pPr>
        <w:spacing w:line="480" w:lineRule="auto"/>
        <w:ind w:left="720" w:hanging="720"/>
        <w:rPr>
          <w:b/>
        </w:rPr>
      </w:pPr>
    </w:p>
    <w:p w:rsidR="00892AA6" w:rsidRDefault="00892AA6" w:rsidP="00892AA6">
      <w:pPr>
        <w:spacing w:line="480" w:lineRule="auto"/>
        <w:ind w:left="720" w:hanging="720"/>
        <w:rPr>
          <w:b/>
        </w:rPr>
      </w:pPr>
      <w:r>
        <w:rPr>
          <w:b/>
        </w:rPr>
        <w:t>Q.</w:t>
      </w:r>
      <w:r>
        <w:rPr>
          <w:b/>
        </w:rPr>
        <w:tab/>
        <w:t>Do you believe that PSE intentionally misled Staff to believe that the accounts had been adjusted on or before May 20, 2011, as represented in the document entitled “PSE 26 Account Review</w:t>
      </w:r>
      <w:r w:rsidR="003B69E5">
        <w:rPr>
          <w:b/>
        </w:rPr>
        <w:t>?</w:t>
      </w:r>
      <w:r>
        <w:rPr>
          <w:b/>
        </w:rPr>
        <w:t>”</w:t>
      </w:r>
    </w:p>
    <w:p w:rsidR="00892AA6" w:rsidRDefault="00892AA6" w:rsidP="00892AA6">
      <w:pPr>
        <w:spacing w:line="480" w:lineRule="auto"/>
        <w:ind w:left="720" w:hanging="720"/>
        <w:rPr>
          <w:highlight w:val="yellow"/>
        </w:rPr>
      </w:pPr>
      <w:r>
        <w:t>A.</w:t>
      </w:r>
      <w:r>
        <w:tab/>
      </w:r>
      <w:r w:rsidRPr="00572D53">
        <w:t xml:space="preserve">Yes. </w:t>
      </w:r>
    </w:p>
    <w:p w:rsidR="00892AA6" w:rsidRDefault="00892AA6" w:rsidP="000C1129">
      <w:pPr>
        <w:spacing w:line="480" w:lineRule="auto"/>
        <w:ind w:left="720" w:hanging="720"/>
        <w:rPr>
          <w:b/>
        </w:rPr>
      </w:pPr>
    </w:p>
    <w:p w:rsidR="008835FD" w:rsidRDefault="008835FD" w:rsidP="001A17CB">
      <w:pPr>
        <w:spacing w:line="480" w:lineRule="auto"/>
        <w:ind w:left="720" w:hanging="720"/>
        <w:rPr>
          <w:b/>
        </w:rPr>
      </w:pPr>
      <w:r>
        <w:rPr>
          <w:b/>
        </w:rPr>
        <w:t>Q.</w:t>
      </w:r>
      <w:r>
        <w:rPr>
          <w:b/>
        </w:rPr>
        <w:tab/>
        <w:t>When did PSE represent that the investigation into the 26 accounts was complete</w:t>
      </w:r>
      <w:r w:rsidR="003B208F">
        <w:rPr>
          <w:b/>
        </w:rPr>
        <w:t xml:space="preserve">, and how did </w:t>
      </w:r>
      <w:r w:rsidR="00892AA6">
        <w:rPr>
          <w:b/>
        </w:rPr>
        <w:t>Company representatives</w:t>
      </w:r>
      <w:r w:rsidR="003B208F">
        <w:rPr>
          <w:b/>
        </w:rPr>
        <w:t xml:space="preserve"> submit that information</w:t>
      </w:r>
      <w:r>
        <w:rPr>
          <w:b/>
        </w:rPr>
        <w:t>?</w:t>
      </w:r>
    </w:p>
    <w:p w:rsidR="008835FD" w:rsidRPr="008835FD" w:rsidRDefault="008835FD" w:rsidP="008835FD">
      <w:pPr>
        <w:spacing w:line="480" w:lineRule="auto"/>
        <w:ind w:left="720" w:hanging="720"/>
      </w:pPr>
      <w:r>
        <w:t>A.</w:t>
      </w:r>
      <w:r>
        <w:tab/>
      </w:r>
      <w:r w:rsidR="00304A8D">
        <w:t xml:space="preserve">The Company filed a four-page document on May 20, 2011, </w:t>
      </w:r>
      <w:r w:rsidR="00892AA6">
        <w:t>en</w:t>
      </w:r>
      <w:r w:rsidR="00304A8D">
        <w:t xml:space="preserve">titled “PSE 26 Account Review,” in Docket U-100182. </w:t>
      </w:r>
      <w:r w:rsidR="002C077A">
        <w:t xml:space="preserve"> </w:t>
      </w:r>
      <w:r w:rsidR="00304A8D">
        <w:t xml:space="preserve">The cover letter stated that the filing is </w:t>
      </w:r>
      <w:r w:rsidR="003B69E5">
        <w:t>“</w:t>
      </w:r>
      <w:r w:rsidR="00304A8D">
        <w:t xml:space="preserve">Puget Sound Energy, Inc.’s first quarterly report” as required </w:t>
      </w:r>
      <w:r w:rsidR="00892AA6">
        <w:t>by</w:t>
      </w:r>
      <w:r w:rsidR="00304A8D">
        <w:t xml:space="preserve"> the settlement agreement. </w:t>
      </w:r>
      <w:r w:rsidR="00892AA6">
        <w:t xml:space="preserve"> </w:t>
      </w:r>
      <w:r w:rsidR="00304A8D">
        <w:t>The cover letter further states that the attached report details the “corrective actions taken on the twenty-six accounts” listed in the settlement agreement.</w:t>
      </w:r>
    </w:p>
    <w:p w:rsidR="00C30AB8" w:rsidRDefault="00C30AB8" w:rsidP="000C1129">
      <w:pPr>
        <w:spacing w:line="480" w:lineRule="auto"/>
        <w:ind w:left="720" w:hanging="720"/>
        <w:rPr>
          <w:b/>
        </w:rPr>
      </w:pPr>
    </w:p>
    <w:p w:rsidR="00526610" w:rsidRDefault="00892AA6" w:rsidP="006C6F4A">
      <w:pPr>
        <w:spacing w:line="480" w:lineRule="auto"/>
        <w:ind w:left="720" w:hanging="720"/>
        <w:rPr>
          <w:b/>
        </w:rPr>
      </w:pPr>
      <w:r>
        <w:rPr>
          <w:b/>
        </w:rPr>
        <w:lastRenderedPageBreak/>
        <w:t>Q.</w:t>
      </w:r>
      <w:r>
        <w:rPr>
          <w:b/>
        </w:rPr>
        <w:tab/>
        <w:t>Was it your understanding</w:t>
      </w:r>
      <w:r w:rsidR="00526610">
        <w:rPr>
          <w:b/>
        </w:rPr>
        <w:t xml:space="preserve"> that PSE was to investigate a “sample” of the 26 accounts in question</w:t>
      </w:r>
      <w:r w:rsidR="002C077A">
        <w:rPr>
          <w:b/>
        </w:rPr>
        <w:t>, as PSE asserts</w:t>
      </w:r>
      <w:r w:rsidR="00526610">
        <w:rPr>
          <w:b/>
        </w:rPr>
        <w:t>?</w:t>
      </w:r>
    </w:p>
    <w:p w:rsidR="00526610" w:rsidRDefault="00526610" w:rsidP="006C6F4A">
      <w:pPr>
        <w:spacing w:line="480" w:lineRule="auto"/>
        <w:ind w:left="720" w:hanging="720"/>
      </w:pPr>
      <w:r>
        <w:t>A.</w:t>
      </w:r>
      <w:r>
        <w:tab/>
      </w:r>
      <w:r w:rsidRPr="008D56AC">
        <w:t>No.</w:t>
      </w:r>
      <w:r w:rsidR="002C077A">
        <w:t xml:space="preserve"> </w:t>
      </w:r>
      <w:r w:rsidRPr="008D56AC">
        <w:t xml:space="preserve"> Order 01 adopting the Joint Motion required PSE to “promptly complete its investigations into 26 specific accounts.” </w:t>
      </w:r>
      <w:r w:rsidR="002C077A">
        <w:t xml:space="preserve"> </w:t>
      </w:r>
      <w:r w:rsidRPr="008D56AC">
        <w:t xml:space="preserve">There was </w:t>
      </w:r>
      <w:r w:rsidR="008D56AC" w:rsidRPr="008D56AC">
        <w:t>no</w:t>
      </w:r>
      <w:r w:rsidRPr="008D56AC">
        <w:t xml:space="preserve"> discussion of </w:t>
      </w:r>
      <w:r w:rsidR="008D56AC" w:rsidRPr="008D56AC">
        <w:t xml:space="preserve">investigating </w:t>
      </w:r>
      <w:r w:rsidRPr="008D56AC">
        <w:t>a “sample.”</w:t>
      </w:r>
      <w:r>
        <w:t xml:space="preserve"> </w:t>
      </w:r>
      <w:r w:rsidR="002C077A">
        <w:t xml:space="preserve"> </w:t>
      </w:r>
      <w:r w:rsidR="00DC0EF8">
        <w:t>The first time that I heard such an assertion was when I read the Company’s response to this complaint.</w:t>
      </w:r>
    </w:p>
    <w:p w:rsidR="00526610" w:rsidRDefault="00526610" w:rsidP="006C6F4A">
      <w:pPr>
        <w:spacing w:line="480" w:lineRule="auto"/>
        <w:ind w:left="720" w:hanging="720"/>
      </w:pPr>
    </w:p>
    <w:p w:rsidR="00391048" w:rsidRDefault="00526610" w:rsidP="006C6F4A">
      <w:pPr>
        <w:spacing w:line="480" w:lineRule="auto"/>
        <w:ind w:left="720" w:hanging="720"/>
        <w:rPr>
          <w:b/>
        </w:rPr>
      </w:pPr>
      <w:r>
        <w:rPr>
          <w:b/>
        </w:rPr>
        <w:t>Q.</w:t>
      </w:r>
      <w:r>
        <w:rPr>
          <w:b/>
        </w:rPr>
        <w:tab/>
      </w:r>
      <w:r w:rsidR="00391048">
        <w:rPr>
          <w:b/>
        </w:rPr>
        <w:t>Did you expect to be notified of the results of PSE’s investigation into the 26 specific accounts?</w:t>
      </w:r>
    </w:p>
    <w:p w:rsidR="00526610" w:rsidRDefault="00391048" w:rsidP="006C6F4A">
      <w:pPr>
        <w:spacing w:line="480" w:lineRule="auto"/>
        <w:ind w:left="720" w:hanging="720"/>
      </w:pPr>
      <w:r>
        <w:t>A.</w:t>
      </w:r>
      <w:r>
        <w:tab/>
      </w:r>
      <w:r w:rsidRPr="006D7D09">
        <w:t>Yes.</w:t>
      </w:r>
      <w:r w:rsidR="002C077A">
        <w:t xml:space="preserve"> </w:t>
      </w:r>
      <w:r w:rsidRPr="006D7D09">
        <w:t xml:space="preserve"> </w:t>
      </w:r>
      <w:r w:rsidR="00E06693" w:rsidRPr="006D7D09">
        <w:t>Staff’s fundamental priority was to see that affected customers</w:t>
      </w:r>
      <w:r w:rsidR="00892AA6">
        <w:t xml:space="preserve"> were made whole. </w:t>
      </w:r>
      <w:r w:rsidR="00E06693" w:rsidRPr="006D7D09">
        <w:t xml:space="preserve"> </w:t>
      </w:r>
      <w:r w:rsidR="00302A61">
        <w:t>S</w:t>
      </w:r>
      <w:r w:rsidR="00E06693" w:rsidRPr="006D7D09">
        <w:t>taff specifically</w:t>
      </w:r>
      <w:r w:rsidR="00892AA6">
        <w:t xml:space="preserve"> informed the Company </w:t>
      </w:r>
      <w:r w:rsidR="00E06693" w:rsidRPr="006D7D09">
        <w:t xml:space="preserve">that we were not asking the </w:t>
      </w:r>
      <w:r w:rsidR="004A5E70">
        <w:t>C</w:t>
      </w:r>
      <w:r w:rsidR="00E06693" w:rsidRPr="006D7D09">
        <w:t xml:space="preserve">ompany to investigate and correct the </w:t>
      </w:r>
      <w:r w:rsidR="000E3DD1">
        <w:t xml:space="preserve">larger </w:t>
      </w:r>
      <w:r w:rsidR="00E06693" w:rsidRPr="006D7D09">
        <w:t>universe of customers that were potentially impacted</w:t>
      </w:r>
      <w:r w:rsidR="000E3DD1">
        <w:t>; but rather the small percentage that the formal complaint was based upon</w:t>
      </w:r>
      <w:r w:rsidR="00892AA6">
        <w:t xml:space="preserve">: </w:t>
      </w:r>
      <w:r w:rsidR="003B69E5">
        <w:t xml:space="preserve"> </w:t>
      </w:r>
      <w:r w:rsidR="00892AA6">
        <w:t>the</w:t>
      </w:r>
      <w:r w:rsidR="000E3DD1">
        <w:t xml:space="preserve"> 26 accounts</w:t>
      </w:r>
      <w:r w:rsidR="00E06693" w:rsidRPr="006D7D09">
        <w:t>.</w:t>
      </w:r>
      <w:r w:rsidR="002C077A">
        <w:t xml:space="preserve"> </w:t>
      </w:r>
      <w:r w:rsidR="000E3DD1">
        <w:t xml:space="preserve"> Staff clearly stated that the Company must investigate and correct these accounts and ensure that customers were made whole. </w:t>
      </w:r>
      <w:r w:rsidR="002C077A">
        <w:t xml:space="preserve"> </w:t>
      </w:r>
      <w:r w:rsidR="000E3DD1">
        <w:t>The Company agreed to do this as p</w:t>
      </w:r>
      <w:r w:rsidR="00892AA6">
        <w:t xml:space="preserve">art of the settlement agreement, as ultimately adopted by the Commission, </w:t>
      </w:r>
      <w:r w:rsidR="00302A61">
        <w:t>and agree</w:t>
      </w:r>
      <w:r w:rsidR="00892AA6">
        <w:t>d to report back to Commission S</w:t>
      </w:r>
      <w:r w:rsidR="00302A61">
        <w:t xml:space="preserve">taff on </w:t>
      </w:r>
      <w:r w:rsidR="0017642D">
        <w:t>the results</w:t>
      </w:r>
      <w:r w:rsidR="00302A61">
        <w:t>.</w:t>
      </w:r>
    </w:p>
    <w:p w:rsidR="004A5E70" w:rsidRDefault="004A5E70" w:rsidP="00892AA6">
      <w:pPr>
        <w:spacing w:line="480" w:lineRule="auto"/>
        <w:rPr>
          <w:highlight w:val="yellow"/>
        </w:rPr>
      </w:pPr>
    </w:p>
    <w:p w:rsidR="0025614E" w:rsidRDefault="0025614E" w:rsidP="006C6F4A">
      <w:pPr>
        <w:spacing w:line="480" w:lineRule="auto"/>
        <w:ind w:left="720" w:hanging="720"/>
        <w:rPr>
          <w:b/>
        </w:rPr>
      </w:pPr>
      <w:r>
        <w:rPr>
          <w:b/>
        </w:rPr>
        <w:t>Q.</w:t>
      </w:r>
      <w:r>
        <w:rPr>
          <w:b/>
        </w:rPr>
        <w:tab/>
        <w:t>Is PSE’s characterization of Staff’s interpretation of PSE’s oblig</w:t>
      </w:r>
      <w:r w:rsidR="00285989">
        <w:rPr>
          <w:b/>
        </w:rPr>
        <w:t>ation “to investigate” accurate?</w:t>
      </w:r>
    </w:p>
    <w:p w:rsidR="0025614E" w:rsidRDefault="0025614E" w:rsidP="0025614E">
      <w:pPr>
        <w:spacing w:line="480" w:lineRule="auto"/>
        <w:ind w:left="720" w:hanging="720"/>
      </w:pPr>
      <w:r>
        <w:t>A.</w:t>
      </w:r>
      <w:r>
        <w:tab/>
      </w:r>
      <w:r w:rsidRPr="00282CB6">
        <w:t xml:space="preserve">Yes. </w:t>
      </w:r>
      <w:r w:rsidR="00892AA6">
        <w:t xml:space="preserve"> </w:t>
      </w:r>
      <w:r w:rsidR="0052566A" w:rsidRPr="00282CB6">
        <w:t xml:space="preserve">As </w:t>
      </w:r>
      <w:r w:rsidR="002C077A">
        <w:t xml:space="preserve">I described earlier in my testimony, </w:t>
      </w:r>
      <w:r w:rsidR="0052566A" w:rsidRPr="00282CB6">
        <w:t>I personally provided direction to the Company</w:t>
      </w:r>
      <w:r w:rsidR="00282CB6" w:rsidRPr="00282CB6">
        <w:t xml:space="preserve"> regarding what Staff would consider appropriate “investigation” and “correction.”</w:t>
      </w:r>
    </w:p>
    <w:p w:rsidR="0025614E" w:rsidRDefault="0025614E" w:rsidP="0025614E">
      <w:pPr>
        <w:spacing w:line="480" w:lineRule="auto"/>
        <w:ind w:left="720" w:hanging="720"/>
        <w:rPr>
          <w:b/>
        </w:rPr>
      </w:pPr>
      <w:r>
        <w:rPr>
          <w:b/>
        </w:rPr>
        <w:lastRenderedPageBreak/>
        <w:t>Q.</w:t>
      </w:r>
      <w:r>
        <w:rPr>
          <w:b/>
        </w:rPr>
        <w:tab/>
        <w:t>How do you believe PSE came to the conclusion that this was Staff’s interpretation?</w:t>
      </w:r>
    </w:p>
    <w:p w:rsidR="0025614E" w:rsidRDefault="0025614E" w:rsidP="0025614E">
      <w:pPr>
        <w:spacing w:line="480" w:lineRule="auto"/>
        <w:ind w:left="720" w:hanging="720"/>
      </w:pPr>
      <w:r>
        <w:t>A.</w:t>
      </w:r>
      <w:r>
        <w:tab/>
      </w:r>
      <w:r w:rsidR="00E774C3">
        <w:t xml:space="preserve">As previously stated, </w:t>
      </w:r>
      <w:r w:rsidR="00E774C3" w:rsidRPr="00282CB6">
        <w:t>I personally provided direction to the Company regarding what Staff would consider appropriate “investigation” and “correction.”</w:t>
      </w:r>
      <w:r w:rsidR="002C077A">
        <w:t xml:space="preserve"> </w:t>
      </w:r>
      <w:r w:rsidR="00E774C3">
        <w:t xml:space="preserve"> </w:t>
      </w:r>
    </w:p>
    <w:p w:rsidR="00E774C3" w:rsidRPr="0025614E" w:rsidRDefault="00E774C3" w:rsidP="0025614E">
      <w:pPr>
        <w:spacing w:line="480" w:lineRule="auto"/>
        <w:ind w:left="720" w:hanging="720"/>
      </w:pPr>
    </w:p>
    <w:p w:rsidR="006C6F4A" w:rsidRDefault="00D22B26" w:rsidP="000C1129">
      <w:pPr>
        <w:spacing w:line="480" w:lineRule="auto"/>
        <w:ind w:left="720" w:hanging="720"/>
        <w:rPr>
          <w:b/>
        </w:rPr>
      </w:pPr>
      <w:r>
        <w:rPr>
          <w:b/>
        </w:rPr>
        <w:t>Q.</w:t>
      </w:r>
      <w:r>
        <w:rPr>
          <w:b/>
        </w:rPr>
        <w:tab/>
        <w:t>Does this conclude your testimony?</w:t>
      </w:r>
    </w:p>
    <w:p w:rsidR="000C1129" w:rsidRPr="00B814E2" w:rsidRDefault="00D22B26" w:rsidP="007203FE">
      <w:pPr>
        <w:spacing w:line="480" w:lineRule="auto"/>
        <w:ind w:left="720" w:hanging="720"/>
      </w:pPr>
      <w:r>
        <w:t>A.</w:t>
      </w:r>
      <w:r>
        <w:tab/>
        <w:t>Yes.</w:t>
      </w:r>
    </w:p>
    <w:sectPr w:rsidR="000C1129" w:rsidRPr="00B814E2" w:rsidSect="0015026F">
      <w:footerReference w:type="default" r:id="rId1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98" w:rsidRDefault="00F47D98" w:rsidP="0015026F">
      <w:r>
        <w:separator/>
      </w:r>
    </w:p>
  </w:endnote>
  <w:endnote w:type="continuationSeparator" w:id="0">
    <w:p w:rsidR="00F47D98" w:rsidRDefault="00F47D98"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98" w:rsidRPr="0015026F" w:rsidRDefault="00F47D98" w:rsidP="0015026F">
    <w:pPr>
      <w:pStyle w:val="Footer"/>
      <w:tabs>
        <w:tab w:val="clear" w:pos="9360"/>
        <w:tab w:val="right" w:pos="8910"/>
      </w:tabs>
      <w:rPr>
        <w:sz w:val="20"/>
        <w:szCs w:val="20"/>
      </w:rPr>
    </w:pPr>
  </w:p>
  <w:p w:rsidR="00F47D98" w:rsidRPr="0015026F" w:rsidRDefault="00F47D98" w:rsidP="0015026F">
    <w:pPr>
      <w:pStyle w:val="Footer"/>
      <w:tabs>
        <w:tab w:val="clear" w:pos="9360"/>
        <w:tab w:val="right" w:pos="8910"/>
      </w:tabs>
      <w:rPr>
        <w:sz w:val="20"/>
        <w:szCs w:val="20"/>
      </w:rPr>
    </w:pPr>
    <w:r w:rsidRPr="0015026F">
      <w:rPr>
        <w:sz w:val="20"/>
        <w:szCs w:val="20"/>
      </w:rPr>
      <w:t xml:space="preserve">TESTIMONY OF </w:t>
    </w:r>
    <w:r>
      <w:rPr>
        <w:sz w:val="20"/>
        <w:szCs w:val="20"/>
      </w:rPr>
      <w:t>SHARON WALLACE</w:t>
    </w:r>
    <w:r w:rsidRPr="0015026F">
      <w:rPr>
        <w:sz w:val="20"/>
        <w:szCs w:val="20"/>
      </w:rPr>
      <w:tab/>
    </w:r>
    <w:r w:rsidRPr="0015026F">
      <w:rPr>
        <w:sz w:val="20"/>
        <w:szCs w:val="20"/>
      </w:rPr>
      <w:tab/>
      <w:t xml:space="preserve">Exhibit No. </w:t>
    </w:r>
    <w:r>
      <w:rPr>
        <w:sz w:val="20"/>
        <w:szCs w:val="20"/>
      </w:rPr>
      <w:t>___</w:t>
    </w:r>
    <w:r w:rsidR="003B69E5">
      <w:rPr>
        <w:sz w:val="20"/>
        <w:szCs w:val="20"/>
      </w:rPr>
      <w:t xml:space="preserve"> (</w:t>
    </w:r>
    <w:r>
      <w:rPr>
        <w:sz w:val="20"/>
        <w:szCs w:val="20"/>
      </w:rPr>
      <w:t>SW-1</w:t>
    </w:r>
    <w:r w:rsidRPr="0015026F">
      <w:rPr>
        <w:sz w:val="20"/>
        <w:szCs w:val="20"/>
      </w:rPr>
      <w:t>T</w:t>
    </w:r>
    <w:r w:rsidR="003B69E5">
      <w:rPr>
        <w:sz w:val="20"/>
        <w:szCs w:val="20"/>
      </w:rPr>
      <w:t>)</w:t>
    </w:r>
  </w:p>
  <w:p w:rsidR="00F47D98" w:rsidRPr="0015026F" w:rsidRDefault="00F47D98" w:rsidP="0015026F">
    <w:pPr>
      <w:pStyle w:val="Footer"/>
      <w:tabs>
        <w:tab w:val="clear" w:pos="9360"/>
        <w:tab w:val="right" w:pos="8910"/>
      </w:tabs>
      <w:rPr>
        <w:sz w:val="20"/>
        <w:szCs w:val="20"/>
      </w:rPr>
    </w:pPr>
    <w:r w:rsidRPr="0015026F">
      <w:rPr>
        <w:sz w:val="20"/>
        <w:szCs w:val="20"/>
      </w:rPr>
      <w:t xml:space="preserve">Docket </w:t>
    </w:r>
    <w:r>
      <w:rPr>
        <w:sz w:val="20"/>
        <w:szCs w:val="20"/>
      </w:rPr>
      <w:t>U-110808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571420">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98" w:rsidRPr="0015026F" w:rsidRDefault="00F47D98" w:rsidP="0015026F">
    <w:pPr>
      <w:pStyle w:val="Footer"/>
      <w:tabs>
        <w:tab w:val="clear" w:pos="9360"/>
        <w:tab w:val="right" w:pos="8910"/>
      </w:tabs>
      <w:rPr>
        <w:sz w:val="20"/>
        <w:szCs w:val="20"/>
      </w:rPr>
    </w:pPr>
  </w:p>
  <w:p w:rsidR="00F47D98" w:rsidRPr="0015026F" w:rsidRDefault="00F47D98" w:rsidP="0015026F">
    <w:pPr>
      <w:pStyle w:val="Footer"/>
      <w:tabs>
        <w:tab w:val="clear" w:pos="9360"/>
        <w:tab w:val="right" w:pos="8910"/>
      </w:tabs>
      <w:rPr>
        <w:sz w:val="20"/>
        <w:szCs w:val="20"/>
      </w:rPr>
    </w:pPr>
    <w:r w:rsidRPr="0015026F">
      <w:rPr>
        <w:sz w:val="20"/>
        <w:szCs w:val="20"/>
      </w:rPr>
      <w:t xml:space="preserve">TESTIMONY OF </w:t>
    </w:r>
    <w:r>
      <w:rPr>
        <w:sz w:val="20"/>
        <w:szCs w:val="20"/>
      </w:rPr>
      <w:t>SHARON WALLACE</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___</w:t>
    </w:r>
    <w:r w:rsidR="003B69E5">
      <w:rPr>
        <w:sz w:val="20"/>
        <w:szCs w:val="20"/>
      </w:rPr>
      <w:t xml:space="preserve"> </w:t>
    </w:r>
    <w:r>
      <w:rPr>
        <w:sz w:val="20"/>
        <w:szCs w:val="20"/>
      </w:rPr>
      <w:t>T (SW-1</w:t>
    </w:r>
    <w:r w:rsidRPr="0015026F">
      <w:rPr>
        <w:sz w:val="20"/>
        <w:szCs w:val="20"/>
      </w:rPr>
      <w:t>T</w:t>
    </w:r>
    <w:r>
      <w:rPr>
        <w:sz w:val="20"/>
        <w:szCs w:val="20"/>
      </w:rPr>
      <w:t>)</w:t>
    </w:r>
  </w:p>
  <w:p w:rsidR="00F47D98" w:rsidRPr="0015026F" w:rsidRDefault="00F47D98"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571420">
      <w:rPr>
        <w:noProof/>
        <w:sz w:val="20"/>
        <w:szCs w:val="20"/>
      </w:rPr>
      <w:t>6</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98" w:rsidRDefault="00F47D98" w:rsidP="0015026F">
      <w:r>
        <w:separator/>
      </w:r>
    </w:p>
  </w:footnote>
  <w:footnote w:type="continuationSeparator" w:id="0">
    <w:p w:rsidR="00F47D98" w:rsidRDefault="00F47D98"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D77"/>
    <w:multiLevelType w:val="hybridMultilevel"/>
    <w:tmpl w:val="CC069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57A90"/>
    <w:rsid w:val="00067BFA"/>
    <w:rsid w:val="000C1129"/>
    <w:rsid w:val="000E3DD1"/>
    <w:rsid w:val="001013A2"/>
    <w:rsid w:val="00107529"/>
    <w:rsid w:val="00125B83"/>
    <w:rsid w:val="0015026F"/>
    <w:rsid w:val="00163CD3"/>
    <w:rsid w:val="0017642D"/>
    <w:rsid w:val="001A17CB"/>
    <w:rsid w:val="001C79B3"/>
    <w:rsid w:val="001E123D"/>
    <w:rsid w:val="001F4C57"/>
    <w:rsid w:val="00220852"/>
    <w:rsid w:val="0025614E"/>
    <w:rsid w:val="0026011F"/>
    <w:rsid w:val="0027177F"/>
    <w:rsid w:val="00281992"/>
    <w:rsid w:val="00282CB6"/>
    <w:rsid w:val="00285989"/>
    <w:rsid w:val="002B161B"/>
    <w:rsid w:val="002C077A"/>
    <w:rsid w:val="002D0604"/>
    <w:rsid w:val="002D2BF6"/>
    <w:rsid w:val="00302A61"/>
    <w:rsid w:val="00304A8D"/>
    <w:rsid w:val="0032382D"/>
    <w:rsid w:val="00341E09"/>
    <w:rsid w:val="00366392"/>
    <w:rsid w:val="003840A8"/>
    <w:rsid w:val="00391048"/>
    <w:rsid w:val="003B208F"/>
    <w:rsid w:val="003B69E5"/>
    <w:rsid w:val="003E7F80"/>
    <w:rsid w:val="00407C67"/>
    <w:rsid w:val="004202F5"/>
    <w:rsid w:val="0046251D"/>
    <w:rsid w:val="004A4735"/>
    <w:rsid w:val="004A5E70"/>
    <w:rsid w:val="00523F58"/>
    <w:rsid w:val="0052566A"/>
    <w:rsid w:val="00526610"/>
    <w:rsid w:val="00552CCB"/>
    <w:rsid w:val="005712C8"/>
    <w:rsid w:val="00571420"/>
    <w:rsid w:val="00572D53"/>
    <w:rsid w:val="00580C89"/>
    <w:rsid w:val="00581900"/>
    <w:rsid w:val="005B1F22"/>
    <w:rsid w:val="00676E90"/>
    <w:rsid w:val="006864CC"/>
    <w:rsid w:val="006C07DD"/>
    <w:rsid w:val="006C1FF9"/>
    <w:rsid w:val="006C6F4A"/>
    <w:rsid w:val="006D7D09"/>
    <w:rsid w:val="007203FE"/>
    <w:rsid w:val="00725870"/>
    <w:rsid w:val="007304BB"/>
    <w:rsid w:val="00744F80"/>
    <w:rsid w:val="00814EBF"/>
    <w:rsid w:val="00820EB0"/>
    <w:rsid w:val="00822302"/>
    <w:rsid w:val="008407B2"/>
    <w:rsid w:val="00876F6F"/>
    <w:rsid w:val="008835FD"/>
    <w:rsid w:val="00892AA6"/>
    <w:rsid w:val="008D56AC"/>
    <w:rsid w:val="008F311C"/>
    <w:rsid w:val="009209BF"/>
    <w:rsid w:val="0093076F"/>
    <w:rsid w:val="009312CE"/>
    <w:rsid w:val="00931369"/>
    <w:rsid w:val="0096178A"/>
    <w:rsid w:val="009812B1"/>
    <w:rsid w:val="009A03A7"/>
    <w:rsid w:val="009A3192"/>
    <w:rsid w:val="009D507D"/>
    <w:rsid w:val="009E2D32"/>
    <w:rsid w:val="00A62D93"/>
    <w:rsid w:val="00AB106C"/>
    <w:rsid w:val="00B05FF5"/>
    <w:rsid w:val="00B814E2"/>
    <w:rsid w:val="00B83FCA"/>
    <w:rsid w:val="00BC3C7F"/>
    <w:rsid w:val="00BE6E2C"/>
    <w:rsid w:val="00C0665B"/>
    <w:rsid w:val="00C201BF"/>
    <w:rsid w:val="00C30AB8"/>
    <w:rsid w:val="00C5213D"/>
    <w:rsid w:val="00C73AC8"/>
    <w:rsid w:val="00D1372D"/>
    <w:rsid w:val="00D22B26"/>
    <w:rsid w:val="00D32097"/>
    <w:rsid w:val="00D36429"/>
    <w:rsid w:val="00D56F34"/>
    <w:rsid w:val="00DC0EF8"/>
    <w:rsid w:val="00DE6FE2"/>
    <w:rsid w:val="00DF1E46"/>
    <w:rsid w:val="00E06693"/>
    <w:rsid w:val="00E138CC"/>
    <w:rsid w:val="00E50BE2"/>
    <w:rsid w:val="00E774C3"/>
    <w:rsid w:val="00EA690A"/>
    <w:rsid w:val="00EB5E36"/>
    <w:rsid w:val="00EF54AD"/>
    <w:rsid w:val="00F1408C"/>
    <w:rsid w:val="00F47D98"/>
    <w:rsid w:val="00FA5276"/>
    <w:rsid w:val="00FA6FC3"/>
    <w:rsid w:val="00FC33C5"/>
    <w:rsid w:val="00FC38FE"/>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alloonText">
    <w:name w:val="Balloon Text"/>
    <w:basedOn w:val="Normal"/>
    <w:link w:val="BalloonTextChar"/>
    <w:uiPriority w:val="99"/>
    <w:semiHidden/>
    <w:unhideWhenUsed/>
    <w:rsid w:val="00523F58"/>
    <w:rPr>
      <w:rFonts w:ascii="Tahoma" w:hAnsi="Tahoma" w:cs="Tahoma"/>
      <w:sz w:val="16"/>
      <w:szCs w:val="16"/>
    </w:rPr>
  </w:style>
  <w:style w:type="character" w:customStyle="1" w:styleId="BalloonTextChar">
    <w:name w:val="Balloon Text Char"/>
    <w:basedOn w:val="DefaultParagraphFont"/>
    <w:link w:val="BalloonText"/>
    <w:uiPriority w:val="99"/>
    <w:semiHidden/>
    <w:rsid w:val="00523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alloonText">
    <w:name w:val="Balloon Text"/>
    <w:basedOn w:val="Normal"/>
    <w:link w:val="BalloonTextChar"/>
    <w:uiPriority w:val="99"/>
    <w:semiHidden/>
    <w:unhideWhenUsed/>
    <w:rsid w:val="00523F58"/>
    <w:rPr>
      <w:rFonts w:ascii="Tahoma" w:hAnsi="Tahoma" w:cs="Tahoma"/>
      <w:sz w:val="16"/>
      <w:szCs w:val="16"/>
    </w:rPr>
  </w:style>
  <w:style w:type="character" w:customStyle="1" w:styleId="BalloonTextChar">
    <w:name w:val="Balloon Text Char"/>
    <w:basedOn w:val="DefaultParagraphFont"/>
    <w:link w:val="BalloonText"/>
    <w:uiPriority w:val="99"/>
    <w:semiHidden/>
    <w:rsid w:val="00523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313">
      <w:bodyDiv w:val="1"/>
      <w:marLeft w:val="0"/>
      <w:marRight w:val="0"/>
      <w:marTop w:val="0"/>
      <w:marBottom w:val="0"/>
      <w:divBdr>
        <w:top w:val="none" w:sz="0" w:space="0" w:color="auto"/>
        <w:left w:val="none" w:sz="0" w:space="0" w:color="auto"/>
        <w:bottom w:val="none" w:sz="0" w:space="0" w:color="auto"/>
        <w:right w:val="none" w:sz="0" w:space="0" w:color="auto"/>
      </w:divBdr>
    </w:div>
    <w:div w:id="1061751336">
      <w:bodyDiv w:val="1"/>
      <w:marLeft w:val="0"/>
      <w:marRight w:val="0"/>
      <w:marTop w:val="0"/>
      <w:marBottom w:val="0"/>
      <w:divBdr>
        <w:top w:val="none" w:sz="0" w:space="0" w:color="auto"/>
        <w:left w:val="none" w:sz="0" w:space="0" w:color="auto"/>
        <w:bottom w:val="none" w:sz="0" w:space="0" w:color="auto"/>
        <w:right w:val="none" w:sz="0" w:space="0" w:color="auto"/>
      </w:divBdr>
    </w:div>
    <w:div w:id="18860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2012-05-03T07:00:00+00:00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C6A13C-EA56-4E74-8F76-4333D86E6964}"/>
</file>

<file path=customXml/itemProps2.xml><?xml version="1.0" encoding="utf-8"?>
<ds:datastoreItem xmlns:ds="http://schemas.openxmlformats.org/officeDocument/2006/customXml" ds:itemID="{FBA98B89-ACDA-4834-B563-C22FF7C74CAC}"/>
</file>

<file path=customXml/itemProps3.xml><?xml version="1.0" encoding="utf-8"?>
<ds:datastoreItem xmlns:ds="http://schemas.openxmlformats.org/officeDocument/2006/customXml" ds:itemID="{95998E99-6F40-4B57-BD49-DAD750513A36}"/>
</file>

<file path=customXml/itemProps4.xml><?xml version="1.0" encoding="utf-8"?>
<ds:datastoreItem xmlns:ds="http://schemas.openxmlformats.org/officeDocument/2006/customXml" ds:itemID="{FC9D174F-42F3-41E7-B2B0-1A82F16B4F29}"/>
</file>

<file path=customXml/itemProps5.xml><?xml version="1.0" encoding="utf-8"?>
<ds:datastoreItem xmlns:ds="http://schemas.openxmlformats.org/officeDocument/2006/customXml" ds:itemID="{F5B17E7C-19D5-4A5D-B0D3-57C14B482B94}"/>
</file>

<file path=docProps/app.xml><?xml version="1.0" encoding="utf-8"?>
<Properties xmlns="http://schemas.openxmlformats.org/officeDocument/2006/extended-properties" xmlns:vt="http://schemas.openxmlformats.org/officeDocument/2006/docPropsVTypes">
  <Template>Normal.dotm</Template>
  <TotalTime>0</TotalTime>
  <Pages>8</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2012-05-02T18:43:00Z</dcterms:created>
  <dcterms:modified xsi:type="dcterms:W3CDTF">2012-05-03T22:39:00Z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