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0F3" w:rsidRDefault="003A4D4E">
      <w:pPr>
        <w:spacing w:line="480" w:lineRule="auto"/>
        <w:ind w:left="720" w:hanging="720"/>
        <w:jc w:val="left"/>
        <w:rPr>
          <w:b/>
        </w:rPr>
      </w:pPr>
      <w:r>
        <w:rPr>
          <w:b/>
        </w:rPr>
        <w:t>Q.</w:t>
      </w:r>
      <w:r>
        <w:rPr>
          <w:b/>
        </w:rPr>
        <w:tab/>
        <w:t xml:space="preserve">Are you the same </w:t>
      </w:r>
      <w:r w:rsidRPr="00480FE2">
        <w:rPr>
          <w:b/>
        </w:rPr>
        <w:t>Douglas K. Stuver</w:t>
      </w:r>
      <w:r w:rsidR="00CA16DF">
        <w:rPr>
          <w:b/>
        </w:rPr>
        <w:t xml:space="preserve"> that previously</w:t>
      </w:r>
      <w:bookmarkStart w:id="0" w:name="_GoBack"/>
      <w:bookmarkEnd w:id="0"/>
      <w:r>
        <w:rPr>
          <w:b/>
        </w:rPr>
        <w:t xml:space="preserve"> submitted direct testimony </w:t>
      </w:r>
      <w:r w:rsidR="005E6682">
        <w:rPr>
          <w:b/>
        </w:rPr>
        <w:t>on behalf of PacifiCorp d/b/a Pacific Power &amp; Light Company (PacifiCorp or Company)</w:t>
      </w:r>
      <w:r w:rsidR="00B50D07">
        <w:rPr>
          <w:b/>
        </w:rPr>
        <w:t xml:space="preserve"> in this case</w:t>
      </w:r>
      <w:r>
        <w:rPr>
          <w:b/>
        </w:rPr>
        <w:t>?</w:t>
      </w:r>
    </w:p>
    <w:p w:rsidR="00AE40F3" w:rsidRDefault="003A4D4E">
      <w:pPr>
        <w:pStyle w:val="BodyTextIndent"/>
        <w:spacing w:after="0" w:line="480" w:lineRule="auto"/>
        <w:ind w:left="720" w:hanging="720"/>
        <w:jc w:val="left"/>
      </w:pPr>
      <w:r w:rsidRPr="00853959">
        <w:t>A.</w:t>
      </w:r>
      <w:r>
        <w:tab/>
        <w:t>Yes.</w:t>
      </w:r>
    </w:p>
    <w:p w:rsidR="00AE40F3" w:rsidRDefault="00A97243">
      <w:pPr>
        <w:spacing w:line="480" w:lineRule="auto"/>
        <w:jc w:val="center"/>
        <w:rPr>
          <w:b/>
          <w:caps/>
        </w:rPr>
      </w:pPr>
      <w:r w:rsidRPr="00A97243">
        <w:rPr>
          <w:b/>
          <w:caps/>
        </w:rPr>
        <w:t>Purpose and Summary</w:t>
      </w:r>
    </w:p>
    <w:p w:rsidR="00AE40F3" w:rsidRDefault="003A4D4E">
      <w:pPr>
        <w:pStyle w:val="normalhanging"/>
        <w:spacing w:line="480" w:lineRule="auto"/>
        <w:rPr>
          <w:b/>
          <w:szCs w:val="24"/>
        </w:rPr>
      </w:pPr>
      <w:r>
        <w:rPr>
          <w:b/>
          <w:szCs w:val="24"/>
        </w:rPr>
        <w:t>Q.</w:t>
      </w:r>
      <w:r>
        <w:rPr>
          <w:b/>
          <w:szCs w:val="24"/>
        </w:rPr>
        <w:tab/>
        <w:t>What is the purpose of your rebuttal testimony?</w:t>
      </w:r>
    </w:p>
    <w:p w:rsidR="00AE40F3" w:rsidRDefault="003A4D4E">
      <w:pPr>
        <w:spacing w:line="480" w:lineRule="auto"/>
        <w:ind w:left="720" w:hanging="720"/>
        <w:jc w:val="left"/>
      </w:pPr>
      <w:r w:rsidRPr="00ED64A5">
        <w:t>A.</w:t>
      </w:r>
      <w:r w:rsidRPr="00ED64A5">
        <w:tab/>
      </w:r>
      <w:r>
        <w:t>My rebuttal testimony responds to</w:t>
      </w:r>
      <w:r w:rsidRPr="00226B3C">
        <w:t xml:space="preserve"> </w:t>
      </w:r>
      <w:r>
        <w:t xml:space="preserve">the testimony of </w:t>
      </w:r>
      <w:r>
        <w:rPr>
          <w:sz w:val="23"/>
          <w:szCs w:val="23"/>
        </w:rPr>
        <w:t xml:space="preserve">Public Counsel Division of the Washington </w:t>
      </w:r>
      <w:r w:rsidR="00976D99">
        <w:t>Attorney General’s Office (Public Counsel</w:t>
      </w:r>
      <w:r>
        <w:t xml:space="preserve">) witness Mr. </w:t>
      </w:r>
      <w:r>
        <w:rPr>
          <w:sz w:val="23"/>
          <w:szCs w:val="23"/>
        </w:rPr>
        <w:t>Sebastian Coppola</w:t>
      </w:r>
      <w:r w:rsidR="000E07C1">
        <w:rPr>
          <w:sz w:val="23"/>
          <w:szCs w:val="23"/>
        </w:rPr>
        <w:t>.  Public Counsel</w:t>
      </w:r>
      <w:r w:rsidRPr="003E58E3">
        <w:t xml:space="preserve"> recommend</w:t>
      </w:r>
      <w:r w:rsidR="000E07C1">
        <w:t>s</w:t>
      </w:r>
      <w:r w:rsidRPr="003E58E3">
        <w:t xml:space="preserve"> that the </w:t>
      </w:r>
      <w:r w:rsidR="00570E85">
        <w:t>Washington Utilities and Transportation Commission (</w:t>
      </w:r>
      <w:r w:rsidRPr="003E58E3">
        <w:t>Commission</w:t>
      </w:r>
      <w:r w:rsidR="00570E85">
        <w:t>)</w:t>
      </w:r>
      <w:r w:rsidRPr="003E58E3">
        <w:t xml:space="preserve"> </w:t>
      </w:r>
      <w:r>
        <w:t xml:space="preserve">reject the </w:t>
      </w:r>
      <w:r w:rsidR="00072E6B">
        <w:t xml:space="preserve">Company’s proposed refinements to the </w:t>
      </w:r>
      <w:r w:rsidR="00976D99">
        <w:t>investor-s</w:t>
      </w:r>
      <w:r>
        <w:t xml:space="preserve">upplied </w:t>
      </w:r>
      <w:r w:rsidR="00976D99">
        <w:t>w</w:t>
      </w:r>
      <w:r>
        <w:t xml:space="preserve">orking </w:t>
      </w:r>
      <w:r w:rsidR="00976D99">
        <w:t>c</w:t>
      </w:r>
      <w:r>
        <w:t>ap</w:t>
      </w:r>
      <w:r w:rsidR="00976D99">
        <w:t>ital (</w:t>
      </w:r>
      <w:r>
        <w:t xml:space="preserve">ISWC) </w:t>
      </w:r>
      <w:r w:rsidR="00072E6B">
        <w:t>model</w:t>
      </w:r>
      <w:r>
        <w:t xml:space="preserve">. </w:t>
      </w:r>
      <w:r w:rsidR="00570E85">
        <w:t xml:space="preserve"> </w:t>
      </w:r>
      <w:r w:rsidR="00E44946">
        <w:t>Staff supports the Company’s</w:t>
      </w:r>
      <w:r w:rsidR="000E07C1">
        <w:t xml:space="preserve"> refinements to the ISWC model; </w:t>
      </w:r>
      <w:r w:rsidR="00E44946">
        <w:t>other parties did not address this issue.</w:t>
      </w:r>
    </w:p>
    <w:p w:rsidR="00AE40F3" w:rsidRDefault="00976D99">
      <w:pPr>
        <w:spacing w:line="480" w:lineRule="auto"/>
        <w:jc w:val="left"/>
        <w:rPr>
          <w:b/>
        </w:rPr>
      </w:pPr>
      <w:r>
        <w:rPr>
          <w:b/>
        </w:rPr>
        <w:t>Q.</w:t>
      </w:r>
      <w:r>
        <w:rPr>
          <w:b/>
        </w:rPr>
        <w:tab/>
        <w:t>Please summar</w:t>
      </w:r>
      <w:r w:rsidR="00EE1A1B">
        <w:rPr>
          <w:b/>
        </w:rPr>
        <w:t>ize</w:t>
      </w:r>
      <w:r>
        <w:rPr>
          <w:b/>
        </w:rPr>
        <w:t xml:space="preserve"> your testimony.</w:t>
      </w:r>
    </w:p>
    <w:p w:rsidR="00072E6B" w:rsidRDefault="00A97243" w:rsidP="00072E6B">
      <w:pPr>
        <w:spacing w:line="480" w:lineRule="auto"/>
        <w:ind w:left="720" w:hanging="720"/>
        <w:jc w:val="left"/>
      </w:pPr>
      <w:r w:rsidRPr="00A97243">
        <w:t>A.</w:t>
      </w:r>
      <w:r w:rsidR="00976D99">
        <w:rPr>
          <w:b/>
        </w:rPr>
        <w:tab/>
      </w:r>
      <w:r w:rsidR="00976D99">
        <w:t xml:space="preserve">My testimony supports the Company’s proposal to </w:t>
      </w:r>
      <w:r w:rsidR="00072E6B">
        <w:t xml:space="preserve">make two refinements to the </w:t>
      </w:r>
      <w:r w:rsidR="00976D99">
        <w:t>Commission-approved ISWC model</w:t>
      </w:r>
      <w:r w:rsidR="005C0AE5">
        <w:t xml:space="preserve">, which is a model developed by Commission </w:t>
      </w:r>
      <w:r w:rsidR="00D86197">
        <w:t>S</w:t>
      </w:r>
      <w:r w:rsidR="005C0AE5">
        <w:t xml:space="preserve">taff </w:t>
      </w:r>
      <w:r w:rsidR="000E07C1">
        <w:t>to</w:t>
      </w:r>
      <w:r w:rsidR="005C0AE5">
        <w:t xml:space="preserve"> determin</w:t>
      </w:r>
      <w:r w:rsidR="000E07C1">
        <w:t>e</w:t>
      </w:r>
      <w:r w:rsidR="005C0AE5">
        <w:t xml:space="preserve"> the </w:t>
      </w:r>
      <w:r w:rsidR="000E07C1">
        <w:t>amount</w:t>
      </w:r>
      <w:r w:rsidR="005C0AE5">
        <w:t xml:space="preserve"> of working capital supplied by investors.</w:t>
      </w:r>
      <w:r w:rsidR="00976D99">
        <w:t xml:space="preserve"> </w:t>
      </w:r>
      <w:r w:rsidR="00D86197">
        <w:t xml:space="preserve"> </w:t>
      </w:r>
      <w:r w:rsidR="00E44946">
        <w:t xml:space="preserve">The Company’s proposed refinements result in a proper determination of ISWC and are consistent with the </w:t>
      </w:r>
      <w:r w:rsidR="00072E6B">
        <w:t>purpose</w:t>
      </w:r>
      <w:r w:rsidR="00E44946">
        <w:t xml:space="preserve"> of </w:t>
      </w:r>
      <w:r w:rsidR="00072E6B">
        <w:t xml:space="preserve">the </w:t>
      </w:r>
      <w:r w:rsidR="00E44946">
        <w:t>Commission-approved model</w:t>
      </w:r>
      <w:r w:rsidR="00023355">
        <w:t>.  The Company’s position i</w:t>
      </w:r>
      <w:r w:rsidR="00FA3156">
        <w:t>s</w:t>
      </w:r>
      <w:r w:rsidR="00023355">
        <w:t xml:space="preserve"> further supported</w:t>
      </w:r>
      <w:r w:rsidR="00E44946">
        <w:t xml:space="preserve"> by Staff’s acceptance of the Company’s proposal.</w:t>
      </w:r>
      <w:r w:rsidR="005C0AE5">
        <w:rPr>
          <w:rStyle w:val="FootnoteReference"/>
        </w:rPr>
        <w:footnoteReference w:id="1"/>
      </w:r>
      <w:r w:rsidR="00072E6B">
        <w:br w:type="page"/>
      </w:r>
    </w:p>
    <w:p w:rsidR="00AE40F3" w:rsidRDefault="00E44946">
      <w:pPr>
        <w:spacing w:line="480" w:lineRule="auto"/>
        <w:ind w:left="720" w:hanging="720"/>
        <w:jc w:val="center"/>
        <w:rPr>
          <w:b/>
        </w:rPr>
      </w:pPr>
      <w:r>
        <w:rPr>
          <w:b/>
        </w:rPr>
        <w:lastRenderedPageBreak/>
        <w:t xml:space="preserve">THE COMPANY’S REFINEMENTS </w:t>
      </w:r>
      <w:r w:rsidR="00023355">
        <w:rPr>
          <w:b/>
        </w:rPr>
        <w:t>TO THE ISWC MODEL</w:t>
      </w:r>
    </w:p>
    <w:p w:rsidR="00AE40F3" w:rsidRDefault="003A4D4E">
      <w:pPr>
        <w:spacing w:line="480" w:lineRule="auto"/>
        <w:jc w:val="left"/>
        <w:rPr>
          <w:b/>
        </w:rPr>
      </w:pPr>
      <w:r>
        <w:rPr>
          <w:b/>
        </w:rPr>
        <w:t>Q.</w:t>
      </w:r>
      <w:r>
        <w:rPr>
          <w:b/>
        </w:rPr>
        <w:tab/>
      </w:r>
      <w:r w:rsidRPr="002D3C8C">
        <w:rPr>
          <w:b/>
        </w:rPr>
        <w:t xml:space="preserve">Please summarize </w:t>
      </w:r>
      <w:r>
        <w:rPr>
          <w:b/>
        </w:rPr>
        <w:t>the ISWC model.</w:t>
      </w:r>
    </w:p>
    <w:p w:rsidR="00AE40F3" w:rsidRDefault="00A97243">
      <w:pPr>
        <w:spacing w:line="480" w:lineRule="auto"/>
        <w:ind w:left="720" w:hanging="720"/>
        <w:jc w:val="left"/>
      </w:pPr>
      <w:r w:rsidRPr="00A97243">
        <w:t>A.</w:t>
      </w:r>
      <w:r w:rsidR="003A4D4E">
        <w:rPr>
          <w:b/>
        </w:rPr>
        <w:tab/>
      </w:r>
      <w:r w:rsidR="003A4D4E">
        <w:t xml:space="preserve">The ISWC model determines </w:t>
      </w:r>
      <w:r w:rsidR="00072E6B">
        <w:t>the amount of working capital supplied by investors</w:t>
      </w:r>
      <w:r w:rsidR="006A32EC">
        <w:t xml:space="preserve"> </w:t>
      </w:r>
      <w:r w:rsidR="003A4D4E">
        <w:t xml:space="preserve">by </w:t>
      </w:r>
      <w:r w:rsidR="00072E6B">
        <w:t xml:space="preserve">placing </w:t>
      </w:r>
      <w:r w:rsidR="003A4D4E">
        <w:t xml:space="preserve">the Company’s </w:t>
      </w:r>
      <w:r w:rsidR="006A32EC">
        <w:t xml:space="preserve">FERC </w:t>
      </w:r>
      <w:r w:rsidR="00415258">
        <w:t xml:space="preserve">Form No. 1 balance sheet </w:t>
      </w:r>
      <w:r w:rsidR="006A32EC">
        <w:t xml:space="preserve">accounts into four </w:t>
      </w:r>
      <w:r w:rsidR="00072E6B">
        <w:t>categories</w:t>
      </w:r>
      <w:r w:rsidR="006A32EC">
        <w:t>:</w:t>
      </w:r>
      <w:r w:rsidR="003A4D4E">
        <w:t xml:space="preserve"> current assets, current liabilities, investments</w:t>
      </w:r>
      <w:r w:rsidR="000369C3">
        <w:t>,</w:t>
      </w:r>
      <w:r w:rsidR="003A4D4E">
        <w:t xml:space="preserve"> and invested capital. </w:t>
      </w:r>
      <w:r w:rsidR="00F15D8C">
        <w:t xml:space="preserve"> </w:t>
      </w:r>
      <w:r w:rsidR="003A4D4E">
        <w:t xml:space="preserve">To the extent </w:t>
      </w:r>
      <w:r w:rsidR="006A32EC">
        <w:t>invested capital</w:t>
      </w:r>
      <w:r w:rsidR="003A4D4E">
        <w:t xml:space="preserve"> exceed</w:t>
      </w:r>
      <w:r w:rsidR="006A32EC">
        <w:t xml:space="preserve">s </w:t>
      </w:r>
      <w:proofErr w:type="gramStart"/>
      <w:r w:rsidR="006A32EC">
        <w:t>investments</w:t>
      </w:r>
      <w:r w:rsidR="003A4D4E">
        <w:t>,</w:t>
      </w:r>
      <w:proofErr w:type="gramEnd"/>
      <w:r w:rsidR="003A4D4E">
        <w:t xml:space="preserve"> the utility is financing</w:t>
      </w:r>
      <w:r w:rsidR="006A32EC">
        <w:t xml:space="preserve"> working capital</w:t>
      </w:r>
      <w:r w:rsidR="003A4D4E">
        <w:t xml:space="preserve"> activities with the use of investor funds. </w:t>
      </w:r>
      <w:r w:rsidR="00072E6B">
        <w:t xml:space="preserve"> The working capital supplied by investors is included in rate base “to provide a return on this investment for the Company’s ongoing sustainability.</w:t>
      </w:r>
      <w:r w:rsidR="000E07C1">
        <w:t>”</w:t>
      </w:r>
      <w:r w:rsidR="00072E6B">
        <w:rPr>
          <w:rStyle w:val="FootnoteReference"/>
        </w:rPr>
        <w:footnoteReference w:id="2"/>
      </w:r>
    </w:p>
    <w:p w:rsidR="00AE40F3" w:rsidRDefault="000E07C1">
      <w:pPr>
        <w:spacing w:line="480" w:lineRule="auto"/>
        <w:ind w:left="720" w:hanging="720"/>
        <w:jc w:val="left"/>
        <w:rPr>
          <w:b/>
        </w:rPr>
      </w:pPr>
      <w:r>
        <w:rPr>
          <w:b/>
        </w:rPr>
        <w:t>Q.</w:t>
      </w:r>
      <w:r w:rsidR="003A4D4E">
        <w:rPr>
          <w:b/>
        </w:rPr>
        <w:tab/>
      </w:r>
      <w:r w:rsidR="003A4D4E" w:rsidRPr="002D3C8C">
        <w:rPr>
          <w:b/>
        </w:rPr>
        <w:t xml:space="preserve">Please </w:t>
      </w:r>
      <w:r w:rsidR="003A4D4E">
        <w:rPr>
          <w:b/>
        </w:rPr>
        <w:t xml:space="preserve">briefly </w:t>
      </w:r>
      <w:r w:rsidR="003A4D4E" w:rsidRPr="002D3C8C">
        <w:rPr>
          <w:b/>
        </w:rPr>
        <w:t xml:space="preserve">summarize </w:t>
      </w:r>
      <w:r w:rsidR="003A4D4E">
        <w:rPr>
          <w:b/>
        </w:rPr>
        <w:t xml:space="preserve">the Company’s proposed </w:t>
      </w:r>
      <w:r w:rsidR="00D40437">
        <w:rPr>
          <w:b/>
        </w:rPr>
        <w:t>refinements to the ISWC model related to derivative assets and liabilities.</w:t>
      </w:r>
    </w:p>
    <w:p w:rsidR="00F117E4" w:rsidRDefault="000E07C1" w:rsidP="00094F94">
      <w:pPr>
        <w:spacing w:line="480" w:lineRule="auto"/>
        <w:ind w:left="720" w:hanging="720"/>
        <w:jc w:val="left"/>
      </w:pPr>
      <w:r>
        <w:t>A.</w:t>
      </w:r>
      <w:r w:rsidR="00A97243" w:rsidRPr="00A97243">
        <w:tab/>
      </w:r>
      <w:r w:rsidR="003A4D4E" w:rsidRPr="00D40437">
        <w:t xml:space="preserve">The Company proposes that derivative assets and liabilities </w:t>
      </w:r>
      <w:r w:rsidR="00865039">
        <w:t xml:space="preserve">(including any frozen derivative values) </w:t>
      </w:r>
      <w:r w:rsidR="003A4D4E" w:rsidRPr="00D40437">
        <w:t xml:space="preserve">be included in the </w:t>
      </w:r>
      <w:r w:rsidR="00D97F56">
        <w:t>“</w:t>
      </w:r>
      <w:r w:rsidR="003A4D4E" w:rsidRPr="00D40437">
        <w:t>investments</w:t>
      </w:r>
      <w:r w:rsidR="00D97F56">
        <w:t>”</w:t>
      </w:r>
      <w:r w:rsidR="003A4D4E" w:rsidRPr="00D40437">
        <w:t xml:space="preserve"> column rather than the </w:t>
      </w:r>
      <w:r w:rsidR="00D97F56">
        <w:t>“</w:t>
      </w:r>
      <w:r w:rsidR="003A4D4E" w:rsidRPr="00D40437">
        <w:t>current assets</w:t>
      </w:r>
      <w:r w:rsidR="00D97F56">
        <w:t>”</w:t>
      </w:r>
      <w:r w:rsidR="003A4D4E" w:rsidRPr="00D40437">
        <w:t xml:space="preserve"> or </w:t>
      </w:r>
      <w:r w:rsidR="00D97F56">
        <w:t>“</w:t>
      </w:r>
      <w:r w:rsidR="003A4D4E" w:rsidRPr="00D40437">
        <w:t>current liabilities</w:t>
      </w:r>
      <w:r w:rsidR="00D97F56">
        <w:t>”</w:t>
      </w:r>
      <w:r w:rsidR="003A4D4E" w:rsidRPr="00D40437">
        <w:t xml:space="preserve"> columns</w:t>
      </w:r>
      <w:r w:rsidR="00094F94">
        <w:t>.  As noted by Staff, these types of investments should not be per</w:t>
      </w:r>
      <w:r>
        <w:t>mitted to affect customer rates</w:t>
      </w:r>
      <w:r w:rsidR="00B50D07">
        <w:t>,</w:t>
      </w:r>
      <w:r w:rsidR="00094F94">
        <w:t xml:space="preserve"> and including these assets or liabilities in the ISWC model as investments instead of current assets or current liabilities “properly protects ratepayers</w:t>
      </w:r>
      <w:r w:rsidR="006D7BDD">
        <w:t>.</w:t>
      </w:r>
      <w:r>
        <w:t>”</w:t>
      </w:r>
      <w:r w:rsidR="006D7BDD">
        <w:rPr>
          <w:rStyle w:val="FootnoteReference"/>
        </w:rPr>
        <w:footnoteReference w:id="3"/>
      </w:r>
      <w:r w:rsidR="006D7BDD" w:rsidRPr="00D40437">
        <w:t xml:space="preserve"> </w:t>
      </w:r>
    </w:p>
    <w:p w:rsidR="00AE40F3" w:rsidRDefault="006D7BDD">
      <w:pPr>
        <w:spacing w:line="480" w:lineRule="auto"/>
        <w:ind w:left="720" w:firstLine="720"/>
        <w:jc w:val="left"/>
      </w:pPr>
      <w:r>
        <w:t>Additionally</w:t>
      </w:r>
      <w:r w:rsidR="00865039">
        <w:t xml:space="preserve">, the derivative assets and liabilities </w:t>
      </w:r>
      <w:r>
        <w:t>(other than th</w:t>
      </w:r>
      <w:r w:rsidR="000A49CB">
        <w:t>ose</w:t>
      </w:r>
      <w:r>
        <w:t xml:space="preserve"> related to cash collateral) </w:t>
      </w:r>
      <w:r w:rsidR="00865039">
        <w:t>are currently entirely offset by regulatory assets</w:t>
      </w:r>
      <w:r w:rsidR="00683783">
        <w:t>,</w:t>
      </w:r>
      <w:r w:rsidR="00865039">
        <w:t xml:space="preserve"> have no net impact on the Company’s balance sheet</w:t>
      </w:r>
      <w:r w:rsidR="000369C3">
        <w:t>,</w:t>
      </w:r>
      <w:r w:rsidR="00683783">
        <w:t xml:space="preserve"> and have not </w:t>
      </w:r>
      <w:r w:rsidR="000369C3">
        <w:t xml:space="preserve">used </w:t>
      </w:r>
      <w:r w:rsidR="00683783">
        <w:t>any customer or investor funds</w:t>
      </w:r>
      <w:r w:rsidR="00865039">
        <w:t xml:space="preserve">. </w:t>
      </w:r>
      <w:r w:rsidR="00F15D8C">
        <w:t xml:space="preserve"> </w:t>
      </w:r>
      <w:r w:rsidR="003A4D4E" w:rsidRPr="00D40437">
        <w:t xml:space="preserve">The associated regulatory asset balances for these </w:t>
      </w:r>
      <w:r w:rsidR="00865039">
        <w:t>derivative values</w:t>
      </w:r>
      <w:r w:rsidR="003A4D4E" w:rsidRPr="00D40437">
        <w:t xml:space="preserve"> are already appropriately included in the investments column.</w:t>
      </w:r>
      <w:r w:rsidR="00F15D8C">
        <w:t xml:space="preserve"> </w:t>
      </w:r>
      <w:r w:rsidR="00865039">
        <w:t xml:space="preserve"> </w:t>
      </w:r>
      <w:r w:rsidR="00683783">
        <w:t>Also</w:t>
      </w:r>
      <w:r w:rsidR="000369C3">
        <w:t>,</w:t>
      </w:r>
      <w:r w:rsidR="00683783">
        <w:t xml:space="preserve"> b</w:t>
      </w:r>
      <w:r w:rsidR="00865039">
        <w:t>y including the</w:t>
      </w:r>
      <w:r>
        <w:t xml:space="preserve"> derivative </w:t>
      </w:r>
      <w:r>
        <w:lastRenderedPageBreak/>
        <w:t>account balances</w:t>
      </w:r>
      <w:r w:rsidR="00865039">
        <w:t xml:space="preserve"> in the investments column, the portion of the balances related to any cash collateral outstanding with counterparties as deposits are</w:t>
      </w:r>
      <w:r>
        <w:t xml:space="preserve"> </w:t>
      </w:r>
      <w:r w:rsidR="00865039">
        <w:t>properly excluded from ISWC</w:t>
      </w:r>
      <w:r w:rsidR="00683783">
        <w:t xml:space="preserve"> since they are interest-bearing deposits</w:t>
      </w:r>
      <w:r w:rsidR="00BF52A7">
        <w:t xml:space="preserve"> and should </w:t>
      </w:r>
      <w:r w:rsidR="00094F94">
        <w:t xml:space="preserve">not also </w:t>
      </w:r>
      <w:r w:rsidR="00BF52A7">
        <w:t>earn a return by being included in rate base</w:t>
      </w:r>
      <w:r w:rsidR="00865039">
        <w:t xml:space="preserve">. </w:t>
      </w:r>
    </w:p>
    <w:p w:rsidR="00AE40F3" w:rsidRDefault="00094F94">
      <w:pPr>
        <w:spacing w:line="480" w:lineRule="auto"/>
        <w:ind w:left="720" w:hanging="720"/>
        <w:jc w:val="left"/>
        <w:rPr>
          <w:b/>
        </w:rPr>
      </w:pPr>
      <w:r>
        <w:rPr>
          <w:b/>
        </w:rPr>
        <w:t>Q.</w:t>
      </w:r>
      <w:r w:rsidR="00CB6F6E">
        <w:rPr>
          <w:b/>
        </w:rPr>
        <w:tab/>
      </w:r>
      <w:r w:rsidR="00CB6F6E" w:rsidRPr="002D3C8C">
        <w:rPr>
          <w:b/>
        </w:rPr>
        <w:t xml:space="preserve">Please </w:t>
      </w:r>
      <w:r w:rsidR="00CB6F6E">
        <w:rPr>
          <w:b/>
        </w:rPr>
        <w:t xml:space="preserve">briefly </w:t>
      </w:r>
      <w:r w:rsidR="00CB6F6E" w:rsidRPr="002D3C8C">
        <w:rPr>
          <w:b/>
        </w:rPr>
        <w:t xml:space="preserve">summarize </w:t>
      </w:r>
      <w:r w:rsidR="00CB6F6E">
        <w:rPr>
          <w:b/>
        </w:rPr>
        <w:t>the Company’s proposed refinements to the ISWC model related to pension and other post</w:t>
      </w:r>
      <w:r w:rsidR="00BF52A7">
        <w:rPr>
          <w:b/>
        </w:rPr>
        <w:t>-</w:t>
      </w:r>
      <w:r w:rsidR="00CB6F6E">
        <w:rPr>
          <w:b/>
        </w:rPr>
        <w:t>retirement benefits.</w:t>
      </w:r>
    </w:p>
    <w:p w:rsidR="00AE40F3" w:rsidRDefault="00D174DA">
      <w:pPr>
        <w:spacing w:line="480" w:lineRule="auto"/>
        <w:ind w:left="720" w:hanging="720"/>
        <w:jc w:val="left"/>
      </w:pPr>
      <w:r>
        <w:t>A.</w:t>
      </w:r>
      <w:r>
        <w:tab/>
      </w:r>
      <w:r w:rsidR="003A4D4E">
        <w:t>The Company proposes that pension and other post-retirement benefits liabilities, associated regulatory asset balances</w:t>
      </w:r>
      <w:r w:rsidR="000369C3">
        <w:t>,</w:t>
      </w:r>
      <w:r w:rsidR="003A4D4E">
        <w:t xml:space="preserve"> and associated accumulated deferred income tax balances be included in the current assets and current liabilities columns rather than in the investments column </w:t>
      </w:r>
      <w:r w:rsidR="000369C3">
        <w:t>because</w:t>
      </w:r>
      <w:r w:rsidR="003A4D4E">
        <w:t xml:space="preserve"> </w:t>
      </w:r>
      <w:r w:rsidR="005B73AC">
        <w:t xml:space="preserve">investors have supplied the </w:t>
      </w:r>
      <w:r w:rsidR="00094F94">
        <w:t xml:space="preserve">necessary </w:t>
      </w:r>
      <w:r w:rsidR="005B73AC">
        <w:t xml:space="preserve">capital </w:t>
      </w:r>
      <w:r w:rsidR="00B50D07">
        <w:t>through</w:t>
      </w:r>
      <w:r w:rsidR="005B73AC">
        <w:t xml:space="preserve"> contributions to the plans</w:t>
      </w:r>
      <w:r w:rsidR="00B6256C">
        <w:t xml:space="preserve"> in e</w:t>
      </w:r>
      <w:r w:rsidR="00287C43">
        <w:t>xcess of its accounting expense</w:t>
      </w:r>
      <w:r w:rsidR="00B6256C">
        <w:t xml:space="preserve">. </w:t>
      </w:r>
      <w:r w:rsidR="00D97F56">
        <w:t xml:space="preserve"> </w:t>
      </w:r>
      <w:r w:rsidR="00B6256C">
        <w:t>Contributions are determined under funding rules and policies</w:t>
      </w:r>
      <w:r w:rsidR="000369C3">
        <w:t>,</w:t>
      </w:r>
      <w:r w:rsidR="00B6256C">
        <w:t xml:space="preserve"> while expense is determined under generally accepted accounting principles. </w:t>
      </w:r>
      <w:r w:rsidR="000369C3">
        <w:t xml:space="preserve"> </w:t>
      </w:r>
      <w:r w:rsidR="00B6256C">
        <w:t xml:space="preserve">Since recovery is based on expense, investors have </w:t>
      </w:r>
      <w:r w:rsidR="00B50D07">
        <w:t xml:space="preserve">borne </w:t>
      </w:r>
      <w:r w:rsidR="00B6256C">
        <w:t>the cost of financing any incremental contributions</w:t>
      </w:r>
      <w:r w:rsidR="003A4D4E">
        <w:t>.</w:t>
      </w:r>
    </w:p>
    <w:p w:rsidR="00AE40F3" w:rsidRDefault="009654C0">
      <w:pPr>
        <w:pStyle w:val="BodyText"/>
        <w:ind w:left="720"/>
      </w:pPr>
      <w:r>
        <w:t xml:space="preserve">Although the accumulated provision for pensions and benefits and </w:t>
      </w:r>
      <w:r w:rsidR="000369C3">
        <w:t xml:space="preserve">the </w:t>
      </w:r>
      <w:r>
        <w:t>associated regulatory asset are presented as non</w:t>
      </w:r>
      <w:r w:rsidR="000369C3">
        <w:t>-</w:t>
      </w:r>
      <w:r>
        <w:t>current balances in the FERC Form No. 1, the combination of these balances represents</w:t>
      </w:r>
      <w:r w:rsidR="001D6591">
        <w:t xml:space="preserve"> </w:t>
      </w:r>
      <w:r>
        <w:t xml:space="preserve">the cumulative excess of </w:t>
      </w:r>
      <w:r w:rsidR="00EE1A1B">
        <w:t xml:space="preserve">contributions over </w:t>
      </w:r>
      <w:r>
        <w:t>expense.</w:t>
      </w:r>
      <w:r w:rsidR="00145BF2">
        <w:t xml:space="preserve"> </w:t>
      </w:r>
      <w:r w:rsidR="000369C3">
        <w:t xml:space="preserve"> </w:t>
      </w:r>
      <w:r w:rsidR="00145BF2">
        <w:t>Although the FERC Uniform System of Accounts</w:t>
      </w:r>
      <w:r w:rsidR="00EE1A1B">
        <w:t xml:space="preserve"> </w:t>
      </w:r>
      <w:r w:rsidR="00145BF2">
        <w:t>require</w:t>
      </w:r>
      <w:r w:rsidR="001D6591">
        <w:t>s</w:t>
      </w:r>
      <w:r w:rsidR="00145BF2">
        <w:t xml:space="preserve"> classification of these balances as non</w:t>
      </w:r>
      <w:r w:rsidR="000369C3">
        <w:t>-</w:t>
      </w:r>
      <w:r w:rsidR="00145BF2">
        <w:t>current, contributions are made to the plan</w:t>
      </w:r>
      <w:r w:rsidR="00F40B81">
        <w:t>s</w:t>
      </w:r>
      <w:r w:rsidR="00145BF2">
        <w:t xml:space="preserve"> and </w:t>
      </w:r>
      <w:r w:rsidR="00F40B81">
        <w:t>amounts are amortized to expense</w:t>
      </w:r>
      <w:r w:rsidR="00145BF2">
        <w:t xml:space="preserve"> each year.</w:t>
      </w:r>
      <w:r w:rsidR="000B642A">
        <w:t xml:space="preserve"> </w:t>
      </w:r>
      <w:r w:rsidR="000369C3">
        <w:t xml:space="preserve"> </w:t>
      </w:r>
      <w:r w:rsidR="000B642A">
        <w:t>Thus, there are current activities associated with these balances</w:t>
      </w:r>
      <w:r w:rsidR="00A26B02">
        <w:t xml:space="preserve"> despite their </w:t>
      </w:r>
      <w:r w:rsidR="00EE1A1B">
        <w:t xml:space="preserve">non-current </w:t>
      </w:r>
      <w:r w:rsidR="00A26B02">
        <w:t>balance sheet classification</w:t>
      </w:r>
      <w:r w:rsidR="000B642A">
        <w:t>.</w:t>
      </w:r>
    </w:p>
    <w:p w:rsidR="00FA3156" w:rsidRDefault="004C7196" w:rsidP="00094F94">
      <w:pPr>
        <w:spacing w:line="480" w:lineRule="auto"/>
        <w:ind w:left="720" w:firstLine="720"/>
        <w:jc w:val="left"/>
      </w:pPr>
      <w:r>
        <w:t>Staff</w:t>
      </w:r>
      <w:r w:rsidR="003103D1">
        <w:t xml:space="preserve"> </w:t>
      </w:r>
      <w:r w:rsidR="00475AEE">
        <w:t>agrees with the Company’s proposed refinements</w:t>
      </w:r>
      <w:r w:rsidR="00094F94">
        <w:t xml:space="preserve">, stating “Mr. </w:t>
      </w:r>
      <w:proofErr w:type="spellStart"/>
      <w:r w:rsidR="00094F94">
        <w:t>Stuver’s</w:t>
      </w:r>
      <w:proofErr w:type="spellEnd"/>
      <w:r w:rsidR="00094F94">
        <w:t xml:space="preserve"> treatment of post-retirement benefits achieves a proper balance of ratepayer interests and allows investors to earn a return on the net unamortized funds they have contributed to Company employees’ post-retirement benefits.”</w:t>
      </w:r>
      <w:r w:rsidR="00094F94">
        <w:rPr>
          <w:rStyle w:val="FootnoteReference"/>
        </w:rPr>
        <w:footnoteReference w:id="4"/>
      </w:r>
      <w:r w:rsidR="00475AEE">
        <w:t xml:space="preserve"> </w:t>
      </w:r>
    </w:p>
    <w:p w:rsidR="00AE40F3" w:rsidRDefault="00FA3156" w:rsidP="00094F94">
      <w:pPr>
        <w:spacing w:line="480" w:lineRule="auto"/>
        <w:jc w:val="center"/>
        <w:rPr>
          <w:b/>
        </w:rPr>
      </w:pPr>
      <w:r>
        <w:rPr>
          <w:b/>
        </w:rPr>
        <w:t>RESPONSE TO PUBLIC COUNSEL</w:t>
      </w:r>
    </w:p>
    <w:p w:rsidR="00AE40F3" w:rsidRDefault="00094F94" w:rsidP="00094F94">
      <w:pPr>
        <w:spacing w:line="480" w:lineRule="auto"/>
        <w:ind w:left="720" w:hanging="720"/>
        <w:jc w:val="left"/>
        <w:rPr>
          <w:b/>
        </w:rPr>
      </w:pPr>
      <w:r>
        <w:rPr>
          <w:b/>
        </w:rPr>
        <w:t>Q.</w:t>
      </w:r>
      <w:r w:rsidR="003A4D4E" w:rsidRPr="0042668B">
        <w:rPr>
          <w:b/>
        </w:rPr>
        <w:tab/>
      </w:r>
      <w:r w:rsidR="00FA3156">
        <w:rPr>
          <w:b/>
        </w:rPr>
        <w:t>Please summarize Public Counsel’s reasons for rejecting the Company’s proposed refinements to the ISWC model.</w:t>
      </w:r>
    </w:p>
    <w:p w:rsidR="00AE40F3" w:rsidRDefault="00A97243" w:rsidP="00B50D07">
      <w:pPr>
        <w:spacing w:line="480" w:lineRule="auto"/>
        <w:ind w:left="720" w:hanging="720"/>
        <w:jc w:val="left"/>
      </w:pPr>
      <w:r w:rsidRPr="00A97243">
        <w:t>A.</w:t>
      </w:r>
      <w:r w:rsidRPr="00A97243">
        <w:tab/>
      </w:r>
      <w:r w:rsidR="00094F94">
        <w:t>Public Counsel argues that the ISWC model “uses the conventional classification of current assets and current liabilities to determine working capital with very few a</w:t>
      </w:r>
      <w:r w:rsidR="00057D73">
        <w:t>djustments to that base precept.</w:t>
      </w:r>
      <w:r w:rsidR="00094F94">
        <w:t>”</w:t>
      </w:r>
      <w:r w:rsidR="001611DC">
        <w:rPr>
          <w:rStyle w:val="FootnoteReference"/>
        </w:rPr>
        <w:footnoteReference w:id="5"/>
      </w:r>
      <w:r w:rsidR="00094F94">
        <w:t xml:space="preserve">  </w:t>
      </w:r>
      <w:r w:rsidR="001611DC">
        <w:t>Because the Company’s refinements would (according to Public Counsel) require “45 account reclassifications,” Public Counsel deems the refinements to be “not well founded.”</w:t>
      </w:r>
      <w:r w:rsidR="001611DC">
        <w:rPr>
          <w:rStyle w:val="FootnoteReference"/>
        </w:rPr>
        <w:footnoteReference w:id="6"/>
      </w:r>
    </w:p>
    <w:p w:rsidR="00AE40F3" w:rsidRDefault="00FA3156">
      <w:pPr>
        <w:spacing w:line="480" w:lineRule="auto"/>
        <w:ind w:left="720" w:hanging="720"/>
        <w:rPr>
          <w:b/>
        </w:rPr>
      </w:pPr>
      <w:r>
        <w:rPr>
          <w:b/>
        </w:rPr>
        <w:t>Q.</w:t>
      </w:r>
      <w:r>
        <w:rPr>
          <w:b/>
        </w:rPr>
        <w:tab/>
      </w:r>
      <w:r w:rsidR="001611DC">
        <w:rPr>
          <w:b/>
        </w:rPr>
        <w:t>Do you agree with Public Counsel’s arguments?</w:t>
      </w:r>
    </w:p>
    <w:p w:rsidR="001611DC" w:rsidRDefault="003A4D4E">
      <w:pPr>
        <w:pStyle w:val="BodyText"/>
        <w:ind w:left="720" w:hanging="720"/>
      </w:pPr>
      <w:r>
        <w:t>A.</w:t>
      </w:r>
      <w:r>
        <w:tab/>
      </w:r>
      <w:r w:rsidR="001611DC">
        <w:t>No.  Public Counsel does not understand the basics of the ISWC model.  According to Public Counsel, “[t]he 45 account reclassifications proposed by the Company upend the basic definition of working capital as the difference between current assets and current liabilities.”</w:t>
      </w:r>
      <w:r w:rsidR="001611DC">
        <w:rPr>
          <w:rStyle w:val="FootnoteReference"/>
        </w:rPr>
        <w:footnoteReference w:id="7"/>
      </w:r>
      <w:r w:rsidR="001611DC">
        <w:t xml:space="preserve">  But the ISWC model is designed to do more than just measure the difference between current assets and current liabilities.  As Staff states, the ISWC model determines the “excess of invested capital over total investment,” which is “[e]</w:t>
      </w:r>
      <w:proofErr w:type="spellStart"/>
      <w:r w:rsidR="001611DC">
        <w:t>ssentially</w:t>
      </w:r>
      <w:proofErr w:type="spellEnd"/>
      <w:r w:rsidR="001611DC">
        <w:t xml:space="preserve"> . . . the inverse of the typical accounting formula for working capital which is current assets minus current liabilities.”</w:t>
      </w:r>
      <w:r w:rsidR="001611DC">
        <w:rPr>
          <w:rStyle w:val="FootnoteReference"/>
        </w:rPr>
        <w:footnoteReference w:id="8"/>
      </w:r>
      <w:r w:rsidR="001611DC">
        <w:t xml:space="preserve">  </w:t>
      </w:r>
    </w:p>
    <w:p w:rsidR="00334E3B" w:rsidRDefault="00334E3B" w:rsidP="00334E3B">
      <w:pPr>
        <w:pStyle w:val="BodyText"/>
        <w:ind w:left="720" w:hanging="720"/>
      </w:pPr>
      <w:r>
        <w:tab/>
      </w:r>
      <w:r>
        <w:tab/>
        <w:t>Contrary to Public Counsel’s arguments, the ISWC model does not use “conventional” acco</w:t>
      </w:r>
      <w:r w:rsidR="006D1C8A">
        <w:t>unting classifications with “</w:t>
      </w:r>
      <w:r>
        <w:t xml:space="preserve">very few adjustments.”  Instead, the primary </w:t>
      </w:r>
      <w:r>
        <w:rPr>
          <w:i/>
        </w:rPr>
        <w:t xml:space="preserve">accounting </w:t>
      </w:r>
      <w:r w:rsidRPr="00334E3B">
        <w:t>categories</w:t>
      </w:r>
      <w:r>
        <w:t xml:space="preserve"> of assets, liabilities, and owner’s equity “require analysis to properly determine what amounts constitute invested capital and what amounts constitute investments</w:t>
      </w:r>
      <w:r w:rsidR="00057D73">
        <w:t xml:space="preserve"> [in the ISWC model]</w:t>
      </w:r>
      <w:r>
        <w:t>.”</w:t>
      </w:r>
      <w:r w:rsidRPr="00FF4D59">
        <w:rPr>
          <w:vertAlign w:val="superscript"/>
        </w:rPr>
        <w:footnoteReference w:id="9"/>
      </w:r>
      <w:r w:rsidRPr="00FF4D59">
        <w:t xml:space="preserve"> </w:t>
      </w:r>
      <w:r>
        <w:t xml:space="preserve"> Public Counsel seems to indicate that deviating from accounting classifications in categorizing current assets, current liabilities, investments, or invested capital </w:t>
      </w:r>
      <w:r w:rsidR="00057D73">
        <w:t>in</w:t>
      </w:r>
      <w:r>
        <w:t xml:space="preserve"> the ISWC model is inappropriate.  But this position is inconsistent with the ISWC model:</w:t>
      </w:r>
    </w:p>
    <w:p w:rsidR="00334E3B" w:rsidRDefault="00334E3B" w:rsidP="00334E3B">
      <w:pPr>
        <w:pStyle w:val="BodyText"/>
        <w:spacing w:after="240" w:line="240" w:lineRule="auto"/>
        <w:ind w:left="1440" w:right="720" w:firstLine="0"/>
      </w:pPr>
      <w:r>
        <w:t>The text book definition of working capital is current assets less current liabilities.  However, this simple determination does not identify the portion of working capital, if any, supplied by investors.  Investor supplied working capital looks at the source of capital supplied by investors and where such capital is invested.  If there is an excess of investor supplied capital over investments, than that excess amount is the investor-supplied working capital.</w:t>
      </w:r>
      <w:r w:rsidRPr="00FF4D59">
        <w:rPr>
          <w:vertAlign w:val="superscript"/>
        </w:rPr>
        <w:footnoteReference w:id="10"/>
      </w:r>
      <w:r>
        <w:t xml:space="preserve">  </w:t>
      </w:r>
    </w:p>
    <w:p w:rsidR="00334E3B" w:rsidRDefault="00334E3B" w:rsidP="00334E3B">
      <w:pPr>
        <w:pStyle w:val="BodyText"/>
        <w:ind w:left="720" w:firstLine="0"/>
      </w:pPr>
      <w:r>
        <w:t xml:space="preserve">Accordingly, changing categories in the ISWC model does not require changing the accounting classifications used in ratemaking, nor does the ISWC model require rigid adherence to accounting classifications in determining the appropriate categorization of an asset </w:t>
      </w:r>
      <w:r w:rsidR="00057D73">
        <w:t>or liability within the model.</w:t>
      </w:r>
    </w:p>
    <w:p w:rsidR="00AE40F3" w:rsidRDefault="0023540E">
      <w:pPr>
        <w:pStyle w:val="BodyText"/>
        <w:ind w:left="720"/>
        <w:rPr>
          <w:bCs/>
        </w:rPr>
      </w:pPr>
      <w:r>
        <w:t xml:space="preserve">Classifying accounts in </w:t>
      </w:r>
      <w:r w:rsidR="001611DC">
        <w:t>the model</w:t>
      </w:r>
      <w:r w:rsidR="0067608C">
        <w:t xml:space="preserve"> as current assets, current liabilities, investments</w:t>
      </w:r>
      <w:r w:rsidR="000369C3">
        <w:t>,</w:t>
      </w:r>
      <w:r w:rsidR="0067608C">
        <w:t xml:space="preserve"> or invested capital based </w:t>
      </w:r>
      <w:r w:rsidR="0079052B">
        <w:t xml:space="preserve">on whether investors have funded </w:t>
      </w:r>
      <w:r w:rsidR="0067608C">
        <w:t>working capital</w:t>
      </w:r>
      <w:r>
        <w:t xml:space="preserve"> is also </w:t>
      </w:r>
      <w:r w:rsidR="00425B73">
        <w:t>consistent with</w:t>
      </w:r>
      <w:r w:rsidR="005413DC">
        <w:t xml:space="preserve"> </w:t>
      </w:r>
      <w:r w:rsidR="00425B73">
        <w:rPr>
          <w:bCs/>
        </w:rPr>
        <w:t>WAC 480-100-999(1)(b), which states</w:t>
      </w:r>
      <w:r w:rsidR="004C7196">
        <w:rPr>
          <w:bCs/>
        </w:rPr>
        <w:t>:</w:t>
      </w:r>
      <w:r w:rsidR="00425B73">
        <w:rPr>
          <w:bCs/>
        </w:rPr>
        <w:t xml:space="preserve"> “</w:t>
      </w:r>
      <w:r w:rsidR="00425B73" w:rsidRPr="0098785A">
        <w:rPr>
          <w:bCs/>
        </w:rPr>
        <w:t>The accounting and reporting</w:t>
      </w:r>
      <w:r w:rsidR="004B7AAB">
        <w:rPr>
          <w:bCs/>
        </w:rPr>
        <w:t xml:space="preserve"> </w:t>
      </w:r>
      <w:r w:rsidR="00425B73">
        <w:rPr>
          <w:bCs/>
        </w:rPr>
        <w:t>…</w:t>
      </w:r>
      <w:r w:rsidR="004B7AAB">
        <w:rPr>
          <w:bCs/>
        </w:rPr>
        <w:t xml:space="preserve"> </w:t>
      </w:r>
      <w:r w:rsidR="00A97243" w:rsidRPr="00A97243">
        <w:rPr>
          <w:bCs/>
          <w:i/>
        </w:rPr>
        <w:t>should not be construed as indicative of their treatment by this commission for ratemaking purposes</w:t>
      </w:r>
      <w:r w:rsidR="00425B73" w:rsidRPr="0098785A">
        <w:rPr>
          <w:bCs/>
        </w:rPr>
        <w:t>.</w:t>
      </w:r>
      <w:r w:rsidR="00425B73">
        <w:rPr>
          <w:bCs/>
        </w:rPr>
        <w:t>”</w:t>
      </w:r>
      <w:r w:rsidR="0015562D">
        <w:rPr>
          <w:bCs/>
        </w:rPr>
        <w:t xml:space="preserve">  (Emphasis added</w:t>
      </w:r>
      <w:r>
        <w:rPr>
          <w:bCs/>
        </w:rPr>
        <w:t>)</w:t>
      </w:r>
      <w:r w:rsidR="00425B73">
        <w:rPr>
          <w:bCs/>
        </w:rPr>
        <w:t xml:space="preserve">  </w:t>
      </w:r>
    </w:p>
    <w:p w:rsidR="00AE40F3" w:rsidRDefault="003A4D4E">
      <w:pPr>
        <w:pStyle w:val="BodyText"/>
        <w:ind w:left="720" w:hanging="720"/>
        <w:rPr>
          <w:b/>
        </w:rPr>
      </w:pPr>
      <w:r w:rsidRPr="00EB51FB">
        <w:rPr>
          <w:b/>
        </w:rPr>
        <w:t>Q.</w:t>
      </w:r>
      <w:r w:rsidRPr="00EB51FB">
        <w:rPr>
          <w:b/>
        </w:rPr>
        <w:tab/>
      </w:r>
      <w:r w:rsidR="00DF685B">
        <w:rPr>
          <w:b/>
        </w:rPr>
        <w:t>Please address</w:t>
      </w:r>
      <w:r>
        <w:rPr>
          <w:b/>
        </w:rPr>
        <w:t xml:space="preserve"> </w:t>
      </w:r>
      <w:r w:rsidR="008949A6">
        <w:rPr>
          <w:b/>
        </w:rPr>
        <w:t>Public Counsel</w:t>
      </w:r>
      <w:r w:rsidR="00DF685B">
        <w:rPr>
          <w:b/>
        </w:rPr>
        <w:t>’s position</w:t>
      </w:r>
      <w:r>
        <w:rPr>
          <w:b/>
        </w:rPr>
        <w:t xml:space="preserve"> that many of the regulatory asset </w:t>
      </w:r>
      <w:r w:rsidRPr="00A123E1">
        <w:rPr>
          <w:b/>
        </w:rPr>
        <w:t xml:space="preserve">accounts being reclassified appear to </w:t>
      </w:r>
      <w:r w:rsidR="00AC00E2">
        <w:rPr>
          <w:b/>
        </w:rPr>
        <w:t xml:space="preserve">be </w:t>
      </w:r>
      <w:r w:rsidRPr="00A123E1">
        <w:rPr>
          <w:b/>
        </w:rPr>
        <w:t>of a long-term nature</w:t>
      </w:r>
      <w:r w:rsidR="00611634">
        <w:rPr>
          <w:b/>
        </w:rPr>
        <w:t xml:space="preserve"> </w:t>
      </w:r>
      <w:r w:rsidR="00AC00E2">
        <w:rPr>
          <w:b/>
        </w:rPr>
        <w:t xml:space="preserve">and </w:t>
      </w:r>
      <w:r w:rsidR="00611634">
        <w:rPr>
          <w:b/>
        </w:rPr>
        <w:t>that a</w:t>
      </w:r>
      <w:r w:rsidRPr="00A123E1">
        <w:rPr>
          <w:b/>
        </w:rPr>
        <w:t xml:space="preserve"> number of the accounts reclassified appear to be non-cash accounts</w:t>
      </w:r>
      <w:r w:rsidR="00611634">
        <w:rPr>
          <w:b/>
        </w:rPr>
        <w:t>.</w:t>
      </w:r>
      <w:r>
        <w:rPr>
          <w:b/>
        </w:rPr>
        <w:t xml:space="preserve"> </w:t>
      </w:r>
    </w:p>
    <w:p w:rsidR="001611DC" w:rsidRDefault="003A4D4E">
      <w:pPr>
        <w:spacing w:line="480" w:lineRule="auto"/>
        <w:ind w:left="720" w:hanging="720"/>
        <w:jc w:val="left"/>
      </w:pPr>
      <w:r w:rsidRPr="00A123E1">
        <w:t>A.</w:t>
      </w:r>
      <w:r w:rsidRPr="00A123E1">
        <w:tab/>
      </w:r>
      <w:r>
        <w:t>As discussed above, cash contributions in excess of pension and other</w:t>
      </w:r>
      <w:r w:rsidR="008949A6">
        <w:t xml:space="preserve"> </w:t>
      </w:r>
      <w:r>
        <w:t>post</w:t>
      </w:r>
      <w:r w:rsidR="00BF52A7">
        <w:t>-</w:t>
      </w:r>
      <w:r>
        <w:t xml:space="preserve">retirement plan expense require the use of investor funds. </w:t>
      </w:r>
      <w:r w:rsidR="004B7AAB">
        <w:t xml:space="preserve"> </w:t>
      </w:r>
      <w:r>
        <w:t xml:space="preserve">This use of investor funds is presented on the Company’s </w:t>
      </w:r>
      <w:r w:rsidR="00577824">
        <w:t xml:space="preserve">balance sheet </w:t>
      </w:r>
      <w:r>
        <w:t xml:space="preserve">as </w:t>
      </w:r>
      <w:r w:rsidR="00577824">
        <w:t xml:space="preserve">the </w:t>
      </w:r>
      <w:r>
        <w:t>net of the regulatory assets and accumulated provision for pensions and benefits</w:t>
      </w:r>
      <w:r w:rsidR="00577824">
        <w:t>,</w:t>
      </w:r>
      <w:r>
        <w:t xml:space="preserve"> which </w:t>
      </w:r>
      <w:r w:rsidR="00577824">
        <w:t xml:space="preserve">the </w:t>
      </w:r>
      <w:r>
        <w:t xml:space="preserve">accounting rules require </w:t>
      </w:r>
      <w:r w:rsidR="00577824">
        <w:t xml:space="preserve">to be presented </w:t>
      </w:r>
      <w:r w:rsidR="00611634">
        <w:t>as non</w:t>
      </w:r>
      <w:r w:rsidR="008949A6">
        <w:t>-</w:t>
      </w:r>
      <w:r>
        <w:t>current assets and</w:t>
      </w:r>
      <w:r w:rsidR="00611634">
        <w:t xml:space="preserve"> non</w:t>
      </w:r>
      <w:r w:rsidR="008949A6">
        <w:t>-</w:t>
      </w:r>
      <w:r w:rsidR="00611634">
        <w:t>current</w:t>
      </w:r>
      <w:r>
        <w:t xml:space="preserve"> liabilities</w:t>
      </w:r>
      <w:r w:rsidR="00577824">
        <w:t xml:space="preserve"> despite the current activity flowing through those accounts</w:t>
      </w:r>
      <w:r>
        <w:t xml:space="preserve">. </w:t>
      </w:r>
      <w:r w:rsidR="004B7AAB">
        <w:t xml:space="preserve"> </w:t>
      </w:r>
      <w:r>
        <w:t>These accounts, though recorded as long</w:t>
      </w:r>
      <w:r w:rsidR="008949A6">
        <w:t xml:space="preserve"> </w:t>
      </w:r>
      <w:r>
        <w:t>term</w:t>
      </w:r>
      <w:r w:rsidR="00057D73">
        <w:t xml:space="preserve"> </w:t>
      </w:r>
      <w:r w:rsidR="00DD311A">
        <w:t xml:space="preserve">and </w:t>
      </w:r>
      <w:r w:rsidR="00057D73">
        <w:t>appearing</w:t>
      </w:r>
      <w:r w:rsidR="00DD311A">
        <w:t xml:space="preserve"> as non</w:t>
      </w:r>
      <w:r w:rsidR="0023540E">
        <w:t>-</w:t>
      </w:r>
      <w:r w:rsidR="00DD311A">
        <w:t>cash</w:t>
      </w:r>
      <w:r>
        <w:t xml:space="preserve"> for accounting purposes, impact the Company’s working capital </w:t>
      </w:r>
      <w:r w:rsidR="00611634">
        <w:t xml:space="preserve">as described above </w:t>
      </w:r>
      <w:r>
        <w:t>and should be classified as current assets and current liabilities in the ISWC model.</w:t>
      </w:r>
    </w:p>
    <w:p w:rsidR="00AE40F3" w:rsidRDefault="00AC00E2">
      <w:pPr>
        <w:spacing w:line="480" w:lineRule="auto"/>
        <w:ind w:left="720" w:hanging="720"/>
        <w:jc w:val="left"/>
      </w:pPr>
      <w:r>
        <w:rPr>
          <w:b/>
        </w:rPr>
        <w:t>Q.</w:t>
      </w:r>
      <w:r>
        <w:rPr>
          <w:b/>
        </w:rPr>
        <w:tab/>
        <w:t xml:space="preserve">Please address </w:t>
      </w:r>
      <w:r w:rsidR="008949A6">
        <w:rPr>
          <w:b/>
        </w:rPr>
        <w:t>Public Counsel</w:t>
      </w:r>
      <w:r>
        <w:rPr>
          <w:b/>
        </w:rPr>
        <w:t xml:space="preserve">’s </w:t>
      </w:r>
      <w:r w:rsidR="0023540E">
        <w:rPr>
          <w:b/>
        </w:rPr>
        <w:t>assertion</w:t>
      </w:r>
      <w:r w:rsidR="007C2CC5">
        <w:rPr>
          <w:b/>
        </w:rPr>
        <w:t xml:space="preserve"> </w:t>
      </w:r>
      <w:r>
        <w:rPr>
          <w:b/>
        </w:rPr>
        <w:t xml:space="preserve">that </w:t>
      </w:r>
      <w:r w:rsidR="007C2CC5">
        <w:rPr>
          <w:b/>
        </w:rPr>
        <w:t xml:space="preserve">many of the </w:t>
      </w:r>
      <w:r>
        <w:rPr>
          <w:b/>
        </w:rPr>
        <w:t>regulatory assets</w:t>
      </w:r>
      <w:r w:rsidR="007C2CC5">
        <w:rPr>
          <w:b/>
        </w:rPr>
        <w:t xml:space="preserve"> pertain e</w:t>
      </w:r>
      <w:r w:rsidRPr="00A123E1">
        <w:rPr>
          <w:b/>
        </w:rPr>
        <w:t>xclusively to jurisdictions other than Washington</w:t>
      </w:r>
      <w:r w:rsidR="007C2CC5">
        <w:rPr>
          <w:b/>
        </w:rPr>
        <w:t>.</w:t>
      </w:r>
    </w:p>
    <w:p w:rsidR="00AE40F3" w:rsidRDefault="0023540E">
      <w:pPr>
        <w:spacing w:line="480" w:lineRule="auto"/>
        <w:ind w:left="720" w:hanging="720"/>
        <w:jc w:val="left"/>
      </w:pPr>
      <w:r>
        <w:t>A.</w:t>
      </w:r>
      <w:r w:rsidR="00D174DA">
        <w:tab/>
      </w:r>
      <w:r w:rsidR="003A4D4E">
        <w:t xml:space="preserve">The regulatory asset accounts involved in the Company’s adjustments appropriately include the balances for all of PacifiCorp’s jurisdictions, consistent with the two-step approach for determining Washington’s share of </w:t>
      </w:r>
      <w:r w:rsidR="00AC00E2">
        <w:t>ISWC</w:t>
      </w:r>
      <w:r w:rsidR="003A4D4E">
        <w:t>.</w:t>
      </w:r>
      <w:r w:rsidR="001611DC">
        <w:rPr>
          <w:rStyle w:val="FootnoteReference"/>
        </w:rPr>
        <w:footnoteReference w:id="11"/>
      </w:r>
      <w:r w:rsidR="003A4D4E">
        <w:t xml:space="preserve">  The first step of the </w:t>
      </w:r>
      <w:r w:rsidR="00AC00E2">
        <w:t>ISWC</w:t>
      </w:r>
      <w:r w:rsidR="003A4D4E">
        <w:t xml:space="preserve"> model is to segregate the balance sheet into </w:t>
      </w:r>
      <w:r w:rsidR="00133D71">
        <w:t>current assets, current liabilities</w:t>
      </w:r>
      <w:r w:rsidR="003A4D4E">
        <w:t>, investments</w:t>
      </w:r>
      <w:r w:rsidR="001611DC">
        <w:t>,</w:t>
      </w:r>
      <w:r w:rsidR="009C6651">
        <w:t xml:space="preserve"> and invested</w:t>
      </w:r>
      <w:r w:rsidR="003A4D4E">
        <w:t xml:space="preserve"> capital. </w:t>
      </w:r>
      <w:r w:rsidR="004B7AAB">
        <w:t xml:space="preserve"> </w:t>
      </w:r>
      <w:r w:rsidR="003A4D4E">
        <w:t>The second step i</w:t>
      </w:r>
      <w:r w:rsidR="00AF7458">
        <w:t xml:space="preserve">s to then allocate the </w:t>
      </w:r>
      <w:r w:rsidR="000F70BC">
        <w:t>total</w:t>
      </w:r>
      <w:r w:rsidR="004B7AAB">
        <w:t>-c</w:t>
      </w:r>
      <w:r w:rsidR="000F70BC">
        <w:t xml:space="preserve">ompany </w:t>
      </w:r>
      <w:r w:rsidR="00DD311A">
        <w:t>ISWC</w:t>
      </w:r>
      <w:r w:rsidR="003A4D4E">
        <w:t xml:space="preserve"> amount determined in the first ste</w:t>
      </w:r>
      <w:r w:rsidR="00AF7458">
        <w:t>p to Washington, non-Washington</w:t>
      </w:r>
      <w:r w:rsidR="004B7AAB">
        <w:t>,</w:t>
      </w:r>
      <w:r w:rsidR="003A4D4E">
        <w:t xml:space="preserve"> and non-utility jurisdictions. </w:t>
      </w:r>
      <w:r w:rsidR="004B7AAB">
        <w:t xml:space="preserve"> </w:t>
      </w:r>
      <w:r w:rsidR="00AF7458">
        <w:t>The Company’s allocation methodology is consistent with the Commission-approved methodology.</w:t>
      </w:r>
      <w:r w:rsidR="00334E3B">
        <w:rPr>
          <w:rStyle w:val="FootnoteReference"/>
        </w:rPr>
        <w:footnoteReference w:id="12"/>
      </w:r>
    </w:p>
    <w:p w:rsidR="0023540E" w:rsidRPr="0023540E" w:rsidRDefault="0023540E" w:rsidP="0023540E">
      <w:pPr>
        <w:spacing w:line="480" w:lineRule="auto"/>
        <w:ind w:left="720" w:hanging="720"/>
        <w:jc w:val="center"/>
        <w:rPr>
          <w:b/>
        </w:rPr>
      </w:pPr>
      <w:r>
        <w:rPr>
          <w:b/>
        </w:rPr>
        <w:t>RECOMMENDATION AND CONCLUSION</w:t>
      </w:r>
    </w:p>
    <w:p w:rsidR="00AE40F3" w:rsidRDefault="0023540E">
      <w:pPr>
        <w:pStyle w:val="BodyText"/>
        <w:ind w:left="720" w:hanging="720"/>
        <w:rPr>
          <w:b/>
        </w:rPr>
      </w:pPr>
      <w:r>
        <w:rPr>
          <w:b/>
        </w:rPr>
        <w:t>Q.</w:t>
      </w:r>
      <w:r w:rsidR="003A4D4E">
        <w:rPr>
          <w:b/>
        </w:rPr>
        <w:tab/>
      </w:r>
      <w:r>
        <w:rPr>
          <w:b/>
        </w:rPr>
        <w:t>What is your recommendation for the Commission</w:t>
      </w:r>
      <w:r w:rsidR="003A4D4E" w:rsidRPr="00EB51FB">
        <w:rPr>
          <w:b/>
        </w:rPr>
        <w:t>?</w:t>
      </w:r>
    </w:p>
    <w:p w:rsidR="00AE40F3" w:rsidRDefault="003A4D4E">
      <w:pPr>
        <w:spacing w:line="480" w:lineRule="auto"/>
        <w:ind w:left="720" w:hanging="720"/>
        <w:jc w:val="left"/>
      </w:pPr>
      <w:r>
        <w:t>A.</w:t>
      </w:r>
      <w:r>
        <w:tab/>
      </w:r>
      <w:r w:rsidR="0023540E">
        <w:t xml:space="preserve">The Commission should approve the Company’s proposed refinements to </w:t>
      </w:r>
      <w:r w:rsidR="00057D73">
        <w:t>the Commission-approved</w:t>
      </w:r>
      <w:r w:rsidR="0023540E">
        <w:t xml:space="preserve"> ISWC model.  Staff supports these refinements, which are </w:t>
      </w:r>
      <w:r w:rsidR="004C5F13">
        <w:t>appropriate and well</w:t>
      </w:r>
      <w:r w:rsidR="00FA3156">
        <w:t xml:space="preserve"> </w:t>
      </w:r>
      <w:r>
        <w:t>founded for the reasons discussed above and</w:t>
      </w:r>
      <w:r w:rsidR="004C5F13">
        <w:t xml:space="preserve"> </w:t>
      </w:r>
      <w:r w:rsidR="00FA3156">
        <w:t>in</w:t>
      </w:r>
      <w:r w:rsidR="004C5F13">
        <w:t xml:space="preserve"> my </w:t>
      </w:r>
      <w:r w:rsidR="00FA3156">
        <w:t>direct</w:t>
      </w:r>
      <w:r w:rsidR="004C5F13">
        <w:t xml:space="preserve"> testimony.</w:t>
      </w:r>
    </w:p>
    <w:p w:rsidR="003A4D4E" w:rsidRPr="00C11338" w:rsidRDefault="003A4D4E" w:rsidP="004C553E">
      <w:pPr>
        <w:pStyle w:val="Question"/>
        <w:jc w:val="left"/>
      </w:pPr>
      <w:r w:rsidRPr="00C11338">
        <w:t>Q.</w:t>
      </w:r>
      <w:r w:rsidRPr="00C11338">
        <w:tab/>
        <w:t xml:space="preserve">Does this conclude your </w:t>
      </w:r>
      <w:r>
        <w:t xml:space="preserve">rebuttal </w:t>
      </w:r>
      <w:r w:rsidRPr="00C11338">
        <w:t>testimony?</w:t>
      </w:r>
    </w:p>
    <w:p w:rsidR="00301B42" w:rsidRDefault="003A4D4E">
      <w:pPr>
        <w:pStyle w:val="Answer"/>
        <w:jc w:val="left"/>
      </w:pPr>
      <w:r w:rsidRPr="003C203D">
        <w:t>A.</w:t>
      </w:r>
      <w:r w:rsidRPr="003C203D">
        <w:tab/>
        <w:t>Yes.</w:t>
      </w:r>
    </w:p>
    <w:sectPr w:rsidR="00301B42" w:rsidSect="003A7D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3A8" w:rsidRDefault="005A73A8">
      <w:r>
        <w:separator/>
      </w:r>
    </w:p>
  </w:endnote>
  <w:endnote w:type="continuationSeparator" w:id="0">
    <w:p w:rsidR="005A73A8" w:rsidRDefault="005A73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D96" w:rsidRDefault="00A17D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351" w:rsidRDefault="00FE4351">
    <w:pPr>
      <w:pStyle w:val="Footer"/>
      <w:rPr>
        <w:rStyle w:val="PageNumber"/>
      </w:rPr>
    </w:pPr>
    <w:r>
      <w:rPr>
        <w:rStyle w:val="PageNumber"/>
      </w:rPr>
      <w:t>Rebuttal Testimony of Douglas K. Stuver</w:t>
    </w:r>
    <w:r w:rsidR="00072E6B">
      <w:rPr>
        <w:rStyle w:val="PageNumber"/>
      </w:rPr>
      <w:tab/>
    </w:r>
    <w:r w:rsidR="00072E6B">
      <w:rPr>
        <w:rStyle w:val="PageNumber"/>
      </w:rPr>
      <w:tab/>
    </w:r>
    <w:r>
      <w:rPr>
        <w:rStyle w:val="PageNumber"/>
      </w:rPr>
      <w:t>Exhibit No.__</w:t>
    </w:r>
    <w:proofErr w:type="gramStart"/>
    <w:r w:rsidR="00D121EE">
      <w:rPr>
        <w:rStyle w:val="PageNumber"/>
      </w:rPr>
      <w:t>_</w:t>
    </w:r>
    <w:r>
      <w:rPr>
        <w:rStyle w:val="PageNumber"/>
      </w:rPr>
      <w:t>(</w:t>
    </w:r>
    <w:proofErr w:type="gramEnd"/>
    <w:r>
      <w:rPr>
        <w:rStyle w:val="PageNumber"/>
      </w:rPr>
      <w:t>DKS-</w:t>
    </w:r>
    <w:r w:rsidR="00072E6B">
      <w:rPr>
        <w:rStyle w:val="PageNumber"/>
      </w:rPr>
      <w:t>3</w:t>
    </w:r>
    <w:r w:rsidR="00A97243" w:rsidRPr="00A97243">
      <w:rPr>
        <w:rStyle w:val="PageNumber"/>
      </w:rPr>
      <w:t>T</w:t>
    </w:r>
    <w:r>
      <w:rPr>
        <w:rStyle w:val="PageNumber"/>
      </w:rPr>
      <w:t>)</w:t>
    </w:r>
  </w:p>
  <w:p w:rsidR="00FE4351" w:rsidRDefault="00FE4351" w:rsidP="00422C1E">
    <w:pPr>
      <w:pStyle w:val="Footer"/>
      <w:jc w:val="right"/>
    </w:pPr>
    <w:r>
      <w:rPr>
        <w:rStyle w:val="PageNumber"/>
      </w:rPr>
      <w:t xml:space="preserve">Page </w:t>
    </w:r>
    <w:r w:rsidR="00A15BD7">
      <w:rPr>
        <w:rStyle w:val="PageNumber"/>
      </w:rPr>
      <w:fldChar w:fldCharType="begin"/>
    </w:r>
    <w:r>
      <w:rPr>
        <w:rStyle w:val="PageNumber"/>
      </w:rPr>
      <w:instrText xml:space="preserve"> PAGE </w:instrText>
    </w:r>
    <w:r w:rsidR="00A15BD7">
      <w:rPr>
        <w:rStyle w:val="PageNumber"/>
      </w:rPr>
      <w:fldChar w:fldCharType="separate"/>
    </w:r>
    <w:r w:rsidR="00A17D96">
      <w:rPr>
        <w:rStyle w:val="PageNumber"/>
        <w:noProof/>
      </w:rPr>
      <w:t>1</w:t>
    </w:r>
    <w:r w:rsidR="00A15BD7">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D96" w:rsidRDefault="00A17D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3A8" w:rsidRDefault="005A73A8">
      <w:r>
        <w:separator/>
      </w:r>
    </w:p>
  </w:footnote>
  <w:footnote w:type="continuationSeparator" w:id="0">
    <w:p w:rsidR="005A73A8" w:rsidRDefault="005A73A8">
      <w:r>
        <w:continuationSeparator/>
      </w:r>
    </w:p>
  </w:footnote>
  <w:footnote w:id="1">
    <w:p w:rsidR="00FE4351" w:rsidRDefault="00FE4351">
      <w:pPr>
        <w:pStyle w:val="FootnoteText"/>
      </w:pPr>
      <w:r>
        <w:rPr>
          <w:rStyle w:val="FootnoteReference"/>
        </w:rPr>
        <w:footnoteRef/>
      </w:r>
      <w:r>
        <w:t xml:space="preserve"> </w:t>
      </w:r>
      <w:r w:rsidR="00072E6B" w:rsidRPr="00072E6B">
        <w:rPr>
          <w:i/>
        </w:rPr>
        <w:t>See</w:t>
      </w:r>
      <w:r w:rsidR="00072E6B">
        <w:t xml:space="preserve"> </w:t>
      </w:r>
      <w:r>
        <w:t>Exhibit No.__</w:t>
      </w:r>
      <w:proofErr w:type="gramStart"/>
      <w:r>
        <w:t>_(</w:t>
      </w:r>
      <w:proofErr w:type="gramEnd"/>
      <w:r>
        <w:t>TWZ-1T)</w:t>
      </w:r>
      <w:r w:rsidR="004C7196">
        <w:t xml:space="preserve"> at pages</w:t>
      </w:r>
      <w:r w:rsidR="00072E6B">
        <w:t xml:space="preserve"> 3-4</w:t>
      </w:r>
      <w:r>
        <w:t>.</w:t>
      </w:r>
    </w:p>
  </w:footnote>
  <w:footnote w:id="2">
    <w:p w:rsidR="00072E6B" w:rsidRPr="00072E6B" w:rsidRDefault="00072E6B">
      <w:pPr>
        <w:pStyle w:val="FootnoteText"/>
      </w:pPr>
      <w:r>
        <w:rPr>
          <w:rStyle w:val="FootnoteReference"/>
        </w:rPr>
        <w:footnoteRef/>
      </w:r>
      <w:r>
        <w:t xml:space="preserve"> </w:t>
      </w:r>
      <w:r>
        <w:rPr>
          <w:i/>
        </w:rPr>
        <w:t xml:space="preserve">See </w:t>
      </w:r>
      <w:r w:rsidR="00F43AD6">
        <w:rPr>
          <w:i/>
        </w:rPr>
        <w:t>i</w:t>
      </w:r>
      <w:r w:rsidR="00094F94">
        <w:rPr>
          <w:i/>
        </w:rPr>
        <w:t>d.</w:t>
      </w:r>
      <w:r>
        <w:t xml:space="preserve"> </w:t>
      </w:r>
      <w:proofErr w:type="gramStart"/>
      <w:r>
        <w:t>at</w:t>
      </w:r>
      <w:proofErr w:type="gramEnd"/>
      <w:r>
        <w:t xml:space="preserve"> 4-5.</w:t>
      </w:r>
    </w:p>
  </w:footnote>
  <w:footnote w:id="3">
    <w:p w:rsidR="00FE4351" w:rsidRDefault="00FE4351" w:rsidP="006D7BDD">
      <w:pPr>
        <w:pStyle w:val="FootnoteText"/>
      </w:pPr>
      <w:r>
        <w:rPr>
          <w:rStyle w:val="FootnoteReference"/>
        </w:rPr>
        <w:footnoteRef/>
      </w:r>
      <w:r>
        <w:t xml:space="preserve"> </w:t>
      </w:r>
      <w:r w:rsidR="00094F94">
        <w:rPr>
          <w:i/>
        </w:rPr>
        <w:t>Id.</w:t>
      </w:r>
      <w:r w:rsidR="000369C3">
        <w:t xml:space="preserve"> at</w:t>
      </w:r>
      <w:r>
        <w:t xml:space="preserve"> </w:t>
      </w:r>
      <w:r w:rsidR="00094F94">
        <w:t xml:space="preserve">4, </w:t>
      </w:r>
      <w:r>
        <w:t>8-9.</w:t>
      </w:r>
    </w:p>
  </w:footnote>
  <w:footnote w:id="4">
    <w:p w:rsidR="00094F94" w:rsidRPr="00094F94" w:rsidRDefault="00094F94">
      <w:pPr>
        <w:pStyle w:val="FootnoteText"/>
      </w:pPr>
      <w:r>
        <w:rPr>
          <w:rStyle w:val="FootnoteReference"/>
        </w:rPr>
        <w:footnoteRef/>
      </w:r>
      <w:r>
        <w:t xml:space="preserve"> </w:t>
      </w:r>
      <w:proofErr w:type="gramStart"/>
      <w:r>
        <w:rPr>
          <w:i/>
        </w:rPr>
        <w:t>Id.</w:t>
      </w:r>
      <w:r>
        <w:t xml:space="preserve"> at 3.</w:t>
      </w:r>
      <w:proofErr w:type="gramEnd"/>
    </w:p>
  </w:footnote>
  <w:footnote w:id="5">
    <w:p w:rsidR="001611DC" w:rsidRPr="001611DC" w:rsidRDefault="001611DC">
      <w:pPr>
        <w:pStyle w:val="FootnoteText"/>
        <w:rPr>
          <w:i/>
        </w:rPr>
      </w:pPr>
      <w:r>
        <w:rPr>
          <w:rStyle w:val="FootnoteReference"/>
        </w:rPr>
        <w:footnoteRef/>
      </w:r>
      <w:r w:rsidR="00B50D07">
        <w:t xml:space="preserve"> </w:t>
      </w:r>
      <w:r>
        <w:t>Exhibit No.__</w:t>
      </w:r>
      <w:proofErr w:type="gramStart"/>
      <w:r>
        <w:t>_(</w:t>
      </w:r>
      <w:proofErr w:type="gramEnd"/>
      <w:r>
        <w:t>SC-1T) at page 28, lines 12-16.</w:t>
      </w:r>
    </w:p>
  </w:footnote>
  <w:footnote w:id="6">
    <w:p w:rsidR="001611DC" w:rsidRPr="001611DC" w:rsidRDefault="001611DC">
      <w:pPr>
        <w:pStyle w:val="FootnoteText"/>
      </w:pPr>
      <w:r>
        <w:rPr>
          <w:rStyle w:val="FootnoteReference"/>
        </w:rPr>
        <w:footnoteRef/>
      </w:r>
      <w:r>
        <w:t xml:space="preserve"> </w:t>
      </w:r>
      <w:proofErr w:type="gramStart"/>
      <w:r>
        <w:rPr>
          <w:i/>
        </w:rPr>
        <w:t>Id</w:t>
      </w:r>
      <w:r>
        <w:t>. at lines 10-11.</w:t>
      </w:r>
      <w:proofErr w:type="gramEnd"/>
    </w:p>
  </w:footnote>
  <w:footnote w:id="7">
    <w:p w:rsidR="001611DC" w:rsidRPr="001611DC" w:rsidRDefault="001611DC">
      <w:pPr>
        <w:pStyle w:val="FootnoteText"/>
      </w:pPr>
      <w:r>
        <w:rPr>
          <w:rStyle w:val="FootnoteReference"/>
        </w:rPr>
        <w:footnoteRef/>
      </w:r>
      <w:r>
        <w:t xml:space="preserve"> </w:t>
      </w:r>
      <w:proofErr w:type="gramStart"/>
      <w:r>
        <w:rPr>
          <w:i/>
        </w:rPr>
        <w:t xml:space="preserve">Id. </w:t>
      </w:r>
      <w:r>
        <w:t>at lines 17-19.</w:t>
      </w:r>
      <w:proofErr w:type="gramEnd"/>
    </w:p>
  </w:footnote>
  <w:footnote w:id="8">
    <w:p w:rsidR="001611DC" w:rsidRDefault="001611DC">
      <w:pPr>
        <w:pStyle w:val="FootnoteText"/>
      </w:pPr>
      <w:r>
        <w:rPr>
          <w:rStyle w:val="FootnoteReference"/>
        </w:rPr>
        <w:footnoteRef/>
      </w:r>
      <w:r>
        <w:t xml:space="preserve"> Exhibit No.__</w:t>
      </w:r>
      <w:proofErr w:type="gramStart"/>
      <w:r>
        <w:t>_(</w:t>
      </w:r>
      <w:proofErr w:type="gramEnd"/>
      <w:r>
        <w:t>TWZ-1T) at 5, lines 9-12.</w:t>
      </w:r>
    </w:p>
  </w:footnote>
  <w:footnote w:id="9">
    <w:p w:rsidR="00334E3B" w:rsidRDefault="00334E3B" w:rsidP="00334E3B">
      <w:pPr>
        <w:pStyle w:val="FootnoteText"/>
      </w:pPr>
      <w:r>
        <w:rPr>
          <w:rStyle w:val="FootnoteReference"/>
        </w:rPr>
        <w:footnoteRef/>
      </w:r>
      <w:r>
        <w:t xml:space="preserve"> Testimony of Thomas E. Schooley, Exhibit No.__</w:t>
      </w:r>
      <w:proofErr w:type="gramStart"/>
      <w:r>
        <w:t>_(</w:t>
      </w:r>
      <w:proofErr w:type="gramEnd"/>
      <w:r>
        <w:t>TES-1T) at page 13, Docket UE-100749 (October 5, 2010; revised October 8, 2010).</w:t>
      </w:r>
    </w:p>
  </w:footnote>
  <w:footnote w:id="10">
    <w:p w:rsidR="00334E3B" w:rsidRDefault="00334E3B" w:rsidP="00334E3B">
      <w:pPr>
        <w:pStyle w:val="FootnoteText"/>
      </w:pPr>
      <w:r>
        <w:rPr>
          <w:rStyle w:val="FootnoteReference"/>
        </w:rPr>
        <w:footnoteRef/>
      </w:r>
      <w:r>
        <w:t xml:space="preserve"> </w:t>
      </w:r>
      <w:proofErr w:type="gramStart"/>
      <w:r w:rsidRPr="00334E3B">
        <w:rPr>
          <w:i/>
        </w:rPr>
        <w:t>Id.</w:t>
      </w:r>
      <w:r>
        <w:t xml:space="preserve"> at 10.</w:t>
      </w:r>
      <w:proofErr w:type="gramEnd"/>
    </w:p>
  </w:footnote>
  <w:footnote w:id="11">
    <w:p w:rsidR="001611DC" w:rsidRDefault="001611DC">
      <w:pPr>
        <w:pStyle w:val="FootnoteText"/>
      </w:pPr>
      <w:r>
        <w:rPr>
          <w:rStyle w:val="FootnoteReference"/>
        </w:rPr>
        <w:footnoteRef/>
      </w:r>
      <w:r>
        <w:t xml:space="preserve"> </w:t>
      </w:r>
      <w:r w:rsidR="00334E3B">
        <w:rPr>
          <w:i/>
        </w:rPr>
        <w:t xml:space="preserve">See </w:t>
      </w:r>
      <w:r w:rsidR="0023540E" w:rsidRPr="0023540E">
        <w:rPr>
          <w:i/>
        </w:rPr>
        <w:t>id</w:t>
      </w:r>
      <w:r w:rsidR="0023540E">
        <w:t xml:space="preserve">. </w:t>
      </w:r>
      <w:proofErr w:type="gramStart"/>
      <w:r w:rsidR="00334E3B">
        <w:t>at</w:t>
      </w:r>
      <w:proofErr w:type="gramEnd"/>
      <w:r w:rsidR="00334E3B">
        <w:t xml:space="preserve"> </w:t>
      </w:r>
      <w:r w:rsidR="0023540E">
        <w:t>1</w:t>
      </w:r>
      <w:r w:rsidR="00334E3B">
        <w:t>6-19.</w:t>
      </w:r>
    </w:p>
  </w:footnote>
  <w:footnote w:id="12">
    <w:p w:rsidR="00334E3B" w:rsidRPr="00334E3B" w:rsidRDefault="00334E3B">
      <w:pPr>
        <w:pStyle w:val="FootnoteText"/>
      </w:pPr>
      <w:r>
        <w:rPr>
          <w:rStyle w:val="FootnoteReference"/>
        </w:rPr>
        <w:footnoteRef/>
      </w:r>
      <w:r>
        <w:t xml:space="preserve"> </w:t>
      </w:r>
      <w:r>
        <w:rPr>
          <w:i/>
        </w:rPr>
        <w:t>See</w:t>
      </w:r>
      <w:r>
        <w:t xml:space="preserve"> </w:t>
      </w:r>
      <w:r w:rsidR="00B50D07">
        <w:rPr>
          <w:i/>
        </w:rPr>
        <w:t xml:space="preserve">Wash. </w:t>
      </w:r>
      <w:proofErr w:type="spellStart"/>
      <w:r w:rsidR="00B50D07">
        <w:rPr>
          <w:i/>
        </w:rPr>
        <w:t>Utils</w:t>
      </w:r>
      <w:proofErr w:type="spellEnd"/>
      <w:r w:rsidR="00B50D07">
        <w:rPr>
          <w:i/>
        </w:rPr>
        <w:t>. &amp; Transp.</w:t>
      </w:r>
      <w:r w:rsidR="003A3D9E">
        <w:rPr>
          <w:i/>
        </w:rPr>
        <w:t xml:space="preserve"> </w:t>
      </w:r>
      <w:proofErr w:type="spellStart"/>
      <w:r w:rsidR="00B50D07">
        <w:rPr>
          <w:i/>
        </w:rPr>
        <w:t>Comm’n</w:t>
      </w:r>
      <w:proofErr w:type="spellEnd"/>
      <w:r w:rsidR="00B50D07">
        <w:rPr>
          <w:i/>
        </w:rPr>
        <w:t>.</w:t>
      </w:r>
      <w:r>
        <w:rPr>
          <w:i/>
        </w:rPr>
        <w:t xml:space="preserve"> v. PacifiCorp d/b/a Pacific Power &amp; Light Co.</w:t>
      </w:r>
      <w:r>
        <w:t>, Docket UE-100749, Order 06 (March 25,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D96" w:rsidRDefault="00A17D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351" w:rsidRDefault="00FE4351" w:rsidP="00422C1E">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D96" w:rsidRDefault="00A17D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32E24"/>
    <w:multiLevelType w:val="hybridMultilevel"/>
    <w:tmpl w:val="430A64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7D5406B"/>
    <w:multiLevelType w:val="multilevel"/>
    <w:tmpl w:val="9AC4D5DC"/>
    <w:lvl w:ilvl="0">
      <w:start w:val="1"/>
      <w:numFmt w:val="bullet"/>
      <w:lvlText w:val=""/>
      <w:lvlJc w:val="left"/>
      <w:pPr>
        <w:tabs>
          <w:tab w:val="num" w:pos="1440"/>
        </w:tabs>
        <w:ind w:left="1440" w:hanging="360"/>
      </w:pPr>
      <w:rPr>
        <w:rFonts w:ascii="Symbol" w:hAnsi="Symbol" w:hint="default"/>
        <w:sz w:val="24"/>
      </w:rPr>
    </w:lvl>
    <w:lvl w:ilvl="1">
      <w:start w:val="1"/>
      <w:numFmt w:val="bullet"/>
      <w:lvlText w:val="o"/>
      <w:lvlJc w:val="left"/>
      <w:pPr>
        <w:tabs>
          <w:tab w:val="num" w:pos="2160"/>
        </w:tabs>
        <w:ind w:left="2160" w:hanging="360"/>
      </w:pPr>
      <w:rPr>
        <w:rFonts w:ascii="Courier New" w:hAnsi="Courier New" w:hint="default"/>
        <w:color w:val="auto"/>
        <w:sz w:val="24"/>
      </w:rPr>
    </w:lvl>
    <w:lvl w:ilvl="2">
      <w:start w:val="1"/>
      <w:numFmt w:val="bullet"/>
      <w:lvlText w:val=""/>
      <w:lvlJc w:val="left"/>
      <w:pPr>
        <w:tabs>
          <w:tab w:val="num" w:pos="-540"/>
        </w:tabs>
        <w:ind w:left="-540" w:hanging="360"/>
      </w:pPr>
      <w:rPr>
        <w:rFonts w:ascii="Wingdings" w:hAnsi="Wingdings" w:hint="default"/>
      </w:rPr>
    </w:lvl>
    <w:lvl w:ilvl="3">
      <w:start w:val="1"/>
      <w:numFmt w:val="bullet"/>
      <w:lvlText w:val=""/>
      <w:lvlJc w:val="left"/>
      <w:pPr>
        <w:tabs>
          <w:tab w:val="num" w:pos="180"/>
        </w:tabs>
        <w:ind w:left="180" w:hanging="360"/>
      </w:pPr>
      <w:rPr>
        <w:rFonts w:ascii="Symbol" w:hAnsi="Symbol" w:hint="default"/>
      </w:rPr>
    </w:lvl>
    <w:lvl w:ilvl="4">
      <w:start w:val="1"/>
      <w:numFmt w:val="bullet"/>
      <w:lvlText w:val="o"/>
      <w:lvlJc w:val="left"/>
      <w:pPr>
        <w:tabs>
          <w:tab w:val="num" w:pos="900"/>
        </w:tabs>
        <w:ind w:left="900" w:hanging="360"/>
      </w:pPr>
      <w:rPr>
        <w:rFonts w:ascii="Courier New" w:hAnsi="Courier New" w:hint="default"/>
      </w:rPr>
    </w:lvl>
    <w:lvl w:ilvl="5">
      <w:start w:val="1"/>
      <w:numFmt w:val="bullet"/>
      <w:lvlText w:val=""/>
      <w:lvlJc w:val="left"/>
      <w:pPr>
        <w:tabs>
          <w:tab w:val="num" w:pos="1620"/>
        </w:tabs>
        <w:ind w:left="1620" w:hanging="360"/>
      </w:pPr>
      <w:rPr>
        <w:rFonts w:ascii="Wingdings" w:hAnsi="Wingdings" w:hint="default"/>
      </w:rPr>
    </w:lvl>
    <w:lvl w:ilvl="6">
      <w:start w:val="1"/>
      <w:numFmt w:val="bullet"/>
      <w:lvlText w:val=""/>
      <w:lvlJc w:val="left"/>
      <w:pPr>
        <w:tabs>
          <w:tab w:val="num" w:pos="2340"/>
        </w:tabs>
        <w:ind w:left="2340" w:hanging="360"/>
      </w:pPr>
      <w:rPr>
        <w:rFonts w:ascii="Symbol" w:hAnsi="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hint="default"/>
      </w:rPr>
    </w:lvl>
  </w:abstractNum>
  <w:abstractNum w:abstractNumId="2">
    <w:nsid w:val="3F475ABD"/>
    <w:multiLevelType w:val="multilevel"/>
    <w:tmpl w:val="CA94107A"/>
    <w:lvl w:ilvl="0">
      <w:start w:val="1"/>
      <w:numFmt w:val="bullet"/>
      <w:lvlText w:val=""/>
      <w:lvlJc w:val="left"/>
      <w:pPr>
        <w:tabs>
          <w:tab w:val="num" w:pos="3960"/>
        </w:tabs>
        <w:ind w:left="3960" w:hanging="360"/>
      </w:pPr>
      <w:rPr>
        <w:rFonts w:ascii="Symbol" w:hAnsi="Symbol"/>
        <w:sz w:val="24"/>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3">
    <w:nsid w:val="451B65C8"/>
    <w:multiLevelType w:val="hybridMultilevel"/>
    <w:tmpl w:val="3C26CE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52055E21"/>
    <w:multiLevelType w:val="hybridMultilevel"/>
    <w:tmpl w:val="C7163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82D0747"/>
    <w:multiLevelType w:val="hybridMultilevel"/>
    <w:tmpl w:val="A3A81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4D7A5E"/>
    <w:multiLevelType w:val="singleLevel"/>
    <w:tmpl w:val="8234A596"/>
    <w:lvl w:ilvl="0">
      <w:start w:val="17"/>
      <w:numFmt w:val="upperLetter"/>
      <w:lvlText w:val="%1."/>
      <w:lvlJc w:val="left"/>
      <w:pPr>
        <w:tabs>
          <w:tab w:val="num" w:pos="720"/>
        </w:tabs>
        <w:ind w:left="720" w:hanging="720"/>
      </w:pPr>
      <w:rPr>
        <w:rFonts w:hint="default"/>
      </w:rPr>
    </w:lvl>
  </w:abstractNum>
  <w:abstractNum w:abstractNumId="7">
    <w:nsid w:val="6CDF7404"/>
    <w:multiLevelType w:val="hybridMultilevel"/>
    <w:tmpl w:val="FE92ABF0"/>
    <w:lvl w:ilvl="0" w:tplc="5C78F0D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6E450AE2"/>
    <w:multiLevelType w:val="hybridMultilevel"/>
    <w:tmpl w:val="5C2A1AA8"/>
    <w:lvl w:ilvl="0" w:tplc="04090001">
      <w:start w:val="1"/>
      <w:numFmt w:val="bullet"/>
      <w:lvlText w:val=""/>
      <w:lvlJc w:val="left"/>
      <w:pPr>
        <w:tabs>
          <w:tab w:val="num" w:pos="1260"/>
        </w:tabs>
        <w:ind w:left="12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A82EDE"/>
    <w:multiLevelType w:val="singleLevel"/>
    <w:tmpl w:val="938617F0"/>
    <w:lvl w:ilvl="0">
      <w:start w:val="1"/>
      <w:numFmt w:val="upperLetter"/>
      <w:lvlText w:val="%1."/>
      <w:lvlJc w:val="left"/>
      <w:pPr>
        <w:tabs>
          <w:tab w:val="num" w:pos="720"/>
        </w:tabs>
        <w:ind w:left="720" w:hanging="720"/>
      </w:pPr>
      <w:rPr>
        <w:rFonts w:hint="default"/>
      </w:rPr>
    </w:lvl>
  </w:abstractNum>
  <w:num w:numId="1">
    <w:abstractNumId w:val="2"/>
  </w:num>
  <w:num w:numId="2">
    <w:abstractNumId w:val="1"/>
  </w:num>
  <w:num w:numId="3">
    <w:abstractNumId w:val="7"/>
  </w:num>
  <w:num w:numId="4">
    <w:abstractNumId w:val="3"/>
  </w:num>
  <w:num w:numId="5">
    <w:abstractNumId w:val="6"/>
  </w:num>
  <w:num w:numId="6">
    <w:abstractNumId w:val="9"/>
  </w:num>
  <w:num w:numId="7">
    <w:abstractNumId w:val="8"/>
  </w:num>
  <w:num w:numId="8">
    <w:abstractNumId w:val="0"/>
  </w:num>
  <w:num w:numId="9">
    <w:abstractNumId w:val="5"/>
  </w:num>
  <w:num w:numId="10">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activeWritingStyle w:appName="MSWord" w:lang="en-US" w:vendorID="64" w:dllVersion="131078" w:nlCheck="1" w:checkStyle="1"/>
  <w:activeWritingStyle w:appName="MSWord" w:lang="fr-FR" w:vendorID="64" w:dllVersion="131078" w:nlCheck="1" w:checkStyle="1"/>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rsids>
    <w:rsidRoot w:val="00D97BED"/>
    <w:rsid w:val="00000B97"/>
    <w:rsid w:val="00000CA7"/>
    <w:rsid w:val="00000F08"/>
    <w:rsid w:val="00000FEC"/>
    <w:rsid w:val="00001309"/>
    <w:rsid w:val="00001380"/>
    <w:rsid w:val="00002246"/>
    <w:rsid w:val="0000367F"/>
    <w:rsid w:val="000045C5"/>
    <w:rsid w:val="000051B8"/>
    <w:rsid w:val="00006901"/>
    <w:rsid w:val="00006CE5"/>
    <w:rsid w:val="00010042"/>
    <w:rsid w:val="00011270"/>
    <w:rsid w:val="00012C06"/>
    <w:rsid w:val="00012DA5"/>
    <w:rsid w:val="000133C4"/>
    <w:rsid w:val="000137A9"/>
    <w:rsid w:val="00014C14"/>
    <w:rsid w:val="00017D99"/>
    <w:rsid w:val="00017EFF"/>
    <w:rsid w:val="00020B67"/>
    <w:rsid w:val="00021457"/>
    <w:rsid w:val="00023355"/>
    <w:rsid w:val="00023AE4"/>
    <w:rsid w:val="00023CCA"/>
    <w:rsid w:val="00024672"/>
    <w:rsid w:val="0002692B"/>
    <w:rsid w:val="00026EE2"/>
    <w:rsid w:val="000275B7"/>
    <w:rsid w:val="00027EA3"/>
    <w:rsid w:val="00027F29"/>
    <w:rsid w:val="0003006A"/>
    <w:rsid w:val="0003142F"/>
    <w:rsid w:val="00031EAE"/>
    <w:rsid w:val="000339D1"/>
    <w:rsid w:val="00034979"/>
    <w:rsid w:val="000369C3"/>
    <w:rsid w:val="000403A8"/>
    <w:rsid w:val="00044931"/>
    <w:rsid w:val="0005017E"/>
    <w:rsid w:val="00051A38"/>
    <w:rsid w:val="00051D0C"/>
    <w:rsid w:val="00052601"/>
    <w:rsid w:val="00053E88"/>
    <w:rsid w:val="00056554"/>
    <w:rsid w:val="00056EC9"/>
    <w:rsid w:val="000576E2"/>
    <w:rsid w:val="000579A1"/>
    <w:rsid w:val="00057D73"/>
    <w:rsid w:val="000604C1"/>
    <w:rsid w:val="000612FD"/>
    <w:rsid w:val="00062539"/>
    <w:rsid w:val="00063D8B"/>
    <w:rsid w:val="0006417F"/>
    <w:rsid w:val="000641A2"/>
    <w:rsid w:val="00064289"/>
    <w:rsid w:val="000642A0"/>
    <w:rsid w:val="000647DF"/>
    <w:rsid w:val="00066E9D"/>
    <w:rsid w:val="00067C4E"/>
    <w:rsid w:val="0007097D"/>
    <w:rsid w:val="00070C89"/>
    <w:rsid w:val="00072E6B"/>
    <w:rsid w:val="000730C1"/>
    <w:rsid w:val="00073FF0"/>
    <w:rsid w:val="00076168"/>
    <w:rsid w:val="00077EA3"/>
    <w:rsid w:val="000817CE"/>
    <w:rsid w:val="00081991"/>
    <w:rsid w:val="000831F1"/>
    <w:rsid w:val="00084F13"/>
    <w:rsid w:val="000858D3"/>
    <w:rsid w:val="0008721E"/>
    <w:rsid w:val="00091B1B"/>
    <w:rsid w:val="00091EF7"/>
    <w:rsid w:val="00093142"/>
    <w:rsid w:val="00093B5B"/>
    <w:rsid w:val="00093C59"/>
    <w:rsid w:val="00094F94"/>
    <w:rsid w:val="0009636F"/>
    <w:rsid w:val="000978BB"/>
    <w:rsid w:val="000A059F"/>
    <w:rsid w:val="000A126D"/>
    <w:rsid w:val="000A49CB"/>
    <w:rsid w:val="000A49D1"/>
    <w:rsid w:val="000A4BD9"/>
    <w:rsid w:val="000A5264"/>
    <w:rsid w:val="000A7191"/>
    <w:rsid w:val="000B01FA"/>
    <w:rsid w:val="000B0596"/>
    <w:rsid w:val="000B0A23"/>
    <w:rsid w:val="000B0FE8"/>
    <w:rsid w:val="000B1623"/>
    <w:rsid w:val="000B184C"/>
    <w:rsid w:val="000B2679"/>
    <w:rsid w:val="000B5540"/>
    <w:rsid w:val="000B642A"/>
    <w:rsid w:val="000B7905"/>
    <w:rsid w:val="000C08C0"/>
    <w:rsid w:val="000C08CA"/>
    <w:rsid w:val="000C096A"/>
    <w:rsid w:val="000C3CE2"/>
    <w:rsid w:val="000C4959"/>
    <w:rsid w:val="000C53BF"/>
    <w:rsid w:val="000C6AAC"/>
    <w:rsid w:val="000D058F"/>
    <w:rsid w:val="000D09A2"/>
    <w:rsid w:val="000D1C7D"/>
    <w:rsid w:val="000D3C05"/>
    <w:rsid w:val="000D49B6"/>
    <w:rsid w:val="000D6957"/>
    <w:rsid w:val="000D7282"/>
    <w:rsid w:val="000E07C1"/>
    <w:rsid w:val="000E413A"/>
    <w:rsid w:val="000E442A"/>
    <w:rsid w:val="000F0627"/>
    <w:rsid w:val="000F1156"/>
    <w:rsid w:val="000F20CC"/>
    <w:rsid w:val="000F3CD3"/>
    <w:rsid w:val="000F44A0"/>
    <w:rsid w:val="000F4D8A"/>
    <w:rsid w:val="000F59EA"/>
    <w:rsid w:val="000F70BC"/>
    <w:rsid w:val="001004B6"/>
    <w:rsid w:val="00103512"/>
    <w:rsid w:val="00105EBF"/>
    <w:rsid w:val="0010676F"/>
    <w:rsid w:val="001078BF"/>
    <w:rsid w:val="00107C02"/>
    <w:rsid w:val="00111679"/>
    <w:rsid w:val="0011579F"/>
    <w:rsid w:val="00116594"/>
    <w:rsid w:val="00116A61"/>
    <w:rsid w:val="001229D5"/>
    <w:rsid w:val="00124669"/>
    <w:rsid w:val="00126E87"/>
    <w:rsid w:val="001301B0"/>
    <w:rsid w:val="0013033E"/>
    <w:rsid w:val="00130868"/>
    <w:rsid w:val="00130B17"/>
    <w:rsid w:val="001316F2"/>
    <w:rsid w:val="00131D77"/>
    <w:rsid w:val="00133C14"/>
    <w:rsid w:val="00133D71"/>
    <w:rsid w:val="001350A8"/>
    <w:rsid w:val="00135851"/>
    <w:rsid w:val="00135BA2"/>
    <w:rsid w:val="00136FF4"/>
    <w:rsid w:val="00141071"/>
    <w:rsid w:val="00141D12"/>
    <w:rsid w:val="00141D3D"/>
    <w:rsid w:val="0014281F"/>
    <w:rsid w:val="001428B4"/>
    <w:rsid w:val="00144108"/>
    <w:rsid w:val="00144D82"/>
    <w:rsid w:val="00144DC3"/>
    <w:rsid w:val="00145BF2"/>
    <w:rsid w:val="001473A6"/>
    <w:rsid w:val="0015007D"/>
    <w:rsid w:val="00150CF3"/>
    <w:rsid w:val="00150D52"/>
    <w:rsid w:val="00153BB5"/>
    <w:rsid w:val="00154BA6"/>
    <w:rsid w:val="0015562D"/>
    <w:rsid w:val="0016090F"/>
    <w:rsid w:val="00160A98"/>
    <w:rsid w:val="001611DC"/>
    <w:rsid w:val="0016195B"/>
    <w:rsid w:val="00161BB2"/>
    <w:rsid w:val="00162C3E"/>
    <w:rsid w:val="0016334B"/>
    <w:rsid w:val="00164054"/>
    <w:rsid w:val="0016495F"/>
    <w:rsid w:val="001652DD"/>
    <w:rsid w:val="001653DD"/>
    <w:rsid w:val="00165A56"/>
    <w:rsid w:val="00166DEA"/>
    <w:rsid w:val="0016712B"/>
    <w:rsid w:val="001701E5"/>
    <w:rsid w:val="001734C3"/>
    <w:rsid w:val="00173502"/>
    <w:rsid w:val="001759AC"/>
    <w:rsid w:val="00183A00"/>
    <w:rsid w:val="001854A6"/>
    <w:rsid w:val="001862DD"/>
    <w:rsid w:val="00190C40"/>
    <w:rsid w:val="001913B3"/>
    <w:rsid w:val="00194042"/>
    <w:rsid w:val="00194DD9"/>
    <w:rsid w:val="00196E2F"/>
    <w:rsid w:val="001A0351"/>
    <w:rsid w:val="001A3907"/>
    <w:rsid w:val="001A4911"/>
    <w:rsid w:val="001A506B"/>
    <w:rsid w:val="001A54C4"/>
    <w:rsid w:val="001A5D0F"/>
    <w:rsid w:val="001A75F8"/>
    <w:rsid w:val="001A7E97"/>
    <w:rsid w:val="001B0809"/>
    <w:rsid w:val="001B1987"/>
    <w:rsid w:val="001B1B1B"/>
    <w:rsid w:val="001B27C5"/>
    <w:rsid w:val="001B286B"/>
    <w:rsid w:val="001B5D0D"/>
    <w:rsid w:val="001B5FFD"/>
    <w:rsid w:val="001B707E"/>
    <w:rsid w:val="001C3895"/>
    <w:rsid w:val="001C4E25"/>
    <w:rsid w:val="001D0093"/>
    <w:rsid w:val="001D06B6"/>
    <w:rsid w:val="001D45E2"/>
    <w:rsid w:val="001D53CE"/>
    <w:rsid w:val="001D5443"/>
    <w:rsid w:val="001D6591"/>
    <w:rsid w:val="001D6B12"/>
    <w:rsid w:val="001D73D5"/>
    <w:rsid w:val="001E2E3C"/>
    <w:rsid w:val="001E36C8"/>
    <w:rsid w:val="001E379A"/>
    <w:rsid w:val="001E5A2D"/>
    <w:rsid w:val="001F07E7"/>
    <w:rsid w:val="001F0DB7"/>
    <w:rsid w:val="001F1275"/>
    <w:rsid w:val="001F5E04"/>
    <w:rsid w:val="001F6794"/>
    <w:rsid w:val="002005A9"/>
    <w:rsid w:val="00200EB7"/>
    <w:rsid w:val="002026D8"/>
    <w:rsid w:val="00203ABB"/>
    <w:rsid w:val="00204BAE"/>
    <w:rsid w:val="00205503"/>
    <w:rsid w:val="002079BD"/>
    <w:rsid w:val="00211180"/>
    <w:rsid w:val="002128A6"/>
    <w:rsid w:val="00213C8A"/>
    <w:rsid w:val="00215FD3"/>
    <w:rsid w:val="00217819"/>
    <w:rsid w:val="00217A7B"/>
    <w:rsid w:val="002225BA"/>
    <w:rsid w:val="002232C7"/>
    <w:rsid w:val="00224D16"/>
    <w:rsid w:val="00230765"/>
    <w:rsid w:val="00230782"/>
    <w:rsid w:val="0023147E"/>
    <w:rsid w:val="0023233B"/>
    <w:rsid w:val="00232E26"/>
    <w:rsid w:val="002335A8"/>
    <w:rsid w:val="00234E26"/>
    <w:rsid w:val="002352A6"/>
    <w:rsid w:val="0023540E"/>
    <w:rsid w:val="00235E1F"/>
    <w:rsid w:val="0023710A"/>
    <w:rsid w:val="00237FBC"/>
    <w:rsid w:val="00242E2F"/>
    <w:rsid w:val="00243879"/>
    <w:rsid w:val="0024549C"/>
    <w:rsid w:val="00246447"/>
    <w:rsid w:val="002467DD"/>
    <w:rsid w:val="00250D66"/>
    <w:rsid w:val="00251A3C"/>
    <w:rsid w:val="002557D9"/>
    <w:rsid w:val="002566EE"/>
    <w:rsid w:val="00256C4D"/>
    <w:rsid w:val="00256C54"/>
    <w:rsid w:val="00256D86"/>
    <w:rsid w:val="0026092C"/>
    <w:rsid w:val="00260BBA"/>
    <w:rsid w:val="00261A6D"/>
    <w:rsid w:val="00261DA1"/>
    <w:rsid w:val="002656B0"/>
    <w:rsid w:val="00265ABF"/>
    <w:rsid w:val="00265E21"/>
    <w:rsid w:val="002708FE"/>
    <w:rsid w:val="00271C4A"/>
    <w:rsid w:val="002723E4"/>
    <w:rsid w:val="00272CE1"/>
    <w:rsid w:val="00274739"/>
    <w:rsid w:val="00274EAF"/>
    <w:rsid w:val="002755A6"/>
    <w:rsid w:val="00276792"/>
    <w:rsid w:val="00277B0C"/>
    <w:rsid w:val="0028408C"/>
    <w:rsid w:val="00284828"/>
    <w:rsid w:val="00285A58"/>
    <w:rsid w:val="002865EA"/>
    <w:rsid w:val="00287C43"/>
    <w:rsid w:val="00291CE6"/>
    <w:rsid w:val="00295B5F"/>
    <w:rsid w:val="00295D1D"/>
    <w:rsid w:val="002963F2"/>
    <w:rsid w:val="002A1165"/>
    <w:rsid w:val="002A1E06"/>
    <w:rsid w:val="002A2104"/>
    <w:rsid w:val="002A2C0B"/>
    <w:rsid w:val="002A371C"/>
    <w:rsid w:val="002A3BB1"/>
    <w:rsid w:val="002A493B"/>
    <w:rsid w:val="002A4CD8"/>
    <w:rsid w:val="002A7B2B"/>
    <w:rsid w:val="002B1E51"/>
    <w:rsid w:val="002B3095"/>
    <w:rsid w:val="002B50A0"/>
    <w:rsid w:val="002B5650"/>
    <w:rsid w:val="002B7943"/>
    <w:rsid w:val="002B79FC"/>
    <w:rsid w:val="002B7A77"/>
    <w:rsid w:val="002C1D7D"/>
    <w:rsid w:val="002C28E6"/>
    <w:rsid w:val="002C4EF6"/>
    <w:rsid w:val="002C53EC"/>
    <w:rsid w:val="002D2DBB"/>
    <w:rsid w:val="002D379C"/>
    <w:rsid w:val="002D3F4F"/>
    <w:rsid w:val="002D410A"/>
    <w:rsid w:val="002D420E"/>
    <w:rsid w:val="002D4FF0"/>
    <w:rsid w:val="002E0911"/>
    <w:rsid w:val="002E0ED6"/>
    <w:rsid w:val="002E152F"/>
    <w:rsid w:val="002E3322"/>
    <w:rsid w:val="002E55FC"/>
    <w:rsid w:val="002E5966"/>
    <w:rsid w:val="002E7D3D"/>
    <w:rsid w:val="002F1FF5"/>
    <w:rsid w:val="002F305D"/>
    <w:rsid w:val="002F337F"/>
    <w:rsid w:val="002F3A67"/>
    <w:rsid w:val="002F5350"/>
    <w:rsid w:val="002F668B"/>
    <w:rsid w:val="002F6EBB"/>
    <w:rsid w:val="003004F9"/>
    <w:rsid w:val="00300E4D"/>
    <w:rsid w:val="00301B42"/>
    <w:rsid w:val="0030634F"/>
    <w:rsid w:val="003071E8"/>
    <w:rsid w:val="00307B43"/>
    <w:rsid w:val="00307B8B"/>
    <w:rsid w:val="003103D1"/>
    <w:rsid w:val="00310AF5"/>
    <w:rsid w:val="00313FEC"/>
    <w:rsid w:val="00314277"/>
    <w:rsid w:val="00315543"/>
    <w:rsid w:val="003169D9"/>
    <w:rsid w:val="0032045B"/>
    <w:rsid w:val="00320C8D"/>
    <w:rsid w:val="003219E5"/>
    <w:rsid w:val="0032296F"/>
    <w:rsid w:val="003229AC"/>
    <w:rsid w:val="0032453A"/>
    <w:rsid w:val="003258BF"/>
    <w:rsid w:val="00325D6B"/>
    <w:rsid w:val="003267CD"/>
    <w:rsid w:val="00326BE2"/>
    <w:rsid w:val="00331481"/>
    <w:rsid w:val="00332389"/>
    <w:rsid w:val="00334533"/>
    <w:rsid w:val="00334E3B"/>
    <w:rsid w:val="00334E51"/>
    <w:rsid w:val="003351CB"/>
    <w:rsid w:val="00336DD0"/>
    <w:rsid w:val="00337AF5"/>
    <w:rsid w:val="00340AAA"/>
    <w:rsid w:val="00340CAA"/>
    <w:rsid w:val="003411D9"/>
    <w:rsid w:val="00341457"/>
    <w:rsid w:val="003414F4"/>
    <w:rsid w:val="0034271D"/>
    <w:rsid w:val="00342C9A"/>
    <w:rsid w:val="00343793"/>
    <w:rsid w:val="0034432B"/>
    <w:rsid w:val="00344AB9"/>
    <w:rsid w:val="003465B9"/>
    <w:rsid w:val="00350162"/>
    <w:rsid w:val="00350803"/>
    <w:rsid w:val="00352074"/>
    <w:rsid w:val="00354467"/>
    <w:rsid w:val="00355593"/>
    <w:rsid w:val="00360161"/>
    <w:rsid w:val="00363366"/>
    <w:rsid w:val="00363AC7"/>
    <w:rsid w:val="003710B8"/>
    <w:rsid w:val="00373C60"/>
    <w:rsid w:val="00376287"/>
    <w:rsid w:val="00376FFA"/>
    <w:rsid w:val="0037737D"/>
    <w:rsid w:val="00380F58"/>
    <w:rsid w:val="00382381"/>
    <w:rsid w:val="003845F5"/>
    <w:rsid w:val="00384974"/>
    <w:rsid w:val="003853FB"/>
    <w:rsid w:val="003866AE"/>
    <w:rsid w:val="00386A12"/>
    <w:rsid w:val="00386B2E"/>
    <w:rsid w:val="00387CBA"/>
    <w:rsid w:val="003903DF"/>
    <w:rsid w:val="00390A17"/>
    <w:rsid w:val="003916B2"/>
    <w:rsid w:val="00391E6A"/>
    <w:rsid w:val="0039206A"/>
    <w:rsid w:val="0039401A"/>
    <w:rsid w:val="00394AC5"/>
    <w:rsid w:val="00394F3B"/>
    <w:rsid w:val="003965CB"/>
    <w:rsid w:val="003971E5"/>
    <w:rsid w:val="003A006C"/>
    <w:rsid w:val="003A1B53"/>
    <w:rsid w:val="003A3A99"/>
    <w:rsid w:val="003A3D9E"/>
    <w:rsid w:val="003A4521"/>
    <w:rsid w:val="003A4D4E"/>
    <w:rsid w:val="003A61A6"/>
    <w:rsid w:val="003A67F6"/>
    <w:rsid w:val="003A7DA3"/>
    <w:rsid w:val="003B0C80"/>
    <w:rsid w:val="003B253A"/>
    <w:rsid w:val="003B2B11"/>
    <w:rsid w:val="003B2C76"/>
    <w:rsid w:val="003B37C8"/>
    <w:rsid w:val="003B456E"/>
    <w:rsid w:val="003B49E3"/>
    <w:rsid w:val="003B558F"/>
    <w:rsid w:val="003B678C"/>
    <w:rsid w:val="003C0B33"/>
    <w:rsid w:val="003C0CDB"/>
    <w:rsid w:val="003C203D"/>
    <w:rsid w:val="003C2F98"/>
    <w:rsid w:val="003C2FB3"/>
    <w:rsid w:val="003C3360"/>
    <w:rsid w:val="003C415D"/>
    <w:rsid w:val="003C4B4B"/>
    <w:rsid w:val="003C530C"/>
    <w:rsid w:val="003D0827"/>
    <w:rsid w:val="003D17E5"/>
    <w:rsid w:val="003D1BB8"/>
    <w:rsid w:val="003D2EC1"/>
    <w:rsid w:val="003D3608"/>
    <w:rsid w:val="003D3AF1"/>
    <w:rsid w:val="003D48CE"/>
    <w:rsid w:val="003D6966"/>
    <w:rsid w:val="003E14B8"/>
    <w:rsid w:val="003E4F6A"/>
    <w:rsid w:val="003F03D4"/>
    <w:rsid w:val="003F38D4"/>
    <w:rsid w:val="003F484E"/>
    <w:rsid w:val="003F5EF3"/>
    <w:rsid w:val="004002A9"/>
    <w:rsid w:val="00404D64"/>
    <w:rsid w:val="004057CE"/>
    <w:rsid w:val="00405B31"/>
    <w:rsid w:val="00405F1F"/>
    <w:rsid w:val="0040619F"/>
    <w:rsid w:val="004077D0"/>
    <w:rsid w:val="00411124"/>
    <w:rsid w:val="00411232"/>
    <w:rsid w:val="0041131D"/>
    <w:rsid w:val="004122AD"/>
    <w:rsid w:val="00412E2E"/>
    <w:rsid w:val="00415258"/>
    <w:rsid w:val="00415814"/>
    <w:rsid w:val="0041632A"/>
    <w:rsid w:val="00417DDE"/>
    <w:rsid w:val="00417E79"/>
    <w:rsid w:val="0042103E"/>
    <w:rsid w:val="004213C1"/>
    <w:rsid w:val="00422C1E"/>
    <w:rsid w:val="00423399"/>
    <w:rsid w:val="00423EDF"/>
    <w:rsid w:val="00424709"/>
    <w:rsid w:val="00425B73"/>
    <w:rsid w:val="004267A5"/>
    <w:rsid w:val="004269A1"/>
    <w:rsid w:val="00426CFA"/>
    <w:rsid w:val="00427402"/>
    <w:rsid w:val="00430148"/>
    <w:rsid w:val="00430F20"/>
    <w:rsid w:val="00431206"/>
    <w:rsid w:val="004338C6"/>
    <w:rsid w:val="00433A9E"/>
    <w:rsid w:val="00434C77"/>
    <w:rsid w:val="00435762"/>
    <w:rsid w:val="0043593A"/>
    <w:rsid w:val="00436808"/>
    <w:rsid w:val="00437853"/>
    <w:rsid w:val="004405B0"/>
    <w:rsid w:val="00442406"/>
    <w:rsid w:val="00443C88"/>
    <w:rsid w:val="0044464C"/>
    <w:rsid w:val="004470E1"/>
    <w:rsid w:val="004475AA"/>
    <w:rsid w:val="00447AEF"/>
    <w:rsid w:val="004557C5"/>
    <w:rsid w:val="00455FE5"/>
    <w:rsid w:val="00456BE6"/>
    <w:rsid w:val="00456FEF"/>
    <w:rsid w:val="0046281C"/>
    <w:rsid w:val="00465733"/>
    <w:rsid w:val="00465C1D"/>
    <w:rsid w:val="00466597"/>
    <w:rsid w:val="004678CF"/>
    <w:rsid w:val="004709EA"/>
    <w:rsid w:val="00471086"/>
    <w:rsid w:val="0047125C"/>
    <w:rsid w:val="00471606"/>
    <w:rsid w:val="00471A11"/>
    <w:rsid w:val="00472F63"/>
    <w:rsid w:val="004757CC"/>
    <w:rsid w:val="00475AEE"/>
    <w:rsid w:val="00480889"/>
    <w:rsid w:val="0048153F"/>
    <w:rsid w:val="00481E04"/>
    <w:rsid w:val="00482202"/>
    <w:rsid w:val="00482567"/>
    <w:rsid w:val="00483F0B"/>
    <w:rsid w:val="00484938"/>
    <w:rsid w:val="00485DFE"/>
    <w:rsid w:val="004903AE"/>
    <w:rsid w:val="004905E7"/>
    <w:rsid w:val="00491C17"/>
    <w:rsid w:val="00491D65"/>
    <w:rsid w:val="0049432C"/>
    <w:rsid w:val="0049541F"/>
    <w:rsid w:val="00496269"/>
    <w:rsid w:val="004A058C"/>
    <w:rsid w:val="004A08EB"/>
    <w:rsid w:val="004A698D"/>
    <w:rsid w:val="004A7243"/>
    <w:rsid w:val="004A7748"/>
    <w:rsid w:val="004A7858"/>
    <w:rsid w:val="004B297B"/>
    <w:rsid w:val="004B5C0B"/>
    <w:rsid w:val="004B69CE"/>
    <w:rsid w:val="004B6F88"/>
    <w:rsid w:val="004B78BE"/>
    <w:rsid w:val="004B7AAB"/>
    <w:rsid w:val="004B7B16"/>
    <w:rsid w:val="004B7D52"/>
    <w:rsid w:val="004C0452"/>
    <w:rsid w:val="004C15BA"/>
    <w:rsid w:val="004C271B"/>
    <w:rsid w:val="004C29BF"/>
    <w:rsid w:val="004C4723"/>
    <w:rsid w:val="004C4F40"/>
    <w:rsid w:val="004C553E"/>
    <w:rsid w:val="004C5F13"/>
    <w:rsid w:val="004C6BA1"/>
    <w:rsid w:val="004C7196"/>
    <w:rsid w:val="004C719D"/>
    <w:rsid w:val="004D2C0A"/>
    <w:rsid w:val="004D43E0"/>
    <w:rsid w:val="004D50BD"/>
    <w:rsid w:val="004D70B8"/>
    <w:rsid w:val="004D747A"/>
    <w:rsid w:val="004D77EA"/>
    <w:rsid w:val="004E02AB"/>
    <w:rsid w:val="004E370C"/>
    <w:rsid w:val="004E5750"/>
    <w:rsid w:val="004E6FFE"/>
    <w:rsid w:val="004F4847"/>
    <w:rsid w:val="004F4D0B"/>
    <w:rsid w:val="004F5149"/>
    <w:rsid w:val="004F74A6"/>
    <w:rsid w:val="004F78BB"/>
    <w:rsid w:val="004F7B30"/>
    <w:rsid w:val="00500C92"/>
    <w:rsid w:val="00503156"/>
    <w:rsid w:val="00503D92"/>
    <w:rsid w:val="00504BDD"/>
    <w:rsid w:val="00506F66"/>
    <w:rsid w:val="00507DAC"/>
    <w:rsid w:val="00507DF8"/>
    <w:rsid w:val="005105D2"/>
    <w:rsid w:val="00510835"/>
    <w:rsid w:val="0051101A"/>
    <w:rsid w:val="00511D0A"/>
    <w:rsid w:val="00513614"/>
    <w:rsid w:val="00513BC0"/>
    <w:rsid w:val="005142BE"/>
    <w:rsid w:val="0051467A"/>
    <w:rsid w:val="00514B24"/>
    <w:rsid w:val="00515614"/>
    <w:rsid w:val="00516DA7"/>
    <w:rsid w:val="0051787E"/>
    <w:rsid w:val="00521861"/>
    <w:rsid w:val="005246B9"/>
    <w:rsid w:val="0052484B"/>
    <w:rsid w:val="00525966"/>
    <w:rsid w:val="005262C8"/>
    <w:rsid w:val="00527743"/>
    <w:rsid w:val="005308EA"/>
    <w:rsid w:val="00530E86"/>
    <w:rsid w:val="00531C6F"/>
    <w:rsid w:val="00531FF4"/>
    <w:rsid w:val="00533451"/>
    <w:rsid w:val="005339B9"/>
    <w:rsid w:val="00533A27"/>
    <w:rsid w:val="005359D3"/>
    <w:rsid w:val="00535A2B"/>
    <w:rsid w:val="00536D87"/>
    <w:rsid w:val="00537710"/>
    <w:rsid w:val="005413DC"/>
    <w:rsid w:val="00541C46"/>
    <w:rsid w:val="0054297B"/>
    <w:rsid w:val="00545157"/>
    <w:rsid w:val="005509A8"/>
    <w:rsid w:val="0055139D"/>
    <w:rsid w:val="0055169C"/>
    <w:rsid w:val="0055194E"/>
    <w:rsid w:val="0055320C"/>
    <w:rsid w:val="0055385B"/>
    <w:rsid w:val="0055413C"/>
    <w:rsid w:val="005563F6"/>
    <w:rsid w:val="0055698B"/>
    <w:rsid w:val="0055785E"/>
    <w:rsid w:val="005578EC"/>
    <w:rsid w:val="005579B4"/>
    <w:rsid w:val="0056145D"/>
    <w:rsid w:val="005637E9"/>
    <w:rsid w:val="00563FBE"/>
    <w:rsid w:val="00565489"/>
    <w:rsid w:val="00566106"/>
    <w:rsid w:val="00570E85"/>
    <w:rsid w:val="00572776"/>
    <w:rsid w:val="00572CA1"/>
    <w:rsid w:val="00575532"/>
    <w:rsid w:val="00577824"/>
    <w:rsid w:val="00577DE9"/>
    <w:rsid w:val="005808C7"/>
    <w:rsid w:val="005841B2"/>
    <w:rsid w:val="005844BC"/>
    <w:rsid w:val="005865E6"/>
    <w:rsid w:val="00587D8D"/>
    <w:rsid w:val="00590528"/>
    <w:rsid w:val="005907D4"/>
    <w:rsid w:val="005924EB"/>
    <w:rsid w:val="00592FD6"/>
    <w:rsid w:val="005932AA"/>
    <w:rsid w:val="0059377C"/>
    <w:rsid w:val="00593A3E"/>
    <w:rsid w:val="00596A77"/>
    <w:rsid w:val="00596E7D"/>
    <w:rsid w:val="005A0E9D"/>
    <w:rsid w:val="005A13F8"/>
    <w:rsid w:val="005A246D"/>
    <w:rsid w:val="005A28D5"/>
    <w:rsid w:val="005A30BA"/>
    <w:rsid w:val="005A391E"/>
    <w:rsid w:val="005A4D06"/>
    <w:rsid w:val="005A723B"/>
    <w:rsid w:val="005A73A8"/>
    <w:rsid w:val="005A73AA"/>
    <w:rsid w:val="005B13DF"/>
    <w:rsid w:val="005B35C0"/>
    <w:rsid w:val="005B3B32"/>
    <w:rsid w:val="005B6614"/>
    <w:rsid w:val="005B6D96"/>
    <w:rsid w:val="005B73AC"/>
    <w:rsid w:val="005B748E"/>
    <w:rsid w:val="005C02EF"/>
    <w:rsid w:val="005C0AE5"/>
    <w:rsid w:val="005C4463"/>
    <w:rsid w:val="005C557D"/>
    <w:rsid w:val="005C6B32"/>
    <w:rsid w:val="005C71E6"/>
    <w:rsid w:val="005D0960"/>
    <w:rsid w:val="005D1DB8"/>
    <w:rsid w:val="005D1EE9"/>
    <w:rsid w:val="005D3759"/>
    <w:rsid w:val="005D39D0"/>
    <w:rsid w:val="005D3ECC"/>
    <w:rsid w:val="005D4307"/>
    <w:rsid w:val="005D747F"/>
    <w:rsid w:val="005D769E"/>
    <w:rsid w:val="005E0C1C"/>
    <w:rsid w:val="005E2BA9"/>
    <w:rsid w:val="005E4259"/>
    <w:rsid w:val="005E6682"/>
    <w:rsid w:val="005E759E"/>
    <w:rsid w:val="005F09B9"/>
    <w:rsid w:val="005F0A75"/>
    <w:rsid w:val="005F0EED"/>
    <w:rsid w:val="005F2A83"/>
    <w:rsid w:val="005F2BA2"/>
    <w:rsid w:val="005F4B42"/>
    <w:rsid w:val="005F5B9A"/>
    <w:rsid w:val="005F60A3"/>
    <w:rsid w:val="006032DF"/>
    <w:rsid w:val="00605F8A"/>
    <w:rsid w:val="006114D0"/>
    <w:rsid w:val="00611634"/>
    <w:rsid w:val="00613DEC"/>
    <w:rsid w:val="0061550F"/>
    <w:rsid w:val="00616C58"/>
    <w:rsid w:val="00617802"/>
    <w:rsid w:val="00620424"/>
    <w:rsid w:val="00622E39"/>
    <w:rsid w:val="00623EB1"/>
    <w:rsid w:val="00625166"/>
    <w:rsid w:val="0063086A"/>
    <w:rsid w:val="006314EA"/>
    <w:rsid w:val="00634348"/>
    <w:rsid w:val="006352EA"/>
    <w:rsid w:val="006352FB"/>
    <w:rsid w:val="00636412"/>
    <w:rsid w:val="006365E9"/>
    <w:rsid w:val="00637689"/>
    <w:rsid w:val="00637E2E"/>
    <w:rsid w:val="00640CF1"/>
    <w:rsid w:val="00640E35"/>
    <w:rsid w:val="00641C04"/>
    <w:rsid w:val="00643255"/>
    <w:rsid w:val="006435AE"/>
    <w:rsid w:val="00643638"/>
    <w:rsid w:val="006447F6"/>
    <w:rsid w:val="006478BB"/>
    <w:rsid w:val="006514FE"/>
    <w:rsid w:val="00654FA2"/>
    <w:rsid w:val="00660C91"/>
    <w:rsid w:val="00663277"/>
    <w:rsid w:val="00666DA5"/>
    <w:rsid w:val="006678F2"/>
    <w:rsid w:val="00667DDB"/>
    <w:rsid w:val="00670506"/>
    <w:rsid w:val="006732A9"/>
    <w:rsid w:val="00673621"/>
    <w:rsid w:val="00673684"/>
    <w:rsid w:val="00673CD6"/>
    <w:rsid w:val="006745B4"/>
    <w:rsid w:val="00674C64"/>
    <w:rsid w:val="0067608C"/>
    <w:rsid w:val="0067634F"/>
    <w:rsid w:val="0068054F"/>
    <w:rsid w:val="00683783"/>
    <w:rsid w:val="006844B6"/>
    <w:rsid w:val="00686194"/>
    <w:rsid w:val="00687C84"/>
    <w:rsid w:val="00690BCC"/>
    <w:rsid w:val="00692517"/>
    <w:rsid w:val="006936A9"/>
    <w:rsid w:val="00694ACB"/>
    <w:rsid w:val="00696479"/>
    <w:rsid w:val="0069709F"/>
    <w:rsid w:val="006A0F03"/>
    <w:rsid w:val="006A1B5E"/>
    <w:rsid w:val="006A32EC"/>
    <w:rsid w:val="006A5F0C"/>
    <w:rsid w:val="006A607A"/>
    <w:rsid w:val="006B1BC3"/>
    <w:rsid w:val="006B3996"/>
    <w:rsid w:val="006B4723"/>
    <w:rsid w:val="006B67CB"/>
    <w:rsid w:val="006B7462"/>
    <w:rsid w:val="006C2815"/>
    <w:rsid w:val="006C43AE"/>
    <w:rsid w:val="006C4429"/>
    <w:rsid w:val="006C45C5"/>
    <w:rsid w:val="006C6C52"/>
    <w:rsid w:val="006C7BC2"/>
    <w:rsid w:val="006C7C7B"/>
    <w:rsid w:val="006D03ED"/>
    <w:rsid w:val="006D0DBC"/>
    <w:rsid w:val="006D13B7"/>
    <w:rsid w:val="006D1C8A"/>
    <w:rsid w:val="006D46B6"/>
    <w:rsid w:val="006D5E03"/>
    <w:rsid w:val="006D64F6"/>
    <w:rsid w:val="006D7BDD"/>
    <w:rsid w:val="006D7D82"/>
    <w:rsid w:val="006E0F94"/>
    <w:rsid w:val="006E1072"/>
    <w:rsid w:val="006E11CE"/>
    <w:rsid w:val="006E6030"/>
    <w:rsid w:val="006E6159"/>
    <w:rsid w:val="006E74C8"/>
    <w:rsid w:val="006F5F13"/>
    <w:rsid w:val="006F6375"/>
    <w:rsid w:val="00700B78"/>
    <w:rsid w:val="0070176F"/>
    <w:rsid w:val="00701F64"/>
    <w:rsid w:val="00702C78"/>
    <w:rsid w:val="00703667"/>
    <w:rsid w:val="00704F21"/>
    <w:rsid w:val="007055AC"/>
    <w:rsid w:val="007061A1"/>
    <w:rsid w:val="00706D42"/>
    <w:rsid w:val="00710403"/>
    <w:rsid w:val="0071158C"/>
    <w:rsid w:val="00711D2F"/>
    <w:rsid w:val="007126D1"/>
    <w:rsid w:val="00712D5E"/>
    <w:rsid w:val="00717388"/>
    <w:rsid w:val="00717955"/>
    <w:rsid w:val="00717E5C"/>
    <w:rsid w:val="00724AA1"/>
    <w:rsid w:val="00725E04"/>
    <w:rsid w:val="00732036"/>
    <w:rsid w:val="0073259B"/>
    <w:rsid w:val="0073318E"/>
    <w:rsid w:val="00733862"/>
    <w:rsid w:val="0073713D"/>
    <w:rsid w:val="007400E2"/>
    <w:rsid w:val="007450F9"/>
    <w:rsid w:val="007451D1"/>
    <w:rsid w:val="00745310"/>
    <w:rsid w:val="00750948"/>
    <w:rsid w:val="007517BF"/>
    <w:rsid w:val="00757988"/>
    <w:rsid w:val="00757B70"/>
    <w:rsid w:val="007611FB"/>
    <w:rsid w:val="00763769"/>
    <w:rsid w:val="007638E7"/>
    <w:rsid w:val="00763E92"/>
    <w:rsid w:val="00765784"/>
    <w:rsid w:val="00765AA4"/>
    <w:rsid w:val="00766FDD"/>
    <w:rsid w:val="0076794D"/>
    <w:rsid w:val="00770000"/>
    <w:rsid w:val="007703C8"/>
    <w:rsid w:val="00770DA4"/>
    <w:rsid w:val="00772415"/>
    <w:rsid w:val="007734A5"/>
    <w:rsid w:val="007734B4"/>
    <w:rsid w:val="00773608"/>
    <w:rsid w:val="00773DE2"/>
    <w:rsid w:val="007749AC"/>
    <w:rsid w:val="00774EAC"/>
    <w:rsid w:val="00775D27"/>
    <w:rsid w:val="00775D6B"/>
    <w:rsid w:val="007771F3"/>
    <w:rsid w:val="007820AC"/>
    <w:rsid w:val="00783F06"/>
    <w:rsid w:val="0078420A"/>
    <w:rsid w:val="0078449D"/>
    <w:rsid w:val="00785C53"/>
    <w:rsid w:val="00787C84"/>
    <w:rsid w:val="0079052B"/>
    <w:rsid w:val="0079211B"/>
    <w:rsid w:val="00793AA7"/>
    <w:rsid w:val="0079408F"/>
    <w:rsid w:val="00794C81"/>
    <w:rsid w:val="007963DD"/>
    <w:rsid w:val="0079683B"/>
    <w:rsid w:val="007A059D"/>
    <w:rsid w:val="007A4334"/>
    <w:rsid w:val="007A68E8"/>
    <w:rsid w:val="007A76E8"/>
    <w:rsid w:val="007A7B3B"/>
    <w:rsid w:val="007B046A"/>
    <w:rsid w:val="007B1609"/>
    <w:rsid w:val="007B6EF7"/>
    <w:rsid w:val="007C101E"/>
    <w:rsid w:val="007C1311"/>
    <w:rsid w:val="007C170A"/>
    <w:rsid w:val="007C1ADD"/>
    <w:rsid w:val="007C1DBE"/>
    <w:rsid w:val="007C2CC5"/>
    <w:rsid w:val="007C2E15"/>
    <w:rsid w:val="007C4ECC"/>
    <w:rsid w:val="007C58F8"/>
    <w:rsid w:val="007C612F"/>
    <w:rsid w:val="007C62B3"/>
    <w:rsid w:val="007D210E"/>
    <w:rsid w:val="007D260E"/>
    <w:rsid w:val="007D2BE6"/>
    <w:rsid w:val="007D5379"/>
    <w:rsid w:val="007E0B33"/>
    <w:rsid w:val="007E0B8E"/>
    <w:rsid w:val="007E4217"/>
    <w:rsid w:val="007E5129"/>
    <w:rsid w:val="007F24BB"/>
    <w:rsid w:val="007F2A00"/>
    <w:rsid w:val="007F6011"/>
    <w:rsid w:val="007F6F73"/>
    <w:rsid w:val="007F6FEE"/>
    <w:rsid w:val="007F7980"/>
    <w:rsid w:val="007F7BAB"/>
    <w:rsid w:val="0080061E"/>
    <w:rsid w:val="00800C10"/>
    <w:rsid w:val="008020CB"/>
    <w:rsid w:val="00802508"/>
    <w:rsid w:val="00802FDA"/>
    <w:rsid w:val="00804632"/>
    <w:rsid w:val="00804B9A"/>
    <w:rsid w:val="00804D22"/>
    <w:rsid w:val="00807631"/>
    <w:rsid w:val="0081339B"/>
    <w:rsid w:val="008147D7"/>
    <w:rsid w:val="0082029B"/>
    <w:rsid w:val="00820906"/>
    <w:rsid w:val="00821661"/>
    <w:rsid w:val="008221DD"/>
    <w:rsid w:val="00822427"/>
    <w:rsid w:val="00823EDD"/>
    <w:rsid w:val="0082457F"/>
    <w:rsid w:val="00826916"/>
    <w:rsid w:val="00831D77"/>
    <w:rsid w:val="00835215"/>
    <w:rsid w:val="00837DBA"/>
    <w:rsid w:val="00840FC4"/>
    <w:rsid w:val="0084148D"/>
    <w:rsid w:val="00841928"/>
    <w:rsid w:val="0084452C"/>
    <w:rsid w:val="00847AB0"/>
    <w:rsid w:val="00856031"/>
    <w:rsid w:val="00856A1D"/>
    <w:rsid w:val="00856A2B"/>
    <w:rsid w:val="0085757D"/>
    <w:rsid w:val="00857EBD"/>
    <w:rsid w:val="00860056"/>
    <w:rsid w:val="0086165B"/>
    <w:rsid w:val="00861936"/>
    <w:rsid w:val="008631E9"/>
    <w:rsid w:val="00863375"/>
    <w:rsid w:val="00863CBF"/>
    <w:rsid w:val="00863D08"/>
    <w:rsid w:val="00864E5C"/>
    <w:rsid w:val="00865039"/>
    <w:rsid w:val="00870458"/>
    <w:rsid w:val="00870A2E"/>
    <w:rsid w:val="00874424"/>
    <w:rsid w:val="00874658"/>
    <w:rsid w:val="00876F7D"/>
    <w:rsid w:val="0087766B"/>
    <w:rsid w:val="00877EF1"/>
    <w:rsid w:val="008805F6"/>
    <w:rsid w:val="00880788"/>
    <w:rsid w:val="008810A4"/>
    <w:rsid w:val="00881E49"/>
    <w:rsid w:val="008832A4"/>
    <w:rsid w:val="0088428E"/>
    <w:rsid w:val="00885F3E"/>
    <w:rsid w:val="0089232C"/>
    <w:rsid w:val="00892865"/>
    <w:rsid w:val="00892FB6"/>
    <w:rsid w:val="008949A6"/>
    <w:rsid w:val="0089636E"/>
    <w:rsid w:val="008963D6"/>
    <w:rsid w:val="00897166"/>
    <w:rsid w:val="0089786C"/>
    <w:rsid w:val="00897FE5"/>
    <w:rsid w:val="008A101F"/>
    <w:rsid w:val="008A3161"/>
    <w:rsid w:val="008A344B"/>
    <w:rsid w:val="008A4ABF"/>
    <w:rsid w:val="008A650F"/>
    <w:rsid w:val="008B0B49"/>
    <w:rsid w:val="008B0EA6"/>
    <w:rsid w:val="008B2A52"/>
    <w:rsid w:val="008B2F2C"/>
    <w:rsid w:val="008B2FB9"/>
    <w:rsid w:val="008B47D0"/>
    <w:rsid w:val="008B5FF1"/>
    <w:rsid w:val="008B637C"/>
    <w:rsid w:val="008B686D"/>
    <w:rsid w:val="008B7BC4"/>
    <w:rsid w:val="008C2BE2"/>
    <w:rsid w:val="008C2C58"/>
    <w:rsid w:val="008C4E45"/>
    <w:rsid w:val="008D00BA"/>
    <w:rsid w:val="008D1560"/>
    <w:rsid w:val="008D15C8"/>
    <w:rsid w:val="008D3496"/>
    <w:rsid w:val="008D389D"/>
    <w:rsid w:val="008D49A8"/>
    <w:rsid w:val="008D6874"/>
    <w:rsid w:val="008D6C9F"/>
    <w:rsid w:val="008D72B2"/>
    <w:rsid w:val="008D72ED"/>
    <w:rsid w:val="008E2208"/>
    <w:rsid w:val="008E3BAC"/>
    <w:rsid w:val="008E5512"/>
    <w:rsid w:val="008E55E5"/>
    <w:rsid w:val="008E5EA0"/>
    <w:rsid w:val="008E6CAC"/>
    <w:rsid w:val="008E72DC"/>
    <w:rsid w:val="008F0230"/>
    <w:rsid w:val="008F031E"/>
    <w:rsid w:val="008F380B"/>
    <w:rsid w:val="00902F83"/>
    <w:rsid w:val="0090339E"/>
    <w:rsid w:val="00904139"/>
    <w:rsid w:val="009051CF"/>
    <w:rsid w:val="00905B24"/>
    <w:rsid w:val="00907148"/>
    <w:rsid w:val="00907607"/>
    <w:rsid w:val="00911C10"/>
    <w:rsid w:val="0091204D"/>
    <w:rsid w:val="00915190"/>
    <w:rsid w:val="00916400"/>
    <w:rsid w:val="0091737B"/>
    <w:rsid w:val="00920952"/>
    <w:rsid w:val="009233A8"/>
    <w:rsid w:val="00926798"/>
    <w:rsid w:val="009300BB"/>
    <w:rsid w:val="009313DC"/>
    <w:rsid w:val="009316FB"/>
    <w:rsid w:val="00932485"/>
    <w:rsid w:val="00932C32"/>
    <w:rsid w:val="00932DAF"/>
    <w:rsid w:val="0093789A"/>
    <w:rsid w:val="00943B6D"/>
    <w:rsid w:val="00944B95"/>
    <w:rsid w:val="00944C93"/>
    <w:rsid w:val="00944CF5"/>
    <w:rsid w:val="009475DC"/>
    <w:rsid w:val="0095005B"/>
    <w:rsid w:val="00950312"/>
    <w:rsid w:val="00951B11"/>
    <w:rsid w:val="00952F0C"/>
    <w:rsid w:val="00957194"/>
    <w:rsid w:val="00961CF4"/>
    <w:rsid w:val="009654C0"/>
    <w:rsid w:val="009672CF"/>
    <w:rsid w:val="009677A4"/>
    <w:rsid w:val="00967BCF"/>
    <w:rsid w:val="00967D90"/>
    <w:rsid w:val="00970AE4"/>
    <w:rsid w:val="00970CB5"/>
    <w:rsid w:val="00970DD8"/>
    <w:rsid w:val="00976AF0"/>
    <w:rsid w:val="00976D99"/>
    <w:rsid w:val="00977026"/>
    <w:rsid w:val="009772D3"/>
    <w:rsid w:val="009817FF"/>
    <w:rsid w:val="00981C5F"/>
    <w:rsid w:val="009821FA"/>
    <w:rsid w:val="009844E5"/>
    <w:rsid w:val="00985448"/>
    <w:rsid w:val="009858AC"/>
    <w:rsid w:val="009901BB"/>
    <w:rsid w:val="00991804"/>
    <w:rsid w:val="0099260A"/>
    <w:rsid w:val="00993D21"/>
    <w:rsid w:val="00994706"/>
    <w:rsid w:val="00994EC3"/>
    <w:rsid w:val="009950C9"/>
    <w:rsid w:val="00995D74"/>
    <w:rsid w:val="00996C1B"/>
    <w:rsid w:val="009A03C0"/>
    <w:rsid w:val="009A045F"/>
    <w:rsid w:val="009A20BB"/>
    <w:rsid w:val="009A4E69"/>
    <w:rsid w:val="009A71C0"/>
    <w:rsid w:val="009B03E6"/>
    <w:rsid w:val="009B2431"/>
    <w:rsid w:val="009B2B16"/>
    <w:rsid w:val="009B2D3A"/>
    <w:rsid w:val="009B31C1"/>
    <w:rsid w:val="009B47ED"/>
    <w:rsid w:val="009B4AB2"/>
    <w:rsid w:val="009B4DD6"/>
    <w:rsid w:val="009B532E"/>
    <w:rsid w:val="009B590E"/>
    <w:rsid w:val="009B62A8"/>
    <w:rsid w:val="009C04AF"/>
    <w:rsid w:val="009C1516"/>
    <w:rsid w:val="009C1C7E"/>
    <w:rsid w:val="009C4F0D"/>
    <w:rsid w:val="009C6651"/>
    <w:rsid w:val="009C776C"/>
    <w:rsid w:val="009D0482"/>
    <w:rsid w:val="009D1226"/>
    <w:rsid w:val="009D39E2"/>
    <w:rsid w:val="009D42CE"/>
    <w:rsid w:val="009D4D61"/>
    <w:rsid w:val="009D4FD2"/>
    <w:rsid w:val="009D5718"/>
    <w:rsid w:val="009D6EC8"/>
    <w:rsid w:val="009E1B1C"/>
    <w:rsid w:val="009E1C9F"/>
    <w:rsid w:val="009E20E9"/>
    <w:rsid w:val="009E2D00"/>
    <w:rsid w:val="009E39AB"/>
    <w:rsid w:val="009E532B"/>
    <w:rsid w:val="009E6CFD"/>
    <w:rsid w:val="009E78A8"/>
    <w:rsid w:val="009E7E76"/>
    <w:rsid w:val="009F1C1B"/>
    <w:rsid w:val="009F32CA"/>
    <w:rsid w:val="009F476E"/>
    <w:rsid w:val="009F7B29"/>
    <w:rsid w:val="00A0239C"/>
    <w:rsid w:val="00A0242D"/>
    <w:rsid w:val="00A02D32"/>
    <w:rsid w:val="00A03B9B"/>
    <w:rsid w:val="00A03F2D"/>
    <w:rsid w:val="00A04DE3"/>
    <w:rsid w:val="00A05CA0"/>
    <w:rsid w:val="00A12958"/>
    <w:rsid w:val="00A12A91"/>
    <w:rsid w:val="00A12CCA"/>
    <w:rsid w:val="00A13B3D"/>
    <w:rsid w:val="00A15BD7"/>
    <w:rsid w:val="00A17D96"/>
    <w:rsid w:val="00A214AF"/>
    <w:rsid w:val="00A2199D"/>
    <w:rsid w:val="00A21D77"/>
    <w:rsid w:val="00A2294D"/>
    <w:rsid w:val="00A22C3C"/>
    <w:rsid w:val="00A23026"/>
    <w:rsid w:val="00A23E53"/>
    <w:rsid w:val="00A249D9"/>
    <w:rsid w:val="00A26B02"/>
    <w:rsid w:val="00A2742C"/>
    <w:rsid w:val="00A27F7A"/>
    <w:rsid w:val="00A30CD7"/>
    <w:rsid w:val="00A324A6"/>
    <w:rsid w:val="00A32DBA"/>
    <w:rsid w:val="00A345B9"/>
    <w:rsid w:val="00A34A96"/>
    <w:rsid w:val="00A35ADC"/>
    <w:rsid w:val="00A36676"/>
    <w:rsid w:val="00A37A56"/>
    <w:rsid w:val="00A41674"/>
    <w:rsid w:val="00A421E4"/>
    <w:rsid w:val="00A4343D"/>
    <w:rsid w:val="00A46FCB"/>
    <w:rsid w:val="00A477C9"/>
    <w:rsid w:val="00A51257"/>
    <w:rsid w:val="00A53BCB"/>
    <w:rsid w:val="00A5642C"/>
    <w:rsid w:val="00A56793"/>
    <w:rsid w:val="00A56C31"/>
    <w:rsid w:val="00A5782D"/>
    <w:rsid w:val="00A60994"/>
    <w:rsid w:val="00A61CBD"/>
    <w:rsid w:val="00A637D0"/>
    <w:rsid w:val="00A63914"/>
    <w:rsid w:val="00A6462B"/>
    <w:rsid w:val="00A6567F"/>
    <w:rsid w:val="00A667E6"/>
    <w:rsid w:val="00A66A80"/>
    <w:rsid w:val="00A708DE"/>
    <w:rsid w:val="00A760E5"/>
    <w:rsid w:val="00A7769E"/>
    <w:rsid w:val="00A81375"/>
    <w:rsid w:val="00A815E1"/>
    <w:rsid w:val="00A81A58"/>
    <w:rsid w:val="00A82242"/>
    <w:rsid w:val="00A836BB"/>
    <w:rsid w:val="00A8445B"/>
    <w:rsid w:val="00A8592A"/>
    <w:rsid w:val="00A86F4D"/>
    <w:rsid w:val="00A8798A"/>
    <w:rsid w:val="00A9117E"/>
    <w:rsid w:val="00A913F6"/>
    <w:rsid w:val="00A92753"/>
    <w:rsid w:val="00A962B8"/>
    <w:rsid w:val="00A97243"/>
    <w:rsid w:val="00AA0288"/>
    <w:rsid w:val="00AA07F4"/>
    <w:rsid w:val="00AA0A75"/>
    <w:rsid w:val="00AA2D38"/>
    <w:rsid w:val="00AA3669"/>
    <w:rsid w:val="00AA59D7"/>
    <w:rsid w:val="00AA63A0"/>
    <w:rsid w:val="00AA6998"/>
    <w:rsid w:val="00AB0160"/>
    <w:rsid w:val="00AB34C6"/>
    <w:rsid w:val="00AB491C"/>
    <w:rsid w:val="00AB4FAE"/>
    <w:rsid w:val="00AB6D9E"/>
    <w:rsid w:val="00AC00E2"/>
    <w:rsid w:val="00AC0172"/>
    <w:rsid w:val="00AC0929"/>
    <w:rsid w:val="00AC0C1F"/>
    <w:rsid w:val="00AC1674"/>
    <w:rsid w:val="00AC28B6"/>
    <w:rsid w:val="00AC3122"/>
    <w:rsid w:val="00AC539F"/>
    <w:rsid w:val="00AC6AD2"/>
    <w:rsid w:val="00AD12E3"/>
    <w:rsid w:val="00AD1CF2"/>
    <w:rsid w:val="00AD2418"/>
    <w:rsid w:val="00AD28DF"/>
    <w:rsid w:val="00AD544F"/>
    <w:rsid w:val="00AD60D4"/>
    <w:rsid w:val="00AD68F1"/>
    <w:rsid w:val="00AD7783"/>
    <w:rsid w:val="00AD7B3E"/>
    <w:rsid w:val="00AE0A50"/>
    <w:rsid w:val="00AE0A6F"/>
    <w:rsid w:val="00AE1B7B"/>
    <w:rsid w:val="00AE2545"/>
    <w:rsid w:val="00AE2EBC"/>
    <w:rsid w:val="00AE40F3"/>
    <w:rsid w:val="00AE416F"/>
    <w:rsid w:val="00AE4A68"/>
    <w:rsid w:val="00AE6463"/>
    <w:rsid w:val="00AE7042"/>
    <w:rsid w:val="00AF22D0"/>
    <w:rsid w:val="00AF3109"/>
    <w:rsid w:val="00AF3186"/>
    <w:rsid w:val="00AF31BD"/>
    <w:rsid w:val="00AF39F8"/>
    <w:rsid w:val="00AF449E"/>
    <w:rsid w:val="00AF506C"/>
    <w:rsid w:val="00AF7458"/>
    <w:rsid w:val="00AF7F61"/>
    <w:rsid w:val="00B004E4"/>
    <w:rsid w:val="00B02446"/>
    <w:rsid w:val="00B03466"/>
    <w:rsid w:val="00B044DD"/>
    <w:rsid w:val="00B106B8"/>
    <w:rsid w:val="00B11DBE"/>
    <w:rsid w:val="00B14FFC"/>
    <w:rsid w:val="00B16AC7"/>
    <w:rsid w:val="00B1754B"/>
    <w:rsid w:val="00B21340"/>
    <w:rsid w:val="00B21398"/>
    <w:rsid w:val="00B23556"/>
    <w:rsid w:val="00B24DB8"/>
    <w:rsid w:val="00B24EEF"/>
    <w:rsid w:val="00B25505"/>
    <w:rsid w:val="00B256B7"/>
    <w:rsid w:val="00B2786E"/>
    <w:rsid w:val="00B304EA"/>
    <w:rsid w:val="00B32EBC"/>
    <w:rsid w:val="00B32F71"/>
    <w:rsid w:val="00B34D63"/>
    <w:rsid w:val="00B36332"/>
    <w:rsid w:val="00B41931"/>
    <w:rsid w:val="00B41B15"/>
    <w:rsid w:val="00B44C4B"/>
    <w:rsid w:val="00B50A35"/>
    <w:rsid w:val="00B50D07"/>
    <w:rsid w:val="00B51196"/>
    <w:rsid w:val="00B52E58"/>
    <w:rsid w:val="00B53739"/>
    <w:rsid w:val="00B53B35"/>
    <w:rsid w:val="00B543D0"/>
    <w:rsid w:val="00B5469C"/>
    <w:rsid w:val="00B61584"/>
    <w:rsid w:val="00B6256C"/>
    <w:rsid w:val="00B64130"/>
    <w:rsid w:val="00B64C0B"/>
    <w:rsid w:val="00B658C9"/>
    <w:rsid w:val="00B66088"/>
    <w:rsid w:val="00B708CA"/>
    <w:rsid w:val="00B74219"/>
    <w:rsid w:val="00B75476"/>
    <w:rsid w:val="00B75E56"/>
    <w:rsid w:val="00B761CB"/>
    <w:rsid w:val="00B8073A"/>
    <w:rsid w:val="00B808FD"/>
    <w:rsid w:val="00B91138"/>
    <w:rsid w:val="00B914C8"/>
    <w:rsid w:val="00B94A26"/>
    <w:rsid w:val="00B974CF"/>
    <w:rsid w:val="00B97EE6"/>
    <w:rsid w:val="00BA00DF"/>
    <w:rsid w:val="00BA189C"/>
    <w:rsid w:val="00BA2BF0"/>
    <w:rsid w:val="00BA3EDA"/>
    <w:rsid w:val="00BA4B9B"/>
    <w:rsid w:val="00BA572B"/>
    <w:rsid w:val="00BA5EDE"/>
    <w:rsid w:val="00BA6931"/>
    <w:rsid w:val="00BA6CAF"/>
    <w:rsid w:val="00BB0E0B"/>
    <w:rsid w:val="00BB1ADC"/>
    <w:rsid w:val="00BB1C29"/>
    <w:rsid w:val="00BB34CC"/>
    <w:rsid w:val="00BB4772"/>
    <w:rsid w:val="00BB49A2"/>
    <w:rsid w:val="00BB7183"/>
    <w:rsid w:val="00BC0810"/>
    <w:rsid w:val="00BC265C"/>
    <w:rsid w:val="00BC3866"/>
    <w:rsid w:val="00BC53EC"/>
    <w:rsid w:val="00BC572A"/>
    <w:rsid w:val="00BD0C2C"/>
    <w:rsid w:val="00BD1F9C"/>
    <w:rsid w:val="00BD49BE"/>
    <w:rsid w:val="00BD6099"/>
    <w:rsid w:val="00BD67BA"/>
    <w:rsid w:val="00BE1237"/>
    <w:rsid w:val="00BE3BF6"/>
    <w:rsid w:val="00BE5146"/>
    <w:rsid w:val="00BE7F52"/>
    <w:rsid w:val="00BF345B"/>
    <w:rsid w:val="00BF35E1"/>
    <w:rsid w:val="00BF49F6"/>
    <w:rsid w:val="00BF52A7"/>
    <w:rsid w:val="00BF7A47"/>
    <w:rsid w:val="00BF7C73"/>
    <w:rsid w:val="00C00078"/>
    <w:rsid w:val="00C01D31"/>
    <w:rsid w:val="00C02F80"/>
    <w:rsid w:val="00C036EC"/>
    <w:rsid w:val="00C03BF2"/>
    <w:rsid w:val="00C03EE7"/>
    <w:rsid w:val="00C06F43"/>
    <w:rsid w:val="00C11338"/>
    <w:rsid w:val="00C11806"/>
    <w:rsid w:val="00C11F1B"/>
    <w:rsid w:val="00C13E98"/>
    <w:rsid w:val="00C13F6C"/>
    <w:rsid w:val="00C14956"/>
    <w:rsid w:val="00C154B3"/>
    <w:rsid w:val="00C212B3"/>
    <w:rsid w:val="00C21EB1"/>
    <w:rsid w:val="00C2209D"/>
    <w:rsid w:val="00C227A5"/>
    <w:rsid w:val="00C24017"/>
    <w:rsid w:val="00C264DF"/>
    <w:rsid w:val="00C30A5E"/>
    <w:rsid w:val="00C40B29"/>
    <w:rsid w:val="00C42094"/>
    <w:rsid w:val="00C43346"/>
    <w:rsid w:val="00C51198"/>
    <w:rsid w:val="00C54A6D"/>
    <w:rsid w:val="00C55A41"/>
    <w:rsid w:val="00C618F9"/>
    <w:rsid w:val="00C61A99"/>
    <w:rsid w:val="00C625E0"/>
    <w:rsid w:val="00C633C5"/>
    <w:rsid w:val="00C644DC"/>
    <w:rsid w:val="00C644EC"/>
    <w:rsid w:val="00C6499D"/>
    <w:rsid w:val="00C67CEF"/>
    <w:rsid w:val="00C7106E"/>
    <w:rsid w:val="00C72BA5"/>
    <w:rsid w:val="00C72D82"/>
    <w:rsid w:val="00C733B6"/>
    <w:rsid w:val="00C736F3"/>
    <w:rsid w:val="00C75839"/>
    <w:rsid w:val="00C8088A"/>
    <w:rsid w:val="00C82408"/>
    <w:rsid w:val="00C82BC4"/>
    <w:rsid w:val="00C82C06"/>
    <w:rsid w:val="00C835AF"/>
    <w:rsid w:val="00C83B7C"/>
    <w:rsid w:val="00C86737"/>
    <w:rsid w:val="00C87562"/>
    <w:rsid w:val="00C91D65"/>
    <w:rsid w:val="00C92AD3"/>
    <w:rsid w:val="00C949DA"/>
    <w:rsid w:val="00C95224"/>
    <w:rsid w:val="00C95CA4"/>
    <w:rsid w:val="00C97527"/>
    <w:rsid w:val="00C97DD1"/>
    <w:rsid w:val="00CA16DF"/>
    <w:rsid w:val="00CA4614"/>
    <w:rsid w:val="00CA4A6F"/>
    <w:rsid w:val="00CA59D1"/>
    <w:rsid w:val="00CA68D7"/>
    <w:rsid w:val="00CA6E5C"/>
    <w:rsid w:val="00CA702C"/>
    <w:rsid w:val="00CA72CC"/>
    <w:rsid w:val="00CA7DDE"/>
    <w:rsid w:val="00CB0136"/>
    <w:rsid w:val="00CB0B63"/>
    <w:rsid w:val="00CB1BF8"/>
    <w:rsid w:val="00CB6F6E"/>
    <w:rsid w:val="00CB7C04"/>
    <w:rsid w:val="00CC0371"/>
    <w:rsid w:val="00CC3357"/>
    <w:rsid w:val="00CC649D"/>
    <w:rsid w:val="00CC7AF4"/>
    <w:rsid w:val="00CD0138"/>
    <w:rsid w:val="00CD2E1A"/>
    <w:rsid w:val="00CD3750"/>
    <w:rsid w:val="00CD465F"/>
    <w:rsid w:val="00CD643F"/>
    <w:rsid w:val="00CD6C4E"/>
    <w:rsid w:val="00CD7390"/>
    <w:rsid w:val="00CD7586"/>
    <w:rsid w:val="00CE15C5"/>
    <w:rsid w:val="00CE5ACD"/>
    <w:rsid w:val="00CE72D2"/>
    <w:rsid w:val="00CF04A2"/>
    <w:rsid w:val="00CF0C9D"/>
    <w:rsid w:val="00CF15B9"/>
    <w:rsid w:val="00CF38F2"/>
    <w:rsid w:val="00CF43A5"/>
    <w:rsid w:val="00CF5A45"/>
    <w:rsid w:val="00CF6BD7"/>
    <w:rsid w:val="00D02B6F"/>
    <w:rsid w:val="00D02BB0"/>
    <w:rsid w:val="00D03729"/>
    <w:rsid w:val="00D03BB7"/>
    <w:rsid w:val="00D05A75"/>
    <w:rsid w:val="00D065FD"/>
    <w:rsid w:val="00D07201"/>
    <w:rsid w:val="00D07FE3"/>
    <w:rsid w:val="00D12009"/>
    <w:rsid w:val="00D121EE"/>
    <w:rsid w:val="00D13C89"/>
    <w:rsid w:val="00D13FE1"/>
    <w:rsid w:val="00D14107"/>
    <w:rsid w:val="00D14E95"/>
    <w:rsid w:val="00D16FE4"/>
    <w:rsid w:val="00D174DA"/>
    <w:rsid w:val="00D2001D"/>
    <w:rsid w:val="00D201EC"/>
    <w:rsid w:val="00D21972"/>
    <w:rsid w:val="00D21B75"/>
    <w:rsid w:val="00D24A29"/>
    <w:rsid w:val="00D274FC"/>
    <w:rsid w:val="00D27923"/>
    <w:rsid w:val="00D30920"/>
    <w:rsid w:val="00D35AFA"/>
    <w:rsid w:val="00D4018E"/>
    <w:rsid w:val="00D40437"/>
    <w:rsid w:val="00D41D6C"/>
    <w:rsid w:val="00D42C78"/>
    <w:rsid w:val="00D43AE6"/>
    <w:rsid w:val="00D448BA"/>
    <w:rsid w:val="00D451DA"/>
    <w:rsid w:val="00D454CE"/>
    <w:rsid w:val="00D46B59"/>
    <w:rsid w:val="00D4724B"/>
    <w:rsid w:val="00D47B7A"/>
    <w:rsid w:val="00D51362"/>
    <w:rsid w:val="00D51834"/>
    <w:rsid w:val="00D53D0B"/>
    <w:rsid w:val="00D5553D"/>
    <w:rsid w:val="00D566CA"/>
    <w:rsid w:val="00D56F00"/>
    <w:rsid w:val="00D574DA"/>
    <w:rsid w:val="00D62F53"/>
    <w:rsid w:val="00D63653"/>
    <w:rsid w:val="00D63EF9"/>
    <w:rsid w:val="00D642FA"/>
    <w:rsid w:val="00D71021"/>
    <w:rsid w:val="00D713CD"/>
    <w:rsid w:val="00D72041"/>
    <w:rsid w:val="00D721CE"/>
    <w:rsid w:val="00D72953"/>
    <w:rsid w:val="00D72DB5"/>
    <w:rsid w:val="00D7457C"/>
    <w:rsid w:val="00D752F3"/>
    <w:rsid w:val="00D77405"/>
    <w:rsid w:val="00D8070E"/>
    <w:rsid w:val="00D82574"/>
    <w:rsid w:val="00D83F6A"/>
    <w:rsid w:val="00D843FF"/>
    <w:rsid w:val="00D86197"/>
    <w:rsid w:val="00D91DDF"/>
    <w:rsid w:val="00D9248D"/>
    <w:rsid w:val="00D92FAF"/>
    <w:rsid w:val="00D9410B"/>
    <w:rsid w:val="00D96EEE"/>
    <w:rsid w:val="00D97295"/>
    <w:rsid w:val="00D97BED"/>
    <w:rsid w:val="00D97F56"/>
    <w:rsid w:val="00DA6741"/>
    <w:rsid w:val="00DA6907"/>
    <w:rsid w:val="00DA6FA6"/>
    <w:rsid w:val="00DB4315"/>
    <w:rsid w:val="00DB4F8F"/>
    <w:rsid w:val="00DB6222"/>
    <w:rsid w:val="00DB783F"/>
    <w:rsid w:val="00DC0E80"/>
    <w:rsid w:val="00DC15C6"/>
    <w:rsid w:val="00DC1608"/>
    <w:rsid w:val="00DC3515"/>
    <w:rsid w:val="00DD311A"/>
    <w:rsid w:val="00DD427F"/>
    <w:rsid w:val="00DD5473"/>
    <w:rsid w:val="00DD58EC"/>
    <w:rsid w:val="00DD6DA3"/>
    <w:rsid w:val="00DD79BA"/>
    <w:rsid w:val="00DE07A3"/>
    <w:rsid w:val="00DE24ED"/>
    <w:rsid w:val="00DE2AB4"/>
    <w:rsid w:val="00DE4D45"/>
    <w:rsid w:val="00DE58DE"/>
    <w:rsid w:val="00DE6FE5"/>
    <w:rsid w:val="00DE75FD"/>
    <w:rsid w:val="00DE787A"/>
    <w:rsid w:val="00DE7BBA"/>
    <w:rsid w:val="00DF02A6"/>
    <w:rsid w:val="00DF093D"/>
    <w:rsid w:val="00DF2E8E"/>
    <w:rsid w:val="00DF32D0"/>
    <w:rsid w:val="00DF597C"/>
    <w:rsid w:val="00DF6519"/>
    <w:rsid w:val="00DF685B"/>
    <w:rsid w:val="00E0114C"/>
    <w:rsid w:val="00E02CDB"/>
    <w:rsid w:val="00E03DE6"/>
    <w:rsid w:val="00E058F2"/>
    <w:rsid w:val="00E0771B"/>
    <w:rsid w:val="00E079D7"/>
    <w:rsid w:val="00E07A7D"/>
    <w:rsid w:val="00E11A2B"/>
    <w:rsid w:val="00E12050"/>
    <w:rsid w:val="00E1396A"/>
    <w:rsid w:val="00E14718"/>
    <w:rsid w:val="00E15CC4"/>
    <w:rsid w:val="00E15D27"/>
    <w:rsid w:val="00E1702A"/>
    <w:rsid w:val="00E17CA9"/>
    <w:rsid w:val="00E215E8"/>
    <w:rsid w:val="00E24C07"/>
    <w:rsid w:val="00E24FC3"/>
    <w:rsid w:val="00E25DDD"/>
    <w:rsid w:val="00E26CA7"/>
    <w:rsid w:val="00E277A1"/>
    <w:rsid w:val="00E32496"/>
    <w:rsid w:val="00E33A2D"/>
    <w:rsid w:val="00E33E1B"/>
    <w:rsid w:val="00E36237"/>
    <w:rsid w:val="00E3698C"/>
    <w:rsid w:val="00E40CD6"/>
    <w:rsid w:val="00E44030"/>
    <w:rsid w:val="00E44946"/>
    <w:rsid w:val="00E45B3E"/>
    <w:rsid w:val="00E46535"/>
    <w:rsid w:val="00E501E3"/>
    <w:rsid w:val="00E5295D"/>
    <w:rsid w:val="00E5384E"/>
    <w:rsid w:val="00E57D3C"/>
    <w:rsid w:val="00E61ED6"/>
    <w:rsid w:val="00E65970"/>
    <w:rsid w:val="00E679F5"/>
    <w:rsid w:val="00E708D8"/>
    <w:rsid w:val="00E710F7"/>
    <w:rsid w:val="00E72BA6"/>
    <w:rsid w:val="00E73A49"/>
    <w:rsid w:val="00E8036A"/>
    <w:rsid w:val="00E8134F"/>
    <w:rsid w:val="00E81627"/>
    <w:rsid w:val="00E8228F"/>
    <w:rsid w:val="00E8285B"/>
    <w:rsid w:val="00E831FC"/>
    <w:rsid w:val="00E90703"/>
    <w:rsid w:val="00E9190D"/>
    <w:rsid w:val="00E92266"/>
    <w:rsid w:val="00E92BB5"/>
    <w:rsid w:val="00E92EB1"/>
    <w:rsid w:val="00E94E64"/>
    <w:rsid w:val="00E952A0"/>
    <w:rsid w:val="00E9614E"/>
    <w:rsid w:val="00E97190"/>
    <w:rsid w:val="00E9732D"/>
    <w:rsid w:val="00E976AF"/>
    <w:rsid w:val="00EA1465"/>
    <w:rsid w:val="00EA2F9C"/>
    <w:rsid w:val="00EA3474"/>
    <w:rsid w:val="00EA347C"/>
    <w:rsid w:val="00EA37E9"/>
    <w:rsid w:val="00EA4AD0"/>
    <w:rsid w:val="00EA6007"/>
    <w:rsid w:val="00EA6D01"/>
    <w:rsid w:val="00EA748C"/>
    <w:rsid w:val="00EB01C9"/>
    <w:rsid w:val="00EB01E8"/>
    <w:rsid w:val="00EB53AB"/>
    <w:rsid w:val="00EB5C92"/>
    <w:rsid w:val="00EB5DC7"/>
    <w:rsid w:val="00EB6259"/>
    <w:rsid w:val="00EB6CA0"/>
    <w:rsid w:val="00EC13B0"/>
    <w:rsid w:val="00EC30A8"/>
    <w:rsid w:val="00EC4808"/>
    <w:rsid w:val="00EC4FA5"/>
    <w:rsid w:val="00EC5168"/>
    <w:rsid w:val="00EC5F9B"/>
    <w:rsid w:val="00EC5FB8"/>
    <w:rsid w:val="00EC6E2F"/>
    <w:rsid w:val="00EC7822"/>
    <w:rsid w:val="00EC7D16"/>
    <w:rsid w:val="00ED00A0"/>
    <w:rsid w:val="00ED0366"/>
    <w:rsid w:val="00ED2859"/>
    <w:rsid w:val="00ED3D08"/>
    <w:rsid w:val="00ED4B56"/>
    <w:rsid w:val="00ED4CFB"/>
    <w:rsid w:val="00ED4F81"/>
    <w:rsid w:val="00ED5411"/>
    <w:rsid w:val="00ED5975"/>
    <w:rsid w:val="00ED6ACC"/>
    <w:rsid w:val="00EE09A7"/>
    <w:rsid w:val="00EE108C"/>
    <w:rsid w:val="00EE1A1B"/>
    <w:rsid w:val="00EE49B7"/>
    <w:rsid w:val="00EE49CD"/>
    <w:rsid w:val="00EE62B3"/>
    <w:rsid w:val="00EE7852"/>
    <w:rsid w:val="00EF0A02"/>
    <w:rsid w:val="00EF0E3D"/>
    <w:rsid w:val="00EF3485"/>
    <w:rsid w:val="00EF3DE7"/>
    <w:rsid w:val="00EF49E2"/>
    <w:rsid w:val="00EF6D9C"/>
    <w:rsid w:val="00EF72D0"/>
    <w:rsid w:val="00EF7779"/>
    <w:rsid w:val="00F002E6"/>
    <w:rsid w:val="00F00366"/>
    <w:rsid w:val="00F004A3"/>
    <w:rsid w:val="00F016F5"/>
    <w:rsid w:val="00F0286D"/>
    <w:rsid w:val="00F03975"/>
    <w:rsid w:val="00F03B32"/>
    <w:rsid w:val="00F06733"/>
    <w:rsid w:val="00F07420"/>
    <w:rsid w:val="00F10CC1"/>
    <w:rsid w:val="00F11187"/>
    <w:rsid w:val="00F117E4"/>
    <w:rsid w:val="00F1323C"/>
    <w:rsid w:val="00F15D8C"/>
    <w:rsid w:val="00F168FB"/>
    <w:rsid w:val="00F2036E"/>
    <w:rsid w:val="00F20C4A"/>
    <w:rsid w:val="00F2170E"/>
    <w:rsid w:val="00F24F81"/>
    <w:rsid w:val="00F31004"/>
    <w:rsid w:val="00F311C6"/>
    <w:rsid w:val="00F35496"/>
    <w:rsid w:val="00F361C1"/>
    <w:rsid w:val="00F367C2"/>
    <w:rsid w:val="00F37865"/>
    <w:rsid w:val="00F400DB"/>
    <w:rsid w:val="00F40183"/>
    <w:rsid w:val="00F40418"/>
    <w:rsid w:val="00F40958"/>
    <w:rsid w:val="00F40B81"/>
    <w:rsid w:val="00F40E23"/>
    <w:rsid w:val="00F41F48"/>
    <w:rsid w:val="00F42E9F"/>
    <w:rsid w:val="00F433E4"/>
    <w:rsid w:val="00F43AD6"/>
    <w:rsid w:val="00F441A8"/>
    <w:rsid w:val="00F450B8"/>
    <w:rsid w:val="00F4543A"/>
    <w:rsid w:val="00F4615E"/>
    <w:rsid w:val="00F5012F"/>
    <w:rsid w:val="00F509D2"/>
    <w:rsid w:val="00F50E06"/>
    <w:rsid w:val="00F50FBD"/>
    <w:rsid w:val="00F52169"/>
    <w:rsid w:val="00F5250C"/>
    <w:rsid w:val="00F526AC"/>
    <w:rsid w:val="00F52A23"/>
    <w:rsid w:val="00F53681"/>
    <w:rsid w:val="00F53CAD"/>
    <w:rsid w:val="00F649E4"/>
    <w:rsid w:val="00F66819"/>
    <w:rsid w:val="00F70898"/>
    <w:rsid w:val="00F70BAD"/>
    <w:rsid w:val="00F71EA6"/>
    <w:rsid w:val="00F72667"/>
    <w:rsid w:val="00F73395"/>
    <w:rsid w:val="00F74AB5"/>
    <w:rsid w:val="00F750FC"/>
    <w:rsid w:val="00F7520C"/>
    <w:rsid w:val="00F75756"/>
    <w:rsid w:val="00F75787"/>
    <w:rsid w:val="00F75B16"/>
    <w:rsid w:val="00F75D09"/>
    <w:rsid w:val="00F76544"/>
    <w:rsid w:val="00F76FD0"/>
    <w:rsid w:val="00F806AF"/>
    <w:rsid w:val="00F80C68"/>
    <w:rsid w:val="00F8509C"/>
    <w:rsid w:val="00F854B9"/>
    <w:rsid w:val="00F90199"/>
    <w:rsid w:val="00F92D1A"/>
    <w:rsid w:val="00F93455"/>
    <w:rsid w:val="00F93F21"/>
    <w:rsid w:val="00F94B81"/>
    <w:rsid w:val="00F955D1"/>
    <w:rsid w:val="00F9595E"/>
    <w:rsid w:val="00F966B8"/>
    <w:rsid w:val="00F969CA"/>
    <w:rsid w:val="00F97283"/>
    <w:rsid w:val="00F97F7E"/>
    <w:rsid w:val="00FA04D7"/>
    <w:rsid w:val="00FA0BB6"/>
    <w:rsid w:val="00FA13E5"/>
    <w:rsid w:val="00FA192E"/>
    <w:rsid w:val="00FA2383"/>
    <w:rsid w:val="00FA2834"/>
    <w:rsid w:val="00FA3156"/>
    <w:rsid w:val="00FA561E"/>
    <w:rsid w:val="00FA661F"/>
    <w:rsid w:val="00FA69D1"/>
    <w:rsid w:val="00FA76CB"/>
    <w:rsid w:val="00FB0939"/>
    <w:rsid w:val="00FB203E"/>
    <w:rsid w:val="00FB27FA"/>
    <w:rsid w:val="00FB2FCD"/>
    <w:rsid w:val="00FB5A12"/>
    <w:rsid w:val="00FB60FC"/>
    <w:rsid w:val="00FC2733"/>
    <w:rsid w:val="00FC2D5B"/>
    <w:rsid w:val="00FC348B"/>
    <w:rsid w:val="00FC48B3"/>
    <w:rsid w:val="00FC4FD8"/>
    <w:rsid w:val="00FC59ED"/>
    <w:rsid w:val="00FC68D8"/>
    <w:rsid w:val="00FD07CA"/>
    <w:rsid w:val="00FD38BC"/>
    <w:rsid w:val="00FD69F1"/>
    <w:rsid w:val="00FD6BAD"/>
    <w:rsid w:val="00FD6EB5"/>
    <w:rsid w:val="00FD7BC2"/>
    <w:rsid w:val="00FE0246"/>
    <w:rsid w:val="00FE090C"/>
    <w:rsid w:val="00FE0D5C"/>
    <w:rsid w:val="00FE1824"/>
    <w:rsid w:val="00FE1CED"/>
    <w:rsid w:val="00FE30D8"/>
    <w:rsid w:val="00FE4351"/>
    <w:rsid w:val="00FE538E"/>
    <w:rsid w:val="00FE5D9F"/>
    <w:rsid w:val="00FE6484"/>
    <w:rsid w:val="00FE74E3"/>
    <w:rsid w:val="00FE76B8"/>
    <w:rsid w:val="00FF1A5D"/>
    <w:rsid w:val="00FF1CDF"/>
    <w:rsid w:val="00FF1DC9"/>
    <w:rsid w:val="00FF5D2E"/>
    <w:rsid w:val="00FF67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87"/>
    <w:pPr>
      <w:jc w:val="both"/>
    </w:pPr>
    <w:rPr>
      <w:sz w:val="24"/>
      <w:szCs w:val="24"/>
    </w:rPr>
  </w:style>
  <w:style w:type="paragraph" w:styleId="Heading1">
    <w:name w:val="heading 1"/>
    <w:basedOn w:val="Heading2"/>
    <w:next w:val="Normal"/>
    <w:qFormat/>
    <w:rsid w:val="003965CB"/>
    <w:pPr>
      <w:outlineLvl w:val="0"/>
    </w:pPr>
    <w:rPr>
      <w:caps/>
      <w:szCs w:val="28"/>
    </w:rPr>
  </w:style>
  <w:style w:type="paragraph" w:styleId="Heading2">
    <w:name w:val="heading 2"/>
    <w:basedOn w:val="Normal"/>
    <w:next w:val="Normal"/>
    <w:qFormat/>
    <w:rsid w:val="00F75787"/>
    <w:pPr>
      <w:keepNext/>
      <w:spacing w:line="480" w:lineRule="auto"/>
      <w:outlineLvl w:val="1"/>
    </w:pPr>
    <w:rPr>
      <w:b/>
      <w:bCs/>
      <w:iCs/>
    </w:rPr>
  </w:style>
  <w:style w:type="paragraph" w:styleId="Heading3">
    <w:name w:val="heading 3"/>
    <w:basedOn w:val="Heading2"/>
    <w:next w:val="Normal"/>
    <w:qFormat/>
    <w:rsid w:val="00F75787"/>
    <w:pPr>
      <w:outlineLvl w:val="2"/>
    </w:pPr>
    <w:rPr>
      <w:b w:val="0"/>
      <w:u w:val="single"/>
    </w:rPr>
  </w:style>
  <w:style w:type="paragraph" w:styleId="Heading6">
    <w:name w:val="heading 6"/>
    <w:basedOn w:val="Normal"/>
    <w:next w:val="Normal"/>
    <w:qFormat/>
    <w:rsid w:val="00F7578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706D42"/>
  </w:style>
  <w:style w:type="paragraph" w:customStyle="1" w:styleId="Question">
    <w:name w:val="Question"/>
    <w:basedOn w:val="Normal"/>
    <w:link w:val="QuestionChar"/>
    <w:rsid w:val="00F75787"/>
    <w:pPr>
      <w:spacing w:line="480" w:lineRule="auto"/>
      <w:ind w:left="720" w:hanging="720"/>
    </w:pPr>
    <w:rPr>
      <w:b/>
      <w:bCs/>
      <w:szCs w:val="20"/>
    </w:rPr>
  </w:style>
  <w:style w:type="character" w:customStyle="1" w:styleId="QuestionChar">
    <w:name w:val="Question Char"/>
    <w:basedOn w:val="DefaultParagraphFont"/>
    <w:link w:val="Question"/>
    <w:uiPriority w:val="99"/>
    <w:rsid w:val="00D91DDF"/>
    <w:rPr>
      <w:b/>
      <w:bCs/>
      <w:sz w:val="24"/>
      <w:lang w:val="en-US" w:eastAsia="en-US" w:bidi="ar-SA"/>
    </w:rPr>
  </w:style>
  <w:style w:type="paragraph" w:customStyle="1" w:styleId="Answer">
    <w:name w:val="Answer"/>
    <w:basedOn w:val="Normal"/>
    <w:link w:val="AnswerChar1"/>
    <w:qFormat/>
    <w:rsid w:val="00F75787"/>
    <w:pPr>
      <w:spacing w:line="480" w:lineRule="auto"/>
      <w:ind w:left="720" w:hanging="720"/>
    </w:pPr>
    <w:rPr>
      <w:szCs w:val="20"/>
    </w:rPr>
  </w:style>
  <w:style w:type="character" w:customStyle="1" w:styleId="AnswerChar1">
    <w:name w:val="Answer Char1"/>
    <w:basedOn w:val="DefaultParagraphFont"/>
    <w:link w:val="Answer"/>
    <w:rsid w:val="00841928"/>
    <w:rPr>
      <w:sz w:val="24"/>
      <w:lang w:val="en-US" w:eastAsia="en-US" w:bidi="ar-SA"/>
    </w:rPr>
  </w:style>
  <w:style w:type="character" w:styleId="PageNumber">
    <w:name w:val="page number"/>
    <w:basedOn w:val="DefaultParagraphFont"/>
    <w:rsid w:val="00802508"/>
  </w:style>
  <w:style w:type="paragraph" w:customStyle="1" w:styleId="Bullet">
    <w:name w:val="Bullet"/>
    <w:basedOn w:val="Answer"/>
    <w:uiPriority w:val="99"/>
    <w:rsid w:val="00770000"/>
    <w:pPr>
      <w:tabs>
        <w:tab w:val="num" w:pos="2160"/>
      </w:tabs>
      <w:ind w:left="2160" w:hanging="360"/>
    </w:pPr>
  </w:style>
  <w:style w:type="character" w:styleId="CommentReference">
    <w:name w:val="annotation reference"/>
    <w:basedOn w:val="DefaultParagraphFont"/>
    <w:uiPriority w:val="99"/>
    <w:semiHidden/>
    <w:rsid w:val="00F75787"/>
    <w:rPr>
      <w:sz w:val="16"/>
      <w:szCs w:val="16"/>
    </w:rPr>
  </w:style>
  <w:style w:type="paragraph" w:styleId="CommentText">
    <w:name w:val="annotation text"/>
    <w:basedOn w:val="Normal"/>
    <w:link w:val="CommentTextChar"/>
    <w:uiPriority w:val="99"/>
    <w:semiHidden/>
    <w:rsid w:val="00F75787"/>
    <w:rPr>
      <w:sz w:val="20"/>
      <w:szCs w:val="20"/>
    </w:rPr>
  </w:style>
  <w:style w:type="paragraph" w:styleId="CommentSubject">
    <w:name w:val="annotation subject"/>
    <w:basedOn w:val="CommentText"/>
    <w:next w:val="CommentText"/>
    <w:semiHidden/>
    <w:rsid w:val="00F75787"/>
    <w:rPr>
      <w:b/>
      <w:bCs/>
    </w:rPr>
  </w:style>
  <w:style w:type="paragraph" w:styleId="Header">
    <w:name w:val="header"/>
    <w:basedOn w:val="Normal"/>
    <w:rsid w:val="00F75787"/>
    <w:pPr>
      <w:tabs>
        <w:tab w:val="center" w:pos="4320"/>
        <w:tab w:val="right" w:pos="8640"/>
      </w:tabs>
    </w:pPr>
  </w:style>
  <w:style w:type="paragraph" w:styleId="Footer">
    <w:name w:val="footer"/>
    <w:basedOn w:val="Normal"/>
    <w:link w:val="FooterChar"/>
    <w:rsid w:val="00F75787"/>
    <w:pPr>
      <w:tabs>
        <w:tab w:val="center" w:pos="4320"/>
        <w:tab w:val="right" w:pos="8640"/>
      </w:tabs>
    </w:pPr>
  </w:style>
  <w:style w:type="paragraph" w:styleId="BalloonText">
    <w:name w:val="Balloon Text"/>
    <w:basedOn w:val="Normal"/>
    <w:semiHidden/>
    <w:rsid w:val="00217819"/>
    <w:rPr>
      <w:rFonts w:ascii="Tahoma" w:hAnsi="Tahoma" w:cs="Tahoma"/>
      <w:sz w:val="16"/>
      <w:szCs w:val="16"/>
    </w:rPr>
  </w:style>
  <w:style w:type="paragraph" w:styleId="Quote">
    <w:name w:val="Quote"/>
    <w:basedOn w:val="Normal"/>
    <w:qFormat/>
    <w:rsid w:val="00EF0A02"/>
    <w:pPr>
      <w:spacing w:after="240"/>
      <w:ind w:left="1440"/>
    </w:pPr>
  </w:style>
  <w:style w:type="paragraph" w:customStyle="1" w:styleId="answer0">
    <w:name w:val="answer"/>
    <w:basedOn w:val="Normal"/>
    <w:link w:val="answerChar"/>
    <w:rsid w:val="003B49E3"/>
    <w:pPr>
      <w:spacing w:before="100" w:beforeAutospacing="1" w:after="100" w:afterAutospacing="1"/>
      <w:jc w:val="left"/>
    </w:pPr>
  </w:style>
  <w:style w:type="character" w:customStyle="1" w:styleId="answerChar">
    <w:name w:val="answer Char"/>
    <w:basedOn w:val="DefaultParagraphFont"/>
    <w:link w:val="answer0"/>
    <w:rsid w:val="003C203D"/>
    <w:rPr>
      <w:sz w:val="24"/>
      <w:szCs w:val="24"/>
      <w:lang w:val="en-US" w:eastAsia="en-US" w:bidi="ar-SA"/>
    </w:rPr>
  </w:style>
  <w:style w:type="paragraph" w:customStyle="1" w:styleId="CharChar">
    <w:name w:val="Char Char"/>
    <w:basedOn w:val="Normal"/>
    <w:rsid w:val="00001380"/>
    <w:pPr>
      <w:spacing w:after="160" w:line="240" w:lineRule="exact"/>
      <w:jc w:val="left"/>
    </w:pPr>
    <w:rPr>
      <w:rFonts w:ascii="Verdana" w:hAnsi="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uiPriority w:val="99"/>
    <w:semiHidden/>
    <w:rsid w:val="004A698D"/>
    <w:rPr>
      <w:sz w:val="20"/>
      <w:szCs w:val="20"/>
    </w:rPr>
  </w:style>
  <w:style w:type="character" w:styleId="FootnoteReference">
    <w:name w:val="footnote reference"/>
    <w:basedOn w:val="DefaultParagraphFont"/>
    <w:uiPriority w:val="99"/>
    <w:rsid w:val="004A698D"/>
    <w:rPr>
      <w:vertAlign w:val="superscript"/>
    </w:rPr>
  </w:style>
  <w:style w:type="character" w:customStyle="1" w:styleId="AnswerChar0">
    <w:name w:val="Answer Char"/>
    <w:basedOn w:val="DefaultParagraphFont"/>
    <w:rsid w:val="00712D5E"/>
    <w:rPr>
      <w:sz w:val="24"/>
      <w:lang w:val="en-US" w:eastAsia="en-US" w:bidi="ar-SA"/>
    </w:rPr>
  </w:style>
  <w:style w:type="paragraph" w:customStyle="1" w:styleId="Commitmenttable">
    <w:name w:val="Commitment table"/>
    <w:basedOn w:val="Normal"/>
    <w:rsid w:val="00D14E95"/>
    <w:pPr>
      <w:spacing w:before="60" w:after="60"/>
    </w:pPr>
    <w:rPr>
      <w:sz w:val="20"/>
      <w:szCs w:val="20"/>
    </w:rPr>
  </w:style>
  <w:style w:type="paragraph" w:customStyle="1" w:styleId="CommitmenttableIndent">
    <w:name w:val="Commitment table Indent"/>
    <w:basedOn w:val="Normal"/>
    <w:rsid w:val="00D14E95"/>
    <w:pPr>
      <w:spacing w:before="60" w:after="60"/>
      <w:ind w:left="720"/>
    </w:pPr>
    <w:rPr>
      <w:sz w:val="20"/>
      <w:szCs w:val="20"/>
    </w:rPr>
  </w:style>
  <w:style w:type="table" w:styleId="TableGrid">
    <w:name w:val="Table Grid"/>
    <w:basedOn w:val="TableNormal"/>
    <w:rsid w:val="00B0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70176F"/>
    <w:pPr>
      <w:spacing w:after="160" w:line="240" w:lineRule="exact"/>
      <w:jc w:val="left"/>
    </w:pPr>
    <w:rPr>
      <w:rFonts w:ascii="Verdana" w:hAnsi="Verdana"/>
      <w:sz w:val="20"/>
      <w:szCs w:val="20"/>
    </w:rPr>
  </w:style>
  <w:style w:type="paragraph" w:styleId="BodyText">
    <w:name w:val="Body Text"/>
    <w:basedOn w:val="Normal"/>
    <w:link w:val="BodyTextChar"/>
    <w:rsid w:val="00AF506C"/>
    <w:pPr>
      <w:spacing w:line="480" w:lineRule="auto"/>
      <w:ind w:firstLine="720"/>
      <w:jc w:val="left"/>
    </w:pPr>
    <w:rPr>
      <w:szCs w:val="20"/>
    </w:rPr>
  </w:style>
  <w:style w:type="paragraph" w:customStyle="1" w:styleId="CharChar2">
    <w:name w:val="Char Char2"/>
    <w:basedOn w:val="Normal"/>
    <w:rsid w:val="005246B9"/>
    <w:pPr>
      <w:spacing w:after="160" w:line="240" w:lineRule="exact"/>
      <w:jc w:val="left"/>
    </w:pPr>
    <w:rPr>
      <w:rFonts w:ascii="Verdana" w:hAnsi="Verdana"/>
      <w:sz w:val="20"/>
      <w:szCs w:val="20"/>
    </w:rPr>
  </w:style>
  <w:style w:type="paragraph" w:styleId="NormalWeb">
    <w:name w:val="Normal (Web)"/>
    <w:basedOn w:val="Normal"/>
    <w:unhideWhenUsed/>
    <w:rsid w:val="000F44A0"/>
    <w:pPr>
      <w:spacing w:before="100" w:beforeAutospacing="1" w:after="100" w:afterAutospacing="1"/>
      <w:jc w:val="left"/>
    </w:pPr>
  </w:style>
  <w:style w:type="paragraph" w:styleId="BodyTextIndent">
    <w:name w:val="Body Text Indent"/>
    <w:basedOn w:val="Normal"/>
    <w:link w:val="BodyTextIndentChar"/>
    <w:uiPriority w:val="99"/>
    <w:semiHidden/>
    <w:unhideWhenUsed/>
    <w:rsid w:val="0014281F"/>
    <w:pPr>
      <w:spacing w:after="120"/>
      <w:ind w:left="360"/>
    </w:pPr>
  </w:style>
  <w:style w:type="character" w:customStyle="1" w:styleId="BodyTextIndentChar">
    <w:name w:val="Body Text Indent Char"/>
    <w:basedOn w:val="DefaultParagraphFont"/>
    <w:link w:val="BodyTextIndent"/>
    <w:uiPriority w:val="99"/>
    <w:semiHidden/>
    <w:rsid w:val="0014281F"/>
    <w:rPr>
      <w:sz w:val="24"/>
      <w:szCs w:val="24"/>
    </w:rPr>
  </w:style>
  <w:style w:type="paragraph" w:styleId="BodyTextIndent2">
    <w:name w:val="Body Text Indent 2"/>
    <w:basedOn w:val="Normal"/>
    <w:link w:val="BodyTextIndent2Char"/>
    <w:uiPriority w:val="99"/>
    <w:unhideWhenUsed/>
    <w:rsid w:val="00967BCF"/>
    <w:pPr>
      <w:spacing w:after="120" w:line="480" w:lineRule="auto"/>
      <w:ind w:left="360"/>
    </w:pPr>
  </w:style>
  <w:style w:type="character" w:customStyle="1" w:styleId="BodyTextIndent2Char">
    <w:name w:val="Body Text Indent 2 Char"/>
    <w:basedOn w:val="DefaultParagraphFont"/>
    <w:link w:val="BodyTextIndent2"/>
    <w:uiPriority w:val="99"/>
    <w:rsid w:val="00967BCF"/>
    <w:rPr>
      <w:sz w:val="24"/>
      <w:szCs w:val="24"/>
    </w:rPr>
  </w:style>
  <w:style w:type="character" w:customStyle="1" w:styleId="QuestionChar1">
    <w:name w:val="Question Char1"/>
    <w:basedOn w:val="DefaultParagraphFont"/>
    <w:rsid w:val="00967BCF"/>
    <w:rPr>
      <w:b/>
      <w:bCs/>
      <w:sz w:val="24"/>
      <w:szCs w:val="24"/>
      <w:lang w:val="en-US" w:eastAsia="en-US" w:bidi="ar-SA"/>
    </w:rPr>
  </w:style>
  <w:style w:type="paragraph" w:customStyle="1" w:styleId="AutoNumBodyCharCharCharChar">
    <w:name w:val="AutoNum Body Char Char Char Char"/>
    <w:basedOn w:val="Normal"/>
    <w:link w:val="AutoNumBodyCharCharCharCharChar"/>
    <w:autoRedefine/>
    <w:qFormat/>
    <w:rsid w:val="00BB1C29"/>
    <w:pPr>
      <w:widowControl w:val="0"/>
      <w:ind w:left="1440"/>
      <w:jc w:val="left"/>
    </w:pPr>
    <w:rPr>
      <w:color w:val="000000"/>
    </w:rPr>
  </w:style>
  <w:style w:type="character" w:customStyle="1" w:styleId="AutoNumBodyCharCharCharCharChar">
    <w:name w:val="AutoNum Body Char Char Char Char Char"/>
    <w:basedOn w:val="DefaultParagraphFont"/>
    <w:link w:val="AutoNumBodyCharCharCharChar"/>
    <w:rsid w:val="00BB1C29"/>
    <w:rPr>
      <w:color w:val="000000"/>
      <w:sz w:val="24"/>
      <w:szCs w:val="24"/>
    </w:rPr>
  </w:style>
  <w:style w:type="character" w:customStyle="1" w:styleId="FooterChar">
    <w:name w:val="Footer Char"/>
    <w:basedOn w:val="DefaultParagraphFont"/>
    <w:link w:val="Footer"/>
    <w:rsid w:val="00DD5473"/>
    <w:rPr>
      <w:sz w:val="24"/>
      <w:szCs w:val="24"/>
    </w:rPr>
  </w:style>
  <w:style w:type="character" w:customStyle="1" w:styleId="CommentTextChar">
    <w:name w:val="Comment Text Char"/>
    <w:basedOn w:val="DefaultParagraphFont"/>
    <w:link w:val="CommentText"/>
    <w:uiPriority w:val="99"/>
    <w:semiHidden/>
    <w:rsid w:val="009E1B1C"/>
  </w:style>
  <w:style w:type="paragraph" w:customStyle="1" w:styleId="normalhanging">
    <w:name w:val="normal hanging"/>
    <w:basedOn w:val="Normal"/>
    <w:rsid w:val="003A4D4E"/>
    <w:pPr>
      <w:spacing w:line="480" w:lineRule="atLeast"/>
      <w:ind w:left="720" w:hanging="720"/>
      <w:jc w:val="left"/>
    </w:pPr>
    <w:rPr>
      <w:szCs w:val="20"/>
    </w:rPr>
  </w:style>
  <w:style w:type="paragraph" w:styleId="ListParagraph">
    <w:name w:val="List Paragraph"/>
    <w:basedOn w:val="Normal"/>
    <w:uiPriority w:val="34"/>
    <w:qFormat/>
    <w:rsid w:val="003A4D4E"/>
    <w:pPr>
      <w:spacing w:after="200" w:line="276" w:lineRule="auto"/>
      <w:ind w:left="720"/>
      <w:contextualSpacing/>
      <w:jc w:val="left"/>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rsid w:val="00C264D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87"/>
    <w:pPr>
      <w:jc w:val="both"/>
    </w:pPr>
    <w:rPr>
      <w:sz w:val="24"/>
      <w:szCs w:val="24"/>
    </w:rPr>
  </w:style>
  <w:style w:type="paragraph" w:styleId="Heading1">
    <w:name w:val="heading 1"/>
    <w:basedOn w:val="Heading2"/>
    <w:next w:val="Normal"/>
    <w:qFormat/>
    <w:rsid w:val="003965CB"/>
    <w:pPr>
      <w:outlineLvl w:val="0"/>
    </w:pPr>
    <w:rPr>
      <w:caps/>
      <w:szCs w:val="28"/>
    </w:rPr>
  </w:style>
  <w:style w:type="paragraph" w:styleId="Heading2">
    <w:name w:val="heading 2"/>
    <w:basedOn w:val="Normal"/>
    <w:next w:val="Normal"/>
    <w:qFormat/>
    <w:rsid w:val="00F75787"/>
    <w:pPr>
      <w:keepNext/>
      <w:spacing w:line="480" w:lineRule="auto"/>
      <w:outlineLvl w:val="1"/>
    </w:pPr>
    <w:rPr>
      <w:b/>
      <w:bCs/>
      <w:iCs/>
    </w:rPr>
  </w:style>
  <w:style w:type="paragraph" w:styleId="Heading3">
    <w:name w:val="heading 3"/>
    <w:basedOn w:val="Heading2"/>
    <w:next w:val="Normal"/>
    <w:qFormat/>
    <w:rsid w:val="00F75787"/>
    <w:pPr>
      <w:outlineLvl w:val="2"/>
    </w:pPr>
    <w:rPr>
      <w:b w:val="0"/>
      <w:u w:val="single"/>
    </w:rPr>
  </w:style>
  <w:style w:type="paragraph" w:styleId="Heading6">
    <w:name w:val="heading 6"/>
    <w:basedOn w:val="Normal"/>
    <w:next w:val="Normal"/>
    <w:qFormat/>
    <w:rsid w:val="00F7578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706D42"/>
  </w:style>
  <w:style w:type="paragraph" w:customStyle="1" w:styleId="Question">
    <w:name w:val="Question"/>
    <w:basedOn w:val="Normal"/>
    <w:link w:val="QuestionChar"/>
    <w:rsid w:val="00F75787"/>
    <w:pPr>
      <w:spacing w:line="480" w:lineRule="auto"/>
      <w:ind w:left="720" w:hanging="720"/>
    </w:pPr>
    <w:rPr>
      <w:b/>
      <w:bCs/>
      <w:szCs w:val="20"/>
    </w:rPr>
  </w:style>
  <w:style w:type="character" w:customStyle="1" w:styleId="QuestionChar">
    <w:name w:val="Question Char"/>
    <w:basedOn w:val="DefaultParagraphFont"/>
    <w:link w:val="Question"/>
    <w:uiPriority w:val="99"/>
    <w:rsid w:val="00D91DDF"/>
    <w:rPr>
      <w:b/>
      <w:bCs/>
      <w:sz w:val="24"/>
      <w:lang w:val="en-US" w:eastAsia="en-US" w:bidi="ar-SA"/>
    </w:rPr>
  </w:style>
  <w:style w:type="paragraph" w:customStyle="1" w:styleId="Answer">
    <w:name w:val="Answer"/>
    <w:basedOn w:val="Normal"/>
    <w:link w:val="AnswerChar1"/>
    <w:qFormat/>
    <w:rsid w:val="00F75787"/>
    <w:pPr>
      <w:spacing w:line="480" w:lineRule="auto"/>
      <w:ind w:left="720" w:hanging="720"/>
    </w:pPr>
    <w:rPr>
      <w:szCs w:val="20"/>
    </w:rPr>
  </w:style>
  <w:style w:type="character" w:customStyle="1" w:styleId="AnswerChar1">
    <w:name w:val="Answer Char1"/>
    <w:basedOn w:val="DefaultParagraphFont"/>
    <w:link w:val="Answer"/>
    <w:rsid w:val="00841928"/>
    <w:rPr>
      <w:sz w:val="24"/>
      <w:lang w:val="en-US" w:eastAsia="en-US" w:bidi="ar-SA"/>
    </w:rPr>
  </w:style>
  <w:style w:type="character" w:styleId="PageNumber">
    <w:name w:val="page number"/>
    <w:basedOn w:val="DefaultParagraphFont"/>
    <w:rsid w:val="00802508"/>
  </w:style>
  <w:style w:type="paragraph" w:customStyle="1" w:styleId="Bullet">
    <w:name w:val="Bullet"/>
    <w:basedOn w:val="Answer"/>
    <w:uiPriority w:val="99"/>
    <w:rsid w:val="00770000"/>
    <w:pPr>
      <w:tabs>
        <w:tab w:val="num" w:pos="2160"/>
      </w:tabs>
      <w:ind w:left="2160" w:hanging="360"/>
    </w:pPr>
  </w:style>
  <w:style w:type="character" w:styleId="CommentReference">
    <w:name w:val="annotation reference"/>
    <w:basedOn w:val="DefaultParagraphFont"/>
    <w:uiPriority w:val="99"/>
    <w:semiHidden/>
    <w:rsid w:val="00F75787"/>
    <w:rPr>
      <w:sz w:val="16"/>
      <w:szCs w:val="16"/>
    </w:rPr>
  </w:style>
  <w:style w:type="paragraph" w:styleId="CommentText">
    <w:name w:val="annotation text"/>
    <w:basedOn w:val="Normal"/>
    <w:link w:val="CommentTextChar"/>
    <w:uiPriority w:val="99"/>
    <w:semiHidden/>
    <w:rsid w:val="00F75787"/>
    <w:rPr>
      <w:sz w:val="20"/>
      <w:szCs w:val="20"/>
    </w:rPr>
  </w:style>
  <w:style w:type="paragraph" w:styleId="CommentSubject">
    <w:name w:val="annotation subject"/>
    <w:basedOn w:val="CommentText"/>
    <w:next w:val="CommentText"/>
    <w:semiHidden/>
    <w:rsid w:val="00F75787"/>
    <w:rPr>
      <w:b/>
      <w:bCs/>
    </w:rPr>
  </w:style>
  <w:style w:type="paragraph" w:styleId="Header">
    <w:name w:val="header"/>
    <w:basedOn w:val="Normal"/>
    <w:rsid w:val="00F75787"/>
    <w:pPr>
      <w:tabs>
        <w:tab w:val="center" w:pos="4320"/>
        <w:tab w:val="right" w:pos="8640"/>
      </w:tabs>
    </w:pPr>
  </w:style>
  <w:style w:type="paragraph" w:styleId="Footer">
    <w:name w:val="footer"/>
    <w:basedOn w:val="Normal"/>
    <w:link w:val="FooterChar"/>
    <w:rsid w:val="00F75787"/>
    <w:pPr>
      <w:tabs>
        <w:tab w:val="center" w:pos="4320"/>
        <w:tab w:val="right" w:pos="8640"/>
      </w:tabs>
    </w:pPr>
  </w:style>
  <w:style w:type="paragraph" w:styleId="BalloonText">
    <w:name w:val="Balloon Text"/>
    <w:basedOn w:val="Normal"/>
    <w:semiHidden/>
    <w:rsid w:val="00217819"/>
    <w:rPr>
      <w:rFonts w:ascii="Tahoma" w:hAnsi="Tahoma" w:cs="Tahoma"/>
      <w:sz w:val="16"/>
      <w:szCs w:val="16"/>
    </w:rPr>
  </w:style>
  <w:style w:type="paragraph" w:styleId="Quote">
    <w:name w:val="Quote"/>
    <w:basedOn w:val="Normal"/>
    <w:qFormat/>
    <w:rsid w:val="00EF0A02"/>
    <w:pPr>
      <w:spacing w:after="240"/>
      <w:ind w:left="1440"/>
    </w:pPr>
  </w:style>
  <w:style w:type="paragraph" w:customStyle="1" w:styleId="answer0">
    <w:name w:val="answer"/>
    <w:basedOn w:val="Normal"/>
    <w:link w:val="answerChar"/>
    <w:rsid w:val="003B49E3"/>
    <w:pPr>
      <w:spacing w:before="100" w:beforeAutospacing="1" w:after="100" w:afterAutospacing="1"/>
      <w:jc w:val="left"/>
    </w:pPr>
  </w:style>
  <w:style w:type="character" w:customStyle="1" w:styleId="answerChar">
    <w:name w:val="answer Char"/>
    <w:basedOn w:val="DefaultParagraphFont"/>
    <w:link w:val="answer0"/>
    <w:rsid w:val="003C203D"/>
    <w:rPr>
      <w:sz w:val="24"/>
      <w:szCs w:val="24"/>
      <w:lang w:val="en-US" w:eastAsia="en-US" w:bidi="ar-SA"/>
    </w:rPr>
  </w:style>
  <w:style w:type="paragraph" w:customStyle="1" w:styleId="CharChar">
    <w:name w:val="Char Char"/>
    <w:basedOn w:val="Normal"/>
    <w:rsid w:val="00001380"/>
    <w:pPr>
      <w:spacing w:after="160" w:line="240" w:lineRule="exact"/>
      <w:jc w:val="left"/>
    </w:pPr>
    <w:rPr>
      <w:rFonts w:ascii="Verdana" w:hAnsi="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uiPriority w:val="99"/>
    <w:semiHidden/>
    <w:rsid w:val="004A698D"/>
    <w:rPr>
      <w:sz w:val="20"/>
      <w:szCs w:val="20"/>
    </w:rPr>
  </w:style>
  <w:style w:type="character" w:styleId="FootnoteReference">
    <w:name w:val="footnote reference"/>
    <w:basedOn w:val="DefaultParagraphFont"/>
    <w:uiPriority w:val="99"/>
    <w:rsid w:val="004A698D"/>
    <w:rPr>
      <w:vertAlign w:val="superscript"/>
    </w:rPr>
  </w:style>
  <w:style w:type="character" w:customStyle="1" w:styleId="AnswerChar0">
    <w:name w:val="Answer Char"/>
    <w:basedOn w:val="DefaultParagraphFont"/>
    <w:rsid w:val="00712D5E"/>
    <w:rPr>
      <w:sz w:val="24"/>
      <w:lang w:val="en-US" w:eastAsia="en-US" w:bidi="ar-SA"/>
    </w:rPr>
  </w:style>
  <w:style w:type="paragraph" w:customStyle="1" w:styleId="Commitmenttable">
    <w:name w:val="Commitment table"/>
    <w:basedOn w:val="Normal"/>
    <w:rsid w:val="00D14E95"/>
    <w:pPr>
      <w:spacing w:before="60" w:after="60"/>
    </w:pPr>
    <w:rPr>
      <w:sz w:val="20"/>
      <w:szCs w:val="20"/>
    </w:rPr>
  </w:style>
  <w:style w:type="paragraph" w:customStyle="1" w:styleId="CommitmenttableIndent">
    <w:name w:val="Commitment table Indent"/>
    <w:basedOn w:val="Normal"/>
    <w:rsid w:val="00D14E95"/>
    <w:pPr>
      <w:spacing w:before="60" w:after="60"/>
      <w:ind w:left="720"/>
    </w:pPr>
    <w:rPr>
      <w:sz w:val="20"/>
      <w:szCs w:val="20"/>
    </w:rPr>
  </w:style>
  <w:style w:type="table" w:styleId="TableGrid">
    <w:name w:val="Table Grid"/>
    <w:basedOn w:val="TableNormal"/>
    <w:rsid w:val="00B0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70176F"/>
    <w:pPr>
      <w:spacing w:after="160" w:line="240" w:lineRule="exact"/>
      <w:jc w:val="left"/>
    </w:pPr>
    <w:rPr>
      <w:rFonts w:ascii="Verdana" w:hAnsi="Verdana"/>
      <w:sz w:val="20"/>
      <w:szCs w:val="20"/>
    </w:rPr>
  </w:style>
  <w:style w:type="paragraph" w:styleId="BodyText">
    <w:name w:val="Body Text"/>
    <w:basedOn w:val="Normal"/>
    <w:link w:val="BodyTextChar"/>
    <w:rsid w:val="00AF506C"/>
    <w:pPr>
      <w:spacing w:line="480" w:lineRule="auto"/>
      <w:ind w:firstLine="720"/>
      <w:jc w:val="left"/>
    </w:pPr>
    <w:rPr>
      <w:szCs w:val="20"/>
    </w:rPr>
  </w:style>
  <w:style w:type="paragraph" w:customStyle="1" w:styleId="CharChar2">
    <w:name w:val="Char Char2"/>
    <w:basedOn w:val="Normal"/>
    <w:rsid w:val="005246B9"/>
    <w:pPr>
      <w:spacing w:after="160" w:line="240" w:lineRule="exact"/>
      <w:jc w:val="left"/>
    </w:pPr>
    <w:rPr>
      <w:rFonts w:ascii="Verdana" w:hAnsi="Verdana"/>
      <w:sz w:val="20"/>
      <w:szCs w:val="20"/>
    </w:rPr>
  </w:style>
  <w:style w:type="paragraph" w:styleId="NormalWeb">
    <w:name w:val="Normal (Web)"/>
    <w:basedOn w:val="Normal"/>
    <w:unhideWhenUsed/>
    <w:rsid w:val="000F44A0"/>
    <w:pPr>
      <w:spacing w:before="100" w:beforeAutospacing="1" w:after="100" w:afterAutospacing="1"/>
      <w:jc w:val="left"/>
    </w:pPr>
  </w:style>
  <w:style w:type="paragraph" w:styleId="BodyTextIndent">
    <w:name w:val="Body Text Indent"/>
    <w:basedOn w:val="Normal"/>
    <w:link w:val="BodyTextIndentChar"/>
    <w:uiPriority w:val="99"/>
    <w:semiHidden/>
    <w:unhideWhenUsed/>
    <w:rsid w:val="0014281F"/>
    <w:pPr>
      <w:spacing w:after="120"/>
      <w:ind w:left="360"/>
    </w:pPr>
  </w:style>
  <w:style w:type="character" w:customStyle="1" w:styleId="BodyTextIndentChar">
    <w:name w:val="Body Text Indent Char"/>
    <w:basedOn w:val="DefaultParagraphFont"/>
    <w:link w:val="BodyTextIndent"/>
    <w:uiPriority w:val="99"/>
    <w:semiHidden/>
    <w:rsid w:val="0014281F"/>
    <w:rPr>
      <w:sz w:val="24"/>
      <w:szCs w:val="24"/>
    </w:rPr>
  </w:style>
  <w:style w:type="paragraph" w:styleId="BodyTextIndent2">
    <w:name w:val="Body Text Indent 2"/>
    <w:basedOn w:val="Normal"/>
    <w:link w:val="BodyTextIndent2Char"/>
    <w:uiPriority w:val="99"/>
    <w:unhideWhenUsed/>
    <w:rsid w:val="00967BCF"/>
    <w:pPr>
      <w:spacing w:after="120" w:line="480" w:lineRule="auto"/>
      <w:ind w:left="360"/>
    </w:pPr>
  </w:style>
  <w:style w:type="character" w:customStyle="1" w:styleId="BodyTextIndent2Char">
    <w:name w:val="Body Text Indent 2 Char"/>
    <w:basedOn w:val="DefaultParagraphFont"/>
    <w:link w:val="BodyTextIndent2"/>
    <w:uiPriority w:val="99"/>
    <w:rsid w:val="00967BCF"/>
    <w:rPr>
      <w:sz w:val="24"/>
      <w:szCs w:val="24"/>
    </w:rPr>
  </w:style>
  <w:style w:type="character" w:customStyle="1" w:styleId="QuestionChar1">
    <w:name w:val="Question Char1"/>
    <w:basedOn w:val="DefaultParagraphFont"/>
    <w:rsid w:val="00967BCF"/>
    <w:rPr>
      <w:b/>
      <w:bCs/>
      <w:sz w:val="24"/>
      <w:szCs w:val="24"/>
      <w:lang w:val="en-US" w:eastAsia="en-US" w:bidi="ar-SA"/>
    </w:rPr>
  </w:style>
  <w:style w:type="paragraph" w:customStyle="1" w:styleId="AutoNumBodyCharCharCharChar">
    <w:name w:val="AutoNum Body Char Char Char Char"/>
    <w:basedOn w:val="Normal"/>
    <w:link w:val="AutoNumBodyCharCharCharCharChar"/>
    <w:autoRedefine/>
    <w:qFormat/>
    <w:rsid w:val="00BB1C29"/>
    <w:pPr>
      <w:widowControl w:val="0"/>
      <w:ind w:left="1440"/>
      <w:jc w:val="left"/>
    </w:pPr>
    <w:rPr>
      <w:color w:val="000000"/>
    </w:rPr>
  </w:style>
  <w:style w:type="character" w:customStyle="1" w:styleId="AutoNumBodyCharCharCharCharChar">
    <w:name w:val="AutoNum Body Char Char Char Char Char"/>
    <w:basedOn w:val="DefaultParagraphFont"/>
    <w:link w:val="AutoNumBodyCharCharCharChar"/>
    <w:rsid w:val="00BB1C29"/>
    <w:rPr>
      <w:color w:val="000000"/>
      <w:sz w:val="24"/>
      <w:szCs w:val="24"/>
    </w:rPr>
  </w:style>
  <w:style w:type="character" w:customStyle="1" w:styleId="FooterChar">
    <w:name w:val="Footer Char"/>
    <w:basedOn w:val="DefaultParagraphFont"/>
    <w:link w:val="Footer"/>
    <w:rsid w:val="00DD5473"/>
    <w:rPr>
      <w:sz w:val="24"/>
      <w:szCs w:val="24"/>
    </w:rPr>
  </w:style>
  <w:style w:type="character" w:customStyle="1" w:styleId="CommentTextChar">
    <w:name w:val="Comment Text Char"/>
    <w:basedOn w:val="DefaultParagraphFont"/>
    <w:link w:val="CommentText"/>
    <w:uiPriority w:val="99"/>
    <w:semiHidden/>
    <w:rsid w:val="009E1B1C"/>
  </w:style>
  <w:style w:type="paragraph" w:customStyle="1" w:styleId="normalhanging">
    <w:name w:val="normal hanging"/>
    <w:basedOn w:val="Normal"/>
    <w:rsid w:val="003A4D4E"/>
    <w:pPr>
      <w:spacing w:line="480" w:lineRule="atLeast"/>
      <w:ind w:left="720" w:hanging="720"/>
      <w:jc w:val="left"/>
    </w:pPr>
    <w:rPr>
      <w:szCs w:val="20"/>
    </w:rPr>
  </w:style>
  <w:style w:type="paragraph" w:styleId="ListParagraph">
    <w:name w:val="List Paragraph"/>
    <w:basedOn w:val="Normal"/>
    <w:uiPriority w:val="34"/>
    <w:qFormat/>
    <w:rsid w:val="003A4D4E"/>
    <w:pPr>
      <w:spacing w:after="200" w:line="276" w:lineRule="auto"/>
      <w:ind w:left="720"/>
      <w:contextualSpacing/>
      <w:jc w:val="left"/>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rsid w:val="00C264DF"/>
    <w:rPr>
      <w:sz w:val="24"/>
    </w:rPr>
  </w:style>
</w:styles>
</file>

<file path=word/webSettings.xml><?xml version="1.0" encoding="utf-8"?>
<w:webSettings xmlns:r="http://schemas.openxmlformats.org/officeDocument/2006/relationships" xmlns:w="http://schemas.openxmlformats.org/wordprocessingml/2006/main">
  <w:divs>
    <w:div w:id="77676630">
      <w:bodyDiv w:val="1"/>
      <w:marLeft w:val="0"/>
      <w:marRight w:val="0"/>
      <w:marTop w:val="0"/>
      <w:marBottom w:val="0"/>
      <w:divBdr>
        <w:top w:val="none" w:sz="0" w:space="0" w:color="auto"/>
        <w:left w:val="none" w:sz="0" w:space="0" w:color="auto"/>
        <w:bottom w:val="none" w:sz="0" w:space="0" w:color="auto"/>
        <w:right w:val="none" w:sz="0" w:space="0" w:color="auto"/>
      </w:divBdr>
    </w:div>
    <w:div w:id="121927622">
      <w:bodyDiv w:val="1"/>
      <w:marLeft w:val="0"/>
      <w:marRight w:val="0"/>
      <w:marTop w:val="0"/>
      <w:marBottom w:val="0"/>
      <w:divBdr>
        <w:top w:val="none" w:sz="0" w:space="0" w:color="auto"/>
        <w:left w:val="none" w:sz="0" w:space="0" w:color="auto"/>
        <w:bottom w:val="none" w:sz="0" w:space="0" w:color="auto"/>
        <w:right w:val="none" w:sz="0" w:space="0" w:color="auto"/>
      </w:divBdr>
    </w:div>
    <w:div w:id="384762035">
      <w:bodyDiv w:val="1"/>
      <w:marLeft w:val="0"/>
      <w:marRight w:val="0"/>
      <w:marTop w:val="0"/>
      <w:marBottom w:val="0"/>
      <w:divBdr>
        <w:top w:val="none" w:sz="0" w:space="0" w:color="auto"/>
        <w:left w:val="none" w:sz="0" w:space="0" w:color="auto"/>
        <w:bottom w:val="none" w:sz="0" w:space="0" w:color="auto"/>
        <w:right w:val="none" w:sz="0" w:space="0" w:color="auto"/>
      </w:divBdr>
    </w:div>
    <w:div w:id="584850836">
      <w:bodyDiv w:val="1"/>
      <w:marLeft w:val="0"/>
      <w:marRight w:val="0"/>
      <w:marTop w:val="0"/>
      <w:marBottom w:val="0"/>
      <w:divBdr>
        <w:top w:val="none" w:sz="0" w:space="0" w:color="auto"/>
        <w:left w:val="none" w:sz="0" w:space="0" w:color="auto"/>
        <w:bottom w:val="none" w:sz="0" w:space="0" w:color="auto"/>
        <w:right w:val="none" w:sz="0" w:space="0" w:color="auto"/>
      </w:divBdr>
      <w:divsChild>
        <w:div w:id="240650461">
          <w:marLeft w:val="0"/>
          <w:marRight w:val="0"/>
          <w:marTop w:val="0"/>
          <w:marBottom w:val="0"/>
          <w:divBdr>
            <w:top w:val="none" w:sz="0" w:space="0" w:color="auto"/>
            <w:left w:val="none" w:sz="0" w:space="0" w:color="auto"/>
            <w:bottom w:val="none" w:sz="0" w:space="0" w:color="auto"/>
            <w:right w:val="none" w:sz="0" w:space="0" w:color="auto"/>
          </w:divBdr>
        </w:div>
      </w:divsChild>
    </w:div>
    <w:div w:id="705523810">
      <w:bodyDiv w:val="1"/>
      <w:marLeft w:val="0"/>
      <w:marRight w:val="0"/>
      <w:marTop w:val="0"/>
      <w:marBottom w:val="0"/>
      <w:divBdr>
        <w:top w:val="none" w:sz="0" w:space="0" w:color="auto"/>
        <w:left w:val="none" w:sz="0" w:space="0" w:color="auto"/>
        <w:bottom w:val="none" w:sz="0" w:space="0" w:color="auto"/>
        <w:right w:val="none" w:sz="0" w:space="0" w:color="auto"/>
      </w:divBdr>
    </w:div>
    <w:div w:id="865172140">
      <w:bodyDiv w:val="1"/>
      <w:marLeft w:val="0"/>
      <w:marRight w:val="0"/>
      <w:marTop w:val="0"/>
      <w:marBottom w:val="0"/>
      <w:divBdr>
        <w:top w:val="none" w:sz="0" w:space="0" w:color="auto"/>
        <w:left w:val="none" w:sz="0" w:space="0" w:color="auto"/>
        <w:bottom w:val="none" w:sz="0" w:space="0" w:color="auto"/>
        <w:right w:val="none" w:sz="0" w:space="0" w:color="auto"/>
      </w:divBdr>
    </w:div>
    <w:div w:id="866214910">
      <w:bodyDiv w:val="1"/>
      <w:marLeft w:val="0"/>
      <w:marRight w:val="0"/>
      <w:marTop w:val="0"/>
      <w:marBottom w:val="0"/>
      <w:divBdr>
        <w:top w:val="none" w:sz="0" w:space="0" w:color="auto"/>
        <w:left w:val="none" w:sz="0" w:space="0" w:color="auto"/>
        <w:bottom w:val="none" w:sz="0" w:space="0" w:color="auto"/>
        <w:right w:val="none" w:sz="0" w:space="0" w:color="auto"/>
      </w:divBdr>
    </w:div>
    <w:div w:id="908611295">
      <w:bodyDiv w:val="1"/>
      <w:marLeft w:val="0"/>
      <w:marRight w:val="0"/>
      <w:marTop w:val="0"/>
      <w:marBottom w:val="0"/>
      <w:divBdr>
        <w:top w:val="none" w:sz="0" w:space="0" w:color="auto"/>
        <w:left w:val="none" w:sz="0" w:space="0" w:color="auto"/>
        <w:bottom w:val="none" w:sz="0" w:space="0" w:color="auto"/>
        <w:right w:val="none" w:sz="0" w:space="0" w:color="auto"/>
      </w:divBdr>
    </w:div>
    <w:div w:id="1019045031">
      <w:bodyDiv w:val="1"/>
      <w:marLeft w:val="0"/>
      <w:marRight w:val="0"/>
      <w:marTop w:val="0"/>
      <w:marBottom w:val="0"/>
      <w:divBdr>
        <w:top w:val="none" w:sz="0" w:space="0" w:color="auto"/>
        <w:left w:val="none" w:sz="0" w:space="0" w:color="auto"/>
        <w:bottom w:val="none" w:sz="0" w:space="0" w:color="auto"/>
        <w:right w:val="none" w:sz="0" w:space="0" w:color="auto"/>
      </w:divBdr>
    </w:div>
    <w:div w:id="1029064622">
      <w:bodyDiv w:val="1"/>
      <w:marLeft w:val="0"/>
      <w:marRight w:val="0"/>
      <w:marTop w:val="0"/>
      <w:marBottom w:val="0"/>
      <w:divBdr>
        <w:top w:val="none" w:sz="0" w:space="0" w:color="auto"/>
        <w:left w:val="none" w:sz="0" w:space="0" w:color="auto"/>
        <w:bottom w:val="none" w:sz="0" w:space="0" w:color="auto"/>
        <w:right w:val="none" w:sz="0" w:space="0" w:color="auto"/>
      </w:divBdr>
    </w:div>
    <w:div w:id="1044713137">
      <w:bodyDiv w:val="1"/>
      <w:marLeft w:val="0"/>
      <w:marRight w:val="0"/>
      <w:marTop w:val="0"/>
      <w:marBottom w:val="0"/>
      <w:divBdr>
        <w:top w:val="none" w:sz="0" w:space="0" w:color="auto"/>
        <w:left w:val="none" w:sz="0" w:space="0" w:color="auto"/>
        <w:bottom w:val="none" w:sz="0" w:space="0" w:color="auto"/>
        <w:right w:val="none" w:sz="0" w:space="0" w:color="auto"/>
      </w:divBdr>
    </w:div>
    <w:div w:id="1078405178">
      <w:bodyDiv w:val="1"/>
      <w:marLeft w:val="0"/>
      <w:marRight w:val="0"/>
      <w:marTop w:val="0"/>
      <w:marBottom w:val="0"/>
      <w:divBdr>
        <w:top w:val="none" w:sz="0" w:space="0" w:color="auto"/>
        <w:left w:val="none" w:sz="0" w:space="0" w:color="auto"/>
        <w:bottom w:val="none" w:sz="0" w:space="0" w:color="auto"/>
        <w:right w:val="none" w:sz="0" w:space="0" w:color="auto"/>
      </w:divBdr>
    </w:div>
    <w:div w:id="1211917333">
      <w:bodyDiv w:val="1"/>
      <w:marLeft w:val="0"/>
      <w:marRight w:val="0"/>
      <w:marTop w:val="0"/>
      <w:marBottom w:val="0"/>
      <w:divBdr>
        <w:top w:val="none" w:sz="0" w:space="0" w:color="auto"/>
        <w:left w:val="none" w:sz="0" w:space="0" w:color="auto"/>
        <w:bottom w:val="none" w:sz="0" w:space="0" w:color="auto"/>
        <w:right w:val="none" w:sz="0" w:space="0" w:color="auto"/>
      </w:divBdr>
      <w:divsChild>
        <w:div w:id="73209646">
          <w:marLeft w:val="0"/>
          <w:marRight w:val="0"/>
          <w:marTop w:val="0"/>
          <w:marBottom w:val="0"/>
          <w:divBdr>
            <w:top w:val="none" w:sz="0" w:space="0" w:color="auto"/>
            <w:left w:val="none" w:sz="0" w:space="0" w:color="auto"/>
            <w:bottom w:val="none" w:sz="0" w:space="0" w:color="auto"/>
            <w:right w:val="none" w:sz="0" w:space="0" w:color="auto"/>
          </w:divBdr>
        </w:div>
      </w:divsChild>
    </w:div>
    <w:div w:id="1295017173">
      <w:bodyDiv w:val="1"/>
      <w:marLeft w:val="0"/>
      <w:marRight w:val="0"/>
      <w:marTop w:val="0"/>
      <w:marBottom w:val="0"/>
      <w:divBdr>
        <w:top w:val="none" w:sz="0" w:space="0" w:color="auto"/>
        <w:left w:val="none" w:sz="0" w:space="0" w:color="auto"/>
        <w:bottom w:val="none" w:sz="0" w:space="0" w:color="auto"/>
        <w:right w:val="none" w:sz="0" w:space="0" w:color="auto"/>
      </w:divBdr>
    </w:div>
    <w:div w:id="1769736570">
      <w:bodyDiv w:val="1"/>
      <w:marLeft w:val="0"/>
      <w:marRight w:val="0"/>
      <w:marTop w:val="0"/>
      <w:marBottom w:val="0"/>
      <w:divBdr>
        <w:top w:val="none" w:sz="0" w:space="0" w:color="auto"/>
        <w:left w:val="none" w:sz="0" w:space="0" w:color="auto"/>
        <w:bottom w:val="none" w:sz="0" w:space="0" w:color="auto"/>
        <w:right w:val="none" w:sz="0" w:space="0" w:color="auto"/>
      </w:divBdr>
    </w:div>
    <w:div w:id="1917785327">
      <w:bodyDiv w:val="1"/>
      <w:marLeft w:val="0"/>
      <w:marRight w:val="0"/>
      <w:marTop w:val="0"/>
      <w:marBottom w:val="0"/>
      <w:divBdr>
        <w:top w:val="none" w:sz="0" w:space="0" w:color="auto"/>
        <w:left w:val="none" w:sz="0" w:space="0" w:color="auto"/>
        <w:bottom w:val="none" w:sz="0" w:space="0" w:color="auto"/>
        <w:right w:val="none" w:sz="0" w:space="0" w:color="auto"/>
      </w:divBdr>
    </w:div>
    <w:div w:id="19279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2013-08-02T07:00:00+00:00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2F25CB5-1937-444E-94E2-633E4BCF9DC3}"/>
</file>

<file path=customXml/itemProps2.xml><?xml version="1.0" encoding="utf-8"?>
<ds:datastoreItem xmlns:ds="http://schemas.openxmlformats.org/officeDocument/2006/customXml" ds:itemID="{693F2F5B-7D86-4EEF-8BA1-7CA55F1E42E3}"/>
</file>

<file path=customXml/itemProps3.xml><?xml version="1.0" encoding="utf-8"?>
<ds:datastoreItem xmlns:ds="http://schemas.openxmlformats.org/officeDocument/2006/customXml" ds:itemID="{B3A88E7D-CD87-46F8-ACAE-28E40CC62789}"/>
</file>

<file path=customXml/itemProps4.xml><?xml version="1.0" encoding="utf-8"?>
<ds:datastoreItem xmlns:ds="http://schemas.openxmlformats.org/officeDocument/2006/customXml" ds:itemID="{EDD0A747-FDC6-40C6-BC3B-C602FFB1D0FF}"/>
</file>

<file path=docProps/app.xml><?xml version="1.0" encoding="utf-8"?>
<Properties xmlns="http://schemas.openxmlformats.org/officeDocument/2006/extended-properties" xmlns:vt="http://schemas.openxmlformats.org/officeDocument/2006/docPropsVTypes">
  <Template>Normal.dotm</Template>
  <TotalTime>0</TotalTime>
  <Pages>7</Pages>
  <Words>1411</Words>
  <Characters>8447</Characters>
  <Application>Microsoft Office Word</Application>
  <DocSecurity>0</DocSecurity>
  <Lines>70</Lines>
  <Paragraphs>19</Paragraphs>
  <ScaleCrop>false</ScaleCrop>
  <Company/>
  <LinksUpToDate>false</LinksUpToDate>
  <CharactersWithSpaces>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2013-07-31T19:40:00Z</dcterms:created>
  <dcterms:modified xsi:type="dcterms:W3CDTF">2013-07-31T19:40:00Z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