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Garamond" w:eastAsia="Times New Roman" w:hAnsi="Garamond" w:cs="Times New Roman"/>
          <w:b w:val="0"/>
          <w:bCs w:val="0"/>
          <w:color w:val="auto"/>
          <w:sz w:val="24"/>
          <w:szCs w:val="20"/>
        </w:rPr>
        <w:id w:val="495697204"/>
        <w:docPartObj>
          <w:docPartGallery w:val="Table of Contents"/>
          <w:docPartUnique/>
        </w:docPartObj>
      </w:sdtPr>
      <w:sdtEndPr>
        <w:rPr>
          <w:rFonts w:ascii="Times New Roman" w:hAnsi="Times New Roman"/>
        </w:rPr>
      </w:sdtEndPr>
      <w:sdtContent>
        <w:p w:rsidR="00086B5B" w:rsidRDefault="00086B5B" w:rsidP="00086B5B">
          <w:pPr>
            <w:pStyle w:val="TOCHeading"/>
            <w:suppressLineNumbers/>
            <w:spacing w:before="0" w:line="480" w:lineRule="auto"/>
            <w:jc w:val="center"/>
          </w:pPr>
          <w:r w:rsidRPr="00086B5B">
            <w:rPr>
              <w:rFonts w:ascii="Times New Roman" w:hAnsi="Times New Roman" w:cs="Times New Roman"/>
              <w:color w:val="auto"/>
              <w:sz w:val="24"/>
              <w:szCs w:val="24"/>
            </w:rPr>
            <w:t>TABLE OF CONTENTS</w:t>
          </w:r>
        </w:p>
        <w:p w:rsidR="00362299" w:rsidRPr="00362299" w:rsidRDefault="000458CB" w:rsidP="00362299">
          <w:pPr>
            <w:pStyle w:val="TOC1"/>
            <w:suppressLineNumbers/>
            <w:spacing w:after="0" w:line="360" w:lineRule="auto"/>
            <w:rPr>
              <w:rFonts w:ascii="Times New Roman" w:eastAsiaTheme="minorEastAsia" w:hAnsi="Times New Roman"/>
              <w:noProof/>
              <w:sz w:val="22"/>
              <w:szCs w:val="22"/>
            </w:rPr>
          </w:pPr>
          <w:r w:rsidRPr="00086B5B">
            <w:rPr>
              <w:rFonts w:ascii="Times New Roman" w:hAnsi="Times New Roman"/>
            </w:rPr>
            <w:fldChar w:fldCharType="begin"/>
          </w:r>
          <w:r w:rsidR="00086B5B" w:rsidRPr="00086B5B">
            <w:rPr>
              <w:rFonts w:ascii="Times New Roman" w:hAnsi="Times New Roman"/>
            </w:rPr>
            <w:instrText xml:space="preserve"> TOC \o "1-3" \h \z \u </w:instrText>
          </w:r>
          <w:r w:rsidRPr="00086B5B">
            <w:rPr>
              <w:rFonts w:ascii="Times New Roman" w:hAnsi="Times New Roman"/>
            </w:rPr>
            <w:fldChar w:fldCharType="separate"/>
          </w:r>
          <w:hyperlink w:anchor="_Toc362938854" w:history="1">
            <w:r w:rsidR="00362299" w:rsidRPr="00362299">
              <w:rPr>
                <w:rStyle w:val="Hyperlink"/>
                <w:rFonts w:ascii="Times New Roman" w:hAnsi="Times New Roman"/>
                <w:noProof/>
              </w:rPr>
              <w:t>PURPOSE AND SUMMARY</w:t>
            </w:r>
            <w:r w:rsidR="00362299" w:rsidRPr="00362299">
              <w:rPr>
                <w:rFonts w:ascii="Times New Roman" w:hAnsi="Times New Roman"/>
                <w:noProof/>
                <w:webHidden/>
              </w:rPr>
              <w:tab/>
            </w:r>
            <w:r w:rsidRPr="00362299">
              <w:rPr>
                <w:rFonts w:ascii="Times New Roman" w:hAnsi="Times New Roman"/>
                <w:noProof/>
                <w:webHidden/>
              </w:rPr>
              <w:fldChar w:fldCharType="begin"/>
            </w:r>
            <w:r w:rsidR="00362299" w:rsidRPr="00362299">
              <w:rPr>
                <w:rFonts w:ascii="Times New Roman" w:hAnsi="Times New Roman"/>
                <w:noProof/>
                <w:webHidden/>
              </w:rPr>
              <w:instrText xml:space="preserve"> PAGEREF _Toc362938854 \h </w:instrText>
            </w:r>
            <w:r w:rsidRPr="00362299">
              <w:rPr>
                <w:rFonts w:ascii="Times New Roman" w:hAnsi="Times New Roman"/>
                <w:noProof/>
                <w:webHidden/>
              </w:rPr>
            </w:r>
            <w:r w:rsidRPr="00362299">
              <w:rPr>
                <w:rFonts w:ascii="Times New Roman" w:hAnsi="Times New Roman"/>
                <w:noProof/>
                <w:webHidden/>
              </w:rPr>
              <w:fldChar w:fldCharType="separate"/>
            </w:r>
            <w:r w:rsidR="00156312">
              <w:rPr>
                <w:rFonts w:ascii="Times New Roman" w:hAnsi="Times New Roman"/>
                <w:noProof/>
                <w:webHidden/>
              </w:rPr>
              <w:t>1</w:t>
            </w:r>
            <w:r w:rsidRPr="00362299">
              <w:rPr>
                <w:rFonts w:ascii="Times New Roman" w:hAnsi="Times New Roman"/>
                <w:noProof/>
                <w:webHidden/>
              </w:rPr>
              <w:fldChar w:fldCharType="end"/>
            </w:r>
          </w:hyperlink>
        </w:p>
        <w:p w:rsidR="00362299" w:rsidRPr="00362299" w:rsidRDefault="000458CB" w:rsidP="00362299">
          <w:pPr>
            <w:pStyle w:val="TOC1"/>
            <w:suppressLineNumbers/>
            <w:spacing w:after="0" w:line="360" w:lineRule="auto"/>
            <w:rPr>
              <w:rFonts w:ascii="Times New Roman" w:eastAsiaTheme="minorEastAsia" w:hAnsi="Times New Roman"/>
              <w:noProof/>
              <w:sz w:val="22"/>
              <w:szCs w:val="22"/>
            </w:rPr>
          </w:pPr>
          <w:hyperlink w:anchor="_Toc362938855" w:history="1">
            <w:r w:rsidR="00362299" w:rsidRPr="00362299">
              <w:rPr>
                <w:rStyle w:val="Hyperlink"/>
                <w:rFonts w:ascii="Times New Roman" w:hAnsi="Times New Roman"/>
                <w:noProof/>
              </w:rPr>
              <w:t>REBUTTAL EXHIBITS</w:t>
            </w:r>
            <w:r w:rsidR="00362299" w:rsidRPr="00362299">
              <w:rPr>
                <w:rFonts w:ascii="Times New Roman" w:hAnsi="Times New Roman"/>
                <w:noProof/>
                <w:webHidden/>
              </w:rPr>
              <w:tab/>
            </w:r>
            <w:r w:rsidRPr="00362299">
              <w:rPr>
                <w:rFonts w:ascii="Times New Roman" w:hAnsi="Times New Roman"/>
                <w:noProof/>
                <w:webHidden/>
              </w:rPr>
              <w:fldChar w:fldCharType="begin"/>
            </w:r>
            <w:r w:rsidR="00362299" w:rsidRPr="00362299">
              <w:rPr>
                <w:rFonts w:ascii="Times New Roman" w:hAnsi="Times New Roman"/>
                <w:noProof/>
                <w:webHidden/>
              </w:rPr>
              <w:instrText xml:space="preserve"> PAGEREF _Toc362938855 \h </w:instrText>
            </w:r>
            <w:r w:rsidRPr="00362299">
              <w:rPr>
                <w:rFonts w:ascii="Times New Roman" w:hAnsi="Times New Roman"/>
                <w:noProof/>
                <w:webHidden/>
              </w:rPr>
            </w:r>
            <w:r w:rsidRPr="00362299">
              <w:rPr>
                <w:rFonts w:ascii="Times New Roman" w:hAnsi="Times New Roman"/>
                <w:noProof/>
                <w:webHidden/>
              </w:rPr>
              <w:fldChar w:fldCharType="separate"/>
            </w:r>
            <w:r w:rsidR="00156312">
              <w:rPr>
                <w:rFonts w:ascii="Times New Roman" w:hAnsi="Times New Roman"/>
                <w:noProof/>
                <w:webHidden/>
              </w:rPr>
              <w:t>3</w:t>
            </w:r>
            <w:r w:rsidRPr="00362299">
              <w:rPr>
                <w:rFonts w:ascii="Times New Roman" w:hAnsi="Times New Roman"/>
                <w:noProof/>
                <w:webHidden/>
              </w:rPr>
              <w:fldChar w:fldCharType="end"/>
            </w:r>
          </w:hyperlink>
        </w:p>
        <w:p w:rsidR="00362299" w:rsidRPr="00362299" w:rsidRDefault="000458CB" w:rsidP="00362299">
          <w:pPr>
            <w:pStyle w:val="TOC1"/>
            <w:suppressLineNumbers/>
            <w:spacing w:after="0" w:line="360" w:lineRule="auto"/>
            <w:rPr>
              <w:rFonts w:ascii="Times New Roman" w:eastAsiaTheme="minorEastAsia" w:hAnsi="Times New Roman"/>
              <w:noProof/>
              <w:sz w:val="22"/>
              <w:szCs w:val="22"/>
            </w:rPr>
          </w:pPr>
          <w:hyperlink w:anchor="_Toc362938856" w:history="1">
            <w:r w:rsidR="00362299" w:rsidRPr="00362299">
              <w:rPr>
                <w:rStyle w:val="Hyperlink"/>
                <w:rFonts w:ascii="Times New Roman" w:hAnsi="Times New Roman"/>
                <w:noProof/>
              </w:rPr>
              <w:t>COST OF SERVICE</w:t>
            </w:r>
            <w:r w:rsidR="00362299" w:rsidRPr="00362299">
              <w:rPr>
                <w:rFonts w:ascii="Times New Roman" w:hAnsi="Times New Roman"/>
                <w:noProof/>
                <w:webHidden/>
              </w:rPr>
              <w:tab/>
            </w:r>
            <w:r w:rsidRPr="00362299">
              <w:rPr>
                <w:rFonts w:ascii="Times New Roman" w:hAnsi="Times New Roman"/>
                <w:noProof/>
                <w:webHidden/>
              </w:rPr>
              <w:fldChar w:fldCharType="begin"/>
            </w:r>
            <w:r w:rsidR="00362299" w:rsidRPr="00362299">
              <w:rPr>
                <w:rFonts w:ascii="Times New Roman" w:hAnsi="Times New Roman"/>
                <w:noProof/>
                <w:webHidden/>
              </w:rPr>
              <w:instrText xml:space="preserve"> PAGEREF _Toc362938856 \h </w:instrText>
            </w:r>
            <w:r w:rsidRPr="00362299">
              <w:rPr>
                <w:rFonts w:ascii="Times New Roman" w:hAnsi="Times New Roman"/>
                <w:noProof/>
                <w:webHidden/>
              </w:rPr>
            </w:r>
            <w:r w:rsidRPr="00362299">
              <w:rPr>
                <w:rFonts w:ascii="Times New Roman" w:hAnsi="Times New Roman"/>
                <w:noProof/>
                <w:webHidden/>
              </w:rPr>
              <w:fldChar w:fldCharType="separate"/>
            </w:r>
            <w:r w:rsidR="00156312">
              <w:rPr>
                <w:rFonts w:ascii="Times New Roman" w:hAnsi="Times New Roman"/>
                <w:noProof/>
                <w:webHidden/>
              </w:rPr>
              <w:t>3</w:t>
            </w:r>
            <w:r w:rsidRPr="00362299">
              <w:rPr>
                <w:rFonts w:ascii="Times New Roman" w:hAnsi="Times New Roman"/>
                <w:noProof/>
                <w:webHidden/>
              </w:rPr>
              <w:fldChar w:fldCharType="end"/>
            </w:r>
          </w:hyperlink>
        </w:p>
        <w:p w:rsidR="00362299" w:rsidRPr="00362299" w:rsidRDefault="000458CB" w:rsidP="00362299">
          <w:pPr>
            <w:pStyle w:val="TOC1"/>
            <w:suppressLineNumbers/>
            <w:spacing w:after="0" w:line="360" w:lineRule="auto"/>
            <w:rPr>
              <w:rFonts w:ascii="Times New Roman" w:eastAsiaTheme="minorEastAsia" w:hAnsi="Times New Roman"/>
              <w:noProof/>
              <w:sz w:val="22"/>
              <w:szCs w:val="22"/>
            </w:rPr>
          </w:pPr>
          <w:hyperlink w:anchor="_Toc362938857" w:history="1">
            <w:r w:rsidR="00362299" w:rsidRPr="00362299">
              <w:rPr>
                <w:rStyle w:val="Hyperlink"/>
                <w:rFonts w:ascii="Times New Roman" w:hAnsi="Times New Roman"/>
                <w:noProof/>
              </w:rPr>
              <w:t>RATE SPREAD</w:t>
            </w:r>
            <w:r w:rsidR="00362299" w:rsidRPr="00362299">
              <w:rPr>
                <w:rFonts w:ascii="Times New Roman" w:hAnsi="Times New Roman"/>
                <w:noProof/>
                <w:webHidden/>
              </w:rPr>
              <w:tab/>
            </w:r>
            <w:r w:rsidRPr="00362299">
              <w:rPr>
                <w:rFonts w:ascii="Times New Roman" w:hAnsi="Times New Roman"/>
                <w:noProof/>
                <w:webHidden/>
              </w:rPr>
              <w:fldChar w:fldCharType="begin"/>
            </w:r>
            <w:r w:rsidR="00362299" w:rsidRPr="00362299">
              <w:rPr>
                <w:rFonts w:ascii="Times New Roman" w:hAnsi="Times New Roman"/>
                <w:noProof/>
                <w:webHidden/>
              </w:rPr>
              <w:instrText xml:space="preserve"> PAGEREF _Toc362938857 \h </w:instrText>
            </w:r>
            <w:r w:rsidRPr="00362299">
              <w:rPr>
                <w:rFonts w:ascii="Times New Roman" w:hAnsi="Times New Roman"/>
                <w:noProof/>
                <w:webHidden/>
              </w:rPr>
            </w:r>
            <w:r w:rsidRPr="00362299">
              <w:rPr>
                <w:rFonts w:ascii="Times New Roman" w:hAnsi="Times New Roman"/>
                <w:noProof/>
                <w:webHidden/>
              </w:rPr>
              <w:fldChar w:fldCharType="separate"/>
            </w:r>
            <w:r w:rsidR="00156312">
              <w:rPr>
                <w:rFonts w:ascii="Times New Roman" w:hAnsi="Times New Roman"/>
                <w:noProof/>
                <w:webHidden/>
              </w:rPr>
              <w:t>9</w:t>
            </w:r>
            <w:r w:rsidRPr="00362299">
              <w:rPr>
                <w:rFonts w:ascii="Times New Roman" w:hAnsi="Times New Roman"/>
                <w:noProof/>
                <w:webHidden/>
              </w:rPr>
              <w:fldChar w:fldCharType="end"/>
            </w:r>
          </w:hyperlink>
        </w:p>
        <w:p w:rsidR="00362299" w:rsidRPr="00362299" w:rsidRDefault="000458CB" w:rsidP="00362299">
          <w:pPr>
            <w:pStyle w:val="TOC1"/>
            <w:suppressLineNumbers/>
            <w:spacing w:after="0" w:line="360" w:lineRule="auto"/>
            <w:rPr>
              <w:rFonts w:ascii="Times New Roman" w:eastAsiaTheme="minorEastAsia" w:hAnsi="Times New Roman"/>
              <w:noProof/>
              <w:sz w:val="22"/>
              <w:szCs w:val="22"/>
            </w:rPr>
          </w:pPr>
          <w:hyperlink w:anchor="_Toc362938858" w:history="1">
            <w:r w:rsidR="00362299" w:rsidRPr="00362299">
              <w:rPr>
                <w:rStyle w:val="Hyperlink"/>
                <w:rFonts w:ascii="Times New Roman" w:hAnsi="Times New Roman"/>
                <w:noProof/>
              </w:rPr>
              <w:t>RESIDENTIAL RATE DESIGN</w:t>
            </w:r>
            <w:r w:rsidR="00362299" w:rsidRPr="00362299">
              <w:rPr>
                <w:rFonts w:ascii="Times New Roman" w:hAnsi="Times New Roman"/>
                <w:noProof/>
                <w:webHidden/>
              </w:rPr>
              <w:tab/>
            </w:r>
            <w:r w:rsidRPr="00362299">
              <w:rPr>
                <w:rFonts w:ascii="Times New Roman" w:hAnsi="Times New Roman"/>
                <w:noProof/>
                <w:webHidden/>
              </w:rPr>
              <w:fldChar w:fldCharType="begin"/>
            </w:r>
            <w:r w:rsidR="00362299" w:rsidRPr="00362299">
              <w:rPr>
                <w:rFonts w:ascii="Times New Roman" w:hAnsi="Times New Roman"/>
                <w:noProof/>
                <w:webHidden/>
              </w:rPr>
              <w:instrText xml:space="preserve"> PAGEREF _Toc362938858 \h </w:instrText>
            </w:r>
            <w:r w:rsidRPr="00362299">
              <w:rPr>
                <w:rFonts w:ascii="Times New Roman" w:hAnsi="Times New Roman"/>
                <w:noProof/>
                <w:webHidden/>
              </w:rPr>
            </w:r>
            <w:r w:rsidRPr="00362299">
              <w:rPr>
                <w:rFonts w:ascii="Times New Roman" w:hAnsi="Times New Roman"/>
                <w:noProof/>
                <w:webHidden/>
              </w:rPr>
              <w:fldChar w:fldCharType="separate"/>
            </w:r>
            <w:r w:rsidR="00156312">
              <w:rPr>
                <w:rFonts w:ascii="Times New Roman" w:hAnsi="Times New Roman"/>
                <w:noProof/>
                <w:webHidden/>
              </w:rPr>
              <w:t>12</w:t>
            </w:r>
            <w:r w:rsidRPr="00362299">
              <w:rPr>
                <w:rFonts w:ascii="Times New Roman" w:hAnsi="Times New Roman"/>
                <w:noProof/>
                <w:webHidden/>
              </w:rPr>
              <w:fldChar w:fldCharType="end"/>
            </w:r>
          </w:hyperlink>
        </w:p>
        <w:p w:rsidR="00362299" w:rsidRPr="00362299" w:rsidRDefault="000458CB" w:rsidP="00362299">
          <w:pPr>
            <w:pStyle w:val="TOC1"/>
            <w:suppressLineNumbers/>
            <w:spacing w:after="0" w:line="360" w:lineRule="auto"/>
            <w:rPr>
              <w:rFonts w:ascii="Times New Roman" w:eastAsiaTheme="minorEastAsia" w:hAnsi="Times New Roman"/>
              <w:noProof/>
              <w:sz w:val="22"/>
              <w:szCs w:val="22"/>
            </w:rPr>
          </w:pPr>
          <w:hyperlink w:anchor="_Toc362938859" w:history="1">
            <w:r w:rsidR="00362299" w:rsidRPr="00362299">
              <w:rPr>
                <w:rStyle w:val="Hyperlink"/>
                <w:rFonts w:ascii="Times New Roman" w:hAnsi="Times New Roman"/>
                <w:noProof/>
              </w:rPr>
              <w:t>GENERAL SERVICE, AGRICULTURAL PUMPING AND STREET LIGHTING RATE DESIGN</w:t>
            </w:r>
            <w:r w:rsidR="00362299" w:rsidRPr="00362299">
              <w:rPr>
                <w:rFonts w:ascii="Times New Roman" w:hAnsi="Times New Roman"/>
                <w:noProof/>
                <w:webHidden/>
              </w:rPr>
              <w:tab/>
            </w:r>
            <w:r w:rsidRPr="00362299">
              <w:rPr>
                <w:rFonts w:ascii="Times New Roman" w:hAnsi="Times New Roman"/>
                <w:noProof/>
                <w:webHidden/>
              </w:rPr>
              <w:fldChar w:fldCharType="begin"/>
            </w:r>
            <w:r w:rsidR="00362299" w:rsidRPr="00362299">
              <w:rPr>
                <w:rFonts w:ascii="Times New Roman" w:hAnsi="Times New Roman"/>
                <w:noProof/>
                <w:webHidden/>
              </w:rPr>
              <w:instrText xml:space="preserve"> PAGEREF _Toc362938859 \h </w:instrText>
            </w:r>
            <w:r w:rsidRPr="00362299">
              <w:rPr>
                <w:rFonts w:ascii="Times New Roman" w:hAnsi="Times New Roman"/>
                <w:noProof/>
                <w:webHidden/>
              </w:rPr>
            </w:r>
            <w:r w:rsidRPr="00362299">
              <w:rPr>
                <w:rFonts w:ascii="Times New Roman" w:hAnsi="Times New Roman"/>
                <w:noProof/>
                <w:webHidden/>
              </w:rPr>
              <w:fldChar w:fldCharType="separate"/>
            </w:r>
            <w:r w:rsidR="00156312">
              <w:rPr>
                <w:rFonts w:ascii="Times New Roman" w:hAnsi="Times New Roman"/>
                <w:noProof/>
                <w:webHidden/>
              </w:rPr>
              <w:t>21</w:t>
            </w:r>
            <w:r w:rsidRPr="00362299">
              <w:rPr>
                <w:rFonts w:ascii="Times New Roman" w:hAnsi="Times New Roman"/>
                <w:noProof/>
                <w:webHidden/>
              </w:rPr>
              <w:fldChar w:fldCharType="end"/>
            </w:r>
          </w:hyperlink>
        </w:p>
        <w:p w:rsidR="00362299" w:rsidRDefault="000458CB" w:rsidP="00362299">
          <w:pPr>
            <w:pStyle w:val="TOC1"/>
            <w:suppressLineNumbers/>
            <w:spacing w:after="0" w:line="360" w:lineRule="auto"/>
            <w:rPr>
              <w:rFonts w:asciiTheme="minorHAnsi" w:eastAsiaTheme="minorEastAsia" w:hAnsiTheme="minorHAnsi" w:cstheme="minorBidi"/>
              <w:noProof/>
              <w:sz w:val="22"/>
              <w:szCs w:val="22"/>
            </w:rPr>
          </w:pPr>
          <w:hyperlink w:anchor="_Toc362938861" w:history="1">
            <w:r w:rsidR="00362299" w:rsidRPr="00362299">
              <w:rPr>
                <w:rStyle w:val="Hyperlink"/>
                <w:rFonts w:ascii="Times New Roman" w:hAnsi="Times New Roman"/>
                <w:noProof/>
              </w:rPr>
              <w:t>ADJUSTMENT TO ANNUALIZE REVENUES</w:t>
            </w:r>
            <w:r w:rsidR="00362299" w:rsidRPr="00362299">
              <w:rPr>
                <w:rFonts w:ascii="Times New Roman" w:hAnsi="Times New Roman"/>
                <w:noProof/>
                <w:webHidden/>
              </w:rPr>
              <w:tab/>
            </w:r>
            <w:r w:rsidRPr="00362299">
              <w:rPr>
                <w:rFonts w:ascii="Times New Roman" w:hAnsi="Times New Roman"/>
                <w:noProof/>
                <w:webHidden/>
              </w:rPr>
              <w:fldChar w:fldCharType="begin"/>
            </w:r>
            <w:r w:rsidR="00362299" w:rsidRPr="00362299">
              <w:rPr>
                <w:rFonts w:ascii="Times New Roman" w:hAnsi="Times New Roman"/>
                <w:noProof/>
                <w:webHidden/>
              </w:rPr>
              <w:instrText xml:space="preserve"> PAGEREF _Toc362938861 \h </w:instrText>
            </w:r>
            <w:r w:rsidRPr="00362299">
              <w:rPr>
                <w:rFonts w:ascii="Times New Roman" w:hAnsi="Times New Roman"/>
                <w:noProof/>
                <w:webHidden/>
              </w:rPr>
            </w:r>
            <w:r w:rsidRPr="00362299">
              <w:rPr>
                <w:rFonts w:ascii="Times New Roman" w:hAnsi="Times New Roman"/>
                <w:noProof/>
                <w:webHidden/>
              </w:rPr>
              <w:fldChar w:fldCharType="separate"/>
            </w:r>
            <w:r w:rsidR="00156312">
              <w:rPr>
                <w:rFonts w:ascii="Times New Roman" w:hAnsi="Times New Roman"/>
                <w:noProof/>
                <w:webHidden/>
              </w:rPr>
              <w:t>22</w:t>
            </w:r>
            <w:r w:rsidRPr="00362299">
              <w:rPr>
                <w:rFonts w:ascii="Times New Roman" w:hAnsi="Times New Roman"/>
                <w:noProof/>
                <w:webHidden/>
              </w:rPr>
              <w:fldChar w:fldCharType="end"/>
            </w:r>
          </w:hyperlink>
        </w:p>
        <w:p w:rsidR="00086B5B" w:rsidRPr="00086B5B" w:rsidRDefault="000458CB" w:rsidP="00086B5B">
          <w:pPr>
            <w:suppressLineNumbers/>
            <w:rPr>
              <w:rFonts w:ascii="Times New Roman" w:hAnsi="Times New Roman"/>
            </w:rPr>
          </w:pPr>
          <w:r w:rsidRPr="00086B5B">
            <w:rPr>
              <w:rFonts w:ascii="Times New Roman" w:hAnsi="Times New Roman"/>
            </w:rPr>
            <w:fldChar w:fldCharType="end"/>
          </w:r>
        </w:p>
      </w:sdtContent>
    </w:sdt>
    <w:p w:rsidR="00086B5B" w:rsidRDefault="00113369" w:rsidP="00063B39">
      <w:pPr>
        <w:suppressLineNumbers/>
        <w:ind w:left="0" w:firstLine="0"/>
        <w:jc w:val="center"/>
        <w:rPr>
          <w:rFonts w:ascii="Times New Roman" w:hAnsi="Times New Roman"/>
          <w:b/>
          <w:szCs w:val="24"/>
        </w:rPr>
      </w:pPr>
      <w:r>
        <w:rPr>
          <w:rFonts w:ascii="Times New Roman" w:hAnsi="Times New Roman"/>
          <w:b/>
          <w:szCs w:val="24"/>
        </w:rPr>
        <w:t>ATTACHED EXHIBITS</w:t>
      </w:r>
    </w:p>
    <w:p w:rsidR="00113369" w:rsidRDefault="00FF1B3A" w:rsidP="00A778B1">
      <w:pPr>
        <w:suppressLineNumbers/>
        <w:ind w:left="0" w:firstLine="0"/>
        <w:rPr>
          <w:rFonts w:ascii="Times New Roman" w:hAnsi="Times New Roman"/>
          <w:szCs w:val="24"/>
        </w:rPr>
      </w:pPr>
      <w:r>
        <w:rPr>
          <w:rFonts w:ascii="Times New Roman" w:hAnsi="Times New Roman"/>
          <w:szCs w:val="24"/>
        </w:rPr>
        <w:t>Exhibit No.___(JRS-8)—</w:t>
      </w:r>
      <w:r w:rsidR="00C33A00">
        <w:rPr>
          <w:rFonts w:ascii="Times New Roman" w:hAnsi="Times New Roman"/>
          <w:szCs w:val="24"/>
        </w:rPr>
        <w:t>Cost of Service by Rate Schedule—Summaries</w:t>
      </w:r>
    </w:p>
    <w:p w:rsidR="00FF1B3A" w:rsidRDefault="00FF1B3A" w:rsidP="00A778B1">
      <w:pPr>
        <w:suppressLineNumbers/>
        <w:ind w:left="0" w:firstLine="0"/>
        <w:rPr>
          <w:rFonts w:ascii="Times New Roman" w:hAnsi="Times New Roman"/>
          <w:szCs w:val="24"/>
        </w:rPr>
      </w:pPr>
      <w:r>
        <w:rPr>
          <w:rFonts w:ascii="Times New Roman" w:hAnsi="Times New Roman"/>
          <w:szCs w:val="24"/>
        </w:rPr>
        <w:t>Exhibit No.___(JRS-9)—</w:t>
      </w:r>
      <w:r w:rsidR="00C33A00">
        <w:rPr>
          <w:rFonts w:ascii="Times New Roman" w:hAnsi="Times New Roman"/>
          <w:szCs w:val="24"/>
        </w:rPr>
        <w:t>Cost of Service by Rate Schedule—All Functions</w:t>
      </w:r>
    </w:p>
    <w:p w:rsidR="00FF1B3A" w:rsidRDefault="00FF1B3A" w:rsidP="00A778B1">
      <w:pPr>
        <w:suppressLineNumbers/>
        <w:ind w:left="0" w:firstLine="0"/>
        <w:rPr>
          <w:rFonts w:ascii="Times New Roman" w:hAnsi="Times New Roman"/>
          <w:szCs w:val="24"/>
        </w:rPr>
      </w:pPr>
      <w:r>
        <w:rPr>
          <w:rFonts w:ascii="Times New Roman" w:hAnsi="Times New Roman"/>
          <w:szCs w:val="24"/>
        </w:rPr>
        <w:t>Exhibit No.___(JRS-10)—</w:t>
      </w:r>
      <w:r w:rsidR="00C33A00">
        <w:rPr>
          <w:rFonts w:ascii="Times New Roman" w:hAnsi="Times New Roman"/>
          <w:szCs w:val="24"/>
        </w:rPr>
        <w:t>Effect of Proposed Rate Increase</w:t>
      </w:r>
    </w:p>
    <w:p w:rsidR="00FF1B3A" w:rsidRDefault="00FF1B3A" w:rsidP="00A778B1">
      <w:pPr>
        <w:suppressLineNumbers/>
        <w:ind w:left="0" w:firstLine="0"/>
        <w:rPr>
          <w:rFonts w:ascii="Times New Roman" w:hAnsi="Times New Roman"/>
          <w:szCs w:val="24"/>
        </w:rPr>
      </w:pPr>
      <w:r>
        <w:rPr>
          <w:rFonts w:ascii="Times New Roman" w:hAnsi="Times New Roman"/>
          <w:szCs w:val="24"/>
        </w:rPr>
        <w:t>Exhibit No.___(JRS-11)—</w:t>
      </w:r>
      <w:r w:rsidR="00C33A00">
        <w:rPr>
          <w:rFonts w:ascii="Times New Roman" w:hAnsi="Times New Roman"/>
          <w:szCs w:val="24"/>
        </w:rPr>
        <w:t>Proposed Prices and Billing Determinants</w:t>
      </w:r>
    </w:p>
    <w:p w:rsidR="00FF1B3A" w:rsidRDefault="00FF1B3A" w:rsidP="00A778B1">
      <w:pPr>
        <w:suppressLineNumbers/>
        <w:ind w:left="0" w:firstLine="0"/>
        <w:rPr>
          <w:rFonts w:ascii="Times New Roman" w:hAnsi="Times New Roman"/>
          <w:szCs w:val="24"/>
        </w:rPr>
      </w:pPr>
      <w:r>
        <w:rPr>
          <w:rFonts w:ascii="Times New Roman" w:hAnsi="Times New Roman"/>
          <w:szCs w:val="24"/>
        </w:rPr>
        <w:t>Exhibit No.___(JRS-12)—</w:t>
      </w:r>
      <w:r w:rsidR="00C33A00">
        <w:rPr>
          <w:rFonts w:ascii="Times New Roman" w:hAnsi="Times New Roman"/>
          <w:szCs w:val="24"/>
        </w:rPr>
        <w:t>Monthly Billing Comparisons</w:t>
      </w:r>
    </w:p>
    <w:p w:rsidR="00FF1B3A" w:rsidRDefault="00FF1B3A" w:rsidP="00A778B1">
      <w:pPr>
        <w:suppressLineNumbers/>
        <w:ind w:left="0" w:firstLine="0"/>
        <w:rPr>
          <w:rFonts w:ascii="Times New Roman" w:hAnsi="Times New Roman"/>
          <w:szCs w:val="24"/>
        </w:rPr>
      </w:pPr>
      <w:r>
        <w:rPr>
          <w:rFonts w:ascii="Times New Roman" w:hAnsi="Times New Roman"/>
          <w:szCs w:val="24"/>
        </w:rPr>
        <w:t>Exhibit No.___(JRS-13)—</w:t>
      </w:r>
      <w:r w:rsidR="00C33A00">
        <w:rPr>
          <w:rFonts w:ascii="Times New Roman" w:hAnsi="Times New Roman"/>
          <w:szCs w:val="24"/>
        </w:rPr>
        <w:t>Basic Charge Calculation</w:t>
      </w:r>
    </w:p>
    <w:p w:rsidR="00FF1B3A" w:rsidRPr="00FF1B3A" w:rsidRDefault="00FF1B3A" w:rsidP="00A778B1">
      <w:pPr>
        <w:suppressLineNumbers/>
        <w:ind w:left="0" w:firstLine="0"/>
        <w:rPr>
          <w:rFonts w:ascii="Times New Roman" w:hAnsi="Times New Roman"/>
          <w:szCs w:val="24"/>
        </w:rPr>
      </w:pPr>
      <w:r>
        <w:rPr>
          <w:rFonts w:ascii="Times New Roman" w:hAnsi="Times New Roman"/>
          <w:szCs w:val="24"/>
        </w:rPr>
        <w:t>Exhibit No.___(JRS-14)—</w:t>
      </w:r>
      <w:r w:rsidR="00C33A00">
        <w:rPr>
          <w:rFonts w:ascii="Times New Roman" w:hAnsi="Times New Roman"/>
          <w:szCs w:val="24"/>
        </w:rPr>
        <w:t>Survey of Monthly Basic Charges in Washington</w:t>
      </w:r>
    </w:p>
    <w:p w:rsidR="00FF1B3A" w:rsidRPr="00FF1B3A" w:rsidRDefault="00FF1B3A" w:rsidP="00FF1B3A">
      <w:pPr>
        <w:suppressLineNumbers/>
        <w:spacing w:line="240" w:lineRule="auto"/>
        <w:ind w:left="0" w:firstLine="0"/>
        <w:rPr>
          <w:rFonts w:ascii="Times New Roman" w:hAnsi="Times New Roman"/>
          <w:szCs w:val="24"/>
        </w:rPr>
      </w:pPr>
    </w:p>
    <w:p w:rsidR="00FF1B3A" w:rsidRPr="00FF1B3A" w:rsidRDefault="00FF1B3A" w:rsidP="00FF1B3A">
      <w:pPr>
        <w:suppressLineNumbers/>
        <w:spacing w:line="240" w:lineRule="auto"/>
        <w:ind w:left="0" w:firstLine="0"/>
        <w:rPr>
          <w:rFonts w:ascii="Times New Roman" w:hAnsi="Times New Roman"/>
          <w:szCs w:val="24"/>
        </w:rPr>
      </w:pPr>
    </w:p>
    <w:p w:rsidR="00FF1B3A" w:rsidRPr="00FF1B3A" w:rsidRDefault="00FF1B3A" w:rsidP="00FF1B3A">
      <w:pPr>
        <w:suppressLineNumbers/>
        <w:spacing w:line="240" w:lineRule="auto"/>
        <w:ind w:left="0" w:firstLine="0"/>
        <w:rPr>
          <w:rFonts w:ascii="Times New Roman" w:hAnsi="Times New Roman"/>
          <w:szCs w:val="24"/>
        </w:rPr>
      </w:pPr>
    </w:p>
    <w:p w:rsidR="00FF1B3A" w:rsidRPr="00FF1B3A" w:rsidRDefault="00FF1B3A" w:rsidP="00FF1B3A">
      <w:pPr>
        <w:suppressLineNumbers/>
        <w:spacing w:line="240" w:lineRule="auto"/>
        <w:ind w:left="0" w:firstLine="0"/>
        <w:rPr>
          <w:rFonts w:ascii="Times New Roman" w:hAnsi="Times New Roman"/>
          <w:szCs w:val="24"/>
        </w:rPr>
      </w:pPr>
    </w:p>
    <w:p w:rsidR="00FF1B3A" w:rsidRPr="00FF1B3A" w:rsidRDefault="00FF1B3A" w:rsidP="00113369">
      <w:pPr>
        <w:suppressLineNumbers/>
        <w:spacing w:line="240" w:lineRule="auto"/>
        <w:ind w:left="0" w:firstLine="0"/>
        <w:rPr>
          <w:rFonts w:ascii="Times New Roman" w:hAnsi="Times New Roman"/>
          <w:szCs w:val="24"/>
        </w:rPr>
      </w:pPr>
    </w:p>
    <w:p w:rsidR="00086B5B" w:rsidRPr="00086B5B" w:rsidRDefault="00086B5B" w:rsidP="00086B5B">
      <w:pPr>
        <w:suppressLineNumbers/>
        <w:spacing w:line="240" w:lineRule="auto"/>
        <w:ind w:left="0" w:firstLine="0"/>
        <w:rPr>
          <w:rFonts w:ascii="Times New Roman" w:hAnsi="Times New Roman"/>
          <w:b/>
          <w:szCs w:val="24"/>
        </w:rPr>
      </w:pPr>
    </w:p>
    <w:p w:rsidR="00086B5B" w:rsidRDefault="00086B5B">
      <w:pPr>
        <w:spacing w:line="240" w:lineRule="auto"/>
        <w:ind w:left="0" w:firstLine="0"/>
        <w:rPr>
          <w:rFonts w:ascii="Times New Roman" w:hAnsi="Times New Roman"/>
          <w:b/>
          <w:szCs w:val="24"/>
        </w:rPr>
        <w:sectPr w:rsidR="00086B5B" w:rsidSect="00086B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00" w:header="720" w:footer="720" w:gutter="0"/>
          <w:lnNumType w:countBy="1"/>
          <w:pgNumType w:fmt="lowerRoman" w:start="1"/>
          <w:cols w:space="720"/>
        </w:sectPr>
      </w:pPr>
    </w:p>
    <w:p w:rsidR="009F4525" w:rsidRPr="00FC7D77" w:rsidRDefault="009F4525" w:rsidP="0034595D">
      <w:pPr>
        <w:pStyle w:val="BodyTextIndent"/>
        <w:rPr>
          <w:rFonts w:ascii="Times New Roman" w:hAnsi="Times New Roman"/>
          <w:b/>
          <w:szCs w:val="24"/>
        </w:rPr>
      </w:pPr>
      <w:r w:rsidRPr="00FC7D77">
        <w:rPr>
          <w:rFonts w:ascii="Times New Roman" w:hAnsi="Times New Roman"/>
          <w:b/>
          <w:szCs w:val="24"/>
        </w:rPr>
        <w:lastRenderedPageBreak/>
        <w:t>Q.</w:t>
      </w:r>
      <w:r w:rsidRPr="00FC7D77">
        <w:rPr>
          <w:rFonts w:ascii="Times New Roman" w:hAnsi="Times New Roman"/>
          <w:b/>
          <w:szCs w:val="24"/>
        </w:rPr>
        <w:tab/>
      </w:r>
      <w:r w:rsidR="00C12A56">
        <w:rPr>
          <w:rFonts w:ascii="Times New Roman" w:hAnsi="Times New Roman"/>
          <w:b/>
          <w:szCs w:val="24"/>
        </w:rPr>
        <w:t xml:space="preserve">Are you the same </w:t>
      </w:r>
      <w:r w:rsidR="00EA0B11">
        <w:rPr>
          <w:rFonts w:ascii="Times New Roman" w:hAnsi="Times New Roman"/>
          <w:b/>
          <w:szCs w:val="24"/>
        </w:rPr>
        <w:t>Joelle</w:t>
      </w:r>
      <w:r w:rsidR="00C12A56">
        <w:rPr>
          <w:rFonts w:ascii="Times New Roman" w:hAnsi="Times New Roman"/>
          <w:b/>
          <w:szCs w:val="24"/>
        </w:rPr>
        <w:t xml:space="preserve"> R. </w:t>
      </w:r>
      <w:r w:rsidR="00EA0B11">
        <w:rPr>
          <w:rFonts w:ascii="Times New Roman" w:hAnsi="Times New Roman"/>
          <w:b/>
          <w:szCs w:val="24"/>
        </w:rPr>
        <w:t>Steward</w:t>
      </w:r>
      <w:r w:rsidR="00C12A56">
        <w:rPr>
          <w:rFonts w:ascii="Times New Roman" w:hAnsi="Times New Roman"/>
          <w:b/>
          <w:szCs w:val="24"/>
        </w:rPr>
        <w:t xml:space="preserve"> </w:t>
      </w:r>
      <w:r w:rsidR="00452F08">
        <w:rPr>
          <w:rFonts w:ascii="Times New Roman" w:hAnsi="Times New Roman"/>
          <w:b/>
          <w:szCs w:val="24"/>
        </w:rPr>
        <w:t>that</w:t>
      </w:r>
      <w:r w:rsidR="00C12A56">
        <w:rPr>
          <w:rFonts w:ascii="Times New Roman" w:hAnsi="Times New Roman"/>
          <w:b/>
          <w:szCs w:val="24"/>
        </w:rPr>
        <w:t xml:space="preserve"> </w:t>
      </w:r>
      <w:r w:rsidR="00C639F7">
        <w:rPr>
          <w:rFonts w:ascii="Times New Roman" w:hAnsi="Times New Roman"/>
          <w:b/>
          <w:szCs w:val="24"/>
        </w:rPr>
        <w:t xml:space="preserve">previously </w:t>
      </w:r>
      <w:r w:rsidR="00452F08">
        <w:rPr>
          <w:rFonts w:ascii="Times New Roman" w:hAnsi="Times New Roman"/>
          <w:b/>
          <w:szCs w:val="24"/>
        </w:rPr>
        <w:t>submitted</w:t>
      </w:r>
      <w:r w:rsidR="00C12A56">
        <w:rPr>
          <w:rFonts w:ascii="Times New Roman" w:hAnsi="Times New Roman"/>
          <w:b/>
          <w:szCs w:val="24"/>
        </w:rPr>
        <w:t xml:space="preserve"> </w:t>
      </w:r>
      <w:r w:rsidR="00796DDF">
        <w:rPr>
          <w:rFonts w:ascii="Times New Roman" w:hAnsi="Times New Roman"/>
          <w:b/>
          <w:szCs w:val="24"/>
        </w:rPr>
        <w:t>d</w:t>
      </w:r>
      <w:r w:rsidR="00C12A56">
        <w:rPr>
          <w:rFonts w:ascii="Times New Roman" w:hAnsi="Times New Roman"/>
          <w:b/>
          <w:szCs w:val="24"/>
        </w:rPr>
        <w:t xml:space="preserve">irect </w:t>
      </w:r>
      <w:r w:rsidR="00796DDF">
        <w:rPr>
          <w:rFonts w:ascii="Times New Roman" w:hAnsi="Times New Roman"/>
          <w:b/>
          <w:szCs w:val="24"/>
        </w:rPr>
        <w:t>t</w:t>
      </w:r>
      <w:r w:rsidR="00C12A56">
        <w:rPr>
          <w:rFonts w:ascii="Times New Roman" w:hAnsi="Times New Roman"/>
          <w:b/>
          <w:szCs w:val="24"/>
        </w:rPr>
        <w:t xml:space="preserve">estimony </w:t>
      </w:r>
      <w:r w:rsidR="00C639F7">
        <w:rPr>
          <w:rFonts w:ascii="Times New Roman" w:hAnsi="Times New Roman"/>
          <w:b/>
          <w:szCs w:val="24"/>
        </w:rPr>
        <w:t xml:space="preserve">on behalf of PacifiCorp d/b/a Pacific Power &amp; Light Company (PacifiCorp or Company) </w:t>
      </w:r>
      <w:r w:rsidR="00C12A56">
        <w:rPr>
          <w:rFonts w:ascii="Times New Roman" w:hAnsi="Times New Roman"/>
          <w:b/>
          <w:szCs w:val="24"/>
        </w:rPr>
        <w:t>in this cas</w:t>
      </w:r>
      <w:r w:rsidR="00AD204B">
        <w:rPr>
          <w:rFonts w:ascii="Times New Roman" w:hAnsi="Times New Roman"/>
          <w:b/>
          <w:szCs w:val="24"/>
        </w:rPr>
        <w:t>e</w:t>
      </w:r>
      <w:r w:rsidR="00C12A56">
        <w:rPr>
          <w:rFonts w:ascii="Times New Roman" w:hAnsi="Times New Roman"/>
          <w:b/>
          <w:szCs w:val="24"/>
        </w:rPr>
        <w:t>?</w:t>
      </w:r>
    </w:p>
    <w:p w:rsidR="00B54283" w:rsidRDefault="009F4525" w:rsidP="00032352">
      <w:pPr>
        <w:pStyle w:val="BodyTextIndent"/>
        <w:rPr>
          <w:rFonts w:ascii="Times New Roman" w:hAnsi="Times New Roman"/>
          <w:b/>
          <w:szCs w:val="24"/>
        </w:rPr>
      </w:pPr>
      <w:r w:rsidRPr="00FC7D77">
        <w:rPr>
          <w:rFonts w:ascii="Times New Roman" w:hAnsi="Times New Roman"/>
          <w:szCs w:val="24"/>
        </w:rPr>
        <w:t>A.</w:t>
      </w:r>
      <w:r w:rsidRPr="00FC7D77">
        <w:rPr>
          <w:rFonts w:ascii="Times New Roman" w:hAnsi="Times New Roman"/>
          <w:szCs w:val="24"/>
        </w:rPr>
        <w:tab/>
        <w:t>Yes</w:t>
      </w:r>
      <w:r w:rsidR="00B54283">
        <w:rPr>
          <w:rFonts w:ascii="Times New Roman" w:hAnsi="Times New Roman"/>
          <w:szCs w:val="24"/>
        </w:rPr>
        <w:t>.</w:t>
      </w:r>
    </w:p>
    <w:p w:rsidR="00032352" w:rsidRPr="00FC7D77" w:rsidRDefault="00032352" w:rsidP="00032352">
      <w:pPr>
        <w:pStyle w:val="BodyTextIndent"/>
        <w:rPr>
          <w:rFonts w:ascii="Times New Roman" w:hAnsi="Times New Roman"/>
          <w:b/>
          <w:szCs w:val="24"/>
        </w:rPr>
      </w:pPr>
      <w:r w:rsidRPr="00FC7D77">
        <w:rPr>
          <w:rFonts w:ascii="Times New Roman" w:hAnsi="Times New Roman"/>
          <w:b/>
          <w:szCs w:val="24"/>
        </w:rPr>
        <w:t>Q.</w:t>
      </w:r>
      <w:r w:rsidRPr="00FC7D77">
        <w:rPr>
          <w:rFonts w:ascii="Times New Roman" w:hAnsi="Times New Roman"/>
          <w:b/>
          <w:szCs w:val="24"/>
        </w:rPr>
        <w:tab/>
      </w:r>
      <w:r>
        <w:rPr>
          <w:rFonts w:ascii="Times New Roman" w:hAnsi="Times New Roman"/>
          <w:b/>
          <w:szCs w:val="24"/>
        </w:rPr>
        <w:t xml:space="preserve">Are you adopting the direct testimony of </w:t>
      </w:r>
      <w:r w:rsidR="00C639F7">
        <w:rPr>
          <w:rFonts w:ascii="Times New Roman" w:hAnsi="Times New Roman"/>
          <w:b/>
          <w:szCs w:val="24"/>
        </w:rPr>
        <w:t xml:space="preserve">Mr. </w:t>
      </w:r>
      <w:r>
        <w:rPr>
          <w:rFonts w:ascii="Times New Roman" w:hAnsi="Times New Roman"/>
          <w:b/>
          <w:szCs w:val="24"/>
        </w:rPr>
        <w:t>C. Craig Paice in support of the cost of service study?</w:t>
      </w:r>
    </w:p>
    <w:p w:rsidR="00032352" w:rsidRPr="00FC7D77" w:rsidRDefault="00032352" w:rsidP="00032352">
      <w:pPr>
        <w:pStyle w:val="BodyTextIndent"/>
        <w:rPr>
          <w:rFonts w:ascii="Times New Roman" w:hAnsi="Times New Roman"/>
          <w:szCs w:val="24"/>
        </w:rPr>
      </w:pPr>
      <w:r w:rsidRPr="00FC7D77">
        <w:rPr>
          <w:rFonts w:ascii="Times New Roman" w:hAnsi="Times New Roman"/>
          <w:szCs w:val="24"/>
        </w:rPr>
        <w:t>A.</w:t>
      </w:r>
      <w:r w:rsidRPr="00FC7D77">
        <w:rPr>
          <w:rFonts w:ascii="Times New Roman" w:hAnsi="Times New Roman"/>
          <w:szCs w:val="24"/>
        </w:rPr>
        <w:tab/>
        <w:t>Yes</w:t>
      </w:r>
      <w:r>
        <w:rPr>
          <w:rFonts w:ascii="Times New Roman" w:hAnsi="Times New Roman"/>
          <w:szCs w:val="24"/>
        </w:rPr>
        <w:t>.</w:t>
      </w:r>
    </w:p>
    <w:p w:rsidR="009F4525" w:rsidRPr="00FC7D77" w:rsidRDefault="009F4525" w:rsidP="0034595D">
      <w:pPr>
        <w:pStyle w:val="Heading1"/>
        <w:rPr>
          <w:szCs w:val="24"/>
        </w:rPr>
      </w:pPr>
      <w:bookmarkStart w:id="0" w:name="_Toc362938854"/>
      <w:r w:rsidRPr="00FC7D77">
        <w:rPr>
          <w:szCs w:val="24"/>
        </w:rPr>
        <w:t>Purpose and Summary</w:t>
      </w:r>
      <w:bookmarkEnd w:id="0"/>
    </w:p>
    <w:p w:rsidR="002921E2" w:rsidRDefault="00905F81">
      <w:pPr>
        <w:pStyle w:val="Answer-Testimony"/>
      </w:pPr>
      <w:r w:rsidRPr="00905F81">
        <w:rPr>
          <w:b/>
        </w:rPr>
        <w:t>Q.</w:t>
      </w:r>
      <w:r w:rsidRPr="00905F81">
        <w:rPr>
          <w:b/>
        </w:rPr>
        <w:tab/>
        <w:t>What is the purpose of your rebuttal testimony?</w:t>
      </w:r>
    </w:p>
    <w:p w:rsidR="00D7481B" w:rsidRDefault="009F4525" w:rsidP="00FF20F6">
      <w:pPr>
        <w:tabs>
          <w:tab w:val="left" w:pos="-720"/>
          <w:tab w:val="left" w:pos="0"/>
        </w:tabs>
        <w:suppressAutoHyphens/>
        <w:rPr>
          <w:rFonts w:ascii="Times New Roman" w:hAnsi="Times New Roman"/>
          <w:szCs w:val="24"/>
        </w:rPr>
      </w:pPr>
      <w:r w:rsidRPr="00FC7D77">
        <w:rPr>
          <w:rFonts w:ascii="Times New Roman" w:hAnsi="Times New Roman"/>
          <w:szCs w:val="24"/>
        </w:rPr>
        <w:t>A.</w:t>
      </w:r>
      <w:r w:rsidRPr="00FC7D77">
        <w:rPr>
          <w:rFonts w:ascii="Times New Roman" w:hAnsi="Times New Roman"/>
          <w:szCs w:val="24"/>
        </w:rPr>
        <w:tab/>
        <w:t xml:space="preserve">The purpose of my </w:t>
      </w:r>
      <w:r w:rsidR="00796DDF">
        <w:rPr>
          <w:rFonts w:ascii="Times New Roman" w:hAnsi="Times New Roman"/>
          <w:szCs w:val="24"/>
        </w:rPr>
        <w:t>r</w:t>
      </w:r>
      <w:r w:rsidRPr="00FC7D77">
        <w:rPr>
          <w:rFonts w:ascii="Times New Roman" w:hAnsi="Times New Roman"/>
          <w:szCs w:val="24"/>
        </w:rPr>
        <w:t xml:space="preserve">ebuttal </w:t>
      </w:r>
      <w:r w:rsidR="00796DDF">
        <w:rPr>
          <w:rFonts w:ascii="Times New Roman" w:hAnsi="Times New Roman"/>
          <w:szCs w:val="24"/>
        </w:rPr>
        <w:t>t</w:t>
      </w:r>
      <w:r w:rsidRPr="00FC7D77">
        <w:rPr>
          <w:rFonts w:ascii="Times New Roman" w:hAnsi="Times New Roman"/>
          <w:szCs w:val="24"/>
        </w:rPr>
        <w:t xml:space="preserve">estimony is </w:t>
      </w:r>
      <w:r w:rsidR="00796DDF">
        <w:rPr>
          <w:rFonts w:ascii="Times New Roman" w:hAnsi="Times New Roman"/>
          <w:szCs w:val="24"/>
        </w:rPr>
        <w:t xml:space="preserve">to </w:t>
      </w:r>
      <w:r w:rsidRPr="00FC7D77">
        <w:rPr>
          <w:rFonts w:ascii="Times New Roman" w:hAnsi="Times New Roman"/>
          <w:szCs w:val="24"/>
        </w:rPr>
        <w:t>present</w:t>
      </w:r>
      <w:r w:rsidR="00B82B89">
        <w:rPr>
          <w:rFonts w:ascii="Times New Roman" w:hAnsi="Times New Roman"/>
          <w:szCs w:val="24"/>
        </w:rPr>
        <w:t xml:space="preserve"> the </w:t>
      </w:r>
      <w:r w:rsidR="00D74AA4">
        <w:rPr>
          <w:rFonts w:ascii="Times New Roman" w:hAnsi="Times New Roman"/>
          <w:szCs w:val="24"/>
        </w:rPr>
        <w:t xml:space="preserve">class </w:t>
      </w:r>
      <w:r w:rsidR="00B82B89">
        <w:rPr>
          <w:rFonts w:ascii="Times New Roman" w:hAnsi="Times New Roman"/>
          <w:szCs w:val="24"/>
        </w:rPr>
        <w:t xml:space="preserve">cost of service </w:t>
      </w:r>
      <w:r w:rsidR="00D74AA4">
        <w:rPr>
          <w:rFonts w:ascii="Times New Roman" w:hAnsi="Times New Roman"/>
          <w:szCs w:val="24"/>
        </w:rPr>
        <w:t xml:space="preserve">(COS) </w:t>
      </w:r>
      <w:r w:rsidR="00B82B89">
        <w:rPr>
          <w:rFonts w:ascii="Times New Roman" w:hAnsi="Times New Roman"/>
          <w:szCs w:val="24"/>
        </w:rPr>
        <w:t>study</w:t>
      </w:r>
      <w:r w:rsidR="009A181C">
        <w:rPr>
          <w:rFonts w:ascii="Times New Roman" w:hAnsi="Times New Roman"/>
          <w:szCs w:val="24"/>
        </w:rPr>
        <w:t xml:space="preserve"> results</w:t>
      </w:r>
      <w:r w:rsidR="00B82B89">
        <w:rPr>
          <w:rFonts w:ascii="Times New Roman" w:hAnsi="Times New Roman"/>
          <w:szCs w:val="24"/>
        </w:rPr>
        <w:t>,</w:t>
      </w:r>
      <w:r w:rsidRPr="00FC7D77">
        <w:rPr>
          <w:rFonts w:ascii="Times New Roman" w:hAnsi="Times New Roman"/>
          <w:szCs w:val="24"/>
        </w:rPr>
        <w:t xml:space="preserve"> rate spread</w:t>
      </w:r>
      <w:r w:rsidR="00D42EA6">
        <w:rPr>
          <w:rFonts w:ascii="Times New Roman" w:hAnsi="Times New Roman"/>
          <w:szCs w:val="24"/>
        </w:rPr>
        <w:t>,</w:t>
      </w:r>
      <w:r w:rsidRPr="00FC7D77">
        <w:rPr>
          <w:rFonts w:ascii="Times New Roman" w:hAnsi="Times New Roman"/>
          <w:szCs w:val="24"/>
        </w:rPr>
        <w:t xml:space="preserve"> and rate design </w:t>
      </w:r>
      <w:r w:rsidR="00B268A5" w:rsidRPr="00FC7D77">
        <w:rPr>
          <w:rFonts w:ascii="Times New Roman" w:hAnsi="Times New Roman"/>
          <w:szCs w:val="24"/>
        </w:rPr>
        <w:t xml:space="preserve">proposals </w:t>
      </w:r>
      <w:r w:rsidRPr="00FC7D77">
        <w:rPr>
          <w:rFonts w:ascii="Times New Roman" w:hAnsi="Times New Roman"/>
          <w:szCs w:val="24"/>
        </w:rPr>
        <w:t xml:space="preserve">reflecting the Company’s </w:t>
      </w:r>
      <w:r w:rsidR="00A16E26" w:rsidRPr="00FC7D77">
        <w:rPr>
          <w:rFonts w:ascii="Times New Roman" w:hAnsi="Times New Roman"/>
          <w:szCs w:val="24"/>
        </w:rPr>
        <w:t xml:space="preserve">revised </w:t>
      </w:r>
      <w:r w:rsidRPr="00FC7D77">
        <w:rPr>
          <w:rFonts w:ascii="Times New Roman" w:hAnsi="Times New Roman"/>
          <w:szCs w:val="24"/>
        </w:rPr>
        <w:t>revenue requirement</w:t>
      </w:r>
      <w:r w:rsidR="0079177C">
        <w:rPr>
          <w:rFonts w:ascii="Times New Roman" w:hAnsi="Times New Roman"/>
          <w:szCs w:val="24"/>
        </w:rPr>
        <w:t>.</w:t>
      </w:r>
      <w:r w:rsidR="00796DDF">
        <w:rPr>
          <w:rFonts w:ascii="Times New Roman" w:hAnsi="Times New Roman"/>
          <w:szCs w:val="24"/>
        </w:rPr>
        <w:t xml:space="preserve"> </w:t>
      </w:r>
      <w:r w:rsidR="00AD204B">
        <w:rPr>
          <w:rFonts w:ascii="Times New Roman" w:hAnsi="Times New Roman"/>
          <w:szCs w:val="24"/>
        </w:rPr>
        <w:t xml:space="preserve"> </w:t>
      </w:r>
      <w:r w:rsidR="0079177C">
        <w:rPr>
          <w:rFonts w:ascii="Times New Roman" w:hAnsi="Times New Roman"/>
          <w:szCs w:val="24"/>
        </w:rPr>
        <w:t xml:space="preserve">I </w:t>
      </w:r>
      <w:r w:rsidR="00937E63">
        <w:rPr>
          <w:rFonts w:ascii="Times New Roman" w:hAnsi="Times New Roman"/>
          <w:szCs w:val="24"/>
        </w:rPr>
        <w:t xml:space="preserve">also </w:t>
      </w:r>
      <w:r w:rsidR="0079177C">
        <w:rPr>
          <w:rFonts w:ascii="Times New Roman" w:hAnsi="Times New Roman"/>
          <w:szCs w:val="24"/>
        </w:rPr>
        <w:t xml:space="preserve">respond to </w:t>
      </w:r>
      <w:r w:rsidR="00796DDF">
        <w:rPr>
          <w:rFonts w:ascii="Times New Roman" w:hAnsi="Times New Roman"/>
          <w:szCs w:val="24"/>
        </w:rPr>
        <w:t xml:space="preserve">the direct testimony of </w:t>
      </w:r>
      <w:r w:rsidR="00C639F7">
        <w:rPr>
          <w:rFonts w:ascii="Times New Roman" w:hAnsi="Times New Roman"/>
          <w:szCs w:val="24"/>
        </w:rPr>
        <w:t xml:space="preserve">Mr. </w:t>
      </w:r>
      <w:r w:rsidR="00796DDF">
        <w:rPr>
          <w:rFonts w:ascii="Times New Roman" w:hAnsi="Times New Roman"/>
          <w:szCs w:val="24"/>
        </w:rPr>
        <w:t xml:space="preserve">Christopher T. Mickelson on behalf of </w:t>
      </w:r>
      <w:r w:rsidR="00C639F7">
        <w:rPr>
          <w:rFonts w:ascii="Times New Roman" w:hAnsi="Times New Roman"/>
          <w:szCs w:val="24"/>
        </w:rPr>
        <w:t xml:space="preserve">the Washington Utilities and Transportation Commission (Commission) </w:t>
      </w:r>
      <w:r w:rsidR="00796DDF">
        <w:rPr>
          <w:rFonts w:ascii="Times New Roman" w:hAnsi="Times New Roman"/>
          <w:szCs w:val="24"/>
        </w:rPr>
        <w:t xml:space="preserve">Staff, </w:t>
      </w:r>
      <w:r w:rsidR="00C639F7">
        <w:rPr>
          <w:rFonts w:ascii="Times New Roman" w:hAnsi="Times New Roman"/>
          <w:szCs w:val="24"/>
        </w:rPr>
        <w:t xml:space="preserve">Mr. </w:t>
      </w:r>
      <w:r w:rsidR="00796DDF">
        <w:rPr>
          <w:rFonts w:ascii="Times New Roman" w:hAnsi="Times New Roman"/>
          <w:szCs w:val="24"/>
        </w:rPr>
        <w:t>Glenn A</w:t>
      </w:r>
      <w:r w:rsidR="00035451">
        <w:rPr>
          <w:rFonts w:ascii="Times New Roman" w:hAnsi="Times New Roman"/>
          <w:szCs w:val="24"/>
        </w:rPr>
        <w:t>.</w:t>
      </w:r>
      <w:r w:rsidR="00796DDF">
        <w:rPr>
          <w:rFonts w:ascii="Times New Roman" w:hAnsi="Times New Roman"/>
          <w:szCs w:val="24"/>
        </w:rPr>
        <w:t xml:space="preserve"> Watkins on behalf of </w:t>
      </w:r>
      <w:r w:rsidR="00C639F7">
        <w:rPr>
          <w:rFonts w:ascii="Times New Roman" w:hAnsi="Times New Roman"/>
          <w:szCs w:val="24"/>
        </w:rPr>
        <w:t>the Public Counsel Division of the Washington Attorney General’s Office (</w:t>
      </w:r>
      <w:r w:rsidR="00796DDF">
        <w:rPr>
          <w:rFonts w:ascii="Times New Roman" w:hAnsi="Times New Roman"/>
          <w:szCs w:val="24"/>
        </w:rPr>
        <w:t>Public Counsel</w:t>
      </w:r>
      <w:r w:rsidR="00C639F7">
        <w:rPr>
          <w:rFonts w:ascii="Times New Roman" w:hAnsi="Times New Roman"/>
          <w:szCs w:val="24"/>
        </w:rPr>
        <w:t>),</w:t>
      </w:r>
      <w:r w:rsidR="00796DDF">
        <w:rPr>
          <w:rFonts w:ascii="Times New Roman" w:hAnsi="Times New Roman"/>
          <w:szCs w:val="24"/>
        </w:rPr>
        <w:t xml:space="preserve"> and </w:t>
      </w:r>
      <w:r w:rsidR="00C639F7">
        <w:rPr>
          <w:rFonts w:ascii="Times New Roman" w:hAnsi="Times New Roman"/>
          <w:szCs w:val="24"/>
        </w:rPr>
        <w:t xml:space="preserve">Mr. </w:t>
      </w:r>
      <w:r w:rsidR="00796DDF">
        <w:rPr>
          <w:rFonts w:ascii="Times New Roman" w:hAnsi="Times New Roman"/>
          <w:szCs w:val="24"/>
        </w:rPr>
        <w:t>Michael C. Deen on behalf of Boise White Paper, LLC</w:t>
      </w:r>
      <w:r w:rsidR="00C639F7">
        <w:rPr>
          <w:rFonts w:ascii="Times New Roman" w:hAnsi="Times New Roman"/>
          <w:szCs w:val="24"/>
        </w:rPr>
        <w:t xml:space="preserve"> (Boise)</w:t>
      </w:r>
      <w:r w:rsidR="009A181C">
        <w:rPr>
          <w:rFonts w:ascii="Times New Roman" w:hAnsi="Times New Roman"/>
          <w:szCs w:val="24"/>
        </w:rPr>
        <w:t>,</w:t>
      </w:r>
      <w:r w:rsidR="00796DDF">
        <w:rPr>
          <w:rFonts w:ascii="Times New Roman" w:hAnsi="Times New Roman"/>
          <w:szCs w:val="24"/>
        </w:rPr>
        <w:t xml:space="preserve"> regarding their positions on </w:t>
      </w:r>
      <w:r w:rsidR="00D74AA4">
        <w:rPr>
          <w:rFonts w:ascii="Times New Roman" w:hAnsi="Times New Roman"/>
          <w:szCs w:val="24"/>
        </w:rPr>
        <w:t>COS</w:t>
      </w:r>
      <w:r w:rsidR="00994072">
        <w:rPr>
          <w:rFonts w:ascii="Times New Roman" w:hAnsi="Times New Roman"/>
          <w:szCs w:val="24"/>
        </w:rPr>
        <w:t xml:space="preserve">, </w:t>
      </w:r>
      <w:r w:rsidR="0079177C">
        <w:rPr>
          <w:rFonts w:ascii="Times New Roman" w:hAnsi="Times New Roman"/>
          <w:szCs w:val="24"/>
        </w:rPr>
        <w:t>rate spread</w:t>
      </w:r>
      <w:r w:rsidR="00B54283">
        <w:rPr>
          <w:rFonts w:ascii="Times New Roman" w:hAnsi="Times New Roman"/>
          <w:szCs w:val="24"/>
        </w:rPr>
        <w:t>,</w:t>
      </w:r>
      <w:r w:rsidR="0079177C">
        <w:rPr>
          <w:rFonts w:ascii="Times New Roman" w:hAnsi="Times New Roman"/>
          <w:szCs w:val="24"/>
        </w:rPr>
        <w:t xml:space="preserve"> </w:t>
      </w:r>
      <w:r w:rsidR="00F60265">
        <w:rPr>
          <w:rFonts w:ascii="Times New Roman" w:hAnsi="Times New Roman"/>
          <w:szCs w:val="24"/>
        </w:rPr>
        <w:t>and</w:t>
      </w:r>
      <w:r w:rsidR="0079177C">
        <w:rPr>
          <w:rFonts w:ascii="Times New Roman" w:hAnsi="Times New Roman"/>
          <w:szCs w:val="24"/>
        </w:rPr>
        <w:t xml:space="preserve"> rate design</w:t>
      </w:r>
      <w:r w:rsidR="0079177C" w:rsidRPr="00FC7D77">
        <w:rPr>
          <w:rFonts w:ascii="Times New Roman" w:hAnsi="Times New Roman"/>
          <w:szCs w:val="24"/>
        </w:rPr>
        <w:t xml:space="preserve">.  </w:t>
      </w:r>
      <w:r w:rsidR="00B54283">
        <w:rPr>
          <w:rFonts w:ascii="Times New Roman" w:hAnsi="Times New Roman"/>
          <w:szCs w:val="24"/>
        </w:rPr>
        <w:t>Finally</w:t>
      </w:r>
      <w:r w:rsidR="005338F8">
        <w:rPr>
          <w:rFonts w:ascii="Times New Roman" w:hAnsi="Times New Roman"/>
          <w:szCs w:val="24"/>
        </w:rPr>
        <w:t>, I</w:t>
      </w:r>
      <w:r w:rsidR="009F70E0">
        <w:rPr>
          <w:rFonts w:ascii="Times New Roman" w:hAnsi="Times New Roman"/>
          <w:szCs w:val="24"/>
        </w:rPr>
        <w:t> </w:t>
      </w:r>
      <w:r w:rsidR="005338F8">
        <w:rPr>
          <w:rFonts w:ascii="Times New Roman" w:hAnsi="Times New Roman"/>
          <w:szCs w:val="24"/>
        </w:rPr>
        <w:t xml:space="preserve">respond to </w:t>
      </w:r>
      <w:r w:rsidR="00C639F7">
        <w:rPr>
          <w:rFonts w:ascii="Times New Roman" w:hAnsi="Times New Roman"/>
          <w:szCs w:val="24"/>
        </w:rPr>
        <w:t xml:space="preserve">the </w:t>
      </w:r>
      <w:r w:rsidR="00D74AA4">
        <w:rPr>
          <w:rFonts w:ascii="Times New Roman" w:hAnsi="Times New Roman"/>
          <w:szCs w:val="24"/>
        </w:rPr>
        <w:t>r</w:t>
      </w:r>
      <w:r w:rsidR="00C639F7">
        <w:rPr>
          <w:rFonts w:ascii="Times New Roman" w:hAnsi="Times New Roman"/>
          <w:szCs w:val="24"/>
        </w:rPr>
        <w:t xml:space="preserve">evenue </w:t>
      </w:r>
      <w:r w:rsidR="00D74AA4">
        <w:rPr>
          <w:rFonts w:ascii="Times New Roman" w:hAnsi="Times New Roman"/>
          <w:szCs w:val="24"/>
        </w:rPr>
        <w:t>n</w:t>
      </w:r>
      <w:r w:rsidR="00C639F7">
        <w:rPr>
          <w:rFonts w:ascii="Times New Roman" w:hAnsi="Times New Roman"/>
          <w:szCs w:val="24"/>
        </w:rPr>
        <w:t xml:space="preserve">ormalization </w:t>
      </w:r>
      <w:r w:rsidR="00D74AA4">
        <w:rPr>
          <w:rFonts w:ascii="Times New Roman" w:hAnsi="Times New Roman"/>
          <w:szCs w:val="24"/>
        </w:rPr>
        <w:t>a</w:t>
      </w:r>
      <w:r w:rsidR="00C639F7">
        <w:rPr>
          <w:rFonts w:ascii="Times New Roman" w:hAnsi="Times New Roman"/>
          <w:szCs w:val="24"/>
        </w:rPr>
        <w:t>djustment</w:t>
      </w:r>
      <w:r w:rsidR="005338F8">
        <w:rPr>
          <w:rFonts w:ascii="Times New Roman" w:hAnsi="Times New Roman"/>
          <w:szCs w:val="24"/>
        </w:rPr>
        <w:t xml:space="preserve"> </w:t>
      </w:r>
      <w:r w:rsidR="00C639F7">
        <w:rPr>
          <w:rFonts w:ascii="Times New Roman" w:hAnsi="Times New Roman"/>
          <w:szCs w:val="24"/>
        </w:rPr>
        <w:t>proposed by Mr. James R. Dittmer on behalf of Public Counsel</w:t>
      </w:r>
      <w:r w:rsidR="005338F8">
        <w:rPr>
          <w:rFonts w:ascii="Times New Roman" w:hAnsi="Times New Roman"/>
          <w:szCs w:val="24"/>
        </w:rPr>
        <w:t>.</w:t>
      </w:r>
      <w:r w:rsidR="00A16E26" w:rsidRPr="00FC7D77">
        <w:rPr>
          <w:rFonts w:ascii="Times New Roman" w:hAnsi="Times New Roman"/>
          <w:szCs w:val="24"/>
        </w:rPr>
        <w:t xml:space="preserve">  </w:t>
      </w:r>
    </w:p>
    <w:p w:rsidR="002921E2" w:rsidRDefault="00905F81">
      <w:pPr>
        <w:pStyle w:val="Answer-Testimony"/>
      </w:pPr>
      <w:r w:rsidRPr="00905F81">
        <w:rPr>
          <w:b/>
        </w:rPr>
        <w:t>Q.</w:t>
      </w:r>
      <w:r w:rsidRPr="00905F81">
        <w:rPr>
          <w:b/>
        </w:rPr>
        <w:tab/>
        <w:t>Please summarize your testimony.</w:t>
      </w:r>
    </w:p>
    <w:p w:rsidR="0020664C" w:rsidRDefault="003A3B78" w:rsidP="003A3B78">
      <w:pPr>
        <w:tabs>
          <w:tab w:val="left" w:pos="-720"/>
          <w:tab w:val="left" w:pos="0"/>
        </w:tabs>
        <w:suppressAutoHyphens/>
        <w:rPr>
          <w:rFonts w:ascii="Times New Roman" w:hAnsi="Times New Roman"/>
          <w:szCs w:val="24"/>
        </w:rPr>
      </w:pPr>
      <w:r w:rsidRPr="00FC7D77">
        <w:rPr>
          <w:rFonts w:ascii="Times New Roman" w:hAnsi="Times New Roman"/>
          <w:szCs w:val="24"/>
        </w:rPr>
        <w:t>A.</w:t>
      </w:r>
      <w:r w:rsidRPr="00FC7D77">
        <w:rPr>
          <w:rFonts w:ascii="Times New Roman" w:hAnsi="Times New Roman"/>
          <w:szCs w:val="24"/>
        </w:rPr>
        <w:tab/>
      </w:r>
      <w:r w:rsidR="00B7340C">
        <w:rPr>
          <w:rFonts w:ascii="Times New Roman" w:hAnsi="Times New Roman"/>
          <w:szCs w:val="24"/>
        </w:rPr>
        <w:t xml:space="preserve">First, concerning </w:t>
      </w:r>
      <w:r w:rsidR="006C4430">
        <w:rPr>
          <w:rFonts w:ascii="Times New Roman" w:hAnsi="Times New Roman"/>
          <w:szCs w:val="24"/>
        </w:rPr>
        <w:t>COS</w:t>
      </w:r>
      <w:r w:rsidR="00B7340C">
        <w:rPr>
          <w:rFonts w:ascii="Times New Roman" w:hAnsi="Times New Roman"/>
          <w:szCs w:val="24"/>
        </w:rPr>
        <w:t xml:space="preserve"> results, w</w:t>
      </w:r>
      <w:r w:rsidR="00032352">
        <w:rPr>
          <w:rFonts w:ascii="Times New Roman" w:hAnsi="Times New Roman"/>
          <w:szCs w:val="24"/>
        </w:rPr>
        <w:t xml:space="preserve">hile no party proposed changes to the </w:t>
      </w:r>
      <w:r w:rsidR="00D74AA4">
        <w:rPr>
          <w:rFonts w:ascii="Times New Roman" w:hAnsi="Times New Roman"/>
          <w:szCs w:val="24"/>
        </w:rPr>
        <w:t>COS</w:t>
      </w:r>
      <w:r w:rsidR="00032352">
        <w:rPr>
          <w:rFonts w:ascii="Times New Roman" w:hAnsi="Times New Roman"/>
          <w:szCs w:val="24"/>
        </w:rPr>
        <w:t xml:space="preserve"> study for this proceeding, </w:t>
      </w:r>
      <w:r w:rsidR="008A4EA9">
        <w:rPr>
          <w:rFonts w:ascii="Times New Roman" w:hAnsi="Times New Roman"/>
          <w:szCs w:val="24"/>
        </w:rPr>
        <w:t>Mr. Mickelson</w:t>
      </w:r>
      <w:r w:rsidR="00032352">
        <w:rPr>
          <w:rFonts w:ascii="Times New Roman" w:hAnsi="Times New Roman"/>
          <w:szCs w:val="24"/>
        </w:rPr>
        <w:t xml:space="preserve"> recommend</w:t>
      </w:r>
      <w:r w:rsidR="008A4EA9">
        <w:rPr>
          <w:rFonts w:ascii="Times New Roman" w:hAnsi="Times New Roman"/>
          <w:szCs w:val="24"/>
        </w:rPr>
        <w:t>s</w:t>
      </w:r>
      <w:r w:rsidR="00032352">
        <w:rPr>
          <w:rFonts w:ascii="Times New Roman" w:hAnsi="Times New Roman"/>
          <w:szCs w:val="24"/>
        </w:rPr>
        <w:t xml:space="preserve"> </w:t>
      </w:r>
      <w:r w:rsidR="009A181C">
        <w:rPr>
          <w:rFonts w:ascii="Times New Roman" w:hAnsi="Times New Roman"/>
          <w:szCs w:val="24"/>
        </w:rPr>
        <w:t xml:space="preserve">three </w:t>
      </w:r>
      <w:r w:rsidR="00032352">
        <w:rPr>
          <w:rFonts w:ascii="Times New Roman" w:hAnsi="Times New Roman"/>
          <w:szCs w:val="24"/>
        </w:rPr>
        <w:t>changes for the study for the next general rate</w:t>
      </w:r>
      <w:r w:rsidR="009A181C">
        <w:rPr>
          <w:rFonts w:ascii="Times New Roman" w:hAnsi="Times New Roman"/>
          <w:szCs w:val="24"/>
        </w:rPr>
        <w:t xml:space="preserve"> case</w:t>
      </w:r>
      <w:r w:rsidR="00032352">
        <w:rPr>
          <w:rFonts w:ascii="Times New Roman" w:hAnsi="Times New Roman"/>
          <w:szCs w:val="24"/>
        </w:rPr>
        <w:t xml:space="preserve">.  </w:t>
      </w:r>
      <w:r w:rsidR="008A4EA9">
        <w:rPr>
          <w:rFonts w:ascii="Times New Roman" w:hAnsi="Times New Roman"/>
          <w:szCs w:val="24"/>
        </w:rPr>
        <w:t xml:space="preserve">Mr. Mickelson’s </w:t>
      </w:r>
      <w:r w:rsidR="009A181C">
        <w:rPr>
          <w:rFonts w:ascii="Times New Roman" w:hAnsi="Times New Roman"/>
          <w:szCs w:val="24"/>
        </w:rPr>
        <w:t xml:space="preserve">first </w:t>
      </w:r>
      <w:r w:rsidR="00032352">
        <w:rPr>
          <w:rFonts w:ascii="Times New Roman" w:hAnsi="Times New Roman"/>
          <w:szCs w:val="24"/>
        </w:rPr>
        <w:t>proposal</w:t>
      </w:r>
      <w:r w:rsidR="009A181C">
        <w:rPr>
          <w:rFonts w:ascii="Times New Roman" w:hAnsi="Times New Roman"/>
          <w:szCs w:val="24"/>
        </w:rPr>
        <w:t xml:space="preserve">—to </w:t>
      </w:r>
      <w:r w:rsidR="00032352">
        <w:rPr>
          <w:rFonts w:ascii="Times New Roman" w:hAnsi="Times New Roman"/>
          <w:szCs w:val="24"/>
        </w:rPr>
        <w:t>modify the peak credit calculation</w:t>
      </w:r>
      <w:r w:rsidR="009A181C">
        <w:rPr>
          <w:rFonts w:ascii="Times New Roman" w:hAnsi="Times New Roman"/>
          <w:szCs w:val="24"/>
        </w:rPr>
        <w:t xml:space="preserve">—is </w:t>
      </w:r>
      <w:r w:rsidR="00032352">
        <w:rPr>
          <w:rFonts w:ascii="Times New Roman" w:hAnsi="Times New Roman"/>
          <w:szCs w:val="24"/>
        </w:rPr>
        <w:t xml:space="preserve">not well supported, particularly in light of the cost shifting that would </w:t>
      </w:r>
      <w:r w:rsidR="00032352">
        <w:rPr>
          <w:rFonts w:ascii="Times New Roman" w:hAnsi="Times New Roman"/>
          <w:szCs w:val="24"/>
        </w:rPr>
        <w:lastRenderedPageBreak/>
        <w:t xml:space="preserve">occur as a result of </w:t>
      </w:r>
      <w:r w:rsidR="008A4EA9">
        <w:rPr>
          <w:rFonts w:ascii="Times New Roman" w:hAnsi="Times New Roman"/>
          <w:szCs w:val="24"/>
        </w:rPr>
        <w:t xml:space="preserve">his </w:t>
      </w:r>
      <w:r w:rsidR="00032352">
        <w:rPr>
          <w:rFonts w:ascii="Times New Roman" w:hAnsi="Times New Roman"/>
          <w:szCs w:val="24"/>
        </w:rPr>
        <w:t xml:space="preserve">recommendation.  </w:t>
      </w:r>
      <w:r w:rsidR="008A4EA9">
        <w:rPr>
          <w:rFonts w:ascii="Times New Roman" w:hAnsi="Times New Roman"/>
          <w:szCs w:val="24"/>
        </w:rPr>
        <w:t>Mr. Mickelson</w:t>
      </w:r>
      <w:r w:rsidR="00032352">
        <w:rPr>
          <w:rFonts w:ascii="Times New Roman" w:hAnsi="Times New Roman"/>
          <w:szCs w:val="24"/>
        </w:rPr>
        <w:t xml:space="preserve">’s </w:t>
      </w:r>
      <w:r w:rsidR="009A181C">
        <w:rPr>
          <w:rFonts w:ascii="Times New Roman" w:hAnsi="Times New Roman"/>
          <w:szCs w:val="24"/>
        </w:rPr>
        <w:t xml:space="preserve">second </w:t>
      </w:r>
      <w:r w:rsidR="00032352">
        <w:rPr>
          <w:rFonts w:ascii="Times New Roman" w:hAnsi="Times New Roman"/>
          <w:szCs w:val="24"/>
        </w:rPr>
        <w:t>recommendation</w:t>
      </w:r>
      <w:r w:rsidR="00D74AA4">
        <w:rPr>
          <w:rFonts w:ascii="Times New Roman" w:hAnsi="Times New Roman"/>
          <w:szCs w:val="24"/>
        </w:rPr>
        <w:t>—</w:t>
      </w:r>
      <w:r w:rsidR="00032352">
        <w:rPr>
          <w:rFonts w:ascii="Times New Roman" w:hAnsi="Times New Roman"/>
          <w:szCs w:val="24"/>
        </w:rPr>
        <w:t>to create a new allocation factor for non-dispatchable generation</w:t>
      </w:r>
      <w:r w:rsidR="00D74AA4">
        <w:rPr>
          <w:rFonts w:ascii="Times New Roman" w:hAnsi="Times New Roman"/>
          <w:szCs w:val="24"/>
        </w:rPr>
        <w:t>—</w:t>
      </w:r>
      <w:r w:rsidR="00B7340C">
        <w:rPr>
          <w:rFonts w:ascii="Times New Roman" w:hAnsi="Times New Roman"/>
          <w:szCs w:val="24"/>
        </w:rPr>
        <w:t>is poorly specified</w:t>
      </w:r>
      <w:r w:rsidR="00D74AA4">
        <w:rPr>
          <w:rFonts w:ascii="Times New Roman" w:hAnsi="Times New Roman"/>
          <w:szCs w:val="24"/>
        </w:rPr>
        <w:t>,</w:t>
      </w:r>
      <w:r w:rsidR="0020664C">
        <w:rPr>
          <w:rFonts w:ascii="Times New Roman" w:hAnsi="Times New Roman"/>
          <w:szCs w:val="24"/>
        </w:rPr>
        <w:t xml:space="preserve"> and </w:t>
      </w:r>
      <w:r w:rsidR="00B7340C">
        <w:rPr>
          <w:rFonts w:ascii="Times New Roman" w:hAnsi="Times New Roman"/>
          <w:szCs w:val="24"/>
        </w:rPr>
        <w:t xml:space="preserve">it remains </w:t>
      </w:r>
      <w:r w:rsidR="0020664C">
        <w:rPr>
          <w:rFonts w:ascii="Times New Roman" w:hAnsi="Times New Roman"/>
          <w:szCs w:val="24"/>
        </w:rPr>
        <w:t>uncertain what specific information</w:t>
      </w:r>
      <w:r w:rsidR="008A4EA9">
        <w:rPr>
          <w:rFonts w:ascii="Times New Roman" w:hAnsi="Times New Roman"/>
          <w:szCs w:val="24"/>
        </w:rPr>
        <w:t xml:space="preserve"> he</w:t>
      </w:r>
      <w:r w:rsidR="0020664C">
        <w:rPr>
          <w:rFonts w:ascii="Times New Roman" w:hAnsi="Times New Roman"/>
          <w:szCs w:val="24"/>
        </w:rPr>
        <w:t xml:space="preserve"> is seeking; the Company is </w:t>
      </w:r>
      <w:r w:rsidR="00D74AA4">
        <w:rPr>
          <w:rFonts w:ascii="Times New Roman" w:hAnsi="Times New Roman"/>
          <w:szCs w:val="24"/>
        </w:rPr>
        <w:t xml:space="preserve">therefore </w:t>
      </w:r>
      <w:r w:rsidR="0020664C">
        <w:rPr>
          <w:rFonts w:ascii="Times New Roman" w:hAnsi="Times New Roman"/>
          <w:szCs w:val="24"/>
        </w:rPr>
        <w:t xml:space="preserve">unable to take a position regarding </w:t>
      </w:r>
      <w:r w:rsidR="008A4EA9">
        <w:rPr>
          <w:rFonts w:ascii="Times New Roman" w:hAnsi="Times New Roman"/>
          <w:szCs w:val="24"/>
        </w:rPr>
        <w:t xml:space="preserve">this </w:t>
      </w:r>
      <w:r w:rsidR="0020664C">
        <w:rPr>
          <w:rFonts w:ascii="Times New Roman" w:hAnsi="Times New Roman"/>
          <w:szCs w:val="24"/>
        </w:rPr>
        <w:t xml:space="preserve">proposal at this time.  </w:t>
      </w:r>
      <w:r w:rsidR="00D74AA4">
        <w:rPr>
          <w:rFonts w:ascii="Times New Roman" w:hAnsi="Times New Roman"/>
          <w:szCs w:val="24"/>
        </w:rPr>
        <w:t>Finally</w:t>
      </w:r>
      <w:r w:rsidR="0020664C">
        <w:rPr>
          <w:rFonts w:ascii="Times New Roman" w:hAnsi="Times New Roman"/>
          <w:szCs w:val="24"/>
        </w:rPr>
        <w:t xml:space="preserve">, </w:t>
      </w:r>
      <w:r w:rsidR="008A4EA9">
        <w:rPr>
          <w:rFonts w:ascii="Times New Roman" w:hAnsi="Times New Roman"/>
          <w:szCs w:val="24"/>
        </w:rPr>
        <w:t xml:space="preserve">Mr. Mickelson’s </w:t>
      </w:r>
      <w:r w:rsidR="0020664C">
        <w:rPr>
          <w:rFonts w:ascii="Times New Roman" w:hAnsi="Times New Roman"/>
          <w:szCs w:val="24"/>
        </w:rPr>
        <w:t>recommendation to assign corporate account managers to Schedule 48T could be given further consideration; however, the cost impacts are minimal.</w:t>
      </w:r>
      <w:r w:rsidR="00032352">
        <w:rPr>
          <w:rFonts w:ascii="Times New Roman" w:hAnsi="Times New Roman"/>
          <w:szCs w:val="24"/>
        </w:rPr>
        <w:t xml:space="preserve"> </w:t>
      </w:r>
    </w:p>
    <w:p w:rsidR="00B7340C" w:rsidRDefault="0020664C" w:rsidP="003A3B78">
      <w:pPr>
        <w:tabs>
          <w:tab w:val="left" w:pos="-720"/>
          <w:tab w:val="left" w:pos="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sidR="00B7340C">
        <w:rPr>
          <w:rFonts w:ascii="Times New Roman" w:hAnsi="Times New Roman"/>
          <w:szCs w:val="24"/>
        </w:rPr>
        <w:t>Concerning rate spread and rate design, t</w:t>
      </w:r>
      <w:r w:rsidR="003A3B78">
        <w:rPr>
          <w:rFonts w:ascii="Times New Roman" w:hAnsi="Times New Roman"/>
          <w:szCs w:val="24"/>
        </w:rPr>
        <w:t xml:space="preserve">he Company </w:t>
      </w:r>
      <w:r w:rsidR="003A3B78" w:rsidRPr="00BB0F31">
        <w:rPr>
          <w:rFonts w:ascii="Times New Roman" w:hAnsi="Times New Roman"/>
          <w:szCs w:val="24"/>
        </w:rPr>
        <w:t xml:space="preserve">proposes a rate spread and </w:t>
      </w:r>
      <w:r w:rsidR="00D74AA4">
        <w:rPr>
          <w:rFonts w:ascii="Times New Roman" w:hAnsi="Times New Roman"/>
          <w:szCs w:val="24"/>
        </w:rPr>
        <w:t xml:space="preserve">rate </w:t>
      </w:r>
      <w:r w:rsidR="003A3B78" w:rsidRPr="00BB0F31">
        <w:rPr>
          <w:rFonts w:ascii="Times New Roman" w:hAnsi="Times New Roman"/>
          <w:szCs w:val="24"/>
        </w:rPr>
        <w:t xml:space="preserve">design </w:t>
      </w:r>
      <w:r w:rsidR="00B7340C">
        <w:rPr>
          <w:rFonts w:ascii="Times New Roman" w:hAnsi="Times New Roman"/>
          <w:szCs w:val="24"/>
        </w:rPr>
        <w:t xml:space="preserve">largely </w:t>
      </w:r>
      <w:r w:rsidR="003A3B78" w:rsidRPr="00BB0F31">
        <w:rPr>
          <w:rFonts w:ascii="Times New Roman" w:hAnsi="Times New Roman"/>
          <w:szCs w:val="24"/>
        </w:rPr>
        <w:t xml:space="preserve">consistent with my direct testimony.  The proposed rate spread </w:t>
      </w:r>
      <w:r w:rsidR="00B7340C">
        <w:rPr>
          <w:rFonts w:ascii="Times New Roman" w:hAnsi="Times New Roman"/>
          <w:szCs w:val="24"/>
        </w:rPr>
        <w:t xml:space="preserve">follows the same methodology the Company proposed in its direct case and </w:t>
      </w:r>
      <w:r w:rsidR="003A3B78" w:rsidRPr="00BB0F31">
        <w:rPr>
          <w:rFonts w:ascii="Times New Roman" w:hAnsi="Times New Roman"/>
          <w:szCs w:val="24"/>
        </w:rPr>
        <w:t xml:space="preserve">is a </w:t>
      </w:r>
      <w:r w:rsidR="004F0482" w:rsidRPr="00BB0F31">
        <w:rPr>
          <w:rFonts w:ascii="Times New Roman" w:hAnsi="Times New Roman"/>
          <w:szCs w:val="24"/>
        </w:rPr>
        <w:t xml:space="preserve">reasonable </w:t>
      </w:r>
      <w:r w:rsidR="00DA3BBD" w:rsidRPr="00BB0F31">
        <w:rPr>
          <w:rFonts w:ascii="Times New Roman" w:hAnsi="Times New Roman"/>
          <w:szCs w:val="24"/>
        </w:rPr>
        <w:t xml:space="preserve">middle ground between the proposals from </w:t>
      </w:r>
      <w:r w:rsidR="008A4EA9">
        <w:rPr>
          <w:rFonts w:ascii="Times New Roman" w:hAnsi="Times New Roman"/>
          <w:szCs w:val="24"/>
        </w:rPr>
        <w:t>Mr. Mickelson and Mr. Deen</w:t>
      </w:r>
      <w:r w:rsidR="00B7340C">
        <w:rPr>
          <w:rFonts w:ascii="Times New Roman" w:hAnsi="Times New Roman"/>
          <w:szCs w:val="24"/>
        </w:rPr>
        <w:t xml:space="preserve">.  It </w:t>
      </w:r>
      <w:r w:rsidR="00DA3BBD" w:rsidRPr="00BB0F31">
        <w:rPr>
          <w:rFonts w:ascii="Times New Roman" w:hAnsi="Times New Roman"/>
          <w:szCs w:val="24"/>
        </w:rPr>
        <w:t xml:space="preserve">makes movement to </w:t>
      </w:r>
      <w:r w:rsidR="00D74AA4">
        <w:rPr>
          <w:rFonts w:ascii="Times New Roman" w:hAnsi="Times New Roman"/>
          <w:szCs w:val="24"/>
        </w:rPr>
        <w:t>COS</w:t>
      </w:r>
      <w:r w:rsidR="00DA3BBD" w:rsidRPr="00BB0F31">
        <w:rPr>
          <w:rFonts w:ascii="Times New Roman" w:hAnsi="Times New Roman"/>
          <w:szCs w:val="24"/>
        </w:rPr>
        <w:t xml:space="preserve"> for all rate schedules.  The Company’s proposed rates have been revised to reflect the rebuttal revenue requirement presented by </w:t>
      </w:r>
      <w:r w:rsidR="00C639F7">
        <w:rPr>
          <w:rFonts w:ascii="Times New Roman" w:hAnsi="Times New Roman"/>
          <w:szCs w:val="24"/>
        </w:rPr>
        <w:t xml:space="preserve">Mr. </w:t>
      </w:r>
      <w:r w:rsidR="00DA3BBD" w:rsidRPr="004026C4">
        <w:rPr>
          <w:rFonts w:ascii="Times New Roman" w:hAnsi="Times New Roman"/>
          <w:szCs w:val="24"/>
        </w:rPr>
        <w:t>Steven R. McDougal.  The Company is proposing a residential basic charge of $</w:t>
      </w:r>
      <w:r w:rsidR="00B6591C" w:rsidRPr="004026C4">
        <w:rPr>
          <w:rFonts w:ascii="Times New Roman" w:hAnsi="Times New Roman"/>
          <w:szCs w:val="24"/>
        </w:rPr>
        <w:t>8</w:t>
      </w:r>
      <w:r w:rsidR="00DA3BBD" w:rsidRPr="004026C4">
        <w:rPr>
          <w:rFonts w:ascii="Times New Roman" w:hAnsi="Times New Roman"/>
          <w:szCs w:val="24"/>
        </w:rPr>
        <w:t>.</w:t>
      </w:r>
      <w:r w:rsidR="00B6591C" w:rsidRPr="004026C4">
        <w:rPr>
          <w:rFonts w:ascii="Times New Roman" w:hAnsi="Times New Roman"/>
          <w:szCs w:val="24"/>
        </w:rPr>
        <w:t>85</w:t>
      </w:r>
      <w:r w:rsidR="004026C4">
        <w:rPr>
          <w:rFonts w:ascii="Times New Roman" w:hAnsi="Times New Roman"/>
          <w:szCs w:val="24"/>
        </w:rPr>
        <w:t>,</w:t>
      </w:r>
      <w:r w:rsidR="00DA3BBD">
        <w:rPr>
          <w:rFonts w:ascii="Times New Roman" w:hAnsi="Times New Roman"/>
          <w:szCs w:val="24"/>
        </w:rPr>
        <w:t xml:space="preserve"> which is based on the basic charge calculation proposed by </w:t>
      </w:r>
      <w:r w:rsidR="00FE0115">
        <w:rPr>
          <w:rFonts w:ascii="Times New Roman" w:hAnsi="Times New Roman"/>
          <w:szCs w:val="24"/>
        </w:rPr>
        <w:t>Mr. Mickelson</w:t>
      </w:r>
      <w:r w:rsidR="00DA3BBD">
        <w:rPr>
          <w:rFonts w:ascii="Times New Roman" w:hAnsi="Times New Roman"/>
          <w:szCs w:val="24"/>
        </w:rPr>
        <w:t xml:space="preserve">.  </w:t>
      </w:r>
      <w:r w:rsidR="004F0482">
        <w:rPr>
          <w:rFonts w:ascii="Times New Roman" w:hAnsi="Times New Roman"/>
          <w:szCs w:val="24"/>
        </w:rPr>
        <w:t xml:space="preserve">The Company does not support </w:t>
      </w:r>
      <w:r w:rsidR="00FE0115">
        <w:rPr>
          <w:rFonts w:ascii="Times New Roman" w:hAnsi="Times New Roman"/>
          <w:szCs w:val="24"/>
        </w:rPr>
        <w:t xml:space="preserve">Mr. Mickelson’s </w:t>
      </w:r>
      <w:r w:rsidR="00B7340C">
        <w:rPr>
          <w:rFonts w:ascii="Times New Roman" w:hAnsi="Times New Roman"/>
          <w:szCs w:val="24"/>
        </w:rPr>
        <w:t xml:space="preserve">other </w:t>
      </w:r>
      <w:r w:rsidR="004F0482">
        <w:rPr>
          <w:rFonts w:ascii="Times New Roman" w:hAnsi="Times New Roman"/>
          <w:szCs w:val="24"/>
        </w:rPr>
        <w:t xml:space="preserve">proposed changes to residential rate design because the supporting information is neither current nor necessarily reflective of </w:t>
      </w:r>
      <w:r w:rsidR="00D74AA4">
        <w:rPr>
          <w:rFonts w:ascii="Times New Roman" w:hAnsi="Times New Roman"/>
          <w:szCs w:val="24"/>
        </w:rPr>
        <w:t xml:space="preserve">the Company’s </w:t>
      </w:r>
      <w:r w:rsidR="004F0482">
        <w:rPr>
          <w:rFonts w:ascii="Times New Roman" w:hAnsi="Times New Roman"/>
          <w:szCs w:val="24"/>
        </w:rPr>
        <w:t>Washington service area</w:t>
      </w:r>
      <w:r w:rsidR="00B7340C">
        <w:rPr>
          <w:rFonts w:ascii="Times New Roman" w:hAnsi="Times New Roman"/>
          <w:szCs w:val="24"/>
        </w:rPr>
        <w:t>.  T</w:t>
      </w:r>
      <w:r w:rsidR="004F0482">
        <w:rPr>
          <w:rFonts w:ascii="Times New Roman" w:hAnsi="Times New Roman"/>
          <w:szCs w:val="24"/>
        </w:rPr>
        <w:t>he Company’s current residential rate structure already sends strong price signal</w:t>
      </w:r>
      <w:r w:rsidR="00B7340C">
        <w:rPr>
          <w:rFonts w:ascii="Times New Roman" w:hAnsi="Times New Roman"/>
          <w:szCs w:val="24"/>
        </w:rPr>
        <w:t>s</w:t>
      </w:r>
      <w:r w:rsidR="004F0482">
        <w:rPr>
          <w:rFonts w:ascii="Times New Roman" w:hAnsi="Times New Roman"/>
          <w:szCs w:val="24"/>
        </w:rPr>
        <w:t xml:space="preserve"> to </w:t>
      </w:r>
      <w:r w:rsidR="001C52F7">
        <w:rPr>
          <w:rFonts w:ascii="Times New Roman" w:hAnsi="Times New Roman"/>
          <w:szCs w:val="24"/>
        </w:rPr>
        <w:t>more customers</w:t>
      </w:r>
      <w:r w:rsidR="005E61BA">
        <w:rPr>
          <w:rFonts w:ascii="Times New Roman" w:hAnsi="Times New Roman"/>
          <w:szCs w:val="24"/>
        </w:rPr>
        <w:t xml:space="preserve"> than </w:t>
      </w:r>
      <w:r w:rsidR="00FE0115">
        <w:rPr>
          <w:rFonts w:ascii="Times New Roman" w:hAnsi="Times New Roman"/>
          <w:szCs w:val="24"/>
        </w:rPr>
        <w:t xml:space="preserve">Mr. Mickelson’s </w:t>
      </w:r>
      <w:r w:rsidR="005E61BA">
        <w:rPr>
          <w:rFonts w:ascii="Times New Roman" w:hAnsi="Times New Roman"/>
          <w:szCs w:val="24"/>
        </w:rPr>
        <w:t>propos</w:t>
      </w:r>
      <w:r w:rsidR="006A6F4C">
        <w:rPr>
          <w:rFonts w:ascii="Times New Roman" w:hAnsi="Times New Roman"/>
          <w:szCs w:val="24"/>
        </w:rPr>
        <w:t>ed rate structure</w:t>
      </w:r>
      <w:r w:rsidR="001C52F7">
        <w:rPr>
          <w:rFonts w:ascii="Times New Roman" w:hAnsi="Times New Roman"/>
          <w:szCs w:val="24"/>
        </w:rPr>
        <w:t xml:space="preserve">, including </w:t>
      </w:r>
      <w:r w:rsidR="004F0482">
        <w:rPr>
          <w:rFonts w:ascii="Times New Roman" w:hAnsi="Times New Roman"/>
          <w:szCs w:val="24"/>
        </w:rPr>
        <w:t>high usage customers</w:t>
      </w:r>
      <w:r w:rsidR="00B7340C">
        <w:rPr>
          <w:rFonts w:ascii="Times New Roman" w:hAnsi="Times New Roman"/>
          <w:szCs w:val="24"/>
        </w:rPr>
        <w:t>.  In addition,</w:t>
      </w:r>
      <w:r w:rsidR="004F0482">
        <w:rPr>
          <w:rFonts w:ascii="Times New Roman" w:hAnsi="Times New Roman"/>
          <w:szCs w:val="24"/>
        </w:rPr>
        <w:t xml:space="preserve"> the proposed rate structure could adversely impact the benefits customers receive through the Low Income Bill Assistance Program</w:t>
      </w:r>
      <w:r w:rsidR="00D74AA4">
        <w:rPr>
          <w:rFonts w:ascii="Times New Roman" w:hAnsi="Times New Roman"/>
          <w:szCs w:val="24"/>
        </w:rPr>
        <w:t xml:space="preserve"> (LIBA)</w:t>
      </w:r>
      <w:r w:rsidR="004F0482">
        <w:rPr>
          <w:rFonts w:ascii="Times New Roman" w:hAnsi="Times New Roman"/>
          <w:szCs w:val="24"/>
        </w:rPr>
        <w:t xml:space="preserve">.  </w:t>
      </w:r>
    </w:p>
    <w:p w:rsidR="003A3B78" w:rsidRDefault="00B7340C" w:rsidP="003A3B78">
      <w:pPr>
        <w:tabs>
          <w:tab w:val="left" w:pos="-720"/>
          <w:tab w:val="left" w:pos="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sidR="00D74AA4">
        <w:rPr>
          <w:rFonts w:ascii="Times New Roman" w:hAnsi="Times New Roman"/>
          <w:szCs w:val="24"/>
        </w:rPr>
        <w:t>Finally</w:t>
      </w:r>
      <w:r w:rsidR="004F0482">
        <w:rPr>
          <w:rFonts w:ascii="Times New Roman" w:hAnsi="Times New Roman"/>
          <w:szCs w:val="24"/>
        </w:rPr>
        <w:t xml:space="preserve">, </w:t>
      </w:r>
      <w:r>
        <w:rPr>
          <w:rFonts w:ascii="Times New Roman" w:hAnsi="Times New Roman"/>
          <w:szCs w:val="24"/>
        </w:rPr>
        <w:t xml:space="preserve">concerning revenue normalization, </w:t>
      </w:r>
      <w:r w:rsidR="004F0482">
        <w:rPr>
          <w:rFonts w:ascii="Times New Roman" w:hAnsi="Times New Roman"/>
          <w:szCs w:val="24"/>
        </w:rPr>
        <w:t xml:space="preserve">the Company does not agree to use </w:t>
      </w:r>
      <w:r w:rsidR="00FE0115">
        <w:rPr>
          <w:rFonts w:ascii="Times New Roman" w:hAnsi="Times New Roman"/>
          <w:szCs w:val="24"/>
        </w:rPr>
        <w:t>Mr. Dittmer</w:t>
      </w:r>
      <w:r w:rsidR="004F0482">
        <w:rPr>
          <w:rFonts w:ascii="Times New Roman" w:hAnsi="Times New Roman"/>
          <w:szCs w:val="24"/>
        </w:rPr>
        <w:t>’s proposed methodology to calculate annualized revenue.</w:t>
      </w:r>
    </w:p>
    <w:p w:rsidR="002921E2" w:rsidRDefault="00612FAB">
      <w:pPr>
        <w:pStyle w:val="Heading1"/>
      </w:pPr>
      <w:bookmarkStart w:id="1" w:name="_Toc362938855"/>
      <w:r w:rsidRPr="00FC7D77">
        <w:t>Rebuttal Exhibits</w:t>
      </w:r>
      <w:bookmarkEnd w:id="1"/>
    </w:p>
    <w:p w:rsidR="00612FAB" w:rsidRPr="004026C4" w:rsidRDefault="00612FAB" w:rsidP="0034595D">
      <w:pPr>
        <w:tabs>
          <w:tab w:val="left" w:pos="0"/>
        </w:tabs>
        <w:suppressAutoHyphens/>
        <w:rPr>
          <w:rFonts w:ascii="Times New Roman" w:hAnsi="Times New Roman"/>
          <w:b/>
          <w:szCs w:val="24"/>
        </w:rPr>
      </w:pPr>
      <w:r w:rsidRPr="00FC7D77">
        <w:rPr>
          <w:rFonts w:ascii="Times New Roman" w:hAnsi="Times New Roman"/>
          <w:b/>
          <w:szCs w:val="24"/>
        </w:rPr>
        <w:t>Q.</w:t>
      </w:r>
      <w:r w:rsidRPr="00FC7D77">
        <w:rPr>
          <w:rFonts w:ascii="Times New Roman" w:hAnsi="Times New Roman"/>
          <w:b/>
          <w:szCs w:val="24"/>
        </w:rPr>
        <w:tab/>
        <w:t xml:space="preserve">Have you prepared exhibits showing the Company’s revised </w:t>
      </w:r>
      <w:r w:rsidR="00BB0F31">
        <w:rPr>
          <w:rFonts w:ascii="Times New Roman" w:hAnsi="Times New Roman"/>
          <w:b/>
          <w:szCs w:val="24"/>
        </w:rPr>
        <w:t xml:space="preserve">class </w:t>
      </w:r>
      <w:r w:rsidR="00004D6F">
        <w:rPr>
          <w:rFonts w:ascii="Times New Roman" w:hAnsi="Times New Roman"/>
          <w:b/>
          <w:szCs w:val="24"/>
        </w:rPr>
        <w:t>COS</w:t>
      </w:r>
      <w:r w:rsidR="00BB0F31">
        <w:rPr>
          <w:rFonts w:ascii="Times New Roman" w:hAnsi="Times New Roman"/>
          <w:b/>
          <w:szCs w:val="24"/>
        </w:rPr>
        <w:t xml:space="preserve"> results</w:t>
      </w:r>
      <w:r w:rsidR="00B82B89">
        <w:rPr>
          <w:rFonts w:ascii="Times New Roman" w:hAnsi="Times New Roman"/>
          <w:b/>
          <w:szCs w:val="24"/>
        </w:rPr>
        <w:t xml:space="preserve">, </w:t>
      </w:r>
      <w:r w:rsidRPr="00FC7D77">
        <w:rPr>
          <w:rFonts w:ascii="Times New Roman" w:hAnsi="Times New Roman"/>
          <w:b/>
          <w:szCs w:val="24"/>
        </w:rPr>
        <w:t>rate spread</w:t>
      </w:r>
      <w:r w:rsidR="00C602BD">
        <w:rPr>
          <w:rFonts w:ascii="Times New Roman" w:hAnsi="Times New Roman"/>
          <w:b/>
          <w:szCs w:val="24"/>
        </w:rPr>
        <w:t>,</w:t>
      </w:r>
      <w:r w:rsidRPr="00FC7D77">
        <w:rPr>
          <w:rFonts w:ascii="Times New Roman" w:hAnsi="Times New Roman"/>
          <w:b/>
          <w:szCs w:val="24"/>
        </w:rPr>
        <w:t xml:space="preserve"> and rate design based on the </w:t>
      </w:r>
      <w:r w:rsidR="00BB0F31">
        <w:rPr>
          <w:rFonts w:ascii="Times New Roman" w:hAnsi="Times New Roman"/>
          <w:b/>
          <w:szCs w:val="24"/>
        </w:rPr>
        <w:t xml:space="preserve">revised revenue requirement </w:t>
      </w:r>
      <w:r w:rsidR="00BB0F31" w:rsidRPr="004026C4">
        <w:rPr>
          <w:rFonts w:ascii="Times New Roman" w:hAnsi="Times New Roman"/>
          <w:b/>
          <w:szCs w:val="24"/>
        </w:rPr>
        <w:t xml:space="preserve">proposed by Mr. McDougal </w:t>
      </w:r>
      <w:r w:rsidRPr="004026C4">
        <w:rPr>
          <w:rFonts w:ascii="Times New Roman" w:hAnsi="Times New Roman"/>
          <w:b/>
          <w:szCs w:val="24"/>
        </w:rPr>
        <w:t>in this rebuttal filing?</w:t>
      </w:r>
    </w:p>
    <w:p w:rsidR="00612FAB" w:rsidRPr="00FC7D77" w:rsidRDefault="006D0225" w:rsidP="0034595D">
      <w:pPr>
        <w:tabs>
          <w:tab w:val="left" w:pos="0"/>
        </w:tabs>
        <w:suppressAutoHyphens/>
        <w:rPr>
          <w:rFonts w:ascii="Times New Roman" w:hAnsi="Times New Roman"/>
          <w:szCs w:val="24"/>
        </w:rPr>
      </w:pPr>
      <w:r w:rsidRPr="004026C4">
        <w:rPr>
          <w:rFonts w:ascii="Times New Roman" w:hAnsi="Times New Roman"/>
          <w:szCs w:val="24"/>
        </w:rPr>
        <w:t>A.</w:t>
      </w:r>
      <w:r w:rsidRPr="004026C4">
        <w:rPr>
          <w:rFonts w:ascii="Times New Roman" w:hAnsi="Times New Roman"/>
          <w:szCs w:val="24"/>
        </w:rPr>
        <w:tab/>
        <w:t xml:space="preserve">Yes.  </w:t>
      </w:r>
      <w:r w:rsidR="00B82B89" w:rsidRPr="004026C4">
        <w:rPr>
          <w:rFonts w:ascii="Times New Roman" w:hAnsi="Times New Roman"/>
        </w:rPr>
        <w:t>Exhibit No.___(JRS-8)</w:t>
      </w:r>
      <w:r w:rsidR="00B82B89" w:rsidRPr="00B82B89">
        <w:rPr>
          <w:rFonts w:ascii="Times New Roman" w:hAnsi="Times New Roman"/>
        </w:rPr>
        <w:t xml:space="preserve"> </w:t>
      </w:r>
      <w:r w:rsidR="00BB0F31">
        <w:rPr>
          <w:rFonts w:ascii="Times New Roman" w:hAnsi="Times New Roman"/>
        </w:rPr>
        <w:t>contains</w:t>
      </w:r>
      <w:r w:rsidR="00B82B89" w:rsidRPr="00B82B89">
        <w:rPr>
          <w:rFonts w:ascii="Times New Roman" w:hAnsi="Times New Roman"/>
        </w:rPr>
        <w:t xml:space="preserve"> summary tables from </w:t>
      </w:r>
      <w:r w:rsidR="00B82B89">
        <w:rPr>
          <w:rFonts w:ascii="Times New Roman" w:hAnsi="Times New Roman"/>
        </w:rPr>
        <w:t>the Company</w:t>
      </w:r>
      <w:r w:rsidR="00B82B89" w:rsidRPr="00B82B89">
        <w:rPr>
          <w:rFonts w:ascii="Times New Roman" w:hAnsi="Times New Roman"/>
        </w:rPr>
        <w:t xml:space="preserve">’s COS study for the state of Washington based on changes in the Washington </w:t>
      </w:r>
      <w:r w:rsidR="00D74AA4">
        <w:rPr>
          <w:rFonts w:ascii="Times New Roman" w:hAnsi="Times New Roman"/>
        </w:rPr>
        <w:t>r</w:t>
      </w:r>
      <w:r w:rsidR="00D74AA4" w:rsidRPr="00B82B89">
        <w:rPr>
          <w:rFonts w:ascii="Times New Roman" w:hAnsi="Times New Roman"/>
        </w:rPr>
        <w:t xml:space="preserve">esults </w:t>
      </w:r>
      <w:r w:rsidR="00B82B89" w:rsidRPr="00B82B89">
        <w:rPr>
          <w:rFonts w:ascii="Times New Roman" w:hAnsi="Times New Roman"/>
        </w:rPr>
        <w:t xml:space="preserve">of </w:t>
      </w:r>
      <w:r w:rsidR="00D74AA4">
        <w:rPr>
          <w:rFonts w:ascii="Times New Roman" w:hAnsi="Times New Roman"/>
        </w:rPr>
        <w:t>o</w:t>
      </w:r>
      <w:r w:rsidR="00D74AA4" w:rsidRPr="00B82B89">
        <w:rPr>
          <w:rFonts w:ascii="Times New Roman" w:hAnsi="Times New Roman"/>
        </w:rPr>
        <w:t>perations</w:t>
      </w:r>
      <w:r w:rsidR="00B82B89" w:rsidRPr="00B82B89">
        <w:rPr>
          <w:rFonts w:ascii="Times New Roman" w:hAnsi="Times New Roman"/>
        </w:rPr>
        <w:t>.  Exhibit No.___(</w:t>
      </w:r>
      <w:r w:rsidR="00B82B89" w:rsidRPr="004026C4">
        <w:rPr>
          <w:rFonts w:ascii="Times New Roman" w:hAnsi="Times New Roman"/>
        </w:rPr>
        <w:t>JRS-9)</w:t>
      </w:r>
      <w:r w:rsidR="00B82B89" w:rsidRPr="00B82B89">
        <w:rPr>
          <w:rFonts w:ascii="Times New Roman" w:hAnsi="Times New Roman"/>
        </w:rPr>
        <w:t xml:space="preserve"> </w:t>
      </w:r>
      <w:r w:rsidR="00BB0F31">
        <w:rPr>
          <w:rFonts w:ascii="Times New Roman" w:hAnsi="Times New Roman"/>
        </w:rPr>
        <w:t xml:space="preserve">displays </w:t>
      </w:r>
      <w:r w:rsidR="00B82B89" w:rsidRPr="00B82B89">
        <w:rPr>
          <w:rFonts w:ascii="Times New Roman" w:hAnsi="Times New Roman"/>
        </w:rPr>
        <w:t>the COS study in more detail by class and function</w:t>
      </w:r>
      <w:r w:rsidR="00D74AA4">
        <w:rPr>
          <w:rFonts w:ascii="Times New Roman" w:hAnsi="Times New Roman"/>
        </w:rPr>
        <w:t>: p</w:t>
      </w:r>
      <w:r w:rsidR="00B82B89" w:rsidRPr="00B82B89">
        <w:rPr>
          <w:rFonts w:ascii="Times New Roman" w:hAnsi="Times New Roman"/>
        </w:rPr>
        <w:t xml:space="preserve">age 1 summarizes the total </w:t>
      </w:r>
      <w:r w:rsidR="00D74AA4">
        <w:rPr>
          <w:rFonts w:ascii="Times New Roman" w:hAnsi="Times New Roman"/>
        </w:rPr>
        <w:t>COS</w:t>
      </w:r>
      <w:r w:rsidR="00B82B89" w:rsidRPr="00B82B89">
        <w:rPr>
          <w:rFonts w:ascii="Times New Roman" w:hAnsi="Times New Roman"/>
        </w:rPr>
        <w:t xml:space="preserve"> by class</w:t>
      </w:r>
      <w:r w:rsidR="009A181C">
        <w:rPr>
          <w:rFonts w:ascii="Times New Roman" w:hAnsi="Times New Roman"/>
        </w:rPr>
        <w:t>,</w:t>
      </w:r>
      <w:r w:rsidR="00B82B89" w:rsidRPr="00B82B89">
        <w:rPr>
          <w:rFonts w:ascii="Times New Roman" w:hAnsi="Times New Roman"/>
        </w:rPr>
        <w:t xml:space="preserve"> pages 2 through 6 contain a summary by class for each major function</w:t>
      </w:r>
      <w:r w:rsidR="009A181C">
        <w:rPr>
          <w:rFonts w:ascii="Times New Roman" w:hAnsi="Times New Roman"/>
        </w:rPr>
        <w:t>, and pages 7 through 9 contain the unit costs by function and class</w:t>
      </w:r>
      <w:r w:rsidR="00B82B89" w:rsidRPr="00B82B89">
        <w:rPr>
          <w:rFonts w:ascii="Times New Roman" w:hAnsi="Times New Roman"/>
        </w:rPr>
        <w:t xml:space="preserve">.  </w:t>
      </w:r>
      <w:r w:rsidRPr="00B82B89">
        <w:rPr>
          <w:rFonts w:ascii="Times New Roman" w:hAnsi="Times New Roman"/>
          <w:szCs w:val="24"/>
        </w:rPr>
        <w:t>E</w:t>
      </w:r>
      <w:r w:rsidRPr="00FC7D77">
        <w:rPr>
          <w:rFonts w:ascii="Times New Roman" w:hAnsi="Times New Roman"/>
          <w:szCs w:val="24"/>
        </w:rPr>
        <w:t>xhibit No.</w:t>
      </w:r>
      <w:r w:rsidR="00B82B89">
        <w:rPr>
          <w:rFonts w:ascii="Times New Roman" w:hAnsi="Times New Roman"/>
          <w:szCs w:val="24"/>
        </w:rPr>
        <w:t>_</w:t>
      </w:r>
      <w:r w:rsidRPr="00FC7D77">
        <w:rPr>
          <w:rFonts w:ascii="Times New Roman" w:hAnsi="Times New Roman"/>
          <w:szCs w:val="24"/>
        </w:rPr>
        <w:t>__(</w:t>
      </w:r>
      <w:r w:rsidR="00642FE7" w:rsidRPr="004026C4">
        <w:rPr>
          <w:rFonts w:ascii="Times New Roman" w:hAnsi="Times New Roman"/>
          <w:szCs w:val="24"/>
        </w:rPr>
        <w:t>JRS</w:t>
      </w:r>
      <w:r w:rsidRPr="004026C4">
        <w:rPr>
          <w:rFonts w:ascii="Times New Roman" w:hAnsi="Times New Roman"/>
          <w:szCs w:val="24"/>
        </w:rPr>
        <w:t>-</w:t>
      </w:r>
      <w:r w:rsidR="00B82B89" w:rsidRPr="004026C4">
        <w:rPr>
          <w:rFonts w:ascii="Times New Roman" w:hAnsi="Times New Roman"/>
          <w:szCs w:val="24"/>
        </w:rPr>
        <w:t>10</w:t>
      </w:r>
      <w:r w:rsidR="00612FAB" w:rsidRPr="004026C4">
        <w:rPr>
          <w:rFonts w:ascii="Times New Roman" w:hAnsi="Times New Roman"/>
          <w:szCs w:val="24"/>
        </w:rPr>
        <w:t>)</w:t>
      </w:r>
      <w:r w:rsidR="00612FAB" w:rsidRPr="00FC7D77">
        <w:rPr>
          <w:rFonts w:ascii="Times New Roman" w:hAnsi="Times New Roman"/>
          <w:szCs w:val="24"/>
        </w:rPr>
        <w:t xml:space="preserve"> shows the proposed rat</w:t>
      </w:r>
      <w:r w:rsidRPr="00FC7D77">
        <w:rPr>
          <w:rFonts w:ascii="Times New Roman" w:hAnsi="Times New Roman"/>
          <w:szCs w:val="24"/>
        </w:rPr>
        <w:t xml:space="preserve">e </w:t>
      </w:r>
      <w:r w:rsidR="00BB0F31">
        <w:rPr>
          <w:rFonts w:ascii="Times New Roman" w:hAnsi="Times New Roman"/>
          <w:szCs w:val="24"/>
        </w:rPr>
        <w:t xml:space="preserve">spread for the revised revenue requirement </w:t>
      </w:r>
      <w:r w:rsidRPr="00FC7D77">
        <w:rPr>
          <w:rFonts w:ascii="Times New Roman" w:hAnsi="Times New Roman"/>
          <w:szCs w:val="24"/>
        </w:rPr>
        <w:t xml:space="preserve">increase. </w:t>
      </w:r>
      <w:r w:rsidR="002D79F6">
        <w:rPr>
          <w:rFonts w:ascii="Times New Roman" w:hAnsi="Times New Roman"/>
          <w:szCs w:val="24"/>
        </w:rPr>
        <w:t xml:space="preserve"> </w:t>
      </w:r>
      <w:r w:rsidRPr="00FC7D77">
        <w:rPr>
          <w:rFonts w:ascii="Times New Roman" w:hAnsi="Times New Roman"/>
          <w:szCs w:val="24"/>
        </w:rPr>
        <w:t>Exhibit No._</w:t>
      </w:r>
      <w:r w:rsidR="00B82B89">
        <w:rPr>
          <w:rFonts w:ascii="Times New Roman" w:hAnsi="Times New Roman"/>
          <w:szCs w:val="24"/>
        </w:rPr>
        <w:t>_</w:t>
      </w:r>
      <w:r w:rsidRPr="00FC7D77">
        <w:rPr>
          <w:rFonts w:ascii="Times New Roman" w:hAnsi="Times New Roman"/>
          <w:szCs w:val="24"/>
        </w:rPr>
        <w:t>_(</w:t>
      </w:r>
      <w:r w:rsidR="00642FE7" w:rsidRPr="004026C4">
        <w:rPr>
          <w:rFonts w:ascii="Times New Roman" w:hAnsi="Times New Roman"/>
          <w:szCs w:val="24"/>
        </w:rPr>
        <w:t>JRS</w:t>
      </w:r>
      <w:r w:rsidRPr="004026C4">
        <w:rPr>
          <w:rFonts w:ascii="Times New Roman" w:hAnsi="Times New Roman"/>
          <w:szCs w:val="24"/>
        </w:rPr>
        <w:t>-</w:t>
      </w:r>
      <w:r w:rsidR="00B82B89" w:rsidRPr="004026C4">
        <w:rPr>
          <w:rFonts w:ascii="Times New Roman" w:hAnsi="Times New Roman"/>
          <w:szCs w:val="24"/>
        </w:rPr>
        <w:t>11</w:t>
      </w:r>
      <w:r w:rsidR="00612FAB" w:rsidRPr="00FC7D77">
        <w:rPr>
          <w:rFonts w:ascii="Times New Roman" w:hAnsi="Times New Roman"/>
          <w:szCs w:val="24"/>
        </w:rPr>
        <w:t xml:space="preserve">) contains the proposed prices and billing determinants </w:t>
      </w:r>
      <w:r w:rsidR="00637385" w:rsidRPr="00FC7D77">
        <w:rPr>
          <w:rFonts w:ascii="Times New Roman" w:hAnsi="Times New Roman"/>
          <w:szCs w:val="24"/>
        </w:rPr>
        <w:t xml:space="preserve">used in calculating the proposed </w:t>
      </w:r>
      <w:r w:rsidRPr="00FC7D77">
        <w:rPr>
          <w:rFonts w:ascii="Times New Roman" w:hAnsi="Times New Roman"/>
          <w:szCs w:val="24"/>
        </w:rPr>
        <w:t xml:space="preserve">prices. </w:t>
      </w:r>
      <w:r w:rsidR="00F02012">
        <w:rPr>
          <w:rFonts w:ascii="Times New Roman" w:hAnsi="Times New Roman"/>
          <w:szCs w:val="24"/>
        </w:rPr>
        <w:t xml:space="preserve"> </w:t>
      </w:r>
      <w:r w:rsidRPr="00FC7D77">
        <w:rPr>
          <w:rFonts w:ascii="Times New Roman" w:hAnsi="Times New Roman"/>
          <w:szCs w:val="24"/>
        </w:rPr>
        <w:t>Exhibit No._</w:t>
      </w:r>
      <w:r w:rsidR="00B82B89">
        <w:rPr>
          <w:rFonts w:ascii="Times New Roman" w:hAnsi="Times New Roman"/>
          <w:szCs w:val="24"/>
        </w:rPr>
        <w:t>_</w:t>
      </w:r>
      <w:r w:rsidRPr="00FC7D77">
        <w:rPr>
          <w:rFonts w:ascii="Times New Roman" w:hAnsi="Times New Roman"/>
          <w:szCs w:val="24"/>
        </w:rPr>
        <w:t>_(</w:t>
      </w:r>
      <w:r w:rsidR="00642FE7" w:rsidRPr="004026C4">
        <w:rPr>
          <w:rFonts w:ascii="Times New Roman" w:hAnsi="Times New Roman"/>
          <w:szCs w:val="24"/>
        </w:rPr>
        <w:t>JRS</w:t>
      </w:r>
      <w:r w:rsidRPr="004026C4">
        <w:rPr>
          <w:rFonts w:ascii="Times New Roman" w:hAnsi="Times New Roman"/>
          <w:szCs w:val="24"/>
        </w:rPr>
        <w:t>-1</w:t>
      </w:r>
      <w:r w:rsidR="00B82B89" w:rsidRPr="004026C4">
        <w:rPr>
          <w:rFonts w:ascii="Times New Roman" w:hAnsi="Times New Roman"/>
          <w:szCs w:val="24"/>
        </w:rPr>
        <w:t>2</w:t>
      </w:r>
      <w:r w:rsidR="00637385" w:rsidRPr="004026C4">
        <w:rPr>
          <w:rFonts w:ascii="Times New Roman" w:hAnsi="Times New Roman"/>
          <w:szCs w:val="24"/>
        </w:rPr>
        <w:t>)</w:t>
      </w:r>
      <w:r w:rsidR="00637385" w:rsidRPr="00FC7D77">
        <w:rPr>
          <w:rFonts w:ascii="Times New Roman" w:hAnsi="Times New Roman"/>
          <w:szCs w:val="24"/>
        </w:rPr>
        <w:t xml:space="preserve"> contains monthly billing comparisons </w:t>
      </w:r>
      <w:r w:rsidR="00B70684">
        <w:rPr>
          <w:rFonts w:ascii="Times New Roman" w:hAnsi="Times New Roman"/>
          <w:szCs w:val="24"/>
        </w:rPr>
        <w:t xml:space="preserve">for the revised proposed prices </w:t>
      </w:r>
      <w:r w:rsidR="007B57CF">
        <w:rPr>
          <w:rFonts w:ascii="Times New Roman" w:hAnsi="Times New Roman"/>
          <w:szCs w:val="24"/>
        </w:rPr>
        <w:t xml:space="preserve">at different usage levels </w:t>
      </w:r>
      <w:r w:rsidR="00637385" w:rsidRPr="00FC7D77">
        <w:rPr>
          <w:rFonts w:ascii="Times New Roman" w:hAnsi="Times New Roman"/>
          <w:szCs w:val="24"/>
        </w:rPr>
        <w:t xml:space="preserve">for each rate schedule. </w:t>
      </w:r>
      <w:r w:rsidR="00512133">
        <w:rPr>
          <w:rFonts w:ascii="Times New Roman" w:hAnsi="Times New Roman"/>
          <w:szCs w:val="24"/>
        </w:rPr>
        <w:t xml:space="preserve"> Exhibit No.___(JRS-13) contains the calculation of the residential basic charge.  Exhibit No.__</w:t>
      </w:r>
      <w:r w:rsidR="004E0629">
        <w:rPr>
          <w:rFonts w:ascii="Times New Roman" w:hAnsi="Times New Roman"/>
          <w:szCs w:val="24"/>
        </w:rPr>
        <w:t>_</w:t>
      </w:r>
      <w:r w:rsidR="00512133">
        <w:rPr>
          <w:rFonts w:ascii="Times New Roman" w:hAnsi="Times New Roman"/>
          <w:szCs w:val="24"/>
        </w:rPr>
        <w:t>(JRS-14) shows the basic charges for other utilities in Washington.</w:t>
      </w:r>
    </w:p>
    <w:p w:rsidR="002921E2" w:rsidRDefault="00B82B89">
      <w:pPr>
        <w:pStyle w:val="Heading1"/>
      </w:pPr>
      <w:bookmarkStart w:id="2" w:name="_Toc362938856"/>
      <w:bookmarkStart w:id="3" w:name="OLE_LINK3"/>
      <w:bookmarkStart w:id="4" w:name="OLE_LINK4"/>
      <w:r>
        <w:t>Cost of Service</w:t>
      </w:r>
      <w:bookmarkEnd w:id="2"/>
      <w:r>
        <w:t xml:space="preserve"> </w:t>
      </w:r>
    </w:p>
    <w:p w:rsidR="00B82B89" w:rsidRPr="00B82B89" w:rsidRDefault="00B82B89" w:rsidP="00B82B89">
      <w:pPr>
        <w:rPr>
          <w:rFonts w:ascii="Times New Roman" w:hAnsi="Times New Roman"/>
          <w:b/>
        </w:rPr>
      </w:pPr>
      <w:r w:rsidRPr="00B82B89">
        <w:rPr>
          <w:rFonts w:ascii="Times New Roman" w:hAnsi="Times New Roman"/>
          <w:b/>
        </w:rPr>
        <w:t>Q.</w:t>
      </w:r>
      <w:r w:rsidRPr="00B82B89">
        <w:rPr>
          <w:rFonts w:ascii="Times New Roman" w:hAnsi="Times New Roman"/>
          <w:b/>
        </w:rPr>
        <w:tab/>
      </w:r>
      <w:r>
        <w:rPr>
          <w:rFonts w:ascii="Times New Roman" w:hAnsi="Times New Roman"/>
          <w:b/>
        </w:rPr>
        <w:t xml:space="preserve">Is the Company proposing changes to the </w:t>
      </w:r>
      <w:r w:rsidR="00004D6F">
        <w:rPr>
          <w:rFonts w:ascii="Times New Roman" w:hAnsi="Times New Roman"/>
          <w:b/>
        </w:rPr>
        <w:t>COS</w:t>
      </w:r>
      <w:r>
        <w:rPr>
          <w:rFonts w:ascii="Times New Roman" w:hAnsi="Times New Roman"/>
          <w:b/>
        </w:rPr>
        <w:t xml:space="preserve"> methodology from the </w:t>
      </w:r>
      <w:r w:rsidR="008F774D">
        <w:rPr>
          <w:rFonts w:ascii="Times New Roman" w:hAnsi="Times New Roman"/>
          <w:b/>
        </w:rPr>
        <w:t xml:space="preserve">methods proposed in its </w:t>
      </w:r>
      <w:r>
        <w:rPr>
          <w:rFonts w:ascii="Times New Roman" w:hAnsi="Times New Roman"/>
          <w:b/>
        </w:rPr>
        <w:t>direct testimony?</w:t>
      </w:r>
    </w:p>
    <w:p w:rsidR="00B82B89" w:rsidRDefault="00B82B89" w:rsidP="00B82B89">
      <w:pPr>
        <w:rPr>
          <w:rFonts w:ascii="Times New Roman" w:hAnsi="Times New Roman"/>
          <w:b/>
        </w:rPr>
      </w:pPr>
      <w:r w:rsidRPr="00B82B89">
        <w:rPr>
          <w:rFonts w:ascii="Times New Roman" w:hAnsi="Times New Roman"/>
        </w:rPr>
        <w:t>A.</w:t>
      </w:r>
      <w:r w:rsidRPr="00B82B89">
        <w:rPr>
          <w:rFonts w:ascii="Times New Roman" w:hAnsi="Times New Roman"/>
        </w:rPr>
        <w:tab/>
      </w:r>
      <w:r>
        <w:rPr>
          <w:rFonts w:ascii="Times New Roman" w:hAnsi="Times New Roman"/>
        </w:rPr>
        <w:t xml:space="preserve">No.  The only change reflected in the </w:t>
      </w:r>
      <w:r w:rsidR="004E0629">
        <w:rPr>
          <w:rFonts w:ascii="Times New Roman" w:hAnsi="Times New Roman"/>
        </w:rPr>
        <w:t xml:space="preserve">COS </w:t>
      </w:r>
      <w:r>
        <w:rPr>
          <w:rFonts w:ascii="Times New Roman" w:hAnsi="Times New Roman"/>
        </w:rPr>
        <w:t>study is to incorporate the rebuttal results of operations for Washington presented in the rebuttal testimony of Mr.</w:t>
      </w:r>
      <w:r w:rsidR="00FE0115">
        <w:rPr>
          <w:rFonts w:ascii="Times New Roman" w:hAnsi="Times New Roman"/>
        </w:rPr>
        <w:t> </w:t>
      </w:r>
      <w:r>
        <w:rPr>
          <w:rFonts w:ascii="Times New Roman" w:hAnsi="Times New Roman"/>
        </w:rPr>
        <w:t xml:space="preserve">McDougal.  No party </w:t>
      </w:r>
      <w:r w:rsidR="00C24EBF">
        <w:rPr>
          <w:rFonts w:ascii="Times New Roman" w:hAnsi="Times New Roman"/>
        </w:rPr>
        <w:t>recommended changes to the study</w:t>
      </w:r>
      <w:r w:rsidR="00FF20F6">
        <w:rPr>
          <w:rFonts w:ascii="Times New Roman" w:hAnsi="Times New Roman"/>
        </w:rPr>
        <w:t xml:space="preserve"> for this case; however, </w:t>
      </w:r>
      <w:r w:rsidR="00FE0115">
        <w:rPr>
          <w:rFonts w:ascii="Times New Roman" w:hAnsi="Times New Roman"/>
        </w:rPr>
        <w:t xml:space="preserve">Mr. Mickelson recommends </w:t>
      </w:r>
      <w:r w:rsidR="008F774D">
        <w:rPr>
          <w:rFonts w:ascii="Times New Roman" w:hAnsi="Times New Roman"/>
        </w:rPr>
        <w:t xml:space="preserve">that three </w:t>
      </w:r>
      <w:r w:rsidR="00FF20F6">
        <w:rPr>
          <w:rFonts w:ascii="Times New Roman" w:hAnsi="Times New Roman"/>
        </w:rPr>
        <w:t xml:space="preserve">changes be incorporated in the </w:t>
      </w:r>
      <w:r w:rsidR="00D74AA4">
        <w:rPr>
          <w:rFonts w:ascii="Times New Roman" w:hAnsi="Times New Roman"/>
        </w:rPr>
        <w:t>COS</w:t>
      </w:r>
      <w:r w:rsidR="00FF20F6">
        <w:rPr>
          <w:rFonts w:ascii="Times New Roman" w:hAnsi="Times New Roman"/>
        </w:rPr>
        <w:t xml:space="preserve"> study for the next general rate case</w:t>
      </w:r>
      <w:r w:rsidR="00C24EBF">
        <w:rPr>
          <w:rFonts w:ascii="Times New Roman" w:hAnsi="Times New Roman"/>
        </w:rPr>
        <w:t>.</w:t>
      </w:r>
    </w:p>
    <w:p w:rsidR="00B82B89" w:rsidRPr="00B82B89" w:rsidRDefault="00B82B89" w:rsidP="00B82B89">
      <w:pPr>
        <w:rPr>
          <w:rFonts w:ascii="Times New Roman" w:hAnsi="Times New Roman"/>
          <w:b/>
        </w:rPr>
      </w:pPr>
      <w:r w:rsidRPr="00B82B89">
        <w:rPr>
          <w:rFonts w:ascii="Times New Roman" w:hAnsi="Times New Roman"/>
          <w:b/>
        </w:rPr>
        <w:t>Q.</w:t>
      </w:r>
      <w:r w:rsidRPr="00B82B89">
        <w:rPr>
          <w:rFonts w:ascii="Times New Roman" w:hAnsi="Times New Roman"/>
          <w:b/>
        </w:rPr>
        <w:tab/>
        <w:t xml:space="preserve">What does Mr. Mickelson recommend regarding the Company’s </w:t>
      </w:r>
      <w:r w:rsidR="001E5059">
        <w:rPr>
          <w:rFonts w:ascii="Times New Roman" w:hAnsi="Times New Roman"/>
          <w:b/>
        </w:rPr>
        <w:t xml:space="preserve">COS </w:t>
      </w:r>
      <w:r w:rsidRPr="00B82B89">
        <w:rPr>
          <w:rFonts w:ascii="Times New Roman" w:hAnsi="Times New Roman"/>
          <w:b/>
        </w:rPr>
        <w:t>study</w:t>
      </w:r>
      <w:r w:rsidR="00FF20F6">
        <w:rPr>
          <w:rFonts w:ascii="Times New Roman" w:hAnsi="Times New Roman"/>
          <w:b/>
        </w:rPr>
        <w:t xml:space="preserve"> for the next general rate case</w:t>
      </w:r>
      <w:r w:rsidRPr="00B82B89">
        <w:rPr>
          <w:rFonts w:ascii="Times New Roman" w:hAnsi="Times New Roman"/>
          <w:b/>
        </w:rPr>
        <w:t>?</w:t>
      </w:r>
    </w:p>
    <w:p w:rsidR="00B82B89" w:rsidRPr="00B82B89" w:rsidRDefault="00B82B89" w:rsidP="00B82B89">
      <w:pPr>
        <w:rPr>
          <w:rFonts w:ascii="Times New Roman" w:hAnsi="Times New Roman"/>
        </w:rPr>
      </w:pPr>
      <w:r w:rsidRPr="00B82B89">
        <w:rPr>
          <w:rFonts w:ascii="Times New Roman" w:hAnsi="Times New Roman"/>
        </w:rPr>
        <w:t>A.</w:t>
      </w:r>
      <w:r w:rsidRPr="00B82B89">
        <w:rPr>
          <w:rFonts w:ascii="Times New Roman" w:hAnsi="Times New Roman"/>
        </w:rPr>
        <w:tab/>
        <w:t>Mr. Mickelson recommends the following three changes:</w:t>
      </w:r>
    </w:p>
    <w:p w:rsidR="00B82B89" w:rsidRPr="00B82B89" w:rsidRDefault="00B82B89" w:rsidP="00B82B89">
      <w:pPr>
        <w:pStyle w:val="ListParagraph"/>
        <w:numPr>
          <w:ilvl w:val="0"/>
          <w:numId w:val="31"/>
        </w:numPr>
        <w:rPr>
          <w:rFonts w:ascii="Times New Roman" w:hAnsi="Times New Roman"/>
        </w:rPr>
      </w:pPr>
      <w:r w:rsidRPr="00B82B89">
        <w:rPr>
          <w:rFonts w:ascii="Times New Roman" w:hAnsi="Times New Roman"/>
        </w:rPr>
        <w:t>Modify the peak credit calculation to use 200 peak</w:t>
      </w:r>
      <w:r w:rsidR="00D31D1E">
        <w:rPr>
          <w:rFonts w:ascii="Times New Roman" w:hAnsi="Times New Roman"/>
        </w:rPr>
        <w:t xml:space="preserve"> hour</w:t>
      </w:r>
      <w:r w:rsidRPr="00B82B89">
        <w:rPr>
          <w:rFonts w:ascii="Times New Roman" w:hAnsi="Times New Roman"/>
        </w:rPr>
        <w:t>s</w:t>
      </w:r>
      <w:r w:rsidR="00D31D1E">
        <w:rPr>
          <w:rFonts w:ascii="Times New Roman" w:hAnsi="Times New Roman"/>
        </w:rPr>
        <w:t xml:space="preserve"> in order to classify energy-related versus </w:t>
      </w:r>
      <w:r w:rsidR="005243F1">
        <w:rPr>
          <w:rFonts w:ascii="Times New Roman" w:hAnsi="Times New Roman"/>
        </w:rPr>
        <w:t>demand-related costs</w:t>
      </w:r>
      <w:r w:rsidR="00FF20F6">
        <w:rPr>
          <w:rFonts w:ascii="Times New Roman" w:hAnsi="Times New Roman"/>
        </w:rPr>
        <w:t>.</w:t>
      </w:r>
      <w:r w:rsidRPr="00B82B89">
        <w:rPr>
          <w:rFonts w:ascii="Times New Roman" w:hAnsi="Times New Roman"/>
        </w:rPr>
        <w:t xml:space="preserve"> </w:t>
      </w:r>
    </w:p>
    <w:p w:rsidR="00B82B89" w:rsidRPr="00B82B89" w:rsidRDefault="00B82B89" w:rsidP="00B82B89">
      <w:pPr>
        <w:pStyle w:val="ListParagraph"/>
        <w:numPr>
          <w:ilvl w:val="0"/>
          <w:numId w:val="31"/>
        </w:numPr>
        <w:rPr>
          <w:rFonts w:ascii="Times New Roman" w:hAnsi="Times New Roman"/>
        </w:rPr>
      </w:pPr>
      <w:r w:rsidRPr="00B82B89">
        <w:rPr>
          <w:rFonts w:ascii="Times New Roman" w:hAnsi="Times New Roman"/>
        </w:rPr>
        <w:t xml:space="preserve">Develop and use a new non-dispatchable </w:t>
      </w:r>
      <w:r w:rsidR="004A1D03">
        <w:rPr>
          <w:rFonts w:ascii="Times New Roman" w:hAnsi="Times New Roman"/>
        </w:rPr>
        <w:t xml:space="preserve">generation </w:t>
      </w:r>
      <w:r w:rsidRPr="00B82B89">
        <w:rPr>
          <w:rFonts w:ascii="Times New Roman" w:hAnsi="Times New Roman"/>
        </w:rPr>
        <w:t>allocation factor</w:t>
      </w:r>
      <w:r w:rsidR="00FF20F6">
        <w:rPr>
          <w:rFonts w:ascii="Times New Roman" w:hAnsi="Times New Roman"/>
        </w:rPr>
        <w:t>.</w:t>
      </w:r>
      <w:r w:rsidRPr="00B82B89">
        <w:rPr>
          <w:rFonts w:ascii="Times New Roman" w:hAnsi="Times New Roman"/>
        </w:rPr>
        <w:t xml:space="preserve">  </w:t>
      </w:r>
    </w:p>
    <w:p w:rsidR="00B82B89" w:rsidRPr="00B82B89" w:rsidRDefault="00B82B89" w:rsidP="00B82B89">
      <w:pPr>
        <w:pStyle w:val="ListParagraph"/>
        <w:numPr>
          <w:ilvl w:val="0"/>
          <w:numId w:val="31"/>
        </w:numPr>
        <w:rPr>
          <w:rFonts w:ascii="Times New Roman" w:hAnsi="Times New Roman"/>
        </w:rPr>
      </w:pPr>
      <w:r w:rsidRPr="00B82B89">
        <w:rPr>
          <w:rFonts w:ascii="Times New Roman" w:hAnsi="Times New Roman"/>
        </w:rPr>
        <w:t xml:space="preserve">Assign corporate account manager expenses to Schedule 48T customers. </w:t>
      </w:r>
    </w:p>
    <w:p w:rsidR="00B82B89" w:rsidRPr="00B82B89" w:rsidRDefault="00B82B89" w:rsidP="00B82B89">
      <w:pPr>
        <w:rPr>
          <w:rFonts w:ascii="Times New Roman" w:hAnsi="Times New Roman"/>
          <w:b/>
        </w:rPr>
      </w:pPr>
      <w:r w:rsidRPr="00B82B89">
        <w:rPr>
          <w:rFonts w:ascii="Times New Roman" w:hAnsi="Times New Roman"/>
          <w:b/>
        </w:rPr>
        <w:t>Q.</w:t>
      </w:r>
      <w:r w:rsidRPr="00B82B89">
        <w:rPr>
          <w:rFonts w:ascii="Times New Roman" w:hAnsi="Times New Roman"/>
          <w:b/>
        </w:rPr>
        <w:tab/>
        <w:t xml:space="preserve">Please </w:t>
      </w:r>
      <w:r w:rsidR="001E5059">
        <w:rPr>
          <w:rFonts w:ascii="Times New Roman" w:hAnsi="Times New Roman"/>
          <w:b/>
        </w:rPr>
        <w:t xml:space="preserve">explain </w:t>
      </w:r>
      <w:r w:rsidR="00FE0115">
        <w:rPr>
          <w:rFonts w:ascii="Times New Roman" w:hAnsi="Times New Roman"/>
          <w:b/>
        </w:rPr>
        <w:t xml:space="preserve">Mr. Mickelson’s </w:t>
      </w:r>
      <w:r w:rsidRPr="00B82B89">
        <w:rPr>
          <w:rFonts w:ascii="Times New Roman" w:hAnsi="Times New Roman"/>
          <w:b/>
        </w:rPr>
        <w:t xml:space="preserve">first recommended change to the </w:t>
      </w:r>
      <w:r w:rsidR="009A181C">
        <w:rPr>
          <w:rFonts w:ascii="Times New Roman" w:hAnsi="Times New Roman"/>
          <w:b/>
        </w:rPr>
        <w:t xml:space="preserve">next </w:t>
      </w:r>
      <w:r w:rsidR="004E0629">
        <w:rPr>
          <w:rFonts w:ascii="Times New Roman" w:hAnsi="Times New Roman"/>
          <w:b/>
        </w:rPr>
        <w:t xml:space="preserve">COS </w:t>
      </w:r>
      <w:r w:rsidRPr="00B82B89">
        <w:rPr>
          <w:rFonts w:ascii="Times New Roman" w:hAnsi="Times New Roman"/>
          <w:b/>
        </w:rPr>
        <w:t>study.</w:t>
      </w:r>
    </w:p>
    <w:p w:rsidR="00A1410F" w:rsidRDefault="00B82B89" w:rsidP="00B82B89">
      <w:pPr>
        <w:rPr>
          <w:rFonts w:ascii="Times New Roman" w:hAnsi="Times New Roman"/>
        </w:rPr>
      </w:pPr>
      <w:r w:rsidRPr="00B82B89">
        <w:rPr>
          <w:rFonts w:ascii="Times New Roman" w:hAnsi="Times New Roman"/>
        </w:rPr>
        <w:t>A.</w:t>
      </w:r>
      <w:r w:rsidRPr="00B82B89">
        <w:rPr>
          <w:rFonts w:ascii="Times New Roman" w:hAnsi="Times New Roman"/>
        </w:rPr>
        <w:tab/>
        <w:t xml:space="preserve">Mr. Mickelson recommends that </w:t>
      </w:r>
      <w:r w:rsidR="003E748A">
        <w:rPr>
          <w:rFonts w:ascii="Times New Roman" w:hAnsi="Times New Roman"/>
        </w:rPr>
        <w:t xml:space="preserve">consistent with the testimony of Ms. Kendra </w:t>
      </w:r>
      <w:r w:rsidR="00F02012">
        <w:rPr>
          <w:rFonts w:ascii="Times New Roman" w:hAnsi="Times New Roman"/>
        </w:rPr>
        <w:t xml:space="preserve">A. </w:t>
      </w:r>
      <w:r w:rsidR="003E748A">
        <w:rPr>
          <w:rFonts w:ascii="Times New Roman" w:hAnsi="Times New Roman"/>
        </w:rPr>
        <w:t xml:space="preserve">White regarding the calculation of </w:t>
      </w:r>
      <w:r w:rsidR="00004D6F">
        <w:rPr>
          <w:rFonts w:ascii="Times New Roman" w:hAnsi="Times New Roman"/>
        </w:rPr>
        <w:t>inter-</w:t>
      </w:r>
      <w:r w:rsidR="003E748A">
        <w:rPr>
          <w:rFonts w:ascii="Times New Roman" w:hAnsi="Times New Roman"/>
        </w:rPr>
        <w:t xml:space="preserve">jurisdictional allocation factors, </w:t>
      </w:r>
      <w:r w:rsidRPr="00B82B89">
        <w:rPr>
          <w:rFonts w:ascii="Times New Roman" w:hAnsi="Times New Roman"/>
        </w:rPr>
        <w:t xml:space="preserve">the peak credit calculation </w:t>
      </w:r>
      <w:r w:rsidR="003E748A">
        <w:rPr>
          <w:rFonts w:ascii="Times New Roman" w:hAnsi="Times New Roman"/>
        </w:rPr>
        <w:t xml:space="preserve">used in the </w:t>
      </w:r>
      <w:r w:rsidR="004E0629">
        <w:rPr>
          <w:rFonts w:ascii="Times New Roman" w:hAnsi="Times New Roman"/>
        </w:rPr>
        <w:t xml:space="preserve">COS </w:t>
      </w:r>
      <w:r w:rsidR="003E748A">
        <w:rPr>
          <w:rFonts w:ascii="Times New Roman" w:hAnsi="Times New Roman"/>
        </w:rPr>
        <w:t xml:space="preserve">study should </w:t>
      </w:r>
      <w:r w:rsidRPr="00B82B89">
        <w:rPr>
          <w:rFonts w:ascii="Times New Roman" w:hAnsi="Times New Roman"/>
        </w:rPr>
        <w:t>be revised</w:t>
      </w:r>
      <w:r w:rsidR="003E748A">
        <w:rPr>
          <w:rFonts w:ascii="Times New Roman" w:hAnsi="Times New Roman"/>
        </w:rPr>
        <w:t xml:space="preserve"> </w:t>
      </w:r>
      <w:r w:rsidR="004A1D03">
        <w:rPr>
          <w:rFonts w:ascii="Times New Roman" w:hAnsi="Times New Roman"/>
        </w:rPr>
        <w:t xml:space="preserve">in the next general rate case </w:t>
      </w:r>
      <w:r w:rsidR="003E748A">
        <w:rPr>
          <w:rFonts w:ascii="Times New Roman" w:hAnsi="Times New Roman"/>
        </w:rPr>
        <w:t>based on 200 hours, specifically, the highest 100 winter and 100 summer demand hours.</w:t>
      </w:r>
      <w:r w:rsidR="00613919">
        <w:rPr>
          <w:rStyle w:val="FootnoteReference"/>
        </w:rPr>
        <w:footnoteReference w:id="1"/>
      </w:r>
      <w:r w:rsidR="003E748A">
        <w:rPr>
          <w:rFonts w:ascii="Times New Roman" w:hAnsi="Times New Roman"/>
        </w:rPr>
        <w:t xml:space="preserve"> </w:t>
      </w:r>
      <w:r w:rsidR="00A1410F">
        <w:rPr>
          <w:rFonts w:ascii="Times New Roman" w:hAnsi="Times New Roman"/>
        </w:rPr>
        <w:t xml:space="preserve"> </w:t>
      </w:r>
      <w:r w:rsidR="00FE0115">
        <w:rPr>
          <w:rFonts w:ascii="Times New Roman" w:hAnsi="Times New Roman"/>
        </w:rPr>
        <w:t xml:space="preserve">Mr. Mickelson </w:t>
      </w:r>
      <w:r w:rsidR="00004D6F">
        <w:rPr>
          <w:rFonts w:ascii="Times New Roman" w:hAnsi="Times New Roman"/>
        </w:rPr>
        <w:t xml:space="preserve">argues </w:t>
      </w:r>
      <w:r w:rsidR="00A1410F">
        <w:rPr>
          <w:rFonts w:ascii="Times New Roman" w:hAnsi="Times New Roman"/>
        </w:rPr>
        <w:t xml:space="preserve">that this </w:t>
      </w:r>
      <w:r w:rsidR="005243F1">
        <w:rPr>
          <w:rFonts w:ascii="Times New Roman" w:hAnsi="Times New Roman"/>
        </w:rPr>
        <w:t>i</w:t>
      </w:r>
      <w:r w:rsidR="00A1410F">
        <w:rPr>
          <w:rFonts w:ascii="Times New Roman" w:hAnsi="Times New Roman"/>
        </w:rPr>
        <w:t xml:space="preserve">s consistent with Commission precedent and cites a prior Commission order </w:t>
      </w:r>
      <w:r w:rsidR="009A181C">
        <w:rPr>
          <w:rFonts w:ascii="Times New Roman" w:hAnsi="Times New Roman"/>
        </w:rPr>
        <w:t xml:space="preserve">that </w:t>
      </w:r>
      <w:r w:rsidR="00004D6F">
        <w:rPr>
          <w:rFonts w:ascii="Times New Roman" w:hAnsi="Times New Roman"/>
        </w:rPr>
        <w:t xml:space="preserve">states </w:t>
      </w:r>
      <w:r w:rsidR="00A1410F">
        <w:rPr>
          <w:rFonts w:ascii="Times New Roman" w:hAnsi="Times New Roman"/>
        </w:rPr>
        <w:t>“</w:t>
      </w:r>
      <w:r w:rsidR="00A1410F" w:rsidRPr="00B82B89">
        <w:rPr>
          <w:rStyle w:val="Strong"/>
          <w:rFonts w:ascii="Times New Roman" w:hAnsi="Times New Roman"/>
        </w:rPr>
        <w:t>it is preferable to use data from a longer period of time, to remove variations due to unusual weather and to achieve greater stability.”</w:t>
      </w:r>
      <w:r w:rsidR="00A1410F" w:rsidRPr="00A1410F">
        <w:rPr>
          <w:rStyle w:val="FootnoteReference"/>
        </w:rPr>
        <w:footnoteReference w:id="2"/>
      </w:r>
      <w:r w:rsidR="00894C6E">
        <w:rPr>
          <w:rStyle w:val="Strong"/>
          <w:rFonts w:ascii="Times New Roman" w:hAnsi="Times New Roman"/>
        </w:rPr>
        <w:t xml:space="preserve"> </w:t>
      </w:r>
      <w:r w:rsidR="00F02012">
        <w:rPr>
          <w:rStyle w:val="Strong"/>
          <w:rFonts w:ascii="Times New Roman" w:hAnsi="Times New Roman"/>
        </w:rPr>
        <w:t xml:space="preserve"> </w:t>
      </w:r>
      <w:r w:rsidR="00FE0115">
        <w:rPr>
          <w:rStyle w:val="Strong"/>
          <w:rFonts w:ascii="Times New Roman" w:hAnsi="Times New Roman"/>
        </w:rPr>
        <w:t xml:space="preserve">Mr. Mickelson </w:t>
      </w:r>
      <w:r w:rsidR="00894C6E">
        <w:rPr>
          <w:rStyle w:val="Strong"/>
          <w:rFonts w:ascii="Times New Roman" w:hAnsi="Times New Roman"/>
        </w:rPr>
        <w:t>also cites an order in a Puget Sound Energy</w:t>
      </w:r>
      <w:r w:rsidR="00D74AA4">
        <w:rPr>
          <w:rStyle w:val="Strong"/>
          <w:rFonts w:ascii="Times New Roman" w:hAnsi="Times New Roman"/>
        </w:rPr>
        <w:t>, Inc., (PSE)</w:t>
      </w:r>
      <w:r w:rsidR="00894C6E">
        <w:rPr>
          <w:rStyle w:val="Strong"/>
          <w:rFonts w:ascii="Times New Roman" w:hAnsi="Times New Roman"/>
        </w:rPr>
        <w:t xml:space="preserve"> case as precedent.</w:t>
      </w:r>
      <w:r w:rsidR="001E5059" w:rsidRPr="001E5059">
        <w:rPr>
          <w:rStyle w:val="FootnoteReference"/>
        </w:rPr>
        <w:footnoteReference w:id="3"/>
      </w:r>
    </w:p>
    <w:p w:rsidR="00540FDE" w:rsidRDefault="003E748A" w:rsidP="00A1410F">
      <w:pPr>
        <w:ind w:firstLine="720"/>
        <w:rPr>
          <w:rFonts w:ascii="Times New Roman" w:hAnsi="Times New Roman"/>
          <w:szCs w:val="24"/>
        </w:rPr>
      </w:pPr>
      <w:r>
        <w:rPr>
          <w:rFonts w:ascii="Times New Roman" w:hAnsi="Times New Roman"/>
        </w:rPr>
        <w:t xml:space="preserve">In the </w:t>
      </w:r>
      <w:r w:rsidR="004E0629">
        <w:rPr>
          <w:rFonts w:ascii="Times New Roman" w:hAnsi="Times New Roman"/>
        </w:rPr>
        <w:t xml:space="preserve">COS </w:t>
      </w:r>
      <w:r>
        <w:rPr>
          <w:rFonts w:ascii="Times New Roman" w:hAnsi="Times New Roman"/>
        </w:rPr>
        <w:t>study</w:t>
      </w:r>
      <w:r w:rsidR="00723DDB">
        <w:rPr>
          <w:rFonts w:ascii="Times New Roman" w:hAnsi="Times New Roman"/>
        </w:rPr>
        <w:t>,</w:t>
      </w:r>
      <w:r>
        <w:rPr>
          <w:rFonts w:ascii="Times New Roman" w:hAnsi="Times New Roman"/>
        </w:rPr>
        <w:t xml:space="preserve"> the peak credit calculation is used to classify the production</w:t>
      </w:r>
      <w:r w:rsidR="002D79F6">
        <w:rPr>
          <w:rFonts w:ascii="Times New Roman" w:hAnsi="Times New Roman"/>
        </w:rPr>
        <w:t>–</w:t>
      </w:r>
      <w:r>
        <w:rPr>
          <w:rFonts w:ascii="Times New Roman" w:hAnsi="Times New Roman"/>
        </w:rPr>
        <w:t xml:space="preserve"> </w:t>
      </w:r>
      <w:r w:rsidR="0065574E">
        <w:rPr>
          <w:rFonts w:ascii="Times New Roman" w:hAnsi="Times New Roman"/>
        </w:rPr>
        <w:t>and transmission</w:t>
      </w:r>
      <w:r w:rsidR="002D79F6">
        <w:rPr>
          <w:rFonts w:ascii="Times New Roman" w:hAnsi="Times New Roman"/>
        </w:rPr>
        <w:t>–</w:t>
      </w:r>
      <w:r w:rsidR="00894C6E">
        <w:rPr>
          <w:rFonts w:ascii="Times New Roman" w:hAnsi="Times New Roman"/>
        </w:rPr>
        <w:t xml:space="preserve">related </w:t>
      </w:r>
      <w:r>
        <w:rPr>
          <w:rFonts w:ascii="Times New Roman" w:hAnsi="Times New Roman"/>
        </w:rPr>
        <w:t xml:space="preserve">costs between demand and energy.  </w:t>
      </w:r>
      <w:r w:rsidR="001F16F8">
        <w:rPr>
          <w:rFonts w:ascii="Times New Roman" w:hAnsi="Times New Roman"/>
        </w:rPr>
        <w:t xml:space="preserve">In direct testimony, the Company </w:t>
      </w:r>
      <w:r w:rsidR="00A1410F">
        <w:rPr>
          <w:rFonts w:ascii="Times New Roman" w:hAnsi="Times New Roman"/>
        </w:rPr>
        <w:t xml:space="preserve">proposed a </w:t>
      </w:r>
      <w:r w:rsidR="00A1410F">
        <w:rPr>
          <w:rFonts w:ascii="Times New Roman" w:hAnsi="Times New Roman"/>
          <w:szCs w:val="24"/>
        </w:rPr>
        <w:t xml:space="preserve">revised </w:t>
      </w:r>
      <w:r w:rsidR="00A1410F" w:rsidRPr="004922D4">
        <w:rPr>
          <w:rFonts w:ascii="Times New Roman" w:hAnsi="Times New Roman"/>
          <w:szCs w:val="24"/>
        </w:rPr>
        <w:t xml:space="preserve">peak credit calculation </w:t>
      </w:r>
      <w:r w:rsidR="00A1410F">
        <w:rPr>
          <w:rFonts w:ascii="Times New Roman" w:hAnsi="Times New Roman"/>
          <w:szCs w:val="24"/>
        </w:rPr>
        <w:t xml:space="preserve">that uses </w:t>
      </w:r>
      <w:r w:rsidR="00A1410F" w:rsidRPr="004922D4">
        <w:rPr>
          <w:rFonts w:ascii="Times New Roman" w:hAnsi="Times New Roman"/>
          <w:szCs w:val="24"/>
        </w:rPr>
        <w:t xml:space="preserve">the </w:t>
      </w:r>
      <w:r w:rsidR="00A1410F">
        <w:rPr>
          <w:rFonts w:ascii="Times New Roman" w:hAnsi="Times New Roman"/>
          <w:szCs w:val="24"/>
        </w:rPr>
        <w:t xml:space="preserve">west control area </w:t>
      </w:r>
      <w:r w:rsidR="00A1410F" w:rsidRPr="004922D4">
        <w:rPr>
          <w:rFonts w:ascii="Times New Roman" w:hAnsi="Times New Roman"/>
          <w:szCs w:val="24"/>
        </w:rPr>
        <w:t xml:space="preserve">system </w:t>
      </w:r>
      <w:r w:rsidR="00A1410F">
        <w:rPr>
          <w:rFonts w:ascii="Times New Roman" w:hAnsi="Times New Roman"/>
          <w:szCs w:val="24"/>
        </w:rPr>
        <w:t xml:space="preserve">diversified </w:t>
      </w:r>
      <w:r w:rsidR="00A1410F" w:rsidRPr="004922D4">
        <w:rPr>
          <w:rFonts w:ascii="Times New Roman" w:hAnsi="Times New Roman"/>
          <w:szCs w:val="24"/>
        </w:rPr>
        <w:t xml:space="preserve">load factor </w:t>
      </w:r>
      <w:r w:rsidR="00A1410F">
        <w:rPr>
          <w:rFonts w:ascii="Times New Roman" w:hAnsi="Times New Roman"/>
          <w:szCs w:val="24"/>
        </w:rPr>
        <w:t xml:space="preserve">(SDLF) </w:t>
      </w:r>
      <w:r w:rsidR="00A1410F" w:rsidRPr="004922D4">
        <w:rPr>
          <w:rFonts w:ascii="Times New Roman" w:hAnsi="Times New Roman"/>
          <w:szCs w:val="24"/>
        </w:rPr>
        <w:t xml:space="preserve">to determine the portion of </w:t>
      </w:r>
      <w:r w:rsidR="00A1410F">
        <w:rPr>
          <w:rFonts w:ascii="Times New Roman" w:hAnsi="Times New Roman"/>
          <w:szCs w:val="24"/>
        </w:rPr>
        <w:t xml:space="preserve">generation </w:t>
      </w:r>
      <w:r w:rsidR="00A1410F" w:rsidRPr="004922D4">
        <w:rPr>
          <w:rFonts w:ascii="Times New Roman" w:hAnsi="Times New Roman"/>
          <w:szCs w:val="24"/>
        </w:rPr>
        <w:t xml:space="preserve">and transmission costs that are </w:t>
      </w:r>
      <w:r w:rsidR="0010786A">
        <w:rPr>
          <w:rFonts w:ascii="Times New Roman" w:hAnsi="Times New Roman"/>
          <w:szCs w:val="24"/>
        </w:rPr>
        <w:t xml:space="preserve">energy and </w:t>
      </w:r>
      <w:r w:rsidR="00A1410F" w:rsidRPr="004922D4">
        <w:rPr>
          <w:rFonts w:ascii="Times New Roman" w:hAnsi="Times New Roman"/>
          <w:szCs w:val="24"/>
        </w:rPr>
        <w:t>demand</w:t>
      </w:r>
      <w:r w:rsidR="009A181C">
        <w:rPr>
          <w:rFonts w:ascii="Times New Roman" w:hAnsi="Times New Roman"/>
          <w:szCs w:val="24"/>
        </w:rPr>
        <w:t xml:space="preserve"> </w:t>
      </w:r>
      <w:r w:rsidR="00A1410F" w:rsidRPr="004922D4">
        <w:rPr>
          <w:rFonts w:ascii="Times New Roman" w:hAnsi="Times New Roman"/>
          <w:szCs w:val="24"/>
        </w:rPr>
        <w:t>related</w:t>
      </w:r>
      <w:r w:rsidR="00A1410F">
        <w:rPr>
          <w:rFonts w:ascii="Times New Roman" w:hAnsi="Times New Roman"/>
          <w:szCs w:val="24"/>
        </w:rPr>
        <w:t xml:space="preserve">.  </w:t>
      </w:r>
      <w:r w:rsidR="00894C6E">
        <w:rPr>
          <w:rFonts w:ascii="Times New Roman" w:hAnsi="Times New Roman"/>
          <w:szCs w:val="24"/>
        </w:rPr>
        <w:t>Previously, the Company used the c</w:t>
      </w:r>
      <w:r w:rsidR="00894C6E" w:rsidRPr="004922D4">
        <w:rPr>
          <w:rFonts w:ascii="Times New Roman" w:hAnsi="Times New Roman"/>
          <w:szCs w:val="24"/>
        </w:rPr>
        <w:t xml:space="preserve">apacity cost data from the </w:t>
      </w:r>
      <w:r w:rsidR="00F02012">
        <w:rPr>
          <w:rFonts w:ascii="Times New Roman" w:hAnsi="Times New Roman"/>
          <w:szCs w:val="24"/>
        </w:rPr>
        <w:t>Bonneville Power Administration (</w:t>
      </w:r>
      <w:r w:rsidR="00894C6E" w:rsidRPr="004922D4">
        <w:rPr>
          <w:rFonts w:ascii="Times New Roman" w:hAnsi="Times New Roman"/>
          <w:szCs w:val="24"/>
        </w:rPr>
        <w:t>BPA</w:t>
      </w:r>
      <w:r w:rsidR="00F02012">
        <w:rPr>
          <w:rFonts w:ascii="Times New Roman" w:hAnsi="Times New Roman"/>
          <w:szCs w:val="24"/>
        </w:rPr>
        <w:t>)</w:t>
      </w:r>
      <w:r w:rsidR="00894C6E" w:rsidRPr="004922D4">
        <w:rPr>
          <w:rFonts w:ascii="Times New Roman" w:hAnsi="Times New Roman"/>
          <w:szCs w:val="24"/>
        </w:rPr>
        <w:t xml:space="preserve"> Firm Capacity Sales Agreement </w:t>
      </w:r>
      <w:r w:rsidR="00894C6E">
        <w:rPr>
          <w:rFonts w:ascii="Times New Roman" w:hAnsi="Times New Roman"/>
          <w:szCs w:val="24"/>
        </w:rPr>
        <w:t xml:space="preserve">to </w:t>
      </w:r>
      <w:r w:rsidR="00894C6E" w:rsidRPr="004922D4">
        <w:rPr>
          <w:rFonts w:ascii="Times New Roman" w:hAnsi="Times New Roman"/>
          <w:szCs w:val="24"/>
        </w:rPr>
        <w:t>determine the demand-related classification component with all remaining costs considered energy</w:t>
      </w:r>
      <w:r w:rsidR="009A181C">
        <w:rPr>
          <w:rFonts w:ascii="Times New Roman" w:hAnsi="Times New Roman"/>
          <w:szCs w:val="24"/>
        </w:rPr>
        <w:t xml:space="preserve"> </w:t>
      </w:r>
      <w:r w:rsidR="00894C6E" w:rsidRPr="004922D4">
        <w:rPr>
          <w:rFonts w:ascii="Times New Roman" w:hAnsi="Times New Roman"/>
          <w:szCs w:val="24"/>
        </w:rPr>
        <w:t>related</w:t>
      </w:r>
      <w:r w:rsidR="00894C6E">
        <w:rPr>
          <w:rFonts w:ascii="Times New Roman" w:hAnsi="Times New Roman"/>
          <w:szCs w:val="24"/>
        </w:rPr>
        <w:t>.  Since this BPA agreement expired in 2011, the Company proposed the SDLF because it was straightforward, based on actual loads</w:t>
      </w:r>
      <w:r w:rsidR="00D74AA4">
        <w:rPr>
          <w:rFonts w:ascii="Times New Roman" w:hAnsi="Times New Roman"/>
          <w:szCs w:val="24"/>
        </w:rPr>
        <w:t>,</w:t>
      </w:r>
      <w:r w:rsidR="00894C6E">
        <w:rPr>
          <w:rFonts w:ascii="Times New Roman" w:hAnsi="Times New Roman"/>
          <w:szCs w:val="24"/>
        </w:rPr>
        <w:t xml:space="preserve"> and produced relatively consistent demand and energy relationships between test periods.  It had also been adopted </w:t>
      </w:r>
      <w:r w:rsidR="001E5059">
        <w:rPr>
          <w:rFonts w:ascii="Times New Roman" w:hAnsi="Times New Roman"/>
          <w:szCs w:val="24"/>
        </w:rPr>
        <w:t xml:space="preserve">for the peak credit calculation </w:t>
      </w:r>
      <w:r w:rsidR="00894C6E">
        <w:rPr>
          <w:rFonts w:ascii="Times New Roman" w:hAnsi="Times New Roman"/>
          <w:szCs w:val="24"/>
        </w:rPr>
        <w:t xml:space="preserve">in the most recent Avista </w:t>
      </w:r>
      <w:r w:rsidR="00D74AA4">
        <w:rPr>
          <w:rFonts w:ascii="Times New Roman" w:hAnsi="Times New Roman"/>
          <w:szCs w:val="24"/>
        </w:rPr>
        <w:t xml:space="preserve">Corporation d/b/a Avista Utilities (Avista) </w:t>
      </w:r>
      <w:r w:rsidR="00894C6E">
        <w:rPr>
          <w:rFonts w:ascii="Times New Roman" w:hAnsi="Times New Roman"/>
          <w:szCs w:val="24"/>
        </w:rPr>
        <w:t>general rate case</w:t>
      </w:r>
      <w:r w:rsidR="005243F1">
        <w:rPr>
          <w:rFonts w:ascii="Times New Roman" w:hAnsi="Times New Roman"/>
          <w:szCs w:val="24"/>
        </w:rPr>
        <w:t>,</w:t>
      </w:r>
      <w:r w:rsidR="00894C6E">
        <w:rPr>
          <w:rFonts w:ascii="Times New Roman" w:hAnsi="Times New Roman"/>
          <w:szCs w:val="24"/>
        </w:rPr>
        <w:t xml:space="preserve"> </w:t>
      </w:r>
      <w:r w:rsidR="00822F88" w:rsidRPr="00B82B89">
        <w:rPr>
          <w:rFonts w:ascii="Times New Roman" w:hAnsi="Times New Roman"/>
        </w:rPr>
        <w:t>Docket UE</w:t>
      </w:r>
      <w:r w:rsidR="00FB6927">
        <w:rPr>
          <w:rFonts w:ascii="Times New Roman" w:hAnsi="Times New Roman"/>
        </w:rPr>
        <w:t>-</w:t>
      </w:r>
      <w:r w:rsidR="00822F88" w:rsidRPr="00B82B89">
        <w:rPr>
          <w:rFonts w:ascii="Times New Roman" w:hAnsi="Times New Roman"/>
        </w:rPr>
        <w:t>120436</w:t>
      </w:r>
      <w:r w:rsidR="00894C6E">
        <w:rPr>
          <w:rFonts w:ascii="Times New Roman" w:hAnsi="Times New Roman"/>
          <w:szCs w:val="24"/>
        </w:rPr>
        <w:t xml:space="preserve">.  </w:t>
      </w:r>
    </w:p>
    <w:p w:rsidR="00A1410F" w:rsidRDefault="00822F88" w:rsidP="00A1410F">
      <w:pPr>
        <w:ind w:firstLine="720"/>
        <w:rPr>
          <w:rFonts w:ascii="Times New Roman" w:hAnsi="Times New Roman"/>
          <w:szCs w:val="24"/>
        </w:rPr>
      </w:pPr>
      <w:r>
        <w:rPr>
          <w:rFonts w:ascii="Times New Roman" w:hAnsi="Times New Roman"/>
          <w:szCs w:val="24"/>
        </w:rPr>
        <w:t xml:space="preserve">The SDLF </w:t>
      </w:r>
      <w:r w:rsidR="001E5059">
        <w:rPr>
          <w:rFonts w:ascii="Times New Roman" w:hAnsi="Times New Roman"/>
          <w:szCs w:val="24"/>
        </w:rPr>
        <w:t xml:space="preserve">is </w:t>
      </w:r>
      <w:r>
        <w:rPr>
          <w:rFonts w:ascii="Times New Roman" w:hAnsi="Times New Roman"/>
          <w:szCs w:val="24"/>
        </w:rPr>
        <w:t>based on the coincident peak</w:t>
      </w:r>
      <w:r w:rsidR="0010786A">
        <w:rPr>
          <w:rFonts w:ascii="Times New Roman" w:hAnsi="Times New Roman"/>
          <w:szCs w:val="24"/>
        </w:rPr>
        <w:t xml:space="preserve"> </w:t>
      </w:r>
      <w:r w:rsidR="009A181C">
        <w:rPr>
          <w:rFonts w:ascii="Times New Roman" w:hAnsi="Times New Roman"/>
          <w:szCs w:val="24"/>
        </w:rPr>
        <w:t xml:space="preserve">with the resulting load factor </w:t>
      </w:r>
      <w:r>
        <w:rPr>
          <w:rFonts w:ascii="Times New Roman" w:hAnsi="Times New Roman"/>
          <w:szCs w:val="24"/>
        </w:rPr>
        <w:t xml:space="preserve">to be applied as the </w:t>
      </w:r>
      <w:r w:rsidR="0010786A">
        <w:rPr>
          <w:rFonts w:ascii="Times New Roman" w:hAnsi="Times New Roman"/>
          <w:szCs w:val="24"/>
        </w:rPr>
        <w:t>energy</w:t>
      </w:r>
      <w:r>
        <w:rPr>
          <w:rFonts w:ascii="Times New Roman" w:hAnsi="Times New Roman"/>
          <w:szCs w:val="24"/>
        </w:rPr>
        <w:t xml:space="preserve">-related </w:t>
      </w:r>
      <w:r w:rsidR="00181D02">
        <w:rPr>
          <w:rFonts w:ascii="Times New Roman" w:hAnsi="Times New Roman"/>
          <w:szCs w:val="24"/>
        </w:rPr>
        <w:t>component</w:t>
      </w:r>
      <w:r w:rsidR="001E5059">
        <w:rPr>
          <w:rFonts w:ascii="Times New Roman" w:hAnsi="Times New Roman"/>
          <w:szCs w:val="24"/>
        </w:rPr>
        <w:t xml:space="preserve"> of production and transmission costs</w:t>
      </w:r>
      <w:r w:rsidR="00181D02">
        <w:rPr>
          <w:rFonts w:ascii="Times New Roman" w:hAnsi="Times New Roman"/>
          <w:szCs w:val="24"/>
        </w:rPr>
        <w:t>.  This</w:t>
      </w:r>
      <w:r w:rsidR="009A181C">
        <w:rPr>
          <w:rFonts w:ascii="Times New Roman" w:hAnsi="Times New Roman"/>
          <w:szCs w:val="24"/>
        </w:rPr>
        <w:t xml:space="preserve"> calculation</w:t>
      </w:r>
      <w:r w:rsidR="00181D02">
        <w:rPr>
          <w:rFonts w:ascii="Times New Roman" w:hAnsi="Times New Roman"/>
          <w:szCs w:val="24"/>
        </w:rPr>
        <w:t xml:space="preserve"> </w:t>
      </w:r>
      <w:r w:rsidR="00181D02" w:rsidRPr="00B82B89">
        <w:rPr>
          <w:rFonts w:ascii="Times New Roman" w:hAnsi="Times New Roman"/>
        </w:rPr>
        <w:t>produces a ratio of 38 percent demand</w:t>
      </w:r>
      <w:r w:rsidR="00D74AA4">
        <w:rPr>
          <w:rFonts w:ascii="Times New Roman" w:hAnsi="Times New Roman"/>
        </w:rPr>
        <w:t>-</w:t>
      </w:r>
      <w:r w:rsidR="00181D02" w:rsidRPr="00B82B89">
        <w:rPr>
          <w:rFonts w:ascii="Times New Roman" w:hAnsi="Times New Roman"/>
        </w:rPr>
        <w:t xml:space="preserve">related </w:t>
      </w:r>
      <w:r w:rsidR="004A1D03">
        <w:rPr>
          <w:rFonts w:ascii="Times New Roman" w:hAnsi="Times New Roman"/>
        </w:rPr>
        <w:t xml:space="preserve">costs </w:t>
      </w:r>
      <w:r w:rsidR="00181D02" w:rsidRPr="00B82B89">
        <w:rPr>
          <w:rFonts w:ascii="Times New Roman" w:hAnsi="Times New Roman"/>
        </w:rPr>
        <w:t>and 62 percent energy</w:t>
      </w:r>
      <w:r w:rsidR="00D74AA4">
        <w:rPr>
          <w:rFonts w:ascii="Times New Roman" w:hAnsi="Times New Roman"/>
        </w:rPr>
        <w:t>-</w:t>
      </w:r>
      <w:r w:rsidR="00181D02" w:rsidRPr="00B82B89">
        <w:rPr>
          <w:rFonts w:ascii="Times New Roman" w:hAnsi="Times New Roman"/>
        </w:rPr>
        <w:t>related</w:t>
      </w:r>
      <w:r w:rsidR="00181D02">
        <w:rPr>
          <w:rFonts w:ascii="Times New Roman" w:hAnsi="Times New Roman"/>
        </w:rPr>
        <w:t xml:space="preserve"> </w:t>
      </w:r>
      <w:r w:rsidR="004A1D03">
        <w:rPr>
          <w:rFonts w:ascii="Times New Roman" w:hAnsi="Times New Roman"/>
        </w:rPr>
        <w:t xml:space="preserve">costs </w:t>
      </w:r>
      <w:r w:rsidR="00181D02">
        <w:rPr>
          <w:rFonts w:ascii="Times New Roman" w:hAnsi="Times New Roman"/>
        </w:rPr>
        <w:t>in the current proceeding</w:t>
      </w:r>
      <w:r w:rsidR="00181D02" w:rsidRPr="00B82B89">
        <w:rPr>
          <w:rFonts w:ascii="Times New Roman" w:hAnsi="Times New Roman"/>
        </w:rPr>
        <w:t xml:space="preserve">.  These percentages are </w:t>
      </w:r>
      <w:r w:rsidR="001E5059">
        <w:rPr>
          <w:rFonts w:ascii="Times New Roman" w:hAnsi="Times New Roman"/>
        </w:rPr>
        <w:t xml:space="preserve">relatively consistent with the </w:t>
      </w:r>
      <w:r w:rsidR="00181D02" w:rsidRPr="00B82B89">
        <w:rPr>
          <w:rFonts w:ascii="Times New Roman" w:hAnsi="Times New Roman"/>
        </w:rPr>
        <w:t xml:space="preserve">classification percentages used </w:t>
      </w:r>
      <w:r w:rsidR="00004D6F" w:rsidRPr="00B82B89">
        <w:rPr>
          <w:rFonts w:ascii="Times New Roman" w:hAnsi="Times New Roman"/>
        </w:rPr>
        <w:t>in</w:t>
      </w:r>
      <w:r w:rsidR="00004D6F">
        <w:rPr>
          <w:rFonts w:ascii="Times New Roman" w:hAnsi="Times New Roman"/>
        </w:rPr>
        <w:t xml:space="preserve"> the Company’s last two general rate cases, </w:t>
      </w:r>
      <w:r w:rsidR="00181D02" w:rsidRPr="00B82B89">
        <w:rPr>
          <w:rFonts w:ascii="Times New Roman" w:hAnsi="Times New Roman"/>
        </w:rPr>
        <w:t>Dockets</w:t>
      </w:r>
      <w:r w:rsidR="00004D6F">
        <w:rPr>
          <w:rFonts w:ascii="Times New Roman" w:hAnsi="Times New Roman"/>
        </w:rPr>
        <w:t xml:space="preserve"> </w:t>
      </w:r>
      <w:r w:rsidR="00181D02" w:rsidRPr="00B82B89">
        <w:rPr>
          <w:rFonts w:ascii="Times New Roman" w:hAnsi="Times New Roman"/>
        </w:rPr>
        <w:t>UE</w:t>
      </w:r>
      <w:r w:rsidR="00FB6927">
        <w:rPr>
          <w:rFonts w:ascii="Times New Roman" w:hAnsi="Times New Roman"/>
        </w:rPr>
        <w:t>-</w:t>
      </w:r>
      <w:r w:rsidR="00181D02" w:rsidRPr="00B82B89">
        <w:rPr>
          <w:rFonts w:ascii="Times New Roman" w:hAnsi="Times New Roman"/>
        </w:rPr>
        <w:t>111190 (35 percent demand/65</w:t>
      </w:r>
      <w:r w:rsidR="00004D6F">
        <w:rPr>
          <w:rFonts w:ascii="Times New Roman" w:hAnsi="Times New Roman"/>
        </w:rPr>
        <w:t> </w:t>
      </w:r>
      <w:r w:rsidR="00181D02" w:rsidRPr="00B82B89">
        <w:rPr>
          <w:rFonts w:ascii="Times New Roman" w:hAnsi="Times New Roman"/>
        </w:rPr>
        <w:t xml:space="preserve">percent energy) and </w:t>
      </w:r>
      <w:r w:rsidR="002852CD">
        <w:rPr>
          <w:rFonts w:ascii="Times New Roman" w:hAnsi="Times New Roman"/>
        </w:rPr>
        <w:br/>
      </w:r>
      <w:r w:rsidR="00181D02" w:rsidRPr="00B82B89">
        <w:rPr>
          <w:rFonts w:ascii="Times New Roman" w:hAnsi="Times New Roman"/>
        </w:rPr>
        <w:t>UE</w:t>
      </w:r>
      <w:r w:rsidR="00FB6927">
        <w:rPr>
          <w:rFonts w:ascii="Times New Roman" w:hAnsi="Times New Roman"/>
        </w:rPr>
        <w:t>-</w:t>
      </w:r>
      <w:r w:rsidR="00181D02" w:rsidRPr="00B82B89">
        <w:rPr>
          <w:rFonts w:ascii="Times New Roman" w:hAnsi="Times New Roman"/>
        </w:rPr>
        <w:t>100749 (33 percent demand</w:t>
      </w:r>
      <w:r w:rsidR="009A181C">
        <w:rPr>
          <w:rFonts w:ascii="Times New Roman" w:hAnsi="Times New Roman"/>
        </w:rPr>
        <w:t xml:space="preserve"> </w:t>
      </w:r>
      <w:r w:rsidR="00D74AA4">
        <w:rPr>
          <w:rFonts w:ascii="Times New Roman" w:hAnsi="Times New Roman"/>
        </w:rPr>
        <w:t>/</w:t>
      </w:r>
      <w:r w:rsidR="00181D02" w:rsidRPr="00B82B89">
        <w:rPr>
          <w:rFonts w:ascii="Times New Roman" w:hAnsi="Times New Roman"/>
        </w:rPr>
        <w:t>67 percent energy)</w:t>
      </w:r>
      <w:r w:rsidR="00181D02">
        <w:rPr>
          <w:rFonts w:ascii="Times New Roman" w:hAnsi="Times New Roman"/>
        </w:rPr>
        <w:t>.</w:t>
      </w:r>
    </w:p>
    <w:p w:rsidR="002852CD" w:rsidRDefault="001E5059" w:rsidP="002852CD">
      <w:pPr>
        <w:widowControl w:val="0"/>
        <w:rPr>
          <w:rFonts w:ascii="Times New Roman" w:hAnsi="Times New Roman"/>
          <w:b/>
        </w:rPr>
      </w:pPr>
      <w:r w:rsidRPr="00B82B89">
        <w:rPr>
          <w:rFonts w:ascii="Times New Roman" w:hAnsi="Times New Roman"/>
          <w:b/>
        </w:rPr>
        <w:t>Q.</w:t>
      </w:r>
      <w:r w:rsidRPr="00B82B89">
        <w:rPr>
          <w:rFonts w:ascii="Times New Roman" w:hAnsi="Times New Roman"/>
          <w:b/>
        </w:rPr>
        <w:tab/>
      </w:r>
      <w:r>
        <w:rPr>
          <w:rFonts w:ascii="Times New Roman" w:hAnsi="Times New Roman"/>
          <w:b/>
        </w:rPr>
        <w:t xml:space="preserve">What is the Company’s perspective on </w:t>
      </w:r>
      <w:r w:rsidR="00FE0115">
        <w:rPr>
          <w:rFonts w:ascii="Times New Roman" w:hAnsi="Times New Roman"/>
          <w:b/>
        </w:rPr>
        <w:t xml:space="preserve">Mr. Mickelson’s </w:t>
      </w:r>
      <w:r>
        <w:rPr>
          <w:rFonts w:ascii="Times New Roman" w:hAnsi="Times New Roman"/>
          <w:b/>
        </w:rPr>
        <w:t xml:space="preserve">recommendation for the peak credit calculation </w:t>
      </w:r>
      <w:r w:rsidR="009A181C">
        <w:rPr>
          <w:rFonts w:ascii="Times New Roman" w:hAnsi="Times New Roman"/>
          <w:b/>
        </w:rPr>
        <w:t>for</w:t>
      </w:r>
      <w:r>
        <w:rPr>
          <w:rFonts w:ascii="Times New Roman" w:hAnsi="Times New Roman"/>
          <w:b/>
        </w:rPr>
        <w:t xml:space="preserve"> the next</w:t>
      </w:r>
      <w:r w:rsidR="00BC6B2D">
        <w:rPr>
          <w:rFonts w:ascii="Times New Roman" w:hAnsi="Times New Roman"/>
          <w:b/>
        </w:rPr>
        <w:t xml:space="preserve"> general rate</w:t>
      </w:r>
      <w:r>
        <w:rPr>
          <w:rFonts w:ascii="Times New Roman" w:hAnsi="Times New Roman"/>
          <w:b/>
        </w:rPr>
        <w:t xml:space="preserve"> case?</w:t>
      </w:r>
    </w:p>
    <w:p w:rsidR="009164CB" w:rsidRDefault="001E5059" w:rsidP="002852CD">
      <w:pPr>
        <w:widowControl w:val="0"/>
        <w:rPr>
          <w:rFonts w:ascii="Times New Roman" w:hAnsi="Times New Roman"/>
        </w:rPr>
      </w:pPr>
      <w:r w:rsidRPr="00B82B89">
        <w:rPr>
          <w:rFonts w:ascii="Times New Roman" w:hAnsi="Times New Roman"/>
        </w:rPr>
        <w:t>A.</w:t>
      </w:r>
      <w:r w:rsidRPr="00B82B89">
        <w:rPr>
          <w:rFonts w:ascii="Times New Roman" w:hAnsi="Times New Roman"/>
        </w:rPr>
        <w:tab/>
      </w:r>
      <w:r w:rsidR="00CD4D90">
        <w:rPr>
          <w:rFonts w:ascii="Times New Roman" w:hAnsi="Times New Roman"/>
        </w:rPr>
        <w:t xml:space="preserve">The Company </w:t>
      </w:r>
      <w:r w:rsidR="00D31D1E">
        <w:rPr>
          <w:rFonts w:ascii="Times New Roman" w:hAnsi="Times New Roman"/>
        </w:rPr>
        <w:t xml:space="preserve">has several </w:t>
      </w:r>
      <w:r w:rsidR="00CD4D90">
        <w:rPr>
          <w:rFonts w:ascii="Times New Roman" w:hAnsi="Times New Roman"/>
        </w:rPr>
        <w:t>concern</w:t>
      </w:r>
      <w:r w:rsidR="00D31D1E">
        <w:rPr>
          <w:rFonts w:ascii="Times New Roman" w:hAnsi="Times New Roman"/>
        </w:rPr>
        <w:t>s</w:t>
      </w:r>
      <w:r w:rsidR="00CD4D90">
        <w:rPr>
          <w:rFonts w:ascii="Times New Roman" w:hAnsi="Times New Roman"/>
        </w:rPr>
        <w:t xml:space="preserve"> with </w:t>
      </w:r>
      <w:r w:rsidR="00FE0115">
        <w:rPr>
          <w:rFonts w:ascii="Times New Roman" w:hAnsi="Times New Roman"/>
        </w:rPr>
        <w:t>Mr. Mickelson</w:t>
      </w:r>
      <w:r w:rsidR="00CD4D90">
        <w:rPr>
          <w:rFonts w:ascii="Times New Roman" w:hAnsi="Times New Roman"/>
        </w:rPr>
        <w:t xml:space="preserve">’s proposal.  First, the </w:t>
      </w:r>
      <w:r>
        <w:rPr>
          <w:rFonts w:ascii="Times New Roman" w:hAnsi="Times New Roman"/>
        </w:rPr>
        <w:t xml:space="preserve">Commission orders </w:t>
      </w:r>
      <w:r w:rsidR="00CD4D90">
        <w:rPr>
          <w:rFonts w:ascii="Times New Roman" w:hAnsi="Times New Roman"/>
        </w:rPr>
        <w:t xml:space="preserve">that </w:t>
      </w:r>
      <w:r w:rsidR="00FE0115">
        <w:rPr>
          <w:rFonts w:ascii="Times New Roman" w:hAnsi="Times New Roman"/>
        </w:rPr>
        <w:t xml:space="preserve">he </w:t>
      </w:r>
      <w:r w:rsidR="00CD4D90">
        <w:rPr>
          <w:rFonts w:ascii="Times New Roman" w:hAnsi="Times New Roman"/>
        </w:rPr>
        <w:t xml:space="preserve">cites </w:t>
      </w:r>
      <w:r>
        <w:rPr>
          <w:rFonts w:ascii="Times New Roman" w:hAnsi="Times New Roman"/>
        </w:rPr>
        <w:t xml:space="preserve">as precedent </w:t>
      </w:r>
      <w:r w:rsidR="004D12EB">
        <w:rPr>
          <w:rFonts w:ascii="Times New Roman" w:hAnsi="Times New Roman"/>
        </w:rPr>
        <w:t>to support using more hours</w:t>
      </w:r>
      <w:r w:rsidR="00CD4D90">
        <w:rPr>
          <w:rFonts w:ascii="Times New Roman" w:hAnsi="Times New Roman"/>
        </w:rPr>
        <w:t xml:space="preserve"> specifically address the </w:t>
      </w:r>
      <w:r w:rsidR="00CD4D90" w:rsidRPr="00274F13">
        <w:rPr>
          <w:rFonts w:ascii="Times New Roman" w:hAnsi="Times New Roman"/>
          <w:i/>
          <w:u w:val="single"/>
        </w:rPr>
        <w:t>allocation</w:t>
      </w:r>
      <w:r w:rsidR="00CD4D90">
        <w:rPr>
          <w:rFonts w:ascii="Times New Roman" w:hAnsi="Times New Roman"/>
        </w:rPr>
        <w:t xml:space="preserve"> of costs across customer classes not the </w:t>
      </w:r>
      <w:r w:rsidR="00CD4D90" w:rsidRPr="00274F13">
        <w:rPr>
          <w:rFonts w:ascii="Times New Roman" w:hAnsi="Times New Roman"/>
          <w:i/>
          <w:u w:val="single"/>
        </w:rPr>
        <w:t>classification</w:t>
      </w:r>
      <w:r w:rsidR="00CD4D90" w:rsidRPr="00274F13">
        <w:rPr>
          <w:rFonts w:ascii="Times New Roman" w:hAnsi="Times New Roman"/>
          <w:i/>
        </w:rPr>
        <w:t xml:space="preserve"> </w:t>
      </w:r>
      <w:r w:rsidR="00CD4D90">
        <w:rPr>
          <w:rFonts w:ascii="Times New Roman" w:hAnsi="Times New Roman"/>
        </w:rPr>
        <w:t>of costs between demand and energy</w:t>
      </w:r>
      <w:r w:rsidR="00D34139">
        <w:rPr>
          <w:rFonts w:ascii="Times New Roman" w:hAnsi="Times New Roman"/>
        </w:rPr>
        <w:t>; t</w:t>
      </w:r>
      <w:r w:rsidR="004D12EB">
        <w:rPr>
          <w:rFonts w:ascii="Times New Roman" w:hAnsi="Times New Roman"/>
        </w:rPr>
        <w:t xml:space="preserve">herefore, the </w:t>
      </w:r>
      <w:r w:rsidR="009F364D">
        <w:rPr>
          <w:rFonts w:ascii="Times New Roman" w:hAnsi="Times New Roman"/>
        </w:rPr>
        <w:t>cit</w:t>
      </w:r>
      <w:r w:rsidR="00274F13">
        <w:rPr>
          <w:rFonts w:ascii="Times New Roman" w:hAnsi="Times New Roman"/>
        </w:rPr>
        <w:t xml:space="preserve">ed orders are </w:t>
      </w:r>
      <w:r w:rsidR="00613919">
        <w:rPr>
          <w:rFonts w:ascii="Times New Roman" w:hAnsi="Times New Roman"/>
        </w:rPr>
        <w:t xml:space="preserve">neither relevant to the issue presented here </w:t>
      </w:r>
      <w:r w:rsidR="00274F13">
        <w:rPr>
          <w:rFonts w:ascii="Times New Roman" w:hAnsi="Times New Roman"/>
        </w:rPr>
        <w:t>no</w:t>
      </w:r>
      <w:r w:rsidR="00613919">
        <w:rPr>
          <w:rFonts w:ascii="Times New Roman" w:hAnsi="Times New Roman"/>
        </w:rPr>
        <w:t>r</w:t>
      </w:r>
      <w:r w:rsidR="009F364D">
        <w:rPr>
          <w:rFonts w:ascii="Times New Roman" w:hAnsi="Times New Roman"/>
        </w:rPr>
        <w:t xml:space="preserve"> </w:t>
      </w:r>
      <w:r w:rsidR="004D12EB">
        <w:rPr>
          <w:rFonts w:ascii="Times New Roman" w:hAnsi="Times New Roman"/>
        </w:rPr>
        <w:t>precedential</w:t>
      </w:r>
      <w:r w:rsidR="00274F13">
        <w:rPr>
          <w:rFonts w:ascii="Times New Roman" w:hAnsi="Times New Roman"/>
        </w:rPr>
        <w:t xml:space="preserve"> in this case</w:t>
      </w:r>
      <w:r w:rsidR="004D12EB">
        <w:rPr>
          <w:rFonts w:ascii="Times New Roman" w:hAnsi="Times New Roman"/>
        </w:rPr>
        <w:t xml:space="preserve">.  Using </w:t>
      </w:r>
      <w:r w:rsidR="009F364D">
        <w:rPr>
          <w:rFonts w:ascii="Times New Roman" w:hAnsi="Times New Roman"/>
        </w:rPr>
        <w:t xml:space="preserve">the top </w:t>
      </w:r>
      <w:r w:rsidR="004D12EB">
        <w:rPr>
          <w:rFonts w:ascii="Times New Roman" w:hAnsi="Times New Roman"/>
        </w:rPr>
        <w:t xml:space="preserve">200 hours to establish a load factor to determine what proportion of production and transmission costs are </w:t>
      </w:r>
      <w:r w:rsidR="00D31D1E">
        <w:rPr>
          <w:rFonts w:ascii="Times New Roman" w:hAnsi="Times New Roman"/>
        </w:rPr>
        <w:t>energy</w:t>
      </w:r>
      <w:r w:rsidR="004D12EB">
        <w:rPr>
          <w:rFonts w:ascii="Times New Roman" w:hAnsi="Times New Roman"/>
        </w:rPr>
        <w:t xml:space="preserve"> related is different than using </w:t>
      </w:r>
      <w:r w:rsidR="00FE0115">
        <w:rPr>
          <w:rFonts w:ascii="Times New Roman" w:hAnsi="Times New Roman"/>
        </w:rPr>
        <w:t xml:space="preserve">Mr. Mickelson’s </w:t>
      </w:r>
      <w:r w:rsidR="009F364D">
        <w:rPr>
          <w:rFonts w:ascii="Times New Roman" w:hAnsi="Times New Roman"/>
        </w:rPr>
        <w:t xml:space="preserve">proposed top </w:t>
      </w:r>
      <w:r w:rsidR="004D12EB">
        <w:rPr>
          <w:rFonts w:ascii="Times New Roman" w:hAnsi="Times New Roman"/>
        </w:rPr>
        <w:t xml:space="preserve">200 hours to determine each rate schedule’s share of </w:t>
      </w:r>
      <w:r w:rsidR="00D31D1E">
        <w:rPr>
          <w:rFonts w:ascii="Times New Roman" w:hAnsi="Times New Roman"/>
        </w:rPr>
        <w:t>energy</w:t>
      </w:r>
      <w:r w:rsidR="004D12EB">
        <w:rPr>
          <w:rFonts w:ascii="Times New Roman" w:hAnsi="Times New Roman"/>
        </w:rPr>
        <w:t xml:space="preserve">-related costs.  </w:t>
      </w:r>
      <w:r w:rsidR="00F66940">
        <w:rPr>
          <w:rFonts w:ascii="Times New Roman" w:hAnsi="Times New Roman"/>
        </w:rPr>
        <w:t>Using 200 hours</w:t>
      </w:r>
      <w:r w:rsidR="00D34139">
        <w:rPr>
          <w:rFonts w:ascii="Times New Roman" w:hAnsi="Times New Roman"/>
        </w:rPr>
        <w:t xml:space="preserve"> </w:t>
      </w:r>
      <w:r w:rsidR="00F66940">
        <w:rPr>
          <w:rFonts w:ascii="Times New Roman" w:hAnsi="Times New Roman"/>
        </w:rPr>
        <w:t>to establish a</w:t>
      </w:r>
      <w:r w:rsidR="009A181C">
        <w:rPr>
          <w:rFonts w:ascii="Times New Roman" w:hAnsi="Times New Roman"/>
        </w:rPr>
        <w:t>n overall</w:t>
      </w:r>
      <w:r w:rsidR="00F66940">
        <w:rPr>
          <w:rFonts w:ascii="Times New Roman" w:hAnsi="Times New Roman"/>
        </w:rPr>
        <w:t xml:space="preserve"> load factor</w:t>
      </w:r>
      <w:r w:rsidR="00A51A4D">
        <w:rPr>
          <w:rFonts w:ascii="Times New Roman" w:hAnsi="Times New Roman"/>
        </w:rPr>
        <w:t xml:space="preserve"> </w:t>
      </w:r>
      <w:r w:rsidR="00D34139">
        <w:rPr>
          <w:rFonts w:ascii="Times New Roman" w:hAnsi="Times New Roman"/>
        </w:rPr>
        <w:t>w</w:t>
      </w:r>
      <w:r w:rsidR="00D31D1E">
        <w:rPr>
          <w:rFonts w:ascii="Times New Roman" w:hAnsi="Times New Roman"/>
        </w:rPr>
        <w:t>ould</w:t>
      </w:r>
      <w:r w:rsidR="00D34139">
        <w:rPr>
          <w:rFonts w:ascii="Times New Roman" w:hAnsi="Times New Roman"/>
        </w:rPr>
        <w:t xml:space="preserve"> </w:t>
      </w:r>
      <w:r w:rsidR="00A51A4D">
        <w:rPr>
          <w:rFonts w:ascii="Times New Roman" w:hAnsi="Times New Roman"/>
        </w:rPr>
        <w:t xml:space="preserve">smooth and average the results and </w:t>
      </w:r>
      <w:r w:rsidR="00D34139">
        <w:rPr>
          <w:rFonts w:ascii="Times New Roman" w:hAnsi="Times New Roman"/>
        </w:rPr>
        <w:t xml:space="preserve">ignore </w:t>
      </w:r>
      <w:r w:rsidR="00A51A4D">
        <w:rPr>
          <w:rFonts w:ascii="Times New Roman" w:hAnsi="Times New Roman"/>
        </w:rPr>
        <w:t>the</w:t>
      </w:r>
      <w:r w:rsidR="00BC6B2D">
        <w:rPr>
          <w:rFonts w:ascii="Times New Roman" w:hAnsi="Times New Roman"/>
        </w:rPr>
        <w:t xml:space="preserve"> true</w:t>
      </w:r>
      <w:r w:rsidR="00A51A4D">
        <w:rPr>
          <w:rFonts w:ascii="Times New Roman" w:hAnsi="Times New Roman"/>
        </w:rPr>
        <w:t xml:space="preserve"> peak impacts </w:t>
      </w:r>
      <w:r w:rsidR="00BC6B2D">
        <w:rPr>
          <w:rFonts w:ascii="Times New Roman" w:hAnsi="Times New Roman"/>
        </w:rPr>
        <w:t xml:space="preserve">of different </w:t>
      </w:r>
      <w:r w:rsidR="00A51A4D">
        <w:rPr>
          <w:rFonts w:ascii="Times New Roman" w:hAnsi="Times New Roman"/>
        </w:rPr>
        <w:t>rate schedule</w:t>
      </w:r>
      <w:r w:rsidR="00540FDE">
        <w:rPr>
          <w:rFonts w:ascii="Times New Roman" w:hAnsi="Times New Roman"/>
        </w:rPr>
        <w:t>s</w:t>
      </w:r>
      <w:r w:rsidR="00D34139">
        <w:rPr>
          <w:rFonts w:ascii="Times New Roman" w:hAnsi="Times New Roman"/>
        </w:rPr>
        <w:t xml:space="preserve">.  This will </w:t>
      </w:r>
      <w:r w:rsidR="00BC6B2D">
        <w:rPr>
          <w:rFonts w:ascii="Times New Roman" w:hAnsi="Times New Roman"/>
        </w:rPr>
        <w:t>result in an im</w:t>
      </w:r>
      <w:r w:rsidR="00D34139">
        <w:rPr>
          <w:rFonts w:ascii="Times New Roman" w:hAnsi="Times New Roman"/>
        </w:rPr>
        <w:t>pro</w:t>
      </w:r>
      <w:r w:rsidR="00BC6B2D">
        <w:rPr>
          <w:rFonts w:ascii="Times New Roman" w:hAnsi="Times New Roman"/>
        </w:rPr>
        <w:t xml:space="preserve">per allocation of </w:t>
      </w:r>
      <w:r w:rsidR="00D34139">
        <w:rPr>
          <w:rFonts w:ascii="Times New Roman" w:hAnsi="Times New Roman"/>
        </w:rPr>
        <w:t>costs to each rate schedule that</w:t>
      </w:r>
      <w:r w:rsidR="00540FDE">
        <w:rPr>
          <w:rFonts w:ascii="Times New Roman" w:hAnsi="Times New Roman"/>
        </w:rPr>
        <w:t xml:space="preserve"> </w:t>
      </w:r>
      <w:r w:rsidR="00A51A4D">
        <w:rPr>
          <w:rFonts w:ascii="Times New Roman" w:hAnsi="Times New Roman"/>
        </w:rPr>
        <w:t xml:space="preserve">is </w:t>
      </w:r>
      <w:r w:rsidR="00540FDE">
        <w:rPr>
          <w:rFonts w:ascii="Times New Roman" w:hAnsi="Times New Roman"/>
        </w:rPr>
        <w:t xml:space="preserve">not </w:t>
      </w:r>
      <w:r w:rsidR="00F66940">
        <w:rPr>
          <w:rFonts w:ascii="Times New Roman" w:hAnsi="Times New Roman"/>
        </w:rPr>
        <w:t xml:space="preserve">representative of </w:t>
      </w:r>
      <w:r w:rsidR="00540FDE">
        <w:rPr>
          <w:rFonts w:ascii="Times New Roman" w:hAnsi="Times New Roman"/>
        </w:rPr>
        <w:t xml:space="preserve">each rate schedule’s impact on </w:t>
      </w:r>
      <w:r w:rsidR="00F66940">
        <w:rPr>
          <w:rFonts w:ascii="Times New Roman" w:hAnsi="Times New Roman"/>
        </w:rPr>
        <w:t xml:space="preserve">the system </w:t>
      </w:r>
      <w:r w:rsidR="00540FDE">
        <w:rPr>
          <w:rFonts w:ascii="Times New Roman" w:hAnsi="Times New Roman"/>
        </w:rPr>
        <w:t xml:space="preserve">at the time of </w:t>
      </w:r>
      <w:r w:rsidR="00A51A4D">
        <w:rPr>
          <w:rFonts w:ascii="Times New Roman" w:hAnsi="Times New Roman"/>
        </w:rPr>
        <w:t xml:space="preserve">peak </w:t>
      </w:r>
      <w:r>
        <w:rPr>
          <w:rFonts w:ascii="Times New Roman" w:hAnsi="Times New Roman"/>
        </w:rPr>
        <w:t>demand</w:t>
      </w:r>
      <w:r w:rsidR="00F66940">
        <w:rPr>
          <w:rFonts w:ascii="Times New Roman" w:hAnsi="Times New Roman"/>
        </w:rPr>
        <w:t>.</w:t>
      </w:r>
    </w:p>
    <w:p w:rsidR="00B82B89" w:rsidRDefault="001E5059" w:rsidP="009164CB">
      <w:pPr>
        <w:ind w:firstLine="720"/>
        <w:rPr>
          <w:rFonts w:ascii="Times New Roman" w:hAnsi="Times New Roman"/>
        </w:rPr>
      </w:pPr>
      <w:r>
        <w:rPr>
          <w:rFonts w:ascii="Times New Roman" w:hAnsi="Times New Roman"/>
        </w:rPr>
        <w:t>U</w:t>
      </w:r>
      <w:r w:rsidR="00F66940">
        <w:rPr>
          <w:rFonts w:ascii="Times New Roman" w:hAnsi="Times New Roman"/>
        </w:rPr>
        <w:t xml:space="preserve">sing 200 hours </w:t>
      </w:r>
      <w:r w:rsidR="00A51A4D">
        <w:rPr>
          <w:rFonts w:ascii="Times New Roman" w:hAnsi="Times New Roman"/>
        </w:rPr>
        <w:t xml:space="preserve">would </w:t>
      </w:r>
      <w:r w:rsidR="00F66940">
        <w:rPr>
          <w:rFonts w:ascii="Times New Roman" w:hAnsi="Times New Roman"/>
        </w:rPr>
        <w:t xml:space="preserve">produce a ratio of 27 percent demand and </w:t>
      </w:r>
      <w:r w:rsidR="0010786A">
        <w:rPr>
          <w:rFonts w:ascii="Times New Roman" w:hAnsi="Times New Roman"/>
        </w:rPr>
        <w:t>7</w:t>
      </w:r>
      <w:r w:rsidR="00F66940">
        <w:rPr>
          <w:rFonts w:ascii="Times New Roman" w:hAnsi="Times New Roman"/>
        </w:rPr>
        <w:t>3</w:t>
      </w:r>
      <w:r w:rsidR="00004D6F">
        <w:rPr>
          <w:rFonts w:ascii="Times New Roman" w:hAnsi="Times New Roman"/>
        </w:rPr>
        <w:t> </w:t>
      </w:r>
      <w:r w:rsidR="00F66940">
        <w:rPr>
          <w:rFonts w:ascii="Times New Roman" w:hAnsi="Times New Roman"/>
        </w:rPr>
        <w:t>percent energy</w:t>
      </w:r>
      <w:r w:rsidR="00004D6F">
        <w:rPr>
          <w:rFonts w:ascii="Times New Roman" w:hAnsi="Times New Roman"/>
        </w:rPr>
        <w:t>—</w:t>
      </w:r>
      <w:r w:rsidR="009A181C">
        <w:rPr>
          <w:rFonts w:ascii="Times New Roman" w:hAnsi="Times New Roman"/>
        </w:rPr>
        <w:t>a 2</w:t>
      </w:r>
      <w:r w:rsidR="00C77298">
        <w:rPr>
          <w:rFonts w:ascii="Times New Roman" w:hAnsi="Times New Roman"/>
        </w:rPr>
        <w:t>9</w:t>
      </w:r>
      <w:r w:rsidR="009A181C">
        <w:rPr>
          <w:rFonts w:ascii="Times New Roman" w:hAnsi="Times New Roman"/>
        </w:rPr>
        <w:t xml:space="preserve"> percent drop in the </w:t>
      </w:r>
      <w:r w:rsidR="00F66940" w:rsidRPr="00B82B89">
        <w:rPr>
          <w:rFonts w:ascii="Times New Roman" w:hAnsi="Times New Roman"/>
        </w:rPr>
        <w:t>demand-related classification of generation and transmission costs</w:t>
      </w:r>
      <w:r w:rsidR="004A1D03">
        <w:rPr>
          <w:rFonts w:ascii="Times New Roman" w:hAnsi="Times New Roman"/>
        </w:rPr>
        <w:t>.</w:t>
      </w:r>
      <w:r w:rsidR="006C4430" w:rsidRPr="00C77298">
        <w:rPr>
          <w:rStyle w:val="FootnoteReference"/>
        </w:rPr>
        <w:footnoteReference w:id="4"/>
      </w:r>
      <w:r w:rsidR="004A1D03">
        <w:rPr>
          <w:rFonts w:ascii="Times New Roman" w:hAnsi="Times New Roman"/>
        </w:rPr>
        <w:t xml:space="preserve">  This will have </w:t>
      </w:r>
      <w:r w:rsidR="00333A55">
        <w:rPr>
          <w:rFonts w:ascii="Times New Roman" w:hAnsi="Times New Roman"/>
        </w:rPr>
        <w:t xml:space="preserve">the </w:t>
      </w:r>
      <w:r w:rsidR="004A1D03">
        <w:rPr>
          <w:rFonts w:ascii="Times New Roman" w:hAnsi="Times New Roman"/>
        </w:rPr>
        <w:t xml:space="preserve">effect of </w:t>
      </w:r>
      <w:r w:rsidR="007C35CD">
        <w:rPr>
          <w:rFonts w:ascii="Times New Roman" w:hAnsi="Times New Roman"/>
        </w:rPr>
        <w:t xml:space="preserve">shifting costs </w:t>
      </w:r>
      <w:r w:rsidR="009F364D">
        <w:rPr>
          <w:rFonts w:ascii="Times New Roman" w:hAnsi="Times New Roman"/>
        </w:rPr>
        <w:t xml:space="preserve">from residential and </w:t>
      </w:r>
      <w:r w:rsidR="004A1D03">
        <w:rPr>
          <w:rFonts w:ascii="Times New Roman" w:hAnsi="Times New Roman"/>
        </w:rPr>
        <w:t xml:space="preserve">small </w:t>
      </w:r>
      <w:r w:rsidR="009F364D">
        <w:rPr>
          <w:rFonts w:ascii="Times New Roman" w:hAnsi="Times New Roman"/>
        </w:rPr>
        <w:t xml:space="preserve">general service rate schedules </w:t>
      </w:r>
      <w:r w:rsidR="007C35CD">
        <w:rPr>
          <w:rFonts w:ascii="Times New Roman" w:hAnsi="Times New Roman"/>
        </w:rPr>
        <w:t xml:space="preserve">to </w:t>
      </w:r>
      <w:r w:rsidR="009F364D">
        <w:rPr>
          <w:rFonts w:ascii="Times New Roman" w:hAnsi="Times New Roman"/>
        </w:rPr>
        <w:t xml:space="preserve">large general service </w:t>
      </w:r>
      <w:r w:rsidR="005243F1">
        <w:rPr>
          <w:rFonts w:ascii="Times New Roman" w:hAnsi="Times New Roman"/>
        </w:rPr>
        <w:t>rate schedules</w:t>
      </w:r>
      <w:r w:rsidR="004A1D03">
        <w:rPr>
          <w:rFonts w:ascii="Times New Roman" w:hAnsi="Times New Roman"/>
        </w:rPr>
        <w:t>, and disproportionately to high load factor customers</w:t>
      </w:r>
      <w:r w:rsidR="00F66940" w:rsidRPr="00B82B89">
        <w:rPr>
          <w:rFonts w:ascii="Times New Roman" w:hAnsi="Times New Roman"/>
        </w:rPr>
        <w:t xml:space="preserve">.  </w:t>
      </w:r>
      <w:r w:rsidR="008F5056">
        <w:rPr>
          <w:rFonts w:ascii="Times New Roman" w:hAnsi="Times New Roman"/>
        </w:rPr>
        <w:t>In the next general rate case, t</w:t>
      </w:r>
      <w:r w:rsidR="00F66940" w:rsidRPr="00B82B89">
        <w:rPr>
          <w:rFonts w:ascii="Times New Roman" w:hAnsi="Times New Roman"/>
        </w:rPr>
        <w:t xml:space="preserve">hese changes </w:t>
      </w:r>
      <w:r w:rsidR="004A1D03">
        <w:rPr>
          <w:rFonts w:ascii="Times New Roman" w:hAnsi="Times New Roman"/>
        </w:rPr>
        <w:t>w</w:t>
      </w:r>
      <w:r w:rsidR="00F66940" w:rsidRPr="00B82B89">
        <w:rPr>
          <w:rFonts w:ascii="Times New Roman" w:hAnsi="Times New Roman"/>
        </w:rPr>
        <w:t>ould</w:t>
      </w:r>
      <w:r w:rsidR="00D31D1E">
        <w:rPr>
          <w:rFonts w:ascii="Times New Roman" w:hAnsi="Times New Roman"/>
        </w:rPr>
        <w:t xml:space="preserve"> likely</w:t>
      </w:r>
      <w:r w:rsidR="00F66940" w:rsidRPr="00B82B89">
        <w:rPr>
          <w:rFonts w:ascii="Times New Roman" w:hAnsi="Times New Roman"/>
        </w:rPr>
        <w:t xml:space="preserve"> produce significant rate </w:t>
      </w:r>
      <w:r w:rsidR="009F364D">
        <w:rPr>
          <w:rFonts w:ascii="Times New Roman" w:hAnsi="Times New Roman"/>
        </w:rPr>
        <w:t xml:space="preserve">impacts </w:t>
      </w:r>
      <w:r w:rsidR="004A1D03">
        <w:rPr>
          <w:rFonts w:ascii="Times New Roman" w:hAnsi="Times New Roman"/>
        </w:rPr>
        <w:t xml:space="preserve">simply due to </w:t>
      </w:r>
      <w:r w:rsidR="008F5056">
        <w:rPr>
          <w:rFonts w:ascii="Times New Roman" w:hAnsi="Times New Roman"/>
        </w:rPr>
        <w:t xml:space="preserve">a </w:t>
      </w:r>
      <w:r w:rsidR="004A1D03">
        <w:rPr>
          <w:rFonts w:ascii="Times New Roman" w:hAnsi="Times New Roman"/>
        </w:rPr>
        <w:t xml:space="preserve">change in methodology </w:t>
      </w:r>
      <w:r w:rsidR="006143E3">
        <w:rPr>
          <w:rFonts w:ascii="Times New Roman" w:hAnsi="Times New Roman"/>
        </w:rPr>
        <w:t xml:space="preserve">without any </w:t>
      </w:r>
      <w:r w:rsidR="004A1D03">
        <w:rPr>
          <w:rFonts w:ascii="Times New Roman" w:hAnsi="Times New Roman"/>
        </w:rPr>
        <w:t xml:space="preserve">underlying </w:t>
      </w:r>
      <w:r w:rsidR="006143E3">
        <w:rPr>
          <w:rFonts w:ascii="Times New Roman" w:hAnsi="Times New Roman"/>
        </w:rPr>
        <w:t xml:space="preserve">change in </w:t>
      </w:r>
      <w:r w:rsidR="004A1D03">
        <w:rPr>
          <w:rFonts w:ascii="Times New Roman" w:hAnsi="Times New Roman"/>
        </w:rPr>
        <w:t xml:space="preserve">actual </w:t>
      </w:r>
      <w:r w:rsidR="006143E3">
        <w:rPr>
          <w:rFonts w:ascii="Times New Roman" w:hAnsi="Times New Roman"/>
        </w:rPr>
        <w:t>costs.  These results would</w:t>
      </w:r>
      <w:r w:rsidR="00F66940" w:rsidRPr="00B82B89">
        <w:rPr>
          <w:rFonts w:ascii="Times New Roman" w:hAnsi="Times New Roman"/>
        </w:rPr>
        <w:t xml:space="preserve"> ignor</w:t>
      </w:r>
      <w:r w:rsidR="00A51A4D">
        <w:rPr>
          <w:rFonts w:ascii="Times New Roman" w:hAnsi="Times New Roman"/>
        </w:rPr>
        <w:t>e</w:t>
      </w:r>
      <w:r w:rsidR="00F66940" w:rsidRPr="00B82B89">
        <w:rPr>
          <w:rFonts w:ascii="Times New Roman" w:hAnsi="Times New Roman"/>
        </w:rPr>
        <w:t xml:space="preserve"> the regulatory principles of </w:t>
      </w:r>
      <w:r w:rsidR="006143E3">
        <w:rPr>
          <w:rFonts w:ascii="Times New Roman" w:hAnsi="Times New Roman"/>
        </w:rPr>
        <w:t>cost</w:t>
      </w:r>
      <w:r w:rsidR="00EF018E">
        <w:rPr>
          <w:rFonts w:ascii="Times New Roman" w:hAnsi="Times New Roman"/>
        </w:rPr>
        <w:t>-</w:t>
      </w:r>
      <w:r w:rsidR="006143E3">
        <w:rPr>
          <w:rFonts w:ascii="Times New Roman" w:hAnsi="Times New Roman"/>
        </w:rPr>
        <w:t xml:space="preserve">causation, </w:t>
      </w:r>
      <w:r w:rsidR="00F66940" w:rsidRPr="00B82B89">
        <w:rPr>
          <w:rFonts w:ascii="Times New Roman" w:hAnsi="Times New Roman"/>
        </w:rPr>
        <w:t>consistency</w:t>
      </w:r>
      <w:r w:rsidR="00F02012">
        <w:rPr>
          <w:rFonts w:ascii="Times New Roman" w:hAnsi="Times New Roman"/>
        </w:rPr>
        <w:t>,</w:t>
      </w:r>
      <w:r w:rsidR="00F66940" w:rsidRPr="00B82B89">
        <w:rPr>
          <w:rFonts w:ascii="Times New Roman" w:hAnsi="Times New Roman"/>
        </w:rPr>
        <w:t xml:space="preserve"> and gradualism.  </w:t>
      </w:r>
    </w:p>
    <w:p w:rsidR="00B82B89" w:rsidRPr="00B82B89" w:rsidRDefault="001E5059" w:rsidP="00965B35">
      <w:pPr>
        <w:tabs>
          <w:tab w:val="left" w:pos="3225"/>
        </w:tabs>
        <w:ind w:firstLine="720"/>
        <w:rPr>
          <w:rFonts w:ascii="Times New Roman" w:hAnsi="Times New Roman"/>
        </w:rPr>
      </w:pPr>
      <w:r>
        <w:rPr>
          <w:rFonts w:ascii="Times New Roman" w:hAnsi="Times New Roman"/>
        </w:rPr>
        <w:t>Additionally</w:t>
      </w:r>
      <w:r w:rsidR="009164CB">
        <w:rPr>
          <w:rFonts w:ascii="Times New Roman" w:hAnsi="Times New Roman"/>
        </w:rPr>
        <w:t xml:space="preserve">, </w:t>
      </w:r>
      <w:r w:rsidR="00FE0115">
        <w:rPr>
          <w:rFonts w:ascii="Times New Roman" w:hAnsi="Times New Roman"/>
        </w:rPr>
        <w:t xml:space="preserve">Mr. Mickelson’s </w:t>
      </w:r>
      <w:r w:rsidR="007C35CD" w:rsidRPr="00B82B89">
        <w:rPr>
          <w:rFonts w:ascii="Times New Roman" w:hAnsi="Times New Roman"/>
        </w:rPr>
        <w:t>rejection</w:t>
      </w:r>
      <w:r w:rsidR="00B82B89" w:rsidRPr="00B82B89">
        <w:rPr>
          <w:rFonts w:ascii="Times New Roman" w:hAnsi="Times New Roman"/>
        </w:rPr>
        <w:t xml:space="preserve"> of a single peak or load factor ratio methodology </w:t>
      </w:r>
      <w:r w:rsidR="00114CC3">
        <w:rPr>
          <w:rFonts w:ascii="Times New Roman" w:hAnsi="Times New Roman"/>
        </w:rPr>
        <w:t xml:space="preserve">in this proceeding </w:t>
      </w:r>
      <w:r w:rsidR="00B82B89" w:rsidRPr="00B82B89">
        <w:rPr>
          <w:rFonts w:ascii="Times New Roman" w:hAnsi="Times New Roman"/>
        </w:rPr>
        <w:t xml:space="preserve">contradicts </w:t>
      </w:r>
      <w:r w:rsidR="00FE0115">
        <w:rPr>
          <w:rFonts w:ascii="Times New Roman" w:hAnsi="Times New Roman"/>
        </w:rPr>
        <w:t>his</w:t>
      </w:r>
      <w:r w:rsidR="009164CB">
        <w:rPr>
          <w:rFonts w:ascii="Times New Roman" w:hAnsi="Times New Roman"/>
        </w:rPr>
        <w:t xml:space="preserve"> </w:t>
      </w:r>
      <w:r w:rsidR="00B82B89" w:rsidRPr="00B82B89">
        <w:rPr>
          <w:rFonts w:ascii="Times New Roman" w:hAnsi="Times New Roman"/>
        </w:rPr>
        <w:t xml:space="preserve">direct testimony in Avista’s </w:t>
      </w:r>
      <w:r w:rsidR="00004D6F">
        <w:rPr>
          <w:rFonts w:ascii="Times New Roman" w:hAnsi="Times New Roman"/>
        </w:rPr>
        <w:t xml:space="preserve">2012 </w:t>
      </w:r>
      <w:r w:rsidR="00B82B89" w:rsidRPr="00B82B89">
        <w:rPr>
          <w:rFonts w:ascii="Times New Roman" w:hAnsi="Times New Roman"/>
        </w:rPr>
        <w:t>general rate case, Docket UE-120436, where he refer</w:t>
      </w:r>
      <w:r w:rsidR="00333A55">
        <w:rPr>
          <w:rFonts w:ascii="Times New Roman" w:hAnsi="Times New Roman"/>
        </w:rPr>
        <w:t>red</w:t>
      </w:r>
      <w:r w:rsidR="00B82B89" w:rsidRPr="00B82B89">
        <w:rPr>
          <w:rFonts w:ascii="Times New Roman" w:hAnsi="Times New Roman"/>
        </w:rPr>
        <w:t xml:space="preserve"> to th</w:t>
      </w:r>
      <w:r w:rsidR="00A51A4D">
        <w:rPr>
          <w:rFonts w:ascii="Times New Roman" w:hAnsi="Times New Roman"/>
        </w:rPr>
        <w:t xml:space="preserve">e single peak </w:t>
      </w:r>
      <w:r w:rsidR="00B82B89" w:rsidRPr="00B82B89">
        <w:rPr>
          <w:rFonts w:ascii="Times New Roman" w:hAnsi="Times New Roman"/>
        </w:rPr>
        <w:t xml:space="preserve">methodology </w:t>
      </w:r>
      <w:r w:rsidR="003F15FE">
        <w:rPr>
          <w:rFonts w:ascii="Times New Roman" w:hAnsi="Times New Roman"/>
        </w:rPr>
        <w:t xml:space="preserve">by </w:t>
      </w:r>
      <w:r w:rsidR="00B82B89" w:rsidRPr="00B82B89">
        <w:rPr>
          <w:rFonts w:ascii="Times New Roman" w:hAnsi="Times New Roman"/>
        </w:rPr>
        <w:t>s</w:t>
      </w:r>
      <w:r w:rsidR="00A51A4D">
        <w:rPr>
          <w:rFonts w:ascii="Times New Roman" w:hAnsi="Times New Roman"/>
        </w:rPr>
        <w:t>t</w:t>
      </w:r>
      <w:r w:rsidR="00B82B89" w:rsidRPr="00B82B89">
        <w:rPr>
          <w:rFonts w:ascii="Times New Roman" w:hAnsi="Times New Roman"/>
        </w:rPr>
        <w:t>a</w:t>
      </w:r>
      <w:r w:rsidR="00A51A4D">
        <w:rPr>
          <w:rFonts w:ascii="Times New Roman" w:hAnsi="Times New Roman"/>
        </w:rPr>
        <w:t>t</w:t>
      </w:r>
      <w:r w:rsidR="00B82B89" w:rsidRPr="00B82B89">
        <w:rPr>
          <w:rFonts w:ascii="Times New Roman" w:hAnsi="Times New Roman"/>
        </w:rPr>
        <w:t>ing</w:t>
      </w:r>
      <w:r w:rsidR="009164CB">
        <w:rPr>
          <w:rFonts w:ascii="Times New Roman" w:hAnsi="Times New Roman"/>
        </w:rPr>
        <w:t xml:space="preserve"> “</w:t>
      </w:r>
      <w:r w:rsidR="00B82B89" w:rsidRPr="00B82B89">
        <w:rPr>
          <w:rFonts w:ascii="Times New Roman" w:hAnsi="Times New Roman"/>
          <w:szCs w:val="24"/>
        </w:rPr>
        <w:t>the Company’s current method is a less complex way to determine a fair and reasonable allocation of costs, by applying a single peak credit ratio uniformly to all production and transmission costs based off a system load factor to determine the proportion of the functions that are demand-related.”</w:t>
      </w:r>
      <w:r w:rsidR="00B82B89" w:rsidRPr="009164CB">
        <w:rPr>
          <w:rStyle w:val="FootnoteReference"/>
          <w:szCs w:val="24"/>
        </w:rPr>
        <w:footnoteReference w:id="5"/>
      </w:r>
      <w:r w:rsidR="009164CB">
        <w:rPr>
          <w:rFonts w:ascii="Times New Roman" w:hAnsi="Times New Roman"/>
          <w:szCs w:val="24"/>
        </w:rPr>
        <w:t xml:space="preserve">  </w:t>
      </w:r>
      <w:r w:rsidR="00965B35">
        <w:rPr>
          <w:rFonts w:ascii="Times New Roman" w:hAnsi="Times New Roman"/>
        </w:rPr>
        <w:t>S</w:t>
      </w:r>
      <w:r w:rsidR="00B82B89" w:rsidRPr="00B82B89">
        <w:rPr>
          <w:rFonts w:ascii="Times New Roman" w:hAnsi="Times New Roman"/>
        </w:rPr>
        <w:t>ubsequently, he recommend</w:t>
      </w:r>
      <w:r w:rsidR="00333A55">
        <w:rPr>
          <w:rFonts w:ascii="Times New Roman" w:hAnsi="Times New Roman"/>
        </w:rPr>
        <w:t>ed</w:t>
      </w:r>
      <w:r w:rsidR="00B82B89" w:rsidRPr="00B82B89">
        <w:rPr>
          <w:rFonts w:ascii="Times New Roman" w:hAnsi="Times New Roman"/>
        </w:rPr>
        <w:t xml:space="preserve"> the Commission accept the single peak or load factor methodology with the following comment:</w:t>
      </w:r>
    </w:p>
    <w:p w:rsidR="002921E2" w:rsidRDefault="00B82B89">
      <w:pPr>
        <w:autoSpaceDE w:val="0"/>
        <w:autoSpaceDN w:val="0"/>
        <w:adjustRightInd w:val="0"/>
        <w:spacing w:line="240" w:lineRule="auto"/>
        <w:ind w:left="1440" w:right="720" w:firstLine="0"/>
        <w:rPr>
          <w:rFonts w:ascii="Times New Roman" w:hAnsi="Times New Roman"/>
          <w:szCs w:val="24"/>
        </w:rPr>
      </w:pPr>
      <w:r w:rsidRPr="00B82B89">
        <w:rPr>
          <w:rFonts w:ascii="Times New Roman" w:hAnsi="Times New Roman"/>
          <w:szCs w:val="24"/>
        </w:rPr>
        <w:t xml:space="preserve">The refinement to the Company’s prior method is reasonable.… </w:t>
      </w:r>
      <w:r w:rsidR="00004D6F">
        <w:rPr>
          <w:rFonts w:ascii="Times New Roman" w:hAnsi="Times New Roman"/>
          <w:szCs w:val="24"/>
        </w:rPr>
        <w:t xml:space="preserve"> T</w:t>
      </w:r>
      <w:r w:rsidRPr="00B82B89">
        <w:rPr>
          <w:rFonts w:ascii="Times New Roman" w:hAnsi="Times New Roman"/>
          <w:szCs w:val="24"/>
        </w:rPr>
        <w:t>his method should be more stable compared to the prior method, due to the reduction of shifting costs back and forth between energy and demand, as the cost of natural gas to fuel combustion turbines changes.</w:t>
      </w:r>
      <w:r w:rsidRPr="009164CB">
        <w:rPr>
          <w:rStyle w:val="FootnoteReference"/>
          <w:szCs w:val="24"/>
        </w:rPr>
        <w:footnoteReference w:id="6"/>
      </w:r>
    </w:p>
    <w:p w:rsidR="009164CB" w:rsidRPr="009164CB" w:rsidRDefault="009164CB" w:rsidP="00DB6687">
      <w:pPr>
        <w:suppressLineNumbers/>
        <w:autoSpaceDE w:val="0"/>
        <w:autoSpaceDN w:val="0"/>
        <w:adjustRightInd w:val="0"/>
        <w:spacing w:line="240" w:lineRule="auto"/>
        <w:ind w:left="1440" w:right="1080" w:firstLine="0"/>
        <w:jc w:val="both"/>
        <w:rPr>
          <w:rFonts w:ascii="Times New Roman" w:hAnsi="Times New Roman"/>
          <w:szCs w:val="24"/>
        </w:rPr>
      </w:pPr>
    </w:p>
    <w:p w:rsidR="00B82B89" w:rsidRPr="00B82B89" w:rsidRDefault="00B82B89" w:rsidP="00B82B89">
      <w:pPr>
        <w:autoSpaceDE w:val="0"/>
        <w:autoSpaceDN w:val="0"/>
        <w:adjustRightInd w:val="0"/>
        <w:rPr>
          <w:rFonts w:ascii="Times New Roman" w:hAnsi="Times New Roman"/>
          <w:color w:val="FF0000"/>
          <w:szCs w:val="24"/>
        </w:rPr>
      </w:pPr>
      <w:r w:rsidRPr="00B82B89">
        <w:rPr>
          <w:rFonts w:ascii="Times New Roman" w:hAnsi="Times New Roman"/>
          <w:b/>
        </w:rPr>
        <w:tab/>
      </w:r>
      <w:r w:rsidR="00A00252" w:rsidRPr="00A00252">
        <w:rPr>
          <w:rFonts w:ascii="Times New Roman" w:hAnsi="Times New Roman"/>
        </w:rPr>
        <w:t>In addition to this contradictory perspective,</w:t>
      </w:r>
      <w:r w:rsidR="00114CC3">
        <w:rPr>
          <w:rFonts w:ascii="Times New Roman" w:hAnsi="Times New Roman"/>
          <w:b/>
        </w:rPr>
        <w:t xml:space="preserve"> </w:t>
      </w:r>
      <w:r w:rsidR="00FE0115">
        <w:rPr>
          <w:rFonts w:ascii="Times New Roman" w:hAnsi="Times New Roman"/>
        </w:rPr>
        <w:t xml:space="preserve">Mr. Mickelson </w:t>
      </w:r>
      <w:r w:rsidRPr="00B82B89">
        <w:rPr>
          <w:rFonts w:ascii="Times New Roman" w:hAnsi="Times New Roman"/>
          <w:szCs w:val="24"/>
        </w:rPr>
        <w:t>provides no supporting analysis demonstrat</w:t>
      </w:r>
      <w:r w:rsidR="00114CC3">
        <w:rPr>
          <w:rFonts w:ascii="Times New Roman" w:hAnsi="Times New Roman"/>
          <w:szCs w:val="24"/>
        </w:rPr>
        <w:t>ing</w:t>
      </w:r>
      <w:r w:rsidRPr="00B82B89">
        <w:rPr>
          <w:rFonts w:ascii="Times New Roman" w:hAnsi="Times New Roman"/>
          <w:szCs w:val="24"/>
        </w:rPr>
        <w:t xml:space="preserve"> rate schedule revenue requirement changes and subsequent cost shifting that would occur among the various schedules if </w:t>
      </w:r>
      <w:r w:rsidR="00613919">
        <w:rPr>
          <w:rFonts w:ascii="Times New Roman" w:hAnsi="Times New Roman"/>
          <w:szCs w:val="24"/>
        </w:rPr>
        <w:t>his</w:t>
      </w:r>
      <w:r w:rsidR="002D0C4F">
        <w:rPr>
          <w:rFonts w:ascii="Times New Roman" w:hAnsi="Times New Roman"/>
          <w:szCs w:val="24"/>
        </w:rPr>
        <w:t xml:space="preserve"> </w:t>
      </w:r>
      <w:r w:rsidRPr="00B82B89">
        <w:rPr>
          <w:rFonts w:ascii="Times New Roman" w:hAnsi="Times New Roman"/>
          <w:szCs w:val="24"/>
        </w:rPr>
        <w:t>recommendation w</w:t>
      </w:r>
      <w:r w:rsidR="00A51A4D">
        <w:rPr>
          <w:rFonts w:ascii="Times New Roman" w:hAnsi="Times New Roman"/>
          <w:szCs w:val="24"/>
        </w:rPr>
        <w:t>ere</w:t>
      </w:r>
      <w:r w:rsidRPr="00B82B89">
        <w:rPr>
          <w:rFonts w:ascii="Times New Roman" w:hAnsi="Times New Roman"/>
          <w:szCs w:val="24"/>
        </w:rPr>
        <w:t xml:space="preserve"> utilized in the COS study.  </w:t>
      </w:r>
      <w:r w:rsidR="006C4430">
        <w:rPr>
          <w:rFonts w:ascii="Times New Roman" w:hAnsi="Times New Roman"/>
          <w:szCs w:val="24"/>
        </w:rPr>
        <w:t>The</w:t>
      </w:r>
      <w:r w:rsidRPr="00B82B89">
        <w:rPr>
          <w:rFonts w:ascii="Times New Roman" w:hAnsi="Times New Roman"/>
          <w:szCs w:val="24"/>
        </w:rPr>
        <w:t xml:space="preserve"> rationale for this recommendation is</w:t>
      </w:r>
      <w:r w:rsidR="00633967">
        <w:rPr>
          <w:rFonts w:ascii="Times New Roman" w:hAnsi="Times New Roman"/>
          <w:szCs w:val="24"/>
        </w:rPr>
        <w:t xml:space="preserve"> not clear</w:t>
      </w:r>
      <w:r w:rsidR="00333A55">
        <w:rPr>
          <w:rFonts w:ascii="Times New Roman" w:hAnsi="Times New Roman"/>
          <w:szCs w:val="24"/>
        </w:rPr>
        <w:t>,</w:t>
      </w:r>
      <w:r w:rsidR="00A51A4D">
        <w:rPr>
          <w:rFonts w:ascii="Times New Roman" w:hAnsi="Times New Roman"/>
          <w:szCs w:val="24"/>
        </w:rPr>
        <w:t xml:space="preserve"> and it should be rejected</w:t>
      </w:r>
      <w:r w:rsidRPr="00B82B89">
        <w:rPr>
          <w:rFonts w:ascii="Times New Roman" w:hAnsi="Times New Roman"/>
          <w:szCs w:val="24"/>
        </w:rPr>
        <w:t xml:space="preserve">.  </w:t>
      </w:r>
    </w:p>
    <w:p w:rsidR="002921E2" w:rsidRDefault="00B82B89">
      <w:pPr>
        <w:keepNext/>
        <w:rPr>
          <w:rFonts w:ascii="Times New Roman" w:hAnsi="Times New Roman"/>
          <w:b/>
        </w:rPr>
      </w:pPr>
      <w:r w:rsidRPr="00B82B89">
        <w:rPr>
          <w:rFonts w:ascii="Times New Roman" w:hAnsi="Times New Roman"/>
          <w:b/>
        </w:rPr>
        <w:t>Q.</w:t>
      </w:r>
      <w:r w:rsidRPr="00B82B89">
        <w:rPr>
          <w:rFonts w:ascii="Times New Roman" w:hAnsi="Times New Roman"/>
          <w:b/>
        </w:rPr>
        <w:tab/>
      </w:r>
      <w:r w:rsidR="005D6E85">
        <w:rPr>
          <w:rFonts w:ascii="Times New Roman" w:hAnsi="Times New Roman"/>
          <w:b/>
        </w:rPr>
        <w:t xml:space="preserve">How do you respond to </w:t>
      </w:r>
      <w:r w:rsidR="00FE0115">
        <w:rPr>
          <w:rFonts w:ascii="Times New Roman" w:hAnsi="Times New Roman"/>
          <w:b/>
        </w:rPr>
        <w:t xml:space="preserve">Mr. Mickelson’s </w:t>
      </w:r>
      <w:r w:rsidR="005D6E85">
        <w:rPr>
          <w:rFonts w:ascii="Times New Roman" w:hAnsi="Times New Roman"/>
          <w:b/>
        </w:rPr>
        <w:t xml:space="preserve">second recommendation for the </w:t>
      </w:r>
      <w:r w:rsidR="009A181C">
        <w:rPr>
          <w:rFonts w:ascii="Times New Roman" w:hAnsi="Times New Roman"/>
          <w:b/>
        </w:rPr>
        <w:t xml:space="preserve">next </w:t>
      </w:r>
      <w:r w:rsidR="006C4430">
        <w:rPr>
          <w:rFonts w:ascii="Times New Roman" w:hAnsi="Times New Roman"/>
          <w:b/>
        </w:rPr>
        <w:t>COS</w:t>
      </w:r>
      <w:r w:rsidR="005D6E85">
        <w:rPr>
          <w:rFonts w:ascii="Times New Roman" w:hAnsi="Times New Roman"/>
          <w:b/>
        </w:rPr>
        <w:t xml:space="preserve"> study?</w:t>
      </w:r>
    </w:p>
    <w:p w:rsidR="000F32F4" w:rsidRDefault="00B82B89" w:rsidP="00B82B89">
      <w:pPr>
        <w:rPr>
          <w:rFonts w:ascii="Times New Roman" w:hAnsi="Times New Roman"/>
        </w:rPr>
      </w:pPr>
      <w:r w:rsidRPr="00B82B89">
        <w:rPr>
          <w:rFonts w:ascii="Times New Roman" w:hAnsi="Times New Roman"/>
        </w:rPr>
        <w:t>A.</w:t>
      </w:r>
      <w:r w:rsidRPr="00B82B89">
        <w:rPr>
          <w:rFonts w:ascii="Times New Roman" w:hAnsi="Times New Roman"/>
        </w:rPr>
        <w:tab/>
      </w:r>
      <w:r w:rsidR="00C00868">
        <w:rPr>
          <w:rFonts w:ascii="Times New Roman" w:hAnsi="Times New Roman"/>
        </w:rPr>
        <w:t xml:space="preserve">The Company is uncertain </w:t>
      </w:r>
      <w:r w:rsidR="001E5059">
        <w:rPr>
          <w:rFonts w:ascii="Times New Roman" w:hAnsi="Times New Roman"/>
        </w:rPr>
        <w:t xml:space="preserve">about </w:t>
      </w:r>
      <w:r w:rsidR="00C00868">
        <w:rPr>
          <w:rFonts w:ascii="Times New Roman" w:hAnsi="Times New Roman"/>
        </w:rPr>
        <w:t xml:space="preserve">the context and application for </w:t>
      </w:r>
      <w:r w:rsidR="00FE0115">
        <w:rPr>
          <w:rFonts w:ascii="Times New Roman" w:hAnsi="Times New Roman"/>
        </w:rPr>
        <w:t xml:space="preserve">Mr. Mickelson’s </w:t>
      </w:r>
      <w:r w:rsidR="00C00868">
        <w:rPr>
          <w:rFonts w:ascii="Times New Roman" w:hAnsi="Times New Roman"/>
        </w:rPr>
        <w:t xml:space="preserve">recommendation to create a new allocation factor for non-dispatchable generation (NDG).  </w:t>
      </w:r>
      <w:r w:rsidR="00FE0115">
        <w:rPr>
          <w:rFonts w:ascii="Times New Roman" w:hAnsi="Times New Roman"/>
        </w:rPr>
        <w:t>He</w:t>
      </w:r>
      <w:r w:rsidRPr="00B82B89">
        <w:rPr>
          <w:rFonts w:ascii="Times New Roman" w:hAnsi="Times New Roman"/>
        </w:rPr>
        <w:t xml:space="preserve"> </w:t>
      </w:r>
      <w:r w:rsidR="005D6E85">
        <w:rPr>
          <w:rFonts w:ascii="Times New Roman" w:hAnsi="Times New Roman"/>
        </w:rPr>
        <w:t xml:space="preserve">states that </w:t>
      </w:r>
      <w:r w:rsidRPr="00B82B89">
        <w:rPr>
          <w:rFonts w:ascii="Times New Roman" w:hAnsi="Times New Roman"/>
        </w:rPr>
        <w:t>the current allocation of non-dispatchable generation plants, related expenses, and non-dispatchable generation power contracts is problematic</w:t>
      </w:r>
      <w:r w:rsidR="001E5059">
        <w:rPr>
          <w:rFonts w:ascii="Times New Roman" w:hAnsi="Times New Roman"/>
        </w:rPr>
        <w:t xml:space="preserve">; he </w:t>
      </w:r>
      <w:r w:rsidRPr="00B82B89">
        <w:rPr>
          <w:rFonts w:ascii="Times New Roman" w:hAnsi="Times New Roman"/>
        </w:rPr>
        <w:t>suggests continued use of the current Situs (S) and System Generation (SG) allocation factors</w:t>
      </w:r>
      <w:r w:rsidR="001E5059">
        <w:rPr>
          <w:rFonts w:ascii="Times New Roman" w:hAnsi="Times New Roman"/>
        </w:rPr>
        <w:t>,</w:t>
      </w:r>
      <w:r w:rsidRPr="00B82B89">
        <w:rPr>
          <w:rFonts w:ascii="Times New Roman" w:hAnsi="Times New Roman"/>
        </w:rPr>
        <w:t xml:space="preserve"> but</w:t>
      </w:r>
      <w:r w:rsidR="000F32F4">
        <w:rPr>
          <w:rFonts w:ascii="Times New Roman" w:hAnsi="Times New Roman"/>
        </w:rPr>
        <w:t xml:space="preserve"> </w:t>
      </w:r>
      <w:r w:rsidR="001E5059">
        <w:rPr>
          <w:rFonts w:ascii="Times New Roman" w:hAnsi="Times New Roman"/>
        </w:rPr>
        <w:t xml:space="preserve">the creation of a </w:t>
      </w:r>
      <w:r w:rsidRPr="00B82B89">
        <w:rPr>
          <w:rFonts w:ascii="Times New Roman" w:hAnsi="Times New Roman"/>
        </w:rPr>
        <w:t xml:space="preserve">new </w:t>
      </w:r>
      <w:r w:rsidR="001E5059">
        <w:rPr>
          <w:rFonts w:ascii="Times New Roman" w:hAnsi="Times New Roman"/>
        </w:rPr>
        <w:t xml:space="preserve">factor—the NDG—to be </w:t>
      </w:r>
      <w:r w:rsidRPr="00B82B89">
        <w:rPr>
          <w:rFonts w:ascii="Times New Roman" w:hAnsi="Times New Roman"/>
        </w:rPr>
        <w:t>substituted anywhere the Control Area Generation West (CAGW) factor is being applied to non-dispatchable generation resources.</w:t>
      </w:r>
      <w:r w:rsidR="00613919">
        <w:rPr>
          <w:rStyle w:val="FootnoteReference"/>
        </w:rPr>
        <w:footnoteReference w:id="7"/>
      </w:r>
      <w:r w:rsidRPr="00B82B89">
        <w:rPr>
          <w:rFonts w:ascii="Times New Roman" w:hAnsi="Times New Roman"/>
        </w:rPr>
        <w:t xml:space="preserve">  However, </w:t>
      </w:r>
      <w:r w:rsidR="00FE0115">
        <w:rPr>
          <w:rFonts w:ascii="Times New Roman" w:hAnsi="Times New Roman"/>
        </w:rPr>
        <w:t xml:space="preserve">Mr. Mickelson’s </w:t>
      </w:r>
      <w:r w:rsidRPr="00B82B89">
        <w:rPr>
          <w:rFonts w:ascii="Times New Roman" w:hAnsi="Times New Roman"/>
        </w:rPr>
        <w:t>observation that th</w:t>
      </w:r>
      <w:r w:rsidR="00114CC3">
        <w:rPr>
          <w:rFonts w:ascii="Times New Roman" w:hAnsi="Times New Roman"/>
        </w:rPr>
        <w:t>ese</w:t>
      </w:r>
      <w:r w:rsidRPr="00B82B89">
        <w:rPr>
          <w:rFonts w:ascii="Times New Roman" w:hAnsi="Times New Roman"/>
        </w:rPr>
        <w:t xml:space="preserve"> change</w:t>
      </w:r>
      <w:r w:rsidR="00114CC3">
        <w:rPr>
          <w:rFonts w:ascii="Times New Roman" w:hAnsi="Times New Roman"/>
        </w:rPr>
        <w:t>s</w:t>
      </w:r>
      <w:r w:rsidRPr="00B82B89">
        <w:rPr>
          <w:rFonts w:ascii="Times New Roman" w:hAnsi="Times New Roman"/>
        </w:rPr>
        <w:t xml:space="preserve"> relate to the COS study is incorrect.  Allocation factors S, SG, and CAGW are only utilized </w:t>
      </w:r>
      <w:r w:rsidR="003F15FE">
        <w:rPr>
          <w:rFonts w:ascii="Times New Roman" w:hAnsi="Times New Roman"/>
        </w:rPr>
        <w:t>for</w:t>
      </w:r>
      <w:r w:rsidR="00965B35">
        <w:rPr>
          <w:rFonts w:ascii="Times New Roman" w:hAnsi="Times New Roman"/>
        </w:rPr>
        <w:t xml:space="preserve"> </w:t>
      </w:r>
      <w:r w:rsidR="006C4430">
        <w:rPr>
          <w:rFonts w:ascii="Times New Roman" w:hAnsi="Times New Roman"/>
        </w:rPr>
        <w:t>inter-jurisdictional</w:t>
      </w:r>
      <w:r w:rsidR="003F15FE">
        <w:rPr>
          <w:rFonts w:ascii="Times New Roman" w:hAnsi="Times New Roman"/>
        </w:rPr>
        <w:t xml:space="preserve"> allocation</w:t>
      </w:r>
      <w:r w:rsidR="009A181C">
        <w:rPr>
          <w:rFonts w:ascii="Times New Roman" w:hAnsi="Times New Roman"/>
        </w:rPr>
        <w:t>s</w:t>
      </w:r>
      <w:r w:rsidR="003F15FE">
        <w:rPr>
          <w:rFonts w:ascii="Times New Roman" w:hAnsi="Times New Roman"/>
        </w:rPr>
        <w:t xml:space="preserve"> </w:t>
      </w:r>
      <w:r w:rsidRPr="00B82B89">
        <w:rPr>
          <w:rFonts w:ascii="Times New Roman" w:hAnsi="Times New Roman"/>
        </w:rPr>
        <w:t xml:space="preserve">in the jurisdictional allocation model (JAM) and </w:t>
      </w:r>
      <w:r w:rsidR="00905F81" w:rsidRPr="00905F81">
        <w:rPr>
          <w:rFonts w:ascii="Times New Roman" w:hAnsi="Times New Roman"/>
        </w:rPr>
        <w:t>not</w:t>
      </w:r>
      <w:r w:rsidRPr="00B82B89">
        <w:rPr>
          <w:rFonts w:ascii="Times New Roman" w:hAnsi="Times New Roman"/>
        </w:rPr>
        <w:t xml:space="preserve"> the COS study</w:t>
      </w:r>
      <w:r w:rsidR="003E46AE" w:rsidRPr="00B82B89">
        <w:rPr>
          <w:rFonts w:ascii="Times New Roman" w:hAnsi="Times New Roman"/>
        </w:rPr>
        <w:t>.</w:t>
      </w:r>
      <w:r w:rsidR="003E46AE">
        <w:rPr>
          <w:rFonts w:ascii="Times New Roman" w:hAnsi="Times New Roman"/>
        </w:rPr>
        <w:t xml:space="preserve"> </w:t>
      </w:r>
      <w:r w:rsidR="000C3396">
        <w:rPr>
          <w:rFonts w:ascii="Times New Roman" w:hAnsi="Times New Roman"/>
        </w:rPr>
        <w:t xml:space="preserve"> </w:t>
      </w:r>
      <w:r w:rsidRPr="00B82B89">
        <w:rPr>
          <w:rFonts w:ascii="Times New Roman" w:hAnsi="Times New Roman"/>
        </w:rPr>
        <w:t xml:space="preserve">While it is true that JAM </w:t>
      </w:r>
      <w:r w:rsidR="003F15FE">
        <w:rPr>
          <w:rFonts w:ascii="Times New Roman" w:hAnsi="Times New Roman"/>
        </w:rPr>
        <w:t xml:space="preserve">results of operations </w:t>
      </w:r>
      <w:r w:rsidRPr="00B82B89">
        <w:rPr>
          <w:rFonts w:ascii="Times New Roman" w:hAnsi="Times New Roman"/>
        </w:rPr>
        <w:t xml:space="preserve">flow into the COS study, </w:t>
      </w:r>
      <w:r w:rsidR="000F32F4">
        <w:rPr>
          <w:rFonts w:ascii="Times New Roman" w:hAnsi="Times New Roman"/>
        </w:rPr>
        <w:t>Mr. Mickelson’s</w:t>
      </w:r>
      <w:r w:rsidRPr="00B82B89">
        <w:rPr>
          <w:rFonts w:ascii="Times New Roman" w:hAnsi="Times New Roman"/>
        </w:rPr>
        <w:t xml:space="preserve"> </w:t>
      </w:r>
      <w:r w:rsidR="005D6E85">
        <w:rPr>
          <w:rFonts w:ascii="Times New Roman" w:hAnsi="Times New Roman"/>
        </w:rPr>
        <w:t xml:space="preserve">testimony implies </w:t>
      </w:r>
      <w:r w:rsidRPr="00B82B89">
        <w:rPr>
          <w:rFonts w:ascii="Times New Roman" w:hAnsi="Times New Roman"/>
        </w:rPr>
        <w:t xml:space="preserve">that JAM allocation factors are somehow </w:t>
      </w:r>
      <w:r w:rsidR="00D84C8F">
        <w:rPr>
          <w:rFonts w:ascii="Times New Roman" w:hAnsi="Times New Roman"/>
        </w:rPr>
        <w:t>utilized</w:t>
      </w:r>
      <w:r w:rsidRPr="00B82B89">
        <w:rPr>
          <w:rFonts w:ascii="Times New Roman" w:hAnsi="Times New Roman"/>
        </w:rPr>
        <w:t xml:space="preserve"> within the COS study.</w:t>
      </w:r>
      <w:r w:rsidR="003E46AE">
        <w:rPr>
          <w:rFonts w:ascii="Times New Roman" w:hAnsi="Times New Roman"/>
        </w:rPr>
        <w:t xml:space="preserve">  </w:t>
      </w:r>
      <w:r w:rsidR="00114CC3">
        <w:rPr>
          <w:rFonts w:ascii="Times New Roman" w:hAnsi="Times New Roman"/>
        </w:rPr>
        <w:t>JAM</w:t>
      </w:r>
      <w:r w:rsidR="003E46AE">
        <w:rPr>
          <w:rFonts w:ascii="Times New Roman" w:hAnsi="Times New Roman"/>
        </w:rPr>
        <w:t xml:space="preserve"> allocation factors are </w:t>
      </w:r>
      <w:r w:rsidR="00114CC3">
        <w:rPr>
          <w:rFonts w:ascii="Times New Roman" w:hAnsi="Times New Roman"/>
        </w:rPr>
        <w:t xml:space="preserve">included </w:t>
      </w:r>
      <w:r w:rsidR="003E46AE">
        <w:rPr>
          <w:rFonts w:ascii="Times New Roman" w:hAnsi="Times New Roman"/>
        </w:rPr>
        <w:t>in the COS study</w:t>
      </w:r>
      <w:r w:rsidR="00114CC3">
        <w:rPr>
          <w:rFonts w:ascii="Times New Roman" w:hAnsi="Times New Roman"/>
        </w:rPr>
        <w:t xml:space="preserve"> (see “Func Study” tab)</w:t>
      </w:r>
      <w:r w:rsidR="004F16D4">
        <w:rPr>
          <w:rFonts w:ascii="Times New Roman" w:hAnsi="Times New Roman"/>
        </w:rPr>
        <w:t xml:space="preserve"> for illustrative purposes</w:t>
      </w:r>
      <w:r w:rsidR="008A58FB">
        <w:rPr>
          <w:rFonts w:ascii="Times New Roman" w:hAnsi="Times New Roman"/>
        </w:rPr>
        <w:t>;</w:t>
      </w:r>
      <w:r w:rsidR="003E46AE">
        <w:rPr>
          <w:rFonts w:ascii="Times New Roman" w:hAnsi="Times New Roman"/>
        </w:rPr>
        <w:t xml:space="preserve"> </w:t>
      </w:r>
      <w:r w:rsidR="006342F6">
        <w:rPr>
          <w:rFonts w:ascii="Times New Roman" w:hAnsi="Times New Roman"/>
        </w:rPr>
        <w:t>however</w:t>
      </w:r>
      <w:r w:rsidR="008A58FB">
        <w:rPr>
          <w:rFonts w:ascii="Times New Roman" w:hAnsi="Times New Roman"/>
        </w:rPr>
        <w:t>,</w:t>
      </w:r>
      <w:r w:rsidR="006342F6">
        <w:rPr>
          <w:rFonts w:ascii="Times New Roman" w:hAnsi="Times New Roman"/>
        </w:rPr>
        <w:t xml:space="preserve"> </w:t>
      </w:r>
      <w:r w:rsidR="003E46AE">
        <w:rPr>
          <w:rFonts w:ascii="Times New Roman" w:hAnsi="Times New Roman"/>
        </w:rPr>
        <w:t xml:space="preserve">they are </w:t>
      </w:r>
      <w:r w:rsidR="00114CC3">
        <w:rPr>
          <w:rFonts w:ascii="Times New Roman" w:hAnsi="Times New Roman"/>
        </w:rPr>
        <w:t xml:space="preserve">not </w:t>
      </w:r>
      <w:r w:rsidR="003E46AE">
        <w:rPr>
          <w:rFonts w:ascii="Times New Roman" w:hAnsi="Times New Roman"/>
        </w:rPr>
        <w:t xml:space="preserve">utilized </w:t>
      </w:r>
      <w:r w:rsidR="004F16D4">
        <w:rPr>
          <w:rFonts w:ascii="Times New Roman" w:hAnsi="Times New Roman"/>
        </w:rPr>
        <w:t xml:space="preserve">to </w:t>
      </w:r>
      <w:r w:rsidR="003E46AE">
        <w:rPr>
          <w:rFonts w:ascii="Times New Roman" w:hAnsi="Times New Roman"/>
        </w:rPr>
        <w:t>functi</w:t>
      </w:r>
      <w:r w:rsidR="006A6F4C">
        <w:rPr>
          <w:rFonts w:ascii="Times New Roman" w:hAnsi="Times New Roman"/>
        </w:rPr>
        <w:t>onaliz</w:t>
      </w:r>
      <w:r w:rsidR="004F16D4">
        <w:rPr>
          <w:rFonts w:ascii="Times New Roman" w:hAnsi="Times New Roman"/>
        </w:rPr>
        <w:t>e</w:t>
      </w:r>
      <w:r w:rsidR="006A6F4C">
        <w:rPr>
          <w:rFonts w:ascii="Times New Roman" w:hAnsi="Times New Roman"/>
        </w:rPr>
        <w:t>, classif</w:t>
      </w:r>
      <w:r w:rsidR="004F16D4">
        <w:rPr>
          <w:rFonts w:ascii="Times New Roman" w:hAnsi="Times New Roman"/>
        </w:rPr>
        <w:t>y</w:t>
      </w:r>
      <w:r w:rsidR="006A6F4C">
        <w:rPr>
          <w:rFonts w:ascii="Times New Roman" w:hAnsi="Times New Roman"/>
        </w:rPr>
        <w:t xml:space="preserve">, </w:t>
      </w:r>
      <w:r w:rsidR="004F16D4">
        <w:rPr>
          <w:rFonts w:ascii="Times New Roman" w:hAnsi="Times New Roman"/>
        </w:rPr>
        <w:t xml:space="preserve">or </w:t>
      </w:r>
      <w:r w:rsidR="003E46AE">
        <w:rPr>
          <w:rFonts w:ascii="Times New Roman" w:hAnsi="Times New Roman"/>
        </w:rPr>
        <w:t>allocat</w:t>
      </w:r>
      <w:r w:rsidR="004F16D4">
        <w:rPr>
          <w:rFonts w:ascii="Times New Roman" w:hAnsi="Times New Roman"/>
        </w:rPr>
        <w:t>e</w:t>
      </w:r>
      <w:r w:rsidR="003E46AE">
        <w:rPr>
          <w:rFonts w:ascii="Times New Roman" w:hAnsi="Times New Roman"/>
        </w:rPr>
        <w:t xml:space="preserve"> costs</w:t>
      </w:r>
      <w:r w:rsidR="003F15FE">
        <w:rPr>
          <w:rFonts w:ascii="Times New Roman" w:hAnsi="Times New Roman"/>
        </w:rPr>
        <w:t xml:space="preserve"> </w:t>
      </w:r>
      <w:r w:rsidR="009A181C">
        <w:rPr>
          <w:rFonts w:ascii="Times New Roman" w:hAnsi="Times New Roman"/>
        </w:rPr>
        <w:t xml:space="preserve">among </w:t>
      </w:r>
      <w:r w:rsidR="003F15FE">
        <w:rPr>
          <w:rFonts w:ascii="Times New Roman" w:hAnsi="Times New Roman"/>
        </w:rPr>
        <w:t xml:space="preserve">Washington </w:t>
      </w:r>
      <w:r w:rsidR="00BF4FDF">
        <w:rPr>
          <w:rFonts w:ascii="Times New Roman" w:hAnsi="Times New Roman"/>
        </w:rPr>
        <w:t>rate schedules</w:t>
      </w:r>
      <w:r w:rsidR="009A181C">
        <w:rPr>
          <w:rFonts w:ascii="Times New Roman" w:hAnsi="Times New Roman"/>
        </w:rPr>
        <w:t xml:space="preserve">, which is the purpose of the </w:t>
      </w:r>
      <w:r w:rsidR="00B6591C">
        <w:rPr>
          <w:rFonts w:ascii="Times New Roman" w:hAnsi="Times New Roman"/>
        </w:rPr>
        <w:t>COS study</w:t>
      </w:r>
      <w:r w:rsidR="004F16D4">
        <w:rPr>
          <w:rFonts w:ascii="Times New Roman" w:hAnsi="Times New Roman"/>
        </w:rPr>
        <w:t>.</w:t>
      </w:r>
      <w:r w:rsidR="003E46AE" w:rsidRPr="00B82B89">
        <w:rPr>
          <w:rFonts w:ascii="Times New Roman" w:hAnsi="Times New Roman"/>
        </w:rPr>
        <w:t xml:space="preserve"> </w:t>
      </w:r>
      <w:r w:rsidRPr="00B82B89">
        <w:rPr>
          <w:rFonts w:ascii="Times New Roman" w:hAnsi="Times New Roman"/>
        </w:rPr>
        <w:t xml:space="preserve"> </w:t>
      </w:r>
      <w:r w:rsidR="000F32F4">
        <w:rPr>
          <w:rFonts w:ascii="Times New Roman" w:hAnsi="Times New Roman"/>
        </w:rPr>
        <w:t xml:space="preserve">In </w:t>
      </w:r>
      <w:r w:rsidR="001E5059">
        <w:rPr>
          <w:rFonts w:ascii="Times New Roman" w:hAnsi="Times New Roman"/>
        </w:rPr>
        <w:t xml:space="preserve">response to a </w:t>
      </w:r>
      <w:r w:rsidR="000F32F4">
        <w:rPr>
          <w:rFonts w:ascii="Times New Roman" w:hAnsi="Times New Roman"/>
        </w:rPr>
        <w:t xml:space="preserve">discovery </w:t>
      </w:r>
      <w:r w:rsidR="001E5059">
        <w:rPr>
          <w:rFonts w:ascii="Times New Roman" w:hAnsi="Times New Roman"/>
        </w:rPr>
        <w:t xml:space="preserve">request from the Company, </w:t>
      </w:r>
      <w:r w:rsidR="00FE0115">
        <w:rPr>
          <w:rFonts w:ascii="Times New Roman" w:hAnsi="Times New Roman"/>
        </w:rPr>
        <w:t xml:space="preserve">Mr. Mickelson </w:t>
      </w:r>
      <w:r w:rsidR="000F32F4">
        <w:rPr>
          <w:rFonts w:ascii="Times New Roman" w:hAnsi="Times New Roman"/>
        </w:rPr>
        <w:t xml:space="preserve">reiterated that </w:t>
      </w:r>
      <w:r w:rsidR="00FE0115">
        <w:rPr>
          <w:rFonts w:ascii="Times New Roman" w:hAnsi="Times New Roman"/>
        </w:rPr>
        <w:t>his</w:t>
      </w:r>
      <w:r w:rsidR="000F32F4">
        <w:rPr>
          <w:rFonts w:ascii="Times New Roman" w:hAnsi="Times New Roman"/>
        </w:rPr>
        <w:t xml:space="preserve"> testimony relates to the </w:t>
      </w:r>
      <w:r w:rsidR="006C4430">
        <w:rPr>
          <w:rFonts w:ascii="Times New Roman" w:hAnsi="Times New Roman"/>
        </w:rPr>
        <w:t>COS</w:t>
      </w:r>
      <w:r w:rsidR="000F32F4">
        <w:rPr>
          <w:rFonts w:ascii="Times New Roman" w:hAnsi="Times New Roman"/>
        </w:rPr>
        <w:t xml:space="preserve"> model.  Therefore, the Company is </w:t>
      </w:r>
      <w:r w:rsidR="0003283F">
        <w:rPr>
          <w:rFonts w:ascii="Times New Roman" w:hAnsi="Times New Roman"/>
        </w:rPr>
        <w:t xml:space="preserve">unable to ascertain </w:t>
      </w:r>
      <w:r w:rsidR="000F32F4">
        <w:rPr>
          <w:rFonts w:ascii="Times New Roman" w:hAnsi="Times New Roman"/>
        </w:rPr>
        <w:t xml:space="preserve">the proper context and application for this recommendation.  </w:t>
      </w:r>
    </w:p>
    <w:p w:rsidR="000F32F4" w:rsidRDefault="000F32F4" w:rsidP="00B82B89">
      <w:pPr>
        <w:rPr>
          <w:rFonts w:ascii="Times New Roman" w:hAnsi="Times New Roman"/>
        </w:rPr>
      </w:pPr>
      <w:r>
        <w:rPr>
          <w:rFonts w:ascii="Times New Roman" w:hAnsi="Times New Roman"/>
        </w:rPr>
        <w:tab/>
      </w:r>
      <w:r>
        <w:rPr>
          <w:rFonts w:ascii="Times New Roman" w:hAnsi="Times New Roman"/>
        </w:rPr>
        <w:tab/>
        <w:t xml:space="preserve">Additionally, Mr. Mickelson recommends that </w:t>
      </w:r>
      <w:r w:rsidR="00145182">
        <w:rPr>
          <w:rFonts w:ascii="Times New Roman" w:hAnsi="Times New Roman"/>
        </w:rPr>
        <w:t>“</w:t>
      </w:r>
      <w:r>
        <w:rPr>
          <w:rFonts w:ascii="Times New Roman" w:hAnsi="Times New Roman"/>
        </w:rPr>
        <w:t xml:space="preserve">the Commission require the Company </w:t>
      </w:r>
      <w:r w:rsidR="00145182">
        <w:rPr>
          <w:rFonts w:ascii="Times New Roman" w:hAnsi="Times New Roman"/>
        </w:rPr>
        <w:t>to provide the information necessary for Staff to review a new NDG allocation factor for the apportionment of non-dispatchable generation resources, related expenses, and non-dispatchable generation power contracts” in the next full general rate case filing.</w:t>
      </w:r>
      <w:r w:rsidR="00145182" w:rsidRPr="00145182">
        <w:rPr>
          <w:rStyle w:val="FootnoteReference"/>
        </w:rPr>
        <w:footnoteReference w:id="8"/>
      </w:r>
      <w:r w:rsidR="00145182">
        <w:rPr>
          <w:rFonts w:ascii="Times New Roman" w:hAnsi="Times New Roman"/>
        </w:rPr>
        <w:t xml:space="preserve"> </w:t>
      </w:r>
      <w:r w:rsidR="006C4430">
        <w:rPr>
          <w:rFonts w:ascii="Times New Roman" w:hAnsi="Times New Roman"/>
        </w:rPr>
        <w:t xml:space="preserve"> </w:t>
      </w:r>
      <w:r w:rsidR="00586852">
        <w:rPr>
          <w:rFonts w:ascii="Times New Roman" w:hAnsi="Times New Roman"/>
        </w:rPr>
        <w:t xml:space="preserve">However, </w:t>
      </w:r>
      <w:r w:rsidR="00FE0115">
        <w:rPr>
          <w:rFonts w:ascii="Times New Roman" w:hAnsi="Times New Roman"/>
        </w:rPr>
        <w:t xml:space="preserve">Mr. Mickelson </w:t>
      </w:r>
      <w:r w:rsidR="00BF2A62">
        <w:rPr>
          <w:rFonts w:ascii="Times New Roman" w:hAnsi="Times New Roman"/>
        </w:rPr>
        <w:t xml:space="preserve">does not specify the specific information requested.  </w:t>
      </w:r>
      <w:r w:rsidR="00586852">
        <w:rPr>
          <w:rFonts w:ascii="Times New Roman" w:hAnsi="Times New Roman"/>
        </w:rPr>
        <w:t>In discovery</w:t>
      </w:r>
      <w:r w:rsidR="001E5059">
        <w:rPr>
          <w:rFonts w:ascii="Times New Roman" w:hAnsi="Times New Roman"/>
        </w:rPr>
        <w:t>, Staff requested and</w:t>
      </w:r>
      <w:r w:rsidR="00586852">
        <w:rPr>
          <w:rFonts w:ascii="Times New Roman" w:hAnsi="Times New Roman"/>
        </w:rPr>
        <w:t xml:space="preserve"> the Company provided a revised </w:t>
      </w:r>
      <w:r w:rsidR="00F742EB">
        <w:rPr>
          <w:rFonts w:ascii="Times New Roman" w:hAnsi="Times New Roman"/>
        </w:rPr>
        <w:t xml:space="preserve">JAM and </w:t>
      </w:r>
      <w:r w:rsidR="001E5059">
        <w:rPr>
          <w:rFonts w:ascii="Times New Roman" w:hAnsi="Times New Roman"/>
        </w:rPr>
        <w:t xml:space="preserve">COS </w:t>
      </w:r>
      <w:r w:rsidR="00586852">
        <w:rPr>
          <w:rFonts w:ascii="Times New Roman" w:hAnsi="Times New Roman"/>
        </w:rPr>
        <w:t>study that separately identified and allocated wind-related costs</w:t>
      </w:r>
      <w:r w:rsidR="00BF4FDF">
        <w:rPr>
          <w:rFonts w:ascii="Times New Roman" w:hAnsi="Times New Roman"/>
        </w:rPr>
        <w:t>, which is the most significant type of non-dispatchable generation in the Company’s resource portfolio</w:t>
      </w:r>
      <w:r w:rsidR="00586852">
        <w:rPr>
          <w:rFonts w:ascii="Times New Roman" w:hAnsi="Times New Roman"/>
        </w:rPr>
        <w:t xml:space="preserve">.  </w:t>
      </w:r>
      <w:r w:rsidR="00F742EB">
        <w:rPr>
          <w:rFonts w:ascii="Times New Roman" w:hAnsi="Times New Roman"/>
        </w:rPr>
        <w:t xml:space="preserve">The Company is uncertain </w:t>
      </w:r>
      <w:r w:rsidR="001E5059">
        <w:rPr>
          <w:rFonts w:ascii="Times New Roman" w:hAnsi="Times New Roman"/>
        </w:rPr>
        <w:t xml:space="preserve">what additional information </w:t>
      </w:r>
      <w:r w:rsidR="002D0C4F">
        <w:rPr>
          <w:rFonts w:ascii="Times New Roman" w:hAnsi="Times New Roman"/>
        </w:rPr>
        <w:t>Staff</w:t>
      </w:r>
      <w:r w:rsidR="001E5059">
        <w:rPr>
          <w:rFonts w:ascii="Times New Roman" w:hAnsi="Times New Roman"/>
        </w:rPr>
        <w:t xml:space="preserve"> finds necessary</w:t>
      </w:r>
      <w:r w:rsidR="00F742EB">
        <w:rPr>
          <w:rFonts w:ascii="Times New Roman" w:hAnsi="Times New Roman"/>
        </w:rPr>
        <w:t>.  Until Staff</w:t>
      </w:r>
      <w:r w:rsidR="00BF2A62">
        <w:rPr>
          <w:rFonts w:ascii="Times New Roman" w:hAnsi="Times New Roman"/>
        </w:rPr>
        <w:t xml:space="preserve"> more clearly specifies it</w:t>
      </w:r>
      <w:r w:rsidR="00F742EB">
        <w:rPr>
          <w:rFonts w:ascii="Times New Roman" w:hAnsi="Times New Roman"/>
        </w:rPr>
        <w:t xml:space="preserve">s recommendation, </w:t>
      </w:r>
      <w:r w:rsidR="00BF2A62">
        <w:rPr>
          <w:rFonts w:ascii="Times New Roman" w:hAnsi="Times New Roman"/>
        </w:rPr>
        <w:t xml:space="preserve">the Company </w:t>
      </w:r>
      <w:r w:rsidR="00E5115C">
        <w:rPr>
          <w:rFonts w:ascii="Times New Roman" w:hAnsi="Times New Roman"/>
        </w:rPr>
        <w:t xml:space="preserve">is unable to take a position regarding </w:t>
      </w:r>
      <w:r w:rsidR="00FE0115">
        <w:rPr>
          <w:rFonts w:ascii="Times New Roman" w:hAnsi="Times New Roman"/>
        </w:rPr>
        <w:t>Mr. Mickelson</w:t>
      </w:r>
      <w:r w:rsidR="00F742EB">
        <w:rPr>
          <w:rFonts w:ascii="Times New Roman" w:hAnsi="Times New Roman"/>
        </w:rPr>
        <w:t>’s proposal.</w:t>
      </w:r>
    </w:p>
    <w:p w:rsidR="00B82B89" w:rsidRPr="00B82B89" w:rsidRDefault="00B82B89" w:rsidP="00B82B89">
      <w:pPr>
        <w:rPr>
          <w:rFonts w:ascii="Times New Roman" w:hAnsi="Times New Roman"/>
          <w:b/>
        </w:rPr>
      </w:pPr>
      <w:r w:rsidRPr="00B82B89">
        <w:rPr>
          <w:rFonts w:ascii="Times New Roman" w:hAnsi="Times New Roman"/>
          <w:b/>
        </w:rPr>
        <w:t>Q.</w:t>
      </w:r>
      <w:r w:rsidRPr="00B82B89">
        <w:rPr>
          <w:rFonts w:ascii="Times New Roman" w:hAnsi="Times New Roman"/>
          <w:b/>
        </w:rPr>
        <w:tab/>
        <w:t xml:space="preserve">Please explain </w:t>
      </w:r>
      <w:r w:rsidR="009F70E0">
        <w:rPr>
          <w:rFonts w:ascii="Times New Roman" w:hAnsi="Times New Roman"/>
          <w:b/>
        </w:rPr>
        <w:t xml:space="preserve">Mr. Mickelson’s </w:t>
      </w:r>
      <w:r w:rsidRPr="00B82B89">
        <w:rPr>
          <w:rFonts w:ascii="Times New Roman" w:hAnsi="Times New Roman"/>
          <w:b/>
        </w:rPr>
        <w:t xml:space="preserve">third </w:t>
      </w:r>
      <w:r w:rsidR="00E07190">
        <w:rPr>
          <w:rFonts w:ascii="Times New Roman" w:hAnsi="Times New Roman"/>
          <w:b/>
        </w:rPr>
        <w:t xml:space="preserve">recommendation for the next COS </w:t>
      </w:r>
      <w:r w:rsidRPr="00B82B89">
        <w:rPr>
          <w:rFonts w:ascii="Times New Roman" w:hAnsi="Times New Roman"/>
          <w:b/>
        </w:rPr>
        <w:t>study.</w:t>
      </w:r>
    </w:p>
    <w:p w:rsidR="00B82B89" w:rsidRPr="00B82B89" w:rsidRDefault="00B82B89" w:rsidP="00B82B89">
      <w:pPr>
        <w:rPr>
          <w:rFonts w:ascii="Times New Roman" w:hAnsi="Times New Roman"/>
        </w:rPr>
      </w:pPr>
      <w:r w:rsidRPr="00B82B89">
        <w:rPr>
          <w:rFonts w:ascii="Times New Roman" w:hAnsi="Times New Roman"/>
        </w:rPr>
        <w:t>A.</w:t>
      </w:r>
      <w:r w:rsidRPr="00B82B89">
        <w:rPr>
          <w:rFonts w:ascii="Times New Roman" w:hAnsi="Times New Roman"/>
        </w:rPr>
        <w:tab/>
      </w:r>
      <w:r w:rsidR="00FE0115">
        <w:rPr>
          <w:rFonts w:ascii="Times New Roman" w:hAnsi="Times New Roman"/>
        </w:rPr>
        <w:t>Mr. Mickelson</w:t>
      </w:r>
      <w:r w:rsidR="00FE0115" w:rsidRPr="00B82B89">
        <w:rPr>
          <w:rFonts w:ascii="Times New Roman" w:hAnsi="Times New Roman"/>
        </w:rPr>
        <w:t xml:space="preserve"> </w:t>
      </w:r>
      <w:r w:rsidRPr="00B82B89">
        <w:rPr>
          <w:rFonts w:ascii="Times New Roman" w:hAnsi="Times New Roman"/>
        </w:rPr>
        <w:t>proposes that expenses related to corporate account managers be directly assigned to Schedule 48T</w:t>
      </w:r>
      <w:r w:rsidR="000B6672">
        <w:rPr>
          <w:rFonts w:ascii="Times New Roman" w:hAnsi="Times New Roman"/>
        </w:rPr>
        <w:t>.</w:t>
      </w:r>
      <w:r w:rsidR="00613919" w:rsidRPr="00863E02">
        <w:rPr>
          <w:rStyle w:val="FootnoteReference"/>
        </w:rPr>
        <w:footnoteReference w:id="9"/>
      </w:r>
      <w:r w:rsidR="000B6672">
        <w:rPr>
          <w:rFonts w:ascii="Times New Roman" w:hAnsi="Times New Roman"/>
        </w:rPr>
        <w:t xml:space="preserve">  </w:t>
      </w:r>
      <w:r w:rsidR="00FE0115">
        <w:rPr>
          <w:rFonts w:ascii="Times New Roman" w:hAnsi="Times New Roman"/>
        </w:rPr>
        <w:t xml:space="preserve">He </w:t>
      </w:r>
      <w:r w:rsidR="002D0C4F">
        <w:rPr>
          <w:rFonts w:ascii="Times New Roman" w:hAnsi="Times New Roman"/>
        </w:rPr>
        <w:t>states</w:t>
      </w:r>
      <w:r w:rsidR="000B6672">
        <w:rPr>
          <w:rFonts w:ascii="Times New Roman" w:hAnsi="Times New Roman"/>
        </w:rPr>
        <w:t xml:space="preserve"> that</w:t>
      </w:r>
      <w:r w:rsidRPr="00B82B89">
        <w:rPr>
          <w:rFonts w:ascii="Times New Roman" w:hAnsi="Times New Roman"/>
        </w:rPr>
        <w:t xml:space="preserve"> </w:t>
      </w:r>
      <w:r w:rsidR="002D0C4F">
        <w:rPr>
          <w:rFonts w:ascii="Times New Roman" w:hAnsi="Times New Roman"/>
        </w:rPr>
        <w:t xml:space="preserve">since corporate account </w:t>
      </w:r>
      <w:r w:rsidRPr="00B82B89">
        <w:rPr>
          <w:rFonts w:ascii="Times New Roman" w:hAnsi="Times New Roman"/>
        </w:rPr>
        <w:t>managers are assigned to very large customers (loads over 750 KW)</w:t>
      </w:r>
      <w:r w:rsidR="007832D9">
        <w:rPr>
          <w:rFonts w:ascii="Times New Roman" w:hAnsi="Times New Roman"/>
        </w:rPr>
        <w:t>,</w:t>
      </w:r>
      <w:r w:rsidR="000B6672">
        <w:rPr>
          <w:rFonts w:ascii="Times New Roman" w:hAnsi="Times New Roman"/>
        </w:rPr>
        <w:t xml:space="preserve"> it is appropriate that </w:t>
      </w:r>
      <w:r w:rsidR="002D0C4F">
        <w:rPr>
          <w:rFonts w:ascii="Times New Roman" w:hAnsi="Times New Roman"/>
        </w:rPr>
        <w:t xml:space="preserve">the related expenses </w:t>
      </w:r>
      <w:r w:rsidR="000B6672">
        <w:rPr>
          <w:rFonts w:ascii="Times New Roman" w:hAnsi="Times New Roman"/>
        </w:rPr>
        <w:t>be assigned to this rate schedule</w:t>
      </w:r>
      <w:r w:rsidRPr="00B82B89">
        <w:rPr>
          <w:rFonts w:ascii="Times New Roman" w:hAnsi="Times New Roman"/>
        </w:rPr>
        <w:t xml:space="preserve">.  </w:t>
      </w:r>
      <w:r w:rsidR="00FE0115">
        <w:rPr>
          <w:rFonts w:ascii="Times New Roman" w:hAnsi="Times New Roman"/>
        </w:rPr>
        <w:t xml:space="preserve">Mr. Mickelson </w:t>
      </w:r>
      <w:r w:rsidRPr="00B82B89">
        <w:rPr>
          <w:rFonts w:ascii="Times New Roman" w:hAnsi="Times New Roman"/>
        </w:rPr>
        <w:t>also states that</w:t>
      </w:r>
      <w:r w:rsidR="00A9602E">
        <w:rPr>
          <w:rFonts w:ascii="Times New Roman" w:hAnsi="Times New Roman"/>
        </w:rPr>
        <w:t xml:space="preserve"> the</w:t>
      </w:r>
      <w:r w:rsidRPr="00B82B89">
        <w:rPr>
          <w:rFonts w:ascii="Times New Roman" w:hAnsi="Times New Roman"/>
        </w:rPr>
        <w:t xml:space="preserve"> costs associated with corporate account managers should not be spread among all customer classes and </w:t>
      </w:r>
      <w:r w:rsidR="000C6708">
        <w:rPr>
          <w:rFonts w:ascii="Times New Roman" w:hAnsi="Times New Roman"/>
        </w:rPr>
        <w:t xml:space="preserve">that </w:t>
      </w:r>
      <w:r w:rsidRPr="00B82B89">
        <w:rPr>
          <w:rFonts w:ascii="Times New Roman" w:hAnsi="Times New Roman"/>
        </w:rPr>
        <w:t xml:space="preserve">the </w:t>
      </w:r>
      <w:r w:rsidR="0067747F">
        <w:rPr>
          <w:rFonts w:ascii="Times New Roman" w:hAnsi="Times New Roman"/>
        </w:rPr>
        <w:t>C</w:t>
      </w:r>
      <w:r w:rsidRPr="00B82B89">
        <w:rPr>
          <w:rFonts w:ascii="Times New Roman" w:hAnsi="Times New Roman"/>
        </w:rPr>
        <w:t>ompany should create a subaccount to keep track of corporate account manager costs so they can be directly assigned to Schedule 48T customers.</w:t>
      </w:r>
      <w:r w:rsidR="00613919" w:rsidRPr="00863E02">
        <w:rPr>
          <w:rStyle w:val="FootnoteReference"/>
        </w:rPr>
        <w:footnoteReference w:id="10"/>
      </w:r>
      <w:r w:rsidRPr="00B82B89">
        <w:rPr>
          <w:rFonts w:ascii="Times New Roman" w:hAnsi="Times New Roman"/>
        </w:rPr>
        <w:t xml:space="preserve"> </w:t>
      </w:r>
    </w:p>
    <w:p w:rsidR="002921E2" w:rsidRDefault="00B82B89">
      <w:pPr>
        <w:keepNext/>
        <w:rPr>
          <w:rFonts w:ascii="Times New Roman" w:hAnsi="Times New Roman"/>
          <w:b/>
        </w:rPr>
      </w:pPr>
      <w:r w:rsidRPr="00B82B89">
        <w:rPr>
          <w:rFonts w:ascii="Times New Roman" w:hAnsi="Times New Roman"/>
          <w:b/>
        </w:rPr>
        <w:t>Q.</w:t>
      </w:r>
      <w:r w:rsidRPr="00B82B89">
        <w:rPr>
          <w:rFonts w:ascii="Times New Roman" w:hAnsi="Times New Roman"/>
          <w:b/>
        </w:rPr>
        <w:tab/>
        <w:t>Should</w:t>
      </w:r>
      <w:r w:rsidR="009A181C">
        <w:rPr>
          <w:rFonts w:ascii="Times New Roman" w:hAnsi="Times New Roman"/>
          <w:b/>
        </w:rPr>
        <w:t xml:space="preserve"> </w:t>
      </w:r>
      <w:r w:rsidR="00FE0115">
        <w:rPr>
          <w:rFonts w:ascii="Times New Roman" w:hAnsi="Times New Roman"/>
          <w:b/>
        </w:rPr>
        <w:t>Mr. Mickelson’s</w:t>
      </w:r>
      <w:r w:rsidR="00FE0115" w:rsidRPr="00B82B89">
        <w:rPr>
          <w:rFonts w:ascii="Times New Roman" w:hAnsi="Times New Roman"/>
          <w:b/>
        </w:rPr>
        <w:t xml:space="preserve"> </w:t>
      </w:r>
      <w:r w:rsidRPr="00B82B89">
        <w:rPr>
          <w:rFonts w:ascii="Times New Roman" w:hAnsi="Times New Roman"/>
          <w:b/>
        </w:rPr>
        <w:t xml:space="preserve">third change be considered for use in future </w:t>
      </w:r>
      <w:r w:rsidR="006C4430">
        <w:rPr>
          <w:rFonts w:ascii="Times New Roman" w:hAnsi="Times New Roman"/>
          <w:b/>
        </w:rPr>
        <w:t>COS</w:t>
      </w:r>
      <w:r w:rsidRPr="00B82B89">
        <w:rPr>
          <w:rFonts w:ascii="Times New Roman" w:hAnsi="Times New Roman"/>
          <w:b/>
        </w:rPr>
        <w:t xml:space="preserve"> studies?</w:t>
      </w:r>
    </w:p>
    <w:p w:rsidR="00B82B89" w:rsidRPr="00B82B89" w:rsidRDefault="00B82B89" w:rsidP="00B82B89">
      <w:pPr>
        <w:rPr>
          <w:rFonts w:ascii="Times New Roman" w:hAnsi="Times New Roman"/>
          <w:strike/>
          <w:color w:val="FF0000"/>
        </w:rPr>
      </w:pPr>
      <w:r w:rsidRPr="00B82B89">
        <w:rPr>
          <w:rFonts w:ascii="Times New Roman" w:hAnsi="Times New Roman"/>
        </w:rPr>
        <w:t>A.</w:t>
      </w:r>
      <w:r w:rsidRPr="00B82B89">
        <w:rPr>
          <w:rFonts w:ascii="Times New Roman" w:hAnsi="Times New Roman"/>
        </w:rPr>
        <w:tab/>
        <w:t>This recommendation could be given further consideration since corporate account managers are assigned to Schedule 48T customers</w:t>
      </w:r>
      <w:r w:rsidR="0067747F">
        <w:rPr>
          <w:rFonts w:ascii="Times New Roman" w:hAnsi="Times New Roman"/>
        </w:rPr>
        <w:t xml:space="preserve"> only.</w:t>
      </w:r>
      <w:r w:rsidRPr="00B82B89">
        <w:rPr>
          <w:rFonts w:ascii="Times New Roman" w:hAnsi="Times New Roman"/>
        </w:rPr>
        <w:t xml:space="preserve">  However, the </w:t>
      </w:r>
      <w:r w:rsidR="0067747F">
        <w:rPr>
          <w:rFonts w:ascii="Times New Roman" w:hAnsi="Times New Roman"/>
        </w:rPr>
        <w:t xml:space="preserve">cost impact </w:t>
      </w:r>
      <w:r w:rsidR="000C6708">
        <w:rPr>
          <w:rFonts w:ascii="Times New Roman" w:hAnsi="Times New Roman"/>
        </w:rPr>
        <w:t xml:space="preserve">would be </w:t>
      </w:r>
      <w:r w:rsidR="0067747F">
        <w:rPr>
          <w:rFonts w:ascii="Times New Roman" w:hAnsi="Times New Roman"/>
        </w:rPr>
        <w:t xml:space="preserve">minimal.   </w:t>
      </w:r>
      <w:r w:rsidRPr="00B82B89">
        <w:rPr>
          <w:rFonts w:ascii="Times New Roman" w:hAnsi="Times New Roman"/>
        </w:rPr>
        <w:t xml:space="preserve">  </w:t>
      </w:r>
      <w:r w:rsidRPr="00B82B89">
        <w:rPr>
          <w:rFonts w:ascii="Times New Roman" w:hAnsi="Times New Roman"/>
          <w:strike/>
          <w:color w:val="FF0000"/>
        </w:rPr>
        <w:t xml:space="preserve"> </w:t>
      </w:r>
    </w:p>
    <w:p w:rsidR="002921E2" w:rsidRDefault="00F60265">
      <w:pPr>
        <w:pStyle w:val="Heading1"/>
      </w:pPr>
      <w:bookmarkStart w:id="5" w:name="_Toc362938857"/>
      <w:r>
        <w:t>Rate Spread</w:t>
      </w:r>
      <w:bookmarkEnd w:id="5"/>
    </w:p>
    <w:p w:rsidR="0094071C" w:rsidRPr="00FC7D77" w:rsidRDefault="0094071C" w:rsidP="0034595D">
      <w:pPr>
        <w:widowControl w:val="0"/>
        <w:tabs>
          <w:tab w:val="left" w:pos="0"/>
        </w:tabs>
        <w:suppressAutoHyphens/>
        <w:rPr>
          <w:rFonts w:ascii="Times New Roman" w:hAnsi="Times New Roman"/>
          <w:b/>
        </w:rPr>
      </w:pPr>
      <w:r w:rsidRPr="00FC7D77">
        <w:rPr>
          <w:rFonts w:ascii="Times New Roman" w:hAnsi="Times New Roman"/>
          <w:b/>
        </w:rPr>
        <w:t>Q.</w:t>
      </w:r>
      <w:r w:rsidRPr="00FC7D77">
        <w:rPr>
          <w:rFonts w:ascii="Times New Roman" w:hAnsi="Times New Roman"/>
          <w:b/>
        </w:rPr>
        <w:tab/>
      </w:r>
      <w:r w:rsidR="00E5115C">
        <w:rPr>
          <w:rFonts w:ascii="Times New Roman" w:hAnsi="Times New Roman"/>
          <w:b/>
        </w:rPr>
        <w:t>Based on the rebuttal revenue requirement filed in this case, w</w:t>
      </w:r>
      <w:r w:rsidR="00237E9F" w:rsidRPr="00FC7D77">
        <w:rPr>
          <w:rFonts w:ascii="Times New Roman" w:hAnsi="Times New Roman"/>
          <w:b/>
        </w:rPr>
        <w:t xml:space="preserve">hat </w:t>
      </w:r>
      <w:r w:rsidR="008A12A2" w:rsidRPr="00FC7D77">
        <w:rPr>
          <w:rFonts w:ascii="Times New Roman" w:hAnsi="Times New Roman"/>
          <w:b/>
        </w:rPr>
        <w:t xml:space="preserve">is </w:t>
      </w:r>
      <w:r w:rsidR="00237E9F" w:rsidRPr="00FC7D77">
        <w:rPr>
          <w:rFonts w:ascii="Times New Roman" w:hAnsi="Times New Roman"/>
          <w:b/>
        </w:rPr>
        <w:t xml:space="preserve">the Company’s </w:t>
      </w:r>
      <w:r w:rsidR="008A12A2" w:rsidRPr="00FC7D77">
        <w:rPr>
          <w:rFonts w:ascii="Times New Roman" w:hAnsi="Times New Roman"/>
          <w:b/>
        </w:rPr>
        <w:t>rate spread proposal</w:t>
      </w:r>
      <w:r w:rsidR="00237E9F" w:rsidRPr="00FC7D77">
        <w:rPr>
          <w:rFonts w:ascii="Times New Roman" w:hAnsi="Times New Roman"/>
          <w:b/>
        </w:rPr>
        <w:t>?</w:t>
      </w:r>
    </w:p>
    <w:p w:rsidR="00F60265" w:rsidRDefault="0094071C" w:rsidP="0034595D">
      <w:pPr>
        <w:widowControl w:val="0"/>
        <w:tabs>
          <w:tab w:val="left" w:pos="0"/>
        </w:tabs>
        <w:suppressAutoHyphens/>
        <w:rPr>
          <w:rFonts w:ascii="Times New Roman" w:hAnsi="Times New Roman"/>
          <w:bCs/>
          <w:szCs w:val="24"/>
        </w:rPr>
      </w:pPr>
      <w:r w:rsidRPr="00FC7D77">
        <w:rPr>
          <w:rFonts w:ascii="Times New Roman" w:hAnsi="Times New Roman"/>
        </w:rPr>
        <w:t>A.</w:t>
      </w:r>
      <w:r w:rsidRPr="00FC7D77">
        <w:rPr>
          <w:rFonts w:ascii="Times New Roman" w:hAnsi="Times New Roman"/>
          <w:b/>
        </w:rPr>
        <w:tab/>
      </w:r>
      <w:r w:rsidR="009D5DE1">
        <w:rPr>
          <w:rFonts w:ascii="Times New Roman" w:hAnsi="Times New Roman"/>
        </w:rPr>
        <w:t xml:space="preserve">The Company </w:t>
      </w:r>
      <w:r w:rsidR="00E5115C">
        <w:rPr>
          <w:rFonts w:ascii="Times New Roman" w:hAnsi="Times New Roman"/>
        </w:rPr>
        <w:t xml:space="preserve">makes </w:t>
      </w:r>
      <w:r w:rsidR="009D5DE1">
        <w:rPr>
          <w:rFonts w:ascii="Times New Roman" w:hAnsi="Times New Roman"/>
        </w:rPr>
        <w:t xml:space="preserve">no change to </w:t>
      </w:r>
      <w:r w:rsidR="00E5115C">
        <w:rPr>
          <w:rFonts w:ascii="Times New Roman" w:hAnsi="Times New Roman"/>
        </w:rPr>
        <w:t xml:space="preserve">the proposed </w:t>
      </w:r>
      <w:r w:rsidR="009D5DE1">
        <w:rPr>
          <w:rFonts w:ascii="Times New Roman" w:hAnsi="Times New Roman"/>
        </w:rPr>
        <w:t>rate spread</w:t>
      </w:r>
      <w:r w:rsidR="00E61775">
        <w:rPr>
          <w:rFonts w:ascii="Times New Roman" w:hAnsi="Times New Roman"/>
        </w:rPr>
        <w:t xml:space="preserve"> methodology</w:t>
      </w:r>
      <w:r w:rsidR="009D5DE1">
        <w:rPr>
          <w:rFonts w:ascii="Times New Roman" w:hAnsi="Times New Roman"/>
        </w:rPr>
        <w:t xml:space="preserve"> in my direct testimony</w:t>
      </w:r>
      <w:r w:rsidR="00B6591C">
        <w:rPr>
          <w:rFonts w:ascii="Times New Roman" w:hAnsi="Times New Roman"/>
        </w:rPr>
        <w:t xml:space="preserve">, but </w:t>
      </w:r>
      <w:r w:rsidR="00B6591C" w:rsidRPr="004026C4">
        <w:rPr>
          <w:rFonts w:ascii="Times New Roman" w:hAnsi="Times New Roman"/>
        </w:rPr>
        <w:t xml:space="preserve">updates the </w:t>
      </w:r>
      <w:r w:rsidR="009D5DE1" w:rsidRPr="004026C4">
        <w:rPr>
          <w:rFonts w:ascii="Times New Roman" w:hAnsi="Times New Roman"/>
        </w:rPr>
        <w:t xml:space="preserve">rate spread to reflect the </w:t>
      </w:r>
      <w:r w:rsidR="006523F9" w:rsidRPr="004026C4">
        <w:rPr>
          <w:rFonts w:ascii="Times New Roman" w:hAnsi="Times New Roman"/>
          <w:szCs w:val="24"/>
        </w:rPr>
        <w:t>rebuttal revenue requirement</w:t>
      </w:r>
      <w:bookmarkEnd w:id="3"/>
      <w:bookmarkEnd w:id="4"/>
      <w:r w:rsidR="00DA71DF" w:rsidRPr="004026C4">
        <w:rPr>
          <w:rFonts w:ascii="Times New Roman" w:hAnsi="Times New Roman"/>
          <w:szCs w:val="24"/>
        </w:rPr>
        <w:t xml:space="preserve"> increase of </w:t>
      </w:r>
      <w:r w:rsidR="00E07190" w:rsidRPr="004026C4">
        <w:rPr>
          <w:rFonts w:ascii="Times New Roman" w:hAnsi="Times New Roman"/>
          <w:szCs w:val="24"/>
        </w:rPr>
        <w:t>$</w:t>
      </w:r>
      <w:r w:rsidR="00BF4FDF" w:rsidRPr="004026C4">
        <w:rPr>
          <w:rFonts w:ascii="Times New Roman" w:hAnsi="Times New Roman"/>
          <w:szCs w:val="24"/>
        </w:rPr>
        <w:t>3</w:t>
      </w:r>
      <w:r w:rsidR="009A181C" w:rsidRPr="004026C4">
        <w:rPr>
          <w:rFonts w:ascii="Times New Roman" w:hAnsi="Times New Roman"/>
          <w:szCs w:val="24"/>
        </w:rPr>
        <w:t>6</w:t>
      </w:r>
      <w:r w:rsidR="00BF4FDF" w:rsidRPr="004026C4">
        <w:rPr>
          <w:rFonts w:ascii="Times New Roman" w:hAnsi="Times New Roman"/>
          <w:szCs w:val="24"/>
        </w:rPr>
        <w:t>.</w:t>
      </w:r>
      <w:r w:rsidR="009A181C" w:rsidRPr="004026C4">
        <w:rPr>
          <w:rFonts w:ascii="Times New Roman" w:hAnsi="Times New Roman"/>
          <w:szCs w:val="24"/>
        </w:rPr>
        <w:t>9</w:t>
      </w:r>
      <w:r w:rsidR="00BF4FDF" w:rsidRPr="004026C4">
        <w:rPr>
          <w:rFonts w:ascii="Times New Roman" w:hAnsi="Times New Roman"/>
          <w:szCs w:val="24"/>
        </w:rPr>
        <w:t xml:space="preserve"> million</w:t>
      </w:r>
      <w:r w:rsidR="00E204DE" w:rsidRPr="00FC7D77">
        <w:rPr>
          <w:rFonts w:ascii="Times New Roman" w:hAnsi="Times New Roman"/>
          <w:szCs w:val="24"/>
        </w:rPr>
        <w:t xml:space="preserve">. </w:t>
      </w:r>
      <w:r w:rsidR="00A9602E">
        <w:rPr>
          <w:rFonts w:ascii="Times New Roman" w:hAnsi="Times New Roman"/>
          <w:szCs w:val="24"/>
        </w:rPr>
        <w:t xml:space="preserve"> </w:t>
      </w:r>
      <w:r w:rsidR="002734C5">
        <w:rPr>
          <w:rFonts w:ascii="Times New Roman" w:hAnsi="Times New Roman"/>
          <w:szCs w:val="24"/>
        </w:rPr>
        <w:t xml:space="preserve">The updated proposed rate spread </w:t>
      </w:r>
      <w:r w:rsidR="00223B5E">
        <w:rPr>
          <w:rFonts w:ascii="Times New Roman" w:hAnsi="Times New Roman"/>
          <w:szCs w:val="24"/>
        </w:rPr>
        <w:t>is shown in Exhibit No.__</w:t>
      </w:r>
      <w:r w:rsidR="00A9602E">
        <w:rPr>
          <w:rFonts w:ascii="Times New Roman" w:hAnsi="Times New Roman"/>
          <w:szCs w:val="24"/>
        </w:rPr>
        <w:t>_</w:t>
      </w:r>
      <w:r w:rsidR="00223B5E">
        <w:rPr>
          <w:rFonts w:ascii="Times New Roman" w:hAnsi="Times New Roman"/>
          <w:szCs w:val="24"/>
        </w:rPr>
        <w:t>(JRS-10).</w:t>
      </w:r>
      <w:r w:rsidR="00E204DE" w:rsidRPr="00FC7D77">
        <w:rPr>
          <w:rFonts w:ascii="Times New Roman" w:hAnsi="Times New Roman"/>
          <w:szCs w:val="24"/>
        </w:rPr>
        <w:t xml:space="preserve"> </w:t>
      </w:r>
      <w:r w:rsidR="002734C5">
        <w:rPr>
          <w:rFonts w:ascii="Times New Roman" w:hAnsi="Times New Roman"/>
          <w:szCs w:val="24"/>
        </w:rPr>
        <w:t xml:space="preserve"> As i</w:t>
      </w:r>
      <w:r w:rsidR="00E204DE" w:rsidRPr="00FC7D77">
        <w:rPr>
          <w:rFonts w:ascii="Times New Roman" w:hAnsi="Times New Roman"/>
          <w:szCs w:val="24"/>
        </w:rPr>
        <w:t xml:space="preserve">n </w:t>
      </w:r>
      <w:r w:rsidR="00E07190">
        <w:rPr>
          <w:rFonts w:ascii="Times New Roman" w:hAnsi="Times New Roman"/>
          <w:szCs w:val="24"/>
        </w:rPr>
        <w:t xml:space="preserve">my </w:t>
      </w:r>
      <w:r w:rsidR="00E204DE" w:rsidRPr="00FC7D77">
        <w:rPr>
          <w:rFonts w:ascii="Times New Roman" w:hAnsi="Times New Roman"/>
          <w:szCs w:val="24"/>
        </w:rPr>
        <w:t xml:space="preserve">direct </w:t>
      </w:r>
      <w:r w:rsidR="00E07190">
        <w:rPr>
          <w:rFonts w:ascii="Times New Roman" w:hAnsi="Times New Roman"/>
          <w:szCs w:val="24"/>
        </w:rPr>
        <w:t>testimony</w:t>
      </w:r>
      <w:r w:rsidR="00E204DE" w:rsidRPr="00FC7D77">
        <w:rPr>
          <w:rFonts w:ascii="Times New Roman" w:hAnsi="Times New Roman"/>
          <w:szCs w:val="24"/>
        </w:rPr>
        <w:t>, the Company</w:t>
      </w:r>
      <w:r w:rsidR="001C58D5" w:rsidRPr="00FC7D77">
        <w:rPr>
          <w:rFonts w:ascii="Times New Roman" w:hAnsi="Times New Roman"/>
          <w:szCs w:val="24"/>
        </w:rPr>
        <w:t xml:space="preserve"> </w:t>
      </w:r>
      <w:r w:rsidR="00E204DE" w:rsidRPr="00FC7D77">
        <w:rPr>
          <w:rFonts w:ascii="Times New Roman" w:hAnsi="Times New Roman"/>
          <w:szCs w:val="24"/>
        </w:rPr>
        <w:t>propose</w:t>
      </w:r>
      <w:r w:rsidR="002734C5">
        <w:rPr>
          <w:rFonts w:ascii="Times New Roman" w:hAnsi="Times New Roman"/>
          <w:szCs w:val="24"/>
        </w:rPr>
        <w:t>s</w:t>
      </w:r>
      <w:r w:rsidR="00E204DE" w:rsidRPr="00FC7D77">
        <w:rPr>
          <w:rFonts w:ascii="Times New Roman" w:hAnsi="Times New Roman"/>
          <w:szCs w:val="24"/>
        </w:rPr>
        <w:t xml:space="preserve"> </w:t>
      </w:r>
      <w:r w:rsidR="006A2F07" w:rsidRPr="005A070C">
        <w:rPr>
          <w:rFonts w:ascii="Times New Roman" w:hAnsi="Times New Roman"/>
          <w:bCs/>
          <w:szCs w:val="24"/>
        </w:rPr>
        <w:t>to allocate</w:t>
      </w:r>
      <w:r w:rsidR="00B6591C">
        <w:rPr>
          <w:rFonts w:ascii="Times New Roman" w:hAnsi="Times New Roman"/>
          <w:bCs/>
          <w:szCs w:val="24"/>
        </w:rPr>
        <w:t>:</w:t>
      </w:r>
      <w:r w:rsidR="006A2F07" w:rsidRPr="005A070C">
        <w:rPr>
          <w:rFonts w:ascii="Times New Roman" w:hAnsi="Times New Roman"/>
          <w:bCs/>
          <w:szCs w:val="24"/>
        </w:rPr>
        <w:t xml:space="preserve"> (1) a below-average increase to the rate schedules that the </w:t>
      </w:r>
      <w:r w:rsidR="006C4430">
        <w:rPr>
          <w:rFonts w:ascii="Times New Roman" w:hAnsi="Times New Roman"/>
          <w:bCs/>
          <w:szCs w:val="24"/>
        </w:rPr>
        <w:t>COS</w:t>
      </w:r>
      <w:r w:rsidR="006A2F07" w:rsidRPr="005A070C">
        <w:rPr>
          <w:rFonts w:ascii="Times New Roman" w:hAnsi="Times New Roman"/>
          <w:bCs/>
          <w:szCs w:val="24"/>
        </w:rPr>
        <w:t xml:space="preserve"> study indicate</w:t>
      </w:r>
      <w:r w:rsidR="002734C5">
        <w:rPr>
          <w:rFonts w:ascii="Times New Roman" w:hAnsi="Times New Roman"/>
          <w:bCs/>
          <w:szCs w:val="24"/>
        </w:rPr>
        <w:t>s</w:t>
      </w:r>
      <w:r w:rsidR="006A2F07" w:rsidRPr="005A070C">
        <w:rPr>
          <w:rFonts w:ascii="Times New Roman" w:hAnsi="Times New Roman"/>
          <w:bCs/>
          <w:szCs w:val="24"/>
        </w:rPr>
        <w:t xml:space="preserve"> require a significantly smaller revenue increase (Schedules</w:t>
      </w:r>
      <w:r w:rsidR="00FC6C8C">
        <w:rPr>
          <w:rFonts w:ascii="Times New Roman" w:hAnsi="Times New Roman"/>
          <w:bCs/>
          <w:szCs w:val="24"/>
        </w:rPr>
        <w:t> </w:t>
      </w:r>
      <w:r w:rsidR="006A2F07" w:rsidRPr="005A070C">
        <w:rPr>
          <w:rFonts w:ascii="Times New Roman" w:hAnsi="Times New Roman"/>
          <w:bCs/>
          <w:szCs w:val="24"/>
        </w:rPr>
        <w:t>24, 40 and lighting schedules)</w:t>
      </w:r>
      <w:r w:rsidR="00B6591C">
        <w:rPr>
          <w:rFonts w:ascii="Times New Roman" w:hAnsi="Times New Roman"/>
          <w:bCs/>
          <w:szCs w:val="24"/>
        </w:rPr>
        <w:t>;</w:t>
      </w:r>
      <w:r w:rsidR="006A2F07" w:rsidRPr="005A070C">
        <w:rPr>
          <w:rFonts w:ascii="Times New Roman" w:hAnsi="Times New Roman"/>
          <w:bCs/>
          <w:szCs w:val="24"/>
        </w:rPr>
        <w:t xml:space="preserve"> (2) the average </w:t>
      </w:r>
      <w:r w:rsidR="006A2F07">
        <w:rPr>
          <w:rFonts w:ascii="Times New Roman" w:hAnsi="Times New Roman"/>
          <w:bCs/>
          <w:szCs w:val="24"/>
        </w:rPr>
        <w:t xml:space="preserve">percentage </w:t>
      </w:r>
      <w:r w:rsidR="006A2F07" w:rsidRPr="005A070C">
        <w:rPr>
          <w:rFonts w:ascii="Times New Roman" w:hAnsi="Times New Roman"/>
          <w:bCs/>
          <w:szCs w:val="24"/>
        </w:rPr>
        <w:t>increase to Schedule</w:t>
      </w:r>
      <w:r w:rsidR="006A2F07">
        <w:rPr>
          <w:rFonts w:ascii="Times New Roman" w:hAnsi="Times New Roman"/>
          <w:bCs/>
          <w:szCs w:val="24"/>
        </w:rPr>
        <w:t>s</w:t>
      </w:r>
      <w:r w:rsidR="006A2F07" w:rsidRPr="005A070C">
        <w:rPr>
          <w:rFonts w:ascii="Times New Roman" w:hAnsi="Times New Roman"/>
          <w:bCs/>
          <w:szCs w:val="24"/>
        </w:rPr>
        <w:t xml:space="preserve"> 36</w:t>
      </w:r>
      <w:r w:rsidR="006A2F07">
        <w:rPr>
          <w:rFonts w:ascii="Times New Roman" w:hAnsi="Times New Roman"/>
          <w:bCs/>
          <w:szCs w:val="24"/>
        </w:rPr>
        <w:t xml:space="preserve"> and 48T (other than Schedule 48T Dedicated Facilities)</w:t>
      </w:r>
      <w:r w:rsidR="006A2F07" w:rsidRPr="005A070C">
        <w:rPr>
          <w:rFonts w:ascii="Times New Roman" w:hAnsi="Times New Roman"/>
          <w:bCs/>
          <w:szCs w:val="24"/>
        </w:rPr>
        <w:t xml:space="preserve">, </w:t>
      </w:r>
      <w:r w:rsidR="001B76AF">
        <w:rPr>
          <w:rFonts w:ascii="Times New Roman" w:hAnsi="Times New Roman"/>
          <w:bCs/>
          <w:szCs w:val="24"/>
        </w:rPr>
        <w:t xml:space="preserve">for </w:t>
      </w:r>
      <w:r w:rsidR="006A2F07" w:rsidRPr="005A070C">
        <w:rPr>
          <w:rFonts w:ascii="Times New Roman" w:hAnsi="Times New Roman"/>
          <w:bCs/>
          <w:szCs w:val="24"/>
        </w:rPr>
        <w:t xml:space="preserve">which </w:t>
      </w:r>
      <w:r w:rsidR="006A2F07">
        <w:rPr>
          <w:rFonts w:ascii="Times New Roman" w:hAnsi="Times New Roman"/>
          <w:bCs/>
          <w:szCs w:val="24"/>
        </w:rPr>
        <w:t xml:space="preserve">the </w:t>
      </w:r>
      <w:r w:rsidR="006C4430">
        <w:rPr>
          <w:rFonts w:ascii="Times New Roman" w:hAnsi="Times New Roman"/>
          <w:bCs/>
          <w:szCs w:val="24"/>
        </w:rPr>
        <w:t>COS</w:t>
      </w:r>
      <w:r w:rsidR="006A2F07">
        <w:rPr>
          <w:rFonts w:ascii="Times New Roman" w:hAnsi="Times New Roman"/>
          <w:bCs/>
          <w:szCs w:val="24"/>
        </w:rPr>
        <w:t xml:space="preserve"> </w:t>
      </w:r>
      <w:r w:rsidR="001B76AF">
        <w:rPr>
          <w:rFonts w:ascii="Times New Roman" w:hAnsi="Times New Roman"/>
          <w:bCs/>
          <w:szCs w:val="24"/>
        </w:rPr>
        <w:t>study support</w:t>
      </w:r>
      <w:r w:rsidR="002734C5">
        <w:rPr>
          <w:rFonts w:ascii="Times New Roman" w:hAnsi="Times New Roman"/>
          <w:bCs/>
          <w:szCs w:val="24"/>
        </w:rPr>
        <w:t>s</w:t>
      </w:r>
      <w:r w:rsidR="001B76AF">
        <w:rPr>
          <w:rFonts w:ascii="Times New Roman" w:hAnsi="Times New Roman"/>
          <w:bCs/>
          <w:szCs w:val="24"/>
        </w:rPr>
        <w:t xml:space="preserve"> </w:t>
      </w:r>
      <w:r w:rsidR="006A2F07">
        <w:rPr>
          <w:rFonts w:ascii="Times New Roman" w:hAnsi="Times New Roman"/>
          <w:bCs/>
          <w:szCs w:val="24"/>
        </w:rPr>
        <w:t>increase</w:t>
      </w:r>
      <w:r w:rsidR="00E07190">
        <w:rPr>
          <w:rFonts w:ascii="Times New Roman" w:hAnsi="Times New Roman"/>
          <w:bCs/>
          <w:szCs w:val="24"/>
        </w:rPr>
        <w:t>s</w:t>
      </w:r>
      <w:r w:rsidR="006A2F07">
        <w:rPr>
          <w:rFonts w:ascii="Times New Roman" w:hAnsi="Times New Roman"/>
          <w:bCs/>
          <w:szCs w:val="24"/>
        </w:rPr>
        <w:t xml:space="preserve"> relatively </w:t>
      </w:r>
      <w:r w:rsidR="006A2F07" w:rsidRPr="005A070C">
        <w:rPr>
          <w:rFonts w:ascii="Times New Roman" w:hAnsi="Times New Roman"/>
          <w:bCs/>
          <w:szCs w:val="24"/>
        </w:rPr>
        <w:t xml:space="preserve">close to </w:t>
      </w:r>
      <w:r w:rsidR="006A2F07">
        <w:rPr>
          <w:rFonts w:ascii="Times New Roman" w:hAnsi="Times New Roman"/>
          <w:bCs/>
          <w:szCs w:val="24"/>
        </w:rPr>
        <w:t>the average increase</w:t>
      </w:r>
      <w:r w:rsidR="00B6591C">
        <w:rPr>
          <w:rFonts w:ascii="Times New Roman" w:hAnsi="Times New Roman"/>
          <w:bCs/>
          <w:szCs w:val="24"/>
        </w:rPr>
        <w:t>;</w:t>
      </w:r>
      <w:r w:rsidR="006A2F07" w:rsidRPr="005A070C">
        <w:rPr>
          <w:rFonts w:ascii="Times New Roman" w:hAnsi="Times New Roman"/>
          <w:bCs/>
          <w:szCs w:val="24"/>
        </w:rPr>
        <w:t xml:space="preserve"> and (3) a slightly above</w:t>
      </w:r>
      <w:r w:rsidR="006A2F07">
        <w:rPr>
          <w:rFonts w:ascii="Times New Roman" w:hAnsi="Times New Roman"/>
          <w:bCs/>
          <w:szCs w:val="24"/>
        </w:rPr>
        <w:t>-</w:t>
      </w:r>
      <w:r w:rsidR="006A2F07" w:rsidRPr="005A070C">
        <w:rPr>
          <w:rFonts w:ascii="Times New Roman" w:hAnsi="Times New Roman"/>
          <w:bCs/>
          <w:szCs w:val="24"/>
        </w:rPr>
        <w:t>average increase to residential and Schedule 48T</w:t>
      </w:r>
      <w:r w:rsidR="006A2F07">
        <w:rPr>
          <w:rFonts w:ascii="Times New Roman" w:hAnsi="Times New Roman"/>
          <w:bCs/>
          <w:szCs w:val="24"/>
        </w:rPr>
        <w:t xml:space="preserve"> Dedicated Facilities because the </w:t>
      </w:r>
      <w:r w:rsidR="006C4430">
        <w:rPr>
          <w:rFonts w:ascii="Times New Roman" w:hAnsi="Times New Roman"/>
          <w:bCs/>
          <w:szCs w:val="24"/>
        </w:rPr>
        <w:t>COS</w:t>
      </w:r>
      <w:r w:rsidR="006A2F07">
        <w:rPr>
          <w:rFonts w:ascii="Times New Roman" w:hAnsi="Times New Roman"/>
          <w:bCs/>
          <w:szCs w:val="24"/>
        </w:rPr>
        <w:t xml:space="preserve"> study indicate</w:t>
      </w:r>
      <w:r w:rsidR="002734C5">
        <w:rPr>
          <w:rFonts w:ascii="Times New Roman" w:hAnsi="Times New Roman"/>
          <w:bCs/>
          <w:szCs w:val="24"/>
        </w:rPr>
        <w:t>s</w:t>
      </w:r>
      <w:r w:rsidR="006A2F07">
        <w:rPr>
          <w:rFonts w:ascii="Times New Roman" w:hAnsi="Times New Roman"/>
          <w:bCs/>
          <w:szCs w:val="24"/>
        </w:rPr>
        <w:t xml:space="preserve"> </w:t>
      </w:r>
      <w:r w:rsidR="00B6591C">
        <w:rPr>
          <w:rFonts w:ascii="Times New Roman" w:hAnsi="Times New Roman"/>
          <w:bCs/>
          <w:szCs w:val="24"/>
        </w:rPr>
        <w:t xml:space="preserve">that </w:t>
      </w:r>
      <w:r w:rsidR="006A2F07">
        <w:rPr>
          <w:rFonts w:ascii="Times New Roman" w:hAnsi="Times New Roman"/>
          <w:bCs/>
          <w:szCs w:val="24"/>
        </w:rPr>
        <w:t>those rate schedule classes require the largest rate increases</w:t>
      </w:r>
      <w:r w:rsidR="006A2F07" w:rsidRPr="005A070C">
        <w:rPr>
          <w:rFonts w:ascii="Times New Roman" w:hAnsi="Times New Roman"/>
          <w:bCs/>
          <w:szCs w:val="24"/>
        </w:rPr>
        <w:t>.</w:t>
      </w:r>
      <w:r w:rsidR="00F60265">
        <w:rPr>
          <w:rFonts w:ascii="Times New Roman" w:hAnsi="Times New Roman"/>
          <w:bCs/>
          <w:szCs w:val="24"/>
        </w:rPr>
        <w:t xml:space="preserve">  Table 1 shows the Company’s </w:t>
      </w:r>
      <w:r w:rsidR="00E07190">
        <w:rPr>
          <w:rFonts w:ascii="Times New Roman" w:hAnsi="Times New Roman"/>
          <w:bCs/>
          <w:szCs w:val="24"/>
        </w:rPr>
        <w:t xml:space="preserve">updated </w:t>
      </w:r>
      <w:r w:rsidR="00F60265">
        <w:rPr>
          <w:rFonts w:ascii="Times New Roman" w:hAnsi="Times New Roman"/>
          <w:bCs/>
          <w:szCs w:val="24"/>
        </w:rPr>
        <w:t>proposed rate spread proposal</w:t>
      </w:r>
      <w:r w:rsidR="00CE699D">
        <w:rPr>
          <w:rFonts w:ascii="Times New Roman" w:hAnsi="Times New Roman"/>
          <w:bCs/>
          <w:szCs w:val="24"/>
        </w:rPr>
        <w:t xml:space="preserve"> compared to the </w:t>
      </w:r>
      <w:r w:rsidR="006C4430">
        <w:rPr>
          <w:rFonts w:ascii="Times New Roman" w:hAnsi="Times New Roman"/>
          <w:bCs/>
          <w:szCs w:val="24"/>
        </w:rPr>
        <w:t>COS</w:t>
      </w:r>
      <w:r w:rsidR="00CE699D">
        <w:rPr>
          <w:rFonts w:ascii="Times New Roman" w:hAnsi="Times New Roman"/>
          <w:bCs/>
          <w:szCs w:val="24"/>
        </w:rPr>
        <w:t xml:space="preserve"> results</w:t>
      </w:r>
      <w:r w:rsidR="00F60265">
        <w:rPr>
          <w:rFonts w:ascii="Times New Roman" w:hAnsi="Times New Roman"/>
          <w:bCs/>
          <w:szCs w:val="24"/>
        </w:rPr>
        <w:t>.</w:t>
      </w:r>
      <w:r w:rsidR="00CE699D">
        <w:rPr>
          <w:rFonts w:ascii="Times New Roman" w:hAnsi="Times New Roman"/>
          <w:bCs/>
          <w:szCs w:val="24"/>
        </w:rPr>
        <w:t xml:space="preserve">  This table is </w:t>
      </w:r>
      <w:r w:rsidR="000C6708">
        <w:rPr>
          <w:rFonts w:ascii="Times New Roman" w:hAnsi="Times New Roman"/>
          <w:bCs/>
          <w:szCs w:val="24"/>
        </w:rPr>
        <w:t xml:space="preserve">presented in </w:t>
      </w:r>
      <w:r w:rsidR="00CE699D">
        <w:rPr>
          <w:rFonts w:ascii="Times New Roman" w:hAnsi="Times New Roman"/>
          <w:bCs/>
          <w:szCs w:val="24"/>
        </w:rPr>
        <w:t xml:space="preserve">the same format as </w:t>
      </w:r>
      <w:r w:rsidR="002E0C4A">
        <w:rPr>
          <w:rFonts w:ascii="Times New Roman" w:hAnsi="Times New Roman"/>
          <w:bCs/>
          <w:szCs w:val="24"/>
        </w:rPr>
        <w:t xml:space="preserve">the </w:t>
      </w:r>
      <w:r w:rsidR="00CE699D">
        <w:rPr>
          <w:rFonts w:ascii="Times New Roman" w:hAnsi="Times New Roman"/>
          <w:bCs/>
          <w:szCs w:val="24"/>
        </w:rPr>
        <w:t>Table 1 included in my direct testimony.  Column C shows the percentage increase required from the COS study.  Column D shows each rate schedule</w:t>
      </w:r>
      <w:r w:rsidR="00191E91">
        <w:rPr>
          <w:rFonts w:ascii="Times New Roman" w:hAnsi="Times New Roman"/>
          <w:bCs/>
          <w:szCs w:val="24"/>
        </w:rPr>
        <w:t>’</w:t>
      </w:r>
      <w:r w:rsidR="00CE699D">
        <w:rPr>
          <w:rFonts w:ascii="Times New Roman" w:hAnsi="Times New Roman"/>
          <w:bCs/>
          <w:szCs w:val="24"/>
        </w:rPr>
        <w:t xml:space="preserve">s current revenues as a percentage of </w:t>
      </w:r>
      <w:r w:rsidR="006C4430">
        <w:rPr>
          <w:rFonts w:ascii="Times New Roman" w:hAnsi="Times New Roman"/>
          <w:bCs/>
          <w:szCs w:val="24"/>
        </w:rPr>
        <w:t>COS</w:t>
      </w:r>
      <w:r w:rsidR="00CE699D">
        <w:rPr>
          <w:rFonts w:ascii="Times New Roman" w:hAnsi="Times New Roman"/>
          <w:bCs/>
          <w:szCs w:val="24"/>
        </w:rPr>
        <w:t xml:space="preserve">.  Column E shows the Company’s proposed rate spread for the requested increase.  Column F shows each rate schedule’s revenues as a percentage of </w:t>
      </w:r>
      <w:r w:rsidR="006C4430">
        <w:rPr>
          <w:rFonts w:ascii="Times New Roman" w:hAnsi="Times New Roman"/>
          <w:bCs/>
          <w:szCs w:val="24"/>
        </w:rPr>
        <w:t>COS</w:t>
      </w:r>
      <w:r w:rsidR="00CE699D">
        <w:rPr>
          <w:rFonts w:ascii="Times New Roman" w:hAnsi="Times New Roman"/>
          <w:bCs/>
          <w:szCs w:val="24"/>
        </w:rPr>
        <w:t xml:space="preserve"> after the increase.</w:t>
      </w:r>
    </w:p>
    <w:p w:rsidR="002921E2" w:rsidRDefault="00FC6C8C" w:rsidP="00156312">
      <w:pPr>
        <w:widowControl w:val="0"/>
        <w:suppressLineNumbers/>
        <w:tabs>
          <w:tab w:val="left" w:pos="0"/>
        </w:tabs>
        <w:suppressAutoHyphens/>
        <w:spacing w:line="240" w:lineRule="auto"/>
        <w:jc w:val="center"/>
        <w:rPr>
          <w:rFonts w:ascii="Times New Roman" w:hAnsi="Times New Roman"/>
          <w:b/>
          <w:bCs/>
          <w:szCs w:val="24"/>
        </w:rPr>
      </w:pPr>
      <w:r>
        <w:rPr>
          <w:rFonts w:ascii="Times New Roman" w:hAnsi="Times New Roman"/>
          <w:b/>
          <w:bCs/>
          <w:szCs w:val="24"/>
        </w:rPr>
        <w:t>TABLE 1</w:t>
      </w:r>
    </w:p>
    <w:p w:rsidR="002921E2" w:rsidRDefault="00C51CB5">
      <w:pPr>
        <w:widowControl w:val="0"/>
        <w:suppressLineNumbers/>
        <w:tabs>
          <w:tab w:val="left" w:pos="0"/>
        </w:tabs>
        <w:suppressAutoHyphens/>
        <w:jc w:val="center"/>
        <w:rPr>
          <w:rFonts w:ascii="Times New Roman" w:hAnsi="Times New Roman"/>
          <w:bCs/>
          <w:szCs w:val="24"/>
        </w:rPr>
      </w:pPr>
      <w:r w:rsidRPr="00C51CB5">
        <w:rPr>
          <w:noProof/>
          <w:szCs w:val="24"/>
        </w:rPr>
        <w:drawing>
          <wp:inline distT="0" distB="0" distL="0" distR="0">
            <wp:extent cx="5486400" cy="203515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486400" cy="2035153"/>
                    </a:xfrm>
                    <a:prstGeom prst="rect">
                      <a:avLst/>
                    </a:prstGeom>
                    <a:noFill/>
                    <a:ln w="9525">
                      <a:noFill/>
                      <a:miter lim="800000"/>
                      <a:headEnd/>
                      <a:tailEnd/>
                    </a:ln>
                  </pic:spPr>
                </pic:pic>
              </a:graphicData>
            </a:graphic>
          </wp:inline>
        </w:drawing>
      </w:r>
    </w:p>
    <w:p w:rsidR="00A9602E" w:rsidRDefault="00A9602E">
      <w:pPr>
        <w:widowControl w:val="0"/>
        <w:suppressLineNumbers/>
        <w:tabs>
          <w:tab w:val="left" w:pos="0"/>
        </w:tabs>
        <w:suppressAutoHyphens/>
        <w:jc w:val="center"/>
        <w:rPr>
          <w:rFonts w:ascii="Times New Roman" w:hAnsi="Times New Roman"/>
          <w:bCs/>
          <w:szCs w:val="24"/>
        </w:rPr>
      </w:pPr>
    </w:p>
    <w:p w:rsidR="00A9602E" w:rsidRDefault="00A9602E">
      <w:pPr>
        <w:widowControl w:val="0"/>
        <w:suppressLineNumbers/>
        <w:tabs>
          <w:tab w:val="left" w:pos="0"/>
        </w:tabs>
        <w:suppressAutoHyphens/>
        <w:jc w:val="center"/>
        <w:rPr>
          <w:rFonts w:ascii="Times New Roman" w:hAnsi="Times New Roman"/>
          <w:bCs/>
          <w:szCs w:val="24"/>
        </w:rPr>
      </w:pPr>
    </w:p>
    <w:p w:rsidR="00F60265" w:rsidRPr="00FC7D77" w:rsidRDefault="00F60265" w:rsidP="0034595D">
      <w:pPr>
        <w:widowControl w:val="0"/>
        <w:tabs>
          <w:tab w:val="left" w:pos="0"/>
        </w:tabs>
        <w:suppressAutoHyphens/>
        <w:rPr>
          <w:rFonts w:ascii="Times New Roman" w:hAnsi="Times New Roman"/>
          <w:b/>
        </w:rPr>
      </w:pPr>
      <w:r w:rsidRPr="00FC7D77">
        <w:rPr>
          <w:rFonts w:ascii="Times New Roman" w:hAnsi="Times New Roman"/>
          <w:b/>
        </w:rPr>
        <w:t>Q.</w:t>
      </w:r>
      <w:r w:rsidRPr="00FC7D77">
        <w:rPr>
          <w:rFonts w:ascii="Times New Roman" w:hAnsi="Times New Roman"/>
          <w:b/>
        </w:rPr>
        <w:tab/>
      </w:r>
      <w:r>
        <w:rPr>
          <w:rFonts w:ascii="Times New Roman" w:hAnsi="Times New Roman"/>
          <w:b/>
        </w:rPr>
        <w:t xml:space="preserve">Both </w:t>
      </w:r>
      <w:r w:rsidR="00FE0115">
        <w:rPr>
          <w:rFonts w:ascii="Times New Roman" w:hAnsi="Times New Roman"/>
          <w:b/>
        </w:rPr>
        <w:t xml:space="preserve">Mr. Mickelson </w:t>
      </w:r>
      <w:r>
        <w:rPr>
          <w:rFonts w:ascii="Times New Roman" w:hAnsi="Times New Roman"/>
          <w:b/>
        </w:rPr>
        <w:t xml:space="preserve">and </w:t>
      </w:r>
      <w:r w:rsidR="00FE0115">
        <w:rPr>
          <w:rFonts w:ascii="Times New Roman" w:hAnsi="Times New Roman"/>
          <w:b/>
        </w:rPr>
        <w:t>Mr. Deen</w:t>
      </w:r>
      <w:r>
        <w:rPr>
          <w:rFonts w:ascii="Times New Roman" w:hAnsi="Times New Roman"/>
          <w:b/>
        </w:rPr>
        <w:t xml:space="preserve"> propose modifications to the Company’s rate spread proposal.  </w:t>
      </w:r>
      <w:r w:rsidR="00852555">
        <w:rPr>
          <w:rFonts w:ascii="Times New Roman" w:hAnsi="Times New Roman"/>
          <w:b/>
        </w:rPr>
        <w:t xml:space="preserve">Please </w:t>
      </w:r>
      <w:r>
        <w:rPr>
          <w:rFonts w:ascii="Times New Roman" w:hAnsi="Times New Roman"/>
          <w:b/>
        </w:rPr>
        <w:t>respond</w:t>
      </w:r>
      <w:r w:rsidR="00852555">
        <w:rPr>
          <w:rFonts w:ascii="Times New Roman" w:hAnsi="Times New Roman"/>
          <w:b/>
        </w:rPr>
        <w:t>.</w:t>
      </w:r>
      <w:r>
        <w:rPr>
          <w:rFonts w:ascii="Times New Roman" w:hAnsi="Times New Roman"/>
          <w:b/>
        </w:rPr>
        <w:t xml:space="preserve"> </w:t>
      </w:r>
    </w:p>
    <w:p w:rsidR="000260BF" w:rsidRDefault="00F60265" w:rsidP="0034595D">
      <w:pPr>
        <w:widowControl w:val="0"/>
        <w:tabs>
          <w:tab w:val="left" w:pos="0"/>
        </w:tabs>
        <w:suppressAutoHyphens/>
        <w:rPr>
          <w:rFonts w:ascii="Times New Roman" w:hAnsi="Times New Roman"/>
        </w:rPr>
      </w:pPr>
      <w:r w:rsidRPr="00FC7D77">
        <w:rPr>
          <w:rFonts w:ascii="Times New Roman" w:hAnsi="Times New Roman"/>
        </w:rPr>
        <w:t>A.</w:t>
      </w:r>
      <w:r w:rsidRPr="00FC7D77">
        <w:rPr>
          <w:rFonts w:ascii="Times New Roman" w:hAnsi="Times New Roman"/>
          <w:b/>
        </w:rPr>
        <w:tab/>
      </w:r>
      <w:r w:rsidR="002C1F95">
        <w:rPr>
          <w:rFonts w:ascii="Times New Roman" w:hAnsi="Times New Roman"/>
        </w:rPr>
        <w:t xml:space="preserve">Both </w:t>
      </w:r>
      <w:r w:rsidR="00FE0115">
        <w:rPr>
          <w:rFonts w:ascii="Times New Roman" w:hAnsi="Times New Roman"/>
        </w:rPr>
        <w:t xml:space="preserve">Mr. Mickelson </w:t>
      </w:r>
      <w:r w:rsidR="002C1F95">
        <w:rPr>
          <w:rFonts w:ascii="Times New Roman" w:hAnsi="Times New Roman"/>
        </w:rPr>
        <w:t xml:space="preserve">and </w:t>
      </w:r>
      <w:r w:rsidR="00FE0115">
        <w:rPr>
          <w:rFonts w:ascii="Times New Roman" w:hAnsi="Times New Roman"/>
        </w:rPr>
        <w:t>Mr. Deen</w:t>
      </w:r>
      <w:r w:rsidR="002C1F95">
        <w:rPr>
          <w:rFonts w:ascii="Times New Roman" w:hAnsi="Times New Roman"/>
        </w:rPr>
        <w:t xml:space="preserve"> propose a rate spread based on </w:t>
      </w:r>
      <w:r w:rsidR="00C56769">
        <w:rPr>
          <w:rFonts w:ascii="Times New Roman" w:hAnsi="Times New Roman"/>
        </w:rPr>
        <w:t xml:space="preserve">each rate schedule’s relative proportion to </w:t>
      </w:r>
      <w:r w:rsidR="006C4430">
        <w:rPr>
          <w:rFonts w:ascii="Times New Roman" w:hAnsi="Times New Roman"/>
        </w:rPr>
        <w:t>COS</w:t>
      </w:r>
      <w:r w:rsidR="00C56769">
        <w:rPr>
          <w:rFonts w:ascii="Times New Roman" w:hAnsi="Times New Roman"/>
        </w:rPr>
        <w:t>, or parity ratio.</w:t>
      </w:r>
      <w:r w:rsidR="000C6708">
        <w:rPr>
          <w:rStyle w:val="FootnoteReference"/>
        </w:rPr>
        <w:footnoteReference w:id="11"/>
      </w:r>
      <w:r w:rsidR="002C1F95">
        <w:rPr>
          <w:rFonts w:ascii="Times New Roman" w:hAnsi="Times New Roman"/>
        </w:rPr>
        <w:t xml:space="preserve"> </w:t>
      </w:r>
      <w:r w:rsidR="00FC6C8C">
        <w:rPr>
          <w:rFonts w:ascii="Times New Roman" w:hAnsi="Times New Roman"/>
        </w:rPr>
        <w:t xml:space="preserve"> </w:t>
      </w:r>
      <w:r w:rsidR="002C1F95">
        <w:rPr>
          <w:rFonts w:ascii="Times New Roman" w:hAnsi="Times New Roman"/>
        </w:rPr>
        <w:t xml:space="preserve">Similar to the Company, </w:t>
      </w:r>
      <w:r w:rsidR="00FE0115">
        <w:rPr>
          <w:rFonts w:ascii="Times New Roman" w:hAnsi="Times New Roman"/>
        </w:rPr>
        <w:t xml:space="preserve">Mr. Mickelson </w:t>
      </w:r>
      <w:r w:rsidR="002C1F95">
        <w:rPr>
          <w:rFonts w:ascii="Times New Roman" w:hAnsi="Times New Roman"/>
        </w:rPr>
        <w:t xml:space="preserve">proposes higher increases to the schedules that are below </w:t>
      </w:r>
      <w:r w:rsidR="006C4430">
        <w:rPr>
          <w:rFonts w:ascii="Times New Roman" w:hAnsi="Times New Roman"/>
        </w:rPr>
        <w:t>COS</w:t>
      </w:r>
      <w:r w:rsidR="002C1F95">
        <w:rPr>
          <w:rFonts w:ascii="Times New Roman" w:hAnsi="Times New Roman"/>
        </w:rPr>
        <w:t xml:space="preserve"> and smaller increases (or no increase in the case of street lighting schedules) to the schedules above </w:t>
      </w:r>
      <w:r w:rsidR="006C4430">
        <w:rPr>
          <w:rFonts w:ascii="Times New Roman" w:hAnsi="Times New Roman"/>
        </w:rPr>
        <w:t>COS</w:t>
      </w:r>
      <w:r w:rsidR="002C1F95">
        <w:rPr>
          <w:rFonts w:ascii="Times New Roman" w:hAnsi="Times New Roman"/>
        </w:rPr>
        <w:t>.</w:t>
      </w:r>
      <w:r w:rsidR="000C6708" w:rsidRPr="00863E02">
        <w:rPr>
          <w:rStyle w:val="FootnoteReference"/>
        </w:rPr>
        <w:footnoteReference w:id="12"/>
      </w:r>
      <w:r w:rsidR="002C1F95">
        <w:rPr>
          <w:rFonts w:ascii="Times New Roman" w:hAnsi="Times New Roman"/>
        </w:rPr>
        <w:t xml:space="preserve">  </w:t>
      </w:r>
      <w:r w:rsidR="00377675">
        <w:rPr>
          <w:rFonts w:ascii="Times New Roman" w:hAnsi="Times New Roman"/>
        </w:rPr>
        <w:t>H</w:t>
      </w:r>
      <w:r w:rsidR="002C1F95">
        <w:rPr>
          <w:rFonts w:ascii="Times New Roman" w:hAnsi="Times New Roman"/>
        </w:rPr>
        <w:t xml:space="preserve">owever, </w:t>
      </w:r>
      <w:r w:rsidR="00FE0115">
        <w:rPr>
          <w:rFonts w:ascii="Times New Roman" w:hAnsi="Times New Roman"/>
        </w:rPr>
        <w:t>Mr. Mickelson</w:t>
      </w:r>
      <w:r w:rsidR="002C1F95">
        <w:rPr>
          <w:rFonts w:ascii="Times New Roman" w:hAnsi="Times New Roman"/>
        </w:rPr>
        <w:t xml:space="preserve">’s proposal attempts to move all schedules to within </w:t>
      </w:r>
      <w:r w:rsidR="00B6591C">
        <w:rPr>
          <w:rFonts w:ascii="Times New Roman" w:hAnsi="Times New Roman"/>
        </w:rPr>
        <w:t xml:space="preserve">five </w:t>
      </w:r>
      <w:r w:rsidR="002C1F95">
        <w:rPr>
          <w:rFonts w:ascii="Times New Roman" w:hAnsi="Times New Roman"/>
        </w:rPr>
        <w:t>percent of parity</w:t>
      </w:r>
      <w:r w:rsidR="00B6591C">
        <w:rPr>
          <w:rFonts w:ascii="Times New Roman" w:hAnsi="Times New Roman"/>
        </w:rPr>
        <w:t>,</w:t>
      </w:r>
      <w:r w:rsidR="000C6708">
        <w:rPr>
          <w:rStyle w:val="FootnoteReference"/>
        </w:rPr>
        <w:footnoteReference w:id="13"/>
      </w:r>
      <w:r w:rsidR="002C1F95">
        <w:rPr>
          <w:rFonts w:ascii="Times New Roman" w:hAnsi="Times New Roman"/>
        </w:rPr>
        <w:t xml:space="preserve"> whe</w:t>
      </w:r>
      <w:r w:rsidR="00377675">
        <w:rPr>
          <w:rFonts w:ascii="Times New Roman" w:hAnsi="Times New Roman"/>
        </w:rPr>
        <w:t xml:space="preserve">reas the Company’s proposal made more moderate movements to </w:t>
      </w:r>
      <w:r w:rsidR="006C4430">
        <w:rPr>
          <w:rFonts w:ascii="Times New Roman" w:hAnsi="Times New Roman"/>
        </w:rPr>
        <w:t>COS</w:t>
      </w:r>
      <w:r w:rsidR="00377675">
        <w:rPr>
          <w:rFonts w:ascii="Times New Roman" w:hAnsi="Times New Roman"/>
        </w:rPr>
        <w:t xml:space="preserve"> for all rate schedules.  </w:t>
      </w:r>
      <w:r w:rsidR="00FE0115">
        <w:rPr>
          <w:rFonts w:ascii="Times New Roman" w:hAnsi="Times New Roman"/>
        </w:rPr>
        <w:t xml:space="preserve">Mr. Deen </w:t>
      </w:r>
      <w:r w:rsidR="00377675">
        <w:rPr>
          <w:rFonts w:ascii="Times New Roman" w:hAnsi="Times New Roman"/>
        </w:rPr>
        <w:t xml:space="preserve">also proposes below average increases to the rate schedules </w:t>
      </w:r>
      <w:r w:rsidR="00C56769">
        <w:rPr>
          <w:rFonts w:ascii="Times New Roman" w:hAnsi="Times New Roman"/>
        </w:rPr>
        <w:t xml:space="preserve">that are above </w:t>
      </w:r>
      <w:r w:rsidR="006C4430">
        <w:rPr>
          <w:rFonts w:ascii="Times New Roman" w:hAnsi="Times New Roman"/>
        </w:rPr>
        <w:t>COS</w:t>
      </w:r>
      <w:r w:rsidR="002B2908">
        <w:rPr>
          <w:rFonts w:ascii="Times New Roman" w:hAnsi="Times New Roman"/>
        </w:rPr>
        <w:t xml:space="preserve"> by more than 10</w:t>
      </w:r>
      <w:r w:rsidR="00FE0115">
        <w:rPr>
          <w:rFonts w:ascii="Times New Roman" w:hAnsi="Times New Roman"/>
        </w:rPr>
        <w:t> </w:t>
      </w:r>
      <w:r w:rsidR="002B2908">
        <w:rPr>
          <w:rFonts w:ascii="Times New Roman" w:hAnsi="Times New Roman"/>
        </w:rPr>
        <w:t>percent (Schedule 40 and street lighting)</w:t>
      </w:r>
      <w:r w:rsidR="00C56769">
        <w:rPr>
          <w:rFonts w:ascii="Times New Roman" w:hAnsi="Times New Roman"/>
        </w:rPr>
        <w:t xml:space="preserve"> </w:t>
      </w:r>
      <w:r w:rsidR="00377675">
        <w:rPr>
          <w:rFonts w:ascii="Times New Roman" w:hAnsi="Times New Roman"/>
        </w:rPr>
        <w:t>but proposes all other schedules receive an equal percentage increase.</w:t>
      </w:r>
      <w:r w:rsidR="000C6708">
        <w:rPr>
          <w:rStyle w:val="FootnoteReference"/>
        </w:rPr>
        <w:footnoteReference w:id="14"/>
      </w:r>
      <w:r w:rsidR="00377675">
        <w:rPr>
          <w:rFonts w:ascii="Times New Roman" w:hAnsi="Times New Roman"/>
        </w:rPr>
        <w:t xml:space="preserve">  </w:t>
      </w:r>
      <w:r w:rsidR="000260BF">
        <w:rPr>
          <w:rFonts w:ascii="Times New Roman" w:hAnsi="Times New Roman"/>
        </w:rPr>
        <w:t>Table 2 shows each party’s proposed increase by rate schedule as a percent of the overall increase.</w:t>
      </w:r>
    </w:p>
    <w:p w:rsidR="002921E2" w:rsidRDefault="00905F81" w:rsidP="005648F6">
      <w:pPr>
        <w:keepNext/>
        <w:widowControl w:val="0"/>
        <w:suppressLineNumbers/>
        <w:tabs>
          <w:tab w:val="left" w:pos="0"/>
        </w:tabs>
        <w:suppressAutoHyphens/>
        <w:spacing w:line="240" w:lineRule="auto"/>
        <w:jc w:val="center"/>
        <w:rPr>
          <w:rFonts w:ascii="Times New Roman" w:hAnsi="Times New Roman"/>
          <w:b/>
        </w:rPr>
      </w:pPr>
      <w:r w:rsidRPr="00905F81">
        <w:rPr>
          <w:rFonts w:ascii="Times New Roman" w:hAnsi="Times New Roman"/>
          <w:b/>
        </w:rPr>
        <w:t>TABLE 2</w:t>
      </w:r>
    </w:p>
    <w:p w:rsidR="002921E2" w:rsidRDefault="00C51CB5">
      <w:pPr>
        <w:widowControl w:val="0"/>
        <w:suppressLineNumbers/>
        <w:tabs>
          <w:tab w:val="left" w:pos="0"/>
        </w:tabs>
        <w:suppressAutoHyphens/>
        <w:jc w:val="center"/>
        <w:rPr>
          <w:rFonts w:ascii="Times New Roman" w:hAnsi="Times New Roman"/>
          <w:szCs w:val="24"/>
        </w:rPr>
      </w:pPr>
      <w:r w:rsidRPr="00C51CB5">
        <w:rPr>
          <w:noProof/>
          <w:szCs w:val="24"/>
        </w:rPr>
        <w:drawing>
          <wp:inline distT="0" distB="0" distL="0" distR="0">
            <wp:extent cx="5486400" cy="2304989"/>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486400" cy="2304989"/>
                    </a:xfrm>
                    <a:prstGeom prst="rect">
                      <a:avLst/>
                    </a:prstGeom>
                    <a:noFill/>
                    <a:ln w="9525">
                      <a:noFill/>
                      <a:miter lim="800000"/>
                      <a:headEnd/>
                      <a:tailEnd/>
                    </a:ln>
                  </pic:spPr>
                </pic:pic>
              </a:graphicData>
            </a:graphic>
          </wp:inline>
        </w:drawing>
      </w:r>
    </w:p>
    <w:p w:rsidR="00592989" w:rsidRDefault="000260BF" w:rsidP="0034595D">
      <w:pPr>
        <w:widowControl w:val="0"/>
        <w:tabs>
          <w:tab w:val="left" w:pos="0"/>
        </w:tabs>
        <w:suppressAutoHyphens/>
        <w:rPr>
          <w:rFonts w:ascii="Times New Roman" w:hAnsi="Times New Roman"/>
          <w:szCs w:val="24"/>
        </w:rPr>
      </w:pPr>
      <w:r>
        <w:rPr>
          <w:rFonts w:ascii="Times New Roman" w:hAnsi="Times New Roman"/>
          <w:szCs w:val="24"/>
        </w:rPr>
        <w:tab/>
      </w:r>
      <w:r w:rsidR="00EB363E">
        <w:rPr>
          <w:rFonts w:ascii="Times New Roman" w:hAnsi="Times New Roman"/>
          <w:szCs w:val="24"/>
        </w:rPr>
        <w:tab/>
      </w:r>
      <w:r w:rsidR="00377675">
        <w:rPr>
          <w:rFonts w:ascii="Times New Roman" w:hAnsi="Times New Roman"/>
          <w:szCs w:val="24"/>
        </w:rPr>
        <w:t>In light of the parties’ proposals, the Company’s propos</w:t>
      </w:r>
      <w:r>
        <w:rPr>
          <w:rFonts w:ascii="Times New Roman" w:hAnsi="Times New Roman"/>
          <w:szCs w:val="24"/>
        </w:rPr>
        <w:t xml:space="preserve">ed rate spread is a reasonable </w:t>
      </w:r>
      <w:r w:rsidR="00852555">
        <w:rPr>
          <w:rFonts w:ascii="Times New Roman" w:hAnsi="Times New Roman"/>
          <w:szCs w:val="24"/>
        </w:rPr>
        <w:t>compromise</w:t>
      </w:r>
      <w:r>
        <w:rPr>
          <w:rFonts w:ascii="Times New Roman" w:hAnsi="Times New Roman"/>
          <w:szCs w:val="24"/>
        </w:rPr>
        <w:t xml:space="preserve"> that makes </w:t>
      </w:r>
      <w:r w:rsidR="00852555">
        <w:rPr>
          <w:rFonts w:ascii="Times New Roman" w:hAnsi="Times New Roman"/>
          <w:szCs w:val="24"/>
        </w:rPr>
        <w:t xml:space="preserve">gradual </w:t>
      </w:r>
      <w:r>
        <w:rPr>
          <w:rFonts w:ascii="Times New Roman" w:hAnsi="Times New Roman"/>
          <w:szCs w:val="24"/>
        </w:rPr>
        <w:t xml:space="preserve">movement to </w:t>
      </w:r>
      <w:r w:rsidR="006C4430">
        <w:rPr>
          <w:rFonts w:ascii="Times New Roman" w:hAnsi="Times New Roman"/>
          <w:szCs w:val="24"/>
        </w:rPr>
        <w:t>COS</w:t>
      </w:r>
      <w:r>
        <w:rPr>
          <w:rFonts w:ascii="Times New Roman" w:hAnsi="Times New Roman"/>
          <w:szCs w:val="24"/>
        </w:rPr>
        <w:t xml:space="preserve"> for all rate schedules. </w:t>
      </w:r>
    </w:p>
    <w:p w:rsidR="002921E2" w:rsidRDefault="00FC6C8C" w:rsidP="0063015C">
      <w:pPr>
        <w:pStyle w:val="Heading1"/>
      </w:pPr>
      <w:bookmarkStart w:id="6" w:name="_Toc362938858"/>
      <w:r w:rsidRPr="00FC7D77">
        <w:t xml:space="preserve">RESIDENTIAL </w:t>
      </w:r>
      <w:r>
        <w:t>RATE DESIGN</w:t>
      </w:r>
      <w:bookmarkEnd w:id="6"/>
    </w:p>
    <w:p w:rsidR="005D093B" w:rsidRPr="00FC7D77" w:rsidRDefault="005D093B" w:rsidP="0034595D">
      <w:pPr>
        <w:numPr>
          <w:ilvl w:val="0"/>
          <w:numId w:val="18"/>
        </w:numPr>
        <w:rPr>
          <w:rFonts w:ascii="Times New Roman" w:hAnsi="Times New Roman"/>
          <w:b/>
          <w:szCs w:val="24"/>
        </w:rPr>
      </w:pPr>
      <w:r w:rsidRPr="00FC7D77">
        <w:rPr>
          <w:rFonts w:ascii="Times New Roman" w:hAnsi="Times New Roman"/>
          <w:b/>
          <w:szCs w:val="24"/>
        </w:rPr>
        <w:t xml:space="preserve">Please discuss </w:t>
      </w:r>
      <w:r w:rsidR="008B5D9F" w:rsidRPr="00FC7D77">
        <w:rPr>
          <w:rFonts w:ascii="Times New Roman" w:hAnsi="Times New Roman"/>
          <w:b/>
          <w:szCs w:val="24"/>
        </w:rPr>
        <w:t xml:space="preserve">the </w:t>
      </w:r>
      <w:r w:rsidRPr="00FC7D77">
        <w:rPr>
          <w:rFonts w:ascii="Times New Roman" w:hAnsi="Times New Roman"/>
          <w:b/>
          <w:szCs w:val="24"/>
        </w:rPr>
        <w:t xml:space="preserve">proposed </w:t>
      </w:r>
      <w:r w:rsidR="00852555">
        <w:rPr>
          <w:rFonts w:ascii="Times New Roman" w:hAnsi="Times New Roman"/>
          <w:b/>
          <w:szCs w:val="24"/>
        </w:rPr>
        <w:t>rate</w:t>
      </w:r>
      <w:r w:rsidR="005A42F3">
        <w:rPr>
          <w:rFonts w:ascii="Times New Roman" w:hAnsi="Times New Roman"/>
          <w:b/>
          <w:szCs w:val="24"/>
        </w:rPr>
        <w:t xml:space="preserve"> design</w:t>
      </w:r>
      <w:r w:rsidR="00852555">
        <w:rPr>
          <w:rFonts w:ascii="Times New Roman" w:hAnsi="Times New Roman"/>
          <w:b/>
          <w:szCs w:val="24"/>
        </w:rPr>
        <w:t xml:space="preserve"> for R</w:t>
      </w:r>
      <w:r w:rsidR="008B5D9F" w:rsidRPr="00FC7D77">
        <w:rPr>
          <w:rFonts w:ascii="Times New Roman" w:hAnsi="Times New Roman"/>
          <w:b/>
          <w:szCs w:val="24"/>
        </w:rPr>
        <w:t xml:space="preserve">esidential </w:t>
      </w:r>
      <w:r w:rsidR="00852555">
        <w:rPr>
          <w:rFonts w:ascii="Times New Roman" w:hAnsi="Times New Roman"/>
          <w:b/>
          <w:szCs w:val="24"/>
        </w:rPr>
        <w:t>Schedule 16.</w:t>
      </w:r>
    </w:p>
    <w:p w:rsidR="00082945" w:rsidRPr="00B82CC6" w:rsidRDefault="003F6C97" w:rsidP="0034595D">
      <w:pPr>
        <w:numPr>
          <w:ilvl w:val="0"/>
          <w:numId w:val="20"/>
        </w:numPr>
        <w:tabs>
          <w:tab w:val="clear" w:pos="360"/>
          <w:tab w:val="num" w:pos="720"/>
        </w:tabs>
        <w:ind w:left="720" w:hanging="720"/>
        <w:rPr>
          <w:rFonts w:ascii="Times New Roman" w:hAnsi="Times New Roman"/>
          <w:b/>
          <w:szCs w:val="24"/>
        </w:rPr>
      </w:pPr>
      <w:r>
        <w:rPr>
          <w:rFonts w:ascii="Times New Roman" w:hAnsi="Times New Roman"/>
          <w:szCs w:val="24"/>
        </w:rPr>
        <w:t xml:space="preserve">The Company continues to propose an increase in the monthly residential basic charge and a rate design consistent with the current inverted block rate structure.  </w:t>
      </w:r>
      <w:r w:rsidR="005D093B" w:rsidRPr="00FC7D77">
        <w:rPr>
          <w:rFonts w:ascii="Times New Roman" w:hAnsi="Times New Roman"/>
          <w:szCs w:val="24"/>
        </w:rPr>
        <w:t xml:space="preserve">For the monthly </w:t>
      </w:r>
      <w:r w:rsidR="009F5CEE" w:rsidRPr="00FC7D77">
        <w:rPr>
          <w:rFonts w:ascii="Times New Roman" w:hAnsi="Times New Roman"/>
          <w:szCs w:val="24"/>
        </w:rPr>
        <w:t xml:space="preserve">residential </w:t>
      </w:r>
      <w:r w:rsidR="005D093B" w:rsidRPr="00FC7D77">
        <w:rPr>
          <w:rFonts w:ascii="Times New Roman" w:hAnsi="Times New Roman"/>
          <w:szCs w:val="24"/>
        </w:rPr>
        <w:t xml:space="preserve">basic charge, the Company </w:t>
      </w:r>
      <w:r>
        <w:rPr>
          <w:rFonts w:ascii="Times New Roman" w:hAnsi="Times New Roman"/>
          <w:szCs w:val="24"/>
        </w:rPr>
        <w:t xml:space="preserve">is willing to accept </w:t>
      </w:r>
      <w:r w:rsidR="00FE0115">
        <w:rPr>
          <w:rFonts w:ascii="Times New Roman" w:hAnsi="Times New Roman"/>
          <w:szCs w:val="24"/>
        </w:rPr>
        <w:t>Mr. </w:t>
      </w:r>
      <w:r w:rsidR="00FE0115" w:rsidRPr="00FE0115">
        <w:rPr>
          <w:rFonts w:ascii="Times New Roman" w:hAnsi="Times New Roman"/>
          <w:szCs w:val="24"/>
        </w:rPr>
        <w:t>Mickelson</w:t>
      </w:r>
      <w:r>
        <w:rPr>
          <w:rFonts w:ascii="Times New Roman" w:hAnsi="Times New Roman"/>
          <w:szCs w:val="24"/>
        </w:rPr>
        <w:t xml:space="preserve">’s proposed basic charge </w:t>
      </w:r>
      <w:r w:rsidR="00A64D3E">
        <w:rPr>
          <w:rFonts w:ascii="Times New Roman" w:hAnsi="Times New Roman"/>
          <w:szCs w:val="24"/>
        </w:rPr>
        <w:t>calculation for this case.</w:t>
      </w:r>
      <w:r w:rsidR="000C6708">
        <w:rPr>
          <w:rStyle w:val="FootnoteReference"/>
          <w:szCs w:val="24"/>
        </w:rPr>
        <w:footnoteReference w:id="15"/>
      </w:r>
      <w:r w:rsidR="00A64D3E">
        <w:rPr>
          <w:rFonts w:ascii="Times New Roman" w:hAnsi="Times New Roman"/>
          <w:szCs w:val="24"/>
        </w:rPr>
        <w:t xml:space="preserve">  Based on the revised </w:t>
      </w:r>
      <w:r w:rsidR="009A181C">
        <w:rPr>
          <w:rFonts w:ascii="Times New Roman" w:hAnsi="Times New Roman"/>
          <w:szCs w:val="24"/>
        </w:rPr>
        <w:t xml:space="preserve">revenue </w:t>
      </w:r>
      <w:r w:rsidR="00A64D3E">
        <w:rPr>
          <w:rFonts w:ascii="Times New Roman" w:hAnsi="Times New Roman"/>
          <w:szCs w:val="24"/>
        </w:rPr>
        <w:t xml:space="preserve">requirement and updated </w:t>
      </w:r>
      <w:r w:rsidR="006C4430">
        <w:rPr>
          <w:rFonts w:ascii="Times New Roman" w:hAnsi="Times New Roman"/>
          <w:szCs w:val="24"/>
        </w:rPr>
        <w:t>COS</w:t>
      </w:r>
      <w:r w:rsidR="00A64D3E">
        <w:rPr>
          <w:rFonts w:ascii="Times New Roman" w:hAnsi="Times New Roman"/>
          <w:szCs w:val="24"/>
        </w:rPr>
        <w:t xml:space="preserve"> study, and rounded to </w:t>
      </w:r>
      <w:r w:rsidR="00A64D3E" w:rsidRPr="004026C4">
        <w:rPr>
          <w:rFonts w:ascii="Times New Roman" w:hAnsi="Times New Roman"/>
          <w:szCs w:val="24"/>
        </w:rPr>
        <w:t xml:space="preserve">the nearest </w:t>
      </w:r>
      <w:r w:rsidR="00633967">
        <w:rPr>
          <w:rFonts w:ascii="Times New Roman" w:hAnsi="Times New Roman"/>
          <w:szCs w:val="24"/>
        </w:rPr>
        <w:t xml:space="preserve">five </w:t>
      </w:r>
      <w:r w:rsidR="00A64D3E" w:rsidRPr="004026C4">
        <w:rPr>
          <w:rFonts w:ascii="Times New Roman" w:hAnsi="Times New Roman"/>
          <w:szCs w:val="24"/>
        </w:rPr>
        <w:t xml:space="preserve">cents, this results in a </w:t>
      </w:r>
      <w:r w:rsidR="004777CE">
        <w:rPr>
          <w:rFonts w:ascii="Times New Roman" w:hAnsi="Times New Roman"/>
          <w:szCs w:val="24"/>
        </w:rPr>
        <w:t xml:space="preserve">proposed </w:t>
      </w:r>
      <w:r w:rsidR="00A64D3E" w:rsidRPr="004026C4">
        <w:rPr>
          <w:rFonts w:ascii="Times New Roman" w:hAnsi="Times New Roman"/>
          <w:szCs w:val="24"/>
        </w:rPr>
        <w:t>monthly basic charge of $</w:t>
      </w:r>
      <w:r w:rsidR="00B6591C" w:rsidRPr="004026C4">
        <w:rPr>
          <w:rFonts w:ascii="Times New Roman" w:hAnsi="Times New Roman"/>
          <w:szCs w:val="24"/>
        </w:rPr>
        <w:t>8</w:t>
      </w:r>
      <w:r w:rsidR="00A00252" w:rsidRPr="004026C4">
        <w:rPr>
          <w:rFonts w:ascii="Times New Roman" w:hAnsi="Times New Roman"/>
          <w:szCs w:val="24"/>
        </w:rPr>
        <w:t>.</w:t>
      </w:r>
      <w:r w:rsidR="00B6591C" w:rsidRPr="004026C4">
        <w:rPr>
          <w:rFonts w:ascii="Times New Roman" w:hAnsi="Times New Roman"/>
          <w:szCs w:val="24"/>
        </w:rPr>
        <w:t>85</w:t>
      </w:r>
      <w:r w:rsidR="00A64D3E" w:rsidRPr="004026C4">
        <w:rPr>
          <w:rFonts w:ascii="Times New Roman" w:hAnsi="Times New Roman"/>
          <w:szCs w:val="24"/>
        </w:rPr>
        <w:t>.  Exhibit No.___(</w:t>
      </w:r>
      <w:r w:rsidR="00A00252" w:rsidRPr="004026C4">
        <w:rPr>
          <w:rFonts w:ascii="Times New Roman" w:hAnsi="Times New Roman"/>
          <w:szCs w:val="24"/>
        </w:rPr>
        <w:t>JRS-</w:t>
      </w:r>
      <w:r w:rsidR="00B242E2">
        <w:rPr>
          <w:rFonts w:ascii="Times New Roman" w:hAnsi="Times New Roman"/>
          <w:szCs w:val="24"/>
        </w:rPr>
        <w:t>13</w:t>
      </w:r>
      <w:r w:rsidR="00A64D3E" w:rsidRPr="00B242E2">
        <w:rPr>
          <w:rFonts w:ascii="Times New Roman" w:hAnsi="Times New Roman"/>
          <w:szCs w:val="24"/>
        </w:rPr>
        <w:t>)</w:t>
      </w:r>
      <w:r w:rsidR="00A64D3E">
        <w:rPr>
          <w:rFonts w:ascii="Times New Roman" w:hAnsi="Times New Roman"/>
          <w:szCs w:val="24"/>
        </w:rPr>
        <w:t xml:space="preserve"> shows this calculation. </w:t>
      </w:r>
      <w:r>
        <w:rPr>
          <w:rFonts w:ascii="Times New Roman" w:hAnsi="Times New Roman"/>
          <w:szCs w:val="24"/>
        </w:rPr>
        <w:t xml:space="preserve"> </w:t>
      </w:r>
      <w:r w:rsidR="00A64D3E">
        <w:rPr>
          <w:rFonts w:ascii="Times New Roman" w:hAnsi="Times New Roman"/>
          <w:szCs w:val="24"/>
        </w:rPr>
        <w:t xml:space="preserve">This is </w:t>
      </w:r>
      <w:r w:rsidR="00B6591C">
        <w:rPr>
          <w:rFonts w:ascii="Times New Roman" w:hAnsi="Times New Roman"/>
          <w:szCs w:val="24"/>
        </w:rPr>
        <w:t xml:space="preserve">less than the </w:t>
      </w:r>
      <w:r w:rsidR="004026C4">
        <w:rPr>
          <w:rFonts w:ascii="Times New Roman" w:hAnsi="Times New Roman"/>
          <w:szCs w:val="24"/>
        </w:rPr>
        <w:t xml:space="preserve">approximately </w:t>
      </w:r>
      <w:r w:rsidR="00B6591C">
        <w:rPr>
          <w:rFonts w:ascii="Times New Roman" w:hAnsi="Times New Roman"/>
          <w:szCs w:val="24"/>
        </w:rPr>
        <w:t>$10</w:t>
      </w:r>
      <w:r w:rsidR="00FC6C8C">
        <w:rPr>
          <w:rFonts w:ascii="Times New Roman" w:hAnsi="Times New Roman"/>
          <w:szCs w:val="24"/>
        </w:rPr>
        <w:t>.00</w:t>
      </w:r>
      <w:r w:rsidR="00B6591C">
        <w:rPr>
          <w:rFonts w:ascii="Times New Roman" w:hAnsi="Times New Roman"/>
          <w:szCs w:val="24"/>
        </w:rPr>
        <w:t xml:space="preserve"> per month basic charge supported by the Company’s </w:t>
      </w:r>
      <w:r w:rsidR="009A181C">
        <w:rPr>
          <w:rFonts w:ascii="Times New Roman" w:hAnsi="Times New Roman"/>
          <w:szCs w:val="24"/>
        </w:rPr>
        <w:t xml:space="preserve">updated </w:t>
      </w:r>
      <w:r w:rsidR="00B6591C">
        <w:rPr>
          <w:rFonts w:ascii="Times New Roman" w:hAnsi="Times New Roman"/>
          <w:szCs w:val="24"/>
        </w:rPr>
        <w:t xml:space="preserve">COS study and is </w:t>
      </w:r>
      <w:r w:rsidR="00A64D3E">
        <w:rPr>
          <w:rFonts w:ascii="Times New Roman" w:hAnsi="Times New Roman"/>
          <w:szCs w:val="24"/>
        </w:rPr>
        <w:t xml:space="preserve">a </w:t>
      </w:r>
      <w:r w:rsidR="00B6591C">
        <w:rPr>
          <w:rFonts w:ascii="Times New Roman" w:hAnsi="Times New Roman"/>
          <w:szCs w:val="24"/>
        </w:rPr>
        <w:t>1</w:t>
      </w:r>
      <w:r w:rsidR="00C77298">
        <w:rPr>
          <w:rFonts w:ascii="Times New Roman" w:hAnsi="Times New Roman"/>
          <w:szCs w:val="24"/>
        </w:rPr>
        <w:t>2</w:t>
      </w:r>
      <w:r w:rsidR="00B6591C">
        <w:rPr>
          <w:rFonts w:ascii="Times New Roman" w:hAnsi="Times New Roman"/>
          <w:szCs w:val="24"/>
        </w:rPr>
        <w:t xml:space="preserve"> percent </w:t>
      </w:r>
      <w:r w:rsidR="00A64D3E">
        <w:rPr>
          <w:rFonts w:ascii="Times New Roman" w:hAnsi="Times New Roman"/>
          <w:szCs w:val="24"/>
        </w:rPr>
        <w:t xml:space="preserve">decrease from the </w:t>
      </w:r>
      <w:r w:rsidR="004E0629">
        <w:rPr>
          <w:rFonts w:ascii="Times New Roman" w:hAnsi="Times New Roman"/>
          <w:szCs w:val="24"/>
        </w:rPr>
        <w:t xml:space="preserve">proposal in the </w:t>
      </w:r>
      <w:r w:rsidR="00A64D3E">
        <w:rPr>
          <w:rFonts w:ascii="Times New Roman" w:hAnsi="Times New Roman"/>
          <w:szCs w:val="24"/>
        </w:rPr>
        <w:t>Company’s direct case.</w:t>
      </w:r>
      <w:r>
        <w:rPr>
          <w:rFonts w:ascii="Times New Roman" w:hAnsi="Times New Roman"/>
          <w:szCs w:val="24"/>
        </w:rPr>
        <w:t xml:space="preserve"> </w:t>
      </w:r>
      <w:r w:rsidR="008B3F68" w:rsidRPr="00FC7D77">
        <w:rPr>
          <w:rFonts w:ascii="Times New Roman" w:hAnsi="Times New Roman"/>
          <w:szCs w:val="24"/>
        </w:rPr>
        <w:t xml:space="preserve"> </w:t>
      </w:r>
      <w:r>
        <w:rPr>
          <w:rFonts w:ascii="Times New Roman" w:hAnsi="Times New Roman"/>
          <w:szCs w:val="24"/>
        </w:rPr>
        <w:t xml:space="preserve">While the Company </w:t>
      </w:r>
      <w:r w:rsidR="00082945">
        <w:rPr>
          <w:rFonts w:ascii="Times New Roman" w:hAnsi="Times New Roman"/>
          <w:szCs w:val="24"/>
        </w:rPr>
        <w:t xml:space="preserve">believes that </w:t>
      </w:r>
      <w:r w:rsidR="009F70E0">
        <w:rPr>
          <w:rFonts w:ascii="Times New Roman" w:hAnsi="Times New Roman"/>
          <w:szCs w:val="24"/>
        </w:rPr>
        <w:t xml:space="preserve">Mr. Mickelson’s </w:t>
      </w:r>
      <w:r w:rsidR="00082945">
        <w:rPr>
          <w:rFonts w:ascii="Times New Roman" w:hAnsi="Times New Roman"/>
          <w:szCs w:val="24"/>
        </w:rPr>
        <w:t xml:space="preserve">proposed basic charge calculation too narrowly </w:t>
      </w:r>
      <w:r w:rsidR="00EB363E">
        <w:rPr>
          <w:rFonts w:ascii="Times New Roman" w:hAnsi="Times New Roman"/>
          <w:szCs w:val="24"/>
        </w:rPr>
        <w:t>prescribes</w:t>
      </w:r>
      <w:r w:rsidR="00082945">
        <w:rPr>
          <w:rFonts w:ascii="Times New Roman" w:hAnsi="Times New Roman"/>
          <w:szCs w:val="24"/>
        </w:rPr>
        <w:t xml:space="preserve"> the fixed cost components that should be in a fixed monthly charge, the Company is willing to agree to th</w:t>
      </w:r>
      <w:r w:rsidR="004777CE">
        <w:rPr>
          <w:rFonts w:ascii="Times New Roman" w:hAnsi="Times New Roman"/>
          <w:szCs w:val="24"/>
        </w:rPr>
        <w:t>is</w:t>
      </w:r>
      <w:r w:rsidR="00082945">
        <w:rPr>
          <w:rFonts w:ascii="Times New Roman" w:hAnsi="Times New Roman"/>
          <w:szCs w:val="24"/>
        </w:rPr>
        <w:t xml:space="preserve"> more limited increase in this case</w:t>
      </w:r>
      <w:r w:rsidR="004777CE">
        <w:rPr>
          <w:rFonts w:ascii="Times New Roman" w:hAnsi="Times New Roman"/>
          <w:szCs w:val="24"/>
        </w:rPr>
        <w:t xml:space="preserve"> as a compromise</w:t>
      </w:r>
      <w:r w:rsidR="00082945">
        <w:rPr>
          <w:rFonts w:ascii="Times New Roman" w:hAnsi="Times New Roman"/>
          <w:szCs w:val="24"/>
        </w:rPr>
        <w:t xml:space="preserve">.  </w:t>
      </w:r>
    </w:p>
    <w:p w:rsidR="00B82CC6" w:rsidRPr="00082945" w:rsidRDefault="00B82CC6" w:rsidP="0034595D">
      <w:pPr>
        <w:ind w:firstLine="720"/>
        <w:rPr>
          <w:rFonts w:ascii="Times New Roman" w:hAnsi="Times New Roman"/>
          <w:b/>
          <w:szCs w:val="24"/>
        </w:rPr>
      </w:pPr>
      <w:r w:rsidRPr="00B82CC6">
        <w:rPr>
          <w:rFonts w:ascii="Times New Roman" w:hAnsi="Times New Roman"/>
          <w:szCs w:val="24"/>
        </w:rPr>
        <w:t>For the energy charges, the Company</w:t>
      </w:r>
      <w:r>
        <w:rPr>
          <w:rFonts w:ascii="Times New Roman" w:hAnsi="Times New Roman"/>
          <w:szCs w:val="24"/>
        </w:rPr>
        <w:t xml:space="preserve"> continues to </w:t>
      </w:r>
      <w:r w:rsidRPr="00B82CC6">
        <w:rPr>
          <w:rFonts w:ascii="Times New Roman" w:hAnsi="Times New Roman"/>
          <w:szCs w:val="24"/>
        </w:rPr>
        <w:t xml:space="preserve">propose to retain the existing inverted energy charge rate structure </w:t>
      </w:r>
      <w:r w:rsidR="005A42F3">
        <w:rPr>
          <w:rFonts w:ascii="Times New Roman" w:hAnsi="Times New Roman"/>
          <w:szCs w:val="24"/>
        </w:rPr>
        <w:t xml:space="preserve">for Schedule 16 </w:t>
      </w:r>
      <w:r w:rsidRPr="00B82CC6">
        <w:rPr>
          <w:rFonts w:ascii="Times New Roman" w:hAnsi="Times New Roman"/>
          <w:szCs w:val="24"/>
        </w:rPr>
        <w:t xml:space="preserve">and to apply the proposed methodology in my direct testimony </w:t>
      </w:r>
      <w:r w:rsidR="009A181C">
        <w:rPr>
          <w:rFonts w:ascii="Times New Roman" w:hAnsi="Times New Roman"/>
          <w:szCs w:val="24"/>
        </w:rPr>
        <w:t xml:space="preserve">of </w:t>
      </w:r>
      <w:r w:rsidRPr="00B82CC6">
        <w:rPr>
          <w:rFonts w:ascii="Times New Roman" w:hAnsi="Times New Roman"/>
          <w:szCs w:val="24"/>
        </w:rPr>
        <w:t xml:space="preserve">a higher percentage </w:t>
      </w:r>
      <w:r w:rsidR="004777CE">
        <w:rPr>
          <w:rFonts w:ascii="Times New Roman" w:hAnsi="Times New Roman"/>
          <w:szCs w:val="24"/>
        </w:rPr>
        <w:t xml:space="preserve">rate </w:t>
      </w:r>
      <w:r w:rsidRPr="00B82CC6">
        <w:rPr>
          <w:rFonts w:ascii="Times New Roman" w:hAnsi="Times New Roman"/>
          <w:szCs w:val="24"/>
        </w:rPr>
        <w:t xml:space="preserve">increase to the second block </w:t>
      </w:r>
      <w:r w:rsidR="003E5C7A">
        <w:rPr>
          <w:rFonts w:ascii="Times New Roman" w:hAnsi="Times New Roman"/>
          <w:szCs w:val="24"/>
        </w:rPr>
        <w:t>for</w:t>
      </w:r>
      <w:r w:rsidR="004777CE">
        <w:rPr>
          <w:rFonts w:ascii="Times New Roman" w:hAnsi="Times New Roman"/>
          <w:szCs w:val="24"/>
        </w:rPr>
        <w:t xml:space="preserve"> </w:t>
      </w:r>
      <w:r w:rsidRPr="00B82CC6">
        <w:rPr>
          <w:rFonts w:ascii="Times New Roman" w:hAnsi="Times New Roman"/>
          <w:szCs w:val="24"/>
        </w:rPr>
        <w:t xml:space="preserve">usage over 600 kilowatt-hours </w:t>
      </w:r>
      <w:r w:rsidR="004E0629">
        <w:rPr>
          <w:rFonts w:ascii="Times New Roman" w:hAnsi="Times New Roman"/>
          <w:szCs w:val="24"/>
        </w:rPr>
        <w:t xml:space="preserve">(kWh) </w:t>
      </w:r>
      <w:r w:rsidRPr="00B82CC6">
        <w:rPr>
          <w:rFonts w:ascii="Times New Roman" w:hAnsi="Times New Roman"/>
          <w:szCs w:val="24"/>
        </w:rPr>
        <w:t xml:space="preserve">per month. </w:t>
      </w:r>
      <w:r w:rsidR="00801861">
        <w:rPr>
          <w:rFonts w:ascii="Times New Roman" w:hAnsi="Times New Roman"/>
          <w:szCs w:val="24"/>
        </w:rPr>
        <w:t xml:space="preserve"> </w:t>
      </w:r>
      <w:r w:rsidRPr="00B82CC6">
        <w:rPr>
          <w:rFonts w:ascii="Times New Roman" w:hAnsi="Times New Roman"/>
          <w:szCs w:val="24"/>
        </w:rPr>
        <w:t>As a result, larger users will pay higher energy prices under the inverted rate design while all customers will pay a fair share of the overall price change.</w:t>
      </w:r>
    </w:p>
    <w:p w:rsidR="00EB363E" w:rsidRPr="00EB363E" w:rsidRDefault="00EB363E" w:rsidP="0034595D">
      <w:pPr>
        <w:pStyle w:val="ListParagraph"/>
        <w:widowControl w:val="0"/>
        <w:tabs>
          <w:tab w:val="left" w:pos="0"/>
        </w:tabs>
        <w:suppressAutoHyphens/>
        <w:rPr>
          <w:rFonts w:ascii="Times New Roman" w:hAnsi="Times New Roman"/>
          <w:b/>
        </w:rPr>
      </w:pPr>
      <w:r w:rsidRPr="00EB363E">
        <w:rPr>
          <w:rFonts w:ascii="Times New Roman" w:hAnsi="Times New Roman"/>
          <w:b/>
        </w:rPr>
        <w:t>Q.</w:t>
      </w:r>
      <w:r w:rsidRPr="00EB363E">
        <w:rPr>
          <w:rFonts w:ascii="Times New Roman" w:hAnsi="Times New Roman"/>
          <w:b/>
        </w:rPr>
        <w:tab/>
      </w:r>
      <w:r w:rsidR="00572207">
        <w:rPr>
          <w:rFonts w:ascii="Times New Roman" w:hAnsi="Times New Roman"/>
          <w:b/>
        </w:rPr>
        <w:t>Mr. Watkins</w:t>
      </w:r>
      <w:r w:rsidR="00F1374E">
        <w:rPr>
          <w:rFonts w:ascii="Times New Roman" w:hAnsi="Times New Roman"/>
          <w:b/>
        </w:rPr>
        <w:t xml:space="preserve"> discusses efficient pricing principles and</w:t>
      </w:r>
      <w:r w:rsidR="00572207">
        <w:rPr>
          <w:rFonts w:ascii="Times New Roman" w:hAnsi="Times New Roman"/>
          <w:b/>
        </w:rPr>
        <w:t xml:space="preserve"> recommends limiting the increase in the basic charge to $7.00 per month.</w:t>
      </w:r>
      <w:r w:rsidR="000C6708">
        <w:rPr>
          <w:rStyle w:val="FootnoteReference"/>
          <w:b/>
        </w:rPr>
        <w:footnoteReference w:id="16"/>
      </w:r>
      <w:r w:rsidR="00572207">
        <w:rPr>
          <w:rFonts w:ascii="Times New Roman" w:hAnsi="Times New Roman"/>
          <w:b/>
        </w:rPr>
        <w:t xml:space="preserve">  How do you respond?</w:t>
      </w:r>
      <w:r w:rsidRPr="00EB363E">
        <w:rPr>
          <w:rFonts w:ascii="Times New Roman" w:hAnsi="Times New Roman"/>
          <w:b/>
        </w:rPr>
        <w:t xml:space="preserve"> </w:t>
      </w:r>
    </w:p>
    <w:p w:rsidR="00082945" w:rsidRPr="00E12680" w:rsidRDefault="00EB363E" w:rsidP="0034595D">
      <w:pPr>
        <w:pStyle w:val="ListParagraph"/>
        <w:widowControl w:val="0"/>
        <w:suppressAutoHyphens/>
        <w:rPr>
          <w:rFonts w:ascii="Times New Roman" w:hAnsi="Times New Roman"/>
          <w:szCs w:val="24"/>
        </w:rPr>
      </w:pPr>
      <w:r w:rsidRPr="00EB363E">
        <w:rPr>
          <w:rFonts w:ascii="Times New Roman" w:hAnsi="Times New Roman"/>
        </w:rPr>
        <w:t>A.</w:t>
      </w:r>
      <w:r w:rsidRPr="00EB363E">
        <w:rPr>
          <w:rFonts w:ascii="Times New Roman" w:hAnsi="Times New Roman"/>
          <w:b/>
        </w:rPr>
        <w:tab/>
      </w:r>
      <w:r w:rsidR="00E12680">
        <w:rPr>
          <w:rFonts w:ascii="Times New Roman" w:hAnsi="Times New Roman"/>
        </w:rPr>
        <w:t>In support of his position, Mr. Watkins relies on a number of misleading and irrelevant assertions</w:t>
      </w:r>
      <w:r w:rsidR="00FC6C8C">
        <w:rPr>
          <w:rFonts w:ascii="Times New Roman" w:hAnsi="Times New Roman"/>
        </w:rPr>
        <w:t>,</w:t>
      </w:r>
      <w:r w:rsidR="007A1219">
        <w:rPr>
          <w:rFonts w:ascii="Times New Roman" w:hAnsi="Times New Roman"/>
        </w:rPr>
        <w:t xml:space="preserve"> most of which are inconsistent with policy and </w:t>
      </w:r>
      <w:r w:rsidR="002702D0">
        <w:rPr>
          <w:rFonts w:ascii="Times New Roman" w:hAnsi="Times New Roman"/>
        </w:rPr>
        <w:t xml:space="preserve">practice </w:t>
      </w:r>
      <w:r w:rsidR="007A1219">
        <w:rPr>
          <w:rFonts w:ascii="Times New Roman" w:hAnsi="Times New Roman"/>
        </w:rPr>
        <w:t>in Washington</w:t>
      </w:r>
      <w:r w:rsidR="00E12680">
        <w:rPr>
          <w:rFonts w:ascii="Times New Roman" w:hAnsi="Times New Roman"/>
        </w:rPr>
        <w:t xml:space="preserve">.  </w:t>
      </w:r>
      <w:r w:rsidR="007A1219">
        <w:rPr>
          <w:rFonts w:ascii="Times New Roman" w:hAnsi="Times New Roman"/>
        </w:rPr>
        <w:t xml:space="preserve">First, he </w:t>
      </w:r>
      <w:r w:rsidR="00F87BC1">
        <w:rPr>
          <w:rFonts w:ascii="Times New Roman" w:hAnsi="Times New Roman"/>
        </w:rPr>
        <w:t>argues that marginal cost</w:t>
      </w:r>
      <w:r w:rsidR="002702D0">
        <w:rPr>
          <w:rFonts w:ascii="Times New Roman" w:hAnsi="Times New Roman"/>
        </w:rPr>
        <w:t>s</w:t>
      </w:r>
      <w:r w:rsidR="00F87BC1">
        <w:rPr>
          <w:rFonts w:ascii="Times New Roman" w:hAnsi="Times New Roman"/>
        </w:rPr>
        <w:t xml:space="preserve"> should be </w:t>
      </w:r>
      <w:r w:rsidR="00735E9E">
        <w:rPr>
          <w:rFonts w:ascii="Times New Roman" w:hAnsi="Times New Roman"/>
        </w:rPr>
        <w:t>used to set the basic charge</w:t>
      </w:r>
      <w:r w:rsidR="002702D0">
        <w:rPr>
          <w:rFonts w:ascii="Times New Roman" w:hAnsi="Times New Roman"/>
        </w:rPr>
        <w:t>.</w:t>
      </w:r>
      <w:r w:rsidR="000C6708">
        <w:rPr>
          <w:rStyle w:val="FootnoteReference"/>
        </w:rPr>
        <w:footnoteReference w:id="17"/>
      </w:r>
      <w:r w:rsidR="002702D0">
        <w:rPr>
          <w:rFonts w:ascii="Times New Roman" w:hAnsi="Times New Roman"/>
        </w:rPr>
        <w:t xml:space="preserve"> </w:t>
      </w:r>
      <w:r w:rsidR="00F02012">
        <w:rPr>
          <w:rFonts w:ascii="Times New Roman" w:hAnsi="Times New Roman"/>
        </w:rPr>
        <w:t xml:space="preserve"> </w:t>
      </w:r>
      <w:r w:rsidR="00735E9E">
        <w:rPr>
          <w:rFonts w:ascii="Times New Roman" w:hAnsi="Times New Roman"/>
        </w:rPr>
        <w:t>However, since 1980, the Commission has only considered embedded cost studies when making rate spread and rate design decisions.</w:t>
      </w:r>
      <w:r w:rsidR="00735E9E" w:rsidRPr="00735E9E">
        <w:rPr>
          <w:rStyle w:val="FootnoteReference"/>
        </w:rPr>
        <w:footnoteReference w:id="18"/>
      </w:r>
      <w:r w:rsidR="00735E9E">
        <w:rPr>
          <w:rFonts w:ascii="Times New Roman" w:hAnsi="Times New Roman"/>
        </w:rPr>
        <w:t xml:space="preserve"> </w:t>
      </w:r>
      <w:r w:rsidR="00F02012">
        <w:rPr>
          <w:rFonts w:ascii="Times New Roman" w:hAnsi="Times New Roman"/>
        </w:rPr>
        <w:t xml:space="preserve"> </w:t>
      </w:r>
      <w:r w:rsidR="00FE0115">
        <w:rPr>
          <w:rFonts w:ascii="Times New Roman" w:hAnsi="Times New Roman"/>
        </w:rPr>
        <w:t>Mr. Watkins</w:t>
      </w:r>
      <w:r w:rsidR="009A181C">
        <w:rPr>
          <w:rFonts w:ascii="Times New Roman" w:hAnsi="Times New Roman"/>
        </w:rPr>
        <w:t>’s</w:t>
      </w:r>
      <w:r w:rsidR="00735E9E">
        <w:rPr>
          <w:rFonts w:ascii="Times New Roman" w:hAnsi="Times New Roman"/>
        </w:rPr>
        <w:t xml:space="preserve"> focus on marginal cost pricing is inconsistent with Commission precedent and is narrowly </w:t>
      </w:r>
      <w:r w:rsidR="009A181C">
        <w:rPr>
          <w:rFonts w:ascii="Times New Roman" w:hAnsi="Times New Roman"/>
        </w:rPr>
        <w:t xml:space="preserve">considered </w:t>
      </w:r>
      <w:r w:rsidR="004E0629">
        <w:rPr>
          <w:rFonts w:ascii="Times New Roman" w:hAnsi="Times New Roman"/>
        </w:rPr>
        <w:t>for</w:t>
      </w:r>
      <w:r w:rsidR="00735E9E">
        <w:rPr>
          <w:rFonts w:ascii="Times New Roman" w:hAnsi="Times New Roman"/>
        </w:rPr>
        <w:t xml:space="preserve"> only one pricing element—the residential customer charge.  Th</w:t>
      </w:r>
      <w:r w:rsidR="003E339C">
        <w:rPr>
          <w:rFonts w:ascii="Times New Roman" w:hAnsi="Times New Roman"/>
        </w:rPr>
        <w:t xml:space="preserve">is piecemeal </w:t>
      </w:r>
      <w:r w:rsidR="00735E9E">
        <w:rPr>
          <w:rFonts w:ascii="Times New Roman" w:hAnsi="Times New Roman"/>
        </w:rPr>
        <w:t xml:space="preserve">application ignores other potential </w:t>
      </w:r>
      <w:r w:rsidR="003E339C">
        <w:rPr>
          <w:rFonts w:ascii="Times New Roman" w:hAnsi="Times New Roman"/>
        </w:rPr>
        <w:t>outcomes</w:t>
      </w:r>
      <w:r w:rsidR="00735E9E">
        <w:rPr>
          <w:rFonts w:ascii="Times New Roman" w:hAnsi="Times New Roman"/>
        </w:rPr>
        <w:t xml:space="preserve"> for allocations and rates </w:t>
      </w:r>
      <w:r w:rsidR="003E339C">
        <w:rPr>
          <w:rFonts w:ascii="Times New Roman" w:hAnsi="Times New Roman"/>
        </w:rPr>
        <w:t xml:space="preserve">that could be implicated by a </w:t>
      </w:r>
      <w:r w:rsidR="00735E9E">
        <w:rPr>
          <w:rFonts w:ascii="Times New Roman" w:hAnsi="Times New Roman"/>
        </w:rPr>
        <w:t xml:space="preserve">marginal cost </w:t>
      </w:r>
      <w:r w:rsidR="003E339C">
        <w:rPr>
          <w:rFonts w:ascii="Times New Roman" w:hAnsi="Times New Roman"/>
        </w:rPr>
        <w:t xml:space="preserve">study and is therefore </w:t>
      </w:r>
      <w:r w:rsidR="00CB7064">
        <w:rPr>
          <w:rFonts w:ascii="Times New Roman" w:hAnsi="Times New Roman"/>
        </w:rPr>
        <w:t>not reasonable</w:t>
      </w:r>
      <w:r w:rsidR="003E339C">
        <w:rPr>
          <w:rFonts w:ascii="Times New Roman" w:hAnsi="Times New Roman"/>
        </w:rPr>
        <w:t xml:space="preserve">.  </w:t>
      </w:r>
      <w:r w:rsidR="00FA1084">
        <w:rPr>
          <w:rFonts w:ascii="Times New Roman" w:hAnsi="Times New Roman"/>
        </w:rPr>
        <w:t xml:space="preserve">It should </w:t>
      </w:r>
      <w:r w:rsidR="003E339C">
        <w:rPr>
          <w:rFonts w:ascii="Times New Roman" w:hAnsi="Times New Roman"/>
        </w:rPr>
        <w:t xml:space="preserve">also </w:t>
      </w:r>
      <w:r w:rsidR="00FA1084">
        <w:rPr>
          <w:rFonts w:ascii="Times New Roman" w:hAnsi="Times New Roman"/>
        </w:rPr>
        <w:t xml:space="preserve">be </w:t>
      </w:r>
      <w:r w:rsidR="003E339C">
        <w:rPr>
          <w:rFonts w:ascii="Times New Roman" w:hAnsi="Times New Roman"/>
        </w:rPr>
        <w:t>note</w:t>
      </w:r>
      <w:r w:rsidR="00FA1084">
        <w:rPr>
          <w:rFonts w:ascii="Times New Roman" w:hAnsi="Times New Roman"/>
        </w:rPr>
        <w:t>d</w:t>
      </w:r>
      <w:r w:rsidR="003E339C">
        <w:rPr>
          <w:rFonts w:ascii="Times New Roman" w:hAnsi="Times New Roman"/>
        </w:rPr>
        <w:t xml:space="preserve"> that the Company’s Oregon jurisdiction relies on marginal cost studies for setting rates</w:t>
      </w:r>
      <w:r w:rsidR="00CB7064">
        <w:rPr>
          <w:rFonts w:ascii="Times New Roman" w:hAnsi="Times New Roman"/>
        </w:rPr>
        <w:t>,</w:t>
      </w:r>
      <w:r w:rsidR="003E339C">
        <w:rPr>
          <w:rFonts w:ascii="Times New Roman" w:hAnsi="Times New Roman"/>
        </w:rPr>
        <w:t xml:space="preserve"> and the Company’s current residential basic charge in Oregon is $9.00</w:t>
      </w:r>
      <w:r w:rsidR="00CB7064">
        <w:rPr>
          <w:rFonts w:ascii="Times New Roman" w:hAnsi="Times New Roman"/>
        </w:rPr>
        <w:t>.  I</w:t>
      </w:r>
      <w:r w:rsidR="003E339C">
        <w:rPr>
          <w:rFonts w:ascii="Times New Roman" w:hAnsi="Times New Roman"/>
        </w:rPr>
        <w:t xml:space="preserve">n a recent rate case </w:t>
      </w:r>
      <w:r w:rsidR="00CB7064">
        <w:rPr>
          <w:rFonts w:ascii="Times New Roman" w:hAnsi="Times New Roman"/>
        </w:rPr>
        <w:t xml:space="preserve">all-party </w:t>
      </w:r>
      <w:r w:rsidR="003E339C">
        <w:rPr>
          <w:rFonts w:ascii="Times New Roman" w:hAnsi="Times New Roman"/>
        </w:rPr>
        <w:t xml:space="preserve">settlement stipulation </w:t>
      </w:r>
      <w:r w:rsidR="00CB7064">
        <w:rPr>
          <w:rFonts w:ascii="Times New Roman" w:hAnsi="Times New Roman"/>
        </w:rPr>
        <w:t xml:space="preserve">in Oregon, parties </w:t>
      </w:r>
      <w:r w:rsidR="003E339C">
        <w:rPr>
          <w:rFonts w:ascii="Times New Roman" w:hAnsi="Times New Roman"/>
        </w:rPr>
        <w:t>agree</w:t>
      </w:r>
      <w:r w:rsidR="00CB7064">
        <w:rPr>
          <w:rFonts w:ascii="Times New Roman" w:hAnsi="Times New Roman"/>
        </w:rPr>
        <w:t>d</w:t>
      </w:r>
      <w:r w:rsidR="003E339C">
        <w:rPr>
          <w:rFonts w:ascii="Times New Roman" w:hAnsi="Times New Roman"/>
        </w:rPr>
        <w:t xml:space="preserve"> to increase </w:t>
      </w:r>
      <w:r w:rsidR="000228E9">
        <w:rPr>
          <w:rFonts w:ascii="Times New Roman" w:hAnsi="Times New Roman"/>
        </w:rPr>
        <w:t>the basic charge</w:t>
      </w:r>
      <w:r w:rsidR="003E339C">
        <w:rPr>
          <w:rFonts w:ascii="Times New Roman" w:hAnsi="Times New Roman"/>
        </w:rPr>
        <w:t xml:space="preserve"> to $9.50 beginning January 1, 2014.  </w:t>
      </w:r>
    </w:p>
    <w:p w:rsidR="00F704FB" w:rsidRDefault="00F704FB" w:rsidP="00F704FB">
      <w:pPr>
        <w:pStyle w:val="testimony"/>
        <w:widowControl w:val="0"/>
        <w:tabs>
          <w:tab w:val="left" w:pos="1440"/>
        </w:tabs>
        <w:spacing w:line="480" w:lineRule="auto"/>
        <w:ind w:left="720" w:hanging="720"/>
      </w:pPr>
      <w:r>
        <w:rPr>
          <w:rFonts w:ascii="Times New Roman" w:hAnsi="Times New Roman"/>
          <w:b/>
        </w:rPr>
        <w:t>Q.</w:t>
      </w:r>
      <w:r>
        <w:rPr>
          <w:rFonts w:ascii="Times New Roman" w:hAnsi="Times New Roman"/>
          <w:b/>
        </w:rPr>
        <w:tab/>
      </w:r>
      <w:r w:rsidR="000228E9">
        <w:rPr>
          <w:rFonts w:ascii="Times New Roman" w:hAnsi="Times New Roman"/>
          <w:b/>
        </w:rPr>
        <w:t>Mr. Watkins</w:t>
      </w:r>
      <w:r>
        <w:rPr>
          <w:rFonts w:ascii="Times New Roman" w:hAnsi="Times New Roman"/>
          <w:b/>
        </w:rPr>
        <w:t xml:space="preserve"> exclude</w:t>
      </w:r>
      <w:r w:rsidR="0023392D">
        <w:rPr>
          <w:rFonts w:ascii="Times New Roman" w:hAnsi="Times New Roman"/>
          <w:b/>
        </w:rPr>
        <w:t>s</w:t>
      </w:r>
      <w:r>
        <w:rPr>
          <w:rFonts w:ascii="Times New Roman" w:hAnsi="Times New Roman"/>
          <w:b/>
        </w:rPr>
        <w:t xml:space="preserve"> corporate overhead costs from his calculation of a residential basic charge.</w:t>
      </w:r>
      <w:r w:rsidR="000C6708">
        <w:rPr>
          <w:rStyle w:val="FootnoteReference"/>
          <w:b/>
        </w:rPr>
        <w:footnoteReference w:id="19"/>
      </w:r>
      <w:r>
        <w:rPr>
          <w:rFonts w:ascii="Times New Roman" w:hAnsi="Times New Roman"/>
          <w:b/>
        </w:rPr>
        <w:t xml:space="preserve">  Do you agree that these costs should be excluded?</w:t>
      </w:r>
    </w:p>
    <w:p w:rsidR="003A5542" w:rsidRDefault="00F704FB" w:rsidP="00F704FB">
      <w:pPr>
        <w:pStyle w:val="testimony"/>
        <w:widowControl w:val="0"/>
        <w:tabs>
          <w:tab w:val="left" w:pos="1440"/>
        </w:tabs>
        <w:spacing w:line="480" w:lineRule="auto"/>
        <w:ind w:left="720" w:hanging="720"/>
        <w:rPr>
          <w:rFonts w:ascii="Times New Roman" w:hAnsi="Times New Roman"/>
        </w:rPr>
      </w:pPr>
      <w:r>
        <w:rPr>
          <w:rFonts w:ascii="Times New Roman" w:hAnsi="Times New Roman"/>
        </w:rPr>
        <w:t>A.</w:t>
      </w:r>
      <w:r>
        <w:rPr>
          <w:rFonts w:ascii="Times New Roman" w:hAnsi="Times New Roman"/>
        </w:rPr>
        <w:tab/>
        <w:t xml:space="preserve">No.  First, to be clear, the corporate overhead costs included in the customer charge calculation are only the portion of overhead costs that </w:t>
      </w:r>
      <w:r w:rsidR="0023392D">
        <w:rPr>
          <w:rFonts w:ascii="Times New Roman" w:hAnsi="Times New Roman"/>
        </w:rPr>
        <w:t xml:space="preserve">are </w:t>
      </w:r>
      <w:r>
        <w:rPr>
          <w:rFonts w:ascii="Times New Roman" w:hAnsi="Times New Roman"/>
        </w:rPr>
        <w:t xml:space="preserve">allocated to </w:t>
      </w:r>
      <w:r w:rsidR="0023392D">
        <w:rPr>
          <w:rFonts w:ascii="Times New Roman" w:hAnsi="Times New Roman"/>
        </w:rPr>
        <w:t xml:space="preserve">customer-related </w:t>
      </w:r>
      <w:r>
        <w:rPr>
          <w:rFonts w:ascii="Times New Roman" w:hAnsi="Times New Roman"/>
        </w:rPr>
        <w:t xml:space="preserve">distribution costs in the </w:t>
      </w:r>
      <w:r w:rsidR="0023392D">
        <w:rPr>
          <w:rFonts w:ascii="Times New Roman" w:hAnsi="Times New Roman"/>
        </w:rPr>
        <w:t xml:space="preserve">COS </w:t>
      </w:r>
      <w:r>
        <w:rPr>
          <w:rFonts w:ascii="Times New Roman" w:hAnsi="Times New Roman"/>
        </w:rPr>
        <w:t>study</w:t>
      </w:r>
      <w:r w:rsidR="0023392D">
        <w:rPr>
          <w:rFonts w:ascii="Times New Roman" w:hAnsi="Times New Roman"/>
        </w:rPr>
        <w:t xml:space="preserve">; they are not all overhead costs as may be inferred </w:t>
      </w:r>
      <w:r w:rsidR="009A181C">
        <w:rPr>
          <w:rFonts w:ascii="Times New Roman" w:hAnsi="Times New Roman"/>
        </w:rPr>
        <w:t xml:space="preserve">from </w:t>
      </w:r>
      <w:r w:rsidR="000228E9">
        <w:rPr>
          <w:rFonts w:ascii="Times New Roman" w:hAnsi="Times New Roman"/>
        </w:rPr>
        <w:t>Mr. Watkins</w:t>
      </w:r>
      <w:r w:rsidR="009A181C">
        <w:rPr>
          <w:rFonts w:ascii="Times New Roman" w:hAnsi="Times New Roman"/>
        </w:rPr>
        <w:t>’s</w:t>
      </w:r>
      <w:r w:rsidR="0023392D">
        <w:rPr>
          <w:rFonts w:ascii="Times New Roman" w:hAnsi="Times New Roman"/>
        </w:rPr>
        <w:t xml:space="preserve"> testimony</w:t>
      </w:r>
      <w:r>
        <w:rPr>
          <w:rFonts w:ascii="Times New Roman" w:hAnsi="Times New Roman"/>
        </w:rPr>
        <w:t xml:space="preserve">.  </w:t>
      </w:r>
      <w:r w:rsidR="00F85346">
        <w:rPr>
          <w:rFonts w:ascii="Times New Roman" w:hAnsi="Times New Roman"/>
        </w:rPr>
        <w:t>A</w:t>
      </w:r>
      <w:r w:rsidR="0023392D">
        <w:rPr>
          <w:rFonts w:ascii="Times New Roman" w:hAnsi="Times New Roman"/>
        </w:rPr>
        <w:t xml:space="preserve">s I previously mentioned, no party proposed changes to the COS study in this case. </w:t>
      </w:r>
    </w:p>
    <w:p w:rsidR="00F704FB" w:rsidRDefault="003A5542" w:rsidP="0034595D">
      <w:pPr>
        <w:pStyle w:val="testimony"/>
        <w:widowControl w:val="0"/>
        <w:tabs>
          <w:tab w:val="left" w:pos="1440"/>
        </w:tabs>
        <w:spacing w:line="480" w:lineRule="auto"/>
        <w:ind w:left="720" w:hanging="720"/>
        <w:rPr>
          <w:rFonts w:ascii="Times New Roman" w:hAnsi="Times New Roman"/>
          <w:b/>
        </w:rPr>
      </w:pPr>
      <w:r>
        <w:rPr>
          <w:rFonts w:ascii="Times New Roman" w:hAnsi="Times New Roman"/>
        </w:rPr>
        <w:tab/>
      </w:r>
      <w:r>
        <w:rPr>
          <w:rFonts w:ascii="Times New Roman" w:hAnsi="Times New Roman"/>
        </w:rPr>
        <w:tab/>
        <w:t>Second,</w:t>
      </w:r>
      <w:r w:rsidR="00F85346">
        <w:rPr>
          <w:rFonts w:ascii="Times New Roman" w:hAnsi="Times New Roman"/>
        </w:rPr>
        <w:t xml:space="preserve"> </w:t>
      </w:r>
      <w:r w:rsidR="000228E9">
        <w:rPr>
          <w:rFonts w:ascii="Times New Roman" w:hAnsi="Times New Roman"/>
        </w:rPr>
        <w:t>Mr. Watkins</w:t>
      </w:r>
      <w:r w:rsidR="00F85346">
        <w:rPr>
          <w:rFonts w:ascii="Times New Roman" w:hAnsi="Times New Roman"/>
        </w:rPr>
        <w:t>’s</w:t>
      </w:r>
      <w:r>
        <w:rPr>
          <w:rFonts w:ascii="Times New Roman" w:hAnsi="Times New Roman"/>
        </w:rPr>
        <w:t xml:space="preserve"> only rationale </w:t>
      </w:r>
      <w:r w:rsidR="003C52BD">
        <w:rPr>
          <w:rFonts w:ascii="Times New Roman" w:hAnsi="Times New Roman"/>
        </w:rPr>
        <w:t xml:space="preserve">for </w:t>
      </w:r>
      <w:r>
        <w:rPr>
          <w:rFonts w:ascii="Times New Roman" w:hAnsi="Times New Roman"/>
        </w:rPr>
        <w:t xml:space="preserve">removing these costs is </w:t>
      </w:r>
      <w:r w:rsidR="003C52BD">
        <w:rPr>
          <w:rFonts w:ascii="Times New Roman" w:hAnsi="Times New Roman"/>
        </w:rPr>
        <w:t xml:space="preserve">that </w:t>
      </w:r>
      <w:r>
        <w:rPr>
          <w:rFonts w:ascii="Times New Roman" w:hAnsi="Times New Roman"/>
        </w:rPr>
        <w:t xml:space="preserve">the Company is “in the business of providing electricity to meet the energy needs of its customers” and that “customers do not subscribe to PacifiCorp’s services simply to be </w:t>
      </w:r>
      <w:r w:rsidR="003C52BD">
        <w:rPr>
          <w:rFonts w:ascii="Times New Roman" w:hAnsi="Times New Roman"/>
        </w:rPr>
        <w:t>‘</w:t>
      </w:r>
      <w:r>
        <w:rPr>
          <w:rFonts w:ascii="Times New Roman" w:hAnsi="Times New Roman"/>
        </w:rPr>
        <w:t>connected</w:t>
      </w:r>
      <w:r w:rsidR="00FC6C8C">
        <w:rPr>
          <w:rFonts w:ascii="Times New Roman" w:hAnsi="Times New Roman"/>
        </w:rPr>
        <w:t>.</w:t>
      </w:r>
      <w:r w:rsidR="003C52BD">
        <w:rPr>
          <w:rFonts w:ascii="Times New Roman" w:hAnsi="Times New Roman"/>
        </w:rPr>
        <w:t>’</w:t>
      </w:r>
      <w:r>
        <w:rPr>
          <w:rFonts w:ascii="Times New Roman" w:hAnsi="Times New Roman"/>
        </w:rPr>
        <w:t>”</w:t>
      </w:r>
      <w:r w:rsidRPr="003A5542">
        <w:rPr>
          <w:rStyle w:val="FootnoteReference"/>
        </w:rPr>
        <w:footnoteReference w:id="20"/>
      </w:r>
      <w:r>
        <w:rPr>
          <w:rFonts w:ascii="Times New Roman" w:hAnsi="Times New Roman"/>
        </w:rPr>
        <w:t xml:space="preserve"> </w:t>
      </w:r>
      <w:r w:rsidR="0023392D">
        <w:rPr>
          <w:rFonts w:ascii="Times New Roman" w:hAnsi="Times New Roman"/>
        </w:rPr>
        <w:t xml:space="preserve"> </w:t>
      </w:r>
      <w:r>
        <w:rPr>
          <w:rFonts w:ascii="Times New Roman" w:hAnsi="Times New Roman"/>
        </w:rPr>
        <w:t xml:space="preserve">This is an inadequate rationale.  Overhead costs are a necessary part of doing business. </w:t>
      </w:r>
      <w:r w:rsidR="00F02012">
        <w:rPr>
          <w:rFonts w:ascii="Times New Roman" w:hAnsi="Times New Roman"/>
        </w:rPr>
        <w:t xml:space="preserve"> </w:t>
      </w:r>
      <w:r>
        <w:rPr>
          <w:rFonts w:ascii="Times New Roman" w:hAnsi="Times New Roman"/>
        </w:rPr>
        <w:t>The Company cannot provide electricity to customers unless they are connected.  The costs of connecting and serving those customers—through meters, services</w:t>
      </w:r>
      <w:r w:rsidR="00F02012">
        <w:rPr>
          <w:rFonts w:ascii="Times New Roman" w:hAnsi="Times New Roman"/>
        </w:rPr>
        <w:t>,</w:t>
      </w:r>
      <w:r>
        <w:rPr>
          <w:rFonts w:ascii="Times New Roman" w:hAnsi="Times New Roman"/>
        </w:rPr>
        <w:t xml:space="preserve"> and customer services—cannot exist without overhead costs.  </w:t>
      </w:r>
      <w:r w:rsidR="00283025">
        <w:rPr>
          <w:rFonts w:ascii="Times New Roman" w:hAnsi="Times New Roman"/>
        </w:rPr>
        <w:t>It is appropriate to include the allocated share of overhead costs for the elements included in the ca</w:t>
      </w:r>
      <w:r w:rsidR="00801861">
        <w:rPr>
          <w:rFonts w:ascii="Times New Roman" w:hAnsi="Times New Roman"/>
        </w:rPr>
        <w:t>lculation of the basic charge.</w:t>
      </w:r>
      <w:r w:rsidR="00F704FB">
        <w:rPr>
          <w:rFonts w:ascii="Times New Roman" w:hAnsi="Times New Roman"/>
        </w:rPr>
        <w:t xml:space="preserve"> </w:t>
      </w:r>
    </w:p>
    <w:p w:rsidR="002921E2" w:rsidRDefault="00F86633">
      <w:pPr>
        <w:pStyle w:val="testimony"/>
        <w:keepNext/>
        <w:tabs>
          <w:tab w:val="left" w:pos="1440"/>
        </w:tabs>
        <w:spacing w:line="480" w:lineRule="auto"/>
        <w:ind w:left="720" w:hanging="720"/>
      </w:pPr>
      <w:r>
        <w:rPr>
          <w:rFonts w:ascii="Times New Roman" w:hAnsi="Times New Roman"/>
          <w:b/>
        </w:rPr>
        <w:t>Q</w:t>
      </w:r>
      <w:r w:rsidR="00C30A6D">
        <w:rPr>
          <w:rFonts w:ascii="Times New Roman" w:hAnsi="Times New Roman"/>
          <w:b/>
        </w:rPr>
        <w:t>.</w:t>
      </w:r>
      <w:r>
        <w:rPr>
          <w:rFonts w:ascii="Times New Roman" w:hAnsi="Times New Roman"/>
          <w:b/>
        </w:rPr>
        <w:tab/>
      </w:r>
      <w:r w:rsidR="000228E9">
        <w:rPr>
          <w:rFonts w:ascii="Times New Roman" w:hAnsi="Times New Roman"/>
          <w:b/>
        </w:rPr>
        <w:t>Mr. Watkins</w:t>
      </w:r>
      <w:r w:rsidR="00F85346">
        <w:rPr>
          <w:rFonts w:ascii="Times New Roman" w:hAnsi="Times New Roman"/>
          <w:b/>
        </w:rPr>
        <w:t xml:space="preserve"> </w:t>
      </w:r>
      <w:r>
        <w:rPr>
          <w:rFonts w:ascii="Times New Roman" w:hAnsi="Times New Roman"/>
          <w:b/>
        </w:rPr>
        <w:t>asserts that “</w:t>
      </w:r>
      <w:r>
        <w:rPr>
          <w:b/>
        </w:rPr>
        <w:t>volumetric pricing promotes the fairest pricing mechanism to customers and to the utility</w:t>
      </w:r>
      <w:r w:rsidR="00E07190">
        <w:rPr>
          <w:b/>
        </w:rPr>
        <w:t>.</w:t>
      </w:r>
      <w:r>
        <w:rPr>
          <w:b/>
        </w:rPr>
        <w:t>”</w:t>
      </w:r>
      <w:r w:rsidR="00905F81" w:rsidRPr="00905F81">
        <w:rPr>
          <w:rStyle w:val="FootnoteReference"/>
          <w:b/>
        </w:rPr>
        <w:footnoteReference w:id="21"/>
      </w:r>
      <w:r>
        <w:rPr>
          <w:b/>
        </w:rPr>
        <w:t xml:space="preserve"> </w:t>
      </w:r>
      <w:r>
        <w:rPr>
          <w:rFonts w:ascii="Times New Roman" w:hAnsi="Times New Roman"/>
          <w:b/>
        </w:rPr>
        <w:t>Do you agree with his assertion?</w:t>
      </w:r>
    </w:p>
    <w:p w:rsidR="00D8764F" w:rsidRDefault="00F86633" w:rsidP="0034595D">
      <w:pPr>
        <w:pStyle w:val="testimony"/>
        <w:widowControl w:val="0"/>
        <w:tabs>
          <w:tab w:val="left" w:pos="1440"/>
        </w:tabs>
        <w:spacing w:line="480" w:lineRule="auto"/>
        <w:ind w:left="720" w:hanging="720"/>
      </w:pPr>
      <w:r>
        <w:rPr>
          <w:rFonts w:ascii="Times New Roman" w:hAnsi="Times New Roman"/>
        </w:rPr>
        <w:t>A</w:t>
      </w:r>
      <w:r w:rsidR="00C30A6D">
        <w:rPr>
          <w:rFonts w:ascii="Times New Roman" w:hAnsi="Times New Roman"/>
        </w:rPr>
        <w:t>.</w:t>
      </w:r>
      <w:r w:rsidR="00C30A6D">
        <w:rPr>
          <w:rFonts w:ascii="Times New Roman" w:hAnsi="Times New Roman"/>
        </w:rPr>
        <w:tab/>
      </w:r>
      <w:r>
        <w:rPr>
          <w:rFonts w:ascii="Times New Roman" w:hAnsi="Times New Roman"/>
        </w:rPr>
        <w:t xml:space="preserve">No. </w:t>
      </w:r>
      <w:r w:rsidR="00C30A6D">
        <w:rPr>
          <w:rFonts w:ascii="Times New Roman" w:hAnsi="Times New Roman"/>
        </w:rPr>
        <w:t xml:space="preserve"> </w:t>
      </w:r>
      <w:r>
        <w:rPr>
          <w:rFonts w:ascii="Times New Roman" w:hAnsi="Times New Roman"/>
        </w:rPr>
        <w:t xml:space="preserve">The </w:t>
      </w:r>
      <w:r w:rsidR="00BE14E3">
        <w:rPr>
          <w:rFonts w:ascii="Times New Roman" w:hAnsi="Times New Roman"/>
        </w:rPr>
        <w:t>basis for</w:t>
      </w:r>
      <w:r w:rsidR="00F85346">
        <w:rPr>
          <w:rFonts w:ascii="Times New Roman" w:hAnsi="Times New Roman"/>
        </w:rPr>
        <w:t xml:space="preserve"> </w:t>
      </w:r>
      <w:r w:rsidR="000228E9">
        <w:rPr>
          <w:rFonts w:ascii="Times New Roman" w:hAnsi="Times New Roman"/>
        </w:rPr>
        <w:t>Mr. Watkin</w:t>
      </w:r>
      <w:r w:rsidR="00F85346">
        <w:rPr>
          <w:rFonts w:ascii="Times New Roman" w:hAnsi="Times New Roman"/>
        </w:rPr>
        <w:t>’s</w:t>
      </w:r>
      <w:r w:rsidR="00BE14E3">
        <w:rPr>
          <w:rFonts w:ascii="Times New Roman" w:hAnsi="Times New Roman"/>
        </w:rPr>
        <w:t xml:space="preserve"> </w:t>
      </w:r>
      <w:r>
        <w:rPr>
          <w:rFonts w:ascii="Times New Roman" w:hAnsi="Times New Roman"/>
        </w:rPr>
        <w:t xml:space="preserve">assertion is the efficiency he assumes marginal cost pricing would produce, </w:t>
      </w:r>
      <w:r w:rsidR="004E0629">
        <w:rPr>
          <w:rFonts w:ascii="Times New Roman" w:hAnsi="Times New Roman"/>
        </w:rPr>
        <w:t xml:space="preserve">which he admits </w:t>
      </w:r>
      <w:r>
        <w:rPr>
          <w:rFonts w:ascii="Times New Roman" w:hAnsi="Times New Roman"/>
        </w:rPr>
        <w:t>ignores matters of equity.</w:t>
      </w:r>
      <w:r w:rsidR="003C52BD">
        <w:rPr>
          <w:rStyle w:val="FootnoteReference"/>
        </w:rPr>
        <w:footnoteReference w:id="22"/>
      </w:r>
      <w:r>
        <w:rPr>
          <w:rFonts w:ascii="Times New Roman" w:hAnsi="Times New Roman"/>
        </w:rPr>
        <w:t xml:space="preserve"> </w:t>
      </w:r>
      <w:r w:rsidR="00C30A6D">
        <w:rPr>
          <w:rFonts w:ascii="Times New Roman" w:hAnsi="Times New Roman"/>
        </w:rPr>
        <w:t xml:space="preserve"> </w:t>
      </w:r>
      <w:r>
        <w:rPr>
          <w:rFonts w:ascii="Times New Roman" w:hAnsi="Times New Roman"/>
        </w:rPr>
        <w:t xml:space="preserve">If the Company is required to further increase its energy charges to compensate for a lower increase to its basic charge, any benefits residential customers would be able to derive will not be equitably distributed among residential customers. </w:t>
      </w:r>
      <w:r w:rsidR="00801861">
        <w:rPr>
          <w:rFonts w:ascii="Times New Roman" w:hAnsi="Times New Roman"/>
        </w:rPr>
        <w:t xml:space="preserve"> </w:t>
      </w:r>
      <w:r>
        <w:rPr>
          <w:rFonts w:ascii="Times New Roman" w:hAnsi="Times New Roman"/>
        </w:rPr>
        <w:t xml:space="preserve">Households with lower energy usage </w:t>
      </w:r>
      <w:r w:rsidR="00C30A6D">
        <w:rPr>
          <w:rFonts w:ascii="Times New Roman" w:hAnsi="Times New Roman"/>
        </w:rPr>
        <w:t xml:space="preserve">would be </w:t>
      </w:r>
      <w:r>
        <w:rPr>
          <w:rFonts w:ascii="Times New Roman" w:hAnsi="Times New Roman"/>
        </w:rPr>
        <w:t>subsidized</w:t>
      </w:r>
      <w:r w:rsidR="00C30A6D">
        <w:rPr>
          <w:rFonts w:ascii="Times New Roman" w:hAnsi="Times New Roman"/>
        </w:rPr>
        <w:t xml:space="preserve"> by households with higher energy usage</w:t>
      </w:r>
      <w:r>
        <w:rPr>
          <w:rFonts w:ascii="Times New Roman" w:hAnsi="Times New Roman"/>
        </w:rPr>
        <w:t>.</w:t>
      </w:r>
      <w:r w:rsidR="00FC6C8C">
        <w:rPr>
          <w:rFonts w:ascii="Times New Roman" w:hAnsi="Times New Roman"/>
        </w:rPr>
        <w:t xml:space="preserve"> </w:t>
      </w:r>
      <w:r>
        <w:rPr>
          <w:rFonts w:ascii="Times New Roman" w:hAnsi="Times New Roman"/>
        </w:rPr>
        <w:t xml:space="preserve"> </w:t>
      </w:r>
      <w:r>
        <w:t xml:space="preserve">A cost-based </w:t>
      </w:r>
    </w:p>
    <w:p w:rsidR="00D8764F" w:rsidRDefault="00D8764F" w:rsidP="00D8764F">
      <w:pPr>
        <w:pStyle w:val="testimony"/>
        <w:widowControl w:val="0"/>
        <w:suppressLineNumbers/>
        <w:tabs>
          <w:tab w:val="left" w:pos="1440"/>
        </w:tabs>
        <w:spacing w:line="480" w:lineRule="auto"/>
        <w:ind w:left="720" w:hanging="720"/>
      </w:pPr>
    </w:p>
    <w:p w:rsidR="00F86633" w:rsidRDefault="00D8764F" w:rsidP="0034595D">
      <w:pPr>
        <w:pStyle w:val="testimony"/>
        <w:widowControl w:val="0"/>
        <w:tabs>
          <w:tab w:val="left" w:pos="1440"/>
        </w:tabs>
        <w:spacing w:line="480" w:lineRule="auto"/>
        <w:ind w:left="720" w:hanging="720"/>
      </w:pPr>
      <w:r>
        <w:tab/>
      </w:r>
      <w:r w:rsidR="00F86633">
        <w:t>residential basic charge will reduce intra-class subsidization and ensure that fixed costs are fairly recovered from all customers.</w:t>
      </w:r>
    </w:p>
    <w:p w:rsidR="00F86633" w:rsidRDefault="00F86633" w:rsidP="0034595D">
      <w:pPr>
        <w:pStyle w:val="testimony"/>
        <w:widowControl w:val="0"/>
        <w:tabs>
          <w:tab w:val="left" w:pos="1440"/>
        </w:tabs>
        <w:spacing w:line="480" w:lineRule="auto"/>
        <w:ind w:left="720" w:hanging="720"/>
        <w:rPr>
          <w:rFonts w:ascii="Times New Roman" w:hAnsi="Times New Roman"/>
        </w:rPr>
      </w:pPr>
      <w:r>
        <w:rPr>
          <w:rFonts w:ascii="Times New Roman" w:hAnsi="Times New Roman"/>
          <w:b/>
        </w:rPr>
        <w:t>Q</w:t>
      </w:r>
      <w:r w:rsidR="009822F6">
        <w:rPr>
          <w:rFonts w:ascii="Times New Roman" w:hAnsi="Times New Roman"/>
          <w:b/>
        </w:rPr>
        <w:t>.</w:t>
      </w:r>
      <w:r>
        <w:rPr>
          <w:rFonts w:ascii="Times New Roman" w:hAnsi="Times New Roman"/>
          <w:b/>
        </w:rPr>
        <w:tab/>
        <w:t xml:space="preserve">Mr. Watkins uses </w:t>
      </w:r>
      <w:r>
        <w:rPr>
          <w:b/>
        </w:rPr>
        <w:t>the F</w:t>
      </w:r>
      <w:r w:rsidR="00F27338">
        <w:rPr>
          <w:b/>
        </w:rPr>
        <w:t xml:space="preserve">ederal </w:t>
      </w:r>
      <w:r>
        <w:rPr>
          <w:b/>
        </w:rPr>
        <w:t>E</w:t>
      </w:r>
      <w:r w:rsidR="00F27338">
        <w:rPr>
          <w:b/>
        </w:rPr>
        <w:t xml:space="preserve">nergy </w:t>
      </w:r>
      <w:r>
        <w:rPr>
          <w:b/>
        </w:rPr>
        <w:t>R</w:t>
      </w:r>
      <w:r w:rsidR="00F27338">
        <w:rPr>
          <w:b/>
        </w:rPr>
        <w:t xml:space="preserve">egulatory </w:t>
      </w:r>
      <w:r>
        <w:rPr>
          <w:b/>
        </w:rPr>
        <w:t>C</w:t>
      </w:r>
      <w:r w:rsidR="00F27338">
        <w:rPr>
          <w:b/>
        </w:rPr>
        <w:t>ommission</w:t>
      </w:r>
      <w:r>
        <w:rPr>
          <w:b/>
        </w:rPr>
        <w:t>’s</w:t>
      </w:r>
      <w:r w:rsidR="00F27338">
        <w:rPr>
          <w:b/>
        </w:rPr>
        <w:t xml:space="preserve"> (FERC)</w:t>
      </w:r>
      <w:r>
        <w:rPr>
          <w:b/>
        </w:rPr>
        <w:t xml:space="preserve"> adoption of a “Straight Fixed Variable” (SFV) pricing method </w:t>
      </w:r>
      <w:r w:rsidR="0089120C">
        <w:rPr>
          <w:b/>
        </w:rPr>
        <w:t>in Order 636</w:t>
      </w:r>
      <w:r w:rsidR="00F02012">
        <w:rPr>
          <w:b/>
        </w:rPr>
        <w:t>, which was intended</w:t>
      </w:r>
      <w:r w:rsidR="0089120C">
        <w:rPr>
          <w:b/>
        </w:rPr>
        <w:t xml:space="preserve"> </w:t>
      </w:r>
      <w:r>
        <w:rPr>
          <w:b/>
        </w:rPr>
        <w:t xml:space="preserve">for natural gas transmission pipeline </w:t>
      </w:r>
      <w:r w:rsidR="005619A7">
        <w:rPr>
          <w:b/>
        </w:rPr>
        <w:t>companies</w:t>
      </w:r>
      <w:r w:rsidR="00F02012">
        <w:rPr>
          <w:b/>
        </w:rPr>
        <w:t>,</w:t>
      </w:r>
      <w:r w:rsidR="005619A7">
        <w:rPr>
          <w:b/>
        </w:rPr>
        <w:t xml:space="preserve"> </w:t>
      </w:r>
      <w:r>
        <w:rPr>
          <w:b/>
        </w:rPr>
        <w:t>to suggest that the Company’s proposed rate structure could hinder energy efficiency goals.</w:t>
      </w:r>
      <w:r w:rsidR="003C52BD">
        <w:rPr>
          <w:rStyle w:val="FootnoteReference"/>
          <w:b/>
        </w:rPr>
        <w:footnoteReference w:id="23"/>
      </w:r>
      <w:r>
        <w:rPr>
          <w:b/>
        </w:rPr>
        <w:t xml:space="preserve"> </w:t>
      </w:r>
      <w:r w:rsidR="00FC6C8C">
        <w:rPr>
          <w:b/>
        </w:rPr>
        <w:t xml:space="preserve"> </w:t>
      </w:r>
      <w:r>
        <w:rPr>
          <w:b/>
        </w:rPr>
        <w:t xml:space="preserve">Do you agree </w:t>
      </w:r>
      <w:r w:rsidR="001434AF">
        <w:rPr>
          <w:b/>
        </w:rPr>
        <w:t>that this is an appropriate comparison</w:t>
      </w:r>
      <w:r>
        <w:rPr>
          <w:b/>
        </w:rPr>
        <w:t>?</w:t>
      </w:r>
    </w:p>
    <w:p w:rsidR="00FD2ED3" w:rsidRDefault="001434AF" w:rsidP="0034595D">
      <w:pPr>
        <w:pStyle w:val="testimony"/>
        <w:widowControl w:val="0"/>
        <w:numPr>
          <w:ilvl w:val="0"/>
          <w:numId w:val="30"/>
        </w:numPr>
        <w:tabs>
          <w:tab w:val="left" w:pos="1440"/>
        </w:tabs>
        <w:spacing w:line="480" w:lineRule="auto"/>
        <w:ind w:hanging="720"/>
        <w:rPr>
          <w:rFonts w:ascii="Times New Roman" w:hAnsi="Times New Roman"/>
        </w:rPr>
      </w:pPr>
      <w:r w:rsidRPr="00FD2ED3">
        <w:rPr>
          <w:rFonts w:ascii="Times New Roman" w:hAnsi="Times New Roman"/>
        </w:rPr>
        <w:t xml:space="preserve">No.  </w:t>
      </w:r>
      <w:r w:rsidR="000243A7">
        <w:rPr>
          <w:rFonts w:ascii="Times New Roman" w:hAnsi="Times New Roman"/>
        </w:rPr>
        <w:t xml:space="preserve">This comparison is irrelevant for many reasons.  </w:t>
      </w:r>
      <w:r w:rsidRPr="00FD2ED3">
        <w:rPr>
          <w:rFonts w:ascii="Times New Roman" w:hAnsi="Times New Roman"/>
        </w:rPr>
        <w:t xml:space="preserve">First, the Company did not propose a </w:t>
      </w:r>
      <w:r w:rsidR="000228E9">
        <w:rPr>
          <w:rFonts w:ascii="Times New Roman" w:hAnsi="Times New Roman"/>
        </w:rPr>
        <w:t>SFV</w:t>
      </w:r>
      <w:r w:rsidRPr="00FD2ED3">
        <w:rPr>
          <w:rFonts w:ascii="Times New Roman" w:hAnsi="Times New Roman"/>
        </w:rPr>
        <w:t xml:space="preserve"> pricing structure</w:t>
      </w:r>
      <w:r w:rsidR="007E33C9">
        <w:rPr>
          <w:rFonts w:ascii="Times New Roman" w:hAnsi="Times New Roman"/>
        </w:rPr>
        <w:t xml:space="preserve">.  </w:t>
      </w:r>
      <w:r w:rsidR="004E0629">
        <w:rPr>
          <w:rFonts w:ascii="Times New Roman" w:hAnsi="Times New Roman"/>
        </w:rPr>
        <w:t>T</w:t>
      </w:r>
      <w:r w:rsidRPr="00FD2ED3">
        <w:rPr>
          <w:rFonts w:ascii="Times New Roman" w:hAnsi="Times New Roman"/>
        </w:rPr>
        <w:t>he Company</w:t>
      </w:r>
      <w:r w:rsidR="00DC6016" w:rsidRPr="00FD2ED3">
        <w:rPr>
          <w:rFonts w:ascii="Times New Roman" w:hAnsi="Times New Roman"/>
        </w:rPr>
        <w:t xml:space="preserve"> is </w:t>
      </w:r>
      <w:r w:rsidR="006176EE" w:rsidRPr="00FD2ED3">
        <w:rPr>
          <w:rFonts w:ascii="Times New Roman" w:hAnsi="Times New Roman"/>
        </w:rPr>
        <w:t xml:space="preserve">merely </w:t>
      </w:r>
      <w:r w:rsidR="00DC6016" w:rsidRPr="00FD2ED3">
        <w:rPr>
          <w:rFonts w:ascii="Times New Roman" w:hAnsi="Times New Roman"/>
        </w:rPr>
        <w:t xml:space="preserve">proposing an increase in the residential basic charge to </w:t>
      </w:r>
      <w:r w:rsidR="00472998" w:rsidRPr="00FD2ED3">
        <w:rPr>
          <w:rFonts w:ascii="Times New Roman" w:hAnsi="Times New Roman"/>
        </w:rPr>
        <w:t xml:space="preserve">better reflect </w:t>
      </w:r>
      <w:r w:rsidR="00CC788B">
        <w:rPr>
          <w:rFonts w:ascii="Times New Roman" w:hAnsi="Times New Roman"/>
        </w:rPr>
        <w:t xml:space="preserve">customer-related </w:t>
      </w:r>
      <w:r w:rsidR="00472998" w:rsidRPr="00FD2ED3">
        <w:rPr>
          <w:rFonts w:ascii="Times New Roman" w:hAnsi="Times New Roman"/>
        </w:rPr>
        <w:t>fixed costs</w:t>
      </w:r>
      <w:r w:rsidR="009822F6" w:rsidRPr="00FD2ED3">
        <w:rPr>
          <w:rFonts w:ascii="Times New Roman" w:hAnsi="Times New Roman"/>
        </w:rPr>
        <w:t>.  A</w:t>
      </w:r>
      <w:r w:rsidR="000228E9">
        <w:rPr>
          <w:rFonts w:ascii="Times New Roman" w:hAnsi="Times New Roman"/>
        </w:rPr>
        <w:t> </w:t>
      </w:r>
      <w:r w:rsidR="00472998" w:rsidRPr="00FD2ED3">
        <w:rPr>
          <w:rFonts w:ascii="Times New Roman" w:hAnsi="Times New Roman"/>
        </w:rPr>
        <w:t xml:space="preserve">SFV pricing structure would </w:t>
      </w:r>
      <w:r w:rsidR="00DB0D45" w:rsidRPr="00FD2ED3">
        <w:rPr>
          <w:rFonts w:ascii="Times New Roman" w:hAnsi="Times New Roman"/>
        </w:rPr>
        <w:t xml:space="preserve">result in a </w:t>
      </w:r>
      <w:r w:rsidR="00472998" w:rsidRPr="00FD2ED3">
        <w:rPr>
          <w:rFonts w:ascii="Times New Roman" w:hAnsi="Times New Roman"/>
        </w:rPr>
        <w:t xml:space="preserve">considerably </w:t>
      </w:r>
      <w:r w:rsidR="00DB0D45" w:rsidRPr="00FD2ED3">
        <w:rPr>
          <w:rFonts w:ascii="Times New Roman" w:hAnsi="Times New Roman"/>
        </w:rPr>
        <w:t>larger fixed customer charge component</w:t>
      </w:r>
      <w:r w:rsidR="009822F6" w:rsidRPr="00FD2ED3">
        <w:rPr>
          <w:rFonts w:ascii="Times New Roman" w:hAnsi="Times New Roman"/>
        </w:rPr>
        <w:t xml:space="preserve"> than the Company’s initial proposal of $10</w:t>
      </w:r>
      <w:r w:rsidR="00FC6C8C">
        <w:rPr>
          <w:rFonts w:ascii="Times New Roman" w:hAnsi="Times New Roman"/>
        </w:rPr>
        <w:t>.00</w:t>
      </w:r>
      <w:r w:rsidR="009822F6" w:rsidRPr="00FD2ED3">
        <w:rPr>
          <w:rFonts w:ascii="Times New Roman" w:hAnsi="Times New Roman"/>
        </w:rPr>
        <w:t>,</w:t>
      </w:r>
      <w:r w:rsidR="00DB0D45" w:rsidRPr="00FD2ED3">
        <w:rPr>
          <w:rFonts w:ascii="Times New Roman" w:hAnsi="Times New Roman"/>
        </w:rPr>
        <w:t xml:space="preserve"> after taking into account all generation, transmission and dist</w:t>
      </w:r>
      <w:r w:rsidR="009822F6" w:rsidRPr="00FD2ED3">
        <w:rPr>
          <w:rFonts w:ascii="Times New Roman" w:hAnsi="Times New Roman"/>
        </w:rPr>
        <w:t>ribution related fixed costs.</w:t>
      </w:r>
      <w:r w:rsidR="005B0DA8">
        <w:rPr>
          <w:rFonts w:ascii="Times New Roman" w:hAnsi="Times New Roman"/>
        </w:rPr>
        <w:t xml:space="preserve">  In the Company’s proposed rates in this case, the </w:t>
      </w:r>
      <w:r w:rsidR="004026C4">
        <w:rPr>
          <w:rFonts w:ascii="Times New Roman" w:hAnsi="Times New Roman"/>
        </w:rPr>
        <w:t xml:space="preserve">vast </w:t>
      </w:r>
      <w:r w:rsidR="005B0DA8">
        <w:rPr>
          <w:rFonts w:ascii="Times New Roman" w:hAnsi="Times New Roman"/>
        </w:rPr>
        <w:t>majority of these costs</w:t>
      </w:r>
      <w:r w:rsidR="00F85346">
        <w:rPr>
          <w:rFonts w:ascii="Times New Roman" w:hAnsi="Times New Roman"/>
        </w:rPr>
        <w:t>—</w:t>
      </w:r>
      <w:r w:rsidR="004026C4">
        <w:rPr>
          <w:rFonts w:ascii="Times New Roman" w:hAnsi="Times New Roman"/>
        </w:rPr>
        <w:t>over 90</w:t>
      </w:r>
      <w:r w:rsidR="000228E9">
        <w:rPr>
          <w:rFonts w:ascii="Times New Roman" w:hAnsi="Times New Roman"/>
        </w:rPr>
        <w:t> </w:t>
      </w:r>
      <w:r w:rsidR="00F85346">
        <w:rPr>
          <w:rFonts w:ascii="Times New Roman" w:hAnsi="Times New Roman"/>
        </w:rPr>
        <w:t>percent—will</w:t>
      </w:r>
      <w:r w:rsidR="005B0DA8">
        <w:rPr>
          <w:rFonts w:ascii="Times New Roman" w:hAnsi="Times New Roman"/>
        </w:rPr>
        <w:t xml:space="preserve"> continue to be collected through volumetric prices.  Second, </w:t>
      </w:r>
      <w:r w:rsidR="007E33C9">
        <w:rPr>
          <w:rFonts w:ascii="Times New Roman" w:hAnsi="Times New Roman"/>
        </w:rPr>
        <w:t xml:space="preserve">the purpose of </w:t>
      </w:r>
      <w:r w:rsidR="00CD333A" w:rsidRPr="00FD2ED3">
        <w:rPr>
          <w:rFonts w:ascii="Times New Roman" w:hAnsi="Times New Roman"/>
        </w:rPr>
        <w:t>FERC</w:t>
      </w:r>
      <w:r w:rsidR="005054B4" w:rsidRPr="00FD2ED3">
        <w:rPr>
          <w:rFonts w:ascii="Times New Roman" w:hAnsi="Times New Roman"/>
        </w:rPr>
        <w:t>’s</w:t>
      </w:r>
      <w:r w:rsidR="00CD333A" w:rsidRPr="00FD2ED3">
        <w:rPr>
          <w:rFonts w:ascii="Times New Roman" w:hAnsi="Times New Roman"/>
        </w:rPr>
        <w:t xml:space="preserve"> adopt</w:t>
      </w:r>
      <w:r w:rsidR="005054B4" w:rsidRPr="00FD2ED3">
        <w:rPr>
          <w:rFonts w:ascii="Times New Roman" w:hAnsi="Times New Roman"/>
        </w:rPr>
        <w:t>ion of</w:t>
      </w:r>
      <w:r w:rsidR="00CD333A" w:rsidRPr="00FD2ED3">
        <w:rPr>
          <w:rFonts w:ascii="Times New Roman" w:hAnsi="Times New Roman"/>
        </w:rPr>
        <w:t xml:space="preserve"> SFV </w:t>
      </w:r>
      <w:r w:rsidR="005054B4" w:rsidRPr="00FD2ED3">
        <w:rPr>
          <w:rFonts w:ascii="Times New Roman" w:hAnsi="Times New Roman"/>
        </w:rPr>
        <w:t>for</w:t>
      </w:r>
      <w:r w:rsidR="00AA11A4">
        <w:rPr>
          <w:rFonts w:ascii="Times New Roman" w:hAnsi="Times New Roman"/>
        </w:rPr>
        <w:t xml:space="preserve"> pipeline companies </w:t>
      </w:r>
      <w:r w:rsidR="005B0DA8">
        <w:rPr>
          <w:rFonts w:ascii="Times New Roman" w:hAnsi="Times New Roman"/>
        </w:rPr>
        <w:t xml:space="preserve">was to </w:t>
      </w:r>
      <w:r w:rsidR="00CC788B">
        <w:rPr>
          <w:rFonts w:ascii="Times New Roman" w:hAnsi="Times New Roman"/>
        </w:rPr>
        <w:t xml:space="preserve">eliminate potential distortions in pipeline rate structures </w:t>
      </w:r>
      <w:r w:rsidR="00F4523B">
        <w:rPr>
          <w:rFonts w:ascii="Times New Roman" w:hAnsi="Times New Roman"/>
        </w:rPr>
        <w:t xml:space="preserve">and </w:t>
      </w:r>
      <w:r w:rsidR="005054B4" w:rsidRPr="00FD2ED3">
        <w:rPr>
          <w:rFonts w:ascii="Times New Roman" w:hAnsi="Times New Roman"/>
        </w:rPr>
        <w:t>stimulate competition at the wellhead</w:t>
      </w:r>
      <w:r w:rsidR="00F4523B">
        <w:rPr>
          <w:rFonts w:ascii="Times New Roman" w:hAnsi="Times New Roman"/>
        </w:rPr>
        <w:t xml:space="preserve"> for a national gas market. </w:t>
      </w:r>
      <w:r w:rsidR="000228E9">
        <w:rPr>
          <w:rFonts w:ascii="Times New Roman" w:hAnsi="Times New Roman"/>
        </w:rPr>
        <w:t xml:space="preserve"> </w:t>
      </w:r>
      <w:r w:rsidR="00F4523B">
        <w:rPr>
          <w:rFonts w:ascii="Times New Roman" w:hAnsi="Times New Roman"/>
        </w:rPr>
        <w:t xml:space="preserve">FERC’s action </w:t>
      </w:r>
      <w:r w:rsidR="003807B0">
        <w:rPr>
          <w:rFonts w:ascii="Times New Roman" w:hAnsi="Times New Roman"/>
        </w:rPr>
        <w:t xml:space="preserve">for natural gas pipelines is simply not analogous to </w:t>
      </w:r>
      <w:r w:rsidR="00F4523B">
        <w:rPr>
          <w:rFonts w:ascii="Times New Roman" w:hAnsi="Times New Roman"/>
        </w:rPr>
        <w:t xml:space="preserve">electric </w:t>
      </w:r>
      <w:r w:rsidR="005054B4" w:rsidRPr="00FD2ED3">
        <w:rPr>
          <w:rFonts w:ascii="Times New Roman" w:hAnsi="Times New Roman"/>
        </w:rPr>
        <w:t xml:space="preserve">residential </w:t>
      </w:r>
      <w:r w:rsidR="00F4523B">
        <w:rPr>
          <w:rFonts w:ascii="Times New Roman" w:hAnsi="Times New Roman"/>
        </w:rPr>
        <w:t xml:space="preserve">consumers and </w:t>
      </w:r>
      <w:r w:rsidR="005054B4" w:rsidRPr="00FD2ED3">
        <w:rPr>
          <w:rFonts w:ascii="Times New Roman" w:hAnsi="Times New Roman"/>
        </w:rPr>
        <w:t>rate</w:t>
      </w:r>
      <w:r w:rsidR="00981285" w:rsidRPr="00FD2ED3">
        <w:rPr>
          <w:rFonts w:ascii="Times New Roman" w:hAnsi="Times New Roman"/>
        </w:rPr>
        <w:t>s</w:t>
      </w:r>
      <w:r w:rsidR="005054B4" w:rsidRPr="00FD2ED3">
        <w:rPr>
          <w:rFonts w:ascii="Times New Roman" w:hAnsi="Times New Roman"/>
        </w:rPr>
        <w:t xml:space="preserve">.  </w:t>
      </w:r>
      <w:r w:rsidR="00981285" w:rsidRPr="00FD2ED3">
        <w:rPr>
          <w:rFonts w:ascii="Times New Roman" w:hAnsi="Times New Roman"/>
        </w:rPr>
        <w:t xml:space="preserve">The purchasing </w:t>
      </w:r>
      <w:r w:rsidR="00F4523B" w:rsidRPr="00FD2ED3">
        <w:rPr>
          <w:rFonts w:ascii="Times New Roman" w:hAnsi="Times New Roman"/>
        </w:rPr>
        <w:t xml:space="preserve">decisions by gas transportation customers and residential </w:t>
      </w:r>
      <w:r w:rsidR="00F4523B">
        <w:rPr>
          <w:rFonts w:ascii="Times New Roman" w:hAnsi="Times New Roman"/>
        </w:rPr>
        <w:t xml:space="preserve">electricity </w:t>
      </w:r>
      <w:r w:rsidR="00F4523B" w:rsidRPr="00FD2ED3">
        <w:rPr>
          <w:rFonts w:ascii="Times New Roman" w:hAnsi="Times New Roman"/>
        </w:rPr>
        <w:t xml:space="preserve">customers </w:t>
      </w:r>
      <w:r w:rsidR="00F4523B">
        <w:rPr>
          <w:rFonts w:ascii="Times New Roman" w:hAnsi="Times New Roman"/>
        </w:rPr>
        <w:t xml:space="preserve">are </w:t>
      </w:r>
      <w:r w:rsidR="00981285" w:rsidRPr="00FD2ED3">
        <w:rPr>
          <w:rFonts w:ascii="Times New Roman" w:hAnsi="Times New Roman"/>
        </w:rPr>
        <w:t xml:space="preserve">very different in scale and scope.  </w:t>
      </w:r>
    </w:p>
    <w:p w:rsidR="00D8764F" w:rsidRPr="00FD2ED3" w:rsidRDefault="00D8764F" w:rsidP="00D8764F">
      <w:pPr>
        <w:pStyle w:val="testimony"/>
        <w:widowControl w:val="0"/>
        <w:suppressLineNumbers/>
        <w:tabs>
          <w:tab w:val="left" w:pos="1440"/>
        </w:tabs>
        <w:spacing w:line="480" w:lineRule="auto"/>
        <w:ind w:left="720" w:firstLine="0"/>
        <w:rPr>
          <w:rFonts w:ascii="Times New Roman" w:hAnsi="Times New Roman"/>
        </w:rPr>
      </w:pPr>
    </w:p>
    <w:p w:rsidR="00F86633" w:rsidRDefault="00F86633" w:rsidP="0034595D">
      <w:pPr>
        <w:pStyle w:val="Answer-Testimony"/>
        <w:rPr>
          <w:b/>
        </w:rPr>
      </w:pPr>
      <w:r>
        <w:rPr>
          <w:b/>
        </w:rPr>
        <w:t>Q</w:t>
      </w:r>
      <w:r w:rsidR="00FD2ED3">
        <w:rPr>
          <w:b/>
        </w:rPr>
        <w:t>.</w:t>
      </w:r>
      <w:r>
        <w:rPr>
          <w:b/>
        </w:rPr>
        <w:tab/>
      </w:r>
      <w:r w:rsidR="000228E9">
        <w:rPr>
          <w:b/>
        </w:rPr>
        <w:t>Mr. Watkins</w:t>
      </w:r>
      <w:r>
        <w:rPr>
          <w:b/>
        </w:rPr>
        <w:t xml:space="preserve"> provides the example of competitive electric rates in Texas in an attempt to show that competition leads to an increased emphasis on volumetric rates.</w:t>
      </w:r>
      <w:r w:rsidR="003C52BD">
        <w:rPr>
          <w:rStyle w:val="FootnoteReference"/>
          <w:b/>
        </w:rPr>
        <w:footnoteReference w:id="24"/>
      </w:r>
      <w:r>
        <w:rPr>
          <w:b/>
        </w:rPr>
        <w:t xml:space="preserve"> </w:t>
      </w:r>
      <w:r w:rsidR="00F02012">
        <w:rPr>
          <w:b/>
        </w:rPr>
        <w:t xml:space="preserve"> </w:t>
      </w:r>
      <w:r>
        <w:rPr>
          <w:b/>
        </w:rPr>
        <w:t xml:space="preserve">Do you think this is relevant to the </w:t>
      </w:r>
      <w:r w:rsidR="004B3BD5">
        <w:rPr>
          <w:b/>
        </w:rPr>
        <w:t xml:space="preserve">Company’s proposed </w:t>
      </w:r>
      <w:r>
        <w:rPr>
          <w:b/>
        </w:rPr>
        <w:t>price structure?</w:t>
      </w:r>
    </w:p>
    <w:p w:rsidR="002921E2" w:rsidRDefault="00F86633">
      <w:pPr>
        <w:pStyle w:val="testimony"/>
        <w:tabs>
          <w:tab w:val="left" w:pos="1440"/>
        </w:tabs>
        <w:spacing w:line="480" w:lineRule="auto"/>
        <w:ind w:left="720" w:hanging="720"/>
        <w:rPr>
          <w:rFonts w:ascii="Times New Roman" w:hAnsi="Times New Roman"/>
        </w:rPr>
      </w:pPr>
      <w:r>
        <w:rPr>
          <w:rFonts w:ascii="Times New Roman" w:hAnsi="Times New Roman"/>
        </w:rPr>
        <w:t>A</w:t>
      </w:r>
      <w:r w:rsidR="00FD2ED3">
        <w:rPr>
          <w:rFonts w:ascii="Times New Roman" w:hAnsi="Times New Roman"/>
        </w:rPr>
        <w:t>.</w:t>
      </w:r>
      <w:r>
        <w:rPr>
          <w:rFonts w:ascii="Times New Roman" w:hAnsi="Times New Roman"/>
        </w:rPr>
        <w:tab/>
      </w:r>
      <w:r w:rsidR="000228E9">
        <w:rPr>
          <w:rFonts w:ascii="Times New Roman" w:hAnsi="Times New Roman"/>
        </w:rPr>
        <w:t xml:space="preserve">No. </w:t>
      </w:r>
      <w:r>
        <w:rPr>
          <w:rFonts w:ascii="Times New Roman" w:hAnsi="Times New Roman"/>
        </w:rPr>
        <w:t xml:space="preserve"> </w:t>
      </w:r>
      <w:r w:rsidR="00724D03">
        <w:rPr>
          <w:rFonts w:ascii="Times New Roman" w:hAnsi="Times New Roman"/>
        </w:rPr>
        <w:t>First, Washington has not adopted a retail electric competition market like Texas so it</w:t>
      </w:r>
      <w:r w:rsidR="002E1A61">
        <w:rPr>
          <w:rFonts w:ascii="Times New Roman" w:hAnsi="Times New Roman"/>
        </w:rPr>
        <w:t xml:space="preserve"> i</w:t>
      </w:r>
      <w:r w:rsidR="00724D03">
        <w:rPr>
          <w:rFonts w:ascii="Times New Roman" w:hAnsi="Times New Roman"/>
        </w:rPr>
        <w:t xml:space="preserve">s not a relevant comparison. </w:t>
      </w:r>
      <w:r w:rsidR="00F02012">
        <w:rPr>
          <w:rFonts w:ascii="Times New Roman" w:hAnsi="Times New Roman"/>
        </w:rPr>
        <w:t xml:space="preserve"> </w:t>
      </w:r>
      <w:r w:rsidR="00724D03">
        <w:rPr>
          <w:rFonts w:ascii="Times New Roman" w:hAnsi="Times New Roman"/>
        </w:rPr>
        <w:t>Second, the Company’s proposal includes an increase in volumetric rates as well as the basic charge</w:t>
      </w:r>
      <w:r w:rsidR="00F85346">
        <w:rPr>
          <w:rFonts w:ascii="Times New Roman" w:hAnsi="Times New Roman"/>
        </w:rPr>
        <w:t xml:space="preserve">; </w:t>
      </w:r>
      <w:r w:rsidR="004026C4">
        <w:rPr>
          <w:rFonts w:ascii="Times New Roman" w:hAnsi="Times New Roman"/>
        </w:rPr>
        <w:t>over 90</w:t>
      </w:r>
      <w:r w:rsidR="00F85346">
        <w:rPr>
          <w:rFonts w:ascii="Times New Roman" w:hAnsi="Times New Roman"/>
        </w:rPr>
        <w:t xml:space="preserve"> percent</w:t>
      </w:r>
      <w:r w:rsidR="002E1A61">
        <w:rPr>
          <w:rFonts w:ascii="Times New Roman" w:hAnsi="Times New Roman"/>
        </w:rPr>
        <w:t xml:space="preserve"> of total residential revenues are recovered through</w:t>
      </w:r>
      <w:r w:rsidR="00724D03">
        <w:rPr>
          <w:rFonts w:ascii="Times New Roman" w:hAnsi="Times New Roman"/>
        </w:rPr>
        <w:t xml:space="preserve"> volumetric rates.  Third, </w:t>
      </w:r>
      <w:r w:rsidR="005619A7">
        <w:rPr>
          <w:rFonts w:ascii="Times New Roman" w:hAnsi="Times New Roman"/>
        </w:rPr>
        <w:t xml:space="preserve">even if the Commission wished to consider this comparison, </w:t>
      </w:r>
      <w:r w:rsidR="00724D03">
        <w:rPr>
          <w:rFonts w:ascii="Times New Roman" w:hAnsi="Times New Roman"/>
        </w:rPr>
        <w:t>t</w:t>
      </w:r>
      <w:r>
        <w:rPr>
          <w:rFonts w:ascii="Times New Roman" w:hAnsi="Times New Roman"/>
        </w:rPr>
        <w:t xml:space="preserve">he </w:t>
      </w:r>
      <w:r w:rsidR="00724D03">
        <w:rPr>
          <w:rFonts w:ascii="Times New Roman" w:hAnsi="Times New Roman"/>
        </w:rPr>
        <w:t>information</w:t>
      </w:r>
      <w:r>
        <w:rPr>
          <w:rFonts w:ascii="Times New Roman" w:hAnsi="Times New Roman"/>
        </w:rPr>
        <w:t xml:space="preserve"> presented by</w:t>
      </w:r>
      <w:r w:rsidR="00F85346">
        <w:rPr>
          <w:rFonts w:ascii="Times New Roman" w:hAnsi="Times New Roman"/>
        </w:rPr>
        <w:t xml:space="preserve"> </w:t>
      </w:r>
      <w:r w:rsidR="000228E9">
        <w:rPr>
          <w:rFonts w:ascii="Times New Roman" w:hAnsi="Times New Roman"/>
        </w:rPr>
        <w:t>Mr. Watkins</w:t>
      </w:r>
      <w:r>
        <w:rPr>
          <w:rFonts w:ascii="Times New Roman" w:hAnsi="Times New Roman"/>
        </w:rPr>
        <w:t xml:space="preserve"> shows that 21 of the 28 electric providers</w:t>
      </w:r>
      <w:r w:rsidR="00724D03">
        <w:rPr>
          <w:rFonts w:ascii="Times New Roman" w:hAnsi="Times New Roman"/>
        </w:rPr>
        <w:t xml:space="preserve"> in Texas</w:t>
      </w:r>
      <w:r>
        <w:rPr>
          <w:rFonts w:ascii="Times New Roman" w:hAnsi="Times New Roman"/>
        </w:rPr>
        <w:t xml:space="preserve"> wa</w:t>
      </w:r>
      <w:r w:rsidR="00724D03">
        <w:rPr>
          <w:rFonts w:ascii="Times New Roman" w:hAnsi="Times New Roman"/>
        </w:rPr>
        <w:t>i</w:t>
      </w:r>
      <w:r>
        <w:rPr>
          <w:rFonts w:ascii="Times New Roman" w:hAnsi="Times New Roman"/>
        </w:rPr>
        <w:t xml:space="preserve">ve their basic charge if usage is above a certain threshold. </w:t>
      </w:r>
      <w:r w:rsidR="00724D03">
        <w:rPr>
          <w:rFonts w:ascii="Times New Roman" w:hAnsi="Times New Roman"/>
        </w:rPr>
        <w:t xml:space="preserve"> </w:t>
      </w:r>
      <w:r>
        <w:rPr>
          <w:rFonts w:ascii="Times New Roman" w:hAnsi="Times New Roman"/>
        </w:rPr>
        <w:t>For 18 of these 21, the threshold for waiving the basic charge is at least 1</w:t>
      </w:r>
      <w:r w:rsidR="00F02012">
        <w:rPr>
          <w:rFonts w:ascii="Times New Roman" w:hAnsi="Times New Roman"/>
        </w:rPr>
        <w:t>,</w:t>
      </w:r>
      <w:r>
        <w:rPr>
          <w:rFonts w:ascii="Times New Roman" w:hAnsi="Times New Roman"/>
        </w:rPr>
        <w:t>000 kWh</w:t>
      </w:r>
      <w:r w:rsidR="00E07190">
        <w:rPr>
          <w:rFonts w:ascii="Times New Roman" w:hAnsi="Times New Roman"/>
        </w:rPr>
        <w:t xml:space="preserve"> a month</w:t>
      </w:r>
      <w:r>
        <w:rPr>
          <w:rFonts w:ascii="Times New Roman" w:hAnsi="Times New Roman"/>
        </w:rPr>
        <w:t>, and the average of the basic charges these utilities wa</w:t>
      </w:r>
      <w:r w:rsidR="005619A7">
        <w:rPr>
          <w:rFonts w:ascii="Times New Roman" w:hAnsi="Times New Roman"/>
        </w:rPr>
        <w:t>i</w:t>
      </w:r>
      <w:r>
        <w:rPr>
          <w:rFonts w:ascii="Times New Roman" w:hAnsi="Times New Roman"/>
        </w:rPr>
        <w:t>ve is $9.5</w:t>
      </w:r>
      <w:r w:rsidR="005619A7">
        <w:rPr>
          <w:rFonts w:ascii="Times New Roman" w:hAnsi="Times New Roman"/>
        </w:rPr>
        <w:t>0</w:t>
      </w:r>
      <w:r>
        <w:rPr>
          <w:rFonts w:ascii="Times New Roman" w:hAnsi="Times New Roman"/>
        </w:rPr>
        <w:t xml:space="preserve">. </w:t>
      </w:r>
      <w:r w:rsidR="00F02012">
        <w:rPr>
          <w:rFonts w:ascii="Times New Roman" w:hAnsi="Times New Roman"/>
        </w:rPr>
        <w:t xml:space="preserve"> </w:t>
      </w:r>
      <w:r>
        <w:rPr>
          <w:rFonts w:ascii="Times New Roman" w:hAnsi="Times New Roman"/>
        </w:rPr>
        <w:t xml:space="preserve">Therefore, with the pricing structure presented by these 18 utilities in Texas, almost half of </w:t>
      </w:r>
      <w:r w:rsidR="00724D03">
        <w:rPr>
          <w:rFonts w:ascii="Times New Roman" w:hAnsi="Times New Roman"/>
        </w:rPr>
        <w:t xml:space="preserve">the Company’s </w:t>
      </w:r>
      <w:r>
        <w:rPr>
          <w:rFonts w:ascii="Times New Roman" w:hAnsi="Times New Roman"/>
        </w:rPr>
        <w:t>residential customers in Washington would still likely pay a basic charge higher than what the Company is currently proposing.</w:t>
      </w:r>
      <w:r w:rsidR="00724D03">
        <w:rPr>
          <w:rFonts w:ascii="Times New Roman" w:hAnsi="Times New Roman"/>
        </w:rPr>
        <w:t xml:space="preserve">  </w:t>
      </w:r>
    </w:p>
    <w:p w:rsidR="00F86633" w:rsidRPr="004E0B02" w:rsidRDefault="00F86633" w:rsidP="0034595D">
      <w:pPr>
        <w:pStyle w:val="testimony"/>
        <w:widowControl w:val="0"/>
        <w:tabs>
          <w:tab w:val="left" w:pos="1440"/>
        </w:tabs>
        <w:spacing w:line="480" w:lineRule="auto"/>
        <w:ind w:left="720" w:hanging="720"/>
        <w:rPr>
          <w:rFonts w:ascii="Times New Roman" w:hAnsi="Times New Roman"/>
          <w:b/>
          <w:szCs w:val="24"/>
        </w:rPr>
      </w:pPr>
      <w:r>
        <w:rPr>
          <w:rFonts w:ascii="Times New Roman" w:hAnsi="Times New Roman"/>
        </w:rPr>
        <w:tab/>
      </w:r>
      <w:r>
        <w:rPr>
          <w:rFonts w:ascii="Times New Roman" w:hAnsi="Times New Roman"/>
        </w:rPr>
        <w:tab/>
      </w:r>
      <w:r w:rsidR="000228E9">
        <w:rPr>
          <w:rFonts w:ascii="Times New Roman" w:hAnsi="Times New Roman"/>
        </w:rPr>
        <w:t>Finally</w:t>
      </w:r>
      <w:r w:rsidR="00BC3E63">
        <w:rPr>
          <w:rFonts w:ascii="Times New Roman" w:hAnsi="Times New Roman"/>
        </w:rPr>
        <w:t xml:space="preserve">, </w:t>
      </w:r>
      <w:r>
        <w:rPr>
          <w:rFonts w:ascii="Times New Roman" w:hAnsi="Times New Roman"/>
        </w:rPr>
        <w:t xml:space="preserve">the introduction of evidence from Texas </w:t>
      </w:r>
      <w:r w:rsidR="002E1A61">
        <w:rPr>
          <w:rFonts w:ascii="Times New Roman" w:hAnsi="Times New Roman"/>
        </w:rPr>
        <w:t>ignores important differences between Texas and Washington</w:t>
      </w:r>
      <w:r w:rsidR="000228E9">
        <w:rPr>
          <w:rFonts w:ascii="Times New Roman" w:hAnsi="Times New Roman"/>
        </w:rPr>
        <w:t>,</w:t>
      </w:r>
      <w:r w:rsidR="002E1A61">
        <w:rPr>
          <w:rFonts w:ascii="Times New Roman" w:hAnsi="Times New Roman"/>
        </w:rPr>
        <w:t xml:space="preserve"> such as rate levels, </w:t>
      </w:r>
      <w:r>
        <w:rPr>
          <w:rFonts w:ascii="Times New Roman" w:hAnsi="Times New Roman"/>
        </w:rPr>
        <w:t xml:space="preserve">weather patterns, </w:t>
      </w:r>
      <w:r w:rsidR="002E1A61">
        <w:rPr>
          <w:rFonts w:ascii="Times New Roman" w:hAnsi="Times New Roman"/>
        </w:rPr>
        <w:t xml:space="preserve">income, appliance mix, </w:t>
      </w:r>
      <w:r>
        <w:rPr>
          <w:rFonts w:ascii="Times New Roman" w:hAnsi="Times New Roman"/>
        </w:rPr>
        <w:t>usage profiles</w:t>
      </w:r>
      <w:r w:rsidR="00F02012">
        <w:rPr>
          <w:rFonts w:ascii="Times New Roman" w:hAnsi="Times New Roman"/>
        </w:rPr>
        <w:t>,</w:t>
      </w:r>
      <w:r>
        <w:rPr>
          <w:rFonts w:ascii="Times New Roman" w:hAnsi="Times New Roman"/>
        </w:rPr>
        <w:t xml:space="preserve"> and regulatory policy</w:t>
      </w:r>
      <w:r w:rsidR="002E1A61">
        <w:rPr>
          <w:rFonts w:ascii="Times New Roman" w:hAnsi="Times New Roman"/>
        </w:rPr>
        <w:t>.  W</w:t>
      </w:r>
      <w:r>
        <w:rPr>
          <w:rFonts w:ascii="Times New Roman" w:hAnsi="Times New Roman"/>
        </w:rPr>
        <w:t>hat creates more efficient pricing in Texas will not necessarily improve the efficiency or equity of pric</w:t>
      </w:r>
      <w:r w:rsidR="002E1A61">
        <w:rPr>
          <w:rFonts w:ascii="Times New Roman" w:hAnsi="Times New Roman"/>
        </w:rPr>
        <w:t>es</w:t>
      </w:r>
      <w:r>
        <w:rPr>
          <w:rFonts w:ascii="Times New Roman" w:hAnsi="Times New Roman"/>
        </w:rPr>
        <w:t xml:space="preserve"> the Company proposes for its residential customers in Washington.</w:t>
      </w:r>
      <w:r w:rsidR="00F02012">
        <w:rPr>
          <w:rFonts w:ascii="Times New Roman" w:hAnsi="Times New Roman"/>
        </w:rPr>
        <w:t xml:space="preserve"> </w:t>
      </w:r>
      <w:r>
        <w:rPr>
          <w:rFonts w:ascii="Times New Roman" w:hAnsi="Times New Roman"/>
        </w:rPr>
        <w:t xml:space="preserve"> </w:t>
      </w:r>
      <w:r w:rsidR="006950DE">
        <w:rPr>
          <w:rFonts w:ascii="Times New Roman" w:hAnsi="Times New Roman"/>
        </w:rPr>
        <w:t>It would</w:t>
      </w:r>
      <w:r w:rsidR="005F6D0C">
        <w:rPr>
          <w:rFonts w:ascii="Times New Roman" w:hAnsi="Times New Roman"/>
        </w:rPr>
        <w:t xml:space="preserve"> be</w:t>
      </w:r>
      <w:r>
        <w:rPr>
          <w:rFonts w:ascii="Times New Roman" w:hAnsi="Times New Roman"/>
        </w:rPr>
        <w:t xml:space="preserve"> more relevant to compare the Company’s proposed basic charge </w:t>
      </w:r>
      <w:r w:rsidRPr="00B242E2">
        <w:rPr>
          <w:rFonts w:ascii="Times New Roman" w:hAnsi="Times New Roman"/>
        </w:rPr>
        <w:t xml:space="preserve">with the basic charges of other electric utilities in Washington. </w:t>
      </w:r>
      <w:r w:rsidR="00B42B78">
        <w:rPr>
          <w:rFonts w:ascii="Times New Roman" w:hAnsi="Times New Roman"/>
        </w:rPr>
        <w:t xml:space="preserve"> </w:t>
      </w:r>
      <w:r w:rsidR="00BC3E63" w:rsidRPr="00B242E2">
        <w:rPr>
          <w:rFonts w:ascii="Times New Roman" w:hAnsi="Times New Roman"/>
        </w:rPr>
        <w:t xml:space="preserve">Exhibit </w:t>
      </w:r>
      <w:r w:rsidR="00D8764F">
        <w:rPr>
          <w:rFonts w:ascii="Times New Roman" w:hAnsi="Times New Roman"/>
        </w:rPr>
        <w:t>No.</w:t>
      </w:r>
      <w:r w:rsidR="00BC3E63" w:rsidRPr="00B242E2">
        <w:rPr>
          <w:rFonts w:ascii="Times New Roman" w:hAnsi="Times New Roman"/>
        </w:rPr>
        <w:t>___(JRS-</w:t>
      </w:r>
      <w:r w:rsidR="005338F8" w:rsidRPr="00B242E2">
        <w:rPr>
          <w:rFonts w:ascii="Times New Roman" w:hAnsi="Times New Roman"/>
        </w:rPr>
        <w:t>1</w:t>
      </w:r>
      <w:r w:rsidR="00B242E2" w:rsidRPr="00B242E2">
        <w:rPr>
          <w:rFonts w:ascii="Times New Roman" w:hAnsi="Times New Roman"/>
        </w:rPr>
        <w:t>4</w:t>
      </w:r>
      <w:r w:rsidR="00BC3E63">
        <w:rPr>
          <w:rFonts w:ascii="Times New Roman" w:hAnsi="Times New Roman"/>
        </w:rPr>
        <w:t>) shows the current residential basic charges for other</w:t>
      </w:r>
      <w:r>
        <w:rPr>
          <w:rFonts w:ascii="Times New Roman" w:hAnsi="Times New Roman"/>
        </w:rPr>
        <w:t xml:space="preserve"> Washington utilities</w:t>
      </w:r>
      <w:r w:rsidR="00BC3E63">
        <w:rPr>
          <w:rFonts w:ascii="Times New Roman" w:hAnsi="Times New Roman"/>
        </w:rPr>
        <w:t xml:space="preserve">.  </w:t>
      </w:r>
      <w:r w:rsidR="002E1A61">
        <w:rPr>
          <w:rFonts w:ascii="Times New Roman" w:hAnsi="Times New Roman"/>
        </w:rPr>
        <w:t>It</w:t>
      </w:r>
      <w:r w:rsidR="000228E9">
        <w:rPr>
          <w:rFonts w:ascii="Times New Roman" w:hAnsi="Times New Roman"/>
        </w:rPr>
        <w:t> </w:t>
      </w:r>
      <w:r w:rsidR="00BC3E63">
        <w:rPr>
          <w:rFonts w:ascii="Times New Roman" w:hAnsi="Times New Roman"/>
        </w:rPr>
        <w:t>shows that the</w:t>
      </w:r>
      <w:r w:rsidR="00253041">
        <w:rPr>
          <w:rFonts w:ascii="Times New Roman" w:hAnsi="Times New Roman"/>
        </w:rPr>
        <w:t xml:space="preserve"> average</w:t>
      </w:r>
      <w:r w:rsidR="00BC3E63">
        <w:rPr>
          <w:rFonts w:ascii="Times New Roman" w:hAnsi="Times New Roman"/>
        </w:rPr>
        <w:t xml:space="preserve"> </w:t>
      </w:r>
      <w:r>
        <w:rPr>
          <w:rFonts w:ascii="Times New Roman" w:hAnsi="Times New Roman"/>
        </w:rPr>
        <w:t>basic charge currently in effect for 4</w:t>
      </w:r>
      <w:r w:rsidR="003E5C7A">
        <w:rPr>
          <w:rFonts w:ascii="Times New Roman" w:hAnsi="Times New Roman"/>
        </w:rPr>
        <w:t>4</w:t>
      </w:r>
      <w:r>
        <w:rPr>
          <w:rFonts w:ascii="Times New Roman" w:hAnsi="Times New Roman"/>
        </w:rPr>
        <w:t xml:space="preserve"> of the electric utilities</w:t>
      </w:r>
      <w:r w:rsidR="002E1A61">
        <w:rPr>
          <w:rFonts w:ascii="Times New Roman" w:hAnsi="Times New Roman"/>
        </w:rPr>
        <w:t xml:space="preserve"> in Washington</w:t>
      </w:r>
      <w:r>
        <w:rPr>
          <w:rFonts w:ascii="Times New Roman" w:hAnsi="Times New Roman"/>
        </w:rPr>
        <w:t xml:space="preserve"> is $1</w:t>
      </w:r>
      <w:r w:rsidR="003E5C7A">
        <w:rPr>
          <w:rFonts w:ascii="Times New Roman" w:hAnsi="Times New Roman"/>
        </w:rPr>
        <w:t>4</w:t>
      </w:r>
      <w:r>
        <w:rPr>
          <w:rFonts w:ascii="Times New Roman" w:hAnsi="Times New Roman"/>
        </w:rPr>
        <w:t>.</w:t>
      </w:r>
      <w:r w:rsidR="003E5C7A">
        <w:rPr>
          <w:rFonts w:ascii="Times New Roman" w:hAnsi="Times New Roman"/>
        </w:rPr>
        <w:t>04</w:t>
      </w:r>
      <w:r w:rsidR="00877FCF">
        <w:rPr>
          <w:rFonts w:ascii="Times New Roman" w:hAnsi="Times New Roman"/>
        </w:rPr>
        <w:t xml:space="preserve">—well </w:t>
      </w:r>
      <w:r>
        <w:rPr>
          <w:rFonts w:ascii="Times New Roman" w:hAnsi="Times New Roman"/>
        </w:rPr>
        <w:t xml:space="preserve">above </w:t>
      </w:r>
      <w:r w:rsidR="002E1A61">
        <w:rPr>
          <w:rFonts w:ascii="Times New Roman" w:hAnsi="Times New Roman"/>
        </w:rPr>
        <w:t>$</w:t>
      </w:r>
      <w:r w:rsidR="00F1374E">
        <w:rPr>
          <w:rFonts w:ascii="Times New Roman" w:hAnsi="Times New Roman"/>
        </w:rPr>
        <w:t>8.85</w:t>
      </w:r>
      <w:r>
        <w:rPr>
          <w:rFonts w:ascii="Times New Roman" w:hAnsi="Times New Roman"/>
        </w:rPr>
        <w:t xml:space="preserve"> proposed </w:t>
      </w:r>
      <w:r w:rsidR="002E1A61">
        <w:rPr>
          <w:rFonts w:ascii="Times New Roman" w:hAnsi="Times New Roman"/>
        </w:rPr>
        <w:t xml:space="preserve">by the Company </w:t>
      </w:r>
      <w:r>
        <w:rPr>
          <w:rFonts w:ascii="Times New Roman" w:hAnsi="Times New Roman"/>
        </w:rPr>
        <w:t xml:space="preserve">in this rebuttal filing. </w:t>
      </w:r>
    </w:p>
    <w:p w:rsidR="002A285A" w:rsidRDefault="004E0B02" w:rsidP="0034595D">
      <w:pPr>
        <w:rPr>
          <w:rFonts w:ascii="Times New Roman" w:hAnsi="Times New Roman"/>
          <w:b/>
          <w:szCs w:val="24"/>
        </w:rPr>
      </w:pPr>
      <w:r>
        <w:rPr>
          <w:rFonts w:ascii="Times New Roman" w:hAnsi="Times New Roman"/>
          <w:b/>
          <w:szCs w:val="24"/>
        </w:rPr>
        <w:t>Q.</w:t>
      </w:r>
      <w:r>
        <w:rPr>
          <w:rFonts w:ascii="Times New Roman" w:hAnsi="Times New Roman"/>
          <w:b/>
          <w:szCs w:val="24"/>
        </w:rPr>
        <w:tab/>
      </w:r>
      <w:r w:rsidR="000228E9">
        <w:rPr>
          <w:rFonts w:ascii="Times New Roman" w:hAnsi="Times New Roman"/>
          <w:b/>
          <w:szCs w:val="24"/>
        </w:rPr>
        <w:t xml:space="preserve">Mr. Mickelson </w:t>
      </w:r>
      <w:r w:rsidR="002A285A">
        <w:rPr>
          <w:rFonts w:ascii="Times New Roman" w:hAnsi="Times New Roman"/>
          <w:b/>
          <w:szCs w:val="24"/>
        </w:rPr>
        <w:t>propose</w:t>
      </w:r>
      <w:r w:rsidR="005619A7">
        <w:rPr>
          <w:rFonts w:ascii="Times New Roman" w:hAnsi="Times New Roman"/>
          <w:b/>
          <w:szCs w:val="24"/>
        </w:rPr>
        <w:t>s</w:t>
      </w:r>
      <w:r w:rsidR="002A285A">
        <w:rPr>
          <w:rFonts w:ascii="Times New Roman" w:hAnsi="Times New Roman"/>
          <w:b/>
          <w:szCs w:val="24"/>
        </w:rPr>
        <w:t xml:space="preserve"> </w:t>
      </w:r>
      <w:r w:rsidR="003C52BD">
        <w:rPr>
          <w:rFonts w:ascii="Times New Roman" w:hAnsi="Times New Roman"/>
          <w:b/>
          <w:szCs w:val="24"/>
        </w:rPr>
        <w:t>revising</w:t>
      </w:r>
      <w:r w:rsidR="005619A7">
        <w:rPr>
          <w:rFonts w:ascii="Times New Roman" w:hAnsi="Times New Roman"/>
          <w:b/>
          <w:szCs w:val="24"/>
        </w:rPr>
        <w:t xml:space="preserve"> </w:t>
      </w:r>
      <w:r w:rsidRPr="004E0B02">
        <w:rPr>
          <w:rFonts w:ascii="Times New Roman" w:hAnsi="Times New Roman"/>
          <w:b/>
          <w:szCs w:val="24"/>
        </w:rPr>
        <w:t>the current two</w:t>
      </w:r>
      <w:r w:rsidR="000228E9">
        <w:rPr>
          <w:rFonts w:ascii="Times New Roman" w:hAnsi="Times New Roman"/>
          <w:b/>
          <w:szCs w:val="24"/>
        </w:rPr>
        <w:t>-</w:t>
      </w:r>
      <w:r w:rsidRPr="004E0B02">
        <w:rPr>
          <w:rFonts w:ascii="Times New Roman" w:hAnsi="Times New Roman"/>
          <w:b/>
          <w:szCs w:val="24"/>
        </w:rPr>
        <w:t xml:space="preserve">tier inverted energy charge rate design </w:t>
      </w:r>
      <w:r w:rsidR="005619A7">
        <w:rPr>
          <w:rFonts w:ascii="Times New Roman" w:hAnsi="Times New Roman"/>
          <w:b/>
          <w:szCs w:val="24"/>
        </w:rPr>
        <w:t xml:space="preserve">by increasing the first tier from </w:t>
      </w:r>
      <w:r w:rsidR="002A285A">
        <w:rPr>
          <w:rFonts w:ascii="Times New Roman" w:hAnsi="Times New Roman"/>
          <w:b/>
          <w:szCs w:val="24"/>
        </w:rPr>
        <w:t xml:space="preserve">0-600 kWh </w:t>
      </w:r>
      <w:r w:rsidR="005619A7">
        <w:rPr>
          <w:rFonts w:ascii="Times New Roman" w:hAnsi="Times New Roman"/>
          <w:b/>
          <w:szCs w:val="24"/>
        </w:rPr>
        <w:t>to 0-800 kWh and add</w:t>
      </w:r>
      <w:r w:rsidR="002E1A61">
        <w:rPr>
          <w:rFonts w:ascii="Times New Roman" w:hAnsi="Times New Roman"/>
          <w:b/>
          <w:szCs w:val="24"/>
        </w:rPr>
        <w:t>ing</w:t>
      </w:r>
      <w:r w:rsidR="005619A7">
        <w:rPr>
          <w:rFonts w:ascii="Times New Roman" w:hAnsi="Times New Roman"/>
          <w:b/>
          <w:szCs w:val="24"/>
        </w:rPr>
        <w:t xml:space="preserve"> a third tier for usage over </w:t>
      </w:r>
      <w:r w:rsidR="002A285A">
        <w:rPr>
          <w:rFonts w:ascii="Times New Roman" w:hAnsi="Times New Roman"/>
          <w:b/>
          <w:szCs w:val="24"/>
        </w:rPr>
        <w:t>1,500 kWh.</w:t>
      </w:r>
      <w:r w:rsidR="003C52BD">
        <w:rPr>
          <w:rStyle w:val="FootnoteReference"/>
          <w:b/>
          <w:szCs w:val="24"/>
        </w:rPr>
        <w:footnoteReference w:id="25"/>
      </w:r>
      <w:r w:rsidRPr="004E0B02">
        <w:rPr>
          <w:rFonts w:ascii="Times New Roman" w:hAnsi="Times New Roman"/>
          <w:b/>
          <w:szCs w:val="24"/>
        </w:rPr>
        <w:t xml:space="preserve"> </w:t>
      </w:r>
      <w:r w:rsidR="002E1A61">
        <w:rPr>
          <w:rFonts w:ascii="Times New Roman" w:hAnsi="Times New Roman"/>
          <w:b/>
          <w:szCs w:val="24"/>
        </w:rPr>
        <w:t xml:space="preserve"> </w:t>
      </w:r>
      <w:r w:rsidR="002A285A">
        <w:rPr>
          <w:rFonts w:ascii="Times New Roman" w:hAnsi="Times New Roman"/>
          <w:b/>
          <w:szCs w:val="24"/>
        </w:rPr>
        <w:t>Do you agree with this proposal?</w:t>
      </w:r>
    </w:p>
    <w:p w:rsidR="005619A7" w:rsidRDefault="002A285A" w:rsidP="000228E9">
      <w:pPr>
        <w:rPr>
          <w:rFonts w:ascii="Times New Roman" w:hAnsi="Times New Roman"/>
          <w:szCs w:val="24"/>
        </w:rPr>
      </w:pPr>
      <w:r w:rsidRPr="002A285A">
        <w:rPr>
          <w:rFonts w:ascii="Times New Roman" w:hAnsi="Times New Roman"/>
          <w:szCs w:val="24"/>
        </w:rPr>
        <w:t xml:space="preserve">A. </w:t>
      </w:r>
      <w:r w:rsidRPr="002A285A">
        <w:rPr>
          <w:rFonts w:ascii="Times New Roman" w:hAnsi="Times New Roman"/>
          <w:szCs w:val="24"/>
        </w:rPr>
        <w:tab/>
        <w:t>No</w:t>
      </w:r>
      <w:r w:rsidR="005619A7">
        <w:rPr>
          <w:rFonts w:ascii="Times New Roman" w:hAnsi="Times New Roman"/>
          <w:szCs w:val="24"/>
        </w:rPr>
        <w:t xml:space="preserve">.  </w:t>
      </w:r>
      <w:r w:rsidR="00341658">
        <w:rPr>
          <w:rFonts w:ascii="Times New Roman" w:hAnsi="Times New Roman"/>
          <w:szCs w:val="24"/>
        </w:rPr>
        <w:t xml:space="preserve">The Company has a number of concerns with this proposal.  For one, </w:t>
      </w:r>
      <w:r w:rsidR="00AE11CD">
        <w:rPr>
          <w:rFonts w:ascii="Times New Roman" w:hAnsi="Times New Roman"/>
          <w:szCs w:val="24"/>
        </w:rPr>
        <w:t>to reset the first tier</w:t>
      </w:r>
      <w:r w:rsidR="00EC1418">
        <w:rPr>
          <w:rFonts w:ascii="Times New Roman" w:hAnsi="Times New Roman"/>
          <w:szCs w:val="24"/>
        </w:rPr>
        <w:t>,</w:t>
      </w:r>
      <w:r w:rsidR="00AE11CD">
        <w:rPr>
          <w:rFonts w:ascii="Times New Roman" w:hAnsi="Times New Roman"/>
          <w:szCs w:val="24"/>
        </w:rPr>
        <w:t xml:space="preserve"> </w:t>
      </w:r>
      <w:r w:rsidR="000228E9">
        <w:rPr>
          <w:rFonts w:ascii="Times New Roman" w:hAnsi="Times New Roman"/>
          <w:szCs w:val="24"/>
        </w:rPr>
        <w:t xml:space="preserve">Mr. Mickelson </w:t>
      </w:r>
      <w:r w:rsidR="00341658">
        <w:rPr>
          <w:rFonts w:ascii="Times New Roman" w:hAnsi="Times New Roman"/>
          <w:szCs w:val="24"/>
        </w:rPr>
        <w:t>relies on</w:t>
      </w:r>
      <w:r w:rsidR="00D34E4B">
        <w:rPr>
          <w:rFonts w:ascii="Times New Roman" w:hAnsi="Times New Roman"/>
          <w:szCs w:val="24"/>
        </w:rPr>
        <w:t xml:space="preserve"> the upper-end range </w:t>
      </w:r>
      <w:r w:rsidR="002E1A61">
        <w:rPr>
          <w:rFonts w:ascii="Times New Roman" w:hAnsi="Times New Roman"/>
          <w:szCs w:val="24"/>
        </w:rPr>
        <w:t xml:space="preserve">of </w:t>
      </w:r>
      <w:r w:rsidR="00D34E4B">
        <w:rPr>
          <w:rFonts w:ascii="Times New Roman" w:hAnsi="Times New Roman"/>
          <w:szCs w:val="24"/>
        </w:rPr>
        <w:t>average end-use consumption for cooking, domestic hot water</w:t>
      </w:r>
      <w:r w:rsidR="000228E9">
        <w:rPr>
          <w:rFonts w:ascii="Times New Roman" w:hAnsi="Times New Roman"/>
          <w:szCs w:val="24"/>
        </w:rPr>
        <w:t xml:space="preserve"> (DHW)</w:t>
      </w:r>
      <w:r w:rsidR="00D34E4B">
        <w:rPr>
          <w:rFonts w:ascii="Times New Roman" w:hAnsi="Times New Roman"/>
          <w:szCs w:val="24"/>
        </w:rPr>
        <w:t>, lighting</w:t>
      </w:r>
      <w:r w:rsidR="00364835">
        <w:rPr>
          <w:rFonts w:ascii="Times New Roman" w:hAnsi="Times New Roman"/>
          <w:szCs w:val="24"/>
        </w:rPr>
        <w:t>,</w:t>
      </w:r>
      <w:r w:rsidR="00D34E4B">
        <w:rPr>
          <w:rFonts w:ascii="Times New Roman" w:hAnsi="Times New Roman"/>
          <w:szCs w:val="24"/>
        </w:rPr>
        <w:t xml:space="preserve"> and appliances from a U.S. Department of Housing and Urban Development </w:t>
      </w:r>
      <w:r w:rsidR="00C771CA">
        <w:rPr>
          <w:rFonts w:ascii="Times New Roman" w:hAnsi="Times New Roman"/>
          <w:szCs w:val="24"/>
        </w:rPr>
        <w:t xml:space="preserve">(HUD) </w:t>
      </w:r>
      <w:r w:rsidR="00D34E4B">
        <w:rPr>
          <w:rFonts w:ascii="Times New Roman" w:hAnsi="Times New Roman"/>
          <w:szCs w:val="24"/>
        </w:rPr>
        <w:t>Housing Choice Voucher Program Guidebook from 2001.</w:t>
      </w:r>
      <w:r w:rsidR="003C52BD">
        <w:rPr>
          <w:rStyle w:val="FootnoteReference"/>
          <w:szCs w:val="24"/>
        </w:rPr>
        <w:footnoteReference w:id="26"/>
      </w:r>
      <w:r w:rsidR="00D34E4B">
        <w:rPr>
          <w:rFonts w:ascii="Times New Roman" w:hAnsi="Times New Roman"/>
          <w:szCs w:val="24"/>
        </w:rPr>
        <w:t xml:space="preserve">  </w:t>
      </w:r>
      <w:r w:rsidR="00FA2FAD">
        <w:rPr>
          <w:rFonts w:ascii="Times New Roman" w:hAnsi="Times New Roman"/>
          <w:szCs w:val="24"/>
        </w:rPr>
        <w:t xml:space="preserve">Using </w:t>
      </w:r>
      <w:r w:rsidR="00D24DDE">
        <w:rPr>
          <w:rFonts w:ascii="Times New Roman" w:hAnsi="Times New Roman"/>
          <w:szCs w:val="24"/>
        </w:rPr>
        <w:t xml:space="preserve">upper-end </w:t>
      </w:r>
      <w:r w:rsidR="00FA2FAD">
        <w:rPr>
          <w:rFonts w:ascii="Times New Roman" w:hAnsi="Times New Roman"/>
          <w:szCs w:val="24"/>
        </w:rPr>
        <w:t xml:space="preserve">national </w:t>
      </w:r>
      <w:r w:rsidR="00D24DDE">
        <w:rPr>
          <w:rFonts w:ascii="Times New Roman" w:hAnsi="Times New Roman"/>
          <w:szCs w:val="24"/>
        </w:rPr>
        <w:t xml:space="preserve">data from 2001 to reset </w:t>
      </w:r>
      <w:r w:rsidR="00A11A87">
        <w:rPr>
          <w:rFonts w:ascii="Times New Roman" w:hAnsi="Times New Roman"/>
          <w:szCs w:val="24"/>
        </w:rPr>
        <w:t>the t</w:t>
      </w:r>
      <w:r w:rsidR="00D24DDE">
        <w:rPr>
          <w:rFonts w:ascii="Times New Roman" w:hAnsi="Times New Roman"/>
          <w:szCs w:val="24"/>
        </w:rPr>
        <w:t xml:space="preserve">ier </w:t>
      </w:r>
      <w:r w:rsidR="00A11A87">
        <w:rPr>
          <w:rFonts w:ascii="Times New Roman" w:hAnsi="Times New Roman"/>
          <w:szCs w:val="24"/>
        </w:rPr>
        <w:t xml:space="preserve">level </w:t>
      </w:r>
      <w:r w:rsidR="002E1A61">
        <w:rPr>
          <w:rFonts w:ascii="Times New Roman" w:hAnsi="Times New Roman"/>
          <w:szCs w:val="24"/>
        </w:rPr>
        <w:t xml:space="preserve">in 2014 </w:t>
      </w:r>
      <w:r w:rsidR="00A11A87">
        <w:rPr>
          <w:rFonts w:ascii="Times New Roman" w:hAnsi="Times New Roman"/>
          <w:szCs w:val="24"/>
        </w:rPr>
        <w:t xml:space="preserve">is incompatible with </w:t>
      </w:r>
      <w:r w:rsidR="00D24DDE">
        <w:rPr>
          <w:rFonts w:ascii="Times New Roman" w:hAnsi="Times New Roman"/>
          <w:szCs w:val="24"/>
        </w:rPr>
        <w:t>Washington</w:t>
      </w:r>
      <w:r w:rsidR="00A11A87">
        <w:rPr>
          <w:rFonts w:ascii="Times New Roman" w:hAnsi="Times New Roman"/>
          <w:szCs w:val="24"/>
        </w:rPr>
        <w:t>’s (and the Pacific Northwest’s) historical</w:t>
      </w:r>
      <w:r w:rsidR="003F7334">
        <w:rPr>
          <w:rFonts w:ascii="Times New Roman" w:hAnsi="Times New Roman"/>
          <w:szCs w:val="24"/>
        </w:rPr>
        <w:t>ly aggressive</w:t>
      </w:r>
      <w:r w:rsidR="00A11A87">
        <w:rPr>
          <w:rFonts w:ascii="Times New Roman" w:hAnsi="Times New Roman"/>
          <w:szCs w:val="24"/>
        </w:rPr>
        <w:t xml:space="preserve"> energy efficiency </w:t>
      </w:r>
      <w:r w:rsidR="00D24DDE">
        <w:rPr>
          <w:rFonts w:ascii="Times New Roman" w:hAnsi="Times New Roman"/>
          <w:szCs w:val="24"/>
        </w:rPr>
        <w:t>efforts</w:t>
      </w:r>
      <w:r w:rsidR="003F7334">
        <w:rPr>
          <w:rFonts w:ascii="Times New Roman" w:hAnsi="Times New Roman"/>
          <w:szCs w:val="24"/>
        </w:rPr>
        <w:t xml:space="preserve"> and may not be reflective of </w:t>
      </w:r>
      <w:r w:rsidR="00C771CA">
        <w:rPr>
          <w:rFonts w:ascii="Times New Roman" w:hAnsi="Times New Roman"/>
          <w:szCs w:val="24"/>
        </w:rPr>
        <w:t xml:space="preserve">what </w:t>
      </w:r>
      <w:r w:rsidR="003F7334">
        <w:rPr>
          <w:rFonts w:ascii="Times New Roman" w:hAnsi="Times New Roman"/>
          <w:szCs w:val="24"/>
        </w:rPr>
        <w:t xml:space="preserve">the less elastic essential end-uses </w:t>
      </w:r>
      <w:r w:rsidR="00D20E9E">
        <w:rPr>
          <w:rFonts w:ascii="Times New Roman" w:hAnsi="Times New Roman"/>
          <w:szCs w:val="24"/>
        </w:rPr>
        <w:t xml:space="preserve">are </w:t>
      </w:r>
      <w:r w:rsidR="003F7334">
        <w:rPr>
          <w:rFonts w:ascii="Times New Roman" w:hAnsi="Times New Roman"/>
          <w:szCs w:val="24"/>
        </w:rPr>
        <w:t xml:space="preserve">in </w:t>
      </w:r>
      <w:r w:rsidR="000228E9">
        <w:rPr>
          <w:rFonts w:ascii="Times New Roman" w:hAnsi="Times New Roman"/>
          <w:szCs w:val="24"/>
        </w:rPr>
        <w:t>the Company’s</w:t>
      </w:r>
      <w:r w:rsidR="003F7334">
        <w:rPr>
          <w:rFonts w:ascii="Times New Roman" w:hAnsi="Times New Roman"/>
          <w:szCs w:val="24"/>
        </w:rPr>
        <w:t xml:space="preserve"> Washington service area today.  </w:t>
      </w:r>
      <w:r w:rsidR="004A359C">
        <w:rPr>
          <w:rFonts w:ascii="Times New Roman" w:hAnsi="Times New Roman"/>
          <w:szCs w:val="24"/>
        </w:rPr>
        <w:t xml:space="preserve">Additionally, the Company disagrees with including DHW in the first tier.  Based on the Company’s </w:t>
      </w:r>
      <w:r w:rsidR="004E0629">
        <w:rPr>
          <w:rFonts w:ascii="Times New Roman" w:hAnsi="Times New Roman"/>
          <w:szCs w:val="24"/>
        </w:rPr>
        <w:t>last</w:t>
      </w:r>
      <w:r w:rsidR="002E1A61">
        <w:rPr>
          <w:rFonts w:ascii="Times New Roman" w:hAnsi="Times New Roman"/>
          <w:szCs w:val="24"/>
        </w:rPr>
        <w:t xml:space="preserve"> </w:t>
      </w:r>
      <w:r w:rsidR="004A359C">
        <w:rPr>
          <w:rFonts w:ascii="Times New Roman" w:hAnsi="Times New Roman"/>
          <w:szCs w:val="24"/>
        </w:rPr>
        <w:t xml:space="preserve">residential </w:t>
      </w:r>
      <w:r w:rsidR="002E1A61">
        <w:rPr>
          <w:rFonts w:ascii="Times New Roman" w:hAnsi="Times New Roman"/>
          <w:szCs w:val="24"/>
        </w:rPr>
        <w:t xml:space="preserve">usage </w:t>
      </w:r>
      <w:r w:rsidR="004A359C">
        <w:rPr>
          <w:rFonts w:ascii="Times New Roman" w:hAnsi="Times New Roman"/>
          <w:szCs w:val="24"/>
        </w:rPr>
        <w:t xml:space="preserve">survey, about </w:t>
      </w:r>
      <w:r w:rsidR="003F2E4D">
        <w:rPr>
          <w:rFonts w:ascii="Times New Roman" w:hAnsi="Times New Roman"/>
          <w:szCs w:val="24"/>
        </w:rPr>
        <w:t>3</w:t>
      </w:r>
      <w:r w:rsidR="004A359C">
        <w:rPr>
          <w:rFonts w:ascii="Times New Roman" w:hAnsi="Times New Roman"/>
          <w:szCs w:val="24"/>
        </w:rPr>
        <w:t xml:space="preserve">0 percent of </w:t>
      </w:r>
      <w:r w:rsidR="003F2E4D">
        <w:rPr>
          <w:rFonts w:ascii="Times New Roman" w:hAnsi="Times New Roman"/>
          <w:szCs w:val="24"/>
        </w:rPr>
        <w:t xml:space="preserve">the Company’s </w:t>
      </w:r>
      <w:r w:rsidR="003C52BD">
        <w:rPr>
          <w:rFonts w:ascii="Times New Roman" w:hAnsi="Times New Roman"/>
          <w:szCs w:val="24"/>
        </w:rPr>
        <w:t xml:space="preserve">residential </w:t>
      </w:r>
      <w:r w:rsidR="005F6D0C">
        <w:rPr>
          <w:rFonts w:ascii="Times New Roman" w:hAnsi="Times New Roman"/>
          <w:szCs w:val="24"/>
        </w:rPr>
        <w:t xml:space="preserve">customers </w:t>
      </w:r>
      <w:r w:rsidR="003F2E4D">
        <w:rPr>
          <w:rFonts w:ascii="Times New Roman" w:hAnsi="Times New Roman"/>
          <w:szCs w:val="24"/>
        </w:rPr>
        <w:t xml:space="preserve">do not </w:t>
      </w:r>
      <w:r w:rsidR="005F6D0C">
        <w:rPr>
          <w:rFonts w:ascii="Times New Roman" w:hAnsi="Times New Roman"/>
          <w:szCs w:val="24"/>
        </w:rPr>
        <w:t xml:space="preserve">have </w:t>
      </w:r>
      <w:r w:rsidR="004A359C">
        <w:rPr>
          <w:rFonts w:ascii="Times New Roman" w:hAnsi="Times New Roman"/>
          <w:szCs w:val="24"/>
        </w:rPr>
        <w:t xml:space="preserve">electric </w:t>
      </w:r>
      <w:r w:rsidR="003F2E4D">
        <w:rPr>
          <w:rFonts w:ascii="Times New Roman" w:hAnsi="Times New Roman"/>
          <w:szCs w:val="24"/>
        </w:rPr>
        <w:t>water heat</w:t>
      </w:r>
      <w:r w:rsidR="0034595D">
        <w:rPr>
          <w:rFonts w:ascii="Times New Roman" w:hAnsi="Times New Roman"/>
          <w:szCs w:val="24"/>
        </w:rPr>
        <w:t>.</w:t>
      </w:r>
      <w:r w:rsidR="004A359C">
        <w:rPr>
          <w:rFonts w:ascii="Times New Roman" w:hAnsi="Times New Roman"/>
          <w:szCs w:val="24"/>
        </w:rPr>
        <w:t xml:space="preserve">  </w:t>
      </w:r>
      <w:r w:rsidR="00AE11CD">
        <w:rPr>
          <w:rFonts w:ascii="Times New Roman" w:hAnsi="Times New Roman"/>
          <w:szCs w:val="24"/>
        </w:rPr>
        <w:t xml:space="preserve">Including average DHW consumption in the first tier </w:t>
      </w:r>
      <w:r w:rsidR="002E1A61">
        <w:rPr>
          <w:rFonts w:ascii="Times New Roman" w:hAnsi="Times New Roman"/>
          <w:szCs w:val="24"/>
        </w:rPr>
        <w:t>fails to acknowledge that about one third of residential customers do not have electric water heat</w:t>
      </w:r>
      <w:r w:rsidR="00AE11CD">
        <w:rPr>
          <w:rFonts w:ascii="Times New Roman" w:hAnsi="Times New Roman"/>
          <w:szCs w:val="24"/>
        </w:rPr>
        <w:t xml:space="preserve">.  </w:t>
      </w:r>
    </w:p>
    <w:p w:rsidR="00AE11CD" w:rsidRDefault="00AE11CD" w:rsidP="0034595D">
      <w:pPr>
        <w:rPr>
          <w:rFonts w:ascii="Times New Roman" w:hAnsi="Times New Roman"/>
          <w:szCs w:val="24"/>
        </w:rPr>
      </w:pPr>
      <w:r>
        <w:rPr>
          <w:rFonts w:ascii="Times New Roman" w:hAnsi="Times New Roman"/>
          <w:szCs w:val="24"/>
        </w:rPr>
        <w:tab/>
      </w:r>
      <w:r>
        <w:rPr>
          <w:rFonts w:ascii="Times New Roman" w:hAnsi="Times New Roman"/>
          <w:szCs w:val="24"/>
        </w:rPr>
        <w:tab/>
      </w:r>
      <w:r w:rsidR="003F2E4D">
        <w:rPr>
          <w:rFonts w:ascii="Times New Roman" w:hAnsi="Times New Roman"/>
          <w:szCs w:val="24"/>
        </w:rPr>
        <w:t xml:space="preserve">Before </w:t>
      </w:r>
      <w:r w:rsidR="00E002DA">
        <w:rPr>
          <w:rFonts w:ascii="Times New Roman" w:hAnsi="Times New Roman"/>
          <w:szCs w:val="24"/>
        </w:rPr>
        <w:t xml:space="preserve">residential </w:t>
      </w:r>
      <w:r w:rsidR="003F2E4D">
        <w:rPr>
          <w:rFonts w:ascii="Times New Roman" w:hAnsi="Times New Roman"/>
          <w:szCs w:val="24"/>
        </w:rPr>
        <w:t xml:space="preserve">energy charge </w:t>
      </w:r>
      <w:r w:rsidR="00E002DA">
        <w:rPr>
          <w:rFonts w:ascii="Times New Roman" w:hAnsi="Times New Roman"/>
          <w:szCs w:val="24"/>
        </w:rPr>
        <w:t>tiers</w:t>
      </w:r>
      <w:r w:rsidR="003F2E4D">
        <w:rPr>
          <w:rFonts w:ascii="Times New Roman" w:hAnsi="Times New Roman"/>
          <w:szCs w:val="24"/>
        </w:rPr>
        <w:t xml:space="preserve"> can be updated</w:t>
      </w:r>
      <w:r w:rsidR="00E002DA">
        <w:rPr>
          <w:rFonts w:ascii="Times New Roman" w:hAnsi="Times New Roman"/>
          <w:szCs w:val="24"/>
        </w:rPr>
        <w:t xml:space="preserve">, </w:t>
      </w:r>
      <w:r w:rsidR="00690BF0">
        <w:rPr>
          <w:rFonts w:ascii="Times New Roman" w:hAnsi="Times New Roman"/>
          <w:szCs w:val="24"/>
        </w:rPr>
        <w:t xml:space="preserve">new </w:t>
      </w:r>
      <w:r w:rsidR="00201361">
        <w:rPr>
          <w:rFonts w:ascii="Times New Roman" w:hAnsi="Times New Roman"/>
          <w:szCs w:val="24"/>
        </w:rPr>
        <w:t xml:space="preserve">residential end-use saturation data for our Washington service area </w:t>
      </w:r>
      <w:r w:rsidR="003F2E4D">
        <w:rPr>
          <w:rFonts w:ascii="Times New Roman" w:hAnsi="Times New Roman"/>
          <w:szCs w:val="24"/>
        </w:rPr>
        <w:t>must be captured.</w:t>
      </w:r>
      <w:r w:rsidR="00201361">
        <w:rPr>
          <w:rFonts w:ascii="Times New Roman" w:hAnsi="Times New Roman"/>
          <w:szCs w:val="24"/>
        </w:rPr>
        <w:t xml:space="preserve">  The last residential survey was </w:t>
      </w:r>
      <w:r w:rsidR="00690BF0">
        <w:rPr>
          <w:rFonts w:ascii="Times New Roman" w:hAnsi="Times New Roman"/>
          <w:szCs w:val="24"/>
        </w:rPr>
        <w:t xml:space="preserve">completed </w:t>
      </w:r>
      <w:r w:rsidR="00201361">
        <w:rPr>
          <w:rFonts w:ascii="Times New Roman" w:hAnsi="Times New Roman"/>
          <w:szCs w:val="24"/>
        </w:rPr>
        <w:t xml:space="preserve">in 2006.  A new survey </w:t>
      </w:r>
      <w:r w:rsidR="00CE2AA5">
        <w:rPr>
          <w:rFonts w:ascii="Times New Roman" w:hAnsi="Times New Roman"/>
          <w:szCs w:val="24"/>
        </w:rPr>
        <w:t xml:space="preserve">ordered by the Commission </w:t>
      </w:r>
      <w:r w:rsidR="00201361">
        <w:rPr>
          <w:rFonts w:ascii="Times New Roman" w:hAnsi="Times New Roman"/>
          <w:szCs w:val="24"/>
        </w:rPr>
        <w:t>would better inform residential rate design decisions for Washington than relying on national HUD data from 2001.</w:t>
      </w:r>
    </w:p>
    <w:p w:rsidR="00201361" w:rsidRDefault="00201361" w:rsidP="0034595D">
      <w:pPr>
        <w:rPr>
          <w:rFonts w:ascii="Times New Roman" w:hAnsi="Times New Roman"/>
          <w:b/>
          <w:szCs w:val="24"/>
        </w:rPr>
      </w:pPr>
      <w:r>
        <w:rPr>
          <w:rFonts w:ascii="Times New Roman" w:hAnsi="Times New Roman"/>
          <w:b/>
          <w:szCs w:val="24"/>
        </w:rPr>
        <w:t>Q.</w:t>
      </w:r>
      <w:r>
        <w:rPr>
          <w:rFonts w:ascii="Times New Roman" w:hAnsi="Times New Roman"/>
          <w:b/>
          <w:szCs w:val="24"/>
        </w:rPr>
        <w:tab/>
        <w:t xml:space="preserve">Are there other reasons you disagree with </w:t>
      </w:r>
      <w:r w:rsidR="000228E9">
        <w:rPr>
          <w:rFonts w:ascii="Times New Roman" w:hAnsi="Times New Roman"/>
          <w:b/>
          <w:szCs w:val="24"/>
        </w:rPr>
        <w:t xml:space="preserve">Mr. Mickelson’s </w:t>
      </w:r>
      <w:r w:rsidR="007E3E59">
        <w:rPr>
          <w:rFonts w:ascii="Times New Roman" w:hAnsi="Times New Roman"/>
          <w:b/>
          <w:szCs w:val="24"/>
        </w:rPr>
        <w:t xml:space="preserve">proposal to reset </w:t>
      </w:r>
      <w:r>
        <w:rPr>
          <w:rFonts w:ascii="Times New Roman" w:hAnsi="Times New Roman"/>
          <w:b/>
          <w:szCs w:val="24"/>
        </w:rPr>
        <w:t xml:space="preserve">residential </w:t>
      </w:r>
      <w:r w:rsidR="007E3E59">
        <w:rPr>
          <w:rFonts w:ascii="Times New Roman" w:hAnsi="Times New Roman"/>
          <w:b/>
          <w:szCs w:val="24"/>
        </w:rPr>
        <w:t xml:space="preserve">energy charge </w:t>
      </w:r>
      <w:r>
        <w:rPr>
          <w:rFonts w:ascii="Times New Roman" w:hAnsi="Times New Roman"/>
          <w:b/>
          <w:szCs w:val="24"/>
        </w:rPr>
        <w:t>rate tier</w:t>
      </w:r>
      <w:r w:rsidR="00D55EB8">
        <w:rPr>
          <w:rFonts w:ascii="Times New Roman" w:hAnsi="Times New Roman"/>
          <w:b/>
          <w:szCs w:val="24"/>
        </w:rPr>
        <w:t>s</w:t>
      </w:r>
      <w:r>
        <w:rPr>
          <w:rFonts w:ascii="Times New Roman" w:hAnsi="Times New Roman"/>
          <w:b/>
          <w:szCs w:val="24"/>
        </w:rPr>
        <w:t xml:space="preserve"> in this case?</w:t>
      </w:r>
    </w:p>
    <w:p w:rsidR="002F288C" w:rsidRDefault="00201361" w:rsidP="0034595D">
      <w:pPr>
        <w:rPr>
          <w:rFonts w:ascii="Times New Roman" w:hAnsi="Times New Roman"/>
          <w:szCs w:val="24"/>
        </w:rPr>
      </w:pPr>
      <w:r w:rsidRPr="002A285A">
        <w:rPr>
          <w:rFonts w:ascii="Times New Roman" w:hAnsi="Times New Roman"/>
          <w:szCs w:val="24"/>
        </w:rPr>
        <w:t xml:space="preserve">A. </w:t>
      </w:r>
      <w:r w:rsidRPr="002A285A">
        <w:rPr>
          <w:rFonts w:ascii="Times New Roman" w:hAnsi="Times New Roman"/>
          <w:szCs w:val="24"/>
        </w:rPr>
        <w:tab/>
      </w:r>
      <w:r>
        <w:rPr>
          <w:rFonts w:ascii="Times New Roman" w:hAnsi="Times New Roman"/>
          <w:szCs w:val="24"/>
        </w:rPr>
        <w:t xml:space="preserve">Yes.  </w:t>
      </w:r>
      <w:r w:rsidR="00364835">
        <w:rPr>
          <w:rFonts w:ascii="Times New Roman" w:hAnsi="Times New Roman"/>
          <w:szCs w:val="24"/>
        </w:rPr>
        <w:t xml:space="preserve">As </w:t>
      </w:r>
      <w:r w:rsidR="000228E9">
        <w:rPr>
          <w:rFonts w:ascii="Times New Roman" w:hAnsi="Times New Roman"/>
          <w:szCs w:val="24"/>
        </w:rPr>
        <w:t>Mr. Mickelson</w:t>
      </w:r>
      <w:r w:rsidR="009B2B0A">
        <w:rPr>
          <w:rFonts w:ascii="Times New Roman" w:hAnsi="Times New Roman"/>
          <w:szCs w:val="24"/>
        </w:rPr>
        <w:t xml:space="preserve"> </w:t>
      </w:r>
      <w:r w:rsidR="00364835">
        <w:rPr>
          <w:rFonts w:ascii="Times New Roman" w:hAnsi="Times New Roman"/>
          <w:szCs w:val="24"/>
        </w:rPr>
        <w:t xml:space="preserve">notes, moving more usage into the first tier </w:t>
      </w:r>
      <w:r w:rsidR="007E3E59" w:rsidRPr="00184A88">
        <w:rPr>
          <w:rFonts w:ascii="Times New Roman" w:hAnsi="Times New Roman"/>
          <w:szCs w:val="24"/>
        </w:rPr>
        <w:t xml:space="preserve">as </w:t>
      </w:r>
      <w:r w:rsidR="000228E9" w:rsidRPr="00184A88">
        <w:rPr>
          <w:rFonts w:ascii="Times New Roman" w:hAnsi="Times New Roman"/>
          <w:szCs w:val="24"/>
        </w:rPr>
        <w:t xml:space="preserve">he </w:t>
      </w:r>
      <w:r w:rsidR="007E3E59" w:rsidRPr="00184A88">
        <w:rPr>
          <w:rFonts w:ascii="Times New Roman" w:hAnsi="Times New Roman"/>
          <w:szCs w:val="24"/>
        </w:rPr>
        <w:t>proposes</w:t>
      </w:r>
      <w:r w:rsidR="007E3E59">
        <w:rPr>
          <w:rFonts w:ascii="Times New Roman" w:hAnsi="Times New Roman"/>
          <w:szCs w:val="24"/>
        </w:rPr>
        <w:t xml:space="preserve"> </w:t>
      </w:r>
      <w:r w:rsidR="00364835">
        <w:rPr>
          <w:rFonts w:ascii="Times New Roman" w:hAnsi="Times New Roman"/>
          <w:szCs w:val="24"/>
        </w:rPr>
        <w:t xml:space="preserve">reduces the conservation price signal </w:t>
      </w:r>
      <w:r w:rsidR="009B2B0A">
        <w:rPr>
          <w:rFonts w:ascii="Times New Roman" w:hAnsi="Times New Roman"/>
          <w:szCs w:val="24"/>
        </w:rPr>
        <w:t>because more consumption can occur at a lower rate.</w:t>
      </w:r>
      <w:r w:rsidR="003C52BD">
        <w:rPr>
          <w:rStyle w:val="FootnoteReference"/>
          <w:szCs w:val="24"/>
        </w:rPr>
        <w:footnoteReference w:id="27"/>
      </w:r>
      <w:r w:rsidR="009B2B0A">
        <w:rPr>
          <w:rFonts w:ascii="Times New Roman" w:hAnsi="Times New Roman"/>
          <w:szCs w:val="24"/>
        </w:rPr>
        <w:t xml:space="preserve">  There is no compelling reason to send this confusing price signal to customers, particularly in light of </w:t>
      </w:r>
      <w:r w:rsidR="00B42B78">
        <w:rPr>
          <w:rFonts w:ascii="Times New Roman" w:hAnsi="Times New Roman"/>
          <w:szCs w:val="24"/>
        </w:rPr>
        <w:t xml:space="preserve">Washington Initiative </w:t>
      </w:r>
      <w:r w:rsidR="009B2B0A">
        <w:rPr>
          <w:rFonts w:ascii="Times New Roman" w:hAnsi="Times New Roman"/>
          <w:szCs w:val="24"/>
        </w:rPr>
        <w:t xml:space="preserve">I-937.  The Company’s conservation programs target </w:t>
      </w:r>
      <w:r w:rsidR="00F85346">
        <w:rPr>
          <w:rFonts w:ascii="Times New Roman" w:hAnsi="Times New Roman"/>
          <w:szCs w:val="24"/>
        </w:rPr>
        <w:t xml:space="preserve">many </w:t>
      </w:r>
      <w:r w:rsidR="009B2B0A">
        <w:rPr>
          <w:rFonts w:ascii="Times New Roman" w:hAnsi="Times New Roman"/>
          <w:szCs w:val="24"/>
        </w:rPr>
        <w:t>types of end uses so altering this rate design may actually undermine th</w:t>
      </w:r>
      <w:r w:rsidR="007E3E59">
        <w:rPr>
          <w:rFonts w:ascii="Times New Roman" w:hAnsi="Times New Roman"/>
          <w:szCs w:val="24"/>
        </w:rPr>
        <w:t>o</w:t>
      </w:r>
      <w:r w:rsidR="00D55EB8">
        <w:rPr>
          <w:rFonts w:ascii="Times New Roman" w:hAnsi="Times New Roman"/>
          <w:szCs w:val="24"/>
        </w:rPr>
        <w:t>se</w:t>
      </w:r>
      <w:r w:rsidR="009B2B0A">
        <w:rPr>
          <w:rFonts w:ascii="Times New Roman" w:hAnsi="Times New Roman"/>
          <w:szCs w:val="24"/>
        </w:rPr>
        <w:t xml:space="preserve"> energy efficiency program efforts. </w:t>
      </w:r>
    </w:p>
    <w:p w:rsidR="00694AED" w:rsidRDefault="009B2B0A" w:rsidP="0034595D">
      <w:pPr>
        <w:ind w:firstLine="720"/>
        <w:rPr>
          <w:rFonts w:ascii="Times New Roman" w:hAnsi="Times New Roman"/>
          <w:szCs w:val="24"/>
        </w:rPr>
      </w:pPr>
      <w:r>
        <w:rPr>
          <w:rFonts w:ascii="Times New Roman" w:hAnsi="Times New Roman"/>
          <w:szCs w:val="24"/>
        </w:rPr>
        <w:t xml:space="preserve">Moreover, </w:t>
      </w:r>
      <w:r w:rsidR="002F288C">
        <w:rPr>
          <w:rFonts w:ascii="Times New Roman" w:hAnsi="Times New Roman"/>
          <w:szCs w:val="24"/>
        </w:rPr>
        <w:t xml:space="preserve">while </w:t>
      </w:r>
      <w:r w:rsidR="000228E9">
        <w:rPr>
          <w:rFonts w:ascii="Times New Roman" w:hAnsi="Times New Roman"/>
          <w:szCs w:val="24"/>
        </w:rPr>
        <w:t xml:space="preserve">Mr. Mickelson </w:t>
      </w:r>
      <w:r w:rsidR="002F288C">
        <w:rPr>
          <w:rFonts w:ascii="Times New Roman" w:hAnsi="Times New Roman"/>
          <w:szCs w:val="24"/>
        </w:rPr>
        <w:t>argues that adding the third tier may help with conservation efforts for higher</w:t>
      </w:r>
      <w:r w:rsidR="000228E9">
        <w:rPr>
          <w:rFonts w:ascii="Times New Roman" w:hAnsi="Times New Roman"/>
          <w:szCs w:val="24"/>
        </w:rPr>
        <w:t>-</w:t>
      </w:r>
      <w:r w:rsidR="001F6F4E">
        <w:rPr>
          <w:rFonts w:ascii="Times New Roman" w:hAnsi="Times New Roman"/>
          <w:szCs w:val="24"/>
        </w:rPr>
        <w:t>use customers</w:t>
      </w:r>
      <w:r w:rsidR="00935D65">
        <w:rPr>
          <w:rFonts w:ascii="Times New Roman" w:hAnsi="Times New Roman"/>
          <w:szCs w:val="24"/>
        </w:rPr>
        <w:t>,</w:t>
      </w:r>
      <w:r w:rsidR="003C52BD">
        <w:rPr>
          <w:rStyle w:val="FootnoteReference"/>
          <w:szCs w:val="24"/>
        </w:rPr>
        <w:footnoteReference w:id="28"/>
      </w:r>
      <w:r w:rsidR="00935D65">
        <w:rPr>
          <w:rFonts w:ascii="Times New Roman" w:hAnsi="Times New Roman"/>
          <w:szCs w:val="24"/>
        </w:rPr>
        <w:t xml:space="preserve"> </w:t>
      </w:r>
      <w:r w:rsidR="000228E9">
        <w:rPr>
          <w:rFonts w:ascii="Times New Roman" w:hAnsi="Times New Roman"/>
          <w:szCs w:val="24"/>
        </w:rPr>
        <w:t>he</w:t>
      </w:r>
      <w:r w:rsidR="00935D65">
        <w:rPr>
          <w:rFonts w:ascii="Times New Roman" w:hAnsi="Times New Roman"/>
          <w:szCs w:val="24"/>
        </w:rPr>
        <w:t xml:space="preserve"> does</w:t>
      </w:r>
      <w:r w:rsidR="007E3E59">
        <w:rPr>
          <w:rFonts w:ascii="Times New Roman" w:hAnsi="Times New Roman"/>
          <w:szCs w:val="24"/>
        </w:rPr>
        <w:t xml:space="preserve"> </w:t>
      </w:r>
      <w:r w:rsidR="00935D65">
        <w:rPr>
          <w:rFonts w:ascii="Times New Roman" w:hAnsi="Times New Roman"/>
          <w:szCs w:val="24"/>
        </w:rPr>
        <w:t>n</w:t>
      </w:r>
      <w:r w:rsidR="007E3E59">
        <w:rPr>
          <w:rFonts w:ascii="Times New Roman" w:hAnsi="Times New Roman"/>
          <w:szCs w:val="24"/>
        </w:rPr>
        <w:t>o</w:t>
      </w:r>
      <w:r w:rsidR="00935D65">
        <w:rPr>
          <w:rFonts w:ascii="Times New Roman" w:hAnsi="Times New Roman"/>
          <w:szCs w:val="24"/>
        </w:rPr>
        <w:t xml:space="preserve">t recognize that the Company’s current residential rate design already reflects a steeply inverted </w:t>
      </w:r>
      <w:r w:rsidR="007E3E59">
        <w:rPr>
          <w:rFonts w:ascii="Times New Roman" w:hAnsi="Times New Roman"/>
          <w:szCs w:val="24"/>
        </w:rPr>
        <w:t xml:space="preserve">tail </w:t>
      </w:r>
      <w:r w:rsidR="00935D65">
        <w:rPr>
          <w:rFonts w:ascii="Times New Roman" w:hAnsi="Times New Roman"/>
          <w:szCs w:val="24"/>
        </w:rPr>
        <w:t>block</w:t>
      </w:r>
      <w:r w:rsidR="0034595D">
        <w:rPr>
          <w:rFonts w:ascii="Times New Roman" w:hAnsi="Times New Roman"/>
          <w:szCs w:val="24"/>
        </w:rPr>
        <w:t xml:space="preserve"> rate</w:t>
      </w:r>
      <w:r w:rsidR="00935D65">
        <w:rPr>
          <w:rFonts w:ascii="Times New Roman" w:hAnsi="Times New Roman"/>
          <w:szCs w:val="24"/>
        </w:rPr>
        <w:t xml:space="preserve">. </w:t>
      </w:r>
      <w:r w:rsidR="00B42B78">
        <w:rPr>
          <w:rFonts w:ascii="Times New Roman" w:hAnsi="Times New Roman"/>
          <w:szCs w:val="24"/>
        </w:rPr>
        <w:t xml:space="preserve"> </w:t>
      </w:r>
      <w:r w:rsidR="00935D65">
        <w:rPr>
          <w:rFonts w:ascii="Times New Roman" w:hAnsi="Times New Roman"/>
          <w:szCs w:val="24"/>
        </w:rPr>
        <w:t xml:space="preserve">The Company’s current second tier energy rate is </w:t>
      </w:r>
      <w:r w:rsidR="001F6F4E">
        <w:rPr>
          <w:rFonts w:ascii="Times New Roman" w:hAnsi="Times New Roman"/>
          <w:szCs w:val="24"/>
        </w:rPr>
        <w:t>58 percent higher than the first tier</w:t>
      </w:r>
      <w:r w:rsidR="007E3E59">
        <w:rPr>
          <w:rFonts w:ascii="Times New Roman" w:hAnsi="Times New Roman"/>
          <w:szCs w:val="24"/>
        </w:rPr>
        <w:t xml:space="preserve">; </w:t>
      </w:r>
      <w:r w:rsidR="001F6F4E">
        <w:rPr>
          <w:rFonts w:ascii="Times New Roman" w:hAnsi="Times New Roman"/>
          <w:szCs w:val="24"/>
        </w:rPr>
        <w:t xml:space="preserve">the Company’s proposed rate design </w:t>
      </w:r>
      <w:r w:rsidR="00E07190">
        <w:rPr>
          <w:rFonts w:ascii="Times New Roman" w:hAnsi="Times New Roman"/>
          <w:szCs w:val="24"/>
        </w:rPr>
        <w:t xml:space="preserve">in this case </w:t>
      </w:r>
      <w:r w:rsidR="001F6F4E">
        <w:rPr>
          <w:rFonts w:ascii="Times New Roman" w:hAnsi="Times New Roman"/>
          <w:szCs w:val="24"/>
        </w:rPr>
        <w:t xml:space="preserve">increases the differential to be </w:t>
      </w:r>
      <w:r w:rsidR="004026C4">
        <w:rPr>
          <w:rFonts w:ascii="Times New Roman" w:hAnsi="Times New Roman"/>
          <w:szCs w:val="24"/>
        </w:rPr>
        <w:t xml:space="preserve">73 </w:t>
      </w:r>
      <w:r w:rsidR="001F6F4E">
        <w:rPr>
          <w:rFonts w:ascii="Times New Roman" w:hAnsi="Times New Roman"/>
          <w:szCs w:val="24"/>
        </w:rPr>
        <w:t>percent higher.  In contrast, the second tier in P</w:t>
      </w:r>
      <w:r w:rsidR="000228E9">
        <w:rPr>
          <w:rFonts w:ascii="Times New Roman" w:hAnsi="Times New Roman"/>
          <w:szCs w:val="24"/>
        </w:rPr>
        <w:t>SE</w:t>
      </w:r>
      <w:r w:rsidR="001F6F4E">
        <w:rPr>
          <w:rFonts w:ascii="Times New Roman" w:hAnsi="Times New Roman"/>
          <w:szCs w:val="24"/>
        </w:rPr>
        <w:t xml:space="preserve">’s current </w:t>
      </w:r>
      <w:r w:rsidR="0034595D">
        <w:rPr>
          <w:rFonts w:ascii="Times New Roman" w:hAnsi="Times New Roman"/>
          <w:szCs w:val="24"/>
        </w:rPr>
        <w:t xml:space="preserve">residential tariff </w:t>
      </w:r>
      <w:r w:rsidR="001F6F4E">
        <w:rPr>
          <w:rFonts w:ascii="Times New Roman" w:hAnsi="Times New Roman"/>
          <w:szCs w:val="24"/>
        </w:rPr>
        <w:t>Schedule 7, which is also set for 0-600 kWh, is 22</w:t>
      </w:r>
      <w:r w:rsidR="00935D65">
        <w:rPr>
          <w:rFonts w:ascii="Times New Roman" w:hAnsi="Times New Roman"/>
          <w:szCs w:val="24"/>
        </w:rPr>
        <w:t xml:space="preserve"> </w:t>
      </w:r>
      <w:r w:rsidR="001F6F4E">
        <w:rPr>
          <w:rFonts w:ascii="Times New Roman" w:hAnsi="Times New Roman"/>
          <w:szCs w:val="24"/>
        </w:rPr>
        <w:t>percent higher than the first tier.</w:t>
      </w:r>
      <w:r w:rsidR="001F6F4E" w:rsidRPr="00B06AA9">
        <w:rPr>
          <w:rStyle w:val="FootnoteReference"/>
          <w:szCs w:val="24"/>
        </w:rPr>
        <w:footnoteReference w:id="29"/>
      </w:r>
      <w:r w:rsidR="001F6F4E">
        <w:rPr>
          <w:rFonts w:ascii="Times New Roman" w:hAnsi="Times New Roman"/>
          <w:szCs w:val="24"/>
        </w:rPr>
        <w:t xml:space="preserve">  Avista, which has three residential energy tiers, has a</w:t>
      </w:r>
      <w:r w:rsidR="00B42B78">
        <w:rPr>
          <w:rFonts w:ascii="Times New Roman" w:hAnsi="Times New Roman"/>
          <w:szCs w:val="24"/>
        </w:rPr>
        <w:t>n</w:t>
      </w:r>
      <w:r w:rsidR="00E07190">
        <w:rPr>
          <w:rFonts w:ascii="Times New Roman" w:hAnsi="Times New Roman"/>
          <w:szCs w:val="24"/>
        </w:rPr>
        <w:t xml:space="preserve"> </w:t>
      </w:r>
      <w:r w:rsidR="001F6F4E">
        <w:rPr>
          <w:rFonts w:ascii="Times New Roman" w:hAnsi="Times New Roman"/>
          <w:szCs w:val="24"/>
        </w:rPr>
        <w:t>even flatter rate structure with the second tier</w:t>
      </w:r>
      <w:r w:rsidR="002038C9">
        <w:rPr>
          <w:rFonts w:ascii="Times New Roman" w:hAnsi="Times New Roman"/>
          <w:szCs w:val="24"/>
        </w:rPr>
        <w:t xml:space="preserve"> (for </w:t>
      </w:r>
      <w:r w:rsidR="00E07190">
        <w:rPr>
          <w:rFonts w:ascii="Times New Roman" w:hAnsi="Times New Roman"/>
          <w:szCs w:val="24"/>
        </w:rPr>
        <w:t xml:space="preserve">usage between </w:t>
      </w:r>
      <w:r w:rsidR="002038C9">
        <w:rPr>
          <w:rFonts w:ascii="Times New Roman" w:hAnsi="Times New Roman"/>
          <w:szCs w:val="24"/>
        </w:rPr>
        <w:t>800-1500 kWh) only 16 percent higher than the first tier and the third tier only 17 percent higher than the second tier.</w:t>
      </w:r>
      <w:r w:rsidR="00B06AA9" w:rsidRPr="00D55EB8">
        <w:rPr>
          <w:rStyle w:val="FootnoteReference"/>
          <w:szCs w:val="24"/>
        </w:rPr>
        <w:footnoteReference w:id="30"/>
      </w:r>
      <w:r w:rsidR="002038C9">
        <w:rPr>
          <w:rFonts w:ascii="Times New Roman" w:hAnsi="Times New Roman"/>
          <w:szCs w:val="24"/>
        </w:rPr>
        <w:t xml:space="preserve">  The difference between the first and third tiers</w:t>
      </w:r>
      <w:r w:rsidR="00D55EB8">
        <w:rPr>
          <w:rFonts w:ascii="Times New Roman" w:hAnsi="Times New Roman"/>
          <w:szCs w:val="24"/>
        </w:rPr>
        <w:t xml:space="preserve"> for Avista</w:t>
      </w:r>
      <w:r w:rsidR="002038C9">
        <w:rPr>
          <w:rFonts w:ascii="Times New Roman" w:hAnsi="Times New Roman"/>
          <w:szCs w:val="24"/>
        </w:rPr>
        <w:t xml:space="preserve"> is 36</w:t>
      </w:r>
      <w:r w:rsidR="008A4EA9">
        <w:rPr>
          <w:rFonts w:ascii="Times New Roman" w:hAnsi="Times New Roman"/>
          <w:szCs w:val="24"/>
        </w:rPr>
        <w:t> </w:t>
      </w:r>
      <w:r w:rsidR="002038C9">
        <w:rPr>
          <w:rFonts w:ascii="Times New Roman" w:hAnsi="Times New Roman"/>
          <w:szCs w:val="24"/>
        </w:rPr>
        <w:t xml:space="preserve">percent, which is significantly less than </w:t>
      </w:r>
      <w:r w:rsidR="003C52BD">
        <w:rPr>
          <w:rFonts w:ascii="Times New Roman" w:hAnsi="Times New Roman"/>
          <w:szCs w:val="24"/>
        </w:rPr>
        <w:t xml:space="preserve">the differential in </w:t>
      </w:r>
      <w:r w:rsidR="008A4EA9">
        <w:rPr>
          <w:rFonts w:ascii="Times New Roman" w:hAnsi="Times New Roman"/>
          <w:szCs w:val="24"/>
        </w:rPr>
        <w:t>the Company’</w:t>
      </w:r>
      <w:r w:rsidR="00B06AA9">
        <w:rPr>
          <w:rFonts w:ascii="Times New Roman" w:hAnsi="Times New Roman"/>
          <w:szCs w:val="24"/>
        </w:rPr>
        <w:t xml:space="preserve">s </w:t>
      </w:r>
      <w:r w:rsidR="002038C9">
        <w:rPr>
          <w:rFonts w:ascii="Times New Roman" w:hAnsi="Times New Roman"/>
          <w:szCs w:val="24"/>
        </w:rPr>
        <w:t>current rate</w:t>
      </w:r>
      <w:r w:rsidR="00B06AA9">
        <w:rPr>
          <w:rFonts w:ascii="Times New Roman" w:hAnsi="Times New Roman"/>
          <w:szCs w:val="24"/>
        </w:rPr>
        <w:t xml:space="preserve"> </w:t>
      </w:r>
      <w:r w:rsidR="002038C9">
        <w:rPr>
          <w:rFonts w:ascii="Times New Roman" w:hAnsi="Times New Roman"/>
          <w:szCs w:val="24"/>
        </w:rPr>
        <w:t xml:space="preserve">design.  </w:t>
      </w:r>
    </w:p>
    <w:p w:rsidR="005619A7" w:rsidRDefault="008A4EA9" w:rsidP="0034595D">
      <w:pPr>
        <w:ind w:firstLine="720"/>
        <w:rPr>
          <w:rFonts w:ascii="Times New Roman" w:hAnsi="Times New Roman"/>
          <w:szCs w:val="24"/>
        </w:rPr>
      </w:pPr>
      <w:r>
        <w:rPr>
          <w:rFonts w:ascii="Times New Roman" w:hAnsi="Times New Roman"/>
          <w:szCs w:val="24"/>
        </w:rPr>
        <w:t xml:space="preserve">Mr. Mickelson’s </w:t>
      </w:r>
      <w:r w:rsidR="00C71062">
        <w:rPr>
          <w:rFonts w:ascii="Times New Roman" w:hAnsi="Times New Roman"/>
          <w:szCs w:val="24"/>
        </w:rPr>
        <w:t>proposed rate</w:t>
      </w:r>
      <w:r w:rsidR="00B64D7E">
        <w:rPr>
          <w:rFonts w:ascii="Times New Roman" w:hAnsi="Times New Roman"/>
          <w:szCs w:val="24"/>
        </w:rPr>
        <w:t xml:space="preserve">s in this case actually reduce the differential between the first and second tiers to 50 percent and have a very modest differential of only </w:t>
      </w:r>
      <w:r>
        <w:rPr>
          <w:rFonts w:ascii="Times New Roman" w:hAnsi="Times New Roman"/>
          <w:szCs w:val="24"/>
        </w:rPr>
        <w:t xml:space="preserve">seven </w:t>
      </w:r>
      <w:r w:rsidR="00B64D7E">
        <w:rPr>
          <w:rFonts w:ascii="Times New Roman" w:hAnsi="Times New Roman"/>
          <w:szCs w:val="24"/>
        </w:rPr>
        <w:t>percent between the second and third tiers.</w:t>
      </w:r>
      <w:r w:rsidR="00694AED">
        <w:rPr>
          <w:rFonts w:ascii="Times New Roman" w:hAnsi="Times New Roman"/>
          <w:szCs w:val="24"/>
        </w:rPr>
        <w:t xml:space="preserve">  </w:t>
      </w:r>
      <w:r w:rsidR="00C50C40">
        <w:rPr>
          <w:rFonts w:ascii="Times New Roman" w:hAnsi="Times New Roman"/>
          <w:szCs w:val="24"/>
        </w:rPr>
        <w:t xml:space="preserve">Thus, the rate differential between </w:t>
      </w:r>
      <w:r>
        <w:rPr>
          <w:rFonts w:ascii="Times New Roman" w:hAnsi="Times New Roman"/>
          <w:szCs w:val="24"/>
        </w:rPr>
        <w:t>his</w:t>
      </w:r>
      <w:r w:rsidR="00C50C40">
        <w:rPr>
          <w:rFonts w:ascii="Times New Roman" w:hAnsi="Times New Roman"/>
          <w:szCs w:val="24"/>
        </w:rPr>
        <w:t xml:space="preserve"> proposed first and third tiers is less than the differential between the Company’s proposed rates for the first and second tiers</w:t>
      </w:r>
      <w:r w:rsidR="00694AED">
        <w:rPr>
          <w:rFonts w:ascii="Times New Roman" w:hAnsi="Times New Roman"/>
          <w:szCs w:val="24"/>
        </w:rPr>
        <w:t xml:space="preserve">.  </w:t>
      </w:r>
      <w:r w:rsidR="001C52F7">
        <w:rPr>
          <w:rFonts w:ascii="Times New Roman" w:hAnsi="Times New Roman"/>
          <w:szCs w:val="24"/>
        </w:rPr>
        <w:t>Therefore, t</w:t>
      </w:r>
      <w:r w:rsidR="007D1B95">
        <w:rPr>
          <w:rFonts w:ascii="Times New Roman" w:hAnsi="Times New Roman"/>
          <w:szCs w:val="24"/>
        </w:rPr>
        <w:t xml:space="preserve">he Company’s </w:t>
      </w:r>
      <w:r w:rsidR="00694AED">
        <w:rPr>
          <w:rFonts w:ascii="Times New Roman" w:hAnsi="Times New Roman"/>
          <w:szCs w:val="24"/>
        </w:rPr>
        <w:t xml:space="preserve">current and </w:t>
      </w:r>
      <w:r w:rsidR="00B64D7E">
        <w:rPr>
          <w:rFonts w:ascii="Times New Roman" w:hAnsi="Times New Roman"/>
          <w:szCs w:val="24"/>
        </w:rPr>
        <w:t xml:space="preserve">proposed rate design </w:t>
      </w:r>
      <w:r w:rsidR="00C50C40">
        <w:rPr>
          <w:rFonts w:ascii="Times New Roman" w:hAnsi="Times New Roman"/>
          <w:szCs w:val="24"/>
        </w:rPr>
        <w:t xml:space="preserve">provides </w:t>
      </w:r>
      <w:r w:rsidR="00B64D7E">
        <w:rPr>
          <w:rFonts w:ascii="Times New Roman" w:hAnsi="Times New Roman"/>
          <w:szCs w:val="24"/>
        </w:rPr>
        <w:t xml:space="preserve">a </w:t>
      </w:r>
      <w:r w:rsidR="001C52F7">
        <w:rPr>
          <w:rFonts w:ascii="Times New Roman" w:hAnsi="Times New Roman"/>
          <w:szCs w:val="24"/>
        </w:rPr>
        <w:t xml:space="preserve">more </w:t>
      </w:r>
      <w:r w:rsidR="00B64D7E">
        <w:rPr>
          <w:rFonts w:ascii="Times New Roman" w:hAnsi="Times New Roman"/>
          <w:szCs w:val="24"/>
        </w:rPr>
        <w:t xml:space="preserve">significant price signal </w:t>
      </w:r>
      <w:r w:rsidR="001C52F7">
        <w:rPr>
          <w:rFonts w:ascii="Times New Roman" w:hAnsi="Times New Roman"/>
          <w:szCs w:val="24"/>
        </w:rPr>
        <w:t xml:space="preserve">to not only </w:t>
      </w:r>
      <w:r w:rsidR="007D1B95">
        <w:rPr>
          <w:rFonts w:ascii="Times New Roman" w:hAnsi="Times New Roman"/>
          <w:szCs w:val="24"/>
        </w:rPr>
        <w:t>higher us</w:t>
      </w:r>
      <w:r w:rsidR="0034595D">
        <w:rPr>
          <w:rFonts w:ascii="Times New Roman" w:hAnsi="Times New Roman"/>
          <w:szCs w:val="24"/>
        </w:rPr>
        <w:t>age</w:t>
      </w:r>
      <w:r w:rsidR="007D1B95">
        <w:rPr>
          <w:rFonts w:ascii="Times New Roman" w:hAnsi="Times New Roman"/>
          <w:szCs w:val="24"/>
        </w:rPr>
        <w:t xml:space="preserve"> customers</w:t>
      </w:r>
      <w:r w:rsidR="001C52F7">
        <w:rPr>
          <w:rFonts w:ascii="Times New Roman" w:hAnsi="Times New Roman"/>
          <w:szCs w:val="24"/>
        </w:rPr>
        <w:t xml:space="preserve"> but </w:t>
      </w:r>
      <w:r>
        <w:rPr>
          <w:rFonts w:ascii="Times New Roman" w:hAnsi="Times New Roman"/>
          <w:szCs w:val="24"/>
        </w:rPr>
        <w:t xml:space="preserve">also </w:t>
      </w:r>
      <w:r w:rsidR="001C52F7">
        <w:rPr>
          <w:rFonts w:ascii="Times New Roman" w:hAnsi="Times New Roman"/>
          <w:szCs w:val="24"/>
        </w:rPr>
        <w:t xml:space="preserve">to more </w:t>
      </w:r>
      <w:r w:rsidR="00C50C40">
        <w:rPr>
          <w:rFonts w:ascii="Times New Roman" w:hAnsi="Times New Roman"/>
          <w:szCs w:val="24"/>
        </w:rPr>
        <w:t xml:space="preserve">residential </w:t>
      </w:r>
      <w:r w:rsidR="001C52F7">
        <w:rPr>
          <w:rFonts w:ascii="Times New Roman" w:hAnsi="Times New Roman"/>
          <w:szCs w:val="24"/>
        </w:rPr>
        <w:t>customers overall</w:t>
      </w:r>
      <w:r w:rsidR="007D1B95">
        <w:rPr>
          <w:rFonts w:ascii="Times New Roman" w:hAnsi="Times New Roman"/>
          <w:szCs w:val="24"/>
        </w:rPr>
        <w:t>.</w:t>
      </w:r>
      <w:r w:rsidR="00D55EB8">
        <w:rPr>
          <w:rFonts w:ascii="Times New Roman" w:hAnsi="Times New Roman"/>
          <w:szCs w:val="24"/>
        </w:rPr>
        <w:t xml:space="preserve">  </w:t>
      </w:r>
    </w:p>
    <w:p w:rsidR="002921E2" w:rsidRDefault="001F5F84">
      <w:pPr>
        <w:keepNext/>
        <w:rPr>
          <w:rFonts w:ascii="Times New Roman" w:hAnsi="Times New Roman"/>
          <w:b/>
          <w:szCs w:val="24"/>
        </w:rPr>
      </w:pPr>
      <w:r>
        <w:rPr>
          <w:rFonts w:ascii="Times New Roman" w:hAnsi="Times New Roman"/>
          <w:b/>
          <w:szCs w:val="24"/>
        </w:rPr>
        <w:t>Q.</w:t>
      </w:r>
      <w:r>
        <w:rPr>
          <w:rFonts w:ascii="Times New Roman" w:hAnsi="Times New Roman"/>
          <w:b/>
          <w:szCs w:val="24"/>
        </w:rPr>
        <w:tab/>
      </w:r>
      <w:r w:rsidR="008A4EA9">
        <w:rPr>
          <w:rFonts w:ascii="Times New Roman" w:hAnsi="Times New Roman"/>
          <w:b/>
          <w:szCs w:val="24"/>
        </w:rPr>
        <w:t xml:space="preserve">Mr. Mickelson </w:t>
      </w:r>
      <w:r w:rsidR="00CE16D6">
        <w:rPr>
          <w:rFonts w:ascii="Times New Roman" w:hAnsi="Times New Roman"/>
          <w:b/>
          <w:szCs w:val="24"/>
        </w:rPr>
        <w:t>argue</w:t>
      </w:r>
      <w:r>
        <w:rPr>
          <w:rFonts w:ascii="Times New Roman" w:hAnsi="Times New Roman"/>
          <w:b/>
          <w:szCs w:val="24"/>
        </w:rPr>
        <w:t>s</w:t>
      </w:r>
      <w:r w:rsidR="00CE16D6">
        <w:rPr>
          <w:rFonts w:ascii="Times New Roman" w:hAnsi="Times New Roman"/>
          <w:b/>
          <w:szCs w:val="24"/>
        </w:rPr>
        <w:t xml:space="preserve"> that </w:t>
      </w:r>
      <w:r w:rsidR="003C52BD">
        <w:rPr>
          <w:rFonts w:ascii="Times New Roman" w:hAnsi="Times New Roman"/>
          <w:b/>
          <w:szCs w:val="24"/>
        </w:rPr>
        <w:t xml:space="preserve">his </w:t>
      </w:r>
      <w:r w:rsidR="00CE16D6">
        <w:rPr>
          <w:rFonts w:ascii="Times New Roman" w:hAnsi="Times New Roman"/>
          <w:b/>
          <w:szCs w:val="24"/>
        </w:rPr>
        <w:t>proposed residential rate design promotes revenue stability.</w:t>
      </w:r>
      <w:r w:rsidR="003C52BD">
        <w:rPr>
          <w:rStyle w:val="FootnoteReference"/>
          <w:b/>
          <w:szCs w:val="24"/>
        </w:rPr>
        <w:footnoteReference w:id="31"/>
      </w:r>
      <w:r w:rsidR="00CE16D6">
        <w:rPr>
          <w:rFonts w:ascii="Times New Roman" w:hAnsi="Times New Roman"/>
          <w:b/>
          <w:szCs w:val="24"/>
        </w:rPr>
        <w:t xml:space="preserve">  Do you agree?</w:t>
      </w:r>
    </w:p>
    <w:p w:rsidR="005F5AF2" w:rsidRDefault="00B41E42" w:rsidP="0034595D">
      <w:pPr>
        <w:rPr>
          <w:rFonts w:ascii="Times New Roman" w:hAnsi="Times New Roman"/>
          <w:szCs w:val="24"/>
        </w:rPr>
      </w:pPr>
      <w:r w:rsidRPr="00B41E42">
        <w:rPr>
          <w:rFonts w:ascii="Times New Roman" w:hAnsi="Times New Roman"/>
          <w:szCs w:val="24"/>
        </w:rPr>
        <w:t xml:space="preserve">A. </w:t>
      </w:r>
      <w:r w:rsidRPr="00B41E42">
        <w:rPr>
          <w:rFonts w:ascii="Times New Roman" w:hAnsi="Times New Roman"/>
          <w:szCs w:val="24"/>
        </w:rPr>
        <w:tab/>
        <w:t>No</w:t>
      </w:r>
      <w:r w:rsidR="00CE16D6">
        <w:rPr>
          <w:rFonts w:ascii="Times New Roman" w:hAnsi="Times New Roman"/>
          <w:szCs w:val="24"/>
        </w:rPr>
        <w:t>t necessarily</w:t>
      </w:r>
      <w:r w:rsidRPr="00B41E42">
        <w:rPr>
          <w:rFonts w:ascii="Times New Roman" w:hAnsi="Times New Roman"/>
          <w:szCs w:val="24"/>
        </w:rPr>
        <w:t xml:space="preserve">. </w:t>
      </w:r>
      <w:r w:rsidR="00A24756">
        <w:rPr>
          <w:rFonts w:ascii="Times New Roman" w:hAnsi="Times New Roman"/>
          <w:szCs w:val="24"/>
        </w:rPr>
        <w:t xml:space="preserve"> While the Company appreciates </w:t>
      </w:r>
      <w:r w:rsidR="00FE0115">
        <w:rPr>
          <w:rFonts w:ascii="Times New Roman" w:hAnsi="Times New Roman"/>
          <w:szCs w:val="24"/>
        </w:rPr>
        <w:t xml:space="preserve">Mr. Mickelson’s </w:t>
      </w:r>
      <w:r w:rsidR="00A24756">
        <w:rPr>
          <w:rFonts w:ascii="Times New Roman" w:hAnsi="Times New Roman"/>
          <w:szCs w:val="24"/>
        </w:rPr>
        <w:t>interest in promoting revenue stability, creating a third</w:t>
      </w:r>
      <w:r w:rsidR="00CE77F5">
        <w:rPr>
          <w:rFonts w:ascii="Times New Roman" w:hAnsi="Times New Roman"/>
          <w:szCs w:val="24"/>
        </w:rPr>
        <w:t xml:space="preserve"> tier</w:t>
      </w:r>
      <w:r w:rsidR="00A24756">
        <w:rPr>
          <w:rFonts w:ascii="Times New Roman" w:hAnsi="Times New Roman"/>
          <w:szCs w:val="24"/>
        </w:rPr>
        <w:t xml:space="preserve"> with a high</w:t>
      </w:r>
      <w:r w:rsidR="005F5AF2">
        <w:rPr>
          <w:rFonts w:ascii="Times New Roman" w:hAnsi="Times New Roman"/>
          <w:szCs w:val="24"/>
        </w:rPr>
        <w:t>er</w:t>
      </w:r>
      <w:r w:rsidR="00A24756">
        <w:rPr>
          <w:rFonts w:ascii="Times New Roman" w:hAnsi="Times New Roman"/>
          <w:szCs w:val="24"/>
        </w:rPr>
        <w:t xml:space="preserve"> rate does</w:t>
      </w:r>
      <w:r w:rsidR="002110D2">
        <w:rPr>
          <w:rFonts w:ascii="Times New Roman" w:hAnsi="Times New Roman"/>
          <w:szCs w:val="24"/>
        </w:rPr>
        <w:t xml:space="preserve"> </w:t>
      </w:r>
      <w:r w:rsidR="00A24756">
        <w:rPr>
          <w:rFonts w:ascii="Times New Roman" w:hAnsi="Times New Roman"/>
          <w:szCs w:val="24"/>
        </w:rPr>
        <w:t>n</w:t>
      </w:r>
      <w:r w:rsidR="002110D2">
        <w:rPr>
          <w:rFonts w:ascii="Times New Roman" w:hAnsi="Times New Roman"/>
          <w:szCs w:val="24"/>
        </w:rPr>
        <w:t>o</w:t>
      </w:r>
      <w:r w:rsidR="00A24756">
        <w:rPr>
          <w:rFonts w:ascii="Times New Roman" w:hAnsi="Times New Roman"/>
          <w:szCs w:val="24"/>
        </w:rPr>
        <w:t xml:space="preserve">t necessarily lead to more stable or predictable revenue.  </w:t>
      </w:r>
      <w:r w:rsidR="00CE77F5">
        <w:rPr>
          <w:rFonts w:ascii="Times New Roman" w:hAnsi="Times New Roman"/>
          <w:szCs w:val="24"/>
        </w:rPr>
        <w:t xml:space="preserve">The third tier </w:t>
      </w:r>
      <w:r w:rsidR="00F85346">
        <w:rPr>
          <w:rFonts w:ascii="Times New Roman" w:hAnsi="Times New Roman"/>
          <w:szCs w:val="24"/>
        </w:rPr>
        <w:t xml:space="preserve">may </w:t>
      </w:r>
      <w:r w:rsidR="00CE77F5">
        <w:rPr>
          <w:rFonts w:ascii="Times New Roman" w:hAnsi="Times New Roman"/>
          <w:szCs w:val="24"/>
        </w:rPr>
        <w:t xml:space="preserve">increase revenue volatility as it would be more subject to changes in temperature and economic activity than the first and second tiers.  </w:t>
      </w:r>
      <w:r w:rsidR="00A24756">
        <w:rPr>
          <w:rFonts w:ascii="Times New Roman" w:hAnsi="Times New Roman"/>
          <w:szCs w:val="24"/>
        </w:rPr>
        <w:t xml:space="preserve">The best and most efficient way to promote revenue stability is to reflect fixed costs </w:t>
      </w:r>
      <w:r w:rsidR="005F5AF2">
        <w:rPr>
          <w:rFonts w:ascii="Times New Roman" w:hAnsi="Times New Roman"/>
          <w:szCs w:val="24"/>
        </w:rPr>
        <w:t xml:space="preserve">through the fixed monthly basic </w:t>
      </w:r>
      <w:r w:rsidR="00A24756">
        <w:rPr>
          <w:rFonts w:ascii="Times New Roman" w:hAnsi="Times New Roman"/>
          <w:szCs w:val="24"/>
        </w:rPr>
        <w:t>charge.</w:t>
      </w:r>
      <w:r w:rsidR="00A24756">
        <w:rPr>
          <w:rFonts w:ascii="Times New Roman" w:hAnsi="Times New Roman"/>
          <w:szCs w:val="24"/>
        </w:rPr>
        <w:tab/>
      </w:r>
      <w:r w:rsidR="00A24756">
        <w:rPr>
          <w:rFonts w:ascii="Times New Roman" w:hAnsi="Times New Roman"/>
          <w:szCs w:val="24"/>
        </w:rPr>
        <w:tab/>
      </w:r>
    </w:p>
    <w:p w:rsidR="002D0C4F" w:rsidRDefault="00A24756">
      <w:pPr>
        <w:ind w:firstLine="720"/>
        <w:rPr>
          <w:rFonts w:ascii="Times New Roman" w:hAnsi="Times New Roman"/>
          <w:szCs w:val="24"/>
        </w:rPr>
      </w:pPr>
      <w:r>
        <w:rPr>
          <w:rFonts w:ascii="Times New Roman" w:hAnsi="Times New Roman"/>
          <w:szCs w:val="24"/>
        </w:rPr>
        <w:t xml:space="preserve">Additionally, the rates </w:t>
      </w:r>
      <w:r w:rsidR="008A4EA9">
        <w:rPr>
          <w:rFonts w:ascii="Times New Roman" w:hAnsi="Times New Roman"/>
          <w:szCs w:val="24"/>
        </w:rPr>
        <w:t xml:space="preserve">Mr. Mickelson </w:t>
      </w:r>
      <w:r>
        <w:rPr>
          <w:rFonts w:ascii="Times New Roman" w:hAnsi="Times New Roman"/>
          <w:szCs w:val="24"/>
        </w:rPr>
        <w:t xml:space="preserve">proposed are not consistent with the rate design </w:t>
      </w:r>
      <w:r w:rsidR="008A4EA9">
        <w:rPr>
          <w:rFonts w:ascii="Times New Roman" w:hAnsi="Times New Roman"/>
          <w:szCs w:val="24"/>
        </w:rPr>
        <w:t>he</w:t>
      </w:r>
      <w:r>
        <w:rPr>
          <w:rFonts w:ascii="Times New Roman" w:hAnsi="Times New Roman"/>
          <w:szCs w:val="24"/>
        </w:rPr>
        <w:t xml:space="preserve"> recommended</w:t>
      </w:r>
      <w:r w:rsidR="004E0629">
        <w:rPr>
          <w:rFonts w:ascii="Times New Roman" w:hAnsi="Times New Roman"/>
          <w:szCs w:val="24"/>
        </w:rPr>
        <w:t xml:space="preserve"> in testimony</w:t>
      </w:r>
      <w:r>
        <w:rPr>
          <w:rFonts w:ascii="Times New Roman" w:hAnsi="Times New Roman"/>
          <w:szCs w:val="24"/>
        </w:rPr>
        <w:t xml:space="preserve">.  </w:t>
      </w:r>
      <w:r w:rsidR="008A4EA9">
        <w:rPr>
          <w:rFonts w:ascii="Times New Roman" w:hAnsi="Times New Roman"/>
          <w:szCs w:val="24"/>
        </w:rPr>
        <w:t>Mr. Mickelson</w:t>
      </w:r>
      <w:r>
        <w:rPr>
          <w:rFonts w:ascii="Times New Roman" w:hAnsi="Times New Roman"/>
          <w:szCs w:val="24"/>
        </w:rPr>
        <w:t xml:space="preserve"> </w:t>
      </w:r>
      <w:r w:rsidR="00000DC7">
        <w:rPr>
          <w:rFonts w:ascii="Times New Roman" w:hAnsi="Times New Roman"/>
          <w:szCs w:val="24"/>
        </w:rPr>
        <w:t xml:space="preserve">recommends “creating a third block volumetric rate using the exact same cents per kWh differential between the first- and second-block rates before the rate increase, </w:t>
      </w:r>
      <w:r w:rsidR="003C52BD">
        <w:rPr>
          <w:rFonts w:ascii="Times New Roman" w:hAnsi="Times New Roman"/>
          <w:szCs w:val="24"/>
        </w:rPr>
        <w:t xml:space="preserve">and </w:t>
      </w:r>
      <w:r w:rsidR="00000DC7">
        <w:rPr>
          <w:rFonts w:ascii="Times New Roman" w:hAnsi="Times New Roman"/>
          <w:szCs w:val="24"/>
        </w:rPr>
        <w:t>then applying a weighted uniform percentage increase for all volumetric rates in all Residential Schedules based on each block’s kilowatt-hour units.”</w:t>
      </w:r>
      <w:r w:rsidR="00905F81" w:rsidRPr="00905F81">
        <w:rPr>
          <w:rStyle w:val="FootnoteReference"/>
          <w:szCs w:val="24"/>
        </w:rPr>
        <w:footnoteReference w:id="32"/>
      </w:r>
      <w:r w:rsidR="00000DC7">
        <w:rPr>
          <w:rFonts w:ascii="Times New Roman" w:hAnsi="Times New Roman"/>
          <w:szCs w:val="24"/>
        </w:rPr>
        <w:t xml:space="preserve">  </w:t>
      </w:r>
      <w:r w:rsidR="008C16CD">
        <w:rPr>
          <w:rFonts w:ascii="Times New Roman" w:hAnsi="Times New Roman"/>
          <w:szCs w:val="24"/>
        </w:rPr>
        <w:t xml:space="preserve">However, </w:t>
      </w:r>
      <w:r w:rsidR="008A4EA9">
        <w:rPr>
          <w:rFonts w:ascii="Times New Roman" w:hAnsi="Times New Roman"/>
          <w:szCs w:val="24"/>
        </w:rPr>
        <w:t xml:space="preserve">Mr. Mickelson’s </w:t>
      </w:r>
      <w:r w:rsidR="00000DC7">
        <w:rPr>
          <w:rFonts w:ascii="Times New Roman" w:hAnsi="Times New Roman"/>
          <w:szCs w:val="24"/>
        </w:rPr>
        <w:t xml:space="preserve">proposed energy rates </w:t>
      </w:r>
      <w:r w:rsidR="00C50C40">
        <w:rPr>
          <w:rFonts w:ascii="Times New Roman" w:hAnsi="Times New Roman"/>
          <w:szCs w:val="24"/>
        </w:rPr>
        <w:t xml:space="preserve">for </w:t>
      </w:r>
      <w:r w:rsidR="00000DC7">
        <w:rPr>
          <w:rFonts w:ascii="Times New Roman" w:hAnsi="Times New Roman"/>
          <w:szCs w:val="24"/>
        </w:rPr>
        <w:t xml:space="preserve">the third </w:t>
      </w:r>
      <w:r w:rsidR="008C16CD">
        <w:rPr>
          <w:rFonts w:ascii="Times New Roman" w:hAnsi="Times New Roman"/>
          <w:szCs w:val="24"/>
        </w:rPr>
        <w:t xml:space="preserve">block </w:t>
      </w:r>
      <w:r w:rsidR="00C50C40">
        <w:rPr>
          <w:rFonts w:ascii="Times New Roman" w:hAnsi="Times New Roman"/>
          <w:szCs w:val="24"/>
        </w:rPr>
        <w:t xml:space="preserve">are not designed with the </w:t>
      </w:r>
      <w:r w:rsidR="00000DC7">
        <w:rPr>
          <w:rFonts w:ascii="Times New Roman" w:hAnsi="Times New Roman"/>
          <w:szCs w:val="24"/>
        </w:rPr>
        <w:t>“exact same cents per kWh differential” as in the first and second blocks.</w:t>
      </w:r>
      <w:r w:rsidR="00A00252" w:rsidRPr="00A00252">
        <w:rPr>
          <w:rStyle w:val="FootnoteReference"/>
          <w:szCs w:val="24"/>
        </w:rPr>
        <w:footnoteReference w:id="33"/>
      </w:r>
      <w:r w:rsidR="00000DC7">
        <w:rPr>
          <w:rFonts w:ascii="Times New Roman" w:hAnsi="Times New Roman"/>
          <w:szCs w:val="24"/>
        </w:rPr>
        <w:t xml:space="preserve">  </w:t>
      </w:r>
      <w:r w:rsidR="00694AED">
        <w:rPr>
          <w:rFonts w:ascii="Times New Roman" w:hAnsi="Times New Roman"/>
          <w:szCs w:val="24"/>
        </w:rPr>
        <w:t xml:space="preserve">To </w:t>
      </w:r>
      <w:r w:rsidR="007C7FC2">
        <w:rPr>
          <w:rFonts w:ascii="Times New Roman" w:hAnsi="Times New Roman"/>
          <w:szCs w:val="24"/>
        </w:rPr>
        <w:t xml:space="preserve">design rates as </w:t>
      </w:r>
      <w:r w:rsidR="008A4EA9">
        <w:rPr>
          <w:rFonts w:ascii="Times New Roman" w:hAnsi="Times New Roman"/>
          <w:szCs w:val="24"/>
        </w:rPr>
        <w:t xml:space="preserve">Mr. Mickelson </w:t>
      </w:r>
      <w:r w:rsidR="00C50C40">
        <w:rPr>
          <w:rFonts w:ascii="Times New Roman" w:hAnsi="Times New Roman"/>
          <w:szCs w:val="24"/>
        </w:rPr>
        <w:t>describe</w:t>
      </w:r>
      <w:r w:rsidR="008A4EA9">
        <w:rPr>
          <w:rFonts w:ascii="Times New Roman" w:hAnsi="Times New Roman"/>
          <w:szCs w:val="24"/>
        </w:rPr>
        <w:t>s</w:t>
      </w:r>
      <w:r w:rsidR="00C50C40">
        <w:rPr>
          <w:rFonts w:ascii="Times New Roman" w:hAnsi="Times New Roman"/>
          <w:szCs w:val="24"/>
        </w:rPr>
        <w:t xml:space="preserve"> in testimony</w:t>
      </w:r>
      <w:r w:rsidR="007C7FC2">
        <w:rPr>
          <w:rFonts w:ascii="Times New Roman" w:hAnsi="Times New Roman"/>
          <w:szCs w:val="24"/>
        </w:rPr>
        <w:t xml:space="preserve"> would actually require a decrease in the first tier rate </w:t>
      </w:r>
      <w:r w:rsidR="0099303D">
        <w:rPr>
          <w:rFonts w:ascii="Times New Roman" w:hAnsi="Times New Roman"/>
          <w:szCs w:val="24"/>
        </w:rPr>
        <w:t xml:space="preserve">from </w:t>
      </w:r>
      <w:r w:rsidR="007C7FC2">
        <w:rPr>
          <w:rFonts w:ascii="Times New Roman" w:hAnsi="Times New Roman"/>
          <w:szCs w:val="24"/>
        </w:rPr>
        <w:t>the current rate</w:t>
      </w:r>
      <w:r w:rsidR="0099303D">
        <w:rPr>
          <w:rFonts w:ascii="Times New Roman" w:hAnsi="Times New Roman"/>
          <w:szCs w:val="24"/>
        </w:rPr>
        <w:t xml:space="preserve"> in order to create an equal cents/kWh differential between the second</w:t>
      </w:r>
      <w:r w:rsidR="00741D07">
        <w:rPr>
          <w:rFonts w:ascii="Times New Roman" w:hAnsi="Times New Roman"/>
          <w:szCs w:val="24"/>
        </w:rPr>
        <w:t xml:space="preserve"> and</w:t>
      </w:r>
      <w:r w:rsidR="0099303D">
        <w:rPr>
          <w:rFonts w:ascii="Times New Roman" w:hAnsi="Times New Roman"/>
          <w:szCs w:val="24"/>
        </w:rPr>
        <w:t xml:space="preserve"> third </w:t>
      </w:r>
      <w:r w:rsidR="00741D07">
        <w:rPr>
          <w:rFonts w:ascii="Times New Roman" w:hAnsi="Times New Roman"/>
          <w:szCs w:val="24"/>
        </w:rPr>
        <w:t xml:space="preserve">tier </w:t>
      </w:r>
      <w:r w:rsidR="0099303D">
        <w:rPr>
          <w:rFonts w:ascii="Times New Roman" w:hAnsi="Times New Roman"/>
          <w:szCs w:val="24"/>
        </w:rPr>
        <w:t>rates</w:t>
      </w:r>
      <w:r w:rsidR="003C52BD">
        <w:rPr>
          <w:rFonts w:ascii="Times New Roman" w:hAnsi="Times New Roman"/>
          <w:szCs w:val="24"/>
        </w:rPr>
        <w:t>;</w:t>
      </w:r>
      <w:r w:rsidR="0099303D">
        <w:rPr>
          <w:rFonts w:ascii="Times New Roman" w:hAnsi="Times New Roman"/>
          <w:szCs w:val="24"/>
        </w:rPr>
        <w:t xml:space="preserve"> otherwise</w:t>
      </w:r>
      <w:r w:rsidR="003C52BD">
        <w:rPr>
          <w:rFonts w:ascii="Times New Roman" w:hAnsi="Times New Roman"/>
          <w:szCs w:val="24"/>
        </w:rPr>
        <w:t>,</w:t>
      </w:r>
      <w:r w:rsidR="0099303D">
        <w:rPr>
          <w:rFonts w:ascii="Times New Roman" w:hAnsi="Times New Roman"/>
          <w:szCs w:val="24"/>
        </w:rPr>
        <w:t xml:space="preserve"> the rates would collect too much revenue.</w:t>
      </w:r>
      <w:r w:rsidR="007C7FC2">
        <w:rPr>
          <w:rFonts w:ascii="Times New Roman" w:hAnsi="Times New Roman"/>
          <w:szCs w:val="24"/>
        </w:rPr>
        <w:t xml:space="preserve"> </w:t>
      </w:r>
      <w:r w:rsidR="0099303D">
        <w:rPr>
          <w:rFonts w:ascii="Times New Roman" w:hAnsi="Times New Roman"/>
          <w:szCs w:val="24"/>
        </w:rPr>
        <w:t xml:space="preserve"> </w:t>
      </w:r>
      <w:r w:rsidR="00C50C40">
        <w:rPr>
          <w:rFonts w:ascii="Times New Roman" w:hAnsi="Times New Roman"/>
          <w:szCs w:val="24"/>
        </w:rPr>
        <w:t>A</w:t>
      </w:r>
      <w:r w:rsidR="0099303D">
        <w:rPr>
          <w:rFonts w:ascii="Times New Roman" w:hAnsi="Times New Roman"/>
          <w:szCs w:val="24"/>
        </w:rPr>
        <w:t xml:space="preserve"> lower first tier rate </w:t>
      </w:r>
      <w:r w:rsidR="007C7FC2">
        <w:rPr>
          <w:rFonts w:ascii="Times New Roman" w:hAnsi="Times New Roman"/>
          <w:szCs w:val="24"/>
        </w:rPr>
        <w:t xml:space="preserve">would result in </w:t>
      </w:r>
      <w:r w:rsidR="0099303D">
        <w:rPr>
          <w:rFonts w:ascii="Times New Roman" w:hAnsi="Times New Roman"/>
          <w:szCs w:val="24"/>
        </w:rPr>
        <w:t xml:space="preserve">a </w:t>
      </w:r>
      <w:r w:rsidR="007C7FC2">
        <w:rPr>
          <w:rFonts w:ascii="Times New Roman" w:hAnsi="Times New Roman"/>
          <w:szCs w:val="24"/>
        </w:rPr>
        <w:t xml:space="preserve">lower </w:t>
      </w:r>
      <w:r w:rsidR="0099303D">
        <w:rPr>
          <w:rFonts w:ascii="Times New Roman" w:hAnsi="Times New Roman"/>
          <w:szCs w:val="24"/>
        </w:rPr>
        <w:t xml:space="preserve">percentage of </w:t>
      </w:r>
      <w:r w:rsidR="007C7FC2">
        <w:rPr>
          <w:rFonts w:ascii="Times New Roman" w:hAnsi="Times New Roman"/>
          <w:szCs w:val="24"/>
        </w:rPr>
        <w:t xml:space="preserve">revenue </w:t>
      </w:r>
      <w:r w:rsidR="0099303D">
        <w:rPr>
          <w:rFonts w:ascii="Times New Roman" w:hAnsi="Times New Roman"/>
          <w:szCs w:val="24"/>
        </w:rPr>
        <w:t>in the first block than what Mr. Mickelson shows on Table</w:t>
      </w:r>
      <w:r w:rsidR="008A4EA9">
        <w:rPr>
          <w:rFonts w:ascii="Times New Roman" w:hAnsi="Times New Roman"/>
          <w:szCs w:val="24"/>
        </w:rPr>
        <w:t> </w:t>
      </w:r>
      <w:r w:rsidR="0099303D">
        <w:rPr>
          <w:rFonts w:ascii="Times New Roman" w:hAnsi="Times New Roman"/>
          <w:szCs w:val="24"/>
        </w:rPr>
        <w:t>5</w:t>
      </w:r>
      <w:r w:rsidR="003C52BD">
        <w:rPr>
          <w:rFonts w:ascii="Times New Roman" w:hAnsi="Times New Roman"/>
          <w:szCs w:val="24"/>
        </w:rPr>
        <w:t>,</w:t>
      </w:r>
      <w:r w:rsidR="00612777">
        <w:rPr>
          <w:rFonts w:ascii="Times New Roman" w:hAnsi="Times New Roman"/>
          <w:szCs w:val="24"/>
        </w:rPr>
        <w:t xml:space="preserve"> and thus would be </w:t>
      </w:r>
      <w:r w:rsidR="00C50C40">
        <w:rPr>
          <w:rFonts w:ascii="Times New Roman" w:hAnsi="Times New Roman"/>
          <w:szCs w:val="24"/>
        </w:rPr>
        <w:t xml:space="preserve">contrary </w:t>
      </w:r>
      <w:r w:rsidR="00612777">
        <w:rPr>
          <w:rFonts w:ascii="Times New Roman" w:hAnsi="Times New Roman"/>
          <w:szCs w:val="24"/>
        </w:rPr>
        <w:t>to his argument that his rate design would improve rate stability</w:t>
      </w:r>
      <w:r w:rsidR="00391883">
        <w:rPr>
          <w:rFonts w:ascii="Times New Roman" w:hAnsi="Times New Roman"/>
          <w:szCs w:val="24"/>
        </w:rPr>
        <w:t>.</w:t>
      </w:r>
    </w:p>
    <w:p w:rsidR="005A368F" w:rsidRDefault="005A368F" w:rsidP="0034595D">
      <w:pPr>
        <w:rPr>
          <w:rFonts w:ascii="Times New Roman" w:hAnsi="Times New Roman"/>
          <w:b/>
          <w:szCs w:val="24"/>
        </w:rPr>
      </w:pPr>
      <w:r>
        <w:rPr>
          <w:rFonts w:ascii="Times New Roman" w:hAnsi="Times New Roman"/>
          <w:b/>
          <w:szCs w:val="24"/>
        </w:rPr>
        <w:t>Q.</w:t>
      </w:r>
      <w:r>
        <w:rPr>
          <w:rFonts w:ascii="Times New Roman" w:hAnsi="Times New Roman"/>
          <w:b/>
          <w:szCs w:val="24"/>
        </w:rPr>
        <w:tab/>
        <w:t xml:space="preserve">Does the Company have additional concerns with </w:t>
      </w:r>
      <w:r w:rsidR="008A4EA9">
        <w:rPr>
          <w:rFonts w:ascii="Times New Roman" w:hAnsi="Times New Roman"/>
          <w:b/>
          <w:szCs w:val="24"/>
        </w:rPr>
        <w:t xml:space="preserve">Mr. Mickelson’s </w:t>
      </w:r>
      <w:r>
        <w:rPr>
          <w:rFonts w:ascii="Times New Roman" w:hAnsi="Times New Roman"/>
          <w:b/>
          <w:szCs w:val="24"/>
        </w:rPr>
        <w:t>rate design recommendations?</w:t>
      </w:r>
    </w:p>
    <w:p w:rsidR="001F5F84" w:rsidRDefault="005A368F" w:rsidP="0034595D">
      <w:pPr>
        <w:rPr>
          <w:rFonts w:ascii="Times New Roman" w:hAnsi="Times New Roman"/>
          <w:szCs w:val="24"/>
        </w:rPr>
      </w:pPr>
      <w:r w:rsidRPr="00B41E42">
        <w:rPr>
          <w:rFonts w:ascii="Times New Roman" w:hAnsi="Times New Roman"/>
          <w:szCs w:val="24"/>
        </w:rPr>
        <w:t xml:space="preserve">A. </w:t>
      </w:r>
      <w:r w:rsidRPr="00B41E42">
        <w:rPr>
          <w:rFonts w:ascii="Times New Roman" w:hAnsi="Times New Roman"/>
          <w:szCs w:val="24"/>
        </w:rPr>
        <w:tab/>
      </w:r>
      <w:r>
        <w:rPr>
          <w:rFonts w:ascii="Times New Roman" w:hAnsi="Times New Roman"/>
          <w:szCs w:val="24"/>
        </w:rPr>
        <w:t>Yes</w:t>
      </w:r>
      <w:r w:rsidRPr="00B41E42">
        <w:rPr>
          <w:rFonts w:ascii="Times New Roman" w:hAnsi="Times New Roman"/>
          <w:szCs w:val="24"/>
        </w:rPr>
        <w:t xml:space="preserve">. </w:t>
      </w:r>
      <w:r w:rsidR="0025698E">
        <w:rPr>
          <w:rFonts w:ascii="Times New Roman" w:hAnsi="Times New Roman"/>
          <w:szCs w:val="24"/>
        </w:rPr>
        <w:t xml:space="preserve"> Adoption of </w:t>
      </w:r>
      <w:r w:rsidR="008A4EA9">
        <w:rPr>
          <w:rFonts w:ascii="Times New Roman" w:hAnsi="Times New Roman"/>
          <w:szCs w:val="24"/>
        </w:rPr>
        <w:t xml:space="preserve">Mr. Mickelson’s </w:t>
      </w:r>
      <w:r w:rsidR="0025698E">
        <w:rPr>
          <w:rFonts w:ascii="Times New Roman" w:hAnsi="Times New Roman"/>
          <w:szCs w:val="24"/>
        </w:rPr>
        <w:t>proposed rate design to change the first block from 0-600 kWh to 0-800 kWh and the creation of a third tier could require a redesign of Schedule 17, t</w:t>
      </w:r>
      <w:r>
        <w:rPr>
          <w:rFonts w:ascii="Times New Roman" w:hAnsi="Times New Roman"/>
          <w:szCs w:val="24"/>
        </w:rPr>
        <w:t>he Company’s</w:t>
      </w:r>
      <w:r w:rsidR="007C601C">
        <w:rPr>
          <w:rFonts w:ascii="Times New Roman" w:hAnsi="Times New Roman"/>
          <w:szCs w:val="24"/>
        </w:rPr>
        <w:t xml:space="preserve"> Low Income Bill Assistance (</w:t>
      </w:r>
      <w:r>
        <w:rPr>
          <w:rFonts w:ascii="Times New Roman" w:hAnsi="Times New Roman"/>
          <w:szCs w:val="24"/>
        </w:rPr>
        <w:t>LIBA</w:t>
      </w:r>
      <w:r w:rsidR="007C601C">
        <w:rPr>
          <w:rFonts w:ascii="Times New Roman" w:hAnsi="Times New Roman"/>
          <w:szCs w:val="24"/>
        </w:rPr>
        <w:t>) program</w:t>
      </w:r>
      <w:r w:rsidR="0025698E">
        <w:rPr>
          <w:rFonts w:ascii="Times New Roman" w:hAnsi="Times New Roman"/>
          <w:szCs w:val="24"/>
        </w:rPr>
        <w:t xml:space="preserve">.  </w:t>
      </w:r>
      <w:r>
        <w:rPr>
          <w:rFonts w:ascii="Times New Roman" w:hAnsi="Times New Roman"/>
          <w:szCs w:val="24"/>
        </w:rPr>
        <w:t>Schedule</w:t>
      </w:r>
      <w:r w:rsidR="00B42B78">
        <w:rPr>
          <w:rFonts w:ascii="Times New Roman" w:hAnsi="Times New Roman"/>
          <w:szCs w:val="24"/>
        </w:rPr>
        <w:t> </w:t>
      </w:r>
      <w:r>
        <w:rPr>
          <w:rFonts w:ascii="Times New Roman" w:hAnsi="Times New Roman"/>
          <w:szCs w:val="24"/>
        </w:rPr>
        <w:t>17</w:t>
      </w:r>
      <w:r w:rsidR="00FB581B">
        <w:rPr>
          <w:rFonts w:ascii="Times New Roman" w:hAnsi="Times New Roman"/>
          <w:szCs w:val="24"/>
        </w:rPr>
        <w:t>,</w:t>
      </w:r>
      <w:r>
        <w:rPr>
          <w:rFonts w:ascii="Times New Roman" w:hAnsi="Times New Roman"/>
          <w:szCs w:val="24"/>
        </w:rPr>
        <w:t xml:space="preserve"> </w:t>
      </w:r>
      <w:r w:rsidR="008C16CD">
        <w:rPr>
          <w:rFonts w:ascii="Times New Roman" w:hAnsi="Times New Roman"/>
          <w:szCs w:val="24"/>
        </w:rPr>
        <w:t xml:space="preserve">was designed to </w:t>
      </w:r>
      <w:r w:rsidR="00A45902">
        <w:rPr>
          <w:rFonts w:ascii="Times New Roman" w:hAnsi="Times New Roman"/>
          <w:szCs w:val="24"/>
        </w:rPr>
        <w:t xml:space="preserve">reflect the </w:t>
      </w:r>
      <w:r w:rsidR="00FB581B">
        <w:rPr>
          <w:rFonts w:ascii="Times New Roman" w:hAnsi="Times New Roman"/>
          <w:szCs w:val="24"/>
        </w:rPr>
        <w:t>two-</w:t>
      </w:r>
      <w:r w:rsidR="0025698E">
        <w:rPr>
          <w:rFonts w:ascii="Times New Roman" w:hAnsi="Times New Roman"/>
          <w:szCs w:val="24"/>
        </w:rPr>
        <w:t xml:space="preserve">tier </w:t>
      </w:r>
      <w:r w:rsidR="00FB581B">
        <w:rPr>
          <w:rFonts w:ascii="Times New Roman" w:hAnsi="Times New Roman"/>
          <w:szCs w:val="24"/>
        </w:rPr>
        <w:t xml:space="preserve">energy charge </w:t>
      </w:r>
      <w:r w:rsidR="00A45902">
        <w:rPr>
          <w:rFonts w:ascii="Times New Roman" w:hAnsi="Times New Roman"/>
          <w:szCs w:val="24"/>
        </w:rPr>
        <w:t xml:space="preserve">rate design for </w:t>
      </w:r>
      <w:r w:rsidR="00FB581B">
        <w:rPr>
          <w:rFonts w:ascii="Times New Roman" w:hAnsi="Times New Roman"/>
          <w:szCs w:val="24"/>
        </w:rPr>
        <w:t xml:space="preserve">Schedule 16 </w:t>
      </w:r>
      <w:r w:rsidR="00A45902">
        <w:rPr>
          <w:rFonts w:ascii="Times New Roman" w:hAnsi="Times New Roman"/>
          <w:szCs w:val="24"/>
        </w:rPr>
        <w:t>residential rate</w:t>
      </w:r>
      <w:r w:rsidR="008C16CD">
        <w:rPr>
          <w:rFonts w:ascii="Times New Roman" w:hAnsi="Times New Roman"/>
          <w:szCs w:val="24"/>
        </w:rPr>
        <w:t>s</w:t>
      </w:r>
      <w:r w:rsidR="00756CFC">
        <w:rPr>
          <w:rFonts w:ascii="Times New Roman" w:hAnsi="Times New Roman"/>
          <w:szCs w:val="24"/>
        </w:rPr>
        <w:t xml:space="preserve"> with </w:t>
      </w:r>
      <w:r w:rsidR="004E0629">
        <w:rPr>
          <w:rFonts w:ascii="Times New Roman" w:hAnsi="Times New Roman"/>
          <w:szCs w:val="24"/>
        </w:rPr>
        <w:t xml:space="preserve">a </w:t>
      </w:r>
      <w:r w:rsidR="00756CFC">
        <w:rPr>
          <w:rFonts w:ascii="Times New Roman" w:hAnsi="Times New Roman"/>
          <w:szCs w:val="24"/>
        </w:rPr>
        <w:t xml:space="preserve">rate </w:t>
      </w:r>
      <w:r>
        <w:rPr>
          <w:rFonts w:ascii="Times New Roman" w:hAnsi="Times New Roman"/>
          <w:szCs w:val="24"/>
        </w:rPr>
        <w:t>credit</w:t>
      </w:r>
      <w:r w:rsidR="008C16CD">
        <w:rPr>
          <w:rFonts w:ascii="Times New Roman" w:hAnsi="Times New Roman"/>
          <w:szCs w:val="24"/>
        </w:rPr>
        <w:t xml:space="preserve"> applied to usage </w:t>
      </w:r>
      <w:r w:rsidR="00FB581B">
        <w:rPr>
          <w:rFonts w:ascii="Times New Roman" w:hAnsi="Times New Roman"/>
          <w:szCs w:val="24"/>
        </w:rPr>
        <w:t xml:space="preserve">greater than 600 kWh </w:t>
      </w:r>
      <w:r w:rsidR="008C16CD">
        <w:rPr>
          <w:rFonts w:ascii="Times New Roman" w:hAnsi="Times New Roman"/>
          <w:szCs w:val="24"/>
        </w:rPr>
        <w:t>for</w:t>
      </w:r>
      <w:r>
        <w:rPr>
          <w:rFonts w:ascii="Times New Roman" w:hAnsi="Times New Roman"/>
          <w:szCs w:val="24"/>
        </w:rPr>
        <w:t xml:space="preserve"> qualifying customers </w:t>
      </w:r>
      <w:r w:rsidR="008C16CD">
        <w:rPr>
          <w:rFonts w:ascii="Times New Roman" w:hAnsi="Times New Roman"/>
          <w:szCs w:val="24"/>
        </w:rPr>
        <w:t xml:space="preserve">during </w:t>
      </w:r>
      <w:r w:rsidR="005E6C88">
        <w:rPr>
          <w:rFonts w:ascii="Times New Roman" w:hAnsi="Times New Roman"/>
          <w:szCs w:val="24"/>
        </w:rPr>
        <w:t xml:space="preserve">winter months </w:t>
      </w:r>
      <w:r w:rsidR="00863E02">
        <w:rPr>
          <w:rFonts w:ascii="Times New Roman" w:hAnsi="Times New Roman"/>
          <w:szCs w:val="24"/>
        </w:rPr>
        <w:t>(</w:t>
      </w:r>
      <w:r w:rsidR="005E6C88">
        <w:rPr>
          <w:rFonts w:ascii="Times New Roman" w:hAnsi="Times New Roman"/>
          <w:szCs w:val="24"/>
        </w:rPr>
        <w:t>November 1 through April 30</w:t>
      </w:r>
      <w:r w:rsidR="00863E02">
        <w:rPr>
          <w:rFonts w:ascii="Times New Roman" w:hAnsi="Times New Roman"/>
          <w:szCs w:val="24"/>
        </w:rPr>
        <w:t>)</w:t>
      </w:r>
      <w:r w:rsidR="005E6C88">
        <w:rPr>
          <w:rFonts w:ascii="Times New Roman" w:hAnsi="Times New Roman"/>
          <w:szCs w:val="24"/>
        </w:rPr>
        <w:t xml:space="preserve">. </w:t>
      </w:r>
      <w:r w:rsidR="00A45902">
        <w:rPr>
          <w:rFonts w:ascii="Times New Roman" w:hAnsi="Times New Roman"/>
          <w:szCs w:val="24"/>
        </w:rPr>
        <w:t xml:space="preserve"> </w:t>
      </w:r>
      <w:r w:rsidR="00741D07">
        <w:rPr>
          <w:rFonts w:ascii="Times New Roman" w:hAnsi="Times New Roman"/>
          <w:szCs w:val="24"/>
        </w:rPr>
        <w:t xml:space="preserve">Since not all customers on Schedule 17 have monthly usage that exceeds 800 kWh, some customers would be adversely impacted by application of </w:t>
      </w:r>
      <w:r w:rsidR="008A4EA9">
        <w:rPr>
          <w:rFonts w:ascii="Times New Roman" w:hAnsi="Times New Roman"/>
          <w:szCs w:val="24"/>
        </w:rPr>
        <w:t>Mr. Mickelson</w:t>
      </w:r>
      <w:r w:rsidR="007C601C">
        <w:rPr>
          <w:rFonts w:ascii="Times New Roman" w:hAnsi="Times New Roman"/>
          <w:szCs w:val="24"/>
        </w:rPr>
        <w:t>’s</w:t>
      </w:r>
      <w:r w:rsidR="008A4EA9">
        <w:rPr>
          <w:rFonts w:ascii="Times New Roman" w:hAnsi="Times New Roman"/>
          <w:szCs w:val="24"/>
        </w:rPr>
        <w:t xml:space="preserve"> </w:t>
      </w:r>
      <w:r w:rsidR="00A93594">
        <w:rPr>
          <w:rFonts w:ascii="Times New Roman" w:hAnsi="Times New Roman"/>
          <w:szCs w:val="24"/>
        </w:rPr>
        <w:t xml:space="preserve">proposed rate design </w:t>
      </w:r>
      <w:r w:rsidR="00E07190">
        <w:rPr>
          <w:rFonts w:ascii="Times New Roman" w:hAnsi="Times New Roman"/>
          <w:szCs w:val="24"/>
        </w:rPr>
        <w:t xml:space="preserve">to </w:t>
      </w:r>
      <w:r w:rsidR="00714C14">
        <w:rPr>
          <w:rFonts w:ascii="Times New Roman" w:hAnsi="Times New Roman"/>
          <w:szCs w:val="24"/>
        </w:rPr>
        <w:t>Schedule 17</w:t>
      </w:r>
      <w:r w:rsidR="00741D07">
        <w:rPr>
          <w:rFonts w:ascii="Times New Roman" w:hAnsi="Times New Roman"/>
          <w:szCs w:val="24"/>
        </w:rPr>
        <w:t xml:space="preserve"> because they would not receive a low income credit in some months.</w:t>
      </w:r>
    </w:p>
    <w:p w:rsidR="002921E2" w:rsidRDefault="0038239F">
      <w:pPr>
        <w:rPr>
          <w:rFonts w:ascii="Times New Roman Bold" w:hAnsi="Times New Roman Bold"/>
          <w:b/>
          <w:caps/>
        </w:rPr>
      </w:pPr>
      <w:r>
        <w:rPr>
          <w:rFonts w:ascii="Times New Roman" w:hAnsi="Times New Roman"/>
          <w:szCs w:val="24"/>
        </w:rPr>
        <w:tab/>
      </w:r>
      <w:r>
        <w:rPr>
          <w:rFonts w:ascii="Times New Roman" w:hAnsi="Times New Roman"/>
          <w:szCs w:val="24"/>
        </w:rPr>
        <w:tab/>
      </w:r>
      <w:r w:rsidR="008A4EA9">
        <w:rPr>
          <w:rFonts w:ascii="Times New Roman" w:hAnsi="Times New Roman"/>
          <w:szCs w:val="24"/>
        </w:rPr>
        <w:t>In addition</w:t>
      </w:r>
      <w:r>
        <w:rPr>
          <w:rFonts w:ascii="Times New Roman" w:hAnsi="Times New Roman"/>
          <w:szCs w:val="24"/>
        </w:rPr>
        <w:t>,</w:t>
      </w:r>
      <w:r w:rsidR="00E07190">
        <w:rPr>
          <w:rFonts w:ascii="Times New Roman" w:hAnsi="Times New Roman"/>
          <w:szCs w:val="24"/>
        </w:rPr>
        <w:t xml:space="preserve"> the Company is also concerned that </w:t>
      </w:r>
      <w:r w:rsidR="008A4EA9">
        <w:rPr>
          <w:rFonts w:ascii="Times New Roman" w:hAnsi="Times New Roman"/>
          <w:szCs w:val="24"/>
        </w:rPr>
        <w:t xml:space="preserve">Mr. Mickelson’s </w:t>
      </w:r>
      <w:r w:rsidR="00962CE4">
        <w:rPr>
          <w:rFonts w:ascii="Times New Roman" w:hAnsi="Times New Roman"/>
          <w:szCs w:val="24"/>
        </w:rPr>
        <w:t xml:space="preserve">proposal to </w:t>
      </w:r>
      <w:r w:rsidR="00E07190">
        <w:rPr>
          <w:rFonts w:ascii="Times New Roman" w:hAnsi="Times New Roman"/>
          <w:szCs w:val="24"/>
        </w:rPr>
        <w:t xml:space="preserve">add a third </w:t>
      </w:r>
      <w:r w:rsidR="001C52F7">
        <w:rPr>
          <w:rFonts w:ascii="Times New Roman" w:hAnsi="Times New Roman"/>
          <w:szCs w:val="24"/>
        </w:rPr>
        <w:t xml:space="preserve">residential </w:t>
      </w:r>
      <w:r w:rsidR="00E07190">
        <w:rPr>
          <w:rFonts w:ascii="Times New Roman" w:hAnsi="Times New Roman"/>
          <w:szCs w:val="24"/>
        </w:rPr>
        <w:t xml:space="preserve">tier </w:t>
      </w:r>
      <w:r w:rsidR="00962CE4">
        <w:rPr>
          <w:rFonts w:ascii="Times New Roman" w:hAnsi="Times New Roman"/>
          <w:szCs w:val="24"/>
        </w:rPr>
        <w:t xml:space="preserve">and increase </w:t>
      </w:r>
      <w:r w:rsidR="00E07190">
        <w:rPr>
          <w:rFonts w:ascii="Times New Roman" w:hAnsi="Times New Roman"/>
          <w:szCs w:val="24"/>
        </w:rPr>
        <w:t xml:space="preserve">the second tier was </w:t>
      </w:r>
      <w:r w:rsidR="00962CE4">
        <w:rPr>
          <w:rFonts w:ascii="Times New Roman" w:hAnsi="Times New Roman"/>
          <w:szCs w:val="24"/>
        </w:rPr>
        <w:t xml:space="preserve">not </w:t>
      </w:r>
      <w:r w:rsidR="00E07190">
        <w:rPr>
          <w:rFonts w:ascii="Times New Roman" w:hAnsi="Times New Roman"/>
          <w:szCs w:val="24"/>
        </w:rPr>
        <w:t>included in the required notic</w:t>
      </w:r>
      <w:r w:rsidR="00863E02">
        <w:rPr>
          <w:rFonts w:ascii="Times New Roman" w:hAnsi="Times New Roman"/>
          <w:szCs w:val="24"/>
        </w:rPr>
        <w:t>e</w:t>
      </w:r>
      <w:r w:rsidR="00E07190">
        <w:rPr>
          <w:rFonts w:ascii="Times New Roman" w:hAnsi="Times New Roman"/>
          <w:szCs w:val="24"/>
        </w:rPr>
        <w:t xml:space="preserve"> to customers for this case; therefore, residential customers that </w:t>
      </w:r>
      <w:r w:rsidR="00962CE4">
        <w:rPr>
          <w:rFonts w:ascii="Times New Roman" w:hAnsi="Times New Roman"/>
          <w:szCs w:val="24"/>
        </w:rPr>
        <w:t xml:space="preserve">would </w:t>
      </w:r>
      <w:r w:rsidR="00E07190">
        <w:rPr>
          <w:rFonts w:ascii="Times New Roman" w:hAnsi="Times New Roman"/>
          <w:szCs w:val="24"/>
        </w:rPr>
        <w:t xml:space="preserve">be </w:t>
      </w:r>
      <w:r w:rsidR="008A4EA9">
        <w:rPr>
          <w:rFonts w:ascii="Times New Roman" w:hAnsi="Times New Roman"/>
          <w:szCs w:val="24"/>
        </w:rPr>
        <w:t xml:space="preserve">affected </w:t>
      </w:r>
      <w:r w:rsidR="00962CE4">
        <w:rPr>
          <w:rFonts w:ascii="Times New Roman" w:hAnsi="Times New Roman"/>
          <w:szCs w:val="24"/>
        </w:rPr>
        <w:t>would have</w:t>
      </w:r>
      <w:r w:rsidR="00863E02">
        <w:rPr>
          <w:rFonts w:ascii="Times New Roman" w:hAnsi="Times New Roman"/>
          <w:szCs w:val="24"/>
        </w:rPr>
        <w:t xml:space="preserve"> not</w:t>
      </w:r>
      <w:r w:rsidR="00962CE4">
        <w:rPr>
          <w:rFonts w:ascii="Times New Roman" w:hAnsi="Times New Roman"/>
          <w:szCs w:val="24"/>
        </w:rPr>
        <w:t xml:space="preserve"> </w:t>
      </w:r>
      <w:r w:rsidR="00E07190">
        <w:rPr>
          <w:rFonts w:ascii="Times New Roman" w:hAnsi="Times New Roman"/>
          <w:szCs w:val="24"/>
        </w:rPr>
        <w:t>had an opportunity to comment</w:t>
      </w:r>
      <w:r w:rsidR="00962CE4">
        <w:rPr>
          <w:rFonts w:ascii="Times New Roman" w:hAnsi="Times New Roman"/>
          <w:szCs w:val="24"/>
        </w:rPr>
        <w:t xml:space="preserve"> </w:t>
      </w:r>
      <w:r w:rsidR="008A4EA9">
        <w:rPr>
          <w:rFonts w:ascii="Times New Roman" w:hAnsi="Times New Roman"/>
          <w:szCs w:val="24"/>
        </w:rPr>
        <w:t>before</w:t>
      </w:r>
      <w:r w:rsidR="00962CE4">
        <w:rPr>
          <w:rFonts w:ascii="Times New Roman" w:hAnsi="Times New Roman"/>
          <w:szCs w:val="24"/>
        </w:rPr>
        <w:t xml:space="preserve"> implementation</w:t>
      </w:r>
      <w:r w:rsidR="00E07190">
        <w:rPr>
          <w:rFonts w:ascii="Times New Roman" w:hAnsi="Times New Roman"/>
          <w:szCs w:val="24"/>
        </w:rPr>
        <w:t>.</w:t>
      </w:r>
    </w:p>
    <w:p w:rsidR="002921E2" w:rsidRPr="00184A88" w:rsidRDefault="005D093B" w:rsidP="00841213">
      <w:pPr>
        <w:pStyle w:val="Heading1"/>
        <w:keepLines/>
        <w:spacing w:line="240" w:lineRule="auto"/>
      </w:pPr>
      <w:bookmarkStart w:id="7" w:name="_Toc362938859"/>
      <w:r w:rsidRPr="00184A88">
        <w:t>General Service</w:t>
      </w:r>
      <w:r w:rsidR="00213F76" w:rsidRPr="00184A88">
        <w:t>, Agricultural Pumping</w:t>
      </w:r>
      <w:bookmarkEnd w:id="7"/>
      <w:r w:rsidR="00213F76" w:rsidRPr="00184A88">
        <w:t xml:space="preserve"> </w:t>
      </w:r>
    </w:p>
    <w:p w:rsidR="002921E2" w:rsidRPr="00184A88" w:rsidRDefault="00213F76" w:rsidP="00841213">
      <w:pPr>
        <w:pStyle w:val="Heading1"/>
        <w:keepLines/>
        <w:spacing w:line="240" w:lineRule="auto"/>
      </w:pPr>
      <w:bookmarkStart w:id="8" w:name="_Toc362938860"/>
      <w:r w:rsidRPr="00184A88">
        <w:t>and Street Lighting</w:t>
      </w:r>
      <w:r w:rsidR="005D093B" w:rsidRPr="00184A88">
        <w:t xml:space="preserve"> </w:t>
      </w:r>
      <w:r w:rsidR="00BE51AA" w:rsidRPr="00184A88">
        <w:t>Rate Design</w:t>
      </w:r>
      <w:bookmarkEnd w:id="8"/>
    </w:p>
    <w:p w:rsidR="002921E2" w:rsidRDefault="002921E2">
      <w:pPr>
        <w:suppressLineNumbers/>
        <w:spacing w:line="240" w:lineRule="auto"/>
      </w:pPr>
    </w:p>
    <w:p w:rsidR="00E532F4" w:rsidRPr="00FC7D77" w:rsidRDefault="00E532F4" w:rsidP="0034595D">
      <w:pPr>
        <w:rPr>
          <w:rFonts w:ascii="Times New Roman" w:hAnsi="Times New Roman"/>
          <w:b/>
          <w:szCs w:val="24"/>
        </w:rPr>
      </w:pPr>
      <w:r w:rsidRPr="00FC7D77">
        <w:rPr>
          <w:rFonts w:ascii="Times New Roman" w:hAnsi="Times New Roman"/>
          <w:b/>
          <w:szCs w:val="24"/>
        </w:rPr>
        <w:t>Q.</w:t>
      </w:r>
      <w:r w:rsidRPr="00FC7D77">
        <w:rPr>
          <w:rFonts w:ascii="Times New Roman" w:hAnsi="Times New Roman"/>
          <w:b/>
          <w:szCs w:val="24"/>
        </w:rPr>
        <w:tab/>
      </w:r>
      <w:r w:rsidR="00213F76">
        <w:rPr>
          <w:rFonts w:ascii="Times New Roman" w:hAnsi="Times New Roman"/>
          <w:b/>
          <w:szCs w:val="24"/>
        </w:rPr>
        <w:t xml:space="preserve">Is the Company proposing any changes in </w:t>
      </w:r>
      <w:r w:rsidR="00962CE4">
        <w:rPr>
          <w:rFonts w:ascii="Times New Roman" w:hAnsi="Times New Roman"/>
          <w:b/>
          <w:szCs w:val="24"/>
        </w:rPr>
        <w:t xml:space="preserve">this </w:t>
      </w:r>
      <w:r w:rsidR="00213F76">
        <w:rPr>
          <w:rFonts w:ascii="Times New Roman" w:hAnsi="Times New Roman"/>
          <w:b/>
          <w:szCs w:val="24"/>
        </w:rPr>
        <w:t xml:space="preserve">rebuttal </w:t>
      </w:r>
      <w:r w:rsidR="00962CE4">
        <w:rPr>
          <w:rFonts w:ascii="Times New Roman" w:hAnsi="Times New Roman"/>
          <w:b/>
          <w:szCs w:val="24"/>
        </w:rPr>
        <w:t xml:space="preserve">filing </w:t>
      </w:r>
      <w:r w:rsidR="00213F76">
        <w:rPr>
          <w:rFonts w:ascii="Times New Roman" w:hAnsi="Times New Roman"/>
          <w:b/>
          <w:szCs w:val="24"/>
        </w:rPr>
        <w:t>to rate designs for the general service, agricultural pumping</w:t>
      </w:r>
      <w:r w:rsidR="008A4EA9">
        <w:rPr>
          <w:rFonts w:ascii="Times New Roman" w:hAnsi="Times New Roman"/>
          <w:b/>
          <w:szCs w:val="24"/>
        </w:rPr>
        <w:t>,</w:t>
      </w:r>
      <w:r w:rsidR="00213F76">
        <w:rPr>
          <w:rFonts w:ascii="Times New Roman" w:hAnsi="Times New Roman"/>
          <w:b/>
          <w:szCs w:val="24"/>
        </w:rPr>
        <w:t xml:space="preserve"> and street lighting schedules</w:t>
      </w:r>
      <w:r w:rsidRPr="00FC7D77">
        <w:rPr>
          <w:rFonts w:ascii="Times New Roman" w:hAnsi="Times New Roman"/>
          <w:b/>
          <w:szCs w:val="24"/>
        </w:rPr>
        <w:t>?</w:t>
      </w:r>
    </w:p>
    <w:p w:rsidR="00075E91" w:rsidRDefault="00E532F4" w:rsidP="0034595D">
      <w:pPr>
        <w:rPr>
          <w:rFonts w:ascii="Times New Roman" w:hAnsi="Times New Roman"/>
          <w:bCs/>
          <w:szCs w:val="24"/>
        </w:rPr>
      </w:pPr>
      <w:r w:rsidRPr="00FC7D77">
        <w:rPr>
          <w:rFonts w:ascii="Times New Roman" w:hAnsi="Times New Roman"/>
          <w:bCs/>
          <w:szCs w:val="24"/>
        </w:rPr>
        <w:t>A.</w:t>
      </w:r>
      <w:r w:rsidRPr="00FC7D77">
        <w:rPr>
          <w:rFonts w:ascii="Times New Roman" w:hAnsi="Times New Roman"/>
          <w:bCs/>
          <w:szCs w:val="24"/>
        </w:rPr>
        <w:tab/>
      </w:r>
      <w:r w:rsidR="00213F76">
        <w:rPr>
          <w:rFonts w:ascii="Times New Roman" w:hAnsi="Times New Roman"/>
          <w:bCs/>
          <w:szCs w:val="24"/>
        </w:rPr>
        <w:t>No.  No party opposed the Company’s proposed rate design for these schedules</w:t>
      </w:r>
      <w:r w:rsidR="00962CE4">
        <w:rPr>
          <w:rFonts w:ascii="Times New Roman" w:hAnsi="Times New Roman"/>
          <w:bCs/>
          <w:szCs w:val="24"/>
        </w:rPr>
        <w:t>,</w:t>
      </w:r>
      <w:r w:rsidR="00213F76">
        <w:rPr>
          <w:rFonts w:ascii="Times New Roman" w:hAnsi="Times New Roman"/>
          <w:bCs/>
          <w:szCs w:val="24"/>
        </w:rPr>
        <w:t xml:space="preserve"> </w:t>
      </w:r>
      <w:r w:rsidR="00962CE4">
        <w:rPr>
          <w:rFonts w:ascii="Times New Roman" w:hAnsi="Times New Roman"/>
          <w:bCs/>
          <w:szCs w:val="24"/>
        </w:rPr>
        <w:t xml:space="preserve">and </w:t>
      </w:r>
      <w:r w:rsidR="00213F76">
        <w:rPr>
          <w:rFonts w:ascii="Times New Roman" w:hAnsi="Times New Roman"/>
          <w:bCs/>
          <w:szCs w:val="24"/>
        </w:rPr>
        <w:t xml:space="preserve">the Company </w:t>
      </w:r>
      <w:r w:rsidR="004E0629">
        <w:rPr>
          <w:rFonts w:ascii="Times New Roman" w:hAnsi="Times New Roman"/>
          <w:bCs/>
          <w:szCs w:val="24"/>
        </w:rPr>
        <w:t xml:space="preserve">is </w:t>
      </w:r>
      <w:r w:rsidR="00962CE4">
        <w:rPr>
          <w:rFonts w:ascii="Times New Roman" w:hAnsi="Times New Roman"/>
          <w:bCs/>
          <w:szCs w:val="24"/>
        </w:rPr>
        <w:t xml:space="preserve">not </w:t>
      </w:r>
      <w:r w:rsidR="00213F76">
        <w:rPr>
          <w:rFonts w:ascii="Times New Roman" w:hAnsi="Times New Roman"/>
          <w:bCs/>
          <w:szCs w:val="24"/>
        </w:rPr>
        <w:t xml:space="preserve">proposing </w:t>
      </w:r>
      <w:r w:rsidR="00962CE4">
        <w:rPr>
          <w:rFonts w:ascii="Times New Roman" w:hAnsi="Times New Roman"/>
          <w:bCs/>
          <w:szCs w:val="24"/>
        </w:rPr>
        <w:t xml:space="preserve">any changes from those in </w:t>
      </w:r>
      <w:r w:rsidR="00213F76">
        <w:rPr>
          <w:rFonts w:ascii="Times New Roman" w:hAnsi="Times New Roman"/>
          <w:bCs/>
          <w:szCs w:val="24"/>
        </w:rPr>
        <w:t>my direct testimony.</w:t>
      </w:r>
      <w:r w:rsidR="00F85346">
        <w:rPr>
          <w:rFonts w:ascii="Times New Roman" w:hAnsi="Times New Roman"/>
          <w:bCs/>
          <w:szCs w:val="24"/>
        </w:rPr>
        <w:t xml:space="preserve"> </w:t>
      </w:r>
      <w:r w:rsidR="008A4EA9">
        <w:rPr>
          <w:rFonts w:ascii="Times New Roman" w:hAnsi="Times New Roman"/>
          <w:bCs/>
          <w:szCs w:val="24"/>
        </w:rPr>
        <w:t xml:space="preserve"> </w:t>
      </w:r>
      <w:r w:rsidR="00F85346">
        <w:rPr>
          <w:rFonts w:ascii="Times New Roman" w:hAnsi="Times New Roman"/>
          <w:bCs/>
          <w:szCs w:val="24"/>
        </w:rPr>
        <w:t>Exhibit No</w:t>
      </w:r>
      <w:r w:rsidR="008A4EA9">
        <w:rPr>
          <w:rFonts w:ascii="Times New Roman" w:hAnsi="Times New Roman"/>
          <w:bCs/>
          <w:szCs w:val="24"/>
        </w:rPr>
        <w:t>.___</w:t>
      </w:r>
      <w:r w:rsidR="00F85346">
        <w:rPr>
          <w:rFonts w:ascii="Times New Roman" w:hAnsi="Times New Roman"/>
          <w:bCs/>
          <w:szCs w:val="24"/>
        </w:rPr>
        <w:t>(JRS-11) contains the proposed prices based on the updated revenue requirement.</w:t>
      </w:r>
      <w:r w:rsidR="00213F76">
        <w:rPr>
          <w:rFonts w:ascii="Times New Roman" w:hAnsi="Times New Roman"/>
          <w:bCs/>
          <w:szCs w:val="24"/>
        </w:rPr>
        <w:t xml:space="preserve">  </w:t>
      </w:r>
      <w:r w:rsidR="00AF3A17">
        <w:rPr>
          <w:rFonts w:ascii="Times New Roman" w:hAnsi="Times New Roman"/>
          <w:bCs/>
          <w:szCs w:val="24"/>
        </w:rPr>
        <w:t xml:space="preserve">For General Service Schedule 24 </w:t>
      </w:r>
      <w:r w:rsidR="00AF3A17" w:rsidRPr="003B51D5">
        <w:rPr>
          <w:rFonts w:ascii="Times New Roman" w:hAnsi="Times New Roman"/>
          <w:bCs/>
          <w:szCs w:val="24"/>
        </w:rPr>
        <w:t xml:space="preserve">the Company proposes to apply </w:t>
      </w:r>
      <w:r w:rsidR="00AF3A17">
        <w:rPr>
          <w:rFonts w:ascii="Times New Roman" w:hAnsi="Times New Roman"/>
          <w:bCs/>
          <w:szCs w:val="24"/>
        </w:rPr>
        <w:t xml:space="preserve">uniform </w:t>
      </w:r>
      <w:r w:rsidR="00AF3A17" w:rsidRPr="003B51D5">
        <w:rPr>
          <w:rFonts w:ascii="Times New Roman" w:hAnsi="Times New Roman"/>
          <w:bCs/>
          <w:szCs w:val="24"/>
        </w:rPr>
        <w:t xml:space="preserve">percentage increases to </w:t>
      </w:r>
      <w:r w:rsidR="00AF3A17">
        <w:rPr>
          <w:rFonts w:ascii="Times New Roman" w:hAnsi="Times New Roman"/>
          <w:bCs/>
          <w:szCs w:val="24"/>
        </w:rPr>
        <w:t>the basic, demand</w:t>
      </w:r>
      <w:r w:rsidR="008A4EA9">
        <w:rPr>
          <w:rFonts w:ascii="Times New Roman" w:hAnsi="Times New Roman"/>
          <w:bCs/>
          <w:szCs w:val="24"/>
        </w:rPr>
        <w:t>,</w:t>
      </w:r>
      <w:r w:rsidR="00AF3A17" w:rsidRPr="003B51D5">
        <w:rPr>
          <w:rFonts w:ascii="Times New Roman" w:hAnsi="Times New Roman"/>
          <w:bCs/>
          <w:szCs w:val="24"/>
        </w:rPr>
        <w:t xml:space="preserve"> and energy charges.  </w:t>
      </w:r>
      <w:r w:rsidR="00AF3A17">
        <w:rPr>
          <w:rFonts w:ascii="Times New Roman" w:hAnsi="Times New Roman"/>
          <w:bCs/>
          <w:szCs w:val="24"/>
        </w:rPr>
        <w:t xml:space="preserve">For General Service Schedules 36 and 48T, the Company has applied a larger increase to the demand charges based on the results of the </w:t>
      </w:r>
      <w:r w:rsidR="004E0629">
        <w:rPr>
          <w:rFonts w:ascii="Times New Roman" w:hAnsi="Times New Roman"/>
          <w:bCs/>
          <w:szCs w:val="24"/>
        </w:rPr>
        <w:t>COS</w:t>
      </w:r>
      <w:r w:rsidR="00AF3A17">
        <w:rPr>
          <w:rFonts w:ascii="Times New Roman" w:hAnsi="Times New Roman"/>
          <w:bCs/>
          <w:szCs w:val="24"/>
        </w:rPr>
        <w:t xml:space="preserve"> study.  Other charges in Schedule 36 and 48T have been increased on a uniform basis to recover the balance</w:t>
      </w:r>
      <w:r w:rsidR="00AF3A17" w:rsidRPr="00C10392">
        <w:rPr>
          <w:rFonts w:ascii="Times New Roman" w:hAnsi="Times New Roman"/>
          <w:bCs/>
          <w:szCs w:val="24"/>
        </w:rPr>
        <w:t xml:space="preserve"> </w:t>
      </w:r>
      <w:r w:rsidR="00AF3A17">
        <w:rPr>
          <w:rFonts w:ascii="Times New Roman" w:hAnsi="Times New Roman"/>
          <w:bCs/>
          <w:szCs w:val="24"/>
        </w:rPr>
        <w:t xml:space="preserve">of the allocated increase to each schedule. </w:t>
      </w:r>
      <w:r w:rsidR="00B42B78">
        <w:rPr>
          <w:rFonts w:ascii="Times New Roman" w:hAnsi="Times New Roman"/>
          <w:bCs/>
          <w:szCs w:val="24"/>
        </w:rPr>
        <w:t xml:space="preserve"> </w:t>
      </w:r>
      <w:r w:rsidR="00213F76">
        <w:rPr>
          <w:rFonts w:ascii="Times New Roman" w:hAnsi="Times New Roman"/>
          <w:bCs/>
          <w:szCs w:val="24"/>
        </w:rPr>
        <w:t xml:space="preserve">For </w:t>
      </w:r>
      <w:r w:rsidR="00213F76" w:rsidRPr="00213F76">
        <w:rPr>
          <w:rFonts w:ascii="Times New Roman" w:hAnsi="Times New Roman"/>
          <w:szCs w:val="24"/>
        </w:rPr>
        <w:t>Agricultural Pumping Service Schedule 40</w:t>
      </w:r>
      <w:r w:rsidR="00213F76">
        <w:rPr>
          <w:rFonts w:ascii="Times New Roman" w:hAnsi="Times New Roman"/>
          <w:bCs/>
          <w:szCs w:val="24"/>
        </w:rPr>
        <w:t xml:space="preserve"> t</w:t>
      </w:r>
      <w:r w:rsidR="005D093B" w:rsidRPr="00FC7D77">
        <w:rPr>
          <w:rFonts w:ascii="Times New Roman" w:hAnsi="Times New Roman"/>
          <w:bCs/>
          <w:szCs w:val="24"/>
        </w:rPr>
        <w:t xml:space="preserve">he Company proposes to </w:t>
      </w:r>
      <w:r w:rsidR="006664AC">
        <w:rPr>
          <w:rFonts w:ascii="Times New Roman" w:hAnsi="Times New Roman"/>
          <w:bCs/>
          <w:szCs w:val="24"/>
        </w:rPr>
        <w:t>reflect the revised revenue requirement by increasing</w:t>
      </w:r>
      <w:r w:rsidR="005D093B" w:rsidRPr="00FC7D77">
        <w:rPr>
          <w:rFonts w:ascii="Times New Roman" w:hAnsi="Times New Roman"/>
          <w:bCs/>
          <w:szCs w:val="24"/>
        </w:rPr>
        <w:t xml:space="preserve"> the Load Size charge and </w:t>
      </w:r>
      <w:r w:rsidR="004121E9" w:rsidRPr="00FC7D77">
        <w:rPr>
          <w:rFonts w:ascii="Times New Roman" w:hAnsi="Times New Roman"/>
          <w:bCs/>
          <w:szCs w:val="24"/>
        </w:rPr>
        <w:t xml:space="preserve">the Energy Charge by </w:t>
      </w:r>
      <w:r w:rsidR="00C95EA2" w:rsidRPr="00FC7D77">
        <w:rPr>
          <w:rFonts w:ascii="Times New Roman" w:hAnsi="Times New Roman"/>
          <w:bCs/>
          <w:szCs w:val="24"/>
        </w:rPr>
        <w:t xml:space="preserve">approximately </w:t>
      </w:r>
      <w:r w:rsidR="004121E9" w:rsidRPr="00FC7D77">
        <w:rPr>
          <w:rFonts w:ascii="Times New Roman" w:hAnsi="Times New Roman"/>
          <w:bCs/>
          <w:szCs w:val="24"/>
        </w:rPr>
        <w:t xml:space="preserve">an equal </w:t>
      </w:r>
      <w:r w:rsidR="005D093B" w:rsidRPr="00FC7D77">
        <w:rPr>
          <w:rFonts w:ascii="Times New Roman" w:hAnsi="Times New Roman"/>
          <w:bCs/>
          <w:szCs w:val="24"/>
        </w:rPr>
        <w:t>percentage.</w:t>
      </w:r>
      <w:r w:rsidR="00213F76">
        <w:rPr>
          <w:rFonts w:ascii="Times New Roman" w:hAnsi="Times New Roman"/>
          <w:bCs/>
          <w:szCs w:val="24"/>
        </w:rPr>
        <w:t xml:space="preserve">  For lighting schedules, t</w:t>
      </w:r>
      <w:r w:rsidR="005D093B" w:rsidRPr="00FC7D77">
        <w:rPr>
          <w:rFonts w:ascii="Times New Roman" w:hAnsi="Times New Roman"/>
          <w:bCs/>
          <w:szCs w:val="24"/>
        </w:rPr>
        <w:t xml:space="preserve">he Company proposes </w:t>
      </w:r>
      <w:r w:rsidR="00213F76">
        <w:rPr>
          <w:rFonts w:ascii="Times New Roman" w:hAnsi="Times New Roman"/>
          <w:bCs/>
          <w:szCs w:val="24"/>
        </w:rPr>
        <w:t xml:space="preserve">a uniform </w:t>
      </w:r>
      <w:r w:rsidR="00A915B5" w:rsidRPr="00FC7D77">
        <w:rPr>
          <w:rFonts w:ascii="Times New Roman" w:hAnsi="Times New Roman"/>
          <w:bCs/>
          <w:szCs w:val="24"/>
        </w:rPr>
        <w:t xml:space="preserve">increase </w:t>
      </w:r>
      <w:r w:rsidR="004121E9" w:rsidRPr="00FC7D77">
        <w:rPr>
          <w:rFonts w:ascii="Times New Roman" w:hAnsi="Times New Roman"/>
          <w:bCs/>
          <w:szCs w:val="24"/>
        </w:rPr>
        <w:t xml:space="preserve">to all </w:t>
      </w:r>
      <w:r w:rsidR="006664AC">
        <w:rPr>
          <w:rFonts w:ascii="Times New Roman" w:hAnsi="Times New Roman"/>
          <w:bCs/>
          <w:szCs w:val="24"/>
        </w:rPr>
        <w:t>l</w:t>
      </w:r>
      <w:r w:rsidR="0016589D" w:rsidRPr="00FC7D77">
        <w:rPr>
          <w:rFonts w:ascii="Times New Roman" w:hAnsi="Times New Roman"/>
          <w:bCs/>
          <w:szCs w:val="24"/>
        </w:rPr>
        <w:t>ighting</w:t>
      </w:r>
      <w:r w:rsidR="004121E9" w:rsidRPr="00FC7D77">
        <w:rPr>
          <w:rFonts w:ascii="Times New Roman" w:hAnsi="Times New Roman"/>
          <w:bCs/>
          <w:szCs w:val="24"/>
        </w:rPr>
        <w:t xml:space="preserve"> schedules</w:t>
      </w:r>
      <w:r w:rsidR="005D093B" w:rsidRPr="00FC7D77">
        <w:rPr>
          <w:rFonts w:ascii="Times New Roman" w:hAnsi="Times New Roman"/>
          <w:bCs/>
          <w:szCs w:val="24"/>
        </w:rPr>
        <w:t>.</w:t>
      </w:r>
    </w:p>
    <w:p w:rsidR="002921E2" w:rsidRDefault="00075E91">
      <w:pPr>
        <w:pStyle w:val="Heading1"/>
      </w:pPr>
      <w:bookmarkStart w:id="9" w:name="_Toc362938861"/>
      <w:r w:rsidRPr="00075E91">
        <w:t>Adjustment to Annualize Revenues</w:t>
      </w:r>
      <w:bookmarkEnd w:id="9"/>
    </w:p>
    <w:p w:rsidR="00075E91" w:rsidRPr="00FC7D77" w:rsidRDefault="00075E91" w:rsidP="0034595D">
      <w:pPr>
        <w:rPr>
          <w:rFonts w:ascii="Times New Roman" w:hAnsi="Times New Roman"/>
          <w:b/>
          <w:szCs w:val="24"/>
        </w:rPr>
      </w:pPr>
      <w:r w:rsidRPr="00FC7D77">
        <w:rPr>
          <w:rFonts w:ascii="Times New Roman" w:hAnsi="Times New Roman"/>
          <w:b/>
          <w:szCs w:val="24"/>
        </w:rPr>
        <w:t>Q.</w:t>
      </w:r>
      <w:r w:rsidRPr="00FC7D77">
        <w:rPr>
          <w:rFonts w:ascii="Times New Roman" w:hAnsi="Times New Roman"/>
          <w:b/>
          <w:szCs w:val="24"/>
        </w:rPr>
        <w:tab/>
      </w:r>
      <w:r w:rsidR="008A4EA9">
        <w:rPr>
          <w:rFonts w:ascii="Times New Roman" w:hAnsi="Times New Roman"/>
          <w:b/>
          <w:szCs w:val="24"/>
        </w:rPr>
        <w:t>Mr. Dittmer’s proposed r</w:t>
      </w:r>
      <w:r w:rsidR="00B42B78">
        <w:rPr>
          <w:rFonts w:ascii="Times New Roman" w:hAnsi="Times New Roman"/>
          <w:b/>
          <w:szCs w:val="24"/>
        </w:rPr>
        <w:t xml:space="preserve">evenue </w:t>
      </w:r>
      <w:r w:rsidR="008A4EA9">
        <w:rPr>
          <w:rFonts w:ascii="Times New Roman" w:hAnsi="Times New Roman"/>
          <w:b/>
          <w:szCs w:val="24"/>
        </w:rPr>
        <w:t>n</w:t>
      </w:r>
      <w:r w:rsidR="00B42B78">
        <w:rPr>
          <w:rFonts w:ascii="Times New Roman" w:hAnsi="Times New Roman"/>
          <w:b/>
          <w:szCs w:val="24"/>
        </w:rPr>
        <w:t xml:space="preserve">ormalization </w:t>
      </w:r>
      <w:r w:rsidR="008A4EA9">
        <w:rPr>
          <w:rFonts w:ascii="Times New Roman" w:hAnsi="Times New Roman"/>
          <w:b/>
          <w:szCs w:val="24"/>
        </w:rPr>
        <w:t>a</w:t>
      </w:r>
      <w:r w:rsidR="00B42B78">
        <w:rPr>
          <w:rFonts w:ascii="Times New Roman" w:hAnsi="Times New Roman"/>
          <w:b/>
          <w:szCs w:val="24"/>
        </w:rPr>
        <w:t xml:space="preserve">djustment </w:t>
      </w:r>
      <w:r w:rsidR="00ED6ABA">
        <w:rPr>
          <w:rFonts w:ascii="Times New Roman" w:hAnsi="Times New Roman"/>
          <w:b/>
          <w:szCs w:val="24"/>
        </w:rPr>
        <w:t>attempts to annualize revenues using the number of customers at the end of the test year.</w:t>
      </w:r>
      <w:bookmarkStart w:id="10" w:name="_GoBack"/>
      <w:r w:rsidR="00863E02">
        <w:rPr>
          <w:rStyle w:val="FootnoteReference"/>
          <w:b/>
          <w:szCs w:val="24"/>
        </w:rPr>
        <w:footnoteReference w:id="34"/>
      </w:r>
      <w:bookmarkEnd w:id="10"/>
      <w:r w:rsidR="00ED6ABA">
        <w:rPr>
          <w:rFonts w:ascii="Times New Roman" w:hAnsi="Times New Roman"/>
          <w:b/>
          <w:szCs w:val="24"/>
        </w:rPr>
        <w:t xml:space="preserve">  Does the Company agree that this is a reasonable methodology?</w:t>
      </w:r>
    </w:p>
    <w:p w:rsidR="00B42B78" w:rsidRDefault="00075E91" w:rsidP="0034595D">
      <w:pPr>
        <w:rPr>
          <w:rFonts w:ascii="Times New Roman" w:hAnsi="Times New Roman"/>
          <w:bCs/>
          <w:szCs w:val="24"/>
        </w:rPr>
      </w:pPr>
      <w:r w:rsidRPr="00FC7D77">
        <w:rPr>
          <w:rFonts w:ascii="Times New Roman" w:hAnsi="Times New Roman"/>
          <w:bCs/>
          <w:szCs w:val="24"/>
        </w:rPr>
        <w:t>A.</w:t>
      </w:r>
      <w:r w:rsidRPr="00FC7D77">
        <w:rPr>
          <w:rFonts w:ascii="Times New Roman" w:hAnsi="Times New Roman"/>
          <w:bCs/>
          <w:szCs w:val="24"/>
        </w:rPr>
        <w:tab/>
      </w:r>
      <w:r w:rsidR="00ED6ABA">
        <w:rPr>
          <w:rFonts w:ascii="Times New Roman" w:hAnsi="Times New Roman"/>
          <w:bCs/>
          <w:szCs w:val="24"/>
        </w:rPr>
        <w:t xml:space="preserve">No.  </w:t>
      </w:r>
      <w:r w:rsidR="008A4EA9">
        <w:rPr>
          <w:rFonts w:ascii="Times New Roman" w:hAnsi="Times New Roman"/>
          <w:bCs/>
          <w:szCs w:val="24"/>
        </w:rPr>
        <w:t>Mr. Dittmer</w:t>
      </w:r>
      <w:r w:rsidR="00ED6ABA">
        <w:rPr>
          <w:rFonts w:ascii="Times New Roman" w:hAnsi="Times New Roman"/>
          <w:bCs/>
          <w:szCs w:val="24"/>
        </w:rPr>
        <w:t xml:space="preserve">’s </w:t>
      </w:r>
      <w:r w:rsidR="00962CE4">
        <w:rPr>
          <w:rFonts w:ascii="Times New Roman" w:hAnsi="Times New Roman"/>
          <w:bCs/>
          <w:szCs w:val="24"/>
        </w:rPr>
        <w:t xml:space="preserve">proposal does not properly capture present revenues in this case.  </w:t>
      </w:r>
      <w:r w:rsidR="007C6D25">
        <w:rPr>
          <w:rFonts w:ascii="Times New Roman" w:hAnsi="Times New Roman"/>
          <w:bCs/>
          <w:szCs w:val="24"/>
        </w:rPr>
        <w:t xml:space="preserve">The Company’s calculation of normalized revenues </w:t>
      </w:r>
      <w:r w:rsidR="000D45E1">
        <w:rPr>
          <w:rFonts w:ascii="Times New Roman" w:hAnsi="Times New Roman"/>
          <w:bCs/>
          <w:szCs w:val="24"/>
        </w:rPr>
        <w:t>is</w:t>
      </w:r>
      <w:r w:rsidR="007C6D25">
        <w:rPr>
          <w:rFonts w:ascii="Times New Roman" w:hAnsi="Times New Roman"/>
          <w:bCs/>
          <w:szCs w:val="24"/>
        </w:rPr>
        <w:t xml:space="preserve"> consistent with the Commission</w:t>
      </w:r>
      <w:r w:rsidR="000D45E1">
        <w:rPr>
          <w:rFonts w:ascii="Times New Roman" w:hAnsi="Times New Roman"/>
          <w:bCs/>
          <w:szCs w:val="24"/>
        </w:rPr>
        <w:t>’s long-established and well-understood ratemaking practices</w:t>
      </w:r>
      <w:r w:rsidR="00962CE4">
        <w:rPr>
          <w:rFonts w:ascii="Times New Roman" w:hAnsi="Times New Roman"/>
          <w:bCs/>
          <w:szCs w:val="24"/>
        </w:rPr>
        <w:t>.  I</w:t>
      </w:r>
      <w:r w:rsidR="000D45E1">
        <w:rPr>
          <w:rFonts w:ascii="Times New Roman" w:hAnsi="Times New Roman"/>
          <w:bCs/>
          <w:szCs w:val="24"/>
        </w:rPr>
        <w:t>t is based on actual historical revenues from the base year</w:t>
      </w:r>
      <w:r w:rsidR="005619A7">
        <w:rPr>
          <w:rFonts w:ascii="Times New Roman" w:hAnsi="Times New Roman"/>
          <w:bCs/>
          <w:szCs w:val="24"/>
        </w:rPr>
        <w:t>,</w:t>
      </w:r>
      <w:r w:rsidR="000D45E1">
        <w:rPr>
          <w:rFonts w:ascii="Times New Roman" w:hAnsi="Times New Roman"/>
          <w:bCs/>
          <w:szCs w:val="24"/>
        </w:rPr>
        <w:t xml:space="preserve"> normalized to reflect rate changes during the base year.  </w:t>
      </w:r>
      <w:r w:rsidR="008C2D6D">
        <w:rPr>
          <w:rFonts w:ascii="Times New Roman" w:hAnsi="Times New Roman"/>
          <w:bCs/>
          <w:szCs w:val="24"/>
        </w:rPr>
        <w:t>The Company does not serve a static number of customers set for one point in time</w:t>
      </w:r>
      <w:r w:rsidR="005619A7">
        <w:rPr>
          <w:rFonts w:ascii="Times New Roman" w:hAnsi="Times New Roman"/>
          <w:bCs/>
          <w:szCs w:val="24"/>
        </w:rPr>
        <w:t xml:space="preserve">, which is what </w:t>
      </w:r>
      <w:r w:rsidR="008A4EA9">
        <w:rPr>
          <w:rFonts w:ascii="Times New Roman" w:hAnsi="Times New Roman"/>
          <w:bCs/>
          <w:szCs w:val="24"/>
        </w:rPr>
        <w:t>Mr. Dittmer</w:t>
      </w:r>
      <w:r w:rsidR="005619A7">
        <w:rPr>
          <w:rFonts w:ascii="Times New Roman" w:hAnsi="Times New Roman"/>
          <w:bCs/>
          <w:szCs w:val="24"/>
        </w:rPr>
        <w:t>’s calculation attempts to do</w:t>
      </w:r>
      <w:r w:rsidR="008C2D6D">
        <w:rPr>
          <w:rFonts w:ascii="Times New Roman" w:hAnsi="Times New Roman"/>
          <w:bCs/>
          <w:szCs w:val="24"/>
        </w:rPr>
        <w:t xml:space="preserve">.  </w:t>
      </w:r>
      <w:r w:rsidR="00B33EBA">
        <w:rPr>
          <w:rFonts w:ascii="Times New Roman" w:hAnsi="Times New Roman"/>
          <w:bCs/>
          <w:szCs w:val="24"/>
        </w:rPr>
        <w:br/>
      </w:r>
      <w:r w:rsidR="008A4EA9">
        <w:rPr>
          <w:rFonts w:ascii="Times New Roman" w:hAnsi="Times New Roman"/>
          <w:bCs/>
          <w:szCs w:val="24"/>
        </w:rPr>
        <w:t>Mr. Dittmer</w:t>
      </w:r>
      <w:r w:rsidR="008C2D6D">
        <w:rPr>
          <w:rFonts w:ascii="Times New Roman" w:hAnsi="Times New Roman"/>
          <w:bCs/>
          <w:szCs w:val="24"/>
        </w:rPr>
        <w:t xml:space="preserve">’s proposed approach fails to recognize customer changes </w:t>
      </w:r>
      <w:r w:rsidR="00962CE4">
        <w:rPr>
          <w:rFonts w:ascii="Times New Roman" w:hAnsi="Times New Roman"/>
          <w:bCs/>
          <w:szCs w:val="24"/>
        </w:rPr>
        <w:t xml:space="preserve">including seasonal customers </w:t>
      </w:r>
      <w:r w:rsidR="008C2D6D">
        <w:rPr>
          <w:rFonts w:ascii="Times New Roman" w:hAnsi="Times New Roman"/>
          <w:bCs/>
          <w:szCs w:val="24"/>
        </w:rPr>
        <w:t>throughout the year</w:t>
      </w:r>
      <w:r w:rsidR="004378D6">
        <w:rPr>
          <w:rFonts w:ascii="Times New Roman" w:hAnsi="Times New Roman"/>
          <w:bCs/>
          <w:szCs w:val="24"/>
        </w:rPr>
        <w:t xml:space="preserve">.  </w:t>
      </w:r>
      <w:r w:rsidR="00962CE4">
        <w:rPr>
          <w:rFonts w:ascii="Times New Roman" w:hAnsi="Times New Roman"/>
          <w:bCs/>
          <w:szCs w:val="24"/>
        </w:rPr>
        <w:t xml:space="preserve">The Company’s methodology correctly captures customer variation throughout the year and is reasonable.  </w:t>
      </w:r>
    </w:p>
    <w:p w:rsidR="002921E2" w:rsidRDefault="00465F0D">
      <w:pPr>
        <w:ind w:firstLine="720"/>
        <w:rPr>
          <w:rFonts w:ascii="Times New Roman" w:hAnsi="Times New Roman"/>
          <w:bCs/>
          <w:szCs w:val="24"/>
        </w:rPr>
      </w:pPr>
      <w:r>
        <w:rPr>
          <w:rFonts w:ascii="Times New Roman" w:hAnsi="Times New Roman"/>
          <w:bCs/>
          <w:szCs w:val="24"/>
        </w:rPr>
        <w:t xml:space="preserve">Additionally, </w:t>
      </w:r>
      <w:r w:rsidR="008A4EA9">
        <w:rPr>
          <w:rFonts w:ascii="Times New Roman" w:hAnsi="Times New Roman"/>
          <w:bCs/>
          <w:szCs w:val="24"/>
        </w:rPr>
        <w:t>Mr. Dittmer</w:t>
      </w:r>
      <w:r>
        <w:rPr>
          <w:rFonts w:ascii="Times New Roman" w:hAnsi="Times New Roman"/>
          <w:bCs/>
          <w:szCs w:val="24"/>
        </w:rPr>
        <w:t xml:space="preserve">’s proposal fails to capture changes in load that may be associated with changes in the number of customers. </w:t>
      </w:r>
      <w:r w:rsidR="001F428D">
        <w:rPr>
          <w:rFonts w:ascii="Times New Roman" w:hAnsi="Times New Roman"/>
          <w:bCs/>
          <w:szCs w:val="24"/>
        </w:rPr>
        <w:t xml:space="preserve"> In states where </w:t>
      </w:r>
      <w:r w:rsidR="00985411">
        <w:rPr>
          <w:rFonts w:ascii="Times New Roman" w:hAnsi="Times New Roman"/>
          <w:bCs/>
          <w:szCs w:val="24"/>
        </w:rPr>
        <w:t xml:space="preserve">the Company utilizes </w:t>
      </w:r>
      <w:r w:rsidR="001F428D">
        <w:rPr>
          <w:rFonts w:ascii="Times New Roman" w:hAnsi="Times New Roman"/>
          <w:bCs/>
          <w:szCs w:val="24"/>
        </w:rPr>
        <w:t xml:space="preserve">forecast test periods, forecast revenues are calculated using a forecast of both customers and usage.  </w:t>
      </w:r>
      <w:r w:rsidR="008A4EA9">
        <w:rPr>
          <w:rFonts w:ascii="Times New Roman" w:hAnsi="Times New Roman"/>
          <w:bCs/>
          <w:szCs w:val="24"/>
        </w:rPr>
        <w:t>Mr. Dittmer</w:t>
      </w:r>
      <w:r w:rsidR="001F428D">
        <w:rPr>
          <w:rFonts w:ascii="Times New Roman" w:hAnsi="Times New Roman"/>
          <w:bCs/>
          <w:szCs w:val="24"/>
        </w:rPr>
        <w:t>’s approach is therefore inconsistent with both historical and forecast test period revenue normalization approaches.</w:t>
      </w:r>
      <w:r>
        <w:rPr>
          <w:rFonts w:ascii="Times New Roman" w:hAnsi="Times New Roman"/>
          <w:bCs/>
          <w:szCs w:val="24"/>
        </w:rPr>
        <w:t xml:space="preserve">  </w:t>
      </w:r>
      <w:r w:rsidR="004378D6">
        <w:rPr>
          <w:rFonts w:ascii="Times New Roman" w:hAnsi="Times New Roman"/>
          <w:bCs/>
          <w:szCs w:val="24"/>
        </w:rPr>
        <w:t>Mr. McDougal further addresses this adjustment in his rebuttal testimony.</w:t>
      </w:r>
    </w:p>
    <w:p w:rsidR="005D093B" w:rsidRPr="00FC7D77" w:rsidRDefault="005D093B" w:rsidP="0034595D">
      <w:pPr>
        <w:rPr>
          <w:rFonts w:ascii="Times New Roman" w:hAnsi="Times New Roman"/>
          <w:b/>
        </w:rPr>
      </w:pPr>
      <w:r w:rsidRPr="00FC7D77">
        <w:rPr>
          <w:rFonts w:ascii="Times New Roman" w:hAnsi="Times New Roman"/>
          <w:b/>
        </w:rPr>
        <w:t>Q.</w:t>
      </w:r>
      <w:r w:rsidRPr="00FC7D77">
        <w:rPr>
          <w:rFonts w:ascii="Times New Roman" w:hAnsi="Times New Roman"/>
          <w:b/>
        </w:rPr>
        <w:tab/>
        <w:t xml:space="preserve">Does this conclude your </w:t>
      </w:r>
      <w:r w:rsidR="0063015C">
        <w:rPr>
          <w:rFonts w:ascii="Times New Roman" w:hAnsi="Times New Roman"/>
          <w:b/>
        </w:rPr>
        <w:t xml:space="preserve">rebuttal </w:t>
      </w:r>
      <w:r w:rsidRPr="00FC7D77">
        <w:rPr>
          <w:rFonts w:ascii="Times New Roman" w:hAnsi="Times New Roman"/>
          <w:b/>
        </w:rPr>
        <w:t>testimony?</w:t>
      </w:r>
      <w:r w:rsidR="00A517D7" w:rsidRPr="00FC7D77">
        <w:rPr>
          <w:rFonts w:ascii="Times New Roman" w:hAnsi="Times New Roman"/>
          <w:b/>
        </w:rPr>
        <w:tab/>
      </w:r>
    </w:p>
    <w:p w:rsidR="00EC6496" w:rsidRPr="00FC7D77" w:rsidRDefault="005D093B" w:rsidP="0034595D">
      <w:pPr>
        <w:pStyle w:val="BodyTextIndent2"/>
        <w:ind w:hanging="720"/>
        <w:rPr>
          <w:rFonts w:ascii="Times New Roman" w:hAnsi="Times New Roman"/>
        </w:rPr>
      </w:pPr>
      <w:r w:rsidRPr="00FC7D77">
        <w:rPr>
          <w:rFonts w:ascii="Times New Roman" w:hAnsi="Times New Roman"/>
          <w:szCs w:val="24"/>
        </w:rPr>
        <w:t>A.</w:t>
      </w:r>
      <w:r w:rsidRPr="00FC7D77">
        <w:rPr>
          <w:rFonts w:ascii="Times New Roman" w:hAnsi="Times New Roman"/>
          <w:szCs w:val="24"/>
        </w:rPr>
        <w:tab/>
        <w:t>Yes</w:t>
      </w:r>
      <w:r w:rsidR="009139E9" w:rsidRPr="00FC7D77">
        <w:rPr>
          <w:rFonts w:ascii="Times New Roman" w:hAnsi="Times New Roman"/>
          <w:szCs w:val="24"/>
        </w:rPr>
        <w:t>.</w:t>
      </w:r>
      <w:r w:rsidRPr="00FC7D77">
        <w:rPr>
          <w:rFonts w:ascii="Times New Roman" w:hAnsi="Times New Roman"/>
          <w:szCs w:val="24"/>
        </w:rPr>
        <w:t xml:space="preserve"> </w:t>
      </w:r>
    </w:p>
    <w:sectPr w:rsidR="00EC6496" w:rsidRPr="00FC7D77" w:rsidSect="00086B5B">
      <w:footerReference w:type="default" r:id="rId15"/>
      <w:pgSz w:w="12240" w:h="15840" w:code="1"/>
      <w:pgMar w:top="1440" w:right="1440" w:bottom="1440" w:left="1800" w:header="720" w:footer="720"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369" w:rsidRDefault="00113369">
      <w:r>
        <w:separator/>
      </w:r>
    </w:p>
  </w:endnote>
  <w:endnote w:type="continuationSeparator" w:id="0">
    <w:p w:rsidR="00113369" w:rsidRDefault="00113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BD" w:rsidRDefault="007508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69" w:rsidRDefault="00113369" w:rsidP="00086B5B">
    <w:pPr>
      <w:pStyle w:val="Footer"/>
      <w:tabs>
        <w:tab w:val="clear" w:pos="8640"/>
        <w:tab w:val="right" w:pos="9000"/>
      </w:tabs>
      <w:spacing w:line="240" w:lineRule="auto"/>
      <w:rPr>
        <w:rStyle w:val="PageNumber"/>
        <w:rFonts w:ascii="Times New Roman" w:hAnsi="Times New Roman"/>
      </w:rPr>
    </w:pPr>
    <w:r>
      <w:rPr>
        <w:rStyle w:val="PageNumber"/>
        <w:rFonts w:ascii="Times New Roman" w:hAnsi="Times New Roman"/>
      </w:rPr>
      <w:t>Rebuttal Testimony of Joelle R. Steward</w:t>
    </w:r>
    <w:r>
      <w:rPr>
        <w:rStyle w:val="PageNumber"/>
        <w:rFonts w:ascii="Times New Roman" w:hAnsi="Times New Roman"/>
      </w:rPr>
      <w:tab/>
    </w:r>
    <w:r>
      <w:rPr>
        <w:rStyle w:val="PageNumber"/>
        <w:rFonts w:ascii="Times New Roman" w:hAnsi="Times New Roman"/>
      </w:rPr>
      <w:tab/>
      <w:t>Exhibit No.___(JRS</w:t>
    </w:r>
    <w:r w:rsidRPr="004026C4">
      <w:rPr>
        <w:rStyle w:val="PageNumber"/>
        <w:rFonts w:ascii="Times New Roman" w:hAnsi="Times New Roman"/>
      </w:rPr>
      <w:t>-7T)</w:t>
    </w:r>
  </w:p>
  <w:p w:rsidR="00113369" w:rsidRDefault="00113369">
    <w:pPr>
      <w:pStyle w:val="Footer"/>
      <w:spacing w:line="240" w:lineRule="auto"/>
      <w:jc w:val="right"/>
      <w:rPr>
        <w:rFonts w:ascii="Times New Roman" w:hAnsi="Times New Roman"/>
      </w:rPr>
    </w:pPr>
    <w:r>
      <w:rPr>
        <w:rFonts w:ascii="Times New Roman" w:hAnsi="Times New Roman"/>
      </w:rPr>
      <w:t xml:space="preserve">Page </w:t>
    </w:r>
    <w:r w:rsidR="000458CB" w:rsidRPr="00C639F7">
      <w:rPr>
        <w:rFonts w:ascii="Times New Roman" w:hAnsi="Times New Roman"/>
      </w:rPr>
      <w:fldChar w:fldCharType="begin"/>
    </w:r>
    <w:r w:rsidRPr="00C639F7">
      <w:rPr>
        <w:rFonts w:ascii="Times New Roman" w:hAnsi="Times New Roman"/>
      </w:rPr>
      <w:instrText xml:space="preserve"> PAGE   \* MERGEFORMAT </w:instrText>
    </w:r>
    <w:r w:rsidR="000458CB" w:rsidRPr="00C639F7">
      <w:rPr>
        <w:rFonts w:ascii="Times New Roman" w:hAnsi="Times New Roman"/>
      </w:rPr>
      <w:fldChar w:fldCharType="separate"/>
    </w:r>
    <w:r w:rsidR="007508BD">
      <w:rPr>
        <w:rFonts w:ascii="Times New Roman" w:hAnsi="Times New Roman"/>
        <w:noProof/>
      </w:rPr>
      <w:t>i</w:t>
    </w:r>
    <w:r w:rsidR="000458CB" w:rsidRPr="00C639F7">
      <w:rPr>
        <w:rFonts w:ascii="Times New Roman" w:hAnsi="Times New Roman"/>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BD" w:rsidRDefault="007508B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69" w:rsidRDefault="00113369" w:rsidP="00086B5B">
    <w:pPr>
      <w:pStyle w:val="Footer"/>
      <w:tabs>
        <w:tab w:val="clear" w:pos="8640"/>
        <w:tab w:val="right" w:pos="9000"/>
      </w:tabs>
      <w:spacing w:line="240" w:lineRule="auto"/>
      <w:rPr>
        <w:rStyle w:val="PageNumber"/>
        <w:rFonts w:ascii="Times New Roman" w:hAnsi="Times New Roman"/>
      </w:rPr>
    </w:pPr>
    <w:r>
      <w:rPr>
        <w:rStyle w:val="PageNumber"/>
        <w:rFonts w:ascii="Times New Roman" w:hAnsi="Times New Roman"/>
      </w:rPr>
      <w:t>Rebuttal Testimony of Joelle R. Steward</w:t>
    </w:r>
    <w:r>
      <w:rPr>
        <w:rStyle w:val="PageNumber"/>
        <w:rFonts w:ascii="Times New Roman" w:hAnsi="Times New Roman"/>
      </w:rPr>
      <w:tab/>
    </w:r>
    <w:r>
      <w:rPr>
        <w:rStyle w:val="PageNumber"/>
        <w:rFonts w:ascii="Times New Roman" w:hAnsi="Times New Roman"/>
      </w:rPr>
      <w:tab/>
      <w:t>Exhibit No.___(JRS</w:t>
    </w:r>
    <w:r w:rsidRPr="004026C4">
      <w:rPr>
        <w:rStyle w:val="PageNumber"/>
        <w:rFonts w:ascii="Times New Roman" w:hAnsi="Times New Roman"/>
      </w:rPr>
      <w:t>-7T)</w:t>
    </w:r>
  </w:p>
  <w:p w:rsidR="00113369" w:rsidRDefault="00113369">
    <w:pPr>
      <w:pStyle w:val="Footer"/>
      <w:spacing w:line="240" w:lineRule="auto"/>
      <w:jc w:val="right"/>
      <w:rPr>
        <w:rFonts w:ascii="Times New Roman" w:hAnsi="Times New Roman"/>
      </w:rPr>
    </w:pPr>
    <w:r>
      <w:rPr>
        <w:rFonts w:ascii="Times New Roman" w:hAnsi="Times New Roman"/>
      </w:rPr>
      <w:t xml:space="preserve">Page </w:t>
    </w:r>
    <w:r w:rsidR="000458CB" w:rsidRPr="00C639F7">
      <w:rPr>
        <w:rFonts w:ascii="Times New Roman" w:hAnsi="Times New Roman"/>
      </w:rPr>
      <w:fldChar w:fldCharType="begin"/>
    </w:r>
    <w:r w:rsidRPr="00C639F7">
      <w:rPr>
        <w:rFonts w:ascii="Times New Roman" w:hAnsi="Times New Roman"/>
      </w:rPr>
      <w:instrText xml:space="preserve"> PAGE   \* MERGEFORMAT </w:instrText>
    </w:r>
    <w:r w:rsidR="000458CB" w:rsidRPr="00C639F7">
      <w:rPr>
        <w:rFonts w:ascii="Times New Roman" w:hAnsi="Times New Roman"/>
      </w:rPr>
      <w:fldChar w:fldCharType="separate"/>
    </w:r>
    <w:r w:rsidR="007508BD">
      <w:rPr>
        <w:rFonts w:ascii="Times New Roman" w:hAnsi="Times New Roman"/>
        <w:noProof/>
      </w:rPr>
      <w:t>1</w:t>
    </w:r>
    <w:r w:rsidR="000458CB" w:rsidRPr="00C639F7">
      <w:rPr>
        <w:rFonts w:ascii="Times New Roman" w:hAnsi="Times New Roman"/>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369" w:rsidRDefault="00113369">
      <w:pPr>
        <w:spacing w:line="240" w:lineRule="auto"/>
      </w:pPr>
      <w:r>
        <w:separator/>
      </w:r>
    </w:p>
  </w:footnote>
  <w:footnote w:type="continuationSeparator" w:id="0">
    <w:p w:rsidR="00113369" w:rsidRDefault="00113369">
      <w:r>
        <w:continuationSeparator/>
      </w:r>
    </w:p>
  </w:footnote>
  <w:footnote w:id="1">
    <w:p w:rsidR="00113369" w:rsidRPr="002D79F6" w:rsidRDefault="00113369">
      <w:pPr>
        <w:pStyle w:val="FootnoteText"/>
      </w:pPr>
      <w:r w:rsidRPr="002D79F6">
        <w:rPr>
          <w:rStyle w:val="FootnoteReference"/>
          <w:sz w:val="20"/>
        </w:rPr>
        <w:footnoteRef/>
      </w:r>
      <w:r w:rsidRPr="002D79F6">
        <w:t xml:space="preserve"> Exhibit No.___(CTM-1T) at page 15.</w:t>
      </w:r>
    </w:p>
  </w:footnote>
  <w:footnote w:id="2">
    <w:p w:rsidR="00113369" w:rsidRPr="002D79F6" w:rsidRDefault="00113369" w:rsidP="00A1410F">
      <w:pPr>
        <w:pStyle w:val="FootnoteText"/>
      </w:pPr>
      <w:r w:rsidRPr="002D79F6">
        <w:rPr>
          <w:rStyle w:val="FootnoteReference"/>
          <w:sz w:val="20"/>
        </w:rPr>
        <w:footnoteRef/>
      </w:r>
      <w:r w:rsidRPr="002D79F6">
        <w:rPr>
          <w:vertAlign w:val="superscript"/>
        </w:rPr>
        <w:t xml:space="preserve"> </w:t>
      </w:r>
      <w:r w:rsidRPr="002D79F6">
        <w:rPr>
          <w:i/>
        </w:rPr>
        <w:t>Id.</w:t>
      </w:r>
      <w:r w:rsidRPr="002D79F6">
        <w:t xml:space="preserve">, at page 15, lines 12-13, quoting </w:t>
      </w:r>
      <w:r w:rsidR="0088703F">
        <w:rPr>
          <w:i/>
        </w:rPr>
        <w:t>Wash. Utils. &amp; Transp. Comm’n</w:t>
      </w:r>
      <w:r w:rsidRPr="002D79F6">
        <w:rPr>
          <w:i/>
        </w:rPr>
        <w:t xml:space="preserve"> v. Washington Natural Gas Company</w:t>
      </w:r>
      <w:r w:rsidRPr="002D79F6">
        <w:t>, Dockets UG-940034 and UG-940814, Supplemental Order 05 at 9 (April 11, 1995).</w:t>
      </w:r>
    </w:p>
  </w:footnote>
  <w:footnote w:id="3">
    <w:p w:rsidR="00113369" w:rsidRPr="001E5059" w:rsidRDefault="00113369">
      <w:pPr>
        <w:pStyle w:val="FootnoteText"/>
      </w:pPr>
      <w:r w:rsidRPr="002D79F6">
        <w:rPr>
          <w:rStyle w:val="FootnoteReference"/>
          <w:sz w:val="20"/>
        </w:rPr>
        <w:footnoteRef/>
      </w:r>
      <w:r w:rsidRPr="002D79F6">
        <w:rPr>
          <w:vertAlign w:val="superscript"/>
        </w:rPr>
        <w:t xml:space="preserve"> </w:t>
      </w:r>
      <w:r w:rsidRPr="002D79F6">
        <w:rPr>
          <w:i/>
        </w:rPr>
        <w:t>W</w:t>
      </w:r>
      <w:r w:rsidR="0088703F">
        <w:rPr>
          <w:i/>
        </w:rPr>
        <w:t>ash. Utils. &amp; Transp. Comm’n</w:t>
      </w:r>
      <w:r w:rsidRPr="002D79F6">
        <w:rPr>
          <w:i/>
        </w:rPr>
        <w:t xml:space="preserve"> v. Puget Sound Power &amp; Light Company</w:t>
      </w:r>
      <w:r w:rsidRPr="002D79F6">
        <w:t>, Dockets UE-920433, UE-920499, and UE-921262, Supplemental Order 09 at 12 (August 17, 1993).</w:t>
      </w:r>
    </w:p>
  </w:footnote>
  <w:footnote w:id="4">
    <w:p w:rsidR="00113369" w:rsidRPr="006C4430" w:rsidRDefault="00113369">
      <w:pPr>
        <w:pStyle w:val="FootnoteText"/>
      </w:pPr>
      <w:r w:rsidRPr="00C77298">
        <w:rPr>
          <w:rStyle w:val="FootnoteReference"/>
        </w:rPr>
        <w:footnoteRef/>
      </w:r>
      <w:r w:rsidRPr="00C77298">
        <w:rPr>
          <w:vertAlign w:val="superscript"/>
        </w:rPr>
        <w:t xml:space="preserve"> </w:t>
      </w:r>
      <w:r>
        <w:t xml:space="preserve">Mr. Mickelson may not be aware of this ratio because he did not perform the calculation.  </w:t>
      </w:r>
      <w:r>
        <w:rPr>
          <w:i/>
        </w:rPr>
        <w:t>See</w:t>
      </w:r>
      <w:r>
        <w:t xml:space="preserve"> Exhibit No.___(RBD-4).</w:t>
      </w:r>
    </w:p>
  </w:footnote>
  <w:footnote w:id="5">
    <w:p w:rsidR="00113369" w:rsidRDefault="00113369" w:rsidP="00B82B89">
      <w:pPr>
        <w:pStyle w:val="FootnoteText"/>
      </w:pPr>
      <w:r w:rsidRPr="009A181C">
        <w:rPr>
          <w:rStyle w:val="FootnoteReference"/>
        </w:rPr>
        <w:footnoteRef/>
      </w:r>
      <w:r>
        <w:t xml:space="preserve"> Docket UE-120436, Direct Testimony of Christopher T. Mickelson, Exhibit No.___(CTM-1T) at page 9 (Sept. 19, 2012).</w:t>
      </w:r>
    </w:p>
  </w:footnote>
  <w:footnote w:id="6">
    <w:p w:rsidR="00113369" w:rsidRDefault="00113369" w:rsidP="00B82B89">
      <w:pPr>
        <w:pStyle w:val="FootnoteText"/>
      </w:pPr>
      <w:r w:rsidRPr="009A181C">
        <w:rPr>
          <w:rStyle w:val="FootnoteReference"/>
        </w:rPr>
        <w:footnoteRef/>
      </w:r>
      <w:r>
        <w:t xml:space="preserve"> </w:t>
      </w:r>
      <w:r>
        <w:rPr>
          <w:i/>
        </w:rPr>
        <w:t xml:space="preserve">Id. </w:t>
      </w:r>
      <w:r w:rsidRPr="006C4430">
        <w:t>at</w:t>
      </w:r>
      <w:r>
        <w:t xml:space="preserve"> 10.</w:t>
      </w:r>
    </w:p>
  </w:footnote>
  <w:footnote w:id="7">
    <w:p w:rsidR="00113369" w:rsidRDefault="00113369">
      <w:pPr>
        <w:pStyle w:val="FootnoteText"/>
      </w:pPr>
      <w:r>
        <w:rPr>
          <w:rStyle w:val="FootnoteReference"/>
        </w:rPr>
        <w:footnoteRef/>
      </w:r>
      <w:r>
        <w:t xml:space="preserve"> Exhibit No.___(CTM-1T) at pages 17-18.</w:t>
      </w:r>
    </w:p>
  </w:footnote>
  <w:footnote w:id="8">
    <w:p w:rsidR="00113369" w:rsidRDefault="00113369">
      <w:pPr>
        <w:pStyle w:val="FootnoteText"/>
      </w:pPr>
      <w:r w:rsidRPr="00145182">
        <w:rPr>
          <w:rStyle w:val="FootnoteReference"/>
        </w:rPr>
        <w:footnoteRef/>
      </w:r>
      <w:r w:rsidR="0026031A">
        <w:t xml:space="preserve"> Exhibit No.___(CTM-1T)</w:t>
      </w:r>
      <w:r>
        <w:t xml:space="preserve"> at page 17.</w:t>
      </w:r>
    </w:p>
  </w:footnote>
  <w:footnote w:id="9">
    <w:p w:rsidR="00113369" w:rsidRPr="00613919" w:rsidRDefault="00113369">
      <w:pPr>
        <w:pStyle w:val="FootnoteText"/>
        <w:rPr>
          <w:i/>
        </w:rPr>
      </w:pPr>
      <w:r w:rsidRPr="00863E02">
        <w:rPr>
          <w:rStyle w:val="FootnoteReference"/>
        </w:rPr>
        <w:footnoteRef/>
      </w:r>
      <w:r>
        <w:t xml:space="preserve"> </w:t>
      </w:r>
      <w:r>
        <w:rPr>
          <w:i/>
        </w:rPr>
        <w:t>Id.</w:t>
      </w:r>
      <w:r w:rsidRPr="000C27D7">
        <w:t xml:space="preserve"> at 21.</w:t>
      </w:r>
    </w:p>
  </w:footnote>
  <w:footnote w:id="10">
    <w:p w:rsidR="00113369" w:rsidRDefault="00113369">
      <w:pPr>
        <w:pStyle w:val="FootnoteText"/>
      </w:pPr>
      <w:r w:rsidRPr="00863E02">
        <w:rPr>
          <w:rStyle w:val="FootnoteReference"/>
        </w:rPr>
        <w:footnoteRef/>
      </w:r>
      <w:r>
        <w:t xml:space="preserve"> </w:t>
      </w:r>
      <w:r>
        <w:rPr>
          <w:i/>
        </w:rPr>
        <w:t>Id.</w:t>
      </w:r>
      <w:r>
        <w:t xml:space="preserve"> at 22.</w:t>
      </w:r>
    </w:p>
  </w:footnote>
  <w:footnote w:id="11">
    <w:p w:rsidR="00113369" w:rsidRDefault="00113369">
      <w:pPr>
        <w:pStyle w:val="FootnoteText"/>
      </w:pPr>
      <w:r>
        <w:rPr>
          <w:rStyle w:val="FootnoteReference"/>
        </w:rPr>
        <w:footnoteRef/>
      </w:r>
      <w:r>
        <w:t xml:space="preserve"> Exhibit No.___(CTM-1T) at page 23; Exhibit No.___(MCD-1T) at pages 30-31.</w:t>
      </w:r>
    </w:p>
  </w:footnote>
  <w:footnote w:id="12">
    <w:p w:rsidR="00113369" w:rsidRDefault="00113369">
      <w:pPr>
        <w:pStyle w:val="FootnoteText"/>
      </w:pPr>
      <w:r w:rsidRPr="00863E02">
        <w:rPr>
          <w:rStyle w:val="FootnoteReference"/>
        </w:rPr>
        <w:footnoteRef/>
      </w:r>
      <w:r>
        <w:t xml:space="preserve"> Exhibit No.___(CTM-1T) at page 26.</w:t>
      </w:r>
    </w:p>
  </w:footnote>
  <w:footnote w:id="13">
    <w:p w:rsidR="00113369" w:rsidRPr="00863E02" w:rsidRDefault="00113369">
      <w:pPr>
        <w:pStyle w:val="FootnoteText"/>
      </w:pPr>
      <w:r>
        <w:rPr>
          <w:rStyle w:val="FootnoteReference"/>
        </w:rPr>
        <w:footnoteRef/>
      </w:r>
      <w:r>
        <w:t xml:space="preserve"> </w:t>
      </w:r>
      <w:r>
        <w:rPr>
          <w:i/>
        </w:rPr>
        <w:t>Id.</w:t>
      </w:r>
    </w:p>
  </w:footnote>
  <w:footnote w:id="14">
    <w:p w:rsidR="00113369" w:rsidRDefault="00113369">
      <w:pPr>
        <w:pStyle w:val="FootnoteText"/>
      </w:pPr>
      <w:r>
        <w:rPr>
          <w:rStyle w:val="FootnoteReference"/>
        </w:rPr>
        <w:footnoteRef/>
      </w:r>
      <w:r>
        <w:t xml:space="preserve"> Exhibit No.___(MCD-1T) at pages 29-30.</w:t>
      </w:r>
    </w:p>
  </w:footnote>
  <w:footnote w:id="15">
    <w:p w:rsidR="00113369" w:rsidRPr="00863E02" w:rsidRDefault="00113369">
      <w:pPr>
        <w:pStyle w:val="FootnoteText"/>
      </w:pPr>
      <w:r>
        <w:rPr>
          <w:rStyle w:val="FootnoteReference"/>
        </w:rPr>
        <w:footnoteRef/>
      </w:r>
      <w:r>
        <w:t xml:space="preserve"> </w:t>
      </w:r>
      <w:r>
        <w:rPr>
          <w:i/>
        </w:rPr>
        <w:t>See</w:t>
      </w:r>
      <w:r>
        <w:t xml:space="preserve"> Exhibit No.___(CTM-1T) at page 28.</w:t>
      </w:r>
    </w:p>
  </w:footnote>
  <w:footnote w:id="16">
    <w:p w:rsidR="00113369" w:rsidRDefault="00113369">
      <w:pPr>
        <w:pStyle w:val="FootnoteText"/>
      </w:pPr>
      <w:r>
        <w:rPr>
          <w:rStyle w:val="FootnoteReference"/>
        </w:rPr>
        <w:footnoteRef/>
      </w:r>
      <w:r>
        <w:t xml:space="preserve"> Exhibit No.___(GAW-1T) at page 15.</w:t>
      </w:r>
    </w:p>
  </w:footnote>
  <w:footnote w:id="17">
    <w:p w:rsidR="00113369" w:rsidRPr="00863E02" w:rsidRDefault="00113369">
      <w:pPr>
        <w:pStyle w:val="FootnoteText"/>
      </w:pPr>
      <w:r>
        <w:rPr>
          <w:rStyle w:val="FootnoteReference"/>
        </w:rPr>
        <w:footnoteRef/>
      </w:r>
      <w:r>
        <w:t xml:space="preserve"> </w:t>
      </w:r>
      <w:r>
        <w:rPr>
          <w:i/>
        </w:rPr>
        <w:t>Id.</w:t>
      </w:r>
      <w:r>
        <w:t xml:space="preserve"> at page 6.</w:t>
      </w:r>
    </w:p>
  </w:footnote>
  <w:footnote w:id="18">
    <w:p w:rsidR="00113369" w:rsidRDefault="00113369" w:rsidP="00735E9E">
      <w:pPr>
        <w:pStyle w:val="FootnoteText"/>
      </w:pPr>
      <w:r w:rsidRPr="005F6D0C">
        <w:rPr>
          <w:rStyle w:val="FootnoteReference"/>
        </w:rPr>
        <w:footnoteRef/>
      </w:r>
      <w:r>
        <w:t xml:space="preserve"> </w:t>
      </w:r>
      <w:r w:rsidRPr="005F6D0C">
        <w:rPr>
          <w:i/>
        </w:rPr>
        <w:t>See</w:t>
      </w:r>
      <w:r>
        <w:t xml:space="preserve"> W</w:t>
      </w:r>
      <w:r w:rsidR="0088703F">
        <w:t xml:space="preserve">ash. Utils. &amp; Transp. Comm’n </w:t>
      </w:r>
      <w:r>
        <w:t>Order Cause No. U-78-05.</w:t>
      </w:r>
    </w:p>
  </w:footnote>
  <w:footnote w:id="19">
    <w:p w:rsidR="00113369" w:rsidRDefault="00113369">
      <w:pPr>
        <w:pStyle w:val="FootnoteText"/>
      </w:pPr>
      <w:r>
        <w:rPr>
          <w:rStyle w:val="FootnoteReference"/>
        </w:rPr>
        <w:footnoteRef/>
      </w:r>
      <w:r>
        <w:t xml:space="preserve"> Exhibit No.___(GAW-1T) at page 14.</w:t>
      </w:r>
    </w:p>
  </w:footnote>
  <w:footnote w:id="20">
    <w:p w:rsidR="00113369" w:rsidRDefault="00113369">
      <w:pPr>
        <w:pStyle w:val="FootnoteText"/>
      </w:pPr>
      <w:r w:rsidRPr="003A5542">
        <w:rPr>
          <w:rStyle w:val="FootnoteReference"/>
        </w:rPr>
        <w:footnoteRef/>
      </w:r>
      <w:r w:rsidRPr="003A5542">
        <w:rPr>
          <w:vertAlign w:val="superscript"/>
        </w:rPr>
        <w:t xml:space="preserve"> </w:t>
      </w:r>
      <w:r>
        <w:t>Exhibit No.___(GAW-1T) at page 14, lines 18-20.</w:t>
      </w:r>
    </w:p>
  </w:footnote>
  <w:footnote w:id="21">
    <w:p w:rsidR="00113369" w:rsidRDefault="00113369">
      <w:pPr>
        <w:pStyle w:val="FootnoteText"/>
      </w:pPr>
      <w:r w:rsidRPr="00905F81">
        <w:rPr>
          <w:rStyle w:val="FootnoteReference"/>
        </w:rPr>
        <w:footnoteRef/>
      </w:r>
      <w:r>
        <w:t xml:space="preserve"> </w:t>
      </w:r>
      <w:r w:rsidRPr="003E5C7A">
        <w:rPr>
          <w:i/>
        </w:rPr>
        <w:t>Id.</w:t>
      </w:r>
      <w:r>
        <w:t xml:space="preserve"> at </w:t>
      </w:r>
      <w:r w:rsidRPr="00BA0252">
        <w:t>page 6, lines 14-15.</w:t>
      </w:r>
    </w:p>
  </w:footnote>
  <w:footnote w:id="22">
    <w:p w:rsidR="00113369" w:rsidRPr="003C52BD" w:rsidRDefault="00113369">
      <w:pPr>
        <w:pStyle w:val="FootnoteText"/>
        <w:rPr>
          <w:i/>
        </w:rPr>
      </w:pPr>
      <w:r>
        <w:rPr>
          <w:rStyle w:val="FootnoteReference"/>
        </w:rPr>
        <w:footnoteRef/>
      </w:r>
      <w:r>
        <w:t xml:space="preserve"> </w:t>
      </w:r>
      <w:r>
        <w:rPr>
          <w:i/>
        </w:rPr>
        <w:t>Id.</w:t>
      </w:r>
    </w:p>
  </w:footnote>
  <w:footnote w:id="23">
    <w:p w:rsidR="00113369" w:rsidRDefault="00113369">
      <w:pPr>
        <w:pStyle w:val="FootnoteText"/>
      </w:pPr>
      <w:r>
        <w:rPr>
          <w:rStyle w:val="FootnoteReference"/>
        </w:rPr>
        <w:footnoteRef/>
      </w:r>
      <w:r>
        <w:t xml:space="preserve"> Exhibit No.___(GAW-1T) at pages 8-9.</w:t>
      </w:r>
    </w:p>
  </w:footnote>
  <w:footnote w:id="24">
    <w:p w:rsidR="00113369" w:rsidRPr="00863E02" w:rsidRDefault="00113369">
      <w:pPr>
        <w:pStyle w:val="FootnoteText"/>
      </w:pPr>
      <w:r>
        <w:rPr>
          <w:rStyle w:val="FootnoteReference"/>
        </w:rPr>
        <w:footnoteRef/>
      </w:r>
      <w:r>
        <w:t xml:space="preserve"> </w:t>
      </w:r>
      <w:r>
        <w:rPr>
          <w:i/>
        </w:rPr>
        <w:t>Id.</w:t>
      </w:r>
      <w:r>
        <w:t xml:space="preserve"> at 11-13.</w:t>
      </w:r>
    </w:p>
  </w:footnote>
  <w:footnote w:id="25">
    <w:p w:rsidR="00113369" w:rsidRDefault="00113369">
      <w:pPr>
        <w:pStyle w:val="FootnoteText"/>
      </w:pPr>
      <w:r>
        <w:rPr>
          <w:rStyle w:val="FootnoteReference"/>
        </w:rPr>
        <w:footnoteRef/>
      </w:r>
      <w:r>
        <w:t xml:space="preserve"> Exhibit No.___(CTM-1T) at page 33.</w:t>
      </w:r>
    </w:p>
  </w:footnote>
  <w:footnote w:id="26">
    <w:p w:rsidR="00113369" w:rsidRPr="00863E02" w:rsidRDefault="00113369">
      <w:pPr>
        <w:pStyle w:val="FootnoteText"/>
      </w:pPr>
      <w:r>
        <w:rPr>
          <w:rStyle w:val="FootnoteReference"/>
        </w:rPr>
        <w:footnoteRef/>
      </w:r>
      <w:r>
        <w:t xml:space="preserve"> </w:t>
      </w:r>
      <w:r>
        <w:rPr>
          <w:i/>
        </w:rPr>
        <w:t>Id.</w:t>
      </w:r>
      <w:r>
        <w:t xml:space="preserve"> at 33-34.</w:t>
      </w:r>
    </w:p>
  </w:footnote>
  <w:footnote w:id="27">
    <w:p w:rsidR="00113369" w:rsidRDefault="00113369">
      <w:pPr>
        <w:pStyle w:val="FootnoteText"/>
      </w:pPr>
      <w:r>
        <w:rPr>
          <w:rStyle w:val="FootnoteReference"/>
        </w:rPr>
        <w:footnoteRef/>
      </w:r>
      <w:r>
        <w:t xml:space="preserve"> Exhibit No.___(CTM-1T) at page 34.</w:t>
      </w:r>
    </w:p>
  </w:footnote>
  <w:footnote w:id="28">
    <w:p w:rsidR="00113369" w:rsidRPr="00863E02" w:rsidRDefault="00113369">
      <w:pPr>
        <w:pStyle w:val="FootnoteText"/>
      </w:pPr>
      <w:r>
        <w:rPr>
          <w:rStyle w:val="FootnoteReference"/>
        </w:rPr>
        <w:footnoteRef/>
      </w:r>
      <w:r>
        <w:t xml:space="preserve"> </w:t>
      </w:r>
      <w:r>
        <w:rPr>
          <w:i/>
        </w:rPr>
        <w:t>Id.</w:t>
      </w:r>
      <w:r>
        <w:t xml:space="preserve"> at 35.</w:t>
      </w:r>
    </w:p>
  </w:footnote>
  <w:footnote w:id="29">
    <w:p w:rsidR="00113369" w:rsidRDefault="00113369">
      <w:pPr>
        <w:pStyle w:val="FootnoteText"/>
      </w:pPr>
      <w:r w:rsidRPr="0034595D">
        <w:rPr>
          <w:rStyle w:val="FootnoteReference"/>
        </w:rPr>
        <w:footnoteRef/>
      </w:r>
      <w:r w:rsidRPr="0034595D">
        <w:rPr>
          <w:vertAlign w:val="superscript"/>
        </w:rPr>
        <w:t xml:space="preserve"> </w:t>
      </w:r>
      <w:r w:rsidRPr="002038C9">
        <w:rPr>
          <w:i/>
        </w:rPr>
        <w:t>See</w:t>
      </w:r>
      <w:r>
        <w:t xml:space="preserve"> Puget Sound Energy, Inc., Tariff WN U-60, Schedule 7, effective July 1, 2013: the energy charge for tier one (0-600 kWh) is 8.5578¢ per kWh and tier two (over 600 kWh) is 10.4157¢ per kWh.</w:t>
      </w:r>
    </w:p>
  </w:footnote>
  <w:footnote w:id="30">
    <w:p w:rsidR="00113369" w:rsidRDefault="00113369">
      <w:pPr>
        <w:pStyle w:val="FootnoteText"/>
      </w:pPr>
      <w:r w:rsidRPr="0034595D">
        <w:rPr>
          <w:rStyle w:val="FootnoteReference"/>
        </w:rPr>
        <w:footnoteRef/>
      </w:r>
      <w:r>
        <w:t xml:space="preserve"> </w:t>
      </w:r>
      <w:r w:rsidRPr="00B06AA9">
        <w:rPr>
          <w:i/>
        </w:rPr>
        <w:t>See</w:t>
      </w:r>
      <w:r>
        <w:t xml:space="preserve"> Avista Corporation Tariff WN U-28, Schedule 1, effective January 1, 2013: the energy charge for tier one (0-800 kWh) is 7.133¢ per kWh, tier two (801-1</w:t>
      </w:r>
      <w:r w:rsidR="00943A72">
        <w:t>,</w:t>
      </w:r>
      <w:r>
        <w:t>500 kWh) is 8.299¢ per kWh and tier three (over 1</w:t>
      </w:r>
      <w:r w:rsidR="00943A72">
        <w:t>,</w:t>
      </w:r>
      <w:r>
        <w:t>500 kWh) is 9.728¢ per kWh.</w:t>
      </w:r>
    </w:p>
  </w:footnote>
  <w:footnote w:id="31">
    <w:p w:rsidR="00113369" w:rsidRDefault="00113369">
      <w:pPr>
        <w:pStyle w:val="FootnoteText"/>
      </w:pPr>
      <w:r>
        <w:rPr>
          <w:rStyle w:val="FootnoteReference"/>
        </w:rPr>
        <w:footnoteRef/>
      </w:r>
      <w:r>
        <w:t xml:space="preserve"> Exhibit No.___(CTM-1T) at page 39.</w:t>
      </w:r>
    </w:p>
  </w:footnote>
  <w:footnote w:id="32">
    <w:p w:rsidR="00113369" w:rsidRDefault="00113369">
      <w:pPr>
        <w:pStyle w:val="FootnoteText"/>
      </w:pPr>
      <w:r w:rsidRPr="00905F81">
        <w:rPr>
          <w:rStyle w:val="FootnoteReference"/>
        </w:rPr>
        <w:footnoteRef/>
      </w:r>
      <w:r w:rsidRPr="00905F81">
        <w:rPr>
          <w:vertAlign w:val="superscript"/>
        </w:rPr>
        <w:t xml:space="preserve"> </w:t>
      </w:r>
      <w:r w:rsidR="00584F16">
        <w:rPr>
          <w:szCs w:val="24"/>
        </w:rPr>
        <w:t>Exhibit No.___(CTM-1T)</w:t>
      </w:r>
      <w:r>
        <w:rPr>
          <w:szCs w:val="24"/>
        </w:rPr>
        <w:t xml:space="preserve"> page 36.</w:t>
      </w:r>
    </w:p>
  </w:footnote>
  <w:footnote w:id="33">
    <w:p w:rsidR="00113369" w:rsidRDefault="00113369">
      <w:pPr>
        <w:pStyle w:val="FootnoteText"/>
      </w:pPr>
      <w:r w:rsidRPr="00F85346">
        <w:rPr>
          <w:rStyle w:val="FootnoteReference"/>
        </w:rPr>
        <w:footnoteRef/>
      </w:r>
      <w:r w:rsidRPr="00F85346">
        <w:rPr>
          <w:vertAlign w:val="superscript"/>
        </w:rPr>
        <w:t xml:space="preserve"> </w:t>
      </w:r>
      <w:r>
        <w:t>The current differential between the first and second tiers is 3.5¢/kWh, whereas the differential between Mr. Mickelson’s proposed second and third tiers is less than 1¢/kWh.</w:t>
      </w:r>
    </w:p>
  </w:footnote>
  <w:footnote w:id="34">
    <w:p w:rsidR="00113369" w:rsidRDefault="00113369">
      <w:pPr>
        <w:pStyle w:val="FootnoteText"/>
      </w:pPr>
      <w:r>
        <w:rPr>
          <w:rStyle w:val="FootnoteReference"/>
        </w:rPr>
        <w:footnoteRef/>
      </w:r>
      <w:r>
        <w:t xml:space="preserve"> Exhibit No.___(JRD-1T) at page 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BD" w:rsidRDefault="007508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BD" w:rsidRDefault="007508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BD" w:rsidRDefault="007508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450"/>
    <w:multiLevelType w:val="hybridMultilevel"/>
    <w:tmpl w:val="3A3220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D5852"/>
    <w:multiLevelType w:val="hybridMultilevel"/>
    <w:tmpl w:val="52364A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D781D"/>
    <w:multiLevelType w:val="singleLevel"/>
    <w:tmpl w:val="73DE8872"/>
    <w:lvl w:ilvl="0">
      <w:start w:val="17"/>
      <w:numFmt w:val="upperLetter"/>
      <w:lvlText w:val="%1."/>
      <w:lvlJc w:val="left"/>
      <w:pPr>
        <w:tabs>
          <w:tab w:val="num" w:pos="720"/>
        </w:tabs>
        <w:ind w:left="720" w:hanging="720"/>
      </w:pPr>
      <w:rPr>
        <w:rFonts w:hint="default"/>
      </w:rPr>
    </w:lvl>
  </w:abstractNum>
  <w:abstractNum w:abstractNumId="3">
    <w:nsid w:val="0D15234B"/>
    <w:multiLevelType w:val="hybridMultilevel"/>
    <w:tmpl w:val="0CA0C378"/>
    <w:lvl w:ilvl="0" w:tplc="FDDEC1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41A35"/>
    <w:multiLevelType w:val="singleLevel"/>
    <w:tmpl w:val="25EC57DA"/>
    <w:lvl w:ilvl="0">
      <w:start w:val="1"/>
      <w:numFmt w:val="lowerLetter"/>
      <w:lvlText w:val="%1)"/>
      <w:lvlJc w:val="left"/>
      <w:pPr>
        <w:tabs>
          <w:tab w:val="num" w:pos="1080"/>
        </w:tabs>
        <w:ind w:left="1080" w:hanging="360"/>
      </w:pPr>
      <w:rPr>
        <w:rFonts w:hint="default"/>
      </w:rPr>
    </w:lvl>
  </w:abstractNum>
  <w:abstractNum w:abstractNumId="5">
    <w:nsid w:val="157568FE"/>
    <w:multiLevelType w:val="hybridMultilevel"/>
    <w:tmpl w:val="5B4034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8A46D8"/>
    <w:multiLevelType w:val="hybridMultilevel"/>
    <w:tmpl w:val="BE66CA3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7F473D"/>
    <w:multiLevelType w:val="hybridMultilevel"/>
    <w:tmpl w:val="1C2E7B0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5C7FF4"/>
    <w:multiLevelType w:val="hybridMultilevel"/>
    <w:tmpl w:val="5B3A5708"/>
    <w:lvl w:ilvl="0" w:tplc="04090015">
      <w:start w:val="17"/>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4254BEF"/>
    <w:multiLevelType w:val="singleLevel"/>
    <w:tmpl w:val="B9240E28"/>
    <w:lvl w:ilvl="0">
      <w:start w:val="17"/>
      <w:numFmt w:val="upperLetter"/>
      <w:lvlText w:val="%1."/>
      <w:lvlJc w:val="left"/>
      <w:pPr>
        <w:tabs>
          <w:tab w:val="num" w:pos="1440"/>
        </w:tabs>
        <w:ind w:left="1440" w:hanging="720"/>
      </w:pPr>
      <w:rPr>
        <w:rFonts w:hint="default"/>
      </w:rPr>
    </w:lvl>
  </w:abstractNum>
  <w:abstractNum w:abstractNumId="10">
    <w:nsid w:val="25E5706C"/>
    <w:multiLevelType w:val="hybridMultilevel"/>
    <w:tmpl w:val="A4BA14EC"/>
    <w:lvl w:ilvl="0" w:tplc="3D402B3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FA5885"/>
    <w:multiLevelType w:val="hybridMultilevel"/>
    <w:tmpl w:val="5A4A2B30"/>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2">
    <w:nsid w:val="331D1D67"/>
    <w:multiLevelType w:val="singleLevel"/>
    <w:tmpl w:val="537A0A46"/>
    <w:lvl w:ilvl="0">
      <w:start w:val="17"/>
      <w:numFmt w:val="upperLetter"/>
      <w:lvlText w:val="%1."/>
      <w:lvlJc w:val="left"/>
      <w:pPr>
        <w:tabs>
          <w:tab w:val="num" w:pos="810"/>
        </w:tabs>
        <w:ind w:left="810" w:hanging="720"/>
      </w:pPr>
      <w:rPr>
        <w:rFonts w:hint="default"/>
      </w:rPr>
    </w:lvl>
  </w:abstractNum>
  <w:abstractNum w:abstractNumId="13">
    <w:nsid w:val="3FEF6A08"/>
    <w:multiLevelType w:val="singleLevel"/>
    <w:tmpl w:val="104A23EC"/>
    <w:lvl w:ilvl="0">
      <w:start w:val="1"/>
      <w:numFmt w:val="decimal"/>
      <w:lvlText w:val="%1."/>
      <w:legacy w:legacy="1" w:legacySpace="0" w:legacyIndent="360"/>
      <w:lvlJc w:val="left"/>
      <w:pPr>
        <w:ind w:left="1800" w:hanging="360"/>
      </w:pPr>
    </w:lvl>
  </w:abstractNum>
  <w:abstractNum w:abstractNumId="14">
    <w:nsid w:val="41C97E81"/>
    <w:multiLevelType w:val="hybridMultilevel"/>
    <w:tmpl w:val="EBF0F5D0"/>
    <w:lvl w:ilvl="0" w:tplc="F4C6E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0440C5"/>
    <w:multiLevelType w:val="hybridMultilevel"/>
    <w:tmpl w:val="38FED69C"/>
    <w:lvl w:ilvl="0" w:tplc="19BA3E1A">
      <w:start w:val="17"/>
      <w:numFmt w:val="upperLetter"/>
      <w:lvlText w:val="%1."/>
      <w:lvlJc w:val="left"/>
      <w:pPr>
        <w:tabs>
          <w:tab w:val="num" w:pos="720"/>
        </w:tabs>
        <w:ind w:left="720" w:hanging="360"/>
      </w:pPr>
      <w:rPr>
        <w:rFonts w:hint="default"/>
      </w:rPr>
    </w:lvl>
    <w:lvl w:ilvl="1" w:tplc="CEBC923A" w:tentative="1">
      <w:start w:val="1"/>
      <w:numFmt w:val="lowerLetter"/>
      <w:lvlText w:val="%2."/>
      <w:lvlJc w:val="left"/>
      <w:pPr>
        <w:tabs>
          <w:tab w:val="num" w:pos="1440"/>
        </w:tabs>
        <w:ind w:left="1440" w:hanging="360"/>
      </w:pPr>
    </w:lvl>
    <w:lvl w:ilvl="2" w:tplc="25BC11A2" w:tentative="1">
      <w:start w:val="1"/>
      <w:numFmt w:val="lowerRoman"/>
      <w:lvlText w:val="%3."/>
      <w:lvlJc w:val="right"/>
      <w:pPr>
        <w:tabs>
          <w:tab w:val="num" w:pos="2160"/>
        </w:tabs>
        <w:ind w:left="2160" w:hanging="180"/>
      </w:pPr>
    </w:lvl>
    <w:lvl w:ilvl="3" w:tplc="E0E691D6" w:tentative="1">
      <w:start w:val="1"/>
      <w:numFmt w:val="decimal"/>
      <w:lvlText w:val="%4."/>
      <w:lvlJc w:val="left"/>
      <w:pPr>
        <w:tabs>
          <w:tab w:val="num" w:pos="2880"/>
        </w:tabs>
        <w:ind w:left="2880" w:hanging="360"/>
      </w:pPr>
    </w:lvl>
    <w:lvl w:ilvl="4" w:tplc="652CE65A" w:tentative="1">
      <w:start w:val="1"/>
      <w:numFmt w:val="lowerLetter"/>
      <w:lvlText w:val="%5."/>
      <w:lvlJc w:val="left"/>
      <w:pPr>
        <w:tabs>
          <w:tab w:val="num" w:pos="3600"/>
        </w:tabs>
        <w:ind w:left="3600" w:hanging="360"/>
      </w:pPr>
    </w:lvl>
    <w:lvl w:ilvl="5" w:tplc="AE6E39CC" w:tentative="1">
      <w:start w:val="1"/>
      <w:numFmt w:val="lowerRoman"/>
      <w:lvlText w:val="%6."/>
      <w:lvlJc w:val="right"/>
      <w:pPr>
        <w:tabs>
          <w:tab w:val="num" w:pos="4320"/>
        </w:tabs>
        <w:ind w:left="4320" w:hanging="180"/>
      </w:pPr>
    </w:lvl>
    <w:lvl w:ilvl="6" w:tplc="D410F028" w:tentative="1">
      <w:start w:val="1"/>
      <w:numFmt w:val="decimal"/>
      <w:lvlText w:val="%7."/>
      <w:lvlJc w:val="left"/>
      <w:pPr>
        <w:tabs>
          <w:tab w:val="num" w:pos="5040"/>
        </w:tabs>
        <w:ind w:left="5040" w:hanging="360"/>
      </w:pPr>
    </w:lvl>
    <w:lvl w:ilvl="7" w:tplc="C7CEBAC4" w:tentative="1">
      <w:start w:val="1"/>
      <w:numFmt w:val="lowerLetter"/>
      <w:lvlText w:val="%8."/>
      <w:lvlJc w:val="left"/>
      <w:pPr>
        <w:tabs>
          <w:tab w:val="num" w:pos="5760"/>
        </w:tabs>
        <w:ind w:left="5760" w:hanging="360"/>
      </w:pPr>
    </w:lvl>
    <w:lvl w:ilvl="8" w:tplc="6D2A49E8" w:tentative="1">
      <w:start w:val="1"/>
      <w:numFmt w:val="lowerRoman"/>
      <w:lvlText w:val="%9."/>
      <w:lvlJc w:val="right"/>
      <w:pPr>
        <w:tabs>
          <w:tab w:val="num" w:pos="6480"/>
        </w:tabs>
        <w:ind w:left="6480" w:hanging="180"/>
      </w:pPr>
    </w:lvl>
  </w:abstractNum>
  <w:abstractNum w:abstractNumId="16">
    <w:nsid w:val="47542C1E"/>
    <w:multiLevelType w:val="hybridMultilevel"/>
    <w:tmpl w:val="AD925D94"/>
    <w:lvl w:ilvl="0" w:tplc="6EC608F6">
      <w:start w:val="1"/>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7A66EBE"/>
    <w:multiLevelType w:val="hybridMultilevel"/>
    <w:tmpl w:val="BCC41C9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82E4C6E"/>
    <w:multiLevelType w:val="hybridMultilevel"/>
    <w:tmpl w:val="99668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95055ED"/>
    <w:multiLevelType w:val="hybridMultilevel"/>
    <w:tmpl w:val="711E1464"/>
    <w:lvl w:ilvl="0" w:tplc="B03EE91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51240751"/>
    <w:multiLevelType w:val="singleLevel"/>
    <w:tmpl w:val="A65EF87C"/>
    <w:lvl w:ilvl="0">
      <w:start w:val="1"/>
      <w:numFmt w:val="upperLetter"/>
      <w:lvlText w:val="%1."/>
      <w:lvlJc w:val="left"/>
      <w:pPr>
        <w:tabs>
          <w:tab w:val="num" w:pos="900"/>
        </w:tabs>
        <w:ind w:left="900" w:hanging="720"/>
      </w:pPr>
      <w:rPr>
        <w:rFonts w:hint="default"/>
      </w:rPr>
    </w:lvl>
  </w:abstractNum>
  <w:abstractNum w:abstractNumId="21">
    <w:nsid w:val="52611B91"/>
    <w:multiLevelType w:val="hybridMultilevel"/>
    <w:tmpl w:val="6A8049B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D73DEA"/>
    <w:multiLevelType w:val="hybridMultilevel"/>
    <w:tmpl w:val="C206F0C0"/>
    <w:lvl w:ilvl="0" w:tplc="C1E62E5A">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430470"/>
    <w:multiLevelType w:val="hybridMultilevel"/>
    <w:tmpl w:val="660EAF02"/>
    <w:lvl w:ilvl="0" w:tplc="04090015">
      <w:start w:val="17"/>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44740B"/>
    <w:multiLevelType w:val="hybridMultilevel"/>
    <w:tmpl w:val="1EB8C8D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5">
    <w:nsid w:val="5CC83557"/>
    <w:multiLevelType w:val="hybridMultilevel"/>
    <w:tmpl w:val="1228D87A"/>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FA930C7"/>
    <w:multiLevelType w:val="hybridMultilevel"/>
    <w:tmpl w:val="13E45B78"/>
    <w:lvl w:ilvl="0" w:tplc="DC40184E">
      <w:start w:val="1"/>
      <w:numFmt w:val="upperLetter"/>
      <w:lvlText w:val="%1."/>
      <w:lvlJc w:val="left"/>
      <w:pPr>
        <w:tabs>
          <w:tab w:val="num" w:pos="720"/>
        </w:tabs>
        <w:ind w:left="720" w:hanging="360"/>
      </w:pPr>
      <w:rPr>
        <w:rFonts w:hint="default"/>
      </w:rPr>
    </w:lvl>
    <w:lvl w:ilvl="1" w:tplc="D2A478B6" w:tentative="1">
      <w:start w:val="1"/>
      <w:numFmt w:val="lowerLetter"/>
      <w:lvlText w:val="%2."/>
      <w:lvlJc w:val="left"/>
      <w:pPr>
        <w:tabs>
          <w:tab w:val="num" w:pos="1440"/>
        </w:tabs>
        <w:ind w:left="1440" w:hanging="360"/>
      </w:pPr>
    </w:lvl>
    <w:lvl w:ilvl="2" w:tplc="4CF00D9A" w:tentative="1">
      <w:start w:val="1"/>
      <w:numFmt w:val="lowerRoman"/>
      <w:lvlText w:val="%3."/>
      <w:lvlJc w:val="right"/>
      <w:pPr>
        <w:tabs>
          <w:tab w:val="num" w:pos="2160"/>
        </w:tabs>
        <w:ind w:left="2160" w:hanging="180"/>
      </w:pPr>
    </w:lvl>
    <w:lvl w:ilvl="3" w:tplc="311669E0" w:tentative="1">
      <w:start w:val="1"/>
      <w:numFmt w:val="decimal"/>
      <w:lvlText w:val="%4."/>
      <w:lvlJc w:val="left"/>
      <w:pPr>
        <w:tabs>
          <w:tab w:val="num" w:pos="2880"/>
        </w:tabs>
        <w:ind w:left="2880" w:hanging="360"/>
      </w:pPr>
    </w:lvl>
    <w:lvl w:ilvl="4" w:tplc="23B648F4" w:tentative="1">
      <w:start w:val="1"/>
      <w:numFmt w:val="lowerLetter"/>
      <w:lvlText w:val="%5."/>
      <w:lvlJc w:val="left"/>
      <w:pPr>
        <w:tabs>
          <w:tab w:val="num" w:pos="3600"/>
        </w:tabs>
        <w:ind w:left="3600" w:hanging="360"/>
      </w:pPr>
    </w:lvl>
    <w:lvl w:ilvl="5" w:tplc="42226698" w:tentative="1">
      <w:start w:val="1"/>
      <w:numFmt w:val="lowerRoman"/>
      <w:lvlText w:val="%6."/>
      <w:lvlJc w:val="right"/>
      <w:pPr>
        <w:tabs>
          <w:tab w:val="num" w:pos="4320"/>
        </w:tabs>
        <w:ind w:left="4320" w:hanging="180"/>
      </w:pPr>
    </w:lvl>
    <w:lvl w:ilvl="6" w:tplc="645EE10C" w:tentative="1">
      <w:start w:val="1"/>
      <w:numFmt w:val="decimal"/>
      <w:lvlText w:val="%7."/>
      <w:lvlJc w:val="left"/>
      <w:pPr>
        <w:tabs>
          <w:tab w:val="num" w:pos="5040"/>
        </w:tabs>
        <w:ind w:left="5040" w:hanging="360"/>
      </w:pPr>
    </w:lvl>
    <w:lvl w:ilvl="7" w:tplc="33581194" w:tentative="1">
      <w:start w:val="1"/>
      <w:numFmt w:val="lowerLetter"/>
      <w:lvlText w:val="%8."/>
      <w:lvlJc w:val="left"/>
      <w:pPr>
        <w:tabs>
          <w:tab w:val="num" w:pos="5760"/>
        </w:tabs>
        <w:ind w:left="5760" w:hanging="360"/>
      </w:pPr>
    </w:lvl>
    <w:lvl w:ilvl="8" w:tplc="98CA1BB4" w:tentative="1">
      <w:start w:val="1"/>
      <w:numFmt w:val="lowerRoman"/>
      <w:lvlText w:val="%9."/>
      <w:lvlJc w:val="right"/>
      <w:pPr>
        <w:tabs>
          <w:tab w:val="num" w:pos="6480"/>
        </w:tabs>
        <w:ind w:left="6480" w:hanging="180"/>
      </w:pPr>
    </w:lvl>
  </w:abstractNum>
  <w:abstractNum w:abstractNumId="27">
    <w:nsid w:val="64CB0831"/>
    <w:multiLevelType w:val="hybridMultilevel"/>
    <w:tmpl w:val="C95A3F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3E4BC4"/>
    <w:multiLevelType w:val="hybridMultilevel"/>
    <w:tmpl w:val="0472E85C"/>
    <w:lvl w:ilvl="0" w:tplc="8CF8B074">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0728FA"/>
    <w:multiLevelType w:val="hybridMultilevel"/>
    <w:tmpl w:val="519066C2"/>
    <w:lvl w:ilvl="0" w:tplc="BA48E9AC">
      <w:start w:val="17"/>
      <w:numFmt w:val="upperLetter"/>
      <w:lvlText w:val="%1."/>
      <w:lvlJc w:val="left"/>
      <w:pPr>
        <w:tabs>
          <w:tab w:val="num" w:pos="720"/>
        </w:tabs>
        <w:ind w:left="720" w:hanging="360"/>
      </w:pPr>
      <w:rPr>
        <w:rFonts w:hint="default"/>
      </w:rPr>
    </w:lvl>
    <w:lvl w:ilvl="1" w:tplc="257081D4" w:tentative="1">
      <w:start w:val="1"/>
      <w:numFmt w:val="lowerLetter"/>
      <w:lvlText w:val="%2."/>
      <w:lvlJc w:val="left"/>
      <w:pPr>
        <w:tabs>
          <w:tab w:val="num" w:pos="1440"/>
        </w:tabs>
        <w:ind w:left="1440" w:hanging="360"/>
      </w:pPr>
    </w:lvl>
    <w:lvl w:ilvl="2" w:tplc="21B2EA14" w:tentative="1">
      <w:start w:val="1"/>
      <w:numFmt w:val="lowerRoman"/>
      <w:lvlText w:val="%3."/>
      <w:lvlJc w:val="right"/>
      <w:pPr>
        <w:tabs>
          <w:tab w:val="num" w:pos="2160"/>
        </w:tabs>
        <w:ind w:left="2160" w:hanging="180"/>
      </w:pPr>
    </w:lvl>
    <w:lvl w:ilvl="3" w:tplc="8A5EA28E" w:tentative="1">
      <w:start w:val="1"/>
      <w:numFmt w:val="decimal"/>
      <w:lvlText w:val="%4."/>
      <w:lvlJc w:val="left"/>
      <w:pPr>
        <w:tabs>
          <w:tab w:val="num" w:pos="2880"/>
        </w:tabs>
        <w:ind w:left="2880" w:hanging="360"/>
      </w:pPr>
    </w:lvl>
    <w:lvl w:ilvl="4" w:tplc="BE400E30" w:tentative="1">
      <w:start w:val="1"/>
      <w:numFmt w:val="lowerLetter"/>
      <w:lvlText w:val="%5."/>
      <w:lvlJc w:val="left"/>
      <w:pPr>
        <w:tabs>
          <w:tab w:val="num" w:pos="3600"/>
        </w:tabs>
        <w:ind w:left="3600" w:hanging="360"/>
      </w:pPr>
    </w:lvl>
    <w:lvl w:ilvl="5" w:tplc="CDEA1346" w:tentative="1">
      <w:start w:val="1"/>
      <w:numFmt w:val="lowerRoman"/>
      <w:lvlText w:val="%6."/>
      <w:lvlJc w:val="right"/>
      <w:pPr>
        <w:tabs>
          <w:tab w:val="num" w:pos="4320"/>
        </w:tabs>
        <w:ind w:left="4320" w:hanging="180"/>
      </w:pPr>
    </w:lvl>
    <w:lvl w:ilvl="6" w:tplc="A074F280" w:tentative="1">
      <w:start w:val="1"/>
      <w:numFmt w:val="decimal"/>
      <w:lvlText w:val="%7."/>
      <w:lvlJc w:val="left"/>
      <w:pPr>
        <w:tabs>
          <w:tab w:val="num" w:pos="5040"/>
        </w:tabs>
        <w:ind w:left="5040" w:hanging="360"/>
      </w:pPr>
    </w:lvl>
    <w:lvl w:ilvl="7" w:tplc="A4BC50C8" w:tentative="1">
      <w:start w:val="1"/>
      <w:numFmt w:val="lowerLetter"/>
      <w:lvlText w:val="%8."/>
      <w:lvlJc w:val="left"/>
      <w:pPr>
        <w:tabs>
          <w:tab w:val="num" w:pos="5760"/>
        </w:tabs>
        <w:ind w:left="5760" w:hanging="360"/>
      </w:pPr>
    </w:lvl>
    <w:lvl w:ilvl="8" w:tplc="5A167D9A" w:tentative="1">
      <w:start w:val="1"/>
      <w:numFmt w:val="lowerRoman"/>
      <w:lvlText w:val="%9."/>
      <w:lvlJc w:val="right"/>
      <w:pPr>
        <w:tabs>
          <w:tab w:val="num" w:pos="6480"/>
        </w:tabs>
        <w:ind w:left="6480" w:hanging="180"/>
      </w:pPr>
    </w:lvl>
  </w:abstractNum>
  <w:abstractNum w:abstractNumId="30">
    <w:nsid w:val="6F235667"/>
    <w:multiLevelType w:val="singleLevel"/>
    <w:tmpl w:val="0734C138"/>
    <w:lvl w:ilvl="0">
      <w:start w:val="1"/>
      <w:numFmt w:val="lowerLetter"/>
      <w:lvlText w:val="%1)"/>
      <w:lvlJc w:val="left"/>
      <w:pPr>
        <w:tabs>
          <w:tab w:val="num" w:pos="1080"/>
        </w:tabs>
        <w:ind w:left="1080" w:hanging="360"/>
      </w:pPr>
      <w:rPr>
        <w:rFonts w:hint="default"/>
      </w:rPr>
    </w:lvl>
  </w:abstractNum>
  <w:num w:numId="1">
    <w:abstractNumId w:val="26"/>
  </w:num>
  <w:num w:numId="2">
    <w:abstractNumId w:val="29"/>
  </w:num>
  <w:num w:numId="3">
    <w:abstractNumId w:val="15"/>
  </w:num>
  <w:num w:numId="4">
    <w:abstractNumId w:val="11"/>
  </w:num>
  <w:num w:numId="5">
    <w:abstractNumId w:val="24"/>
  </w:num>
  <w:num w:numId="6">
    <w:abstractNumId w:val="22"/>
  </w:num>
  <w:num w:numId="7">
    <w:abstractNumId w:val="17"/>
  </w:num>
  <w:num w:numId="8">
    <w:abstractNumId w:val="10"/>
  </w:num>
  <w:num w:numId="9">
    <w:abstractNumId w:val="28"/>
  </w:num>
  <w:num w:numId="10">
    <w:abstractNumId w:val="27"/>
  </w:num>
  <w:num w:numId="11">
    <w:abstractNumId w:val="21"/>
  </w:num>
  <w:num w:numId="12">
    <w:abstractNumId w:val="23"/>
  </w:num>
  <w:num w:numId="13">
    <w:abstractNumId w:val="30"/>
  </w:num>
  <w:num w:numId="14">
    <w:abstractNumId w:val="4"/>
  </w:num>
  <w:num w:numId="15">
    <w:abstractNumId w:val="12"/>
  </w:num>
  <w:num w:numId="16">
    <w:abstractNumId w:val="9"/>
  </w:num>
  <w:num w:numId="17">
    <w:abstractNumId w:val="20"/>
  </w:num>
  <w:num w:numId="18">
    <w:abstractNumId w:val="2"/>
  </w:num>
  <w:num w:numId="19">
    <w:abstractNumId w:val="6"/>
  </w:num>
  <w:num w:numId="20">
    <w:abstractNumId w:val="16"/>
  </w:num>
  <w:num w:numId="21">
    <w:abstractNumId w:val="5"/>
  </w:num>
  <w:num w:numId="22">
    <w:abstractNumId w:val="25"/>
  </w:num>
  <w:num w:numId="23">
    <w:abstractNumId w:val="7"/>
  </w:num>
  <w:num w:numId="24">
    <w:abstractNumId w:val="0"/>
  </w:num>
  <w:num w:numId="25">
    <w:abstractNumId w:val="14"/>
  </w:num>
  <w:num w:numId="26">
    <w:abstractNumId w:val="3"/>
  </w:num>
  <w:num w:numId="27">
    <w:abstractNumId w:val="19"/>
  </w:num>
  <w:num w:numId="28">
    <w:abstractNumId w:val="13"/>
  </w:num>
  <w:num w:numId="29">
    <w:abstractNumId w:val="8"/>
  </w:num>
  <w:num w:numId="30">
    <w:abstractNumId w:val="1"/>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rsids>
    <w:rsidRoot w:val="00FD4AB5"/>
    <w:rsid w:val="00000DC7"/>
    <w:rsid w:val="000047E7"/>
    <w:rsid w:val="000047F4"/>
    <w:rsid w:val="00004D6F"/>
    <w:rsid w:val="00004D8B"/>
    <w:rsid w:val="00005F2F"/>
    <w:rsid w:val="00010B70"/>
    <w:rsid w:val="00013F11"/>
    <w:rsid w:val="00017F0F"/>
    <w:rsid w:val="000217A0"/>
    <w:rsid w:val="00021B21"/>
    <w:rsid w:val="00022178"/>
    <w:rsid w:val="000228E9"/>
    <w:rsid w:val="00023EDC"/>
    <w:rsid w:val="000243A7"/>
    <w:rsid w:val="00024F42"/>
    <w:rsid w:val="000257CA"/>
    <w:rsid w:val="000260BF"/>
    <w:rsid w:val="00026649"/>
    <w:rsid w:val="000305A3"/>
    <w:rsid w:val="00030D2C"/>
    <w:rsid w:val="00032352"/>
    <w:rsid w:val="0003283F"/>
    <w:rsid w:val="00033601"/>
    <w:rsid w:val="00033FE9"/>
    <w:rsid w:val="00035451"/>
    <w:rsid w:val="0003781F"/>
    <w:rsid w:val="000435DA"/>
    <w:rsid w:val="0004451A"/>
    <w:rsid w:val="00044C27"/>
    <w:rsid w:val="00045858"/>
    <w:rsid w:val="000458CB"/>
    <w:rsid w:val="00050334"/>
    <w:rsid w:val="0005145B"/>
    <w:rsid w:val="00052C26"/>
    <w:rsid w:val="00053FBB"/>
    <w:rsid w:val="00063AA2"/>
    <w:rsid w:val="00063B39"/>
    <w:rsid w:val="00064F9F"/>
    <w:rsid w:val="000717B2"/>
    <w:rsid w:val="00071D36"/>
    <w:rsid w:val="00074371"/>
    <w:rsid w:val="000755C3"/>
    <w:rsid w:val="00075E91"/>
    <w:rsid w:val="00080159"/>
    <w:rsid w:val="00082945"/>
    <w:rsid w:val="00082DCE"/>
    <w:rsid w:val="00086B5B"/>
    <w:rsid w:val="00087978"/>
    <w:rsid w:val="0009025E"/>
    <w:rsid w:val="0009290A"/>
    <w:rsid w:val="000A1DF1"/>
    <w:rsid w:val="000A3BFE"/>
    <w:rsid w:val="000A5C0D"/>
    <w:rsid w:val="000A7B80"/>
    <w:rsid w:val="000B203A"/>
    <w:rsid w:val="000B6672"/>
    <w:rsid w:val="000B7070"/>
    <w:rsid w:val="000B7AF0"/>
    <w:rsid w:val="000C1BC1"/>
    <w:rsid w:val="000C27D7"/>
    <w:rsid w:val="000C3396"/>
    <w:rsid w:val="000C3633"/>
    <w:rsid w:val="000C3C7B"/>
    <w:rsid w:val="000C6708"/>
    <w:rsid w:val="000C7C21"/>
    <w:rsid w:val="000D0A17"/>
    <w:rsid w:val="000D0AD5"/>
    <w:rsid w:val="000D45E1"/>
    <w:rsid w:val="000D4702"/>
    <w:rsid w:val="000D5546"/>
    <w:rsid w:val="000E378E"/>
    <w:rsid w:val="000E4326"/>
    <w:rsid w:val="000E45CF"/>
    <w:rsid w:val="000E53D0"/>
    <w:rsid w:val="000F07C7"/>
    <w:rsid w:val="000F32F4"/>
    <w:rsid w:val="0010133E"/>
    <w:rsid w:val="001041EA"/>
    <w:rsid w:val="0010648A"/>
    <w:rsid w:val="0010786A"/>
    <w:rsid w:val="00113369"/>
    <w:rsid w:val="001145F6"/>
    <w:rsid w:val="00114CC3"/>
    <w:rsid w:val="0011656B"/>
    <w:rsid w:val="00122D94"/>
    <w:rsid w:val="001247BC"/>
    <w:rsid w:val="00125A78"/>
    <w:rsid w:val="00126B29"/>
    <w:rsid w:val="00130B7A"/>
    <w:rsid w:val="00132A8A"/>
    <w:rsid w:val="00133D26"/>
    <w:rsid w:val="00136947"/>
    <w:rsid w:val="00136948"/>
    <w:rsid w:val="00141730"/>
    <w:rsid w:val="00141B05"/>
    <w:rsid w:val="00141D8D"/>
    <w:rsid w:val="00142949"/>
    <w:rsid w:val="001434AF"/>
    <w:rsid w:val="00143A85"/>
    <w:rsid w:val="00145182"/>
    <w:rsid w:val="00145240"/>
    <w:rsid w:val="0014730E"/>
    <w:rsid w:val="001553F9"/>
    <w:rsid w:val="00156312"/>
    <w:rsid w:val="001573CE"/>
    <w:rsid w:val="001601C8"/>
    <w:rsid w:val="0016589D"/>
    <w:rsid w:val="001667E8"/>
    <w:rsid w:val="00170783"/>
    <w:rsid w:val="00173476"/>
    <w:rsid w:val="00174B2D"/>
    <w:rsid w:val="00175957"/>
    <w:rsid w:val="00176A79"/>
    <w:rsid w:val="00176B86"/>
    <w:rsid w:val="00181266"/>
    <w:rsid w:val="00181D02"/>
    <w:rsid w:val="00184A88"/>
    <w:rsid w:val="00184E22"/>
    <w:rsid w:val="00187E09"/>
    <w:rsid w:val="00191E91"/>
    <w:rsid w:val="00194744"/>
    <w:rsid w:val="001958FA"/>
    <w:rsid w:val="00196FAB"/>
    <w:rsid w:val="001A17F8"/>
    <w:rsid w:val="001A3823"/>
    <w:rsid w:val="001A6A0E"/>
    <w:rsid w:val="001B080C"/>
    <w:rsid w:val="001B097A"/>
    <w:rsid w:val="001B76AF"/>
    <w:rsid w:val="001C52F7"/>
    <w:rsid w:val="001C58D5"/>
    <w:rsid w:val="001D06F3"/>
    <w:rsid w:val="001D12D0"/>
    <w:rsid w:val="001D70F1"/>
    <w:rsid w:val="001E5059"/>
    <w:rsid w:val="001F16F8"/>
    <w:rsid w:val="001F428D"/>
    <w:rsid w:val="001F5B51"/>
    <w:rsid w:val="001F5F84"/>
    <w:rsid w:val="001F6F4E"/>
    <w:rsid w:val="00200BF0"/>
    <w:rsid w:val="00201361"/>
    <w:rsid w:val="0020152A"/>
    <w:rsid w:val="002038C9"/>
    <w:rsid w:val="00205FE4"/>
    <w:rsid w:val="00206530"/>
    <w:rsid w:val="0020664C"/>
    <w:rsid w:val="00207A47"/>
    <w:rsid w:val="002110D2"/>
    <w:rsid w:val="00213F76"/>
    <w:rsid w:val="00217E30"/>
    <w:rsid w:val="00223B5E"/>
    <w:rsid w:val="002243B3"/>
    <w:rsid w:val="002255A5"/>
    <w:rsid w:val="002256CA"/>
    <w:rsid w:val="0022665B"/>
    <w:rsid w:val="00230EEF"/>
    <w:rsid w:val="00232E28"/>
    <w:rsid w:val="0023392D"/>
    <w:rsid w:val="00237E9F"/>
    <w:rsid w:val="00244E7F"/>
    <w:rsid w:val="00253041"/>
    <w:rsid w:val="002532BB"/>
    <w:rsid w:val="00255D28"/>
    <w:rsid w:val="0025698E"/>
    <w:rsid w:val="0026031A"/>
    <w:rsid w:val="002620B9"/>
    <w:rsid w:val="00267241"/>
    <w:rsid w:val="002702D0"/>
    <w:rsid w:val="0027073E"/>
    <w:rsid w:val="00271AC4"/>
    <w:rsid w:val="002734C5"/>
    <w:rsid w:val="00274F13"/>
    <w:rsid w:val="00282C5F"/>
    <w:rsid w:val="00283025"/>
    <w:rsid w:val="002852CD"/>
    <w:rsid w:val="002870FD"/>
    <w:rsid w:val="002921E2"/>
    <w:rsid w:val="00294A1F"/>
    <w:rsid w:val="00294C20"/>
    <w:rsid w:val="00295326"/>
    <w:rsid w:val="002954F0"/>
    <w:rsid w:val="0029551A"/>
    <w:rsid w:val="002A245B"/>
    <w:rsid w:val="002A285A"/>
    <w:rsid w:val="002A2F00"/>
    <w:rsid w:val="002A39DE"/>
    <w:rsid w:val="002A5F6D"/>
    <w:rsid w:val="002A76D1"/>
    <w:rsid w:val="002B0BFA"/>
    <w:rsid w:val="002B1237"/>
    <w:rsid w:val="002B207B"/>
    <w:rsid w:val="002B2908"/>
    <w:rsid w:val="002B34EE"/>
    <w:rsid w:val="002B4FF4"/>
    <w:rsid w:val="002C1F95"/>
    <w:rsid w:val="002C2A5E"/>
    <w:rsid w:val="002C2D2B"/>
    <w:rsid w:val="002C50F6"/>
    <w:rsid w:val="002D01D4"/>
    <w:rsid w:val="002D0C4F"/>
    <w:rsid w:val="002D16F4"/>
    <w:rsid w:val="002D3BCB"/>
    <w:rsid w:val="002D79F6"/>
    <w:rsid w:val="002E0A90"/>
    <w:rsid w:val="002E0C4A"/>
    <w:rsid w:val="002E1A61"/>
    <w:rsid w:val="002E238E"/>
    <w:rsid w:val="002E36A3"/>
    <w:rsid w:val="002E4AAB"/>
    <w:rsid w:val="002F185B"/>
    <w:rsid w:val="002F1A94"/>
    <w:rsid w:val="002F1B4C"/>
    <w:rsid w:val="002F288C"/>
    <w:rsid w:val="002F3EED"/>
    <w:rsid w:val="002F692D"/>
    <w:rsid w:val="0030239E"/>
    <w:rsid w:val="00303B75"/>
    <w:rsid w:val="003054A9"/>
    <w:rsid w:val="003117FD"/>
    <w:rsid w:val="003141E3"/>
    <w:rsid w:val="003168F3"/>
    <w:rsid w:val="00316E59"/>
    <w:rsid w:val="00317603"/>
    <w:rsid w:val="0031765D"/>
    <w:rsid w:val="00326499"/>
    <w:rsid w:val="00330E3C"/>
    <w:rsid w:val="00333A55"/>
    <w:rsid w:val="0033641D"/>
    <w:rsid w:val="003367A6"/>
    <w:rsid w:val="00341262"/>
    <w:rsid w:val="00341658"/>
    <w:rsid w:val="0034595D"/>
    <w:rsid w:val="0035134A"/>
    <w:rsid w:val="00356F05"/>
    <w:rsid w:val="00360AA7"/>
    <w:rsid w:val="00362299"/>
    <w:rsid w:val="00364835"/>
    <w:rsid w:val="00364B1D"/>
    <w:rsid w:val="00371F7C"/>
    <w:rsid w:val="00377675"/>
    <w:rsid w:val="003807B0"/>
    <w:rsid w:val="00381A1E"/>
    <w:rsid w:val="0038239F"/>
    <w:rsid w:val="003833E1"/>
    <w:rsid w:val="003835A6"/>
    <w:rsid w:val="00391883"/>
    <w:rsid w:val="00392364"/>
    <w:rsid w:val="00392ADB"/>
    <w:rsid w:val="00397E21"/>
    <w:rsid w:val="003A3B78"/>
    <w:rsid w:val="003A460A"/>
    <w:rsid w:val="003A5542"/>
    <w:rsid w:val="003B2F0F"/>
    <w:rsid w:val="003C5238"/>
    <w:rsid w:val="003C52BD"/>
    <w:rsid w:val="003D0334"/>
    <w:rsid w:val="003D2B73"/>
    <w:rsid w:val="003D3593"/>
    <w:rsid w:val="003D45DA"/>
    <w:rsid w:val="003D4EFC"/>
    <w:rsid w:val="003D5254"/>
    <w:rsid w:val="003D67D1"/>
    <w:rsid w:val="003E081D"/>
    <w:rsid w:val="003E0E43"/>
    <w:rsid w:val="003E339C"/>
    <w:rsid w:val="003E46AE"/>
    <w:rsid w:val="003E48E0"/>
    <w:rsid w:val="003E5C7A"/>
    <w:rsid w:val="003E748A"/>
    <w:rsid w:val="003F15FE"/>
    <w:rsid w:val="003F1660"/>
    <w:rsid w:val="003F2E4D"/>
    <w:rsid w:val="003F6C97"/>
    <w:rsid w:val="003F6EFA"/>
    <w:rsid w:val="003F7012"/>
    <w:rsid w:val="003F7334"/>
    <w:rsid w:val="004026C4"/>
    <w:rsid w:val="00410654"/>
    <w:rsid w:val="004121E9"/>
    <w:rsid w:val="00415280"/>
    <w:rsid w:val="00415F56"/>
    <w:rsid w:val="004168FE"/>
    <w:rsid w:val="00420544"/>
    <w:rsid w:val="00423737"/>
    <w:rsid w:val="00425B65"/>
    <w:rsid w:val="0042631F"/>
    <w:rsid w:val="00426CB6"/>
    <w:rsid w:val="004341FA"/>
    <w:rsid w:val="004372F3"/>
    <w:rsid w:val="004378D6"/>
    <w:rsid w:val="004422F7"/>
    <w:rsid w:val="00442B1D"/>
    <w:rsid w:val="00443841"/>
    <w:rsid w:val="00443962"/>
    <w:rsid w:val="00444A1F"/>
    <w:rsid w:val="00451A94"/>
    <w:rsid w:val="00452F08"/>
    <w:rsid w:val="00454D4E"/>
    <w:rsid w:val="0045665F"/>
    <w:rsid w:val="00457D21"/>
    <w:rsid w:val="0046081A"/>
    <w:rsid w:val="004608DC"/>
    <w:rsid w:val="00465F0D"/>
    <w:rsid w:val="0046790A"/>
    <w:rsid w:val="00472998"/>
    <w:rsid w:val="004771F2"/>
    <w:rsid w:val="0047737C"/>
    <w:rsid w:val="004777CE"/>
    <w:rsid w:val="004840D2"/>
    <w:rsid w:val="00486F62"/>
    <w:rsid w:val="00487BDD"/>
    <w:rsid w:val="0049099C"/>
    <w:rsid w:val="00492713"/>
    <w:rsid w:val="004A1D03"/>
    <w:rsid w:val="004A1EB8"/>
    <w:rsid w:val="004A3544"/>
    <w:rsid w:val="004A359C"/>
    <w:rsid w:val="004A5155"/>
    <w:rsid w:val="004B0DD9"/>
    <w:rsid w:val="004B1C1A"/>
    <w:rsid w:val="004B21D0"/>
    <w:rsid w:val="004B280E"/>
    <w:rsid w:val="004B3BD5"/>
    <w:rsid w:val="004B4B85"/>
    <w:rsid w:val="004B7079"/>
    <w:rsid w:val="004B72A2"/>
    <w:rsid w:val="004C0D79"/>
    <w:rsid w:val="004C1355"/>
    <w:rsid w:val="004C14D4"/>
    <w:rsid w:val="004C25DF"/>
    <w:rsid w:val="004C311B"/>
    <w:rsid w:val="004C3335"/>
    <w:rsid w:val="004C6314"/>
    <w:rsid w:val="004D12EB"/>
    <w:rsid w:val="004D3BD8"/>
    <w:rsid w:val="004E0629"/>
    <w:rsid w:val="004E0B02"/>
    <w:rsid w:val="004E165C"/>
    <w:rsid w:val="004E734D"/>
    <w:rsid w:val="004F0461"/>
    <w:rsid w:val="004F0482"/>
    <w:rsid w:val="004F1512"/>
    <w:rsid w:val="004F16D4"/>
    <w:rsid w:val="004F2A4A"/>
    <w:rsid w:val="004F3DDA"/>
    <w:rsid w:val="004F5940"/>
    <w:rsid w:val="004F60A3"/>
    <w:rsid w:val="004F63C9"/>
    <w:rsid w:val="005011AD"/>
    <w:rsid w:val="0050434C"/>
    <w:rsid w:val="005054B4"/>
    <w:rsid w:val="00510A46"/>
    <w:rsid w:val="00512133"/>
    <w:rsid w:val="00515E88"/>
    <w:rsid w:val="0051604A"/>
    <w:rsid w:val="005201DF"/>
    <w:rsid w:val="00520483"/>
    <w:rsid w:val="00523855"/>
    <w:rsid w:val="0052386F"/>
    <w:rsid w:val="005243F1"/>
    <w:rsid w:val="005306D1"/>
    <w:rsid w:val="00532D14"/>
    <w:rsid w:val="005338F8"/>
    <w:rsid w:val="0054002D"/>
    <w:rsid w:val="00540FDE"/>
    <w:rsid w:val="00543C68"/>
    <w:rsid w:val="00546D81"/>
    <w:rsid w:val="00550F24"/>
    <w:rsid w:val="005548F0"/>
    <w:rsid w:val="00557295"/>
    <w:rsid w:val="00557D14"/>
    <w:rsid w:val="005619A7"/>
    <w:rsid w:val="005648F6"/>
    <w:rsid w:val="00566AF2"/>
    <w:rsid w:val="005678D7"/>
    <w:rsid w:val="005709A5"/>
    <w:rsid w:val="00572207"/>
    <w:rsid w:val="00574554"/>
    <w:rsid w:val="00580B33"/>
    <w:rsid w:val="005820AE"/>
    <w:rsid w:val="00584F16"/>
    <w:rsid w:val="00584FAE"/>
    <w:rsid w:val="00586852"/>
    <w:rsid w:val="0058784A"/>
    <w:rsid w:val="00590F24"/>
    <w:rsid w:val="005911F4"/>
    <w:rsid w:val="00592989"/>
    <w:rsid w:val="0059369B"/>
    <w:rsid w:val="0059398A"/>
    <w:rsid w:val="00595CC0"/>
    <w:rsid w:val="005A368F"/>
    <w:rsid w:val="005A42F3"/>
    <w:rsid w:val="005A7A39"/>
    <w:rsid w:val="005B00BB"/>
    <w:rsid w:val="005B0DA8"/>
    <w:rsid w:val="005B19D5"/>
    <w:rsid w:val="005B1BF7"/>
    <w:rsid w:val="005B624C"/>
    <w:rsid w:val="005C15F9"/>
    <w:rsid w:val="005C367A"/>
    <w:rsid w:val="005D093B"/>
    <w:rsid w:val="005D38F5"/>
    <w:rsid w:val="005D521D"/>
    <w:rsid w:val="005D6E85"/>
    <w:rsid w:val="005E01F6"/>
    <w:rsid w:val="005E1785"/>
    <w:rsid w:val="005E4387"/>
    <w:rsid w:val="005E506B"/>
    <w:rsid w:val="005E61BA"/>
    <w:rsid w:val="005E6C88"/>
    <w:rsid w:val="005F4530"/>
    <w:rsid w:val="005F4B20"/>
    <w:rsid w:val="005F5369"/>
    <w:rsid w:val="005F5AF2"/>
    <w:rsid w:val="005F654A"/>
    <w:rsid w:val="005F6D0C"/>
    <w:rsid w:val="005F6D29"/>
    <w:rsid w:val="006028F1"/>
    <w:rsid w:val="00605206"/>
    <w:rsid w:val="00611F69"/>
    <w:rsid w:val="00612777"/>
    <w:rsid w:val="00612FAB"/>
    <w:rsid w:val="00613919"/>
    <w:rsid w:val="006143E3"/>
    <w:rsid w:val="006176EE"/>
    <w:rsid w:val="00617C2F"/>
    <w:rsid w:val="00623DF3"/>
    <w:rsid w:val="00624B75"/>
    <w:rsid w:val="0062568B"/>
    <w:rsid w:val="0063015C"/>
    <w:rsid w:val="00631511"/>
    <w:rsid w:val="0063225B"/>
    <w:rsid w:val="00633967"/>
    <w:rsid w:val="006342F6"/>
    <w:rsid w:val="00636F61"/>
    <w:rsid w:val="00637385"/>
    <w:rsid w:val="00640ED8"/>
    <w:rsid w:val="00642FE7"/>
    <w:rsid w:val="006432FA"/>
    <w:rsid w:val="00644C89"/>
    <w:rsid w:val="006460E6"/>
    <w:rsid w:val="006469AF"/>
    <w:rsid w:val="006523F9"/>
    <w:rsid w:val="0065574E"/>
    <w:rsid w:val="00655942"/>
    <w:rsid w:val="006579A5"/>
    <w:rsid w:val="00660061"/>
    <w:rsid w:val="00660939"/>
    <w:rsid w:val="006634B2"/>
    <w:rsid w:val="0066449A"/>
    <w:rsid w:val="006644D7"/>
    <w:rsid w:val="006664AC"/>
    <w:rsid w:val="00676544"/>
    <w:rsid w:val="0067747F"/>
    <w:rsid w:val="00681E48"/>
    <w:rsid w:val="00686799"/>
    <w:rsid w:val="00686BF2"/>
    <w:rsid w:val="00690BF0"/>
    <w:rsid w:val="00694AED"/>
    <w:rsid w:val="006950DE"/>
    <w:rsid w:val="006A2F07"/>
    <w:rsid w:val="006A3CC0"/>
    <w:rsid w:val="006A6F4C"/>
    <w:rsid w:val="006A7981"/>
    <w:rsid w:val="006B21DC"/>
    <w:rsid w:val="006B25DE"/>
    <w:rsid w:val="006B3856"/>
    <w:rsid w:val="006B4FBC"/>
    <w:rsid w:val="006C132F"/>
    <w:rsid w:val="006C267D"/>
    <w:rsid w:val="006C4430"/>
    <w:rsid w:val="006C459D"/>
    <w:rsid w:val="006C4C4A"/>
    <w:rsid w:val="006D0225"/>
    <w:rsid w:val="006D03AF"/>
    <w:rsid w:val="006D1998"/>
    <w:rsid w:val="006D4293"/>
    <w:rsid w:val="006D5AE6"/>
    <w:rsid w:val="006E043C"/>
    <w:rsid w:val="006E1501"/>
    <w:rsid w:val="006E375D"/>
    <w:rsid w:val="006F34CE"/>
    <w:rsid w:val="006F6081"/>
    <w:rsid w:val="006F6141"/>
    <w:rsid w:val="00700639"/>
    <w:rsid w:val="00702F5A"/>
    <w:rsid w:val="00702F70"/>
    <w:rsid w:val="007037FD"/>
    <w:rsid w:val="00703DEE"/>
    <w:rsid w:val="00706A7F"/>
    <w:rsid w:val="0071225B"/>
    <w:rsid w:val="00712A96"/>
    <w:rsid w:val="00714C14"/>
    <w:rsid w:val="00714F33"/>
    <w:rsid w:val="0071522A"/>
    <w:rsid w:val="007154B8"/>
    <w:rsid w:val="00715EF7"/>
    <w:rsid w:val="007166FE"/>
    <w:rsid w:val="00723DDB"/>
    <w:rsid w:val="00724D03"/>
    <w:rsid w:val="00725256"/>
    <w:rsid w:val="0072691E"/>
    <w:rsid w:val="00727C6E"/>
    <w:rsid w:val="00733AFC"/>
    <w:rsid w:val="00735847"/>
    <w:rsid w:val="00735E9E"/>
    <w:rsid w:val="0074102C"/>
    <w:rsid w:val="00741D07"/>
    <w:rsid w:val="00742358"/>
    <w:rsid w:val="007450F9"/>
    <w:rsid w:val="007477F5"/>
    <w:rsid w:val="007508BD"/>
    <w:rsid w:val="00756CFC"/>
    <w:rsid w:val="00757B63"/>
    <w:rsid w:val="00760F9F"/>
    <w:rsid w:val="007654B5"/>
    <w:rsid w:val="0077112B"/>
    <w:rsid w:val="00772D52"/>
    <w:rsid w:val="00775824"/>
    <w:rsid w:val="00777120"/>
    <w:rsid w:val="007832D9"/>
    <w:rsid w:val="00783BED"/>
    <w:rsid w:val="0079177C"/>
    <w:rsid w:val="00793788"/>
    <w:rsid w:val="00796DDF"/>
    <w:rsid w:val="007974C7"/>
    <w:rsid w:val="007A1219"/>
    <w:rsid w:val="007A2305"/>
    <w:rsid w:val="007A2D60"/>
    <w:rsid w:val="007A30FC"/>
    <w:rsid w:val="007A58BF"/>
    <w:rsid w:val="007A66EF"/>
    <w:rsid w:val="007B06A4"/>
    <w:rsid w:val="007B2F49"/>
    <w:rsid w:val="007B360A"/>
    <w:rsid w:val="007B505C"/>
    <w:rsid w:val="007B5614"/>
    <w:rsid w:val="007B57CF"/>
    <w:rsid w:val="007B6D92"/>
    <w:rsid w:val="007B7436"/>
    <w:rsid w:val="007C1146"/>
    <w:rsid w:val="007C35CD"/>
    <w:rsid w:val="007C3C2F"/>
    <w:rsid w:val="007C45EE"/>
    <w:rsid w:val="007C601C"/>
    <w:rsid w:val="007C6D25"/>
    <w:rsid w:val="007C7FC2"/>
    <w:rsid w:val="007D0B71"/>
    <w:rsid w:val="007D1B95"/>
    <w:rsid w:val="007D30A9"/>
    <w:rsid w:val="007E0CE8"/>
    <w:rsid w:val="007E33C9"/>
    <w:rsid w:val="007E3E59"/>
    <w:rsid w:val="007F5849"/>
    <w:rsid w:val="007F5C6C"/>
    <w:rsid w:val="007F6BCF"/>
    <w:rsid w:val="007F7843"/>
    <w:rsid w:val="00801861"/>
    <w:rsid w:val="0081141E"/>
    <w:rsid w:val="00811579"/>
    <w:rsid w:val="00812A15"/>
    <w:rsid w:val="0081332D"/>
    <w:rsid w:val="0081402C"/>
    <w:rsid w:val="00815781"/>
    <w:rsid w:val="00820C63"/>
    <w:rsid w:val="00822F88"/>
    <w:rsid w:val="00841213"/>
    <w:rsid w:val="008449F2"/>
    <w:rsid w:val="008462BC"/>
    <w:rsid w:val="00852555"/>
    <w:rsid w:val="00853818"/>
    <w:rsid w:val="0085500C"/>
    <w:rsid w:val="008550B6"/>
    <w:rsid w:val="00856E44"/>
    <w:rsid w:val="0086122B"/>
    <w:rsid w:val="00863E02"/>
    <w:rsid w:val="0086568C"/>
    <w:rsid w:val="008700D5"/>
    <w:rsid w:val="00871889"/>
    <w:rsid w:val="00872C53"/>
    <w:rsid w:val="008757CA"/>
    <w:rsid w:val="00876333"/>
    <w:rsid w:val="00876BED"/>
    <w:rsid w:val="00877FCF"/>
    <w:rsid w:val="00881324"/>
    <w:rsid w:val="008817DA"/>
    <w:rsid w:val="0088703F"/>
    <w:rsid w:val="0089120C"/>
    <w:rsid w:val="00891C4B"/>
    <w:rsid w:val="00892DEA"/>
    <w:rsid w:val="00894C6E"/>
    <w:rsid w:val="0089715B"/>
    <w:rsid w:val="008972AB"/>
    <w:rsid w:val="008A0A09"/>
    <w:rsid w:val="008A12A2"/>
    <w:rsid w:val="008A3774"/>
    <w:rsid w:val="008A4E8A"/>
    <w:rsid w:val="008A4EA9"/>
    <w:rsid w:val="008A58FB"/>
    <w:rsid w:val="008A7261"/>
    <w:rsid w:val="008B01C9"/>
    <w:rsid w:val="008B1391"/>
    <w:rsid w:val="008B1CE9"/>
    <w:rsid w:val="008B1EE4"/>
    <w:rsid w:val="008B3F68"/>
    <w:rsid w:val="008B5D9F"/>
    <w:rsid w:val="008B5FEE"/>
    <w:rsid w:val="008B63CB"/>
    <w:rsid w:val="008C16CD"/>
    <w:rsid w:val="008C249D"/>
    <w:rsid w:val="008C2784"/>
    <w:rsid w:val="008C2BEF"/>
    <w:rsid w:val="008C2D6D"/>
    <w:rsid w:val="008D54D3"/>
    <w:rsid w:val="008E423A"/>
    <w:rsid w:val="008F026C"/>
    <w:rsid w:val="008F2164"/>
    <w:rsid w:val="008F5056"/>
    <w:rsid w:val="008F674A"/>
    <w:rsid w:val="008F75B6"/>
    <w:rsid w:val="008F774D"/>
    <w:rsid w:val="00904DC0"/>
    <w:rsid w:val="009055AD"/>
    <w:rsid w:val="00905F81"/>
    <w:rsid w:val="009107E0"/>
    <w:rsid w:val="00912810"/>
    <w:rsid w:val="00912E77"/>
    <w:rsid w:val="009139E9"/>
    <w:rsid w:val="00914EEE"/>
    <w:rsid w:val="009164CB"/>
    <w:rsid w:val="00921482"/>
    <w:rsid w:val="00921504"/>
    <w:rsid w:val="00921DA6"/>
    <w:rsid w:val="009222D8"/>
    <w:rsid w:val="0092251F"/>
    <w:rsid w:val="00922808"/>
    <w:rsid w:val="00922E30"/>
    <w:rsid w:val="00932245"/>
    <w:rsid w:val="00935D65"/>
    <w:rsid w:val="009360D9"/>
    <w:rsid w:val="00937E63"/>
    <w:rsid w:val="0094071C"/>
    <w:rsid w:val="00940E41"/>
    <w:rsid w:val="00943A72"/>
    <w:rsid w:val="00950434"/>
    <w:rsid w:val="00951DB9"/>
    <w:rsid w:val="00953E22"/>
    <w:rsid w:val="00956B8B"/>
    <w:rsid w:val="00957FA6"/>
    <w:rsid w:val="00962489"/>
    <w:rsid w:val="00962CE4"/>
    <w:rsid w:val="00965B35"/>
    <w:rsid w:val="009728D7"/>
    <w:rsid w:val="00981285"/>
    <w:rsid w:val="00981891"/>
    <w:rsid w:val="009818D5"/>
    <w:rsid w:val="009822F6"/>
    <w:rsid w:val="00983F48"/>
    <w:rsid w:val="00985411"/>
    <w:rsid w:val="00990421"/>
    <w:rsid w:val="00990FC8"/>
    <w:rsid w:val="009922B7"/>
    <w:rsid w:val="009923C4"/>
    <w:rsid w:val="00992414"/>
    <w:rsid w:val="009928BB"/>
    <w:rsid w:val="0099303D"/>
    <w:rsid w:val="0099335D"/>
    <w:rsid w:val="00994072"/>
    <w:rsid w:val="00994EF5"/>
    <w:rsid w:val="009A181C"/>
    <w:rsid w:val="009A3D2B"/>
    <w:rsid w:val="009B062A"/>
    <w:rsid w:val="009B21A9"/>
    <w:rsid w:val="009B2B0A"/>
    <w:rsid w:val="009B474C"/>
    <w:rsid w:val="009B6F24"/>
    <w:rsid w:val="009B70C3"/>
    <w:rsid w:val="009C5CB9"/>
    <w:rsid w:val="009C78DB"/>
    <w:rsid w:val="009D061C"/>
    <w:rsid w:val="009D160C"/>
    <w:rsid w:val="009D377A"/>
    <w:rsid w:val="009D50A8"/>
    <w:rsid w:val="009D553D"/>
    <w:rsid w:val="009D5DE1"/>
    <w:rsid w:val="009D6DCA"/>
    <w:rsid w:val="009E11F4"/>
    <w:rsid w:val="009E2FA4"/>
    <w:rsid w:val="009E3964"/>
    <w:rsid w:val="009E4470"/>
    <w:rsid w:val="009E55A1"/>
    <w:rsid w:val="009E7001"/>
    <w:rsid w:val="009F1F57"/>
    <w:rsid w:val="009F364D"/>
    <w:rsid w:val="009F3C55"/>
    <w:rsid w:val="009F4525"/>
    <w:rsid w:val="009F5559"/>
    <w:rsid w:val="009F5CEE"/>
    <w:rsid w:val="009F6FBD"/>
    <w:rsid w:val="009F70E0"/>
    <w:rsid w:val="00A00252"/>
    <w:rsid w:val="00A047B0"/>
    <w:rsid w:val="00A10153"/>
    <w:rsid w:val="00A10353"/>
    <w:rsid w:val="00A11A87"/>
    <w:rsid w:val="00A122CB"/>
    <w:rsid w:val="00A132E9"/>
    <w:rsid w:val="00A1410F"/>
    <w:rsid w:val="00A157DC"/>
    <w:rsid w:val="00A15D71"/>
    <w:rsid w:val="00A16E26"/>
    <w:rsid w:val="00A2460A"/>
    <w:rsid w:val="00A24756"/>
    <w:rsid w:val="00A260CC"/>
    <w:rsid w:val="00A3681E"/>
    <w:rsid w:val="00A44DA6"/>
    <w:rsid w:val="00A45902"/>
    <w:rsid w:val="00A46103"/>
    <w:rsid w:val="00A46777"/>
    <w:rsid w:val="00A5146B"/>
    <w:rsid w:val="00A517D7"/>
    <w:rsid w:val="00A51A4D"/>
    <w:rsid w:val="00A52B0D"/>
    <w:rsid w:val="00A557C7"/>
    <w:rsid w:val="00A55E0C"/>
    <w:rsid w:val="00A575B9"/>
    <w:rsid w:val="00A57AB1"/>
    <w:rsid w:val="00A64D3E"/>
    <w:rsid w:val="00A6787A"/>
    <w:rsid w:val="00A70091"/>
    <w:rsid w:val="00A70843"/>
    <w:rsid w:val="00A7291B"/>
    <w:rsid w:val="00A73CE5"/>
    <w:rsid w:val="00A74F7C"/>
    <w:rsid w:val="00A74FB3"/>
    <w:rsid w:val="00A7589F"/>
    <w:rsid w:val="00A778B1"/>
    <w:rsid w:val="00A81C2F"/>
    <w:rsid w:val="00A851F9"/>
    <w:rsid w:val="00A915B5"/>
    <w:rsid w:val="00A92E87"/>
    <w:rsid w:val="00A93594"/>
    <w:rsid w:val="00A95DBC"/>
    <w:rsid w:val="00A9602E"/>
    <w:rsid w:val="00A97545"/>
    <w:rsid w:val="00A97EF1"/>
    <w:rsid w:val="00AA11A4"/>
    <w:rsid w:val="00AA15EF"/>
    <w:rsid w:val="00AA19AE"/>
    <w:rsid w:val="00AA35F5"/>
    <w:rsid w:val="00AA368B"/>
    <w:rsid w:val="00AA36DA"/>
    <w:rsid w:val="00AA51BE"/>
    <w:rsid w:val="00AA5315"/>
    <w:rsid w:val="00AA5F62"/>
    <w:rsid w:val="00AB118C"/>
    <w:rsid w:val="00AB4239"/>
    <w:rsid w:val="00AB5166"/>
    <w:rsid w:val="00AB5C57"/>
    <w:rsid w:val="00AD204B"/>
    <w:rsid w:val="00AD2824"/>
    <w:rsid w:val="00AE03B0"/>
    <w:rsid w:val="00AE11CD"/>
    <w:rsid w:val="00AE2497"/>
    <w:rsid w:val="00AE27F9"/>
    <w:rsid w:val="00AF0A51"/>
    <w:rsid w:val="00AF3567"/>
    <w:rsid w:val="00AF3A17"/>
    <w:rsid w:val="00AF544E"/>
    <w:rsid w:val="00AF57AA"/>
    <w:rsid w:val="00B00F42"/>
    <w:rsid w:val="00B02D64"/>
    <w:rsid w:val="00B04E6D"/>
    <w:rsid w:val="00B06AA9"/>
    <w:rsid w:val="00B07B37"/>
    <w:rsid w:val="00B13E1C"/>
    <w:rsid w:val="00B142C2"/>
    <w:rsid w:val="00B1463E"/>
    <w:rsid w:val="00B16354"/>
    <w:rsid w:val="00B242E2"/>
    <w:rsid w:val="00B268A5"/>
    <w:rsid w:val="00B275FF"/>
    <w:rsid w:val="00B27A00"/>
    <w:rsid w:val="00B30192"/>
    <w:rsid w:val="00B30CA7"/>
    <w:rsid w:val="00B31359"/>
    <w:rsid w:val="00B33EBA"/>
    <w:rsid w:val="00B3759E"/>
    <w:rsid w:val="00B41E42"/>
    <w:rsid w:val="00B42B78"/>
    <w:rsid w:val="00B445AD"/>
    <w:rsid w:val="00B46133"/>
    <w:rsid w:val="00B54283"/>
    <w:rsid w:val="00B55F7F"/>
    <w:rsid w:val="00B60665"/>
    <w:rsid w:val="00B61CE4"/>
    <w:rsid w:val="00B6225E"/>
    <w:rsid w:val="00B63239"/>
    <w:rsid w:val="00B64D7E"/>
    <w:rsid w:val="00B6591C"/>
    <w:rsid w:val="00B70684"/>
    <w:rsid w:val="00B7193D"/>
    <w:rsid w:val="00B71CD7"/>
    <w:rsid w:val="00B7340C"/>
    <w:rsid w:val="00B809B9"/>
    <w:rsid w:val="00B82B89"/>
    <w:rsid w:val="00B82CC6"/>
    <w:rsid w:val="00B84428"/>
    <w:rsid w:val="00B853D0"/>
    <w:rsid w:val="00B8558E"/>
    <w:rsid w:val="00B86F69"/>
    <w:rsid w:val="00B90607"/>
    <w:rsid w:val="00B93BB9"/>
    <w:rsid w:val="00B94F9E"/>
    <w:rsid w:val="00B96D78"/>
    <w:rsid w:val="00BA0196"/>
    <w:rsid w:val="00BA0252"/>
    <w:rsid w:val="00BA1A0F"/>
    <w:rsid w:val="00BA3E37"/>
    <w:rsid w:val="00BB0F31"/>
    <w:rsid w:val="00BB7673"/>
    <w:rsid w:val="00BB77E6"/>
    <w:rsid w:val="00BC2F23"/>
    <w:rsid w:val="00BC3176"/>
    <w:rsid w:val="00BC3E63"/>
    <w:rsid w:val="00BC49EC"/>
    <w:rsid w:val="00BC5D80"/>
    <w:rsid w:val="00BC6B2D"/>
    <w:rsid w:val="00BC77DB"/>
    <w:rsid w:val="00BC7C90"/>
    <w:rsid w:val="00BC7EEF"/>
    <w:rsid w:val="00BD39BE"/>
    <w:rsid w:val="00BD43DC"/>
    <w:rsid w:val="00BD4AFE"/>
    <w:rsid w:val="00BD6D9E"/>
    <w:rsid w:val="00BE14E3"/>
    <w:rsid w:val="00BE2FEB"/>
    <w:rsid w:val="00BE4DAE"/>
    <w:rsid w:val="00BE51AA"/>
    <w:rsid w:val="00BF2A62"/>
    <w:rsid w:val="00BF36FE"/>
    <w:rsid w:val="00BF4FDF"/>
    <w:rsid w:val="00BF5F0B"/>
    <w:rsid w:val="00BF7FF1"/>
    <w:rsid w:val="00C0081F"/>
    <w:rsid w:val="00C00868"/>
    <w:rsid w:val="00C04EC2"/>
    <w:rsid w:val="00C0748A"/>
    <w:rsid w:val="00C111CC"/>
    <w:rsid w:val="00C11EFB"/>
    <w:rsid w:val="00C1292C"/>
    <w:rsid w:val="00C12A56"/>
    <w:rsid w:val="00C15F0E"/>
    <w:rsid w:val="00C2070F"/>
    <w:rsid w:val="00C214D8"/>
    <w:rsid w:val="00C21759"/>
    <w:rsid w:val="00C21D37"/>
    <w:rsid w:val="00C24EBF"/>
    <w:rsid w:val="00C25410"/>
    <w:rsid w:val="00C30A6D"/>
    <w:rsid w:val="00C327EA"/>
    <w:rsid w:val="00C335EE"/>
    <w:rsid w:val="00C33A00"/>
    <w:rsid w:val="00C33B4A"/>
    <w:rsid w:val="00C33C17"/>
    <w:rsid w:val="00C3419E"/>
    <w:rsid w:val="00C34806"/>
    <w:rsid w:val="00C3505E"/>
    <w:rsid w:val="00C35B3D"/>
    <w:rsid w:val="00C43483"/>
    <w:rsid w:val="00C44ACD"/>
    <w:rsid w:val="00C47E85"/>
    <w:rsid w:val="00C50308"/>
    <w:rsid w:val="00C50C40"/>
    <w:rsid w:val="00C51CB5"/>
    <w:rsid w:val="00C563D7"/>
    <w:rsid w:val="00C56769"/>
    <w:rsid w:val="00C602BD"/>
    <w:rsid w:val="00C639F7"/>
    <w:rsid w:val="00C652FE"/>
    <w:rsid w:val="00C71062"/>
    <w:rsid w:val="00C75122"/>
    <w:rsid w:val="00C76AAF"/>
    <w:rsid w:val="00C771CA"/>
    <w:rsid w:val="00C77298"/>
    <w:rsid w:val="00C80A7D"/>
    <w:rsid w:val="00C816F2"/>
    <w:rsid w:val="00C8314F"/>
    <w:rsid w:val="00C842A7"/>
    <w:rsid w:val="00C93889"/>
    <w:rsid w:val="00C93F66"/>
    <w:rsid w:val="00C95EA2"/>
    <w:rsid w:val="00C96331"/>
    <w:rsid w:val="00CB45A7"/>
    <w:rsid w:val="00CB5716"/>
    <w:rsid w:val="00CB7064"/>
    <w:rsid w:val="00CB79C8"/>
    <w:rsid w:val="00CC4513"/>
    <w:rsid w:val="00CC788B"/>
    <w:rsid w:val="00CD0174"/>
    <w:rsid w:val="00CD1AC1"/>
    <w:rsid w:val="00CD333A"/>
    <w:rsid w:val="00CD4D90"/>
    <w:rsid w:val="00CD7647"/>
    <w:rsid w:val="00CE16D6"/>
    <w:rsid w:val="00CE1EDD"/>
    <w:rsid w:val="00CE2265"/>
    <w:rsid w:val="00CE2AA5"/>
    <w:rsid w:val="00CE699D"/>
    <w:rsid w:val="00CE77F5"/>
    <w:rsid w:val="00CF6574"/>
    <w:rsid w:val="00CF75D5"/>
    <w:rsid w:val="00D05039"/>
    <w:rsid w:val="00D076BE"/>
    <w:rsid w:val="00D10D4E"/>
    <w:rsid w:val="00D11F98"/>
    <w:rsid w:val="00D12827"/>
    <w:rsid w:val="00D1604C"/>
    <w:rsid w:val="00D165FC"/>
    <w:rsid w:val="00D20E9E"/>
    <w:rsid w:val="00D242CE"/>
    <w:rsid w:val="00D24707"/>
    <w:rsid w:val="00D24DDE"/>
    <w:rsid w:val="00D255C4"/>
    <w:rsid w:val="00D2731A"/>
    <w:rsid w:val="00D30A64"/>
    <w:rsid w:val="00D31D1E"/>
    <w:rsid w:val="00D34139"/>
    <w:rsid w:val="00D34424"/>
    <w:rsid w:val="00D34E4B"/>
    <w:rsid w:val="00D366D4"/>
    <w:rsid w:val="00D36B04"/>
    <w:rsid w:val="00D373D7"/>
    <w:rsid w:val="00D4109E"/>
    <w:rsid w:val="00D42EA6"/>
    <w:rsid w:val="00D42EC4"/>
    <w:rsid w:val="00D43F40"/>
    <w:rsid w:val="00D4567D"/>
    <w:rsid w:val="00D462F8"/>
    <w:rsid w:val="00D512BE"/>
    <w:rsid w:val="00D51F50"/>
    <w:rsid w:val="00D534F3"/>
    <w:rsid w:val="00D53D7A"/>
    <w:rsid w:val="00D55EB8"/>
    <w:rsid w:val="00D60120"/>
    <w:rsid w:val="00D6244A"/>
    <w:rsid w:val="00D63628"/>
    <w:rsid w:val="00D63C2B"/>
    <w:rsid w:val="00D653FD"/>
    <w:rsid w:val="00D666DF"/>
    <w:rsid w:val="00D7481B"/>
    <w:rsid w:val="00D74AA4"/>
    <w:rsid w:val="00D813AF"/>
    <w:rsid w:val="00D84998"/>
    <w:rsid w:val="00D84C8F"/>
    <w:rsid w:val="00D854FD"/>
    <w:rsid w:val="00D865AE"/>
    <w:rsid w:val="00D8764F"/>
    <w:rsid w:val="00D87F2A"/>
    <w:rsid w:val="00D95928"/>
    <w:rsid w:val="00DA3BBD"/>
    <w:rsid w:val="00DA71DF"/>
    <w:rsid w:val="00DB024C"/>
    <w:rsid w:val="00DB0AEF"/>
    <w:rsid w:val="00DB0D45"/>
    <w:rsid w:val="00DB25BF"/>
    <w:rsid w:val="00DB6687"/>
    <w:rsid w:val="00DC002D"/>
    <w:rsid w:val="00DC6016"/>
    <w:rsid w:val="00DD2E72"/>
    <w:rsid w:val="00DD77B2"/>
    <w:rsid w:val="00DE0E5C"/>
    <w:rsid w:val="00DE0F6D"/>
    <w:rsid w:val="00DE1FDD"/>
    <w:rsid w:val="00DE4794"/>
    <w:rsid w:val="00DE48EC"/>
    <w:rsid w:val="00DE6099"/>
    <w:rsid w:val="00DF0723"/>
    <w:rsid w:val="00DF16E2"/>
    <w:rsid w:val="00DF1B66"/>
    <w:rsid w:val="00DF4B82"/>
    <w:rsid w:val="00DF7CFC"/>
    <w:rsid w:val="00E002DA"/>
    <w:rsid w:val="00E00F0B"/>
    <w:rsid w:val="00E013FE"/>
    <w:rsid w:val="00E01403"/>
    <w:rsid w:val="00E0220A"/>
    <w:rsid w:val="00E02B6A"/>
    <w:rsid w:val="00E07190"/>
    <w:rsid w:val="00E07218"/>
    <w:rsid w:val="00E12680"/>
    <w:rsid w:val="00E13D11"/>
    <w:rsid w:val="00E140F7"/>
    <w:rsid w:val="00E16D68"/>
    <w:rsid w:val="00E170A6"/>
    <w:rsid w:val="00E204DE"/>
    <w:rsid w:val="00E262DD"/>
    <w:rsid w:val="00E274CF"/>
    <w:rsid w:val="00E35453"/>
    <w:rsid w:val="00E363A8"/>
    <w:rsid w:val="00E37A6D"/>
    <w:rsid w:val="00E4232B"/>
    <w:rsid w:val="00E47295"/>
    <w:rsid w:val="00E5115C"/>
    <w:rsid w:val="00E526FB"/>
    <w:rsid w:val="00E532F4"/>
    <w:rsid w:val="00E61775"/>
    <w:rsid w:val="00E6344A"/>
    <w:rsid w:val="00E63A5E"/>
    <w:rsid w:val="00E67996"/>
    <w:rsid w:val="00E7092A"/>
    <w:rsid w:val="00E75AD9"/>
    <w:rsid w:val="00E829B4"/>
    <w:rsid w:val="00E848F9"/>
    <w:rsid w:val="00E929C6"/>
    <w:rsid w:val="00EA0B11"/>
    <w:rsid w:val="00EA2BEB"/>
    <w:rsid w:val="00EA6418"/>
    <w:rsid w:val="00EA64DE"/>
    <w:rsid w:val="00EB09DC"/>
    <w:rsid w:val="00EB24FA"/>
    <w:rsid w:val="00EB363E"/>
    <w:rsid w:val="00EC1418"/>
    <w:rsid w:val="00EC27A7"/>
    <w:rsid w:val="00EC30FB"/>
    <w:rsid w:val="00EC4F97"/>
    <w:rsid w:val="00EC6496"/>
    <w:rsid w:val="00ED0038"/>
    <w:rsid w:val="00ED167E"/>
    <w:rsid w:val="00ED3433"/>
    <w:rsid w:val="00ED44BA"/>
    <w:rsid w:val="00ED5778"/>
    <w:rsid w:val="00ED6ABA"/>
    <w:rsid w:val="00ED6F41"/>
    <w:rsid w:val="00EE1184"/>
    <w:rsid w:val="00EE1973"/>
    <w:rsid w:val="00EE1AEC"/>
    <w:rsid w:val="00EE5FEC"/>
    <w:rsid w:val="00EE72E4"/>
    <w:rsid w:val="00EF018E"/>
    <w:rsid w:val="00EF0EAF"/>
    <w:rsid w:val="00EF230B"/>
    <w:rsid w:val="00EF52D7"/>
    <w:rsid w:val="00EF6911"/>
    <w:rsid w:val="00EF6CF0"/>
    <w:rsid w:val="00F02012"/>
    <w:rsid w:val="00F054D3"/>
    <w:rsid w:val="00F05764"/>
    <w:rsid w:val="00F1374E"/>
    <w:rsid w:val="00F15FB3"/>
    <w:rsid w:val="00F209C6"/>
    <w:rsid w:val="00F220D8"/>
    <w:rsid w:val="00F2232A"/>
    <w:rsid w:val="00F22688"/>
    <w:rsid w:val="00F27338"/>
    <w:rsid w:val="00F31971"/>
    <w:rsid w:val="00F32EEC"/>
    <w:rsid w:val="00F3329B"/>
    <w:rsid w:val="00F33D3B"/>
    <w:rsid w:val="00F353E7"/>
    <w:rsid w:val="00F37D61"/>
    <w:rsid w:val="00F40EA7"/>
    <w:rsid w:val="00F41E0F"/>
    <w:rsid w:val="00F44954"/>
    <w:rsid w:val="00F44CA7"/>
    <w:rsid w:val="00F44E48"/>
    <w:rsid w:val="00F4523B"/>
    <w:rsid w:val="00F4593F"/>
    <w:rsid w:val="00F5682A"/>
    <w:rsid w:val="00F60265"/>
    <w:rsid w:val="00F6340B"/>
    <w:rsid w:val="00F66940"/>
    <w:rsid w:val="00F704FB"/>
    <w:rsid w:val="00F71EDB"/>
    <w:rsid w:val="00F739E6"/>
    <w:rsid w:val="00F742EB"/>
    <w:rsid w:val="00F75D7A"/>
    <w:rsid w:val="00F77E19"/>
    <w:rsid w:val="00F77F9A"/>
    <w:rsid w:val="00F8128D"/>
    <w:rsid w:val="00F8372A"/>
    <w:rsid w:val="00F84551"/>
    <w:rsid w:val="00F852BA"/>
    <w:rsid w:val="00F85346"/>
    <w:rsid w:val="00F85CA5"/>
    <w:rsid w:val="00F86633"/>
    <w:rsid w:val="00F87BC1"/>
    <w:rsid w:val="00F91184"/>
    <w:rsid w:val="00F9344F"/>
    <w:rsid w:val="00F93D4D"/>
    <w:rsid w:val="00F977F2"/>
    <w:rsid w:val="00FA1084"/>
    <w:rsid w:val="00FA28E6"/>
    <w:rsid w:val="00FA2FAD"/>
    <w:rsid w:val="00FA3166"/>
    <w:rsid w:val="00FA385A"/>
    <w:rsid w:val="00FA3A1B"/>
    <w:rsid w:val="00FA713F"/>
    <w:rsid w:val="00FA71E6"/>
    <w:rsid w:val="00FA7630"/>
    <w:rsid w:val="00FB03B1"/>
    <w:rsid w:val="00FB581B"/>
    <w:rsid w:val="00FB6927"/>
    <w:rsid w:val="00FB6EBA"/>
    <w:rsid w:val="00FC04D3"/>
    <w:rsid w:val="00FC5249"/>
    <w:rsid w:val="00FC56D9"/>
    <w:rsid w:val="00FC574B"/>
    <w:rsid w:val="00FC6C8C"/>
    <w:rsid w:val="00FC70C6"/>
    <w:rsid w:val="00FC7D77"/>
    <w:rsid w:val="00FD0AA0"/>
    <w:rsid w:val="00FD1B93"/>
    <w:rsid w:val="00FD2ED3"/>
    <w:rsid w:val="00FD4AB5"/>
    <w:rsid w:val="00FE0115"/>
    <w:rsid w:val="00FE6525"/>
    <w:rsid w:val="00FE6E37"/>
    <w:rsid w:val="00FF1B3A"/>
    <w:rsid w:val="00FF20F6"/>
    <w:rsid w:val="00FF22EA"/>
    <w:rsid w:val="00FF3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15C"/>
    <w:pPr>
      <w:spacing w:line="480" w:lineRule="auto"/>
      <w:ind w:left="720" w:hanging="720"/>
    </w:pPr>
    <w:rPr>
      <w:rFonts w:ascii="Garamond" w:hAnsi="Garamond"/>
      <w:sz w:val="24"/>
    </w:rPr>
  </w:style>
  <w:style w:type="paragraph" w:styleId="Heading1">
    <w:name w:val="heading 1"/>
    <w:basedOn w:val="Normal"/>
    <w:next w:val="Normal"/>
    <w:qFormat/>
    <w:rsid w:val="0063015C"/>
    <w:pPr>
      <w:keepNext/>
      <w:jc w:val="center"/>
      <w:outlineLvl w:val="0"/>
    </w:pPr>
    <w:rPr>
      <w:rFonts w:ascii="Times New Roman Bold" w:hAnsi="Times New Roman Bold"/>
      <w:b/>
      <w:caps/>
    </w:rPr>
  </w:style>
  <w:style w:type="paragraph" w:styleId="Heading2">
    <w:name w:val="heading 2"/>
    <w:basedOn w:val="Normal"/>
    <w:next w:val="Normal"/>
    <w:qFormat/>
    <w:rsid w:val="00D242CE"/>
    <w:pPr>
      <w:keepNext/>
      <w:ind w:firstLine="0"/>
      <w:outlineLvl w:val="1"/>
    </w:pPr>
    <w:rPr>
      <w:rFonts w:ascii="Times New Roman" w:hAnsi="Times New Roman"/>
      <w:bCs/>
      <w:u w:val="single"/>
    </w:rPr>
  </w:style>
  <w:style w:type="paragraph" w:styleId="Heading3">
    <w:name w:val="heading 3"/>
    <w:basedOn w:val="Normal"/>
    <w:next w:val="Normal"/>
    <w:qFormat/>
    <w:rsid w:val="00D242CE"/>
    <w:pPr>
      <w:keepNext/>
      <w:ind w:firstLine="0"/>
      <w:outlineLvl w:val="2"/>
    </w:pPr>
    <w:rPr>
      <w:rFonts w:ascii="Times New Roman" w:hAnsi="Times New Roman"/>
      <w:u w:val="single"/>
    </w:rPr>
  </w:style>
  <w:style w:type="paragraph" w:styleId="Heading4">
    <w:name w:val="heading 4"/>
    <w:basedOn w:val="Normal"/>
    <w:next w:val="Normal"/>
    <w:qFormat/>
    <w:rsid w:val="00D242CE"/>
    <w:pPr>
      <w:keepNext/>
      <w:spacing w:line="240" w:lineRule="auto"/>
      <w:ind w:left="0" w:firstLine="0"/>
      <w:outlineLvl w:val="3"/>
    </w:pPr>
    <w:rPr>
      <w:rFonts w:ascii="Times New Roman" w:hAnsi="Times New Roman"/>
      <w:sz w:val="20"/>
      <w:u w:val="single"/>
    </w:rPr>
  </w:style>
  <w:style w:type="paragraph" w:styleId="Heading5">
    <w:name w:val="heading 5"/>
    <w:basedOn w:val="Normal"/>
    <w:next w:val="Normal"/>
    <w:qFormat/>
    <w:rsid w:val="00D242CE"/>
    <w:pPr>
      <w:keepNext/>
      <w:outlineLvl w:val="4"/>
    </w:pPr>
  </w:style>
  <w:style w:type="paragraph" w:styleId="Heading6">
    <w:name w:val="heading 6"/>
    <w:basedOn w:val="Normal"/>
    <w:next w:val="Normal"/>
    <w:qFormat/>
    <w:rsid w:val="00D242CE"/>
    <w:pPr>
      <w:keepNext/>
      <w:ind w:firstLine="720"/>
      <w:outlineLvl w:val="5"/>
    </w:pPr>
    <w:rPr>
      <w:b/>
    </w:rPr>
  </w:style>
  <w:style w:type="paragraph" w:styleId="Heading9">
    <w:name w:val="heading 9"/>
    <w:basedOn w:val="Normal"/>
    <w:next w:val="Normal"/>
    <w:qFormat/>
    <w:rsid w:val="005D09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42CE"/>
  </w:style>
  <w:style w:type="paragraph" w:styleId="Header">
    <w:name w:val="header"/>
    <w:basedOn w:val="Normal"/>
    <w:rsid w:val="00D242CE"/>
    <w:pPr>
      <w:tabs>
        <w:tab w:val="center" w:pos="4320"/>
        <w:tab w:val="right" w:pos="8640"/>
      </w:tabs>
      <w:spacing w:line="240" w:lineRule="auto"/>
    </w:pPr>
  </w:style>
  <w:style w:type="paragraph" w:styleId="Footer">
    <w:name w:val="footer"/>
    <w:basedOn w:val="Normal"/>
    <w:rsid w:val="00D242CE"/>
    <w:pPr>
      <w:tabs>
        <w:tab w:val="center" w:pos="4320"/>
        <w:tab w:val="right" w:pos="8640"/>
      </w:tabs>
    </w:pPr>
  </w:style>
  <w:style w:type="character" w:styleId="PageNumber">
    <w:name w:val="page number"/>
    <w:basedOn w:val="DefaultParagraphFont"/>
    <w:rsid w:val="00D242CE"/>
  </w:style>
  <w:style w:type="character" w:styleId="LineNumber">
    <w:name w:val="line number"/>
    <w:basedOn w:val="DefaultParagraphFont"/>
    <w:rsid w:val="00D242CE"/>
    <w:rPr>
      <w:rFonts w:ascii="Times New Roman" w:hAnsi="Times New Roman"/>
      <w:sz w:val="24"/>
    </w:rPr>
  </w:style>
  <w:style w:type="character" w:styleId="FootnoteReference">
    <w:name w:val="footnote reference"/>
    <w:aliases w:val="o"/>
    <w:uiPriority w:val="99"/>
    <w:semiHidden/>
    <w:rsid w:val="000C6708"/>
    <w:rPr>
      <w:rFonts w:ascii="Times New Roman" w:hAnsi="Times New Roman"/>
      <w:sz w:val="24"/>
      <w:vertAlign w:val="superscript"/>
    </w:rPr>
  </w:style>
  <w:style w:type="paragraph" w:styleId="BodyTextIndent2">
    <w:name w:val="Body Text Indent 2"/>
    <w:basedOn w:val="Normal"/>
    <w:rsid w:val="00D242CE"/>
    <w:pPr>
      <w:ind w:firstLine="720"/>
    </w:pPr>
  </w:style>
  <w:style w:type="paragraph" w:styleId="BodyTextIndent3">
    <w:name w:val="Body Text Indent 3"/>
    <w:basedOn w:val="Normal"/>
    <w:rsid w:val="00D242CE"/>
    <w:pPr>
      <w:tabs>
        <w:tab w:val="left" w:pos="720"/>
      </w:tabs>
      <w:ind w:hanging="630"/>
    </w:pPr>
  </w:style>
  <w:style w:type="paragraph" w:styleId="BalloonText">
    <w:name w:val="Balloon Text"/>
    <w:basedOn w:val="Normal"/>
    <w:semiHidden/>
    <w:rsid w:val="00D242CE"/>
    <w:rPr>
      <w:rFonts w:ascii="Tahoma" w:hAnsi="Tahoma" w:cs="Tahoma"/>
      <w:sz w:val="16"/>
      <w:szCs w:val="16"/>
    </w:rPr>
  </w:style>
  <w:style w:type="character" w:styleId="CommentReference">
    <w:name w:val="annotation reference"/>
    <w:basedOn w:val="DefaultParagraphFont"/>
    <w:semiHidden/>
    <w:rsid w:val="00FC56D9"/>
    <w:rPr>
      <w:sz w:val="16"/>
      <w:szCs w:val="16"/>
    </w:rPr>
  </w:style>
  <w:style w:type="paragraph" w:styleId="CommentText">
    <w:name w:val="annotation text"/>
    <w:basedOn w:val="Normal"/>
    <w:link w:val="CommentTextChar"/>
    <w:semiHidden/>
    <w:rsid w:val="00FC56D9"/>
    <w:rPr>
      <w:sz w:val="20"/>
    </w:rPr>
  </w:style>
  <w:style w:type="paragraph" w:styleId="CommentSubject">
    <w:name w:val="annotation subject"/>
    <w:basedOn w:val="CommentText"/>
    <w:next w:val="CommentText"/>
    <w:semiHidden/>
    <w:rsid w:val="00FC56D9"/>
    <w:rPr>
      <w:b/>
      <w:bCs/>
    </w:rPr>
  </w:style>
  <w:style w:type="paragraph" w:customStyle="1" w:styleId="CharChar1">
    <w:name w:val="Char Char1"/>
    <w:basedOn w:val="Normal"/>
    <w:rsid w:val="008B3F68"/>
    <w:pPr>
      <w:spacing w:after="160" w:line="240" w:lineRule="exact"/>
      <w:ind w:left="0" w:firstLine="0"/>
    </w:pPr>
    <w:rPr>
      <w:rFonts w:ascii="Verdana" w:hAnsi="Verdana"/>
      <w:sz w:val="20"/>
    </w:rPr>
  </w:style>
  <w:style w:type="paragraph" w:styleId="ListParagraph">
    <w:name w:val="List Paragraph"/>
    <w:basedOn w:val="Normal"/>
    <w:uiPriority w:val="34"/>
    <w:qFormat/>
    <w:rsid w:val="00D666DF"/>
    <w:pPr>
      <w:contextualSpacing/>
    </w:pPr>
  </w:style>
  <w:style w:type="paragraph" w:customStyle="1" w:styleId="CharCharCharCharCharCharCharCharCharCharCharCharCharChar">
    <w:name w:val="Char Char Char Char Char Char Char Char Char Char Char Char Char Char"/>
    <w:basedOn w:val="Normal"/>
    <w:rsid w:val="009F4525"/>
    <w:pPr>
      <w:widowControl w:val="0"/>
      <w:adjustRightInd w:val="0"/>
      <w:spacing w:after="160" w:line="240" w:lineRule="exact"/>
      <w:ind w:left="0" w:firstLine="0"/>
      <w:jc w:val="both"/>
      <w:textAlignment w:val="baseline"/>
    </w:pPr>
    <w:rPr>
      <w:rFonts w:ascii="Verdana" w:hAnsi="Verdana"/>
      <w:sz w:val="20"/>
    </w:rPr>
  </w:style>
  <w:style w:type="character" w:styleId="Hyperlink">
    <w:name w:val="Hyperlink"/>
    <w:uiPriority w:val="99"/>
    <w:unhideWhenUsed/>
    <w:rsid w:val="00CC4513"/>
    <w:rPr>
      <w:color w:val="0000FF"/>
      <w:u w:val="single"/>
    </w:rPr>
  </w:style>
  <w:style w:type="paragraph" w:styleId="HTMLPreformatted">
    <w:name w:val="HTML Preformatted"/>
    <w:basedOn w:val="Normal"/>
    <w:link w:val="HTMLPreformattedChar"/>
    <w:uiPriority w:val="99"/>
    <w:semiHidden/>
    <w:unhideWhenUsed/>
    <w:rsid w:val="00CC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CC4513"/>
    <w:rPr>
      <w:rFonts w:ascii="Courier New" w:hAnsi="Courier New" w:cs="Courier New"/>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locked/>
    <w:rsid w:val="00CC4513"/>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4 Char"/>
    <w:basedOn w:val="Normal"/>
    <w:link w:val="FootnoteTextChar"/>
    <w:uiPriority w:val="99"/>
    <w:semiHidden/>
    <w:unhideWhenUsed/>
    <w:rsid w:val="00CC4513"/>
    <w:pPr>
      <w:spacing w:line="240" w:lineRule="auto"/>
      <w:ind w:left="0" w:firstLine="0"/>
    </w:pPr>
    <w:rPr>
      <w:rFonts w:ascii="Times New Roman" w:hAnsi="Times New Roman"/>
      <w:sz w:val="20"/>
    </w:rPr>
  </w:style>
  <w:style w:type="character" w:customStyle="1" w:styleId="FootnoteTextChar1">
    <w:name w:val="Footnote Text Char1"/>
    <w:basedOn w:val="DefaultParagraphFont"/>
    <w:uiPriority w:val="99"/>
    <w:semiHidden/>
    <w:rsid w:val="00CC4513"/>
    <w:rPr>
      <w:rFonts w:ascii="Garamond" w:hAnsi="Garamond"/>
    </w:rPr>
  </w:style>
  <w:style w:type="character" w:customStyle="1" w:styleId="CommentTextChar">
    <w:name w:val="Comment Text Char"/>
    <w:basedOn w:val="DefaultParagraphFont"/>
    <w:link w:val="CommentText"/>
    <w:semiHidden/>
    <w:rsid w:val="00CC4513"/>
    <w:rPr>
      <w:rFonts w:ascii="Garamond" w:hAnsi="Garamond"/>
    </w:rPr>
  </w:style>
  <w:style w:type="paragraph" w:customStyle="1" w:styleId="testimony">
    <w:name w:val="testimony"/>
    <w:basedOn w:val="Normal"/>
    <w:rsid w:val="00CC4513"/>
    <w:pPr>
      <w:tabs>
        <w:tab w:val="left" w:pos="720"/>
        <w:tab w:val="left" w:pos="2160"/>
      </w:tabs>
      <w:spacing w:line="440" w:lineRule="atLeast"/>
      <w:ind w:left="0" w:hanging="360"/>
    </w:pPr>
    <w:rPr>
      <w:rFonts w:ascii="Times" w:hAnsi="Times"/>
    </w:rPr>
  </w:style>
  <w:style w:type="character" w:customStyle="1" w:styleId="Answer-TestimonyChar">
    <w:name w:val="Answer - Testimony Char"/>
    <w:link w:val="Answer-Testimony"/>
    <w:locked/>
    <w:rsid w:val="00CC4513"/>
    <w:rPr>
      <w:sz w:val="24"/>
      <w:szCs w:val="24"/>
    </w:rPr>
  </w:style>
  <w:style w:type="paragraph" w:customStyle="1" w:styleId="Answer-Testimony">
    <w:name w:val="Answer - Testimony"/>
    <w:basedOn w:val="Normal"/>
    <w:link w:val="Answer-TestimonyChar"/>
    <w:qFormat/>
    <w:rsid w:val="00CC4513"/>
    <w:rPr>
      <w:rFonts w:ascii="Times New Roman" w:hAnsi="Times New Roman"/>
      <w:szCs w:val="24"/>
    </w:rPr>
  </w:style>
  <w:style w:type="character" w:styleId="Strong">
    <w:name w:val="Strong"/>
    <w:aliases w:val="Quote - Testimony"/>
    <w:qFormat/>
    <w:rsid w:val="00B82B89"/>
  </w:style>
  <w:style w:type="paragraph" w:styleId="Revision">
    <w:name w:val="Revision"/>
    <w:hidden/>
    <w:uiPriority w:val="99"/>
    <w:semiHidden/>
    <w:rsid w:val="005D38F5"/>
    <w:rPr>
      <w:rFonts w:ascii="Garamond" w:hAnsi="Garamond"/>
      <w:sz w:val="24"/>
    </w:rPr>
  </w:style>
  <w:style w:type="paragraph" w:styleId="TOCHeading">
    <w:name w:val="TOC Heading"/>
    <w:basedOn w:val="Heading1"/>
    <w:next w:val="Normal"/>
    <w:uiPriority w:val="39"/>
    <w:semiHidden/>
    <w:unhideWhenUsed/>
    <w:qFormat/>
    <w:rsid w:val="00086B5B"/>
    <w:pPr>
      <w:keepLines/>
      <w:spacing w:before="480" w:line="276" w:lineRule="auto"/>
      <w:ind w:left="0" w:firstLine="0"/>
      <w:jc w:val="left"/>
      <w:outlineLvl w:val="9"/>
    </w:pPr>
    <w:rPr>
      <w:rFonts w:asciiTheme="majorHAnsi" w:eastAsiaTheme="majorEastAsia" w:hAnsiTheme="majorHAnsi" w:cstheme="majorBidi"/>
      <w:bCs/>
      <w:caps w:val="0"/>
      <w:color w:val="365F91" w:themeColor="accent1" w:themeShade="BF"/>
      <w:sz w:val="28"/>
      <w:szCs w:val="28"/>
    </w:rPr>
  </w:style>
  <w:style w:type="paragraph" w:styleId="TOC1">
    <w:name w:val="toc 1"/>
    <w:basedOn w:val="Normal"/>
    <w:next w:val="Normal"/>
    <w:autoRedefine/>
    <w:uiPriority w:val="39"/>
    <w:unhideWhenUsed/>
    <w:rsid w:val="00086B5B"/>
    <w:pPr>
      <w:tabs>
        <w:tab w:val="right" w:leader="dot" w:pos="8990"/>
      </w:tabs>
      <w:spacing w:after="100"/>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08"/>
    <w:pPr>
      <w:spacing w:line="480" w:lineRule="auto"/>
      <w:ind w:left="720" w:hanging="720"/>
    </w:pPr>
    <w:rPr>
      <w:rFonts w:ascii="Garamond" w:hAnsi="Garamond"/>
      <w:sz w:val="24"/>
    </w:rPr>
  </w:style>
  <w:style w:type="paragraph" w:styleId="Heading1">
    <w:name w:val="heading 1"/>
    <w:basedOn w:val="Normal"/>
    <w:next w:val="Normal"/>
    <w:qFormat/>
    <w:rsid w:val="00F02012"/>
    <w:pPr>
      <w:keepNext/>
      <w:jc w:val="center"/>
      <w:outlineLvl w:val="0"/>
    </w:pPr>
    <w:rPr>
      <w:rFonts w:ascii="Times New Roman Bold" w:hAnsi="Times New Roman Bold"/>
      <w:b/>
      <w:caps/>
    </w:rPr>
  </w:style>
  <w:style w:type="paragraph" w:styleId="Heading2">
    <w:name w:val="heading 2"/>
    <w:basedOn w:val="Normal"/>
    <w:next w:val="Normal"/>
    <w:qFormat/>
    <w:rsid w:val="00D242CE"/>
    <w:pPr>
      <w:keepNext/>
      <w:ind w:firstLine="0"/>
      <w:outlineLvl w:val="1"/>
    </w:pPr>
    <w:rPr>
      <w:rFonts w:ascii="Times New Roman" w:hAnsi="Times New Roman"/>
      <w:bCs/>
      <w:u w:val="single"/>
    </w:rPr>
  </w:style>
  <w:style w:type="paragraph" w:styleId="Heading3">
    <w:name w:val="heading 3"/>
    <w:basedOn w:val="Normal"/>
    <w:next w:val="Normal"/>
    <w:qFormat/>
    <w:rsid w:val="00D242CE"/>
    <w:pPr>
      <w:keepNext/>
      <w:ind w:firstLine="0"/>
      <w:outlineLvl w:val="2"/>
    </w:pPr>
    <w:rPr>
      <w:rFonts w:ascii="Times New Roman" w:hAnsi="Times New Roman"/>
      <w:u w:val="single"/>
    </w:rPr>
  </w:style>
  <w:style w:type="paragraph" w:styleId="Heading4">
    <w:name w:val="heading 4"/>
    <w:basedOn w:val="Normal"/>
    <w:next w:val="Normal"/>
    <w:qFormat/>
    <w:rsid w:val="00D242CE"/>
    <w:pPr>
      <w:keepNext/>
      <w:spacing w:line="240" w:lineRule="auto"/>
      <w:ind w:left="0" w:firstLine="0"/>
      <w:outlineLvl w:val="3"/>
    </w:pPr>
    <w:rPr>
      <w:rFonts w:ascii="Times New Roman" w:hAnsi="Times New Roman"/>
      <w:sz w:val="20"/>
      <w:u w:val="single"/>
    </w:rPr>
  </w:style>
  <w:style w:type="paragraph" w:styleId="Heading5">
    <w:name w:val="heading 5"/>
    <w:basedOn w:val="Normal"/>
    <w:next w:val="Normal"/>
    <w:qFormat/>
    <w:rsid w:val="00D242CE"/>
    <w:pPr>
      <w:keepNext/>
      <w:outlineLvl w:val="4"/>
    </w:pPr>
  </w:style>
  <w:style w:type="paragraph" w:styleId="Heading6">
    <w:name w:val="heading 6"/>
    <w:basedOn w:val="Normal"/>
    <w:next w:val="Normal"/>
    <w:qFormat/>
    <w:rsid w:val="00D242CE"/>
    <w:pPr>
      <w:keepNext/>
      <w:ind w:firstLine="720"/>
      <w:outlineLvl w:val="5"/>
    </w:pPr>
    <w:rPr>
      <w:b/>
    </w:rPr>
  </w:style>
  <w:style w:type="paragraph" w:styleId="Heading9">
    <w:name w:val="heading 9"/>
    <w:basedOn w:val="Normal"/>
    <w:next w:val="Normal"/>
    <w:qFormat/>
    <w:rsid w:val="005D09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42CE"/>
  </w:style>
  <w:style w:type="paragraph" w:styleId="Header">
    <w:name w:val="header"/>
    <w:basedOn w:val="Normal"/>
    <w:rsid w:val="00D242CE"/>
    <w:pPr>
      <w:tabs>
        <w:tab w:val="center" w:pos="4320"/>
        <w:tab w:val="right" w:pos="8640"/>
      </w:tabs>
      <w:spacing w:line="240" w:lineRule="auto"/>
    </w:pPr>
  </w:style>
  <w:style w:type="paragraph" w:styleId="Footer">
    <w:name w:val="footer"/>
    <w:basedOn w:val="Normal"/>
    <w:rsid w:val="00D242CE"/>
    <w:pPr>
      <w:tabs>
        <w:tab w:val="center" w:pos="4320"/>
        <w:tab w:val="right" w:pos="8640"/>
      </w:tabs>
    </w:pPr>
  </w:style>
  <w:style w:type="character" w:styleId="PageNumber">
    <w:name w:val="page number"/>
    <w:basedOn w:val="DefaultParagraphFont"/>
    <w:rsid w:val="00D242CE"/>
  </w:style>
  <w:style w:type="character" w:styleId="LineNumber">
    <w:name w:val="line number"/>
    <w:basedOn w:val="DefaultParagraphFont"/>
    <w:rsid w:val="00D242CE"/>
    <w:rPr>
      <w:rFonts w:ascii="Times New Roman" w:hAnsi="Times New Roman"/>
      <w:sz w:val="24"/>
    </w:rPr>
  </w:style>
  <w:style w:type="character" w:styleId="FootnoteReference">
    <w:name w:val="footnote reference"/>
    <w:aliases w:val="o"/>
    <w:uiPriority w:val="99"/>
    <w:semiHidden/>
    <w:rsid w:val="000C6708"/>
    <w:rPr>
      <w:rFonts w:ascii="Times New Roman" w:hAnsi="Times New Roman"/>
      <w:sz w:val="24"/>
      <w:vertAlign w:val="superscript"/>
      <w:rPrChange w:id="1" w:author="Ariel" w:date="2013-07-29T17:00:00Z">
        <w:rPr>
          <w:rFonts w:ascii="Times New Roman" w:hAnsi="Times New Roman"/>
          <w:sz w:val="24"/>
        </w:rPr>
      </w:rPrChange>
    </w:rPr>
  </w:style>
  <w:style w:type="paragraph" w:styleId="BodyTextIndent2">
    <w:name w:val="Body Text Indent 2"/>
    <w:basedOn w:val="Normal"/>
    <w:rsid w:val="00D242CE"/>
    <w:pPr>
      <w:ind w:firstLine="720"/>
    </w:pPr>
  </w:style>
  <w:style w:type="paragraph" w:styleId="BodyTextIndent3">
    <w:name w:val="Body Text Indent 3"/>
    <w:basedOn w:val="Normal"/>
    <w:rsid w:val="00D242CE"/>
    <w:pPr>
      <w:tabs>
        <w:tab w:val="left" w:pos="720"/>
      </w:tabs>
      <w:ind w:hanging="630"/>
    </w:pPr>
  </w:style>
  <w:style w:type="paragraph" w:styleId="BalloonText">
    <w:name w:val="Balloon Text"/>
    <w:basedOn w:val="Normal"/>
    <w:semiHidden/>
    <w:rsid w:val="00D242CE"/>
    <w:rPr>
      <w:rFonts w:ascii="Tahoma" w:hAnsi="Tahoma" w:cs="Tahoma"/>
      <w:sz w:val="16"/>
      <w:szCs w:val="16"/>
    </w:rPr>
  </w:style>
  <w:style w:type="character" w:styleId="CommentReference">
    <w:name w:val="annotation reference"/>
    <w:basedOn w:val="DefaultParagraphFont"/>
    <w:semiHidden/>
    <w:rsid w:val="00FC56D9"/>
    <w:rPr>
      <w:sz w:val="16"/>
      <w:szCs w:val="16"/>
    </w:rPr>
  </w:style>
  <w:style w:type="paragraph" w:styleId="CommentText">
    <w:name w:val="annotation text"/>
    <w:basedOn w:val="Normal"/>
    <w:link w:val="CommentTextChar"/>
    <w:semiHidden/>
    <w:rsid w:val="00FC56D9"/>
    <w:rPr>
      <w:sz w:val="20"/>
    </w:rPr>
  </w:style>
  <w:style w:type="paragraph" w:styleId="CommentSubject">
    <w:name w:val="annotation subject"/>
    <w:basedOn w:val="CommentText"/>
    <w:next w:val="CommentText"/>
    <w:semiHidden/>
    <w:rsid w:val="00FC56D9"/>
    <w:rPr>
      <w:b/>
      <w:bCs/>
    </w:rPr>
  </w:style>
  <w:style w:type="paragraph" w:customStyle="1" w:styleId="CharChar1">
    <w:name w:val="Char Char1"/>
    <w:basedOn w:val="Normal"/>
    <w:rsid w:val="008B3F68"/>
    <w:pPr>
      <w:spacing w:after="160" w:line="240" w:lineRule="exact"/>
      <w:ind w:left="0" w:firstLine="0"/>
    </w:pPr>
    <w:rPr>
      <w:rFonts w:ascii="Verdana" w:hAnsi="Verdana"/>
      <w:sz w:val="20"/>
    </w:rPr>
  </w:style>
  <w:style w:type="paragraph" w:styleId="ListParagraph">
    <w:name w:val="List Paragraph"/>
    <w:basedOn w:val="Normal"/>
    <w:uiPriority w:val="34"/>
    <w:qFormat/>
    <w:rsid w:val="00D666DF"/>
    <w:pPr>
      <w:contextualSpacing/>
    </w:pPr>
  </w:style>
  <w:style w:type="paragraph" w:customStyle="1" w:styleId="CharCharCharCharCharCharCharCharCharCharCharCharCharChar">
    <w:name w:val="Char Char Char Char Char Char Char Char Char Char Char Char Char Char"/>
    <w:basedOn w:val="Normal"/>
    <w:rsid w:val="009F4525"/>
    <w:pPr>
      <w:widowControl w:val="0"/>
      <w:adjustRightInd w:val="0"/>
      <w:spacing w:after="160" w:line="240" w:lineRule="exact"/>
      <w:ind w:left="0" w:firstLine="0"/>
      <w:jc w:val="both"/>
      <w:textAlignment w:val="baseline"/>
    </w:pPr>
    <w:rPr>
      <w:rFonts w:ascii="Verdana" w:hAnsi="Verdana"/>
      <w:sz w:val="20"/>
    </w:rPr>
  </w:style>
  <w:style w:type="character" w:styleId="Hyperlink">
    <w:name w:val="Hyperlink"/>
    <w:semiHidden/>
    <w:unhideWhenUsed/>
    <w:rsid w:val="00CC4513"/>
    <w:rPr>
      <w:color w:val="0000FF"/>
      <w:u w:val="single"/>
    </w:rPr>
  </w:style>
  <w:style w:type="paragraph" w:styleId="HTMLPreformatted">
    <w:name w:val="HTML Preformatted"/>
    <w:basedOn w:val="Normal"/>
    <w:link w:val="HTMLPreformattedChar"/>
    <w:uiPriority w:val="99"/>
    <w:semiHidden/>
    <w:unhideWhenUsed/>
    <w:rsid w:val="00CC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CC4513"/>
    <w:rPr>
      <w:rFonts w:ascii="Courier New" w:hAnsi="Courier New" w:cs="Courier New"/>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locked/>
    <w:rsid w:val="00CC4513"/>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4 Char"/>
    <w:basedOn w:val="Normal"/>
    <w:link w:val="FootnoteTextChar"/>
    <w:uiPriority w:val="99"/>
    <w:semiHidden/>
    <w:unhideWhenUsed/>
    <w:rsid w:val="00CC4513"/>
    <w:pPr>
      <w:spacing w:line="240" w:lineRule="auto"/>
      <w:ind w:left="0" w:firstLine="0"/>
    </w:pPr>
    <w:rPr>
      <w:rFonts w:ascii="Times New Roman" w:hAnsi="Times New Roman"/>
      <w:sz w:val="20"/>
    </w:rPr>
  </w:style>
  <w:style w:type="character" w:customStyle="1" w:styleId="FootnoteTextChar1">
    <w:name w:val="Footnote Text Char1"/>
    <w:basedOn w:val="DefaultParagraphFont"/>
    <w:uiPriority w:val="99"/>
    <w:semiHidden/>
    <w:rsid w:val="00CC4513"/>
    <w:rPr>
      <w:rFonts w:ascii="Garamond" w:hAnsi="Garamond"/>
    </w:rPr>
  </w:style>
  <w:style w:type="character" w:customStyle="1" w:styleId="CommentTextChar">
    <w:name w:val="Comment Text Char"/>
    <w:basedOn w:val="DefaultParagraphFont"/>
    <w:link w:val="CommentText"/>
    <w:semiHidden/>
    <w:rsid w:val="00CC4513"/>
    <w:rPr>
      <w:rFonts w:ascii="Garamond" w:hAnsi="Garamond"/>
    </w:rPr>
  </w:style>
  <w:style w:type="paragraph" w:customStyle="1" w:styleId="testimony">
    <w:name w:val="testimony"/>
    <w:basedOn w:val="Normal"/>
    <w:rsid w:val="00CC4513"/>
    <w:pPr>
      <w:tabs>
        <w:tab w:val="left" w:pos="720"/>
        <w:tab w:val="left" w:pos="2160"/>
      </w:tabs>
      <w:spacing w:line="440" w:lineRule="atLeast"/>
      <w:ind w:left="0" w:hanging="360"/>
    </w:pPr>
    <w:rPr>
      <w:rFonts w:ascii="Times" w:hAnsi="Times"/>
    </w:rPr>
  </w:style>
  <w:style w:type="character" w:customStyle="1" w:styleId="Answer-TestimonyChar">
    <w:name w:val="Answer - Testimony Char"/>
    <w:link w:val="Answer-Testimony"/>
    <w:locked/>
    <w:rsid w:val="00CC4513"/>
    <w:rPr>
      <w:sz w:val="24"/>
      <w:szCs w:val="24"/>
    </w:rPr>
  </w:style>
  <w:style w:type="paragraph" w:customStyle="1" w:styleId="Answer-Testimony">
    <w:name w:val="Answer - Testimony"/>
    <w:basedOn w:val="Normal"/>
    <w:link w:val="Answer-TestimonyChar"/>
    <w:qFormat/>
    <w:rsid w:val="00CC4513"/>
    <w:rPr>
      <w:rFonts w:ascii="Times New Roman" w:hAnsi="Times New Roman"/>
      <w:szCs w:val="24"/>
    </w:rPr>
  </w:style>
  <w:style w:type="character" w:styleId="Strong">
    <w:name w:val="Strong"/>
    <w:aliases w:val="Quote - Testimony"/>
    <w:qFormat/>
    <w:rsid w:val="00B82B89"/>
  </w:style>
  <w:style w:type="paragraph" w:styleId="Revision">
    <w:name w:val="Revision"/>
    <w:hidden/>
    <w:uiPriority w:val="99"/>
    <w:semiHidden/>
    <w:rsid w:val="005D38F5"/>
    <w:rPr>
      <w:rFonts w:ascii="Garamond" w:hAnsi="Garamond"/>
      <w:sz w:val="24"/>
    </w:rPr>
  </w:style>
</w:styles>
</file>

<file path=word/webSettings.xml><?xml version="1.0" encoding="utf-8"?>
<w:webSettings xmlns:r="http://schemas.openxmlformats.org/officeDocument/2006/relationships" xmlns:w="http://schemas.openxmlformats.org/wordprocessingml/2006/main">
  <w:divs>
    <w:div w:id="248276100">
      <w:bodyDiv w:val="1"/>
      <w:marLeft w:val="0"/>
      <w:marRight w:val="0"/>
      <w:marTop w:val="0"/>
      <w:marBottom w:val="0"/>
      <w:divBdr>
        <w:top w:val="none" w:sz="0" w:space="0" w:color="auto"/>
        <w:left w:val="none" w:sz="0" w:space="0" w:color="auto"/>
        <w:bottom w:val="none" w:sz="0" w:space="0" w:color="auto"/>
        <w:right w:val="none" w:sz="0" w:space="0" w:color="auto"/>
      </w:divBdr>
    </w:div>
    <w:div w:id="708263826">
      <w:bodyDiv w:val="1"/>
      <w:marLeft w:val="0"/>
      <w:marRight w:val="0"/>
      <w:marTop w:val="0"/>
      <w:marBottom w:val="0"/>
      <w:divBdr>
        <w:top w:val="none" w:sz="0" w:space="0" w:color="auto"/>
        <w:left w:val="none" w:sz="0" w:space="0" w:color="auto"/>
        <w:bottom w:val="none" w:sz="0" w:space="0" w:color="auto"/>
        <w:right w:val="none" w:sz="0" w:space="0" w:color="auto"/>
      </w:divBdr>
    </w:div>
    <w:div w:id="112427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3826E09-5373-4A08-853F-4DB0B44916C2}"/>
</file>

<file path=customXml/itemProps2.xml><?xml version="1.0" encoding="utf-8"?>
<ds:datastoreItem xmlns:ds="http://schemas.openxmlformats.org/officeDocument/2006/customXml" ds:itemID="{6CCEBFF2-FE74-487C-B34C-28055FAE8CD3}"/>
</file>

<file path=customXml/itemProps3.xml><?xml version="1.0" encoding="utf-8"?>
<ds:datastoreItem xmlns:ds="http://schemas.openxmlformats.org/officeDocument/2006/customXml" ds:itemID="{1A090B4D-FBC7-402A-9A45-966E91285930}"/>
</file>

<file path=customXml/itemProps4.xml><?xml version="1.0" encoding="utf-8"?>
<ds:datastoreItem xmlns:ds="http://schemas.openxmlformats.org/officeDocument/2006/customXml" ds:itemID="{FE564C5C-D6D2-4F93-BAD3-9358E6F356C6}"/>
</file>

<file path=docProps/app.xml><?xml version="1.0" encoding="utf-8"?>
<Properties xmlns="http://schemas.openxmlformats.org/officeDocument/2006/extended-properties" xmlns:vt="http://schemas.openxmlformats.org/officeDocument/2006/docPropsVTypes">
  <Template>Normal.dotm</Template>
  <TotalTime>0</TotalTime>
  <Pages>23</Pages>
  <Words>5392</Words>
  <Characters>30276</Characters>
  <Application>Microsoft Office Word</Application>
  <DocSecurity>0</DocSecurity>
  <Lines>252</Lines>
  <Paragraphs>71</Paragraphs>
  <ScaleCrop>false</ScaleCrop>
  <Company/>
  <LinksUpToDate>false</LinksUpToDate>
  <CharactersWithSpaces>35597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2013-07-31T19:46:00Z</dcterms:created>
  <dcterms:modified xsi:type="dcterms:W3CDTF">2013-07-31T19:46:00Z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