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62" w:rsidRDefault="00E14A62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10"/>
        <w:tblW w:w="16060" w:type="dxa"/>
        <w:tblLayout w:type="fixed"/>
        <w:tblLook w:val="04A0" w:firstRow="1" w:lastRow="0" w:firstColumn="1" w:lastColumn="0" w:noHBand="0" w:noVBand="1"/>
      </w:tblPr>
      <w:tblGrid>
        <w:gridCol w:w="2373"/>
        <w:gridCol w:w="1170"/>
        <w:gridCol w:w="1710"/>
        <w:gridCol w:w="1350"/>
        <w:gridCol w:w="1800"/>
        <w:gridCol w:w="1980"/>
        <w:gridCol w:w="2790"/>
        <w:gridCol w:w="2887"/>
      </w:tblGrid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sz w:val="20"/>
                <w:szCs w:val="20"/>
              </w:rPr>
              <w:t>Account Name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sz w:val="20"/>
                <w:szCs w:val="20"/>
              </w:rPr>
              <w:t>Account Number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sz w:val="20"/>
                <w:szCs w:val="20"/>
              </w:rPr>
              <w:t>Account Balance (As Filed By Company)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sz w:val="20"/>
                <w:szCs w:val="20"/>
              </w:rPr>
              <w:t>Staff Proposed Balance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sz w:val="20"/>
                <w:szCs w:val="20"/>
              </w:rPr>
              <w:t>Staff Proposed Change in Account Balance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Staff/Company Proposed Settlement Balance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Adjustment Description</w:t>
            </w:r>
          </w:p>
        </w:tc>
        <w:tc>
          <w:tcPr>
            <w:tcW w:w="2887" w:type="dxa"/>
          </w:tcPr>
          <w:p w:rsidR="00810791" w:rsidRPr="00C51F48" w:rsidRDefault="00810791" w:rsidP="006D7AD6">
            <w:pPr>
              <w:ind w:right="18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Resolution/Proposed Settlement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Disposal Fees embedded in Rates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Various Revenue Accounts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417,314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417,314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790" w:type="dxa"/>
          </w:tcPr>
          <w:p w:rsidR="00810791" w:rsidRPr="00C51F48" w:rsidRDefault="00810791" w:rsidP="00C96DD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Staff included the dump fee increase amount in revenue, which </w:t>
            </w:r>
            <w:r w:rsidR="002C344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effectively dilute</w:t>
            </w:r>
            <w:r w:rsidR="00C96D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</w:t>
            </w:r>
            <w:r w:rsidR="002C344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 portion of the return on dump fee expense.</w:t>
            </w:r>
          </w:p>
        </w:tc>
        <w:tc>
          <w:tcPr>
            <w:tcW w:w="2887" w:type="dxa"/>
          </w:tcPr>
          <w:p w:rsidR="00810791" w:rsidRPr="00C51F48" w:rsidRDefault="00810791" w:rsidP="006D7AD6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removed this adjustment.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Corp OH Allocation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70149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941,195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883,222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(57,973)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886,794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removed several components of corporate OH including: depreciation on certain corporate assets, termination pay, certain dues and subscriptions, certain professional fees, and directors and officers insurance.  In addition, Staff disallowed corporate OH on materials revenue.</w:t>
            </w:r>
          </w:p>
        </w:tc>
        <w:tc>
          <w:tcPr>
            <w:tcW w:w="2887" w:type="dxa"/>
          </w:tcPr>
          <w:p w:rsidR="00810791" w:rsidRPr="00C51F48" w:rsidRDefault="002C3441" w:rsidP="00863518">
            <w:pPr>
              <w:ind w:right="36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Company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disputed removal by Staff of corporate overhead expenses o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recycling materials sales revenue.  The Company believe</w:t>
            </w:r>
            <w:r w:rsidR="002914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that this disallowance was inappropriate and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although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material sales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are 100% refunded </w:t>
            </w:r>
            <w:r w:rsidR="00BF1C3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to the customers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by the Company,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there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re still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costs and overhead associated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with this activity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and refund computations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This expense reduction amounted to about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$12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,000 of the Staff </w:t>
            </w:r>
            <w:r w:rsidR="00C96D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calculation 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and, for settlement purposes only,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was </w:t>
            </w:r>
            <w:r w:rsidR="00C96D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concurred in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by the Company.</w:t>
            </w:r>
          </w:p>
        </w:tc>
      </w:tr>
      <w:tr w:rsidR="00810791" w:rsidRPr="00C51F48" w:rsidTr="0040546A">
        <w:trPr>
          <w:cantSplit/>
        </w:trPr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Transfer Station Depreciation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94,553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37,607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(56,946)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37,607</w:t>
            </w:r>
          </w:p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allocated a portion of the transfer station assets to DM Disposal, the non-regulated hauling company.</w:t>
            </w:r>
          </w:p>
        </w:tc>
        <w:tc>
          <w:tcPr>
            <w:tcW w:w="2887" w:type="dxa"/>
          </w:tcPr>
          <w:p w:rsidR="00810791" w:rsidRPr="00C51F48" w:rsidRDefault="002C3441" w:rsidP="00863518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Staff allocated a higher portion of the transfer station assets to the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non-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regulated affiliate, DM Disposal, to which adjustment in the interest of settlement, 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Company stipulate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</w:tr>
      <w:tr w:rsidR="00810791" w:rsidRPr="00C51F48" w:rsidTr="00863518">
        <w:trPr>
          <w:cantSplit/>
        </w:trPr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Depreciation Trks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51260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779,594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764,254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(15,340)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772,231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changed the asset cost of several trucks, removed several scrapped assets, and allocated a portion of the transfer trucks to DM Disposal, the non-regulated hauling company.</w:t>
            </w:r>
          </w:p>
        </w:tc>
        <w:tc>
          <w:tcPr>
            <w:tcW w:w="2887" w:type="dxa"/>
          </w:tcPr>
          <w:p w:rsidR="00810791" w:rsidRPr="00C51F48" w:rsidRDefault="00291480" w:rsidP="00863518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Company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disputed portions of this adjustment.  The Company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does not agree with the portion of this adjustment related to the allocation of transfer trucks</w:t>
            </w:r>
            <w:r w:rsidR="008107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That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</w:t>
            </w:r>
            <w:r w:rsidR="008107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llocation means M-A will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not recover sufficient depreciatio</w:t>
            </w:r>
            <w:r w:rsidR="008107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 and average investment in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rates.  DM has its own transfer trucks, and also uses trailers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of another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non-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regulated affiliate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 The effect of this portion of the adjustment is $4,589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which the Company agreed to compromise in the interest of settlement.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Structures – Office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113,522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92,047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(21,475)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92,047</w:t>
            </w:r>
          </w:p>
        </w:tc>
        <w:tc>
          <w:tcPr>
            <w:tcW w:w="2790" w:type="dxa"/>
          </w:tcPr>
          <w:p w:rsidR="00810791" w:rsidRPr="00C51F48" w:rsidRDefault="00291480" w:rsidP="0029148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Revised </w:t>
            </w:r>
            <w:r w:rsidR="008107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original </w:t>
            </w:r>
            <w:r w:rsidR="0081079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cost of storm water, transfer station, and retention pond assets, changed the useful life of storm water assets from 20 to 30 years, and allocated a portion of these assets to DM Disposal.</w:t>
            </w:r>
          </w:p>
        </w:tc>
        <w:tc>
          <w:tcPr>
            <w:tcW w:w="2887" w:type="dxa"/>
          </w:tcPr>
          <w:p w:rsidR="00810791" w:rsidRPr="00C51F48" w:rsidRDefault="00AF6B73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Company stipulate</w:t>
            </w:r>
            <w:r w:rsidR="0029148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 for settlement purpose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Sale of Asset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91010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28,978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5,796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(23,182)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9,659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amortized this expense over 5 years.</w:t>
            </w:r>
          </w:p>
        </w:tc>
        <w:tc>
          <w:tcPr>
            <w:tcW w:w="2887" w:type="dxa"/>
          </w:tcPr>
          <w:p w:rsidR="00810791" w:rsidRPr="00C51F48" w:rsidRDefault="00291480" w:rsidP="009A7799">
            <w:pPr>
              <w:ind w:right="36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Company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disputed this amortization and believed it </w:t>
            </w:r>
            <w:r w:rsidR="00C96D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as properly expensed.  The Staff wanted to amortize over 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 five year period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and the parties compromised on three years in the interest of settlement.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Depreciation Cont, DB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54260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471,670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456,437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(15,233)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462,705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amortized yard waste carts over 10 years.</w:t>
            </w:r>
          </w:p>
        </w:tc>
        <w:tc>
          <w:tcPr>
            <w:tcW w:w="2887" w:type="dxa"/>
          </w:tcPr>
          <w:p w:rsidR="00810791" w:rsidRPr="00C51F48" w:rsidRDefault="00810791" w:rsidP="006D7AD6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Com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pany and staff agreed 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on a 7 year useful life for yard waste carts.</w:t>
            </w:r>
          </w:p>
        </w:tc>
      </w:tr>
      <w:tr w:rsidR="00810791" w:rsidRPr="00C51F48" w:rsidTr="00863518">
        <w:trPr>
          <w:cantSplit/>
        </w:trPr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State Excise Tax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52030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523,175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519,231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(1,844)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521,322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Washington State w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holesale tax on unrefunded commodity revenue was denied.  </w:t>
            </w:r>
          </w:p>
        </w:tc>
        <w:tc>
          <w:tcPr>
            <w:tcW w:w="2887" w:type="dxa"/>
          </w:tcPr>
          <w:p w:rsidR="00810791" w:rsidRPr="00C51F48" w:rsidRDefault="00810791" w:rsidP="009B5212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The Company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strongly disagree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with this adjustment since the Company must pay B&amp;O tax on its gross receipts, including commodity sales revenue.  Initially it attempted to compromise in </w:t>
            </w:r>
            <w:r w:rsidR="009B521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merely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asking for the tax portion attributable to 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unrefunded commodity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sales but ultimately conceded the full </w:t>
            </w:r>
            <w:r w:rsidR="009B521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disputed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amount in order to reach settlement.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 xml:space="preserve">Safety &amp; Training 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50086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14,546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7,241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(7,305)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7,303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amortized this account over 3 years.</w:t>
            </w:r>
          </w:p>
        </w:tc>
        <w:tc>
          <w:tcPr>
            <w:tcW w:w="2887" w:type="dxa"/>
          </w:tcPr>
          <w:p w:rsidR="00810791" w:rsidRPr="00C51F48" w:rsidRDefault="00AF6B73" w:rsidP="00863518">
            <w:pPr>
              <w:ind w:right="36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Company 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agreed 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to this adjustment in the interest of settlement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Employee Comm</w:t>
            </w:r>
            <w:r w:rsidR="00863518">
              <w:rPr>
                <w:rFonts w:ascii="Times New Roman" w:hAnsi="Times New Roman" w:cs="Times New Roman"/>
                <w:sz w:val="20"/>
                <w:szCs w:val="20"/>
              </w:rPr>
              <w:t>unity</w:t>
            </w: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 xml:space="preserve"> Activity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56095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40,098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66,110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26,012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66,670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amortized this account over 3 years.</w:t>
            </w:r>
          </w:p>
        </w:tc>
        <w:tc>
          <w:tcPr>
            <w:tcW w:w="2887" w:type="dxa"/>
          </w:tcPr>
          <w:p w:rsidR="00810791" w:rsidRPr="00C51F48" w:rsidRDefault="00810791" w:rsidP="00AF6B73">
            <w:pPr>
              <w:ind w:right="36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Company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agree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 in the interest of settlement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Salaries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60010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 xml:space="preserve">5,442 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17,633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12,191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17,633</w:t>
            </w:r>
          </w:p>
        </w:tc>
        <w:tc>
          <w:tcPr>
            <w:tcW w:w="279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During the audit the Company proposed a $51,000 pro forma adjustment for a Waste Reduction Specialist</w:t>
            </w:r>
            <w:r w:rsidR="008635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whom the Company hired</w:t>
            </w:r>
            <w:r w:rsidR="00EE5E1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among other responsibilities to assist in solid waste reduction in M/A’s territory and who is particularly focused on multi-family recycling participation rates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.  Staff only allowed 27% of this pro forma adjustment.  </w:t>
            </w:r>
          </w:p>
        </w:tc>
        <w:tc>
          <w:tcPr>
            <w:tcW w:w="2887" w:type="dxa"/>
          </w:tcPr>
          <w:p w:rsidR="00810791" w:rsidRPr="00C51F48" w:rsidRDefault="00810791" w:rsidP="0028728D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The Company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disagree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</w:t>
            </w:r>
            <w:r w:rsidR="00EE5E1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due to the State’s </w:t>
            </w:r>
            <w:r w:rsidR="0028728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statutory </w:t>
            </w:r>
            <w:r w:rsidR="00EE5E1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emphasis on </w:t>
            </w:r>
            <w:r w:rsidR="0028728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solid </w:t>
            </w:r>
            <w:r w:rsidR="00EE5E1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waste reduction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but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stipulate</w:t>
            </w:r>
            <w:r w:rsidR="009A779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AF6B7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to </w:t>
            </w:r>
            <w:r w:rsidR="0028728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an </w:t>
            </w: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adjustment in order to reach a settlement.</w:t>
            </w:r>
          </w:p>
        </w:tc>
      </w:tr>
      <w:tr w:rsidR="00810791" w:rsidRPr="00C51F48" w:rsidTr="00810791">
        <w:tc>
          <w:tcPr>
            <w:tcW w:w="2373" w:type="dxa"/>
          </w:tcPr>
          <w:p w:rsidR="00810791" w:rsidRPr="00C51F48" w:rsidRDefault="00810791" w:rsidP="007B130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Prior Year Claims</w:t>
            </w:r>
          </w:p>
        </w:tc>
        <w:tc>
          <w:tcPr>
            <w:tcW w:w="1170" w:type="dxa"/>
          </w:tcPr>
          <w:p w:rsidR="00810791" w:rsidRPr="00C51F48" w:rsidRDefault="00810791" w:rsidP="0081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59342</w:t>
            </w:r>
          </w:p>
        </w:tc>
        <w:tc>
          <w:tcPr>
            <w:tcW w:w="171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655,494</w:t>
            </w:r>
          </w:p>
        </w:tc>
        <w:tc>
          <w:tcPr>
            <w:tcW w:w="135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163,874</w:t>
            </w:r>
          </w:p>
        </w:tc>
        <w:tc>
          <w:tcPr>
            <w:tcW w:w="180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sz w:val="20"/>
                <w:szCs w:val="20"/>
              </w:rPr>
              <w:t>(491,620)</w:t>
            </w:r>
          </w:p>
        </w:tc>
        <w:tc>
          <w:tcPr>
            <w:tcW w:w="1980" w:type="dxa"/>
          </w:tcPr>
          <w:p w:rsidR="00810791" w:rsidRPr="00C51F48" w:rsidRDefault="00810791" w:rsidP="0081079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321,325</w:t>
            </w:r>
          </w:p>
        </w:tc>
        <w:tc>
          <w:tcPr>
            <w:tcW w:w="2790" w:type="dxa"/>
          </w:tcPr>
          <w:p w:rsidR="00810791" w:rsidRPr="00C51F48" w:rsidRDefault="00810791" w:rsidP="00EE5E1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Staff proposed a 4 year amortization of this account.</w:t>
            </w:r>
          </w:p>
        </w:tc>
        <w:tc>
          <w:tcPr>
            <w:tcW w:w="2887" w:type="dxa"/>
          </w:tcPr>
          <w:p w:rsidR="00810791" w:rsidRPr="00C51F48" w:rsidRDefault="009A7799" w:rsidP="009A7799">
            <w:pPr>
              <w:ind w:right="18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The Company objected to the Staff’s initial normalizat</w:t>
            </w:r>
            <w:r w:rsidR="003675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ion of this account over a four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year period.  The 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Company stipulate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</w:t>
            </w:r>
            <w:r w:rsidR="00810791" w:rsidRPr="00C51F4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to the sum of 2010, 2011 and 2012 claims expense amortized over 3 years in interest of a settlement.</w:t>
            </w:r>
          </w:p>
        </w:tc>
      </w:tr>
    </w:tbl>
    <w:p w:rsidR="00E14A62" w:rsidRPr="00C96DDF" w:rsidRDefault="00E14A62" w:rsidP="00C96DDF">
      <w:pPr>
        <w:rPr>
          <w:rFonts w:ascii="Times New Roman" w:hAnsi="Times New Roman" w:cs="Times New Roman"/>
          <w:sz w:val="24"/>
          <w:szCs w:val="24"/>
        </w:rPr>
      </w:pPr>
    </w:p>
    <w:sectPr w:rsidR="00E14A62" w:rsidRPr="00C96DDF" w:rsidSect="00891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95" w:rsidRDefault="004D5F95" w:rsidP="001F1828">
      <w:r>
        <w:separator/>
      </w:r>
    </w:p>
  </w:endnote>
  <w:endnote w:type="continuationSeparator" w:id="0">
    <w:p w:rsidR="004D5F95" w:rsidRDefault="004D5F95" w:rsidP="001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63" w:rsidRDefault="000F0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9755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D5F95" w:rsidRDefault="00AF6B73" w:rsidP="00A31B41">
            <w:pPr>
              <w:pStyle w:val="Footer"/>
            </w:pPr>
            <w:r>
              <w:t>8/</w:t>
            </w:r>
            <w:r w:rsidR="008F7179">
              <w:t>30</w:t>
            </w:r>
            <w:r w:rsidR="004D5F95">
              <w:t>/2013</w:t>
            </w:r>
            <w:r w:rsidR="004D5F95">
              <w:tab/>
            </w:r>
            <w:r w:rsidR="004D5F95">
              <w:tab/>
              <w:t xml:space="preserve">Page </w:t>
            </w:r>
            <w:r w:rsidR="004D5F95">
              <w:rPr>
                <w:b/>
                <w:bCs/>
                <w:sz w:val="24"/>
                <w:szCs w:val="24"/>
              </w:rPr>
              <w:fldChar w:fldCharType="begin"/>
            </w:r>
            <w:r w:rsidR="004D5F95">
              <w:rPr>
                <w:b/>
                <w:bCs/>
              </w:rPr>
              <w:instrText xml:space="preserve"> PAGE </w:instrText>
            </w:r>
            <w:r w:rsidR="004D5F95">
              <w:rPr>
                <w:b/>
                <w:bCs/>
                <w:sz w:val="24"/>
                <w:szCs w:val="24"/>
              </w:rPr>
              <w:fldChar w:fldCharType="separate"/>
            </w:r>
            <w:r w:rsidR="000F0563">
              <w:rPr>
                <w:b/>
                <w:bCs/>
                <w:noProof/>
              </w:rPr>
              <w:t>1</w:t>
            </w:r>
            <w:r w:rsidR="004D5F95">
              <w:rPr>
                <w:b/>
                <w:bCs/>
                <w:sz w:val="24"/>
                <w:szCs w:val="24"/>
              </w:rPr>
              <w:fldChar w:fldCharType="end"/>
            </w:r>
            <w:r w:rsidR="004D5F95">
              <w:t xml:space="preserve"> of </w:t>
            </w:r>
            <w:r w:rsidR="00753F41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:rsidR="004D5F95" w:rsidRDefault="009B615D" w:rsidP="009B615D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615D">
      <w:rPr>
        <w:sz w:val="16"/>
      </w:rPr>
      <w:instrText>IF "</w:instrText>
    </w:r>
    <w:r w:rsidR="000F0563">
      <w:rPr>
        <w:sz w:val="16"/>
      </w:rPr>
      <w:instrText>1</w:instrText>
    </w:r>
    <w:r w:rsidRPr="009B615D">
      <w:rPr>
        <w:sz w:val="16"/>
      </w:rPr>
      <w:instrText>" = "1" "</w:instrText>
    </w:r>
    <w:r w:rsidR="000F0563">
      <w:rPr>
        <w:sz w:val="16"/>
      </w:rPr>
      <w:instrText xml:space="preserve"> 4256841.2</w:instrText>
    </w:r>
    <w:r w:rsidRPr="009B615D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F0563">
      <w:rPr>
        <w:noProof/>
        <w:sz w:val="16"/>
      </w:rPr>
      <w:t xml:space="preserve"> 4256841.2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63" w:rsidRDefault="000F0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95" w:rsidRDefault="004D5F95" w:rsidP="001F1828">
      <w:r>
        <w:separator/>
      </w:r>
    </w:p>
  </w:footnote>
  <w:footnote w:type="continuationSeparator" w:id="0">
    <w:p w:rsidR="004D5F95" w:rsidRDefault="004D5F95" w:rsidP="001F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63" w:rsidRDefault="000F0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79" w:rsidRDefault="008F7179" w:rsidP="008F7179">
    <w:pPr>
      <w:pStyle w:val="Header"/>
      <w:jc w:val="right"/>
    </w:pPr>
    <w:r>
      <w:t>Exhibit IW-2</w:t>
    </w:r>
    <w:r>
      <w:br/>
      <w:t>August 30, 2013</w:t>
    </w:r>
  </w:p>
  <w:p w:rsidR="004D5F95" w:rsidRDefault="004D5F95">
    <w:pPr>
      <w:pStyle w:val="Header"/>
    </w:pPr>
    <w:r>
      <w:t>TG-130501 Murrey’s Disposal and TG-130502 American Disposal</w:t>
    </w:r>
  </w:p>
  <w:p w:rsidR="004D5F95" w:rsidRDefault="004D5F95">
    <w:pPr>
      <w:pStyle w:val="Header"/>
    </w:pPr>
    <w:r>
      <w:t xml:space="preserve">Settlement Positions – </w:t>
    </w:r>
    <w:r w:rsidRPr="00833972">
      <w:rPr>
        <w:b/>
        <w:i/>
      </w:rPr>
      <w:t>Settlement Document Subject to ER 408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63" w:rsidRDefault="000F0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79FA"/>
    <w:multiLevelType w:val="hybridMultilevel"/>
    <w:tmpl w:val="0950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62"/>
    <w:rsid w:val="00000ADA"/>
    <w:rsid w:val="0001073F"/>
    <w:rsid w:val="00014574"/>
    <w:rsid w:val="000912BC"/>
    <w:rsid w:val="000E37FF"/>
    <w:rsid w:val="000E640C"/>
    <w:rsid w:val="000F0563"/>
    <w:rsid w:val="000F3A80"/>
    <w:rsid w:val="000F6DD8"/>
    <w:rsid w:val="000F7560"/>
    <w:rsid w:val="001158A5"/>
    <w:rsid w:val="0017651E"/>
    <w:rsid w:val="00197BCE"/>
    <w:rsid w:val="001C5AB1"/>
    <w:rsid w:val="001E1D7A"/>
    <w:rsid w:val="001F1828"/>
    <w:rsid w:val="0028728D"/>
    <w:rsid w:val="00291480"/>
    <w:rsid w:val="00296F8C"/>
    <w:rsid w:val="002B6FF1"/>
    <w:rsid w:val="002C039A"/>
    <w:rsid w:val="002C3441"/>
    <w:rsid w:val="002F26AA"/>
    <w:rsid w:val="002F3550"/>
    <w:rsid w:val="00323920"/>
    <w:rsid w:val="00333E6F"/>
    <w:rsid w:val="00335A26"/>
    <w:rsid w:val="0036752F"/>
    <w:rsid w:val="0037719A"/>
    <w:rsid w:val="003A737A"/>
    <w:rsid w:val="003D0DDB"/>
    <w:rsid w:val="0040546A"/>
    <w:rsid w:val="00426F1D"/>
    <w:rsid w:val="0047486F"/>
    <w:rsid w:val="004A2328"/>
    <w:rsid w:val="004D5F95"/>
    <w:rsid w:val="00502A50"/>
    <w:rsid w:val="00552600"/>
    <w:rsid w:val="005874FF"/>
    <w:rsid w:val="005902DB"/>
    <w:rsid w:val="005A6C74"/>
    <w:rsid w:val="005B0B04"/>
    <w:rsid w:val="005C5EE8"/>
    <w:rsid w:val="00600471"/>
    <w:rsid w:val="006138A4"/>
    <w:rsid w:val="006673A9"/>
    <w:rsid w:val="00672F7B"/>
    <w:rsid w:val="006A41EE"/>
    <w:rsid w:val="006D7AD6"/>
    <w:rsid w:val="006F08F5"/>
    <w:rsid w:val="0070237C"/>
    <w:rsid w:val="00753763"/>
    <w:rsid w:val="00753F41"/>
    <w:rsid w:val="0078488A"/>
    <w:rsid w:val="007A4C35"/>
    <w:rsid w:val="007B1304"/>
    <w:rsid w:val="008057D3"/>
    <w:rsid w:val="00810791"/>
    <w:rsid w:val="0081339F"/>
    <w:rsid w:val="008278BC"/>
    <w:rsid w:val="00833972"/>
    <w:rsid w:val="008608F4"/>
    <w:rsid w:val="00863518"/>
    <w:rsid w:val="008913D1"/>
    <w:rsid w:val="008959A4"/>
    <w:rsid w:val="008F7179"/>
    <w:rsid w:val="00905DAB"/>
    <w:rsid w:val="00923A2E"/>
    <w:rsid w:val="00944E52"/>
    <w:rsid w:val="0098485F"/>
    <w:rsid w:val="009A076E"/>
    <w:rsid w:val="009A7799"/>
    <w:rsid w:val="009B5212"/>
    <w:rsid w:val="009B615D"/>
    <w:rsid w:val="00A31B41"/>
    <w:rsid w:val="00A84C2A"/>
    <w:rsid w:val="00A956DB"/>
    <w:rsid w:val="00AA2812"/>
    <w:rsid w:val="00AD3312"/>
    <w:rsid w:val="00AD4934"/>
    <w:rsid w:val="00AE273E"/>
    <w:rsid w:val="00AF6B73"/>
    <w:rsid w:val="00B13041"/>
    <w:rsid w:val="00B4616B"/>
    <w:rsid w:val="00B90E89"/>
    <w:rsid w:val="00BB23FC"/>
    <w:rsid w:val="00BC0067"/>
    <w:rsid w:val="00BD5674"/>
    <w:rsid w:val="00BD70EB"/>
    <w:rsid w:val="00BE2522"/>
    <w:rsid w:val="00BF1C3F"/>
    <w:rsid w:val="00BF4D01"/>
    <w:rsid w:val="00C02D63"/>
    <w:rsid w:val="00C03E05"/>
    <w:rsid w:val="00C26BB4"/>
    <w:rsid w:val="00C4202A"/>
    <w:rsid w:val="00C51F48"/>
    <w:rsid w:val="00C6463A"/>
    <w:rsid w:val="00C73E8E"/>
    <w:rsid w:val="00C74213"/>
    <w:rsid w:val="00C96D9B"/>
    <w:rsid w:val="00C96DDF"/>
    <w:rsid w:val="00CB6F9C"/>
    <w:rsid w:val="00CD3743"/>
    <w:rsid w:val="00D457DF"/>
    <w:rsid w:val="00D45C9F"/>
    <w:rsid w:val="00DA1B86"/>
    <w:rsid w:val="00DA59C6"/>
    <w:rsid w:val="00DB5B99"/>
    <w:rsid w:val="00DD2A47"/>
    <w:rsid w:val="00DD4D5C"/>
    <w:rsid w:val="00DE34D5"/>
    <w:rsid w:val="00DF5BC9"/>
    <w:rsid w:val="00E14A62"/>
    <w:rsid w:val="00E30FED"/>
    <w:rsid w:val="00E515AA"/>
    <w:rsid w:val="00E61F97"/>
    <w:rsid w:val="00E814D8"/>
    <w:rsid w:val="00E940D3"/>
    <w:rsid w:val="00EA4FEB"/>
    <w:rsid w:val="00EA7783"/>
    <w:rsid w:val="00EE5E1B"/>
    <w:rsid w:val="00F1362A"/>
    <w:rsid w:val="00F166E7"/>
    <w:rsid w:val="00F2010B"/>
    <w:rsid w:val="00F21B68"/>
    <w:rsid w:val="00F63D17"/>
    <w:rsid w:val="00F87B08"/>
    <w:rsid w:val="00FB0A5C"/>
    <w:rsid w:val="00FE6E0B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62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1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828"/>
  </w:style>
  <w:style w:type="paragraph" w:styleId="Footer">
    <w:name w:val="footer"/>
    <w:basedOn w:val="Normal"/>
    <w:link w:val="FooterChar"/>
    <w:uiPriority w:val="99"/>
    <w:unhideWhenUsed/>
    <w:rsid w:val="001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62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1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828"/>
  </w:style>
  <w:style w:type="paragraph" w:styleId="Footer">
    <w:name w:val="footer"/>
    <w:basedOn w:val="Normal"/>
    <w:link w:val="FooterChar"/>
    <w:uiPriority w:val="99"/>
    <w:unhideWhenUsed/>
    <w:rsid w:val="001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B81A96-6BF9-46C9-A25D-3AA7ED4A689F}"/>
</file>

<file path=customXml/itemProps2.xml><?xml version="1.0" encoding="utf-8"?>
<ds:datastoreItem xmlns:ds="http://schemas.openxmlformats.org/officeDocument/2006/customXml" ds:itemID="{CC9DC09E-C482-4B50-BAC0-D2BF1393BBDB}"/>
</file>

<file path=customXml/itemProps3.xml><?xml version="1.0" encoding="utf-8"?>
<ds:datastoreItem xmlns:ds="http://schemas.openxmlformats.org/officeDocument/2006/customXml" ds:itemID="{BC1B1C94-8097-4928-9446-1AD0AEA859CB}"/>
</file>

<file path=customXml/itemProps4.xml><?xml version="1.0" encoding="utf-8"?>
<ds:datastoreItem xmlns:ds="http://schemas.openxmlformats.org/officeDocument/2006/customXml" ds:itemID="{78988FD8-84EE-42B4-8FEE-C20FCFEDD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4066</Characters>
  <Application>Microsoft Office Word</Application>
  <DocSecurity>0</DocSecurity>
  <Lines>248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2013-08-30T22:04:35Z</cp:lastPrinted>
  <dcterms:created xsi:type="dcterms:W3CDTF">2013-08-30T22:04:35Z</dcterms:created>
  <dcterms:modified xsi:type="dcterms:W3CDTF">2013-08-30T22:04:35Z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4256841.2</vt:lpwstr>
  </property>
  <property fmtid="{D5CDD505-2E9C-101B-9397-08002B2CF9AE}" pid="3" name="ContentTypeId">
    <vt:lpwstr>0x0101006E56B4D1795A2E4DB2F0B01679ED314A0060C5FCD69797B34196212A33158BC689</vt:lpwstr>
  </property>
  <property fmtid="{D5CDD505-2E9C-101B-9397-08002B2CF9AE}" pid="4" name="_docset_NoMedatataSyncRequired">
    <vt:lpwstr>False</vt:lpwstr>
  </property>
</Properties>
</file>