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val="0"/>
          <w:sz w:val="24"/>
        </w:rPr>
        <w:id w:val="-1130855656"/>
        <w:docPartObj>
          <w:docPartGallery w:val="Table of Contents"/>
          <w:docPartUnique/>
        </w:docPartObj>
      </w:sdtPr>
      <w:sdtEndPr>
        <w:rPr>
          <w:bCs/>
          <w:noProof/>
        </w:rPr>
      </w:sdtEndPr>
      <w:sdtContent>
        <w:p w:rsidR="00302A01" w:rsidRPr="00384017" w:rsidRDefault="00302A01" w:rsidP="00302A01">
          <w:pPr>
            <w:pStyle w:val="Subtitle"/>
            <w:tabs>
              <w:tab w:val="right" w:pos="9180"/>
            </w:tabs>
            <w:spacing w:before="0" w:after="0" w:line="480" w:lineRule="auto"/>
            <w:ind w:right="43"/>
            <w:rPr>
              <w:sz w:val="24"/>
              <w:szCs w:val="24"/>
            </w:rPr>
          </w:pPr>
          <w:r w:rsidRPr="00384017">
            <w:rPr>
              <w:sz w:val="24"/>
              <w:szCs w:val="24"/>
            </w:rPr>
            <w:t>TABLE OF CONTENTS</w:t>
          </w:r>
        </w:p>
        <w:p w:rsidR="002E61E1" w:rsidRDefault="00302A01">
          <w:pPr>
            <w:pStyle w:val="TOC1"/>
            <w:tabs>
              <w:tab w:val="right" w:leader="dot" w:pos="8846"/>
            </w:tabs>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447616292" w:history="1">
            <w:r w:rsidR="002E61E1" w:rsidRPr="00AA5648">
              <w:rPr>
                <w:rStyle w:val="Hyperlink"/>
                <w:noProof/>
              </w:rPr>
              <w:t>Purpose and Summary of Testimony</w:t>
            </w:r>
            <w:r w:rsidR="002E61E1">
              <w:rPr>
                <w:noProof/>
                <w:webHidden/>
              </w:rPr>
              <w:tab/>
            </w:r>
            <w:r w:rsidR="002E61E1">
              <w:rPr>
                <w:noProof/>
                <w:webHidden/>
              </w:rPr>
              <w:fldChar w:fldCharType="begin"/>
            </w:r>
            <w:r w:rsidR="002E61E1">
              <w:rPr>
                <w:noProof/>
                <w:webHidden/>
              </w:rPr>
              <w:instrText xml:space="preserve"> PAGEREF _Toc447616292 \h </w:instrText>
            </w:r>
            <w:r w:rsidR="002E61E1">
              <w:rPr>
                <w:noProof/>
                <w:webHidden/>
              </w:rPr>
            </w:r>
            <w:r w:rsidR="002E61E1">
              <w:rPr>
                <w:noProof/>
                <w:webHidden/>
              </w:rPr>
              <w:fldChar w:fldCharType="separate"/>
            </w:r>
            <w:r w:rsidR="00CA3168">
              <w:rPr>
                <w:noProof/>
                <w:webHidden/>
              </w:rPr>
              <w:t>1</w:t>
            </w:r>
            <w:r w:rsidR="002E61E1">
              <w:rPr>
                <w:noProof/>
                <w:webHidden/>
              </w:rPr>
              <w:fldChar w:fldCharType="end"/>
            </w:r>
          </w:hyperlink>
        </w:p>
        <w:p w:rsidR="002E61E1" w:rsidRDefault="00B02675">
          <w:pPr>
            <w:pStyle w:val="TOC1"/>
            <w:tabs>
              <w:tab w:val="right" w:leader="dot" w:pos="8846"/>
            </w:tabs>
            <w:rPr>
              <w:rFonts w:asciiTheme="minorHAnsi" w:eastAsiaTheme="minorEastAsia" w:hAnsiTheme="minorHAnsi" w:cstheme="minorBidi"/>
              <w:bCs w:val="0"/>
              <w:caps w:val="0"/>
              <w:noProof/>
              <w:sz w:val="22"/>
              <w:szCs w:val="22"/>
            </w:rPr>
          </w:pPr>
          <w:hyperlink w:anchor="_Toc447616293" w:history="1">
            <w:r w:rsidR="002E61E1" w:rsidRPr="00AA5648">
              <w:rPr>
                <w:rStyle w:val="Hyperlink"/>
                <w:noProof/>
              </w:rPr>
              <w:t>Recent Indicators from Capital markets</w:t>
            </w:r>
            <w:r w:rsidR="002E61E1">
              <w:rPr>
                <w:noProof/>
                <w:webHidden/>
              </w:rPr>
              <w:tab/>
            </w:r>
            <w:r w:rsidR="002E61E1">
              <w:rPr>
                <w:noProof/>
                <w:webHidden/>
              </w:rPr>
              <w:fldChar w:fldCharType="begin"/>
            </w:r>
            <w:r w:rsidR="002E61E1">
              <w:rPr>
                <w:noProof/>
                <w:webHidden/>
              </w:rPr>
              <w:instrText xml:space="preserve"> PAGEREF _Toc447616293 \h </w:instrText>
            </w:r>
            <w:r w:rsidR="002E61E1">
              <w:rPr>
                <w:noProof/>
                <w:webHidden/>
              </w:rPr>
            </w:r>
            <w:r w:rsidR="002E61E1">
              <w:rPr>
                <w:noProof/>
                <w:webHidden/>
              </w:rPr>
              <w:fldChar w:fldCharType="separate"/>
            </w:r>
            <w:r w:rsidR="00CA3168">
              <w:rPr>
                <w:noProof/>
                <w:webHidden/>
              </w:rPr>
              <w:t>4</w:t>
            </w:r>
            <w:r w:rsidR="002E61E1">
              <w:rPr>
                <w:noProof/>
                <w:webHidden/>
              </w:rPr>
              <w:fldChar w:fldCharType="end"/>
            </w:r>
          </w:hyperlink>
        </w:p>
        <w:p w:rsidR="002E61E1" w:rsidRDefault="00B02675">
          <w:pPr>
            <w:pStyle w:val="TOC1"/>
            <w:tabs>
              <w:tab w:val="right" w:leader="dot" w:pos="8846"/>
            </w:tabs>
            <w:rPr>
              <w:rFonts w:asciiTheme="minorHAnsi" w:eastAsiaTheme="minorEastAsia" w:hAnsiTheme="minorHAnsi" w:cstheme="minorBidi"/>
              <w:bCs w:val="0"/>
              <w:caps w:val="0"/>
              <w:noProof/>
              <w:sz w:val="22"/>
              <w:szCs w:val="22"/>
            </w:rPr>
          </w:pPr>
          <w:hyperlink w:anchor="_Toc447616294" w:history="1">
            <w:r w:rsidR="002E61E1" w:rsidRPr="00AA5648">
              <w:rPr>
                <w:rStyle w:val="Hyperlink"/>
                <w:noProof/>
              </w:rPr>
              <w:t>Key Flaws in Mr. Parcell’s Analyses</w:t>
            </w:r>
            <w:r w:rsidR="002E61E1">
              <w:rPr>
                <w:noProof/>
                <w:webHidden/>
              </w:rPr>
              <w:tab/>
            </w:r>
            <w:r w:rsidR="002E61E1">
              <w:rPr>
                <w:noProof/>
                <w:webHidden/>
              </w:rPr>
              <w:fldChar w:fldCharType="begin"/>
            </w:r>
            <w:r w:rsidR="002E61E1">
              <w:rPr>
                <w:noProof/>
                <w:webHidden/>
              </w:rPr>
              <w:instrText xml:space="preserve"> PAGEREF _Toc447616294 \h </w:instrText>
            </w:r>
            <w:r w:rsidR="002E61E1">
              <w:rPr>
                <w:noProof/>
                <w:webHidden/>
              </w:rPr>
            </w:r>
            <w:r w:rsidR="002E61E1">
              <w:rPr>
                <w:noProof/>
                <w:webHidden/>
              </w:rPr>
              <w:fldChar w:fldCharType="separate"/>
            </w:r>
            <w:r w:rsidR="00CA3168">
              <w:rPr>
                <w:noProof/>
                <w:webHidden/>
              </w:rPr>
              <w:t>7</w:t>
            </w:r>
            <w:r w:rsidR="002E61E1">
              <w:rPr>
                <w:noProof/>
                <w:webHidden/>
              </w:rPr>
              <w:fldChar w:fldCharType="end"/>
            </w:r>
          </w:hyperlink>
        </w:p>
        <w:p w:rsidR="002E61E1" w:rsidRDefault="00B02675">
          <w:pPr>
            <w:pStyle w:val="TOC1"/>
            <w:tabs>
              <w:tab w:val="right" w:leader="dot" w:pos="8846"/>
            </w:tabs>
            <w:rPr>
              <w:rFonts w:asciiTheme="minorHAnsi" w:eastAsiaTheme="minorEastAsia" w:hAnsiTheme="minorHAnsi" w:cstheme="minorBidi"/>
              <w:bCs w:val="0"/>
              <w:caps w:val="0"/>
              <w:noProof/>
              <w:sz w:val="22"/>
              <w:szCs w:val="22"/>
            </w:rPr>
          </w:pPr>
          <w:hyperlink w:anchor="_Toc447616295" w:history="1">
            <w:r w:rsidR="002E61E1" w:rsidRPr="00AA5648">
              <w:rPr>
                <w:rStyle w:val="Hyperlink"/>
                <w:noProof/>
              </w:rPr>
              <w:t>Use of a Hypothetical Capital Structure</w:t>
            </w:r>
            <w:r w:rsidR="002E61E1">
              <w:rPr>
                <w:noProof/>
                <w:webHidden/>
              </w:rPr>
              <w:tab/>
            </w:r>
            <w:r w:rsidR="002E61E1">
              <w:rPr>
                <w:noProof/>
                <w:webHidden/>
              </w:rPr>
              <w:fldChar w:fldCharType="begin"/>
            </w:r>
            <w:r w:rsidR="002E61E1">
              <w:rPr>
                <w:noProof/>
                <w:webHidden/>
              </w:rPr>
              <w:instrText xml:space="preserve"> PAGEREF _Toc447616295 \h </w:instrText>
            </w:r>
            <w:r w:rsidR="002E61E1">
              <w:rPr>
                <w:noProof/>
                <w:webHidden/>
              </w:rPr>
            </w:r>
            <w:r w:rsidR="002E61E1">
              <w:rPr>
                <w:noProof/>
                <w:webHidden/>
              </w:rPr>
              <w:fldChar w:fldCharType="separate"/>
            </w:r>
            <w:r w:rsidR="00CA3168">
              <w:rPr>
                <w:noProof/>
                <w:webHidden/>
              </w:rPr>
              <w:t>10</w:t>
            </w:r>
            <w:r w:rsidR="002E61E1">
              <w:rPr>
                <w:noProof/>
                <w:webHidden/>
              </w:rPr>
              <w:fldChar w:fldCharType="end"/>
            </w:r>
          </w:hyperlink>
        </w:p>
        <w:p w:rsidR="002E61E1" w:rsidRDefault="00B02675">
          <w:pPr>
            <w:pStyle w:val="TOC1"/>
            <w:tabs>
              <w:tab w:val="right" w:leader="dot" w:pos="8846"/>
            </w:tabs>
            <w:rPr>
              <w:rFonts w:asciiTheme="minorHAnsi" w:eastAsiaTheme="minorEastAsia" w:hAnsiTheme="minorHAnsi" w:cstheme="minorBidi"/>
              <w:bCs w:val="0"/>
              <w:caps w:val="0"/>
              <w:noProof/>
              <w:sz w:val="22"/>
              <w:szCs w:val="22"/>
            </w:rPr>
          </w:pPr>
          <w:hyperlink w:anchor="_Toc447616296" w:history="1">
            <w:r w:rsidR="002E61E1" w:rsidRPr="00AA5648">
              <w:rPr>
                <w:rStyle w:val="Hyperlink"/>
                <w:noProof/>
              </w:rPr>
              <w:t>UPDATED ROE ANALYSIS</w:t>
            </w:r>
            <w:r w:rsidR="002E61E1">
              <w:rPr>
                <w:noProof/>
                <w:webHidden/>
              </w:rPr>
              <w:tab/>
            </w:r>
            <w:r w:rsidR="002E61E1">
              <w:rPr>
                <w:noProof/>
                <w:webHidden/>
              </w:rPr>
              <w:fldChar w:fldCharType="begin"/>
            </w:r>
            <w:r w:rsidR="002E61E1">
              <w:rPr>
                <w:noProof/>
                <w:webHidden/>
              </w:rPr>
              <w:instrText xml:space="preserve"> PAGEREF _Toc447616296 \h </w:instrText>
            </w:r>
            <w:r w:rsidR="002E61E1">
              <w:rPr>
                <w:noProof/>
                <w:webHidden/>
              </w:rPr>
            </w:r>
            <w:r w:rsidR="002E61E1">
              <w:rPr>
                <w:noProof/>
                <w:webHidden/>
              </w:rPr>
              <w:fldChar w:fldCharType="separate"/>
            </w:r>
            <w:r w:rsidR="00CA3168">
              <w:rPr>
                <w:noProof/>
                <w:webHidden/>
              </w:rPr>
              <w:t>13</w:t>
            </w:r>
            <w:r w:rsidR="002E61E1">
              <w:rPr>
                <w:noProof/>
                <w:webHidden/>
              </w:rPr>
              <w:fldChar w:fldCharType="end"/>
            </w:r>
          </w:hyperlink>
        </w:p>
        <w:p w:rsidR="002E61E1" w:rsidRDefault="00B02675">
          <w:pPr>
            <w:pStyle w:val="TOC1"/>
            <w:tabs>
              <w:tab w:val="right" w:leader="dot" w:pos="8846"/>
            </w:tabs>
            <w:rPr>
              <w:rFonts w:asciiTheme="minorHAnsi" w:eastAsiaTheme="minorEastAsia" w:hAnsiTheme="minorHAnsi" w:cstheme="minorBidi"/>
              <w:bCs w:val="0"/>
              <w:caps w:val="0"/>
              <w:noProof/>
              <w:sz w:val="22"/>
              <w:szCs w:val="22"/>
            </w:rPr>
          </w:pPr>
          <w:hyperlink w:anchor="_Toc447616297" w:history="1">
            <w:r w:rsidR="002E61E1" w:rsidRPr="00AA5648">
              <w:rPr>
                <w:rStyle w:val="Hyperlink"/>
                <w:noProof/>
              </w:rPr>
              <w:t>Decoupling and the Two-year Rate Plan</w:t>
            </w:r>
            <w:r w:rsidR="002E61E1">
              <w:rPr>
                <w:noProof/>
                <w:webHidden/>
              </w:rPr>
              <w:tab/>
            </w:r>
            <w:r w:rsidR="002E61E1">
              <w:rPr>
                <w:noProof/>
                <w:webHidden/>
              </w:rPr>
              <w:fldChar w:fldCharType="begin"/>
            </w:r>
            <w:r w:rsidR="002E61E1">
              <w:rPr>
                <w:noProof/>
                <w:webHidden/>
              </w:rPr>
              <w:instrText xml:space="preserve"> PAGEREF _Toc447616297 \h </w:instrText>
            </w:r>
            <w:r w:rsidR="002E61E1">
              <w:rPr>
                <w:noProof/>
                <w:webHidden/>
              </w:rPr>
            </w:r>
            <w:r w:rsidR="002E61E1">
              <w:rPr>
                <w:noProof/>
                <w:webHidden/>
              </w:rPr>
              <w:fldChar w:fldCharType="separate"/>
            </w:r>
            <w:r w:rsidR="00CA3168">
              <w:rPr>
                <w:noProof/>
                <w:webHidden/>
              </w:rPr>
              <w:t>15</w:t>
            </w:r>
            <w:r w:rsidR="002E61E1">
              <w:rPr>
                <w:noProof/>
                <w:webHidden/>
              </w:rPr>
              <w:fldChar w:fldCharType="end"/>
            </w:r>
          </w:hyperlink>
        </w:p>
        <w:p w:rsidR="002E61E1" w:rsidRDefault="00B02675">
          <w:pPr>
            <w:pStyle w:val="TOC1"/>
            <w:tabs>
              <w:tab w:val="right" w:leader="dot" w:pos="8846"/>
            </w:tabs>
            <w:rPr>
              <w:rFonts w:asciiTheme="minorHAnsi" w:eastAsiaTheme="minorEastAsia" w:hAnsiTheme="minorHAnsi" w:cstheme="minorBidi"/>
              <w:bCs w:val="0"/>
              <w:caps w:val="0"/>
              <w:noProof/>
              <w:sz w:val="22"/>
              <w:szCs w:val="22"/>
            </w:rPr>
          </w:pPr>
          <w:hyperlink w:anchor="_Toc447616298" w:history="1">
            <w:r w:rsidR="002E61E1" w:rsidRPr="00AA5648">
              <w:rPr>
                <w:rStyle w:val="Hyperlink"/>
                <w:noProof/>
              </w:rPr>
              <w:t>CONCLUSION</w:t>
            </w:r>
            <w:r w:rsidR="002E61E1">
              <w:rPr>
                <w:noProof/>
                <w:webHidden/>
              </w:rPr>
              <w:tab/>
            </w:r>
            <w:r w:rsidR="002E61E1">
              <w:rPr>
                <w:noProof/>
                <w:webHidden/>
              </w:rPr>
              <w:fldChar w:fldCharType="begin"/>
            </w:r>
            <w:r w:rsidR="002E61E1">
              <w:rPr>
                <w:noProof/>
                <w:webHidden/>
              </w:rPr>
              <w:instrText xml:space="preserve"> PAGEREF _Toc447616298 \h </w:instrText>
            </w:r>
            <w:r w:rsidR="002E61E1">
              <w:rPr>
                <w:noProof/>
                <w:webHidden/>
              </w:rPr>
            </w:r>
            <w:r w:rsidR="002E61E1">
              <w:rPr>
                <w:noProof/>
                <w:webHidden/>
              </w:rPr>
              <w:fldChar w:fldCharType="separate"/>
            </w:r>
            <w:r w:rsidR="00CA3168">
              <w:rPr>
                <w:noProof/>
                <w:webHidden/>
              </w:rPr>
              <w:t>17</w:t>
            </w:r>
            <w:r w:rsidR="002E61E1">
              <w:rPr>
                <w:noProof/>
                <w:webHidden/>
              </w:rPr>
              <w:fldChar w:fldCharType="end"/>
            </w:r>
          </w:hyperlink>
        </w:p>
        <w:p w:rsidR="00302A01" w:rsidRDefault="00302A01" w:rsidP="00C06AC8">
          <w:pPr>
            <w:spacing w:line="360" w:lineRule="auto"/>
          </w:pPr>
          <w:r>
            <w:rPr>
              <w:b/>
              <w:bCs/>
              <w:noProof/>
            </w:rPr>
            <w:fldChar w:fldCharType="end"/>
          </w:r>
        </w:p>
      </w:sdtContent>
    </w:sdt>
    <w:p w:rsidR="00302A01" w:rsidRDefault="00302A01" w:rsidP="00D16AA5">
      <w:pPr>
        <w:spacing w:line="480" w:lineRule="auto"/>
        <w:jc w:val="center"/>
        <w:rPr>
          <w:b/>
        </w:rPr>
      </w:pPr>
    </w:p>
    <w:p w:rsidR="008E22C3" w:rsidRPr="008E22C3" w:rsidRDefault="008E22C3" w:rsidP="00D16AA5">
      <w:pPr>
        <w:spacing w:line="480" w:lineRule="auto"/>
        <w:jc w:val="center"/>
        <w:rPr>
          <w:b/>
        </w:rPr>
      </w:pPr>
      <w:r w:rsidRPr="008E22C3">
        <w:rPr>
          <w:b/>
        </w:rPr>
        <w:t>ATTACHED EXHIBIT</w:t>
      </w:r>
      <w:r w:rsidR="0084336F">
        <w:rPr>
          <w:b/>
        </w:rPr>
        <w:t>S</w:t>
      </w:r>
    </w:p>
    <w:p w:rsidR="00A35841" w:rsidRPr="008E22C3" w:rsidRDefault="00A35841" w:rsidP="00A35841">
      <w:pPr>
        <w:tabs>
          <w:tab w:val="left" w:pos="2610"/>
        </w:tabs>
        <w:spacing w:line="480" w:lineRule="auto"/>
        <w:jc w:val="left"/>
        <w:rPr>
          <w:bCs/>
          <w:caps/>
          <w:szCs w:val="24"/>
        </w:rPr>
      </w:pPr>
      <w:r w:rsidRPr="00A715C9">
        <w:t>Exhibit No.</w:t>
      </w:r>
      <w:r>
        <w:t xml:space="preserve"> KGS</w:t>
      </w:r>
      <w:r w:rsidRPr="00A715C9">
        <w:t>-</w:t>
      </w:r>
      <w:r w:rsidR="00891B35">
        <w:t>20</w:t>
      </w:r>
      <w:r>
        <w:t>—</w:t>
      </w:r>
      <w:r w:rsidR="00891B35">
        <w:t>ROE Recommendation of 10.0 Percent</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t>21—Interest Rate Forecasts</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rsidR="00165D2E">
        <w:t>22—Dividend Yields—May 2014</w:t>
      </w:r>
      <w:r>
        <w:t xml:space="preserve"> - Present</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rsidR="00165D2E">
        <w:t>23—30 Year Treasury—</w:t>
      </w:r>
      <w:r>
        <w:t>Yields May 2014 - Present</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t>24—Electric Proxy Group of Twenty-Three Companies</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t>25—Sustainable Growth Inputs</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rsidR="00B87702">
        <w:t>26</w:t>
      </w:r>
      <w:r>
        <w:t>—DCF</w:t>
      </w:r>
      <w:r w:rsidR="00B87702">
        <w:t xml:space="preserve"> Analysis</w:t>
      </w:r>
    </w:p>
    <w:p w:rsidR="00891B35" w:rsidRPr="008E22C3" w:rsidRDefault="00891B35" w:rsidP="00891B35">
      <w:pPr>
        <w:tabs>
          <w:tab w:val="left" w:pos="2610"/>
        </w:tabs>
        <w:spacing w:line="480" w:lineRule="auto"/>
        <w:jc w:val="left"/>
        <w:rPr>
          <w:bCs/>
          <w:caps/>
          <w:szCs w:val="24"/>
        </w:rPr>
      </w:pPr>
      <w:r w:rsidRPr="00A715C9">
        <w:t>Exhibit No.</w:t>
      </w:r>
      <w:r>
        <w:t xml:space="preserve"> KGS</w:t>
      </w:r>
      <w:r w:rsidRPr="00A715C9">
        <w:t>-</w:t>
      </w:r>
      <w:r w:rsidR="00B87702">
        <w:t>27</w:t>
      </w:r>
      <w:r>
        <w:t>—</w:t>
      </w:r>
      <w:r w:rsidR="00B87702">
        <w:t>Yield-Plus-Growth-Model</w:t>
      </w:r>
    </w:p>
    <w:p w:rsidR="00B87702" w:rsidRPr="008E22C3" w:rsidRDefault="00B87702" w:rsidP="00B87702">
      <w:pPr>
        <w:tabs>
          <w:tab w:val="left" w:pos="2610"/>
        </w:tabs>
        <w:spacing w:line="480" w:lineRule="auto"/>
        <w:jc w:val="left"/>
        <w:rPr>
          <w:bCs/>
          <w:caps/>
          <w:szCs w:val="24"/>
        </w:rPr>
      </w:pPr>
      <w:r w:rsidRPr="00A715C9">
        <w:t>Exhibit No.</w:t>
      </w:r>
      <w:r>
        <w:t xml:space="preserve"> KGS</w:t>
      </w:r>
      <w:r w:rsidRPr="00A715C9">
        <w:t>-</w:t>
      </w:r>
      <w:r>
        <w:t>28—S&amp;P 500 Forward Looking Market Risk of Premium</w:t>
      </w:r>
    </w:p>
    <w:p w:rsidR="00B87702" w:rsidRPr="008E22C3" w:rsidRDefault="00B87702" w:rsidP="00B87702">
      <w:pPr>
        <w:tabs>
          <w:tab w:val="left" w:pos="2610"/>
        </w:tabs>
        <w:spacing w:line="480" w:lineRule="auto"/>
        <w:jc w:val="left"/>
        <w:rPr>
          <w:bCs/>
          <w:caps/>
          <w:szCs w:val="24"/>
        </w:rPr>
      </w:pPr>
      <w:r w:rsidRPr="00A715C9">
        <w:t>Exhibit No.</w:t>
      </w:r>
      <w:r>
        <w:t xml:space="preserve"> KGS</w:t>
      </w:r>
      <w:r w:rsidRPr="00A715C9">
        <w:t>-</w:t>
      </w:r>
      <w:r>
        <w:t>2</w:t>
      </w:r>
      <w:r w:rsidR="00404BD6">
        <w:t>9</w:t>
      </w:r>
      <w:r>
        <w:t>—</w:t>
      </w:r>
      <w:r w:rsidR="00404BD6">
        <w:t>CAPM Results</w:t>
      </w:r>
    </w:p>
    <w:p w:rsidR="00B87702" w:rsidRPr="008E22C3" w:rsidRDefault="00B87702" w:rsidP="00B87702">
      <w:pPr>
        <w:tabs>
          <w:tab w:val="left" w:pos="2610"/>
        </w:tabs>
        <w:spacing w:line="480" w:lineRule="auto"/>
        <w:jc w:val="left"/>
        <w:rPr>
          <w:bCs/>
          <w:caps/>
          <w:szCs w:val="24"/>
        </w:rPr>
      </w:pPr>
      <w:r w:rsidRPr="00A715C9">
        <w:t>Exhibit No.</w:t>
      </w:r>
      <w:r>
        <w:t xml:space="preserve"> KGS</w:t>
      </w:r>
      <w:r w:rsidRPr="00A715C9">
        <w:t>-</w:t>
      </w:r>
      <w:r w:rsidR="00404BD6">
        <w:t>30</w:t>
      </w:r>
      <w:r>
        <w:t>—</w:t>
      </w:r>
      <w:r w:rsidR="00404BD6">
        <w:t>Risk Premium Model</w:t>
      </w:r>
    </w:p>
    <w:p w:rsidR="00404BD6" w:rsidRPr="008E22C3" w:rsidRDefault="00404BD6" w:rsidP="00404BD6">
      <w:pPr>
        <w:tabs>
          <w:tab w:val="left" w:pos="2610"/>
        </w:tabs>
        <w:spacing w:line="480" w:lineRule="auto"/>
        <w:jc w:val="left"/>
        <w:rPr>
          <w:bCs/>
          <w:caps/>
          <w:szCs w:val="24"/>
        </w:rPr>
      </w:pPr>
      <w:r w:rsidRPr="00A715C9">
        <w:t>Exhibit No.</w:t>
      </w:r>
      <w:r>
        <w:t xml:space="preserve"> KGS</w:t>
      </w:r>
      <w:r w:rsidRPr="00A715C9">
        <w:t>-</w:t>
      </w:r>
      <w:r>
        <w:t>31—Comparable Earnings Model</w:t>
      </w:r>
    </w:p>
    <w:p w:rsidR="00404BD6" w:rsidRPr="008E22C3" w:rsidRDefault="00404BD6" w:rsidP="00404BD6">
      <w:pPr>
        <w:tabs>
          <w:tab w:val="left" w:pos="2610"/>
        </w:tabs>
        <w:spacing w:line="480" w:lineRule="auto"/>
        <w:jc w:val="left"/>
        <w:rPr>
          <w:bCs/>
          <w:caps/>
          <w:szCs w:val="24"/>
        </w:rPr>
      </w:pPr>
      <w:r w:rsidRPr="00A715C9">
        <w:t>Exhibit No.</w:t>
      </w:r>
      <w:r>
        <w:t xml:space="preserve"> KGS</w:t>
      </w:r>
      <w:r w:rsidRPr="00A715C9">
        <w:t>-</w:t>
      </w:r>
      <w:r>
        <w:t>32—Comparable State Regulatory Returns</w:t>
      </w:r>
    </w:p>
    <w:p w:rsidR="00404BD6" w:rsidRPr="008E22C3" w:rsidRDefault="00404BD6" w:rsidP="00404BD6">
      <w:pPr>
        <w:tabs>
          <w:tab w:val="left" w:pos="2610"/>
        </w:tabs>
        <w:spacing w:line="480" w:lineRule="auto"/>
        <w:jc w:val="left"/>
        <w:rPr>
          <w:bCs/>
          <w:caps/>
          <w:szCs w:val="24"/>
        </w:rPr>
      </w:pPr>
      <w:r w:rsidRPr="00A715C9">
        <w:t>Exhibit No.</w:t>
      </w:r>
      <w:r>
        <w:t xml:space="preserve"> KGS</w:t>
      </w:r>
      <w:r w:rsidRPr="00A715C9">
        <w:t>-</w:t>
      </w:r>
      <w:r>
        <w:t>33—Spread of Bond Yields over 30-Year Treasury Yield</w:t>
      </w:r>
    </w:p>
    <w:p w:rsidR="00404BD6" w:rsidRPr="008E22C3" w:rsidRDefault="00404BD6" w:rsidP="00404BD6">
      <w:pPr>
        <w:tabs>
          <w:tab w:val="left" w:pos="2610"/>
        </w:tabs>
        <w:spacing w:line="480" w:lineRule="auto"/>
        <w:jc w:val="left"/>
        <w:rPr>
          <w:bCs/>
          <w:caps/>
          <w:szCs w:val="24"/>
        </w:rPr>
      </w:pPr>
      <w:r w:rsidRPr="00A715C9">
        <w:lastRenderedPageBreak/>
        <w:t>Exhibit No.</w:t>
      </w:r>
      <w:r>
        <w:t xml:space="preserve"> KGS</w:t>
      </w:r>
      <w:r w:rsidRPr="00A715C9">
        <w:t>-</w:t>
      </w:r>
      <w:r>
        <w:t xml:space="preserve">34—Summary of Mr. </w:t>
      </w:r>
      <w:proofErr w:type="spellStart"/>
      <w:r>
        <w:t>Parcell’s</w:t>
      </w:r>
      <w:proofErr w:type="spellEnd"/>
      <w:r>
        <w:t xml:space="preserve"> Testimonies and Data Ranges</w:t>
      </w:r>
    </w:p>
    <w:p w:rsidR="00404BD6" w:rsidRPr="008E22C3" w:rsidRDefault="00404BD6" w:rsidP="00404BD6">
      <w:pPr>
        <w:tabs>
          <w:tab w:val="left" w:pos="2610"/>
        </w:tabs>
        <w:spacing w:line="480" w:lineRule="auto"/>
        <w:jc w:val="left"/>
        <w:rPr>
          <w:bCs/>
          <w:caps/>
          <w:szCs w:val="24"/>
        </w:rPr>
      </w:pPr>
      <w:r w:rsidRPr="00A715C9">
        <w:t>Exhibit No.</w:t>
      </w:r>
      <w:r>
        <w:t xml:space="preserve"> KGS</w:t>
      </w:r>
      <w:r w:rsidRPr="00A715C9">
        <w:t>-</w:t>
      </w:r>
      <w:r>
        <w:t xml:space="preserve">35—Comparison of Mr. </w:t>
      </w:r>
      <w:proofErr w:type="spellStart"/>
      <w:r>
        <w:t>Parcell’s</w:t>
      </w:r>
      <w:proofErr w:type="spellEnd"/>
      <w:r>
        <w:t xml:space="preserve"> Historical Data from Direct Testimonies</w:t>
      </w:r>
    </w:p>
    <w:p w:rsidR="008E22C3" w:rsidRPr="008E22C3" w:rsidRDefault="00404BD6" w:rsidP="00083BC1">
      <w:pPr>
        <w:tabs>
          <w:tab w:val="left" w:pos="2610"/>
        </w:tabs>
        <w:spacing w:line="480" w:lineRule="auto"/>
        <w:jc w:val="left"/>
        <w:rPr>
          <w:bCs/>
          <w:caps/>
          <w:szCs w:val="24"/>
        </w:rPr>
      </w:pPr>
      <w:r w:rsidRPr="00A715C9">
        <w:t>Exhibit No.</w:t>
      </w:r>
      <w:r>
        <w:t xml:space="preserve"> KGS</w:t>
      </w:r>
      <w:r w:rsidRPr="00A715C9">
        <w:t>-</w:t>
      </w:r>
      <w:r>
        <w:t xml:space="preserve">36—Past Authorized Equity Ratios </w:t>
      </w:r>
      <w:r w:rsidR="000E6091">
        <w:t xml:space="preserve">of Mr. </w:t>
      </w:r>
      <w:proofErr w:type="spellStart"/>
      <w:r w:rsidR="000E6091">
        <w:t>Parcell’s</w:t>
      </w:r>
      <w:proofErr w:type="spellEnd"/>
      <w:r w:rsidR="000E6091">
        <w:t xml:space="preserve"> Proxy Group</w:t>
      </w:r>
    </w:p>
    <w:p w:rsidR="00EB35AC" w:rsidRDefault="00404BD6" w:rsidP="00404BD6">
      <w:pPr>
        <w:tabs>
          <w:tab w:val="left" w:pos="2610"/>
        </w:tabs>
        <w:spacing w:line="480" w:lineRule="auto"/>
        <w:jc w:val="left"/>
      </w:pPr>
      <w:r w:rsidRPr="00A715C9">
        <w:t>Exhibit No.</w:t>
      </w:r>
      <w:r>
        <w:t xml:space="preserve"> KGS</w:t>
      </w:r>
      <w:r w:rsidRPr="00A715C9">
        <w:t>-</w:t>
      </w:r>
      <w:r>
        <w:t>37—Summary of Adjustment Mechanisms for Proxy Group Utilities</w:t>
      </w:r>
    </w:p>
    <w:p w:rsidR="00545127" w:rsidRDefault="00545127" w:rsidP="00404BD6">
      <w:pPr>
        <w:tabs>
          <w:tab w:val="left" w:pos="2610"/>
        </w:tabs>
        <w:spacing w:line="480" w:lineRule="auto"/>
        <w:jc w:val="left"/>
        <w:rPr>
          <w:bCs/>
          <w:caps/>
          <w:szCs w:val="24"/>
        </w:rPr>
      </w:pPr>
      <w:r w:rsidRPr="00A715C9">
        <w:t>Exhibit No.</w:t>
      </w:r>
      <w:r>
        <w:t xml:space="preserve"> KGS</w:t>
      </w:r>
      <w:r w:rsidRPr="00A715C9">
        <w:t>-</w:t>
      </w:r>
      <w:r>
        <w:t>38—</w:t>
      </w:r>
      <w:proofErr w:type="spellStart"/>
      <w:r>
        <w:t>VIX</w:t>
      </w:r>
      <w:proofErr w:type="spellEnd"/>
      <w:r>
        <w:t xml:space="preserve"> Index</w:t>
      </w:r>
    </w:p>
    <w:p w:rsidR="00545127" w:rsidRDefault="00545127" w:rsidP="00404BD6">
      <w:pPr>
        <w:tabs>
          <w:tab w:val="left" w:pos="2610"/>
        </w:tabs>
        <w:spacing w:line="480" w:lineRule="auto"/>
        <w:jc w:val="left"/>
        <w:rPr>
          <w:bCs/>
          <w:caps/>
          <w:szCs w:val="24"/>
        </w:rPr>
      </w:pPr>
    </w:p>
    <w:p w:rsidR="00545127" w:rsidRPr="00384017" w:rsidRDefault="00545127" w:rsidP="00404BD6">
      <w:pPr>
        <w:tabs>
          <w:tab w:val="left" w:pos="2610"/>
        </w:tabs>
        <w:spacing w:line="480" w:lineRule="auto"/>
        <w:jc w:val="left"/>
        <w:rPr>
          <w:bCs/>
          <w:caps/>
          <w:szCs w:val="24"/>
        </w:rPr>
        <w:sectPr w:rsidR="00545127" w:rsidRPr="00384017" w:rsidSect="004023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144"/>
          <w:pgNumType w:fmt="lowerRoman" w:start="1"/>
          <w:cols w:space="720"/>
          <w:docGrid w:linePitch="326"/>
        </w:sectPr>
      </w:pPr>
    </w:p>
    <w:p w:rsidR="00EB35AC" w:rsidRPr="00384017" w:rsidRDefault="007F5EDF" w:rsidP="00D16AA5">
      <w:pPr>
        <w:pStyle w:val="QAQuestion"/>
        <w:tabs>
          <w:tab w:val="num" w:pos="720"/>
        </w:tabs>
        <w:spacing w:after="0" w:line="480" w:lineRule="auto"/>
        <w:ind w:left="720" w:hanging="720"/>
        <w:jc w:val="left"/>
        <w:rPr>
          <w:b/>
          <w:szCs w:val="24"/>
        </w:rPr>
      </w:pPr>
      <w:r w:rsidRPr="00482134">
        <w:rPr>
          <w:b/>
          <w:szCs w:val="24"/>
        </w:rPr>
        <w:lastRenderedPageBreak/>
        <w:t>Q.</w:t>
      </w:r>
      <w:r w:rsidRPr="00384017">
        <w:rPr>
          <w:b/>
          <w:szCs w:val="24"/>
        </w:rPr>
        <w:tab/>
        <w:t>Please state your name, business address</w:t>
      </w:r>
      <w:r w:rsidR="00384017">
        <w:rPr>
          <w:b/>
          <w:szCs w:val="24"/>
        </w:rPr>
        <w:t>,</w:t>
      </w:r>
      <w:r w:rsidRPr="00384017">
        <w:rPr>
          <w:b/>
          <w:szCs w:val="24"/>
        </w:rPr>
        <w:t xml:space="preserve"> and </w:t>
      </w:r>
      <w:r w:rsidR="009D3399">
        <w:rPr>
          <w:b/>
          <w:szCs w:val="24"/>
        </w:rPr>
        <w:t>present position.</w:t>
      </w:r>
    </w:p>
    <w:p w:rsidR="00EB35AC" w:rsidRDefault="007F5EDF" w:rsidP="00D16AA5">
      <w:pPr>
        <w:pStyle w:val="QAAnswer"/>
        <w:tabs>
          <w:tab w:val="num" w:pos="720"/>
        </w:tabs>
        <w:spacing w:after="0" w:line="480" w:lineRule="auto"/>
        <w:ind w:left="720" w:hanging="720"/>
        <w:jc w:val="left"/>
        <w:rPr>
          <w:szCs w:val="24"/>
        </w:rPr>
      </w:pPr>
      <w:r w:rsidRPr="00384017">
        <w:rPr>
          <w:szCs w:val="24"/>
        </w:rPr>
        <w:t>A.</w:t>
      </w:r>
      <w:r w:rsidRPr="00384017">
        <w:rPr>
          <w:szCs w:val="24"/>
        </w:rPr>
        <w:tab/>
        <w:t>My name is Kurt G. Strunk.  I am Vice President at National Economic Research Associates, Inc. (NERA).  NERA is a firm of consulting economists with its principal offices in a number of major U.S. and European cities.  My business address is 1166 Avenue of t</w:t>
      </w:r>
      <w:r w:rsidR="00482134">
        <w:rPr>
          <w:szCs w:val="24"/>
        </w:rPr>
        <w:t>he Americas, New York, New York</w:t>
      </w:r>
      <w:r w:rsidRPr="00384017">
        <w:rPr>
          <w:szCs w:val="24"/>
        </w:rPr>
        <w:t xml:space="preserve"> 10036.</w:t>
      </w:r>
    </w:p>
    <w:p w:rsidR="00270C5D" w:rsidRDefault="00270C5D" w:rsidP="00270C5D">
      <w:pPr>
        <w:pStyle w:val="QAQuestion"/>
        <w:tabs>
          <w:tab w:val="num" w:pos="720"/>
        </w:tabs>
        <w:spacing w:after="0" w:line="480" w:lineRule="auto"/>
        <w:ind w:left="720" w:hanging="720"/>
        <w:jc w:val="left"/>
        <w:rPr>
          <w:b/>
          <w:szCs w:val="24"/>
        </w:rPr>
      </w:pPr>
      <w:r>
        <w:rPr>
          <w:b/>
          <w:szCs w:val="24"/>
        </w:rPr>
        <w:t xml:space="preserve">Q. </w:t>
      </w:r>
      <w:r>
        <w:rPr>
          <w:b/>
          <w:szCs w:val="24"/>
        </w:rPr>
        <w:tab/>
      </w:r>
      <w:r w:rsidR="00660C2B">
        <w:rPr>
          <w:b/>
          <w:szCs w:val="24"/>
        </w:rPr>
        <w:t xml:space="preserve">Have you already filed </w:t>
      </w:r>
      <w:r w:rsidR="001C4000">
        <w:rPr>
          <w:b/>
          <w:szCs w:val="24"/>
        </w:rPr>
        <w:t>t</w:t>
      </w:r>
      <w:r w:rsidR="00660C2B">
        <w:rPr>
          <w:b/>
          <w:szCs w:val="24"/>
        </w:rPr>
        <w:t xml:space="preserve">estimony in Docket </w:t>
      </w:r>
      <w:r w:rsidRPr="00270C5D">
        <w:rPr>
          <w:b/>
          <w:szCs w:val="24"/>
        </w:rPr>
        <w:t>UE-152253</w:t>
      </w:r>
      <w:r>
        <w:rPr>
          <w:b/>
          <w:szCs w:val="24"/>
        </w:rPr>
        <w:t>?</w:t>
      </w:r>
    </w:p>
    <w:p w:rsidR="00270C5D" w:rsidRPr="00270C5D" w:rsidRDefault="00270C5D" w:rsidP="00270C5D">
      <w:pPr>
        <w:pStyle w:val="QAAnswer"/>
        <w:tabs>
          <w:tab w:val="num" w:pos="720"/>
        </w:tabs>
        <w:spacing w:after="0" w:line="480" w:lineRule="auto"/>
        <w:ind w:left="720" w:hanging="720"/>
        <w:jc w:val="left"/>
        <w:rPr>
          <w:szCs w:val="24"/>
        </w:rPr>
      </w:pPr>
      <w:r>
        <w:rPr>
          <w:szCs w:val="24"/>
        </w:rPr>
        <w:t xml:space="preserve">A. </w:t>
      </w:r>
      <w:r>
        <w:rPr>
          <w:szCs w:val="24"/>
        </w:rPr>
        <w:tab/>
        <w:t xml:space="preserve">Yes, I filed direct testimony in this case.  My background and qualifications are described in my direct testimony as well as in </w:t>
      </w:r>
      <w:r w:rsidRPr="00270C5D">
        <w:rPr>
          <w:szCs w:val="24"/>
        </w:rPr>
        <w:t>Exhibit No</w:t>
      </w:r>
      <w:r w:rsidR="00891B35">
        <w:rPr>
          <w:szCs w:val="24"/>
        </w:rPr>
        <w:t>.</w:t>
      </w:r>
      <w:r w:rsidRPr="00270C5D">
        <w:rPr>
          <w:szCs w:val="24"/>
        </w:rPr>
        <w:t xml:space="preserve"> </w:t>
      </w:r>
      <w:proofErr w:type="gramStart"/>
      <w:r w:rsidRPr="00270C5D">
        <w:rPr>
          <w:szCs w:val="24"/>
        </w:rPr>
        <w:t>KGS-2</w:t>
      </w:r>
      <w:r>
        <w:rPr>
          <w:szCs w:val="24"/>
        </w:rPr>
        <w:t xml:space="preserve"> thereto.</w:t>
      </w:r>
      <w:proofErr w:type="gramEnd"/>
    </w:p>
    <w:p w:rsidR="00EB35AC" w:rsidRPr="00572688" w:rsidRDefault="007F5EDF" w:rsidP="00A223CB">
      <w:pPr>
        <w:pStyle w:val="Heading1"/>
      </w:pPr>
      <w:bookmarkStart w:id="1" w:name="_Toc354997998"/>
      <w:bookmarkStart w:id="2" w:name="_Toc355788472"/>
      <w:bookmarkStart w:id="3" w:name="_Toc384626544"/>
      <w:bookmarkStart w:id="4" w:name="_Toc384626564"/>
      <w:bookmarkStart w:id="5" w:name="_Toc384626606"/>
      <w:bookmarkStart w:id="6" w:name="_Toc386637263"/>
      <w:bookmarkStart w:id="7" w:name="_Toc436143594"/>
      <w:bookmarkStart w:id="8" w:name="_Toc436145828"/>
      <w:bookmarkStart w:id="9" w:name="_Toc447616292"/>
      <w:r w:rsidRPr="00572688">
        <w:t xml:space="preserve">Purpose </w:t>
      </w:r>
      <w:r w:rsidR="008E1962" w:rsidRPr="00572688">
        <w:t xml:space="preserve">and Summary </w:t>
      </w:r>
      <w:r w:rsidRPr="00572688">
        <w:t>of Testimony</w:t>
      </w:r>
      <w:bookmarkEnd w:id="1"/>
      <w:bookmarkEnd w:id="2"/>
      <w:bookmarkEnd w:id="3"/>
      <w:bookmarkEnd w:id="4"/>
      <w:bookmarkEnd w:id="5"/>
      <w:bookmarkEnd w:id="6"/>
      <w:bookmarkEnd w:id="7"/>
      <w:bookmarkEnd w:id="8"/>
      <w:bookmarkEnd w:id="9"/>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explain the purpose of your testimony. </w:t>
      </w:r>
    </w:p>
    <w:p w:rsidR="002541BA" w:rsidRDefault="007F5EDF" w:rsidP="00C06AC8">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270C5D">
        <w:rPr>
          <w:szCs w:val="24"/>
        </w:rPr>
        <w:t>Its</w:t>
      </w:r>
      <w:r w:rsidR="00274985">
        <w:rPr>
          <w:szCs w:val="24"/>
        </w:rPr>
        <w:t xml:space="preserve"> purpose </w:t>
      </w:r>
      <w:r w:rsidR="00270C5D">
        <w:rPr>
          <w:szCs w:val="24"/>
        </w:rPr>
        <w:t xml:space="preserve">is to respond to </w:t>
      </w:r>
      <w:r w:rsidR="00270C5D" w:rsidRPr="00270C5D">
        <w:rPr>
          <w:szCs w:val="24"/>
        </w:rPr>
        <w:t>the testimon</w:t>
      </w:r>
      <w:r w:rsidR="00270C5D">
        <w:rPr>
          <w:szCs w:val="24"/>
        </w:rPr>
        <w:t xml:space="preserve">y of </w:t>
      </w:r>
      <w:r w:rsidR="00270C5D" w:rsidRPr="00270C5D">
        <w:rPr>
          <w:szCs w:val="24"/>
        </w:rPr>
        <w:t>M</w:t>
      </w:r>
      <w:r w:rsidR="00270C5D">
        <w:rPr>
          <w:szCs w:val="24"/>
        </w:rPr>
        <w:t xml:space="preserve">r. </w:t>
      </w:r>
      <w:r w:rsidR="00C8421D">
        <w:rPr>
          <w:szCs w:val="24"/>
        </w:rPr>
        <w:t xml:space="preserve">David C. </w:t>
      </w:r>
      <w:proofErr w:type="spellStart"/>
      <w:r w:rsidR="00270C5D" w:rsidRPr="00270C5D">
        <w:rPr>
          <w:szCs w:val="24"/>
        </w:rPr>
        <w:t>Parcell</w:t>
      </w:r>
      <w:proofErr w:type="spellEnd"/>
      <w:r w:rsidR="00270C5D" w:rsidRPr="00270C5D">
        <w:rPr>
          <w:szCs w:val="24"/>
        </w:rPr>
        <w:t>, who offer</w:t>
      </w:r>
      <w:r w:rsidR="00270C5D">
        <w:rPr>
          <w:szCs w:val="24"/>
        </w:rPr>
        <w:t>s</w:t>
      </w:r>
      <w:r w:rsidR="00270C5D" w:rsidRPr="00270C5D">
        <w:rPr>
          <w:szCs w:val="24"/>
        </w:rPr>
        <w:t xml:space="preserve"> </w:t>
      </w:r>
      <w:r w:rsidR="00270C5D">
        <w:rPr>
          <w:szCs w:val="24"/>
        </w:rPr>
        <w:t xml:space="preserve">his </w:t>
      </w:r>
      <w:r w:rsidR="00270C5D" w:rsidRPr="00270C5D">
        <w:rPr>
          <w:szCs w:val="24"/>
        </w:rPr>
        <w:t xml:space="preserve">opinions on </w:t>
      </w:r>
      <w:r w:rsidR="002541BA">
        <w:rPr>
          <w:szCs w:val="24"/>
        </w:rPr>
        <w:t>Pacific</w:t>
      </w:r>
      <w:r w:rsidR="00270C5D" w:rsidRPr="00270C5D">
        <w:rPr>
          <w:szCs w:val="24"/>
        </w:rPr>
        <w:t xml:space="preserve"> Power’s cost of capital on behalf of the Staff of the </w:t>
      </w:r>
      <w:r w:rsidR="00CE23DD">
        <w:rPr>
          <w:szCs w:val="24"/>
        </w:rPr>
        <w:t>Washington Utilities and Transportation Commission</w:t>
      </w:r>
      <w:r w:rsidR="00897F8B">
        <w:rPr>
          <w:szCs w:val="24"/>
        </w:rPr>
        <w:t xml:space="preserve"> (Commission)</w:t>
      </w:r>
      <w:r w:rsidR="00274985">
        <w:rPr>
          <w:szCs w:val="24"/>
        </w:rPr>
        <w:t>.</w:t>
      </w:r>
      <w:r w:rsidR="002541BA">
        <w:rPr>
          <w:szCs w:val="24"/>
        </w:rPr>
        <w:t xml:space="preserve">  </w:t>
      </w:r>
      <w:r w:rsidR="008E1962">
        <w:rPr>
          <w:szCs w:val="24"/>
        </w:rPr>
        <w:t xml:space="preserve">My testimony rebuts </w:t>
      </w:r>
      <w:r w:rsidR="002541BA">
        <w:rPr>
          <w:szCs w:val="24"/>
        </w:rPr>
        <w:t xml:space="preserve">Mr. </w:t>
      </w:r>
      <w:proofErr w:type="spellStart"/>
      <w:r w:rsidR="002541BA">
        <w:rPr>
          <w:szCs w:val="24"/>
        </w:rPr>
        <w:t>Parcel</w:t>
      </w:r>
      <w:r w:rsidR="008E1962">
        <w:rPr>
          <w:szCs w:val="24"/>
        </w:rPr>
        <w:t>l’s</w:t>
      </w:r>
      <w:proofErr w:type="spellEnd"/>
      <w:r w:rsidR="008E1962">
        <w:rPr>
          <w:szCs w:val="24"/>
        </w:rPr>
        <w:t xml:space="preserve"> claims that</w:t>
      </w:r>
      <w:r w:rsidR="00C8421D">
        <w:rPr>
          <w:szCs w:val="24"/>
        </w:rPr>
        <w:t xml:space="preserve"> </w:t>
      </w:r>
      <w:r w:rsidR="00572688">
        <w:rPr>
          <w:szCs w:val="24"/>
        </w:rPr>
        <w:t>a fair return on equity (ROE) for the Company is 9.25 percent</w:t>
      </w:r>
      <w:r w:rsidR="00C8421D">
        <w:rPr>
          <w:szCs w:val="24"/>
        </w:rPr>
        <w:t>.</w:t>
      </w:r>
      <w:r w:rsidR="00C25615">
        <w:rPr>
          <w:szCs w:val="24"/>
        </w:rPr>
        <w:t xml:space="preserve">  I </w:t>
      </w:r>
      <w:r w:rsidR="00BD3A9B">
        <w:rPr>
          <w:szCs w:val="24"/>
        </w:rPr>
        <w:t>also affirm that the Company is not requesting any changes to its overall rate of return that was established in the last rate case.</w:t>
      </w:r>
    </w:p>
    <w:p w:rsidR="002541BA" w:rsidRPr="00384017" w:rsidRDefault="002541BA" w:rsidP="002541BA">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8E1962">
        <w:rPr>
          <w:b/>
          <w:szCs w:val="24"/>
        </w:rPr>
        <w:t xml:space="preserve">Considering the testimony offered by Mr. </w:t>
      </w:r>
      <w:proofErr w:type="spellStart"/>
      <w:r w:rsidR="008E1962">
        <w:rPr>
          <w:b/>
          <w:szCs w:val="24"/>
        </w:rPr>
        <w:t>Parcell</w:t>
      </w:r>
      <w:proofErr w:type="spellEnd"/>
      <w:r w:rsidR="009415CB">
        <w:rPr>
          <w:b/>
          <w:szCs w:val="24"/>
        </w:rPr>
        <w:t xml:space="preserve"> and changes in capital markets since the Company’s November filing</w:t>
      </w:r>
      <w:r w:rsidR="008E1962">
        <w:rPr>
          <w:b/>
          <w:szCs w:val="24"/>
        </w:rPr>
        <w:t xml:space="preserve">, </w:t>
      </w:r>
      <w:r w:rsidR="009415CB">
        <w:rPr>
          <w:b/>
          <w:szCs w:val="24"/>
        </w:rPr>
        <w:t>do the conclusions you draw in your direct</w:t>
      </w:r>
      <w:r w:rsidR="009415CB" w:rsidRPr="00384017">
        <w:rPr>
          <w:b/>
          <w:szCs w:val="24"/>
        </w:rPr>
        <w:t xml:space="preserve"> testimony</w:t>
      </w:r>
      <w:r w:rsidR="009415CB">
        <w:rPr>
          <w:b/>
          <w:szCs w:val="24"/>
        </w:rPr>
        <w:t xml:space="preserve"> still apply today</w:t>
      </w:r>
      <w:r w:rsidR="008E1962">
        <w:rPr>
          <w:b/>
          <w:szCs w:val="24"/>
        </w:rPr>
        <w:t>?</w:t>
      </w:r>
      <w:r w:rsidRPr="00384017">
        <w:rPr>
          <w:b/>
          <w:szCs w:val="24"/>
        </w:rPr>
        <w:t xml:space="preserve"> </w:t>
      </w:r>
    </w:p>
    <w:p w:rsidR="008E1962" w:rsidRDefault="008E1962" w:rsidP="00D16AA5">
      <w:pPr>
        <w:pStyle w:val="QAAnswer"/>
        <w:tabs>
          <w:tab w:val="num" w:pos="720"/>
        </w:tabs>
        <w:spacing w:after="0" w:line="480" w:lineRule="auto"/>
        <w:ind w:left="720" w:hanging="720"/>
        <w:jc w:val="left"/>
        <w:rPr>
          <w:rFonts w:eastAsia="SimSun"/>
        </w:rPr>
      </w:pPr>
      <w:r>
        <w:rPr>
          <w:szCs w:val="24"/>
        </w:rPr>
        <w:t>A.</w:t>
      </w:r>
      <w:r w:rsidR="00F90D1E">
        <w:rPr>
          <w:szCs w:val="24"/>
        </w:rPr>
        <w:tab/>
      </w:r>
      <w:r w:rsidR="009415CB">
        <w:rPr>
          <w:szCs w:val="24"/>
        </w:rPr>
        <w:t>Yes, t</w:t>
      </w:r>
      <w:r>
        <w:rPr>
          <w:szCs w:val="24"/>
        </w:rPr>
        <w:t xml:space="preserve">hey </w:t>
      </w:r>
      <w:r w:rsidR="009415CB">
        <w:rPr>
          <w:szCs w:val="24"/>
        </w:rPr>
        <w:t>do</w:t>
      </w:r>
      <w:r>
        <w:rPr>
          <w:szCs w:val="24"/>
        </w:rPr>
        <w:t xml:space="preserve">.  </w:t>
      </w:r>
      <w:r w:rsidR="002541BA">
        <w:rPr>
          <w:szCs w:val="24"/>
        </w:rPr>
        <w:t xml:space="preserve">The evidence contained in my </w:t>
      </w:r>
      <w:r w:rsidR="00BF7B0B">
        <w:rPr>
          <w:szCs w:val="24"/>
        </w:rPr>
        <w:t>d</w:t>
      </w:r>
      <w:r w:rsidR="002541BA">
        <w:rPr>
          <w:szCs w:val="24"/>
        </w:rPr>
        <w:t xml:space="preserve">irect </w:t>
      </w:r>
      <w:r w:rsidR="00BF7B0B">
        <w:rPr>
          <w:szCs w:val="24"/>
        </w:rPr>
        <w:t>t</w:t>
      </w:r>
      <w:r w:rsidR="002541BA">
        <w:rPr>
          <w:szCs w:val="24"/>
        </w:rPr>
        <w:t xml:space="preserve">estimony </w:t>
      </w:r>
      <w:r w:rsidR="009415CB">
        <w:rPr>
          <w:szCs w:val="24"/>
        </w:rPr>
        <w:t>demonstrates</w:t>
      </w:r>
      <w:r w:rsidR="002541BA">
        <w:rPr>
          <w:szCs w:val="24"/>
        </w:rPr>
        <w:t xml:space="preserve"> that </w:t>
      </w:r>
      <w:r w:rsidR="00A35841">
        <w:rPr>
          <w:szCs w:val="24"/>
        </w:rPr>
        <w:t xml:space="preserve">the required returns in </w:t>
      </w:r>
      <w:r w:rsidR="00511D39">
        <w:rPr>
          <w:szCs w:val="24"/>
        </w:rPr>
        <w:t xml:space="preserve">capital markets </w:t>
      </w:r>
      <w:r w:rsidR="00A35841">
        <w:rPr>
          <w:szCs w:val="24"/>
        </w:rPr>
        <w:t>today are similar, and certainly not lower, than they were when</w:t>
      </w:r>
      <w:r w:rsidR="00511D39">
        <w:rPr>
          <w:szCs w:val="24"/>
        </w:rPr>
        <w:t xml:space="preserve"> the Commission</w:t>
      </w:r>
      <w:r w:rsidR="00402B64">
        <w:rPr>
          <w:szCs w:val="24"/>
        </w:rPr>
        <w:t xml:space="preserve"> </w:t>
      </w:r>
      <w:r w:rsidR="00511D39" w:rsidRPr="00B14675">
        <w:rPr>
          <w:rFonts w:eastAsia="SimSun"/>
        </w:rPr>
        <w:t xml:space="preserve">authorized </w:t>
      </w:r>
      <w:r w:rsidR="00511D39">
        <w:rPr>
          <w:szCs w:val="24"/>
        </w:rPr>
        <w:t>a</w:t>
      </w:r>
      <w:r w:rsidR="00443CE0">
        <w:rPr>
          <w:szCs w:val="24"/>
        </w:rPr>
        <w:t>n</w:t>
      </w:r>
      <w:r w:rsidR="00511D39">
        <w:rPr>
          <w:szCs w:val="24"/>
        </w:rPr>
        <w:t xml:space="preserve"> </w:t>
      </w:r>
      <w:r w:rsidR="0070539D">
        <w:rPr>
          <w:rFonts w:eastAsia="SimSun"/>
        </w:rPr>
        <w:t xml:space="preserve">ROE of </w:t>
      </w:r>
      <w:r w:rsidR="0070539D" w:rsidRPr="00B14675">
        <w:rPr>
          <w:rFonts w:eastAsia="SimSun"/>
        </w:rPr>
        <w:t>9.</w:t>
      </w:r>
      <w:r w:rsidR="0070539D">
        <w:rPr>
          <w:rFonts w:eastAsia="SimSun"/>
        </w:rPr>
        <w:t>5</w:t>
      </w:r>
      <w:r w:rsidR="00BB2705">
        <w:rPr>
          <w:rFonts w:eastAsia="SimSun"/>
        </w:rPr>
        <w:t xml:space="preserve"> percent</w:t>
      </w:r>
      <w:r w:rsidR="0070539D" w:rsidRPr="00B14675">
        <w:rPr>
          <w:rFonts w:eastAsia="SimSun"/>
        </w:rPr>
        <w:t xml:space="preserve"> in </w:t>
      </w:r>
      <w:r w:rsidR="0070539D">
        <w:rPr>
          <w:rFonts w:eastAsia="SimSun"/>
        </w:rPr>
        <w:t>Order</w:t>
      </w:r>
      <w:r w:rsidR="00F90D1E">
        <w:rPr>
          <w:rFonts w:eastAsia="SimSun"/>
        </w:rPr>
        <w:t xml:space="preserve"> </w:t>
      </w:r>
      <w:r w:rsidR="0070539D">
        <w:rPr>
          <w:rFonts w:eastAsia="SimSun"/>
        </w:rPr>
        <w:t>08</w:t>
      </w:r>
      <w:r w:rsidR="00A35841">
        <w:rPr>
          <w:rFonts w:eastAsia="SimSun"/>
        </w:rPr>
        <w:t>.  From this, I conclude</w:t>
      </w:r>
      <w:r w:rsidR="009415CB">
        <w:rPr>
          <w:rFonts w:eastAsia="SimSun"/>
        </w:rPr>
        <w:t xml:space="preserve"> that </w:t>
      </w:r>
      <w:r w:rsidR="002541BA">
        <w:rPr>
          <w:rFonts w:eastAsia="SimSun"/>
        </w:rPr>
        <w:t xml:space="preserve">it would not be unreasonable as a matter of public policy to leave the currently authorized cost of capital in place for the duration of the Company’s proposed two-year rate plan.  </w:t>
      </w:r>
      <w:r w:rsidR="009415CB">
        <w:rPr>
          <w:rFonts w:eastAsia="SimSun"/>
        </w:rPr>
        <w:t xml:space="preserve">My review of capital market </w:t>
      </w:r>
      <w:r w:rsidR="00405D24">
        <w:rPr>
          <w:rFonts w:eastAsia="SimSun"/>
        </w:rPr>
        <w:t>indicators</w:t>
      </w:r>
      <w:r w:rsidR="009415CB">
        <w:rPr>
          <w:rFonts w:eastAsia="SimSun"/>
        </w:rPr>
        <w:t xml:space="preserve"> since the November filing </w:t>
      </w:r>
      <w:r w:rsidR="00405D24">
        <w:rPr>
          <w:rFonts w:eastAsia="SimSun"/>
        </w:rPr>
        <w:t>did</w:t>
      </w:r>
      <w:r w:rsidR="009415CB">
        <w:rPr>
          <w:rFonts w:eastAsia="SimSun"/>
        </w:rPr>
        <w:t xml:space="preserve"> not </w:t>
      </w:r>
      <w:r w:rsidR="00405D24">
        <w:rPr>
          <w:rFonts w:eastAsia="SimSun"/>
        </w:rPr>
        <w:t>identify</w:t>
      </w:r>
      <w:r w:rsidR="009415CB">
        <w:rPr>
          <w:rFonts w:eastAsia="SimSun"/>
        </w:rPr>
        <w:t xml:space="preserve"> anything that would alter my conclusion in that regard</w:t>
      </w:r>
      <w:r w:rsidR="00A35841">
        <w:rPr>
          <w:rFonts w:eastAsia="SimSun"/>
        </w:rPr>
        <w:t xml:space="preserve">, although there does appear to be a rise in </w:t>
      </w:r>
      <w:r w:rsidR="00F163BF">
        <w:rPr>
          <w:rFonts w:eastAsia="SimSun"/>
        </w:rPr>
        <w:t>certain</w:t>
      </w:r>
      <w:r w:rsidR="002954FE">
        <w:rPr>
          <w:rFonts w:eastAsia="SimSun"/>
        </w:rPr>
        <w:t xml:space="preserve"> key</w:t>
      </w:r>
      <w:r w:rsidR="00A35841">
        <w:rPr>
          <w:rFonts w:eastAsia="SimSun"/>
        </w:rPr>
        <w:t xml:space="preserve"> return</w:t>
      </w:r>
      <w:r w:rsidR="00F163BF">
        <w:rPr>
          <w:rFonts w:eastAsia="SimSun"/>
        </w:rPr>
        <w:t xml:space="preserve"> parameters</w:t>
      </w:r>
      <w:r w:rsidR="009415CB">
        <w:rPr>
          <w:rFonts w:eastAsia="SimSun"/>
        </w:rPr>
        <w:t xml:space="preserve">. </w:t>
      </w:r>
      <w:r w:rsidR="00D76329">
        <w:rPr>
          <w:rFonts w:eastAsia="SimSun"/>
        </w:rPr>
        <w:t xml:space="preserve"> </w:t>
      </w:r>
    </w:p>
    <w:p w:rsidR="00A35841" w:rsidRPr="00384017" w:rsidRDefault="00A35841" w:rsidP="00A35841">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What approach does Mr. </w:t>
      </w:r>
      <w:proofErr w:type="spellStart"/>
      <w:r>
        <w:rPr>
          <w:b/>
          <w:szCs w:val="24"/>
        </w:rPr>
        <w:t>Parcell</w:t>
      </w:r>
      <w:proofErr w:type="spellEnd"/>
      <w:r>
        <w:rPr>
          <w:b/>
          <w:szCs w:val="24"/>
        </w:rPr>
        <w:t xml:space="preserve"> choose to analyze ROE in this docket?</w:t>
      </w:r>
      <w:r w:rsidRPr="00384017">
        <w:rPr>
          <w:b/>
          <w:szCs w:val="24"/>
        </w:rPr>
        <w:t xml:space="preserve"> </w:t>
      </w:r>
    </w:p>
    <w:p w:rsidR="00443CE0" w:rsidRDefault="00A35841" w:rsidP="00A35841">
      <w:pPr>
        <w:pStyle w:val="QAAnswer"/>
        <w:tabs>
          <w:tab w:val="num" w:pos="720"/>
        </w:tabs>
        <w:spacing w:after="0" w:line="480" w:lineRule="auto"/>
        <w:ind w:left="720" w:hanging="720"/>
        <w:jc w:val="left"/>
        <w:rPr>
          <w:szCs w:val="24"/>
        </w:rPr>
      </w:pPr>
      <w:r>
        <w:rPr>
          <w:szCs w:val="24"/>
        </w:rPr>
        <w:t>A.</w:t>
      </w:r>
      <w:r>
        <w:rPr>
          <w:szCs w:val="24"/>
        </w:rPr>
        <w:tab/>
      </w:r>
      <w:r w:rsidR="00443CE0">
        <w:rPr>
          <w:szCs w:val="24"/>
        </w:rPr>
        <w:t xml:space="preserve">Mr. </w:t>
      </w:r>
      <w:proofErr w:type="spellStart"/>
      <w:r w:rsidR="00443CE0">
        <w:rPr>
          <w:szCs w:val="24"/>
        </w:rPr>
        <w:t>Parcell</w:t>
      </w:r>
      <w:proofErr w:type="spellEnd"/>
      <w:r w:rsidR="00443CE0">
        <w:rPr>
          <w:szCs w:val="24"/>
        </w:rPr>
        <w:t xml:space="preserve"> performs the standard ROE analyses that he would in a general rate case and purports to use those analyses as a basis for recommending a reduction in the authorized ROE.  He</w:t>
      </w:r>
      <w:r w:rsidR="00405D24">
        <w:rPr>
          <w:szCs w:val="24"/>
        </w:rPr>
        <w:t xml:space="preserve"> </w:t>
      </w:r>
      <w:r w:rsidR="009415CB">
        <w:rPr>
          <w:szCs w:val="24"/>
        </w:rPr>
        <w:t xml:space="preserve">ignores the Company’s request to </w:t>
      </w:r>
      <w:r w:rsidR="00405D24">
        <w:rPr>
          <w:szCs w:val="24"/>
        </w:rPr>
        <w:t>defer</w:t>
      </w:r>
      <w:r w:rsidR="009415CB">
        <w:rPr>
          <w:szCs w:val="24"/>
        </w:rPr>
        <w:t xml:space="preserve"> adjudication of the cost of capital </w:t>
      </w:r>
      <w:r w:rsidR="00405D24">
        <w:rPr>
          <w:szCs w:val="24"/>
        </w:rPr>
        <w:t xml:space="preserve">until the Company’s next rate proceeding.  </w:t>
      </w:r>
      <w:r w:rsidR="002954FE">
        <w:rPr>
          <w:szCs w:val="24"/>
        </w:rPr>
        <w:t>I</w:t>
      </w:r>
      <w:r w:rsidR="00443CE0">
        <w:rPr>
          <w:szCs w:val="24"/>
        </w:rPr>
        <w:t xml:space="preserve">nstead of assessing whether </w:t>
      </w:r>
      <w:r w:rsidR="002954FE">
        <w:rPr>
          <w:szCs w:val="24"/>
        </w:rPr>
        <w:t xml:space="preserve">capital </w:t>
      </w:r>
      <w:r w:rsidR="00443CE0">
        <w:rPr>
          <w:szCs w:val="24"/>
        </w:rPr>
        <w:t xml:space="preserve">market conditions </w:t>
      </w:r>
      <w:r w:rsidR="002954FE">
        <w:rPr>
          <w:szCs w:val="24"/>
        </w:rPr>
        <w:t>have changed since</w:t>
      </w:r>
      <w:r w:rsidR="00443CE0">
        <w:rPr>
          <w:szCs w:val="24"/>
        </w:rPr>
        <w:t xml:space="preserve"> </w:t>
      </w:r>
      <w:r w:rsidR="002954FE">
        <w:rPr>
          <w:szCs w:val="24"/>
        </w:rPr>
        <w:t xml:space="preserve">evidence was presented in </w:t>
      </w:r>
      <w:r w:rsidR="00B66C96">
        <w:rPr>
          <w:szCs w:val="24"/>
        </w:rPr>
        <w:t xml:space="preserve">the Company’s 2014 general rate case, </w:t>
      </w:r>
      <w:r w:rsidR="00443CE0">
        <w:rPr>
          <w:szCs w:val="24"/>
        </w:rPr>
        <w:t xml:space="preserve">Docket </w:t>
      </w:r>
      <w:r w:rsidR="00443CE0" w:rsidRPr="00443CE0">
        <w:rPr>
          <w:szCs w:val="24"/>
        </w:rPr>
        <w:t>UE</w:t>
      </w:r>
      <w:r w:rsidR="00383CB8">
        <w:rPr>
          <w:szCs w:val="24"/>
        </w:rPr>
        <w:t>-</w:t>
      </w:r>
      <w:r w:rsidR="00443CE0" w:rsidRPr="00443CE0">
        <w:rPr>
          <w:szCs w:val="24"/>
        </w:rPr>
        <w:t>140762</w:t>
      </w:r>
      <w:r w:rsidR="00B66C96">
        <w:rPr>
          <w:szCs w:val="24"/>
        </w:rPr>
        <w:t xml:space="preserve"> (2014 Rate Case)</w:t>
      </w:r>
      <w:r w:rsidR="00443CE0">
        <w:rPr>
          <w:szCs w:val="24"/>
        </w:rPr>
        <w:t xml:space="preserve"> –</w:t>
      </w:r>
      <w:r w:rsidR="002954FE">
        <w:rPr>
          <w:szCs w:val="24"/>
        </w:rPr>
        <w:t xml:space="preserve"> consistent with the </w:t>
      </w:r>
      <w:r w:rsidR="00443CE0">
        <w:rPr>
          <w:szCs w:val="24"/>
        </w:rPr>
        <w:t>Commission</w:t>
      </w:r>
      <w:r w:rsidR="002954FE">
        <w:rPr>
          <w:szCs w:val="24"/>
        </w:rPr>
        <w:t>’s own approach in</w:t>
      </w:r>
      <w:r w:rsidR="00443CE0">
        <w:rPr>
          <w:szCs w:val="24"/>
        </w:rPr>
        <w:t xml:space="preserve"> Order 08 relative to </w:t>
      </w:r>
      <w:r w:rsidR="002954FE">
        <w:rPr>
          <w:szCs w:val="24"/>
        </w:rPr>
        <w:t xml:space="preserve">the evidence underlying its finding in Docket </w:t>
      </w:r>
      <w:r w:rsidR="002954FE" w:rsidRPr="00443CE0">
        <w:rPr>
          <w:szCs w:val="24"/>
        </w:rPr>
        <w:t>UE-1</w:t>
      </w:r>
      <w:r w:rsidR="002954FE">
        <w:rPr>
          <w:szCs w:val="24"/>
        </w:rPr>
        <w:t>3</w:t>
      </w:r>
      <w:r w:rsidR="002954FE" w:rsidRPr="00443CE0">
        <w:rPr>
          <w:szCs w:val="24"/>
        </w:rPr>
        <w:t>0</w:t>
      </w:r>
      <w:r w:rsidR="002954FE">
        <w:rPr>
          <w:szCs w:val="24"/>
        </w:rPr>
        <w:t>043</w:t>
      </w:r>
      <w:r w:rsidR="006A24C9">
        <w:rPr>
          <w:rStyle w:val="FootnoteReference"/>
          <w:szCs w:val="24"/>
        </w:rPr>
        <w:footnoteReference w:id="2"/>
      </w:r>
      <w:r w:rsidR="002954FE">
        <w:rPr>
          <w:szCs w:val="24"/>
        </w:rPr>
        <w:t xml:space="preserve"> – Mr. </w:t>
      </w:r>
      <w:proofErr w:type="spellStart"/>
      <w:r w:rsidR="002954FE">
        <w:rPr>
          <w:szCs w:val="24"/>
        </w:rPr>
        <w:t>Parcell</w:t>
      </w:r>
      <w:proofErr w:type="spellEnd"/>
      <w:r w:rsidR="002954FE">
        <w:rPr>
          <w:szCs w:val="24"/>
        </w:rPr>
        <w:t xml:space="preserve"> makes a fresh examination of and recommendation for each component of the overall return on rate base (cost of debt, capital structure</w:t>
      </w:r>
      <w:r w:rsidR="00AF1EBF">
        <w:rPr>
          <w:szCs w:val="24"/>
        </w:rPr>
        <w:t>,</w:t>
      </w:r>
      <w:r w:rsidR="002954FE">
        <w:rPr>
          <w:szCs w:val="24"/>
        </w:rPr>
        <w:t xml:space="preserve"> and ROE).</w:t>
      </w:r>
    </w:p>
    <w:p w:rsidR="002954FE" w:rsidRDefault="006668D9" w:rsidP="006668D9">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2954FE">
        <w:rPr>
          <w:b/>
          <w:szCs w:val="24"/>
        </w:rPr>
        <w:t>Do</w:t>
      </w:r>
      <w:r w:rsidR="00405D24">
        <w:rPr>
          <w:b/>
          <w:szCs w:val="24"/>
        </w:rPr>
        <w:t xml:space="preserve"> </w:t>
      </w:r>
      <w:r w:rsidR="002954FE">
        <w:rPr>
          <w:b/>
          <w:szCs w:val="24"/>
        </w:rPr>
        <w:t xml:space="preserve">the analyses presented by </w:t>
      </w:r>
      <w:r w:rsidR="00405D24">
        <w:rPr>
          <w:b/>
          <w:szCs w:val="24"/>
        </w:rPr>
        <w:t xml:space="preserve">Mr. </w:t>
      </w:r>
      <w:proofErr w:type="spellStart"/>
      <w:r w:rsidR="00405D24">
        <w:rPr>
          <w:b/>
          <w:szCs w:val="24"/>
        </w:rPr>
        <w:t>Parcell</w:t>
      </w:r>
      <w:proofErr w:type="spellEnd"/>
      <w:r w:rsidR="002954FE">
        <w:rPr>
          <w:b/>
          <w:szCs w:val="24"/>
        </w:rPr>
        <w:t xml:space="preserve"> support a decrease in the authorized ROE of 25 basis points? </w:t>
      </w:r>
    </w:p>
    <w:p w:rsidR="001E28E8" w:rsidRPr="00F92345" w:rsidRDefault="00242542" w:rsidP="001E28E8">
      <w:pPr>
        <w:pStyle w:val="QAQuestion"/>
        <w:tabs>
          <w:tab w:val="num" w:pos="720"/>
        </w:tabs>
        <w:spacing w:after="0" w:line="480" w:lineRule="auto"/>
        <w:ind w:left="720" w:hanging="720"/>
        <w:jc w:val="left"/>
        <w:rPr>
          <w:szCs w:val="24"/>
        </w:rPr>
      </w:pPr>
      <w:r>
        <w:rPr>
          <w:rFonts w:eastAsia="SimSun"/>
        </w:rPr>
        <w:t>A.</w:t>
      </w:r>
      <w:r w:rsidR="00007884">
        <w:rPr>
          <w:rFonts w:eastAsia="SimSun"/>
        </w:rPr>
        <w:tab/>
      </w:r>
      <w:r w:rsidR="002954FE">
        <w:rPr>
          <w:rFonts w:eastAsia="SimSun"/>
        </w:rPr>
        <w:t>No</w:t>
      </w:r>
      <w:r w:rsidR="00F163BF">
        <w:rPr>
          <w:rFonts w:eastAsia="SimSun"/>
        </w:rPr>
        <w:t>, they do not</w:t>
      </w:r>
      <w:r w:rsidR="002954FE">
        <w:rPr>
          <w:rFonts w:eastAsia="SimSun"/>
        </w:rPr>
        <w:t xml:space="preserve">.  A comparison of Mr. </w:t>
      </w:r>
      <w:proofErr w:type="spellStart"/>
      <w:r w:rsidR="002954FE">
        <w:rPr>
          <w:rFonts w:eastAsia="SimSun"/>
        </w:rPr>
        <w:t>Parcell</w:t>
      </w:r>
      <w:r w:rsidR="00897F8B">
        <w:rPr>
          <w:rFonts w:eastAsia="SimSun"/>
        </w:rPr>
        <w:t>’</w:t>
      </w:r>
      <w:r w:rsidR="002954FE">
        <w:rPr>
          <w:rFonts w:eastAsia="SimSun"/>
        </w:rPr>
        <w:t>s</w:t>
      </w:r>
      <w:proofErr w:type="spellEnd"/>
      <w:r w:rsidR="002954FE">
        <w:rPr>
          <w:rFonts w:eastAsia="SimSun"/>
        </w:rPr>
        <w:t xml:space="preserve"> position in the instant docket to the one he took in </w:t>
      </w:r>
      <w:r w:rsidR="00B66C96">
        <w:rPr>
          <w:szCs w:val="24"/>
        </w:rPr>
        <w:t>the 2014 Rate Case</w:t>
      </w:r>
      <w:r w:rsidR="002954FE">
        <w:rPr>
          <w:b/>
          <w:szCs w:val="24"/>
        </w:rPr>
        <w:t xml:space="preserve"> </w:t>
      </w:r>
      <w:r w:rsidR="002954FE" w:rsidRPr="002954FE">
        <w:rPr>
          <w:szCs w:val="24"/>
        </w:rPr>
        <w:t xml:space="preserve">reveals </w:t>
      </w:r>
      <w:r w:rsidR="004F23A4">
        <w:rPr>
          <w:szCs w:val="24"/>
        </w:rPr>
        <w:t>that</w:t>
      </w:r>
      <w:r w:rsidR="002954FE" w:rsidRPr="002954FE">
        <w:rPr>
          <w:szCs w:val="24"/>
        </w:rPr>
        <w:t xml:space="preserve"> his recommendation</w:t>
      </w:r>
      <w:r w:rsidR="00BB2A29">
        <w:rPr>
          <w:szCs w:val="24"/>
        </w:rPr>
        <w:t xml:space="preserve"> to lower the authorized ROE</w:t>
      </w:r>
      <w:r w:rsidR="004F23A4">
        <w:rPr>
          <w:szCs w:val="24"/>
        </w:rPr>
        <w:t xml:space="preserve"> is without any basis in evidence</w:t>
      </w:r>
      <w:r w:rsidR="002954FE" w:rsidRPr="002954FE">
        <w:rPr>
          <w:szCs w:val="24"/>
        </w:rPr>
        <w:t>.</w:t>
      </w:r>
      <w:r w:rsidR="002954FE" w:rsidRPr="00383CB8">
        <w:rPr>
          <w:szCs w:val="24"/>
        </w:rPr>
        <w:t xml:space="preserve">  </w:t>
      </w:r>
      <w:r w:rsidR="002954FE">
        <w:rPr>
          <w:rFonts w:eastAsia="SimSun"/>
        </w:rPr>
        <w:t>In fact,</w:t>
      </w:r>
      <w:r>
        <w:rPr>
          <w:rFonts w:eastAsia="SimSun"/>
        </w:rPr>
        <w:t xml:space="preserve"> </w:t>
      </w:r>
      <w:r w:rsidR="00007884">
        <w:rPr>
          <w:rFonts w:eastAsia="SimSun"/>
        </w:rPr>
        <w:t xml:space="preserve">Mr. </w:t>
      </w:r>
      <w:proofErr w:type="spellStart"/>
      <w:r w:rsidR="00007884">
        <w:rPr>
          <w:rFonts w:eastAsia="SimSun"/>
        </w:rPr>
        <w:t>Parcell</w:t>
      </w:r>
      <w:proofErr w:type="spellEnd"/>
      <w:r>
        <w:rPr>
          <w:rFonts w:eastAsia="SimSun"/>
        </w:rPr>
        <w:t xml:space="preserve"> </w:t>
      </w:r>
      <w:r w:rsidR="004F23A4">
        <w:rPr>
          <w:rFonts w:eastAsia="SimSun"/>
        </w:rPr>
        <w:t xml:space="preserve">has </w:t>
      </w:r>
      <w:r>
        <w:rPr>
          <w:rFonts w:eastAsia="SimSun"/>
        </w:rPr>
        <w:t>increase</w:t>
      </w:r>
      <w:r w:rsidR="004F23A4">
        <w:rPr>
          <w:rFonts w:eastAsia="SimSun"/>
        </w:rPr>
        <w:t>d</w:t>
      </w:r>
      <w:r>
        <w:rPr>
          <w:rFonts w:eastAsia="SimSun"/>
        </w:rPr>
        <w:t xml:space="preserve"> his</w:t>
      </w:r>
      <w:r w:rsidR="00007884">
        <w:rPr>
          <w:rFonts w:eastAsia="SimSun"/>
        </w:rPr>
        <w:t xml:space="preserve"> </w:t>
      </w:r>
      <w:r w:rsidR="004F23A4">
        <w:rPr>
          <w:rFonts w:eastAsia="SimSun"/>
        </w:rPr>
        <w:t>assessment</w:t>
      </w:r>
      <w:r w:rsidR="00007884">
        <w:rPr>
          <w:rFonts w:eastAsia="SimSun"/>
        </w:rPr>
        <w:t xml:space="preserve"> of </w:t>
      </w:r>
      <w:r w:rsidR="002954FE">
        <w:rPr>
          <w:rFonts w:eastAsia="SimSun"/>
        </w:rPr>
        <w:t xml:space="preserve">the required </w:t>
      </w:r>
      <w:r w:rsidR="00007884">
        <w:rPr>
          <w:rFonts w:eastAsia="SimSun"/>
        </w:rPr>
        <w:t xml:space="preserve">ROE </w:t>
      </w:r>
      <w:r>
        <w:rPr>
          <w:rFonts w:eastAsia="SimSun"/>
        </w:rPr>
        <w:t xml:space="preserve">by </w:t>
      </w:r>
      <w:r w:rsidR="00007884">
        <w:rPr>
          <w:rFonts w:eastAsia="SimSun"/>
        </w:rPr>
        <w:t>25 basis</w:t>
      </w:r>
      <w:r>
        <w:rPr>
          <w:rFonts w:eastAsia="SimSun"/>
        </w:rPr>
        <w:t xml:space="preserve"> points</w:t>
      </w:r>
      <w:r w:rsidR="00C25615">
        <w:rPr>
          <w:rFonts w:eastAsia="SimSun"/>
        </w:rPr>
        <w:t>, now recommending a 9.25 </w:t>
      </w:r>
      <w:r w:rsidR="00BB2A29">
        <w:rPr>
          <w:rFonts w:eastAsia="SimSun"/>
        </w:rPr>
        <w:t xml:space="preserve">percent ROE compared to the 9.0 percent </w:t>
      </w:r>
      <w:r w:rsidR="004F23A4">
        <w:rPr>
          <w:rFonts w:eastAsia="SimSun"/>
        </w:rPr>
        <w:t xml:space="preserve">he </w:t>
      </w:r>
      <w:r>
        <w:rPr>
          <w:rFonts w:eastAsia="SimSun"/>
        </w:rPr>
        <w:t>recommend</w:t>
      </w:r>
      <w:r w:rsidR="004F23A4">
        <w:rPr>
          <w:rFonts w:eastAsia="SimSun"/>
        </w:rPr>
        <w:t>ed</w:t>
      </w:r>
      <w:r>
        <w:rPr>
          <w:rFonts w:eastAsia="SimSun"/>
        </w:rPr>
        <w:t xml:space="preserve"> </w:t>
      </w:r>
      <w:r w:rsidR="004F23A4">
        <w:rPr>
          <w:rFonts w:eastAsia="SimSun"/>
        </w:rPr>
        <w:t>in</w:t>
      </w:r>
      <w:r w:rsidR="00BB2A29">
        <w:rPr>
          <w:rFonts w:eastAsia="SimSun"/>
        </w:rPr>
        <w:t xml:space="preserve"> </w:t>
      </w:r>
      <w:r>
        <w:rPr>
          <w:rFonts w:eastAsia="SimSun"/>
        </w:rPr>
        <w:t>that docket.  Similarly,</w:t>
      </w:r>
      <w:r w:rsidR="00007884">
        <w:rPr>
          <w:rFonts w:eastAsia="SimSun"/>
        </w:rPr>
        <w:t xml:space="preserve"> his </w:t>
      </w:r>
      <w:r>
        <w:rPr>
          <w:rFonts w:eastAsia="SimSun"/>
        </w:rPr>
        <w:t xml:space="preserve">recommended short-term and long-term debt costs are </w:t>
      </w:r>
      <w:r w:rsidR="00007884">
        <w:rPr>
          <w:rFonts w:eastAsia="SimSun"/>
        </w:rPr>
        <w:t>higher than they were in</w:t>
      </w:r>
      <w:r w:rsidR="004F23A4">
        <w:rPr>
          <w:rFonts w:eastAsia="SimSun"/>
        </w:rPr>
        <w:t xml:space="preserve"> that docket.  </w:t>
      </w:r>
      <w:r>
        <w:rPr>
          <w:rFonts w:eastAsia="SimSun"/>
        </w:rPr>
        <w:t>It is ironic that he observ</w:t>
      </w:r>
      <w:r w:rsidR="00EA73AB">
        <w:rPr>
          <w:rFonts w:eastAsia="SimSun"/>
        </w:rPr>
        <w:t>es</w:t>
      </w:r>
      <w:r>
        <w:rPr>
          <w:rFonts w:eastAsia="SimSun"/>
        </w:rPr>
        <w:t xml:space="preserve"> an increase in the cost of capital and simultaneously recommend</w:t>
      </w:r>
      <w:r w:rsidR="00EA73AB">
        <w:rPr>
          <w:rFonts w:eastAsia="SimSun"/>
        </w:rPr>
        <w:t>s</w:t>
      </w:r>
      <w:r>
        <w:rPr>
          <w:rFonts w:eastAsia="SimSun"/>
        </w:rPr>
        <w:t xml:space="preserve"> that </w:t>
      </w:r>
      <w:r w:rsidR="00007884">
        <w:rPr>
          <w:rFonts w:eastAsia="SimSun"/>
        </w:rPr>
        <w:t xml:space="preserve">the Commission reduce the </w:t>
      </w:r>
      <w:r>
        <w:rPr>
          <w:rFonts w:eastAsia="SimSun"/>
        </w:rPr>
        <w:t>ROE it authorized in Order 08</w:t>
      </w:r>
      <w:r w:rsidR="00007884">
        <w:rPr>
          <w:rFonts w:eastAsia="SimSun"/>
        </w:rPr>
        <w:t>.</w:t>
      </w:r>
      <w:r>
        <w:rPr>
          <w:rStyle w:val="FootnoteReference"/>
          <w:rFonts w:eastAsia="SimSun"/>
        </w:rPr>
        <w:footnoteReference w:id="3"/>
      </w:r>
      <w:r w:rsidR="00D76329">
        <w:rPr>
          <w:rFonts w:eastAsia="SimSun"/>
        </w:rPr>
        <w:t xml:space="preserve">  While I do not believe there is a sufficient change in the capital markets to warrant re</w:t>
      </w:r>
      <w:r w:rsidR="00EA73AB">
        <w:rPr>
          <w:rFonts w:eastAsia="SimSun"/>
        </w:rPr>
        <w:t>-</w:t>
      </w:r>
      <w:r w:rsidR="00D76329">
        <w:rPr>
          <w:rFonts w:eastAsia="SimSun"/>
        </w:rPr>
        <w:t>litigating the ROE</w:t>
      </w:r>
      <w:r w:rsidR="00AF1EBF">
        <w:rPr>
          <w:rFonts w:eastAsia="SimSun"/>
        </w:rPr>
        <w:t xml:space="preserve"> in this limited-issue case</w:t>
      </w:r>
      <w:r w:rsidR="00D76329">
        <w:rPr>
          <w:rFonts w:eastAsia="SimSun"/>
        </w:rPr>
        <w:t>, the</w:t>
      </w:r>
      <w:r w:rsidR="002954FE">
        <w:rPr>
          <w:rFonts w:eastAsia="SimSun"/>
        </w:rPr>
        <w:t xml:space="preserve"> data </w:t>
      </w:r>
      <w:r w:rsidR="0025617B">
        <w:rPr>
          <w:rFonts w:eastAsia="SimSun"/>
        </w:rPr>
        <w:t xml:space="preserve">and analyses he performs support </w:t>
      </w:r>
      <w:r w:rsidR="00D76329">
        <w:rPr>
          <w:rFonts w:eastAsia="SimSun"/>
        </w:rPr>
        <w:t>a movement upwards in the cost of capital, not downwards.</w:t>
      </w:r>
      <w:r w:rsidR="001E28E8">
        <w:rPr>
          <w:rFonts w:eastAsia="SimSun"/>
        </w:rPr>
        <w:t xml:space="preserve">  </w:t>
      </w:r>
    </w:p>
    <w:p w:rsidR="005848E3" w:rsidRDefault="005848E3" w:rsidP="005848E3">
      <w:pPr>
        <w:pStyle w:val="QAQuestion"/>
        <w:tabs>
          <w:tab w:val="num" w:pos="720"/>
        </w:tabs>
        <w:spacing w:after="0" w:line="480" w:lineRule="auto"/>
        <w:ind w:left="720" w:hanging="720"/>
        <w:jc w:val="left"/>
        <w:rPr>
          <w:b/>
          <w:szCs w:val="24"/>
        </w:rPr>
      </w:pPr>
      <w:bookmarkStart w:id="10" w:name="_Toc436143599"/>
      <w:bookmarkStart w:id="11" w:name="_Toc436145833"/>
      <w:r w:rsidRPr="00384017">
        <w:rPr>
          <w:b/>
          <w:szCs w:val="24"/>
        </w:rPr>
        <w:t>Q.</w:t>
      </w:r>
      <w:r w:rsidRPr="00384017">
        <w:rPr>
          <w:b/>
          <w:szCs w:val="24"/>
        </w:rPr>
        <w:tab/>
      </w:r>
      <w:r w:rsidR="00663B8A">
        <w:rPr>
          <w:b/>
          <w:szCs w:val="24"/>
        </w:rPr>
        <w:t xml:space="preserve">Is </w:t>
      </w:r>
      <w:r>
        <w:rPr>
          <w:b/>
          <w:szCs w:val="24"/>
        </w:rPr>
        <w:t xml:space="preserve">Mr. </w:t>
      </w:r>
      <w:proofErr w:type="spellStart"/>
      <w:r>
        <w:rPr>
          <w:b/>
          <w:szCs w:val="24"/>
        </w:rPr>
        <w:t>Parcell</w:t>
      </w:r>
      <w:r w:rsidR="00663B8A">
        <w:rPr>
          <w:b/>
          <w:szCs w:val="24"/>
        </w:rPr>
        <w:t>’s</w:t>
      </w:r>
      <w:proofErr w:type="spellEnd"/>
      <w:r>
        <w:rPr>
          <w:b/>
          <w:szCs w:val="24"/>
        </w:rPr>
        <w:t xml:space="preserve"> recommended equity ratio of 49.1 percent</w:t>
      </w:r>
      <w:r w:rsidR="00663B8A">
        <w:rPr>
          <w:b/>
          <w:szCs w:val="24"/>
        </w:rPr>
        <w:t xml:space="preserve"> consistent with his proposed ROE of 9.25 percent</w:t>
      </w:r>
      <w:r>
        <w:rPr>
          <w:b/>
          <w:szCs w:val="24"/>
        </w:rPr>
        <w:t xml:space="preserve">? </w:t>
      </w:r>
    </w:p>
    <w:p w:rsidR="005848E3" w:rsidRDefault="005848E3" w:rsidP="005848E3">
      <w:pPr>
        <w:pStyle w:val="QAQuestion"/>
        <w:tabs>
          <w:tab w:val="num" w:pos="720"/>
        </w:tabs>
        <w:spacing w:after="0" w:line="480" w:lineRule="auto"/>
        <w:ind w:left="720" w:hanging="720"/>
        <w:jc w:val="left"/>
        <w:rPr>
          <w:rFonts w:eastAsia="SimSun"/>
        </w:rPr>
      </w:pPr>
      <w:r>
        <w:rPr>
          <w:rFonts w:eastAsia="SimSun"/>
        </w:rPr>
        <w:t>A.</w:t>
      </w:r>
      <w:r>
        <w:rPr>
          <w:rFonts w:eastAsia="SimSun"/>
        </w:rPr>
        <w:tab/>
        <w:t xml:space="preserve">No.  Mr. </w:t>
      </w:r>
      <w:proofErr w:type="spellStart"/>
      <w:r>
        <w:rPr>
          <w:rFonts w:eastAsia="SimSun"/>
        </w:rPr>
        <w:t>Parcell</w:t>
      </w:r>
      <w:r w:rsidR="00663B8A">
        <w:rPr>
          <w:rFonts w:eastAsia="SimSun"/>
        </w:rPr>
        <w:t>’s</w:t>
      </w:r>
      <w:proofErr w:type="spellEnd"/>
      <w:r w:rsidR="00663B8A">
        <w:rPr>
          <w:rFonts w:eastAsia="SimSun"/>
        </w:rPr>
        <w:t xml:space="preserve"> overall recommendation is a mix of apples and oranges.  His ROE estimate relies upon a proxy group with an average equity ratio of 52 percent (See </w:t>
      </w:r>
      <w:r w:rsidR="00663B8A" w:rsidRPr="00663B8A">
        <w:rPr>
          <w:rFonts w:eastAsia="SimSun"/>
        </w:rPr>
        <w:t xml:space="preserve">Exhibit No. </w:t>
      </w:r>
      <w:proofErr w:type="gramStart"/>
      <w:r w:rsidR="00663B8A" w:rsidRPr="00663B8A">
        <w:rPr>
          <w:rFonts w:eastAsia="SimSun"/>
        </w:rPr>
        <w:t>DCP-8</w:t>
      </w:r>
      <w:r w:rsidR="00663B8A">
        <w:rPr>
          <w:rFonts w:eastAsia="SimSun"/>
        </w:rPr>
        <w:t>).</w:t>
      </w:r>
      <w:proofErr w:type="gramEnd"/>
      <w:r w:rsidR="00663B8A">
        <w:rPr>
          <w:rFonts w:eastAsia="SimSun"/>
        </w:rPr>
        <w:t xml:space="preserve">  It is invalid to apply that ROE to Pacific Power, assuming the Commission continues to impute a 49.1 percent equity ratio for ratemaking purposes.  An adjustment must be made to match the </w:t>
      </w:r>
      <w:r w:rsidR="001E7BDE">
        <w:rPr>
          <w:rFonts w:eastAsia="SimSun"/>
        </w:rPr>
        <w:t xml:space="preserve">ROE to the </w:t>
      </w:r>
      <w:r w:rsidR="00663B8A">
        <w:rPr>
          <w:rFonts w:eastAsia="SimSun"/>
        </w:rPr>
        <w:t xml:space="preserve">leverage assumption that underlies </w:t>
      </w:r>
      <w:r w:rsidR="001E7BDE">
        <w:rPr>
          <w:rFonts w:eastAsia="SimSun"/>
        </w:rPr>
        <w:t>it</w:t>
      </w:r>
      <w:r w:rsidR="00663B8A">
        <w:rPr>
          <w:rFonts w:eastAsia="SimSun"/>
        </w:rPr>
        <w:t xml:space="preserve">.  Putting Mr. </w:t>
      </w:r>
      <w:proofErr w:type="spellStart"/>
      <w:r w:rsidR="00663B8A">
        <w:rPr>
          <w:rFonts w:eastAsia="SimSun"/>
        </w:rPr>
        <w:t>Parcell’s</w:t>
      </w:r>
      <w:proofErr w:type="spellEnd"/>
      <w:r w:rsidR="00663B8A">
        <w:rPr>
          <w:rFonts w:eastAsia="SimSun"/>
        </w:rPr>
        <w:t xml:space="preserve"> 9.25 percent ROE on a comparable basis with the Company’s 49.1 percent equity ratio yields an ROE of</w:t>
      </w:r>
      <w:r w:rsidR="001E7BDE">
        <w:rPr>
          <w:rFonts w:eastAsia="SimSun"/>
        </w:rPr>
        <w:t xml:space="preserve"> at least</w:t>
      </w:r>
      <w:r w:rsidR="00663B8A">
        <w:rPr>
          <w:rFonts w:eastAsia="SimSun"/>
        </w:rPr>
        <w:t xml:space="preserve"> 9.</w:t>
      </w:r>
      <w:r w:rsidR="001E7BDE">
        <w:rPr>
          <w:rFonts w:eastAsia="SimSun"/>
        </w:rPr>
        <w:t>5 percent</w:t>
      </w:r>
      <w:r w:rsidR="00663B8A">
        <w:rPr>
          <w:rFonts w:eastAsia="SimSun"/>
        </w:rPr>
        <w:t>.</w:t>
      </w:r>
    </w:p>
    <w:p w:rsidR="00F13393" w:rsidRDefault="00F13393" w:rsidP="00C06AC8">
      <w:pPr>
        <w:pStyle w:val="QAQCont"/>
        <w:ind w:left="720" w:hanging="720"/>
        <w:jc w:val="left"/>
      </w:pPr>
      <w:r>
        <w:rPr>
          <w:b/>
        </w:rPr>
        <w:t>Q.</w:t>
      </w:r>
      <w:r>
        <w:rPr>
          <w:b/>
        </w:rPr>
        <w:tab/>
        <w:t>Is the Company requesting a change in its capital structure in its rebuttal testimony?</w:t>
      </w:r>
    </w:p>
    <w:p w:rsidR="00AF1EBF" w:rsidRDefault="00F13393" w:rsidP="006C14B7">
      <w:pPr>
        <w:pStyle w:val="QAQuestion"/>
        <w:tabs>
          <w:tab w:val="num" w:pos="720"/>
        </w:tabs>
        <w:spacing w:after="0" w:line="480" w:lineRule="auto"/>
        <w:ind w:left="720" w:hanging="720"/>
        <w:jc w:val="left"/>
      </w:pPr>
      <w:r>
        <w:t>A.</w:t>
      </w:r>
      <w:r>
        <w:tab/>
        <w:t xml:space="preserve">No.  My discussion of the hypothetical capital structure, and rebuttal of Mr. </w:t>
      </w:r>
      <w:proofErr w:type="spellStart"/>
      <w:r>
        <w:t>Parcell’s</w:t>
      </w:r>
      <w:proofErr w:type="spellEnd"/>
      <w:r>
        <w:t xml:space="preserve"> testimony</w:t>
      </w:r>
      <w:r w:rsidR="008041E9">
        <w:t xml:space="preserve"> on this point</w:t>
      </w:r>
      <w:r>
        <w:t xml:space="preserve">, is intended only to demonstrate that the hypothetical capital structure does not support Mr. </w:t>
      </w:r>
      <w:proofErr w:type="spellStart"/>
      <w:r>
        <w:t>Parcell’s</w:t>
      </w:r>
      <w:proofErr w:type="spellEnd"/>
      <w:r>
        <w:t xml:space="preserve"> recommended ROE.</w:t>
      </w:r>
      <w:r w:rsidR="00AF1EBF">
        <w:br w:type="page"/>
      </w:r>
    </w:p>
    <w:p w:rsidR="00C11CF8" w:rsidRDefault="00C11CF8" w:rsidP="006C14B7">
      <w:pPr>
        <w:pStyle w:val="QAQCont"/>
        <w:spacing w:after="0" w:line="480" w:lineRule="auto"/>
        <w:ind w:left="720" w:hanging="720"/>
        <w:jc w:val="left"/>
      </w:pPr>
      <w:r>
        <w:rPr>
          <w:b/>
        </w:rPr>
        <w:t>Q.</w:t>
      </w:r>
      <w:r>
        <w:rPr>
          <w:b/>
        </w:rPr>
        <w:tab/>
        <w:t xml:space="preserve">Mr. </w:t>
      </w:r>
      <w:proofErr w:type="spellStart"/>
      <w:r>
        <w:rPr>
          <w:b/>
        </w:rPr>
        <w:t>Parcell</w:t>
      </w:r>
      <w:proofErr w:type="spellEnd"/>
      <w:r>
        <w:rPr>
          <w:b/>
        </w:rPr>
        <w:t xml:space="preserve"> also recommends an increase of t</w:t>
      </w:r>
      <w:r w:rsidR="00656E69">
        <w:rPr>
          <w:b/>
        </w:rPr>
        <w:t>wo</w:t>
      </w:r>
      <w:r>
        <w:rPr>
          <w:b/>
        </w:rPr>
        <w:t xml:space="preserve"> basis points in the Company’s cost of long-term debt.</w:t>
      </w:r>
      <w:r w:rsidR="00A60B33">
        <w:rPr>
          <w:rStyle w:val="FootnoteReference"/>
          <w:b/>
        </w:rPr>
        <w:footnoteReference w:id="4"/>
      </w:r>
      <w:r>
        <w:rPr>
          <w:b/>
        </w:rPr>
        <w:t xml:space="preserve">  Does the Company agree with this adjustment?</w:t>
      </w:r>
    </w:p>
    <w:p w:rsidR="00C11CF8" w:rsidRPr="00C06AC8" w:rsidRDefault="00C11CF8" w:rsidP="001C01A8">
      <w:pPr>
        <w:pStyle w:val="QAQuestion"/>
        <w:tabs>
          <w:tab w:val="num" w:pos="720"/>
        </w:tabs>
        <w:spacing w:after="0" w:line="480" w:lineRule="auto"/>
        <w:ind w:left="720" w:hanging="720"/>
        <w:jc w:val="left"/>
      </w:pPr>
      <w:r>
        <w:t>A.</w:t>
      </w:r>
      <w:r>
        <w:tab/>
        <w:t>No.  As part of its original filing, the Company proposed leaving each component of its capital cost unchanged.  In rebuttal, the Company has not changed i</w:t>
      </w:r>
      <w:r w:rsidR="00D66CCE">
        <w:t>t</w:t>
      </w:r>
      <w:r>
        <w:t>s position and continues to request that the Commission maintain its currently authorized rate o</w:t>
      </w:r>
      <w:r w:rsidR="001D4BD7">
        <w:t>f</w:t>
      </w:r>
      <w:r>
        <w:t xml:space="preserve"> return by affirming each of the components included in the cost of capital calculation.</w:t>
      </w:r>
    </w:p>
    <w:p w:rsidR="00047094" w:rsidRDefault="00DF0D50" w:rsidP="00047094">
      <w:pPr>
        <w:pStyle w:val="QAQuestion"/>
        <w:tabs>
          <w:tab w:val="num" w:pos="720"/>
        </w:tabs>
        <w:spacing w:after="0" w:line="480" w:lineRule="auto"/>
        <w:ind w:left="720" w:hanging="720"/>
        <w:jc w:val="left"/>
        <w:rPr>
          <w:b/>
          <w:szCs w:val="24"/>
        </w:rPr>
      </w:pPr>
      <w:r>
        <w:rPr>
          <w:b/>
          <w:szCs w:val="24"/>
        </w:rPr>
        <w:t xml:space="preserve">Q. </w:t>
      </w:r>
      <w:r>
        <w:rPr>
          <w:b/>
          <w:szCs w:val="24"/>
        </w:rPr>
        <w:tab/>
        <w:t xml:space="preserve">How is the rest of your rebuttal testimony organized? </w:t>
      </w:r>
    </w:p>
    <w:p w:rsidR="00EB332E" w:rsidRDefault="00801E62" w:rsidP="00047094">
      <w:pPr>
        <w:pStyle w:val="QAQuestion"/>
        <w:tabs>
          <w:tab w:val="num" w:pos="720"/>
        </w:tabs>
        <w:spacing w:after="0" w:line="480" w:lineRule="auto"/>
        <w:ind w:left="720" w:hanging="720"/>
        <w:jc w:val="left"/>
        <w:rPr>
          <w:szCs w:val="24"/>
        </w:rPr>
      </w:pPr>
      <w:r w:rsidRPr="00C06AC8">
        <w:rPr>
          <w:caps/>
          <w:szCs w:val="24"/>
        </w:rPr>
        <w:t>A.</w:t>
      </w:r>
      <w:r w:rsidRPr="00C06AC8">
        <w:rPr>
          <w:caps/>
          <w:szCs w:val="24"/>
        </w:rPr>
        <w:tab/>
      </w:r>
      <w:r w:rsidR="00EB332E">
        <w:rPr>
          <w:szCs w:val="24"/>
        </w:rPr>
        <w:t xml:space="preserve">I have structured the remainder of the testimony as follows: </w:t>
      </w:r>
    </w:p>
    <w:p w:rsidR="00EA73AB" w:rsidRPr="00EA73AB" w:rsidRDefault="00EA73AB" w:rsidP="00210CB5">
      <w:pPr>
        <w:pStyle w:val="ListBullet"/>
        <w:tabs>
          <w:tab w:val="clear" w:pos="720"/>
          <w:tab w:val="num" w:pos="1080"/>
        </w:tabs>
        <w:ind w:left="1080"/>
        <w:jc w:val="left"/>
        <w:rPr>
          <w:b/>
          <w:caps/>
        </w:rPr>
      </w:pPr>
      <w:r>
        <w:t xml:space="preserve">First, I describe salient </w:t>
      </w:r>
      <w:r w:rsidR="00F163BF">
        <w:t>trends</w:t>
      </w:r>
      <w:r>
        <w:t xml:space="preserve"> </w:t>
      </w:r>
      <w:r w:rsidR="00EB332E" w:rsidRPr="00572688">
        <w:t xml:space="preserve">in the capital markets since my direct testimony was prepared in November 2015.  </w:t>
      </w:r>
    </w:p>
    <w:p w:rsidR="00EA73AB" w:rsidRPr="00EA73AB" w:rsidRDefault="00EA73AB" w:rsidP="00210CB5">
      <w:pPr>
        <w:pStyle w:val="ListBullet"/>
        <w:tabs>
          <w:tab w:val="clear" w:pos="720"/>
          <w:tab w:val="num" w:pos="1080"/>
        </w:tabs>
        <w:ind w:left="1080"/>
        <w:jc w:val="left"/>
        <w:rPr>
          <w:b/>
          <w:caps/>
        </w:rPr>
      </w:pPr>
      <w:r>
        <w:t xml:space="preserve">Second, </w:t>
      </w:r>
      <w:r w:rsidRPr="00572688">
        <w:t xml:space="preserve">I identify </w:t>
      </w:r>
      <w:r>
        <w:t xml:space="preserve">and explain </w:t>
      </w:r>
      <w:r w:rsidRPr="00572688">
        <w:t xml:space="preserve">the key flaws in the ROE analysis performed by Mr. </w:t>
      </w:r>
      <w:proofErr w:type="spellStart"/>
      <w:r w:rsidRPr="00572688">
        <w:t>Parcell</w:t>
      </w:r>
      <w:proofErr w:type="spellEnd"/>
      <w:r w:rsidRPr="00572688">
        <w:t xml:space="preserve">.  </w:t>
      </w:r>
    </w:p>
    <w:p w:rsidR="00EA73AB" w:rsidRPr="00EA73AB" w:rsidRDefault="00EA73AB" w:rsidP="00210CB5">
      <w:pPr>
        <w:pStyle w:val="ListBullet"/>
        <w:tabs>
          <w:tab w:val="clear" w:pos="720"/>
          <w:tab w:val="num" w:pos="1080"/>
        </w:tabs>
        <w:ind w:left="1080"/>
        <w:jc w:val="left"/>
        <w:rPr>
          <w:b/>
          <w:caps/>
        </w:rPr>
      </w:pPr>
      <w:r w:rsidRPr="00572688">
        <w:t xml:space="preserve">Third, I demonstrate that his recommendation of a hypothetical 49.1 percent equity ratio is below the equity ratios of his proxy group companies and </w:t>
      </w:r>
      <w:r w:rsidR="00F13393">
        <w:t>therefore does not support his recommended ROE</w:t>
      </w:r>
      <w:r w:rsidRPr="00572688">
        <w:t xml:space="preserve">.  </w:t>
      </w:r>
    </w:p>
    <w:p w:rsidR="00EA73AB" w:rsidRPr="00EA73AB" w:rsidRDefault="00EB332E" w:rsidP="00210CB5">
      <w:pPr>
        <w:pStyle w:val="ListBullet"/>
        <w:tabs>
          <w:tab w:val="clear" w:pos="720"/>
          <w:tab w:val="num" w:pos="1080"/>
        </w:tabs>
        <w:ind w:left="1080"/>
        <w:jc w:val="left"/>
        <w:rPr>
          <w:b/>
          <w:caps/>
        </w:rPr>
      </w:pPr>
      <w:r w:rsidRPr="00572688">
        <w:t xml:space="preserve">Fourth, I present an update of my </w:t>
      </w:r>
      <w:r w:rsidR="00F51B4D" w:rsidRPr="00572688">
        <w:t>ROE analysis</w:t>
      </w:r>
      <w:r w:rsidRPr="00572688">
        <w:t xml:space="preserve">, which continues to show a </w:t>
      </w:r>
      <w:r w:rsidR="00EA73AB">
        <w:t>required return on equity of approximately 10 percent</w:t>
      </w:r>
      <w:r w:rsidR="00F51B4D" w:rsidRPr="00572688">
        <w:t xml:space="preserve">. </w:t>
      </w:r>
    </w:p>
    <w:p w:rsidR="00DF0D50" w:rsidRPr="00572688" w:rsidRDefault="00EA73AB" w:rsidP="00210CB5">
      <w:pPr>
        <w:pStyle w:val="ListBullet"/>
        <w:tabs>
          <w:tab w:val="clear" w:pos="720"/>
          <w:tab w:val="num" w:pos="1080"/>
        </w:tabs>
        <w:ind w:left="1080"/>
        <w:jc w:val="left"/>
        <w:rPr>
          <w:b/>
          <w:caps/>
        </w:rPr>
      </w:pPr>
      <w:r>
        <w:t>Fifth and finally</w:t>
      </w:r>
      <w:r w:rsidR="00F51B4D" w:rsidRPr="00572688">
        <w:t xml:space="preserve">, I </w:t>
      </w:r>
      <w:r>
        <w:t xml:space="preserve">respond to </w:t>
      </w:r>
      <w:r w:rsidR="00A73803" w:rsidRPr="00572688">
        <w:t xml:space="preserve">Mr. </w:t>
      </w:r>
      <w:proofErr w:type="spellStart"/>
      <w:r w:rsidR="00A73803" w:rsidRPr="00572688">
        <w:t>Parcell’s</w:t>
      </w:r>
      <w:proofErr w:type="spellEnd"/>
      <w:r w:rsidR="00A73803" w:rsidRPr="00572688">
        <w:t xml:space="preserve"> </w:t>
      </w:r>
      <w:r w:rsidR="00C45FD5" w:rsidRPr="00572688">
        <w:t xml:space="preserve">characterization </w:t>
      </w:r>
      <w:r w:rsidR="00A73803" w:rsidRPr="00572688">
        <w:t xml:space="preserve">of the </w:t>
      </w:r>
      <w:r>
        <w:t>effects of the two-year rate plan and decoupling mechanism on the</w:t>
      </w:r>
      <w:r w:rsidR="00C45FD5" w:rsidRPr="00572688">
        <w:t xml:space="preserve"> cost of capital. </w:t>
      </w:r>
    </w:p>
    <w:p w:rsidR="00047094" w:rsidRDefault="0025617B" w:rsidP="00A223CB">
      <w:pPr>
        <w:pStyle w:val="Heading1"/>
      </w:pPr>
      <w:bookmarkStart w:id="12" w:name="_Toc447616293"/>
      <w:r>
        <w:t xml:space="preserve">Recent </w:t>
      </w:r>
      <w:r w:rsidR="00EA73AB">
        <w:t>Indicators from Capital markets</w:t>
      </w:r>
      <w:bookmarkEnd w:id="12"/>
    </w:p>
    <w:p w:rsidR="001D3E14" w:rsidRDefault="00EA73AB" w:rsidP="00EA73AB">
      <w:pPr>
        <w:pStyle w:val="QAQuestion"/>
        <w:tabs>
          <w:tab w:val="num" w:pos="720"/>
        </w:tabs>
        <w:spacing w:after="0" w:line="480" w:lineRule="auto"/>
        <w:ind w:left="720" w:hanging="720"/>
        <w:jc w:val="left"/>
        <w:rPr>
          <w:b/>
          <w:szCs w:val="24"/>
        </w:rPr>
      </w:pPr>
      <w:r>
        <w:rPr>
          <w:b/>
          <w:szCs w:val="24"/>
        </w:rPr>
        <w:t>Q.</w:t>
      </w:r>
      <w:r>
        <w:rPr>
          <w:b/>
          <w:szCs w:val="24"/>
        </w:rPr>
        <w:tab/>
      </w:r>
      <w:r w:rsidR="001D3E14">
        <w:rPr>
          <w:b/>
          <w:szCs w:val="24"/>
        </w:rPr>
        <w:t xml:space="preserve">Please describe </w:t>
      </w:r>
      <w:r w:rsidR="0025617B">
        <w:rPr>
          <w:b/>
          <w:szCs w:val="24"/>
        </w:rPr>
        <w:t xml:space="preserve">recent developments </w:t>
      </w:r>
      <w:r w:rsidR="001D3E14">
        <w:rPr>
          <w:b/>
          <w:szCs w:val="24"/>
        </w:rPr>
        <w:t>in the capital markets.</w:t>
      </w:r>
    </w:p>
    <w:p w:rsidR="00235EC7" w:rsidRDefault="001D3E14" w:rsidP="00074AC4">
      <w:pPr>
        <w:pStyle w:val="QAQuestion"/>
        <w:tabs>
          <w:tab w:val="num" w:pos="720"/>
        </w:tabs>
        <w:spacing w:after="0" w:line="480" w:lineRule="auto"/>
        <w:ind w:left="720" w:hanging="720"/>
        <w:jc w:val="left"/>
        <w:rPr>
          <w:rFonts w:eastAsia="SimSun"/>
        </w:rPr>
      </w:pPr>
      <w:r>
        <w:rPr>
          <w:rFonts w:eastAsia="SimSun"/>
        </w:rPr>
        <w:t>A.</w:t>
      </w:r>
      <w:r>
        <w:rPr>
          <w:rFonts w:eastAsia="SimSun"/>
        </w:rPr>
        <w:tab/>
        <w:t xml:space="preserve">Investors in capital markets continue to anticipate intervention by central banks, leading to anomalous conditions and very low yields on government bonds.  </w:t>
      </w:r>
      <w:r w:rsidR="00235EC7">
        <w:rPr>
          <w:szCs w:val="24"/>
        </w:rPr>
        <w:t>While foreign central banks have begun to sell U</w:t>
      </w:r>
      <w:r w:rsidR="00165D2E">
        <w:rPr>
          <w:szCs w:val="24"/>
        </w:rPr>
        <w:t>.</w:t>
      </w:r>
      <w:r w:rsidR="00235EC7">
        <w:rPr>
          <w:szCs w:val="24"/>
        </w:rPr>
        <w:t>S</w:t>
      </w:r>
      <w:r w:rsidR="00165D2E">
        <w:rPr>
          <w:szCs w:val="24"/>
        </w:rPr>
        <w:t>.</w:t>
      </w:r>
      <w:r w:rsidR="00235EC7">
        <w:rPr>
          <w:szCs w:val="24"/>
        </w:rPr>
        <w:t xml:space="preserve"> treasuries, yields on long-term treasuries remain extremely low</w:t>
      </w:r>
      <w:r w:rsidR="00F163BF">
        <w:rPr>
          <w:szCs w:val="24"/>
        </w:rPr>
        <w:t xml:space="preserve"> from a historical perspective</w:t>
      </w:r>
      <w:r w:rsidR="00235EC7">
        <w:rPr>
          <w:szCs w:val="24"/>
        </w:rPr>
        <w:t>.</w:t>
      </w:r>
      <w:r w:rsidR="00235EC7">
        <w:rPr>
          <w:rStyle w:val="FootnoteReference"/>
          <w:szCs w:val="24"/>
        </w:rPr>
        <w:footnoteReference w:id="5"/>
      </w:r>
      <w:r w:rsidR="00235EC7">
        <w:rPr>
          <w:szCs w:val="24"/>
        </w:rPr>
        <w:t xml:space="preserve"> </w:t>
      </w:r>
      <w:r w:rsidR="00F163BF">
        <w:rPr>
          <w:szCs w:val="24"/>
        </w:rPr>
        <w:t xml:space="preserve"> </w:t>
      </w:r>
      <w:r w:rsidR="00235EC7" w:rsidRPr="00074AC4">
        <w:rPr>
          <w:caps/>
          <w:szCs w:val="24"/>
        </w:rPr>
        <w:t>E</w:t>
      </w:r>
      <w:r w:rsidR="00235EC7">
        <w:rPr>
          <w:szCs w:val="24"/>
        </w:rPr>
        <w:t xml:space="preserve">quity prices continue to be driven up by demand for stocks. </w:t>
      </w:r>
    </w:p>
    <w:p w:rsidR="001D3E14" w:rsidRDefault="00235EC7" w:rsidP="00EA73AB">
      <w:pPr>
        <w:pStyle w:val="QAQuestion"/>
        <w:tabs>
          <w:tab w:val="num" w:pos="720"/>
        </w:tabs>
        <w:spacing w:after="0" w:line="480" w:lineRule="auto"/>
        <w:ind w:left="720" w:hanging="720"/>
        <w:jc w:val="left"/>
        <w:rPr>
          <w:rFonts w:eastAsia="SimSun"/>
        </w:rPr>
      </w:pPr>
      <w:r>
        <w:rPr>
          <w:rFonts w:eastAsia="SimSun"/>
        </w:rPr>
        <w:tab/>
      </w:r>
      <w:r w:rsidR="00BF7B0B">
        <w:rPr>
          <w:rFonts w:eastAsia="SimSun"/>
        </w:rPr>
        <w:tab/>
      </w:r>
      <w:r w:rsidR="001D3E14">
        <w:rPr>
          <w:rFonts w:eastAsia="SimSun"/>
        </w:rPr>
        <w:t xml:space="preserve">Despite low long-term treasury yields, indications of the required returns for </w:t>
      </w:r>
      <w:r w:rsidR="00F163BF">
        <w:rPr>
          <w:rFonts w:eastAsia="SimSun"/>
        </w:rPr>
        <w:t xml:space="preserve">certain </w:t>
      </w:r>
      <w:r w:rsidR="001D3E14">
        <w:rPr>
          <w:rFonts w:eastAsia="SimSun"/>
        </w:rPr>
        <w:t xml:space="preserve">risky assets have recently exhibited increases.  This is evident in the </w:t>
      </w:r>
      <w:r w:rsidR="0025617B">
        <w:rPr>
          <w:rFonts w:eastAsia="SimSun"/>
        </w:rPr>
        <w:t xml:space="preserve">spreads of </w:t>
      </w:r>
      <w:r w:rsidR="001D3E14">
        <w:rPr>
          <w:rFonts w:eastAsia="SimSun"/>
        </w:rPr>
        <w:t xml:space="preserve">corporate bond </w:t>
      </w:r>
      <w:r w:rsidR="0025617B">
        <w:rPr>
          <w:rFonts w:eastAsia="SimSun"/>
        </w:rPr>
        <w:t>yields relative to</w:t>
      </w:r>
      <w:r w:rsidR="00B03AA5">
        <w:rPr>
          <w:rFonts w:eastAsia="SimSun"/>
        </w:rPr>
        <w:t xml:space="preserve"> </w:t>
      </w:r>
      <w:r w:rsidR="0025617B">
        <w:rPr>
          <w:rFonts w:eastAsia="SimSun"/>
        </w:rPr>
        <w:t xml:space="preserve">long-term </w:t>
      </w:r>
      <w:r w:rsidR="00B03AA5">
        <w:rPr>
          <w:rFonts w:eastAsia="SimSun"/>
        </w:rPr>
        <w:t xml:space="preserve">treasuries.  As shown in Exhibit No. KGS-33, both BBB and BB bond spreads over 30-year treasuries have been increasing over the past two years. </w:t>
      </w:r>
      <w:r w:rsidR="00F41AFC">
        <w:rPr>
          <w:rFonts w:eastAsia="SimSun"/>
        </w:rPr>
        <w:t xml:space="preserve"> </w:t>
      </w:r>
      <w:r w:rsidR="00B03AA5">
        <w:rPr>
          <w:rFonts w:eastAsia="SimSun"/>
        </w:rPr>
        <w:t xml:space="preserve">This </w:t>
      </w:r>
      <w:r>
        <w:rPr>
          <w:rFonts w:eastAsia="SimSun"/>
        </w:rPr>
        <w:t>indicates</w:t>
      </w:r>
      <w:r w:rsidR="00477C0C">
        <w:rPr>
          <w:rFonts w:eastAsia="SimSun"/>
        </w:rPr>
        <w:t xml:space="preserve"> </w:t>
      </w:r>
      <w:r>
        <w:rPr>
          <w:rFonts w:eastAsia="SimSun"/>
        </w:rPr>
        <w:t xml:space="preserve">a need for </w:t>
      </w:r>
      <w:r w:rsidR="00477C0C">
        <w:rPr>
          <w:rFonts w:eastAsia="SimSun"/>
        </w:rPr>
        <w:t>higher returns for</w:t>
      </w:r>
      <w:r w:rsidR="0025617B">
        <w:rPr>
          <w:rFonts w:eastAsia="SimSun"/>
        </w:rPr>
        <w:t xml:space="preserve"> </w:t>
      </w:r>
      <w:r>
        <w:rPr>
          <w:rFonts w:eastAsia="SimSun"/>
        </w:rPr>
        <w:t xml:space="preserve">bearing the risk of investing in </w:t>
      </w:r>
      <w:r w:rsidR="00B03AA5">
        <w:rPr>
          <w:rFonts w:eastAsia="SimSun"/>
        </w:rPr>
        <w:t>risk</w:t>
      </w:r>
      <w:r w:rsidR="0025617B">
        <w:rPr>
          <w:rFonts w:eastAsia="SimSun"/>
        </w:rPr>
        <w:t xml:space="preserve">y </w:t>
      </w:r>
      <w:r>
        <w:rPr>
          <w:rFonts w:eastAsia="SimSun"/>
        </w:rPr>
        <w:t>securities</w:t>
      </w:r>
      <w:r w:rsidR="00477C0C">
        <w:rPr>
          <w:rFonts w:eastAsia="SimSun"/>
        </w:rPr>
        <w:t>.</w:t>
      </w:r>
    </w:p>
    <w:p w:rsidR="001D3E14" w:rsidRDefault="001D3E14" w:rsidP="001D3E14">
      <w:pPr>
        <w:pStyle w:val="QAQuestion"/>
        <w:tabs>
          <w:tab w:val="num" w:pos="720"/>
        </w:tabs>
        <w:spacing w:after="0" w:line="480" w:lineRule="auto"/>
        <w:ind w:left="720" w:hanging="720"/>
        <w:jc w:val="left"/>
        <w:rPr>
          <w:b/>
          <w:szCs w:val="24"/>
        </w:rPr>
      </w:pPr>
      <w:r>
        <w:rPr>
          <w:b/>
          <w:szCs w:val="24"/>
        </w:rPr>
        <w:t>Q.</w:t>
      </w:r>
      <w:r>
        <w:rPr>
          <w:b/>
          <w:szCs w:val="24"/>
        </w:rPr>
        <w:tab/>
        <w:t>Is the Federal Reserve continuing with its plan to normalize interest rate policy?</w:t>
      </w:r>
    </w:p>
    <w:p w:rsidR="00AF1EBF" w:rsidRDefault="001D3E14" w:rsidP="006C14B7">
      <w:pPr>
        <w:pStyle w:val="QAQuestion"/>
        <w:tabs>
          <w:tab w:val="num" w:pos="720"/>
        </w:tabs>
        <w:spacing w:after="0" w:line="480" w:lineRule="auto"/>
        <w:ind w:left="720" w:hanging="720"/>
        <w:jc w:val="left"/>
      </w:pPr>
      <w:r>
        <w:rPr>
          <w:rFonts w:eastAsia="SimSun"/>
        </w:rPr>
        <w:t>A.</w:t>
      </w:r>
      <w:r>
        <w:rPr>
          <w:rFonts w:eastAsia="SimSun"/>
        </w:rPr>
        <w:tab/>
      </w:r>
      <w:r w:rsidR="001336C4">
        <w:rPr>
          <w:rFonts w:eastAsia="SimSun"/>
        </w:rPr>
        <w:t xml:space="preserve">Yes. </w:t>
      </w:r>
      <w:r w:rsidR="00BF7B0B">
        <w:rPr>
          <w:rFonts w:eastAsia="SimSun"/>
        </w:rPr>
        <w:t xml:space="preserve"> </w:t>
      </w:r>
      <w:r w:rsidR="00640F4C">
        <w:rPr>
          <w:rFonts w:eastAsia="SimSun"/>
        </w:rPr>
        <w:t>I</w:t>
      </w:r>
      <w:r w:rsidR="001336C4">
        <w:rPr>
          <w:rFonts w:eastAsia="SimSun"/>
        </w:rPr>
        <w:t xml:space="preserve">n </w:t>
      </w:r>
      <w:r w:rsidR="00640F4C">
        <w:rPr>
          <w:rFonts w:eastAsia="SimSun"/>
        </w:rPr>
        <w:t>her March 29, 2016</w:t>
      </w:r>
      <w:r w:rsidR="001336C4">
        <w:rPr>
          <w:rFonts w:eastAsia="SimSun"/>
        </w:rPr>
        <w:t xml:space="preserve"> address on “The Outlook</w:t>
      </w:r>
      <w:r w:rsidR="00640F4C">
        <w:rPr>
          <w:rFonts w:eastAsia="SimSun"/>
        </w:rPr>
        <w:t>, Uncertainty,</w:t>
      </w:r>
      <w:r w:rsidR="001336C4">
        <w:rPr>
          <w:rFonts w:eastAsia="SimSun"/>
        </w:rPr>
        <w:t xml:space="preserve"> and Monetary Policy</w:t>
      </w:r>
      <w:r w:rsidR="00640F4C">
        <w:rPr>
          <w:rFonts w:eastAsia="SimSun"/>
        </w:rPr>
        <w:t>,</w:t>
      </w:r>
      <w:r w:rsidR="001336C4">
        <w:rPr>
          <w:rFonts w:eastAsia="SimSun"/>
        </w:rPr>
        <w:t>”</w:t>
      </w:r>
      <w:r w:rsidR="00640F4C">
        <w:rPr>
          <w:rFonts w:eastAsia="SimSun"/>
        </w:rPr>
        <w:t xml:space="preserve"> </w:t>
      </w:r>
      <w:r w:rsidR="0025617B">
        <w:rPr>
          <w:rFonts w:eastAsia="SimSun"/>
        </w:rPr>
        <w:t xml:space="preserve">Federal Reserve chair </w:t>
      </w:r>
      <w:r w:rsidR="00640F4C">
        <w:rPr>
          <w:rFonts w:eastAsia="SimSun"/>
        </w:rPr>
        <w:t xml:space="preserve">Janet </w:t>
      </w:r>
      <w:proofErr w:type="spellStart"/>
      <w:r w:rsidR="00640F4C">
        <w:rPr>
          <w:rFonts w:eastAsia="SimSun"/>
        </w:rPr>
        <w:t>Yellen</w:t>
      </w:r>
      <w:proofErr w:type="spellEnd"/>
      <w:r w:rsidR="00640F4C">
        <w:rPr>
          <w:rFonts w:eastAsia="SimSun"/>
        </w:rPr>
        <w:t xml:space="preserve"> discussed both the most recent federal funds rate increase and the plan to continue these adjustments going forward. </w:t>
      </w:r>
      <w:r w:rsidR="001C4000">
        <w:rPr>
          <w:rFonts w:eastAsia="SimSun"/>
        </w:rPr>
        <w:t xml:space="preserve"> </w:t>
      </w:r>
      <w:r w:rsidR="00640F4C">
        <w:rPr>
          <w:rFonts w:eastAsia="SimSun"/>
        </w:rPr>
        <w:t>The ¼</w:t>
      </w:r>
      <w:r w:rsidR="00BF7B0B">
        <w:rPr>
          <w:rFonts w:eastAsia="SimSun"/>
        </w:rPr>
        <w:t> </w:t>
      </w:r>
      <w:r w:rsidR="00640F4C">
        <w:rPr>
          <w:rFonts w:eastAsia="SimSun"/>
        </w:rPr>
        <w:t>percentage point increase in the federal funds rate “marked the end of an extraordinary seven-year period during which the federal funds rate was held near zero.”</w:t>
      </w:r>
      <w:r w:rsidR="00885D9A">
        <w:rPr>
          <w:rStyle w:val="FootnoteReference"/>
          <w:rFonts w:eastAsia="SimSun"/>
        </w:rPr>
        <w:footnoteReference w:id="6"/>
      </w:r>
      <w:r w:rsidR="00640F4C">
        <w:rPr>
          <w:rFonts w:eastAsia="SimSun"/>
        </w:rPr>
        <w:t xml:space="preserve"> </w:t>
      </w:r>
      <w:r w:rsidR="00F41AFC">
        <w:rPr>
          <w:rFonts w:eastAsia="SimSun"/>
        </w:rPr>
        <w:t xml:space="preserve"> </w:t>
      </w:r>
      <w:r w:rsidR="00640F4C">
        <w:rPr>
          <w:rFonts w:eastAsia="SimSun"/>
        </w:rPr>
        <w:t>While the F</w:t>
      </w:r>
      <w:r w:rsidR="003F6C5A">
        <w:rPr>
          <w:rFonts w:eastAsia="SimSun"/>
        </w:rPr>
        <w:t xml:space="preserve">ederal </w:t>
      </w:r>
      <w:r w:rsidR="00640F4C">
        <w:rPr>
          <w:rFonts w:eastAsia="SimSun"/>
        </w:rPr>
        <w:t>O</w:t>
      </w:r>
      <w:r w:rsidR="003F6C5A">
        <w:rPr>
          <w:rFonts w:eastAsia="SimSun"/>
        </w:rPr>
        <w:t xml:space="preserve">pen </w:t>
      </w:r>
      <w:r w:rsidR="00640F4C">
        <w:rPr>
          <w:rFonts w:eastAsia="SimSun"/>
        </w:rPr>
        <w:t>M</w:t>
      </w:r>
      <w:r w:rsidR="003F6C5A">
        <w:rPr>
          <w:rFonts w:eastAsia="SimSun"/>
        </w:rPr>
        <w:t xml:space="preserve">arket </w:t>
      </w:r>
      <w:r w:rsidR="00640F4C">
        <w:rPr>
          <w:rFonts w:eastAsia="SimSun"/>
        </w:rPr>
        <w:t>C</w:t>
      </w:r>
      <w:r w:rsidR="003F6C5A">
        <w:rPr>
          <w:rFonts w:eastAsia="SimSun"/>
        </w:rPr>
        <w:t>ommittee</w:t>
      </w:r>
      <w:r w:rsidR="00640F4C">
        <w:rPr>
          <w:rFonts w:eastAsia="SimSun"/>
        </w:rPr>
        <w:t xml:space="preserve"> expects gradual increases in the coming years, </w:t>
      </w:r>
      <w:proofErr w:type="spellStart"/>
      <w:r w:rsidR="00640F4C">
        <w:rPr>
          <w:rFonts w:eastAsia="SimSun"/>
        </w:rPr>
        <w:t>Yellen</w:t>
      </w:r>
      <w:proofErr w:type="spellEnd"/>
      <w:r w:rsidR="00640F4C">
        <w:rPr>
          <w:rFonts w:eastAsia="SimSun"/>
        </w:rPr>
        <w:t xml:space="preserve"> “consider[s] it appropriate for the Committee to proceed cautiously in adjusting policy.”</w:t>
      </w:r>
      <w:r w:rsidR="00074AC4">
        <w:rPr>
          <w:rStyle w:val="FootnoteReference"/>
          <w:rFonts w:eastAsia="SimSun"/>
        </w:rPr>
        <w:footnoteReference w:id="7"/>
      </w:r>
      <w:r w:rsidR="00640F4C">
        <w:rPr>
          <w:rFonts w:eastAsia="SimSun"/>
        </w:rPr>
        <w:t xml:space="preserve"> </w:t>
      </w:r>
      <w:r w:rsidR="00F41AFC">
        <w:rPr>
          <w:rFonts w:eastAsia="SimSun"/>
        </w:rPr>
        <w:t xml:space="preserve"> </w:t>
      </w:r>
      <w:r w:rsidR="003F6C5A">
        <w:rPr>
          <w:rFonts w:eastAsia="SimSun"/>
        </w:rPr>
        <w:t xml:space="preserve">As </w:t>
      </w:r>
      <w:proofErr w:type="spellStart"/>
      <w:r w:rsidR="003F6C5A">
        <w:rPr>
          <w:rFonts w:eastAsia="SimSun"/>
        </w:rPr>
        <w:t>Yellen</w:t>
      </w:r>
      <w:proofErr w:type="spellEnd"/>
      <w:r w:rsidR="003F6C5A">
        <w:rPr>
          <w:rFonts w:eastAsia="SimSun"/>
        </w:rPr>
        <w:t xml:space="preserve"> highlights in her speech, the past seven </w:t>
      </w:r>
      <w:r w:rsidR="00640F4C">
        <w:rPr>
          <w:rFonts w:eastAsia="SimSun"/>
        </w:rPr>
        <w:t>year</w:t>
      </w:r>
      <w:r w:rsidR="003F6C5A">
        <w:rPr>
          <w:rFonts w:eastAsia="SimSun"/>
        </w:rPr>
        <w:t>s with a near zero federal funds rate have been unprecedented, and this first increase in the interest rate marks the beginning of a series of increases meant to return the federal funds rate to pre-crisis levels.</w:t>
      </w:r>
      <w:r w:rsidR="00AF1EBF">
        <w:br w:type="page"/>
      </w:r>
    </w:p>
    <w:p w:rsidR="0025617B" w:rsidRDefault="0025617B" w:rsidP="0025617B">
      <w:pPr>
        <w:pStyle w:val="QAQuestion"/>
        <w:tabs>
          <w:tab w:val="num" w:pos="720"/>
        </w:tabs>
        <w:spacing w:after="0" w:line="480" w:lineRule="auto"/>
        <w:ind w:left="720" w:hanging="720"/>
        <w:jc w:val="left"/>
        <w:rPr>
          <w:b/>
          <w:szCs w:val="24"/>
        </w:rPr>
      </w:pPr>
      <w:r>
        <w:rPr>
          <w:b/>
          <w:szCs w:val="24"/>
        </w:rPr>
        <w:t>Q.</w:t>
      </w:r>
      <w:r>
        <w:rPr>
          <w:b/>
          <w:szCs w:val="24"/>
        </w:rPr>
        <w:tab/>
      </w:r>
      <w:r w:rsidR="0009151B">
        <w:rPr>
          <w:b/>
          <w:szCs w:val="24"/>
        </w:rPr>
        <w:t xml:space="preserve">Have </w:t>
      </w:r>
      <w:r>
        <w:rPr>
          <w:b/>
          <w:szCs w:val="24"/>
        </w:rPr>
        <w:t xml:space="preserve">Federal Reserve </w:t>
      </w:r>
      <w:r w:rsidR="0009151B">
        <w:rPr>
          <w:b/>
          <w:szCs w:val="24"/>
        </w:rPr>
        <w:t>representatives indicated that plan</w:t>
      </w:r>
      <w:r w:rsidR="003F7B7D">
        <w:rPr>
          <w:b/>
          <w:szCs w:val="24"/>
        </w:rPr>
        <w:t>s</w:t>
      </w:r>
      <w:r w:rsidR="0009151B">
        <w:rPr>
          <w:b/>
          <w:szCs w:val="24"/>
        </w:rPr>
        <w:t xml:space="preserve"> to raise </w:t>
      </w:r>
      <w:r>
        <w:rPr>
          <w:b/>
          <w:szCs w:val="24"/>
        </w:rPr>
        <w:t>interest rate</w:t>
      </w:r>
      <w:r w:rsidR="0009151B">
        <w:rPr>
          <w:b/>
          <w:szCs w:val="24"/>
        </w:rPr>
        <w:t>s</w:t>
      </w:r>
      <w:r>
        <w:rPr>
          <w:b/>
          <w:szCs w:val="24"/>
        </w:rPr>
        <w:t xml:space="preserve"> </w:t>
      </w:r>
      <w:r w:rsidR="0009151B">
        <w:rPr>
          <w:b/>
          <w:szCs w:val="24"/>
        </w:rPr>
        <w:t>will be implemented soon</w:t>
      </w:r>
      <w:r>
        <w:rPr>
          <w:b/>
          <w:szCs w:val="24"/>
        </w:rPr>
        <w:t>?</w:t>
      </w:r>
    </w:p>
    <w:p w:rsidR="0025617B" w:rsidRPr="0025617B" w:rsidRDefault="0009151B" w:rsidP="00C06AC8">
      <w:pPr>
        <w:pStyle w:val="QAQCont"/>
        <w:spacing w:after="0" w:line="480" w:lineRule="auto"/>
        <w:ind w:left="720" w:hanging="720"/>
        <w:jc w:val="left"/>
        <w:rPr>
          <w:rFonts w:eastAsia="SimSun"/>
        </w:rPr>
      </w:pPr>
      <w:r>
        <w:rPr>
          <w:rFonts w:eastAsia="SimSun"/>
        </w:rPr>
        <w:t>A.</w:t>
      </w:r>
      <w:r>
        <w:rPr>
          <w:rFonts w:eastAsia="SimSun"/>
        </w:rPr>
        <w:tab/>
        <w:t>Yes.</w:t>
      </w:r>
      <w:r w:rsidR="00AF1EBF">
        <w:rPr>
          <w:rFonts w:eastAsia="SimSun"/>
        </w:rPr>
        <w:t xml:space="preserve"> </w:t>
      </w:r>
      <w:r>
        <w:rPr>
          <w:rFonts w:eastAsia="SimSun"/>
        </w:rPr>
        <w:t xml:space="preserve"> For example, Market News International reported on March 21, 2016 that “</w:t>
      </w:r>
      <w:r w:rsidRPr="0009151B">
        <w:rPr>
          <w:rFonts w:eastAsia="SimSun"/>
        </w:rPr>
        <w:t xml:space="preserve">San Francisco Federal Reserve Bank President John Williams </w:t>
      </w:r>
      <w:r>
        <w:rPr>
          <w:rFonts w:eastAsia="SimSun"/>
        </w:rPr>
        <w:t>[…]</w:t>
      </w:r>
      <w:r w:rsidRPr="0009151B">
        <w:rPr>
          <w:rFonts w:eastAsia="SimSun"/>
        </w:rPr>
        <w:t xml:space="preserve"> has left no doubt he will be advocating for another interest rate hike as early as the April meeting of the Fed</w:t>
      </w:r>
      <w:r w:rsidR="00AF1EBF">
        <w:rPr>
          <w:rFonts w:eastAsia="SimSun"/>
        </w:rPr>
        <w:t>’</w:t>
      </w:r>
      <w:r w:rsidRPr="0009151B">
        <w:rPr>
          <w:rFonts w:eastAsia="SimSun"/>
        </w:rPr>
        <w:t>s rate-setting Federal Open Market Committee - or, failing that, at the June meeting - provided the economy continues to do as well as it has been.</w:t>
      </w:r>
      <w:r>
        <w:rPr>
          <w:rFonts w:eastAsia="SimSun"/>
        </w:rPr>
        <w:t>”</w:t>
      </w:r>
      <w:r w:rsidR="00C25615">
        <w:rPr>
          <w:rStyle w:val="FootnoteReference"/>
          <w:rFonts w:eastAsia="SimSun"/>
        </w:rPr>
        <w:footnoteReference w:id="8"/>
      </w:r>
    </w:p>
    <w:p w:rsidR="00317AFC" w:rsidRDefault="00317AFC" w:rsidP="001C4000">
      <w:pPr>
        <w:pStyle w:val="QAQuestion"/>
        <w:tabs>
          <w:tab w:val="num" w:pos="720"/>
        </w:tabs>
        <w:spacing w:after="0" w:line="480" w:lineRule="auto"/>
        <w:ind w:left="720" w:hanging="720"/>
        <w:jc w:val="left"/>
        <w:rPr>
          <w:b/>
          <w:szCs w:val="24"/>
        </w:rPr>
      </w:pPr>
      <w:r>
        <w:rPr>
          <w:b/>
          <w:szCs w:val="24"/>
        </w:rPr>
        <w:t>Q.</w:t>
      </w:r>
      <w:r>
        <w:rPr>
          <w:b/>
          <w:szCs w:val="24"/>
        </w:rPr>
        <w:tab/>
        <w:t>How ha</w:t>
      </w:r>
      <w:r w:rsidR="0009151B">
        <w:rPr>
          <w:b/>
          <w:szCs w:val="24"/>
        </w:rPr>
        <w:t>ve</w:t>
      </w:r>
      <w:r>
        <w:rPr>
          <w:b/>
          <w:szCs w:val="24"/>
        </w:rPr>
        <w:t xml:space="preserve"> the </w:t>
      </w:r>
      <w:r w:rsidR="0009151B">
        <w:rPr>
          <w:b/>
          <w:szCs w:val="24"/>
        </w:rPr>
        <w:t xml:space="preserve">forecasts of </w:t>
      </w:r>
      <w:r>
        <w:rPr>
          <w:b/>
          <w:szCs w:val="24"/>
        </w:rPr>
        <w:t>long-term treasury yield changed since you</w:t>
      </w:r>
      <w:r w:rsidR="0009151B">
        <w:rPr>
          <w:b/>
          <w:szCs w:val="24"/>
        </w:rPr>
        <w:t xml:space="preserve"> prepared your </w:t>
      </w:r>
      <w:r>
        <w:rPr>
          <w:b/>
          <w:szCs w:val="24"/>
        </w:rPr>
        <w:t>direct testimony in th</w:t>
      </w:r>
      <w:r w:rsidR="0009151B">
        <w:rPr>
          <w:b/>
          <w:szCs w:val="24"/>
        </w:rPr>
        <w:t>is</w:t>
      </w:r>
      <w:r>
        <w:rPr>
          <w:b/>
          <w:szCs w:val="24"/>
        </w:rPr>
        <w:t xml:space="preserve"> case?</w:t>
      </w:r>
    </w:p>
    <w:p w:rsidR="001D3E14" w:rsidRPr="0009151B" w:rsidRDefault="00317AFC" w:rsidP="00C06AC8">
      <w:pPr>
        <w:pStyle w:val="QAQCont"/>
        <w:spacing w:after="0" w:line="480" w:lineRule="auto"/>
        <w:ind w:left="720" w:hanging="720"/>
        <w:jc w:val="left"/>
        <w:rPr>
          <w:rFonts w:eastAsia="SimSun"/>
        </w:rPr>
      </w:pPr>
      <w:r>
        <w:rPr>
          <w:rFonts w:eastAsia="SimSun"/>
        </w:rPr>
        <w:t>A.</w:t>
      </w:r>
      <w:r>
        <w:rPr>
          <w:rFonts w:eastAsia="SimSun"/>
        </w:rPr>
        <w:tab/>
      </w:r>
      <w:r w:rsidR="0009151B">
        <w:rPr>
          <w:rFonts w:eastAsia="SimSun"/>
        </w:rPr>
        <w:t>The long-term treasury yield forecast has</w:t>
      </w:r>
      <w:r w:rsidR="006208A7">
        <w:rPr>
          <w:rFonts w:eastAsia="SimSun"/>
        </w:rPr>
        <w:t xml:space="preserve"> become steeper</w:t>
      </w:r>
      <w:r w:rsidR="0009151B">
        <w:rPr>
          <w:rFonts w:eastAsia="SimSun"/>
        </w:rPr>
        <w:t xml:space="preserve"> since the filing of my direct testimony, reflecting market expectations of higher yields going forward. </w:t>
      </w:r>
      <w:r w:rsidR="00F41AFC">
        <w:rPr>
          <w:rFonts w:eastAsia="SimSun"/>
        </w:rPr>
        <w:t xml:space="preserve"> </w:t>
      </w:r>
      <w:r w:rsidR="0009151B">
        <w:rPr>
          <w:rFonts w:eastAsia="SimSun"/>
        </w:rPr>
        <w:t xml:space="preserve">As </w:t>
      </w:r>
      <w:r w:rsidR="005A5A79">
        <w:rPr>
          <w:rFonts w:eastAsia="SimSun"/>
        </w:rPr>
        <w:t>shown</w:t>
      </w:r>
      <w:r w:rsidR="0009151B">
        <w:rPr>
          <w:rFonts w:eastAsia="SimSun"/>
        </w:rPr>
        <w:t xml:space="preserve"> in Exhibit No. KGS-21, the median forecast for long-term tre</w:t>
      </w:r>
      <w:r w:rsidR="0015340F">
        <w:rPr>
          <w:rFonts w:eastAsia="SimSun"/>
        </w:rPr>
        <w:t>asury yields increases from 2.85</w:t>
      </w:r>
      <w:r w:rsidR="00BF7B0B">
        <w:rPr>
          <w:rFonts w:eastAsia="SimSun"/>
        </w:rPr>
        <w:t xml:space="preserve"> percent</w:t>
      </w:r>
      <w:r w:rsidR="0015340F">
        <w:rPr>
          <w:rFonts w:eastAsia="SimSun"/>
        </w:rPr>
        <w:t xml:space="preserve"> in Q2</w:t>
      </w:r>
      <w:r w:rsidR="0009151B">
        <w:rPr>
          <w:rFonts w:eastAsia="SimSun"/>
        </w:rPr>
        <w:t xml:space="preserve"> 2016 to 3.20</w:t>
      </w:r>
      <w:r w:rsidR="00BF7B0B">
        <w:rPr>
          <w:rFonts w:eastAsia="SimSun"/>
        </w:rPr>
        <w:t xml:space="preserve"> percent</w:t>
      </w:r>
      <w:r w:rsidR="0009151B">
        <w:rPr>
          <w:rFonts w:eastAsia="SimSun"/>
        </w:rPr>
        <w:t xml:space="preserve"> in Q2 2017. </w:t>
      </w:r>
      <w:r w:rsidR="00F41AFC">
        <w:rPr>
          <w:rFonts w:eastAsia="SimSun"/>
        </w:rPr>
        <w:t xml:space="preserve"> </w:t>
      </w:r>
      <w:r w:rsidR="0009151B" w:rsidRPr="0009151B">
        <w:rPr>
          <w:rFonts w:eastAsia="SimSun"/>
        </w:rPr>
        <w:t>Thus</w:t>
      </w:r>
      <w:r w:rsidR="0009151B">
        <w:rPr>
          <w:rFonts w:eastAsia="SimSun"/>
        </w:rPr>
        <w:t>,</w:t>
      </w:r>
      <w:r w:rsidR="0009151B" w:rsidRPr="0009151B">
        <w:rPr>
          <w:rFonts w:eastAsia="SimSun"/>
        </w:rPr>
        <w:t xml:space="preserve"> not only is the spread </w:t>
      </w:r>
      <w:r w:rsidR="0009151B">
        <w:rPr>
          <w:rFonts w:eastAsia="SimSun"/>
        </w:rPr>
        <w:t>of required returns relative</w:t>
      </w:r>
      <w:r w:rsidR="0009151B" w:rsidRPr="0009151B">
        <w:rPr>
          <w:rFonts w:eastAsia="SimSun"/>
        </w:rPr>
        <w:t xml:space="preserve"> </w:t>
      </w:r>
      <w:r w:rsidR="0009151B">
        <w:rPr>
          <w:rFonts w:eastAsia="SimSun"/>
        </w:rPr>
        <w:t>to</w:t>
      </w:r>
      <w:r w:rsidR="0009151B" w:rsidRPr="0009151B">
        <w:rPr>
          <w:rFonts w:eastAsia="SimSun"/>
        </w:rPr>
        <w:t xml:space="preserve"> treasury yield increasing for </w:t>
      </w:r>
      <w:r w:rsidR="0009151B">
        <w:rPr>
          <w:rFonts w:eastAsia="SimSun"/>
        </w:rPr>
        <w:t xml:space="preserve">risky </w:t>
      </w:r>
      <w:r w:rsidR="0009151B" w:rsidRPr="0009151B">
        <w:rPr>
          <w:rFonts w:eastAsia="SimSun"/>
        </w:rPr>
        <w:t xml:space="preserve">investments to reflect the increased </w:t>
      </w:r>
      <w:r w:rsidR="0009151B">
        <w:rPr>
          <w:rFonts w:eastAsia="SimSun"/>
        </w:rPr>
        <w:t>cost</w:t>
      </w:r>
      <w:r w:rsidR="0009151B" w:rsidRPr="0009151B">
        <w:rPr>
          <w:rFonts w:eastAsia="SimSun"/>
        </w:rPr>
        <w:t xml:space="preserve"> of risk in capital markets, but the </w:t>
      </w:r>
      <w:r w:rsidR="0009151B">
        <w:rPr>
          <w:rFonts w:eastAsia="SimSun"/>
        </w:rPr>
        <w:t xml:space="preserve">base </w:t>
      </w:r>
      <w:r w:rsidR="0009151B" w:rsidRPr="0009151B">
        <w:rPr>
          <w:rFonts w:eastAsia="SimSun"/>
        </w:rPr>
        <w:t xml:space="preserve">level of yields for treasury bonds is also </w:t>
      </w:r>
      <w:r w:rsidR="0009151B">
        <w:rPr>
          <w:rFonts w:eastAsia="SimSun"/>
        </w:rPr>
        <w:t xml:space="preserve">expected to </w:t>
      </w:r>
      <w:r w:rsidR="0009151B" w:rsidRPr="0009151B">
        <w:rPr>
          <w:rFonts w:eastAsia="SimSun"/>
        </w:rPr>
        <w:t>increas</w:t>
      </w:r>
      <w:r w:rsidR="0009151B">
        <w:rPr>
          <w:rFonts w:eastAsia="SimSun"/>
        </w:rPr>
        <w:t>e</w:t>
      </w:r>
      <w:r w:rsidR="0009151B" w:rsidRPr="0009151B">
        <w:rPr>
          <w:rFonts w:eastAsia="SimSun"/>
        </w:rPr>
        <w:t>.</w:t>
      </w:r>
    </w:p>
    <w:p w:rsidR="00016C4A" w:rsidRDefault="00016C4A" w:rsidP="00C06AC8">
      <w:pPr>
        <w:pStyle w:val="question0"/>
        <w:keepNext/>
        <w:keepLines/>
        <w:spacing w:before="0" w:after="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Is heightened volatility still a concern in today’s market?</w:t>
      </w:r>
    </w:p>
    <w:p w:rsidR="00EA73AB" w:rsidRDefault="00016C4A" w:rsidP="00C06AC8">
      <w:pPr>
        <w:pStyle w:val="answer"/>
        <w:spacing w:before="0" w:after="0"/>
        <w:rPr>
          <w:rFonts w:eastAsia="SimSun"/>
        </w:rPr>
      </w:pPr>
      <w:r w:rsidRPr="00C06AC8">
        <w:rPr>
          <w:szCs w:val="24"/>
        </w:rPr>
        <w:t>A.</w:t>
      </w:r>
      <w:r>
        <w:rPr>
          <w:b/>
          <w:szCs w:val="24"/>
        </w:rPr>
        <w:tab/>
      </w:r>
      <w:r>
        <w:rPr>
          <w:szCs w:val="24"/>
        </w:rPr>
        <w:t xml:space="preserve">Yes. </w:t>
      </w:r>
      <w:r w:rsidR="00F41AFC">
        <w:rPr>
          <w:szCs w:val="24"/>
        </w:rPr>
        <w:t xml:space="preserve"> </w:t>
      </w:r>
      <w:r>
        <w:rPr>
          <w:szCs w:val="24"/>
        </w:rPr>
        <w:t>2016 is expected to be a more volatile year in the stock markets than the last.</w:t>
      </w:r>
      <w:r w:rsidR="001E7BDE">
        <w:rPr>
          <w:rStyle w:val="FootnoteReference"/>
          <w:szCs w:val="24"/>
        </w:rPr>
        <w:footnoteReference w:id="9"/>
      </w:r>
      <w:r>
        <w:rPr>
          <w:szCs w:val="24"/>
        </w:rPr>
        <w:t xml:space="preserve">  </w:t>
      </w:r>
      <w:r w:rsidR="003F7B7D">
        <w:rPr>
          <w:rFonts w:eastAsia="SimSun"/>
        </w:rPr>
        <w:t>From December 2015 through February 2016, the VIX index, representing volatility in S&amp;P 500 stock</w:t>
      </w:r>
      <w:r>
        <w:rPr>
          <w:rFonts w:eastAsia="SimSun"/>
        </w:rPr>
        <w:t>s</w:t>
      </w:r>
      <w:r w:rsidR="003F7B7D">
        <w:rPr>
          <w:rFonts w:eastAsia="SimSun"/>
        </w:rPr>
        <w:t xml:space="preserve">, spiked and remained elevated relative to historic levels.  In March 2016, VIX levels </w:t>
      </w:r>
      <w:proofErr w:type="gramStart"/>
      <w:r w:rsidR="003F7B7D">
        <w:rPr>
          <w:rFonts w:eastAsia="SimSun"/>
        </w:rPr>
        <w:t>fell,</w:t>
      </w:r>
      <w:proofErr w:type="gramEnd"/>
      <w:r w:rsidR="003F7B7D">
        <w:rPr>
          <w:rFonts w:eastAsia="SimSun"/>
        </w:rPr>
        <w:t xml:space="preserve"> ending closer to where they had been at the time </w:t>
      </w:r>
      <w:r w:rsidR="00B66C96">
        <w:rPr>
          <w:szCs w:val="24"/>
        </w:rPr>
        <w:t xml:space="preserve">the 2014 Rate Case </w:t>
      </w:r>
      <w:r w:rsidR="003F7B7D">
        <w:rPr>
          <w:szCs w:val="24"/>
        </w:rPr>
        <w:t>was being adjudicated</w:t>
      </w:r>
      <w:r w:rsidR="003F7B7D">
        <w:rPr>
          <w:rFonts w:eastAsia="SimSun"/>
        </w:rPr>
        <w:t xml:space="preserve">.  Investors </w:t>
      </w:r>
      <w:r w:rsidR="005F0014">
        <w:rPr>
          <w:rFonts w:eastAsia="SimSun"/>
        </w:rPr>
        <w:t>remain</w:t>
      </w:r>
      <w:r w:rsidR="003F7B7D">
        <w:rPr>
          <w:rFonts w:eastAsia="SimSun"/>
        </w:rPr>
        <w:t xml:space="preserve"> concerned over the large swings in the </w:t>
      </w:r>
      <w:r w:rsidR="001E7BDE">
        <w:rPr>
          <w:rFonts w:eastAsia="SimSun"/>
        </w:rPr>
        <w:t xml:space="preserve">underlying stock market and also in the </w:t>
      </w:r>
      <w:r w:rsidR="003F7B7D">
        <w:rPr>
          <w:rFonts w:eastAsia="SimSun"/>
        </w:rPr>
        <w:t>VIX</w:t>
      </w:r>
      <w:r w:rsidR="001E7BDE">
        <w:rPr>
          <w:rFonts w:eastAsia="SimSun"/>
        </w:rPr>
        <w:t xml:space="preserve">.  </w:t>
      </w:r>
      <w:r w:rsidR="00165D2E">
        <w:rPr>
          <w:rFonts w:eastAsia="SimSun"/>
        </w:rPr>
        <w:t>As shown in Exhibit No. KGS-38, i</w:t>
      </w:r>
      <w:r w:rsidR="005F0014">
        <w:rPr>
          <w:rFonts w:eastAsia="SimSun"/>
        </w:rPr>
        <w:t xml:space="preserve">ndex </w:t>
      </w:r>
      <w:r w:rsidR="003F7B7D">
        <w:rPr>
          <w:rFonts w:eastAsia="SimSun"/>
        </w:rPr>
        <w:t xml:space="preserve">volatility </w:t>
      </w:r>
      <w:r w:rsidR="00DF54A3">
        <w:rPr>
          <w:rFonts w:eastAsia="SimSun"/>
        </w:rPr>
        <w:t xml:space="preserve">itself </w:t>
      </w:r>
      <w:r w:rsidR="003F7B7D">
        <w:rPr>
          <w:rFonts w:eastAsia="SimSun"/>
        </w:rPr>
        <w:t xml:space="preserve">has </w:t>
      </w:r>
      <w:r w:rsidR="00DF54A3">
        <w:rPr>
          <w:rFonts w:eastAsia="SimSun"/>
        </w:rPr>
        <w:t>exhibited significant changes in trading patterns</w:t>
      </w:r>
      <w:r w:rsidR="005F0014">
        <w:rPr>
          <w:rFonts w:eastAsia="SimSun"/>
        </w:rPr>
        <w:t xml:space="preserve"> on several occasions in recent months</w:t>
      </w:r>
      <w:r w:rsidR="003F7B7D">
        <w:rPr>
          <w:rFonts w:eastAsia="SimSun"/>
        </w:rPr>
        <w:t xml:space="preserve">.  </w:t>
      </w:r>
    </w:p>
    <w:p w:rsidR="002B4924" w:rsidRDefault="002B4924" w:rsidP="002B4924">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Does Mr. </w:t>
      </w:r>
      <w:proofErr w:type="spellStart"/>
      <w:r>
        <w:rPr>
          <w:b/>
          <w:szCs w:val="24"/>
        </w:rPr>
        <w:t>Parcell</w:t>
      </w:r>
      <w:proofErr w:type="spellEnd"/>
      <w:r>
        <w:rPr>
          <w:b/>
          <w:szCs w:val="24"/>
        </w:rPr>
        <w:t xml:space="preserve"> accurately assess the impact of current capital market conditions on the Cost of Capital for the Company? </w:t>
      </w:r>
    </w:p>
    <w:p w:rsidR="002B4924" w:rsidRPr="00A835C5" w:rsidRDefault="002B4924" w:rsidP="00C06AC8">
      <w:pPr>
        <w:pStyle w:val="QAQCont"/>
        <w:spacing w:after="0" w:line="480" w:lineRule="auto"/>
        <w:ind w:left="720" w:hanging="720"/>
        <w:jc w:val="left"/>
      </w:pPr>
      <w:r w:rsidRPr="00C06AC8">
        <w:rPr>
          <w:szCs w:val="24"/>
        </w:rPr>
        <w:t>A.</w:t>
      </w:r>
      <w:r>
        <w:rPr>
          <w:b/>
          <w:szCs w:val="24"/>
        </w:rPr>
        <w:tab/>
      </w:r>
      <w:r>
        <w:rPr>
          <w:szCs w:val="24"/>
        </w:rPr>
        <w:t xml:space="preserve">While Mr. </w:t>
      </w:r>
      <w:proofErr w:type="spellStart"/>
      <w:r>
        <w:rPr>
          <w:szCs w:val="24"/>
        </w:rPr>
        <w:t>Parcell</w:t>
      </w:r>
      <w:proofErr w:type="spellEnd"/>
      <w:r>
        <w:rPr>
          <w:szCs w:val="24"/>
        </w:rPr>
        <w:t xml:space="preserve"> identifies the current economic and financial situation</w:t>
      </w:r>
      <w:r w:rsidR="00396779">
        <w:rPr>
          <w:szCs w:val="24"/>
        </w:rPr>
        <w:t>s</w:t>
      </w:r>
      <w:r>
        <w:rPr>
          <w:szCs w:val="24"/>
        </w:rPr>
        <w:t xml:space="preserve"> as fundamentally different from those of the last century, he does not acknowledge the increased cost of bearing equity risk that occurred in tandem with the “flight to safety” to the Treasury bond market</w:t>
      </w:r>
      <w:r w:rsidRPr="002B4924">
        <w:rPr>
          <w:szCs w:val="24"/>
        </w:rPr>
        <w:t>.</w:t>
      </w:r>
      <w:r w:rsidR="006E3194">
        <w:rPr>
          <w:rStyle w:val="FootnoteReference"/>
          <w:szCs w:val="24"/>
        </w:rPr>
        <w:footnoteReference w:id="10"/>
      </w:r>
      <w:r>
        <w:rPr>
          <w:szCs w:val="24"/>
        </w:rPr>
        <w:t xml:space="preserve">  By highlighting only the decrease in treasury yields, Mr. </w:t>
      </w:r>
      <w:proofErr w:type="spellStart"/>
      <w:r>
        <w:rPr>
          <w:szCs w:val="24"/>
        </w:rPr>
        <w:t>Parcell</w:t>
      </w:r>
      <w:proofErr w:type="spellEnd"/>
      <w:r>
        <w:rPr>
          <w:szCs w:val="24"/>
        </w:rPr>
        <w:t xml:space="preserve"> implies that investors’ expectations of returns on the market have solely decreased.</w:t>
      </w:r>
      <w:r w:rsidR="00AF1EBF">
        <w:rPr>
          <w:szCs w:val="24"/>
        </w:rPr>
        <w:t xml:space="preserve"> </w:t>
      </w:r>
      <w:r>
        <w:rPr>
          <w:szCs w:val="24"/>
        </w:rPr>
        <w:t xml:space="preserve"> This ignores the parallel increase in expectations of returns spurred by </w:t>
      </w:r>
      <w:r w:rsidR="00396779">
        <w:rPr>
          <w:szCs w:val="24"/>
        </w:rPr>
        <w:t xml:space="preserve">an </w:t>
      </w:r>
      <w:r>
        <w:rPr>
          <w:szCs w:val="24"/>
        </w:rPr>
        <w:t>increas</w:t>
      </w:r>
      <w:r w:rsidR="00396779">
        <w:rPr>
          <w:szCs w:val="24"/>
        </w:rPr>
        <w:t xml:space="preserve">e in the cost of bearing risk in the equity </w:t>
      </w:r>
      <w:r>
        <w:rPr>
          <w:szCs w:val="24"/>
        </w:rPr>
        <w:t>markets.</w:t>
      </w:r>
      <w:r w:rsidR="00396779">
        <w:rPr>
          <w:rStyle w:val="FootnoteReference"/>
          <w:szCs w:val="24"/>
        </w:rPr>
        <w:footnoteReference w:id="11"/>
      </w:r>
      <w:r>
        <w:rPr>
          <w:szCs w:val="24"/>
        </w:rPr>
        <w:t xml:space="preserve"> </w:t>
      </w:r>
    </w:p>
    <w:p w:rsidR="00EA73AB" w:rsidRPr="00047094" w:rsidRDefault="00EA73AB" w:rsidP="001C4000">
      <w:pPr>
        <w:pStyle w:val="Heading1"/>
      </w:pPr>
      <w:bookmarkStart w:id="13" w:name="_Toc447616294"/>
      <w:r>
        <w:t>Key Flaws in Mr. Parcell’s Analys</w:t>
      </w:r>
      <w:r w:rsidR="00947237">
        <w:t>e</w:t>
      </w:r>
      <w:r>
        <w:t>s</w:t>
      </w:r>
      <w:bookmarkEnd w:id="13"/>
      <w:r>
        <w:t xml:space="preserve"> </w:t>
      </w:r>
    </w:p>
    <w:p w:rsidR="00947237" w:rsidRDefault="00947237">
      <w:pPr>
        <w:pStyle w:val="QAQuestion"/>
        <w:tabs>
          <w:tab w:val="num" w:pos="720"/>
        </w:tabs>
        <w:spacing w:after="0" w:line="480" w:lineRule="auto"/>
        <w:ind w:left="720" w:hanging="720"/>
        <w:jc w:val="left"/>
        <w:rPr>
          <w:b/>
          <w:szCs w:val="24"/>
        </w:rPr>
      </w:pPr>
      <w:r>
        <w:rPr>
          <w:b/>
          <w:szCs w:val="24"/>
        </w:rPr>
        <w:t>Q.</w:t>
      </w:r>
      <w:r>
        <w:rPr>
          <w:b/>
          <w:szCs w:val="24"/>
        </w:rPr>
        <w:tab/>
        <w:t xml:space="preserve">Please summarize your critique of Mr. </w:t>
      </w:r>
      <w:proofErr w:type="spellStart"/>
      <w:r>
        <w:rPr>
          <w:b/>
          <w:szCs w:val="24"/>
        </w:rPr>
        <w:t>Parcell’s</w:t>
      </w:r>
      <w:proofErr w:type="spellEnd"/>
      <w:r>
        <w:rPr>
          <w:b/>
          <w:szCs w:val="24"/>
        </w:rPr>
        <w:t xml:space="preserve"> evidence.</w:t>
      </w:r>
    </w:p>
    <w:p w:rsidR="00BF4D0A" w:rsidRDefault="00947237" w:rsidP="00C06AC8">
      <w:pPr>
        <w:pStyle w:val="BodyText"/>
        <w:spacing w:after="0" w:line="480" w:lineRule="auto"/>
        <w:ind w:left="720" w:hanging="720"/>
        <w:jc w:val="left"/>
        <w:rPr>
          <w:rFonts w:eastAsia="SimSun"/>
        </w:rPr>
      </w:pPr>
      <w:r>
        <w:rPr>
          <w:rFonts w:eastAsia="SimSun"/>
        </w:rPr>
        <w:t>A.</w:t>
      </w:r>
      <w:r>
        <w:rPr>
          <w:rFonts w:eastAsia="SimSun"/>
        </w:rPr>
        <w:tab/>
        <w:t xml:space="preserve">Mr. </w:t>
      </w:r>
      <w:proofErr w:type="spellStart"/>
      <w:r>
        <w:rPr>
          <w:rFonts w:eastAsia="SimSun"/>
        </w:rPr>
        <w:t>Parcell’s</w:t>
      </w:r>
      <w:proofErr w:type="spellEnd"/>
      <w:r>
        <w:rPr>
          <w:rFonts w:eastAsia="SimSun"/>
        </w:rPr>
        <w:t xml:space="preserve"> evidence suffers from </w:t>
      </w:r>
      <w:r w:rsidR="00235EC7">
        <w:rPr>
          <w:rFonts w:eastAsia="SimSun"/>
        </w:rPr>
        <w:t>four</w:t>
      </w:r>
      <w:r w:rsidR="00BF4D0A">
        <w:rPr>
          <w:rFonts w:eastAsia="SimSun"/>
        </w:rPr>
        <w:t xml:space="preserve"> categories</w:t>
      </w:r>
      <w:r>
        <w:rPr>
          <w:rFonts w:eastAsia="SimSun"/>
        </w:rPr>
        <w:t xml:space="preserve"> of flaws</w:t>
      </w:r>
      <w:r w:rsidR="00BF4D0A">
        <w:rPr>
          <w:rFonts w:eastAsia="SimSun"/>
        </w:rPr>
        <w:t xml:space="preserve">.  </w:t>
      </w:r>
      <w:r w:rsidR="00235EC7">
        <w:rPr>
          <w:rFonts w:eastAsia="SimSun"/>
        </w:rPr>
        <w:t xml:space="preserve">First, as I describe in the summary of my testimony, he presents an ROE that has different financial leverage assumptions than the ones he recommends using for ratemaking purposes, resulting in an understatement of the fair return. </w:t>
      </w:r>
      <w:r w:rsidR="006322E6">
        <w:rPr>
          <w:rFonts w:eastAsia="SimSun"/>
        </w:rPr>
        <w:t xml:space="preserve"> </w:t>
      </w:r>
      <w:r w:rsidR="00235EC7">
        <w:rPr>
          <w:rFonts w:eastAsia="SimSun"/>
        </w:rPr>
        <w:t>Second,</w:t>
      </w:r>
      <w:r w:rsidR="00BF4D0A">
        <w:rPr>
          <w:rFonts w:eastAsia="SimSun"/>
        </w:rPr>
        <w:t xml:space="preserve"> the ranges he presents for </w:t>
      </w:r>
      <w:r w:rsidR="00235EC7">
        <w:rPr>
          <w:rFonts w:eastAsia="SimSun"/>
        </w:rPr>
        <w:t>his</w:t>
      </w:r>
      <w:r w:rsidR="00BF4D0A">
        <w:rPr>
          <w:rFonts w:eastAsia="SimSun"/>
        </w:rPr>
        <w:t xml:space="preserve"> models are not always reasonably based </w:t>
      </w:r>
      <w:r w:rsidR="001E7BDE">
        <w:rPr>
          <w:rFonts w:eastAsia="SimSun"/>
        </w:rPr>
        <w:t>on</w:t>
      </w:r>
      <w:r w:rsidR="00BF4D0A">
        <w:rPr>
          <w:rFonts w:eastAsia="SimSun"/>
        </w:rPr>
        <w:t xml:space="preserve"> </w:t>
      </w:r>
      <w:r w:rsidR="00235EC7">
        <w:rPr>
          <w:rFonts w:eastAsia="SimSun"/>
        </w:rPr>
        <w:t>the</w:t>
      </w:r>
      <w:r w:rsidR="00BF4D0A">
        <w:rPr>
          <w:rFonts w:eastAsia="SimSun"/>
        </w:rPr>
        <w:t xml:space="preserve"> model results</w:t>
      </w:r>
      <w:r w:rsidR="001E7BDE">
        <w:rPr>
          <w:rFonts w:eastAsia="SimSun"/>
        </w:rPr>
        <w:t xml:space="preserve">; he uses judgment to determine ranges in a way that </w:t>
      </w:r>
      <w:r w:rsidR="00F163BF">
        <w:rPr>
          <w:rFonts w:eastAsia="SimSun"/>
        </w:rPr>
        <w:t xml:space="preserve">seemingly </w:t>
      </w:r>
      <w:r w:rsidR="001E7BDE">
        <w:rPr>
          <w:rFonts w:eastAsia="SimSun"/>
        </w:rPr>
        <w:t>does</w:t>
      </w:r>
      <w:r w:rsidR="00F163BF">
        <w:rPr>
          <w:rFonts w:eastAsia="SimSun"/>
        </w:rPr>
        <w:t xml:space="preserve"> </w:t>
      </w:r>
      <w:r w:rsidR="001E7BDE">
        <w:rPr>
          <w:rFonts w:eastAsia="SimSun"/>
        </w:rPr>
        <w:t>n</w:t>
      </w:r>
      <w:r w:rsidR="00F163BF">
        <w:rPr>
          <w:rFonts w:eastAsia="SimSun"/>
        </w:rPr>
        <w:t>o</w:t>
      </w:r>
      <w:r w:rsidR="001E7BDE">
        <w:rPr>
          <w:rFonts w:eastAsia="SimSun"/>
        </w:rPr>
        <w:t xml:space="preserve">t reflect the data.  </w:t>
      </w:r>
      <w:r w:rsidR="00235EC7">
        <w:rPr>
          <w:rFonts w:eastAsia="SimSun"/>
        </w:rPr>
        <w:t xml:space="preserve">Third, he relies upon certain data that are in error, </w:t>
      </w:r>
      <w:r w:rsidR="00BF4D0A">
        <w:rPr>
          <w:rFonts w:eastAsia="SimSun"/>
        </w:rPr>
        <w:t xml:space="preserve">and </w:t>
      </w:r>
      <w:r w:rsidR="00235EC7">
        <w:rPr>
          <w:rFonts w:eastAsia="SimSun"/>
        </w:rPr>
        <w:t>fourth, he</w:t>
      </w:r>
      <w:r w:rsidR="00BF4D0A">
        <w:rPr>
          <w:rFonts w:eastAsia="SimSun"/>
        </w:rPr>
        <w:t xml:space="preserve"> </w:t>
      </w:r>
      <w:r>
        <w:rPr>
          <w:rFonts w:eastAsia="SimSun"/>
        </w:rPr>
        <w:t>use</w:t>
      </w:r>
      <w:r w:rsidR="00235EC7">
        <w:rPr>
          <w:rFonts w:eastAsia="SimSun"/>
        </w:rPr>
        <w:t>s</w:t>
      </w:r>
      <w:r>
        <w:rPr>
          <w:rFonts w:eastAsia="SimSun"/>
        </w:rPr>
        <w:t xml:space="preserve"> </w:t>
      </w:r>
      <w:r w:rsidR="00396779">
        <w:rPr>
          <w:rFonts w:eastAsia="SimSun"/>
        </w:rPr>
        <w:t>certain</w:t>
      </w:r>
      <w:r w:rsidR="00235EC7">
        <w:rPr>
          <w:rFonts w:eastAsia="SimSun"/>
        </w:rPr>
        <w:t xml:space="preserve"> </w:t>
      </w:r>
      <w:r>
        <w:rPr>
          <w:rFonts w:eastAsia="SimSun"/>
        </w:rPr>
        <w:t>methodologies</w:t>
      </w:r>
      <w:r w:rsidR="00235EC7">
        <w:rPr>
          <w:rFonts w:eastAsia="SimSun"/>
        </w:rPr>
        <w:t xml:space="preserve"> that are not valid</w:t>
      </w:r>
      <w:r>
        <w:rPr>
          <w:rFonts w:eastAsia="SimSun"/>
        </w:rPr>
        <w:t xml:space="preserve">.  </w:t>
      </w:r>
      <w:r w:rsidR="00BF4D0A">
        <w:rPr>
          <w:rFonts w:eastAsia="SimSun"/>
        </w:rPr>
        <w:t>Taken together, th</w:t>
      </w:r>
      <w:r w:rsidR="001E7BDE">
        <w:rPr>
          <w:rFonts w:eastAsia="SimSun"/>
        </w:rPr>
        <w:t>e</w:t>
      </w:r>
      <w:r w:rsidR="00BF4D0A">
        <w:rPr>
          <w:rFonts w:eastAsia="SimSun"/>
        </w:rPr>
        <w:t xml:space="preserve"> host of problems affecting his evidence jeopardize</w:t>
      </w:r>
      <w:r w:rsidR="005A5A79">
        <w:rPr>
          <w:rFonts w:eastAsia="SimSun"/>
        </w:rPr>
        <w:t>s</w:t>
      </w:r>
      <w:r w:rsidR="00BF4D0A">
        <w:rPr>
          <w:rFonts w:eastAsia="SimSun"/>
        </w:rPr>
        <w:t xml:space="preserve"> the credibility of his recommendations.</w:t>
      </w:r>
    </w:p>
    <w:p w:rsidR="00BF4D0A" w:rsidRDefault="00BF4D0A" w:rsidP="001C4000">
      <w:pPr>
        <w:pStyle w:val="QAQuestion"/>
        <w:tabs>
          <w:tab w:val="num" w:pos="720"/>
        </w:tabs>
        <w:spacing w:after="0" w:line="480" w:lineRule="auto"/>
        <w:ind w:left="720" w:hanging="720"/>
        <w:jc w:val="left"/>
        <w:rPr>
          <w:b/>
          <w:szCs w:val="24"/>
        </w:rPr>
      </w:pPr>
      <w:r>
        <w:rPr>
          <w:b/>
          <w:szCs w:val="24"/>
        </w:rPr>
        <w:t>Q.</w:t>
      </w:r>
      <w:r>
        <w:rPr>
          <w:b/>
          <w:szCs w:val="24"/>
        </w:rPr>
        <w:tab/>
        <w:t xml:space="preserve">Please explain how Mr. </w:t>
      </w:r>
      <w:proofErr w:type="spellStart"/>
      <w:r>
        <w:rPr>
          <w:b/>
          <w:szCs w:val="24"/>
        </w:rPr>
        <w:t>Parcell’s</w:t>
      </w:r>
      <w:proofErr w:type="spellEnd"/>
      <w:r>
        <w:rPr>
          <w:b/>
          <w:szCs w:val="24"/>
        </w:rPr>
        <w:t xml:space="preserve"> recommended ranges do not always match his model results.</w:t>
      </w:r>
    </w:p>
    <w:p w:rsidR="00BF4D0A" w:rsidRDefault="00BF4D0A" w:rsidP="00C06AC8">
      <w:pPr>
        <w:pStyle w:val="BodyText"/>
        <w:spacing w:after="0" w:line="480" w:lineRule="auto"/>
        <w:ind w:left="720" w:hanging="720"/>
        <w:jc w:val="left"/>
        <w:rPr>
          <w:szCs w:val="24"/>
        </w:rPr>
      </w:pPr>
      <w:r w:rsidRPr="00C06AC8">
        <w:rPr>
          <w:szCs w:val="24"/>
        </w:rPr>
        <w:t>A.</w:t>
      </w:r>
      <w:r>
        <w:rPr>
          <w:b/>
          <w:szCs w:val="24"/>
        </w:rPr>
        <w:tab/>
      </w:r>
      <w:r>
        <w:rPr>
          <w:szCs w:val="24"/>
        </w:rPr>
        <w:t xml:space="preserve">Mr. </w:t>
      </w:r>
      <w:proofErr w:type="spellStart"/>
      <w:r>
        <w:rPr>
          <w:szCs w:val="24"/>
        </w:rPr>
        <w:t>Parcell</w:t>
      </w:r>
      <w:proofErr w:type="spellEnd"/>
      <w:r>
        <w:rPr>
          <w:szCs w:val="24"/>
        </w:rPr>
        <w:t xml:space="preserve"> outlines the range of his estimates for ROE on page 4 of his testimony. These ranges do not reflect the full range o</w:t>
      </w:r>
      <w:r w:rsidR="006322E6">
        <w:rPr>
          <w:szCs w:val="24"/>
        </w:rPr>
        <w:t xml:space="preserve">f data present in his models.  </w:t>
      </w:r>
      <w:r>
        <w:rPr>
          <w:szCs w:val="24"/>
        </w:rPr>
        <w:t xml:space="preserve">For example, estimates of the </w:t>
      </w:r>
      <w:r w:rsidR="009832FB">
        <w:rPr>
          <w:szCs w:val="24"/>
        </w:rPr>
        <w:t>Discounted Cash Flow (</w:t>
      </w:r>
      <w:proofErr w:type="spellStart"/>
      <w:r>
        <w:rPr>
          <w:szCs w:val="24"/>
        </w:rPr>
        <w:t>DCF</w:t>
      </w:r>
      <w:proofErr w:type="spellEnd"/>
      <w:r w:rsidR="009832FB">
        <w:rPr>
          <w:szCs w:val="24"/>
        </w:rPr>
        <w:t>)</w:t>
      </w:r>
      <w:r>
        <w:rPr>
          <w:szCs w:val="24"/>
        </w:rPr>
        <w:t xml:space="preserve"> model are reported to range from 8.50</w:t>
      </w:r>
      <w:r w:rsidR="00BF7B0B">
        <w:rPr>
          <w:szCs w:val="24"/>
        </w:rPr>
        <w:t xml:space="preserve"> percent to </w:t>
      </w:r>
      <w:r>
        <w:rPr>
          <w:szCs w:val="24"/>
        </w:rPr>
        <w:t>9.50</w:t>
      </w:r>
      <w:r w:rsidR="00BF7B0B">
        <w:rPr>
          <w:szCs w:val="24"/>
        </w:rPr>
        <w:t xml:space="preserve"> percent</w:t>
      </w:r>
      <w:r>
        <w:rPr>
          <w:szCs w:val="24"/>
        </w:rPr>
        <w:t>, with a midpoint of 9.00</w:t>
      </w:r>
      <w:r w:rsidR="00BF7B0B">
        <w:rPr>
          <w:szCs w:val="24"/>
        </w:rPr>
        <w:t xml:space="preserve"> percent</w:t>
      </w:r>
      <w:r>
        <w:rPr>
          <w:szCs w:val="24"/>
        </w:rPr>
        <w:t xml:space="preserve"> in the testimony.</w:t>
      </w:r>
      <w:r w:rsidR="006322E6">
        <w:rPr>
          <w:szCs w:val="24"/>
        </w:rPr>
        <w:t xml:space="preserve"> </w:t>
      </w:r>
      <w:r>
        <w:rPr>
          <w:szCs w:val="24"/>
        </w:rPr>
        <w:t xml:space="preserve"> </w:t>
      </w:r>
      <w:proofErr w:type="gramStart"/>
      <w:r>
        <w:rPr>
          <w:szCs w:val="24"/>
        </w:rPr>
        <w:t>However,</w:t>
      </w:r>
      <w:r w:rsidR="005F0014">
        <w:rPr>
          <w:szCs w:val="24"/>
        </w:rPr>
        <w:t xml:space="preserve"> the data in </w:t>
      </w:r>
      <w:r w:rsidR="00BF7B0B">
        <w:rPr>
          <w:szCs w:val="24"/>
        </w:rPr>
        <w:t>Exhibit No.</w:t>
      </w:r>
      <w:proofErr w:type="gramEnd"/>
      <w:r w:rsidR="00BF7B0B">
        <w:rPr>
          <w:szCs w:val="24"/>
        </w:rPr>
        <w:t xml:space="preserve"> </w:t>
      </w:r>
      <w:r w:rsidR="005F0014">
        <w:rPr>
          <w:szCs w:val="24"/>
        </w:rPr>
        <w:t>DCP-9, p 4 suggest</w:t>
      </w:r>
      <w:r w:rsidR="00AF1EBF">
        <w:rPr>
          <w:szCs w:val="24"/>
        </w:rPr>
        <w:t>s</w:t>
      </w:r>
      <w:r>
        <w:rPr>
          <w:szCs w:val="24"/>
        </w:rPr>
        <w:t xml:space="preserve"> that the range goes from 7.83</w:t>
      </w:r>
      <w:r w:rsidR="00BF7B0B">
        <w:rPr>
          <w:szCs w:val="24"/>
        </w:rPr>
        <w:t xml:space="preserve"> percent</w:t>
      </w:r>
      <w:r>
        <w:rPr>
          <w:szCs w:val="24"/>
        </w:rPr>
        <w:t xml:space="preserve"> to 10.91</w:t>
      </w:r>
      <w:r w:rsidR="00BF7B0B">
        <w:rPr>
          <w:szCs w:val="24"/>
        </w:rPr>
        <w:t xml:space="preserve"> percent</w:t>
      </w:r>
      <w:r>
        <w:rPr>
          <w:szCs w:val="24"/>
        </w:rPr>
        <w:t xml:space="preserve"> with a midpoint of 9.37</w:t>
      </w:r>
      <w:r w:rsidR="00BF7B0B">
        <w:rPr>
          <w:szCs w:val="24"/>
        </w:rPr>
        <w:t xml:space="preserve"> percent</w:t>
      </w:r>
      <w:r>
        <w:rPr>
          <w:szCs w:val="24"/>
        </w:rPr>
        <w:t xml:space="preserve">. </w:t>
      </w:r>
      <w:r w:rsidR="00AF1EBF">
        <w:rPr>
          <w:szCs w:val="24"/>
        </w:rPr>
        <w:t xml:space="preserve"> </w:t>
      </w:r>
      <w:r w:rsidR="005F0014">
        <w:rPr>
          <w:szCs w:val="24"/>
        </w:rPr>
        <w:t>By narrowing the range and choosing an alternative midpoint</w:t>
      </w:r>
      <w:r w:rsidR="001E7BDE">
        <w:rPr>
          <w:szCs w:val="24"/>
        </w:rPr>
        <w:t xml:space="preserve"> </w:t>
      </w:r>
      <w:r w:rsidR="00F163BF">
        <w:rPr>
          <w:szCs w:val="24"/>
        </w:rPr>
        <w:t>than</w:t>
      </w:r>
      <w:r w:rsidR="001E7BDE">
        <w:rPr>
          <w:szCs w:val="24"/>
        </w:rPr>
        <w:t xml:space="preserve"> the actual,</w:t>
      </w:r>
      <w:r w:rsidR="005F0014">
        <w:rPr>
          <w:szCs w:val="24"/>
        </w:rPr>
        <w:t xml:space="preserve"> </w:t>
      </w:r>
      <w:r>
        <w:rPr>
          <w:szCs w:val="24"/>
        </w:rPr>
        <w:t xml:space="preserve">Mr. </w:t>
      </w:r>
      <w:proofErr w:type="spellStart"/>
      <w:r>
        <w:rPr>
          <w:szCs w:val="24"/>
        </w:rPr>
        <w:t>Parcell</w:t>
      </w:r>
      <w:proofErr w:type="spellEnd"/>
      <w:r>
        <w:rPr>
          <w:szCs w:val="24"/>
        </w:rPr>
        <w:t xml:space="preserve"> mischaracterizes the results of his DCF analyses.  Estimates for his other ROE models exhibit similar trend</w:t>
      </w:r>
      <w:r w:rsidR="005F0014">
        <w:rPr>
          <w:szCs w:val="24"/>
        </w:rPr>
        <w:t>s</w:t>
      </w:r>
      <w:r>
        <w:rPr>
          <w:szCs w:val="24"/>
        </w:rPr>
        <w:t xml:space="preserve">, with his ranges and midpoints in the testimony falling below the numbers </w:t>
      </w:r>
      <w:r w:rsidR="005F0014">
        <w:rPr>
          <w:szCs w:val="24"/>
        </w:rPr>
        <w:t xml:space="preserve">supported </w:t>
      </w:r>
      <w:r>
        <w:rPr>
          <w:szCs w:val="24"/>
        </w:rPr>
        <w:t xml:space="preserve">in his exhibits.  </w:t>
      </w:r>
      <w:r w:rsidRPr="00074AC4">
        <w:rPr>
          <w:szCs w:val="24"/>
        </w:rPr>
        <w:t>Exhibit No. KGS-34</w:t>
      </w:r>
      <w:r>
        <w:rPr>
          <w:szCs w:val="24"/>
        </w:rPr>
        <w:t xml:space="preserve"> summarizes the differences between Mr. </w:t>
      </w:r>
      <w:proofErr w:type="spellStart"/>
      <w:r>
        <w:rPr>
          <w:szCs w:val="24"/>
        </w:rPr>
        <w:t>Parcell’s</w:t>
      </w:r>
      <w:proofErr w:type="spellEnd"/>
      <w:r>
        <w:rPr>
          <w:szCs w:val="24"/>
        </w:rPr>
        <w:t xml:space="preserve"> ranges in his testimony and the model results presented in his exhibits. </w:t>
      </w:r>
    </w:p>
    <w:p w:rsidR="005A5A79" w:rsidRDefault="005A5A79" w:rsidP="005A5A79">
      <w:pPr>
        <w:pStyle w:val="QAQuestion"/>
        <w:tabs>
          <w:tab w:val="num" w:pos="720"/>
        </w:tabs>
        <w:spacing w:after="0" w:line="480" w:lineRule="auto"/>
        <w:ind w:left="720" w:hanging="720"/>
        <w:jc w:val="left"/>
        <w:rPr>
          <w:b/>
          <w:szCs w:val="24"/>
        </w:rPr>
      </w:pPr>
      <w:r>
        <w:rPr>
          <w:b/>
          <w:szCs w:val="24"/>
        </w:rPr>
        <w:t>Q.</w:t>
      </w:r>
      <w:r>
        <w:rPr>
          <w:b/>
          <w:szCs w:val="24"/>
        </w:rPr>
        <w:tab/>
        <w:t xml:space="preserve">Turning to the second category of flaws, which data errors </w:t>
      </w:r>
      <w:r w:rsidR="004A1CB2">
        <w:rPr>
          <w:b/>
          <w:szCs w:val="24"/>
        </w:rPr>
        <w:t xml:space="preserve">or issues </w:t>
      </w:r>
      <w:r>
        <w:rPr>
          <w:b/>
          <w:szCs w:val="24"/>
        </w:rPr>
        <w:t xml:space="preserve">have you identified in Mr. </w:t>
      </w:r>
      <w:proofErr w:type="spellStart"/>
      <w:r>
        <w:rPr>
          <w:b/>
          <w:szCs w:val="24"/>
        </w:rPr>
        <w:t>Parcell’s</w:t>
      </w:r>
      <w:proofErr w:type="spellEnd"/>
      <w:r>
        <w:rPr>
          <w:b/>
          <w:szCs w:val="24"/>
        </w:rPr>
        <w:t xml:space="preserve"> evidence?</w:t>
      </w:r>
    </w:p>
    <w:p w:rsidR="004A1CB2" w:rsidRDefault="00496011" w:rsidP="00C06AC8">
      <w:pPr>
        <w:pStyle w:val="BodyText"/>
        <w:spacing w:after="0" w:line="480" w:lineRule="auto"/>
        <w:ind w:left="720" w:hanging="720"/>
        <w:jc w:val="left"/>
        <w:rPr>
          <w:szCs w:val="24"/>
        </w:rPr>
      </w:pPr>
      <w:r w:rsidRPr="00C06AC8">
        <w:rPr>
          <w:szCs w:val="24"/>
        </w:rPr>
        <w:t>A.</w:t>
      </w:r>
      <w:r>
        <w:rPr>
          <w:b/>
          <w:szCs w:val="24"/>
        </w:rPr>
        <w:tab/>
      </w:r>
      <w:r w:rsidR="005274E3">
        <w:rPr>
          <w:szCs w:val="24"/>
        </w:rPr>
        <w:t>There are several.  First</w:t>
      </w:r>
      <w:r w:rsidR="005274E3" w:rsidRPr="005274E3">
        <w:rPr>
          <w:szCs w:val="24"/>
        </w:rPr>
        <w:t xml:space="preserve">, Mr. </w:t>
      </w:r>
      <w:proofErr w:type="spellStart"/>
      <w:r w:rsidR="005274E3" w:rsidRPr="005274E3">
        <w:rPr>
          <w:szCs w:val="24"/>
        </w:rPr>
        <w:t>Parcell</w:t>
      </w:r>
      <w:proofErr w:type="spellEnd"/>
      <w:r w:rsidR="005274E3" w:rsidRPr="005274E3">
        <w:rPr>
          <w:szCs w:val="24"/>
        </w:rPr>
        <w:t xml:space="preserve"> records the Value Line Beta of Westar Energy as 0.45 in Exhibit No. </w:t>
      </w:r>
      <w:proofErr w:type="gramStart"/>
      <w:r w:rsidR="005274E3" w:rsidRPr="005274E3">
        <w:rPr>
          <w:szCs w:val="24"/>
        </w:rPr>
        <w:t>DCP-14.</w:t>
      </w:r>
      <w:proofErr w:type="gramEnd"/>
      <w:r w:rsidR="005274E3" w:rsidRPr="005274E3">
        <w:rPr>
          <w:szCs w:val="24"/>
        </w:rPr>
        <w:t xml:space="preserve"> </w:t>
      </w:r>
      <w:r w:rsidR="005274E3">
        <w:rPr>
          <w:szCs w:val="24"/>
        </w:rPr>
        <w:t xml:space="preserve"> </w:t>
      </w:r>
      <w:r w:rsidR="005274E3" w:rsidRPr="005274E3">
        <w:rPr>
          <w:szCs w:val="24"/>
        </w:rPr>
        <w:t xml:space="preserve">However, upon reviewing Mr. </w:t>
      </w:r>
      <w:proofErr w:type="spellStart"/>
      <w:r w:rsidR="005274E3" w:rsidRPr="005274E3">
        <w:rPr>
          <w:szCs w:val="24"/>
        </w:rPr>
        <w:t>Parcell’s</w:t>
      </w:r>
      <w:proofErr w:type="spellEnd"/>
      <w:r w:rsidR="005274E3" w:rsidRPr="005274E3">
        <w:rPr>
          <w:szCs w:val="24"/>
        </w:rPr>
        <w:t xml:space="preserve"> work papers, </w:t>
      </w:r>
      <w:r w:rsidR="005274E3">
        <w:rPr>
          <w:szCs w:val="24"/>
        </w:rPr>
        <w:t xml:space="preserve">I discovered that </w:t>
      </w:r>
      <w:r w:rsidR="005274E3" w:rsidRPr="005274E3">
        <w:rPr>
          <w:szCs w:val="24"/>
        </w:rPr>
        <w:t xml:space="preserve">the correct Value Line Beta for Westar is 0.75. </w:t>
      </w:r>
      <w:r w:rsidR="00AF1EBF">
        <w:rPr>
          <w:szCs w:val="24"/>
        </w:rPr>
        <w:t xml:space="preserve"> </w:t>
      </w:r>
      <w:r w:rsidR="005274E3" w:rsidRPr="005274E3">
        <w:rPr>
          <w:szCs w:val="24"/>
        </w:rPr>
        <w:t xml:space="preserve">This error causes Mr. </w:t>
      </w:r>
      <w:proofErr w:type="spellStart"/>
      <w:r w:rsidR="005274E3" w:rsidRPr="005274E3">
        <w:rPr>
          <w:szCs w:val="24"/>
        </w:rPr>
        <w:t>Parcell</w:t>
      </w:r>
      <w:proofErr w:type="spellEnd"/>
      <w:r w:rsidR="005274E3" w:rsidRPr="005274E3">
        <w:rPr>
          <w:szCs w:val="24"/>
        </w:rPr>
        <w:t xml:space="preserve"> to understate the </w:t>
      </w:r>
      <w:r w:rsidR="005274E3">
        <w:rPr>
          <w:szCs w:val="24"/>
        </w:rPr>
        <w:t xml:space="preserve">beta and </w:t>
      </w:r>
      <w:r w:rsidR="005274E3" w:rsidRPr="005274E3">
        <w:rPr>
          <w:szCs w:val="24"/>
        </w:rPr>
        <w:t>perceiv</w:t>
      </w:r>
      <w:r w:rsidR="005274E3">
        <w:rPr>
          <w:szCs w:val="24"/>
        </w:rPr>
        <w:t>ed riskiness of his proxy groups</w:t>
      </w:r>
      <w:r w:rsidR="005274E3" w:rsidRPr="005274E3">
        <w:rPr>
          <w:szCs w:val="24"/>
        </w:rPr>
        <w:t xml:space="preserve">. </w:t>
      </w:r>
      <w:r w:rsidR="00AF1EBF">
        <w:rPr>
          <w:szCs w:val="24"/>
        </w:rPr>
        <w:t xml:space="preserve"> </w:t>
      </w:r>
      <w:r w:rsidR="005274E3" w:rsidRPr="005274E3">
        <w:rPr>
          <w:szCs w:val="24"/>
        </w:rPr>
        <w:t xml:space="preserve">In turn, this error artificially </w:t>
      </w:r>
      <w:r w:rsidR="005274E3">
        <w:rPr>
          <w:szCs w:val="24"/>
        </w:rPr>
        <w:t>understates</w:t>
      </w:r>
      <w:r w:rsidR="005274E3" w:rsidRPr="005274E3">
        <w:rPr>
          <w:szCs w:val="24"/>
        </w:rPr>
        <w:t xml:space="preserve"> the expected ROE as calculated in the </w:t>
      </w:r>
      <w:r w:rsidR="009832FB">
        <w:rPr>
          <w:szCs w:val="24"/>
        </w:rPr>
        <w:t>Capital Asset Pricing Model (</w:t>
      </w:r>
      <w:proofErr w:type="spellStart"/>
      <w:r w:rsidR="005274E3" w:rsidRPr="005274E3">
        <w:rPr>
          <w:szCs w:val="24"/>
        </w:rPr>
        <w:t>CAPM</w:t>
      </w:r>
      <w:proofErr w:type="spellEnd"/>
      <w:r w:rsidR="009832FB">
        <w:rPr>
          <w:szCs w:val="24"/>
        </w:rPr>
        <w:t>)</w:t>
      </w:r>
      <w:r w:rsidR="005274E3" w:rsidRPr="005274E3">
        <w:rPr>
          <w:szCs w:val="24"/>
        </w:rPr>
        <w:t xml:space="preserve">. </w:t>
      </w:r>
      <w:r w:rsidR="005274E3">
        <w:rPr>
          <w:szCs w:val="24"/>
        </w:rPr>
        <w:t xml:space="preserve"> </w:t>
      </w:r>
      <w:r w:rsidR="004A1CB2">
        <w:rPr>
          <w:szCs w:val="24"/>
        </w:rPr>
        <w:t>Second, i</w:t>
      </w:r>
      <w:r w:rsidR="005274E3" w:rsidRPr="005274E3">
        <w:rPr>
          <w:szCs w:val="24"/>
        </w:rPr>
        <w:t xml:space="preserve">n </w:t>
      </w:r>
      <w:r w:rsidR="00F163BF" w:rsidRPr="005274E3">
        <w:rPr>
          <w:szCs w:val="24"/>
        </w:rPr>
        <w:t>Exhibit No.</w:t>
      </w:r>
      <w:r w:rsidR="00F163BF">
        <w:rPr>
          <w:szCs w:val="24"/>
        </w:rPr>
        <w:t xml:space="preserve"> </w:t>
      </w:r>
      <w:r w:rsidR="005274E3" w:rsidRPr="005274E3">
        <w:rPr>
          <w:szCs w:val="24"/>
        </w:rPr>
        <w:t xml:space="preserve">DCP-12, Mr. </w:t>
      </w:r>
      <w:proofErr w:type="spellStart"/>
      <w:r w:rsidR="005274E3" w:rsidRPr="005274E3">
        <w:rPr>
          <w:szCs w:val="24"/>
        </w:rPr>
        <w:t>Parcell</w:t>
      </w:r>
      <w:proofErr w:type="spellEnd"/>
      <w:r w:rsidR="005274E3" w:rsidRPr="005274E3">
        <w:rPr>
          <w:szCs w:val="24"/>
        </w:rPr>
        <w:t xml:space="preserve"> also omits several ROEs and market</w:t>
      </w:r>
      <w:r w:rsidR="00AF1EBF">
        <w:rPr>
          <w:szCs w:val="24"/>
        </w:rPr>
        <w:t>-</w:t>
      </w:r>
      <w:r w:rsidR="005274E3" w:rsidRPr="005274E3">
        <w:rPr>
          <w:szCs w:val="24"/>
        </w:rPr>
        <w:t>to</w:t>
      </w:r>
      <w:r w:rsidR="00AF1EBF">
        <w:rPr>
          <w:szCs w:val="24"/>
        </w:rPr>
        <w:t>-</w:t>
      </w:r>
      <w:r w:rsidR="005274E3" w:rsidRPr="005274E3">
        <w:rPr>
          <w:szCs w:val="24"/>
        </w:rPr>
        <w:t xml:space="preserve">book ratios without explanation. </w:t>
      </w:r>
      <w:r w:rsidR="005274E3">
        <w:rPr>
          <w:szCs w:val="24"/>
        </w:rPr>
        <w:t xml:space="preserve"> </w:t>
      </w:r>
      <w:r w:rsidR="00235EC7">
        <w:rPr>
          <w:szCs w:val="24"/>
        </w:rPr>
        <w:t>T</w:t>
      </w:r>
      <w:r w:rsidR="004A1CB2">
        <w:rPr>
          <w:rFonts w:eastAsia="SimSun"/>
        </w:rPr>
        <w:t>hird</w:t>
      </w:r>
      <w:r w:rsidR="002051A3">
        <w:rPr>
          <w:rFonts w:eastAsia="SimSun"/>
        </w:rPr>
        <w:t xml:space="preserve"> and finally</w:t>
      </w:r>
      <w:r w:rsidR="004A1CB2">
        <w:rPr>
          <w:rFonts w:eastAsia="SimSun"/>
        </w:rPr>
        <w:t xml:space="preserve">, I note that many differences exist in the historical </w:t>
      </w:r>
      <w:r w:rsidR="00F163BF">
        <w:rPr>
          <w:rFonts w:eastAsia="SimSun"/>
        </w:rPr>
        <w:t xml:space="preserve">figures </w:t>
      </w:r>
      <w:r w:rsidR="004A1CB2">
        <w:rPr>
          <w:rFonts w:eastAsia="SimSun"/>
        </w:rPr>
        <w:t xml:space="preserve">presented by Mr. </w:t>
      </w:r>
      <w:proofErr w:type="spellStart"/>
      <w:r w:rsidR="004A1CB2">
        <w:rPr>
          <w:rFonts w:eastAsia="SimSun"/>
        </w:rPr>
        <w:t>Parcell</w:t>
      </w:r>
      <w:proofErr w:type="spellEnd"/>
      <w:r w:rsidR="004A1CB2">
        <w:rPr>
          <w:rFonts w:eastAsia="SimSun"/>
        </w:rPr>
        <w:t xml:space="preserve"> in Docket UE-147062 and </w:t>
      </w:r>
      <w:r w:rsidR="00F163BF">
        <w:rPr>
          <w:rFonts w:eastAsia="SimSun"/>
        </w:rPr>
        <w:t xml:space="preserve">those in </w:t>
      </w:r>
      <w:r w:rsidR="004A1CB2">
        <w:rPr>
          <w:rFonts w:eastAsia="SimSun"/>
        </w:rPr>
        <w:t xml:space="preserve">this docket. </w:t>
      </w:r>
      <w:r w:rsidR="00F163BF">
        <w:rPr>
          <w:rFonts w:eastAsia="SimSun"/>
        </w:rPr>
        <w:t xml:space="preserve"> </w:t>
      </w:r>
      <w:r w:rsidR="004A1CB2" w:rsidRPr="00074AC4">
        <w:rPr>
          <w:rFonts w:eastAsia="SimSun"/>
        </w:rPr>
        <w:t>Exhibit No. KGS-35</w:t>
      </w:r>
      <w:r w:rsidR="004A1CB2">
        <w:rPr>
          <w:rFonts w:eastAsia="SimSun"/>
        </w:rPr>
        <w:t xml:space="preserve"> outlines the </w:t>
      </w:r>
      <w:r w:rsidR="00074AC4">
        <w:rPr>
          <w:rFonts w:eastAsia="SimSun"/>
        </w:rPr>
        <w:t>32</w:t>
      </w:r>
      <w:r w:rsidR="004A1CB2">
        <w:rPr>
          <w:rFonts w:eastAsia="SimSun"/>
        </w:rPr>
        <w:t xml:space="preserve"> instances of discrepancies in historical data that should be common across Mr. </w:t>
      </w:r>
      <w:proofErr w:type="spellStart"/>
      <w:r w:rsidR="004A1CB2">
        <w:rPr>
          <w:rFonts w:eastAsia="SimSun"/>
        </w:rPr>
        <w:t>Parcell’s</w:t>
      </w:r>
      <w:proofErr w:type="spellEnd"/>
      <w:r w:rsidR="004A1CB2">
        <w:rPr>
          <w:rFonts w:eastAsia="SimSun"/>
        </w:rPr>
        <w:t xml:space="preserve"> two testimonies. While some differences may reasonably be attributable to restatements of historic</w:t>
      </w:r>
      <w:r w:rsidR="00AF1EBF">
        <w:rPr>
          <w:rFonts w:eastAsia="SimSun"/>
        </w:rPr>
        <w:t>al</w:t>
      </w:r>
      <w:r w:rsidR="004A1CB2">
        <w:rPr>
          <w:rFonts w:eastAsia="SimSun"/>
        </w:rPr>
        <w:t xml:space="preserve"> data by the agencies publishing it, the sheer amount of discrepancies across his two testimonies – with differences in data going as far back as 1992 – is astounding.</w:t>
      </w:r>
    </w:p>
    <w:p w:rsidR="004A1CB2" w:rsidRDefault="004A1CB2" w:rsidP="001C4000">
      <w:pPr>
        <w:pStyle w:val="QAQuestion"/>
        <w:tabs>
          <w:tab w:val="num" w:pos="720"/>
        </w:tabs>
        <w:spacing w:after="0" w:line="480" w:lineRule="auto"/>
        <w:ind w:left="720" w:hanging="720"/>
        <w:jc w:val="left"/>
        <w:rPr>
          <w:b/>
          <w:szCs w:val="24"/>
        </w:rPr>
      </w:pPr>
      <w:r>
        <w:rPr>
          <w:b/>
          <w:szCs w:val="24"/>
        </w:rPr>
        <w:t>Q.</w:t>
      </w:r>
      <w:r>
        <w:rPr>
          <w:b/>
          <w:szCs w:val="24"/>
        </w:rPr>
        <w:tab/>
        <w:t xml:space="preserve">You mentioned Mr. </w:t>
      </w:r>
      <w:proofErr w:type="spellStart"/>
      <w:r>
        <w:rPr>
          <w:b/>
          <w:szCs w:val="24"/>
        </w:rPr>
        <w:t>Parcell</w:t>
      </w:r>
      <w:proofErr w:type="spellEnd"/>
      <w:r>
        <w:rPr>
          <w:b/>
          <w:szCs w:val="24"/>
        </w:rPr>
        <w:t xml:space="preserve"> uses invalid methodologies.  Please expand.</w:t>
      </w:r>
    </w:p>
    <w:p w:rsidR="004A1CB2" w:rsidRDefault="004A1CB2" w:rsidP="00C06AC8">
      <w:pPr>
        <w:pStyle w:val="BodyText"/>
        <w:spacing w:after="0" w:line="480" w:lineRule="auto"/>
        <w:ind w:left="720" w:hanging="720"/>
        <w:jc w:val="left"/>
        <w:rPr>
          <w:szCs w:val="24"/>
        </w:rPr>
      </w:pPr>
      <w:r w:rsidRPr="00C06AC8">
        <w:rPr>
          <w:szCs w:val="24"/>
        </w:rPr>
        <w:t>A.</w:t>
      </w:r>
      <w:r>
        <w:rPr>
          <w:b/>
          <w:szCs w:val="24"/>
        </w:rPr>
        <w:tab/>
      </w:r>
      <w:r w:rsidRPr="005274E3">
        <w:rPr>
          <w:szCs w:val="24"/>
        </w:rPr>
        <w:t xml:space="preserve">Mr. </w:t>
      </w:r>
      <w:proofErr w:type="spellStart"/>
      <w:r w:rsidRPr="005274E3">
        <w:rPr>
          <w:szCs w:val="24"/>
        </w:rPr>
        <w:t>Parcell</w:t>
      </w:r>
      <w:r w:rsidR="00743D8B">
        <w:rPr>
          <w:szCs w:val="24"/>
        </w:rPr>
        <w:t>’s</w:t>
      </w:r>
      <w:proofErr w:type="spellEnd"/>
      <w:r w:rsidRPr="005274E3">
        <w:rPr>
          <w:szCs w:val="24"/>
        </w:rPr>
        <w:t xml:space="preserve"> </w:t>
      </w:r>
      <w:r w:rsidR="00743D8B">
        <w:rPr>
          <w:szCs w:val="24"/>
        </w:rPr>
        <w:t xml:space="preserve">use of the geometric mean to inform his CAPM modeling results is not valid.  The correct measure of the mean return achieved in the market is the arithmetic return.  Financial analysts appropriately use the arithmetic return to represent the statistical expected value for a given year, taking into account the historic year-to-year fluctuations in returns achieved by investors.  The geometric </w:t>
      </w:r>
      <w:r w:rsidR="001E7BDE">
        <w:rPr>
          <w:szCs w:val="24"/>
        </w:rPr>
        <w:t>mean</w:t>
      </w:r>
      <w:r w:rsidR="00743D8B">
        <w:rPr>
          <w:szCs w:val="24"/>
        </w:rPr>
        <w:t xml:space="preserve"> does not capture the </w:t>
      </w:r>
      <w:r w:rsidR="001E7BDE">
        <w:rPr>
          <w:szCs w:val="24"/>
        </w:rPr>
        <w:t xml:space="preserve">actual </w:t>
      </w:r>
      <w:r w:rsidR="00325D65">
        <w:rPr>
          <w:szCs w:val="24"/>
        </w:rPr>
        <w:t>expected value</w:t>
      </w:r>
      <w:r w:rsidR="001E7BDE">
        <w:rPr>
          <w:szCs w:val="24"/>
        </w:rPr>
        <w:t xml:space="preserve"> </w:t>
      </w:r>
      <w:r w:rsidR="00325D65">
        <w:rPr>
          <w:szCs w:val="24"/>
        </w:rPr>
        <w:t>and</w:t>
      </w:r>
      <w:r w:rsidR="00743D8B">
        <w:rPr>
          <w:szCs w:val="24"/>
        </w:rPr>
        <w:t xml:space="preserve"> is distorted downward because it ignores the volatility that investors face in the return they earn each year.  </w:t>
      </w:r>
    </w:p>
    <w:p w:rsidR="00A223CB" w:rsidRDefault="00743D8B" w:rsidP="006C14B7">
      <w:pPr>
        <w:pStyle w:val="BodyText"/>
        <w:spacing w:after="0" w:line="480" w:lineRule="auto"/>
        <w:ind w:left="720"/>
        <w:jc w:val="left"/>
      </w:pPr>
      <w:r>
        <w:rPr>
          <w:szCs w:val="24"/>
        </w:rPr>
        <w:t xml:space="preserve">The financial literature </w:t>
      </w:r>
      <w:r w:rsidR="00325D65">
        <w:rPr>
          <w:szCs w:val="24"/>
        </w:rPr>
        <w:t>explains further</w:t>
      </w:r>
      <w:r w:rsidR="00E32B0F">
        <w:rPr>
          <w:szCs w:val="24"/>
        </w:rPr>
        <w:t xml:space="preserve"> th</w:t>
      </w:r>
      <w:r w:rsidR="00325D65">
        <w:rPr>
          <w:szCs w:val="24"/>
        </w:rPr>
        <w:t>is</w:t>
      </w:r>
      <w:r w:rsidR="00E32B0F">
        <w:rPr>
          <w:szCs w:val="24"/>
        </w:rPr>
        <w:t xml:space="preserve"> rationale for</w:t>
      </w:r>
      <w:r>
        <w:rPr>
          <w:szCs w:val="24"/>
        </w:rPr>
        <w:t xml:space="preserve"> </w:t>
      </w:r>
      <w:r w:rsidR="00325D65">
        <w:rPr>
          <w:szCs w:val="24"/>
        </w:rPr>
        <w:t xml:space="preserve">the </w:t>
      </w:r>
      <w:r w:rsidR="00E32B0F">
        <w:rPr>
          <w:szCs w:val="24"/>
        </w:rPr>
        <w:t>use of the</w:t>
      </w:r>
      <w:r>
        <w:rPr>
          <w:szCs w:val="24"/>
        </w:rPr>
        <w:t xml:space="preserve"> arithmetic mean</w:t>
      </w:r>
      <w:r w:rsidR="00325D65">
        <w:rPr>
          <w:szCs w:val="24"/>
        </w:rPr>
        <w:t>s</w:t>
      </w:r>
      <w:r>
        <w:rPr>
          <w:szCs w:val="24"/>
        </w:rPr>
        <w:t xml:space="preserve"> of historic returns </w:t>
      </w:r>
      <w:r w:rsidR="00325D65">
        <w:rPr>
          <w:szCs w:val="24"/>
        </w:rPr>
        <w:t xml:space="preserve">(not geometric means) </w:t>
      </w:r>
      <w:r w:rsidR="00E32B0F">
        <w:rPr>
          <w:szCs w:val="24"/>
        </w:rPr>
        <w:t>to</w:t>
      </w:r>
      <w:r>
        <w:rPr>
          <w:szCs w:val="24"/>
        </w:rPr>
        <w:t xml:space="preserve"> defin</w:t>
      </w:r>
      <w:r w:rsidR="00E32B0F">
        <w:rPr>
          <w:szCs w:val="24"/>
        </w:rPr>
        <w:t>e</w:t>
      </w:r>
      <w:r>
        <w:rPr>
          <w:szCs w:val="24"/>
        </w:rPr>
        <w:t xml:space="preserve"> the equity risk premium</w:t>
      </w:r>
      <w:r w:rsidR="001966A1" w:rsidRPr="00743D8B">
        <w:rPr>
          <w:szCs w:val="24"/>
        </w:rPr>
        <w:t>.</w:t>
      </w:r>
      <w:r w:rsidR="00C525FE">
        <w:rPr>
          <w:szCs w:val="24"/>
        </w:rPr>
        <w:t xml:space="preserve">  </w:t>
      </w:r>
      <w:r w:rsidR="00DA1C39">
        <w:rPr>
          <w:szCs w:val="24"/>
        </w:rPr>
        <w:t xml:space="preserve">For example, </w:t>
      </w:r>
      <w:r w:rsidR="00DA1C39" w:rsidRPr="00C74777">
        <w:rPr>
          <w:szCs w:val="24"/>
        </w:rPr>
        <w:t xml:space="preserve">Roger Morin explains in his treatise, </w:t>
      </w:r>
      <w:r w:rsidR="00DA1C39" w:rsidRPr="005E6531">
        <w:rPr>
          <w:i/>
          <w:szCs w:val="24"/>
        </w:rPr>
        <w:t>Regulatory Finance</w:t>
      </w:r>
      <w:r w:rsidR="00DA1C39" w:rsidRPr="00C74777">
        <w:rPr>
          <w:szCs w:val="24"/>
        </w:rPr>
        <w:t xml:space="preserve">: “One major issue relating to the use of realized returns is whether to use the ordinary average (arithmetic mean) or the geometric mean return. </w:t>
      </w:r>
      <w:r w:rsidR="00DA1C39">
        <w:rPr>
          <w:szCs w:val="24"/>
        </w:rPr>
        <w:t xml:space="preserve"> </w:t>
      </w:r>
      <w:r w:rsidR="00DA1C39" w:rsidRPr="00C74777">
        <w:rPr>
          <w:szCs w:val="24"/>
        </w:rPr>
        <w:t>Only arithmetic means are correct for forecasting purposes and for estimating the cost of capital.”</w:t>
      </w:r>
      <w:r w:rsidR="00DA1C39">
        <w:rPr>
          <w:rStyle w:val="FootnoteReference"/>
          <w:szCs w:val="24"/>
        </w:rPr>
        <w:footnoteReference w:id="12"/>
      </w:r>
      <w:r w:rsidR="00DA1C39">
        <w:t xml:space="preserve">  </w:t>
      </w:r>
    </w:p>
    <w:p w:rsidR="00E32B0F" w:rsidRDefault="00E32B0F" w:rsidP="001C4000">
      <w:pPr>
        <w:pStyle w:val="QAQuestion"/>
        <w:tabs>
          <w:tab w:val="num" w:pos="720"/>
        </w:tabs>
        <w:spacing w:after="0" w:line="480" w:lineRule="auto"/>
        <w:ind w:left="720" w:hanging="720"/>
        <w:jc w:val="left"/>
        <w:rPr>
          <w:b/>
          <w:szCs w:val="24"/>
        </w:rPr>
      </w:pPr>
      <w:r>
        <w:rPr>
          <w:b/>
          <w:szCs w:val="24"/>
        </w:rPr>
        <w:t>Q.</w:t>
      </w:r>
      <w:r>
        <w:rPr>
          <w:b/>
          <w:szCs w:val="24"/>
        </w:rPr>
        <w:tab/>
        <w:t xml:space="preserve">Do you have any other concerns with the methodologies used by Mr. </w:t>
      </w:r>
      <w:proofErr w:type="spellStart"/>
      <w:r>
        <w:rPr>
          <w:b/>
          <w:szCs w:val="24"/>
        </w:rPr>
        <w:t>Parcell</w:t>
      </w:r>
      <w:proofErr w:type="spellEnd"/>
      <w:r>
        <w:rPr>
          <w:b/>
          <w:szCs w:val="24"/>
        </w:rPr>
        <w:t>?</w:t>
      </w:r>
    </w:p>
    <w:p w:rsidR="00DA1C39" w:rsidRPr="002051A3" w:rsidRDefault="00E71D34" w:rsidP="00DA1C39">
      <w:pPr>
        <w:pStyle w:val="BodyText"/>
        <w:spacing w:after="0" w:line="480" w:lineRule="auto"/>
        <w:ind w:left="720" w:hanging="720"/>
        <w:jc w:val="left"/>
        <w:rPr>
          <w:szCs w:val="24"/>
        </w:rPr>
      </w:pPr>
      <w:r w:rsidRPr="00C06AC8">
        <w:rPr>
          <w:szCs w:val="24"/>
        </w:rPr>
        <w:t>A.</w:t>
      </w:r>
      <w:r>
        <w:rPr>
          <w:b/>
          <w:szCs w:val="24"/>
        </w:rPr>
        <w:tab/>
      </w:r>
      <w:r w:rsidRPr="00E71D34">
        <w:rPr>
          <w:szCs w:val="24"/>
        </w:rPr>
        <w:t>Yes</w:t>
      </w:r>
      <w:r>
        <w:rPr>
          <w:szCs w:val="24"/>
        </w:rPr>
        <w:t xml:space="preserve">.  While </w:t>
      </w:r>
      <w:r w:rsidRPr="005274E3">
        <w:rPr>
          <w:szCs w:val="24"/>
        </w:rPr>
        <w:t xml:space="preserve">Mr. </w:t>
      </w:r>
      <w:proofErr w:type="spellStart"/>
      <w:r w:rsidRPr="005274E3">
        <w:rPr>
          <w:szCs w:val="24"/>
        </w:rPr>
        <w:t>Parcell</w:t>
      </w:r>
      <w:proofErr w:type="spellEnd"/>
      <w:r>
        <w:rPr>
          <w:szCs w:val="24"/>
        </w:rPr>
        <w:t xml:space="preserve"> </w:t>
      </w:r>
      <w:r w:rsidR="00A54F9F">
        <w:rPr>
          <w:szCs w:val="24"/>
        </w:rPr>
        <w:t xml:space="preserve">and I agree </w:t>
      </w:r>
      <w:r>
        <w:rPr>
          <w:szCs w:val="24"/>
        </w:rPr>
        <w:t xml:space="preserve">that the use of the Comparable Earnings model is appropriate for evaluating the cost of equity in a public utility rate proceeding such as this one, I find his methodology to arrive at a forward-looking ROE from past </w:t>
      </w:r>
      <w:r w:rsidR="00A54F9F">
        <w:rPr>
          <w:szCs w:val="24"/>
        </w:rPr>
        <w:t xml:space="preserve">earnings </w:t>
      </w:r>
      <w:r>
        <w:rPr>
          <w:szCs w:val="24"/>
        </w:rPr>
        <w:t xml:space="preserve">performance to be opaque. </w:t>
      </w:r>
      <w:r w:rsidRPr="005274E3">
        <w:rPr>
          <w:szCs w:val="24"/>
        </w:rPr>
        <w:t xml:space="preserve"> </w:t>
      </w:r>
      <w:r>
        <w:rPr>
          <w:szCs w:val="24"/>
        </w:rPr>
        <w:t xml:space="preserve">In </w:t>
      </w:r>
      <w:r w:rsidRPr="00E71D34">
        <w:rPr>
          <w:szCs w:val="24"/>
        </w:rPr>
        <w:t>Docket UE-147062</w:t>
      </w:r>
      <w:r>
        <w:rPr>
          <w:szCs w:val="24"/>
        </w:rPr>
        <w:t xml:space="preserve">, Mr. </w:t>
      </w:r>
      <w:proofErr w:type="spellStart"/>
      <w:r w:rsidR="005A28FF">
        <w:rPr>
          <w:szCs w:val="24"/>
        </w:rPr>
        <w:t>Parcell</w:t>
      </w:r>
      <w:proofErr w:type="spellEnd"/>
      <w:r w:rsidR="005A28FF">
        <w:rPr>
          <w:szCs w:val="24"/>
        </w:rPr>
        <w:t xml:space="preserve"> clarified </w:t>
      </w:r>
      <w:r w:rsidR="00325D65">
        <w:rPr>
          <w:szCs w:val="24"/>
        </w:rPr>
        <w:t xml:space="preserve">through the </w:t>
      </w:r>
      <w:r w:rsidR="0092695B">
        <w:rPr>
          <w:szCs w:val="24"/>
        </w:rPr>
        <w:t xml:space="preserve">discovery </w:t>
      </w:r>
      <w:r w:rsidR="00325D65">
        <w:rPr>
          <w:szCs w:val="24"/>
        </w:rPr>
        <w:t xml:space="preserve">process </w:t>
      </w:r>
      <w:r w:rsidR="005A28FF">
        <w:rPr>
          <w:szCs w:val="24"/>
        </w:rPr>
        <w:t>that he does not use market</w:t>
      </w:r>
      <w:r w:rsidR="002051A3">
        <w:rPr>
          <w:szCs w:val="24"/>
        </w:rPr>
        <w:t>-</w:t>
      </w:r>
      <w:r w:rsidR="005A28FF">
        <w:rPr>
          <w:szCs w:val="24"/>
        </w:rPr>
        <w:t>to</w:t>
      </w:r>
      <w:r w:rsidR="002051A3">
        <w:rPr>
          <w:szCs w:val="24"/>
        </w:rPr>
        <w:t>-</w:t>
      </w:r>
      <w:r w:rsidR="005A28FF">
        <w:rPr>
          <w:szCs w:val="24"/>
        </w:rPr>
        <w:t>book ratios to adjust the historic returns downward</w:t>
      </w:r>
      <w:r>
        <w:rPr>
          <w:szCs w:val="24"/>
        </w:rPr>
        <w:t xml:space="preserve">.  </w:t>
      </w:r>
      <w:r w:rsidR="005A28FF">
        <w:rPr>
          <w:szCs w:val="24"/>
        </w:rPr>
        <w:t>Yet, the numbers he recommends for the Comparable Earnings model a</w:t>
      </w:r>
      <w:r w:rsidR="00A54F9F">
        <w:rPr>
          <w:szCs w:val="24"/>
        </w:rPr>
        <w:t xml:space="preserve">ppear to be lower than the data suggest they should be.  </w:t>
      </w:r>
    </w:p>
    <w:p w:rsidR="00016C4A" w:rsidRPr="00047094" w:rsidRDefault="00016C4A" w:rsidP="00016C4A">
      <w:pPr>
        <w:pStyle w:val="Heading1"/>
      </w:pPr>
      <w:bookmarkStart w:id="14" w:name="_Toc447616295"/>
      <w:r>
        <w:t>Use of a Hypothetical Capital Structure</w:t>
      </w:r>
      <w:bookmarkEnd w:id="14"/>
    </w:p>
    <w:p w:rsidR="006E6616" w:rsidRDefault="00ED4D89" w:rsidP="00016C4A">
      <w:pPr>
        <w:pStyle w:val="QAQuestion"/>
        <w:tabs>
          <w:tab w:val="num" w:pos="720"/>
        </w:tabs>
        <w:spacing w:after="0" w:line="480" w:lineRule="auto"/>
        <w:ind w:left="720" w:hanging="720"/>
        <w:jc w:val="left"/>
        <w:rPr>
          <w:b/>
          <w:szCs w:val="24"/>
        </w:rPr>
      </w:pPr>
      <w:r>
        <w:rPr>
          <w:b/>
          <w:szCs w:val="24"/>
        </w:rPr>
        <w:t>Q.</w:t>
      </w:r>
      <w:r>
        <w:rPr>
          <w:b/>
          <w:szCs w:val="24"/>
        </w:rPr>
        <w:tab/>
        <w:t xml:space="preserve">Mr. </w:t>
      </w:r>
      <w:proofErr w:type="spellStart"/>
      <w:r>
        <w:rPr>
          <w:b/>
          <w:szCs w:val="24"/>
        </w:rPr>
        <w:t>Parcell’s</w:t>
      </w:r>
      <w:proofErr w:type="spellEnd"/>
      <w:r>
        <w:rPr>
          <w:b/>
          <w:szCs w:val="24"/>
        </w:rPr>
        <w:t xml:space="preserve"> offers extensive testimony supporting the continued use of the hypothetical capital structure that the Commission affirmed in the Company’s last rate case.  </w:t>
      </w:r>
      <w:r w:rsidR="006E6616">
        <w:rPr>
          <w:b/>
          <w:szCs w:val="24"/>
        </w:rPr>
        <w:t>Is the Company recommending change in its currently authorized equity ratio?</w:t>
      </w:r>
    </w:p>
    <w:p w:rsidR="00ED4D89" w:rsidRPr="00C06AC8" w:rsidRDefault="006E6616" w:rsidP="00016C4A">
      <w:pPr>
        <w:pStyle w:val="QAQuestion"/>
        <w:tabs>
          <w:tab w:val="num" w:pos="720"/>
        </w:tabs>
        <w:spacing w:after="0" w:line="480" w:lineRule="auto"/>
        <w:ind w:left="720" w:hanging="720"/>
        <w:jc w:val="left"/>
        <w:rPr>
          <w:szCs w:val="24"/>
        </w:rPr>
      </w:pPr>
      <w:r>
        <w:rPr>
          <w:szCs w:val="24"/>
        </w:rPr>
        <w:t>A.</w:t>
      </w:r>
      <w:r>
        <w:rPr>
          <w:szCs w:val="24"/>
        </w:rPr>
        <w:tab/>
        <w:t xml:space="preserve">No.  I rebut Mr. </w:t>
      </w:r>
      <w:proofErr w:type="spellStart"/>
      <w:r>
        <w:rPr>
          <w:szCs w:val="24"/>
        </w:rPr>
        <w:t>Parcell’s</w:t>
      </w:r>
      <w:proofErr w:type="spellEnd"/>
      <w:r>
        <w:rPr>
          <w:szCs w:val="24"/>
        </w:rPr>
        <w:t xml:space="preserve"> analysis, however, because he fails to appropriately account for the hypothetical capital structure in his recommendation to lower the Company’s ROE.  </w:t>
      </w:r>
    </w:p>
    <w:p w:rsidR="009832FB" w:rsidRDefault="00016C4A" w:rsidP="009832FB">
      <w:pPr>
        <w:pStyle w:val="QAQuestion"/>
        <w:widowControl w:val="0"/>
        <w:tabs>
          <w:tab w:val="num" w:pos="720"/>
        </w:tabs>
        <w:spacing w:after="0" w:line="480" w:lineRule="auto"/>
        <w:ind w:left="720" w:hanging="720"/>
        <w:jc w:val="left"/>
        <w:rPr>
          <w:b/>
          <w:szCs w:val="24"/>
        </w:rPr>
      </w:pPr>
      <w:r>
        <w:rPr>
          <w:b/>
          <w:szCs w:val="24"/>
        </w:rPr>
        <w:t>Q.</w:t>
      </w:r>
      <w:r>
        <w:rPr>
          <w:b/>
          <w:szCs w:val="24"/>
        </w:rPr>
        <w:tab/>
        <w:t xml:space="preserve">On what grounds does Mr. </w:t>
      </w:r>
      <w:proofErr w:type="spellStart"/>
      <w:r>
        <w:rPr>
          <w:b/>
          <w:szCs w:val="24"/>
        </w:rPr>
        <w:t>Parcell</w:t>
      </w:r>
      <w:proofErr w:type="spellEnd"/>
      <w:r>
        <w:rPr>
          <w:b/>
          <w:szCs w:val="24"/>
        </w:rPr>
        <w:t xml:space="preserve"> recommend the imputation of a hypothetical capital structure?</w:t>
      </w:r>
    </w:p>
    <w:p w:rsidR="00A223CB" w:rsidRDefault="00016C4A" w:rsidP="009832FB">
      <w:pPr>
        <w:pStyle w:val="QAQuestion"/>
        <w:widowControl w:val="0"/>
        <w:tabs>
          <w:tab w:val="num" w:pos="720"/>
        </w:tabs>
        <w:spacing w:after="0" w:line="480" w:lineRule="auto"/>
        <w:ind w:left="720" w:hanging="720"/>
        <w:jc w:val="left"/>
      </w:pPr>
      <w:r w:rsidRPr="00C06AC8">
        <w:rPr>
          <w:szCs w:val="24"/>
        </w:rPr>
        <w:t>A.</w:t>
      </w:r>
      <w:r>
        <w:rPr>
          <w:b/>
          <w:szCs w:val="24"/>
        </w:rPr>
        <w:tab/>
      </w:r>
      <w:r w:rsidRPr="005274E3">
        <w:rPr>
          <w:szCs w:val="24"/>
        </w:rPr>
        <w:t xml:space="preserve">Mr. </w:t>
      </w:r>
      <w:proofErr w:type="spellStart"/>
      <w:r w:rsidRPr="005274E3">
        <w:rPr>
          <w:szCs w:val="24"/>
        </w:rPr>
        <w:t>Parcell</w:t>
      </w:r>
      <w:proofErr w:type="spellEnd"/>
      <w:r>
        <w:rPr>
          <w:szCs w:val="24"/>
        </w:rPr>
        <w:t xml:space="preserve"> </w:t>
      </w:r>
      <w:r w:rsidR="00AE6F44">
        <w:rPr>
          <w:szCs w:val="24"/>
        </w:rPr>
        <w:t xml:space="preserve">gives two reasons: first, that 49.1 percent is consistent with the recent capital structures of other electric utilities, and, second, that the Commission has imputed that same capital structure in recent rate proceedings for the Company.  </w:t>
      </w:r>
    </w:p>
    <w:p w:rsidR="00AE6F44" w:rsidRDefault="00AE6F44" w:rsidP="00AE6F44">
      <w:pPr>
        <w:pStyle w:val="QAQuestion"/>
        <w:tabs>
          <w:tab w:val="num" w:pos="720"/>
        </w:tabs>
        <w:spacing w:after="0" w:line="480" w:lineRule="auto"/>
        <w:ind w:left="720" w:hanging="720"/>
        <w:jc w:val="left"/>
        <w:rPr>
          <w:b/>
          <w:szCs w:val="24"/>
        </w:rPr>
      </w:pPr>
      <w:r>
        <w:rPr>
          <w:b/>
          <w:szCs w:val="24"/>
        </w:rPr>
        <w:t>Q.</w:t>
      </w:r>
      <w:r>
        <w:rPr>
          <w:b/>
          <w:szCs w:val="24"/>
        </w:rPr>
        <w:tab/>
        <w:t xml:space="preserve">Is it fair for Mr. </w:t>
      </w:r>
      <w:proofErr w:type="spellStart"/>
      <w:r>
        <w:rPr>
          <w:b/>
          <w:szCs w:val="24"/>
        </w:rPr>
        <w:t>Parcell</w:t>
      </w:r>
      <w:proofErr w:type="spellEnd"/>
      <w:r>
        <w:rPr>
          <w:b/>
          <w:szCs w:val="24"/>
        </w:rPr>
        <w:t xml:space="preserve"> to characterize the 49.1 percent equity ratio as “consistent” with those of other electric utilities?</w:t>
      </w:r>
    </w:p>
    <w:p w:rsidR="00437321" w:rsidRDefault="00AE6F44" w:rsidP="00C06AC8">
      <w:pPr>
        <w:pStyle w:val="QAQCont"/>
        <w:spacing w:after="0" w:line="480" w:lineRule="auto"/>
        <w:ind w:left="720" w:hanging="720"/>
        <w:jc w:val="left"/>
        <w:rPr>
          <w:szCs w:val="24"/>
        </w:rPr>
      </w:pPr>
      <w:r w:rsidRPr="00C06AC8">
        <w:rPr>
          <w:szCs w:val="24"/>
        </w:rPr>
        <w:t>A.</w:t>
      </w:r>
      <w:r>
        <w:rPr>
          <w:b/>
          <w:szCs w:val="24"/>
        </w:rPr>
        <w:tab/>
      </w:r>
      <w:r w:rsidRPr="00AE6F44">
        <w:rPr>
          <w:szCs w:val="24"/>
        </w:rPr>
        <w:t xml:space="preserve">No, Mr. </w:t>
      </w:r>
      <w:proofErr w:type="spellStart"/>
      <w:r w:rsidRPr="00AE6F44">
        <w:rPr>
          <w:szCs w:val="24"/>
        </w:rPr>
        <w:t>Parcell’s</w:t>
      </w:r>
      <w:proofErr w:type="spellEnd"/>
      <w:r w:rsidRPr="00AE6F44">
        <w:rPr>
          <w:szCs w:val="24"/>
        </w:rPr>
        <w:t xml:space="preserve"> statement</w:t>
      </w:r>
      <w:r>
        <w:rPr>
          <w:b/>
          <w:szCs w:val="24"/>
        </w:rPr>
        <w:t xml:space="preserve"> </w:t>
      </w:r>
      <w:r w:rsidR="00286C92">
        <w:rPr>
          <w:szCs w:val="24"/>
        </w:rPr>
        <w:t xml:space="preserve">is misleading. </w:t>
      </w:r>
      <w:r w:rsidR="006322E6">
        <w:rPr>
          <w:szCs w:val="24"/>
        </w:rPr>
        <w:t xml:space="preserve"> </w:t>
      </w:r>
      <w:r>
        <w:rPr>
          <w:szCs w:val="24"/>
        </w:rPr>
        <w:t xml:space="preserve">The hypothetical </w:t>
      </w:r>
      <w:r w:rsidR="00437321">
        <w:rPr>
          <w:szCs w:val="24"/>
        </w:rPr>
        <w:t>equity ratio</w:t>
      </w:r>
      <w:r>
        <w:rPr>
          <w:szCs w:val="24"/>
        </w:rPr>
        <w:t xml:space="preserve"> recommended by Mr. </w:t>
      </w:r>
      <w:proofErr w:type="spellStart"/>
      <w:r>
        <w:rPr>
          <w:szCs w:val="24"/>
        </w:rPr>
        <w:t>Parcell</w:t>
      </w:r>
      <w:proofErr w:type="spellEnd"/>
      <w:r>
        <w:rPr>
          <w:szCs w:val="24"/>
        </w:rPr>
        <w:t xml:space="preserve"> is </w:t>
      </w:r>
      <w:r w:rsidR="00437321">
        <w:rPr>
          <w:szCs w:val="24"/>
        </w:rPr>
        <w:t>below each and every one of the equity ratios employed by the proxy companies he deems to be comparable</w:t>
      </w:r>
      <w:r>
        <w:rPr>
          <w:szCs w:val="24"/>
        </w:rPr>
        <w:t xml:space="preserve">.  </w:t>
      </w:r>
      <w:r w:rsidR="00437321">
        <w:rPr>
          <w:szCs w:val="24"/>
        </w:rPr>
        <w:t xml:space="preserve">Table </w:t>
      </w:r>
      <w:r w:rsidR="00DA1C39">
        <w:rPr>
          <w:szCs w:val="24"/>
        </w:rPr>
        <w:t>1</w:t>
      </w:r>
      <w:r w:rsidR="00437321">
        <w:rPr>
          <w:szCs w:val="24"/>
        </w:rPr>
        <w:t xml:space="preserve"> below contains the </w:t>
      </w:r>
      <w:r w:rsidR="002051A3">
        <w:rPr>
          <w:szCs w:val="24"/>
        </w:rPr>
        <w:t xml:space="preserve">proxy group </w:t>
      </w:r>
      <w:r w:rsidR="00437321">
        <w:rPr>
          <w:szCs w:val="24"/>
        </w:rPr>
        <w:t>equity ratio</w:t>
      </w:r>
      <w:r w:rsidR="002051A3">
        <w:rPr>
          <w:szCs w:val="24"/>
        </w:rPr>
        <w:t>s</w:t>
      </w:r>
      <w:r w:rsidR="00437321">
        <w:rPr>
          <w:szCs w:val="24"/>
        </w:rPr>
        <w:t xml:space="preserve"> </w:t>
      </w:r>
      <w:r w:rsidR="002051A3">
        <w:rPr>
          <w:szCs w:val="24"/>
        </w:rPr>
        <w:t>as reported</w:t>
      </w:r>
      <w:r w:rsidR="00437321">
        <w:rPr>
          <w:szCs w:val="24"/>
        </w:rPr>
        <w:t xml:space="preserve"> by </w:t>
      </w:r>
      <w:r>
        <w:rPr>
          <w:szCs w:val="24"/>
        </w:rPr>
        <w:t xml:space="preserve">Mr. </w:t>
      </w:r>
      <w:proofErr w:type="spellStart"/>
      <w:r>
        <w:rPr>
          <w:szCs w:val="24"/>
        </w:rPr>
        <w:t>Parcell</w:t>
      </w:r>
      <w:proofErr w:type="spellEnd"/>
      <w:r w:rsidR="00437321">
        <w:rPr>
          <w:szCs w:val="24"/>
        </w:rPr>
        <w:t xml:space="preserve"> </w:t>
      </w:r>
      <w:r w:rsidR="002051A3">
        <w:rPr>
          <w:szCs w:val="24"/>
        </w:rPr>
        <w:t xml:space="preserve">in Exhibit </w:t>
      </w:r>
      <w:r w:rsidR="00BF7B0B">
        <w:rPr>
          <w:szCs w:val="24"/>
        </w:rPr>
        <w:t xml:space="preserve">No. </w:t>
      </w:r>
      <w:r w:rsidR="002051A3">
        <w:rPr>
          <w:szCs w:val="24"/>
        </w:rPr>
        <w:t>DCP</w:t>
      </w:r>
      <w:r w:rsidR="00BF7B0B">
        <w:rPr>
          <w:szCs w:val="24"/>
        </w:rPr>
        <w:noBreakHyphen/>
      </w:r>
      <w:r w:rsidR="002051A3">
        <w:rPr>
          <w:szCs w:val="24"/>
        </w:rPr>
        <w:t>8 (Proxy Companies: Basis for Selection).</w:t>
      </w:r>
    </w:p>
    <w:p w:rsidR="00437321" w:rsidRPr="00437321" w:rsidRDefault="00437321" w:rsidP="006C14B7">
      <w:pPr>
        <w:pStyle w:val="QAQCont"/>
        <w:suppressLineNumbers/>
        <w:spacing w:after="0" w:line="480" w:lineRule="auto"/>
        <w:ind w:left="720" w:hanging="720"/>
        <w:jc w:val="center"/>
        <w:rPr>
          <w:b/>
          <w:szCs w:val="24"/>
        </w:rPr>
      </w:pPr>
      <w:r w:rsidRPr="00437321">
        <w:rPr>
          <w:b/>
          <w:szCs w:val="24"/>
        </w:rPr>
        <w:t xml:space="preserve">Table </w:t>
      </w:r>
      <w:r w:rsidR="00DA1C39">
        <w:rPr>
          <w:b/>
          <w:szCs w:val="24"/>
        </w:rPr>
        <w:t>1</w:t>
      </w:r>
      <w:r w:rsidRPr="00437321">
        <w:rPr>
          <w:b/>
          <w:szCs w:val="24"/>
        </w:rPr>
        <w:t>: Common Equity Ratio</w:t>
      </w:r>
      <w:r w:rsidR="00C73C0A">
        <w:rPr>
          <w:b/>
          <w:szCs w:val="24"/>
        </w:rPr>
        <w:t xml:space="preserve">s for </w:t>
      </w:r>
      <w:proofErr w:type="spellStart"/>
      <w:r w:rsidR="00C73C0A">
        <w:rPr>
          <w:b/>
          <w:szCs w:val="24"/>
        </w:rPr>
        <w:t>Parcell</w:t>
      </w:r>
      <w:proofErr w:type="spellEnd"/>
      <w:r w:rsidR="00C73C0A">
        <w:rPr>
          <w:b/>
          <w:szCs w:val="24"/>
        </w:rPr>
        <w:t xml:space="preserve"> </w:t>
      </w:r>
      <w:proofErr w:type="spellStart"/>
      <w:r w:rsidR="00C73C0A">
        <w:rPr>
          <w:b/>
          <w:szCs w:val="24"/>
        </w:rPr>
        <w:t>Comparables</w:t>
      </w:r>
      <w:proofErr w:type="spellEnd"/>
    </w:p>
    <w:tbl>
      <w:tblPr>
        <w:tblStyle w:val="TableGrid"/>
        <w:tblW w:w="4551" w:type="pct"/>
        <w:jc w:val="center"/>
        <w:tblInd w:w="828" w:type="dxa"/>
        <w:tblLook w:val="04A0" w:firstRow="1" w:lastRow="0" w:firstColumn="1" w:lastColumn="0" w:noHBand="0" w:noVBand="1"/>
      </w:tblPr>
      <w:tblGrid>
        <w:gridCol w:w="4194"/>
        <w:gridCol w:w="4194"/>
      </w:tblGrid>
      <w:tr w:rsidR="00437321" w:rsidRPr="00BF7B0B" w:rsidTr="00C25615">
        <w:trPr>
          <w:jc w:val="center"/>
        </w:trPr>
        <w:tc>
          <w:tcPr>
            <w:tcW w:w="2500" w:type="pct"/>
            <w:tcBorders>
              <w:top w:val="single" w:sz="18" w:space="0" w:color="auto"/>
              <w:left w:val="single" w:sz="18" w:space="0" w:color="auto"/>
              <w:bottom w:val="single" w:sz="18" w:space="0" w:color="auto"/>
            </w:tcBorders>
          </w:tcPr>
          <w:p w:rsidR="00437321" w:rsidRPr="00C06AC8" w:rsidRDefault="00437321" w:rsidP="00437321">
            <w:pPr>
              <w:rPr>
                <w:rFonts w:eastAsiaTheme="majorEastAsia"/>
                <w:b/>
                <w:szCs w:val="24"/>
              </w:rPr>
            </w:pPr>
            <w:proofErr w:type="spellStart"/>
            <w:r w:rsidRPr="00C06AC8">
              <w:rPr>
                <w:rFonts w:eastAsiaTheme="majorEastAsia"/>
                <w:b/>
                <w:szCs w:val="24"/>
              </w:rPr>
              <w:t>Parcell</w:t>
            </w:r>
            <w:proofErr w:type="spellEnd"/>
            <w:r w:rsidRPr="00C06AC8">
              <w:rPr>
                <w:rFonts w:eastAsiaTheme="majorEastAsia"/>
                <w:b/>
                <w:szCs w:val="24"/>
              </w:rPr>
              <w:t xml:space="preserve"> Proxy Company </w:t>
            </w:r>
          </w:p>
        </w:tc>
        <w:tc>
          <w:tcPr>
            <w:tcW w:w="2500" w:type="pct"/>
            <w:tcBorders>
              <w:top w:val="single" w:sz="18" w:space="0" w:color="auto"/>
              <w:bottom w:val="single" w:sz="18" w:space="0" w:color="auto"/>
              <w:right w:val="single" w:sz="18" w:space="0" w:color="auto"/>
            </w:tcBorders>
            <w:vAlign w:val="bottom"/>
          </w:tcPr>
          <w:p w:rsidR="00437321" w:rsidRPr="00C06AC8" w:rsidRDefault="00437321" w:rsidP="00437321">
            <w:pPr>
              <w:rPr>
                <w:rFonts w:eastAsiaTheme="majorEastAsia"/>
                <w:b/>
                <w:szCs w:val="24"/>
              </w:rPr>
            </w:pPr>
            <w:r w:rsidRPr="00C06AC8">
              <w:rPr>
                <w:rFonts w:eastAsiaTheme="majorEastAsia"/>
                <w:b/>
                <w:szCs w:val="24"/>
              </w:rPr>
              <w:t>Common Equity Ratio (%)</w:t>
            </w:r>
          </w:p>
        </w:tc>
      </w:tr>
      <w:tr w:rsidR="00437321" w:rsidRPr="00BF7B0B" w:rsidTr="00C25615">
        <w:trPr>
          <w:jc w:val="center"/>
        </w:trPr>
        <w:tc>
          <w:tcPr>
            <w:tcW w:w="2500" w:type="pct"/>
            <w:tcBorders>
              <w:top w:val="single" w:sz="18" w:space="0" w:color="auto"/>
              <w:left w:val="single" w:sz="18" w:space="0" w:color="auto"/>
              <w:bottom w:val="nil"/>
              <w:right w:val="single" w:sz="2" w:space="0" w:color="auto"/>
            </w:tcBorders>
            <w:vAlign w:val="bottom"/>
          </w:tcPr>
          <w:p w:rsidR="00437321" w:rsidRPr="00C06AC8" w:rsidRDefault="00437321" w:rsidP="00437321">
            <w:pPr>
              <w:rPr>
                <w:rFonts w:eastAsiaTheme="majorEastAsia"/>
                <w:szCs w:val="24"/>
              </w:rPr>
            </w:pPr>
            <w:r w:rsidRPr="00C06AC8">
              <w:rPr>
                <w:rFonts w:eastAsiaTheme="majorEastAsia"/>
                <w:szCs w:val="24"/>
              </w:rPr>
              <w:t>Alliant Energy</w:t>
            </w:r>
          </w:p>
        </w:tc>
        <w:tc>
          <w:tcPr>
            <w:tcW w:w="2500" w:type="pct"/>
            <w:tcBorders>
              <w:top w:val="single" w:sz="18" w:space="0" w:color="auto"/>
              <w:left w:val="single" w:sz="2" w:space="0" w:color="auto"/>
              <w:bottom w:val="nil"/>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50</w:t>
            </w:r>
          </w:p>
        </w:tc>
      </w:tr>
      <w:tr w:rsidR="00437321" w:rsidRPr="00BF7B0B" w:rsidTr="00C25615">
        <w:trPr>
          <w:jc w:val="center"/>
        </w:trPr>
        <w:tc>
          <w:tcPr>
            <w:tcW w:w="2500" w:type="pct"/>
            <w:tcBorders>
              <w:top w:val="nil"/>
              <w:left w:val="single" w:sz="18" w:space="0" w:color="auto"/>
              <w:bottom w:val="nil"/>
              <w:right w:val="single" w:sz="2" w:space="0" w:color="auto"/>
            </w:tcBorders>
            <w:vAlign w:val="bottom"/>
          </w:tcPr>
          <w:p w:rsidR="00437321" w:rsidRPr="00C06AC8" w:rsidRDefault="00437321" w:rsidP="00437321">
            <w:pPr>
              <w:rPr>
                <w:rFonts w:eastAsiaTheme="majorEastAsia"/>
                <w:szCs w:val="24"/>
              </w:rPr>
            </w:pPr>
            <w:r w:rsidRPr="00C06AC8">
              <w:rPr>
                <w:rFonts w:eastAsiaTheme="majorEastAsia"/>
                <w:szCs w:val="24"/>
              </w:rPr>
              <w:t>DTE Energy</w:t>
            </w:r>
          </w:p>
        </w:tc>
        <w:tc>
          <w:tcPr>
            <w:tcW w:w="2500" w:type="pct"/>
            <w:tcBorders>
              <w:top w:val="nil"/>
              <w:left w:val="single" w:sz="2" w:space="0" w:color="auto"/>
              <w:bottom w:val="nil"/>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50</w:t>
            </w:r>
          </w:p>
        </w:tc>
      </w:tr>
      <w:tr w:rsidR="00437321" w:rsidRPr="00BF7B0B" w:rsidTr="00C25615">
        <w:trPr>
          <w:jc w:val="center"/>
        </w:trPr>
        <w:tc>
          <w:tcPr>
            <w:tcW w:w="2500" w:type="pct"/>
            <w:tcBorders>
              <w:top w:val="nil"/>
              <w:left w:val="single" w:sz="18" w:space="0" w:color="auto"/>
              <w:bottom w:val="nil"/>
              <w:right w:val="single" w:sz="2" w:space="0" w:color="auto"/>
            </w:tcBorders>
            <w:vAlign w:val="bottom"/>
          </w:tcPr>
          <w:p w:rsidR="00437321" w:rsidRPr="00C06AC8" w:rsidRDefault="00437321" w:rsidP="00437321">
            <w:pPr>
              <w:rPr>
                <w:rFonts w:eastAsiaTheme="majorEastAsia"/>
                <w:szCs w:val="24"/>
              </w:rPr>
            </w:pPr>
            <w:proofErr w:type="spellStart"/>
            <w:r w:rsidRPr="00C06AC8">
              <w:rPr>
                <w:rFonts w:eastAsiaTheme="majorEastAsia"/>
                <w:szCs w:val="24"/>
              </w:rPr>
              <w:t>Eversource</w:t>
            </w:r>
            <w:proofErr w:type="spellEnd"/>
            <w:r w:rsidRPr="00C06AC8">
              <w:rPr>
                <w:rFonts w:eastAsiaTheme="majorEastAsia"/>
                <w:szCs w:val="24"/>
              </w:rPr>
              <w:t xml:space="preserve"> Energy</w:t>
            </w:r>
          </w:p>
        </w:tc>
        <w:tc>
          <w:tcPr>
            <w:tcW w:w="2500" w:type="pct"/>
            <w:tcBorders>
              <w:top w:val="nil"/>
              <w:left w:val="single" w:sz="2" w:space="0" w:color="auto"/>
              <w:bottom w:val="nil"/>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53</w:t>
            </w:r>
          </w:p>
        </w:tc>
      </w:tr>
      <w:tr w:rsidR="00437321" w:rsidRPr="00BF7B0B" w:rsidTr="00C25615">
        <w:trPr>
          <w:jc w:val="center"/>
        </w:trPr>
        <w:tc>
          <w:tcPr>
            <w:tcW w:w="2500" w:type="pct"/>
            <w:tcBorders>
              <w:top w:val="nil"/>
              <w:left w:val="single" w:sz="18" w:space="0" w:color="auto"/>
              <w:bottom w:val="nil"/>
              <w:right w:val="single" w:sz="2" w:space="0" w:color="auto"/>
            </w:tcBorders>
            <w:vAlign w:val="bottom"/>
          </w:tcPr>
          <w:p w:rsidR="00437321" w:rsidRPr="00C06AC8" w:rsidRDefault="00437321" w:rsidP="00437321">
            <w:pPr>
              <w:rPr>
                <w:rFonts w:eastAsiaTheme="majorEastAsia"/>
                <w:szCs w:val="24"/>
              </w:rPr>
            </w:pPr>
            <w:r w:rsidRPr="00C06AC8">
              <w:rPr>
                <w:rFonts w:eastAsiaTheme="majorEastAsia"/>
                <w:szCs w:val="24"/>
              </w:rPr>
              <w:t>OGE Energy</w:t>
            </w:r>
          </w:p>
        </w:tc>
        <w:tc>
          <w:tcPr>
            <w:tcW w:w="2500" w:type="pct"/>
            <w:tcBorders>
              <w:top w:val="nil"/>
              <w:left w:val="single" w:sz="2" w:space="0" w:color="auto"/>
              <w:bottom w:val="nil"/>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55</w:t>
            </w:r>
          </w:p>
        </w:tc>
      </w:tr>
      <w:tr w:rsidR="00437321" w:rsidRPr="00BF7B0B" w:rsidTr="00C25615">
        <w:trPr>
          <w:jc w:val="center"/>
        </w:trPr>
        <w:tc>
          <w:tcPr>
            <w:tcW w:w="2500" w:type="pct"/>
            <w:tcBorders>
              <w:top w:val="nil"/>
              <w:left w:val="single" w:sz="18" w:space="0" w:color="auto"/>
              <w:bottom w:val="nil"/>
              <w:right w:val="single" w:sz="2" w:space="0" w:color="auto"/>
            </w:tcBorders>
            <w:vAlign w:val="bottom"/>
          </w:tcPr>
          <w:p w:rsidR="00437321" w:rsidRPr="00C06AC8" w:rsidRDefault="00437321" w:rsidP="00437321">
            <w:pPr>
              <w:rPr>
                <w:rFonts w:eastAsiaTheme="majorEastAsia"/>
                <w:szCs w:val="24"/>
              </w:rPr>
            </w:pPr>
            <w:r w:rsidRPr="00C06AC8">
              <w:rPr>
                <w:rFonts w:eastAsiaTheme="majorEastAsia"/>
                <w:szCs w:val="24"/>
              </w:rPr>
              <w:t>Pinnacle West Capital</w:t>
            </w:r>
          </w:p>
        </w:tc>
        <w:tc>
          <w:tcPr>
            <w:tcW w:w="2500" w:type="pct"/>
            <w:tcBorders>
              <w:top w:val="nil"/>
              <w:left w:val="single" w:sz="2" w:space="0" w:color="auto"/>
              <w:bottom w:val="nil"/>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56</w:t>
            </w:r>
          </w:p>
        </w:tc>
      </w:tr>
      <w:tr w:rsidR="00437321" w:rsidRPr="00BF7B0B" w:rsidTr="00C25615">
        <w:trPr>
          <w:jc w:val="center"/>
        </w:trPr>
        <w:tc>
          <w:tcPr>
            <w:tcW w:w="2500" w:type="pct"/>
            <w:tcBorders>
              <w:top w:val="nil"/>
              <w:left w:val="single" w:sz="18" w:space="0" w:color="auto"/>
              <w:bottom w:val="nil"/>
              <w:right w:val="single" w:sz="2" w:space="0" w:color="auto"/>
            </w:tcBorders>
            <w:vAlign w:val="bottom"/>
          </w:tcPr>
          <w:p w:rsidR="00437321" w:rsidRPr="00C06AC8" w:rsidRDefault="00437321" w:rsidP="00437321">
            <w:pPr>
              <w:rPr>
                <w:rFonts w:eastAsiaTheme="majorEastAsia"/>
                <w:szCs w:val="24"/>
              </w:rPr>
            </w:pPr>
            <w:r w:rsidRPr="00C06AC8">
              <w:rPr>
                <w:rFonts w:eastAsiaTheme="majorEastAsia"/>
                <w:szCs w:val="24"/>
              </w:rPr>
              <w:t>Westar Energy</w:t>
            </w:r>
          </w:p>
        </w:tc>
        <w:tc>
          <w:tcPr>
            <w:tcW w:w="2500" w:type="pct"/>
            <w:tcBorders>
              <w:top w:val="nil"/>
              <w:left w:val="single" w:sz="2" w:space="0" w:color="auto"/>
              <w:bottom w:val="nil"/>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50</w:t>
            </w:r>
          </w:p>
        </w:tc>
      </w:tr>
      <w:tr w:rsidR="00437321" w:rsidRPr="00BF7B0B" w:rsidTr="00C25615">
        <w:trPr>
          <w:jc w:val="center"/>
        </w:trPr>
        <w:tc>
          <w:tcPr>
            <w:tcW w:w="2500" w:type="pct"/>
            <w:tcBorders>
              <w:top w:val="nil"/>
              <w:left w:val="single" w:sz="18" w:space="0" w:color="auto"/>
              <w:bottom w:val="single" w:sz="18" w:space="0" w:color="auto"/>
              <w:right w:val="single" w:sz="2" w:space="0" w:color="auto"/>
            </w:tcBorders>
            <w:vAlign w:val="bottom"/>
          </w:tcPr>
          <w:p w:rsidR="00437321" w:rsidRPr="00C06AC8" w:rsidRDefault="00437321" w:rsidP="00437321">
            <w:pPr>
              <w:rPr>
                <w:rFonts w:eastAsiaTheme="majorEastAsia"/>
                <w:szCs w:val="24"/>
              </w:rPr>
            </w:pPr>
            <w:r w:rsidRPr="00C06AC8">
              <w:rPr>
                <w:rFonts w:eastAsiaTheme="majorEastAsia"/>
                <w:szCs w:val="24"/>
              </w:rPr>
              <w:t>WEC Energy</w:t>
            </w:r>
          </w:p>
        </w:tc>
        <w:tc>
          <w:tcPr>
            <w:tcW w:w="2500" w:type="pct"/>
            <w:tcBorders>
              <w:top w:val="nil"/>
              <w:left w:val="single" w:sz="2" w:space="0" w:color="auto"/>
              <w:bottom w:val="single" w:sz="18" w:space="0" w:color="auto"/>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50</w:t>
            </w:r>
          </w:p>
        </w:tc>
      </w:tr>
      <w:tr w:rsidR="00437321" w:rsidRPr="00BF7B0B" w:rsidTr="00C25615">
        <w:trPr>
          <w:jc w:val="center"/>
        </w:trPr>
        <w:tc>
          <w:tcPr>
            <w:tcW w:w="2500" w:type="pct"/>
            <w:tcBorders>
              <w:top w:val="single" w:sz="18" w:space="0" w:color="auto"/>
              <w:left w:val="single" w:sz="18" w:space="0" w:color="auto"/>
              <w:bottom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Proxy Group Average</w:t>
            </w:r>
          </w:p>
        </w:tc>
        <w:tc>
          <w:tcPr>
            <w:tcW w:w="2500" w:type="pct"/>
            <w:tcBorders>
              <w:top w:val="single" w:sz="18" w:space="0" w:color="auto"/>
              <w:bottom w:val="single" w:sz="18" w:space="0" w:color="auto"/>
              <w:right w:val="single" w:sz="18" w:space="0" w:color="auto"/>
            </w:tcBorders>
            <w:vAlign w:val="bottom"/>
          </w:tcPr>
          <w:p w:rsidR="00437321" w:rsidRPr="00C06AC8" w:rsidRDefault="00437321" w:rsidP="00437321">
            <w:pPr>
              <w:rPr>
                <w:rFonts w:eastAsiaTheme="majorEastAsia"/>
                <w:szCs w:val="24"/>
              </w:rPr>
            </w:pPr>
            <w:r w:rsidRPr="00C06AC8">
              <w:rPr>
                <w:rFonts w:eastAsiaTheme="majorEastAsia"/>
                <w:szCs w:val="24"/>
              </w:rPr>
              <w:t>52</w:t>
            </w:r>
          </w:p>
        </w:tc>
      </w:tr>
    </w:tbl>
    <w:p w:rsidR="00437321" w:rsidRDefault="00437321" w:rsidP="00C06AC8">
      <w:pPr>
        <w:pStyle w:val="QAQCont"/>
        <w:suppressLineNumbers/>
        <w:spacing w:after="0" w:line="240" w:lineRule="auto"/>
        <w:ind w:left="720" w:hanging="720"/>
        <w:rPr>
          <w:szCs w:val="24"/>
        </w:rPr>
      </w:pPr>
    </w:p>
    <w:p w:rsidR="00437321" w:rsidRPr="00C73C0A" w:rsidRDefault="00C73C0A" w:rsidP="00C06AC8">
      <w:pPr>
        <w:pStyle w:val="QAQCont"/>
        <w:spacing w:after="0" w:line="480" w:lineRule="auto"/>
        <w:ind w:left="720"/>
        <w:rPr>
          <w:szCs w:val="24"/>
        </w:rPr>
      </w:pPr>
      <w:r>
        <w:rPr>
          <w:szCs w:val="24"/>
        </w:rPr>
        <w:t xml:space="preserve">As this data show, Mr. </w:t>
      </w:r>
      <w:proofErr w:type="spellStart"/>
      <w:r>
        <w:rPr>
          <w:szCs w:val="24"/>
        </w:rPr>
        <w:t>Parcell’s</w:t>
      </w:r>
      <w:proofErr w:type="spellEnd"/>
      <w:r>
        <w:rPr>
          <w:szCs w:val="24"/>
        </w:rPr>
        <w:t xml:space="preserve"> comparable utilities</w:t>
      </w:r>
      <w:r w:rsidR="00AE6F44" w:rsidRPr="00C73C0A">
        <w:rPr>
          <w:szCs w:val="24"/>
        </w:rPr>
        <w:t xml:space="preserve"> employ equity ratios that are on average 290 basis points higher than the 49.1 percent he recommends. </w:t>
      </w:r>
    </w:p>
    <w:p w:rsidR="00C73C0A" w:rsidRDefault="00C73C0A" w:rsidP="001C4000">
      <w:pPr>
        <w:pStyle w:val="QAQuestion"/>
        <w:tabs>
          <w:tab w:val="num" w:pos="720"/>
        </w:tabs>
        <w:spacing w:after="0" w:line="480" w:lineRule="auto"/>
        <w:ind w:left="720" w:hanging="720"/>
        <w:jc w:val="left"/>
        <w:rPr>
          <w:b/>
          <w:szCs w:val="24"/>
        </w:rPr>
      </w:pPr>
      <w:r>
        <w:rPr>
          <w:b/>
          <w:szCs w:val="24"/>
        </w:rPr>
        <w:t>Q.</w:t>
      </w:r>
      <w:r>
        <w:rPr>
          <w:b/>
          <w:szCs w:val="24"/>
        </w:rPr>
        <w:tab/>
        <w:t>Are the equity ratios authorized by state regulators for the operating subsidiaries of these comparable companies also higher than the recommended 49.1 percent?</w:t>
      </w:r>
    </w:p>
    <w:p w:rsidR="00A223CB" w:rsidRDefault="00C73C0A" w:rsidP="006C14B7">
      <w:pPr>
        <w:pStyle w:val="QAQCont"/>
        <w:spacing w:after="0" w:line="480" w:lineRule="auto"/>
        <w:ind w:left="720" w:hanging="720"/>
        <w:jc w:val="left"/>
      </w:pPr>
      <w:r w:rsidRPr="00C06AC8">
        <w:rPr>
          <w:szCs w:val="24"/>
        </w:rPr>
        <w:t>A.</w:t>
      </w:r>
      <w:r w:rsidRPr="00C06AC8">
        <w:rPr>
          <w:szCs w:val="24"/>
        </w:rPr>
        <w:tab/>
      </w:r>
      <w:r>
        <w:rPr>
          <w:szCs w:val="24"/>
        </w:rPr>
        <w:t xml:space="preserve">Yes, as I show in </w:t>
      </w:r>
      <w:r w:rsidR="00286C92">
        <w:rPr>
          <w:szCs w:val="24"/>
        </w:rPr>
        <w:t xml:space="preserve">Exhibit </w:t>
      </w:r>
      <w:r w:rsidR="00BF7B0B">
        <w:rPr>
          <w:szCs w:val="24"/>
        </w:rPr>
        <w:t xml:space="preserve">No. </w:t>
      </w:r>
      <w:r w:rsidR="00286C92">
        <w:rPr>
          <w:szCs w:val="24"/>
        </w:rPr>
        <w:t>KGS-36</w:t>
      </w:r>
      <w:r w:rsidRPr="00286C92">
        <w:rPr>
          <w:szCs w:val="24"/>
        </w:rPr>
        <w:t>,</w:t>
      </w:r>
      <w:r>
        <w:rPr>
          <w:szCs w:val="24"/>
        </w:rPr>
        <w:t xml:space="preserve"> the average authorized equity ratio for the operating subsidiaries of Mr. </w:t>
      </w:r>
      <w:proofErr w:type="spellStart"/>
      <w:r>
        <w:rPr>
          <w:szCs w:val="24"/>
        </w:rPr>
        <w:t>Parcell’s</w:t>
      </w:r>
      <w:proofErr w:type="spellEnd"/>
      <w:r>
        <w:rPr>
          <w:szCs w:val="24"/>
        </w:rPr>
        <w:t xml:space="preserve"> comparable companies is approximately 50.5</w:t>
      </w:r>
      <w:r w:rsidR="00BF7B0B">
        <w:rPr>
          <w:szCs w:val="24"/>
        </w:rPr>
        <w:t> </w:t>
      </w:r>
      <w:r>
        <w:rPr>
          <w:szCs w:val="24"/>
        </w:rPr>
        <w:t>percent</w:t>
      </w:r>
      <w:r w:rsidR="002051A3">
        <w:rPr>
          <w:szCs w:val="24"/>
        </w:rPr>
        <w:t>, roughly</w:t>
      </w:r>
      <w:r>
        <w:rPr>
          <w:szCs w:val="24"/>
        </w:rPr>
        <w:t xml:space="preserve"> </w:t>
      </w:r>
      <w:r w:rsidR="002051A3">
        <w:rPr>
          <w:szCs w:val="24"/>
        </w:rPr>
        <w:t>140 basis points</w:t>
      </w:r>
      <w:r>
        <w:rPr>
          <w:szCs w:val="24"/>
        </w:rPr>
        <w:t xml:space="preserve"> above Mr. </w:t>
      </w:r>
      <w:proofErr w:type="spellStart"/>
      <w:r>
        <w:rPr>
          <w:szCs w:val="24"/>
        </w:rPr>
        <w:t>Parcell’s</w:t>
      </w:r>
      <w:proofErr w:type="spellEnd"/>
      <w:r>
        <w:rPr>
          <w:szCs w:val="24"/>
        </w:rPr>
        <w:t xml:space="preserve"> </w:t>
      </w:r>
      <w:r w:rsidR="002051A3">
        <w:rPr>
          <w:szCs w:val="24"/>
        </w:rPr>
        <w:t>proposed hypothetical equity ratio of 49.1 percent.</w:t>
      </w:r>
      <w:r w:rsidR="00A223CB">
        <w:br w:type="page"/>
      </w:r>
    </w:p>
    <w:p w:rsidR="00AE6F44" w:rsidRDefault="00AE6F44" w:rsidP="001C4000">
      <w:pPr>
        <w:pStyle w:val="QAQuestion"/>
        <w:tabs>
          <w:tab w:val="num" w:pos="720"/>
        </w:tabs>
        <w:spacing w:after="0" w:line="480" w:lineRule="auto"/>
        <w:ind w:left="720" w:hanging="720"/>
        <w:jc w:val="left"/>
        <w:rPr>
          <w:b/>
          <w:szCs w:val="24"/>
        </w:rPr>
      </w:pPr>
      <w:r>
        <w:rPr>
          <w:b/>
          <w:szCs w:val="24"/>
        </w:rPr>
        <w:t>Q.</w:t>
      </w:r>
      <w:r>
        <w:rPr>
          <w:b/>
          <w:szCs w:val="24"/>
        </w:rPr>
        <w:tab/>
        <w:t xml:space="preserve">Is the Company’s </w:t>
      </w:r>
      <w:r w:rsidR="00C25615">
        <w:rPr>
          <w:b/>
          <w:szCs w:val="24"/>
        </w:rPr>
        <w:t>actual</w:t>
      </w:r>
      <w:r w:rsidR="00C73C0A">
        <w:rPr>
          <w:b/>
          <w:szCs w:val="24"/>
        </w:rPr>
        <w:t xml:space="preserve"> equity ratio of 51.03 percent</w:t>
      </w:r>
      <w:r w:rsidR="00C25615">
        <w:rPr>
          <w:b/>
          <w:szCs w:val="24"/>
        </w:rPr>
        <w:t xml:space="preserve"> for the year ending </w:t>
      </w:r>
      <w:r w:rsidR="009832FB">
        <w:rPr>
          <w:b/>
          <w:szCs w:val="24"/>
        </w:rPr>
        <w:t xml:space="preserve">      </w:t>
      </w:r>
      <w:r w:rsidR="00C25615">
        <w:rPr>
          <w:b/>
          <w:szCs w:val="24"/>
        </w:rPr>
        <w:t xml:space="preserve">June 30, 2016, </w:t>
      </w:r>
      <w:r>
        <w:rPr>
          <w:b/>
          <w:szCs w:val="24"/>
        </w:rPr>
        <w:t>imprudent?</w:t>
      </w:r>
    </w:p>
    <w:p w:rsidR="00C73C0A" w:rsidRDefault="00C73C0A" w:rsidP="00C06AC8">
      <w:pPr>
        <w:pStyle w:val="QAQCont"/>
        <w:spacing w:after="0" w:line="480" w:lineRule="auto"/>
        <w:ind w:left="720" w:hanging="720"/>
        <w:jc w:val="left"/>
        <w:rPr>
          <w:szCs w:val="24"/>
        </w:rPr>
      </w:pPr>
      <w:r w:rsidRPr="00C06AC8">
        <w:rPr>
          <w:szCs w:val="24"/>
        </w:rPr>
        <w:t>A.</w:t>
      </w:r>
      <w:r w:rsidRPr="00C06AC8">
        <w:rPr>
          <w:szCs w:val="24"/>
        </w:rPr>
        <w:tab/>
      </w:r>
      <w:r>
        <w:rPr>
          <w:szCs w:val="24"/>
        </w:rPr>
        <w:t xml:space="preserve">No.  It is well within the range of prudent equity ratios and is particularly </w:t>
      </w:r>
      <w:r w:rsidR="008B27CF">
        <w:rPr>
          <w:szCs w:val="24"/>
        </w:rPr>
        <w:t xml:space="preserve">compelling </w:t>
      </w:r>
      <w:r>
        <w:rPr>
          <w:szCs w:val="24"/>
        </w:rPr>
        <w:t xml:space="preserve">in light of the </w:t>
      </w:r>
      <w:r w:rsidR="002051A3">
        <w:rPr>
          <w:szCs w:val="24"/>
        </w:rPr>
        <w:t xml:space="preserve">transformations occurring in the </w:t>
      </w:r>
      <w:r w:rsidR="008B27CF">
        <w:rPr>
          <w:szCs w:val="24"/>
        </w:rPr>
        <w:t xml:space="preserve">electric power </w:t>
      </w:r>
      <w:r w:rsidR="002051A3">
        <w:rPr>
          <w:szCs w:val="24"/>
        </w:rPr>
        <w:t>industry now.  These include a major change in the generation fuel mix, which will require significant investment</w:t>
      </w:r>
      <w:r w:rsidR="008B27CF">
        <w:rPr>
          <w:szCs w:val="24"/>
        </w:rPr>
        <w:t xml:space="preserve">.  </w:t>
      </w:r>
      <w:r w:rsidR="00325D65">
        <w:rPr>
          <w:szCs w:val="24"/>
        </w:rPr>
        <w:t>The industry</w:t>
      </w:r>
      <w:r w:rsidR="002051A3">
        <w:rPr>
          <w:szCs w:val="24"/>
        </w:rPr>
        <w:t xml:space="preserve"> </w:t>
      </w:r>
      <w:r w:rsidR="00DA1C39">
        <w:rPr>
          <w:szCs w:val="24"/>
        </w:rPr>
        <w:t>seems intent on</w:t>
      </w:r>
      <w:r w:rsidR="00325D65">
        <w:rPr>
          <w:szCs w:val="24"/>
        </w:rPr>
        <w:t xml:space="preserve"> marching forward with these fuel mix changes irrespective of the </w:t>
      </w:r>
      <w:r w:rsidR="002051A3">
        <w:rPr>
          <w:szCs w:val="24"/>
        </w:rPr>
        <w:t xml:space="preserve">outcome of the </w:t>
      </w:r>
      <w:r w:rsidR="00AF777C">
        <w:rPr>
          <w:szCs w:val="24"/>
        </w:rPr>
        <w:t xml:space="preserve">various </w:t>
      </w:r>
      <w:r w:rsidR="002051A3">
        <w:rPr>
          <w:szCs w:val="24"/>
        </w:rPr>
        <w:t>challenge</w:t>
      </w:r>
      <w:r w:rsidR="00AF777C">
        <w:rPr>
          <w:szCs w:val="24"/>
        </w:rPr>
        <w:t>s</w:t>
      </w:r>
      <w:r w:rsidR="002051A3">
        <w:rPr>
          <w:szCs w:val="24"/>
        </w:rPr>
        <w:t xml:space="preserve"> to the EPA’s Clean Power Plan, which led </w:t>
      </w:r>
      <w:r w:rsidR="008B27CF">
        <w:rPr>
          <w:szCs w:val="24"/>
        </w:rPr>
        <w:t xml:space="preserve">the </w:t>
      </w:r>
      <w:r w:rsidR="002051A3">
        <w:rPr>
          <w:szCs w:val="24"/>
        </w:rPr>
        <w:t>Supreme Court</w:t>
      </w:r>
      <w:r w:rsidR="008B27CF">
        <w:rPr>
          <w:szCs w:val="24"/>
        </w:rPr>
        <w:t xml:space="preserve"> to stay the Agency’s action</w:t>
      </w:r>
      <w:r w:rsidR="002051A3">
        <w:rPr>
          <w:szCs w:val="24"/>
        </w:rPr>
        <w:t xml:space="preserve">.  The potential for utilities to embrace new business models to accommodate a technologically-driven sector restructuring will also require a financially-strong </w:t>
      </w:r>
      <w:r w:rsidR="00325D65">
        <w:rPr>
          <w:szCs w:val="24"/>
        </w:rPr>
        <w:t xml:space="preserve">and adaptive </w:t>
      </w:r>
      <w:r w:rsidR="002051A3">
        <w:rPr>
          <w:szCs w:val="24"/>
        </w:rPr>
        <w:t xml:space="preserve">utility.  In light of the fast-paced and dramatic changes facing the industry, it is prudent </w:t>
      </w:r>
      <w:r w:rsidR="00AF777C">
        <w:rPr>
          <w:szCs w:val="24"/>
        </w:rPr>
        <w:t xml:space="preserve">and efficient for customers for utilities </w:t>
      </w:r>
      <w:r w:rsidR="008B27CF">
        <w:rPr>
          <w:szCs w:val="24"/>
        </w:rPr>
        <w:t xml:space="preserve">to maintain equity ratios at levels </w:t>
      </w:r>
      <w:r w:rsidR="00325D65">
        <w:rPr>
          <w:szCs w:val="24"/>
        </w:rPr>
        <w:t>that support</w:t>
      </w:r>
      <w:r w:rsidR="008B27CF">
        <w:rPr>
          <w:szCs w:val="24"/>
        </w:rPr>
        <w:t xml:space="preserve"> single-A credit rating</w:t>
      </w:r>
      <w:r w:rsidR="00AF777C">
        <w:rPr>
          <w:szCs w:val="24"/>
        </w:rPr>
        <w:t>s</w:t>
      </w:r>
      <w:r w:rsidR="008B27CF">
        <w:rPr>
          <w:szCs w:val="24"/>
        </w:rPr>
        <w:t xml:space="preserve">.  </w:t>
      </w:r>
    </w:p>
    <w:p w:rsidR="008B27CF" w:rsidRDefault="008B27CF" w:rsidP="008B27CF">
      <w:pPr>
        <w:pStyle w:val="QAQuestion"/>
        <w:tabs>
          <w:tab w:val="num" w:pos="720"/>
        </w:tabs>
        <w:spacing w:after="0" w:line="480" w:lineRule="auto"/>
        <w:ind w:left="720" w:hanging="720"/>
        <w:jc w:val="left"/>
        <w:rPr>
          <w:b/>
          <w:szCs w:val="24"/>
        </w:rPr>
      </w:pPr>
      <w:r>
        <w:rPr>
          <w:b/>
          <w:szCs w:val="24"/>
        </w:rPr>
        <w:t>Q.</w:t>
      </w:r>
      <w:r>
        <w:rPr>
          <w:b/>
          <w:szCs w:val="24"/>
        </w:rPr>
        <w:tab/>
        <w:t>What effect does the imputation of an equity ratio have?</w:t>
      </w:r>
    </w:p>
    <w:p w:rsidR="00E25826" w:rsidRDefault="008B27CF" w:rsidP="00C06AC8">
      <w:pPr>
        <w:pStyle w:val="QAQCont"/>
        <w:spacing w:after="0" w:line="480" w:lineRule="auto"/>
        <w:ind w:left="720" w:hanging="720"/>
        <w:jc w:val="left"/>
        <w:rPr>
          <w:szCs w:val="24"/>
        </w:rPr>
      </w:pPr>
      <w:r w:rsidRPr="00C06AC8">
        <w:rPr>
          <w:szCs w:val="24"/>
        </w:rPr>
        <w:t>A.</w:t>
      </w:r>
      <w:r w:rsidRPr="00C06AC8">
        <w:rPr>
          <w:szCs w:val="24"/>
        </w:rPr>
        <w:tab/>
      </w:r>
      <w:r>
        <w:rPr>
          <w:szCs w:val="24"/>
        </w:rPr>
        <w:t xml:space="preserve">The imputation of a hypothetical equity ratio that is below </w:t>
      </w:r>
      <w:r w:rsidR="00F54299">
        <w:rPr>
          <w:szCs w:val="24"/>
        </w:rPr>
        <w:t>a utility</w:t>
      </w:r>
      <w:r>
        <w:rPr>
          <w:szCs w:val="24"/>
        </w:rPr>
        <w:t>’s actual equity ratio is tantamount to a disallowance of costs if the ROE is not adjusted to reflect a higher level of leverage.  For the Company, such a disallowance is not warranted as its actual capital structure is not imprudent.</w:t>
      </w:r>
    </w:p>
    <w:p w:rsidR="00C73C0A" w:rsidRDefault="00C73C0A" w:rsidP="00C25615">
      <w:pPr>
        <w:pStyle w:val="QAQuestion"/>
        <w:widowControl w:val="0"/>
        <w:tabs>
          <w:tab w:val="num" w:pos="720"/>
        </w:tabs>
        <w:spacing w:after="0" w:line="480" w:lineRule="auto"/>
        <w:ind w:left="720" w:hanging="720"/>
        <w:jc w:val="left"/>
        <w:rPr>
          <w:b/>
          <w:szCs w:val="24"/>
        </w:rPr>
      </w:pPr>
      <w:r>
        <w:rPr>
          <w:b/>
          <w:szCs w:val="24"/>
        </w:rPr>
        <w:t>Q.</w:t>
      </w:r>
      <w:r>
        <w:rPr>
          <w:b/>
          <w:szCs w:val="24"/>
        </w:rPr>
        <w:tab/>
        <w:t xml:space="preserve">Did Mr. </w:t>
      </w:r>
      <w:proofErr w:type="spellStart"/>
      <w:r>
        <w:rPr>
          <w:b/>
          <w:szCs w:val="24"/>
        </w:rPr>
        <w:t>Parcell</w:t>
      </w:r>
      <w:proofErr w:type="spellEnd"/>
      <w:r>
        <w:rPr>
          <w:b/>
          <w:szCs w:val="24"/>
        </w:rPr>
        <w:t xml:space="preserve"> adjust his recommended ROE to account for differences between the</w:t>
      </w:r>
      <w:r w:rsidR="00AF777C">
        <w:rPr>
          <w:b/>
          <w:szCs w:val="24"/>
        </w:rPr>
        <w:t xml:space="preserve"> proxy companies’ equity ratio </w:t>
      </w:r>
      <w:r>
        <w:rPr>
          <w:b/>
          <w:szCs w:val="24"/>
        </w:rPr>
        <w:t xml:space="preserve">and the </w:t>
      </w:r>
      <w:r w:rsidR="008B27CF">
        <w:rPr>
          <w:b/>
          <w:szCs w:val="24"/>
        </w:rPr>
        <w:t xml:space="preserve">one </w:t>
      </w:r>
      <w:r>
        <w:rPr>
          <w:b/>
          <w:szCs w:val="24"/>
        </w:rPr>
        <w:t xml:space="preserve">he recommends using for establishing the Company’s rates?  </w:t>
      </w:r>
    </w:p>
    <w:p w:rsidR="00C73C0A" w:rsidRDefault="00C73C0A" w:rsidP="00C25615">
      <w:pPr>
        <w:pStyle w:val="QAQCont"/>
        <w:widowControl w:val="0"/>
        <w:spacing w:after="0" w:line="480" w:lineRule="auto"/>
        <w:ind w:left="720" w:hanging="720"/>
        <w:jc w:val="left"/>
      </w:pPr>
      <w:r w:rsidRPr="00C06AC8">
        <w:rPr>
          <w:szCs w:val="24"/>
        </w:rPr>
        <w:t>A.</w:t>
      </w:r>
      <w:r w:rsidRPr="00C06AC8">
        <w:rPr>
          <w:szCs w:val="24"/>
        </w:rPr>
        <w:tab/>
      </w:r>
      <w:r>
        <w:rPr>
          <w:szCs w:val="24"/>
        </w:rPr>
        <w:t>No</w:t>
      </w:r>
      <w:r w:rsidR="008B27CF">
        <w:rPr>
          <w:szCs w:val="24"/>
        </w:rPr>
        <w:t>.  He did</w:t>
      </w:r>
      <w:r>
        <w:rPr>
          <w:szCs w:val="24"/>
        </w:rPr>
        <w:t xml:space="preserve"> not.  </w:t>
      </w:r>
      <w:r w:rsidR="00F87587">
        <w:rPr>
          <w:szCs w:val="24"/>
        </w:rPr>
        <w:t>Making such an adjustment would place his ROE at the 9.5 percent level approved by the Commission in Order 08</w:t>
      </w:r>
      <w:r w:rsidR="00DA1C39">
        <w:rPr>
          <w:szCs w:val="24"/>
        </w:rPr>
        <w:t xml:space="preserve"> or above</w:t>
      </w:r>
      <w:r w:rsidR="00F87587">
        <w:rPr>
          <w:szCs w:val="24"/>
        </w:rPr>
        <w:t xml:space="preserve">.  I illustrate this adjustment in </w:t>
      </w:r>
      <w:r w:rsidR="00AF777C">
        <w:rPr>
          <w:szCs w:val="24"/>
        </w:rPr>
        <w:t xml:space="preserve">my </w:t>
      </w:r>
      <w:proofErr w:type="spellStart"/>
      <w:r w:rsidR="00F87587">
        <w:rPr>
          <w:szCs w:val="24"/>
        </w:rPr>
        <w:t>workpaper</w:t>
      </w:r>
      <w:proofErr w:type="spellEnd"/>
      <w:r w:rsidR="00F87587">
        <w:rPr>
          <w:szCs w:val="24"/>
        </w:rPr>
        <w:t xml:space="preserve"> </w:t>
      </w:r>
      <w:proofErr w:type="spellStart"/>
      <w:r w:rsidR="00F87587" w:rsidRPr="00F87587">
        <w:rPr>
          <w:i/>
          <w:szCs w:val="24"/>
        </w:rPr>
        <w:t>Relevered</w:t>
      </w:r>
      <w:proofErr w:type="spellEnd"/>
      <w:r w:rsidR="00F87587" w:rsidRPr="00F87587">
        <w:rPr>
          <w:i/>
          <w:szCs w:val="24"/>
        </w:rPr>
        <w:t xml:space="preserve"> beta analysis.xls</w:t>
      </w:r>
      <w:r w:rsidR="00DA1C39">
        <w:rPr>
          <w:i/>
          <w:szCs w:val="24"/>
        </w:rPr>
        <w:t>x</w:t>
      </w:r>
      <w:r w:rsidR="00F87587">
        <w:rPr>
          <w:szCs w:val="24"/>
        </w:rPr>
        <w:t xml:space="preserve">. </w:t>
      </w:r>
    </w:p>
    <w:p w:rsidR="00325D65" w:rsidRPr="00047094" w:rsidRDefault="00325D65" w:rsidP="00A223CB">
      <w:pPr>
        <w:pStyle w:val="Heading1"/>
      </w:pPr>
      <w:bookmarkStart w:id="15" w:name="_Toc447616296"/>
      <w:r>
        <w:t>UPDATED ROE ANALYSIS</w:t>
      </w:r>
      <w:bookmarkEnd w:id="15"/>
    </w:p>
    <w:p w:rsidR="00325D65" w:rsidRDefault="00325D65" w:rsidP="00C06AC8">
      <w:pPr>
        <w:pStyle w:val="question0"/>
        <w:keepNext/>
        <w:keepLines/>
        <w:spacing w:before="0" w:after="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Have you refreshed your ROE analysis to incorporate more recent data since the Company’s direct filing? </w:t>
      </w:r>
    </w:p>
    <w:p w:rsidR="00325D65" w:rsidRDefault="00325D65" w:rsidP="00C06AC8">
      <w:pPr>
        <w:pStyle w:val="QAQCont"/>
        <w:spacing w:after="0" w:line="480" w:lineRule="auto"/>
        <w:ind w:left="720" w:hanging="720"/>
        <w:jc w:val="left"/>
        <w:rPr>
          <w:rFonts w:eastAsia="SimSun"/>
        </w:rPr>
      </w:pPr>
      <w:r w:rsidRPr="00C06AC8">
        <w:rPr>
          <w:caps/>
          <w:szCs w:val="24"/>
        </w:rPr>
        <w:t>A.</w:t>
      </w:r>
      <w:r w:rsidRPr="00C06AC8">
        <w:rPr>
          <w:caps/>
          <w:szCs w:val="24"/>
        </w:rPr>
        <w:tab/>
      </w:r>
      <w:r>
        <w:rPr>
          <w:rFonts w:eastAsia="SimSun"/>
        </w:rPr>
        <w:t xml:space="preserve">Yes, I have.  I have previously described trends in capital markets since November 2015.  In addition, I have prepared </w:t>
      </w:r>
      <w:r w:rsidR="00286C92" w:rsidRPr="00286C92">
        <w:rPr>
          <w:rFonts w:eastAsia="SimSun"/>
        </w:rPr>
        <w:t>Exhibit</w:t>
      </w:r>
      <w:r w:rsidR="00BF7B0B">
        <w:rPr>
          <w:rFonts w:eastAsia="SimSun"/>
        </w:rPr>
        <w:t xml:space="preserve"> No. </w:t>
      </w:r>
      <w:proofErr w:type="gramStart"/>
      <w:r w:rsidR="00286C92" w:rsidRPr="00286C92">
        <w:rPr>
          <w:rFonts w:eastAsia="SimSun"/>
        </w:rPr>
        <w:t>KGS-20</w:t>
      </w:r>
      <w:r w:rsidRPr="00286C92">
        <w:rPr>
          <w:rFonts w:eastAsia="SimSun"/>
        </w:rPr>
        <w:t xml:space="preserve"> through </w:t>
      </w:r>
      <w:r w:rsidR="00BF7B0B">
        <w:rPr>
          <w:rFonts w:eastAsia="SimSun"/>
        </w:rPr>
        <w:t>Exhibit No.</w:t>
      </w:r>
      <w:proofErr w:type="gramEnd"/>
      <w:r w:rsidR="00BF7B0B">
        <w:rPr>
          <w:rFonts w:eastAsia="SimSun"/>
        </w:rPr>
        <w:t xml:space="preserve"> </w:t>
      </w:r>
      <w:proofErr w:type="gramStart"/>
      <w:r w:rsidR="00286C92" w:rsidRPr="00286C92">
        <w:rPr>
          <w:rFonts w:eastAsia="SimSun"/>
        </w:rPr>
        <w:t>KGS-32</w:t>
      </w:r>
      <w:r w:rsidRPr="00286C92">
        <w:rPr>
          <w:rFonts w:eastAsia="SimSun"/>
        </w:rPr>
        <w:t>,</w:t>
      </w:r>
      <w:r>
        <w:rPr>
          <w:rFonts w:eastAsia="SimSun"/>
        </w:rPr>
        <w:t xml:space="preserve"> which update my cost of capital analyses, including the </w:t>
      </w:r>
      <w:proofErr w:type="spellStart"/>
      <w:r>
        <w:rPr>
          <w:rFonts w:eastAsia="SimSun"/>
        </w:rPr>
        <w:t>DCF</w:t>
      </w:r>
      <w:proofErr w:type="spellEnd"/>
      <w:r>
        <w:rPr>
          <w:rFonts w:eastAsia="SimSun"/>
        </w:rPr>
        <w:t xml:space="preserve"> model, </w:t>
      </w:r>
      <w:proofErr w:type="spellStart"/>
      <w:r w:rsidR="009832FB">
        <w:rPr>
          <w:rFonts w:eastAsia="SimSun"/>
        </w:rPr>
        <w:t>CAPM</w:t>
      </w:r>
      <w:proofErr w:type="spellEnd"/>
      <w:r>
        <w:rPr>
          <w:rFonts w:eastAsia="SimSun"/>
        </w:rPr>
        <w:t xml:space="preserve">, and </w:t>
      </w:r>
      <w:r w:rsidRPr="00B14675">
        <w:rPr>
          <w:rFonts w:eastAsia="SimSun"/>
        </w:rPr>
        <w:t>risk premium</w:t>
      </w:r>
      <w:r>
        <w:rPr>
          <w:rFonts w:eastAsia="SimSun"/>
        </w:rPr>
        <w:t xml:space="preserve"> model, as well as an examination of Comparable Earnings and Allowed Returns.</w:t>
      </w:r>
      <w:proofErr w:type="gramEnd"/>
      <w:r>
        <w:rPr>
          <w:rFonts w:eastAsia="SimSun"/>
        </w:rPr>
        <w:t xml:space="preserve"> </w:t>
      </w:r>
    </w:p>
    <w:p w:rsidR="00325D65" w:rsidRDefault="00325D65" w:rsidP="00C06AC8">
      <w:pPr>
        <w:pStyle w:val="question0"/>
        <w:keepNext/>
        <w:keepLines/>
        <w:spacing w:before="0" w:after="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What conclusions do you draw from your updated analysis? </w:t>
      </w:r>
    </w:p>
    <w:p w:rsidR="0004746E" w:rsidRDefault="00325D65" w:rsidP="00DA1C39">
      <w:pPr>
        <w:pStyle w:val="QAQCont"/>
        <w:spacing w:after="0" w:line="480" w:lineRule="auto"/>
        <w:ind w:left="720" w:hanging="720"/>
        <w:jc w:val="left"/>
        <w:rPr>
          <w:rFonts w:eastAsia="SimSun"/>
        </w:rPr>
      </w:pPr>
      <w:r w:rsidRPr="00C06AC8">
        <w:rPr>
          <w:caps/>
          <w:szCs w:val="24"/>
        </w:rPr>
        <w:t>A.</w:t>
      </w:r>
      <w:r w:rsidRPr="00C06AC8">
        <w:rPr>
          <w:caps/>
          <w:szCs w:val="24"/>
        </w:rPr>
        <w:tab/>
      </w:r>
      <w:r>
        <w:rPr>
          <w:rFonts w:eastAsia="SimSun"/>
        </w:rPr>
        <w:t xml:space="preserve">I conclude that 10 percent continues to represent a fair return for the Company’s equity investors.  </w:t>
      </w:r>
      <w:r w:rsidR="00DA1C39">
        <w:rPr>
          <w:rFonts w:eastAsia="SimSun"/>
        </w:rPr>
        <w:t>W</w:t>
      </w:r>
      <w:r>
        <w:rPr>
          <w:rFonts w:eastAsia="SimSun"/>
        </w:rPr>
        <w:t xml:space="preserve">hile some </w:t>
      </w:r>
      <w:r w:rsidR="00DA1C39">
        <w:rPr>
          <w:rFonts w:eastAsia="SimSun"/>
        </w:rPr>
        <w:t xml:space="preserve">recent </w:t>
      </w:r>
      <w:r>
        <w:rPr>
          <w:rFonts w:eastAsia="SimSun"/>
        </w:rPr>
        <w:t xml:space="preserve">indications of ROE have increased, others have decreased.  On balance, a 10 percent ROE continues to </w:t>
      </w:r>
      <w:r w:rsidR="002B4924">
        <w:rPr>
          <w:rFonts w:eastAsia="SimSun"/>
        </w:rPr>
        <w:t xml:space="preserve">fall squarely </w:t>
      </w:r>
      <w:r>
        <w:rPr>
          <w:rFonts w:eastAsia="SimSun"/>
        </w:rPr>
        <w:t xml:space="preserve">within the zone of reasonableness.  </w:t>
      </w:r>
    </w:p>
    <w:p w:rsidR="00325D65" w:rsidRDefault="00DA1C39" w:rsidP="00F144E2">
      <w:pPr>
        <w:pStyle w:val="QAQCont"/>
        <w:spacing w:after="0" w:line="480" w:lineRule="auto"/>
        <w:ind w:left="720" w:firstLine="720"/>
        <w:jc w:val="left"/>
        <w:rPr>
          <w:rFonts w:eastAsia="SimSun"/>
        </w:rPr>
      </w:pPr>
      <w:r>
        <w:rPr>
          <w:rFonts w:eastAsia="SimSun"/>
        </w:rPr>
        <w:t>That said</w:t>
      </w:r>
      <w:proofErr w:type="gramStart"/>
      <w:r w:rsidR="00325D65">
        <w:rPr>
          <w:rFonts w:eastAsia="SimSun"/>
        </w:rPr>
        <w:t>,</w:t>
      </w:r>
      <w:proofErr w:type="gramEnd"/>
      <w:r w:rsidR="00325D65">
        <w:rPr>
          <w:rFonts w:eastAsia="SimSun"/>
        </w:rPr>
        <w:t xml:space="preserve"> </w:t>
      </w:r>
      <w:r w:rsidR="002B4924">
        <w:rPr>
          <w:rFonts w:eastAsia="SimSun"/>
        </w:rPr>
        <w:t xml:space="preserve">if the Commission decides to approve the Company’s request to defer the adjudication of cost of capital until the next rate proceeding, the data </w:t>
      </w:r>
      <w:r w:rsidR="00396779">
        <w:rPr>
          <w:rFonts w:eastAsia="SimSun"/>
        </w:rPr>
        <w:t xml:space="preserve">contained in </w:t>
      </w:r>
      <w:r w:rsidRPr="00286C92">
        <w:rPr>
          <w:rFonts w:eastAsia="SimSun"/>
        </w:rPr>
        <w:t>Exhibit</w:t>
      </w:r>
      <w:r>
        <w:rPr>
          <w:rFonts w:eastAsia="SimSun"/>
        </w:rPr>
        <w:t xml:space="preserve"> No. </w:t>
      </w:r>
      <w:proofErr w:type="gramStart"/>
      <w:r w:rsidRPr="00286C92">
        <w:rPr>
          <w:rFonts w:eastAsia="SimSun"/>
        </w:rPr>
        <w:t xml:space="preserve">KGS-20 through </w:t>
      </w:r>
      <w:r>
        <w:rPr>
          <w:rFonts w:eastAsia="SimSun"/>
        </w:rPr>
        <w:t>Exhibit No.</w:t>
      </w:r>
      <w:proofErr w:type="gramEnd"/>
      <w:r>
        <w:rPr>
          <w:rFonts w:eastAsia="SimSun"/>
        </w:rPr>
        <w:t xml:space="preserve"> </w:t>
      </w:r>
      <w:r w:rsidRPr="00286C92">
        <w:rPr>
          <w:rFonts w:eastAsia="SimSun"/>
        </w:rPr>
        <w:t>KGS-32</w:t>
      </w:r>
      <w:r w:rsidR="00396779">
        <w:rPr>
          <w:rFonts w:eastAsia="SimSun"/>
        </w:rPr>
        <w:t xml:space="preserve"> confirm the relatively stability of required return </w:t>
      </w:r>
      <w:r>
        <w:rPr>
          <w:rFonts w:eastAsia="SimSun"/>
        </w:rPr>
        <w:t>indicators</w:t>
      </w:r>
      <w:r w:rsidR="00396779">
        <w:rPr>
          <w:rFonts w:eastAsia="SimSun"/>
        </w:rPr>
        <w:t>,</w:t>
      </w:r>
      <w:r w:rsidR="005942AA">
        <w:rPr>
          <w:rFonts w:eastAsia="SimSun"/>
        </w:rPr>
        <w:t xml:space="preserve"> on balance.  They also confirm</w:t>
      </w:r>
      <w:r w:rsidR="00396779">
        <w:rPr>
          <w:rFonts w:eastAsia="SimSun"/>
        </w:rPr>
        <w:t xml:space="preserve"> </w:t>
      </w:r>
      <w:r w:rsidR="005942AA">
        <w:rPr>
          <w:rFonts w:eastAsia="SimSun"/>
        </w:rPr>
        <w:t>a</w:t>
      </w:r>
      <w:r w:rsidR="00396779">
        <w:rPr>
          <w:rFonts w:eastAsia="SimSun"/>
        </w:rPr>
        <w:t xml:space="preserve"> projected uptick in returns that will accompany interest rate policy normalization by the Federal Reserve. </w:t>
      </w:r>
    </w:p>
    <w:p w:rsidR="00325D65" w:rsidRPr="00B14675" w:rsidRDefault="00325D65" w:rsidP="00C06AC8">
      <w:pPr>
        <w:pStyle w:val="question0"/>
        <w:keepNext/>
        <w:keepLines/>
        <w:spacing w:before="0" w:after="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To which proxy group did you apply these models?</w:t>
      </w:r>
    </w:p>
    <w:p w:rsidR="00325D65" w:rsidRDefault="00325D65" w:rsidP="00C06AC8">
      <w:pPr>
        <w:pStyle w:val="QAQuestion"/>
        <w:tabs>
          <w:tab w:val="num" w:pos="720"/>
        </w:tabs>
        <w:spacing w:after="0" w:line="480" w:lineRule="auto"/>
        <w:ind w:left="720" w:hanging="720"/>
        <w:jc w:val="left"/>
        <w:rPr>
          <w:rFonts w:eastAsia="SimSun"/>
        </w:rPr>
      </w:pPr>
      <w:r w:rsidRPr="00C06AC8">
        <w:rPr>
          <w:caps/>
          <w:szCs w:val="24"/>
        </w:rPr>
        <w:t>A.</w:t>
      </w:r>
      <w:r w:rsidRPr="00C06AC8">
        <w:rPr>
          <w:caps/>
          <w:szCs w:val="24"/>
        </w:rPr>
        <w:tab/>
      </w:r>
      <w:r w:rsidRPr="003A2168">
        <w:rPr>
          <w:szCs w:val="24"/>
        </w:rPr>
        <w:t>The proxy group</w:t>
      </w:r>
      <w:r>
        <w:rPr>
          <w:szCs w:val="24"/>
        </w:rPr>
        <w:t xml:space="preserve"> in this report remains the same as that presented in my </w:t>
      </w:r>
      <w:r w:rsidR="00A223CB">
        <w:rPr>
          <w:szCs w:val="24"/>
        </w:rPr>
        <w:t>d</w:t>
      </w:r>
      <w:r>
        <w:rPr>
          <w:szCs w:val="24"/>
        </w:rPr>
        <w:t xml:space="preserve">irect </w:t>
      </w:r>
      <w:r w:rsidR="00A223CB">
        <w:rPr>
          <w:szCs w:val="24"/>
        </w:rPr>
        <w:t>t</w:t>
      </w:r>
      <w:r>
        <w:rPr>
          <w:szCs w:val="24"/>
        </w:rPr>
        <w:t>estimony</w:t>
      </w:r>
      <w:r w:rsidR="00A223CB">
        <w:rPr>
          <w:szCs w:val="24"/>
        </w:rPr>
        <w:t xml:space="preserve">, Exhibit No. </w:t>
      </w:r>
      <w:proofErr w:type="gramStart"/>
      <w:r w:rsidR="00A223CB">
        <w:rPr>
          <w:szCs w:val="24"/>
        </w:rPr>
        <w:t>KGS-1T,</w:t>
      </w:r>
      <w:r>
        <w:rPr>
          <w:szCs w:val="24"/>
        </w:rPr>
        <w:t xml:space="preserve"> in this matter filed </w:t>
      </w:r>
      <w:r w:rsidR="00396779">
        <w:rPr>
          <w:szCs w:val="24"/>
        </w:rPr>
        <w:t>i</w:t>
      </w:r>
      <w:r>
        <w:rPr>
          <w:szCs w:val="24"/>
        </w:rPr>
        <w:t xml:space="preserve">n </w:t>
      </w:r>
      <w:r w:rsidR="00396779" w:rsidRPr="00396779">
        <w:rPr>
          <w:szCs w:val="24"/>
        </w:rPr>
        <w:t xml:space="preserve">November </w:t>
      </w:r>
      <w:r w:rsidRPr="00396779">
        <w:rPr>
          <w:szCs w:val="24"/>
        </w:rPr>
        <w:t>2015</w:t>
      </w:r>
      <w:r>
        <w:rPr>
          <w:szCs w:val="24"/>
        </w:rPr>
        <w:t>.</w:t>
      </w:r>
      <w:proofErr w:type="gramEnd"/>
      <w:r>
        <w:rPr>
          <w:szCs w:val="24"/>
        </w:rPr>
        <w:t xml:space="preserve"> </w:t>
      </w:r>
      <w:r w:rsidR="00396779">
        <w:rPr>
          <w:szCs w:val="24"/>
        </w:rPr>
        <w:t xml:space="preserve"> </w:t>
      </w:r>
      <w:r>
        <w:rPr>
          <w:rFonts w:eastAsia="SimSun"/>
        </w:rPr>
        <w:t xml:space="preserve">This proxy group consists of the following twenty-three companies: </w:t>
      </w:r>
      <w:r w:rsidRPr="00723652">
        <w:rPr>
          <w:rFonts w:eastAsia="SimSun"/>
        </w:rPr>
        <w:t>Ameren Corporation</w:t>
      </w:r>
      <w:r>
        <w:rPr>
          <w:rFonts w:eastAsia="SimSun"/>
        </w:rPr>
        <w:t>,</w:t>
      </w:r>
      <w:r w:rsidRPr="00723652">
        <w:rPr>
          <w:rFonts w:eastAsia="SimSun"/>
        </w:rPr>
        <w:t xml:space="preserve"> </w:t>
      </w:r>
      <w:r w:rsidRPr="0074124D">
        <w:rPr>
          <w:rFonts w:eastAsia="SimSun"/>
        </w:rPr>
        <w:t>American Electric Power Company, Inc.</w:t>
      </w:r>
      <w:r>
        <w:rPr>
          <w:rFonts w:eastAsia="SimSun"/>
        </w:rPr>
        <w:t xml:space="preserve">, </w:t>
      </w:r>
      <w:proofErr w:type="spellStart"/>
      <w:r w:rsidRPr="0074124D">
        <w:rPr>
          <w:rFonts w:eastAsia="SimSun"/>
        </w:rPr>
        <w:t>Avista</w:t>
      </w:r>
      <w:proofErr w:type="spellEnd"/>
      <w:r w:rsidRPr="0074124D">
        <w:rPr>
          <w:rFonts w:eastAsia="SimSun"/>
        </w:rPr>
        <w:t xml:space="preserve"> Corporation</w:t>
      </w:r>
      <w:r>
        <w:rPr>
          <w:rFonts w:eastAsia="SimSun"/>
        </w:rPr>
        <w:t xml:space="preserve">, </w:t>
      </w:r>
      <w:proofErr w:type="spellStart"/>
      <w:r w:rsidRPr="0074124D">
        <w:rPr>
          <w:rFonts w:eastAsia="SimSun"/>
        </w:rPr>
        <w:t>C</w:t>
      </w:r>
      <w:r>
        <w:rPr>
          <w:rFonts w:eastAsia="SimSun"/>
        </w:rPr>
        <w:t>enterpoint</w:t>
      </w:r>
      <w:proofErr w:type="spellEnd"/>
      <w:r>
        <w:rPr>
          <w:rFonts w:eastAsia="SimSun"/>
        </w:rPr>
        <w:t xml:space="preserve"> Energy Inc.</w:t>
      </w:r>
      <w:r w:rsidRPr="0074124D">
        <w:rPr>
          <w:rFonts w:eastAsia="SimSun"/>
        </w:rPr>
        <w:t>,</w:t>
      </w:r>
      <w:r>
        <w:rPr>
          <w:rFonts w:eastAsia="SimSun"/>
        </w:rPr>
        <w:t xml:space="preserve"> </w:t>
      </w:r>
      <w:r w:rsidRPr="0074124D">
        <w:rPr>
          <w:rFonts w:eastAsia="SimSun"/>
        </w:rPr>
        <w:t>Consolidated Edison, Inc.</w:t>
      </w:r>
      <w:r>
        <w:rPr>
          <w:rFonts w:eastAsia="SimSun"/>
        </w:rPr>
        <w:t xml:space="preserve">, </w:t>
      </w:r>
      <w:r w:rsidRPr="0074124D">
        <w:rPr>
          <w:rFonts w:eastAsia="SimSun"/>
        </w:rPr>
        <w:t>DTE Energy Company</w:t>
      </w:r>
      <w:r>
        <w:rPr>
          <w:rFonts w:eastAsia="SimSun"/>
        </w:rPr>
        <w:t xml:space="preserve">, </w:t>
      </w:r>
      <w:r w:rsidRPr="001725D5">
        <w:rPr>
          <w:rFonts w:eastAsia="SimSun"/>
        </w:rPr>
        <w:t>Edison International</w:t>
      </w:r>
      <w:r>
        <w:rPr>
          <w:rFonts w:eastAsia="SimSun"/>
        </w:rPr>
        <w:t>,</w:t>
      </w:r>
      <w:r w:rsidRPr="001725D5">
        <w:rPr>
          <w:rFonts w:eastAsia="SimSun"/>
        </w:rPr>
        <w:t xml:space="preserve"> </w:t>
      </w:r>
      <w:r w:rsidRPr="0074124D">
        <w:rPr>
          <w:rFonts w:eastAsia="SimSun"/>
        </w:rPr>
        <w:t>El Paso Electric Company</w:t>
      </w:r>
      <w:r>
        <w:rPr>
          <w:rFonts w:eastAsia="SimSun"/>
        </w:rPr>
        <w:t xml:space="preserve">, </w:t>
      </w:r>
      <w:proofErr w:type="spellStart"/>
      <w:r w:rsidRPr="0074124D">
        <w:rPr>
          <w:rFonts w:eastAsia="SimSun"/>
        </w:rPr>
        <w:t>Eversource</w:t>
      </w:r>
      <w:proofErr w:type="spellEnd"/>
      <w:r w:rsidRPr="0074124D">
        <w:rPr>
          <w:rFonts w:eastAsia="SimSun"/>
        </w:rPr>
        <w:t xml:space="preserve"> Energy</w:t>
      </w:r>
      <w:r>
        <w:rPr>
          <w:rFonts w:eastAsia="SimSun"/>
        </w:rPr>
        <w:t xml:space="preserve">, </w:t>
      </w:r>
      <w:r w:rsidRPr="001725D5">
        <w:rPr>
          <w:rFonts w:eastAsia="SimSun"/>
        </w:rPr>
        <w:t>Great Plains Energy Incorporated</w:t>
      </w:r>
      <w:r>
        <w:rPr>
          <w:rFonts w:eastAsia="SimSun"/>
        </w:rPr>
        <w:t>,</w:t>
      </w:r>
      <w:r w:rsidRPr="001725D5">
        <w:rPr>
          <w:rFonts w:eastAsia="SimSun"/>
        </w:rPr>
        <w:t xml:space="preserve"> </w:t>
      </w:r>
      <w:r w:rsidRPr="0074124D">
        <w:rPr>
          <w:rFonts w:eastAsia="SimSun"/>
        </w:rPr>
        <w:t>IDACORP, Inc.</w:t>
      </w:r>
      <w:r>
        <w:rPr>
          <w:rFonts w:eastAsia="SimSun"/>
        </w:rPr>
        <w:t xml:space="preserve">, </w:t>
      </w:r>
      <w:proofErr w:type="spellStart"/>
      <w:r w:rsidRPr="0074124D">
        <w:rPr>
          <w:rFonts w:eastAsia="SimSun"/>
        </w:rPr>
        <w:t>NorthWestern</w:t>
      </w:r>
      <w:proofErr w:type="spellEnd"/>
      <w:r w:rsidRPr="0074124D">
        <w:rPr>
          <w:rFonts w:eastAsia="SimSun"/>
        </w:rPr>
        <w:t xml:space="preserve"> Corporation</w:t>
      </w:r>
      <w:r>
        <w:rPr>
          <w:rFonts w:eastAsia="SimSun"/>
        </w:rPr>
        <w:t xml:space="preserve">, </w:t>
      </w:r>
      <w:proofErr w:type="spellStart"/>
      <w:r w:rsidRPr="0074124D">
        <w:rPr>
          <w:rFonts w:eastAsia="SimSun"/>
        </w:rPr>
        <w:t>OGE</w:t>
      </w:r>
      <w:proofErr w:type="spellEnd"/>
      <w:r w:rsidRPr="0074124D">
        <w:rPr>
          <w:rFonts w:eastAsia="SimSun"/>
        </w:rPr>
        <w:t xml:space="preserve"> Energy Corp.</w:t>
      </w:r>
      <w:r>
        <w:rPr>
          <w:rFonts w:eastAsia="SimSun"/>
        </w:rPr>
        <w:t xml:space="preserve">, </w:t>
      </w:r>
      <w:r w:rsidRPr="0074124D">
        <w:rPr>
          <w:rFonts w:eastAsia="SimSun"/>
        </w:rPr>
        <w:t>Pinnacle West Capital Corporation</w:t>
      </w:r>
      <w:r>
        <w:rPr>
          <w:rFonts w:eastAsia="SimSun"/>
        </w:rPr>
        <w:t xml:space="preserve">, </w:t>
      </w:r>
      <w:r w:rsidRPr="0074124D">
        <w:rPr>
          <w:rFonts w:eastAsia="SimSun"/>
        </w:rPr>
        <w:t>Portland General Electric Company</w:t>
      </w:r>
      <w:r>
        <w:rPr>
          <w:rFonts w:eastAsia="SimSun"/>
        </w:rPr>
        <w:t xml:space="preserve">, </w:t>
      </w:r>
      <w:r w:rsidRPr="001725D5">
        <w:rPr>
          <w:rFonts w:eastAsia="SimSun"/>
        </w:rPr>
        <w:t>Public Service Enterprise Group Incorporated</w:t>
      </w:r>
      <w:r>
        <w:rPr>
          <w:rFonts w:eastAsia="SimSun"/>
        </w:rPr>
        <w:t>,</w:t>
      </w:r>
      <w:r w:rsidRPr="001725D5">
        <w:rPr>
          <w:rFonts w:eastAsia="SimSun"/>
        </w:rPr>
        <w:t xml:space="preserve"> SCANA Corporation</w:t>
      </w:r>
      <w:r>
        <w:rPr>
          <w:rFonts w:eastAsia="SimSun"/>
        </w:rPr>
        <w:t xml:space="preserve">, </w:t>
      </w:r>
      <w:r w:rsidRPr="001725D5">
        <w:rPr>
          <w:rFonts w:eastAsia="SimSun"/>
        </w:rPr>
        <w:t>Sempra Energy</w:t>
      </w:r>
      <w:r>
        <w:rPr>
          <w:rFonts w:eastAsia="SimSun"/>
        </w:rPr>
        <w:t xml:space="preserve">, </w:t>
      </w:r>
      <w:proofErr w:type="spellStart"/>
      <w:r w:rsidRPr="001725D5">
        <w:rPr>
          <w:rFonts w:eastAsia="SimSun"/>
        </w:rPr>
        <w:t>Vectren</w:t>
      </w:r>
      <w:proofErr w:type="spellEnd"/>
      <w:r w:rsidRPr="001725D5">
        <w:rPr>
          <w:rFonts w:eastAsia="SimSun"/>
        </w:rPr>
        <w:t xml:space="preserve"> Corporation</w:t>
      </w:r>
      <w:r>
        <w:rPr>
          <w:rFonts w:eastAsia="SimSun"/>
        </w:rPr>
        <w:t>,</w:t>
      </w:r>
      <w:r w:rsidRPr="001725D5">
        <w:rPr>
          <w:rFonts w:eastAsia="SimSun"/>
        </w:rPr>
        <w:t xml:space="preserve"> </w:t>
      </w:r>
      <w:r w:rsidRPr="0074124D">
        <w:rPr>
          <w:rFonts w:eastAsia="SimSun"/>
        </w:rPr>
        <w:t>Westar Energy, Inc.</w:t>
      </w:r>
      <w:r>
        <w:rPr>
          <w:rFonts w:eastAsia="SimSun"/>
        </w:rPr>
        <w:t xml:space="preserve">, and </w:t>
      </w:r>
      <w:r w:rsidRPr="0074124D">
        <w:rPr>
          <w:rFonts w:eastAsia="SimSun"/>
        </w:rPr>
        <w:t>Xcel Energy Inc.</w:t>
      </w:r>
      <w:r w:rsidR="00396779">
        <w:rPr>
          <w:rFonts w:eastAsia="SimSun"/>
        </w:rPr>
        <w:t xml:space="preserve">  </w:t>
      </w:r>
      <w:r w:rsidR="00396779" w:rsidRPr="007C6C24">
        <w:rPr>
          <w:rFonts w:eastAsia="SimSun"/>
        </w:rPr>
        <w:t xml:space="preserve">From these, I removed </w:t>
      </w:r>
      <w:r w:rsidR="0004746E" w:rsidRPr="007C6C24">
        <w:rPr>
          <w:rFonts w:eastAsia="SimSun"/>
        </w:rPr>
        <w:t xml:space="preserve">Dominion Resources, Inc. </w:t>
      </w:r>
      <w:r w:rsidR="005942AA">
        <w:rPr>
          <w:rFonts w:eastAsia="SimSun"/>
        </w:rPr>
        <w:t>and t</w:t>
      </w:r>
      <w:r w:rsidR="005942AA" w:rsidRPr="001725D5">
        <w:rPr>
          <w:rFonts w:eastAsia="SimSun"/>
        </w:rPr>
        <w:t>he Empire District Electric Company</w:t>
      </w:r>
      <w:r w:rsidR="005942AA" w:rsidRPr="007C6C24">
        <w:rPr>
          <w:rFonts w:eastAsia="SimSun"/>
        </w:rPr>
        <w:t xml:space="preserve"> </w:t>
      </w:r>
      <w:r w:rsidR="00396779" w:rsidRPr="007C6C24">
        <w:rPr>
          <w:rFonts w:eastAsia="SimSun"/>
        </w:rPr>
        <w:t xml:space="preserve">because </w:t>
      </w:r>
      <w:r w:rsidR="005942AA">
        <w:rPr>
          <w:rFonts w:eastAsia="SimSun"/>
        </w:rPr>
        <w:t>they</w:t>
      </w:r>
      <w:r w:rsidR="00396779" w:rsidRPr="007C6C24">
        <w:rPr>
          <w:rFonts w:eastAsia="SimSun"/>
        </w:rPr>
        <w:t xml:space="preserve"> announced </w:t>
      </w:r>
      <w:r w:rsidR="00AF777C">
        <w:rPr>
          <w:rFonts w:eastAsia="SimSun"/>
        </w:rPr>
        <w:t>merger</w:t>
      </w:r>
      <w:r w:rsidR="00396779" w:rsidRPr="007C6C24">
        <w:rPr>
          <w:rFonts w:eastAsia="SimSun"/>
        </w:rPr>
        <w:t xml:space="preserve"> activity after my </w:t>
      </w:r>
      <w:r w:rsidR="00AF777C">
        <w:rPr>
          <w:rFonts w:eastAsia="SimSun"/>
        </w:rPr>
        <w:t>D</w:t>
      </w:r>
      <w:r w:rsidR="00396779" w:rsidRPr="007C6C24">
        <w:rPr>
          <w:rFonts w:eastAsia="SimSun"/>
        </w:rPr>
        <w:t xml:space="preserve">irect </w:t>
      </w:r>
      <w:r w:rsidR="00AF777C">
        <w:rPr>
          <w:rFonts w:eastAsia="SimSun"/>
        </w:rPr>
        <w:t>T</w:t>
      </w:r>
      <w:r w:rsidR="00396779" w:rsidRPr="007C6C24">
        <w:rPr>
          <w:rFonts w:eastAsia="SimSun"/>
        </w:rPr>
        <w:t>estimony was filed.</w:t>
      </w:r>
      <w:r w:rsidR="00396779">
        <w:rPr>
          <w:rFonts w:eastAsia="SimSun"/>
        </w:rPr>
        <w:t xml:space="preserve"> </w:t>
      </w:r>
    </w:p>
    <w:p w:rsidR="00B83C7E" w:rsidRDefault="00B83C7E" w:rsidP="00BB6442">
      <w:pPr>
        <w:pStyle w:val="QAQuestion"/>
        <w:tabs>
          <w:tab w:val="num" w:pos="720"/>
        </w:tabs>
        <w:spacing w:after="0" w:line="480" w:lineRule="auto"/>
        <w:ind w:left="720" w:hanging="720"/>
        <w:jc w:val="left"/>
      </w:pPr>
      <w:r>
        <w:rPr>
          <w:b/>
        </w:rPr>
        <w:t>Q.</w:t>
      </w:r>
      <w:r>
        <w:rPr>
          <w:b/>
        </w:rPr>
        <w:tab/>
        <w:t>How does the Company’s current ROE compare with the authorized ROE for other Washington utilities?</w:t>
      </w:r>
    </w:p>
    <w:p w:rsidR="00B83C7E" w:rsidRPr="00BB6442" w:rsidRDefault="00B83C7E" w:rsidP="00AB1B41">
      <w:pPr>
        <w:pStyle w:val="BodyText"/>
        <w:spacing w:after="0" w:line="480" w:lineRule="auto"/>
        <w:ind w:left="720" w:hanging="720"/>
        <w:jc w:val="left"/>
      </w:pPr>
      <w:r>
        <w:t>A.</w:t>
      </w:r>
      <w:r>
        <w:tab/>
      </w:r>
      <w:r w:rsidR="00B54ED2">
        <w:t>It is my understanding that on</w:t>
      </w:r>
      <w:r>
        <w:t xml:space="preserve"> January </w:t>
      </w:r>
      <w:r w:rsidR="00B54ED2">
        <w:t xml:space="preserve">6, 2016, </w:t>
      </w:r>
      <w:r>
        <w:t xml:space="preserve">the Commission approved a stipulation that included an authorized ROE of 9.5 percent for </w:t>
      </w:r>
      <w:proofErr w:type="spellStart"/>
      <w:r>
        <w:t>Avista</w:t>
      </w:r>
      <w:proofErr w:type="spellEnd"/>
      <w:r>
        <w:t>.</w:t>
      </w:r>
      <w:r>
        <w:rPr>
          <w:rStyle w:val="FootnoteReference"/>
        </w:rPr>
        <w:footnoteReference w:id="13"/>
      </w:r>
      <w:r>
        <w:t xml:space="preserve">  </w:t>
      </w:r>
      <w:r w:rsidR="005942AA">
        <w:t>In addition, o</w:t>
      </w:r>
      <w:r w:rsidR="00B54ED2">
        <w:t>n March</w:t>
      </w:r>
      <w:r w:rsidR="005942AA">
        <w:t xml:space="preserve"> </w:t>
      </w:r>
      <w:r w:rsidR="00B54ED2">
        <w:t>17, 2016, t</w:t>
      </w:r>
      <w:r>
        <w:t xml:space="preserve">he Commission extended </w:t>
      </w:r>
      <w:r w:rsidR="005942AA">
        <w:t>the</w:t>
      </w:r>
      <w:r>
        <w:t xml:space="preserve"> rate plan</w:t>
      </w:r>
      <w:r w:rsidR="005942AA">
        <w:t xml:space="preserve"> for Puget Sound Energy (PSE)</w:t>
      </w:r>
      <w:r>
        <w:t>, which include</w:t>
      </w:r>
      <w:r w:rsidR="006E16FD">
        <w:t>s</w:t>
      </w:r>
      <w:r>
        <w:t xml:space="preserve"> a 9.8 percent ROE.</w:t>
      </w:r>
      <w:r>
        <w:rPr>
          <w:rStyle w:val="FootnoteReference"/>
        </w:rPr>
        <w:footnoteReference w:id="14"/>
      </w:r>
      <w:r w:rsidR="00FF0B5E">
        <w:t xml:space="preserve">  Both ROEs were approved with the support of Staff.  Th</w:t>
      </w:r>
      <w:r w:rsidR="006E16FD">
        <w:t xml:space="preserve">ese decisions </w:t>
      </w:r>
      <w:r w:rsidR="005942AA">
        <w:t>show that a continuation of</w:t>
      </w:r>
      <w:r w:rsidR="006E16FD">
        <w:t xml:space="preserve"> the Company’s </w:t>
      </w:r>
      <w:r w:rsidR="005942AA">
        <w:t>previously-authorized</w:t>
      </w:r>
      <w:r w:rsidR="006E16FD">
        <w:t xml:space="preserve"> ROE</w:t>
      </w:r>
      <w:r w:rsidR="005942AA">
        <w:t xml:space="preserve"> will not put it in a situation where it receives a higher ROE than similarly-situated electric utilities in the state.  Rather, the continuation will result in an ROE that is in line with that of </w:t>
      </w:r>
      <w:proofErr w:type="spellStart"/>
      <w:r w:rsidR="005942AA">
        <w:t>Avista</w:t>
      </w:r>
      <w:proofErr w:type="spellEnd"/>
      <w:r w:rsidR="005942AA">
        <w:t xml:space="preserve"> and 30 basis points below that of PSE</w:t>
      </w:r>
      <w:r w:rsidR="002A1AAA">
        <w:t>.</w:t>
      </w:r>
      <w:r w:rsidR="00BB6442">
        <w:t xml:space="preserve"> </w:t>
      </w:r>
    </w:p>
    <w:p w:rsidR="00016C4A" w:rsidRPr="00047094" w:rsidRDefault="00016C4A" w:rsidP="00016C4A">
      <w:pPr>
        <w:pStyle w:val="Heading1"/>
      </w:pPr>
      <w:bookmarkStart w:id="16" w:name="_Toc447616297"/>
      <w:r>
        <w:t>Decoupling and the Two-year Rate Plan</w:t>
      </w:r>
      <w:bookmarkEnd w:id="16"/>
    </w:p>
    <w:p w:rsidR="005A5A79" w:rsidRDefault="005A5A79" w:rsidP="005A5A79">
      <w:pPr>
        <w:pStyle w:val="QAQuestion"/>
        <w:tabs>
          <w:tab w:val="num" w:pos="720"/>
        </w:tabs>
        <w:spacing w:after="0" w:line="480" w:lineRule="auto"/>
        <w:ind w:left="720" w:hanging="720"/>
        <w:jc w:val="left"/>
        <w:rPr>
          <w:b/>
          <w:szCs w:val="24"/>
        </w:rPr>
      </w:pPr>
      <w:r>
        <w:rPr>
          <w:b/>
          <w:szCs w:val="24"/>
        </w:rPr>
        <w:t>Q.</w:t>
      </w:r>
      <w:r>
        <w:rPr>
          <w:b/>
          <w:szCs w:val="24"/>
        </w:rPr>
        <w:tab/>
        <w:t xml:space="preserve">Is Mr. </w:t>
      </w:r>
      <w:proofErr w:type="spellStart"/>
      <w:r>
        <w:rPr>
          <w:b/>
          <w:szCs w:val="24"/>
        </w:rPr>
        <w:t>Parcell</w:t>
      </w:r>
      <w:proofErr w:type="spellEnd"/>
      <w:r>
        <w:rPr>
          <w:b/>
          <w:szCs w:val="24"/>
        </w:rPr>
        <w:t xml:space="preserve"> correct that Pacific Power’s proposal to implement a decoupling mechanism should </w:t>
      </w:r>
      <w:r w:rsidR="002E0303">
        <w:rPr>
          <w:b/>
          <w:szCs w:val="24"/>
        </w:rPr>
        <w:t>limit</w:t>
      </w:r>
      <w:r>
        <w:rPr>
          <w:b/>
          <w:szCs w:val="24"/>
        </w:rPr>
        <w:t xml:space="preserve"> the ROE the Commission awards the Company in this proceeding?</w:t>
      </w:r>
      <w:r w:rsidR="00FD7E46">
        <w:rPr>
          <w:rStyle w:val="FootnoteReference"/>
          <w:b/>
          <w:szCs w:val="24"/>
        </w:rPr>
        <w:footnoteReference w:id="15"/>
      </w:r>
    </w:p>
    <w:p w:rsidR="00662878" w:rsidRDefault="00496011" w:rsidP="00C06AC8">
      <w:pPr>
        <w:pStyle w:val="BodyText"/>
        <w:spacing w:after="0" w:line="480" w:lineRule="auto"/>
        <w:ind w:left="720" w:hanging="720"/>
        <w:jc w:val="left"/>
        <w:rPr>
          <w:szCs w:val="24"/>
        </w:rPr>
      </w:pPr>
      <w:r w:rsidRPr="00C06AC8">
        <w:rPr>
          <w:szCs w:val="24"/>
        </w:rPr>
        <w:t>A.</w:t>
      </w:r>
      <w:r w:rsidRPr="00C06AC8">
        <w:rPr>
          <w:szCs w:val="24"/>
        </w:rPr>
        <w:tab/>
      </w:r>
      <w:r>
        <w:rPr>
          <w:szCs w:val="24"/>
        </w:rPr>
        <w:t xml:space="preserve">No.  </w:t>
      </w:r>
      <w:r w:rsidR="006D00AB">
        <w:rPr>
          <w:szCs w:val="24"/>
        </w:rPr>
        <w:t xml:space="preserve">There are two </w:t>
      </w:r>
      <w:r w:rsidR="00396779">
        <w:rPr>
          <w:szCs w:val="24"/>
        </w:rPr>
        <w:t xml:space="preserve">economic </w:t>
      </w:r>
      <w:r w:rsidR="006D00AB">
        <w:rPr>
          <w:szCs w:val="24"/>
        </w:rPr>
        <w:t xml:space="preserve">reasons why approval of a decoupling mechanism should not </w:t>
      </w:r>
      <w:r w:rsidR="00396779">
        <w:rPr>
          <w:szCs w:val="24"/>
        </w:rPr>
        <w:t xml:space="preserve">limit the ROE authorized by the Commission.  The first is the lack of </w:t>
      </w:r>
      <w:r w:rsidR="00147232">
        <w:rPr>
          <w:szCs w:val="24"/>
        </w:rPr>
        <w:t xml:space="preserve">any scholarly </w:t>
      </w:r>
      <w:r w:rsidR="00396779">
        <w:rPr>
          <w:szCs w:val="24"/>
        </w:rPr>
        <w:t xml:space="preserve">evidence </w:t>
      </w:r>
      <w:r w:rsidR="00147232">
        <w:rPr>
          <w:szCs w:val="24"/>
        </w:rPr>
        <w:t xml:space="preserve">showing </w:t>
      </w:r>
      <w:r w:rsidR="00396779">
        <w:rPr>
          <w:szCs w:val="24"/>
        </w:rPr>
        <w:t>that decoupling actually affects the cost of equity.</w:t>
      </w:r>
      <w:r w:rsidR="00147232">
        <w:rPr>
          <w:szCs w:val="24"/>
        </w:rPr>
        <w:t xml:space="preserve">  The empirical studies with which I am familiar show a lack of any relationship.</w:t>
      </w:r>
      <w:r w:rsidR="00147232">
        <w:rPr>
          <w:rStyle w:val="FootnoteReference"/>
          <w:szCs w:val="24"/>
        </w:rPr>
        <w:footnoteReference w:id="16"/>
      </w:r>
      <w:r w:rsidR="00147232">
        <w:rPr>
          <w:szCs w:val="24"/>
        </w:rPr>
        <w:t xml:space="preserve">  </w:t>
      </w:r>
      <w:r w:rsidR="00662878">
        <w:rPr>
          <w:szCs w:val="24"/>
        </w:rPr>
        <w:t xml:space="preserve">Staff </w:t>
      </w:r>
      <w:r w:rsidR="00DA2D69">
        <w:rPr>
          <w:szCs w:val="24"/>
        </w:rPr>
        <w:t xml:space="preserve">appears to agree, having previously </w:t>
      </w:r>
      <w:r w:rsidR="00662878">
        <w:rPr>
          <w:szCs w:val="24"/>
        </w:rPr>
        <w:t>testified that the “claim that decoupling reduces risk for regulated utilities has theoretical appeal, but is at best hypothetical and unsupported by empirical evidence.”</w:t>
      </w:r>
      <w:r w:rsidR="00662878">
        <w:rPr>
          <w:rStyle w:val="FootnoteReference"/>
          <w:szCs w:val="24"/>
        </w:rPr>
        <w:footnoteReference w:id="17"/>
      </w:r>
    </w:p>
    <w:p w:rsidR="00396779" w:rsidRDefault="00396779" w:rsidP="00C06AC8">
      <w:pPr>
        <w:pStyle w:val="BodyText"/>
        <w:spacing w:after="0" w:line="480" w:lineRule="auto"/>
        <w:ind w:left="720"/>
        <w:jc w:val="left"/>
        <w:rPr>
          <w:szCs w:val="24"/>
        </w:rPr>
      </w:pPr>
      <w:r>
        <w:rPr>
          <w:szCs w:val="24"/>
        </w:rPr>
        <w:t xml:space="preserve">The second is the </w:t>
      </w:r>
      <w:r w:rsidR="00147232">
        <w:rPr>
          <w:szCs w:val="24"/>
        </w:rPr>
        <w:t xml:space="preserve">fact that </w:t>
      </w:r>
      <w:r w:rsidR="001633AB">
        <w:rPr>
          <w:szCs w:val="24"/>
        </w:rPr>
        <w:t xml:space="preserve">if any effect were to exist, it would </w:t>
      </w:r>
      <w:r w:rsidR="00147232">
        <w:rPr>
          <w:szCs w:val="24"/>
        </w:rPr>
        <w:t>al</w:t>
      </w:r>
      <w:r w:rsidR="001633AB">
        <w:rPr>
          <w:szCs w:val="24"/>
        </w:rPr>
        <w:t xml:space="preserve">ready be reflected in the ROE estimates for the proxy groups.  I included with my direct testimony </w:t>
      </w:r>
      <w:r w:rsidR="001633AB" w:rsidRPr="007C6C24">
        <w:rPr>
          <w:szCs w:val="24"/>
        </w:rPr>
        <w:t xml:space="preserve">Exhibit </w:t>
      </w:r>
      <w:r w:rsidR="007C6C24">
        <w:rPr>
          <w:szCs w:val="24"/>
        </w:rPr>
        <w:t xml:space="preserve">No. </w:t>
      </w:r>
      <w:proofErr w:type="gramStart"/>
      <w:r w:rsidR="007C6C24">
        <w:rPr>
          <w:szCs w:val="24"/>
        </w:rPr>
        <w:t>KGS-18</w:t>
      </w:r>
      <w:r w:rsidR="001633AB" w:rsidRPr="007C6C24">
        <w:rPr>
          <w:szCs w:val="24"/>
        </w:rPr>
        <w:t>,</w:t>
      </w:r>
      <w:r w:rsidR="001633AB">
        <w:rPr>
          <w:szCs w:val="24"/>
        </w:rPr>
        <w:t xml:space="preserve"> which shows that the majority of companies in my proxy group have decoupling of one form or another.</w:t>
      </w:r>
      <w:proofErr w:type="gramEnd"/>
      <w:r w:rsidR="001633AB">
        <w:rPr>
          <w:szCs w:val="24"/>
        </w:rPr>
        <w:t xml:space="preserve">  In connection with my rebut</w:t>
      </w:r>
      <w:r w:rsidR="00AF777C">
        <w:rPr>
          <w:szCs w:val="24"/>
        </w:rPr>
        <w:t xml:space="preserve">tal testimony, I have prepared </w:t>
      </w:r>
      <w:r w:rsidR="007C6C24">
        <w:rPr>
          <w:szCs w:val="24"/>
        </w:rPr>
        <w:t xml:space="preserve">Exhibit No. </w:t>
      </w:r>
      <w:proofErr w:type="gramStart"/>
      <w:r w:rsidR="007C6C24">
        <w:rPr>
          <w:szCs w:val="24"/>
        </w:rPr>
        <w:t>KGS-37</w:t>
      </w:r>
      <w:r w:rsidR="001633AB" w:rsidRPr="007C6C24">
        <w:rPr>
          <w:szCs w:val="24"/>
        </w:rPr>
        <w:t>,</w:t>
      </w:r>
      <w:r w:rsidR="001633AB">
        <w:rPr>
          <w:szCs w:val="24"/>
        </w:rPr>
        <w:t xml:space="preserve"> which provides a summary of decoupling mechanisms for Mr. </w:t>
      </w:r>
      <w:proofErr w:type="spellStart"/>
      <w:r w:rsidR="001633AB">
        <w:rPr>
          <w:szCs w:val="24"/>
        </w:rPr>
        <w:t>Parcell’s</w:t>
      </w:r>
      <w:proofErr w:type="spellEnd"/>
      <w:r w:rsidR="001633AB">
        <w:rPr>
          <w:szCs w:val="24"/>
        </w:rPr>
        <w:t xml:space="preserve"> proxy group companies.</w:t>
      </w:r>
      <w:proofErr w:type="gramEnd"/>
      <w:r w:rsidR="001633AB">
        <w:rPr>
          <w:szCs w:val="24"/>
        </w:rPr>
        <w:t xml:space="preserve">  It shows that six of the seven companies </w:t>
      </w:r>
      <w:r w:rsidR="00AF777C">
        <w:rPr>
          <w:szCs w:val="24"/>
        </w:rPr>
        <w:t xml:space="preserve">in his proxy group </w:t>
      </w:r>
      <w:r w:rsidR="001633AB">
        <w:rPr>
          <w:szCs w:val="24"/>
        </w:rPr>
        <w:t xml:space="preserve">have decoupling in place at operating subsidiaries.  Since decoupling regulatory practices are already baked into the ROE estimates for the proxy group companies, capping the ROE arbitrarily, as suggested by Mr. </w:t>
      </w:r>
      <w:proofErr w:type="spellStart"/>
      <w:r w:rsidR="001633AB">
        <w:rPr>
          <w:szCs w:val="24"/>
        </w:rPr>
        <w:t>Parcell</w:t>
      </w:r>
      <w:proofErr w:type="spellEnd"/>
      <w:r w:rsidR="001633AB">
        <w:rPr>
          <w:szCs w:val="24"/>
        </w:rPr>
        <w:t xml:space="preserve">, is not warranted. </w:t>
      </w:r>
    </w:p>
    <w:p w:rsidR="001E28E8" w:rsidRDefault="001E28E8" w:rsidP="001E28E8">
      <w:pPr>
        <w:pStyle w:val="QAQuestion"/>
        <w:tabs>
          <w:tab w:val="num" w:pos="720"/>
        </w:tabs>
        <w:spacing w:after="0" w:line="480" w:lineRule="auto"/>
        <w:ind w:left="720" w:hanging="720"/>
        <w:jc w:val="left"/>
        <w:rPr>
          <w:b/>
          <w:szCs w:val="24"/>
        </w:rPr>
      </w:pPr>
      <w:r>
        <w:rPr>
          <w:b/>
          <w:szCs w:val="24"/>
        </w:rPr>
        <w:t>Q.</w:t>
      </w:r>
      <w:r>
        <w:rPr>
          <w:b/>
          <w:szCs w:val="24"/>
        </w:rPr>
        <w:tab/>
      </w:r>
      <w:r w:rsidR="001C73D5">
        <w:rPr>
          <w:b/>
          <w:szCs w:val="24"/>
        </w:rPr>
        <w:t xml:space="preserve">On account of the proposed decoupling mechanism, </w:t>
      </w:r>
      <w:r>
        <w:rPr>
          <w:b/>
          <w:szCs w:val="24"/>
        </w:rPr>
        <w:t xml:space="preserve">Mr. </w:t>
      </w:r>
      <w:proofErr w:type="spellStart"/>
      <w:r>
        <w:rPr>
          <w:b/>
          <w:szCs w:val="24"/>
        </w:rPr>
        <w:t>Parcell</w:t>
      </w:r>
      <w:proofErr w:type="spellEnd"/>
      <w:r>
        <w:rPr>
          <w:b/>
          <w:szCs w:val="24"/>
        </w:rPr>
        <w:t xml:space="preserve"> seeks to limit the ROE to the midpoint of the zone of reasonableness.  Does this run counter to the recent </w:t>
      </w:r>
      <w:r w:rsidR="00AF777C">
        <w:rPr>
          <w:b/>
          <w:szCs w:val="24"/>
        </w:rPr>
        <w:t>guidance</w:t>
      </w:r>
      <w:r>
        <w:rPr>
          <w:b/>
          <w:szCs w:val="24"/>
        </w:rPr>
        <w:t xml:space="preserve"> from this Commission on the increased risk associated with regulatory packages of the type proposed by the Company?</w:t>
      </w:r>
    </w:p>
    <w:p w:rsidR="001E28E8" w:rsidRPr="001C73D5" w:rsidRDefault="001E28E8" w:rsidP="00C06AC8">
      <w:pPr>
        <w:pStyle w:val="QAQCont"/>
        <w:spacing w:after="0" w:line="480" w:lineRule="auto"/>
        <w:ind w:left="720" w:hanging="720"/>
        <w:jc w:val="left"/>
        <w:rPr>
          <w:szCs w:val="24"/>
        </w:rPr>
      </w:pPr>
      <w:r w:rsidRPr="00C06AC8">
        <w:rPr>
          <w:szCs w:val="24"/>
        </w:rPr>
        <w:t>A.</w:t>
      </w:r>
      <w:r w:rsidRPr="00C06AC8">
        <w:rPr>
          <w:szCs w:val="24"/>
        </w:rPr>
        <w:tab/>
      </w:r>
      <w:r>
        <w:rPr>
          <w:szCs w:val="24"/>
        </w:rPr>
        <w:t xml:space="preserve">Yes, the Commission addressed this </w:t>
      </w:r>
      <w:r w:rsidR="00AF777C">
        <w:rPr>
          <w:szCs w:val="24"/>
        </w:rPr>
        <w:t xml:space="preserve">specific issue </w:t>
      </w:r>
      <w:r>
        <w:rPr>
          <w:szCs w:val="24"/>
        </w:rPr>
        <w:t xml:space="preserve">in its remand order for Puget Sound Energy </w:t>
      </w:r>
      <w:r w:rsidR="001C73D5">
        <w:rPr>
          <w:szCs w:val="24"/>
        </w:rPr>
        <w:t xml:space="preserve">(PSE) </w:t>
      </w:r>
      <w:r>
        <w:rPr>
          <w:szCs w:val="24"/>
        </w:rPr>
        <w:t xml:space="preserve">in </w:t>
      </w:r>
      <w:r w:rsidRPr="001E28E8">
        <w:rPr>
          <w:szCs w:val="24"/>
        </w:rPr>
        <w:t>D</w:t>
      </w:r>
      <w:r>
        <w:rPr>
          <w:szCs w:val="24"/>
        </w:rPr>
        <w:t>ockets</w:t>
      </w:r>
      <w:r w:rsidRPr="001E28E8">
        <w:rPr>
          <w:szCs w:val="24"/>
        </w:rPr>
        <w:t xml:space="preserve"> UE-121697</w:t>
      </w:r>
      <w:r>
        <w:rPr>
          <w:szCs w:val="24"/>
        </w:rPr>
        <w:t xml:space="preserve"> </w:t>
      </w:r>
      <w:r w:rsidRPr="001E28E8">
        <w:rPr>
          <w:szCs w:val="24"/>
        </w:rPr>
        <w:t>and UG-121705</w:t>
      </w:r>
      <w:r>
        <w:rPr>
          <w:szCs w:val="24"/>
        </w:rPr>
        <w:t xml:space="preserve">.  In that order, the Commission recognized that </w:t>
      </w:r>
      <w:r>
        <w:t xml:space="preserve">elements of </w:t>
      </w:r>
      <w:r w:rsidR="001C73D5">
        <w:t>PSE’s Application (</w:t>
      </w:r>
      <w:r>
        <w:t xml:space="preserve">earnings sharing, rate plan, and conservation targets) warrant an ROE above the mid-point of the </w:t>
      </w:r>
      <w:r w:rsidR="001C73D5">
        <w:t xml:space="preserve">zone of </w:t>
      </w:r>
      <w:r>
        <w:t>reasonable</w:t>
      </w:r>
      <w:r w:rsidR="001C73D5">
        <w:t>ness</w:t>
      </w:r>
      <w:r>
        <w:rPr>
          <w:szCs w:val="24"/>
        </w:rPr>
        <w:t xml:space="preserve">.  </w:t>
      </w:r>
      <w:r w:rsidR="001C73D5">
        <w:rPr>
          <w:szCs w:val="24"/>
        </w:rPr>
        <w:t xml:space="preserve">The rate package requested by Pacific Power bears many similarities to that approved for PSE.  Mr. </w:t>
      </w:r>
      <w:proofErr w:type="spellStart"/>
      <w:r w:rsidR="001C73D5">
        <w:rPr>
          <w:szCs w:val="24"/>
        </w:rPr>
        <w:t>Parcell’s</w:t>
      </w:r>
      <w:proofErr w:type="spellEnd"/>
      <w:r w:rsidR="001C73D5">
        <w:rPr>
          <w:szCs w:val="24"/>
        </w:rPr>
        <w:t xml:space="preserve"> proposal is not suitable for such a rate package, and does not reflect the increased risks to Pacific Power.   </w:t>
      </w:r>
      <w:r w:rsidR="007C6C24">
        <w:rPr>
          <w:szCs w:val="24"/>
        </w:rPr>
        <w:t xml:space="preserve"> </w:t>
      </w:r>
    </w:p>
    <w:p w:rsidR="001C73D5" w:rsidRDefault="001C73D5" w:rsidP="001C4000">
      <w:pPr>
        <w:pStyle w:val="QAQuestion"/>
        <w:tabs>
          <w:tab w:val="num" w:pos="720"/>
        </w:tabs>
        <w:spacing w:after="0" w:line="480" w:lineRule="auto"/>
        <w:ind w:left="720" w:hanging="720"/>
        <w:jc w:val="left"/>
        <w:rPr>
          <w:b/>
          <w:szCs w:val="24"/>
        </w:rPr>
      </w:pPr>
      <w:r>
        <w:rPr>
          <w:b/>
          <w:szCs w:val="24"/>
        </w:rPr>
        <w:t>Q.</w:t>
      </w:r>
      <w:r>
        <w:rPr>
          <w:b/>
          <w:szCs w:val="24"/>
        </w:rPr>
        <w:tab/>
        <w:t>How will Pacific Power face increased risk?</w:t>
      </w:r>
    </w:p>
    <w:p w:rsidR="00B66C96" w:rsidRDefault="001C73D5" w:rsidP="006C14B7">
      <w:pPr>
        <w:pStyle w:val="QAQCont"/>
        <w:spacing w:after="0" w:line="480" w:lineRule="auto"/>
        <w:ind w:left="720" w:hanging="720"/>
        <w:jc w:val="left"/>
      </w:pPr>
      <w:r w:rsidRPr="00C06AC8">
        <w:rPr>
          <w:szCs w:val="24"/>
        </w:rPr>
        <w:t>A.</w:t>
      </w:r>
      <w:r>
        <w:rPr>
          <w:b/>
          <w:szCs w:val="24"/>
        </w:rPr>
        <w:tab/>
      </w:r>
      <w:r>
        <w:rPr>
          <w:szCs w:val="24"/>
        </w:rPr>
        <w:t xml:space="preserve">The Company is agreeing to a stay-out provision that will last two years.  While a step-up in rates in year two does mitigate the risks of that stay-out provision, it does not eliminate them.  A sharp increase in financing cost could lead to substantial </w:t>
      </w:r>
      <w:r w:rsidRPr="00AF777C">
        <w:rPr>
          <w:szCs w:val="24"/>
        </w:rPr>
        <w:t>under</w:t>
      </w:r>
      <w:r w:rsidR="007B5116">
        <w:rPr>
          <w:szCs w:val="24"/>
        </w:rPr>
        <w:t>-</w:t>
      </w:r>
      <w:r w:rsidRPr="00AF777C">
        <w:rPr>
          <w:szCs w:val="24"/>
        </w:rPr>
        <w:t>re</w:t>
      </w:r>
      <w:r w:rsidR="00AF777C" w:rsidRPr="00AF777C">
        <w:rPr>
          <w:szCs w:val="24"/>
        </w:rPr>
        <w:t>c</w:t>
      </w:r>
      <w:r w:rsidRPr="00AF777C">
        <w:rPr>
          <w:szCs w:val="24"/>
        </w:rPr>
        <w:t>overies</w:t>
      </w:r>
      <w:r w:rsidR="00AF777C">
        <w:rPr>
          <w:szCs w:val="24"/>
        </w:rPr>
        <w:t>, as could a sharp increase in operating cost.</w:t>
      </w:r>
    </w:p>
    <w:p w:rsidR="001C73D5" w:rsidRDefault="001C73D5" w:rsidP="001C4000">
      <w:pPr>
        <w:pStyle w:val="QAQuestion"/>
        <w:tabs>
          <w:tab w:val="num" w:pos="720"/>
        </w:tabs>
        <w:spacing w:after="0" w:line="480" w:lineRule="auto"/>
        <w:ind w:left="720" w:hanging="720"/>
        <w:jc w:val="left"/>
        <w:rPr>
          <w:b/>
          <w:szCs w:val="24"/>
        </w:rPr>
      </w:pPr>
      <w:r>
        <w:rPr>
          <w:b/>
          <w:szCs w:val="24"/>
        </w:rPr>
        <w:t>Q.</w:t>
      </w:r>
      <w:r>
        <w:rPr>
          <w:b/>
          <w:szCs w:val="24"/>
        </w:rPr>
        <w:tab/>
        <w:t xml:space="preserve">Does Staff witness Mr. </w:t>
      </w:r>
      <w:r w:rsidR="007B5116">
        <w:rPr>
          <w:b/>
          <w:szCs w:val="24"/>
        </w:rPr>
        <w:t xml:space="preserve">Jason </w:t>
      </w:r>
      <w:r w:rsidR="00B66C96">
        <w:rPr>
          <w:b/>
          <w:szCs w:val="24"/>
        </w:rPr>
        <w:t xml:space="preserve">L. </w:t>
      </w:r>
      <w:r>
        <w:rPr>
          <w:b/>
          <w:szCs w:val="24"/>
        </w:rPr>
        <w:t>Ball recognize the increased risk to Pacific Power?</w:t>
      </w:r>
    </w:p>
    <w:p w:rsidR="001C73D5" w:rsidRDefault="001C73D5" w:rsidP="00C06AC8">
      <w:pPr>
        <w:pStyle w:val="QAQCont"/>
        <w:spacing w:after="0" w:line="480" w:lineRule="auto"/>
        <w:ind w:left="720" w:hanging="720"/>
        <w:jc w:val="left"/>
        <w:rPr>
          <w:szCs w:val="24"/>
        </w:rPr>
      </w:pPr>
      <w:r w:rsidRPr="00C06AC8">
        <w:rPr>
          <w:szCs w:val="24"/>
        </w:rPr>
        <w:t>A.</w:t>
      </w:r>
      <w:r>
        <w:rPr>
          <w:b/>
          <w:szCs w:val="24"/>
        </w:rPr>
        <w:tab/>
      </w:r>
      <w:r>
        <w:rPr>
          <w:szCs w:val="24"/>
        </w:rPr>
        <w:t xml:space="preserve">Yes, he does. </w:t>
      </w:r>
      <w:r w:rsidR="007B5116">
        <w:rPr>
          <w:szCs w:val="24"/>
        </w:rPr>
        <w:t xml:space="preserve"> Mr. Ball testifies that an “additional return on equity” is one of the incentives that can be provided in exchange for an agreed upon stay-out period.</w:t>
      </w:r>
      <w:r w:rsidR="007B5116">
        <w:rPr>
          <w:rStyle w:val="FootnoteReference"/>
          <w:szCs w:val="24"/>
        </w:rPr>
        <w:footnoteReference w:id="18"/>
      </w:r>
      <w:r>
        <w:rPr>
          <w:szCs w:val="24"/>
        </w:rPr>
        <w:t xml:space="preserve">  In addition, Mr. Ball cites an academic article that provides a methodology for the empirical determination of the cost </w:t>
      </w:r>
      <w:r w:rsidR="00AF777C">
        <w:rPr>
          <w:szCs w:val="24"/>
        </w:rPr>
        <w:t xml:space="preserve">of </w:t>
      </w:r>
      <w:r>
        <w:rPr>
          <w:szCs w:val="24"/>
        </w:rPr>
        <w:t>stay-out provisions for utility investors.  It does so using options valuation techniques and finds that the stay-out premium (designed to compensate the utility for the expected costs of not being able to file a rate proceeding) is 25 basis points, using a historic</w:t>
      </w:r>
      <w:r w:rsidR="00B66C96">
        <w:rPr>
          <w:szCs w:val="24"/>
        </w:rPr>
        <w:t>al</w:t>
      </w:r>
      <w:r>
        <w:rPr>
          <w:szCs w:val="24"/>
        </w:rPr>
        <w:t xml:space="preserve"> set of relevant data.  </w:t>
      </w:r>
      <w:r w:rsidR="00AF777C">
        <w:rPr>
          <w:szCs w:val="24"/>
        </w:rPr>
        <w:t>The corresponding premium for Pacific Power would likely be lower in this instance, due to the step up in rates in year 2.  However, the stay-out premium would not be zero.</w:t>
      </w:r>
    </w:p>
    <w:p w:rsidR="00D16AA5" w:rsidRPr="00CE4724" w:rsidRDefault="00881354" w:rsidP="00C06AC8">
      <w:pPr>
        <w:pStyle w:val="Heading1"/>
      </w:pPr>
      <w:bookmarkStart w:id="17" w:name="_Toc447616298"/>
      <w:r w:rsidRPr="00CE4724">
        <w:t>CONCLUSION</w:t>
      </w:r>
      <w:bookmarkEnd w:id="10"/>
      <w:bookmarkEnd w:id="11"/>
      <w:bookmarkEnd w:id="17"/>
    </w:p>
    <w:p w:rsidR="00B00D0D" w:rsidRPr="00384017" w:rsidRDefault="00B00D0D"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Based on your analysis, is it necessary to </w:t>
      </w:r>
      <w:r w:rsidR="00E656A3">
        <w:rPr>
          <w:b/>
          <w:szCs w:val="24"/>
        </w:rPr>
        <w:t>reduce</w:t>
      </w:r>
      <w:r>
        <w:rPr>
          <w:b/>
          <w:szCs w:val="24"/>
        </w:rPr>
        <w:t xml:space="preserve"> the ROE in this proceeding based on the most current information available?</w:t>
      </w:r>
    </w:p>
    <w:p w:rsidR="00B00D0D" w:rsidRDefault="00B00D0D" w:rsidP="00D16AA5">
      <w:pPr>
        <w:pStyle w:val="QAAnswer"/>
        <w:tabs>
          <w:tab w:val="num" w:pos="720"/>
        </w:tabs>
        <w:spacing w:after="0" w:line="480" w:lineRule="auto"/>
        <w:ind w:left="720" w:hanging="720"/>
        <w:jc w:val="left"/>
        <w:rPr>
          <w:rFonts w:eastAsia="SimSun"/>
        </w:rPr>
      </w:pPr>
      <w:r w:rsidRPr="00384017">
        <w:rPr>
          <w:szCs w:val="24"/>
        </w:rPr>
        <w:t>A.</w:t>
      </w:r>
      <w:r>
        <w:rPr>
          <w:szCs w:val="24"/>
        </w:rPr>
        <w:tab/>
        <w:t xml:space="preserve">No.  My analysis shows that the ROE that was approved in </w:t>
      </w:r>
      <w:r w:rsidR="00B66C96">
        <w:rPr>
          <w:szCs w:val="24"/>
        </w:rPr>
        <w:t>the</w:t>
      </w:r>
      <w:r>
        <w:rPr>
          <w:szCs w:val="24"/>
        </w:rPr>
        <w:t xml:space="preserve"> </w:t>
      </w:r>
      <w:r w:rsidR="009859A5">
        <w:rPr>
          <w:szCs w:val="24"/>
        </w:rPr>
        <w:t>2014 Rate Case</w:t>
      </w:r>
      <w:r>
        <w:rPr>
          <w:szCs w:val="24"/>
        </w:rPr>
        <w:t xml:space="preserve"> </w:t>
      </w:r>
      <w:r w:rsidR="00CF190F">
        <w:rPr>
          <w:szCs w:val="24"/>
        </w:rPr>
        <w:t>i</w:t>
      </w:r>
      <w:r>
        <w:rPr>
          <w:szCs w:val="24"/>
        </w:rPr>
        <w:t xml:space="preserve">s low relative to the benchmark evidence from the capital markets, low relative to the risks borne by the Company’s equity owners, and low relative to the returns </w:t>
      </w:r>
      <w:r w:rsidR="00855589">
        <w:rPr>
          <w:szCs w:val="24"/>
        </w:rPr>
        <w:t xml:space="preserve">available to </w:t>
      </w:r>
      <w:r>
        <w:rPr>
          <w:szCs w:val="24"/>
        </w:rPr>
        <w:t>similarly-situated electric utilities.</w:t>
      </w:r>
      <w:r w:rsidR="001C73D5">
        <w:rPr>
          <w:szCs w:val="24"/>
        </w:rPr>
        <w:t xml:space="preserve">  The ROE is especially low when taken together with the hypothetical 49.1 percent equity ratio imputed by the Commission.</w:t>
      </w:r>
      <w:r>
        <w:rPr>
          <w:szCs w:val="24"/>
        </w:rPr>
        <w:t xml:space="preserve">  If the Company were requesting to change its ROE in this proceeding, my recommendation would be to raise the ROE to </w:t>
      </w:r>
      <w:r w:rsidRPr="00402B64">
        <w:rPr>
          <w:szCs w:val="24"/>
        </w:rPr>
        <w:t>10.0</w:t>
      </w:r>
      <w:r w:rsidR="00AF777C">
        <w:rPr>
          <w:szCs w:val="24"/>
        </w:rPr>
        <w:t xml:space="preserve"> percen</w:t>
      </w:r>
      <w:r w:rsidR="00851ED2">
        <w:rPr>
          <w:szCs w:val="24"/>
        </w:rPr>
        <w:t>t</w:t>
      </w:r>
      <w:r>
        <w:rPr>
          <w:szCs w:val="24"/>
        </w:rPr>
        <w:t xml:space="preserve"> </w:t>
      </w:r>
      <w:r w:rsidR="000236F9">
        <w:rPr>
          <w:szCs w:val="24"/>
        </w:rPr>
        <w:t xml:space="preserve">and to apply that ROE to the Company’s actual capital structure.  </w:t>
      </w:r>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Does this conclude your </w:t>
      </w:r>
      <w:r w:rsidR="000236F9">
        <w:rPr>
          <w:b/>
          <w:szCs w:val="24"/>
        </w:rPr>
        <w:t>rebuttal</w:t>
      </w:r>
      <w:r w:rsidRPr="00384017">
        <w:rPr>
          <w:b/>
          <w:szCs w:val="24"/>
        </w:rPr>
        <w:t xml:space="preserve"> testimony?</w:t>
      </w:r>
    </w:p>
    <w:p w:rsidR="00EB35AC" w:rsidRPr="00384017" w:rsidRDefault="00C5005B" w:rsidP="00D16AA5">
      <w:pPr>
        <w:pStyle w:val="QAAnswer"/>
        <w:tabs>
          <w:tab w:val="num" w:pos="720"/>
        </w:tabs>
        <w:spacing w:after="0" w:line="480" w:lineRule="auto"/>
        <w:ind w:left="720" w:hanging="720"/>
        <w:jc w:val="left"/>
        <w:rPr>
          <w:szCs w:val="24"/>
        </w:rPr>
      </w:pPr>
      <w:r>
        <w:rPr>
          <w:szCs w:val="24"/>
        </w:rPr>
        <w:t>A.</w:t>
      </w:r>
      <w:r w:rsidR="007F5EDF" w:rsidRPr="00384017">
        <w:rPr>
          <w:szCs w:val="24"/>
        </w:rPr>
        <w:tab/>
        <w:t>Yes.</w:t>
      </w:r>
    </w:p>
    <w:sectPr w:rsidR="00EB35AC" w:rsidRPr="00384017" w:rsidSect="00A223CB">
      <w:headerReference w:type="default" r:id="rId14"/>
      <w:footerReference w:type="default" r:id="rId15"/>
      <w:headerReference w:type="first" r:id="rId16"/>
      <w:footerReference w:type="first" r:id="rId17"/>
      <w:pgSz w:w="12240" w:h="15840" w:code="1"/>
      <w:pgMar w:top="1440" w:right="1440" w:bottom="1440" w:left="1800" w:header="720" w:footer="720" w:gutter="0"/>
      <w:lnNumType w:countBy="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D9" w:rsidRDefault="00AB1DD9">
      <w:r>
        <w:separator/>
      </w:r>
    </w:p>
  </w:endnote>
  <w:endnote w:type="continuationSeparator" w:id="0">
    <w:p w:rsidR="00AB1DD9" w:rsidRDefault="00AB1DD9">
      <w:r>
        <w:continuationSeparator/>
      </w:r>
    </w:p>
  </w:endnote>
  <w:endnote w:type="continuationNotice" w:id="1">
    <w:p w:rsidR="00AB1DD9" w:rsidRDefault="00AB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885D9A">
      <w:trPr>
        <w:trHeight w:hRule="exact" w:val="720"/>
        <w:jc w:val="center"/>
      </w:trPr>
      <w:tc>
        <w:tcPr>
          <w:tcW w:w="3931" w:type="dxa"/>
        </w:tcPr>
        <w:p w:rsidR="00885D9A" w:rsidRDefault="00885D9A">
          <w:pPr>
            <w:pStyle w:val="DrConLeft"/>
          </w:pPr>
        </w:p>
      </w:tc>
      <w:tc>
        <w:tcPr>
          <w:tcW w:w="1584" w:type="dxa"/>
        </w:tcPr>
        <w:p w:rsidR="00885D9A" w:rsidRDefault="00885D9A">
          <w:pPr>
            <w:pStyle w:val="Footer"/>
            <w:jc w:val="center"/>
            <w:rPr>
              <w:rStyle w:val="PageNumber"/>
              <w:sz w:val="40"/>
              <w:lang w:val="es-ES"/>
            </w:rPr>
          </w:pPr>
          <w:r>
            <w:rPr>
              <w:b/>
              <w:noProof/>
              <w:sz w:val="20"/>
            </w:rPr>
            <mc:AlternateContent>
              <mc:Choice Requires="wps">
                <w:drawing>
                  <wp:anchor distT="0" distB="0" distL="114300" distR="114300" simplePos="0" relativeHeight="251657728" behindDoc="1" locked="0" layoutInCell="0" allowOverlap="1" wp14:anchorId="1797F7BE" wp14:editId="3C07E09B">
                    <wp:simplePos x="0" y="0"/>
                    <wp:positionH relativeFrom="margin">
                      <wp:posOffset>2528570</wp:posOffset>
                    </wp:positionH>
                    <wp:positionV relativeFrom="paragraph">
                      <wp:posOffset>50800</wp:posOffset>
                    </wp:positionV>
                    <wp:extent cx="777240" cy="228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D9A" w:rsidRDefault="00885D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99.1pt;margin-top:4pt;width:61.2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" o:allowincell="f" fillcolor="black" stroked="f">
                    <v:textbox>
                      <w:txbxContent>
                        <w:p w:rsidR="00885D9A" w:rsidRDefault="00885D9A"/>
                      </w:txbxContent>
                    </v:textbox>
                    <w10:wrap anchorx="margin"/>
                  </v:rect>
                </w:pict>
              </mc:Fallback>
            </mc:AlternateContent>
          </w:r>
          <w:r>
            <w:rPr>
              <w:rStyle w:val="PageNumber"/>
              <w:color w:val="FFFFFF"/>
              <w:sz w:val="40"/>
              <w:lang w:val="es-ES"/>
            </w:rPr>
            <w:t>n</w:t>
          </w:r>
          <w:r>
            <w:rPr>
              <w:rStyle w:val="PageNumber"/>
              <w:color w:val="FFFFFF"/>
              <w:lang w:val="es-ES"/>
            </w:rPr>
            <w:t>/</w:t>
          </w:r>
          <w:r>
            <w:rPr>
              <w:rStyle w:val="PageNumber"/>
              <w:color w:val="FFFFFF"/>
              <w:sz w:val="40"/>
              <w:lang w:val="es-ES"/>
            </w:rPr>
            <w:t>e</w:t>
          </w:r>
          <w:r>
            <w:rPr>
              <w:rStyle w:val="PageNumber"/>
              <w:color w:val="FFFFFF"/>
              <w:lang w:val="es-ES"/>
            </w:rPr>
            <w:t>/</w:t>
          </w:r>
          <w:r>
            <w:rPr>
              <w:rStyle w:val="PageNumber"/>
              <w:color w:val="FFFFFF"/>
              <w:sz w:val="40"/>
              <w:lang w:val="es-ES"/>
            </w:rPr>
            <w:t>r</w:t>
          </w:r>
          <w:r>
            <w:rPr>
              <w:rStyle w:val="PageNumber"/>
              <w:color w:val="FFFFFF"/>
              <w:lang w:val="es-ES"/>
            </w:rPr>
            <w:t>/</w:t>
          </w:r>
          <w:r>
            <w:rPr>
              <w:rStyle w:val="PageNumber"/>
              <w:color w:val="FFFFFF"/>
              <w:sz w:val="40"/>
              <w:lang w:val="es-ES"/>
            </w:rPr>
            <w:t>a</w:t>
          </w:r>
        </w:p>
        <w:p w:rsidR="00885D9A" w:rsidRDefault="00885D9A">
          <w:pPr>
            <w:pStyle w:val="Footer"/>
            <w:jc w:val="center"/>
          </w:pPr>
          <w:r>
            <w:rPr>
              <w:rStyle w:val="PageNumber"/>
              <w:i/>
              <w:sz w:val="14"/>
            </w:rPr>
            <w:fldChar w:fldCharType="begin"/>
          </w:r>
          <w:r>
            <w:rPr>
              <w:rStyle w:val="PageNumber"/>
              <w:i/>
              <w:sz w:val="14"/>
            </w:rPr>
            <w:instrText xml:space="preserve"> ADVANCE </w:instrText>
          </w:r>
          <w:r>
            <w:rPr>
              <w:rStyle w:val="PageNumber"/>
              <w:i/>
              <w:sz w:val="14"/>
            </w:rPr>
            <w:fldChar w:fldCharType="end"/>
          </w:r>
          <w:r>
            <w:rPr>
              <w:rStyle w:val="PageNumber"/>
              <w:i/>
              <w:sz w:val="14"/>
            </w:rPr>
            <w:fldChar w:fldCharType="begin"/>
          </w:r>
          <w:r>
            <w:rPr>
              <w:rStyle w:val="PageNumber"/>
              <w:i/>
              <w:sz w:val="14"/>
            </w:rPr>
            <w:instrText xml:space="preserve"> ADVANCE \u 4 </w:instrText>
          </w:r>
          <w:r>
            <w:rPr>
              <w:rStyle w:val="PageNumber"/>
              <w:i/>
              <w:sz w:val="14"/>
            </w:rPr>
            <w:fldChar w:fldCharType="end"/>
          </w:r>
          <w:r>
            <w:rPr>
              <w:rStyle w:val="PageNumber"/>
              <w:i/>
              <w:sz w:val="14"/>
            </w:rPr>
            <w:t>Consulting Economists</w:t>
          </w:r>
        </w:p>
      </w:tc>
      <w:tc>
        <w:tcPr>
          <w:tcW w:w="3931" w:type="dxa"/>
        </w:tcPr>
        <w:p w:rsidR="00885D9A" w:rsidRDefault="00885D9A">
          <w:pPr>
            <w:pStyle w:val="DrConRight"/>
          </w:pPr>
        </w:p>
      </w:tc>
    </w:tr>
  </w:tbl>
  <w:p w:rsidR="00885D9A" w:rsidRDefault="00885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9A" w:rsidRDefault="00885D9A" w:rsidP="00DE14B7">
    <w:pPr>
      <w:tabs>
        <w:tab w:val="right" w:pos="8820"/>
      </w:tabs>
      <w:ind w:right="36"/>
      <w:rPr>
        <w:noProof/>
      </w:rPr>
    </w:pPr>
    <w:r>
      <w:rPr>
        <w:noProof/>
      </w:rPr>
      <w:t>Rebuttal Testimony of Kurt G. Strunk</w:t>
    </w:r>
    <w:r>
      <w:rPr>
        <w:noProof/>
      </w:rPr>
      <w:tab/>
      <w:t>Exhibit No. KGS-19T</w:t>
    </w:r>
  </w:p>
  <w:p w:rsidR="00885D9A" w:rsidRDefault="00885D9A" w:rsidP="00CE4724">
    <w:pPr>
      <w:spacing w:line="288" w:lineRule="auto"/>
      <w:ind w:right="36"/>
      <w:jc w:val="right"/>
    </w:pPr>
    <w:r>
      <w:rPr>
        <w:noProof/>
      </w:rPr>
      <w:t xml:space="preserve">Page </w:t>
    </w:r>
    <w:r>
      <w:rPr>
        <w:noProof/>
      </w:rPr>
      <w:fldChar w:fldCharType="begin"/>
    </w:r>
    <w:r>
      <w:rPr>
        <w:noProof/>
      </w:rPr>
      <w:instrText xml:space="preserve"> PAGE   \* MERGEFORMAT </w:instrText>
    </w:r>
    <w:r>
      <w:rPr>
        <w:noProof/>
      </w:rPr>
      <w:fldChar w:fldCharType="separate"/>
    </w:r>
    <w:r w:rsidR="00B02675">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9A" w:rsidRDefault="00885D9A">
    <w:pPr>
      <w:spacing w:line="288" w:lineRule="auto"/>
      <w:jc w:val="right"/>
    </w:pPr>
  </w:p>
  <w:p w:rsidR="00885D9A" w:rsidRDefault="00885D9A">
    <w:pPr>
      <w:pStyle w:val="Footer"/>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B7" w:rsidRDefault="00DE14B7" w:rsidP="00DE14B7">
    <w:pPr>
      <w:tabs>
        <w:tab w:val="right" w:pos="9000"/>
      </w:tabs>
      <w:ind w:right="36"/>
      <w:rPr>
        <w:noProof/>
      </w:rPr>
    </w:pPr>
    <w:r>
      <w:rPr>
        <w:noProof/>
      </w:rPr>
      <w:t>Rebuttal Testimony of Kurt G. Strunk</w:t>
    </w:r>
    <w:r>
      <w:rPr>
        <w:noProof/>
      </w:rPr>
      <w:tab/>
      <w:t>Exhibit No. KGS-19T</w:t>
    </w:r>
  </w:p>
  <w:p w:rsidR="00DE14B7" w:rsidRDefault="00DE14B7" w:rsidP="00CE4724">
    <w:pPr>
      <w:spacing w:line="288" w:lineRule="auto"/>
      <w:ind w:right="36"/>
      <w:jc w:val="right"/>
    </w:pPr>
    <w:r>
      <w:rPr>
        <w:noProof/>
      </w:rPr>
      <w:t xml:space="preserve">Page </w:t>
    </w:r>
    <w:r>
      <w:rPr>
        <w:noProof/>
      </w:rPr>
      <w:fldChar w:fldCharType="begin"/>
    </w:r>
    <w:r>
      <w:rPr>
        <w:noProof/>
      </w:rPr>
      <w:instrText xml:space="preserve"> PAGE   \* MERGEFORMAT </w:instrText>
    </w:r>
    <w:r>
      <w:rPr>
        <w:noProof/>
      </w:rPr>
      <w:fldChar w:fldCharType="separate"/>
    </w:r>
    <w:r w:rsidR="00B02675">
      <w:rPr>
        <w:noProof/>
      </w:rPr>
      <w:t>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9A" w:rsidRDefault="00885D9A" w:rsidP="00A95284">
    <w:pPr>
      <w:tabs>
        <w:tab w:val="right" w:pos="9000"/>
      </w:tabs>
      <w:rPr>
        <w:noProof/>
      </w:rPr>
    </w:pPr>
    <w:r>
      <w:rPr>
        <w:noProof/>
      </w:rPr>
      <w:t>Rebuttal Testimony of Kurt G. Strunk</w:t>
    </w:r>
    <w:r>
      <w:rPr>
        <w:noProof/>
      </w:rPr>
      <w:tab/>
      <w:t>Exhibit No. KGS-19T</w:t>
    </w:r>
  </w:p>
  <w:p w:rsidR="00885D9A" w:rsidRDefault="00885D9A" w:rsidP="0039223E">
    <w:pPr>
      <w:spacing w:line="288" w:lineRule="auto"/>
      <w:jc w:val="right"/>
      <w:rPr>
        <w:lang w:val="pt-BR"/>
      </w:rPr>
    </w:pPr>
    <w:r>
      <w:rPr>
        <w:noProof/>
      </w:rPr>
      <w:t xml:space="preserve">Page </w:t>
    </w:r>
    <w:r>
      <w:rPr>
        <w:noProof/>
      </w:rPr>
      <w:fldChar w:fldCharType="begin"/>
    </w:r>
    <w:r>
      <w:rPr>
        <w:noProof/>
      </w:rPr>
      <w:instrText xml:space="preserve"> PAGE   \* MERGEFORMAT </w:instrText>
    </w:r>
    <w:r>
      <w:rPr>
        <w:noProof/>
      </w:rPr>
      <w:fldChar w:fldCharType="separate"/>
    </w:r>
    <w:r w:rsidR="00B0267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D9" w:rsidRDefault="00AB1DD9">
      <w:r>
        <w:separator/>
      </w:r>
    </w:p>
  </w:footnote>
  <w:footnote w:type="continuationSeparator" w:id="0">
    <w:p w:rsidR="00AB1DD9" w:rsidRDefault="00AB1DD9">
      <w:r>
        <w:continuationSeparator/>
      </w:r>
    </w:p>
    <w:p w:rsidR="00AB1DD9" w:rsidRDefault="00AB1DD9">
      <w:pPr>
        <w:pStyle w:val="FootnoteText"/>
      </w:pPr>
      <w:r>
        <w:t xml:space="preserve">(...continued) </w:t>
      </w:r>
    </w:p>
  </w:footnote>
  <w:footnote w:type="continuationNotice" w:id="1">
    <w:p w:rsidR="00AB1DD9" w:rsidRPr="00644DD6" w:rsidRDefault="00AB1DD9" w:rsidP="00644DD6">
      <w:pPr>
        <w:pStyle w:val="Footer"/>
      </w:pPr>
    </w:p>
  </w:footnote>
  <w:footnote w:id="2">
    <w:p w:rsidR="00885D9A" w:rsidRDefault="00885D9A" w:rsidP="00C25615">
      <w:pPr>
        <w:pStyle w:val="FootnoteText"/>
        <w:spacing w:after="0"/>
        <w:jc w:val="lef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w:t>
      </w:r>
      <w:proofErr w:type="gramStart"/>
      <w:r>
        <w:rPr>
          <w:i/>
        </w:rPr>
        <w:t xml:space="preserve">&amp; Transp. </w:t>
      </w:r>
      <w:proofErr w:type="spellStart"/>
      <w:r>
        <w:rPr>
          <w:i/>
        </w:rPr>
        <w:t>Comm’n</w:t>
      </w:r>
      <w:proofErr w:type="spellEnd"/>
      <w:r w:rsidDel="00BF7B0B">
        <w:rPr>
          <w:i/>
        </w:rPr>
        <w:t xml:space="preserve"> </w:t>
      </w:r>
      <w:r>
        <w:rPr>
          <w:i/>
        </w:rPr>
        <w:t>v. Pac</w:t>
      </w:r>
      <w:r w:rsidR="00165D2E">
        <w:rPr>
          <w:i/>
        </w:rPr>
        <w:t>ific</w:t>
      </w:r>
      <w:r>
        <w:rPr>
          <w:i/>
        </w:rPr>
        <w:t>.</w:t>
      </w:r>
      <w:proofErr w:type="gramEnd"/>
      <w:r w:rsidRPr="00A95284">
        <w:rPr>
          <w:i/>
        </w:rPr>
        <w:t xml:space="preserve"> Power &amp; Light Co.</w:t>
      </w:r>
      <w:r w:rsidRPr="00A95284">
        <w:t xml:space="preserve">, Dockets UE-140762 </w:t>
      </w:r>
      <w:r w:rsidRPr="00A95284">
        <w:rPr>
          <w:i/>
        </w:rPr>
        <w:t>et al.</w:t>
      </w:r>
      <w:r w:rsidRPr="00A95284">
        <w:t>, Order 08</w:t>
      </w:r>
      <w:r w:rsidR="00165D2E">
        <w:t>,</w:t>
      </w:r>
      <w:r w:rsidRPr="00A95284">
        <w:t xml:space="preserve"> ¶ 18</w:t>
      </w:r>
      <w:r>
        <w:t>1</w:t>
      </w:r>
      <w:r w:rsidRPr="00A95284">
        <w:t xml:space="preserve"> (Mar. 25, 2015).</w:t>
      </w:r>
    </w:p>
  </w:footnote>
  <w:footnote w:id="3">
    <w:p w:rsidR="00885D9A" w:rsidRPr="004539C3" w:rsidRDefault="00885D9A" w:rsidP="00C25615">
      <w:pPr>
        <w:pStyle w:val="FootnoteText"/>
        <w:spacing w:after="0"/>
        <w:ind w:left="0" w:firstLine="0"/>
        <w:jc w:val="left"/>
      </w:pPr>
      <w:r w:rsidRPr="00A95284">
        <w:rPr>
          <w:rStyle w:val="FootnoteReference"/>
        </w:rPr>
        <w:footnoteRef/>
      </w:r>
      <w:r w:rsidRPr="004539C3">
        <w:rPr>
          <w:i/>
        </w:rPr>
        <w:t xml:space="preserve"> </w:t>
      </w:r>
      <w:proofErr w:type="gramStart"/>
      <w:r>
        <w:rPr>
          <w:i/>
        </w:rPr>
        <w:t xml:space="preserve">Id. </w:t>
      </w:r>
      <w:r>
        <w:t>¶ 182</w:t>
      </w:r>
      <w:r w:rsidRPr="00A95284">
        <w:t>.</w:t>
      </w:r>
      <w:proofErr w:type="gramEnd"/>
      <w:r w:rsidRPr="00A95284">
        <w:t xml:space="preserve">  </w:t>
      </w:r>
    </w:p>
  </w:footnote>
  <w:footnote w:id="4">
    <w:p w:rsidR="00885D9A" w:rsidRDefault="00885D9A" w:rsidP="00C25615">
      <w:pPr>
        <w:pStyle w:val="FootnoteText"/>
        <w:spacing w:after="0"/>
        <w:jc w:val="left"/>
      </w:pPr>
      <w:r>
        <w:rPr>
          <w:rStyle w:val="FootnoteReference"/>
        </w:rPr>
        <w:footnoteRef/>
      </w:r>
      <w:r>
        <w:t xml:space="preserve"> </w:t>
      </w:r>
      <w:proofErr w:type="spellStart"/>
      <w:r>
        <w:t>Parcell</w:t>
      </w:r>
      <w:proofErr w:type="spellEnd"/>
      <w:r>
        <w:t xml:space="preserve">, </w:t>
      </w:r>
      <w:proofErr w:type="spellStart"/>
      <w:r>
        <w:t>Exh</w:t>
      </w:r>
      <w:proofErr w:type="spellEnd"/>
      <w:r>
        <w:t>. No. DCP-1T 3:6.</w:t>
      </w:r>
    </w:p>
  </w:footnote>
  <w:footnote w:id="5">
    <w:p w:rsidR="00885D9A" w:rsidRDefault="00885D9A" w:rsidP="00C25615">
      <w:pPr>
        <w:pStyle w:val="FootnoteText"/>
        <w:spacing w:after="0"/>
        <w:jc w:val="left"/>
        <w:rPr>
          <w:i/>
        </w:rPr>
      </w:pPr>
      <w:r>
        <w:rPr>
          <w:rStyle w:val="FootnoteReference"/>
        </w:rPr>
        <w:footnoteRef/>
      </w:r>
      <w:r>
        <w:t xml:space="preserve"> </w:t>
      </w:r>
      <w:r w:rsidRPr="00235EC7">
        <w:rPr>
          <w:i/>
        </w:rPr>
        <w:t>See</w:t>
      </w:r>
      <w:r>
        <w:t xml:space="preserve"> Patrick Gillespie, </w:t>
      </w:r>
      <w:r>
        <w:rPr>
          <w:i/>
        </w:rPr>
        <w:t xml:space="preserve">China leads global U.S. debt dump, </w:t>
      </w:r>
      <w:r w:rsidRPr="00885D9A">
        <w:t>(Feb. 27, 2016),</w:t>
      </w:r>
    </w:p>
    <w:p w:rsidR="00885D9A" w:rsidRDefault="00B02675" w:rsidP="00C25615">
      <w:pPr>
        <w:pStyle w:val="FootnoteText"/>
        <w:spacing w:after="0"/>
        <w:ind w:firstLine="0"/>
        <w:jc w:val="left"/>
      </w:pPr>
      <w:hyperlink r:id="rId1" w:history="1">
        <w:r w:rsidR="00885D9A" w:rsidRPr="0093716D">
          <w:rPr>
            <w:rStyle w:val="Hyperlink"/>
          </w:rPr>
          <w:t>http://money.cnn.com/2016/02/17/news/economy/china-us-debt-dump-central-banks/</w:t>
        </w:r>
      </w:hyperlink>
      <w:r w:rsidR="00885D9A">
        <w:t xml:space="preserve">. </w:t>
      </w:r>
    </w:p>
  </w:footnote>
  <w:footnote w:id="6">
    <w:p w:rsidR="00885D9A" w:rsidRDefault="00885D9A" w:rsidP="00C25615">
      <w:pPr>
        <w:pStyle w:val="FootnoteText"/>
        <w:spacing w:after="0"/>
      </w:pPr>
      <w:r>
        <w:rPr>
          <w:rStyle w:val="FootnoteReference"/>
        </w:rPr>
        <w:footnoteRef/>
      </w:r>
      <w:r>
        <w:t xml:space="preserve"> </w:t>
      </w:r>
      <w:r w:rsidRPr="00074AC4">
        <w:rPr>
          <w:i/>
        </w:rPr>
        <w:t>See</w:t>
      </w:r>
      <w:r>
        <w:t xml:space="preserve"> Janet </w:t>
      </w:r>
      <w:proofErr w:type="spellStart"/>
      <w:r>
        <w:t>Yellen</w:t>
      </w:r>
      <w:proofErr w:type="spellEnd"/>
      <w:r>
        <w:t xml:space="preserve">, Chair, Fed. </w:t>
      </w:r>
      <w:proofErr w:type="gramStart"/>
      <w:r>
        <w:t>Reserve, “The Outlook, Uncertainty, and Monetary Policy” at the Econ.</w:t>
      </w:r>
      <w:proofErr w:type="gramEnd"/>
      <w:r>
        <w:t xml:space="preserve"> </w:t>
      </w:r>
      <w:proofErr w:type="gramStart"/>
      <w:r>
        <w:t xml:space="preserve">Club of N.Y., (Mar. 29, 2016), </w:t>
      </w:r>
      <w:hyperlink r:id="rId2" w:history="1">
        <w:r w:rsidRPr="003B69F8">
          <w:rPr>
            <w:rStyle w:val="Hyperlink"/>
          </w:rPr>
          <w:t>http://www.federalreserve.gov/newsevents/speech/yellen20160329a.htm</w:t>
        </w:r>
      </w:hyperlink>
      <w:r>
        <w:t>.</w:t>
      </w:r>
      <w:proofErr w:type="gramEnd"/>
    </w:p>
  </w:footnote>
  <w:footnote w:id="7">
    <w:p w:rsidR="00885D9A" w:rsidRDefault="00885D9A" w:rsidP="00C25615">
      <w:pPr>
        <w:pStyle w:val="FootnoteText"/>
        <w:spacing w:after="0"/>
        <w:jc w:val="left"/>
      </w:pPr>
      <w:r>
        <w:rPr>
          <w:rStyle w:val="FootnoteReference"/>
        </w:rPr>
        <w:footnoteRef/>
      </w:r>
      <w:r>
        <w:t xml:space="preserve"> </w:t>
      </w:r>
      <w:r w:rsidRPr="00885D9A">
        <w:rPr>
          <w:i/>
        </w:rPr>
        <w:t>Id.</w:t>
      </w:r>
    </w:p>
  </w:footnote>
  <w:footnote w:id="8">
    <w:p w:rsidR="00C25615" w:rsidRDefault="00C25615" w:rsidP="00C25615">
      <w:pPr>
        <w:pStyle w:val="FootnoteText"/>
        <w:spacing w:after="0"/>
        <w:jc w:val="left"/>
      </w:pPr>
      <w:r>
        <w:rPr>
          <w:rStyle w:val="FootnoteReference"/>
        </w:rPr>
        <w:footnoteRef/>
      </w:r>
      <w:r>
        <w:t xml:space="preserve"> </w:t>
      </w:r>
      <w:r>
        <w:rPr>
          <w:i/>
        </w:rPr>
        <w:t>MNI Spotlight: Fed’s Williams: Wants to Hike in April or June</w:t>
      </w:r>
      <w:r>
        <w:t xml:space="preserve"> (Mar. 21, 2016) </w:t>
      </w:r>
      <w:hyperlink r:id="rId3" w:history="1">
        <w:r w:rsidR="00F41AFC" w:rsidRPr="00574D79">
          <w:rPr>
            <w:rStyle w:val="Hyperlink"/>
          </w:rPr>
          <w:t>https://mninews.marketnews.com/content/mni-spotlight-feds-williams-wants-hike-april-or-june</w:t>
        </w:r>
      </w:hyperlink>
      <w:r w:rsidR="00F41AFC">
        <w:t xml:space="preserve">. </w:t>
      </w:r>
    </w:p>
  </w:footnote>
  <w:footnote w:id="9">
    <w:p w:rsidR="00885D9A" w:rsidRDefault="00885D9A" w:rsidP="00C25615">
      <w:pPr>
        <w:pStyle w:val="FootnoteText"/>
        <w:spacing w:after="0"/>
        <w:jc w:val="left"/>
      </w:pPr>
      <w:r>
        <w:rPr>
          <w:rStyle w:val="FootnoteReference"/>
        </w:rPr>
        <w:footnoteRef/>
      </w:r>
      <w:r w:rsidR="00F41AFC">
        <w:t xml:space="preserve"> </w:t>
      </w:r>
      <w:r w:rsidR="00C25615" w:rsidRPr="001E7BDE">
        <w:rPr>
          <w:i/>
        </w:rPr>
        <w:t>See</w:t>
      </w:r>
      <w:r w:rsidR="00C25615">
        <w:t xml:space="preserve"> Bill </w:t>
      </w:r>
      <w:proofErr w:type="spellStart"/>
      <w:r w:rsidR="00C25615">
        <w:t>Luby</w:t>
      </w:r>
      <w:proofErr w:type="spellEnd"/>
      <w:r w:rsidR="00C25615">
        <w:t xml:space="preserve">, </w:t>
      </w:r>
      <w:r w:rsidR="00C25615" w:rsidRPr="00E24829">
        <w:rPr>
          <w:i/>
        </w:rPr>
        <w:t xml:space="preserve">The Case </w:t>
      </w:r>
      <w:proofErr w:type="gramStart"/>
      <w:r w:rsidR="00C25615" w:rsidRPr="00E24829">
        <w:rPr>
          <w:i/>
        </w:rPr>
        <w:t>Against</w:t>
      </w:r>
      <w:proofErr w:type="gramEnd"/>
      <w:r w:rsidR="00C25615">
        <w:rPr>
          <w:i/>
        </w:rPr>
        <w:t xml:space="preserve"> High Stock-Market Volatility in 2016</w:t>
      </w:r>
      <w:r w:rsidR="00C25615">
        <w:t xml:space="preserve"> (Jan. 2, 2016) </w:t>
      </w:r>
      <w:hyperlink r:id="rId4" w:history="1">
        <w:r w:rsidR="00F41AFC" w:rsidRPr="00574D79">
          <w:rPr>
            <w:rStyle w:val="Hyperlink"/>
          </w:rPr>
          <w:t>http://www.barrons.com/articles/the-case-against-high-stock-market-volatility-in-2016-1451704416</w:t>
        </w:r>
      </w:hyperlink>
      <w:r w:rsidR="00F41AFC">
        <w:t xml:space="preserve">. </w:t>
      </w:r>
    </w:p>
  </w:footnote>
  <w:footnote w:id="10">
    <w:p w:rsidR="00885D9A" w:rsidRDefault="00885D9A" w:rsidP="00C25615">
      <w:pPr>
        <w:pStyle w:val="FootnoteText"/>
        <w:spacing w:after="0"/>
        <w:jc w:val="left"/>
      </w:pPr>
      <w:r>
        <w:rPr>
          <w:rStyle w:val="FootnoteReference"/>
        </w:rPr>
        <w:footnoteRef/>
      </w:r>
      <w:r>
        <w:t xml:space="preserve"> </w:t>
      </w:r>
      <w:proofErr w:type="spellStart"/>
      <w:r>
        <w:t>Parcell</w:t>
      </w:r>
      <w:proofErr w:type="spellEnd"/>
      <w:r>
        <w:t xml:space="preserve">, </w:t>
      </w:r>
      <w:proofErr w:type="spellStart"/>
      <w:r>
        <w:t>Exh</w:t>
      </w:r>
      <w:proofErr w:type="spellEnd"/>
      <w:r>
        <w:t>. No. DCP-1T 13:21-23.</w:t>
      </w:r>
    </w:p>
  </w:footnote>
  <w:footnote w:id="11">
    <w:p w:rsidR="00885D9A" w:rsidRDefault="00885D9A" w:rsidP="00C25615">
      <w:pPr>
        <w:pStyle w:val="FootnoteText"/>
        <w:spacing w:after="0"/>
        <w:jc w:val="left"/>
      </w:pPr>
      <w:r w:rsidRPr="00954674">
        <w:rPr>
          <w:rStyle w:val="FootnoteReference"/>
        </w:rPr>
        <w:footnoteRef/>
      </w:r>
      <w:r w:rsidRPr="00954674">
        <w:t xml:space="preserve"> </w:t>
      </w:r>
      <w:r>
        <w:t xml:space="preserve">For an empirical study of how the risk premium varies with the overall level of interest rates, </w:t>
      </w:r>
      <w:r w:rsidRPr="00C525FE">
        <w:rPr>
          <w:i/>
        </w:rPr>
        <w:t>s</w:t>
      </w:r>
      <w:r>
        <w:rPr>
          <w:i/>
        </w:rPr>
        <w:t>ee</w:t>
      </w:r>
      <w:r w:rsidRPr="005666AC">
        <w:rPr>
          <w:i/>
        </w:rPr>
        <w:t xml:space="preserve"> </w:t>
      </w:r>
      <w:r>
        <w:t xml:space="preserve">W. Carleton, W. Chambers and J. </w:t>
      </w:r>
      <w:proofErr w:type="spellStart"/>
      <w:r>
        <w:t>Lakonishok</w:t>
      </w:r>
      <w:proofErr w:type="spellEnd"/>
      <w:r>
        <w:t xml:space="preserve">, </w:t>
      </w:r>
      <w:r w:rsidRPr="005666AC">
        <w:rPr>
          <w:i/>
        </w:rPr>
        <w:t>Inflation Risk and Regulatory Lag</w:t>
      </w:r>
      <w:r>
        <w:t xml:space="preserve">, </w:t>
      </w:r>
      <w:r w:rsidRPr="005666AC">
        <w:t>Journal of Finance</w:t>
      </w:r>
      <w:r>
        <w:t xml:space="preserve">, (May 1983).  </w:t>
      </w:r>
    </w:p>
  </w:footnote>
  <w:footnote w:id="12">
    <w:p w:rsidR="00885D9A" w:rsidRPr="00D570FE" w:rsidRDefault="00885D9A" w:rsidP="00C25615">
      <w:pPr>
        <w:pStyle w:val="FootnoteText"/>
        <w:spacing w:after="0"/>
        <w:ind w:left="187" w:hanging="187"/>
        <w:jc w:val="left"/>
      </w:pPr>
      <w:r>
        <w:rPr>
          <w:rStyle w:val="FootnoteReference"/>
        </w:rPr>
        <w:footnoteRef/>
      </w:r>
      <w:r w:rsidR="006322E6">
        <w:t xml:space="preserve"> </w:t>
      </w:r>
      <w:proofErr w:type="gramStart"/>
      <w:r w:rsidR="006322E6">
        <w:t xml:space="preserve">Morin, Roger A. </w:t>
      </w:r>
      <w:r>
        <w:rPr>
          <w:i/>
        </w:rPr>
        <w:t>Regulatory Finance – Utilities’ Cost of Capital</w:t>
      </w:r>
      <w:r>
        <w:t>, 275 (1994).</w:t>
      </w:r>
      <w:proofErr w:type="gramEnd"/>
    </w:p>
  </w:footnote>
  <w:footnote w:id="13">
    <w:p w:rsidR="00885D9A" w:rsidRDefault="00885D9A" w:rsidP="00C25615">
      <w:pPr>
        <w:pStyle w:val="FootnoteText"/>
        <w:spacing w:after="0"/>
        <w:jc w:val="left"/>
      </w:pPr>
      <w:r>
        <w:rPr>
          <w:rStyle w:val="FootnoteReference"/>
        </w:rPr>
        <w:footnoteRef/>
      </w:r>
      <w:r>
        <w:t xml:space="preserve"> </w:t>
      </w:r>
      <w:r w:rsidR="00C25615">
        <w:rPr>
          <w:i/>
        </w:rPr>
        <w:t xml:space="preserve">Wash. </w:t>
      </w:r>
      <w:proofErr w:type="spellStart"/>
      <w:r w:rsidR="00C25615">
        <w:rPr>
          <w:i/>
        </w:rPr>
        <w:t>Utils</w:t>
      </w:r>
      <w:proofErr w:type="spellEnd"/>
      <w:r w:rsidR="00C25615">
        <w:rPr>
          <w:i/>
        </w:rPr>
        <w:t xml:space="preserve"> &amp; Transp. </w:t>
      </w:r>
      <w:proofErr w:type="spellStart"/>
      <w:r w:rsidR="00C25615">
        <w:rPr>
          <w:i/>
        </w:rPr>
        <w:t>Comm’n</w:t>
      </w:r>
      <w:proofErr w:type="spellEnd"/>
      <w:r>
        <w:rPr>
          <w:i/>
        </w:rPr>
        <w:t xml:space="preserve"> v. </w:t>
      </w:r>
      <w:proofErr w:type="spellStart"/>
      <w:r>
        <w:rPr>
          <w:i/>
        </w:rPr>
        <w:t>Avista</w:t>
      </w:r>
      <w:proofErr w:type="spellEnd"/>
      <w:r w:rsidR="00C25615">
        <w:rPr>
          <w:i/>
        </w:rPr>
        <w:t xml:space="preserve"> Corp. d/b/a </w:t>
      </w:r>
      <w:proofErr w:type="spellStart"/>
      <w:r w:rsidR="00C25615">
        <w:rPr>
          <w:i/>
        </w:rPr>
        <w:t>Avista</w:t>
      </w:r>
      <w:proofErr w:type="spellEnd"/>
      <w:r w:rsidR="00C25615">
        <w:rPr>
          <w:i/>
        </w:rPr>
        <w:t xml:space="preserve"> </w:t>
      </w:r>
      <w:proofErr w:type="spellStart"/>
      <w:r w:rsidR="00C25615">
        <w:rPr>
          <w:i/>
        </w:rPr>
        <w:t>Utils</w:t>
      </w:r>
      <w:proofErr w:type="spellEnd"/>
      <w:r w:rsidR="00C25615">
        <w:rPr>
          <w:i/>
        </w:rPr>
        <w:t>.</w:t>
      </w:r>
      <w:r>
        <w:t xml:space="preserve">, Dockets UE-150204, </w:t>
      </w:r>
      <w:r>
        <w:rPr>
          <w:i/>
        </w:rPr>
        <w:t>et al.</w:t>
      </w:r>
      <w:r>
        <w:t>, Order 05</w:t>
      </w:r>
      <w:r w:rsidR="009832FB">
        <w:t>,</w:t>
      </w:r>
      <w:r>
        <w:t xml:space="preserve"> ¶ </w:t>
      </w:r>
      <w:r w:rsidR="00C25615">
        <w:t>12, 23</w:t>
      </w:r>
      <w:r>
        <w:t xml:space="preserve"> (Jan. 6, 2016).</w:t>
      </w:r>
    </w:p>
  </w:footnote>
  <w:footnote w:id="14">
    <w:p w:rsidR="00885D9A" w:rsidRDefault="00885D9A" w:rsidP="00C25615">
      <w:pPr>
        <w:pStyle w:val="FootnoteText"/>
        <w:spacing w:after="0"/>
      </w:pPr>
      <w:r>
        <w:rPr>
          <w:rStyle w:val="FootnoteReference"/>
        </w:rPr>
        <w:footnoteRef/>
      </w:r>
      <w:r>
        <w:t xml:space="preserve"> </w:t>
      </w:r>
      <w:r>
        <w:rPr>
          <w:i/>
          <w:iCs/>
        </w:rPr>
        <w:t>WUTC</w:t>
      </w:r>
      <w:r>
        <w:rPr>
          <w:i/>
        </w:rPr>
        <w:t xml:space="preserve"> v. Puget Sound Energy</w:t>
      </w:r>
      <w:r>
        <w:t xml:space="preserve">, Dockets UE-121697, </w:t>
      </w:r>
      <w:r w:rsidRPr="005B0E3D">
        <w:rPr>
          <w:i/>
        </w:rPr>
        <w:t>et al.</w:t>
      </w:r>
      <w:r>
        <w:t>, Notice of Commission Action Amending Order 07</w:t>
      </w:r>
      <w:r w:rsidR="009832FB">
        <w:t xml:space="preserve">, </w:t>
      </w:r>
      <w:r w:rsidR="009832FB">
        <w:rPr>
          <w:i/>
        </w:rPr>
        <w:t xml:space="preserve">Wash. </w:t>
      </w:r>
      <w:proofErr w:type="spellStart"/>
      <w:r w:rsidR="009832FB">
        <w:rPr>
          <w:i/>
        </w:rPr>
        <w:t>Utils</w:t>
      </w:r>
      <w:proofErr w:type="spellEnd"/>
      <w:r w:rsidR="009832FB">
        <w:rPr>
          <w:i/>
        </w:rPr>
        <w:t xml:space="preserve"> &amp; Transp. </w:t>
      </w:r>
      <w:proofErr w:type="spellStart"/>
      <w:r w:rsidR="009832FB">
        <w:rPr>
          <w:i/>
        </w:rPr>
        <w:t>Comm’n</w:t>
      </w:r>
      <w:proofErr w:type="spellEnd"/>
      <w:r>
        <w:t xml:space="preserve"> (Mar. 17, 2016).</w:t>
      </w:r>
    </w:p>
  </w:footnote>
  <w:footnote w:id="15">
    <w:p w:rsidR="00885D9A" w:rsidRDefault="00885D9A" w:rsidP="00C25615">
      <w:pPr>
        <w:pStyle w:val="FootnoteText"/>
        <w:spacing w:after="0"/>
        <w:jc w:val="left"/>
      </w:pPr>
      <w:r>
        <w:rPr>
          <w:rStyle w:val="FootnoteReference"/>
        </w:rPr>
        <w:footnoteRef/>
      </w:r>
      <w:r>
        <w:t xml:space="preserve"> </w:t>
      </w:r>
      <w:proofErr w:type="spellStart"/>
      <w:r>
        <w:t>Parcell</w:t>
      </w:r>
      <w:proofErr w:type="spellEnd"/>
      <w:r>
        <w:t xml:space="preserve">, </w:t>
      </w:r>
      <w:proofErr w:type="spellStart"/>
      <w:r>
        <w:t>Exh</w:t>
      </w:r>
      <w:proofErr w:type="spellEnd"/>
      <w:r>
        <w:t>. No. DCP-</w:t>
      </w:r>
      <w:r w:rsidR="00C25615">
        <w:t>1</w:t>
      </w:r>
      <w:r>
        <w:t>T 36:7-37:2.</w:t>
      </w:r>
    </w:p>
  </w:footnote>
  <w:footnote w:id="16">
    <w:p w:rsidR="00885D9A" w:rsidRDefault="00885D9A" w:rsidP="00C25615">
      <w:pPr>
        <w:pStyle w:val="FootnoteText"/>
        <w:spacing w:after="0"/>
        <w:jc w:val="left"/>
      </w:pPr>
      <w:r>
        <w:rPr>
          <w:rStyle w:val="FootnoteReference"/>
        </w:rPr>
        <w:footnoteRef/>
      </w:r>
      <w:r>
        <w:t xml:space="preserve"> For example, my own work in the area has found no relation between the existence of decoupling mechanisms and the value of the firm or the cost of capital.  A group of economists at the Brattle Group also reached the same conclusion (see: </w:t>
      </w:r>
      <w:hyperlink r:id="rId5" w:history="1">
        <w:r w:rsidR="00F144E2" w:rsidRPr="00574D79">
          <w:rPr>
            <w:rStyle w:val="Hyperlink"/>
          </w:rPr>
          <w:t>http://www.nmlegis.gov/lcs/handouts/WNR%20072715%20Item%206%20%20Effect%20of%20Electric%20Decoupling%20on%20the%20Cost%20of%20Capital.pdf</w:t>
        </w:r>
      </w:hyperlink>
      <w:r w:rsidR="00F144E2">
        <w:t xml:space="preserve">). </w:t>
      </w:r>
    </w:p>
  </w:footnote>
  <w:footnote w:id="17">
    <w:p w:rsidR="00885D9A" w:rsidRPr="001C01A8" w:rsidRDefault="00885D9A" w:rsidP="00C25615">
      <w:pPr>
        <w:pStyle w:val="FootnoteText"/>
        <w:spacing w:after="0"/>
        <w:jc w:val="lef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sidDel="00BF7B0B">
        <w:rPr>
          <w:i/>
        </w:rPr>
        <w:t xml:space="preserve"> </w:t>
      </w:r>
      <w:r>
        <w:rPr>
          <w:i/>
        </w:rPr>
        <w:t>v. Puget Sound Energy</w:t>
      </w:r>
      <w:r>
        <w:t xml:space="preserve">, Dockets UE-121697, </w:t>
      </w:r>
      <w:r>
        <w:rPr>
          <w:i/>
        </w:rPr>
        <w:t>et al.</w:t>
      </w:r>
      <w:r>
        <w:t xml:space="preserve">, </w:t>
      </w:r>
      <w:proofErr w:type="spellStart"/>
      <w:r>
        <w:t>Schooley</w:t>
      </w:r>
      <w:proofErr w:type="spellEnd"/>
      <w:r>
        <w:t xml:space="preserve">, </w:t>
      </w:r>
      <w:proofErr w:type="spellStart"/>
      <w:r>
        <w:t>Exh</w:t>
      </w:r>
      <w:proofErr w:type="spellEnd"/>
      <w:r>
        <w:t xml:space="preserve">. No. </w:t>
      </w:r>
      <w:proofErr w:type="gramStart"/>
      <w:r>
        <w:t xml:space="preserve">TES-4T 5:6-8 (May 8, 2013); </w:t>
      </w:r>
      <w:r>
        <w:rPr>
          <w:i/>
        </w:rPr>
        <w:t xml:space="preserve">Wash. </w:t>
      </w:r>
      <w:proofErr w:type="spellStart"/>
      <w:r>
        <w:rPr>
          <w:i/>
        </w:rPr>
        <w:t>Utils</w:t>
      </w:r>
      <w:proofErr w:type="spellEnd"/>
      <w:r>
        <w:rPr>
          <w:i/>
        </w:rPr>
        <w:t>.</w:t>
      </w:r>
      <w:proofErr w:type="gramEnd"/>
      <w:r>
        <w:rPr>
          <w:i/>
        </w:rPr>
        <w:t xml:space="preserve"> &amp; Transp. </w:t>
      </w:r>
      <w:proofErr w:type="spellStart"/>
      <w:r>
        <w:rPr>
          <w:i/>
        </w:rPr>
        <w:t>Comm’n</w:t>
      </w:r>
      <w:proofErr w:type="spellEnd"/>
      <w:r w:rsidDel="00BF7B0B">
        <w:rPr>
          <w:i/>
        </w:rPr>
        <w:t xml:space="preserve"> </w:t>
      </w:r>
      <w:r>
        <w:rPr>
          <w:i/>
        </w:rPr>
        <w:t>v. Puget Sound Energy</w:t>
      </w:r>
      <w:r>
        <w:t xml:space="preserve">, Dockets UE-121697, </w:t>
      </w:r>
      <w:r>
        <w:rPr>
          <w:i/>
        </w:rPr>
        <w:t>et al.</w:t>
      </w:r>
      <w:r>
        <w:t xml:space="preserve">, </w:t>
      </w:r>
      <w:proofErr w:type="spellStart"/>
      <w:r>
        <w:t>Schooley</w:t>
      </w:r>
      <w:proofErr w:type="spellEnd"/>
      <w:r>
        <w:t xml:space="preserve">, </w:t>
      </w:r>
      <w:proofErr w:type="spellStart"/>
      <w:r>
        <w:t>Exh</w:t>
      </w:r>
      <w:proofErr w:type="spellEnd"/>
      <w:r>
        <w:t>. No. TES-6T 5:14-16 (Dec. 3, 2014).</w:t>
      </w:r>
    </w:p>
  </w:footnote>
  <w:footnote w:id="18">
    <w:p w:rsidR="00885D9A" w:rsidRDefault="00885D9A" w:rsidP="00C25615">
      <w:pPr>
        <w:pStyle w:val="FootnoteText"/>
        <w:spacing w:after="0"/>
        <w:jc w:val="left"/>
      </w:pPr>
      <w:r>
        <w:rPr>
          <w:rStyle w:val="FootnoteReference"/>
        </w:rPr>
        <w:footnoteRef/>
      </w:r>
      <w:r>
        <w:t xml:space="preserve"> Ball, </w:t>
      </w:r>
      <w:proofErr w:type="spellStart"/>
      <w:r>
        <w:t>Exh</w:t>
      </w:r>
      <w:proofErr w:type="spellEnd"/>
      <w:r>
        <w:t>. No. JLB-1T 18:4-14</w:t>
      </w:r>
      <w:r w:rsidR="00F144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885D9A">
      <w:trPr>
        <w:trHeight w:hRule="exact" w:val="720"/>
        <w:jc w:val="center"/>
      </w:trPr>
      <w:tc>
        <w:tcPr>
          <w:tcW w:w="3931" w:type="dxa"/>
        </w:tcPr>
        <w:p w:rsidR="00885D9A" w:rsidRDefault="00885D9A">
          <w:pPr>
            <w:pStyle w:val="DrConLeft"/>
          </w:pPr>
          <w:r>
            <w:fldChar w:fldCharType="begin"/>
          </w:r>
          <w:r>
            <w:instrText xml:space="preserve"> DOCPROPERTY "zpsPrivilegedText1" </w:instrText>
          </w:r>
          <w:r>
            <w:fldChar w:fldCharType="separate"/>
          </w:r>
          <w:r w:rsidR="00CA3168">
            <w:rPr>
              <w:b w:val="0"/>
              <w:bCs/>
            </w:rPr>
            <w:t>Error! Unknown document property name.</w:t>
          </w:r>
          <w:r>
            <w:fldChar w:fldCharType="end"/>
          </w:r>
        </w:p>
        <w:p w:rsidR="00885D9A" w:rsidRDefault="00885D9A">
          <w:pPr>
            <w:pStyle w:val="DrConLeft"/>
          </w:pPr>
          <w:r>
            <w:fldChar w:fldCharType="begin"/>
          </w:r>
          <w:r>
            <w:instrText xml:space="preserve"> DOCPROPERTY "zpsPrivilegedText2" </w:instrText>
          </w:r>
          <w:r>
            <w:fldChar w:fldCharType="separate"/>
          </w:r>
          <w:r w:rsidR="00CA3168">
            <w:rPr>
              <w:b w:val="0"/>
              <w:bCs/>
            </w:rPr>
            <w:t>Error! Unknown document property name.</w:t>
          </w:r>
          <w:r>
            <w:fldChar w:fldCharType="end"/>
          </w:r>
        </w:p>
      </w:tc>
      <w:tc>
        <w:tcPr>
          <w:tcW w:w="1584" w:type="dxa"/>
        </w:tcPr>
        <w:p w:rsidR="00885D9A" w:rsidRDefault="00885D9A">
          <w:pPr>
            <w:pStyle w:val="Footer"/>
            <w:jc w:val="center"/>
          </w:pPr>
        </w:p>
        <w:p w:rsidR="00885D9A" w:rsidRDefault="00885D9A">
          <w:pPr>
            <w:pStyle w:val="Footer"/>
            <w:jc w:val="center"/>
          </w:pPr>
          <w:r>
            <w:t xml:space="preserve">- </w:t>
          </w:r>
          <w:r>
            <w:fldChar w:fldCharType="begin"/>
          </w:r>
          <w:r>
            <w:instrText xml:space="preserve"> PAGE </w:instrText>
          </w:r>
          <w:r>
            <w:fldChar w:fldCharType="separate"/>
          </w:r>
          <w:r>
            <w:rPr>
              <w:noProof/>
            </w:rPr>
            <w:t>36</w:t>
          </w:r>
          <w:r>
            <w:rPr>
              <w:noProof/>
            </w:rPr>
            <w:fldChar w:fldCharType="end"/>
          </w:r>
          <w:r>
            <w:t xml:space="preserve"> -</w:t>
          </w:r>
        </w:p>
      </w:tc>
      <w:tc>
        <w:tcPr>
          <w:tcW w:w="3931" w:type="dxa"/>
        </w:tcPr>
        <w:p w:rsidR="00885D9A" w:rsidRDefault="00885D9A">
          <w:pPr>
            <w:pStyle w:val="DrConRight"/>
          </w:pPr>
          <w:r>
            <w:fldChar w:fldCharType="begin"/>
          </w:r>
          <w:r>
            <w:instrText xml:space="preserve"> REF zDraft1 \* MERGEFORMAT </w:instrText>
          </w:r>
          <w:r>
            <w:fldChar w:fldCharType="separate"/>
          </w:r>
          <w:r w:rsidR="00CA3168">
            <w:rPr>
              <w:b w:val="0"/>
              <w:bCs/>
            </w:rPr>
            <w:t>Error! Reference source not found.</w:t>
          </w:r>
          <w:r>
            <w:fldChar w:fldCharType="end"/>
          </w:r>
        </w:p>
        <w:p w:rsidR="00885D9A" w:rsidRDefault="00885D9A">
          <w:pPr>
            <w:pStyle w:val="DrConRight"/>
          </w:pPr>
          <w:r>
            <w:fldChar w:fldCharType="begin"/>
          </w:r>
          <w:r>
            <w:instrText xml:space="preserve"> REF zDraft2 \* MERGEFORMAT </w:instrText>
          </w:r>
          <w:r>
            <w:fldChar w:fldCharType="separate"/>
          </w:r>
          <w:r w:rsidR="00CA3168">
            <w:rPr>
              <w:b w:val="0"/>
              <w:bCs/>
            </w:rPr>
            <w:t>Error! Reference source not found.</w:t>
          </w:r>
          <w:r>
            <w:fldChar w:fldCharType="end"/>
          </w:r>
        </w:p>
      </w:tc>
    </w:tr>
  </w:tbl>
  <w:p w:rsidR="00885D9A" w:rsidRDefault="00885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75" w:rsidRDefault="00B026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75" w:rsidRDefault="00B026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B7" w:rsidRDefault="00DE14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B7" w:rsidRDefault="00DE1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0E0D248"/>
    <w:lvl w:ilvl="0">
      <w:start w:val="1"/>
      <w:numFmt w:val="upperRoman"/>
      <w:lvlText w:val="%1."/>
      <w:lvlJc w:val="left"/>
      <w:pPr>
        <w:tabs>
          <w:tab w:val="num" w:pos="0"/>
        </w:tabs>
        <w:ind w:left="0" w:firstLine="0"/>
      </w:pPr>
      <w:rPr>
        <w:rFonts w:hint="default"/>
        <w:sz w:val="24"/>
        <w:szCs w:val="24"/>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B06C5F"/>
    <w:multiLevelType w:val="multilevel"/>
    <w:tmpl w:val="0409001D"/>
    <w:name w:val="Appendices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1C353BA"/>
    <w:multiLevelType w:val="hybridMultilevel"/>
    <w:tmpl w:val="BCCA3686"/>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36161E88"/>
    <w:multiLevelType w:val="multilevel"/>
    <w:tmpl w:val="CB2A8944"/>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4">
    <w:nsid w:val="393C633D"/>
    <w:multiLevelType w:val="singleLevel"/>
    <w:tmpl w:val="D4D20DD8"/>
    <w:lvl w:ilvl="0">
      <w:start w:val="1"/>
      <w:numFmt w:val="decimal"/>
      <w:lvlText w:val="%1."/>
      <w:legacy w:legacy="1" w:legacySpace="0" w:legacyIndent="360"/>
      <w:lvlJc w:val="left"/>
      <w:pPr>
        <w:ind w:left="720" w:hanging="360"/>
      </w:pPr>
    </w:lvl>
  </w:abstractNum>
  <w:abstractNum w:abstractNumId="5">
    <w:nsid w:val="48AB180A"/>
    <w:multiLevelType w:val="singleLevel"/>
    <w:tmpl w:val="F4FE560E"/>
    <w:lvl w:ilvl="0">
      <w:start w:val="1"/>
      <w:numFmt w:val="bullet"/>
      <w:pStyle w:val="ListBullet"/>
      <w:lvlText w:val=""/>
      <w:lvlJc w:val="left"/>
      <w:pPr>
        <w:tabs>
          <w:tab w:val="num" w:pos="720"/>
        </w:tabs>
        <w:ind w:left="720" w:hanging="360"/>
      </w:pPr>
      <w:rPr>
        <w:rFonts w:ascii="Symbol" w:hAnsi="Symbol" w:hint="default"/>
      </w:rPr>
    </w:lvl>
  </w:abstractNum>
  <w:abstractNum w:abstractNumId="6">
    <w:nsid w:val="4E6E271D"/>
    <w:multiLevelType w:val="hybridMultilevel"/>
    <w:tmpl w:val="57664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966E5E"/>
    <w:multiLevelType w:val="hybridMultilevel"/>
    <w:tmpl w:val="D58261B0"/>
    <w:lvl w:ilvl="0" w:tplc="04090001">
      <w:start w:val="1"/>
      <w:numFmt w:val="bullet"/>
      <w:lvlText w:val=""/>
      <w:lvlJc w:val="left"/>
      <w:pPr>
        <w:ind w:left="720" w:hanging="360"/>
      </w:pPr>
      <w:rPr>
        <w:rFonts w:ascii="Symbol" w:hAnsi="Symbol" w:hint="default"/>
      </w:rPr>
    </w:lvl>
    <w:lvl w:ilvl="1" w:tplc="F0C44E22">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4637D5"/>
    <w:multiLevelType w:val="multilevel"/>
    <w:tmpl w:val="1CF8CBA0"/>
    <w:lvl w:ilvl="0">
      <w:start w:val="1"/>
      <w:numFmt w:val="decimal"/>
      <w:lvlText w:val="%1."/>
      <w:legacy w:legacy="1" w:legacySpace="0" w:legacyIndent="360"/>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9B41DF"/>
    <w:multiLevelType w:val="multilevel"/>
    <w:tmpl w:val="A13AA486"/>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0">
    <w:nsid w:val="709857D9"/>
    <w:multiLevelType w:val="hybridMultilevel"/>
    <w:tmpl w:val="DA30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4"/>
  </w:num>
  <w:num w:numId="6">
    <w:abstractNumId w:val="8"/>
  </w:num>
  <w:num w:numId="7">
    <w:abstractNumId w:val="2"/>
  </w:num>
  <w:num w:numId="8">
    <w:abstractNumId w:val="6"/>
  </w:num>
  <w:num w:numId="9">
    <w:abstractNumId w:val="7"/>
  </w:num>
  <w:num w:numId="10">
    <w:abstractNumId w:val="7"/>
  </w:num>
  <w:num w:numId="11">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Lowney">
    <w15:presenceInfo w15:providerId="None" w15:userId="Adam Low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AC"/>
    <w:rsid w:val="00000890"/>
    <w:rsid w:val="00007884"/>
    <w:rsid w:val="000079EC"/>
    <w:rsid w:val="00016C4A"/>
    <w:rsid w:val="0002220B"/>
    <w:rsid w:val="00023426"/>
    <w:rsid w:val="000236F9"/>
    <w:rsid w:val="00030826"/>
    <w:rsid w:val="00040551"/>
    <w:rsid w:val="00044F3D"/>
    <w:rsid w:val="00047094"/>
    <w:rsid w:val="0004746E"/>
    <w:rsid w:val="00060789"/>
    <w:rsid w:val="0006618F"/>
    <w:rsid w:val="00071AE8"/>
    <w:rsid w:val="00074AC4"/>
    <w:rsid w:val="000768FA"/>
    <w:rsid w:val="00083BC1"/>
    <w:rsid w:val="0009151B"/>
    <w:rsid w:val="000942A3"/>
    <w:rsid w:val="000A3A0A"/>
    <w:rsid w:val="000C25B5"/>
    <w:rsid w:val="000C43D8"/>
    <w:rsid w:val="000D0B60"/>
    <w:rsid w:val="000E6091"/>
    <w:rsid w:val="000F3A5D"/>
    <w:rsid w:val="001161B3"/>
    <w:rsid w:val="00125DD8"/>
    <w:rsid w:val="001311AB"/>
    <w:rsid w:val="001336C4"/>
    <w:rsid w:val="00134C29"/>
    <w:rsid w:val="00135BDA"/>
    <w:rsid w:val="00137EFC"/>
    <w:rsid w:val="00143CE3"/>
    <w:rsid w:val="00144E12"/>
    <w:rsid w:val="00147232"/>
    <w:rsid w:val="0015340F"/>
    <w:rsid w:val="00161E93"/>
    <w:rsid w:val="001633AB"/>
    <w:rsid w:val="001652C7"/>
    <w:rsid w:val="00165D2E"/>
    <w:rsid w:val="00170E57"/>
    <w:rsid w:val="001725D5"/>
    <w:rsid w:val="001740E9"/>
    <w:rsid w:val="0018045C"/>
    <w:rsid w:val="00185133"/>
    <w:rsid w:val="001866FB"/>
    <w:rsid w:val="00186F71"/>
    <w:rsid w:val="001903AB"/>
    <w:rsid w:val="00192894"/>
    <w:rsid w:val="0019640F"/>
    <w:rsid w:val="001966A1"/>
    <w:rsid w:val="001A705C"/>
    <w:rsid w:val="001B153C"/>
    <w:rsid w:val="001C01A8"/>
    <w:rsid w:val="001C4000"/>
    <w:rsid w:val="001C73D5"/>
    <w:rsid w:val="001D06DD"/>
    <w:rsid w:val="001D1017"/>
    <w:rsid w:val="001D1657"/>
    <w:rsid w:val="001D2A35"/>
    <w:rsid w:val="001D3E14"/>
    <w:rsid w:val="001D4BD7"/>
    <w:rsid w:val="001D59A5"/>
    <w:rsid w:val="001D6FA9"/>
    <w:rsid w:val="001E0FB2"/>
    <w:rsid w:val="001E28E8"/>
    <w:rsid w:val="001E633C"/>
    <w:rsid w:val="001E7BDE"/>
    <w:rsid w:val="001F7255"/>
    <w:rsid w:val="002051A3"/>
    <w:rsid w:val="00210CB5"/>
    <w:rsid w:val="00212CEF"/>
    <w:rsid w:val="002333B9"/>
    <w:rsid w:val="00235EC7"/>
    <w:rsid w:val="00242542"/>
    <w:rsid w:val="00242903"/>
    <w:rsid w:val="002433EF"/>
    <w:rsid w:val="00246F99"/>
    <w:rsid w:val="0024760D"/>
    <w:rsid w:val="002541BA"/>
    <w:rsid w:val="00254998"/>
    <w:rsid w:val="0025523D"/>
    <w:rsid w:val="0025617B"/>
    <w:rsid w:val="00256A62"/>
    <w:rsid w:val="0026325A"/>
    <w:rsid w:val="0027048F"/>
    <w:rsid w:val="00270C5D"/>
    <w:rsid w:val="00272E30"/>
    <w:rsid w:val="00273DEF"/>
    <w:rsid w:val="00274985"/>
    <w:rsid w:val="0027646F"/>
    <w:rsid w:val="00277FEC"/>
    <w:rsid w:val="00286C92"/>
    <w:rsid w:val="00290408"/>
    <w:rsid w:val="00291266"/>
    <w:rsid w:val="002954FE"/>
    <w:rsid w:val="002A0686"/>
    <w:rsid w:val="002A1AAA"/>
    <w:rsid w:val="002A20E4"/>
    <w:rsid w:val="002A7AB3"/>
    <w:rsid w:val="002B1FB0"/>
    <w:rsid w:val="002B4924"/>
    <w:rsid w:val="002B6D36"/>
    <w:rsid w:val="002B6E54"/>
    <w:rsid w:val="002C64B9"/>
    <w:rsid w:val="002D5AF6"/>
    <w:rsid w:val="002D5EA9"/>
    <w:rsid w:val="002E0303"/>
    <w:rsid w:val="002E12BD"/>
    <w:rsid w:val="002E218F"/>
    <w:rsid w:val="002E5D00"/>
    <w:rsid w:val="002E61E1"/>
    <w:rsid w:val="002F434B"/>
    <w:rsid w:val="002F50F9"/>
    <w:rsid w:val="00301A3B"/>
    <w:rsid w:val="00301DF7"/>
    <w:rsid w:val="00302A01"/>
    <w:rsid w:val="003109B5"/>
    <w:rsid w:val="00315536"/>
    <w:rsid w:val="00317AFC"/>
    <w:rsid w:val="0032112C"/>
    <w:rsid w:val="0032227A"/>
    <w:rsid w:val="003241B7"/>
    <w:rsid w:val="00325D65"/>
    <w:rsid w:val="00330731"/>
    <w:rsid w:val="0033147D"/>
    <w:rsid w:val="00337187"/>
    <w:rsid w:val="00337FE2"/>
    <w:rsid w:val="00342856"/>
    <w:rsid w:val="00344178"/>
    <w:rsid w:val="003447F8"/>
    <w:rsid w:val="003512D8"/>
    <w:rsid w:val="00352BD9"/>
    <w:rsid w:val="00356CB9"/>
    <w:rsid w:val="00357234"/>
    <w:rsid w:val="00362AFA"/>
    <w:rsid w:val="003652CE"/>
    <w:rsid w:val="00372858"/>
    <w:rsid w:val="0037543D"/>
    <w:rsid w:val="00383CB8"/>
    <w:rsid w:val="00384017"/>
    <w:rsid w:val="0038507E"/>
    <w:rsid w:val="0039223E"/>
    <w:rsid w:val="00396779"/>
    <w:rsid w:val="003A057B"/>
    <w:rsid w:val="003A1052"/>
    <w:rsid w:val="003A2168"/>
    <w:rsid w:val="003A300A"/>
    <w:rsid w:val="003A6BB2"/>
    <w:rsid w:val="003D761C"/>
    <w:rsid w:val="003F6C5A"/>
    <w:rsid w:val="003F7B7D"/>
    <w:rsid w:val="00401DEB"/>
    <w:rsid w:val="0040238F"/>
    <w:rsid w:val="00402B64"/>
    <w:rsid w:val="00404BD6"/>
    <w:rsid w:val="00405D24"/>
    <w:rsid w:val="00406D06"/>
    <w:rsid w:val="00407A8A"/>
    <w:rsid w:val="00412E03"/>
    <w:rsid w:val="00413F04"/>
    <w:rsid w:val="004159FB"/>
    <w:rsid w:val="0042574A"/>
    <w:rsid w:val="00437321"/>
    <w:rsid w:val="00440AB7"/>
    <w:rsid w:val="004410E7"/>
    <w:rsid w:val="00443CE0"/>
    <w:rsid w:val="0045029F"/>
    <w:rsid w:val="004507C9"/>
    <w:rsid w:val="004539C3"/>
    <w:rsid w:val="00461578"/>
    <w:rsid w:val="00464B2A"/>
    <w:rsid w:val="00471B93"/>
    <w:rsid w:val="00472401"/>
    <w:rsid w:val="00477C0C"/>
    <w:rsid w:val="00480D5C"/>
    <w:rsid w:val="004815CB"/>
    <w:rsid w:val="00482134"/>
    <w:rsid w:val="00484B31"/>
    <w:rsid w:val="00496011"/>
    <w:rsid w:val="00496DB1"/>
    <w:rsid w:val="004A0AC3"/>
    <w:rsid w:val="004A1CB2"/>
    <w:rsid w:val="004A283E"/>
    <w:rsid w:val="004B7986"/>
    <w:rsid w:val="004C0628"/>
    <w:rsid w:val="004D29D8"/>
    <w:rsid w:val="004D4DDD"/>
    <w:rsid w:val="004E6A55"/>
    <w:rsid w:val="004F23A4"/>
    <w:rsid w:val="004F37FE"/>
    <w:rsid w:val="00500F03"/>
    <w:rsid w:val="00506036"/>
    <w:rsid w:val="00511D39"/>
    <w:rsid w:val="0052255B"/>
    <w:rsid w:val="0052368D"/>
    <w:rsid w:val="00525184"/>
    <w:rsid w:val="005274E3"/>
    <w:rsid w:val="005337B5"/>
    <w:rsid w:val="00537D1A"/>
    <w:rsid w:val="00545127"/>
    <w:rsid w:val="005503F9"/>
    <w:rsid w:val="00552060"/>
    <w:rsid w:val="005561A5"/>
    <w:rsid w:val="00556902"/>
    <w:rsid w:val="00564291"/>
    <w:rsid w:val="00565A21"/>
    <w:rsid w:val="005666AC"/>
    <w:rsid w:val="00571314"/>
    <w:rsid w:val="00571395"/>
    <w:rsid w:val="00572688"/>
    <w:rsid w:val="00574BD5"/>
    <w:rsid w:val="005848E3"/>
    <w:rsid w:val="00586746"/>
    <w:rsid w:val="005900CE"/>
    <w:rsid w:val="00592126"/>
    <w:rsid w:val="005942AA"/>
    <w:rsid w:val="00596CAB"/>
    <w:rsid w:val="005A06F0"/>
    <w:rsid w:val="005A28FF"/>
    <w:rsid w:val="005A5A79"/>
    <w:rsid w:val="005A6CD2"/>
    <w:rsid w:val="005B3341"/>
    <w:rsid w:val="005B72CB"/>
    <w:rsid w:val="005C0B00"/>
    <w:rsid w:val="005C0C48"/>
    <w:rsid w:val="005C3DE0"/>
    <w:rsid w:val="005C571D"/>
    <w:rsid w:val="005D6285"/>
    <w:rsid w:val="005E0297"/>
    <w:rsid w:val="005F0014"/>
    <w:rsid w:val="005F656C"/>
    <w:rsid w:val="005F7908"/>
    <w:rsid w:val="00600372"/>
    <w:rsid w:val="00601484"/>
    <w:rsid w:val="0060549E"/>
    <w:rsid w:val="00605BF2"/>
    <w:rsid w:val="0060799A"/>
    <w:rsid w:val="006208A7"/>
    <w:rsid w:val="00627D95"/>
    <w:rsid w:val="006322E6"/>
    <w:rsid w:val="00640F4C"/>
    <w:rsid w:val="00644DD6"/>
    <w:rsid w:val="006519E2"/>
    <w:rsid w:val="00656E69"/>
    <w:rsid w:val="0066060E"/>
    <w:rsid w:val="00660C2B"/>
    <w:rsid w:val="00662878"/>
    <w:rsid w:val="00663B8A"/>
    <w:rsid w:val="0066440B"/>
    <w:rsid w:val="00665063"/>
    <w:rsid w:val="006668D9"/>
    <w:rsid w:val="00670896"/>
    <w:rsid w:val="006778EC"/>
    <w:rsid w:val="0068160B"/>
    <w:rsid w:val="006839F1"/>
    <w:rsid w:val="00685D51"/>
    <w:rsid w:val="00693DF9"/>
    <w:rsid w:val="006971CD"/>
    <w:rsid w:val="006A24C9"/>
    <w:rsid w:val="006A3B3F"/>
    <w:rsid w:val="006B5D7D"/>
    <w:rsid w:val="006C0ADF"/>
    <w:rsid w:val="006C0B8A"/>
    <w:rsid w:val="006C14B7"/>
    <w:rsid w:val="006C1CEB"/>
    <w:rsid w:val="006C39B6"/>
    <w:rsid w:val="006C4370"/>
    <w:rsid w:val="006C5851"/>
    <w:rsid w:val="006D00AB"/>
    <w:rsid w:val="006D282C"/>
    <w:rsid w:val="006D7AA1"/>
    <w:rsid w:val="006D7C1B"/>
    <w:rsid w:val="006E16FD"/>
    <w:rsid w:val="006E21BF"/>
    <w:rsid w:val="006E3194"/>
    <w:rsid w:val="006E6616"/>
    <w:rsid w:val="0070177C"/>
    <w:rsid w:val="0070429E"/>
    <w:rsid w:val="0070539D"/>
    <w:rsid w:val="0070584A"/>
    <w:rsid w:val="00707626"/>
    <w:rsid w:val="007134BC"/>
    <w:rsid w:val="007136CB"/>
    <w:rsid w:val="0072099A"/>
    <w:rsid w:val="00723652"/>
    <w:rsid w:val="007346DC"/>
    <w:rsid w:val="007359B9"/>
    <w:rsid w:val="0074124D"/>
    <w:rsid w:val="00743D8B"/>
    <w:rsid w:val="00744FC6"/>
    <w:rsid w:val="0074720A"/>
    <w:rsid w:val="00747F87"/>
    <w:rsid w:val="00761B0B"/>
    <w:rsid w:val="007625CE"/>
    <w:rsid w:val="00763F63"/>
    <w:rsid w:val="007845D2"/>
    <w:rsid w:val="00787E02"/>
    <w:rsid w:val="00791CD5"/>
    <w:rsid w:val="0079684B"/>
    <w:rsid w:val="007B47E2"/>
    <w:rsid w:val="007B5116"/>
    <w:rsid w:val="007B5760"/>
    <w:rsid w:val="007C4813"/>
    <w:rsid w:val="007C6C24"/>
    <w:rsid w:val="007D15A4"/>
    <w:rsid w:val="007D1B4B"/>
    <w:rsid w:val="007E258E"/>
    <w:rsid w:val="007E6A48"/>
    <w:rsid w:val="007F5EDF"/>
    <w:rsid w:val="00801E62"/>
    <w:rsid w:val="008041E9"/>
    <w:rsid w:val="00814457"/>
    <w:rsid w:val="008169E8"/>
    <w:rsid w:val="00840732"/>
    <w:rsid w:val="0084336F"/>
    <w:rsid w:val="00847480"/>
    <w:rsid w:val="00847844"/>
    <w:rsid w:val="008503F8"/>
    <w:rsid w:val="00851ED2"/>
    <w:rsid w:val="00855589"/>
    <w:rsid w:val="00856B48"/>
    <w:rsid w:val="00864857"/>
    <w:rsid w:val="00864BEC"/>
    <w:rsid w:val="00865AB1"/>
    <w:rsid w:val="00866390"/>
    <w:rsid w:val="00874378"/>
    <w:rsid w:val="00880501"/>
    <w:rsid w:val="00881354"/>
    <w:rsid w:val="00881D22"/>
    <w:rsid w:val="00885D9A"/>
    <w:rsid w:val="00891B35"/>
    <w:rsid w:val="008977CD"/>
    <w:rsid w:val="00897BC0"/>
    <w:rsid w:val="00897F8B"/>
    <w:rsid w:val="008A1976"/>
    <w:rsid w:val="008A47E2"/>
    <w:rsid w:val="008B0640"/>
    <w:rsid w:val="008B0988"/>
    <w:rsid w:val="008B27CF"/>
    <w:rsid w:val="008B365C"/>
    <w:rsid w:val="008B44CF"/>
    <w:rsid w:val="008B78FF"/>
    <w:rsid w:val="008C1CE8"/>
    <w:rsid w:val="008C2350"/>
    <w:rsid w:val="008C7D18"/>
    <w:rsid w:val="008D186F"/>
    <w:rsid w:val="008D2C5A"/>
    <w:rsid w:val="008D35F7"/>
    <w:rsid w:val="008E1962"/>
    <w:rsid w:val="008E22C3"/>
    <w:rsid w:val="008F06E4"/>
    <w:rsid w:val="008F1AC6"/>
    <w:rsid w:val="008F694B"/>
    <w:rsid w:val="00905DDD"/>
    <w:rsid w:val="00907D50"/>
    <w:rsid w:val="00910F6F"/>
    <w:rsid w:val="00920B25"/>
    <w:rsid w:val="00921077"/>
    <w:rsid w:val="00924EC1"/>
    <w:rsid w:val="0092695B"/>
    <w:rsid w:val="009415CB"/>
    <w:rsid w:val="00947237"/>
    <w:rsid w:val="009517DE"/>
    <w:rsid w:val="009533F5"/>
    <w:rsid w:val="00954674"/>
    <w:rsid w:val="00956BCB"/>
    <w:rsid w:val="009608E6"/>
    <w:rsid w:val="00960F8D"/>
    <w:rsid w:val="00963058"/>
    <w:rsid w:val="00964B91"/>
    <w:rsid w:val="0096696C"/>
    <w:rsid w:val="00970F2E"/>
    <w:rsid w:val="00975575"/>
    <w:rsid w:val="009826C3"/>
    <w:rsid w:val="009832FB"/>
    <w:rsid w:val="009859A5"/>
    <w:rsid w:val="00992481"/>
    <w:rsid w:val="00996A53"/>
    <w:rsid w:val="009B5C86"/>
    <w:rsid w:val="009D3399"/>
    <w:rsid w:val="009E12AF"/>
    <w:rsid w:val="009E13CC"/>
    <w:rsid w:val="009E43E5"/>
    <w:rsid w:val="009F228E"/>
    <w:rsid w:val="009F2E1E"/>
    <w:rsid w:val="00A01FFA"/>
    <w:rsid w:val="00A0353C"/>
    <w:rsid w:val="00A05CEB"/>
    <w:rsid w:val="00A068A3"/>
    <w:rsid w:val="00A116F5"/>
    <w:rsid w:val="00A158FC"/>
    <w:rsid w:val="00A22001"/>
    <w:rsid w:val="00A223CB"/>
    <w:rsid w:val="00A271C7"/>
    <w:rsid w:val="00A32439"/>
    <w:rsid w:val="00A33B85"/>
    <w:rsid w:val="00A35841"/>
    <w:rsid w:val="00A35C4F"/>
    <w:rsid w:val="00A372DB"/>
    <w:rsid w:val="00A43AE8"/>
    <w:rsid w:val="00A53520"/>
    <w:rsid w:val="00A54F9F"/>
    <w:rsid w:val="00A60B33"/>
    <w:rsid w:val="00A6515E"/>
    <w:rsid w:val="00A72249"/>
    <w:rsid w:val="00A73803"/>
    <w:rsid w:val="00A74CCC"/>
    <w:rsid w:val="00A809CA"/>
    <w:rsid w:val="00A824CD"/>
    <w:rsid w:val="00A835C5"/>
    <w:rsid w:val="00A83CDC"/>
    <w:rsid w:val="00A91F50"/>
    <w:rsid w:val="00A95284"/>
    <w:rsid w:val="00A957E8"/>
    <w:rsid w:val="00AA696E"/>
    <w:rsid w:val="00AB1B41"/>
    <w:rsid w:val="00AB1DD9"/>
    <w:rsid w:val="00AB7689"/>
    <w:rsid w:val="00AC1192"/>
    <w:rsid w:val="00AC3714"/>
    <w:rsid w:val="00AC6F65"/>
    <w:rsid w:val="00AD0E53"/>
    <w:rsid w:val="00AD33B0"/>
    <w:rsid w:val="00AE6F44"/>
    <w:rsid w:val="00AF04EE"/>
    <w:rsid w:val="00AF1EBF"/>
    <w:rsid w:val="00AF4BB4"/>
    <w:rsid w:val="00AF777C"/>
    <w:rsid w:val="00B00D0D"/>
    <w:rsid w:val="00B02675"/>
    <w:rsid w:val="00B03AA5"/>
    <w:rsid w:val="00B1211F"/>
    <w:rsid w:val="00B13D12"/>
    <w:rsid w:val="00B205E9"/>
    <w:rsid w:val="00B21CB1"/>
    <w:rsid w:val="00B44D18"/>
    <w:rsid w:val="00B47285"/>
    <w:rsid w:val="00B51140"/>
    <w:rsid w:val="00B54324"/>
    <w:rsid w:val="00B54ED2"/>
    <w:rsid w:val="00B66C96"/>
    <w:rsid w:val="00B735B1"/>
    <w:rsid w:val="00B745D4"/>
    <w:rsid w:val="00B83C7E"/>
    <w:rsid w:val="00B87702"/>
    <w:rsid w:val="00B91BE1"/>
    <w:rsid w:val="00BA0BA4"/>
    <w:rsid w:val="00BB0959"/>
    <w:rsid w:val="00BB1917"/>
    <w:rsid w:val="00BB2705"/>
    <w:rsid w:val="00BB2A29"/>
    <w:rsid w:val="00BB6442"/>
    <w:rsid w:val="00BB71B6"/>
    <w:rsid w:val="00BD3A9B"/>
    <w:rsid w:val="00BD59E0"/>
    <w:rsid w:val="00BD78CE"/>
    <w:rsid w:val="00BE2C30"/>
    <w:rsid w:val="00BE3C69"/>
    <w:rsid w:val="00BE462D"/>
    <w:rsid w:val="00BE4EBD"/>
    <w:rsid w:val="00BF4D0A"/>
    <w:rsid w:val="00BF5D05"/>
    <w:rsid w:val="00BF7B0B"/>
    <w:rsid w:val="00C000A8"/>
    <w:rsid w:val="00C06AC8"/>
    <w:rsid w:val="00C11023"/>
    <w:rsid w:val="00C11CF8"/>
    <w:rsid w:val="00C137D2"/>
    <w:rsid w:val="00C201DC"/>
    <w:rsid w:val="00C23E53"/>
    <w:rsid w:val="00C25615"/>
    <w:rsid w:val="00C256DE"/>
    <w:rsid w:val="00C30D8A"/>
    <w:rsid w:val="00C357A9"/>
    <w:rsid w:val="00C37356"/>
    <w:rsid w:val="00C437FE"/>
    <w:rsid w:val="00C45FD5"/>
    <w:rsid w:val="00C4714F"/>
    <w:rsid w:val="00C47311"/>
    <w:rsid w:val="00C5005B"/>
    <w:rsid w:val="00C525FE"/>
    <w:rsid w:val="00C56003"/>
    <w:rsid w:val="00C57BA4"/>
    <w:rsid w:val="00C66341"/>
    <w:rsid w:val="00C73C0A"/>
    <w:rsid w:val="00C80151"/>
    <w:rsid w:val="00C8421D"/>
    <w:rsid w:val="00C949DF"/>
    <w:rsid w:val="00C97590"/>
    <w:rsid w:val="00CA3168"/>
    <w:rsid w:val="00CA423D"/>
    <w:rsid w:val="00CC1A24"/>
    <w:rsid w:val="00CC4491"/>
    <w:rsid w:val="00CE23DD"/>
    <w:rsid w:val="00CE4724"/>
    <w:rsid w:val="00CE65A0"/>
    <w:rsid w:val="00CF190F"/>
    <w:rsid w:val="00CF4A7E"/>
    <w:rsid w:val="00CF68D8"/>
    <w:rsid w:val="00D1103B"/>
    <w:rsid w:val="00D16227"/>
    <w:rsid w:val="00D16AA5"/>
    <w:rsid w:val="00D23739"/>
    <w:rsid w:val="00D25DC6"/>
    <w:rsid w:val="00D278FD"/>
    <w:rsid w:val="00D349CB"/>
    <w:rsid w:val="00D455C7"/>
    <w:rsid w:val="00D5317B"/>
    <w:rsid w:val="00D66CCE"/>
    <w:rsid w:val="00D738BC"/>
    <w:rsid w:val="00D76329"/>
    <w:rsid w:val="00D83568"/>
    <w:rsid w:val="00D8708D"/>
    <w:rsid w:val="00D92334"/>
    <w:rsid w:val="00DA1C39"/>
    <w:rsid w:val="00DA2D69"/>
    <w:rsid w:val="00DA35E8"/>
    <w:rsid w:val="00DA761F"/>
    <w:rsid w:val="00DB1041"/>
    <w:rsid w:val="00DB5255"/>
    <w:rsid w:val="00DD0A63"/>
    <w:rsid w:val="00DD4E26"/>
    <w:rsid w:val="00DD5153"/>
    <w:rsid w:val="00DE14B7"/>
    <w:rsid w:val="00DE4800"/>
    <w:rsid w:val="00DF0D50"/>
    <w:rsid w:val="00DF2FAB"/>
    <w:rsid w:val="00DF3C06"/>
    <w:rsid w:val="00DF54A3"/>
    <w:rsid w:val="00E0307D"/>
    <w:rsid w:val="00E0587F"/>
    <w:rsid w:val="00E13842"/>
    <w:rsid w:val="00E1387D"/>
    <w:rsid w:val="00E2147C"/>
    <w:rsid w:val="00E22F52"/>
    <w:rsid w:val="00E2405B"/>
    <w:rsid w:val="00E25826"/>
    <w:rsid w:val="00E271A7"/>
    <w:rsid w:val="00E32B0F"/>
    <w:rsid w:val="00E34ED5"/>
    <w:rsid w:val="00E60851"/>
    <w:rsid w:val="00E656A3"/>
    <w:rsid w:val="00E71D34"/>
    <w:rsid w:val="00E76595"/>
    <w:rsid w:val="00E808C2"/>
    <w:rsid w:val="00E83625"/>
    <w:rsid w:val="00E941A5"/>
    <w:rsid w:val="00EA022D"/>
    <w:rsid w:val="00EA3B54"/>
    <w:rsid w:val="00EA70F9"/>
    <w:rsid w:val="00EA73AB"/>
    <w:rsid w:val="00EB332E"/>
    <w:rsid w:val="00EB35AC"/>
    <w:rsid w:val="00EB617F"/>
    <w:rsid w:val="00ED2EC1"/>
    <w:rsid w:val="00ED4D89"/>
    <w:rsid w:val="00EE035C"/>
    <w:rsid w:val="00EE03EA"/>
    <w:rsid w:val="00EE50A4"/>
    <w:rsid w:val="00EF4380"/>
    <w:rsid w:val="00F00C31"/>
    <w:rsid w:val="00F03182"/>
    <w:rsid w:val="00F04387"/>
    <w:rsid w:val="00F1060B"/>
    <w:rsid w:val="00F10C0F"/>
    <w:rsid w:val="00F13393"/>
    <w:rsid w:val="00F144E2"/>
    <w:rsid w:val="00F15479"/>
    <w:rsid w:val="00F163BF"/>
    <w:rsid w:val="00F27C37"/>
    <w:rsid w:val="00F3005B"/>
    <w:rsid w:val="00F36EA8"/>
    <w:rsid w:val="00F41AFC"/>
    <w:rsid w:val="00F41C9F"/>
    <w:rsid w:val="00F43989"/>
    <w:rsid w:val="00F44990"/>
    <w:rsid w:val="00F51B4D"/>
    <w:rsid w:val="00F51F83"/>
    <w:rsid w:val="00F54299"/>
    <w:rsid w:val="00F62AD5"/>
    <w:rsid w:val="00F63253"/>
    <w:rsid w:val="00F712B8"/>
    <w:rsid w:val="00F71A6E"/>
    <w:rsid w:val="00F7667B"/>
    <w:rsid w:val="00F86076"/>
    <w:rsid w:val="00F87587"/>
    <w:rsid w:val="00F90D1E"/>
    <w:rsid w:val="00F92345"/>
    <w:rsid w:val="00F97E4E"/>
    <w:rsid w:val="00FB6693"/>
    <w:rsid w:val="00FD0842"/>
    <w:rsid w:val="00FD1762"/>
    <w:rsid w:val="00FD1AC7"/>
    <w:rsid w:val="00FD4945"/>
    <w:rsid w:val="00FD7E46"/>
    <w:rsid w:val="00FE6088"/>
    <w:rsid w:val="00FE7995"/>
    <w:rsid w:val="00FF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4"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24"/>
    <w:pPr>
      <w:jc w:val="both"/>
    </w:pPr>
    <w:rPr>
      <w:sz w:val="24"/>
    </w:rPr>
  </w:style>
  <w:style w:type="paragraph" w:styleId="Heading1">
    <w:name w:val="heading 1"/>
    <w:basedOn w:val="Heading"/>
    <w:next w:val="BodyText"/>
    <w:qFormat/>
    <w:rsid w:val="00A223CB"/>
    <w:pPr>
      <w:suppressAutoHyphens/>
      <w:spacing w:before="0" w:after="0" w:line="480" w:lineRule="auto"/>
      <w:ind w:left="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f,ft Cha"/>
    <w:basedOn w:val="Normal"/>
    <w:link w:val="FootnoteTextChar"/>
    <w:qFormat/>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link w:val="QAQuestionChar"/>
    <w:pPr>
      <w:ind w:left="360" w:hanging="360"/>
    </w:pPr>
  </w:style>
  <w:style w:type="paragraph" w:customStyle="1" w:styleId="QAAnswer">
    <w:name w:val="Q&amp;AAnswer"/>
    <w:basedOn w:val="QAQuestion"/>
    <w:next w:val="QAQCont"/>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aliases w:val="o,fr,Style 3,Style 13,Style 12,Style 15,Style 17,Style 9,o1,fr1,o2,fr2,o3,fr3,Style 18,(NECG) Footnote Reference,Style 20,Style 7,Style 8,Style 19,Style 28,Style 11,Style 16,Styl,Style 6"/>
    <w:uiPriority w:val="4"/>
    <w:qFormat/>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Footnote Text Char1 Char Char,Footnote Text Char Char Char Char,Footnote Text Char1 Char Char Char Char,Footnote Text Char Char Char Char Char Char,Footnote Text Char Char1 Char Char,Footnote Text Char Char1 Char1"/>
    <w:link w:val="FootnoteText"/>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line="276" w:lineRule="auto"/>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 w:type="paragraph" w:customStyle="1" w:styleId="answer">
    <w:name w:val="answer"/>
    <w:basedOn w:val="Normal"/>
    <w:link w:val="answerChar1"/>
    <w:uiPriority w:val="99"/>
    <w:rsid w:val="0070539D"/>
    <w:pPr>
      <w:spacing w:before="120" w:after="120" w:line="480" w:lineRule="auto"/>
      <w:ind w:left="720" w:hanging="720"/>
      <w:jc w:val="left"/>
    </w:pPr>
    <w:rPr>
      <w:rFonts w:ascii="CG Times (WN)" w:hAnsi="CG Times (WN)"/>
      <w:lang w:eastAsia="zh-CN"/>
    </w:rPr>
  </w:style>
  <w:style w:type="character" w:customStyle="1" w:styleId="answerChar1">
    <w:name w:val="answer Char1"/>
    <w:link w:val="answer"/>
    <w:uiPriority w:val="99"/>
    <w:locked/>
    <w:rsid w:val="0070539D"/>
    <w:rPr>
      <w:rFonts w:ascii="CG Times (WN)" w:hAnsi="CG Times (WN)"/>
      <w:sz w:val="24"/>
      <w:lang w:eastAsia="zh-CN"/>
    </w:rPr>
  </w:style>
  <w:style w:type="paragraph" w:customStyle="1" w:styleId="question0">
    <w:name w:val="question"/>
    <w:basedOn w:val="Normal"/>
    <w:next w:val="answer"/>
    <w:link w:val="questionChar0"/>
    <w:uiPriority w:val="99"/>
    <w:rsid w:val="00256A62"/>
    <w:pPr>
      <w:spacing w:before="240" w:after="120" w:line="480" w:lineRule="auto"/>
      <w:ind w:left="720" w:hanging="720"/>
      <w:jc w:val="left"/>
    </w:pPr>
    <w:rPr>
      <w:rFonts w:ascii="CG Times (WN)" w:hAnsi="CG Times (WN)"/>
      <w:b/>
      <w:lang w:eastAsia="zh-CN"/>
    </w:rPr>
  </w:style>
  <w:style w:type="character" w:customStyle="1" w:styleId="questionChar0">
    <w:name w:val="question Char"/>
    <w:link w:val="question0"/>
    <w:uiPriority w:val="99"/>
    <w:locked/>
    <w:rsid w:val="00256A62"/>
    <w:rPr>
      <w:rFonts w:ascii="CG Times (WN)" w:hAnsi="CG Times (WN)"/>
      <w:b/>
      <w:sz w:val="24"/>
      <w:lang w:eastAsia="zh-CN"/>
    </w:rPr>
  </w:style>
  <w:style w:type="character" w:customStyle="1" w:styleId="BodyTextChar">
    <w:name w:val="Body Text Char"/>
    <w:basedOn w:val="DefaultParagraphFont"/>
    <w:link w:val="BodyText"/>
    <w:rsid w:val="00270C5D"/>
    <w:rPr>
      <w:sz w:val="24"/>
    </w:rPr>
  </w:style>
  <w:style w:type="character" w:customStyle="1" w:styleId="QAQuestionChar">
    <w:name w:val="Q&amp;AQuestion Char"/>
    <w:basedOn w:val="DefaultParagraphFont"/>
    <w:link w:val="QAQuestion"/>
    <w:locked/>
    <w:rsid w:val="00DF0D50"/>
    <w:rPr>
      <w:sz w:val="24"/>
    </w:rPr>
  </w:style>
  <w:style w:type="character" w:styleId="FollowedHyperlink">
    <w:name w:val="FollowedHyperlink"/>
    <w:basedOn w:val="DefaultParagraphFont"/>
    <w:semiHidden/>
    <w:unhideWhenUsed/>
    <w:rsid w:val="00F144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4"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24"/>
    <w:pPr>
      <w:jc w:val="both"/>
    </w:pPr>
    <w:rPr>
      <w:sz w:val="24"/>
    </w:rPr>
  </w:style>
  <w:style w:type="paragraph" w:styleId="Heading1">
    <w:name w:val="heading 1"/>
    <w:basedOn w:val="Heading"/>
    <w:next w:val="BodyText"/>
    <w:qFormat/>
    <w:rsid w:val="00A223CB"/>
    <w:pPr>
      <w:suppressAutoHyphens/>
      <w:spacing w:before="0" w:after="0" w:line="480" w:lineRule="auto"/>
      <w:ind w:left="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f,ft Cha"/>
    <w:basedOn w:val="Normal"/>
    <w:link w:val="FootnoteTextChar"/>
    <w:qFormat/>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link w:val="QAQuestionChar"/>
    <w:pPr>
      <w:ind w:left="360" w:hanging="360"/>
    </w:pPr>
  </w:style>
  <w:style w:type="paragraph" w:customStyle="1" w:styleId="QAAnswer">
    <w:name w:val="Q&amp;AAnswer"/>
    <w:basedOn w:val="QAQuestion"/>
    <w:next w:val="QAQCont"/>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aliases w:val="o,fr,Style 3,Style 13,Style 12,Style 15,Style 17,Style 9,o1,fr1,o2,fr2,o3,fr3,Style 18,(NECG) Footnote Reference,Style 20,Style 7,Style 8,Style 19,Style 28,Style 11,Style 16,Styl,Style 6"/>
    <w:uiPriority w:val="4"/>
    <w:qFormat/>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Footnote Text Char1 Char Char,Footnote Text Char Char Char Char,Footnote Text Char1 Char Char Char Char,Footnote Text Char Char Char Char Char Char,Footnote Text Char Char1 Char Char,Footnote Text Char Char1 Char1"/>
    <w:link w:val="FootnoteText"/>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line="276" w:lineRule="auto"/>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 w:type="paragraph" w:customStyle="1" w:styleId="answer">
    <w:name w:val="answer"/>
    <w:basedOn w:val="Normal"/>
    <w:link w:val="answerChar1"/>
    <w:uiPriority w:val="99"/>
    <w:rsid w:val="0070539D"/>
    <w:pPr>
      <w:spacing w:before="120" w:after="120" w:line="480" w:lineRule="auto"/>
      <w:ind w:left="720" w:hanging="720"/>
      <w:jc w:val="left"/>
    </w:pPr>
    <w:rPr>
      <w:rFonts w:ascii="CG Times (WN)" w:hAnsi="CG Times (WN)"/>
      <w:lang w:eastAsia="zh-CN"/>
    </w:rPr>
  </w:style>
  <w:style w:type="character" w:customStyle="1" w:styleId="answerChar1">
    <w:name w:val="answer Char1"/>
    <w:link w:val="answer"/>
    <w:uiPriority w:val="99"/>
    <w:locked/>
    <w:rsid w:val="0070539D"/>
    <w:rPr>
      <w:rFonts w:ascii="CG Times (WN)" w:hAnsi="CG Times (WN)"/>
      <w:sz w:val="24"/>
      <w:lang w:eastAsia="zh-CN"/>
    </w:rPr>
  </w:style>
  <w:style w:type="paragraph" w:customStyle="1" w:styleId="question0">
    <w:name w:val="question"/>
    <w:basedOn w:val="Normal"/>
    <w:next w:val="answer"/>
    <w:link w:val="questionChar0"/>
    <w:uiPriority w:val="99"/>
    <w:rsid w:val="00256A62"/>
    <w:pPr>
      <w:spacing w:before="240" w:after="120" w:line="480" w:lineRule="auto"/>
      <w:ind w:left="720" w:hanging="720"/>
      <w:jc w:val="left"/>
    </w:pPr>
    <w:rPr>
      <w:rFonts w:ascii="CG Times (WN)" w:hAnsi="CG Times (WN)"/>
      <w:b/>
      <w:lang w:eastAsia="zh-CN"/>
    </w:rPr>
  </w:style>
  <w:style w:type="character" w:customStyle="1" w:styleId="questionChar0">
    <w:name w:val="question Char"/>
    <w:link w:val="question0"/>
    <w:uiPriority w:val="99"/>
    <w:locked/>
    <w:rsid w:val="00256A62"/>
    <w:rPr>
      <w:rFonts w:ascii="CG Times (WN)" w:hAnsi="CG Times (WN)"/>
      <w:b/>
      <w:sz w:val="24"/>
      <w:lang w:eastAsia="zh-CN"/>
    </w:rPr>
  </w:style>
  <w:style w:type="character" w:customStyle="1" w:styleId="BodyTextChar">
    <w:name w:val="Body Text Char"/>
    <w:basedOn w:val="DefaultParagraphFont"/>
    <w:link w:val="BodyText"/>
    <w:rsid w:val="00270C5D"/>
    <w:rPr>
      <w:sz w:val="24"/>
    </w:rPr>
  </w:style>
  <w:style w:type="character" w:customStyle="1" w:styleId="QAQuestionChar">
    <w:name w:val="Q&amp;AQuestion Char"/>
    <w:basedOn w:val="DefaultParagraphFont"/>
    <w:link w:val="QAQuestion"/>
    <w:locked/>
    <w:rsid w:val="00DF0D50"/>
    <w:rPr>
      <w:sz w:val="24"/>
    </w:rPr>
  </w:style>
  <w:style w:type="character" w:styleId="FollowedHyperlink">
    <w:name w:val="FollowedHyperlink"/>
    <w:basedOn w:val="DefaultParagraphFont"/>
    <w:semiHidden/>
    <w:unhideWhenUsed/>
    <w:rsid w:val="00F14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985">
      <w:bodyDiv w:val="1"/>
      <w:marLeft w:val="0"/>
      <w:marRight w:val="0"/>
      <w:marTop w:val="0"/>
      <w:marBottom w:val="0"/>
      <w:divBdr>
        <w:top w:val="none" w:sz="0" w:space="0" w:color="auto"/>
        <w:left w:val="none" w:sz="0" w:space="0" w:color="auto"/>
        <w:bottom w:val="none" w:sz="0" w:space="0" w:color="auto"/>
        <w:right w:val="none" w:sz="0" w:space="0" w:color="auto"/>
      </w:divBdr>
    </w:div>
    <w:div w:id="164324640">
      <w:bodyDiv w:val="1"/>
      <w:marLeft w:val="0"/>
      <w:marRight w:val="0"/>
      <w:marTop w:val="0"/>
      <w:marBottom w:val="0"/>
      <w:divBdr>
        <w:top w:val="none" w:sz="0" w:space="0" w:color="auto"/>
        <w:left w:val="none" w:sz="0" w:space="0" w:color="auto"/>
        <w:bottom w:val="none" w:sz="0" w:space="0" w:color="auto"/>
        <w:right w:val="none" w:sz="0" w:space="0" w:color="auto"/>
      </w:divBdr>
    </w:div>
    <w:div w:id="322468791">
      <w:bodyDiv w:val="1"/>
      <w:marLeft w:val="0"/>
      <w:marRight w:val="0"/>
      <w:marTop w:val="0"/>
      <w:marBottom w:val="0"/>
      <w:divBdr>
        <w:top w:val="none" w:sz="0" w:space="0" w:color="auto"/>
        <w:left w:val="none" w:sz="0" w:space="0" w:color="auto"/>
        <w:bottom w:val="none" w:sz="0" w:space="0" w:color="auto"/>
        <w:right w:val="none" w:sz="0" w:space="0" w:color="auto"/>
      </w:divBdr>
    </w:div>
    <w:div w:id="634068849">
      <w:bodyDiv w:val="1"/>
      <w:marLeft w:val="0"/>
      <w:marRight w:val="0"/>
      <w:marTop w:val="0"/>
      <w:marBottom w:val="0"/>
      <w:divBdr>
        <w:top w:val="none" w:sz="0" w:space="0" w:color="auto"/>
        <w:left w:val="none" w:sz="0" w:space="0" w:color="auto"/>
        <w:bottom w:val="none" w:sz="0" w:space="0" w:color="auto"/>
        <w:right w:val="none" w:sz="0" w:space="0" w:color="auto"/>
      </w:divBdr>
    </w:div>
    <w:div w:id="727611507">
      <w:bodyDiv w:val="1"/>
      <w:marLeft w:val="0"/>
      <w:marRight w:val="0"/>
      <w:marTop w:val="0"/>
      <w:marBottom w:val="0"/>
      <w:divBdr>
        <w:top w:val="none" w:sz="0" w:space="0" w:color="auto"/>
        <w:left w:val="none" w:sz="0" w:space="0" w:color="auto"/>
        <w:bottom w:val="none" w:sz="0" w:space="0" w:color="auto"/>
        <w:right w:val="none" w:sz="0" w:space="0" w:color="auto"/>
      </w:divBdr>
    </w:div>
    <w:div w:id="902714417">
      <w:bodyDiv w:val="1"/>
      <w:marLeft w:val="0"/>
      <w:marRight w:val="0"/>
      <w:marTop w:val="0"/>
      <w:marBottom w:val="0"/>
      <w:divBdr>
        <w:top w:val="none" w:sz="0" w:space="0" w:color="auto"/>
        <w:left w:val="none" w:sz="0" w:space="0" w:color="auto"/>
        <w:bottom w:val="none" w:sz="0" w:space="0" w:color="auto"/>
        <w:right w:val="none" w:sz="0" w:space="0" w:color="auto"/>
      </w:divBdr>
    </w:div>
    <w:div w:id="930813708">
      <w:bodyDiv w:val="1"/>
      <w:marLeft w:val="0"/>
      <w:marRight w:val="0"/>
      <w:marTop w:val="0"/>
      <w:marBottom w:val="0"/>
      <w:divBdr>
        <w:top w:val="none" w:sz="0" w:space="0" w:color="auto"/>
        <w:left w:val="none" w:sz="0" w:space="0" w:color="auto"/>
        <w:bottom w:val="none" w:sz="0" w:space="0" w:color="auto"/>
        <w:right w:val="none" w:sz="0" w:space="0" w:color="auto"/>
      </w:divBdr>
    </w:div>
    <w:div w:id="1255087414">
      <w:bodyDiv w:val="1"/>
      <w:marLeft w:val="0"/>
      <w:marRight w:val="0"/>
      <w:marTop w:val="0"/>
      <w:marBottom w:val="0"/>
      <w:divBdr>
        <w:top w:val="none" w:sz="0" w:space="0" w:color="auto"/>
        <w:left w:val="none" w:sz="0" w:space="0" w:color="auto"/>
        <w:bottom w:val="none" w:sz="0" w:space="0" w:color="auto"/>
        <w:right w:val="none" w:sz="0" w:space="0" w:color="auto"/>
      </w:divBdr>
    </w:div>
    <w:div w:id="1346983866">
      <w:bodyDiv w:val="1"/>
      <w:marLeft w:val="0"/>
      <w:marRight w:val="0"/>
      <w:marTop w:val="0"/>
      <w:marBottom w:val="0"/>
      <w:divBdr>
        <w:top w:val="none" w:sz="0" w:space="0" w:color="auto"/>
        <w:left w:val="none" w:sz="0" w:space="0" w:color="auto"/>
        <w:bottom w:val="none" w:sz="0" w:space="0" w:color="auto"/>
        <w:right w:val="none" w:sz="0" w:space="0" w:color="auto"/>
      </w:divBdr>
    </w:div>
    <w:div w:id="1468275786">
      <w:bodyDiv w:val="1"/>
      <w:marLeft w:val="0"/>
      <w:marRight w:val="0"/>
      <w:marTop w:val="0"/>
      <w:marBottom w:val="0"/>
      <w:divBdr>
        <w:top w:val="none" w:sz="0" w:space="0" w:color="auto"/>
        <w:left w:val="none" w:sz="0" w:space="0" w:color="auto"/>
        <w:bottom w:val="none" w:sz="0" w:space="0" w:color="auto"/>
        <w:right w:val="none" w:sz="0" w:space="0" w:color="auto"/>
      </w:divBdr>
    </w:div>
    <w:div w:id="1635986971">
      <w:bodyDiv w:val="1"/>
      <w:marLeft w:val="0"/>
      <w:marRight w:val="0"/>
      <w:marTop w:val="0"/>
      <w:marBottom w:val="0"/>
      <w:divBdr>
        <w:top w:val="none" w:sz="0" w:space="0" w:color="auto"/>
        <w:left w:val="none" w:sz="0" w:space="0" w:color="auto"/>
        <w:bottom w:val="none" w:sz="0" w:space="0" w:color="auto"/>
        <w:right w:val="none" w:sz="0" w:space="0" w:color="auto"/>
      </w:divBdr>
    </w:div>
    <w:div w:id="1670520749">
      <w:bodyDiv w:val="1"/>
      <w:marLeft w:val="0"/>
      <w:marRight w:val="0"/>
      <w:marTop w:val="0"/>
      <w:marBottom w:val="0"/>
      <w:divBdr>
        <w:top w:val="none" w:sz="0" w:space="0" w:color="auto"/>
        <w:left w:val="none" w:sz="0" w:space="0" w:color="auto"/>
        <w:bottom w:val="none" w:sz="0" w:space="0" w:color="auto"/>
        <w:right w:val="none" w:sz="0" w:space="0" w:color="auto"/>
      </w:divBdr>
    </w:div>
    <w:div w:id="2046128116">
      <w:bodyDiv w:val="1"/>
      <w:marLeft w:val="0"/>
      <w:marRight w:val="0"/>
      <w:marTop w:val="0"/>
      <w:marBottom w:val="0"/>
      <w:divBdr>
        <w:top w:val="none" w:sz="0" w:space="0" w:color="auto"/>
        <w:left w:val="none" w:sz="0" w:space="0" w:color="auto"/>
        <w:bottom w:val="none" w:sz="0" w:space="0" w:color="auto"/>
        <w:right w:val="none" w:sz="0" w:space="0" w:color="auto"/>
      </w:divBdr>
    </w:div>
    <w:div w:id="2054190114">
      <w:bodyDiv w:val="1"/>
      <w:marLeft w:val="0"/>
      <w:marRight w:val="0"/>
      <w:marTop w:val="0"/>
      <w:marBottom w:val="0"/>
      <w:divBdr>
        <w:top w:val="none" w:sz="0" w:space="0" w:color="auto"/>
        <w:left w:val="none" w:sz="0" w:space="0" w:color="auto"/>
        <w:bottom w:val="none" w:sz="0" w:space="0" w:color="auto"/>
        <w:right w:val="none" w:sz="0" w:space="0" w:color="auto"/>
      </w:divBdr>
    </w:div>
    <w:div w:id="21219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mninews.marketnews.com/content/mni-spotlight-feds-williams-wants-hike-april-or-june" TargetMode="External"/><Relationship Id="rId2" Type="http://schemas.openxmlformats.org/officeDocument/2006/relationships/hyperlink" Target="http://www.federalreserve.gov/newsevents/speech/yellen20160329a.htm" TargetMode="External"/><Relationship Id="rId1" Type="http://schemas.openxmlformats.org/officeDocument/2006/relationships/hyperlink" Target="http://money.cnn.com/2016/02/17/news/economy/china-us-debt-dump-central-banks/" TargetMode="External"/><Relationship Id="rId5" Type="http://schemas.openxmlformats.org/officeDocument/2006/relationships/hyperlink" Target="http://www.nmlegis.gov/lcs/handouts/WNR%20072715%20Item%206%20%20Effect%20of%20Electric%20Decoupling%20on%20the%20Cost%20of%20Capital.pdf" TargetMode="External"/><Relationship Id="rId4" Type="http://schemas.openxmlformats.org/officeDocument/2006/relationships/hyperlink" Target="http://www.barrons.com/articles/the-case-against-high-stock-market-volatility-in-2016-1451704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B7F9D2-2E07-4359-83B8-A3BF43980322}"/>
</file>

<file path=customXml/itemProps2.xml><?xml version="1.0" encoding="utf-8"?>
<ds:datastoreItem xmlns:ds="http://schemas.openxmlformats.org/officeDocument/2006/customXml" ds:itemID="{11593F38-A7DE-437D-9D2D-EA43478993A5}"/>
</file>

<file path=customXml/itemProps3.xml><?xml version="1.0" encoding="utf-8"?>
<ds:datastoreItem xmlns:ds="http://schemas.openxmlformats.org/officeDocument/2006/customXml" ds:itemID="{D919EA06-B13C-47F3-8E72-A658AEACE515}"/>
</file>

<file path=customXml/itemProps4.xml><?xml version="1.0" encoding="utf-8"?>
<ds:datastoreItem xmlns:ds="http://schemas.openxmlformats.org/officeDocument/2006/customXml" ds:itemID="{0FEC35F9-A34F-4856-9815-D755907974EC}"/>
</file>

<file path=docProps/app.xml><?xml version="1.0" encoding="utf-8"?>
<Properties xmlns="http://schemas.openxmlformats.org/officeDocument/2006/extended-properties" xmlns:vt="http://schemas.openxmlformats.org/officeDocument/2006/docPropsVTypes">
  <Template>Normal.dotm</Template>
  <TotalTime>0</TotalTime>
  <Pages>19</Pages>
  <Words>4491</Words>
  <Characters>24060</Characters>
  <Application>Microsoft Office Word</Application>
  <DocSecurity>0</DocSecurity>
  <Lines>200</Lines>
  <Paragraphs>56</Paragraphs>
  <ScaleCrop>false</ScaleCrop>
  <Company/>
  <LinksUpToDate>false</LinksUpToDate>
  <CharactersWithSpaces>28495</CharactersWithSpaces>
  <SharedDoc>false</SharedDoc>
  <HLinks>
    <vt:vector size="84" baseType="variant">
      <vt:variant>
        <vt:i4>1376314</vt:i4>
      </vt:variant>
      <vt:variant>
        <vt:i4>80</vt:i4>
      </vt:variant>
      <vt:variant>
        <vt:i4>0</vt:i4>
      </vt:variant>
      <vt:variant>
        <vt:i4>5</vt:i4>
      </vt:variant>
      <vt:variant>
        <vt:lpwstr/>
      </vt:variant>
      <vt:variant>
        <vt:lpwstr>_Toc355788484</vt:lpwstr>
      </vt:variant>
      <vt:variant>
        <vt:i4>1376314</vt:i4>
      </vt:variant>
      <vt:variant>
        <vt:i4>74</vt:i4>
      </vt:variant>
      <vt:variant>
        <vt:i4>0</vt:i4>
      </vt:variant>
      <vt:variant>
        <vt:i4>5</vt:i4>
      </vt:variant>
      <vt:variant>
        <vt:lpwstr/>
      </vt:variant>
      <vt:variant>
        <vt:lpwstr>_Toc355788483</vt:lpwstr>
      </vt:variant>
      <vt:variant>
        <vt:i4>1376314</vt:i4>
      </vt:variant>
      <vt:variant>
        <vt:i4>68</vt:i4>
      </vt:variant>
      <vt:variant>
        <vt:i4>0</vt:i4>
      </vt:variant>
      <vt:variant>
        <vt:i4>5</vt:i4>
      </vt:variant>
      <vt:variant>
        <vt:lpwstr/>
      </vt:variant>
      <vt:variant>
        <vt:lpwstr>_Toc355788482</vt:lpwstr>
      </vt:variant>
      <vt:variant>
        <vt:i4>1376314</vt:i4>
      </vt:variant>
      <vt:variant>
        <vt:i4>62</vt:i4>
      </vt:variant>
      <vt:variant>
        <vt:i4>0</vt:i4>
      </vt:variant>
      <vt:variant>
        <vt:i4>5</vt:i4>
      </vt:variant>
      <vt:variant>
        <vt:lpwstr/>
      </vt:variant>
      <vt:variant>
        <vt:lpwstr>_Toc355788481</vt:lpwstr>
      </vt:variant>
      <vt:variant>
        <vt:i4>1376314</vt:i4>
      </vt:variant>
      <vt:variant>
        <vt:i4>56</vt:i4>
      </vt:variant>
      <vt:variant>
        <vt:i4>0</vt:i4>
      </vt:variant>
      <vt:variant>
        <vt:i4>5</vt:i4>
      </vt:variant>
      <vt:variant>
        <vt:lpwstr/>
      </vt:variant>
      <vt:variant>
        <vt:lpwstr>_Toc355788480</vt:lpwstr>
      </vt:variant>
      <vt:variant>
        <vt:i4>1703994</vt:i4>
      </vt:variant>
      <vt:variant>
        <vt:i4>50</vt:i4>
      </vt:variant>
      <vt:variant>
        <vt:i4>0</vt:i4>
      </vt:variant>
      <vt:variant>
        <vt:i4>5</vt:i4>
      </vt:variant>
      <vt:variant>
        <vt:lpwstr/>
      </vt:variant>
      <vt:variant>
        <vt:lpwstr>_Toc355788479</vt:lpwstr>
      </vt:variant>
      <vt:variant>
        <vt:i4>1703994</vt:i4>
      </vt:variant>
      <vt:variant>
        <vt:i4>44</vt:i4>
      </vt:variant>
      <vt:variant>
        <vt:i4>0</vt:i4>
      </vt:variant>
      <vt:variant>
        <vt:i4>5</vt:i4>
      </vt:variant>
      <vt:variant>
        <vt:lpwstr/>
      </vt:variant>
      <vt:variant>
        <vt:lpwstr>_Toc355788478</vt:lpwstr>
      </vt:variant>
      <vt:variant>
        <vt:i4>1703994</vt:i4>
      </vt:variant>
      <vt:variant>
        <vt:i4>38</vt:i4>
      </vt:variant>
      <vt:variant>
        <vt:i4>0</vt:i4>
      </vt:variant>
      <vt:variant>
        <vt:i4>5</vt:i4>
      </vt:variant>
      <vt:variant>
        <vt:lpwstr/>
      </vt:variant>
      <vt:variant>
        <vt:lpwstr>_Toc355788477</vt:lpwstr>
      </vt:variant>
      <vt:variant>
        <vt:i4>1703994</vt:i4>
      </vt:variant>
      <vt:variant>
        <vt:i4>32</vt:i4>
      </vt:variant>
      <vt:variant>
        <vt:i4>0</vt:i4>
      </vt:variant>
      <vt:variant>
        <vt:i4>5</vt:i4>
      </vt:variant>
      <vt:variant>
        <vt:lpwstr/>
      </vt:variant>
      <vt:variant>
        <vt:lpwstr>_Toc355788476</vt:lpwstr>
      </vt:variant>
      <vt:variant>
        <vt:i4>1703994</vt:i4>
      </vt:variant>
      <vt:variant>
        <vt:i4>26</vt:i4>
      </vt:variant>
      <vt:variant>
        <vt:i4>0</vt:i4>
      </vt:variant>
      <vt:variant>
        <vt:i4>5</vt:i4>
      </vt:variant>
      <vt:variant>
        <vt:lpwstr/>
      </vt:variant>
      <vt:variant>
        <vt:lpwstr>_Toc355788475</vt:lpwstr>
      </vt:variant>
      <vt:variant>
        <vt:i4>1703994</vt:i4>
      </vt:variant>
      <vt:variant>
        <vt:i4>20</vt:i4>
      </vt:variant>
      <vt:variant>
        <vt:i4>0</vt:i4>
      </vt:variant>
      <vt:variant>
        <vt:i4>5</vt:i4>
      </vt:variant>
      <vt:variant>
        <vt:lpwstr/>
      </vt:variant>
      <vt:variant>
        <vt:lpwstr>_Toc355788474</vt:lpwstr>
      </vt:variant>
      <vt:variant>
        <vt:i4>1703994</vt:i4>
      </vt:variant>
      <vt:variant>
        <vt:i4>14</vt:i4>
      </vt:variant>
      <vt:variant>
        <vt:i4>0</vt:i4>
      </vt:variant>
      <vt:variant>
        <vt:i4>5</vt:i4>
      </vt:variant>
      <vt:variant>
        <vt:lpwstr/>
      </vt:variant>
      <vt:variant>
        <vt:lpwstr>_Toc355788473</vt:lpwstr>
      </vt:variant>
      <vt:variant>
        <vt:i4>1703994</vt:i4>
      </vt:variant>
      <vt:variant>
        <vt:i4>8</vt:i4>
      </vt:variant>
      <vt:variant>
        <vt:i4>0</vt:i4>
      </vt:variant>
      <vt:variant>
        <vt:i4>5</vt:i4>
      </vt:variant>
      <vt:variant>
        <vt:lpwstr/>
      </vt:variant>
      <vt:variant>
        <vt:lpwstr>_Toc355788472</vt:lpwstr>
      </vt:variant>
      <vt:variant>
        <vt:i4>1703994</vt:i4>
      </vt:variant>
      <vt:variant>
        <vt:i4>2</vt:i4>
      </vt:variant>
      <vt:variant>
        <vt:i4>0</vt:i4>
      </vt:variant>
      <vt:variant>
        <vt:i4>5</vt:i4>
      </vt:variant>
      <vt:variant>
        <vt:lpwstr/>
      </vt:variant>
      <vt:variant>
        <vt:lpwstr>_Toc355788471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2016-04-07T16:00:00Z</dcterms:created>
  <dcterms:modified xsi:type="dcterms:W3CDTF">2016-04-07T16:00:00Z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