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9ADA7" w14:textId="77777777" w:rsidR="008B6D5C" w:rsidRPr="00310482" w:rsidRDefault="008B6D5C" w:rsidP="008B6D5C">
      <w:pPr>
        <w:tabs>
          <w:tab w:val="center" w:pos="4680"/>
        </w:tabs>
        <w:suppressAutoHyphens/>
        <w:ind w:right="630"/>
        <w:jc w:val="center"/>
        <w:rPr>
          <w:rFonts w:ascii="Times New Roman" w:hAnsi="Times New Roman" w:cs="Times New Roman"/>
        </w:rPr>
      </w:pPr>
      <w:r w:rsidRPr="00310482">
        <w:rPr>
          <w:rFonts w:ascii="Times New Roman" w:hAnsi="Times New Roman" w:cs="Times New Roman"/>
        </w:rPr>
        <w:t>BEFORE THE WASHINGTON UTILITIES AND TRANSPORTATION COMMISSION</w:t>
      </w:r>
    </w:p>
    <w:p w14:paraId="71279D7B" w14:textId="77777777" w:rsidR="008B6D5C" w:rsidRPr="00310482" w:rsidRDefault="008B6D5C" w:rsidP="008B6D5C">
      <w:pPr>
        <w:tabs>
          <w:tab w:val="left" w:pos="-720"/>
        </w:tabs>
        <w:suppressAutoHyphens/>
        <w:ind w:right="630"/>
        <w:rPr>
          <w:rFonts w:ascii="Times New Roman" w:hAnsi="Times New Roman" w:cs="Times New Roman"/>
        </w:rPr>
      </w:pPr>
    </w:p>
    <w:p w14:paraId="17D17245" w14:textId="77777777" w:rsidR="008B6D5C" w:rsidRPr="00310482" w:rsidRDefault="008B6D5C" w:rsidP="008B6D5C">
      <w:pPr>
        <w:tabs>
          <w:tab w:val="left" w:pos="-720"/>
        </w:tabs>
        <w:suppressAutoHyphens/>
        <w:ind w:right="630"/>
        <w:rPr>
          <w:rFonts w:ascii="Times New Roman" w:hAnsi="Times New Roman" w:cs="Times New Roman"/>
        </w:rPr>
      </w:pPr>
    </w:p>
    <w:tbl>
      <w:tblPr>
        <w:tblW w:w="8856" w:type="dxa"/>
        <w:tblLayout w:type="fixed"/>
        <w:tblLook w:val="0000" w:firstRow="0" w:lastRow="0" w:firstColumn="0" w:lastColumn="0" w:noHBand="0" w:noVBand="0"/>
      </w:tblPr>
      <w:tblGrid>
        <w:gridCol w:w="4248"/>
        <w:gridCol w:w="360"/>
        <w:gridCol w:w="4248"/>
      </w:tblGrid>
      <w:tr w:rsidR="008B6D5C" w:rsidRPr="00310482" w14:paraId="3353BB01" w14:textId="77777777" w:rsidTr="008B6D5C">
        <w:tc>
          <w:tcPr>
            <w:tcW w:w="4248" w:type="dxa"/>
          </w:tcPr>
          <w:p w14:paraId="59197AD6"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PAC-WEST TELECOMM, INC.,</w:t>
            </w:r>
          </w:p>
          <w:p w14:paraId="418A3F4E" w14:textId="77777777" w:rsidR="008B6D5C" w:rsidRPr="00310482" w:rsidRDefault="008B6D5C" w:rsidP="008B6D5C">
            <w:pPr>
              <w:ind w:right="630"/>
              <w:rPr>
                <w:rFonts w:ascii="Times New Roman" w:hAnsi="Times New Roman" w:cs="Times New Roman"/>
              </w:rPr>
            </w:pPr>
          </w:p>
          <w:p w14:paraId="6FAB6BD3"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Petitioner,</w:t>
            </w:r>
          </w:p>
          <w:p w14:paraId="1E546B5A" w14:textId="77777777" w:rsidR="008B6D5C" w:rsidRPr="00310482" w:rsidRDefault="008B6D5C" w:rsidP="008B6D5C">
            <w:pPr>
              <w:tabs>
                <w:tab w:val="left" w:pos="1440"/>
              </w:tabs>
              <w:ind w:right="630"/>
              <w:rPr>
                <w:rFonts w:ascii="Times New Roman" w:hAnsi="Times New Roman" w:cs="Times New Roman"/>
              </w:rPr>
            </w:pPr>
          </w:p>
          <w:p w14:paraId="27A70C2D"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v.</w:t>
            </w:r>
          </w:p>
          <w:p w14:paraId="4E8AE1D4" w14:textId="77777777" w:rsidR="008B6D5C" w:rsidRPr="00310482" w:rsidRDefault="008B6D5C" w:rsidP="008B6D5C">
            <w:pPr>
              <w:tabs>
                <w:tab w:val="left" w:pos="1440"/>
              </w:tabs>
              <w:ind w:right="630"/>
              <w:rPr>
                <w:rFonts w:ascii="Times New Roman" w:hAnsi="Times New Roman" w:cs="Times New Roman"/>
              </w:rPr>
            </w:pPr>
          </w:p>
          <w:p w14:paraId="410666CB"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QWEST CORPORATION,</w:t>
            </w:r>
          </w:p>
          <w:p w14:paraId="2DA25F5A" w14:textId="77777777" w:rsidR="008B6D5C" w:rsidRPr="00310482" w:rsidRDefault="008B6D5C" w:rsidP="008B6D5C">
            <w:pPr>
              <w:tabs>
                <w:tab w:val="left" w:pos="1440"/>
              </w:tabs>
              <w:ind w:right="630"/>
              <w:rPr>
                <w:rFonts w:ascii="Times New Roman" w:hAnsi="Times New Roman" w:cs="Times New Roman"/>
              </w:rPr>
            </w:pPr>
          </w:p>
          <w:p w14:paraId="4930BEDC"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Respondent.</w:t>
            </w:r>
          </w:p>
          <w:p w14:paraId="6E16DC7B"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 . . . . . . . . . . . . . . . . . . . . . . . . . . . . . .</w:t>
            </w:r>
          </w:p>
          <w:p w14:paraId="7E153D5C" w14:textId="77777777" w:rsidR="008B6D5C" w:rsidRPr="00310482" w:rsidRDefault="008B6D5C" w:rsidP="008B6D5C">
            <w:pPr>
              <w:ind w:right="630"/>
              <w:rPr>
                <w:rFonts w:ascii="Times New Roman" w:hAnsi="Times New Roman" w:cs="Times New Roman"/>
              </w:rPr>
            </w:pPr>
          </w:p>
          <w:p w14:paraId="0FDFFB2B" w14:textId="77777777" w:rsidR="008B6D5C" w:rsidRPr="00310482" w:rsidRDefault="008B6D5C" w:rsidP="008B6D5C">
            <w:pPr>
              <w:ind w:right="630"/>
              <w:rPr>
                <w:rFonts w:ascii="Times New Roman" w:hAnsi="Times New Roman" w:cs="Times New Roman"/>
              </w:rPr>
            </w:pPr>
            <w:bookmarkStart w:id="0" w:name="OLE_LINK1"/>
            <w:bookmarkStart w:id="1" w:name="OLE_LINK2"/>
            <w:r w:rsidRPr="00310482">
              <w:rPr>
                <w:rFonts w:ascii="Times New Roman" w:hAnsi="Times New Roman" w:cs="Times New Roman"/>
              </w:rPr>
              <w:t>LEVEL 3 COMMUNICATIONS, LLC,</w:t>
            </w:r>
          </w:p>
          <w:p w14:paraId="1EB36722" w14:textId="77777777" w:rsidR="008B6D5C" w:rsidRPr="00310482" w:rsidRDefault="008B6D5C" w:rsidP="008B6D5C">
            <w:pPr>
              <w:ind w:right="630"/>
              <w:rPr>
                <w:rFonts w:ascii="Times New Roman" w:hAnsi="Times New Roman" w:cs="Times New Roman"/>
              </w:rPr>
            </w:pPr>
          </w:p>
          <w:p w14:paraId="638833E7"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 xml:space="preserve">                       Petitioner, </w:t>
            </w:r>
          </w:p>
          <w:p w14:paraId="7B3C19BA" w14:textId="77777777" w:rsidR="008B6D5C" w:rsidRPr="00310482" w:rsidRDefault="008B6D5C" w:rsidP="008B6D5C">
            <w:pPr>
              <w:ind w:right="630"/>
              <w:rPr>
                <w:rFonts w:ascii="Times New Roman" w:hAnsi="Times New Roman" w:cs="Times New Roman"/>
              </w:rPr>
            </w:pPr>
          </w:p>
          <w:p w14:paraId="4BB3FB97"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 xml:space="preserve">                       v.</w:t>
            </w:r>
          </w:p>
          <w:p w14:paraId="52C7B5FB" w14:textId="77777777" w:rsidR="008B6D5C" w:rsidRPr="00310482" w:rsidRDefault="008B6D5C" w:rsidP="008B6D5C">
            <w:pPr>
              <w:ind w:right="630"/>
              <w:rPr>
                <w:rFonts w:ascii="Times New Roman" w:hAnsi="Times New Roman" w:cs="Times New Roman"/>
              </w:rPr>
            </w:pPr>
          </w:p>
          <w:p w14:paraId="529D4E20"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QWEST CORPORATION,</w:t>
            </w:r>
          </w:p>
          <w:p w14:paraId="77CB09B3" w14:textId="77777777" w:rsidR="008B6D5C" w:rsidRPr="00310482" w:rsidRDefault="008B6D5C" w:rsidP="008B6D5C">
            <w:pPr>
              <w:tabs>
                <w:tab w:val="left" w:pos="1440"/>
              </w:tabs>
              <w:ind w:right="630"/>
              <w:rPr>
                <w:rFonts w:ascii="Times New Roman" w:hAnsi="Times New Roman" w:cs="Times New Roman"/>
              </w:rPr>
            </w:pPr>
          </w:p>
          <w:p w14:paraId="433FFD55" w14:textId="77777777" w:rsidR="008B6D5C" w:rsidRPr="00310482" w:rsidRDefault="008B6D5C" w:rsidP="008B6D5C">
            <w:pPr>
              <w:tabs>
                <w:tab w:val="left" w:pos="1440"/>
              </w:tabs>
              <w:ind w:right="630"/>
              <w:rPr>
                <w:rFonts w:ascii="Times New Roman" w:hAnsi="Times New Roman" w:cs="Times New Roman"/>
              </w:rPr>
            </w:pPr>
            <w:r w:rsidRPr="00310482">
              <w:rPr>
                <w:rFonts w:ascii="Times New Roman" w:hAnsi="Times New Roman" w:cs="Times New Roman"/>
              </w:rPr>
              <w:t>Respondent.</w:t>
            </w:r>
          </w:p>
          <w:p w14:paraId="08E66F89" w14:textId="77777777" w:rsidR="008B6D5C" w:rsidRPr="00310482" w:rsidRDefault="008B6D5C" w:rsidP="008B6D5C">
            <w:pPr>
              <w:ind w:right="630"/>
              <w:rPr>
                <w:rFonts w:ascii="Times New Roman" w:hAnsi="Times New Roman" w:cs="Times New Roman"/>
              </w:rPr>
            </w:pPr>
          </w:p>
          <w:bookmarkEnd w:id="0"/>
          <w:bookmarkEnd w:id="1"/>
          <w:p w14:paraId="0B51A374"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 xml:space="preserve">. . . . . . . . . . . . . . . . . . . . . . . . . . . .  </w:t>
            </w:r>
          </w:p>
        </w:tc>
        <w:tc>
          <w:tcPr>
            <w:tcW w:w="360" w:type="dxa"/>
          </w:tcPr>
          <w:p w14:paraId="55F853F5"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32B9CE66"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D2FE437"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5152DE8E"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7330DFD9"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3508881C"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235A72D0"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5FF36AD4"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8563BFB"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3F47D46A"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41ACC43E"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BF16148"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62DCA12"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75ADCFE1"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280CE58C"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1CEFA9D"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4C7108D7"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276CF59A"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1A16D217"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78867838"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59BF0191"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0FABF005"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w:t>
            </w:r>
          </w:p>
          <w:p w14:paraId="5223A936" w14:textId="77777777" w:rsidR="008B6D5C" w:rsidRPr="00310482" w:rsidRDefault="008B6D5C" w:rsidP="008B6D5C">
            <w:pPr>
              <w:ind w:right="630"/>
              <w:rPr>
                <w:rFonts w:ascii="Times New Roman" w:hAnsi="Times New Roman" w:cs="Times New Roman"/>
              </w:rPr>
            </w:pPr>
          </w:p>
        </w:tc>
        <w:tc>
          <w:tcPr>
            <w:tcW w:w="4248" w:type="dxa"/>
          </w:tcPr>
          <w:p w14:paraId="3D1F5BB4" w14:textId="77777777" w:rsidR="008B6D5C" w:rsidRPr="00310482" w:rsidRDefault="008B6D5C" w:rsidP="008B6D5C">
            <w:pPr>
              <w:ind w:right="630"/>
              <w:rPr>
                <w:rFonts w:ascii="Times New Roman" w:hAnsi="Times New Roman" w:cs="Times New Roman"/>
              </w:rPr>
            </w:pPr>
          </w:p>
          <w:p w14:paraId="770DCF1F" w14:textId="77777777" w:rsidR="008B6D5C" w:rsidRPr="00310482" w:rsidRDefault="008B6D5C" w:rsidP="008B6D5C">
            <w:pPr>
              <w:ind w:right="630"/>
              <w:rPr>
                <w:rFonts w:ascii="Times New Roman" w:hAnsi="Times New Roman" w:cs="Times New Roman"/>
              </w:rPr>
            </w:pPr>
          </w:p>
          <w:p w14:paraId="67CFC415"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DOCKET UT-053036</w:t>
            </w:r>
          </w:p>
          <w:p w14:paraId="28A24228" w14:textId="77777777" w:rsidR="008B6D5C" w:rsidRPr="00310482" w:rsidRDefault="008B6D5C" w:rsidP="008B6D5C">
            <w:pPr>
              <w:pStyle w:val="Default"/>
              <w:ind w:right="630"/>
            </w:pPr>
            <w:r w:rsidRPr="00310482">
              <w:rPr>
                <w:i/>
                <w:iCs/>
              </w:rPr>
              <w:t xml:space="preserve">(consolidated) </w:t>
            </w:r>
          </w:p>
          <w:p w14:paraId="73D0BAEA" w14:textId="77777777" w:rsidR="008B6D5C" w:rsidRPr="00310482" w:rsidRDefault="008B6D5C" w:rsidP="008B6D5C">
            <w:pPr>
              <w:ind w:right="630"/>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2457"/>
            </w:tblGrid>
            <w:tr w:rsidR="008B6D5C" w:rsidRPr="00310482" w14:paraId="6BE364C2" w14:textId="77777777" w:rsidTr="008B6D5C">
              <w:trPr>
                <w:trHeight w:val="127"/>
              </w:trPr>
              <w:tc>
                <w:tcPr>
                  <w:tcW w:w="2457" w:type="dxa"/>
                </w:tcPr>
                <w:p w14:paraId="299FA0AA" w14:textId="77777777" w:rsidR="008B6D5C" w:rsidRPr="00310482" w:rsidRDefault="008B6D5C" w:rsidP="008B6D5C">
                  <w:pPr>
                    <w:pStyle w:val="Default"/>
                    <w:ind w:right="630"/>
                  </w:pPr>
                </w:p>
              </w:tc>
            </w:tr>
          </w:tbl>
          <w:p w14:paraId="0D9D5FDD" w14:textId="77777777" w:rsidR="008B6D5C" w:rsidRPr="00310482" w:rsidRDefault="008B6D5C" w:rsidP="008B6D5C">
            <w:pPr>
              <w:ind w:right="630"/>
              <w:rPr>
                <w:rFonts w:ascii="Times New Roman" w:hAnsi="Times New Roman" w:cs="Times New Roman"/>
              </w:rPr>
            </w:pPr>
          </w:p>
          <w:p w14:paraId="69735EA6" w14:textId="77777777" w:rsidR="008B6D5C" w:rsidRPr="00310482" w:rsidRDefault="008B6D5C" w:rsidP="008B6D5C">
            <w:pPr>
              <w:ind w:right="630"/>
              <w:rPr>
                <w:rFonts w:ascii="Times New Roman" w:hAnsi="Times New Roman" w:cs="Times New Roman"/>
              </w:rPr>
            </w:pPr>
          </w:p>
          <w:p w14:paraId="0A02FD72" w14:textId="77777777" w:rsidR="008B6D5C" w:rsidRPr="00310482" w:rsidRDefault="008B6D5C" w:rsidP="008B6D5C">
            <w:pPr>
              <w:ind w:right="630"/>
              <w:rPr>
                <w:rFonts w:ascii="Times New Roman" w:hAnsi="Times New Roman" w:cs="Times New Roman"/>
              </w:rPr>
            </w:pPr>
          </w:p>
          <w:p w14:paraId="2FC1AA8C" w14:textId="77777777" w:rsidR="008B6D5C" w:rsidRPr="00310482" w:rsidRDefault="008B6D5C" w:rsidP="008B6D5C">
            <w:pPr>
              <w:ind w:right="630"/>
              <w:rPr>
                <w:rFonts w:ascii="Times New Roman" w:hAnsi="Times New Roman" w:cs="Times New Roman"/>
              </w:rPr>
            </w:pPr>
          </w:p>
          <w:p w14:paraId="33B8962D" w14:textId="77777777" w:rsidR="008B6D5C" w:rsidRPr="00310482" w:rsidRDefault="008B6D5C" w:rsidP="008B6D5C">
            <w:pPr>
              <w:ind w:right="630"/>
              <w:rPr>
                <w:rFonts w:ascii="Times New Roman" w:hAnsi="Times New Roman" w:cs="Times New Roman"/>
              </w:rPr>
            </w:pPr>
          </w:p>
          <w:p w14:paraId="4B66039B" w14:textId="77777777" w:rsidR="008B6D5C" w:rsidRPr="00310482" w:rsidRDefault="008B6D5C" w:rsidP="008B6D5C">
            <w:pPr>
              <w:ind w:right="630"/>
              <w:rPr>
                <w:rFonts w:ascii="Times New Roman" w:hAnsi="Times New Roman" w:cs="Times New Roman"/>
              </w:rPr>
            </w:pPr>
          </w:p>
          <w:p w14:paraId="23A5212F" w14:textId="77777777" w:rsidR="008B6D5C" w:rsidRPr="00310482" w:rsidRDefault="008B6D5C" w:rsidP="008B6D5C">
            <w:pPr>
              <w:ind w:right="630"/>
              <w:rPr>
                <w:rFonts w:ascii="Times New Roman" w:hAnsi="Times New Roman" w:cs="Times New Roman"/>
              </w:rPr>
            </w:pPr>
          </w:p>
          <w:p w14:paraId="10F6D3AE" w14:textId="77777777" w:rsidR="008B6D5C" w:rsidRPr="00310482" w:rsidRDefault="008B6D5C" w:rsidP="008B6D5C">
            <w:pPr>
              <w:ind w:right="630"/>
              <w:rPr>
                <w:rFonts w:ascii="Times New Roman" w:hAnsi="Times New Roman" w:cs="Times New Roman"/>
              </w:rPr>
            </w:pPr>
          </w:p>
          <w:p w14:paraId="68237840" w14:textId="77777777" w:rsidR="008B6D5C" w:rsidRPr="00310482" w:rsidRDefault="008B6D5C" w:rsidP="008B6D5C">
            <w:pPr>
              <w:ind w:right="630"/>
              <w:rPr>
                <w:rFonts w:ascii="Times New Roman" w:hAnsi="Times New Roman" w:cs="Times New Roman"/>
              </w:rPr>
            </w:pPr>
          </w:p>
          <w:p w14:paraId="33C91860" w14:textId="77777777" w:rsidR="008B6D5C" w:rsidRPr="00310482" w:rsidRDefault="008B6D5C" w:rsidP="008B6D5C">
            <w:pPr>
              <w:ind w:right="630"/>
              <w:rPr>
                <w:rFonts w:ascii="Times New Roman" w:hAnsi="Times New Roman" w:cs="Times New Roman"/>
              </w:rPr>
            </w:pPr>
          </w:p>
          <w:p w14:paraId="44B8EEA5" w14:textId="77777777" w:rsidR="008B6D5C" w:rsidRPr="00310482" w:rsidRDefault="008B6D5C" w:rsidP="008B6D5C">
            <w:pPr>
              <w:ind w:right="630"/>
              <w:rPr>
                <w:rFonts w:ascii="Times New Roman" w:hAnsi="Times New Roman" w:cs="Times New Roman"/>
              </w:rPr>
            </w:pPr>
            <w:r w:rsidRPr="00310482">
              <w:rPr>
                <w:rFonts w:ascii="Times New Roman" w:hAnsi="Times New Roman" w:cs="Times New Roman"/>
              </w:rPr>
              <w:t>DOCKET NO. UT-053039</w:t>
            </w:r>
          </w:p>
          <w:p w14:paraId="05A80CA2" w14:textId="77777777" w:rsidR="008B6D5C" w:rsidRPr="00310482" w:rsidRDefault="008B6D5C" w:rsidP="008B6D5C">
            <w:pPr>
              <w:pStyle w:val="Default"/>
              <w:ind w:right="630"/>
            </w:pPr>
            <w:r w:rsidRPr="00310482">
              <w:rPr>
                <w:i/>
                <w:iCs/>
              </w:rPr>
              <w:t xml:space="preserve">(consolidated) </w:t>
            </w:r>
          </w:p>
          <w:p w14:paraId="1AF94A6B" w14:textId="77777777" w:rsidR="008B6D5C" w:rsidRPr="00310482" w:rsidRDefault="008B6D5C" w:rsidP="008B6D5C">
            <w:pPr>
              <w:ind w:right="630"/>
              <w:rPr>
                <w:rFonts w:ascii="Times New Roman" w:hAnsi="Times New Roman" w:cs="Times New Roman"/>
              </w:rPr>
            </w:pPr>
          </w:p>
          <w:p w14:paraId="68A89AC0" w14:textId="77777777" w:rsidR="008B6D5C" w:rsidRPr="00310482" w:rsidRDefault="008B6D5C" w:rsidP="008B6D5C">
            <w:pPr>
              <w:ind w:right="630"/>
              <w:rPr>
                <w:rFonts w:ascii="Times New Roman" w:hAnsi="Times New Roman" w:cs="Times New Roman"/>
              </w:rPr>
            </w:pPr>
          </w:p>
          <w:p w14:paraId="27459437" w14:textId="77777777" w:rsidR="008B6D5C" w:rsidRPr="00310482" w:rsidRDefault="008B6D5C" w:rsidP="008B6D5C">
            <w:pPr>
              <w:ind w:right="630"/>
              <w:rPr>
                <w:rFonts w:ascii="Times New Roman" w:hAnsi="Times New Roman" w:cs="Times New Roman"/>
              </w:rPr>
            </w:pPr>
          </w:p>
        </w:tc>
      </w:tr>
    </w:tbl>
    <w:p w14:paraId="2E39D19B" w14:textId="77777777" w:rsidR="008B6D5C" w:rsidRPr="00310482" w:rsidRDefault="008B6D5C" w:rsidP="008B6D5C">
      <w:pPr>
        <w:tabs>
          <w:tab w:val="left" w:pos="-720"/>
        </w:tabs>
        <w:suppressAutoHyphens/>
        <w:ind w:right="630"/>
        <w:rPr>
          <w:rFonts w:ascii="Times New Roman" w:hAnsi="Times New Roman" w:cs="Times New Roman"/>
        </w:rPr>
      </w:pPr>
    </w:p>
    <w:p w14:paraId="7B2B02A5" w14:textId="3D25883B" w:rsidR="008B6D5C" w:rsidRPr="00310482" w:rsidRDefault="008B6D5C" w:rsidP="008B6D5C">
      <w:pPr>
        <w:tabs>
          <w:tab w:val="left" w:pos="-720"/>
        </w:tabs>
        <w:suppressAutoHyphens/>
        <w:ind w:right="630"/>
        <w:jc w:val="center"/>
        <w:rPr>
          <w:rFonts w:ascii="Times New Roman" w:hAnsi="Times New Roman" w:cs="Times New Roman"/>
          <w:b/>
        </w:rPr>
      </w:pPr>
      <w:r w:rsidRPr="00310482">
        <w:rPr>
          <w:rFonts w:ascii="Times New Roman" w:hAnsi="Times New Roman" w:cs="Times New Roman"/>
          <w:b/>
        </w:rPr>
        <w:t xml:space="preserve">REPLY BRIEF OF PAC-WEST TELECOMM, INC. </w:t>
      </w:r>
    </w:p>
    <w:p w14:paraId="3C115DE4"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014BC7AD"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5337F523"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24C42FE3"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156DD330"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314B82FF"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38ED5112"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034BF09E"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135A7F0B"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11C891D5"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568F51C6"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5340F803"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7E77782F" w14:textId="77777777" w:rsidR="008B6D5C" w:rsidRPr="00310482" w:rsidRDefault="008B6D5C" w:rsidP="008B6D5C">
      <w:pPr>
        <w:tabs>
          <w:tab w:val="left" w:pos="-720"/>
        </w:tabs>
        <w:suppressAutoHyphens/>
        <w:ind w:right="630"/>
        <w:jc w:val="center"/>
        <w:rPr>
          <w:rFonts w:ascii="Times New Roman" w:hAnsi="Times New Roman" w:cs="Times New Roman"/>
          <w:b/>
        </w:rPr>
      </w:pPr>
    </w:p>
    <w:p w14:paraId="63E816DF" w14:textId="22D13C9C" w:rsidR="008B6D5C" w:rsidRPr="00310482" w:rsidRDefault="008B6D5C" w:rsidP="008B6D5C">
      <w:pPr>
        <w:jc w:val="center"/>
        <w:rPr>
          <w:rFonts w:ascii="Times New Roman" w:hAnsi="Times New Roman" w:cs="Times New Roman"/>
          <w:b/>
        </w:rPr>
      </w:pPr>
      <w:r w:rsidRPr="00310482">
        <w:rPr>
          <w:rFonts w:ascii="Times New Roman" w:hAnsi="Times New Roman" w:cs="Times New Roman"/>
          <w:b/>
        </w:rPr>
        <w:t>March 26, 2013</w:t>
      </w:r>
    </w:p>
    <w:p w14:paraId="1225D656" w14:textId="77777777" w:rsidR="008B6D5C" w:rsidRPr="00310482" w:rsidRDefault="008B6D5C" w:rsidP="008B6D5C">
      <w:pPr>
        <w:rPr>
          <w:rFonts w:ascii="Times New Roman" w:hAnsi="Times New Roman" w:cs="Times New Roman"/>
          <w:b/>
        </w:rPr>
      </w:pPr>
    </w:p>
    <w:p w14:paraId="349665CE" w14:textId="77777777" w:rsidR="008B6D5C" w:rsidRPr="00310482" w:rsidRDefault="008B6D5C">
      <w:pPr>
        <w:rPr>
          <w:rFonts w:ascii="Times New Roman" w:hAnsi="Times New Roman" w:cs="Times New Roman"/>
          <w:b/>
        </w:rPr>
      </w:pPr>
      <w:r w:rsidRPr="00310482">
        <w:rPr>
          <w:rFonts w:ascii="Times New Roman" w:hAnsi="Times New Roman" w:cs="Times New Roman"/>
          <w:b/>
        </w:rPr>
        <w:br w:type="page"/>
      </w:r>
    </w:p>
    <w:p w14:paraId="1E192712" w14:textId="6A746AC5" w:rsidR="00BD7408" w:rsidRPr="00310482" w:rsidRDefault="00F1704A" w:rsidP="009B2858">
      <w:pPr>
        <w:jc w:val="center"/>
        <w:rPr>
          <w:rFonts w:ascii="Times New Roman" w:hAnsi="Times New Roman" w:cs="Times New Roman"/>
        </w:rPr>
      </w:pPr>
      <w:r w:rsidRPr="00310482">
        <w:rPr>
          <w:rFonts w:ascii="Times New Roman" w:hAnsi="Times New Roman" w:cs="Times New Roman"/>
        </w:rPr>
        <w:lastRenderedPageBreak/>
        <w:t>INTRODUCTION</w:t>
      </w:r>
    </w:p>
    <w:p w14:paraId="1CCC736A" w14:textId="77777777" w:rsidR="00F1704A" w:rsidRPr="00310482" w:rsidRDefault="00F1704A" w:rsidP="008B6D5C">
      <w:pPr>
        <w:rPr>
          <w:rFonts w:ascii="Times New Roman" w:hAnsi="Times New Roman" w:cs="Times New Roman"/>
        </w:rPr>
      </w:pPr>
    </w:p>
    <w:p w14:paraId="27292F0F" w14:textId="4F61F159" w:rsidR="00BD7408" w:rsidRPr="00310482" w:rsidRDefault="008B6D5C" w:rsidP="00CC3B56">
      <w:pPr>
        <w:spacing w:line="480" w:lineRule="auto"/>
        <w:ind w:hanging="720"/>
        <w:rPr>
          <w:rFonts w:ascii="Times New Roman" w:hAnsi="Times New Roman" w:cs="Times New Roman"/>
        </w:rPr>
      </w:pPr>
      <w:r w:rsidRPr="00310482">
        <w:rPr>
          <w:rFonts w:ascii="Times New Roman" w:hAnsi="Times New Roman" w:cs="Times New Roman"/>
        </w:rPr>
        <w:t>1.</w:t>
      </w:r>
      <w:r w:rsidRPr="00310482">
        <w:rPr>
          <w:rFonts w:ascii="Times New Roman" w:hAnsi="Times New Roman" w:cs="Times New Roman"/>
        </w:rPr>
        <w:tab/>
        <w:t>Pac-West Telecomm, Inc. (“Pac-West”) hereby submits</w:t>
      </w:r>
      <w:r w:rsidR="006A33EF" w:rsidRPr="00310482">
        <w:rPr>
          <w:rFonts w:ascii="Times New Roman" w:hAnsi="Times New Roman" w:cs="Times New Roman"/>
        </w:rPr>
        <w:t xml:space="preserve"> its Reply Brief to respond to arguments made by Qwest Corporation</w:t>
      </w:r>
      <w:r w:rsidR="006A33EF" w:rsidRPr="00310482">
        <w:rPr>
          <w:rStyle w:val="FootnoteReference"/>
          <w:rFonts w:ascii="Times New Roman" w:hAnsi="Times New Roman" w:cs="Times New Roman"/>
        </w:rPr>
        <w:footnoteReference w:id="1"/>
      </w:r>
      <w:r w:rsidR="006A33EF" w:rsidRPr="00310482">
        <w:rPr>
          <w:rFonts w:ascii="Times New Roman" w:hAnsi="Times New Roman" w:cs="Times New Roman"/>
        </w:rPr>
        <w:t xml:space="preserve"> (“Qwest”) in its Post-Hearing Opening Brief.</w:t>
      </w:r>
      <w:r w:rsidR="00C311EA" w:rsidRPr="00310482">
        <w:rPr>
          <w:rStyle w:val="FootnoteReference"/>
          <w:rFonts w:ascii="Times New Roman" w:hAnsi="Times New Roman" w:cs="Times New Roman"/>
        </w:rPr>
        <w:footnoteReference w:id="2"/>
      </w:r>
      <w:r w:rsidR="006A33EF" w:rsidRPr="00310482">
        <w:rPr>
          <w:rFonts w:ascii="Times New Roman" w:hAnsi="Times New Roman" w:cs="Times New Roman"/>
        </w:rPr>
        <w:t xml:space="preserve">  In its </w:t>
      </w:r>
      <w:r w:rsidR="006A33EF" w:rsidRPr="00310482">
        <w:rPr>
          <w:rFonts w:ascii="Times New Roman" w:hAnsi="Times New Roman" w:cs="Times New Roman"/>
          <w:i/>
        </w:rPr>
        <w:t>Post-Hearing Opening Brief</w:t>
      </w:r>
      <w:r w:rsidR="006A33EF" w:rsidRPr="00310482">
        <w:rPr>
          <w:rFonts w:ascii="Times New Roman" w:hAnsi="Times New Roman" w:cs="Times New Roman"/>
        </w:rPr>
        <w:t xml:space="preserve">, Qwest </w:t>
      </w:r>
      <w:r w:rsidR="00C311EA" w:rsidRPr="00310482">
        <w:rPr>
          <w:rFonts w:ascii="Times New Roman" w:hAnsi="Times New Roman" w:cs="Times New Roman"/>
        </w:rPr>
        <w:t xml:space="preserve">fails to offer any persuasive argument as to why the Commission should retroactively apply a compensation regime that became settled as Washington law </w:t>
      </w:r>
      <w:r w:rsidR="009D7A75" w:rsidRPr="00310482">
        <w:rPr>
          <w:rFonts w:ascii="Times New Roman" w:hAnsi="Times New Roman" w:cs="Times New Roman"/>
        </w:rPr>
        <w:t>only</w:t>
      </w:r>
      <w:r w:rsidR="00C311EA" w:rsidRPr="00310482">
        <w:rPr>
          <w:rFonts w:ascii="Times New Roman" w:hAnsi="Times New Roman" w:cs="Times New Roman"/>
        </w:rPr>
        <w:t xml:space="preserve"> </w:t>
      </w:r>
      <w:r w:rsidR="00C311EA" w:rsidRPr="00310482">
        <w:rPr>
          <w:rFonts w:ascii="Times New Roman" w:hAnsi="Times New Roman" w:cs="Times New Roman"/>
          <w:u w:val="single"/>
        </w:rPr>
        <w:t>after</w:t>
      </w:r>
      <w:r w:rsidR="00C311EA" w:rsidRPr="00310482">
        <w:rPr>
          <w:rFonts w:ascii="Times New Roman" w:hAnsi="Times New Roman" w:cs="Times New Roman"/>
        </w:rPr>
        <w:t xml:space="preserve"> the relevant dispute period in this case</w:t>
      </w:r>
      <w:r w:rsidR="009D7A75" w:rsidRPr="00310482">
        <w:rPr>
          <w:rFonts w:ascii="Times New Roman" w:hAnsi="Times New Roman" w:cs="Times New Roman"/>
        </w:rPr>
        <w:t>, and pursuant to which the parties properly executed a revised interconnection agreement reflecting applicable law</w:t>
      </w:r>
      <w:r w:rsidR="00C311EA" w:rsidRPr="00310482">
        <w:rPr>
          <w:rFonts w:ascii="Times New Roman" w:hAnsi="Times New Roman" w:cs="Times New Roman"/>
        </w:rPr>
        <w:t>.  Similarly, Qwest fails to satisfy its burden of proof as to the extraordinary windfall it seeks in the retroactive application of</w:t>
      </w:r>
      <w:r w:rsidR="000B5914" w:rsidRPr="00310482">
        <w:rPr>
          <w:rFonts w:ascii="Times New Roman" w:hAnsi="Times New Roman" w:cs="Times New Roman"/>
        </w:rPr>
        <w:t xml:space="preserve"> </w:t>
      </w:r>
      <w:r w:rsidR="00C311EA" w:rsidRPr="00310482">
        <w:rPr>
          <w:rFonts w:ascii="Times New Roman" w:hAnsi="Times New Roman" w:cs="Times New Roman"/>
        </w:rPr>
        <w:t xml:space="preserve">access charges and transport charges from 2007 to 2009. </w:t>
      </w:r>
    </w:p>
    <w:p w14:paraId="50C31F2F" w14:textId="77777777" w:rsidR="00BD7408" w:rsidRPr="00310482" w:rsidRDefault="00BD7408" w:rsidP="008B6D5C">
      <w:pPr>
        <w:rPr>
          <w:rFonts w:ascii="Times New Roman" w:hAnsi="Times New Roman" w:cs="Times New Roman"/>
        </w:rPr>
      </w:pPr>
    </w:p>
    <w:p w14:paraId="68903E2B" w14:textId="6277B69D" w:rsidR="00BD7408" w:rsidRPr="00310482" w:rsidRDefault="00F1704A" w:rsidP="009B2858">
      <w:pPr>
        <w:jc w:val="center"/>
        <w:rPr>
          <w:rFonts w:ascii="Times New Roman" w:hAnsi="Times New Roman" w:cs="Times New Roman"/>
        </w:rPr>
      </w:pPr>
      <w:r w:rsidRPr="00310482">
        <w:rPr>
          <w:rFonts w:ascii="Times New Roman" w:hAnsi="Times New Roman" w:cs="Times New Roman"/>
        </w:rPr>
        <w:t>DISCUSSION</w:t>
      </w:r>
    </w:p>
    <w:p w14:paraId="18273117" w14:textId="77777777" w:rsidR="00F1704A" w:rsidRPr="00310482" w:rsidRDefault="00F1704A" w:rsidP="008B6D5C">
      <w:pPr>
        <w:rPr>
          <w:rFonts w:ascii="Times New Roman" w:hAnsi="Times New Roman" w:cs="Times New Roman"/>
        </w:rPr>
      </w:pPr>
    </w:p>
    <w:p w14:paraId="3292F947" w14:textId="6A0F09B5" w:rsidR="00F1704A" w:rsidRPr="00310482" w:rsidRDefault="00F1704A" w:rsidP="008B6D5C">
      <w:pPr>
        <w:rPr>
          <w:rFonts w:ascii="Times New Roman" w:hAnsi="Times New Roman" w:cs="Times New Roman"/>
          <w:b/>
        </w:rPr>
      </w:pPr>
      <w:r w:rsidRPr="00310482">
        <w:rPr>
          <w:rFonts w:ascii="Times New Roman" w:hAnsi="Times New Roman" w:cs="Times New Roman"/>
          <w:b/>
        </w:rPr>
        <w:t>A.</w:t>
      </w:r>
      <w:r w:rsidRPr="00310482">
        <w:rPr>
          <w:rFonts w:ascii="Times New Roman" w:hAnsi="Times New Roman" w:cs="Times New Roman"/>
          <w:b/>
        </w:rPr>
        <w:tab/>
        <w:t>The Commission’s Jurisdiction Is Found Solely By Reference To The Parties’ Interconnection Agreement, To Which Rules of Contract Interpretation Must Apply</w:t>
      </w:r>
    </w:p>
    <w:p w14:paraId="0F30E96D" w14:textId="77777777" w:rsidR="00F1704A" w:rsidRPr="00310482" w:rsidRDefault="00F1704A" w:rsidP="008B6D5C">
      <w:pPr>
        <w:rPr>
          <w:rFonts w:ascii="Times New Roman" w:hAnsi="Times New Roman" w:cs="Times New Roman"/>
        </w:rPr>
      </w:pPr>
    </w:p>
    <w:p w14:paraId="3A383469" w14:textId="1DCE776F" w:rsidR="00681755" w:rsidRPr="00310482" w:rsidRDefault="00F1704A" w:rsidP="009B2858">
      <w:pPr>
        <w:spacing w:line="480" w:lineRule="auto"/>
        <w:ind w:hanging="720"/>
        <w:rPr>
          <w:rFonts w:ascii="Times New Roman" w:hAnsi="Times New Roman" w:cs="Times New Roman"/>
        </w:rPr>
      </w:pPr>
      <w:r w:rsidRPr="00310482">
        <w:rPr>
          <w:rFonts w:ascii="Times New Roman" w:hAnsi="Times New Roman" w:cs="Times New Roman"/>
        </w:rPr>
        <w:t xml:space="preserve">2. </w:t>
      </w:r>
      <w:r w:rsidRPr="00310482">
        <w:rPr>
          <w:rFonts w:ascii="Times New Roman" w:hAnsi="Times New Roman" w:cs="Times New Roman"/>
        </w:rPr>
        <w:tab/>
      </w:r>
      <w:r w:rsidR="00CC3B56" w:rsidRPr="00310482">
        <w:rPr>
          <w:rFonts w:ascii="Times New Roman" w:hAnsi="Times New Roman" w:cs="Times New Roman"/>
        </w:rPr>
        <w:t xml:space="preserve">Pac-West respectfully notes that the Commission’s order concerning the jurisdictional nature of ISP-bound traffic in this proceeding was an interlocutory order.  For purposes of the post-hearing briefing in this proceeding, Pac-West has focused on the Commission’s jurisdiction derived from its </w:t>
      </w:r>
      <w:r w:rsidR="003E16FB" w:rsidRPr="00310482">
        <w:rPr>
          <w:rFonts w:ascii="Times New Roman" w:hAnsi="Times New Roman" w:cs="Times New Roman"/>
        </w:rPr>
        <w:t xml:space="preserve">proper </w:t>
      </w:r>
      <w:r w:rsidR="00CC3B56" w:rsidRPr="00310482">
        <w:rPr>
          <w:rFonts w:ascii="Times New Roman" w:hAnsi="Times New Roman" w:cs="Times New Roman"/>
        </w:rPr>
        <w:t>jurisdiction over the parties’ interconnection agreement</w:t>
      </w:r>
      <w:r w:rsidR="00681755" w:rsidRPr="00310482">
        <w:rPr>
          <w:rFonts w:ascii="Times New Roman" w:hAnsi="Times New Roman" w:cs="Times New Roman"/>
        </w:rPr>
        <w:t>(</w:t>
      </w:r>
      <w:r w:rsidR="00CC3B56" w:rsidRPr="00310482">
        <w:rPr>
          <w:rFonts w:ascii="Times New Roman" w:hAnsi="Times New Roman" w:cs="Times New Roman"/>
        </w:rPr>
        <w:t>s</w:t>
      </w:r>
      <w:r w:rsidR="00681755" w:rsidRPr="00310482">
        <w:rPr>
          <w:rFonts w:ascii="Times New Roman" w:hAnsi="Times New Roman" w:cs="Times New Roman"/>
        </w:rPr>
        <w:t>) (ICA)</w:t>
      </w:r>
      <w:r w:rsidR="00CC3B56" w:rsidRPr="00310482">
        <w:rPr>
          <w:rFonts w:ascii="Times New Roman" w:hAnsi="Times New Roman" w:cs="Times New Roman"/>
        </w:rPr>
        <w:t xml:space="preserve">.  </w:t>
      </w:r>
    </w:p>
    <w:p w14:paraId="7541C17D" w14:textId="52AE0788" w:rsidR="00681755" w:rsidRPr="00310482" w:rsidRDefault="00681755" w:rsidP="009B2858">
      <w:pPr>
        <w:spacing w:line="480" w:lineRule="auto"/>
        <w:ind w:hanging="720"/>
        <w:rPr>
          <w:rFonts w:ascii="Times New Roman" w:hAnsi="Times New Roman" w:cs="Times New Roman"/>
        </w:rPr>
      </w:pPr>
      <w:r w:rsidRPr="00310482">
        <w:rPr>
          <w:rFonts w:ascii="Times New Roman" w:hAnsi="Times New Roman" w:cs="Times New Roman"/>
        </w:rPr>
        <w:t>3.</w:t>
      </w:r>
      <w:r w:rsidRPr="00310482">
        <w:rPr>
          <w:rFonts w:ascii="Times New Roman" w:hAnsi="Times New Roman" w:cs="Times New Roman"/>
        </w:rPr>
        <w:tab/>
        <w:t>Qwest acknowledges the Commission’s jurisdiction over the parties’ interconnection agreements, but goes a step further and asserts that the Commission somehow has jurisdiction over interstate, ISP-bound traffic independent of its authority to enforce the ICA.</w:t>
      </w:r>
      <w:r w:rsidRPr="00310482">
        <w:rPr>
          <w:rStyle w:val="FootnoteReference"/>
          <w:rFonts w:ascii="Times New Roman" w:hAnsi="Times New Roman" w:cs="Times New Roman"/>
        </w:rPr>
        <w:footnoteReference w:id="3"/>
      </w:r>
      <w:r w:rsidRPr="00310482">
        <w:rPr>
          <w:rFonts w:ascii="Times New Roman" w:hAnsi="Times New Roman" w:cs="Times New Roman"/>
        </w:rPr>
        <w:t xml:space="preserve">  Pac-West does not agree. </w:t>
      </w:r>
    </w:p>
    <w:p w14:paraId="0ADEC6C6" w14:textId="11301715" w:rsidR="00681755" w:rsidRPr="00310482" w:rsidRDefault="00681755" w:rsidP="009B2858">
      <w:pPr>
        <w:spacing w:line="480" w:lineRule="auto"/>
        <w:ind w:hanging="720"/>
        <w:rPr>
          <w:rFonts w:ascii="Times New Roman" w:hAnsi="Times New Roman" w:cs="Times New Roman"/>
        </w:rPr>
      </w:pPr>
      <w:r w:rsidRPr="00310482">
        <w:rPr>
          <w:rFonts w:ascii="Times New Roman" w:hAnsi="Times New Roman" w:cs="Times New Roman"/>
        </w:rPr>
        <w:t>4.</w:t>
      </w:r>
      <w:r w:rsidRPr="00310482">
        <w:rPr>
          <w:rFonts w:ascii="Times New Roman" w:hAnsi="Times New Roman" w:cs="Times New Roman"/>
        </w:rPr>
        <w:tab/>
        <w:t>The FCC’s having not yet decided what compensation regime applies to non-local (VNXX) ISP-bound traffic is different from the FCC declining to exercise its jurisdiction.</w:t>
      </w:r>
      <w:r w:rsidR="0036293E" w:rsidRPr="00310482">
        <w:rPr>
          <w:rStyle w:val="FootnoteReference"/>
          <w:rFonts w:ascii="Times New Roman" w:hAnsi="Times New Roman" w:cs="Times New Roman"/>
        </w:rPr>
        <w:footnoteReference w:id="4"/>
      </w:r>
      <w:r w:rsidRPr="00310482">
        <w:rPr>
          <w:rFonts w:ascii="Times New Roman" w:hAnsi="Times New Roman" w:cs="Times New Roman"/>
        </w:rPr>
        <w:t xml:space="preserve"> </w:t>
      </w:r>
      <w:r w:rsidR="0036293E" w:rsidRPr="00310482">
        <w:rPr>
          <w:rFonts w:ascii="Times New Roman" w:hAnsi="Times New Roman" w:cs="Times New Roman"/>
        </w:rPr>
        <w:t xml:space="preserve"> </w:t>
      </w:r>
      <w:r w:rsidR="0036293E" w:rsidRPr="00310482">
        <w:rPr>
          <w:rFonts w:ascii="Times New Roman" w:hAnsi="Times New Roman" w:cs="Times New Roman"/>
          <w:color w:val="333333"/>
        </w:rPr>
        <w:t xml:space="preserve">Section 2(a) of the Communications Act reserves to the Federal Communications Commission </w:t>
      </w:r>
      <w:r w:rsidR="0036293E" w:rsidRPr="00310482">
        <w:rPr>
          <w:rFonts w:ascii="Times New Roman" w:hAnsi="Times New Roman" w:cs="Times New Roman"/>
          <w:i/>
          <w:color w:val="333333"/>
        </w:rPr>
        <w:t xml:space="preserve">exclusive </w:t>
      </w:r>
      <w:r w:rsidR="0036293E" w:rsidRPr="00310482">
        <w:rPr>
          <w:rFonts w:ascii="Times New Roman" w:hAnsi="Times New Roman" w:cs="Times New Roman"/>
          <w:color w:val="333333"/>
        </w:rPr>
        <w:t>authority over “interstate and foreign commerce in communications by wire and radio. . . . ”</w:t>
      </w:r>
      <w:r w:rsidR="0036293E" w:rsidRPr="00310482">
        <w:rPr>
          <w:rStyle w:val="FootnoteReference"/>
          <w:rFonts w:ascii="Times New Roman" w:hAnsi="Times New Roman" w:cs="Times New Roman"/>
          <w:color w:val="333333"/>
        </w:rPr>
        <w:footnoteReference w:id="5"/>
      </w:r>
      <w:r w:rsidR="0036293E" w:rsidRPr="00310482">
        <w:rPr>
          <w:rFonts w:ascii="Times New Roman" w:hAnsi="Times New Roman" w:cs="Times New Roman"/>
          <w:color w:val="333333"/>
        </w:rPr>
        <w:t xml:space="preserve"> </w:t>
      </w:r>
    </w:p>
    <w:p w14:paraId="57BAA7C0" w14:textId="1D2975A1" w:rsidR="00681755" w:rsidRPr="00310482" w:rsidRDefault="00681755" w:rsidP="004A6433">
      <w:pPr>
        <w:spacing w:line="480" w:lineRule="auto"/>
        <w:ind w:hanging="720"/>
        <w:rPr>
          <w:rFonts w:ascii="Times New Roman" w:hAnsi="Times New Roman" w:cs="Times New Roman"/>
        </w:rPr>
      </w:pPr>
      <w:r w:rsidRPr="00310482">
        <w:rPr>
          <w:rFonts w:ascii="Times New Roman" w:hAnsi="Times New Roman" w:cs="Times New Roman"/>
        </w:rPr>
        <w:t>5.</w:t>
      </w:r>
      <w:r w:rsidRPr="00310482">
        <w:rPr>
          <w:rFonts w:ascii="Times New Roman" w:hAnsi="Times New Roman" w:cs="Times New Roman"/>
        </w:rPr>
        <w:tab/>
        <w:t>The Commission’s jurisdiction in this proceeding is limited to its enforcement of the ICA;</w:t>
      </w:r>
      <w:r w:rsidR="002777D9" w:rsidRPr="00310482">
        <w:rPr>
          <w:rStyle w:val="FootnoteReference"/>
          <w:rFonts w:ascii="Times New Roman" w:hAnsi="Times New Roman" w:cs="Times New Roman"/>
        </w:rPr>
        <w:footnoteReference w:id="6"/>
      </w:r>
      <w:r w:rsidRPr="00310482">
        <w:rPr>
          <w:rFonts w:ascii="Times New Roman" w:hAnsi="Times New Roman" w:cs="Times New Roman"/>
        </w:rPr>
        <w:t xml:space="preserve"> and enforcement </w:t>
      </w:r>
      <w:r w:rsidR="004A6433" w:rsidRPr="00310482">
        <w:rPr>
          <w:rFonts w:ascii="Times New Roman" w:hAnsi="Times New Roman" w:cs="Times New Roman"/>
        </w:rPr>
        <w:t xml:space="preserve">and interpretation </w:t>
      </w:r>
      <w:r w:rsidRPr="00310482">
        <w:rPr>
          <w:rFonts w:ascii="Times New Roman" w:hAnsi="Times New Roman" w:cs="Times New Roman"/>
        </w:rPr>
        <w:t xml:space="preserve">of the ICA, by the Commission’s own </w:t>
      </w:r>
      <w:r w:rsidR="009B2858" w:rsidRPr="00310482">
        <w:rPr>
          <w:rFonts w:ascii="Times New Roman" w:hAnsi="Times New Roman" w:cs="Times New Roman"/>
        </w:rPr>
        <w:t>Conclusions of Law</w:t>
      </w:r>
      <w:r w:rsidRPr="00310482">
        <w:rPr>
          <w:rFonts w:ascii="Times New Roman" w:hAnsi="Times New Roman" w:cs="Times New Roman"/>
        </w:rPr>
        <w:t>, is found in</w:t>
      </w:r>
    </w:p>
    <w:p w14:paraId="27EA664C" w14:textId="5302B059" w:rsidR="00BD7408" w:rsidRPr="00310482" w:rsidRDefault="00681755" w:rsidP="00681755">
      <w:pPr>
        <w:ind w:left="720"/>
        <w:rPr>
          <w:rFonts w:ascii="Times New Roman" w:hAnsi="Times New Roman" w:cs="Times New Roman"/>
        </w:rPr>
      </w:pPr>
      <w:r w:rsidRPr="00310482">
        <w:rPr>
          <w:rFonts w:ascii="Times New Roman" w:hAnsi="Times New Roman" w:cs="Times New Roman"/>
        </w:rPr>
        <w:t>“the intent of the parties as determined from reading the contract as a whole, the subject matter and objective of the contract, the circumstances of making the contract, the subsequent acts and conduct of the parties, and the reasonableness of the parties’ intentions.”</w:t>
      </w:r>
      <w:r w:rsidR="009B2858" w:rsidRPr="00310482">
        <w:rPr>
          <w:rStyle w:val="FootnoteReference"/>
          <w:rFonts w:ascii="Times New Roman" w:hAnsi="Times New Roman" w:cs="Times New Roman"/>
        </w:rPr>
        <w:footnoteReference w:id="7"/>
      </w:r>
    </w:p>
    <w:p w14:paraId="66634A66" w14:textId="77777777" w:rsidR="00BD7408" w:rsidRPr="00310482" w:rsidRDefault="00BD7408" w:rsidP="008B6D5C">
      <w:pPr>
        <w:rPr>
          <w:rFonts w:ascii="Times New Roman" w:hAnsi="Times New Roman" w:cs="Times New Roman"/>
        </w:rPr>
      </w:pPr>
    </w:p>
    <w:p w14:paraId="3B0D01CD" w14:textId="3F34DBD1" w:rsidR="009B2858" w:rsidRPr="00310482" w:rsidRDefault="002777D9" w:rsidP="002777D9">
      <w:pPr>
        <w:spacing w:line="480" w:lineRule="auto"/>
        <w:ind w:hanging="720"/>
        <w:rPr>
          <w:rFonts w:ascii="Times New Roman" w:hAnsi="Times New Roman" w:cs="Times New Roman"/>
        </w:rPr>
      </w:pPr>
      <w:r w:rsidRPr="00310482">
        <w:rPr>
          <w:rFonts w:ascii="Times New Roman" w:hAnsi="Times New Roman" w:cs="Times New Roman"/>
        </w:rPr>
        <w:tab/>
        <w:t>In Order No. 12 in this proceeding, the Commission found that “the parties interconnection agreements and amendments, which require compensation at the rates set by the FCC, are not determinative of the rate for the narrow scope of ISP-bound traffic at issue in this case.”</w:t>
      </w:r>
      <w:r w:rsidR="001049C0" w:rsidRPr="00310482">
        <w:rPr>
          <w:rStyle w:val="FootnoteReference"/>
          <w:rFonts w:ascii="Times New Roman" w:hAnsi="Times New Roman" w:cs="Times New Roman"/>
        </w:rPr>
        <w:footnoteReference w:id="8"/>
      </w:r>
      <w:r w:rsidRPr="00310482">
        <w:rPr>
          <w:rFonts w:ascii="Times New Roman" w:hAnsi="Times New Roman" w:cs="Times New Roman"/>
        </w:rPr>
        <w:t xml:space="preserve"> Thus, as explained in Pac-West’s Initial Brief, the Commission, by its own Conclusions, must look to the other factors in the “context” rule to arrive at what the parties intended.   </w:t>
      </w:r>
    </w:p>
    <w:p w14:paraId="256F3A0D" w14:textId="0608F3F4" w:rsidR="009B2858" w:rsidRPr="00310482" w:rsidRDefault="009B2858" w:rsidP="009B2858">
      <w:pPr>
        <w:ind w:hanging="720"/>
        <w:rPr>
          <w:rFonts w:ascii="Times New Roman" w:hAnsi="Times New Roman" w:cs="Times New Roman"/>
          <w:b/>
        </w:rPr>
      </w:pPr>
      <w:r w:rsidRPr="00310482">
        <w:rPr>
          <w:rFonts w:ascii="Times New Roman" w:hAnsi="Times New Roman" w:cs="Times New Roman"/>
        </w:rPr>
        <w:tab/>
      </w:r>
      <w:r w:rsidRPr="00310482">
        <w:rPr>
          <w:rFonts w:ascii="Times New Roman" w:hAnsi="Times New Roman" w:cs="Times New Roman"/>
          <w:b/>
        </w:rPr>
        <w:t>B.</w:t>
      </w:r>
      <w:r w:rsidRPr="00310482">
        <w:rPr>
          <w:rFonts w:ascii="Times New Roman" w:hAnsi="Times New Roman" w:cs="Times New Roman"/>
          <w:b/>
        </w:rPr>
        <w:tab/>
        <w:t xml:space="preserve">Qwest’s Assumption that Pac-West Bears the Burden of Proof </w:t>
      </w:r>
      <w:r w:rsidR="00FC0735" w:rsidRPr="00310482">
        <w:rPr>
          <w:rFonts w:ascii="Times New Roman" w:hAnsi="Times New Roman" w:cs="Times New Roman"/>
          <w:b/>
        </w:rPr>
        <w:t xml:space="preserve">as to Qwest’s Claim for Refund </w:t>
      </w:r>
      <w:r w:rsidRPr="00310482">
        <w:rPr>
          <w:rFonts w:ascii="Times New Roman" w:hAnsi="Times New Roman" w:cs="Times New Roman"/>
          <w:b/>
        </w:rPr>
        <w:t>is Wrong.</w:t>
      </w:r>
    </w:p>
    <w:p w14:paraId="7826EACF" w14:textId="77777777" w:rsidR="009B2858" w:rsidRPr="00310482" w:rsidRDefault="009B2858" w:rsidP="00BB0FE5">
      <w:pPr>
        <w:rPr>
          <w:rFonts w:ascii="Times New Roman" w:hAnsi="Times New Roman" w:cs="Times New Roman"/>
        </w:rPr>
      </w:pPr>
    </w:p>
    <w:p w14:paraId="0060607B" w14:textId="577E0E8D" w:rsidR="00FC0735" w:rsidRPr="00310482" w:rsidRDefault="00FC0735" w:rsidP="00FC0735">
      <w:pPr>
        <w:spacing w:line="480" w:lineRule="auto"/>
        <w:ind w:hanging="720"/>
        <w:rPr>
          <w:rFonts w:ascii="Times New Roman" w:hAnsi="Times New Roman" w:cs="Times New Roman"/>
        </w:rPr>
      </w:pPr>
      <w:r w:rsidRPr="00310482">
        <w:rPr>
          <w:rFonts w:ascii="Times New Roman" w:hAnsi="Times New Roman" w:cs="Times New Roman"/>
        </w:rPr>
        <w:t>6.</w:t>
      </w:r>
      <w:r w:rsidRPr="00310482">
        <w:rPr>
          <w:rFonts w:ascii="Times New Roman" w:hAnsi="Times New Roman" w:cs="Times New Roman"/>
        </w:rPr>
        <w:tab/>
        <w:t xml:space="preserve">Despite the evidentiary hearing </w:t>
      </w:r>
      <w:r w:rsidR="00BB0FE5" w:rsidRPr="00310482">
        <w:rPr>
          <w:rFonts w:ascii="Times New Roman" w:hAnsi="Times New Roman" w:cs="Times New Roman"/>
        </w:rPr>
        <w:t>carrying on</w:t>
      </w:r>
      <w:r w:rsidRPr="00310482">
        <w:rPr>
          <w:rFonts w:ascii="Times New Roman" w:hAnsi="Times New Roman" w:cs="Times New Roman"/>
        </w:rPr>
        <w:t xml:space="preserve"> as if Qwest bore the burden of proof generally (i.e., Qwest’s witness standing for cross-examination first, Qwest making opening statements first, each without bifurcation of the issues), Qwest ar</w:t>
      </w:r>
      <w:r w:rsidR="006A33EF" w:rsidRPr="00310482">
        <w:rPr>
          <w:rFonts w:ascii="Times New Roman" w:hAnsi="Times New Roman" w:cs="Times New Roman"/>
        </w:rPr>
        <w:t xml:space="preserve">gues for the first time in its </w:t>
      </w:r>
      <w:r w:rsidR="006A33EF" w:rsidRPr="00310482">
        <w:rPr>
          <w:rFonts w:ascii="Times New Roman" w:hAnsi="Times New Roman" w:cs="Times New Roman"/>
          <w:i/>
        </w:rPr>
        <w:t>Post-Hearing Initial B</w:t>
      </w:r>
      <w:r w:rsidRPr="00310482">
        <w:rPr>
          <w:rFonts w:ascii="Times New Roman" w:hAnsi="Times New Roman" w:cs="Times New Roman"/>
          <w:i/>
        </w:rPr>
        <w:t>rief</w:t>
      </w:r>
      <w:r w:rsidRPr="00310482">
        <w:rPr>
          <w:rFonts w:ascii="Times New Roman" w:hAnsi="Times New Roman" w:cs="Times New Roman"/>
        </w:rPr>
        <w:t xml:space="preserve"> that Pac-West bears the burden of proof in “establishing that the traffic was in fact compensable, i.e., local ISP-bound traffic.”</w:t>
      </w:r>
      <w:r w:rsidRPr="00310482">
        <w:rPr>
          <w:rStyle w:val="FootnoteReference"/>
          <w:rFonts w:ascii="Times New Roman" w:hAnsi="Times New Roman" w:cs="Times New Roman"/>
        </w:rPr>
        <w:footnoteReference w:id="9"/>
      </w:r>
    </w:p>
    <w:p w14:paraId="0C61F952" w14:textId="465B3999" w:rsidR="00FC0735" w:rsidRPr="00310482" w:rsidRDefault="00FC0735" w:rsidP="00AA6B9E">
      <w:pPr>
        <w:spacing w:line="480" w:lineRule="auto"/>
        <w:ind w:hanging="720"/>
        <w:rPr>
          <w:rFonts w:ascii="Times New Roman" w:hAnsi="Times New Roman" w:cs="Times New Roman"/>
        </w:rPr>
      </w:pPr>
      <w:r w:rsidRPr="00310482">
        <w:rPr>
          <w:rFonts w:ascii="Times New Roman" w:hAnsi="Times New Roman" w:cs="Times New Roman"/>
        </w:rPr>
        <w:t>7.</w:t>
      </w:r>
      <w:r w:rsidRPr="00310482">
        <w:rPr>
          <w:rFonts w:ascii="Times New Roman" w:hAnsi="Times New Roman" w:cs="Times New Roman"/>
        </w:rPr>
        <w:tab/>
        <w:t>Th</w:t>
      </w:r>
      <w:r w:rsidR="009A1A03" w:rsidRPr="00310482">
        <w:rPr>
          <w:rFonts w:ascii="Times New Roman" w:hAnsi="Times New Roman" w:cs="Times New Roman"/>
        </w:rPr>
        <w:t>e District Court did not direct the Commission to order a particular result</w:t>
      </w:r>
      <w:r w:rsidR="004A241E" w:rsidRPr="00310482">
        <w:rPr>
          <w:rFonts w:ascii="Times New Roman" w:hAnsi="Times New Roman" w:cs="Times New Roman"/>
        </w:rPr>
        <w:t>, or to refund a particular amount; it merely directed the Commission to use a different methodology.</w:t>
      </w:r>
      <w:r w:rsidR="004A241E" w:rsidRPr="00310482">
        <w:rPr>
          <w:rStyle w:val="FootnoteReference"/>
          <w:rFonts w:ascii="Times New Roman" w:hAnsi="Times New Roman" w:cs="Times New Roman"/>
        </w:rPr>
        <w:footnoteReference w:id="10"/>
      </w:r>
      <w:r w:rsidR="004A241E" w:rsidRPr="00310482">
        <w:rPr>
          <w:rFonts w:ascii="Times New Roman" w:hAnsi="Times New Roman" w:cs="Times New Roman"/>
        </w:rPr>
        <w:t xml:space="preserve">  Thus, Qwest’s demand for a refund – first asserted in its </w:t>
      </w:r>
      <w:r w:rsidR="00BB0FE5" w:rsidRPr="00310482">
        <w:rPr>
          <w:rFonts w:ascii="Times New Roman" w:hAnsi="Times New Roman" w:cs="Times New Roman"/>
        </w:rPr>
        <w:t>February 9, 2009 Motion for Summary Determination in this proceeding</w:t>
      </w:r>
      <w:r w:rsidR="00BB0FE5" w:rsidRPr="00310482">
        <w:rPr>
          <w:rStyle w:val="FootnoteReference"/>
          <w:rFonts w:ascii="Times New Roman" w:hAnsi="Times New Roman" w:cs="Times New Roman"/>
        </w:rPr>
        <w:footnoteReference w:id="11"/>
      </w:r>
      <w:r w:rsidR="004A241E" w:rsidRPr="00310482">
        <w:rPr>
          <w:rFonts w:ascii="Times New Roman" w:hAnsi="Times New Roman" w:cs="Times New Roman"/>
        </w:rPr>
        <w:t xml:space="preserve"> -- amounts to a complaint in which the complainant carries the burden of proof.</w:t>
      </w:r>
      <w:r w:rsidR="004A241E" w:rsidRPr="00310482">
        <w:rPr>
          <w:rStyle w:val="FootnoteReference"/>
          <w:rFonts w:ascii="Times New Roman" w:hAnsi="Times New Roman" w:cs="Times New Roman"/>
        </w:rPr>
        <w:footnoteReference w:id="12"/>
      </w:r>
    </w:p>
    <w:p w14:paraId="2151A3B9" w14:textId="7CF245DC" w:rsidR="00AA6B9E" w:rsidRPr="00310482" w:rsidRDefault="00AA6B9E" w:rsidP="00641BE3">
      <w:pPr>
        <w:ind w:hanging="720"/>
        <w:rPr>
          <w:rFonts w:ascii="Times New Roman" w:hAnsi="Times New Roman" w:cs="Times New Roman"/>
          <w:b/>
        </w:rPr>
      </w:pPr>
      <w:r w:rsidRPr="00310482">
        <w:rPr>
          <w:rFonts w:ascii="Times New Roman" w:hAnsi="Times New Roman" w:cs="Times New Roman"/>
        </w:rPr>
        <w:tab/>
      </w:r>
      <w:r w:rsidRPr="00310482">
        <w:rPr>
          <w:rFonts w:ascii="Times New Roman" w:hAnsi="Times New Roman" w:cs="Times New Roman"/>
          <w:b/>
        </w:rPr>
        <w:t>C.</w:t>
      </w:r>
      <w:r w:rsidRPr="00310482">
        <w:rPr>
          <w:rFonts w:ascii="Times New Roman" w:hAnsi="Times New Roman" w:cs="Times New Roman"/>
          <w:b/>
        </w:rPr>
        <w:tab/>
        <w:t xml:space="preserve">Qwest’s “Traffic Studies” Contain Inherently Flawed Assumptions That Result in a Circular Analysis. </w:t>
      </w:r>
    </w:p>
    <w:p w14:paraId="6095187C" w14:textId="77777777" w:rsidR="00AA6B9E" w:rsidRPr="00310482" w:rsidRDefault="00AA6B9E" w:rsidP="009B2858">
      <w:pPr>
        <w:ind w:hanging="720"/>
        <w:rPr>
          <w:rFonts w:ascii="Times New Roman" w:hAnsi="Times New Roman" w:cs="Times New Roman"/>
        </w:rPr>
      </w:pPr>
    </w:p>
    <w:p w14:paraId="6F619BF5" w14:textId="77777777" w:rsidR="00D07EEE" w:rsidRDefault="00032EAB" w:rsidP="00D07EEE">
      <w:pPr>
        <w:spacing w:line="480" w:lineRule="auto"/>
        <w:ind w:hanging="720"/>
        <w:rPr>
          <w:rFonts w:ascii="Times New Roman" w:hAnsi="Times New Roman" w:cs="Times New Roman"/>
        </w:rPr>
      </w:pPr>
      <w:r w:rsidRPr="00310482">
        <w:rPr>
          <w:rFonts w:ascii="Times New Roman" w:hAnsi="Times New Roman" w:cs="Times New Roman"/>
        </w:rPr>
        <w:t>8</w:t>
      </w:r>
      <w:r w:rsidR="00AA6B9E" w:rsidRPr="00310482">
        <w:rPr>
          <w:rFonts w:ascii="Times New Roman" w:hAnsi="Times New Roman" w:cs="Times New Roman"/>
        </w:rPr>
        <w:t>.</w:t>
      </w:r>
      <w:r w:rsidR="00AA6B9E" w:rsidRPr="00310482">
        <w:rPr>
          <w:rFonts w:ascii="Times New Roman" w:hAnsi="Times New Roman" w:cs="Times New Roman"/>
        </w:rPr>
        <w:tab/>
      </w:r>
      <w:r w:rsidRPr="00310482">
        <w:rPr>
          <w:rFonts w:ascii="Times New Roman" w:hAnsi="Times New Roman" w:cs="Times New Roman"/>
        </w:rPr>
        <w:t>Qwest asserts that it has “proved both the amount and percentage of traffic terminating to Pac-West that was VNXX traffic for the relevant time periods.”</w:t>
      </w:r>
      <w:r w:rsidRPr="00310482">
        <w:rPr>
          <w:rStyle w:val="FootnoteReference"/>
          <w:rFonts w:ascii="Times New Roman" w:hAnsi="Times New Roman" w:cs="Times New Roman"/>
        </w:rPr>
        <w:footnoteReference w:id="13"/>
      </w:r>
      <w:r w:rsidRPr="00310482">
        <w:rPr>
          <w:rFonts w:ascii="Times New Roman" w:hAnsi="Times New Roman" w:cs="Times New Roman"/>
        </w:rPr>
        <w:t xml:space="preserve"> Yet, the summary reports provided by Qwest – and propounded by Mr. Easton’s testimony—assume that</w:t>
      </w:r>
      <w:r w:rsidR="00516855" w:rsidRPr="00310482">
        <w:rPr>
          <w:rFonts w:ascii="Times New Roman" w:hAnsi="Times New Roman" w:cs="Times New Roman"/>
        </w:rPr>
        <w:t xml:space="preserve"> CLLI codes somehow reflect the location of </w:t>
      </w:r>
      <w:r w:rsidR="00BB0FE5" w:rsidRPr="00310482">
        <w:rPr>
          <w:rFonts w:ascii="Times New Roman" w:hAnsi="Times New Roman" w:cs="Times New Roman"/>
        </w:rPr>
        <w:t xml:space="preserve">all </w:t>
      </w:r>
      <w:r w:rsidR="00516855" w:rsidRPr="00310482">
        <w:rPr>
          <w:rFonts w:ascii="Times New Roman" w:hAnsi="Times New Roman" w:cs="Times New Roman"/>
        </w:rPr>
        <w:t>modems, servers, or other equipment that is used to service ISP traffic</w:t>
      </w:r>
      <w:r w:rsidR="00BB0FE5" w:rsidRPr="00310482">
        <w:rPr>
          <w:rFonts w:ascii="Times New Roman" w:hAnsi="Times New Roman" w:cs="Times New Roman"/>
        </w:rPr>
        <w:t>, when CLLI codes are not even required for modems</w:t>
      </w:r>
      <w:r w:rsidR="00D07EEE">
        <w:rPr>
          <w:rFonts w:ascii="Times New Roman" w:hAnsi="Times New Roman" w:cs="Times New Roman"/>
        </w:rPr>
        <w:t xml:space="preserve"> </w:t>
      </w:r>
      <w:r w:rsidR="00D07EEE">
        <w:rPr>
          <w:rFonts w:ascii="Times New Roman" w:hAnsi="Times New Roman" w:cs="Times New Roman"/>
        </w:rPr>
        <w:t>nor is there even a modem category of CLLI codes.</w:t>
      </w:r>
    </w:p>
    <w:p w14:paraId="0F8F0BD4" w14:textId="64CB895D" w:rsidR="00516855" w:rsidRPr="00310482" w:rsidRDefault="00516855" w:rsidP="00CB4386">
      <w:pPr>
        <w:spacing w:line="480" w:lineRule="auto"/>
        <w:ind w:hanging="720"/>
        <w:rPr>
          <w:rFonts w:ascii="Times New Roman" w:hAnsi="Times New Roman" w:cs="Times New Roman"/>
        </w:rPr>
      </w:pPr>
      <w:r w:rsidRPr="00310482">
        <w:rPr>
          <w:rFonts w:ascii="Times New Roman" w:hAnsi="Times New Roman" w:cs="Times New Roman"/>
        </w:rPr>
        <w:t>.</w:t>
      </w:r>
    </w:p>
    <w:p w14:paraId="52D937AB" w14:textId="3245E53B" w:rsidR="00AA6B9E" w:rsidRPr="00310482" w:rsidRDefault="00310482" w:rsidP="00516855">
      <w:pPr>
        <w:spacing w:line="480" w:lineRule="auto"/>
        <w:ind w:hanging="720"/>
        <w:rPr>
          <w:rFonts w:ascii="Times New Roman" w:hAnsi="Times New Roman" w:cs="Times New Roman"/>
        </w:rPr>
      </w:pPr>
      <w:r w:rsidRPr="00310482">
        <w:rPr>
          <w:rFonts w:ascii="Times New Roman" w:hAnsi="Times New Roman" w:cs="Times New Roman"/>
        </w:rPr>
        <w:t>9</w:t>
      </w:r>
      <w:r w:rsidR="00516855" w:rsidRPr="00310482">
        <w:rPr>
          <w:rFonts w:ascii="Times New Roman" w:hAnsi="Times New Roman" w:cs="Times New Roman"/>
        </w:rPr>
        <w:t xml:space="preserve">. </w:t>
      </w:r>
      <w:r w:rsidR="00516855" w:rsidRPr="00310482">
        <w:rPr>
          <w:rFonts w:ascii="Times New Roman" w:hAnsi="Times New Roman" w:cs="Times New Roman"/>
        </w:rPr>
        <w:tab/>
        <w:t>Qwest’s VNXX traffic analysis methods do not factually set the physical locations of anything but a switch located in Tukwila, Washington.  Additionally Qwest’s analysi</w:t>
      </w:r>
      <w:r w:rsidR="00CB4386" w:rsidRPr="00310482">
        <w:rPr>
          <w:rFonts w:ascii="Times New Roman" w:hAnsi="Times New Roman" w:cs="Times New Roman"/>
        </w:rPr>
        <w:t>s assumes that there is only i</w:t>
      </w:r>
      <w:r w:rsidR="00516855" w:rsidRPr="00310482">
        <w:rPr>
          <w:rFonts w:ascii="Times New Roman" w:hAnsi="Times New Roman" w:cs="Times New Roman"/>
        </w:rPr>
        <w:t>n</w:t>
      </w:r>
      <w:r w:rsidR="00CB4386" w:rsidRPr="00310482">
        <w:rPr>
          <w:rFonts w:ascii="Times New Roman" w:hAnsi="Times New Roman" w:cs="Times New Roman"/>
        </w:rPr>
        <w:t xml:space="preserve">trastate VNXX traffic and that interstate VNXX is non-existent. </w:t>
      </w:r>
      <w:r w:rsidR="00516855" w:rsidRPr="00310482">
        <w:rPr>
          <w:rFonts w:ascii="Times New Roman" w:hAnsi="Times New Roman" w:cs="Times New Roman"/>
        </w:rPr>
        <w:t xml:space="preserve">this simply not true. </w:t>
      </w:r>
    </w:p>
    <w:p w14:paraId="4A2981D1" w14:textId="1AA8DDCE" w:rsidR="00032EAB" w:rsidRPr="00FF3BC6" w:rsidRDefault="00310482" w:rsidP="00CB4386">
      <w:pPr>
        <w:spacing w:line="480" w:lineRule="auto"/>
        <w:ind w:hanging="720"/>
        <w:rPr>
          <w:rFonts w:ascii="Times New Roman" w:hAnsi="Times New Roman" w:cs="Times New Roman"/>
        </w:rPr>
      </w:pPr>
      <w:r w:rsidRPr="00310482">
        <w:rPr>
          <w:rFonts w:ascii="Times New Roman" w:hAnsi="Times New Roman" w:cs="Times New Roman"/>
        </w:rPr>
        <w:t>10</w:t>
      </w:r>
      <w:r w:rsidR="00032EAB" w:rsidRPr="00310482">
        <w:rPr>
          <w:rFonts w:ascii="Times New Roman" w:hAnsi="Times New Roman" w:cs="Times New Roman"/>
        </w:rPr>
        <w:t>.</w:t>
      </w:r>
      <w:r w:rsidR="00032EAB" w:rsidRPr="00310482">
        <w:rPr>
          <w:rFonts w:ascii="Times New Roman" w:hAnsi="Times New Roman" w:cs="Times New Roman"/>
        </w:rPr>
        <w:tab/>
      </w:r>
      <w:r w:rsidR="00CB4386" w:rsidRPr="00310482">
        <w:rPr>
          <w:rFonts w:ascii="Times New Roman" w:hAnsi="Times New Roman" w:cs="Times New Roman"/>
        </w:rPr>
        <w:t xml:space="preserve">In its </w:t>
      </w:r>
      <w:r w:rsidR="00CB4386" w:rsidRPr="00310482">
        <w:rPr>
          <w:rFonts w:ascii="Times New Roman" w:hAnsi="Times New Roman" w:cs="Times New Roman"/>
          <w:i/>
        </w:rPr>
        <w:t>Post-Hearing Opening Brief</w:t>
      </w:r>
      <w:r w:rsidR="00CB4386" w:rsidRPr="00310482">
        <w:rPr>
          <w:rFonts w:ascii="Times New Roman" w:hAnsi="Times New Roman" w:cs="Times New Roman"/>
        </w:rPr>
        <w:t xml:space="preserve"> at ¶ 38, Qwest describes how it determined the VNXX percentage applied to Pac-West’s traffic: “Qwest divided the amount of traffic that originated and was carried over trunks out of the Seattle local calling area by the total amount of traffic delivered to Pac-West.”  That analysis </w:t>
      </w:r>
      <w:r w:rsidR="00FF3BC6">
        <w:rPr>
          <w:rFonts w:ascii="Times New Roman" w:hAnsi="Times New Roman" w:cs="Times New Roman"/>
        </w:rPr>
        <w:t>appears to be</w:t>
      </w:r>
      <w:r w:rsidR="00FF3BC6" w:rsidRPr="00FF3BC6">
        <w:rPr>
          <w:rFonts w:ascii="Times New Roman" w:hAnsi="Times New Roman" w:cs="Times New Roman"/>
        </w:rPr>
        <w:t xml:space="preserve"> based on Qwest's assumption that all carriers collocate modem, servers, and other equipment used in processing ISP traffic in the same location as carrier's switch with a CLLI code.  During the time in question</w:t>
      </w:r>
      <w:r w:rsidR="00FF3BC6">
        <w:rPr>
          <w:rFonts w:ascii="Times New Roman" w:hAnsi="Times New Roman" w:cs="Times New Roman"/>
        </w:rPr>
        <w:t>,</w:t>
      </w:r>
      <w:r w:rsidR="00FF3BC6" w:rsidRPr="00FF3BC6">
        <w:rPr>
          <w:rFonts w:ascii="Times New Roman" w:hAnsi="Times New Roman" w:cs="Times New Roman"/>
        </w:rPr>
        <w:t xml:space="preserve"> ISP equipment had limited ability to directly interconnect to Qwest's SS7 network.  This required carriers to first run traffic through a SS7 capable switch.  The location of these switches does not set the location of ISP equipment.</w:t>
      </w:r>
      <w:r w:rsidR="00FF3BC6">
        <w:rPr>
          <w:rFonts w:ascii="Times New Roman" w:hAnsi="Times New Roman" w:cs="Times New Roman"/>
        </w:rPr>
        <w:t xml:space="preserve">  Qwest repeatedly rejected Pac-West’s discovery requests for the source data that was used in Qwest’s traffic analysis. </w:t>
      </w:r>
    </w:p>
    <w:p w14:paraId="356615F4" w14:textId="77777777" w:rsidR="00032EAB" w:rsidRPr="00310482" w:rsidRDefault="00032EAB" w:rsidP="009B2858">
      <w:pPr>
        <w:ind w:hanging="720"/>
        <w:rPr>
          <w:rFonts w:ascii="Times New Roman" w:hAnsi="Times New Roman" w:cs="Times New Roman"/>
        </w:rPr>
      </w:pPr>
    </w:p>
    <w:p w14:paraId="141333C8" w14:textId="720C6E80" w:rsidR="00D42DD7" w:rsidRPr="00310482" w:rsidRDefault="00032EAB" w:rsidP="00D42DD7">
      <w:pPr>
        <w:ind w:hanging="720"/>
        <w:rPr>
          <w:rFonts w:ascii="Times New Roman" w:hAnsi="Times New Roman" w:cs="Times New Roman"/>
          <w:b/>
        </w:rPr>
      </w:pPr>
      <w:r w:rsidRPr="00310482">
        <w:rPr>
          <w:rFonts w:ascii="Times New Roman" w:hAnsi="Times New Roman" w:cs="Times New Roman"/>
        </w:rPr>
        <w:tab/>
      </w:r>
      <w:r w:rsidRPr="00310482">
        <w:rPr>
          <w:rFonts w:ascii="Times New Roman" w:hAnsi="Times New Roman" w:cs="Times New Roman"/>
          <w:b/>
        </w:rPr>
        <w:t>D.</w:t>
      </w:r>
      <w:r w:rsidRPr="00310482">
        <w:rPr>
          <w:rFonts w:ascii="Times New Roman" w:hAnsi="Times New Roman" w:cs="Times New Roman"/>
          <w:b/>
        </w:rPr>
        <w:tab/>
      </w:r>
      <w:r w:rsidR="00D42DD7" w:rsidRPr="00310482">
        <w:rPr>
          <w:rFonts w:ascii="Times New Roman" w:hAnsi="Times New Roman" w:cs="Times New Roman"/>
          <w:b/>
        </w:rPr>
        <w:t xml:space="preserve">Qwest Acknowledges there is No Precedence for Retroactive Application of the </w:t>
      </w:r>
      <w:r w:rsidR="004A6433" w:rsidRPr="00310482">
        <w:rPr>
          <w:rFonts w:ascii="Times New Roman" w:hAnsi="Times New Roman" w:cs="Times New Roman"/>
          <w:b/>
        </w:rPr>
        <w:t xml:space="preserve">Generic Docket’s </w:t>
      </w:r>
      <w:r w:rsidR="00D42DD7" w:rsidRPr="00310482">
        <w:rPr>
          <w:rFonts w:ascii="Times New Roman" w:hAnsi="Times New Roman" w:cs="Times New Roman"/>
          <w:b/>
        </w:rPr>
        <w:t>Compensation Regime</w:t>
      </w:r>
      <w:r w:rsidR="004A6433" w:rsidRPr="00310482">
        <w:rPr>
          <w:rFonts w:ascii="Times New Roman" w:hAnsi="Times New Roman" w:cs="Times New Roman"/>
          <w:b/>
        </w:rPr>
        <w:t>; Nor Does the ICA Authorize Retroactive Compensation.</w:t>
      </w:r>
      <w:r w:rsidR="00D42DD7" w:rsidRPr="00310482">
        <w:rPr>
          <w:rFonts w:ascii="Times New Roman" w:hAnsi="Times New Roman" w:cs="Times New Roman"/>
          <w:b/>
        </w:rPr>
        <w:t xml:space="preserve"> </w:t>
      </w:r>
    </w:p>
    <w:p w14:paraId="3C8E0C5A" w14:textId="77777777" w:rsidR="004A6433" w:rsidRPr="00310482" w:rsidRDefault="004A6433" w:rsidP="00D42DD7">
      <w:pPr>
        <w:ind w:hanging="720"/>
        <w:rPr>
          <w:rFonts w:ascii="Times New Roman" w:hAnsi="Times New Roman" w:cs="Times New Roman"/>
          <w:b/>
        </w:rPr>
      </w:pPr>
    </w:p>
    <w:p w14:paraId="60503EB7" w14:textId="534450B3" w:rsidR="00D42DD7" w:rsidRPr="00310482" w:rsidRDefault="00D04BB3" w:rsidP="00D42DD7">
      <w:pPr>
        <w:spacing w:line="480" w:lineRule="auto"/>
        <w:ind w:hanging="720"/>
        <w:rPr>
          <w:rFonts w:ascii="Times New Roman" w:hAnsi="Times New Roman" w:cs="Times New Roman"/>
        </w:rPr>
      </w:pPr>
      <w:r>
        <w:rPr>
          <w:rFonts w:ascii="Times New Roman" w:hAnsi="Times New Roman" w:cs="Times New Roman"/>
        </w:rPr>
        <w:t>11.</w:t>
      </w:r>
      <w:r>
        <w:rPr>
          <w:rFonts w:ascii="Times New Roman" w:hAnsi="Times New Roman" w:cs="Times New Roman"/>
        </w:rPr>
        <w:tab/>
        <w:t>Qwest admits that the Generic Docket</w:t>
      </w:r>
      <w:r>
        <w:rPr>
          <w:rStyle w:val="FootnoteReference"/>
          <w:rFonts w:ascii="Times New Roman" w:hAnsi="Times New Roman" w:cs="Times New Roman"/>
        </w:rPr>
        <w:footnoteReference w:id="14"/>
      </w:r>
      <w:r w:rsidR="00D42DD7" w:rsidRPr="00310482">
        <w:rPr>
          <w:rFonts w:ascii="Times New Roman" w:hAnsi="Times New Roman" w:cs="Times New Roman"/>
        </w:rPr>
        <w:t xml:space="preserve"> does not apply retroactively.</w:t>
      </w:r>
      <w:r w:rsidR="00D42DD7" w:rsidRPr="00310482">
        <w:rPr>
          <w:rStyle w:val="FootnoteReference"/>
          <w:rFonts w:ascii="Times New Roman" w:hAnsi="Times New Roman" w:cs="Times New Roman"/>
        </w:rPr>
        <w:footnoteReference w:id="15"/>
      </w:r>
      <w:r w:rsidR="00D42DD7" w:rsidRPr="00310482">
        <w:rPr>
          <w:rFonts w:ascii="Times New Roman" w:hAnsi="Times New Roman" w:cs="Times New Roman"/>
        </w:rPr>
        <w:t xml:space="preserve">  More specifically, Qwest acknowledges that the Commission </w:t>
      </w:r>
      <w:r w:rsidR="00D42DD7" w:rsidRPr="00310482">
        <w:rPr>
          <w:rFonts w:ascii="Times New Roman" w:hAnsi="Times New Roman" w:cs="Times New Roman"/>
          <w:u w:val="single"/>
        </w:rPr>
        <w:t>prospectively</w:t>
      </w:r>
      <w:r w:rsidR="00D42DD7" w:rsidRPr="00310482">
        <w:rPr>
          <w:rFonts w:ascii="Times New Roman" w:hAnsi="Times New Roman" w:cs="Times New Roman"/>
        </w:rPr>
        <w:t xml:space="preserve"> ordered a bill and keep compensation regime for VNXX traffic. </w:t>
      </w:r>
      <w:r w:rsidR="00D42DD7" w:rsidRPr="00310482">
        <w:rPr>
          <w:rStyle w:val="FootnoteReference"/>
          <w:rFonts w:ascii="Times New Roman" w:hAnsi="Times New Roman" w:cs="Times New Roman"/>
        </w:rPr>
        <w:footnoteReference w:id="16"/>
      </w:r>
      <w:r w:rsidR="00D42DD7" w:rsidRPr="00310482">
        <w:rPr>
          <w:rFonts w:ascii="Times New Roman" w:hAnsi="Times New Roman" w:cs="Times New Roman"/>
        </w:rPr>
        <w:t xml:space="preserve"> </w:t>
      </w:r>
    </w:p>
    <w:p w14:paraId="6232B23A" w14:textId="2DA0D79F" w:rsidR="004A6433" w:rsidRPr="00310482" w:rsidRDefault="00D42DD7" w:rsidP="00D42DD7">
      <w:pPr>
        <w:spacing w:line="480" w:lineRule="auto"/>
        <w:ind w:hanging="720"/>
        <w:rPr>
          <w:rFonts w:ascii="Times New Roman" w:hAnsi="Times New Roman" w:cs="Times New Roman"/>
        </w:rPr>
      </w:pPr>
      <w:r w:rsidRPr="00310482">
        <w:rPr>
          <w:rFonts w:ascii="Times New Roman" w:hAnsi="Times New Roman" w:cs="Times New Roman"/>
        </w:rPr>
        <w:t>12.</w:t>
      </w:r>
      <w:r w:rsidRPr="00310482">
        <w:rPr>
          <w:rFonts w:ascii="Times New Roman" w:hAnsi="Times New Roman" w:cs="Times New Roman"/>
        </w:rPr>
        <w:tab/>
      </w:r>
      <w:r w:rsidR="00C665B5" w:rsidRPr="00310482">
        <w:rPr>
          <w:rFonts w:ascii="Times New Roman" w:hAnsi="Times New Roman" w:cs="Times New Roman"/>
        </w:rPr>
        <w:t xml:space="preserve">Notably, Qwest makes no assertion that the ICA permits retroactive compensation.  Clearly, the </w:t>
      </w:r>
      <w:r w:rsidRPr="00310482">
        <w:rPr>
          <w:rFonts w:ascii="Times New Roman" w:hAnsi="Times New Roman" w:cs="Times New Roman"/>
        </w:rPr>
        <w:t>ICA doesn’t apply retroactively either</w:t>
      </w:r>
      <w:r w:rsidR="00C665B5" w:rsidRPr="00310482">
        <w:rPr>
          <w:rFonts w:ascii="Times New Roman" w:hAnsi="Times New Roman" w:cs="Times New Roman"/>
        </w:rPr>
        <w:t>.  The ICA contemplates that interpretations of applicable law might change, but requires the parties to negotiate and execute an amendment to the agreement in such an event.</w:t>
      </w:r>
      <w:r w:rsidRPr="00310482">
        <w:rPr>
          <w:rStyle w:val="FootnoteReference"/>
          <w:rFonts w:ascii="Times New Roman" w:hAnsi="Times New Roman" w:cs="Times New Roman"/>
        </w:rPr>
        <w:footnoteReference w:id="17"/>
      </w:r>
      <w:r w:rsidRPr="00310482">
        <w:rPr>
          <w:rFonts w:ascii="Times New Roman" w:hAnsi="Times New Roman" w:cs="Times New Roman"/>
        </w:rPr>
        <w:t xml:space="preserve"> </w:t>
      </w:r>
      <w:r w:rsidR="00C665B5" w:rsidRPr="00310482">
        <w:rPr>
          <w:rFonts w:ascii="Times New Roman" w:hAnsi="Times New Roman" w:cs="Times New Roman"/>
        </w:rPr>
        <w:t xml:space="preserve"> As a matter of industry practice, w</w:t>
      </w:r>
      <w:r w:rsidR="004A6433" w:rsidRPr="00310482">
        <w:rPr>
          <w:rFonts w:ascii="Times New Roman" w:hAnsi="Times New Roman" w:cs="Times New Roman"/>
        </w:rPr>
        <w:t xml:space="preserve">here a true-up is intended by the parties, it’s made clear. For example, in the Verizon Time Warner agreement that Focal </w:t>
      </w:r>
      <w:r w:rsidR="00C665B5" w:rsidRPr="00310482">
        <w:rPr>
          <w:rFonts w:ascii="Times New Roman" w:hAnsi="Times New Roman" w:cs="Times New Roman"/>
        </w:rPr>
        <w:t>“</w:t>
      </w:r>
      <w:r w:rsidR="004A6433" w:rsidRPr="00310482">
        <w:rPr>
          <w:rFonts w:ascii="Times New Roman" w:hAnsi="Times New Roman" w:cs="Times New Roman"/>
        </w:rPr>
        <w:t>opted</w:t>
      </w:r>
      <w:r w:rsidR="00C665B5" w:rsidRPr="00310482">
        <w:rPr>
          <w:rFonts w:ascii="Times New Roman" w:hAnsi="Times New Roman" w:cs="Times New Roman"/>
        </w:rPr>
        <w:t>”</w:t>
      </w:r>
      <w:r w:rsidR="004A6433" w:rsidRPr="00310482">
        <w:rPr>
          <w:rFonts w:ascii="Times New Roman" w:hAnsi="Times New Roman" w:cs="Times New Roman"/>
        </w:rPr>
        <w:t xml:space="preserve"> into in 2001, Verizon and Time Warner negotiated the following true-up provision: </w:t>
      </w:r>
    </w:p>
    <w:p w14:paraId="3C55AE30" w14:textId="4E8DF7B7" w:rsidR="004A6433" w:rsidRPr="00310482" w:rsidRDefault="004A6433" w:rsidP="006A33EF">
      <w:pPr>
        <w:ind w:left="720"/>
        <w:rPr>
          <w:rFonts w:ascii="Times New Roman" w:hAnsi="Times New Roman" w:cs="Times New Roman"/>
        </w:rPr>
      </w:pPr>
      <w:r w:rsidRPr="00310482">
        <w:rPr>
          <w:rFonts w:ascii="Times New Roman" w:hAnsi="Times New Roman" w:cs="Times New Roman"/>
        </w:rPr>
        <w:t xml:space="preserve">At such time as the law governing the issue of compensation for termination of ESP/ISP Traffic is resolved the Parties will conduct a true-up to apply, effective as of the effective date of this Agreement, the appropriate compensation principles established by such governing law to the ESP/ISP Traffic tracked by the Parties, </w:t>
      </w:r>
      <w:r w:rsidRPr="00310482">
        <w:rPr>
          <w:rFonts w:ascii="Times New Roman" w:hAnsi="Times New Roman" w:cs="Times New Roman"/>
          <w:iCs/>
        </w:rPr>
        <w:t>or if such governing law precluded any compensation, no compensation will apply</w:t>
      </w:r>
      <w:r w:rsidR="00F704AD" w:rsidRPr="00310482">
        <w:rPr>
          <w:rFonts w:ascii="Times New Roman" w:hAnsi="Times New Roman" w:cs="Times New Roman"/>
          <w:iCs/>
        </w:rPr>
        <w:t>.</w:t>
      </w:r>
      <w:r w:rsidR="00F704AD" w:rsidRPr="00310482">
        <w:rPr>
          <w:rStyle w:val="FootnoteReference"/>
          <w:rFonts w:ascii="Times New Roman" w:hAnsi="Times New Roman" w:cs="Times New Roman"/>
          <w:iCs/>
        </w:rPr>
        <w:footnoteReference w:id="18"/>
      </w:r>
      <w:r w:rsidRPr="00310482">
        <w:rPr>
          <w:rFonts w:ascii="Times New Roman" w:hAnsi="Times New Roman" w:cs="Times New Roman"/>
        </w:rPr>
        <w:t xml:space="preserve"> </w:t>
      </w:r>
    </w:p>
    <w:p w14:paraId="5D8F1488" w14:textId="77777777" w:rsidR="004A6433" w:rsidRPr="00310482" w:rsidRDefault="004A6433" w:rsidP="004A6433">
      <w:pPr>
        <w:rPr>
          <w:rFonts w:ascii="Times New Roman" w:hAnsi="Times New Roman" w:cs="Times New Roman"/>
        </w:rPr>
      </w:pPr>
    </w:p>
    <w:p w14:paraId="09C95F10" w14:textId="2FA78E20" w:rsidR="006A33EF" w:rsidRPr="00310482" w:rsidRDefault="006A33EF" w:rsidP="004A6433">
      <w:pPr>
        <w:rPr>
          <w:rFonts w:ascii="Times New Roman" w:hAnsi="Times New Roman" w:cs="Times New Roman"/>
        </w:rPr>
      </w:pPr>
      <w:r w:rsidRPr="00310482">
        <w:rPr>
          <w:rFonts w:ascii="Times New Roman" w:hAnsi="Times New Roman" w:cs="Times New Roman"/>
        </w:rPr>
        <w:t xml:space="preserve">No such provision exists in the ICA between Qwest and Pac-West. </w:t>
      </w:r>
      <w:r w:rsidR="000F287D">
        <w:rPr>
          <w:rFonts w:ascii="Times New Roman" w:hAnsi="Times New Roman" w:cs="Times New Roman"/>
        </w:rPr>
        <w:t xml:space="preserve"> And, clearly, the applicable law as </w:t>
      </w:r>
      <w:r w:rsidR="006469AD">
        <w:rPr>
          <w:rFonts w:ascii="Times New Roman" w:hAnsi="Times New Roman" w:cs="Times New Roman"/>
        </w:rPr>
        <w:t>to the compensation of VNXX was, at best, unsettled</w:t>
      </w:r>
      <w:r w:rsidR="006469AD">
        <w:rPr>
          <w:rStyle w:val="FootnoteReference"/>
          <w:rFonts w:ascii="Times New Roman" w:hAnsi="Times New Roman" w:cs="Times New Roman"/>
        </w:rPr>
        <w:footnoteReference w:id="19"/>
      </w:r>
      <w:r w:rsidR="006469AD">
        <w:rPr>
          <w:rFonts w:ascii="Times New Roman" w:hAnsi="Times New Roman" w:cs="Times New Roman"/>
        </w:rPr>
        <w:t xml:space="preserve"> – though to be sure, the “status quo” in Washington allowed reciprocal compensation for VNXX traffic. </w:t>
      </w:r>
    </w:p>
    <w:p w14:paraId="439D0E4E" w14:textId="77777777" w:rsidR="00D42DD7" w:rsidRPr="00310482" w:rsidRDefault="00D42DD7" w:rsidP="00D42DD7">
      <w:pPr>
        <w:ind w:hanging="720"/>
        <w:rPr>
          <w:rFonts w:ascii="Times New Roman" w:hAnsi="Times New Roman" w:cs="Times New Roman"/>
        </w:rPr>
      </w:pPr>
    </w:p>
    <w:p w14:paraId="2D5417F5" w14:textId="3FB6389A" w:rsidR="00032EAB" w:rsidRPr="00310482" w:rsidRDefault="00D42DD7" w:rsidP="00D42DD7">
      <w:pPr>
        <w:rPr>
          <w:rFonts w:ascii="Times New Roman" w:hAnsi="Times New Roman" w:cs="Times New Roman"/>
          <w:b/>
        </w:rPr>
      </w:pPr>
      <w:r w:rsidRPr="00310482">
        <w:rPr>
          <w:rFonts w:ascii="Times New Roman" w:hAnsi="Times New Roman" w:cs="Times New Roman"/>
        </w:rPr>
        <w:t>E.</w:t>
      </w:r>
      <w:r w:rsidRPr="00310482">
        <w:rPr>
          <w:rFonts w:ascii="Times New Roman" w:hAnsi="Times New Roman" w:cs="Times New Roman"/>
        </w:rPr>
        <w:tab/>
      </w:r>
      <w:r w:rsidR="00032EAB" w:rsidRPr="00310482">
        <w:rPr>
          <w:rFonts w:ascii="Times New Roman" w:hAnsi="Times New Roman" w:cs="Times New Roman"/>
          <w:b/>
        </w:rPr>
        <w:t>Qwest’s Prayer for Refund is an Unliquidated Claim and is Not Eligible for Prejudgment Interest under Washington Law</w:t>
      </w:r>
    </w:p>
    <w:p w14:paraId="05850FDD" w14:textId="024CA9C1" w:rsidR="00D279A6" w:rsidRPr="00310482" w:rsidRDefault="00D279A6" w:rsidP="00D42DD7">
      <w:pPr>
        <w:spacing w:line="480" w:lineRule="auto"/>
        <w:rPr>
          <w:rFonts w:ascii="Times New Roman" w:hAnsi="Times New Roman" w:cs="Times New Roman"/>
        </w:rPr>
      </w:pPr>
    </w:p>
    <w:p w14:paraId="6D1294A5" w14:textId="0ED3ECF9" w:rsidR="0099077B" w:rsidRPr="00310482" w:rsidRDefault="0099077B" w:rsidP="00016043">
      <w:pPr>
        <w:spacing w:line="480" w:lineRule="auto"/>
        <w:ind w:hanging="720"/>
        <w:rPr>
          <w:rFonts w:ascii="Times New Roman" w:hAnsi="Times New Roman" w:cs="Times New Roman"/>
        </w:rPr>
      </w:pPr>
      <w:r w:rsidRPr="00310482">
        <w:rPr>
          <w:rFonts w:ascii="Times New Roman" w:hAnsi="Times New Roman" w:cs="Times New Roman"/>
        </w:rPr>
        <w:t>13.</w:t>
      </w:r>
      <w:r w:rsidRPr="00310482">
        <w:rPr>
          <w:rFonts w:ascii="Times New Roman" w:hAnsi="Times New Roman" w:cs="Times New Roman"/>
        </w:rPr>
        <w:tab/>
        <w:t>The period for which Qwest seeks a refund, and interest, is 2004 through 2007.  Qwest admits that it engaged in self-help again in 2007, after the District Court order—yet absent a Commission order—by ceasing all paymen</w:t>
      </w:r>
      <w:r w:rsidR="009B31B5" w:rsidRPr="00310482">
        <w:rPr>
          <w:rFonts w:ascii="Times New Roman" w:hAnsi="Times New Roman" w:cs="Times New Roman"/>
        </w:rPr>
        <w:t>ts to Pac-West for VNXX traffic,</w:t>
      </w:r>
      <w:r w:rsidR="009B31B5" w:rsidRPr="00310482">
        <w:rPr>
          <w:rStyle w:val="FootnoteReference"/>
          <w:rFonts w:ascii="Times New Roman" w:hAnsi="Times New Roman" w:cs="Times New Roman"/>
        </w:rPr>
        <w:footnoteReference w:id="20"/>
      </w:r>
      <w:r w:rsidR="009B31B5" w:rsidRPr="00310482">
        <w:rPr>
          <w:rFonts w:ascii="Times New Roman" w:hAnsi="Times New Roman" w:cs="Times New Roman"/>
        </w:rPr>
        <w:t xml:space="preserve"> rather than following the process in the ICA to properly implement a change in the “Existing Rules.”</w:t>
      </w:r>
      <w:r w:rsidRPr="00310482">
        <w:rPr>
          <w:rFonts w:ascii="Times New Roman" w:hAnsi="Times New Roman" w:cs="Times New Roman"/>
        </w:rPr>
        <w:t xml:space="preserve"> </w:t>
      </w:r>
    </w:p>
    <w:p w14:paraId="7336D236" w14:textId="7B3AA21F" w:rsidR="009B31B5" w:rsidRPr="00310482" w:rsidRDefault="009B31B5" w:rsidP="00016043">
      <w:pPr>
        <w:spacing w:line="480" w:lineRule="auto"/>
        <w:ind w:hanging="720"/>
        <w:rPr>
          <w:rFonts w:ascii="Times New Roman" w:hAnsi="Times New Roman" w:cs="Times New Roman"/>
        </w:rPr>
      </w:pPr>
      <w:r w:rsidRPr="00310482">
        <w:rPr>
          <w:rFonts w:ascii="Times New Roman" w:hAnsi="Times New Roman" w:cs="Times New Roman"/>
        </w:rPr>
        <w:t>14.</w:t>
      </w:r>
      <w:r w:rsidRPr="00310482">
        <w:rPr>
          <w:rFonts w:ascii="Times New Roman" w:hAnsi="Times New Roman" w:cs="Times New Roman"/>
        </w:rPr>
        <w:tab/>
      </w:r>
      <w:r w:rsidR="00D42DD7" w:rsidRPr="00310482">
        <w:rPr>
          <w:rFonts w:ascii="Times New Roman" w:hAnsi="Times New Roman" w:cs="Times New Roman"/>
        </w:rPr>
        <w:t xml:space="preserve">In apparent support for its claim for interest even before (and absent) a Commission order requiring a retroactive payment to Qwest, </w:t>
      </w:r>
      <w:r w:rsidRPr="00310482">
        <w:rPr>
          <w:rFonts w:ascii="Times New Roman" w:hAnsi="Times New Roman" w:cs="Times New Roman"/>
        </w:rPr>
        <w:t>Qwest refers to Section 3.4.2 of the ICA which provides</w:t>
      </w:r>
      <w:r w:rsidR="00A35C09" w:rsidRPr="00310482">
        <w:rPr>
          <w:rFonts w:ascii="Times New Roman" w:hAnsi="Times New Roman" w:cs="Times New Roman"/>
        </w:rPr>
        <w:t>,</w:t>
      </w:r>
      <w:r w:rsidRPr="00310482">
        <w:rPr>
          <w:rFonts w:ascii="Times New Roman" w:hAnsi="Times New Roman" w:cs="Times New Roman"/>
        </w:rPr>
        <w:t xml:space="preserve"> in pertinent part</w:t>
      </w:r>
      <w:r w:rsidR="00A35C09" w:rsidRPr="00310482">
        <w:rPr>
          <w:rFonts w:ascii="Times New Roman" w:hAnsi="Times New Roman" w:cs="Times New Roman"/>
        </w:rPr>
        <w:t>,</w:t>
      </w:r>
      <w:r w:rsidRPr="00310482">
        <w:rPr>
          <w:rFonts w:ascii="Times New Roman" w:hAnsi="Times New Roman" w:cs="Times New Roman"/>
        </w:rPr>
        <w:t xml:space="preserve"> that in the event Pac-West withholds payments due to Qwest, “and upon resolution of the matter it is determined that such payment should have been made to [Qwest], [Qwest] is entitled to collect interest on the withheld amount…”</w:t>
      </w:r>
      <w:r w:rsidRPr="00310482">
        <w:rPr>
          <w:rStyle w:val="FootnoteReference"/>
          <w:rFonts w:ascii="Times New Roman" w:hAnsi="Times New Roman" w:cs="Times New Roman"/>
        </w:rPr>
        <w:footnoteReference w:id="21"/>
      </w:r>
      <w:r w:rsidRPr="00310482">
        <w:rPr>
          <w:rFonts w:ascii="Times New Roman" w:hAnsi="Times New Roman" w:cs="Times New Roman"/>
        </w:rPr>
        <w:t xml:space="preserve"> </w:t>
      </w:r>
      <w:r w:rsidR="00A35C09" w:rsidRPr="00310482">
        <w:rPr>
          <w:rFonts w:ascii="Times New Roman" w:hAnsi="Times New Roman" w:cs="Times New Roman"/>
        </w:rPr>
        <w:t>Pac-West has not disputed any invoices at issue here, nor has Pac</w:t>
      </w:r>
      <w:r w:rsidR="00876E1F" w:rsidRPr="00310482">
        <w:rPr>
          <w:rFonts w:ascii="Times New Roman" w:hAnsi="Times New Roman" w:cs="Times New Roman"/>
        </w:rPr>
        <w:t xml:space="preserve">-West withheld payments related to a disputed charge.   For Qwest’s purposes, this provision is simply inapplicable. </w:t>
      </w:r>
    </w:p>
    <w:p w14:paraId="248943AA" w14:textId="46035018" w:rsidR="00256A4B" w:rsidRPr="00310482" w:rsidRDefault="00876E1F" w:rsidP="00807AC4">
      <w:pPr>
        <w:spacing w:line="480" w:lineRule="auto"/>
        <w:ind w:hanging="720"/>
        <w:rPr>
          <w:rFonts w:ascii="Times New Roman" w:hAnsi="Times New Roman" w:cs="Times New Roman"/>
        </w:rPr>
      </w:pPr>
      <w:r w:rsidRPr="00310482">
        <w:rPr>
          <w:rFonts w:ascii="Times New Roman" w:hAnsi="Times New Roman" w:cs="Times New Roman"/>
        </w:rPr>
        <w:t>15.</w:t>
      </w:r>
      <w:r w:rsidRPr="00310482">
        <w:rPr>
          <w:rFonts w:ascii="Times New Roman" w:hAnsi="Times New Roman" w:cs="Times New Roman"/>
        </w:rPr>
        <w:tab/>
        <w:t>Qwest goes on to argue that “[u]nder Washington law, prejudgment interest is always appropriate when a claim is liquidated.”</w:t>
      </w:r>
      <w:r w:rsidR="005445D5" w:rsidRPr="00310482">
        <w:rPr>
          <w:rStyle w:val="FootnoteReference"/>
          <w:rFonts w:ascii="Times New Roman" w:hAnsi="Times New Roman" w:cs="Times New Roman"/>
        </w:rPr>
        <w:footnoteReference w:id="22"/>
      </w:r>
      <w:r w:rsidRPr="00310482">
        <w:rPr>
          <w:rFonts w:ascii="Times New Roman" w:hAnsi="Times New Roman" w:cs="Times New Roman"/>
        </w:rPr>
        <w:t xml:space="preserve">  Qwest further asserts that </w:t>
      </w:r>
      <w:r w:rsidR="005445D5" w:rsidRPr="00310482">
        <w:rPr>
          <w:rFonts w:ascii="Times New Roman" w:hAnsi="Times New Roman" w:cs="Times New Roman"/>
        </w:rPr>
        <w:t>its claim against Pac-West is a liquidated claim.</w:t>
      </w:r>
      <w:r w:rsidR="005445D5" w:rsidRPr="00310482">
        <w:rPr>
          <w:rStyle w:val="FootnoteReference"/>
          <w:rFonts w:ascii="Times New Roman" w:hAnsi="Times New Roman" w:cs="Times New Roman"/>
        </w:rPr>
        <w:footnoteReference w:id="23"/>
      </w:r>
      <w:r w:rsidR="005445D5" w:rsidRPr="00310482">
        <w:rPr>
          <w:rFonts w:ascii="Times New Roman" w:hAnsi="Times New Roman" w:cs="Times New Roman"/>
        </w:rPr>
        <w:t xml:space="preserve">  Qwest ignores the prevailing definition of an “unliquidated claim,” which is more apt here.  That is, the Washington courts consider a claim liquidated, only if the amount due can be determined “with reference to a fixed standard contained in the contract, without reliance on opinion or discretion.” </w:t>
      </w:r>
      <w:r w:rsidR="004C40CD" w:rsidRPr="00310482">
        <w:rPr>
          <w:rStyle w:val="FootnoteReference"/>
          <w:rFonts w:ascii="Times New Roman" w:hAnsi="Times New Roman" w:cs="Times New Roman"/>
        </w:rPr>
        <w:footnoteReference w:id="24"/>
      </w:r>
      <w:r w:rsidR="005445D5" w:rsidRPr="00310482">
        <w:rPr>
          <w:rFonts w:ascii="Times New Roman" w:hAnsi="Times New Roman" w:cs="Times New Roman"/>
        </w:rPr>
        <w:t xml:space="preserve"> Qwest has already acknowledged that “it was unclear exactly what the law was with regard to VNXX traffic.”</w:t>
      </w:r>
      <w:r w:rsidR="005445D5" w:rsidRPr="00310482">
        <w:rPr>
          <w:rStyle w:val="FootnoteReference"/>
          <w:rFonts w:ascii="Times New Roman" w:hAnsi="Times New Roman" w:cs="Times New Roman"/>
        </w:rPr>
        <w:footnoteReference w:id="25"/>
      </w:r>
      <w:r w:rsidR="005445D5" w:rsidRPr="00310482">
        <w:rPr>
          <w:rFonts w:ascii="Times New Roman" w:hAnsi="Times New Roman" w:cs="Times New Roman"/>
        </w:rPr>
        <w:t xml:space="preserve">  Mr. Easton further noted that, “it took years for this matter to sort itself out through the courts to get to where we sit today.”</w:t>
      </w:r>
      <w:r w:rsidR="005445D5" w:rsidRPr="00310482">
        <w:rPr>
          <w:rStyle w:val="FootnoteReference"/>
          <w:rFonts w:ascii="Times New Roman" w:hAnsi="Times New Roman" w:cs="Times New Roman"/>
        </w:rPr>
        <w:footnoteReference w:id="26"/>
      </w:r>
      <w:r w:rsidR="004C40CD" w:rsidRPr="00310482">
        <w:rPr>
          <w:rFonts w:ascii="Times New Roman" w:hAnsi="Times New Roman" w:cs="Times New Roman"/>
        </w:rPr>
        <w:t xml:space="preserve"> The District Court was quite </w:t>
      </w:r>
      <w:r w:rsidR="00530040" w:rsidRPr="00310482">
        <w:rPr>
          <w:rFonts w:ascii="Times New Roman" w:hAnsi="Times New Roman" w:cs="Times New Roman"/>
        </w:rPr>
        <w:t xml:space="preserve">explicit </w:t>
      </w:r>
      <w:r w:rsidR="004C40CD" w:rsidRPr="00310482">
        <w:rPr>
          <w:rFonts w:ascii="Times New Roman" w:hAnsi="Times New Roman" w:cs="Times New Roman"/>
        </w:rPr>
        <w:t>that it was leaving the issue of determining appropriate compensation in the hand of the Commission.</w:t>
      </w:r>
      <w:r w:rsidR="00530040" w:rsidRPr="00310482">
        <w:rPr>
          <w:rStyle w:val="FootnoteReference"/>
          <w:rFonts w:ascii="Times New Roman" w:hAnsi="Times New Roman" w:cs="Times New Roman"/>
        </w:rPr>
        <w:footnoteReference w:id="27"/>
      </w:r>
      <w:r w:rsidR="004C40CD" w:rsidRPr="00310482">
        <w:rPr>
          <w:rFonts w:ascii="Times New Roman" w:hAnsi="Times New Roman" w:cs="Times New Roman"/>
        </w:rPr>
        <w:t xml:space="preserve"> </w:t>
      </w:r>
      <w:r w:rsidR="00530040" w:rsidRPr="00310482">
        <w:rPr>
          <w:rFonts w:ascii="Times New Roman" w:hAnsi="Times New Roman" w:cs="Times New Roman"/>
        </w:rPr>
        <w:t xml:space="preserve"> </w:t>
      </w:r>
      <w:r w:rsidR="004C40CD" w:rsidRPr="00310482">
        <w:rPr>
          <w:rFonts w:ascii="Times New Roman" w:hAnsi="Times New Roman" w:cs="Times New Roman"/>
        </w:rPr>
        <w:t>The District Court could have ordered a refund, or payment of some specific amount, but chose not to.</w:t>
      </w:r>
    </w:p>
    <w:p w14:paraId="2C941888" w14:textId="413708AC" w:rsidR="009B2858" w:rsidRPr="00310482" w:rsidRDefault="004C40CD" w:rsidP="00D42DD7">
      <w:pPr>
        <w:widowControl w:val="0"/>
        <w:autoSpaceDE w:val="0"/>
        <w:autoSpaceDN w:val="0"/>
        <w:adjustRightInd w:val="0"/>
        <w:spacing w:after="280" w:line="480" w:lineRule="auto"/>
        <w:ind w:hanging="720"/>
        <w:rPr>
          <w:rFonts w:ascii="Times New Roman" w:hAnsi="Times New Roman" w:cs="Times New Roman"/>
          <w:color w:val="1A1A1A"/>
        </w:rPr>
      </w:pPr>
      <w:r w:rsidRPr="00310482">
        <w:rPr>
          <w:rFonts w:ascii="Times New Roman" w:hAnsi="Times New Roman" w:cs="Times New Roman"/>
          <w:color w:val="1A1A1A"/>
        </w:rPr>
        <w:t>16.</w:t>
      </w:r>
      <w:r w:rsidRPr="00310482">
        <w:rPr>
          <w:rFonts w:ascii="Times New Roman" w:hAnsi="Times New Roman" w:cs="Times New Roman"/>
          <w:color w:val="1A1A1A"/>
        </w:rPr>
        <w:tab/>
      </w:r>
      <w:r w:rsidR="00024988" w:rsidRPr="00310482">
        <w:rPr>
          <w:rFonts w:ascii="Times New Roman" w:hAnsi="Times New Roman" w:cs="Times New Roman"/>
          <w:color w:val="1A1A1A"/>
        </w:rPr>
        <w:t>Although Pac-West unequivocally denies that any refund is appropriate, Qwest’s claim for interest fails on additional grounds. That is, a</w:t>
      </w:r>
      <w:r w:rsidRPr="00310482">
        <w:rPr>
          <w:rFonts w:ascii="Times New Roman" w:hAnsi="Times New Roman" w:cs="Times New Roman"/>
          <w:color w:val="1A1A1A"/>
        </w:rPr>
        <w:t>nother prevailing precedent in Washington that Qwest chose not to cite is that awards reversed on review ordinarily do not bear interest.</w:t>
      </w:r>
      <w:r w:rsidRPr="00310482">
        <w:rPr>
          <w:rStyle w:val="FootnoteReference"/>
          <w:rFonts w:ascii="Times New Roman" w:hAnsi="Times New Roman" w:cs="Times New Roman"/>
          <w:color w:val="1A1A1A"/>
        </w:rPr>
        <w:footnoteReference w:id="28"/>
      </w:r>
      <w:r w:rsidRPr="00310482">
        <w:rPr>
          <w:rFonts w:ascii="Times New Roman" w:hAnsi="Times New Roman" w:cs="Times New Roman"/>
          <w:color w:val="1A1A1A"/>
        </w:rPr>
        <w:t xml:space="preserve"> </w:t>
      </w:r>
      <w:r w:rsidR="00807AC4" w:rsidRPr="00310482">
        <w:rPr>
          <w:rFonts w:ascii="Times New Roman" w:hAnsi="Times New Roman" w:cs="Times New Roman"/>
          <w:color w:val="1A1A1A"/>
        </w:rPr>
        <w:t xml:space="preserve">Significantly, courts have recognized an exception to that general rule, but the exception clearly does not apply here.  That is, where an appellate court leaves the trial court on remand with a mere mathematical problem mandated by the appellate court, it’s appropriate for </w:t>
      </w:r>
      <w:r w:rsidR="00807AC4" w:rsidRPr="00310482">
        <w:rPr>
          <w:rFonts w:ascii="Times New Roman" w:hAnsi="Times New Roman" w:cs="Times New Roman"/>
          <w:bCs/>
        </w:rPr>
        <w:t>interest</w:t>
      </w:r>
      <w:r w:rsidR="00807AC4" w:rsidRPr="00310482">
        <w:rPr>
          <w:rFonts w:ascii="Times New Roman" w:hAnsi="Times New Roman" w:cs="Times New Roman"/>
        </w:rPr>
        <w:t xml:space="preserve"> to </w:t>
      </w:r>
      <w:r w:rsidR="00807AC4" w:rsidRPr="00310482">
        <w:rPr>
          <w:rFonts w:ascii="Times New Roman" w:hAnsi="Times New Roman" w:cs="Times New Roman"/>
          <w:color w:val="1A1A1A"/>
        </w:rPr>
        <w:t>run from the date of the original judgment.</w:t>
      </w:r>
      <w:r w:rsidR="00807AC4" w:rsidRPr="00310482">
        <w:rPr>
          <w:rStyle w:val="FootnoteReference"/>
          <w:rFonts w:ascii="Times New Roman" w:hAnsi="Times New Roman" w:cs="Times New Roman"/>
          <w:color w:val="1A1A1A"/>
        </w:rPr>
        <w:footnoteReference w:id="29"/>
      </w:r>
      <w:r w:rsidR="00807AC4" w:rsidRPr="00310482">
        <w:rPr>
          <w:rFonts w:ascii="Times New Roman" w:hAnsi="Times New Roman" w:cs="Times New Roman"/>
          <w:color w:val="1A1A1A"/>
        </w:rPr>
        <w:t xml:space="preserve">  Here, the District Court contemplated that, after applying a different methodology in the exercise of its discretion, the Commission might not arrive at a different result at all – that’s hardly a mere mathematical problem. </w:t>
      </w:r>
      <w:r w:rsidR="00D42DD7" w:rsidRPr="00310482">
        <w:rPr>
          <w:rFonts w:ascii="Times New Roman" w:hAnsi="Times New Roman" w:cs="Times New Roman"/>
          <w:color w:val="1A1A1A"/>
        </w:rPr>
        <w:t xml:space="preserve"> Indeed, Qwest even acknowledges </w:t>
      </w:r>
      <w:r w:rsidR="009B2858" w:rsidRPr="00310482">
        <w:rPr>
          <w:rFonts w:ascii="Times New Roman" w:hAnsi="Times New Roman" w:cs="Times New Roman"/>
        </w:rPr>
        <w:t>that VNXX may well be a “class of traffic for whic</w:t>
      </w:r>
      <w:r w:rsidR="00D42DD7" w:rsidRPr="00310482">
        <w:rPr>
          <w:rFonts w:ascii="Times New Roman" w:hAnsi="Times New Roman" w:cs="Times New Roman"/>
        </w:rPr>
        <w:t>h no compensation scheme exists,</w:t>
      </w:r>
      <w:r w:rsidR="009B2858" w:rsidRPr="00310482">
        <w:rPr>
          <w:rFonts w:ascii="Times New Roman" w:hAnsi="Times New Roman" w:cs="Times New Roman"/>
        </w:rPr>
        <w:t>”</w:t>
      </w:r>
      <w:r w:rsidR="00D42DD7" w:rsidRPr="00310482">
        <w:rPr>
          <w:rStyle w:val="FootnoteReference"/>
          <w:rFonts w:ascii="Times New Roman" w:hAnsi="Times New Roman" w:cs="Times New Roman"/>
        </w:rPr>
        <w:footnoteReference w:id="30"/>
      </w:r>
      <w:r w:rsidR="00024988" w:rsidRPr="00310482">
        <w:rPr>
          <w:rFonts w:ascii="Times New Roman" w:hAnsi="Times New Roman" w:cs="Times New Roman"/>
        </w:rPr>
        <w:t xml:space="preserve"> </w:t>
      </w:r>
      <w:r w:rsidR="00D42DD7" w:rsidRPr="00310482">
        <w:rPr>
          <w:rFonts w:ascii="Times New Roman" w:hAnsi="Times New Roman" w:cs="Times New Roman"/>
        </w:rPr>
        <w:t xml:space="preserve">clearly putting the Commission’s decision in this proceeding beyond a mere mathematical calculation. </w:t>
      </w:r>
    </w:p>
    <w:p w14:paraId="6CB1A34C" w14:textId="2BFFC9EF" w:rsidR="003E0283" w:rsidRPr="00310482" w:rsidRDefault="003E0283" w:rsidP="003E0283">
      <w:pPr>
        <w:tabs>
          <w:tab w:val="left" w:pos="-720"/>
          <w:tab w:val="left" w:pos="720"/>
        </w:tabs>
        <w:suppressAutoHyphens/>
        <w:spacing w:after="180"/>
        <w:rPr>
          <w:rFonts w:ascii="Times New Roman" w:hAnsi="Times New Roman" w:cs="Times New Roman"/>
          <w:b/>
        </w:rPr>
      </w:pPr>
      <w:r w:rsidRPr="00310482">
        <w:rPr>
          <w:rFonts w:ascii="Times New Roman" w:hAnsi="Times New Roman" w:cs="Times New Roman"/>
          <w:b/>
        </w:rPr>
        <w:t>F.</w:t>
      </w:r>
      <w:r w:rsidRPr="00310482">
        <w:rPr>
          <w:rFonts w:ascii="Times New Roman" w:hAnsi="Times New Roman" w:cs="Times New Roman"/>
          <w:b/>
        </w:rPr>
        <w:tab/>
        <w:t>Qwest’s New Claim for Transport Charges Is Outside the Interconnection Agreement and Ignores the Transport Charges Already Paid by Pac-West</w:t>
      </w:r>
    </w:p>
    <w:p w14:paraId="487DE1F0" w14:textId="51E8D7F5" w:rsidR="009B2858" w:rsidRPr="00310482" w:rsidRDefault="009B2858" w:rsidP="008901C3">
      <w:pPr>
        <w:rPr>
          <w:rFonts w:ascii="Times New Roman" w:hAnsi="Times New Roman" w:cs="Times New Roman"/>
        </w:rPr>
      </w:pPr>
    </w:p>
    <w:p w14:paraId="03F9660E" w14:textId="6CB37F57" w:rsidR="00D279A6" w:rsidRPr="00310482" w:rsidRDefault="00310482" w:rsidP="00310482">
      <w:pPr>
        <w:spacing w:line="480" w:lineRule="auto"/>
        <w:ind w:hanging="720"/>
        <w:rPr>
          <w:rFonts w:ascii="Times New Roman" w:hAnsi="Times New Roman" w:cs="Times New Roman"/>
        </w:rPr>
      </w:pPr>
      <w:r w:rsidRPr="00310482">
        <w:rPr>
          <w:rFonts w:ascii="Times New Roman" w:hAnsi="Times New Roman" w:cs="Times New Roman"/>
        </w:rPr>
        <w:t>17.</w:t>
      </w:r>
      <w:r w:rsidRPr="00310482">
        <w:rPr>
          <w:rFonts w:ascii="Times New Roman" w:hAnsi="Times New Roman" w:cs="Times New Roman"/>
        </w:rPr>
        <w:tab/>
        <w:t>Qwest seeks, as alternative relief, compensation for transport.</w:t>
      </w:r>
      <w:r w:rsidRPr="00310482">
        <w:rPr>
          <w:rStyle w:val="FootnoteReference"/>
          <w:rFonts w:ascii="Times New Roman" w:hAnsi="Times New Roman" w:cs="Times New Roman"/>
        </w:rPr>
        <w:footnoteReference w:id="31"/>
      </w:r>
      <w:r w:rsidRPr="00310482">
        <w:rPr>
          <w:rFonts w:ascii="Times New Roman" w:hAnsi="Times New Roman" w:cs="Times New Roman"/>
        </w:rPr>
        <w:t xml:space="preserve">  Qwest’s claim ignores the network as it existed in 2007, and ignores the very real cost of the interconnection trunks Pac-West had already ordered from Qwest. If Pac-West had known Qwest was authorized to impose transport charges in 2007, Pac-West would have reconfigured its network in 2007 in the same manner that it is now configured (to reflect the outcome of the Generic Docket and the parties revised ICA).</w:t>
      </w:r>
      <w:r w:rsidRPr="00310482">
        <w:rPr>
          <w:rStyle w:val="FootnoteReference"/>
          <w:rFonts w:ascii="Times New Roman" w:hAnsi="Times New Roman" w:cs="Times New Roman"/>
        </w:rPr>
        <w:footnoteReference w:id="32"/>
      </w:r>
      <w:r w:rsidRPr="00310482">
        <w:rPr>
          <w:rFonts w:ascii="Times New Roman" w:hAnsi="Times New Roman" w:cs="Times New Roman"/>
        </w:rPr>
        <w:t xml:space="preserve"> </w:t>
      </w:r>
      <w:r w:rsidR="00D04BB3">
        <w:rPr>
          <w:rFonts w:ascii="Times New Roman" w:hAnsi="Times New Roman" w:cs="Times New Roman"/>
        </w:rPr>
        <w:t xml:space="preserve"> </w:t>
      </w:r>
      <w:r w:rsidR="006469AD">
        <w:rPr>
          <w:rFonts w:ascii="Times New Roman" w:hAnsi="Times New Roman" w:cs="Times New Roman"/>
        </w:rPr>
        <w:t>Indeed, Qwest’s witness, Mr. Easton, describes in detail the business decisions a carrier might make in determining how much and what kind of transport to purchase.</w:t>
      </w:r>
      <w:r w:rsidR="006469AD">
        <w:rPr>
          <w:rStyle w:val="FootnoteReference"/>
          <w:rFonts w:ascii="Times New Roman" w:hAnsi="Times New Roman" w:cs="Times New Roman"/>
        </w:rPr>
        <w:footnoteReference w:id="33"/>
      </w:r>
      <w:r w:rsidR="006469AD">
        <w:rPr>
          <w:rFonts w:ascii="Times New Roman" w:hAnsi="Times New Roman" w:cs="Times New Roman"/>
        </w:rPr>
        <w:t xml:space="preserve">  </w:t>
      </w:r>
      <w:r w:rsidR="00D04BB3">
        <w:rPr>
          <w:rFonts w:ascii="Times New Roman" w:hAnsi="Times New Roman" w:cs="Times New Roman"/>
        </w:rPr>
        <w:t>The retroactive application of transport charges, where the CLEC has no opportunity to agree or disagree, negotiate, or otherwise incorporate the price, terms and conditions of service into its network architecture, is simply unjust, unreasonable and discriminatory.</w:t>
      </w:r>
    </w:p>
    <w:p w14:paraId="13A7E784" w14:textId="77777777" w:rsidR="00310482" w:rsidRPr="00310482" w:rsidRDefault="00310482" w:rsidP="003E0283">
      <w:pPr>
        <w:rPr>
          <w:rFonts w:ascii="Times New Roman" w:hAnsi="Times New Roman" w:cs="Times New Roman"/>
        </w:rPr>
      </w:pPr>
    </w:p>
    <w:p w14:paraId="1E632F1B" w14:textId="65C35CBE" w:rsidR="003E0283" w:rsidRPr="00310482" w:rsidRDefault="003E0283" w:rsidP="003E0283">
      <w:pPr>
        <w:rPr>
          <w:rFonts w:ascii="Times New Roman" w:hAnsi="Times New Roman" w:cs="Times New Roman"/>
          <w:b/>
        </w:rPr>
      </w:pPr>
      <w:r w:rsidRPr="00310482">
        <w:rPr>
          <w:rFonts w:ascii="Times New Roman" w:hAnsi="Times New Roman" w:cs="Times New Roman"/>
          <w:b/>
        </w:rPr>
        <w:t>G.</w:t>
      </w:r>
      <w:r w:rsidRPr="00310482">
        <w:rPr>
          <w:rFonts w:ascii="Times New Roman" w:hAnsi="Times New Roman" w:cs="Times New Roman"/>
          <w:b/>
        </w:rPr>
        <w:tab/>
      </w:r>
      <w:r w:rsidR="00016043" w:rsidRPr="00310482">
        <w:rPr>
          <w:rFonts w:ascii="Times New Roman" w:hAnsi="Times New Roman" w:cs="Times New Roman"/>
          <w:b/>
        </w:rPr>
        <w:t>Qwest’s New Claim for Access Charges Is Outside the Interconnection Agreement and Seeks Windfall Profits on a Discriminatory Basis Against Pac-West</w:t>
      </w:r>
    </w:p>
    <w:p w14:paraId="29786B9E" w14:textId="77777777" w:rsidR="00F53D25" w:rsidRPr="00310482" w:rsidRDefault="00F53D25" w:rsidP="00F53D25">
      <w:pPr>
        <w:rPr>
          <w:rFonts w:ascii="Times New Roman" w:hAnsi="Times New Roman" w:cs="Times New Roman"/>
        </w:rPr>
      </w:pPr>
    </w:p>
    <w:p w14:paraId="12C9DFFC" w14:textId="1AF6B9BC" w:rsidR="00016043" w:rsidRPr="00310482" w:rsidRDefault="00310482" w:rsidP="00310482">
      <w:pPr>
        <w:spacing w:line="480" w:lineRule="auto"/>
        <w:ind w:hanging="720"/>
        <w:rPr>
          <w:rFonts w:ascii="Times New Roman" w:hAnsi="Times New Roman" w:cs="Times New Roman"/>
        </w:rPr>
      </w:pPr>
      <w:r w:rsidRPr="00310482">
        <w:rPr>
          <w:rFonts w:ascii="Times New Roman" w:hAnsi="Times New Roman" w:cs="Times New Roman"/>
        </w:rPr>
        <w:t>18.</w:t>
      </w:r>
      <w:r w:rsidRPr="00310482">
        <w:rPr>
          <w:rFonts w:ascii="Times New Roman" w:hAnsi="Times New Roman" w:cs="Times New Roman"/>
        </w:rPr>
        <w:tab/>
      </w:r>
      <w:r w:rsidR="00F53D25" w:rsidRPr="00310482">
        <w:rPr>
          <w:rFonts w:ascii="Times New Roman" w:hAnsi="Times New Roman" w:cs="Times New Roman"/>
        </w:rPr>
        <w:t xml:space="preserve">Section 251(c)(2)(D) of the </w:t>
      </w:r>
      <w:r w:rsidR="00257CF3" w:rsidRPr="00310482">
        <w:rPr>
          <w:rFonts w:ascii="Times New Roman" w:hAnsi="Times New Roman" w:cs="Times New Roman"/>
        </w:rPr>
        <w:t xml:space="preserve">Telecommunications </w:t>
      </w:r>
      <w:r w:rsidR="00F53D25" w:rsidRPr="00310482">
        <w:rPr>
          <w:rFonts w:ascii="Times New Roman" w:hAnsi="Times New Roman" w:cs="Times New Roman"/>
        </w:rPr>
        <w:t>Act</w:t>
      </w:r>
      <w:r w:rsidR="00257CF3" w:rsidRPr="00310482">
        <w:rPr>
          <w:rFonts w:ascii="Times New Roman" w:hAnsi="Times New Roman" w:cs="Times New Roman"/>
        </w:rPr>
        <w:t xml:space="preserve"> of 1996 (the Act)</w:t>
      </w:r>
      <w:r w:rsidR="00F53D25" w:rsidRPr="00310482">
        <w:rPr>
          <w:rStyle w:val="FootnoteReference"/>
          <w:rFonts w:ascii="Times New Roman" w:hAnsi="Times New Roman" w:cs="Times New Roman"/>
        </w:rPr>
        <w:footnoteReference w:id="34"/>
      </w:r>
      <w:r w:rsidR="00F53D25" w:rsidRPr="00310482">
        <w:rPr>
          <w:rFonts w:ascii="Times New Roman" w:hAnsi="Times New Roman" w:cs="Times New Roman"/>
        </w:rPr>
        <w:t xml:space="preserve"> establishes the principle that the interconnection must be at rates, terms and conditions that are just, reasonable and nondiscriminatory. Qwest seeks to apply some sort of “composite” access charge rate, that doesn’t even exist in the ICA, against only one carrier, Pac-West, </w:t>
      </w:r>
      <w:r w:rsidR="00257CF3" w:rsidRPr="00310482">
        <w:rPr>
          <w:rFonts w:ascii="Times New Roman" w:hAnsi="Times New Roman" w:cs="Times New Roman"/>
        </w:rPr>
        <w:t xml:space="preserve">over five years after the traffic was exchanged.  Here, the incumbent LEC seeks to impose unjust, unreasonable and discriminatory rates against a </w:t>
      </w:r>
      <w:r w:rsidR="003E0149" w:rsidRPr="00310482">
        <w:rPr>
          <w:rFonts w:ascii="Times New Roman" w:hAnsi="Times New Roman" w:cs="Times New Roman"/>
        </w:rPr>
        <w:t xml:space="preserve">single, </w:t>
      </w:r>
      <w:r w:rsidR="00257CF3" w:rsidRPr="00310482">
        <w:rPr>
          <w:rFonts w:ascii="Times New Roman" w:hAnsi="Times New Roman" w:cs="Times New Roman"/>
        </w:rPr>
        <w:t>competitive carrier –</w:t>
      </w:r>
      <w:r w:rsidR="003E0149" w:rsidRPr="00310482">
        <w:rPr>
          <w:rFonts w:ascii="Times New Roman" w:hAnsi="Times New Roman" w:cs="Times New Roman"/>
        </w:rPr>
        <w:t xml:space="preserve"> a clear rebuke of the Act and its antitrust objectives. </w:t>
      </w:r>
    </w:p>
    <w:p w14:paraId="0FF43BC6" w14:textId="06402290" w:rsidR="003E0149" w:rsidRPr="00310482" w:rsidRDefault="00310482" w:rsidP="00310482">
      <w:pPr>
        <w:spacing w:line="480" w:lineRule="auto"/>
        <w:ind w:hanging="720"/>
        <w:rPr>
          <w:rFonts w:ascii="Times New Roman" w:hAnsi="Times New Roman" w:cs="Times New Roman"/>
        </w:rPr>
      </w:pPr>
      <w:r w:rsidRPr="00310482">
        <w:rPr>
          <w:rFonts w:ascii="Times New Roman" w:hAnsi="Times New Roman" w:cs="Times New Roman"/>
        </w:rPr>
        <w:t>19.</w:t>
      </w:r>
      <w:r w:rsidRPr="00310482">
        <w:rPr>
          <w:rFonts w:ascii="Times New Roman" w:hAnsi="Times New Roman" w:cs="Times New Roman"/>
        </w:rPr>
        <w:tab/>
      </w:r>
      <w:r w:rsidR="003E0149" w:rsidRPr="00310482">
        <w:rPr>
          <w:rFonts w:ascii="Times New Roman" w:hAnsi="Times New Roman" w:cs="Times New Roman"/>
        </w:rPr>
        <w:t xml:space="preserve">If Qwest had understood the ICA to require, or even allow, the </w:t>
      </w:r>
      <w:r w:rsidR="002B3515" w:rsidRPr="00310482">
        <w:rPr>
          <w:rFonts w:ascii="Times New Roman" w:hAnsi="Times New Roman" w:cs="Times New Roman"/>
        </w:rPr>
        <w:t xml:space="preserve">application of access charges to VNXX traffic, Qwest would have sent Pac-West an invoice, which Pac-West could either pay or dispute in accordance with the ICA. Qwest has never issued such an invoice to Pac-West; the retroactive imposition of such charges by the Commission, therefore, would be wholly improper. </w:t>
      </w:r>
    </w:p>
    <w:p w14:paraId="5DD24278" w14:textId="77777777" w:rsidR="000E1905" w:rsidRPr="00310482" w:rsidRDefault="000E1905" w:rsidP="000E1905">
      <w:pPr>
        <w:rPr>
          <w:rFonts w:ascii="Times New Roman" w:hAnsi="Times New Roman" w:cs="Times New Roman"/>
        </w:rPr>
      </w:pPr>
    </w:p>
    <w:p w14:paraId="57A1D384" w14:textId="77777777" w:rsidR="000E1905" w:rsidRPr="00310482" w:rsidRDefault="000E1905" w:rsidP="000E1905">
      <w:pPr>
        <w:pStyle w:val="BodyText"/>
        <w:tabs>
          <w:tab w:val="left" w:pos="3060"/>
        </w:tabs>
        <w:spacing w:line="480" w:lineRule="auto"/>
        <w:ind w:left="-720" w:right="-720"/>
        <w:rPr>
          <w:b/>
        </w:rPr>
      </w:pPr>
      <w:r w:rsidRPr="00310482">
        <w:rPr>
          <w:b/>
        </w:rPr>
        <w:t>CONCLUSION</w:t>
      </w:r>
    </w:p>
    <w:p w14:paraId="763C4F62" w14:textId="657AA9CE" w:rsidR="000E1905" w:rsidRPr="00310482" w:rsidRDefault="00310482" w:rsidP="00D04BB3">
      <w:pPr>
        <w:pStyle w:val="BodyText"/>
        <w:tabs>
          <w:tab w:val="left" w:pos="3060"/>
        </w:tabs>
        <w:spacing w:line="480" w:lineRule="auto"/>
        <w:ind w:hanging="720"/>
        <w:jc w:val="left"/>
      </w:pPr>
      <w:r w:rsidRPr="00310482">
        <w:t>20.</w:t>
      </w:r>
      <w:r w:rsidRPr="00310482">
        <w:tab/>
      </w:r>
      <w:r w:rsidR="000E1905" w:rsidRPr="00310482">
        <w:t xml:space="preserve">For the foregoing reasons and the reasons set forth in Pac-West’s prior filings, therefore, the Commission should find that the compensation paid by Qwest to Pac-West for VNXX ISP-bound traffic during the time period 2004 to 2009 was proper as an interim compensation regime for such traffic, as a matter of law, equity and public policy.  </w:t>
      </w:r>
      <w:r w:rsidR="003B1DC2" w:rsidRPr="00310482">
        <w:t>The District Court’s remand specifically contemplates that the Commission might arrive at the same result as previously ordered.</w:t>
      </w:r>
      <w:r w:rsidR="003B1DC2" w:rsidRPr="00310482">
        <w:rPr>
          <w:rStyle w:val="FootnoteReference"/>
        </w:rPr>
        <w:footnoteReference w:id="35"/>
      </w:r>
      <w:r w:rsidR="003B1DC2" w:rsidRPr="00310482">
        <w:t xml:space="preserve">  Pac-West respectfully requests that</w:t>
      </w:r>
      <w:r w:rsidR="000E1905" w:rsidRPr="00310482">
        <w:t xml:space="preserve"> the Commission deny each of Qwest’s requests for retroactive compensation in this proceeding, and render the proceeding closed.</w:t>
      </w:r>
    </w:p>
    <w:p w14:paraId="031350A2" w14:textId="77777777" w:rsidR="003B1DC2" w:rsidRPr="00310482" w:rsidRDefault="003B1DC2" w:rsidP="000E1905">
      <w:pPr>
        <w:pStyle w:val="single"/>
        <w:spacing w:before="0" w:line="240" w:lineRule="auto"/>
        <w:ind w:firstLine="0"/>
        <w:jc w:val="both"/>
        <w:rPr>
          <w:color w:val="000000"/>
          <w:szCs w:val="24"/>
        </w:rPr>
      </w:pPr>
    </w:p>
    <w:p w14:paraId="02BE5A0B" w14:textId="4592F53F" w:rsidR="000E1905" w:rsidRPr="00310482" w:rsidRDefault="000E1905" w:rsidP="000E1905">
      <w:pPr>
        <w:pStyle w:val="single"/>
        <w:spacing w:before="0" w:line="240" w:lineRule="auto"/>
        <w:ind w:firstLine="0"/>
        <w:jc w:val="both"/>
        <w:rPr>
          <w:color w:val="000000"/>
          <w:szCs w:val="24"/>
        </w:rPr>
      </w:pPr>
      <w:r w:rsidRPr="00310482">
        <w:rPr>
          <w:color w:val="000000"/>
          <w:szCs w:val="24"/>
        </w:rPr>
        <w:t>Dated this 26th day of March 2013.</w:t>
      </w:r>
    </w:p>
    <w:p w14:paraId="5B90F9CA" w14:textId="77777777" w:rsidR="000E1905" w:rsidRPr="00310482" w:rsidRDefault="000E1905" w:rsidP="000E1905">
      <w:pPr>
        <w:pStyle w:val="single"/>
        <w:spacing w:before="0" w:line="240" w:lineRule="auto"/>
        <w:ind w:firstLine="0"/>
        <w:jc w:val="both"/>
        <w:rPr>
          <w:szCs w:val="24"/>
        </w:rPr>
      </w:pPr>
    </w:p>
    <w:p w14:paraId="63CB9126" w14:textId="77777777" w:rsidR="000E1905" w:rsidRPr="00310482" w:rsidRDefault="000E1905" w:rsidP="000E1905">
      <w:pPr>
        <w:tabs>
          <w:tab w:val="left" w:pos="-360"/>
          <w:tab w:val="left" w:pos="720"/>
          <w:tab w:val="left" w:pos="1440"/>
          <w:tab w:val="left" w:pos="2160"/>
          <w:tab w:val="left" w:pos="2880"/>
          <w:tab w:val="left" w:pos="3600"/>
          <w:tab w:val="left" w:pos="5040"/>
          <w:tab w:val="left" w:pos="5760"/>
          <w:tab w:val="left" w:pos="6480"/>
          <w:tab w:val="left" w:pos="7200"/>
          <w:tab w:val="left" w:pos="7920"/>
          <w:tab w:val="left" w:pos="8640"/>
        </w:tabs>
        <w:ind w:left="3600"/>
        <w:rPr>
          <w:rFonts w:ascii="Times New Roman" w:hAnsi="Times New Roman" w:cs="Times New Roman"/>
          <w:b/>
        </w:rPr>
      </w:pPr>
      <w:r w:rsidRPr="00310482">
        <w:rPr>
          <w:rFonts w:ascii="Times New Roman" w:hAnsi="Times New Roman" w:cs="Times New Roman"/>
          <w:b/>
        </w:rPr>
        <w:t>PA</w:t>
      </w:r>
      <w:bookmarkStart w:id="2" w:name="_GoBack"/>
      <w:bookmarkEnd w:id="2"/>
      <w:r w:rsidRPr="00310482">
        <w:rPr>
          <w:rFonts w:ascii="Times New Roman" w:hAnsi="Times New Roman" w:cs="Times New Roman"/>
          <w:b/>
        </w:rPr>
        <w:t xml:space="preserve">C-WEST TELECOMM, INC. </w:t>
      </w:r>
    </w:p>
    <w:p w14:paraId="138C5CB0" w14:textId="77777777" w:rsidR="000E1905" w:rsidRPr="00310482" w:rsidRDefault="000E1905" w:rsidP="000E1905">
      <w:pPr>
        <w:tabs>
          <w:tab w:val="left" w:pos="3600"/>
        </w:tabs>
        <w:ind w:left="3600"/>
        <w:rPr>
          <w:rFonts w:ascii="Times New Roman" w:hAnsi="Times New Roman" w:cs="Times New Roman"/>
        </w:rPr>
      </w:pPr>
    </w:p>
    <w:p w14:paraId="0ACC8569" w14:textId="77777777" w:rsidR="000E1905" w:rsidRPr="00310482" w:rsidRDefault="000E1905" w:rsidP="000E1905">
      <w:pPr>
        <w:tabs>
          <w:tab w:val="left" w:pos="3600"/>
        </w:tabs>
        <w:ind w:left="3600"/>
        <w:rPr>
          <w:rFonts w:ascii="Times New Roman" w:hAnsi="Times New Roman" w:cs="Times New Roman"/>
        </w:rPr>
      </w:pPr>
    </w:p>
    <w:p w14:paraId="6326CCD5" w14:textId="77777777" w:rsidR="000E1905" w:rsidRPr="00310482" w:rsidRDefault="000E1905" w:rsidP="000E1905">
      <w:pPr>
        <w:tabs>
          <w:tab w:val="left" w:pos="3600"/>
        </w:tabs>
        <w:ind w:left="3600"/>
        <w:rPr>
          <w:rFonts w:ascii="Times New Roman" w:hAnsi="Times New Roman" w:cs="Times New Roman"/>
        </w:rPr>
      </w:pPr>
    </w:p>
    <w:p w14:paraId="628CF05A" w14:textId="0BE9F87E" w:rsidR="000E1905" w:rsidRPr="00310482" w:rsidRDefault="000E1905" w:rsidP="000E1905">
      <w:pPr>
        <w:tabs>
          <w:tab w:val="left" w:pos="3600"/>
        </w:tabs>
        <w:ind w:left="3600"/>
        <w:rPr>
          <w:rFonts w:ascii="Times New Roman" w:hAnsi="Times New Roman" w:cs="Times New Roman"/>
        </w:rPr>
      </w:pPr>
      <w:r w:rsidRPr="00310482">
        <w:rPr>
          <w:rFonts w:ascii="Times New Roman" w:hAnsi="Times New Roman" w:cs="Times New Roman"/>
        </w:rPr>
        <w:t>By</w:t>
      </w:r>
      <w:r w:rsidRPr="00310482">
        <w:rPr>
          <w:rFonts w:ascii="Times New Roman" w:hAnsi="Times New Roman" w:cs="Times New Roman"/>
          <w:u w:val="single"/>
        </w:rPr>
        <w:t>:_____/s/___________________________</w:t>
      </w:r>
    </w:p>
    <w:p w14:paraId="53ED98E4" w14:textId="77777777" w:rsidR="000E1905" w:rsidRPr="00310482" w:rsidRDefault="000E1905" w:rsidP="000E1905">
      <w:pPr>
        <w:tabs>
          <w:tab w:val="left" w:pos="3960"/>
        </w:tabs>
        <w:ind w:left="3600"/>
        <w:rPr>
          <w:rFonts w:ascii="Times New Roman" w:hAnsi="Times New Roman" w:cs="Times New Roman"/>
        </w:rPr>
      </w:pPr>
      <w:r w:rsidRPr="00310482">
        <w:rPr>
          <w:rFonts w:ascii="Times New Roman" w:hAnsi="Times New Roman" w:cs="Times New Roman"/>
        </w:rPr>
        <w:tab/>
        <w:t>Laura A. Mayhook, WSBA 32446</w:t>
      </w:r>
    </w:p>
    <w:p w14:paraId="5D0F47C1" w14:textId="77777777" w:rsidR="000E1905" w:rsidRPr="00310482" w:rsidRDefault="000E1905" w:rsidP="000E1905">
      <w:pPr>
        <w:tabs>
          <w:tab w:val="left" w:pos="3960"/>
        </w:tabs>
        <w:ind w:left="3600"/>
        <w:rPr>
          <w:rFonts w:ascii="Times New Roman" w:hAnsi="Times New Roman" w:cs="Times New Roman"/>
        </w:rPr>
      </w:pPr>
      <w:r w:rsidRPr="00310482">
        <w:rPr>
          <w:rFonts w:ascii="Times New Roman" w:hAnsi="Times New Roman" w:cs="Times New Roman"/>
        </w:rPr>
        <w:tab/>
        <w:t>J. Jeffrey Mayhook, WSBA 30049</w:t>
      </w:r>
    </w:p>
    <w:p w14:paraId="2E40AAA7" w14:textId="77777777" w:rsidR="000E1905" w:rsidRPr="00310482" w:rsidRDefault="000E1905" w:rsidP="000E1905">
      <w:pPr>
        <w:tabs>
          <w:tab w:val="left" w:pos="3960"/>
        </w:tabs>
        <w:ind w:left="3960"/>
        <w:rPr>
          <w:rFonts w:ascii="Times New Roman" w:hAnsi="Times New Roman" w:cs="Times New Roman"/>
        </w:rPr>
      </w:pPr>
      <w:r w:rsidRPr="00310482">
        <w:rPr>
          <w:rFonts w:ascii="Times New Roman" w:hAnsi="Times New Roman" w:cs="Times New Roman"/>
        </w:rPr>
        <w:t>Mayhook Law, PLLC</w:t>
      </w:r>
    </w:p>
    <w:p w14:paraId="01DFA5F5" w14:textId="77777777" w:rsidR="000E1905" w:rsidRPr="00310482" w:rsidRDefault="000E1905" w:rsidP="000E1905">
      <w:pPr>
        <w:tabs>
          <w:tab w:val="left" w:pos="3960"/>
        </w:tabs>
        <w:ind w:left="3960"/>
        <w:rPr>
          <w:rFonts w:ascii="Times New Roman" w:hAnsi="Times New Roman" w:cs="Times New Roman"/>
        </w:rPr>
      </w:pPr>
      <w:r w:rsidRPr="00310482">
        <w:rPr>
          <w:rFonts w:ascii="Times New Roman" w:hAnsi="Times New Roman" w:cs="Times New Roman"/>
        </w:rPr>
        <w:t>34808 NE 14</w:t>
      </w:r>
      <w:r w:rsidRPr="00310482">
        <w:rPr>
          <w:rFonts w:ascii="Times New Roman" w:hAnsi="Times New Roman" w:cs="Times New Roman"/>
          <w:vertAlign w:val="superscript"/>
        </w:rPr>
        <w:t>th</w:t>
      </w:r>
      <w:r w:rsidRPr="00310482">
        <w:rPr>
          <w:rFonts w:ascii="Times New Roman" w:hAnsi="Times New Roman" w:cs="Times New Roman"/>
        </w:rPr>
        <w:t xml:space="preserve"> Avenue</w:t>
      </w:r>
    </w:p>
    <w:p w14:paraId="7BEE60F2" w14:textId="77777777" w:rsidR="000E1905" w:rsidRPr="00310482" w:rsidRDefault="000E1905" w:rsidP="000E1905">
      <w:pPr>
        <w:tabs>
          <w:tab w:val="left" w:pos="3960"/>
        </w:tabs>
        <w:ind w:left="3960"/>
        <w:rPr>
          <w:rFonts w:ascii="Times New Roman" w:hAnsi="Times New Roman" w:cs="Times New Roman"/>
        </w:rPr>
      </w:pPr>
      <w:r w:rsidRPr="00310482">
        <w:rPr>
          <w:rFonts w:ascii="Times New Roman" w:hAnsi="Times New Roman" w:cs="Times New Roman"/>
        </w:rPr>
        <w:t>La Center, Washington 98629</w:t>
      </w:r>
    </w:p>
    <w:p w14:paraId="030A25EC" w14:textId="77777777" w:rsidR="000E1905" w:rsidRPr="00310482" w:rsidRDefault="000E1905" w:rsidP="000E1905">
      <w:pPr>
        <w:tabs>
          <w:tab w:val="left" w:pos="3960"/>
        </w:tabs>
        <w:ind w:left="3960"/>
        <w:rPr>
          <w:rFonts w:ascii="Times New Roman" w:hAnsi="Times New Roman" w:cs="Times New Roman"/>
        </w:rPr>
      </w:pPr>
      <w:r w:rsidRPr="00310482">
        <w:rPr>
          <w:rFonts w:ascii="Times New Roman" w:hAnsi="Times New Roman" w:cs="Times New Roman"/>
        </w:rPr>
        <w:t>Tel: (360) 263-4340</w:t>
      </w:r>
    </w:p>
    <w:p w14:paraId="375D7878" w14:textId="77777777" w:rsidR="000E1905" w:rsidRPr="00310482" w:rsidRDefault="000E1905" w:rsidP="000E1905">
      <w:pPr>
        <w:tabs>
          <w:tab w:val="left" w:pos="3960"/>
        </w:tabs>
        <w:ind w:left="3960"/>
        <w:rPr>
          <w:rFonts w:ascii="Times New Roman" w:hAnsi="Times New Roman" w:cs="Times New Roman"/>
        </w:rPr>
      </w:pPr>
      <w:r w:rsidRPr="00310482">
        <w:rPr>
          <w:rFonts w:ascii="Times New Roman" w:hAnsi="Times New Roman" w:cs="Times New Roman"/>
        </w:rPr>
        <w:t>Fax: (360) 263-4343</w:t>
      </w:r>
    </w:p>
    <w:p w14:paraId="17E3741B" w14:textId="77777777" w:rsidR="000E1905" w:rsidRPr="00310482" w:rsidRDefault="000E1905" w:rsidP="000E1905">
      <w:pPr>
        <w:tabs>
          <w:tab w:val="left" w:pos="3960"/>
        </w:tabs>
        <w:ind w:left="3960"/>
        <w:rPr>
          <w:rFonts w:ascii="Times New Roman" w:hAnsi="Times New Roman" w:cs="Times New Roman"/>
        </w:rPr>
      </w:pPr>
    </w:p>
    <w:p w14:paraId="2D70B378" w14:textId="77777777" w:rsidR="000E1905" w:rsidRPr="00310482" w:rsidRDefault="000E1905" w:rsidP="000E1905">
      <w:pPr>
        <w:rPr>
          <w:rFonts w:ascii="Times New Roman" w:hAnsi="Times New Roman" w:cs="Times New Roman"/>
        </w:rPr>
      </w:pPr>
    </w:p>
    <w:sectPr w:rsidR="000E1905" w:rsidRPr="00310482" w:rsidSect="00D04BB3">
      <w:footerReference w:type="default" r:id="rId8"/>
      <w:type w:val="continuous"/>
      <w:pgSz w:w="12240" w:h="15840"/>
      <w:pgMar w:top="1440" w:right="1440" w:bottom="1440" w:left="1800" w:header="720" w:footer="518"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DFC1B" w14:textId="77777777" w:rsidR="000F287D" w:rsidRDefault="000F287D" w:rsidP="000E1905">
      <w:r>
        <w:separator/>
      </w:r>
    </w:p>
  </w:endnote>
  <w:endnote w:type="continuationSeparator" w:id="0">
    <w:p w14:paraId="46F31BB2" w14:textId="77777777" w:rsidR="000F287D" w:rsidRDefault="000F287D" w:rsidP="000E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A4CBA" w14:textId="77777777" w:rsidR="000F287D" w:rsidRDefault="000F287D">
    <w:pPr>
      <w:pStyle w:val="Footer"/>
    </w:pPr>
  </w:p>
  <w:p w14:paraId="396E4620" w14:textId="77777777" w:rsidR="000F287D" w:rsidRDefault="000F287D">
    <w:pPr>
      <w:pStyle w:val="Footer"/>
    </w:pPr>
    <w:r>
      <w:t>PAC-WEST’S REPLY BRIEF</w:t>
    </w:r>
  </w:p>
  <w:p w14:paraId="56850933" w14:textId="77777777" w:rsidR="000F287D" w:rsidRDefault="000F287D" w:rsidP="00CC3B56">
    <w:pPr>
      <w:pStyle w:val="Footer"/>
      <w:framePr w:wrap="around" w:vAnchor="text" w:hAnchor="margin" w:xAlign="center" w:y="104"/>
      <w:rPr>
        <w:rStyle w:val="PageNumber"/>
      </w:rPr>
    </w:pPr>
    <w:r>
      <w:rPr>
        <w:rStyle w:val="PageNumber"/>
      </w:rPr>
      <w:fldChar w:fldCharType="begin"/>
    </w:r>
    <w:r>
      <w:rPr>
        <w:rStyle w:val="PageNumber"/>
      </w:rPr>
      <w:instrText xml:space="preserve">PAGE  </w:instrText>
    </w:r>
    <w:r>
      <w:rPr>
        <w:rStyle w:val="PageNumber"/>
      </w:rPr>
      <w:fldChar w:fldCharType="separate"/>
    </w:r>
    <w:r w:rsidR="00D07EEE">
      <w:rPr>
        <w:rStyle w:val="PageNumber"/>
        <w:noProof/>
      </w:rPr>
      <w:t>0</w:t>
    </w:r>
    <w:r>
      <w:rPr>
        <w:rStyle w:val="PageNumber"/>
      </w:rPr>
      <w:fldChar w:fldCharType="end"/>
    </w:r>
  </w:p>
  <w:p w14:paraId="48BEBF9F" w14:textId="77777777" w:rsidR="000F287D" w:rsidRDefault="000F287D">
    <w:pPr>
      <w:pStyle w:val="Footer"/>
    </w:pPr>
    <w:r>
      <w:t>March 26, 2013</w:t>
    </w:r>
  </w:p>
  <w:p w14:paraId="58CA0549" w14:textId="77777777" w:rsidR="000F287D" w:rsidRDefault="000F287D" w:rsidP="00CC3B56">
    <w:pPr>
      <w:pStyle w:val="Footer"/>
    </w:pPr>
    <w:r>
      <w:t>UT-053036</w:t>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23B1DC" w14:textId="77777777" w:rsidR="000F287D" w:rsidRDefault="000F287D" w:rsidP="000E1905">
      <w:r>
        <w:separator/>
      </w:r>
    </w:p>
  </w:footnote>
  <w:footnote w:type="continuationSeparator" w:id="0">
    <w:p w14:paraId="3A98F593" w14:textId="77777777" w:rsidR="000F287D" w:rsidRDefault="000F287D" w:rsidP="000E1905">
      <w:r>
        <w:continuationSeparator/>
      </w:r>
    </w:p>
  </w:footnote>
  <w:footnote w:id="1">
    <w:p w14:paraId="58E077AA" w14:textId="57AC12FC"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 Corporation </w:t>
      </w:r>
      <w:r w:rsidRPr="006469AD">
        <w:rPr>
          <w:rFonts w:ascii="Times New Roman" w:hAnsi="Times New Roman" w:cs="Times New Roman"/>
          <w:i/>
          <w:sz w:val="22"/>
          <w:szCs w:val="22"/>
        </w:rPr>
        <w:t>dba</w:t>
      </w:r>
      <w:r w:rsidRPr="006469AD">
        <w:rPr>
          <w:rFonts w:ascii="Times New Roman" w:hAnsi="Times New Roman" w:cs="Times New Roman"/>
          <w:sz w:val="22"/>
          <w:szCs w:val="22"/>
        </w:rPr>
        <w:t xml:space="preserve"> CenturyLink QC, referred to herein with the naming convention of “Qwest” consistent with Footnote 1 of Qwest’s </w:t>
      </w:r>
      <w:r w:rsidRPr="006469AD">
        <w:rPr>
          <w:rFonts w:ascii="Times New Roman" w:hAnsi="Times New Roman" w:cs="Times New Roman"/>
          <w:i/>
          <w:sz w:val="22"/>
          <w:szCs w:val="22"/>
        </w:rPr>
        <w:t>Post-Hearing Opening Brief</w:t>
      </w:r>
      <w:r w:rsidRPr="006469AD">
        <w:rPr>
          <w:rFonts w:ascii="Times New Roman" w:hAnsi="Times New Roman" w:cs="Times New Roman"/>
          <w:sz w:val="22"/>
          <w:szCs w:val="22"/>
        </w:rPr>
        <w:t xml:space="preserve"> (defined infra). </w:t>
      </w:r>
    </w:p>
  </w:footnote>
  <w:footnote w:id="2">
    <w:p w14:paraId="53268EEA" w14:textId="6A96A075"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 Corporation Post-Hearing Opening Brief, </w:t>
      </w:r>
      <w:r w:rsidRPr="006469AD">
        <w:rPr>
          <w:rFonts w:ascii="Times New Roman" w:hAnsi="Times New Roman" w:cs="Times New Roman"/>
          <w:i/>
          <w:sz w:val="22"/>
          <w:szCs w:val="22"/>
        </w:rPr>
        <w:t>Pac-West Telecomm, Inc. v. Qwest Corporation</w:t>
      </w:r>
      <w:r w:rsidRPr="006469AD">
        <w:rPr>
          <w:rFonts w:ascii="Times New Roman" w:hAnsi="Times New Roman" w:cs="Times New Roman"/>
          <w:sz w:val="22"/>
          <w:szCs w:val="22"/>
        </w:rPr>
        <w:t>, Docket UT-053036, (March 15, 2013) (“</w:t>
      </w:r>
      <w:r w:rsidRPr="006469AD">
        <w:rPr>
          <w:rFonts w:ascii="Times New Roman" w:hAnsi="Times New Roman" w:cs="Times New Roman"/>
          <w:i/>
          <w:sz w:val="22"/>
          <w:szCs w:val="22"/>
        </w:rPr>
        <w:t>Post-Hearing Opening Brief”</w:t>
      </w:r>
      <w:r w:rsidRPr="006469AD">
        <w:rPr>
          <w:rFonts w:ascii="Times New Roman" w:hAnsi="Times New Roman" w:cs="Times New Roman"/>
          <w:sz w:val="22"/>
          <w:szCs w:val="22"/>
        </w:rPr>
        <w:t>).</w:t>
      </w:r>
    </w:p>
  </w:footnote>
  <w:footnote w:id="3">
    <w:p w14:paraId="66FA90F9" w14:textId="62BC84DB"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paragraphs 24, 28-31 of Qwest’s Post-Hearing Opening Brief. </w:t>
      </w:r>
    </w:p>
  </w:footnote>
  <w:footnote w:id="4">
    <w:p w14:paraId="7472DEDF" w14:textId="273D4AEE"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The FCC has stated as much.  In an amicus brief filed in one of the many </w:t>
      </w:r>
      <w:r w:rsidRPr="006469AD">
        <w:rPr>
          <w:rFonts w:ascii="Times New Roman" w:hAnsi="Times New Roman" w:cs="Times New Roman"/>
          <w:i/>
          <w:sz w:val="22"/>
          <w:szCs w:val="22"/>
        </w:rPr>
        <w:t>Global NAPS</w:t>
      </w:r>
      <w:r w:rsidRPr="006469AD">
        <w:rPr>
          <w:rFonts w:ascii="Times New Roman" w:hAnsi="Times New Roman" w:cs="Times New Roman"/>
          <w:sz w:val="22"/>
          <w:szCs w:val="22"/>
        </w:rPr>
        <w:t xml:space="preserve"> cases, the FCC’s General Counsel acknowledged that “’the administrative history that led up to the </w:t>
      </w:r>
      <w:r w:rsidRPr="006469AD">
        <w:rPr>
          <w:rFonts w:ascii="Times New Roman" w:hAnsi="Times New Roman" w:cs="Times New Roman"/>
          <w:i/>
          <w:sz w:val="22"/>
          <w:szCs w:val="22"/>
        </w:rPr>
        <w:t xml:space="preserve">ISP Remand Order </w:t>
      </w:r>
      <w:r w:rsidRPr="006469AD">
        <w:rPr>
          <w:rFonts w:ascii="Times New Roman" w:hAnsi="Times New Roman" w:cs="Times New Roman"/>
          <w:sz w:val="22"/>
          <w:szCs w:val="22"/>
        </w:rPr>
        <w:t xml:space="preserve">indicates that in addressing compensation, the Commission was focused on calls between dial-up users and ISPs in a single local calling area.’”  </w:t>
      </w:r>
      <w:r w:rsidRPr="006469AD">
        <w:rPr>
          <w:rFonts w:ascii="Times New Roman" w:hAnsi="Times New Roman" w:cs="Times New Roman"/>
          <w:i/>
          <w:sz w:val="22"/>
          <w:szCs w:val="22"/>
        </w:rPr>
        <w:t xml:space="preserve">Global NAPS, Inc. v. Verizon New England, Inc., </w:t>
      </w:r>
      <w:r w:rsidRPr="006469AD">
        <w:rPr>
          <w:rFonts w:ascii="Times New Roman" w:hAnsi="Times New Roman" w:cs="Times New Roman"/>
          <w:sz w:val="22"/>
          <w:szCs w:val="22"/>
        </w:rPr>
        <w:t>444 F.3d 59, 74 (1</w:t>
      </w:r>
      <w:r w:rsidRPr="006469AD">
        <w:rPr>
          <w:rFonts w:ascii="Times New Roman" w:hAnsi="Times New Roman" w:cs="Times New Roman"/>
          <w:sz w:val="22"/>
          <w:szCs w:val="22"/>
          <w:vertAlign w:val="superscript"/>
        </w:rPr>
        <w:t>st</w:t>
      </w:r>
      <w:r w:rsidRPr="006469AD">
        <w:rPr>
          <w:rFonts w:ascii="Times New Roman" w:hAnsi="Times New Roman" w:cs="Times New Roman"/>
          <w:sz w:val="22"/>
          <w:szCs w:val="22"/>
        </w:rPr>
        <w:t xml:space="preserve"> Cir. 2006), </w:t>
      </w:r>
      <w:r w:rsidRPr="006469AD">
        <w:rPr>
          <w:rFonts w:ascii="Times New Roman" w:hAnsi="Times New Roman" w:cs="Times New Roman"/>
          <w:i/>
          <w:sz w:val="22"/>
          <w:szCs w:val="22"/>
        </w:rPr>
        <w:t>quoting FCC Amicus Brief.</w:t>
      </w:r>
    </w:p>
  </w:footnote>
  <w:footnote w:id="5">
    <w:p w14:paraId="40B0860A" w14:textId="75704B3F" w:rsidR="000F287D" w:rsidRPr="006469AD" w:rsidRDefault="000F287D" w:rsidP="0036293E">
      <w:pPr>
        <w:pStyle w:val="FootnoteText"/>
        <w:spacing w:after="120"/>
        <w:ind w:right="720"/>
        <w:jc w:val="both"/>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47 U.S.C. § 152(a); </w:t>
      </w:r>
      <w:r w:rsidRPr="006469AD">
        <w:rPr>
          <w:rFonts w:ascii="Times New Roman" w:hAnsi="Times New Roman" w:cs="Times New Roman"/>
          <w:i/>
          <w:sz w:val="22"/>
          <w:szCs w:val="22"/>
        </w:rPr>
        <w:t xml:space="preserve">see, e.g., Ivy Broadcasting Co. v. Am. Tel. &amp; Tel. Co., </w:t>
      </w:r>
      <w:r w:rsidRPr="006469AD">
        <w:rPr>
          <w:rFonts w:ascii="Times New Roman" w:hAnsi="Times New Roman" w:cs="Times New Roman"/>
          <w:sz w:val="22"/>
          <w:szCs w:val="22"/>
        </w:rPr>
        <w:t>391 F.2d 486, 491 (2d Cir. 1968) (questions concerning the duties, charges and liabilities of telephone companies with respect to interstate services are to be governed exclusively by federal law);</w:t>
      </w:r>
      <w:r w:rsidRPr="006469AD">
        <w:rPr>
          <w:rFonts w:ascii="Times New Roman" w:hAnsi="Times New Roman" w:cs="Times New Roman"/>
          <w:i/>
          <w:sz w:val="22"/>
          <w:szCs w:val="22"/>
        </w:rPr>
        <w:t xml:space="preserve"> New York Tel. Co. v. New York State Pub. Serv. Comm’n, </w:t>
      </w:r>
      <w:r w:rsidRPr="006469AD">
        <w:rPr>
          <w:rFonts w:ascii="Times New Roman" w:hAnsi="Times New Roman" w:cs="Times New Roman"/>
          <w:sz w:val="22"/>
          <w:szCs w:val="22"/>
        </w:rPr>
        <w:t>631 F.2d 1059 (2d Cir. 1980).</w:t>
      </w:r>
    </w:p>
  </w:footnote>
  <w:footnote w:id="6">
    <w:p w14:paraId="5A9272EF" w14:textId="7DDC8C6E"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Order No. 18, ¶ 19, in this proceeding, noting the CLECs acknowledgment “that Section 252 of the Act authorizes the Commission to apply the rates set forth in the parties’ ICAs to the traffic in question, whether intrastate or interstate.”</w:t>
      </w:r>
    </w:p>
  </w:footnote>
  <w:footnote w:id="7">
    <w:p w14:paraId="29342352" w14:textId="4217A4AB"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Conclusion of Law No. 3, ¶ 60, of Order No. 18 in this proceeding. See also Conclusion of Law No. 9, ¶ 138, of Order No. 12 in this proceeding.</w:t>
      </w:r>
    </w:p>
  </w:footnote>
  <w:footnote w:id="8">
    <w:p w14:paraId="69E1BE95" w14:textId="7F3C6160"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Order No. 12, ¶ 90, in this proceeding.</w:t>
      </w:r>
    </w:p>
  </w:footnote>
  <w:footnote w:id="9">
    <w:p w14:paraId="261857CA" w14:textId="3517BC99"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33.</w:t>
      </w:r>
    </w:p>
  </w:footnote>
  <w:footnote w:id="10">
    <w:p w14:paraId="5DFC3961" w14:textId="4C3A7911"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Qwest v. WUTC et al</w:t>
      </w:r>
      <w:r w:rsidRPr="006469AD">
        <w:rPr>
          <w:rFonts w:ascii="Times New Roman" w:hAnsi="Times New Roman" w:cs="Times New Roman"/>
          <w:sz w:val="22"/>
          <w:szCs w:val="22"/>
        </w:rPr>
        <w:t>., 484 F. Supp.2d 1160, 1177 (2007) (“</w:t>
      </w:r>
      <w:r w:rsidRPr="006469AD">
        <w:rPr>
          <w:rFonts w:ascii="Times New Roman" w:hAnsi="Times New Roman" w:cs="Times New Roman"/>
          <w:i/>
          <w:sz w:val="22"/>
          <w:szCs w:val="22"/>
        </w:rPr>
        <w:t>Qwes</w:t>
      </w:r>
      <w:r w:rsidRPr="006469AD">
        <w:rPr>
          <w:rFonts w:ascii="Times New Roman" w:hAnsi="Times New Roman" w:cs="Times New Roman"/>
          <w:sz w:val="22"/>
          <w:szCs w:val="22"/>
        </w:rPr>
        <w:t>t”).</w:t>
      </w:r>
    </w:p>
  </w:footnote>
  <w:footnote w:id="11">
    <w:p w14:paraId="34BD8E7B" w14:textId="06F4B258"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 Redacted Motion for Summary Determination, Docket UT-053036, ¶ 4(A) (February 9, 2009)</w:t>
      </w:r>
    </w:p>
  </w:footnote>
  <w:footnote w:id="12">
    <w:p w14:paraId="2D128EC7" w14:textId="2C2F7E94"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32.</w:t>
      </w:r>
    </w:p>
  </w:footnote>
  <w:footnote w:id="13">
    <w:p w14:paraId="1A18E2CC" w14:textId="255AF1EB"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37.</w:t>
      </w:r>
    </w:p>
  </w:footnote>
  <w:footnote w:id="14">
    <w:p w14:paraId="7ED8CE05" w14:textId="2A36FA3E"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Qwest Corp. v. Level 3 Communications, LLC</w:t>
      </w:r>
      <w:r w:rsidRPr="006469AD">
        <w:rPr>
          <w:rFonts w:ascii="Times New Roman" w:hAnsi="Times New Roman" w:cs="Times New Roman"/>
          <w:sz w:val="22"/>
          <w:szCs w:val="22"/>
        </w:rPr>
        <w:t xml:space="preserve"> , et al., Docket UT-063038</w:t>
      </w:r>
    </w:p>
  </w:footnote>
  <w:footnote w:id="15">
    <w:p w14:paraId="130D4A25" w14:textId="68D0DB8C" w:rsidR="000F287D" w:rsidRPr="006469AD" w:rsidRDefault="000F287D" w:rsidP="00D42DD7">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w:t>
      </w:r>
      <w:r w:rsidRPr="006469AD">
        <w:rPr>
          <w:rFonts w:ascii="Times New Roman" w:hAnsi="Times New Roman" w:cs="Times New Roman"/>
          <w:i/>
          <w:sz w:val="22"/>
          <w:szCs w:val="22"/>
        </w:rPr>
        <w:t>Post-Hearing Opening Brief</w:t>
      </w:r>
      <w:r w:rsidRPr="006469AD">
        <w:rPr>
          <w:rFonts w:ascii="Times New Roman" w:hAnsi="Times New Roman" w:cs="Times New Roman"/>
          <w:sz w:val="22"/>
          <w:szCs w:val="22"/>
        </w:rPr>
        <w:t xml:space="preserve"> at ¶ 5. </w:t>
      </w:r>
    </w:p>
  </w:footnote>
  <w:footnote w:id="16">
    <w:p w14:paraId="7FE21DFE" w14:textId="3390F370" w:rsidR="000F287D" w:rsidRPr="006469AD" w:rsidRDefault="000F287D" w:rsidP="00D42DD7">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4.</w:t>
      </w:r>
    </w:p>
  </w:footnote>
  <w:footnote w:id="17">
    <w:p w14:paraId="20A59997" w14:textId="77777777" w:rsidR="000F287D" w:rsidRPr="006469AD" w:rsidRDefault="000F287D" w:rsidP="00D42DD7">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The 2003 ISP-Bound Traffic Amendment to the ICA contains no true-up provision; rather, at Section 6, the Amendment provides that: </w:t>
      </w:r>
    </w:p>
    <w:p w14:paraId="0C01FEEA" w14:textId="77777777" w:rsidR="000F287D" w:rsidRPr="006469AD" w:rsidRDefault="000F287D" w:rsidP="00D42DD7">
      <w:pPr>
        <w:pStyle w:val="FootnoteText"/>
        <w:ind w:left="720"/>
        <w:rPr>
          <w:rFonts w:ascii="Times New Roman" w:hAnsi="Times New Roman" w:cs="Times New Roman"/>
          <w:sz w:val="22"/>
          <w:szCs w:val="22"/>
        </w:rPr>
      </w:pPr>
      <w:r w:rsidRPr="006469AD">
        <w:rPr>
          <w:rFonts w:ascii="Times New Roman" w:hAnsi="Times New Roman" w:cs="Times New Roman"/>
          <w:sz w:val="22"/>
          <w:szCs w:val="22"/>
        </w:rPr>
        <w:t xml:space="preserve">The provisions in this Agreement are based, in large part, on the existing state of the law, rules, regulations and interpretations thereof, as of the date hereof (the Existing Rules).  Among the Existing Rules are the results of arbitrated decisions by the Commission which are currently being challenged by Qwest or CLEC.  Among the Existing Rules are certain FCC rules and orders that are the subject of, or affected by, the opinion issued by the Supreme Court of the United State in AT&amp;T Corp., et al. v. Iowa Utilities Board, et al. on January 25, 1999.  Many of the Existing Rules, including rules concerning which network elements are subject to unbundling requirements, may be changed or modified during legal proceedings that follow the Supreme Court opinion.  Among the Existing Rules are the FCC’s order regarding BOC’s applications under Section 271 of the Act. Qwest is basing the offerings in this Agreement on the Existing Rules, including the FCC’s orders on BOC 271 applications.  Nothing in this Agreement shall be deemed an admission by Qwest that the Existing Rules should not be vacated, dismissed, stayed or modified. Nothing in this Agreement shall preclude or estop Qwest or CLEC from taking any position in any forum concerning the proper interpretation or effect of the Existing Rules or concerning whether the Existing Rules should be changed, dismissed, stayed or modified.  </w:t>
      </w:r>
      <w:r w:rsidRPr="006469AD">
        <w:rPr>
          <w:rFonts w:ascii="Times New Roman" w:hAnsi="Times New Roman" w:cs="Times New Roman"/>
          <w:b/>
          <w:sz w:val="22"/>
          <w:szCs w:val="22"/>
          <w:u w:val="single"/>
        </w:rPr>
        <w:t>To the extent that the Existing Rules are changed, vacated, dismissed, stayed or modified, then this Agreement shall be amended to reflect such modification or change to the Existing Rules</w:t>
      </w:r>
      <w:r w:rsidRPr="006469AD">
        <w:rPr>
          <w:rFonts w:ascii="Times New Roman" w:hAnsi="Times New Roman" w:cs="Times New Roman"/>
          <w:sz w:val="22"/>
          <w:szCs w:val="22"/>
          <w:u w:val="single"/>
        </w:rPr>
        <w:t>.</w:t>
      </w:r>
      <w:r w:rsidRPr="006469AD">
        <w:rPr>
          <w:rFonts w:ascii="Times New Roman" w:hAnsi="Times New Roman" w:cs="Times New Roman"/>
          <w:sz w:val="22"/>
          <w:szCs w:val="22"/>
        </w:rPr>
        <w:t xml:space="preserve">  Where the Parties fail to agree upon such an amendment within sixty (60) days from the effective date of the modification or change of the Existing Rules, it shall be resolved in accordance with the Dispute Resolution provision of the Agreement. It is expressly understood that this Agreement will be corrected to reflect the outcome of generic proceedings by the Commission for pricing, service standards, or other matters covered by this Agreement.  This Section shall be considered part of the rates, terms and conditions of each interconnection, service and network element arrangement contained in this Agreement, and this Section shall be considered legitimately related to the purchase of each interconnection, service and network element arrangement contained in this Agreement.” (emphasis added).</w:t>
      </w:r>
    </w:p>
  </w:footnote>
  <w:footnote w:id="18">
    <w:p w14:paraId="3764F807" w14:textId="6A2F9EBB" w:rsidR="000F287D" w:rsidRPr="006469AD" w:rsidRDefault="000F287D" w:rsidP="00F704AD">
      <w:pPr>
        <w:tabs>
          <w:tab w:val="left" w:pos="5400"/>
        </w:tabs>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Verizon Northwest’s Brief In Reply To Initial Brief Of Focal Communications, </w:t>
      </w:r>
      <w:r w:rsidRPr="006469AD">
        <w:rPr>
          <w:rFonts w:ascii="Times New Roman" w:hAnsi="Times New Roman" w:cs="Times New Roman"/>
          <w:i/>
          <w:sz w:val="22"/>
          <w:szCs w:val="22"/>
        </w:rPr>
        <w:t>FOCAL COMMUNICATIONS CORPORATION OF WASHINGTON v. VERIZON NORTHWEST, INC</w:t>
      </w:r>
      <w:r w:rsidRPr="006469AD">
        <w:rPr>
          <w:rFonts w:ascii="Times New Roman" w:hAnsi="Times New Roman" w:cs="Times New Roman"/>
          <w:sz w:val="22"/>
          <w:szCs w:val="22"/>
        </w:rPr>
        <w:t xml:space="preserve">., Docket UT-013019 (filed July 6, 2001), at page 5. </w:t>
      </w:r>
    </w:p>
  </w:footnote>
  <w:footnote w:id="19">
    <w:p w14:paraId="4A043492" w14:textId="4E6BE9FC" w:rsidR="006469AD" w:rsidRPr="006469AD" w:rsidRDefault="006469A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Generic Docket</w:t>
      </w:r>
      <w:r w:rsidRPr="006469AD">
        <w:rPr>
          <w:rFonts w:ascii="Times New Roman" w:hAnsi="Times New Roman" w:cs="Times New Roman"/>
          <w:sz w:val="22"/>
          <w:szCs w:val="22"/>
        </w:rPr>
        <w:t>, UT-063038, at ¶ 154: “</w:t>
      </w:r>
      <w:r w:rsidRPr="006469AD">
        <w:rPr>
          <w:rFonts w:ascii="Times New Roman" w:hAnsi="Times New Roman" w:cs="Times New Roman"/>
          <w:bCs/>
          <w:sz w:val="22"/>
          <w:szCs w:val="22"/>
        </w:rPr>
        <w:t xml:space="preserve">As previously discussed, a litany of federal cases decided since our previous orders regarding compensation for ISP-bound traffic compels a reexamination of the “status quo”.  </w:t>
      </w:r>
    </w:p>
  </w:footnote>
  <w:footnote w:id="20">
    <w:p w14:paraId="2656A3F5" w14:textId="59F09526"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6.</w:t>
      </w:r>
    </w:p>
  </w:footnote>
  <w:footnote w:id="21">
    <w:p w14:paraId="0F362925" w14:textId="1980DB12"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See Qwest’s Post-Hearing Opening Brief at ¶ 48, citing to Qwest/Pac-West ICA, August 23, 2012 Stipulation in this proceeding.</w:t>
      </w:r>
    </w:p>
  </w:footnote>
  <w:footnote w:id="22">
    <w:p w14:paraId="2CF7B9C4" w14:textId="48EBC65D"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 Post-Hearing Opening Brief at ¶  49.</w:t>
      </w:r>
    </w:p>
  </w:footnote>
  <w:footnote w:id="23">
    <w:p w14:paraId="730608B5" w14:textId="313C15B7"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Id</w:t>
      </w:r>
      <w:r w:rsidRPr="006469AD">
        <w:rPr>
          <w:rFonts w:ascii="Times New Roman" w:hAnsi="Times New Roman" w:cs="Times New Roman"/>
          <w:sz w:val="22"/>
          <w:szCs w:val="22"/>
        </w:rPr>
        <w:t>.</w:t>
      </w:r>
    </w:p>
  </w:footnote>
  <w:footnote w:id="24">
    <w:p w14:paraId="5E4DA544" w14:textId="330A3ACC" w:rsidR="000F287D" w:rsidRPr="006469AD" w:rsidRDefault="000F287D" w:rsidP="00D9483C">
      <w:pPr>
        <w:widowControl w:val="0"/>
        <w:autoSpaceDE w:val="0"/>
        <w:autoSpaceDN w:val="0"/>
        <w:adjustRightInd w:val="0"/>
        <w:rPr>
          <w:rFonts w:ascii="Times New Roman" w:hAnsi="Times New Roman" w:cs="Times New Roman"/>
          <w:color w:val="1A1A1A"/>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Hansen v. Rothaus</w:t>
      </w:r>
      <w:r w:rsidRPr="006469AD">
        <w:rPr>
          <w:rFonts w:ascii="Times New Roman" w:hAnsi="Times New Roman" w:cs="Times New Roman"/>
          <w:sz w:val="22"/>
          <w:szCs w:val="22"/>
        </w:rPr>
        <w:t xml:space="preserve">, 730 P. 2d 662, </w:t>
      </w:r>
      <w:r w:rsidRPr="006469AD">
        <w:rPr>
          <w:rFonts w:ascii="Times New Roman" w:hAnsi="Times New Roman" w:cs="Times New Roman"/>
          <w:bCs/>
          <w:color w:val="1A1A1A"/>
          <w:sz w:val="22"/>
          <w:szCs w:val="22"/>
        </w:rPr>
        <w:t>107 Wn.2d 468, 473</w:t>
      </w:r>
      <w:r w:rsidRPr="006469AD">
        <w:rPr>
          <w:rFonts w:ascii="Times New Roman" w:hAnsi="Times New Roman" w:cs="Times New Roman"/>
          <w:b/>
          <w:bCs/>
          <w:color w:val="1A1A1A"/>
          <w:sz w:val="22"/>
          <w:szCs w:val="22"/>
        </w:rPr>
        <w:t xml:space="preserve"> </w:t>
      </w:r>
      <w:r w:rsidRPr="006469AD">
        <w:rPr>
          <w:rFonts w:ascii="Times New Roman" w:hAnsi="Times New Roman" w:cs="Times New Roman"/>
          <w:sz w:val="22"/>
          <w:szCs w:val="22"/>
        </w:rPr>
        <w:t xml:space="preserve">Wash: Supreme Court (1986), </w:t>
      </w:r>
      <w:r w:rsidRPr="006469AD">
        <w:rPr>
          <w:rFonts w:ascii="Times New Roman" w:hAnsi="Times New Roman" w:cs="Times New Roman"/>
          <w:color w:val="1A1A1A"/>
          <w:sz w:val="22"/>
          <w:szCs w:val="22"/>
        </w:rPr>
        <w:t>[I]nterest prior to judgment is allowable (1) when an amount claimed is "liquidated" or (2) when the amount of an "unliquidated" claim is for an amount due upon a specific contract for the payment of money and the amount due is determinable by computation with reference to a fixed standard contained in the contract, without reliance on opinion or discretion….An unliquidated claim, by contrast, is one"where the exact amount of the sum to be allowed cannot be definitely fixed from the facts proved, disputed or undisputed, but must in the last analysis depend upon the opinion or discretion of the judge or jury as to whether a larger or a smaller amount should be allowed."</w:t>
      </w:r>
    </w:p>
  </w:footnote>
  <w:footnote w:id="25">
    <w:p w14:paraId="6C96DC1E" w14:textId="77777777" w:rsidR="000F287D" w:rsidRPr="006469AD" w:rsidRDefault="000F287D" w:rsidP="005445D5">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Easton, TR. 366:4-5.</w:t>
      </w:r>
    </w:p>
  </w:footnote>
  <w:footnote w:id="26">
    <w:p w14:paraId="728763AE" w14:textId="77777777" w:rsidR="000F287D" w:rsidRPr="006469AD" w:rsidRDefault="000F287D" w:rsidP="005445D5">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Easton, TR. 366:6-8. </w:t>
      </w:r>
    </w:p>
  </w:footnote>
  <w:footnote w:id="27">
    <w:p w14:paraId="4DA28B4C" w14:textId="7C96A1F4"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Qwest</w:t>
      </w:r>
      <w:r w:rsidRPr="006469AD">
        <w:rPr>
          <w:rFonts w:ascii="Times New Roman" w:hAnsi="Times New Roman" w:cs="Times New Roman"/>
          <w:sz w:val="22"/>
          <w:szCs w:val="22"/>
        </w:rPr>
        <w:t>, 484 F.Supp.2d, 1177.</w:t>
      </w:r>
    </w:p>
  </w:footnote>
  <w:footnote w:id="28">
    <w:p w14:paraId="112B61BF" w14:textId="30F8001A" w:rsidR="000F287D" w:rsidRPr="006469AD" w:rsidRDefault="000F287D" w:rsidP="00807AC4">
      <w:pPr>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bCs/>
          <w:i/>
          <w:color w:val="1A1A1A"/>
          <w:sz w:val="22"/>
          <w:szCs w:val="22"/>
        </w:rPr>
        <w:t>Sintra, Inc. v. City of Seattle</w:t>
      </w:r>
      <w:r w:rsidRPr="006469AD">
        <w:rPr>
          <w:rFonts w:ascii="Times New Roman" w:hAnsi="Times New Roman" w:cs="Times New Roman"/>
          <w:b/>
          <w:bCs/>
          <w:color w:val="1A1A1A"/>
          <w:sz w:val="22"/>
          <w:szCs w:val="22"/>
        </w:rPr>
        <w:t xml:space="preserve">, </w:t>
      </w:r>
      <w:r w:rsidRPr="006469AD">
        <w:rPr>
          <w:rFonts w:ascii="Times New Roman" w:hAnsi="Times New Roman" w:cs="Times New Roman"/>
          <w:bCs/>
          <w:color w:val="1A1A1A"/>
          <w:sz w:val="22"/>
          <w:szCs w:val="22"/>
        </w:rPr>
        <w:t>980 P. 2d 796, 799, Wa Court of Appeals, 1st Div. 1999 (“</w:t>
      </w:r>
      <w:r w:rsidRPr="006469AD">
        <w:rPr>
          <w:rFonts w:ascii="Times New Roman" w:hAnsi="Times New Roman" w:cs="Times New Roman"/>
          <w:bCs/>
          <w:i/>
          <w:color w:val="1A1A1A"/>
          <w:sz w:val="22"/>
          <w:szCs w:val="22"/>
        </w:rPr>
        <w:t>Sintra</w:t>
      </w:r>
      <w:r w:rsidRPr="006469AD">
        <w:rPr>
          <w:rFonts w:ascii="Times New Roman" w:hAnsi="Times New Roman" w:cs="Times New Roman"/>
          <w:bCs/>
          <w:color w:val="1A1A1A"/>
          <w:sz w:val="22"/>
          <w:szCs w:val="22"/>
        </w:rPr>
        <w:t>”):</w:t>
      </w:r>
    </w:p>
    <w:p w14:paraId="32140BC0" w14:textId="46309EBB" w:rsidR="000F287D" w:rsidRPr="006469AD" w:rsidRDefault="000F287D" w:rsidP="00FB5331">
      <w:pPr>
        <w:widowControl w:val="0"/>
        <w:autoSpaceDE w:val="0"/>
        <w:autoSpaceDN w:val="0"/>
        <w:adjustRightInd w:val="0"/>
        <w:rPr>
          <w:rFonts w:ascii="Times New Roman" w:hAnsi="Times New Roman" w:cs="Times New Roman"/>
          <w:color w:val="9A9A9A"/>
          <w:sz w:val="22"/>
          <w:szCs w:val="22"/>
        </w:rPr>
      </w:pPr>
      <w:r w:rsidRPr="006469AD">
        <w:rPr>
          <w:rFonts w:ascii="Times New Roman" w:hAnsi="Times New Roman" w:cs="Times New Roman"/>
          <w:color w:val="1A1A1A"/>
          <w:sz w:val="22"/>
          <w:szCs w:val="22"/>
        </w:rPr>
        <w:t xml:space="preserve">While awards reversed on review ordinarily do not bear </w:t>
      </w:r>
      <w:r w:rsidRPr="006469AD">
        <w:rPr>
          <w:rFonts w:ascii="Times New Roman" w:hAnsi="Times New Roman" w:cs="Times New Roman"/>
          <w:bCs/>
          <w:sz w:val="22"/>
          <w:szCs w:val="22"/>
        </w:rPr>
        <w:t>interest</w:t>
      </w:r>
      <w:r w:rsidRPr="006469AD">
        <w:rPr>
          <w:rFonts w:ascii="Times New Roman" w:hAnsi="Times New Roman" w:cs="Times New Roman"/>
          <w:color w:val="1A1A1A"/>
          <w:sz w:val="22"/>
          <w:szCs w:val="22"/>
        </w:rPr>
        <w:t xml:space="preserve">, there is an exception to this rule where the appellate court, in reversing, merely modifies the trial court award and the only action necessary in the trial court is compliance with the mandate. </w:t>
      </w:r>
      <w:hyperlink r:id="rId1" w:history="1"/>
    </w:p>
  </w:footnote>
  <w:footnote w:id="29">
    <w:p w14:paraId="3F5684B0" w14:textId="48AA1C24" w:rsidR="000F287D" w:rsidRPr="006469AD" w:rsidRDefault="000F287D">
      <w:pPr>
        <w:pStyle w:val="FootnoteText"/>
        <w:rPr>
          <w:rFonts w:ascii="Times New Roman" w:hAnsi="Times New Roman" w:cs="Times New Roman"/>
          <w:color w:val="1A1A1A"/>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Sintra</w:t>
      </w:r>
      <w:r w:rsidRPr="006469AD">
        <w:rPr>
          <w:rFonts w:ascii="Times New Roman" w:hAnsi="Times New Roman" w:cs="Times New Roman"/>
          <w:color w:val="9A9A9A"/>
          <w:sz w:val="22"/>
          <w:szCs w:val="22"/>
        </w:rPr>
        <w:t xml:space="preserve">, </w:t>
      </w:r>
      <w:r w:rsidRPr="006469AD">
        <w:rPr>
          <w:rFonts w:ascii="Times New Roman" w:hAnsi="Times New Roman" w:cs="Times New Roman"/>
          <w:sz w:val="22"/>
          <w:szCs w:val="22"/>
        </w:rPr>
        <w:t>980 P.2d , 800</w:t>
      </w:r>
      <w:r w:rsidRPr="006469AD">
        <w:rPr>
          <w:rFonts w:ascii="Times New Roman" w:hAnsi="Times New Roman" w:cs="Times New Roman"/>
          <w:color w:val="1A1A1A"/>
          <w:sz w:val="22"/>
          <w:szCs w:val="22"/>
        </w:rPr>
        <w:t xml:space="preserve">. “Where an appellate court leaves the trial court on remand with a mere mathematical problem mandated by the appellate court, </w:t>
      </w:r>
      <w:r w:rsidRPr="006469AD">
        <w:rPr>
          <w:rFonts w:ascii="Times New Roman" w:hAnsi="Times New Roman" w:cs="Times New Roman"/>
          <w:b/>
          <w:bCs/>
          <w:sz w:val="22"/>
          <w:szCs w:val="22"/>
        </w:rPr>
        <w:t>interest</w:t>
      </w:r>
      <w:r w:rsidRPr="006469AD">
        <w:rPr>
          <w:rFonts w:ascii="Times New Roman" w:hAnsi="Times New Roman" w:cs="Times New Roman"/>
          <w:color w:val="1A1A1A"/>
          <w:sz w:val="22"/>
          <w:szCs w:val="22"/>
        </w:rPr>
        <w:t xml:space="preserve"> runs from the date of the original judgment. “</w:t>
      </w:r>
    </w:p>
  </w:footnote>
  <w:footnote w:id="30">
    <w:p w14:paraId="46E93AFC" w14:textId="77DA5FA0"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Qwest’s Post-Hearing Opening Brief at ¶  3.</w:t>
      </w:r>
    </w:p>
  </w:footnote>
  <w:footnote w:id="31">
    <w:p w14:paraId="19C306DD" w14:textId="0651EBAE"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Qwest’s </w:t>
      </w:r>
      <w:r w:rsidRPr="006469AD">
        <w:rPr>
          <w:rFonts w:ascii="Times New Roman" w:hAnsi="Times New Roman" w:cs="Times New Roman"/>
          <w:i/>
          <w:sz w:val="22"/>
          <w:szCs w:val="22"/>
        </w:rPr>
        <w:t>Post-Hearing Initial Brief</w:t>
      </w:r>
      <w:r w:rsidRPr="006469AD">
        <w:rPr>
          <w:rFonts w:ascii="Times New Roman" w:hAnsi="Times New Roman" w:cs="Times New Roman"/>
          <w:sz w:val="22"/>
          <w:szCs w:val="22"/>
        </w:rPr>
        <w:t xml:space="preserve"> at ¶ 54.</w:t>
      </w:r>
    </w:p>
  </w:footnote>
  <w:footnote w:id="32">
    <w:p w14:paraId="42D8AF5F" w14:textId="641A6C1E"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Shiffman, TR. 486:18 – 487:4</w:t>
      </w:r>
    </w:p>
  </w:footnote>
  <w:footnote w:id="33">
    <w:p w14:paraId="3D2912BC" w14:textId="53954605" w:rsidR="006469AD" w:rsidRPr="006469AD" w:rsidRDefault="006469A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Easton, TR. 384:20 – 385:13.</w:t>
      </w:r>
    </w:p>
  </w:footnote>
  <w:footnote w:id="34">
    <w:p w14:paraId="580FF427" w14:textId="460A1DCB"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110 Stat.56, Pub. L. 104-104 (Feb. 8, 1996), 47 U.S.C. 251(c)(2)(D)</w:t>
      </w:r>
    </w:p>
  </w:footnote>
  <w:footnote w:id="35">
    <w:p w14:paraId="5DD42D82" w14:textId="7A434DF9" w:rsidR="000F287D" w:rsidRPr="006469AD" w:rsidRDefault="000F287D">
      <w:pPr>
        <w:pStyle w:val="FootnoteText"/>
        <w:rPr>
          <w:rFonts w:ascii="Times New Roman" w:hAnsi="Times New Roman" w:cs="Times New Roman"/>
          <w:sz w:val="22"/>
          <w:szCs w:val="22"/>
        </w:rPr>
      </w:pPr>
      <w:r w:rsidRPr="006469AD">
        <w:rPr>
          <w:rStyle w:val="FootnoteReference"/>
          <w:rFonts w:ascii="Times New Roman" w:hAnsi="Times New Roman" w:cs="Times New Roman"/>
          <w:sz w:val="22"/>
          <w:szCs w:val="22"/>
        </w:rPr>
        <w:footnoteRef/>
      </w:r>
      <w:r w:rsidRPr="006469AD">
        <w:rPr>
          <w:rFonts w:ascii="Times New Roman" w:hAnsi="Times New Roman" w:cs="Times New Roman"/>
          <w:sz w:val="22"/>
          <w:szCs w:val="22"/>
        </w:rPr>
        <w:t xml:space="preserve"> </w:t>
      </w:r>
      <w:r w:rsidRPr="006469AD">
        <w:rPr>
          <w:rFonts w:ascii="Times New Roman" w:hAnsi="Times New Roman" w:cs="Times New Roman"/>
          <w:i/>
          <w:sz w:val="22"/>
          <w:szCs w:val="22"/>
        </w:rPr>
        <w:t>Qwest</w:t>
      </w:r>
      <w:r w:rsidRPr="006469AD">
        <w:rPr>
          <w:rFonts w:ascii="Times New Roman" w:hAnsi="Times New Roman" w:cs="Times New Roman"/>
          <w:sz w:val="22"/>
          <w:szCs w:val="22"/>
        </w:rPr>
        <w:t>, 484 F.Supp.2d, at 1177.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A0C82"/>
    <w:multiLevelType w:val="hybridMultilevel"/>
    <w:tmpl w:val="FF0898EA"/>
    <w:lvl w:ilvl="0" w:tplc="416639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04269"/>
    <w:multiLevelType w:val="hybridMultilevel"/>
    <w:tmpl w:val="17D497BE"/>
    <w:lvl w:ilvl="0" w:tplc="8F2295AE">
      <w:start w:val="1"/>
      <w:numFmt w:val="decimal"/>
      <w:lvlText w:val="%1."/>
      <w:lvlJc w:val="left"/>
      <w:pPr>
        <w:ind w:left="2880" w:hanging="360"/>
      </w:pPr>
      <w:rPr>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A6"/>
    <w:rsid w:val="00016043"/>
    <w:rsid w:val="00024988"/>
    <w:rsid w:val="00032EAB"/>
    <w:rsid w:val="0008196B"/>
    <w:rsid w:val="000B5914"/>
    <w:rsid w:val="000E1905"/>
    <w:rsid w:val="000F287D"/>
    <w:rsid w:val="001049C0"/>
    <w:rsid w:val="00170ACE"/>
    <w:rsid w:val="00256A4B"/>
    <w:rsid w:val="00257CF3"/>
    <w:rsid w:val="002777D9"/>
    <w:rsid w:val="002B3515"/>
    <w:rsid w:val="002F0360"/>
    <w:rsid w:val="00310482"/>
    <w:rsid w:val="0036293E"/>
    <w:rsid w:val="003B1DC2"/>
    <w:rsid w:val="003E0149"/>
    <w:rsid w:val="003E0283"/>
    <w:rsid w:val="003E16FB"/>
    <w:rsid w:val="0040279E"/>
    <w:rsid w:val="00475284"/>
    <w:rsid w:val="004A241E"/>
    <w:rsid w:val="004A6433"/>
    <w:rsid w:val="004C40CD"/>
    <w:rsid w:val="00516855"/>
    <w:rsid w:val="00530040"/>
    <w:rsid w:val="005445D5"/>
    <w:rsid w:val="00641BE3"/>
    <w:rsid w:val="006469AD"/>
    <w:rsid w:val="00681755"/>
    <w:rsid w:val="006A33EF"/>
    <w:rsid w:val="00711902"/>
    <w:rsid w:val="007B2DD5"/>
    <w:rsid w:val="007F1A0A"/>
    <w:rsid w:val="00807AC4"/>
    <w:rsid w:val="00810283"/>
    <w:rsid w:val="00876E1F"/>
    <w:rsid w:val="008901C3"/>
    <w:rsid w:val="0089405B"/>
    <w:rsid w:val="008B6D5C"/>
    <w:rsid w:val="0099077B"/>
    <w:rsid w:val="009A1A03"/>
    <w:rsid w:val="009B2858"/>
    <w:rsid w:val="009B31B5"/>
    <w:rsid w:val="009D7A75"/>
    <w:rsid w:val="00A35C09"/>
    <w:rsid w:val="00AA6B9E"/>
    <w:rsid w:val="00B438CF"/>
    <w:rsid w:val="00BB0FE5"/>
    <w:rsid w:val="00BD7408"/>
    <w:rsid w:val="00C311EA"/>
    <w:rsid w:val="00C665B5"/>
    <w:rsid w:val="00CB4386"/>
    <w:rsid w:val="00CC3B56"/>
    <w:rsid w:val="00D04BB3"/>
    <w:rsid w:val="00D07EEE"/>
    <w:rsid w:val="00D279A6"/>
    <w:rsid w:val="00D42DD7"/>
    <w:rsid w:val="00D9483C"/>
    <w:rsid w:val="00DB7B03"/>
    <w:rsid w:val="00DE5973"/>
    <w:rsid w:val="00E43C4E"/>
    <w:rsid w:val="00F1704A"/>
    <w:rsid w:val="00F53D25"/>
    <w:rsid w:val="00F704AD"/>
    <w:rsid w:val="00FB5331"/>
    <w:rsid w:val="00FC0735"/>
    <w:rsid w:val="00FF3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A72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A6"/>
    <w:pPr>
      <w:ind w:left="720"/>
      <w:contextualSpacing/>
    </w:pPr>
  </w:style>
  <w:style w:type="paragraph" w:customStyle="1" w:styleId="Default">
    <w:name w:val="Default"/>
    <w:uiPriority w:val="99"/>
    <w:rsid w:val="008B6D5C"/>
    <w:pPr>
      <w:autoSpaceDE w:val="0"/>
      <w:autoSpaceDN w:val="0"/>
      <w:adjustRightInd w:val="0"/>
    </w:pPr>
    <w:rPr>
      <w:rFonts w:ascii="Times New Roman" w:eastAsia="Times New Roman" w:hAnsi="Times New Roman" w:cs="Times New Roman"/>
      <w:color w:val="000000"/>
    </w:rPr>
  </w:style>
  <w:style w:type="paragraph" w:styleId="BodyText">
    <w:name w:val="Body Text"/>
    <w:basedOn w:val="Normal"/>
    <w:link w:val="BodyTextChar"/>
    <w:rsid w:val="000E1905"/>
    <w:pPr>
      <w:jc w:val="center"/>
    </w:pPr>
    <w:rPr>
      <w:rFonts w:ascii="Times New Roman" w:eastAsia="Times New Roman" w:hAnsi="Times New Roman" w:cs="Times New Roman"/>
    </w:rPr>
  </w:style>
  <w:style w:type="character" w:customStyle="1" w:styleId="BodyTextChar">
    <w:name w:val="Body Text Char"/>
    <w:basedOn w:val="DefaultParagraphFont"/>
    <w:link w:val="BodyText"/>
    <w:rsid w:val="000E1905"/>
    <w:rPr>
      <w:rFonts w:ascii="Times New Roman" w:eastAsia="Times New Roman" w:hAnsi="Times New Roman" w:cs="Times New Roman"/>
    </w:rPr>
  </w:style>
  <w:style w:type="paragraph" w:customStyle="1" w:styleId="single">
    <w:name w:val="single"/>
    <w:basedOn w:val="Normal"/>
    <w:rsid w:val="000E1905"/>
    <w:pPr>
      <w:spacing w:before="240" w:line="240" w:lineRule="atLeast"/>
      <w:ind w:firstLine="720"/>
    </w:pPr>
    <w:rPr>
      <w:rFonts w:ascii="Times New Roman" w:eastAsia="Times New Roman" w:hAnsi="Times New Roman" w:cs="Times New Roman"/>
      <w:szCs w:val="20"/>
    </w:rPr>
  </w:style>
  <w:style w:type="paragraph" w:styleId="Header">
    <w:name w:val="header"/>
    <w:basedOn w:val="Normal"/>
    <w:link w:val="HeaderChar"/>
    <w:uiPriority w:val="99"/>
    <w:unhideWhenUsed/>
    <w:rsid w:val="000E1905"/>
    <w:pPr>
      <w:tabs>
        <w:tab w:val="center" w:pos="4320"/>
        <w:tab w:val="right" w:pos="8640"/>
      </w:tabs>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320"/>
        <w:tab w:val="right" w:pos="8640"/>
      </w:tabs>
    </w:pPr>
  </w:style>
  <w:style w:type="character" w:customStyle="1" w:styleId="FooterChar">
    <w:name w:val="Footer Char"/>
    <w:basedOn w:val="DefaultParagraphFont"/>
    <w:link w:val="Footer"/>
    <w:uiPriority w:val="99"/>
    <w:rsid w:val="000E1905"/>
  </w:style>
  <w:style w:type="character" w:styleId="PageNumber">
    <w:name w:val="page number"/>
    <w:basedOn w:val="DefaultParagraphFont"/>
    <w:uiPriority w:val="99"/>
    <w:semiHidden/>
    <w:unhideWhenUsed/>
    <w:rsid w:val="000E1905"/>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t,fn Cha"/>
    <w:basedOn w:val="Normal"/>
    <w:link w:val="FootnoteTextChar"/>
    <w:unhideWhenUsed/>
    <w:rsid w:val="00681755"/>
  </w:style>
  <w:style w:type="character" w:customStyle="1" w:styleId="FootnoteTextChar">
    <w:name w:val="Footnote Text Char"/>
    <w:aliases w:val="fn Char,ALTS FOOTNOTE Char,Footnote Text 2 Char,Footnote Text Char2 Char1 Char,Footnote Text Char1 Char1 Char Char,Footnote Text Char Char5 Char Char Char,Footnote Text Char2 Char1 Char Char Char Char,ft Char,fn Cha Char"/>
    <w:basedOn w:val="DefaultParagraphFont"/>
    <w:link w:val="FootnoteText"/>
    <w:uiPriority w:val="99"/>
    <w:rsid w:val="00681755"/>
  </w:style>
  <w:style w:type="character" w:styleId="FootnoteReference">
    <w:name w:val="footnote reference"/>
    <w:aliases w:val="Style 3,o,fr"/>
    <w:basedOn w:val="DefaultParagraphFont"/>
    <w:uiPriority w:val="99"/>
    <w:unhideWhenUsed/>
    <w:rsid w:val="00681755"/>
    <w:rPr>
      <w:vertAlign w:val="superscript"/>
    </w:rPr>
  </w:style>
  <w:style w:type="paragraph" w:styleId="Title">
    <w:name w:val="Title"/>
    <w:basedOn w:val="Normal"/>
    <w:link w:val="TitleChar"/>
    <w:qFormat/>
    <w:rsid w:val="00F704AD"/>
    <w:pPr>
      <w:spacing w:after="240"/>
      <w:jc w:val="center"/>
    </w:pPr>
    <w:rPr>
      <w:rFonts w:ascii="Times New Roman" w:eastAsia="Times New Roman" w:hAnsi="Times New Roman" w:cs="Arial"/>
      <w:bCs/>
      <w:noProof/>
      <w:szCs w:val="32"/>
    </w:rPr>
  </w:style>
  <w:style w:type="character" w:customStyle="1" w:styleId="TitleChar">
    <w:name w:val="Title Char"/>
    <w:basedOn w:val="DefaultParagraphFont"/>
    <w:link w:val="Title"/>
    <w:rsid w:val="00F704AD"/>
    <w:rPr>
      <w:rFonts w:ascii="Times New Roman" w:eastAsia="Times New Roman" w:hAnsi="Times New Roman" w:cs="Arial"/>
      <w:bCs/>
      <w:noProof/>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9A6"/>
    <w:pPr>
      <w:ind w:left="720"/>
      <w:contextualSpacing/>
    </w:pPr>
  </w:style>
  <w:style w:type="paragraph" w:customStyle="1" w:styleId="Default">
    <w:name w:val="Default"/>
    <w:uiPriority w:val="99"/>
    <w:rsid w:val="008B6D5C"/>
    <w:pPr>
      <w:autoSpaceDE w:val="0"/>
      <w:autoSpaceDN w:val="0"/>
      <w:adjustRightInd w:val="0"/>
    </w:pPr>
    <w:rPr>
      <w:rFonts w:ascii="Times New Roman" w:eastAsia="Times New Roman" w:hAnsi="Times New Roman" w:cs="Times New Roman"/>
      <w:color w:val="000000"/>
    </w:rPr>
  </w:style>
  <w:style w:type="paragraph" w:styleId="BodyText">
    <w:name w:val="Body Text"/>
    <w:basedOn w:val="Normal"/>
    <w:link w:val="BodyTextChar"/>
    <w:rsid w:val="000E1905"/>
    <w:pPr>
      <w:jc w:val="center"/>
    </w:pPr>
    <w:rPr>
      <w:rFonts w:ascii="Times New Roman" w:eastAsia="Times New Roman" w:hAnsi="Times New Roman" w:cs="Times New Roman"/>
    </w:rPr>
  </w:style>
  <w:style w:type="character" w:customStyle="1" w:styleId="BodyTextChar">
    <w:name w:val="Body Text Char"/>
    <w:basedOn w:val="DefaultParagraphFont"/>
    <w:link w:val="BodyText"/>
    <w:rsid w:val="000E1905"/>
    <w:rPr>
      <w:rFonts w:ascii="Times New Roman" w:eastAsia="Times New Roman" w:hAnsi="Times New Roman" w:cs="Times New Roman"/>
    </w:rPr>
  </w:style>
  <w:style w:type="paragraph" w:customStyle="1" w:styleId="single">
    <w:name w:val="single"/>
    <w:basedOn w:val="Normal"/>
    <w:rsid w:val="000E1905"/>
    <w:pPr>
      <w:spacing w:before="240" w:line="240" w:lineRule="atLeast"/>
      <w:ind w:firstLine="720"/>
    </w:pPr>
    <w:rPr>
      <w:rFonts w:ascii="Times New Roman" w:eastAsia="Times New Roman" w:hAnsi="Times New Roman" w:cs="Times New Roman"/>
      <w:szCs w:val="20"/>
    </w:rPr>
  </w:style>
  <w:style w:type="paragraph" w:styleId="Header">
    <w:name w:val="header"/>
    <w:basedOn w:val="Normal"/>
    <w:link w:val="HeaderChar"/>
    <w:uiPriority w:val="99"/>
    <w:unhideWhenUsed/>
    <w:rsid w:val="000E1905"/>
    <w:pPr>
      <w:tabs>
        <w:tab w:val="center" w:pos="4320"/>
        <w:tab w:val="right" w:pos="8640"/>
      </w:tabs>
    </w:pPr>
  </w:style>
  <w:style w:type="character" w:customStyle="1" w:styleId="HeaderChar">
    <w:name w:val="Header Char"/>
    <w:basedOn w:val="DefaultParagraphFont"/>
    <w:link w:val="Header"/>
    <w:uiPriority w:val="99"/>
    <w:rsid w:val="000E1905"/>
  </w:style>
  <w:style w:type="paragraph" w:styleId="Footer">
    <w:name w:val="footer"/>
    <w:basedOn w:val="Normal"/>
    <w:link w:val="FooterChar"/>
    <w:uiPriority w:val="99"/>
    <w:unhideWhenUsed/>
    <w:rsid w:val="000E1905"/>
    <w:pPr>
      <w:tabs>
        <w:tab w:val="center" w:pos="4320"/>
        <w:tab w:val="right" w:pos="8640"/>
      </w:tabs>
    </w:pPr>
  </w:style>
  <w:style w:type="character" w:customStyle="1" w:styleId="FooterChar">
    <w:name w:val="Footer Char"/>
    <w:basedOn w:val="DefaultParagraphFont"/>
    <w:link w:val="Footer"/>
    <w:uiPriority w:val="99"/>
    <w:rsid w:val="000E1905"/>
  </w:style>
  <w:style w:type="character" w:styleId="PageNumber">
    <w:name w:val="page number"/>
    <w:basedOn w:val="DefaultParagraphFont"/>
    <w:uiPriority w:val="99"/>
    <w:semiHidden/>
    <w:unhideWhenUsed/>
    <w:rsid w:val="000E1905"/>
  </w:style>
  <w:style w:type="paragraph" w:styleId="FootnoteText">
    <w:name w:val="footnote text"/>
    <w:aliases w:val="fn,ALTS FOOTNOTE,Footnote Text 2,Footnote Text Char2 Char1,Footnote Text Char1 Char1 Char,Footnote Text Char Char5 Char Char,Footnote Text Char2 Char1 Char Char Char,Footnote Text Char Char5 Char Char Char Char,ft,fn Cha"/>
    <w:basedOn w:val="Normal"/>
    <w:link w:val="FootnoteTextChar"/>
    <w:unhideWhenUsed/>
    <w:rsid w:val="00681755"/>
  </w:style>
  <w:style w:type="character" w:customStyle="1" w:styleId="FootnoteTextChar">
    <w:name w:val="Footnote Text Char"/>
    <w:aliases w:val="fn Char,ALTS FOOTNOTE Char,Footnote Text 2 Char,Footnote Text Char2 Char1 Char,Footnote Text Char1 Char1 Char Char,Footnote Text Char Char5 Char Char Char,Footnote Text Char2 Char1 Char Char Char Char,ft Char,fn Cha Char"/>
    <w:basedOn w:val="DefaultParagraphFont"/>
    <w:link w:val="FootnoteText"/>
    <w:uiPriority w:val="99"/>
    <w:rsid w:val="00681755"/>
  </w:style>
  <w:style w:type="character" w:styleId="FootnoteReference">
    <w:name w:val="footnote reference"/>
    <w:aliases w:val="Style 3,o,fr"/>
    <w:basedOn w:val="DefaultParagraphFont"/>
    <w:uiPriority w:val="99"/>
    <w:unhideWhenUsed/>
    <w:rsid w:val="00681755"/>
    <w:rPr>
      <w:vertAlign w:val="superscript"/>
    </w:rPr>
  </w:style>
  <w:style w:type="paragraph" w:styleId="Title">
    <w:name w:val="Title"/>
    <w:basedOn w:val="Normal"/>
    <w:link w:val="TitleChar"/>
    <w:qFormat/>
    <w:rsid w:val="00F704AD"/>
    <w:pPr>
      <w:spacing w:after="240"/>
      <w:jc w:val="center"/>
    </w:pPr>
    <w:rPr>
      <w:rFonts w:ascii="Times New Roman" w:eastAsia="Times New Roman" w:hAnsi="Times New Roman" w:cs="Arial"/>
      <w:bCs/>
      <w:noProof/>
      <w:szCs w:val="32"/>
    </w:rPr>
  </w:style>
  <w:style w:type="character" w:customStyle="1" w:styleId="TitleChar">
    <w:name w:val="Title Char"/>
    <w:basedOn w:val="DefaultParagraphFont"/>
    <w:link w:val="Title"/>
    <w:rsid w:val="00F704AD"/>
    <w:rPr>
      <w:rFonts w:ascii="Times New Roman" w:eastAsia="Times New Roman" w:hAnsi="Times New Roman" w:cs="Arial"/>
      <w:bCs/>
      <w:noProo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scholar_case?case=11401145655161934627&amp;q=prejudgment+interest+following+reversal&amp;hl=en&amp;as_sdt=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2013-03-26T07:00:00+00:00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EF6EB57-A3FC-4E82-A58A-61304CCC047D}"/>
</file>

<file path=customXml/itemProps2.xml><?xml version="1.0" encoding="utf-8"?>
<ds:datastoreItem xmlns:ds="http://schemas.openxmlformats.org/officeDocument/2006/customXml" ds:itemID="{3F0C2639-DE5F-4632-8382-C20B08A7EFD5}"/>
</file>

<file path=customXml/itemProps3.xml><?xml version="1.0" encoding="utf-8"?>
<ds:datastoreItem xmlns:ds="http://schemas.openxmlformats.org/officeDocument/2006/customXml" ds:itemID="{B92613A4-5AB4-4690-9214-2924FE167793}"/>
</file>

<file path=customXml/itemProps4.xml><?xml version="1.0" encoding="utf-8"?>
<ds:datastoreItem xmlns:ds="http://schemas.openxmlformats.org/officeDocument/2006/customXml" ds:itemID="{EFB8DE75-61F6-4AE6-9591-D7C038B05AB5}"/>
</file>

<file path=docProps/app.xml><?xml version="1.0" encoding="utf-8"?>
<Properties xmlns="http://schemas.openxmlformats.org/officeDocument/2006/extended-properties" xmlns:vt="http://schemas.openxmlformats.org/officeDocument/2006/docPropsVTypes">
  <Template>Normal.dotm</Template>
  <TotalTime>1</TotalTime>
  <Pages>11</Pages>
  <Words>2097</Words>
  <Characters>11953</Characters>
  <Application>Microsoft Macintosh Word</Application>
  <DocSecurity>0</DocSecurity>
  <Lines>99</Lines>
  <Paragraphs>28</Paragraphs>
  <ScaleCrop>false</ScaleCrop>
  <Company/>
  <LinksUpToDate>false</LinksUpToDate>
  <CharactersWithSpaces>14022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4</cp:revision>
  <dcterms:created xsi:type="dcterms:W3CDTF">2013-03-26T21:49:00Z</dcterms:created>
  <dcterms:modified xsi:type="dcterms:W3CDTF">2013-03-26T21:53:00Z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