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720"/>
        <w:tblW w:w="14683" w:type="dxa"/>
        <w:tblLayout w:type="fixed"/>
        <w:tblLook w:val="04A0" w:firstRow="1" w:lastRow="0" w:firstColumn="1" w:lastColumn="0" w:noHBand="0" w:noVBand="1"/>
      </w:tblPr>
      <w:tblGrid>
        <w:gridCol w:w="1705"/>
        <w:gridCol w:w="1530"/>
        <w:gridCol w:w="7200"/>
        <w:gridCol w:w="4248"/>
      </w:tblGrid>
      <w:tr w:rsidR="005B3A59" w:rsidRPr="00EC52EE" w14:paraId="751F5E37" w14:textId="77777777" w:rsidTr="002B46DD">
        <w:trPr>
          <w:cantSplit/>
          <w:trHeight w:val="1104"/>
          <w:tblHeader/>
        </w:trPr>
        <w:tc>
          <w:tcPr>
            <w:tcW w:w="1705" w:type="dxa"/>
            <w:shd w:val="clear" w:color="auto" w:fill="D9D9D9" w:themeFill="background1" w:themeFillShade="D9"/>
          </w:tcPr>
          <w:p w14:paraId="751F5E30" w14:textId="77777777" w:rsidR="005B3A59" w:rsidRPr="00EC52EE" w:rsidRDefault="005B3A59" w:rsidP="00A95469">
            <w:pPr>
              <w:jc w:val="center"/>
              <w:rPr>
                <w:rFonts w:ascii="Times New Roman" w:hAnsi="Times New Roman" w:cs="Times New Roman"/>
                <w:b/>
                <w:sz w:val="24"/>
                <w:szCs w:val="24"/>
              </w:rPr>
            </w:pPr>
            <w:bookmarkStart w:id="0" w:name="_GoBack"/>
            <w:bookmarkEnd w:id="0"/>
            <w:r w:rsidRPr="00EC52EE">
              <w:rPr>
                <w:rFonts w:ascii="Times New Roman" w:hAnsi="Times New Roman" w:cs="Times New Roman"/>
                <w:b/>
                <w:sz w:val="24"/>
                <w:szCs w:val="24"/>
              </w:rPr>
              <w:t xml:space="preserve">WAC </w:t>
            </w:r>
          </w:p>
          <w:p w14:paraId="751F5E31" w14:textId="77777777" w:rsidR="005B3A59" w:rsidRPr="00EC52EE" w:rsidRDefault="005B3A59" w:rsidP="00A95469">
            <w:pPr>
              <w:jc w:val="center"/>
              <w:rPr>
                <w:rFonts w:ascii="Times New Roman" w:hAnsi="Times New Roman" w:cs="Times New Roman"/>
                <w:b/>
                <w:sz w:val="24"/>
                <w:szCs w:val="24"/>
              </w:rPr>
            </w:pPr>
            <w:r w:rsidRPr="00EC52EE">
              <w:rPr>
                <w:rFonts w:ascii="Times New Roman" w:hAnsi="Times New Roman" w:cs="Times New Roman"/>
                <w:b/>
                <w:sz w:val="24"/>
                <w:szCs w:val="24"/>
              </w:rPr>
              <w:t>480-90-178</w:t>
            </w:r>
          </w:p>
          <w:p w14:paraId="751F5E32" w14:textId="77777777" w:rsidR="005B3A59" w:rsidRPr="00EC52EE" w:rsidRDefault="005B3A59" w:rsidP="00A95469">
            <w:pPr>
              <w:jc w:val="center"/>
              <w:rPr>
                <w:rFonts w:ascii="Times New Roman" w:hAnsi="Times New Roman" w:cs="Times New Roman"/>
                <w:b/>
                <w:sz w:val="24"/>
                <w:szCs w:val="24"/>
              </w:rPr>
            </w:pPr>
            <w:r w:rsidRPr="00EC52EE">
              <w:rPr>
                <w:rFonts w:ascii="Times New Roman" w:hAnsi="Times New Roman" w:cs="Times New Roman"/>
                <w:b/>
                <w:sz w:val="24"/>
                <w:szCs w:val="24"/>
              </w:rPr>
              <w:t>480-100-178</w:t>
            </w:r>
          </w:p>
          <w:p w14:paraId="751F5E33" w14:textId="77777777" w:rsidR="005B3A59" w:rsidRPr="00EC52EE" w:rsidRDefault="005B3A59" w:rsidP="00A95469">
            <w:pPr>
              <w:jc w:val="center"/>
              <w:rPr>
                <w:rFonts w:ascii="Times New Roman" w:hAnsi="Times New Roman" w:cs="Times New Roman"/>
                <w:b/>
                <w:sz w:val="24"/>
                <w:szCs w:val="24"/>
              </w:rPr>
            </w:pPr>
            <w:r w:rsidRPr="00EC52EE">
              <w:rPr>
                <w:rFonts w:ascii="Times New Roman" w:hAnsi="Times New Roman" w:cs="Times New Roman"/>
                <w:b/>
                <w:sz w:val="24"/>
                <w:szCs w:val="24"/>
              </w:rPr>
              <w:t xml:space="preserve">  Topic</w:t>
            </w:r>
          </w:p>
        </w:tc>
        <w:tc>
          <w:tcPr>
            <w:tcW w:w="1530" w:type="dxa"/>
            <w:shd w:val="clear" w:color="auto" w:fill="D9D9D9" w:themeFill="background1" w:themeFillShade="D9"/>
            <w:vAlign w:val="bottom"/>
          </w:tcPr>
          <w:p w14:paraId="751F5E34" w14:textId="77777777" w:rsidR="005B3A59" w:rsidRPr="00EC52EE" w:rsidRDefault="005B3A59" w:rsidP="00A95469">
            <w:pPr>
              <w:jc w:val="center"/>
              <w:rPr>
                <w:rFonts w:ascii="Times New Roman" w:hAnsi="Times New Roman" w:cs="Times New Roman"/>
                <w:b/>
                <w:sz w:val="24"/>
                <w:szCs w:val="24"/>
              </w:rPr>
            </w:pPr>
            <w:r w:rsidRPr="00EC52EE">
              <w:rPr>
                <w:rFonts w:ascii="Times New Roman" w:hAnsi="Times New Roman" w:cs="Times New Roman"/>
                <w:b/>
                <w:sz w:val="24"/>
                <w:szCs w:val="24"/>
              </w:rPr>
              <w:t>Commenter</w:t>
            </w:r>
          </w:p>
        </w:tc>
        <w:tc>
          <w:tcPr>
            <w:tcW w:w="7200" w:type="dxa"/>
            <w:shd w:val="clear" w:color="auto" w:fill="D9D9D9" w:themeFill="background1" w:themeFillShade="D9"/>
            <w:vAlign w:val="bottom"/>
          </w:tcPr>
          <w:p w14:paraId="751F5E35" w14:textId="77777777" w:rsidR="005B3A59" w:rsidRPr="00EC52EE" w:rsidRDefault="005B3A59" w:rsidP="00A95469">
            <w:pPr>
              <w:jc w:val="center"/>
              <w:rPr>
                <w:rFonts w:ascii="Times New Roman" w:hAnsi="Times New Roman" w:cs="Times New Roman"/>
                <w:b/>
                <w:sz w:val="24"/>
                <w:szCs w:val="24"/>
              </w:rPr>
            </w:pPr>
            <w:r w:rsidRPr="00EC52EE">
              <w:rPr>
                <w:rFonts w:ascii="Times New Roman" w:hAnsi="Times New Roman" w:cs="Times New Roman"/>
                <w:b/>
                <w:sz w:val="24"/>
                <w:szCs w:val="24"/>
              </w:rPr>
              <w:t>Comment</w:t>
            </w:r>
          </w:p>
        </w:tc>
        <w:tc>
          <w:tcPr>
            <w:tcW w:w="4248" w:type="dxa"/>
            <w:shd w:val="clear" w:color="auto" w:fill="D9D9D9" w:themeFill="background1" w:themeFillShade="D9"/>
            <w:vAlign w:val="bottom"/>
          </w:tcPr>
          <w:p w14:paraId="751F5E36" w14:textId="77777777" w:rsidR="005B3A59" w:rsidRPr="00EC52EE" w:rsidRDefault="005B3A59" w:rsidP="00A95469">
            <w:pPr>
              <w:jc w:val="center"/>
              <w:rPr>
                <w:rFonts w:ascii="Times New Roman" w:hAnsi="Times New Roman" w:cs="Times New Roman"/>
                <w:b/>
                <w:sz w:val="24"/>
                <w:szCs w:val="24"/>
              </w:rPr>
            </w:pPr>
            <w:r w:rsidRPr="00EC52EE">
              <w:rPr>
                <w:rFonts w:ascii="Times New Roman" w:hAnsi="Times New Roman" w:cs="Times New Roman"/>
                <w:b/>
                <w:sz w:val="24"/>
                <w:szCs w:val="24"/>
              </w:rPr>
              <w:t>Staff Response</w:t>
            </w:r>
          </w:p>
        </w:tc>
      </w:tr>
      <w:tr w:rsidR="005B3A59" w:rsidRPr="00EC52EE" w14:paraId="751F5E5C" w14:textId="77777777" w:rsidTr="002B46DD">
        <w:trPr>
          <w:cantSplit/>
          <w:trHeight w:val="980"/>
        </w:trPr>
        <w:tc>
          <w:tcPr>
            <w:tcW w:w="1705" w:type="dxa"/>
          </w:tcPr>
          <w:p w14:paraId="751F5E38" w14:textId="77777777" w:rsidR="005B3A59" w:rsidRPr="00EC52EE" w:rsidRDefault="005B3A59" w:rsidP="00A95469">
            <w:pPr>
              <w:rPr>
                <w:rFonts w:ascii="Times New Roman" w:hAnsi="Times New Roman" w:cs="Times New Roman"/>
                <w:b/>
                <w:sz w:val="24"/>
                <w:szCs w:val="24"/>
              </w:rPr>
            </w:pPr>
            <w:r w:rsidRPr="00EC52EE">
              <w:rPr>
                <w:rFonts w:ascii="Times New Roman" w:hAnsi="Times New Roman" w:cs="Times New Roman"/>
                <w:b/>
                <w:sz w:val="24"/>
                <w:szCs w:val="24"/>
              </w:rPr>
              <w:t>Economic hardship experienced by ratepayers as a result of utility equipment or billing practice errors</w:t>
            </w:r>
          </w:p>
          <w:p w14:paraId="751F5E39" w14:textId="77777777" w:rsidR="005B3A59" w:rsidRPr="00EC52EE" w:rsidRDefault="005B3A59" w:rsidP="00A95469">
            <w:pPr>
              <w:rPr>
                <w:rFonts w:ascii="Times New Roman" w:hAnsi="Times New Roman" w:cs="Times New Roman"/>
                <w:b/>
                <w:sz w:val="24"/>
                <w:szCs w:val="24"/>
              </w:rPr>
            </w:pPr>
          </w:p>
          <w:p w14:paraId="751F5E3A" w14:textId="77777777" w:rsidR="005B3A59" w:rsidRPr="00EC52EE" w:rsidRDefault="005B3A59" w:rsidP="00A95469">
            <w:pPr>
              <w:rPr>
                <w:rFonts w:ascii="Times New Roman" w:hAnsi="Times New Roman" w:cs="Times New Roman"/>
                <w:b/>
                <w:sz w:val="24"/>
                <w:szCs w:val="24"/>
              </w:rPr>
            </w:pPr>
          </w:p>
          <w:p w14:paraId="751F5E3B" w14:textId="77777777" w:rsidR="005B3A59" w:rsidRPr="00EC52EE" w:rsidRDefault="005B3A59" w:rsidP="00A95469">
            <w:pPr>
              <w:rPr>
                <w:rFonts w:ascii="Times New Roman" w:hAnsi="Times New Roman" w:cs="Times New Roman"/>
                <w:b/>
                <w:sz w:val="24"/>
                <w:szCs w:val="24"/>
              </w:rPr>
            </w:pPr>
          </w:p>
          <w:p w14:paraId="751F5E3C" w14:textId="77777777" w:rsidR="005B3A59" w:rsidRPr="00EC52EE" w:rsidRDefault="005B3A59" w:rsidP="00A95469">
            <w:pPr>
              <w:rPr>
                <w:rFonts w:ascii="Times New Roman" w:hAnsi="Times New Roman" w:cs="Times New Roman"/>
                <w:b/>
                <w:sz w:val="24"/>
                <w:szCs w:val="24"/>
              </w:rPr>
            </w:pPr>
          </w:p>
          <w:p w14:paraId="751F5E3D" w14:textId="77777777" w:rsidR="005B3A59" w:rsidRPr="00EC52EE" w:rsidRDefault="005B3A59" w:rsidP="00A95469">
            <w:pPr>
              <w:rPr>
                <w:rFonts w:ascii="Times New Roman" w:hAnsi="Times New Roman" w:cs="Times New Roman"/>
                <w:b/>
                <w:sz w:val="24"/>
                <w:szCs w:val="24"/>
              </w:rPr>
            </w:pPr>
          </w:p>
          <w:p w14:paraId="751F5E3E" w14:textId="77777777" w:rsidR="005B3A59" w:rsidRPr="00EC52EE" w:rsidRDefault="005B3A59" w:rsidP="00A95469">
            <w:pPr>
              <w:rPr>
                <w:rFonts w:ascii="Times New Roman" w:hAnsi="Times New Roman" w:cs="Times New Roman"/>
                <w:b/>
                <w:sz w:val="24"/>
                <w:szCs w:val="24"/>
              </w:rPr>
            </w:pPr>
          </w:p>
          <w:p w14:paraId="751F5E3F" w14:textId="77777777" w:rsidR="005B3A59" w:rsidRPr="00EC52EE" w:rsidRDefault="005B3A59" w:rsidP="00A95469">
            <w:pPr>
              <w:rPr>
                <w:rFonts w:ascii="Times New Roman" w:hAnsi="Times New Roman" w:cs="Times New Roman"/>
                <w:b/>
                <w:sz w:val="24"/>
                <w:szCs w:val="24"/>
              </w:rPr>
            </w:pPr>
          </w:p>
          <w:p w14:paraId="751F5E40" w14:textId="77777777" w:rsidR="005B3A59" w:rsidRPr="00EC52EE" w:rsidRDefault="005B3A59" w:rsidP="00A95469">
            <w:pPr>
              <w:rPr>
                <w:rFonts w:ascii="Times New Roman" w:hAnsi="Times New Roman" w:cs="Times New Roman"/>
                <w:b/>
                <w:sz w:val="24"/>
                <w:szCs w:val="24"/>
              </w:rPr>
            </w:pPr>
          </w:p>
          <w:p w14:paraId="751F5E41" w14:textId="77777777" w:rsidR="005B3A59" w:rsidRPr="00EC52EE" w:rsidRDefault="005B3A59" w:rsidP="00A95469">
            <w:pPr>
              <w:rPr>
                <w:rFonts w:ascii="Times New Roman" w:hAnsi="Times New Roman" w:cs="Times New Roman"/>
                <w:b/>
                <w:sz w:val="24"/>
                <w:szCs w:val="24"/>
              </w:rPr>
            </w:pPr>
          </w:p>
          <w:p w14:paraId="751F5E42" w14:textId="77777777" w:rsidR="005B3A59" w:rsidRPr="00EC52EE" w:rsidRDefault="005B3A59" w:rsidP="00A95469">
            <w:pPr>
              <w:rPr>
                <w:rFonts w:ascii="Times New Roman" w:hAnsi="Times New Roman" w:cs="Times New Roman"/>
                <w:b/>
                <w:sz w:val="24"/>
                <w:szCs w:val="24"/>
              </w:rPr>
            </w:pPr>
          </w:p>
          <w:p w14:paraId="751F5E43" w14:textId="77777777" w:rsidR="005B3A59" w:rsidRPr="00EC52EE" w:rsidRDefault="005B3A59" w:rsidP="00A95469">
            <w:pPr>
              <w:rPr>
                <w:rFonts w:ascii="Times New Roman" w:hAnsi="Times New Roman" w:cs="Times New Roman"/>
                <w:b/>
                <w:sz w:val="24"/>
                <w:szCs w:val="24"/>
              </w:rPr>
            </w:pPr>
          </w:p>
          <w:p w14:paraId="751F5E44" w14:textId="77777777" w:rsidR="005B3A59" w:rsidRPr="00EC52EE" w:rsidRDefault="005B3A59" w:rsidP="00A95469">
            <w:pPr>
              <w:rPr>
                <w:rFonts w:ascii="Times New Roman" w:hAnsi="Times New Roman" w:cs="Times New Roman"/>
                <w:b/>
                <w:sz w:val="24"/>
                <w:szCs w:val="24"/>
              </w:rPr>
            </w:pPr>
          </w:p>
          <w:p w14:paraId="751F5E45" w14:textId="77777777" w:rsidR="005B3A59" w:rsidRPr="00EC52EE" w:rsidRDefault="005B3A59" w:rsidP="00A95469">
            <w:pPr>
              <w:rPr>
                <w:rFonts w:ascii="Times New Roman" w:hAnsi="Times New Roman" w:cs="Times New Roman"/>
                <w:b/>
                <w:sz w:val="24"/>
                <w:szCs w:val="24"/>
              </w:rPr>
            </w:pPr>
          </w:p>
          <w:p w14:paraId="751F5E46" w14:textId="77777777" w:rsidR="005B3A59" w:rsidRPr="00EC52EE" w:rsidRDefault="005B3A59" w:rsidP="00A95469">
            <w:pPr>
              <w:rPr>
                <w:rFonts w:ascii="Times New Roman" w:hAnsi="Times New Roman" w:cs="Times New Roman"/>
                <w:b/>
                <w:sz w:val="24"/>
                <w:szCs w:val="24"/>
              </w:rPr>
            </w:pPr>
          </w:p>
          <w:p w14:paraId="751F5E47" w14:textId="77777777" w:rsidR="005B3A59" w:rsidRPr="00EC52EE" w:rsidRDefault="005B3A59" w:rsidP="00A95469">
            <w:pPr>
              <w:rPr>
                <w:rFonts w:ascii="Times New Roman" w:hAnsi="Times New Roman" w:cs="Times New Roman"/>
                <w:b/>
                <w:sz w:val="24"/>
                <w:szCs w:val="24"/>
              </w:rPr>
            </w:pPr>
          </w:p>
          <w:p w14:paraId="751F5E48" w14:textId="77777777" w:rsidR="005B3A59" w:rsidRPr="00EC52EE" w:rsidRDefault="005B3A59" w:rsidP="00A95469">
            <w:pPr>
              <w:rPr>
                <w:rFonts w:ascii="Times New Roman" w:hAnsi="Times New Roman" w:cs="Times New Roman"/>
                <w:b/>
                <w:sz w:val="24"/>
                <w:szCs w:val="24"/>
              </w:rPr>
            </w:pPr>
          </w:p>
          <w:p w14:paraId="751F5E49" w14:textId="77777777" w:rsidR="005B3A59" w:rsidRPr="00EC52EE" w:rsidRDefault="005B3A59" w:rsidP="00A95469">
            <w:pPr>
              <w:rPr>
                <w:rFonts w:ascii="Times New Roman" w:hAnsi="Times New Roman" w:cs="Times New Roman"/>
                <w:b/>
                <w:sz w:val="24"/>
                <w:szCs w:val="24"/>
              </w:rPr>
            </w:pPr>
          </w:p>
          <w:p w14:paraId="751F5E4A" w14:textId="77777777" w:rsidR="005B3A59" w:rsidRPr="00EC52EE" w:rsidRDefault="005B3A59" w:rsidP="00A95469">
            <w:pPr>
              <w:rPr>
                <w:rFonts w:ascii="Times New Roman" w:hAnsi="Times New Roman" w:cs="Times New Roman"/>
                <w:b/>
                <w:sz w:val="24"/>
                <w:szCs w:val="24"/>
              </w:rPr>
            </w:pPr>
          </w:p>
          <w:p w14:paraId="751F5E4B" w14:textId="77777777" w:rsidR="005B3A59" w:rsidRPr="00EC52EE" w:rsidRDefault="005B3A59" w:rsidP="00A95469">
            <w:pPr>
              <w:rPr>
                <w:rFonts w:ascii="Times New Roman" w:hAnsi="Times New Roman" w:cs="Times New Roman"/>
                <w:b/>
                <w:sz w:val="24"/>
                <w:szCs w:val="24"/>
              </w:rPr>
            </w:pPr>
          </w:p>
          <w:p w14:paraId="751F5E4C" w14:textId="77777777" w:rsidR="005B3A59" w:rsidRPr="00EC52EE" w:rsidRDefault="005B3A59" w:rsidP="00A95469">
            <w:pPr>
              <w:rPr>
                <w:rFonts w:ascii="Times New Roman" w:hAnsi="Times New Roman" w:cs="Times New Roman"/>
                <w:b/>
                <w:sz w:val="24"/>
                <w:szCs w:val="24"/>
              </w:rPr>
            </w:pPr>
          </w:p>
          <w:p w14:paraId="751F5E4D" w14:textId="77777777" w:rsidR="005B3A59" w:rsidRPr="00EC52EE" w:rsidRDefault="005B3A59" w:rsidP="00A95469">
            <w:pPr>
              <w:rPr>
                <w:rFonts w:ascii="Times New Roman" w:hAnsi="Times New Roman" w:cs="Times New Roman"/>
                <w:b/>
                <w:sz w:val="24"/>
                <w:szCs w:val="24"/>
              </w:rPr>
            </w:pPr>
          </w:p>
          <w:p w14:paraId="751F5E4E" w14:textId="77777777" w:rsidR="005B3A59" w:rsidRPr="00EC52EE" w:rsidRDefault="005B3A59" w:rsidP="00A95469">
            <w:pPr>
              <w:rPr>
                <w:rFonts w:ascii="Times New Roman" w:hAnsi="Times New Roman" w:cs="Times New Roman"/>
                <w:b/>
                <w:sz w:val="24"/>
                <w:szCs w:val="24"/>
              </w:rPr>
            </w:pPr>
          </w:p>
          <w:p w14:paraId="751F5E4F" w14:textId="77777777" w:rsidR="005B3A59" w:rsidRPr="00EC52EE" w:rsidRDefault="005B3A59" w:rsidP="00A95469">
            <w:pPr>
              <w:rPr>
                <w:rFonts w:ascii="Times New Roman" w:hAnsi="Times New Roman" w:cs="Times New Roman"/>
                <w:sz w:val="24"/>
                <w:szCs w:val="24"/>
              </w:rPr>
            </w:pPr>
          </w:p>
        </w:tc>
        <w:tc>
          <w:tcPr>
            <w:tcW w:w="1530" w:type="dxa"/>
          </w:tcPr>
          <w:p w14:paraId="751F5E50" w14:textId="77777777" w:rsidR="005B3A59" w:rsidRPr="00EC52EE" w:rsidRDefault="005B3A59" w:rsidP="00A95469">
            <w:pPr>
              <w:rPr>
                <w:rFonts w:ascii="Times New Roman" w:hAnsi="Times New Roman" w:cs="Times New Roman"/>
                <w:sz w:val="24"/>
                <w:szCs w:val="24"/>
              </w:rPr>
            </w:pPr>
          </w:p>
          <w:p w14:paraId="751F5E51" w14:textId="77777777" w:rsidR="005B3A59" w:rsidRPr="00EC52EE" w:rsidRDefault="005B3A59" w:rsidP="00A95469">
            <w:pPr>
              <w:rPr>
                <w:rFonts w:ascii="Times New Roman" w:hAnsi="Times New Roman" w:cs="Times New Roman"/>
                <w:sz w:val="24"/>
                <w:szCs w:val="24"/>
              </w:rPr>
            </w:pPr>
            <w:r w:rsidRPr="00EC52EE">
              <w:rPr>
                <w:rFonts w:ascii="Times New Roman" w:hAnsi="Times New Roman" w:cs="Times New Roman"/>
                <w:sz w:val="24"/>
                <w:szCs w:val="24"/>
              </w:rPr>
              <w:t xml:space="preserve">State Rep. Matt </w:t>
            </w:r>
            <w:proofErr w:type="spellStart"/>
            <w:r w:rsidRPr="00EC52EE">
              <w:rPr>
                <w:rFonts w:ascii="Times New Roman" w:hAnsi="Times New Roman" w:cs="Times New Roman"/>
                <w:sz w:val="24"/>
                <w:szCs w:val="24"/>
              </w:rPr>
              <w:t>Shea</w:t>
            </w:r>
            <w:proofErr w:type="spellEnd"/>
          </w:p>
          <w:p w14:paraId="751F5E52" w14:textId="77777777" w:rsidR="005B3A59" w:rsidRPr="00EC52EE" w:rsidRDefault="005B3A59" w:rsidP="00A95469">
            <w:pPr>
              <w:rPr>
                <w:rFonts w:ascii="Times New Roman" w:hAnsi="Times New Roman" w:cs="Times New Roman"/>
                <w:sz w:val="24"/>
                <w:szCs w:val="24"/>
              </w:rPr>
            </w:pPr>
            <w:r w:rsidRPr="00EC52EE">
              <w:rPr>
                <w:rFonts w:ascii="Times New Roman" w:hAnsi="Times New Roman" w:cs="Times New Roman"/>
                <w:sz w:val="24"/>
                <w:szCs w:val="24"/>
              </w:rPr>
              <w:t>4</w:t>
            </w:r>
            <w:r w:rsidRPr="00EC52EE">
              <w:rPr>
                <w:rFonts w:ascii="Times New Roman" w:hAnsi="Times New Roman" w:cs="Times New Roman"/>
                <w:sz w:val="24"/>
                <w:szCs w:val="24"/>
                <w:vertAlign w:val="superscript"/>
              </w:rPr>
              <w:t>th</w:t>
            </w:r>
            <w:r w:rsidRPr="00EC52EE">
              <w:rPr>
                <w:rFonts w:ascii="Times New Roman" w:hAnsi="Times New Roman" w:cs="Times New Roman"/>
                <w:sz w:val="24"/>
                <w:szCs w:val="24"/>
              </w:rPr>
              <w:t xml:space="preserve"> Legislative District</w:t>
            </w:r>
          </w:p>
        </w:tc>
        <w:tc>
          <w:tcPr>
            <w:tcW w:w="7200" w:type="dxa"/>
          </w:tcPr>
          <w:p w14:paraId="751F5E53" w14:textId="77777777" w:rsidR="005B3A59" w:rsidRPr="00EC52EE" w:rsidRDefault="005B3A59" w:rsidP="00A95469">
            <w:pPr>
              <w:rPr>
                <w:rFonts w:ascii="Times New Roman" w:hAnsi="Times New Roman" w:cs="Times New Roman"/>
                <w:sz w:val="24"/>
                <w:szCs w:val="24"/>
              </w:rPr>
            </w:pPr>
          </w:p>
          <w:p w14:paraId="751F5E54" w14:textId="77777777" w:rsidR="005B3A59" w:rsidRPr="00EC52EE" w:rsidRDefault="005B3A59" w:rsidP="00A95469">
            <w:pPr>
              <w:rPr>
                <w:rFonts w:ascii="Times New Roman" w:hAnsi="Times New Roman" w:cs="Times New Roman"/>
                <w:sz w:val="24"/>
                <w:szCs w:val="24"/>
              </w:rPr>
            </w:pPr>
            <w:r w:rsidRPr="00EC52EE">
              <w:rPr>
                <w:rFonts w:ascii="Times New Roman" w:hAnsi="Times New Roman" w:cs="Times New Roman"/>
                <w:sz w:val="24"/>
                <w:szCs w:val="24"/>
              </w:rPr>
              <w:t>The rulemaking does not adequately explore the existence of ratepayer inconvenience or hardship that presently exists or would exist if companies can back-bill for up to six months of under-billing. Suggested data that should be sought and analyzed before the rule is finalized:</w:t>
            </w:r>
          </w:p>
          <w:p w14:paraId="751F5E55" w14:textId="77777777" w:rsidR="005B3A59" w:rsidRPr="00EC52EE" w:rsidRDefault="005B3A59" w:rsidP="004B2DE6">
            <w:pPr>
              <w:pStyle w:val="ListParagraph"/>
              <w:numPr>
                <w:ilvl w:val="0"/>
                <w:numId w:val="1"/>
              </w:numPr>
              <w:rPr>
                <w:rFonts w:ascii="Times New Roman" w:hAnsi="Times New Roman" w:cs="Times New Roman"/>
                <w:sz w:val="24"/>
                <w:szCs w:val="24"/>
              </w:rPr>
            </w:pPr>
            <w:r w:rsidRPr="00EC52EE">
              <w:rPr>
                <w:rFonts w:ascii="Times New Roman" w:hAnsi="Times New Roman" w:cs="Times New Roman"/>
                <w:sz w:val="24"/>
                <w:szCs w:val="24"/>
              </w:rPr>
              <w:t>What percentage of customers who are back-billed ask for help with payment arrangements and what percentage are already receiving low-income assistance of any sort for their utilities?</w:t>
            </w:r>
          </w:p>
          <w:p w14:paraId="751F5E56" w14:textId="77777777" w:rsidR="005B3A59" w:rsidRPr="00EC52EE" w:rsidRDefault="005B3A59" w:rsidP="004B2DE6">
            <w:pPr>
              <w:pStyle w:val="ListParagraph"/>
              <w:numPr>
                <w:ilvl w:val="0"/>
                <w:numId w:val="1"/>
              </w:numPr>
              <w:rPr>
                <w:rFonts w:ascii="Times New Roman" w:hAnsi="Times New Roman" w:cs="Times New Roman"/>
                <w:sz w:val="24"/>
                <w:szCs w:val="24"/>
              </w:rPr>
            </w:pPr>
            <w:r w:rsidRPr="00EC52EE">
              <w:rPr>
                <w:rFonts w:ascii="Times New Roman" w:hAnsi="Times New Roman" w:cs="Times New Roman"/>
                <w:sz w:val="24"/>
                <w:szCs w:val="24"/>
              </w:rPr>
              <w:t>What the average dollar value of back-billed amounts is of those who ask for payment arrangements?</w:t>
            </w:r>
          </w:p>
          <w:p w14:paraId="751F5E57" w14:textId="77777777" w:rsidR="005B3A59" w:rsidRPr="00EC52EE" w:rsidRDefault="005B3A59" w:rsidP="004B2DE6">
            <w:pPr>
              <w:pStyle w:val="ListParagraph"/>
              <w:numPr>
                <w:ilvl w:val="0"/>
                <w:numId w:val="1"/>
              </w:numPr>
              <w:rPr>
                <w:rFonts w:ascii="Times New Roman" w:hAnsi="Times New Roman" w:cs="Times New Roman"/>
                <w:sz w:val="24"/>
                <w:szCs w:val="24"/>
              </w:rPr>
            </w:pPr>
            <w:r w:rsidRPr="00EC52EE">
              <w:rPr>
                <w:rFonts w:ascii="Times New Roman" w:hAnsi="Times New Roman" w:cs="Times New Roman"/>
                <w:sz w:val="24"/>
                <w:szCs w:val="24"/>
              </w:rPr>
              <w:t>What is the relationship, if any, between those asking for payment arrangements and the number of months of “under-billing” for which they were back-billed?</w:t>
            </w:r>
          </w:p>
          <w:p w14:paraId="751F5E58" w14:textId="77777777" w:rsidR="005B3A59" w:rsidRPr="00EC52EE" w:rsidRDefault="005B3A59" w:rsidP="004B2DE6">
            <w:pPr>
              <w:pStyle w:val="ListParagraph"/>
              <w:numPr>
                <w:ilvl w:val="0"/>
                <w:numId w:val="1"/>
              </w:numPr>
              <w:rPr>
                <w:rFonts w:ascii="Times New Roman" w:hAnsi="Times New Roman" w:cs="Times New Roman"/>
                <w:sz w:val="24"/>
                <w:szCs w:val="24"/>
              </w:rPr>
            </w:pPr>
            <w:r w:rsidRPr="00EC52EE">
              <w:rPr>
                <w:rFonts w:ascii="Times New Roman" w:hAnsi="Times New Roman" w:cs="Times New Roman"/>
                <w:sz w:val="24"/>
                <w:szCs w:val="24"/>
              </w:rPr>
              <w:t>How many who ask for payment arrangements are able to successfully manage those arrangements on the original timetable, or need extension?</w:t>
            </w:r>
          </w:p>
          <w:p w14:paraId="751F5E59" w14:textId="77777777" w:rsidR="005B3A59" w:rsidRPr="00EC52EE" w:rsidRDefault="005B3A59" w:rsidP="004B2DE6">
            <w:pPr>
              <w:pStyle w:val="ListParagraph"/>
              <w:numPr>
                <w:ilvl w:val="0"/>
                <w:numId w:val="1"/>
              </w:numPr>
              <w:rPr>
                <w:rFonts w:ascii="Times New Roman" w:hAnsi="Times New Roman" w:cs="Times New Roman"/>
                <w:sz w:val="24"/>
                <w:szCs w:val="24"/>
              </w:rPr>
            </w:pPr>
            <w:r w:rsidRPr="00EC52EE">
              <w:rPr>
                <w:rFonts w:ascii="Times New Roman" w:hAnsi="Times New Roman" w:cs="Times New Roman"/>
                <w:sz w:val="24"/>
                <w:szCs w:val="24"/>
              </w:rPr>
              <w:t>What is the average length of a payment arrangement schedule and average monthly payment amount for those arrangements made to satisfy a back-bill?</w:t>
            </w:r>
          </w:p>
          <w:p w14:paraId="751F5E5A" w14:textId="77777777" w:rsidR="005B3A59" w:rsidRPr="00EC52EE" w:rsidRDefault="005B3A59" w:rsidP="004B2DE6">
            <w:pPr>
              <w:pStyle w:val="ListParagraph"/>
              <w:numPr>
                <w:ilvl w:val="0"/>
                <w:numId w:val="1"/>
              </w:numPr>
              <w:rPr>
                <w:rFonts w:ascii="Times New Roman" w:hAnsi="Times New Roman" w:cs="Times New Roman"/>
                <w:sz w:val="24"/>
                <w:szCs w:val="24"/>
              </w:rPr>
            </w:pPr>
            <w:r w:rsidRPr="00EC52EE">
              <w:rPr>
                <w:rFonts w:ascii="Times New Roman" w:hAnsi="Times New Roman" w:cs="Times New Roman"/>
                <w:sz w:val="24"/>
                <w:szCs w:val="24"/>
              </w:rPr>
              <w:t>Do any number of those who were back-billed subsequently curtail/reduce their average monthly utility usage—a sign of potential financial hardship?</w:t>
            </w:r>
          </w:p>
        </w:tc>
        <w:tc>
          <w:tcPr>
            <w:tcW w:w="4248" w:type="dxa"/>
          </w:tcPr>
          <w:p w14:paraId="751F5E5B" w14:textId="0DF8F538" w:rsidR="005B3A59" w:rsidRPr="00EC52EE" w:rsidRDefault="00512D70" w:rsidP="007A2B1B">
            <w:pPr>
              <w:ind w:left="-18" w:firstLine="18"/>
              <w:rPr>
                <w:rFonts w:ascii="Times New Roman" w:hAnsi="Times New Roman" w:cs="Times New Roman"/>
                <w:sz w:val="24"/>
                <w:szCs w:val="24"/>
              </w:rPr>
            </w:pPr>
            <w:r w:rsidRPr="00EC52EE">
              <w:rPr>
                <w:rFonts w:ascii="Times New Roman" w:hAnsi="Times New Roman" w:cs="Times New Roman"/>
                <w:sz w:val="24"/>
                <w:szCs w:val="24"/>
              </w:rPr>
              <w:t xml:space="preserve">Chairman Danner responded to </w:t>
            </w:r>
            <w:r w:rsidR="005B3A59" w:rsidRPr="00EC52EE">
              <w:rPr>
                <w:rFonts w:ascii="Times New Roman" w:hAnsi="Times New Roman" w:cs="Times New Roman"/>
                <w:sz w:val="24"/>
                <w:szCs w:val="24"/>
              </w:rPr>
              <w:t xml:space="preserve">Representative </w:t>
            </w:r>
            <w:proofErr w:type="spellStart"/>
            <w:r w:rsidR="005B3A59" w:rsidRPr="00EC52EE">
              <w:rPr>
                <w:rFonts w:ascii="Times New Roman" w:hAnsi="Times New Roman" w:cs="Times New Roman"/>
                <w:sz w:val="24"/>
                <w:szCs w:val="24"/>
              </w:rPr>
              <w:t>Shea</w:t>
            </w:r>
            <w:proofErr w:type="spellEnd"/>
            <w:r w:rsidR="007A2B1B" w:rsidRPr="00EC52EE">
              <w:rPr>
                <w:rFonts w:ascii="Times New Roman" w:hAnsi="Times New Roman" w:cs="Times New Roman"/>
                <w:sz w:val="24"/>
                <w:szCs w:val="24"/>
              </w:rPr>
              <w:t xml:space="preserve"> by letter on Oct. 13</w:t>
            </w:r>
            <w:r w:rsidRPr="00EC52EE">
              <w:rPr>
                <w:rFonts w:ascii="Times New Roman" w:hAnsi="Times New Roman" w:cs="Times New Roman"/>
                <w:sz w:val="24"/>
                <w:szCs w:val="24"/>
              </w:rPr>
              <w:t xml:space="preserve">. </w:t>
            </w:r>
            <w:r w:rsidR="007A2B1B" w:rsidRPr="00EC52EE">
              <w:rPr>
                <w:rFonts w:ascii="Times New Roman" w:hAnsi="Times New Roman" w:cs="Times New Roman"/>
                <w:sz w:val="24"/>
                <w:szCs w:val="24"/>
              </w:rPr>
              <w:t>A c</w:t>
            </w:r>
            <w:r w:rsidRPr="00EC52EE">
              <w:rPr>
                <w:rFonts w:ascii="Times New Roman" w:hAnsi="Times New Roman" w:cs="Times New Roman"/>
                <w:sz w:val="24"/>
                <w:szCs w:val="24"/>
              </w:rPr>
              <w:t xml:space="preserve">opy of </w:t>
            </w:r>
            <w:r w:rsidR="007A2B1B" w:rsidRPr="00EC52EE">
              <w:rPr>
                <w:rFonts w:ascii="Times New Roman" w:hAnsi="Times New Roman" w:cs="Times New Roman"/>
                <w:sz w:val="24"/>
                <w:szCs w:val="24"/>
              </w:rPr>
              <w:t xml:space="preserve">the </w:t>
            </w:r>
            <w:r w:rsidRPr="00EC52EE">
              <w:rPr>
                <w:rFonts w:ascii="Times New Roman" w:hAnsi="Times New Roman" w:cs="Times New Roman"/>
                <w:sz w:val="24"/>
                <w:szCs w:val="24"/>
              </w:rPr>
              <w:t>letter is posted in Docket U-144155.</w:t>
            </w:r>
          </w:p>
        </w:tc>
      </w:tr>
      <w:tr w:rsidR="009157DC" w:rsidRPr="00EC52EE" w14:paraId="751F5E63" w14:textId="77777777" w:rsidTr="002B46DD">
        <w:trPr>
          <w:cantSplit/>
          <w:trHeight w:val="980"/>
        </w:trPr>
        <w:tc>
          <w:tcPr>
            <w:tcW w:w="1705" w:type="dxa"/>
            <w:vMerge w:val="restart"/>
          </w:tcPr>
          <w:p w14:paraId="751F5E5D" w14:textId="77777777" w:rsidR="009157DC" w:rsidRPr="00EC52EE" w:rsidRDefault="009157DC" w:rsidP="000B2FAB">
            <w:pPr>
              <w:rPr>
                <w:rFonts w:ascii="Times New Roman" w:hAnsi="Times New Roman" w:cs="Times New Roman"/>
                <w:b/>
                <w:sz w:val="24"/>
                <w:szCs w:val="24"/>
              </w:rPr>
            </w:pPr>
            <w:r w:rsidRPr="00EC52EE">
              <w:rPr>
                <w:rFonts w:ascii="Times New Roman" w:hAnsi="Times New Roman" w:cs="Times New Roman"/>
                <w:b/>
                <w:sz w:val="24"/>
                <w:szCs w:val="24"/>
              </w:rPr>
              <w:lastRenderedPageBreak/>
              <w:t>Unassigned usage</w:t>
            </w:r>
          </w:p>
        </w:tc>
        <w:tc>
          <w:tcPr>
            <w:tcW w:w="1530" w:type="dxa"/>
          </w:tcPr>
          <w:p w14:paraId="751F5E5E" w14:textId="22E42AA8" w:rsidR="009157DC" w:rsidRPr="00EC52EE" w:rsidRDefault="009157DC" w:rsidP="007A2B1B">
            <w:pPr>
              <w:rPr>
                <w:rFonts w:ascii="Times New Roman" w:hAnsi="Times New Roman" w:cs="Times New Roman"/>
                <w:sz w:val="24"/>
                <w:szCs w:val="24"/>
              </w:rPr>
            </w:pPr>
            <w:proofErr w:type="spellStart"/>
            <w:r w:rsidRPr="00EC52EE">
              <w:rPr>
                <w:rFonts w:ascii="Times New Roman" w:hAnsi="Times New Roman" w:cs="Times New Roman"/>
                <w:sz w:val="24"/>
                <w:szCs w:val="24"/>
              </w:rPr>
              <w:t>P</w:t>
            </w:r>
            <w:r w:rsidR="007A2B1B" w:rsidRPr="00EC52EE">
              <w:rPr>
                <w:rFonts w:ascii="Times New Roman" w:hAnsi="Times New Roman" w:cs="Times New Roman"/>
                <w:sz w:val="24"/>
                <w:szCs w:val="24"/>
              </w:rPr>
              <w:t>PL</w:t>
            </w:r>
            <w:proofErr w:type="spellEnd"/>
          </w:p>
        </w:tc>
        <w:tc>
          <w:tcPr>
            <w:tcW w:w="7200" w:type="dxa"/>
          </w:tcPr>
          <w:p w14:paraId="751F5E5F" w14:textId="2645232F" w:rsidR="009157DC" w:rsidRPr="00EC52EE" w:rsidRDefault="009157DC" w:rsidP="00A95469">
            <w:pPr>
              <w:rPr>
                <w:rFonts w:ascii="Times New Roman" w:hAnsi="Times New Roman" w:cs="Times New Roman"/>
                <w:sz w:val="24"/>
                <w:szCs w:val="24"/>
              </w:rPr>
            </w:pPr>
            <w:r w:rsidRPr="00EC52EE">
              <w:rPr>
                <w:rFonts w:ascii="Times New Roman" w:hAnsi="Times New Roman" w:cs="Times New Roman"/>
                <w:sz w:val="24"/>
                <w:szCs w:val="24"/>
              </w:rPr>
              <w:t>Pacific Power</w:t>
            </w:r>
            <w:r w:rsidR="007A2B1B" w:rsidRPr="00EC52EE">
              <w:rPr>
                <w:rFonts w:ascii="Times New Roman" w:hAnsi="Times New Roman" w:cs="Times New Roman"/>
                <w:sz w:val="24"/>
                <w:szCs w:val="24"/>
              </w:rPr>
              <w:t xml:space="preserve"> and Light (</w:t>
            </w:r>
            <w:proofErr w:type="spellStart"/>
            <w:r w:rsidR="007A2B1B" w:rsidRPr="00EC52EE">
              <w:rPr>
                <w:rFonts w:ascii="Times New Roman" w:hAnsi="Times New Roman" w:cs="Times New Roman"/>
                <w:sz w:val="24"/>
                <w:szCs w:val="24"/>
              </w:rPr>
              <w:t>PPL</w:t>
            </w:r>
            <w:proofErr w:type="spellEnd"/>
            <w:r w:rsidR="007A2B1B" w:rsidRPr="00EC52EE">
              <w:rPr>
                <w:rFonts w:ascii="Times New Roman" w:hAnsi="Times New Roman" w:cs="Times New Roman"/>
                <w:sz w:val="24"/>
                <w:szCs w:val="24"/>
              </w:rPr>
              <w:t>)</w:t>
            </w:r>
            <w:r w:rsidRPr="00EC52EE">
              <w:rPr>
                <w:rFonts w:ascii="Times New Roman" w:hAnsi="Times New Roman" w:cs="Times New Roman"/>
                <w:sz w:val="24"/>
                <w:szCs w:val="24"/>
              </w:rPr>
              <w:t xml:space="preserve"> requests unassigned usage be removed from the proposed draft rules. The company believes any changes to the rules regarding unassigned usage should be addressed in WAC 480-100-128(2</w:t>
            </w:r>
            <w:proofErr w:type="gramStart"/>
            <w:r w:rsidRPr="00EC52EE">
              <w:rPr>
                <w:rFonts w:ascii="Times New Roman" w:hAnsi="Times New Roman" w:cs="Times New Roman"/>
                <w:sz w:val="24"/>
                <w:szCs w:val="24"/>
              </w:rPr>
              <w:t>)(</w:t>
            </w:r>
            <w:proofErr w:type="gramEnd"/>
            <w:r w:rsidRPr="00EC52EE">
              <w:rPr>
                <w:rFonts w:ascii="Times New Roman" w:hAnsi="Times New Roman" w:cs="Times New Roman"/>
                <w:sz w:val="24"/>
                <w:szCs w:val="24"/>
              </w:rPr>
              <w:t xml:space="preserve">f). However, should the commission determine to include unassigned usage in the proposed changes to WAC 480-100-178, </w:t>
            </w:r>
            <w:proofErr w:type="spellStart"/>
            <w:r w:rsidRPr="00EC52EE">
              <w:rPr>
                <w:rFonts w:ascii="Times New Roman" w:hAnsi="Times New Roman" w:cs="Times New Roman"/>
                <w:sz w:val="24"/>
                <w:szCs w:val="24"/>
              </w:rPr>
              <w:t>P</w:t>
            </w:r>
            <w:r w:rsidR="007A2B1B" w:rsidRPr="00EC52EE">
              <w:rPr>
                <w:rFonts w:ascii="Times New Roman" w:hAnsi="Times New Roman" w:cs="Times New Roman"/>
                <w:sz w:val="24"/>
                <w:szCs w:val="24"/>
              </w:rPr>
              <w:t>PL</w:t>
            </w:r>
            <w:proofErr w:type="spellEnd"/>
            <w:r w:rsidRPr="00EC52EE">
              <w:rPr>
                <w:rFonts w:ascii="Times New Roman" w:hAnsi="Times New Roman" w:cs="Times New Roman"/>
                <w:sz w:val="24"/>
                <w:szCs w:val="24"/>
              </w:rPr>
              <w:t xml:space="preserve"> recommends that “unassigned usage” be included as a separate </w:t>
            </w:r>
            <w:proofErr w:type="gramStart"/>
            <w:r w:rsidRPr="00EC52EE">
              <w:rPr>
                <w:rFonts w:ascii="Times New Roman" w:hAnsi="Times New Roman" w:cs="Times New Roman"/>
                <w:sz w:val="24"/>
                <w:szCs w:val="24"/>
              </w:rPr>
              <w:t>subsection.</w:t>
            </w:r>
            <w:proofErr w:type="gramEnd"/>
          </w:p>
          <w:p w14:paraId="751F5E60" w14:textId="77777777" w:rsidR="009157DC" w:rsidRPr="00EC52EE" w:rsidRDefault="009157DC" w:rsidP="00A95469">
            <w:pPr>
              <w:rPr>
                <w:rFonts w:ascii="Times New Roman" w:hAnsi="Times New Roman" w:cs="Times New Roman"/>
                <w:sz w:val="24"/>
                <w:szCs w:val="24"/>
              </w:rPr>
            </w:pPr>
          </w:p>
          <w:p w14:paraId="751F5E61" w14:textId="77777777" w:rsidR="009157DC" w:rsidRPr="00EC52EE" w:rsidRDefault="009157DC" w:rsidP="00A95469">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proposes to move unassigned usage from subsection (6</w:t>
            </w:r>
            <w:proofErr w:type="gramStart"/>
            <w:r w:rsidRPr="00EC52EE">
              <w:rPr>
                <w:rFonts w:ascii="Times New Roman" w:hAnsi="Times New Roman" w:cs="Times New Roman"/>
                <w:sz w:val="24"/>
                <w:szCs w:val="24"/>
              </w:rPr>
              <w:t>)(</w:t>
            </w:r>
            <w:proofErr w:type="gramEnd"/>
            <w:r w:rsidRPr="00EC52EE">
              <w:rPr>
                <w:rFonts w:ascii="Times New Roman" w:hAnsi="Times New Roman" w:cs="Times New Roman"/>
                <w:sz w:val="24"/>
                <w:szCs w:val="24"/>
              </w:rPr>
              <w:t>a) to a new subsection (6)(b) to differentiate it from the corrected billing received due to a meter failure or malfunction or billing error.</w:t>
            </w:r>
          </w:p>
        </w:tc>
        <w:tc>
          <w:tcPr>
            <w:tcW w:w="4248" w:type="dxa"/>
            <w:vMerge w:val="restart"/>
          </w:tcPr>
          <w:p w14:paraId="2CE83B7B" w14:textId="77777777" w:rsidR="009157DC" w:rsidRPr="00EC52EE" w:rsidRDefault="009157DC" w:rsidP="00A95469">
            <w:pPr>
              <w:rPr>
                <w:rFonts w:ascii="Times New Roman" w:hAnsi="Times New Roman" w:cs="Times New Roman"/>
                <w:sz w:val="24"/>
                <w:szCs w:val="24"/>
              </w:rPr>
            </w:pPr>
            <w:r w:rsidRPr="00EC52EE">
              <w:rPr>
                <w:rFonts w:ascii="Times New Roman" w:hAnsi="Times New Roman" w:cs="Times New Roman"/>
                <w:sz w:val="24"/>
                <w:szCs w:val="24"/>
              </w:rPr>
              <w:t>Staff disagrees. Staff believes unassigned energy usage is easy to detect and correct within six months. The company should take immediate action to contact the occupant to apply for service. If a customer fails to respond, the company should take timely action to disconnect service to preclude undue lengthy corrected bills.</w:t>
            </w:r>
          </w:p>
          <w:p w14:paraId="643EA1DE" w14:textId="77777777" w:rsidR="009157DC" w:rsidRPr="00EC52EE" w:rsidRDefault="009157DC" w:rsidP="00A95469">
            <w:pPr>
              <w:rPr>
                <w:rFonts w:ascii="Times New Roman" w:hAnsi="Times New Roman" w:cs="Times New Roman"/>
                <w:sz w:val="24"/>
                <w:szCs w:val="24"/>
              </w:rPr>
            </w:pPr>
          </w:p>
          <w:p w14:paraId="14EB20CD" w14:textId="77777777" w:rsidR="00D53A9F" w:rsidRDefault="00D53A9F" w:rsidP="00A95469">
            <w:pPr>
              <w:rPr>
                <w:rFonts w:ascii="Times New Roman" w:hAnsi="Times New Roman" w:cs="Times New Roman"/>
                <w:sz w:val="24"/>
                <w:szCs w:val="24"/>
              </w:rPr>
            </w:pPr>
          </w:p>
          <w:p w14:paraId="1B5611A5" w14:textId="77777777" w:rsidR="00D53A9F" w:rsidRDefault="00D53A9F" w:rsidP="00A95469">
            <w:pPr>
              <w:rPr>
                <w:rFonts w:ascii="Times New Roman" w:hAnsi="Times New Roman" w:cs="Times New Roman"/>
                <w:sz w:val="24"/>
                <w:szCs w:val="24"/>
              </w:rPr>
            </w:pPr>
          </w:p>
          <w:p w14:paraId="4FEFB11F" w14:textId="77777777" w:rsidR="00D53A9F" w:rsidRDefault="00D53A9F" w:rsidP="00A95469">
            <w:pPr>
              <w:rPr>
                <w:rFonts w:ascii="Times New Roman" w:hAnsi="Times New Roman" w:cs="Times New Roman"/>
                <w:sz w:val="24"/>
                <w:szCs w:val="24"/>
              </w:rPr>
            </w:pPr>
          </w:p>
          <w:p w14:paraId="396AC55C" w14:textId="77777777" w:rsidR="00D53A9F" w:rsidRDefault="00D53A9F" w:rsidP="00A95469">
            <w:pPr>
              <w:rPr>
                <w:rFonts w:ascii="Times New Roman" w:hAnsi="Times New Roman" w:cs="Times New Roman"/>
                <w:sz w:val="24"/>
                <w:szCs w:val="24"/>
              </w:rPr>
            </w:pPr>
          </w:p>
          <w:p w14:paraId="50221EC1" w14:textId="77777777" w:rsidR="00D53A9F" w:rsidRDefault="00D53A9F" w:rsidP="00A95469">
            <w:pPr>
              <w:rPr>
                <w:rFonts w:ascii="Times New Roman" w:hAnsi="Times New Roman" w:cs="Times New Roman"/>
                <w:sz w:val="24"/>
                <w:szCs w:val="24"/>
              </w:rPr>
            </w:pPr>
          </w:p>
          <w:p w14:paraId="4802C521" w14:textId="77777777" w:rsidR="00D53A9F" w:rsidRDefault="00D53A9F" w:rsidP="00A95469">
            <w:pPr>
              <w:rPr>
                <w:rFonts w:ascii="Times New Roman" w:hAnsi="Times New Roman" w:cs="Times New Roman"/>
                <w:sz w:val="24"/>
                <w:szCs w:val="24"/>
              </w:rPr>
            </w:pPr>
          </w:p>
          <w:p w14:paraId="2D5155DC" w14:textId="77777777" w:rsidR="00D53A9F" w:rsidRDefault="00D53A9F" w:rsidP="00A95469">
            <w:pPr>
              <w:rPr>
                <w:rFonts w:ascii="Times New Roman" w:hAnsi="Times New Roman" w:cs="Times New Roman"/>
                <w:sz w:val="24"/>
                <w:szCs w:val="24"/>
              </w:rPr>
            </w:pPr>
          </w:p>
          <w:p w14:paraId="2457AEB7" w14:textId="77777777" w:rsidR="00D53A9F" w:rsidRDefault="00D53A9F" w:rsidP="00A95469">
            <w:pPr>
              <w:rPr>
                <w:rFonts w:ascii="Times New Roman" w:hAnsi="Times New Roman" w:cs="Times New Roman"/>
                <w:sz w:val="24"/>
                <w:szCs w:val="24"/>
              </w:rPr>
            </w:pPr>
          </w:p>
          <w:p w14:paraId="52D67B7F" w14:textId="77777777" w:rsidR="00D53A9F" w:rsidRDefault="00D53A9F" w:rsidP="00A95469">
            <w:pPr>
              <w:rPr>
                <w:rFonts w:ascii="Times New Roman" w:hAnsi="Times New Roman" w:cs="Times New Roman"/>
                <w:sz w:val="24"/>
                <w:szCs w:val="24"/>
              </w:rPr>
            </w:pPr>
          </w:p>
          <w:p w14:paraId="094C88E3" w14:textId="77777777" w:rsidR="00D53A9F" w:rsidRDefault="00D53A9F" w:rsidP="00A95469">
            <w:pPr>
              <w:rPr>
                <w:rFonts w:ascii="Times New Roman" w:hAnsi="Times New Roman" w:cs="Times New Roman"/>
                <w:sz w:val="24"/>
                <w:szCs w:val="24"/>
              </w:rPr>
            </w:pPr>
          </w:p>
          <w:p w14:paraId="582C2675" w14:textId="77777777" w:rsidR="00D53A9F" w:rsidRDefault="00D53A9F" w:rsidP="00A95469">
            <w:pPr>
              <w:rPr>
                <w:rFonts w:ascii="Times New Roman" w:hAnsi="Times New Roman" w:cs="Times New Roman"/>
                <w:sz w:val="24"/>
                <w:szCs w:val="24"/>
              </w:rPr>
            </w:pPr>
          </w:p>
          <w:p w14:paraId="30CC46F9" w14:textId="77777777" w:rsidR="00D53A9F" w:rsidRDefault="00D53A9F" w:rsidP="00A95469">
            <w:pPr>
              <w:rPr>
                <w:rFonts w:ascii="Times New Roman" w:hAnsi="Times New Roman" w:cs="Times New Roman"/>
                <w:sz w:val="24"/>
                <w:szCs w:val="24"/>
              </w:rPr>
            </w:pPr>
          </w:p>
          <w:p w14:paraId="27CB8A96" w14:textId="77777777" w:rsidR="00D53A9F" w:rsidRDefault="00D53A9F" w:rsidP="00A95469">
            <w:pPr>
              <w:rPr>
                <w:rFonts w:ascii="Times New Roman" w:hAnsi="Times New Roman" w:cs="Times New Roman"/>
                <w:sz w:val="24"/>
                <w:szCs w:val="24"/>
              </w:rPr>
            </w:pPr>
          </w:p>
          <w:p w14:paraId="469064F3" w14:textId="77777777" w:rsidR="00D53A9F" w:rsidRDefault="00D53A9F" w:rsidP="00A95469">
            <w:pPr>
              <w:rPr>
                <w:rFonts w:ascii="Times New Roman" w:hAnsi="Times New Roman" w:cs="Times New Roman"/>
                <w:sz w:val="24"/>
                <w:szCs w:val="24"/>
              </w:rPr>
            </w:pPr>
          </w:p>
          <w:p w14:paraId="2C7D8A8E" w14:textId="77777777" w:rsidR="00D53A9F" w:rsidRDefault="00D53A9F" w:rsidP="00A95469">
            <w:pPr>
              <w:rPr>
                <w:rFonts w:ascii="Times New Roman" w:hAnsi="Times New Roman" w:cs="Times New Roman"/>
                <w:sz w:val="24"/>
                <w:szCs w:val="24"/>
              </w:rPr>
            </w:pPr>
          </w:p>
          <w:p w14:paraId="4321FBEA" w14:textId="1D6DFAD2" w:rsidR="009157DC" w:rsidRPr="00EC52EE" w:rsidRDefault="009157DC" w:rsidP="00A95469">
            <w:pPr>
              <w:rPr>
                <w:rFonts w:ascii="Times New Roman" w:hAnsi="Times New Roman" w:cs="Times New Roman"/>
                <w:sz w:val="24"/>
                <w:szCs w:val="24"/>
              </w:rPr>
            </w:pPr>
            <w:r w:rsidRPr="00EC52EE">
              <w:rPr>
                <w:rFonts w:ascii="Times New Roman" w:hAnsi="Times New Roman" w:cs="Times New Roman"/>
                <w:sz w:val="24"/>
                <w:szCs w:val="24"/>
              </w:rPr>
              <w:t>Staff agree</w:t>
            </w:r>
            <w:r w:rsidR="006D6ADA">
              <w:rPr>
                <w:rFonts w:ascii="Times New Roman" w:hAnsi="Times New Roman" w:cs="Times New Roman"/>
                <w:sz w:val="24"/>
                <w:szCs w:val="24"/>
              </w:rPr>
              <w:t>s</w:t>
            </w:r>
            <w:r w:rsidRPr="00EC52EE">
              <w:rPr>
                <w:rFonts w:ascii="Times New Roman" w:hAnsi="Times New Roman" w:cs="Times New Roman"/>
                <w:sz w:val="24"/>
                <w:szCs w:val="24"/>
              </w:rPr>
              <w:t xml:space="preserve"> to revise the definition of unassigned energy usage as proposed by N</w:t>
            </w:r>
            <w:r w:rsidR="00593F7C" w:rsidRPr="00EC52EE">
              <w:rPr>
                <w:rFonts w:ascii="Times New Roman" w:hAnsi="Times New Roman" w:cs="Times New Roman"/>
                <w:sz w:val="24"/>
                <w:szCs w:val="24"/>
              </w:rPr>
              <w:t xml:space="preserve">orthwest </w:t>
            </w:r>
            <w:r w:rsidRPr="00EC52EE">
              <w:rPr>
                <w:rFonts w:ascii="Times New Roman" w:hAnsi="Times New Roman" w:cs="Times New Roman"/>
                <w:sz w:val="24"/>
                <w:szCs w:val="24"/>
              </w:rPr>
              <w:t>Natural</w:t>
            </w:r>
            <w:r w:rsidR="00593F7C" w:rsidRPr="00EC52EE">
              <w:rPr>
                <w:rFonts w:ascii="Times New Roman" w:hAnsi="Times New Roman" w:cs="Times New Roman"/>
                <w:sz w:val="24"/>
                <w:szCs w:val="24"/>
              </w:rPr>
              <w:t xml:space="preserve"> Gas (</w:t>
            </w:r>
            <w:proofErr w:type="spellStart"/>
            <w:r w:rsidR="00593F7C" w:rsidRPr="00EC52EE">
              <w:rPr>
                <w:rFonts w:ascii="Times New Roman" w:hAnsi="Times New Roman" w:cs="Times New Roman"/>
                <w:sz w:val="24"/>
                <w:szCs w:val="24"/>
              </w:rPr>
              <w:t>NWNG</w:t>
            </w:r>
            <w:proofErr w:type="spellEnd"/>
            <w:r w:rsidR="00593F7C" w:rsidRPr="00EC52EE">
              <w:rPr>
                <w:rFonts w:ascii="Times New Roman" w:hAnsi="Times New Roman" w:cs="Times New Roman"/>
                <w:sz w:val="24"/>
                <w:szCs w:val="24"/>
              </w:rPr>
              <w:t>)</w:t>
            </w:r>
            <w:r w:rsidRPr="00EC52EE">
              <w:rPr>
                <w:rFonts w:ascii="Times New Roman" w:hAnsi="Times New Roman" w:cs="Times New Roman"/>
                <w:sz w:val="24"/>
                <w:szCs w:val="24"/>
              </w:rPr>
              <w:t xml:space="preserve">. </w:t>
            </w:r>
          </w:p>
          <w:p w14:paraId="09CA1F65" w14:textId="77777777" w:rsidR="009157DC" w:rsidRPr="00EC52EE" w:rsidRDefault="009157DC" w:rsidP="00A95469">
            <w:pPr>
              <w:rPr>
                <w:rFonts w:ascii="Times New Roman" w:hAnsi="Times New Roman" w:cs="Times New Roman"/>
                <w:sz w:val="24"/>
                <w:szCs w:val="24"/>
              </w:rPr>
            </w:pPr>
          </w:p>
          <w:p w14:paraId="20D9A92A" w14:textId="5BF614B3" w:rsidR="009157DC" w:rsidRPr="00EC52EE" w:rsidRDefault="009157DC" w:rsidP="000F244E">
            <w:pPr>
              <w:rPr>
                <w:rFonts w:ascii="Times New Roman" w:hAnsi="Times New Roman" w:cs="Times New Roman"/>
                <w:b/>
                <w:sz w:val="24"/>
                <w:szCs w:val="24"/>
              </w:rPr>
            </w:pPr>
            <w:proofErr w:type="spellStart"/>
            <w:r w:rsidRPr="00EC52EE">
              <w:rPr>
                <w:rFonts w:ascii="Times New Roman" w:eastAsiaTheme="minorEastAsia" w:hAnsi="Times New Roman" w:cs="Times New Roman"/>
                <w:color w:val="000000"/>
                <w:sz w:val="24"/>
                <w:szCs w:val="24"/>
                <w:lang w:eastAsia="zh-CN"/>
              </w:rPr>
              <w:lastRenderedPageBreak/>
              <w:t>NWN</w:t>
            </w:r>
            <w:r w:rsidR="00994D63" w:rsidRPr="00EC52EE">
              <w:rPr>
                <w:rFonts w:ascii="Times New Roman" w:eastAsiaTheme="minorEastAsia" w:hAnsi="Times New Roman" w:cs="Times New Roman"/>
                <w:color w:val="000000"/>
                <w:sz w:val="24"/>
                <w:szCs w:val="24"/>
                <w:lang w:eastAsia="zh-CN"/>
              </w:rPr>
              <w:t>G</w:t>
            </w:r>
            <w:proofErr w:type="spellEnd"/>
            <w:r w:rsidRPr="00EC52EE">
              <w:rPr>
                <w:rFonts w:ascii="Times New Roman" w:eastAsiaTheme="minorEastAsia" w:hAnsi="Times New Roman" w:cs="Times New Roman"/>
                <w:color w:val="000000"/>
                <w:sz w:val="24"/>
                <w:szCs w:val="24"/>
                <w:lang w:eastAsia="zh-CN"/>
              </w:rPr>
              <w:t xml:space="preserve"> recommend</w:t>
            </w:r>
            <w:r w:rsidR="006D6ADA">
              <w:rPr>
                <w:rFonts w:ascii="Times New Roman" w:eastAsiaTheme="minorEastAsia" w:hAnsi="Times New Roman" w:cs="Times New Roman"/>
                <w:color w:val="000000"/>
                <w:sz w:val="24"/>
                <w:szCs w:val="24"/>
                <w:lang w:eastAsia="zh-CN"/>
              </w:rPr>
              <w:t>ed</w:t>
            </w:r>
            <w:r w:rsidRPr="00EC52EE">
              <w:rPr>
                <w:rFonts w:ascii="Times New Roman" w:eastAsiaTheme="minorEastAsia" w:hAnsi="Times New Roman" w:cs="Times New Roman"/>
                <w:color w:val="000000"/>
                <w:sz w:val="24"/>
                <w:szCs w:val="24"/>
                <w:lang w:eastAsia="zh-CN"/>
              </w:rPr>
              <w:t xml:space="preserve"> revising </w:t>
            </w:r>
            <w:r w:rsidRPr="00EC52EE">
              <w:rPr>
                <w:rFonts w:ascii="Times New Roman" w:hAnsi="Times New Roman" w:cs="Times New Roman"/>
                <w:b/>
                <w:sz w:val="24"/>
                <w:szCs w:val="24"/>
              </w:rPr>
              <w:t>Section (5)(b)(ii)</w:t>
            </w:r>
            <w:r w:rsidRPr="00EC52EE">
              <w:rPr>
                <w:rFonts w:ascii="Times New Roman" w:eastAsiaTheme="minorEastAsia" w:hAnsi="Times New Roman" w:cs="Times New Roman"/>
                <w:color w:val="000000"/>
                <w:sz w:val="24"/>
                <w:szCs w:val="24"/>
                <w:lang w:eastAsia="zh-CN"/>
              </w:rPr>
              <w:t xml:space="preserve"> as follows:</w:t>
            </w:r>
          </w:p>
          <w:p w14:paraId="593B73D8" w14:textId="77777777" w:rsidR="009157DC" w:rsidRPr="00EC52EE" w:rsidRDefault="009157DC" w:rsidP="009157DC">
            <w:pPr>
              <w:pStyle w:val="ListParagraph"/>
              <w:ind w:left="360" w:firstLine="360"/>
              <w:rPr>
                <w:rFonts w:ascii="Times New Roman" w:hAnsi="Times New Roman" w:cs="Times New Roman"/>
                <w:sz w:val="24"/>
                <w:szCs w:val="24"/>
              </w:rPr>
            </w:pPr>
            <w:r w:rsidRPr="00EC52EE">
              <w:rPr>
                <w:rFonts w:ascii="Times New Roman" w:hAnsi="Times New Roman" w:cs="Times New Roman"/>
                <w:sz w:val="24"/>
                <w:szCs w:val="24"/>
              </w:rPr>
              <w:t xml:space="preserve">(ii) for the purpose of this rule, unassigned energy usage meter is defined as a meter </w:t>
            </w:r>
          </w:p>
          <w:p w14:paraId="58D7F92A" w14:textId="77777777" w:rsidR="009157DC" w:rsidRPr="00EC52EE" w:rsidRDefault="009157DC" w:rsidP="009157DC">
            <w:pPr>
              <w:pStyle w:val="ListParagraph"/>
              <w:ind w:left="360" w:firstLine="360"/>
              <w:rPr>
                <w:rFonts w:ascii="Times New Roman" w:hAnsi="Times New Roman" w:cs="Times New Roman"/>
                <w:sz w:val="24"/>
                <w:szCs w:val="24"/>
                <w:u w:val="single"/>
              </w:rPr>
            </w:pPr>
            <w:r w:rsidRPr="00EC52EE">
              <w:rPr>
                <w:rFonts w:ascii="Times New Roman" w:hAnsi="Times New Roman" w:cs="Times New Roman"/>
                <w:sz w:val="24"/>
                <w:szCs w:val="24"/>
              </w:rPr>
              <w:t xml:space="preserve">that </w:t>
            </w:r>
            <w:r w:rsidRPr="00EC52EE">
              <w:rPr>
                <w:rFonts w:ascii="Times New Roman" w:hAnsi="Times New Roman" w:cs="Times New Roman"/>
                <w:sz w:val="24"/>
                <w:szCs w:val="24"/>
                <w:u w:val="single"/>
              </w:rPr>
              <w:t xml:space="preserve">is installed at a valid service address and has accurately recorded and transmitted </w:t>
            </w:r>
          </w:p>
          <w:p w14:paraId="707E95F9" w14:textId="77777777" w:rsidR="009157DC" w:rsidRPr="00EC52EE" w:rsidRDefault="009157DC" w:rsidP="009157DC">
            <w:pPr>
              <w:pStyle w:val="ListParagraph"/>
              <w:ind w:left="360" w:firstLine="360"/>
              <w:rPr>
                <w:rFonts w:ascii="Times New Roman" w:hAnsi="Times New Roman" w:cs="Times New Roman"/>
                <w:sz w:val="24"/>
                <w:szCs w:val="24"/>
                <w:u w:val="single"/>
              </w:rPr>
            </w:pPr>
            <w:r w:rsidRPr="00EC52EE">
              <w:rPr>
                <w:rFonts w:ascii="Times New Roman" w:hAnsi="Times New Roman" w:cs="Times New Roman"/>
                <w:sz w:val="24"/>
                <w:szCs w:val="24"/>
                <w:u w:val="single"/>
              </w:rPr>
              <w:t xml:space="preserve">energy usage during a period of time where there was no active gas service account at </w:t>
            </w:r>
          </w:p>
          <w:p w14:paraId="434C69DE" w14:textId="77777777" w:rsidR="009157DC" w:rsidRPr="00EC52EE" w:rsidRDefault="009157DC" w:rsidP="009157DC">
            <w:pPr>
              <w:pStyle w:val="ListParagraph"/>
              <w:ind w:left="360" w:firstLine="360"/>
              <w:rPr>
                <w:rFonts w:ascii="Times New Roman" w:hAnsi="Times New Roman" w:cs="Times New Roman"/>
                <w:strike/>
                <w:sz w:val="24"/>
                <w:szCs w:val="24"/>
              </w:rPr>
            </w:pPr>
            <w:proofErr w:type="gramStart"/>
            <w:r w:rsidRPr="00EC52EE">
              <w:rPr>
                <w:rFonts w:ascii="Times New Roman" w:hAnsi="Times New Roman" w:cs="Times New Roman"/>
                <w:sz w:val="24"/>
                <w:szCs w:val="24"/>
                <w:u w:val="single"/>
              </w:rPr>
              <w:t>that</w:t>
            </w:r>
            <w:proofErr w:type="gramEnd"/>
            <w:r w:rsidRPr="00EC52EE">
              <w:rPr>
                <w:rFonts w:ascii="Times New Roman" w:hAnsi="Times New Roman" w:cs="Times New Roman"/>
                <w:sz w:val="24"/>
                <w:szCs w:val="24"/>
                <w:u w:val="single"/>
              </w:rPr>
              <w:t xml:space="preserve"> premise. </w:t>
            </w:r>
            <w:r w:rsidRPr="00EC52EE">
              <w:rPr>
                <w:rFonts w:ascii="Times New Roman" w:hAnsi="Times New Roman" w:cs="Times New Roman"/>
                <w:strike/>
                <w:sz w:val="24"/>
                <w:szCs w:val="24"/>
              </w:rPr>
              <w:t xml:space="preserve">Correctly records and transmits energy usage but does not have a customer </w:t>
            </w:r>
          </w:p>
          <w:p w14:paraId="65863F97" w14:textId="77777777" w:rsidR="009157DC" w:rsidRPr="00EC52EE" w:rsidRDefault="009157DC" w:rsidP="009157DC">
            <w:pPr>
              <w:pStyle w:val="ListParagraph"/>
              <w:ind w:left="360" w:firstLine="360"/>
              <w:rPr>
                <w:rFonts w:ascii="Times New Roman" w:eastAsiaTheme="minorEastAsia" w:hAnsi="Times New Roman" w:cs="Times New Roman"/>
                <w:strike/>
                <w:color w:val="000000"/>
                <w:sz w:val="24"/>
                <w:szCs w:val="24"/>
                <w:lang w:eastAsia="zh-CN"/>
              </w:rPr>
            </w:pPr>
            <w:proofErr w:type="gramStart"/>
            <w:r w:rsidRPr="00EC52EE">
              <w:rPr>
                <w:rFonts w:ascii="Times New Roman" w:hAnsi="Times New Roman" w:cs="Times New Roman"/>
                <w:strike/>
                <w:sz w:val="24"/>
                <w:szCs w:val="24"/>
              </w:rPr>
              <w:t>assigned</w:t>
            </w:r>
            <w:proofErr w:type="gramEnd"/>
            <w:r w:rsidRPr="00EC52EE">
              <w:rPr>
                <w:rFonts w:ascii="Times New Roman" w:hAnsi="Times New Roman" w:cs="Times New Roman"/>
                <w:strike/>
                <w:sz w:val="24"/>
                <w:szCs w:val="24"/>
              </w:rPr>
              <w:t xml:space="preserve"> to the account.</w:t>
            </w:r>
          </w:p>
          <w:p w14:paraId="751F5E62" w14:textId="51D4A6BA" w:rsidR="009157DC" w:rsidRPr="00EC52EE" w:rsidRDefault="009157DC" w:rsidP="00A95469">
            <w:pPr>
              <w:rPr>
                <w:rFonts w:ascii="Times New Roman" w:hAnsi="Times New Roman" w:cs="Times New Roman"/>
                <w:sz w:val="24"/>
                <w:szCs w:val="24"/>
              </w:rPr>
            </w:pPr>
          </w:p>
        </w:tc>
      </w:tr>
      <w:tr w:rsidR="009157DC" w:rsidRPr="00EC52EE" w14:paraId="751F5E68" w14:textId="77777777" w:rsidTr="002B46DD">
        <w:trPr>
          <w:cantSplit/>
          <w:trHeight w:val="980"/>
        </w:trPr>
        <w:tc>
          <w:tcPr>
            <w:tcW w:w="1705" w:type="dxa"/>
            <w:vMerge/>
          </w:tcPr>
          <w:p w14:paraId="751F5E64" w14:textId="77777777" w:rsidR="009157DC" w:rsidRPr="00EC52EE" w:rsidRDefault="009157DC" w:rsidP="000B2FAB">
            <w:pPr>
              <w:rPr>
                <w:rFonts w:ascii="Times New Roman" w:hAnsi="Times New Roman" w:cs="Times New Roman"/>
                <w:b/>
                <w:sz w:val="24"/>
                <w:szCs w:val="24"/>
              </w:rPr>
            </w:pPr>
          </w:p>
        </w:tc>
        <w:tc>
          <w:tcPr>
            <w:tcW w:w="1530" w:type="dxa"/>
          </w:tcPr>
          <w:p w14:paraId="751F5E65" w14:textId="77777777" w:rsidR="009157DC" w:rsidRPr="00EC52EE" w:rsidRDefault="009157DC" w:rsidP="00A95469">
            <w:pPr>
              <w:rPr>
                <w:rFonts w:ascii="Times New Roman" w:hAnsi="Times New Roman" w:cs="Times New Roman"/>
                <w:sz w:val="24"/>
                <w:szCs w:val="24"/>
              </w:rPr>
            </w:pPr>
            <w:r w:rsidRPr="00EC52EE">
              <w:rPr>
                <w:rFonts w:ascii="Times New Roman" w:hAnsi="Times New Roman" w:cs="Times New Roman"/>
                <w:sz w:val="24"/>
                <w:szCs w:val="24"/>
              </w:rPr>
              <w:t>PSE</w:t>
            </w:r>
          </w:p>
        </w:tc>
        <w:tc>
          <w:tcPr>
            <w:tcW w:w="7200" w:type="dxa"/>
          </w:tcPr>
          <w:p w14:paraId="751F5E66" w14:textId="7CDBCB7F" w:rsidR="009157DC" w:rsidRPr="00EC52EE" w:rsidRDefault="009157DC" w:rsidP="00593F7C">
            <w:pPr>
              <w:rPr>
                <w:rFonts w:ascii="Times New Roman" w:hAnsi="Times New Roman" w:cs="Times New Roman"/>
                <w:sz w:val="24"/>
                <w:szCs w:val="24"/>
              </w:rPr>
            </w:pPr>
            <w:r w:rsidRPr="00EC52EE">
              <w:rPr>
                <w:rFonts w:ascii="Times New Roman" w:hAnsi="Times New Roman" w:cs="Times New Roman"/>
                <w:sz w:val="24"/>
                <w:szCs w:val="24"/>
              </w:rPr>
              <w:t>P</w:t>
            </w:r>
            <w:r w:rsidR="007A2B1B" w:rsidRPr="00EC52EE">
              <w:rPr>
                <w:rFonts w:ascii="Times New Roman" w:hAnsi="Times New Roman" w:cs="Times New Roman"/>
                <w:sz w:val="24"/>
                <w:szCs w:val="24"/>
              </w:rPr>
              <w:t xml:space="preserve">uget </w:t>
            </w:r>
            <w:r w:rsidRPr="00EC52EE">
              <w:rPr>
                <w:rFonts w:ascii="Times New Roman" w:hAnsi="Times New Roman" w:cs="Times New Roman"/>
                <w:sz w:val="24"/>
                <w:szCs w:val="24"/>
              </w:rPr>
              <w:t>S</w:t>
            </w:r>
            <w:r w:rsidR="007A2B1B" w:rsidRPr="00EC52EE">
              <w:rPr>
                <w:rFonts w:ascii="Times New Roman" w:hAnsi="Times New Roman" w:cs="Times New Roman"/>
                <w:sz w:val="24"/>
                <w:szCs w:val="24"/>
              </w:rPr>
              <w:t xml:space="preserve">ound </w:t>
            </w:r>
            <w:r w:rsidRPr="00EC52EE">
              <w:rPr>
                <w:rFonts w:ascii="Times New Roman" w:hAnsi="Times New Roman" w:cs="Times New Roman"/>
                <w:sz w:val="24"/>
                <w:szCs w:val="24"/>
              </w:rPr>
              <w:t>E</w:t>
            </w:r>
            <w:r w:rsidR="007A2B1B" w:rsidRPr="00EC52EE">
              <w:rPr>
                <w:rFonts w:ascii="Times New Roman" w:hAnsi="Times New Roman" w:cs="Times New Roman"/>
                <w:sz w:val="24"/>
                <w:szCs w:val="24"/>
              </w:rPr>
              <w:t>nergy (PSE)</w:t>
            </w:r>
            <w:r w:rsidRPr="00EC52EE">
              <w:rPr>
                <w:rFonts w:ascii="Times New Roman" w:hAnsi="Times New Roman" w:cs="Times New Roman"/>
                <w:sz w:val="24"/>
                <w:szCs w:val="24"/>
              </w:rPr>
              <w:t xml:space="preserve"> requests the Commission remove “a meter with unassigned energy usage” from the draft rules requiring a utility to issue a corrected bill within sixty days upon determination.  PSE supports a sixty day threshold for issues related to stopped meters, meter failure or malfunction, but not issues related to unassigned energy usage (“</w:t>
            </w:r>
            <w:proofErr w:type="spellStart"/>
            <w:r w:rsidRPr="00EC52EE">
              <w:rPr>
                <w:rFonts w:ascii="Times New Roman" w:hAnsi="Times New Roman" w:cs="Times New Roman"/>
                <w:sz w:val="24"/>
                <w:szCs w:val="24"/>
              </w:rPr>
              <w:t>UEU</w:t>
            </w:r>
            <w:proofErr w:type="spellEnd"/>
            <w:r w:rsidRPr="00EC52EE">
              <w:rPr>
                <w:rFonts w:ascii="Times New Roman" w:hAnsi="Times New Roman" w:cs="Times New Roman"/>
                <w:sz w:val="24"/>
                <w:szCs w:val="24"/>
              </w:rPr>
              <w:t xml:space="preserve">”).  Unlike a stopped meter, a meter with unassigned energy usage is the result of a customer failing to start energy service with the utility after move-in. As discussed in PSE’s previous comments, </w:t>
            </w:r>
            <w:r w:rsidR="00593F7C" w:rsidRPr="00EC52EE">
              <w:rPr>
                <w:rFonts w:ascii="Times New Roman" w:hAnsi="Times New Roman" w:cs="Times New Roman"/>
                <w:sz w:val="24"/>
                <w:szCs w:val="24"/>
              </w:rPr>
              <w:t xml:space="preserve">reaching the </w:t>
            </w:r>
            <w:proofErr w:type="spellStart"/>
            <w:r w:rsidR="00593F7C" w:rsidRPr="00EC52EE">
              <w:rPr>
                <w:rFonts w:ascii="Times New Roman" w:hAnsi="Times New Roman" w:cs="Times New Roman"/>
                <w:sz w:val="24"/>
                <w:szCs w:val="24"/>
              </w:rPr>
              <w:t>UEU</w:t>
            </w:r>
            <w:proofErr w:type="spellEnd"/>
            <w:r w:rsidR="00593F7C" w:rsidRPr="00EC52EE">
              <w:rPr>
                <w:rFonts w:ascii="Times New Roman" w:hAnsi="Times New Roman" w:cs="Times New Roman"/>
                <w:sz w:val="24"/>
                <w:szCs w:val="24"/>
              </w:rPr>
              <w:t xml:space="preserve"> threshold is not time-based but rather based on reaching a threshold of usage that is balanced between allowing adequate time for the customer to sign-up for service and avoiding the cost of a PSE truck roll</w:t>
            </w:r>
            <w:r w:rsidRPr="00EC52EE">
              <w:rPr>
                <w:rFonts w:ascii="Times New Roman" w:hAnsi="Times New Roman" w:cs="Times New Roman"/>
                <w:sz w:val="24"/>
                <w:szCs w:val="24"/>
              </w:rPr>
              <w:t xml:space="preserve">.  In some circumstances, the utilization is very low and may take months before the initial threshold triggers an investigation.  </w:t>
            </w:r>
          </w:p>
        </w:tc>
        <w:tc>
          <w:tcPr>
            <w:tcW w:w="4248" w:type="dxa"/>
            <w:vMerge/>
          </w:tcPr>
          <w:p w14:paraId="751F5E67" w14:textId="77777777" w:rsidR="009157DC" w:rsidRPr="00EC52EE" w:rsidRDefault="009157DC" w:rsidP="00A95469">
            <w:pPr>
              <w:rPr>
                <w:rFonts w:ascii="Times New Roman" w:hAnsi="Times New Roman" w:cs="Times New Roman"/>
                <w:sz w:val="24"/>
                <w:szCs w:val="24"/>
              </w:rPr>
            </w:pPr>
          </w:p>
        </w:tc>
      </w:tr>
      <w:tr w:rsidR="000F244E" w:rsidRPr="00EC52EE" w14:paraId="751F5E7D" w14:textId="77777777" w:rsidTr="002B46DD">
        <w:trPr>
          <w:cantSplit/>
          <w:trHeight w:val="980"/>
        </w:trPr>
        <w:tc>
          <w:tcPr>
            <w:tcW w:w="1705" w:type="dxa"/>
            <w:vMerge/>
          </w:tcPr>
          <w:p w14:paraId="751F5E69" w14:textId="77777777" w:rsidR="000F244E" w:rsidRPr="00EC52EE" w:rsidRDefault="000F244E" w:rsidP="000B2FAB">
            <w:pPr>
              <w:rPr>
                <w:rFonts w:ascii="Times New Roman" w:hAnsi="Times New Roman" w:cs="Times New Roman"/>
                <w:b/>
                <w:sz w:val="24"/>
                <w:szCs w:val="24"/>
              </w:rPr>
            </w:pPr>
          </w:p>
        </w:tc>
        <w:tc>
          <w:tcPr>
            <w:tcW w:w="1530" w:type="dxa"/>
          </w:tcPr>
          <w:p w14:paraId="751F5E6A" w14:textId="0A2805EE" w:rsidR="000F244E" w:rsidRPr="00EC52EE" w:rsidRDefault="00F362EA" w:rsidP="00A95469">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p w14:paraId="0481F0D6" w14:textId="77777777" w:rsidR="000F244E" w:rsidRDefault="00F362EA" w:rsidP="00644170">
            <w:pPr>
              <w:pStyle w:val="Default"/>
              <w:tabs>
                <w:tab w:val="left" w:pos="1440"/>
              </w:tabs>
            </w:pPr>
            <w:r>
              <w:t xml:space="preserve">The Company acknowledges that when it learns of unassigned energy usage that a corrected bill is issued. However, because unassigned energy usage is the direct result of the failure of a customer to inform the Company of their obligations for service, the inclusion of these </w:t>
            </w:r>
            <w:r>
              <w:lastRenderedPageBreak/>
              <w:t>types of bill corrections in a rule where the purpose of the rule is to address corrected bills due to some cause related to the utility’s facilities or utility action, is problematic.</w:t>
            </w:r>
          </w:p>
          <w:p w14:paraId="26FD4054" w14:textId="77777777" w:rsidR="00F362EA" w:rsidRDefault="00F362EA" w:rsidP="00644170">
            <w:pPr>
              <w:pStyle w:val="Default"/>
              <w:tabs>
                <w:tab w:val="left" w:pos="1440"/>
              </w:tabs>
            </w:pPr>
          </w:p>
          <w:p w14:paraId="751F5E7B" w14:textId="7F7F0AF9" w:rsidR="00F362EA" w:rsidRPr="00EC52EE" w:rsidRDefault="00F362EA" w:rsidP="00644170">
            <w:pPr>
              <w:pStyle w:val="Default"/>
              <w:tabs>
                <w:tab w:val="left" w:pos="1440"/>
              </w:tabs>
            </w:pPr>
            <w:r>
              <w:t>Extended periods of unassigned usage are somewhat rare, but they do occur. The Company’s preference would be to exclude unassigned usage from this rule altogether.</w:t>
            </w:r>
          </w:p>
        </w:tc>
        <w:tc>
          <w:tcPr>
            <w:tcW w:w="4248" w:type="dxa"/>
            <w:vMerge/>
          </w:tcPr>
          <w:p w14:paraId="751F5E7C" w14:textId="77777777" w:rsidR="000F244E" w:rsidRPr="00EC52EE" w:rsidRDefault="000F244E" w:rsidP="00A95469">
            <w:pPr>
              <w:rPr>
                <w:rFonts w:ascii="Times New Roman" w:hAnsi="Times New Roman" w:cs="Times New Roman"/>
                <w:sz w:val="24"/>
                <w:szCs w:val="24"/>
              </w:rPr>
            </w:pPr>
          </w:p>
        </w:tc>
      </w:tr>
      <w:tr w:rsidR="00F362EA" w:rsidRPr="00EC52EE" w14:paraId="6565C459" w14:textId="77777777" w:rsidTr="002B46DD">
        <w:trPr>
          <w:cantSplit/>
          <w:trHeight w:val="980"/>
        </w:trPr>
        <w:tc>
          <w:tcPr>
            <w:tcW w:w="1705" w:type="dxa"/>
            <w:vMerge w:val="restart"/>
          </w:tcPr>
          <w:p w14:paraId="3E3CB3F1" w14:textId="0800EFD4" w:rsidR="00F362EA" w:rsidRPr="00EC52EE" w:rsidRDefault="00F362EA" w:rsidP="00022224">
            <w:pPr>
              <w:rPr>
                <w:rFonts w:ascii="Times New Roman" w:hAnsi="Times New Roman" w:cs="Times New Roman"/>
                <w:b/>
                <w:sz w:val="24"/>
                <w:szCs w:val="24"/>
              </w:rPr>
            </w:pPr>
            <w:r w:rsidRPr="00EC52EE">
              <w:rPr>
                <w:rFonts w:ascii="Times New Roman" w:hAnsi="Times New Roman" w:cs="Times New Roman"/>
                <w:b/>
                <w:sz w:val="24"/>
                <w:szCs w:val="24"/>
              </w:rPr>
              <w:lastRenderedPageBreak/>
              <w:t>Clarification changes</w:t>
            </w:r>
          </w:p>
        </w:tc>
        <w:tc>
          <w:tcPr>
            <w:tcW w:w="1530" w:type="dxa"/>
          </w:tcPr>
          <w:p w14:paraId="39D00A74" w14:textId="10CC87A9" w:rsidR="00F362EA" w:rsidRDefault="00F362EA" w:rsidP="0028279E">
            <w:pPr>
              <w:rPr>
                <w:rFonts w:ascii="Times New Roman" w:hAnsi="Times New Roman" w:cs="Times New Roman"/>
                <w:sz w:val="24"/>
                <w:szCs w:val="24"/>
              </w:rPr>
            </w:pPr>
            <w:proofErr w:type="spellStart"/>
            <w:r>
              <w:rPr>
                <w:rFonts w:ascii="Times New Roman" w:hAnsi="Times New Roman" w:cs="Times New Roman"/>
                <w:sz w:val="24"/>
                <w:szCs w:val="24"/>
              </w:rPr>
              <w:t>PPL</w:t>
            </w:r>
            <w:proofErr w:type="spellEnd"/>
          </w:p>
        </w:tc>
        <w:tc>
          <w:tcPr>
            <w:tcW w:w="7200" w:type="dxa"/>
          </w:tcPr>
          <w:p w14:paraId="7D2DDF2D" w14:textId="3371D3EE" w:rsidR="00F362EA" w:rsidRPr="00F362EA" w:rsidRDefault="00F362EA" w:rsidP="0073236C">
            <w:pPr>
              <w:rPr>
                <w:rFonts w:ascii="Times New Roman" w:hAnsi="Times New Roman" w:cs="Times New Roman"/>
                <w:i/>
                <w:sz w:val="24"/>
                <w:szCs w:val="24"/>
              </w:rPr>
            </w:pPr>
            <w:proofErr w:type="spellStart"/>
            <w:r w:rsidRPr="00F362EA">
              <w:rPr>
                <w:rFonts w:ascii="Times New Roman" w:hAnsi="Times New Roman" w:cs="Times New Roman"/>
                <w:sz w:val="24"/>
                <w:szCs w:val="24"/>
              </w:rPr>
              <w:t>PPL</w:t>
            </w:r>
            <w:proofErr w:type="spellEnd"/>
            <w:r w:rsidRPr="00F362EA">
              <w:rPr>
                <w:rFonts w:ascii="Times New Roman" w:hAnsi="Times New Roman" w:cs="Times New Roman"/>
                <w:sz w:val="24"/>
                <w:szCs w:val="24"/>
              </w:rPr>
              <w:t xml:space="preserve"> proposes replacing “Upon discovery of” and “discovered” with “When the utility has determined” and “confirmed” with “determines” in the last sentence. This change would give more clarity as to when the sixty day clock starts for issuing a billing correction. </w:t>
            </w:r>
            <w:proofErr w:type="spellStart"/>
            <w:r w:rsidRPr="00F362EA">
              <w:rPr>
                <w:rFonts w:ascii="Times New Roman" w:hAnsi="Times New Roman" w:cs="Times New Roman"/>
                <w:sz w:val="24"/>
                <w:szCs w:val="24"/>
              </w:rPr>
              <w:t>PPL</w:t>
            </w:r>
            <w:proofErr w:type="spellEnd"/>
            <w:r w:rsidRPr="00F362EA">
              <w:rPr>
                <w:rFonts w:ascii="Times New Roman" w:hAnsi="Times New Roman" w:cs="Times New Roman"/>
                <w:sz w:val="24"/>
                <w:szCs w:val="24"/>
              </w:rPr>
              <w:t xml:space="preserve"> proposes to clarify the rules by stating from the “date the utility determines the error” in order to allow time for investigation and confirmation of the error.</w:t>
            </w:r>
          </w:p>
        </w:tc>
        <w:tc>
          <w:tcPr>
            <w:tcW w:w="4248" w:type="dxa"/>
            <w:vMerge w:val="restart"/>
          </w:tcPr>
          <w:p w14:paraId="29E4E281" w14:textId="77777777" w:rsidR="00A23A1B" w:rsidRDefault="00F73477" w:rsidP="00A95469">
            <w:pPr>
              <w:rPr>
                <w:rFonts w:ascii="Times New Roman" w:hAnsi="Times New Roman" w:cs="Times New Roman"/>
                <w:sz w:val="24"/>
                <w:szCs w:val="24"/>
              </w:rPr>
            </w:pPr>
            <w:r>
              <w:rPr>
                <w:rFonts w:ascii="Times New Roman" w:hAnsi="Times New Roman" w:cs="Times New Roman"/>
                <w:sz w:val="24"/>
                <w:szCs w:val="24"/>
              </w:rPr>
              <w:t xml:space="preserve">Staff disagrees that the terms “upon discovery of” and “discovered” should be replaced with “when the utility has determined.”  </w:t>
            </w:r>
          </w:p>
          <w:p w14:paraId="37E04E39" w14:textId="77777777" w:rsidR="00A23A1B" w:rsidRDefault="00A23A1B" w:rsidP="00A95469">
            <w:pPr>
              <w:rPr>
                <w:rFonts w:ascii="Times New Roman" w:hAnsi="Times New Roman" w:cs="Times New Roman"/>
                <w:sz w:val="24"/>
                <w:szCs w:val="24"/>
              </w:rPr>
            </w:pPr>
          </w:p>
          <w:p w14:paraId="40304C4E" w14:textId="4CD238F8" w:rsidR="00F73477" w:rsidRDefault="002970BF" w:rsidP="00A95469">
            <w:pPr>
              <w:rPr>
                <w:rFonts w:ascii="Times New Roman" w:hAnsi="Times New Roman" w:cs="Times New Roman"/>
                <w:sz w:val="24"/>
                <w:szCs w:val="24"/>
              </w:rPr>
            </w:pPr>
            <w:r>
              <w:rPr>
                <w:rFonts w:ascii="Times New Roman" w:hAnsi="Times New Roman" w:cs="Times New Roman"/>
                <w:sz w:val="24"/>
                <w:szCs w:val="24"/>
              </w:rPr>
              <w:t>S</w:t>
            </w:r>
            <w:r w:rsidR="00F73477">
              <w:rPr>
                <w:rFonts w:ascii="Times New Roman" w:hAnsi="Times New Roman" w:cs="Times New Roman"/>
                <w:sz w:val="24"/>
                <w:szCs w:val="24"/>
              </w:rPr>
              <w:t xml:space="preserve">taff would agree to change the last sentence in paragraph (5)(a) to read: </w:t>
            </w:r>
            <w:r>
              <w:rPr>
                <w:rFonts w:ascii="Times New Roman" w:hAnsi="Times New Roman" w:cs="Times New Roman"/>
                <w:sz w:val="24"/>
                <w:szCs w:val="24"/>
              </w:rPr>
              <w:t xml:space="preserve">However, except as provided for in subsection(7), when a utility discovers that it has under-billed a customer, it may not seek to collect from that customer for any period greater than six months from the date the error occurred. </w:t>
            </w:r>
          </w:p>
          <w:p w14:paraId="647D3E05" w14:textId="77777777" w:rsidR="002970BF" w:rsidRDefault="002970BF" w:rsidP="00A95469">
            <w:pPr>
              <w:rPr>
                <w:rFonts w:ascii="Times New Roman" w:hAnsi="Times New Roman" w:cs="Times New Roman"/>
                <w:sz w:val="24"/>
                <w:szCs w:val="24"/>
              </w:rPr>
            </w:pPr>
          </w:p>
          <w:p w14:paraId="17EC23B5" w14:textId="26C3D652" w:rsidR="00F73477" w:rsidRDefault="002970BF" w:rsidP="00A95469">
            <w:pPr>
              <w:rPr>
                <w:rFonts w:ascii="Times New Roman" w:hAnsi="Times New Roman" w:cs="Times New Roman"/>
                <w:sz w:val="24"/>
                <w:szCs w:val="24"/>
              </w:rPr>
            </w:pPr>
            <w:r>
              <w:rPr>
                <w:rFonts w:ascii="Times New Roman" w:hAnsi="Times New Roman" w:cs="Times New Roman"/>
                <w:sz w:val="24"/>
                <w:szCs w:val="24"/>
              </w:rPr>
              <w:lastRenderedPageBreak/>
              <w:t>Staff believes this change would provide the utilities the flexibility required to determine the date when the error occurred.</w:t>
            </w:r>
          </w:p>
          <w:p w14:paraId="43E61EC5" w14:textId="77777777" w:rsidR="00F362EA" w:rsidRPr="00EC52EE" w:rsidRDefault="00F362EA" w:rsidP="00A95469">
            <w:pPr>
              <w:rPr>
                <w:rFonts w:ascii="Times New Roman" w:hAnsi="Times New Roman" w:cs="Times New Roman"/>
                <w:sz w:val="24"/>
                <w:szCs w:val="24"/>
              </w:rPr>
            </w:pPr>
          </w:p>
          <w:p w14:paraId="6E375536" w14:textId="77777777" w:rsidR="00F362EA" w:rsidRPr="00EC52EE" w:rsidRDefault="00F362EA" w:rsidP="00207080">
            <w:pPr>
              <w:rPr>
                <w:rFonts w:ascii="Times New Roman" w:hAnsi="Times New Roman" w:cs="Times New Roman"/>
                <w:sz w:val="24"/>
                <w:szCs w:val="24"/>
              </w:rPr>
            </w:pPr>
          </w:p>
          <w:p w14:paraId="77AE0305" w14:textId="77777777" w:rsidR="00096573" w:rsidRDefault="00096573" w:rsidP="00A23A1B">
            <w:pPr>
              <w:rPr>
                <w:rFonts w:ascii="Times New Roman" w:hAnsi="Times New Roman" w:cs="Times New Roman"/>
                <w:sz w:val="24"/>
                <w:szCs w:val="24"/>
              </w:rPr>
            </w:pPr>
          </w:p>
          <w:p w14:paraId="53D16A29" w14:textId="77777777" w:rsidR="00A23A1B" w:rsidRDefault="00A23A1B" w:rsidP="00A23A1B">
            <w:pPr>
              <w:rPr>
                <w:rFonts w:ascii="Times New Roman" w:hAnsi="Times New Roman" w:cs="Times New Roman"/>
                <w:sz w:val="24"/>
                <w:szCs w:val="24"/>
              </w:rPr>
            </w:pPr>
            <w:r w:rsidRPr="00EC52EE">
              <w:rPr>
                <w:rFonts w:ascii="Times New Roman" w:hAnsi="Times New Roman" w:cs="Times New Roman"/>
                <w:sz w:val="24"/>
                <w:szCs w:val="24"/>
              </w:rPr>
              <w:t>Staff disagrees with PSE’s proposal to eliminate the phrase “an explanation of” from WAC 480-90-178(6</w:t>
            </w:r>
            <w:proofErr w:type="gramStart"/>
            <w:r w:rsidRPr="00EC52EE">
              <w:rPr>
                <w:rFonts w:ascii="Times New Roman" w:hAnsi="Times New Roman" w:cs="Times New Roman"/>
                <w:sz w:val="24"/>
                <w:szCs w:val="24"/>
              </w:rPr>
              <w:t>)(</w:t>
            </w:r>
            <w:proofErr w:type="gramEnd"/>
            <w:r w:rsidRPr="00EC52EE">
              <w:rPr>
                <w:rFonts w:ascii="Times New Roman" w:hAnsi="Times New Roman" w:cs="Times New Roman"/>
                <w:sz w:val="24"/>
                <w:szCs w:val="24"/>
              </w:rPr>
              <w:t>f) and WAC 480-90-178(6)(f).  The utility should provide an explanation of the availability of payment arrangements in accordance with WAC 480-90-138(1) and WAC 480-100-138(1).</w:t>
            </w:r>
          </w:p>
          <w:p w14:paraId="23E2914B" w14:textId="77777777" w:rsidR="00A23A1B" w:rsidRDefault="00A23A1B" w:rsidP="00A23A1B">
            <w:pPr>
              <w:rPr>
                <w:rFonts w:ascii="Times New Roman" w:hAnsi="Times New Roman" w:cs="Times New Roman"/>
                <w:sz w:val="24"/>
                <w:szCs w:val="24"/>
              </w:rPr>
            </w:pPr>
          </w:p>
          <w:p w14:paraId="62191A88" w14:textId="77777777" w:rsidR="00F362EA" w:rsidRPr="00EC52EE" w:rsidRDefault="00F362EA" w:rsidP="00207080">
            <w:pPr>
              <w:rPr>
                <w:rFonts w:ascii="Times New Roman" w:hAnsi="Times New Roman" w:cs="Times New Roman"/>
                <w:sz w:val="24"/>
                <w:szCs w:val="24"/>
              </w:rPr>
            </w:pPr>
          </w:p>
          <w:p w14:paraId="781BD148" w14:textId="77777777" w:rsidR="00F362EA" w:rsidRPr="00EC52EE" w:rsidRDefault="00F362EA" w:rsidP="00207080">
            <w:pPr>
              <w:rPr>
                <w:rFonts w:ascii="Times New Roman" w:hAnsi="Times New Roman" w:cs="Times New Roman"/>
                <w:sz w:val="24"/>
                <w:szCs w:val="24"/>
              </w:rPr>
            </w:pPr>
          </w:p>
          <w:p w14:paraId="5E38BD5A" w14:textId="77777777" w:rsidR="00F362EA" w:rsidRPr="00EC52EE" w:rsidRDefault="00F362EA" w:rsidP="00207080">
            <w:pPr>
              <w:rPr>
                <w:rFonts w:ascii="Times New Roman" w:hAnsi="Times New Roman" w:cs="Times New Roman"/>
                <w:sz w:val="24"/>
                <w:szCs w:val="24"/>
              </w:rPr>
            </w:pPr>
          </w:p>
          <w:p w14:paraId="41C50BD3" w14:textId="77777777" w:rsidR="00F362EA" w:rsidRPr="00EC52EE" w:rsidRDefault="00F362EA" w:rsidP="00207080">
            <w:pPr>
              <w:rPr>
                <w:rFonts w:ascii="Times New Roman" w:hAnsi="Times New Roman" w:cs="Times New Roman"/>
                <w:sz w:val="24"/>
                <w:szCs w:val="24"/>
              </w:rPr>
            </w:pPr>
          </w:p>
          <w:p w14:paraId="3F63673B" w14:textId="77777777" w:rsidR="00F362EA" w:rsidRPr="00EC52EE" w:rsidRDefault="00F362EA" w:rsidP="00207080">
            <w:pPr>
              <w:rPr>
                <w:rFonts w:ascii="Times New Roman" w:hAnsi="Times New Roman" w:cs="Times New Roman"/>
                <w:sz w:val="24"/>
                <w:szCs w:val="24"/>
              </w:rPr>
            </w:pPr>
          </w:p>
          <w:p w14:paraId="637C2A82" w14:textId="77777777" w:rsidR="00F362EA" w:rsidRPr="00EC52EE" w:rsidRDefault="00F362EA" w:rsidP="00207080">
            <w:pPr>
              <w:rPr>
                <w:rFonts w:ascii="Times New Roman" w:hAnsi="Times New Roman" w:cs="Times New Roman"/>
                <w:sz w:val="24"/>
                <w:szCs w:val="24"/>
              </w:rPr>
            </w:pPr>
          </w:p>
          <w:p w14:paraId="2D77A288" w14:textId="77777777" w:rsidR="00F362EA" w:rsidRPr="00EC52EE" w:rsidRDefault="00F362EA" w:rsidP="00207080">
            <w:pPr>
              <w:rPr>
                <w:rFonts w:ascii="Times New Roman" w:hAnsi="Times New Roman" w:cs="Times New Roman"/>
                <w:sz w:val="24"/>
                <w:szCs w:val="24"/>
              </w:rPr>
            </w:pPr>
          </w:p>
          <w:p w14:paraId="61A3050F" w14:textId="77777777" w:rsidR="00F362EA" w:rsidRPr="00EC52EE" w:rsidRDefault="00F362EA" w:rsidP="00207080">
            <w:pPr>
              <w:rPr>
                <w:rFonts w:ascii="Times New Roman" w:hAnsi="Times New Roman" w:cs="Times New Roman"/>
                <w:sz w:val="24"/>
                <w:szCs w:val="24"/>
              </w:rPr>
            </w:pPr>
          </w:p>
          <w:p w14:paraId="1B05D197" w14:textId="77777777" w:rsidR="00F362EA" w:rsidRPr="00EC52EE" w:rsidRDefault="00F362EA" w:rsidP="0073236C">
            <w:pPr>
              <w:rPr>
                <w:rFonts w:ascii="Times New Roman" w:hAnsi="Times New Roman" w:cs="Times New Roman"/>
                <w:sz w:val="24"/>
                <w:szCs w:val="24"/>
              </w:rPr>
            </w:pPr>
            <w:r w:rsidRPr="00EC52EE">
              <w:rPr>
                <w:rFonts w:ascii="Times New Roman" w:hAnsi="Times New Roman" w:cs="Times New Roman"/>
                <w:sz w:val="24"/>
                <w:szCs w:val="24"/>
              </w:rPr>
              <w:t>Staff disagrees. The company should always make an attempt to issue a corrected bill to a customer to recover under-billed amounts and must attempt to issue a corrected bill to a customer to refund over-billed amounts.</w:t>
            </w:r>
          </w:p>
          <w:p w14:paraId="49465EA1" w14:textId="77777777" w:rsidR="00F362EA" w:rsidRPr="00EC52EE" w:rsidRDefault="00F362EA" w:rsidP="0073236C">
            <w:pPr>
              <w:rPr>
                <w:rFonts w:ascii="Times New Roman" w:hAnsi="Times New Roman" w:cs="Times New Roman"/>
                <w:sz w:val="24"/>
                <w:szCs w:val="24"/>
              </w:rPr>
            </w:pPr>
          </w:p>
          <w:p w14:paraId="2BA918FC" w14:textId="77777777" w:rsidR="00F362EA" w:rsidRPr="00EC52EE" w:rsidRDefault="00F362EA" w:rsidP="0073236C">
            <w:pPr>
              <w:rPr>
                <w:rFonts w:ascii="Times New Roman" w:hAnsi="Times New Roman" w:cs="Times New Roman"/>
                <w:sz w:val="24"/>
                <w:szCs w:val="24"/>
              </w:rPr>
            </w:pPr>
            <w:r w:rsidRPr="00EC52EE">
              <w:rPr>
                <w:rFonts w:ascii="Times New Roman" w:hAnsi="Times New Roman" w:cs="Times New Roman"/>
                <w:sz w:val="24"/>
                <w:szCs w:val="24"/>
              </w:rPr>
              <w:lastRenderedPageBreak/>
              <w:t xml:space="preserve">Staff would agree with </w:t>
            </w:r>
            <w:proofErr w:type="spellStart"/>
            <w:r w:rsidRPr="00EC52EE">
              <w:rPr>
                <w:rFonts w:ascii="Times New Roman" w:hAnsi="Times New Roman" w:cs="Times New Roman"/>
                <w:sz w:val="24"/>
                <w:szCs w:val="24"/>
              </w:rPr>
              <w:t>Avista’s</w:t>
            </w:r>
            <w:proofErr w:type="spellEnd"/>
            <w:r w:rsidRPr="00EC52EE">
              <w:rPr>
                <w:rFonts w:ascii="Times New Roman" w:hAnsi="Times New Roman" w:cs="Times New Roman"/>
                <w:sz w:val="24"/>
                <w:szCs w:val="24"/>
              </w:rPr>
              <w:t xml:space="preserve"> proposed language modification in Section 6(f).</w:t>
            </w:r>
          </w:p>
          <w:p w14:paraId="113054DD" w14:textId="77777777" w:rsidR="00F362EA" w:rsidRPr="00EC52EE" w:rsidRDefault="00F362EA" w:rsidP="0073236C">
            <w:pPr>
              <w:rPr>
                <w:rFonts w:ascii="Times New Roman" w:hAnsi="Times New Roman" w:cs="Times New Roman"/>
                <w:sz w:val="24"/>
                <w:szCs w:val="24"/>
              </w:rPr>
            </w:pPr>
            <w:r w:rsidRPr="00EC52EE">
              <w:rPr>
                <w:rFonts w:ascii="Times New Roman" w:hAnsi="Times New Roman" w:cs="Times New Roman"/>
                <w:sz w:val="24"/>
                <w:szCs w:val="24"/>
              </w:rPr>
              <w:t xml:space="preserve">In Section 6(f), </w:t>
            </w:r>
            <w:proofErr w:type="spellStart"/>
            <w:r w:rsidRPr="00EC52EE">
              <w:rPr>
                <w:rFonts w:ascii="Times New Roman" w:hAnsi="Times New Roman" w:cs="Times New Roman"/>
                <w:sz w:val="24"/>
                <w:szCs w:val="24"/>
              </w:rPr>
              <w:t>Avista</w:t>
            </w:r>
            <w:proofErr w:type="spellEnd"/>
            <w:r w:rsidRPr="00EC52EE">
              <w:rPr>
                <w:rFonts w:ascii="Times New Roman" w:hAnsi="Times New Roman" w:cs="Times New Roman"/>
                <w:sz w:val="24"/>
                <w:szCs w:val="24"/>
              </w:rPr>
              <w:t xml:space="preserve"> proposes the language be modified to read as follows: “</w:t>
            </w:r>
            <w:r w:rsidRPr="00EC52EE">
              <w:rPr>
                <w:rFonts w:ascii="Times New Roman" w:hAnsi="Times New Roman" w:cs="Times New Roman"/>
                <w:b/>
                <w:sz w:val="24"/>
                <w:szCs w:val="24"/>
                <w:u w:val="single"/>
              </w:rPr>
              <w:t>When issuing a corrected bill for under-billing</w:t>
            </w:r>
            <w:r w:rsidRPr="00EC52EE">
              <w:rPr>
                <w:rFonts w:ascii="Times New Roman" w:hAnsi="Times New Roman" w:cs="Times New Roman"/>
                <w:sz w:val="24"/>
                <w:szCs w:val="24"/>
              </w:rPr>
              <w:t>, an explanation of the availability of payment arrangements …” The company proposes this modification as payment arrangements do not apply to situations when a utility issues a corrected bill or refund for an over-billing.</w:t>
            </w:r>
          </w:p>
          <w:p w14:paraId="0634698C" w14:textId="77777777" w:rsidR="00F362EA" w:rsidRDefault="00F362EA" w:rsidP="0073236C">
            <w:pPr>
              <w:rPr>
                <w:rFonts w:ascii="Times New Roman" w:hAnsi="Times New Roman" w:cs="Times New Roman"/>
                <w:sz w:val="24"/>
                <w:szCs w:val="24"/>
              </w:rPr>
            </w:pPr>
          </w:p>
          <w:p w14:paraId="741269DC" w14:textId="77777777" w:rsidR="000558EA" w:rsidRDefault="000558EA" w:rsidP="0073236C">
            <w:pPr>
              <w:rPr>
                <w:rFonts w:ascii="Times New Roman" w:hAnsi="Times New Roman" w:cs="Times New Roman"/>
                <w:sz w:val="24"/>
                <w:szCs w:val="24"/>
              </w:rPr>
            </w:pPr>
          </w:p>
          <w:p w14:paraId="0174126A" w14:textId="77777777" w:rsidR="000558EA" w:rsidRDefault="000558EA" w:rsidP="0073236C">
            <w:pPr>
              <w:rPr>
                <w:rFonts w:ascii="Times New Roman" w:hAnsi="Times New Roman" w:cs="Times New Roman"/>
                <w:sz w:val="24"/>
                <w:szCs w:val="24"/>
              </w:rPr>
            </w:pPr>
          </w:p>
          <w:p w14:paraId="5CF318CA" w14:textId="77777777" w:rsidR="000558EA" w:rsidRPr="00EC52EE" w:rsidRDefault="000558EA" w:rsidP="0073236C">
            <w:pPr>
              <w:rPr>
                <w:rFonts w:ascii="Times New Roman" w:hAnsi="Times New Roman" w:cs="Times New Roman"/>
                <w:sz w:val="24"/>
                <w:szCs w:val="24"/>
              </w:rPr>
            </w:pPr>
          </w:p>
          <w:p w14:paraId="67393FFA" w14:textId="77777777" w:rsidR="00D53A9F" w:rsidRDefault="00D53A9F" w:rsidP="00153209">
            <w:pPr>
              <w:rPr>
                <w:rFonts w:ascii="Times New Roman" w:hAnsi="Times New Roman" w:cs="Times New Roman"/>
                <w:sz w:val="24"/>
                <w:szCs w:val="24"/>
              </w:rPr>
            </w:pPr>
          </w:p>
          <w:p w14:paraId="23C1C95F" w14:textId="77777777" w:rsidR="00F362EA" w:rsidRPr="00EC52EE" w:rsidRDefault="00F362EA" w:rsidP="00153209">
            <w:pPr>
              <w:rPr>
                <w:rFonts w:ascii="Times New Roman" w:hAnsi="Times New Roman" w:cs="Times New Roman"/>
                <w:sz w:val="24"/>
                <w:szCs w:val="24"/>
              </w:rPr>
            </w:pPr>
            <w:r w:rsidRPr="00EC52EE">
              <w:rPr>
                <w:rFonts w:ascii="Times New Roman" w:hAnsi="Times New Roman" w:cs="Times New Roman"/>
                <w:sz w:val="24"/>
                <w:szCs w:val="24"/>
              </w:rPr>
              <w:t xml:space="preserve">Staff disagrees with </w:t>
            </w:r>
            <w:proofErr w:type="spellStart"/>
            <w:r w:rsidRPr="00EC52EE">
              <w:rPr>
                <w:rFonts w:ascii="Times New Roman" w:hAnsi="Times New Roman" w:cs="Times New Roman"/>
                <w:sz w:val="24"/>
                <w:szCs w:val="24"/>
              </w:rPr>
              <w:t>NWNG’s</w:t>
            </w:r>
            <w:proofErr w:type="spellEnd"/>
            <w:r w:rsidRPr="00EC52EE">
              <w:rPr>
                <w:rFonts w:ascii="Times New Roman" w:hAnsi="Times New Roman" w:cs="Times New Roman"/>
                <w:sz w:val="24"/>
                <w:szCs w:val="24"/>
              </w:rPr>
              <w:t xml:space="preserve"> proposed changes to Section (6). The required information should not be made available upon request. All the information should be provided when the corrected bill is sent to the customer. Staff can agree to modify the language in paragraph (6) to read:</w:t>
            </w:r>
          </w:p>
          <w:p w14:paraId="5C570D1D" w14:textId="77777777" w:rsidR="00F362EA" w:rsidRPr="00EC52EE" w:rsidRDefault="00F362EA" w:rsidP="00153209">
            <w:pPr>
              <w:rPr>
                <w:rFonts w:ascii="Times New Roman" w:hAnsi="Times New Roman" w:cs="Times New Roman"/>
                <w:sz w:val="24"/>
                <w:szCs w:val="24"/>
              </w:rPr>
            </w:pPr>
          </w:p>
          <w:p w14:paraId="63D7B5C9" w14:textId="129EF5F1" w:rsidR="00F362EA" w:rsidRPr="00EC52EE" w:rsidRDefault="00F362EA" w:rsidP="00022224">
            <w:pPr>
              <w:rPr>
                <w:rFonts w:ascii="Times New Roman" w:hAnsi="Times New Roman" w:cs="Times New Roman"/>
                <w:sz w:val="24"/>
                <w:szCs w:val="24"/>
              </w:rPr>
            </w:pPr>
            <w:r w:rsidRPr="006D6ADA">
              <w:rPr>
                <w:rFonts w:ascii="Times New Roman" w:hAnsi="Times New Roman" w:cs="Times New Roman"/>
                <w:sz w:val="24"/>
                <w:szCs w:val="24"/>
              </w:rPr>
              <w:t>When a corrected bill is issued, the utility must provide the following information on the corrected bill, in a bill insert, in a letter or any combination of methods that clearly explains all the information required to be provided to the customer</w:t>
            </w:r>
            <w:r w:rsidRPr="00EC52EE">
              <w:rPr>
                <w:rFonts w:ascii="Times New Roman" w:hAnsi="Times New Roman" w:cs="Times New Roman"/>
                <w:color w:val="FF0000"/>
                <w:sz w:val="24"/>
                <w:szCs w:val="24"/>
                <w:u w:val="single"/>
              </w:rPr>
              <w:t>.</w:t>
            </w:r>
          </w:p>
        </w:tc>
      </w:tr>
      <w:tr w:rsidR="00F362EA" w:rsidRPr="00EC52EE" w14:paraId="751F5E82" w14:textId="77777777" w:rsidTr="002B46DD">
        <w:trPr>
          <w:cantSplit/>
          <w:trHeight w:val="980"/>
        </w:trPr>
        <w:tc>
          <w:tcPr>
            <w:tcW w:w="1705" w:type="dxa"/>
            <w:vMerge/>
          </w:tcPr>
          <w:p w14:paraId="751F5E7E" w14:textId="33C12414" w:rsidR="00F362EA" w:rsidRPr="00EC52EE" w:rsidRDefault="00F362EA" w:rsidP="00A95469">
            <w:pPr>
              <w:rPr>
                <w:rFonts w:ascii="Times New Roman" w:hAnsi="Times New Roman" w:cs="Times New Roman"/>
                <w:b/>
                <w:sz w:val="24"/>
                <w:szCs w:val="24"/>
              </w:rPr>
            </w:pPr>
          </w:p>
        </w:tc>
        <w:tc>
          <w:tcPr>
            <w:tcW w:w="1530" w:type="dxa"/>
          </w:tcPr>
          <w:p w14:paraId="751F5E7F" w14:textId="15072617" w:rsidR="00F362EA" w:rsidRPr="00EC52EE" w:rsidRDefault="00F362EA" w:rsidP="0028279E">
            <w:pPr>
              <w:rPr>
                <w:rFonts w:ascii="Times New Roman" w:hAnsi="Times New Roman" w:cs="Times New Roman"/>
                <w:sz w:val="24"/>
                <w:szCs w:val="24"/>
              </w:rPr>
            </w:pPr>
            <w:r>
              <w:rPr>
                <w:rFonts w:ascii="Times New Roman" w:hAnsi="Times New Roman" w:cs="Times New Roman"/>
                <w:sz w:val="24"/>
                <w:szCs w:val="24"/>
              </w:rPr>
              <w:t>PSE</w:t>
            </w:r>
          </w:p>
        </w:tc>
        <w:tc>
          <w:tcPr>
            <w:tcW w:w="7200" w:type="dxa"/>
          </w:tcPr>
          <w:p w14:paraId="1655ACE1" w14:textId="33CB17C9" w:rsidR="00F362EA" w:rsidRPr="00EC52EE" w:rsidRDefault="00F362EA" w:rsidP="0073236C">
            <w:pPr>
              <w:rPr>
                <w:rFonts w:ascii="Times New Roman" w:hAnsi="Times New Roman" w:cs="Times New Roman"/>
                <w:sz w:val="24"/>
                <w:szCs w:val="24"/>
              </w:rPr>
            </w:pPr>
            <w:r w:rsidRPr="00EC52EE">
              <w:rPr>
                <w:rFonts w:ascii="Times New Roman" w:hAnsi="Times New Roman" w:cs="Times New Roman"/>
                <w:i/>
                <w:sz w:val="24"/>
                <w:szCs w:val="24"/>
              </w:rPr>
              <w:t>WAC 480-90-178(5</w:t>
            </w:r>
            <w:proofErr w:type="gramStart"/>
            <w:r w:rsidRPr="00EC52EE">
              <w:rPr>
                <w:rFonts w:ascii="Times New Roman" w:hAnsi="Times New Roman" w:cs="Times New Roman"/>
                <w:i/>
                <w:sz w:val="24"/>
                <w:szCs w:val="24"/>
              </w:rPr>
              <w:t>)(</w:t>
            </w:r>
            <w:proofErr w:type="gramEnd"/>
            <w:r w:rsidRPr="00EC52EE">
              <w:rPr>
                <w:rFonts w:ascii="Times New Roman" w:hAnsi="Times New Roman" w:cs="Times New Roman"/>
                <w:i/>
                <w:sz w:val="24"/>
                <w:szCs w:val="24"/>
              </w:rPr>
              <w:t xml:space="preserve">a) and WAC 480-100-178(5)(a): </w:t>
            </w:r>
            <w:r w:rsidRPr="00EC52EE">
              <w:rPr>
                <w:rFonts w:ascii="Times New Roman" w:hAnsi="Times New Roman" w:cs="Times New Roman"/>
                <w:sz w:val="24"/>
                <w:szCs w:val="24"/>
              </w:rPr>
              <w:t xml:space="preserve">PSE is unclear with the term “upon discovery” and “discovers” in this section of the draft rules.  PSE recommends replacing “upon discovery” with “from the date the utility determines” in the first sentence and replacing “discovers” with “determines” in the last sentence. This change would give more clarity as to when the sixty day clock starts for issuing a billing correction.  A potential billing error often requires investigation </w:t>
            </w:r>
            <w:r w:rsidRPr="00EC52EE">
              <w:rPr>
                <w:rFonts w:ascii="Times New Roman" w:hAnsi="Times New Roman" w:cs="Times New Roman"/>
                <w:sz w:val="24"/>
                <w:szCs w:val="24"/>
              </w:rPr>
              <w:lastRenderedPageBreak/>
              <w:t xml:space="preserve">and confirmation, and it is unclear whether sixty days would begin before or after a utility has investigated and confirmed the meter is malfunctioning.  From PSE’s perspective, the rules would be made clear by stating from the “date the utility determines the error” in order to ensure time for investigation and confirmation of the meter malfunction and issuance of the corrected billing statement. </w:t>
            </w:r>
          </w:p>
          <w:p w14:paraId="6FD5E21E" w14:textId="77777777" w:rsidR="00F362EA" w:rsidRPr="00EC52EE" w:rsidRDefault="00F362EA" w:rsidP="0073236C">
            <w:pPr>
              <w:rPr>
                <w:rFonts w:ascii="Times New Roman" w:hAnsi="Times New Roman" w:cs="Times New Roman"/>
                <w:sz w:val="24"/>
                <w:szCs w:val="24"/>
              </w:rPr>
            </w:pPr>
          </w:p>
          <w:p w14:paraId="7B508371" w14:textId="77777777" w:rsidR="00F362EA" w:rsidRPr="00EC52EE" w:rsidRDefault="00F362EA" w:rsidP="0073236C">
            <w:pPr>
              <w:rPr>
                <w:rFonts w:ascii="Times New Roman" w:hAnsi="Times New Roman" w:cs="Times New Roman"/>
                <w:i/>
                <w:sz w:val="24"/>
                <w:szCs w:val="24"/>
              </w:rPr>
            </w:pPr>
            <w:r w:rsidRPr="00EC52EE">
              <w:rPr>
                <w:rFonts w:ascii="Times New Roman" w:hAnsi="Times New Roman" w:cs="Times New Roman"/>
                <w:i/>
                <w:sz w:val="24"/>
                <w:szCs w:val="24"/>
              </w:rPr>
              <w:t xml:space="preserve">WAC 480-90-178(6)(f) and WAC 480-100-178(6)(f):  </w:t>
            </w:r>
            <w:r w:rsidRPr="00EC52EE">
              <w:rPr>
                <w:rFonts w:ascii="Times New Roman" w:hAnsi="Times New Roman" w:cs="Times New Roman"/>
                <w:sz w:val="24"/>
                <w:szCs w:val="24"/>
              </w:rPr>
              <w:t xml:space="preserve">PSE proposes to eliminate the phrase “an explanation of” from this section because it is unclear and ambiguous what should be included in an explanation of the availability payments arrangements beyond the payment arrangements themselves.  For clarity, PSE proposes this section to read </w:t>
            </w:r>
            <w:r w:rsidRPr="00EC52EE">
              <w:rPr>
                <w:rFonts w:ascii="Times New Roman" w:hAnsi="Times New Roman" w:cs="Times New Roman"/>
                <w:i/>
                <w:sz w:val="24"/>
                <w:szCs w:val="24"/>
              </w:rPr>
              <w:t>“the availability of payment arrangements in accordance with WAC 480-90-138(1)</w:t>
            </w:r>
            <w:r w:rsidRPr="00EC52EE">
              <w:rPr>
                <w:rFonts w:ascii="Times New Roman" w:hAnsi="Times New Roman" w:cs="Times New Roman"/>
                <w:i/>
                <w:sz w:val="24"/>
                <w:szCs w:val="24"/>
                <w:vertAlign w:val="superscript"/>
              </w:rPr>
              <w:t>2</w:t>
            </w:r>
            <w:r w:rsidRPr="00EC52EE">
              <w:rPr>
                <w:rFonts w:ascii="Times New Roman" w:hAnsi="Times New Roman" w:cs="Times New Roman"/>
                <w:i/>
                <w:sz w:val="24"/>
                <w:szCs w:val="24"/>
              </w:rPr>
              <w:t xml:space="preserve">, Payment arrangements.”  </w:t>
            </w:r>
          </w:p>
          <w:p w14:paraId="751F5E80" w14:textId="628152E3" w:rsidR="00F362EA" w:rsidRPr="00EC52EE" w:rsidRDefault="00F362EA" w:rsidP="00250AAA">
            <w:pPr>
              <w:rPr>
                <w:rFonts w:ascii="Times New Roman" w:hAnsi="Times New Roman" w:cs="Times New Roman"/>
                <w:sz w:val="24"/>
                <w:szCs w:val="24"/>
              </w:rPr>
            </w:pPr>
          </w:p>
        </w:tc>
        <w:tc>
          <w:tcPr>
            <w:tcW w:w="4248" w:type="dxa"/>
            <w:vMerge/>
          </w:tcPr>
          <w:p w14:paraId="751F5E81" w14:textId="75470743" w:rsidR="00F362EA" w:rsidRPr="00EC52EE" w:rsidRDefault="00F362EA" w:rsidP="00022224">
            <w:pPr>
              <w:rPr>
                <w:rFonts w:ascii="Times New Roman" w:hAnsi="Times New Roman" w:cs="Times New Roman"/>
                <w:sz w:val="24"/>
                <w:szCs w:val="24"/>
              </w:rPr>
            </w:pPr>
          </w:p>
        </w:tc>
      </w:tr>
      <w:tr w:rsidR="00F362EA" w:rsidRPr="00EC52EE" w14:paraId="751F5E8A" w14:textId="77777777" w:rsidTr="002B46DD">
        <w:trPr>
          <w:cantSplit/>
          <w:trHeight w:val="980"/>
        </w:trPr>
        <w:tc>
          <w:tcPr>
            <w:tcW w:w="1705" w:type="dxa"/>
            <w:vMerge/>
          </w:tcPr>
          <w:p w14:paraId="751F5E83" w14:textId="77777777" w:rsidR="00F362EA" w:rsidRPr="00EC52EE" w:rsidRDefault="00F362EA" w:rsidP="0073236C">
            <w:pPr>
              <w:rPr>
                <w:rFonts w:ascii="Times New Roman" w:hAnsi="Times New Roman" w:cs="Times New Roman"/>
                <w:b/>
                <w:sz w:val="24"/>
                <w:szCs w:val="24"/>
              </w:rPr>
            </w:pPr>
          </w:p>
        </w:tc>
        <w:tc>
          <w:tcPr>
            <w:tcW w:w="1530" w:type="dxa"/>
          </w:tcPr>
          <w:p w14:paraId="751F5E84" w14:textId="3AE3EC4E" w:rsidR="00F362EA" w:rsidRPr="00EC52EE" w:rsidRDefault="00F362EA" w:rsidP="0073236C">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p w14:paraId="5ACF91A4" w14:textId="36E84F66" w:rsidR="00F362EA" w:rsidRPr="00EC52EE" w:rsidRDefault="00F362EA" w:rsidP="007E7152">
            <w:pPr>
              <w:rPr>
                <w:rFonts w:ascii="Times New Roman" w:hAnsi="Times New Roman" w:cs="Times New Roman"/>
                <w:sz w:val="24"/>
                <w:szCs w:val="24"/>
              </w:rPr>
            </w:pPr>
            <w:proofErr w:type="spellStart"/>
            <w:r w:rsidRPr="00EC52EE">
              <w:rPr>
                <w:rFonts w:ascii="Times New Roman" w:hAnsi="Times New Roman" w:cs="Times New Roman"/>
                <w:sz w:val="24"/>
                <w:szCs w:val="24"/>
              </w:rPr>
              <w:t>NWNG</w:t>
            </w:r>
            <w:proofErr w:type="spellEnd"/>
            <w:r w:rsidRPr="00EC52EE">
              <w:rPr>
                <w:rFonts w:ascii="Times New Roman" w:hAnsi="Times New Roman" w:cs="Times New Roman"/>
                <w:sz w:val="24"/>
                <w:szCs w:val="24"/>
              </w:rPr>
              <w:t xml:space="preserve"> recommends that the sentence be modified to remove any ambiguity created from the use of the word “discovery.”  The Company’s suggested language is as follows:</w:t>
            </w:r>
          </w:p>
          <w:p w14:paraId="681329B3" w14:textId="77777777" w:rsidR="00F362EA" w:rsidRPr="00EC52EE" w:rsidRDefault="00F362EA" w:rsidP="007E7152">
            <w:pPr>
              <w:pStyle w:val="ListParagraph"/>
              <w:rPr>
                <w:rFonts w:ascii="Times New Roman" w:hAnsi="Times New Roman" w:cs="Times New Roman"/>
                <w:sz w:val="24"/>
                <w:szCs w:val="24"/>
              </w:rPr>
            </w:pPr>
          </w:p>
          <w:p w14:paraId="4233B229" w14:textId="77777777" w:rsidR="00F362EA" w:rsidRPr="00EC52EE" w:rsidRDefault="00F362EA" w:rsidP="007E7152">
            <w:pPr>
              <w:pStyle w:val="ListParagraph"/>
              <w:rPr>
                <w:rFonts w:ascii="Times New Roman" w:hAnsi="Times New Roman" w:cs="Times New Roman"/>
                <w:sz w:val="24"/>
                <w:szCs w:val="24"/>
              </w:rPr>
            </w:pPr>
            <w:r w:rsidRPr="00EC52EE">
              <w:rPr>
                <w:rFonts w:ascii="Times New Roman" w:hAnsi="Times New Roman" w:cs="Times New Roman"/>
                <w:sz w:val="24"/>
                <w:szCs w:val="24"/>
              </w:rPr>
              <w:t xml:space="preserve">The utility must issue the corrected bill within 60 days from the date the utility </w:t>
            </w:r>
          </w:p>
          <w:p w14:paraId="5446AB94" w14:textId="77777777" w:rsidR="00F362EA" w:rsidRPr="00EC52EE" w:rsidRDefault="00F362EA" w:rsidP="007E7152">
            <w:pPr>
              <w:pStyle w:val="ListParagraph"/>
              <w:rPr>
                <w:rFonts w:ascii="Times New Roman" w:hAnsi="Times New Roman" w:cs="Times New Roman"/>
                <w:sz w:val="24"/>
                <w:szCs w:val="24"/>
              </w:rPr>
            </w:pPr>
            <w:proofErr w:type="gramStart"/>
            <w:r w:rsidRPr="00EC52EE">
              <w:rPr>
                <w:rFonts w:ascii="Times New Roman" w:hAnsi="Times New Roman" w:cs="Times New Roman"/>
                <w:sz w:val="24"/>
                <w:szCs w:val="24"/>
                <w:u w:val="single"/>
              </w:rPr>
              <w:t>confirmed</w:t>
            </w:r>
            <w:proofErr w:type="gramEnd"/>
            <w:r w:rsidRPr="00EC52EE">
              <w:rPr>
                <w:rFonts w:ascii="Times New Roman" w:hAnsi="Times New Roman" w:cs="Times New Roman"/>
                <w:sz w:val="24"/>
                <w:szCs w:val="24"/>
                <w:u w:val="single"/>
              </w:rPr>
              <w:t xml:space="preserve"> that an account had been</w:t>
            </w:r>
            <w:r w:rsidRPr="00EC52EE">
              <w:rPr>
                <w:rFonts w:ascii="Times New Roman" w:hAnsi="Times New Roman" w:cs="Times New Roman"/>
                <w:sz w:val="24"/>
                <w:szCs w:val="24"/>
              </w:rPr>
              <w:t xml:space="preserve"> </w:t>
            </w:r>
            <w:r w:rsidRPr="00EC52EE">
              <w:rPr>
                <w:rFonts w:ascii="Times New Roman" w:hAnsi="Times New Roman" w:cs="Times New Roman"/>
                <w:strike/>
                <w:sz w:val="24"/>
                <w:szCs w:val="24"/>
              </w:rPr>
              <w:t>the</w:t>
            </w:r>
            <w:r w:rsidRPr="00EC52EE">
              <w:rPr>
                <w:rFonts w:ascii="Times New Roman" w:hAnsi="Times New Roman" w:cs="Times New Roman"/>
                <w:sz w:val="24"/>
                <w:szCs w:val="24"/>
              </w:rPr>
              <w:t xml:space="preserve"> under- or over-</w:t>
            </w:r>
            <w:proofErr w:type="spellStart"/>
            <w:r w:rsidRPr="00EC52EE">
              <w:rPr>
                <w:rFonts w:ascii="Times New Roman" w:hAnsi="Times New Roman" w:cs="Times New Roman"/>
                <w:sz w:val="24"/>
                <w:szCs w:val="24"/>
                <w:u w:val="single"/>
              </w:rPr>
              <w:t>billed</w:t>
            </w:r>
            <w:r w:rsidRPr="00EC52EE">
              <w:rPr>
                <w:rFonts w:ascii="Times New Roman" w:hAnsi="Times New Roman" w:cs="Times New Roman"/>
                <w:strike/>
                <w:sz w:val="24"/>
                <w:szCs w:val="24"/>
                <w:u w:val="single"/>
              </w:rPr>
              <w:t>ing</w:t>
            </w:r>
            <w:proofErr w:type="spellEnd"/>
            <w:r w:rsidRPr="00EC52EE">
              <w:rPr>
                <w:rFonts w:ascii="Times New Roman" w:hAnsi="Times New Roman" w:cs="Times New Roman"/>
                <w:sz w:val="24"/>
                <w:szCs w:val="24"/>
              </w:rPr>
              <w:t>.</w:t>
            </w:r>
          </w:p>
          <w:p w14:paraId="751F5E88" w14:textId="77777777" w:rsidR="00F362EA" w:rsidRPr="00EC52EE" w:rsidRDefault="00F362EA" w:rsidP="0073236C">
            <w:pPr>
              <w:rPr>
                <w:rFonts w:ascii="Times New Roman" w:hAnsi="Times New Roman" w:cs="Times New Roman"/>
                <w:sz w:val="24"/>
                <w:szCs w:val="24"/>
              </w:rPr>
            </w:pPr>
          </w:p>
        </w:tc>
        <w:tc>
          <w:tcPr>
            <w:tcW w:w="4248" w:type="dxa"/>
            <w:vMerge/>
          </w:tcPr>
          <w:p w14:paraId="751F5E89" w14:textId="21BAF271" w:rsidR="00F362EA" w:rsidRPr="00EC52EE" w:rsidRDefault="00F362EA" w:rsidP="00022224">
            <w:pPr>
              <w:rPr>
                <w:rFonts w:ascii="Times New Roman" w:hAnsi="Times New Roman" w:cs="Times New Roman"/>
                <w:sz w:val="24"/>
                <w:szCs w:val="24"/>
              </w:rPr>
            </w:pPr>
          </w:p>
        </w:tc>
      </w:tr>
      <w:tr w:rsidR="00F362EA" w:rsidRPr="00EC52EE" w14:paraId="461764BD" w14:textId="77777777" w:rsidTr="002B46DD">
        <w:trPr>
          <w:cantSplit/>
          <w:trHeight w:val="980"/>
        </w:trPr>
        <w:tc>
          <w:tcPr>
            <w:tcW w:w="1705" w:type="dxa"/>
            <w:vMerge/>
          </w:tcPr>
          <w:p w14:paraId="235635EC" w14:textId="77777777" w:rsidR="00F362EA" w:rsidRPr="00EC52EE" w:rsidRDefault="00F362EA" w:rsidP="0073236C">
            <w:pPr>
              <w:rPr>
                <w:rFonts w:ascii="Times New Roman" w:hAnsi="Times New Roman" w:cs="Times New Roman"/>
                <w:b/>
                <w:sz w:val="24"/>
                <w:szCs w:val="24"/>
              </w:rPr>
            </w:pPr>
          </w:p>
        </w:tc>
        <w:tc>
          <w:tcPr>
            <w:tcW w:w="1530" w:type="dxa"/>
          </w:tcPr>
          <w:p w14:paraId="3D5F74FA" w14:textId="5646A12F" w:rsidR="00F362EA" w:rsidRPr="00EC52EE" w:rsidRDefault="00F362EA" w:rsidP="0028279E">
            <w:pPr>
              <w:rPr>
                <w:rFonts w:ascii="Times New Roman" w:hAnsi="Times New Roman" w:cs="Times New Roman"/>
                <w:sz w:val="24"/>
                <w:szCs w:val="24"/>
              </w:rPr>
            </w:pPr>
            <w:proofErr w:type="spellStart"/>
            <w:r>
              <w:rPr>
                <w:rFonts w:ascii="Times New Roman" w:hAnsi="Times New Roman" w:cs="Times New Roman"/>
                <w:sz w:val="24"/>
                <w:szCs w:val="24"/>
              </w:rPr>
              <w:t>Avista</w:t>
            </w:r>
            <w:proofErr w:type="spellEnd"/>
          </w:p>
        </w:tc>
        <w:tc>
          <w:tcPr>
            <w:tcW w:w="7200" w:type="dxa"/>
          </w:tcPr>
          <w:p w14:paraId="3631410E" w14:textId="77777777" w:rsidR="00F362EA" w:rsidRPr="00EC52EE" w:rsidRDefault="00F362EA" w:rsidP="0073236C">
            <w:pPr>
              <w:rPr>
                <w:rFonts w:ascii="Times New Roman" w:hAnsi="Times New Roman" w:cs="Times New Roman"/>
                <w:sz w:val="24"/>
                <w:szCs w:val="24"/>
              </w:rPr>
            </w:pPr>
            <w:r w:rsidRPr="00EC52EE">
              <w:rPr>
                <w:rFonts w:ascii="Times New Roman" w:hAnsi="Times New Roman" w:cs="Times New Roman"/>
                <w:sz w:val="24"/>
                <w:szCs w:val="24"/>
              </w:rPr>
              <w:t xml:space="preserve">In Section 5(a), </w:t>
            </w:r>
            <w:proofErr w:type="spellStart"/>
            <w:r w:rsidRPr="00EC52EE">
              <w:rPr>
                <w:rFonts w:ascii="Times New Roman" w:hAnsi="Times New Roman" w:cs="Times New Roman"/>
                <w:sz w:val="24"/>
                <w:szCs w:val="24"/>
              </w:rPr>
              <w:t>Avista</w:t>
            </w:r>
            <w:proofErr w:type="spellEnd"/>
            <w:r w:rsidRPr="00EC52EE">
              <w:rPr>
                <w:rFonts w:ascii="Times New Roman" w:hAnsi="Times New Roman" w:cs="Times New Roman"/>
                <w:sz w:val="24"/>
                <w:szCs w:val="24"/>
              </w:rPr>
              <w:t xml:space="preserve"> proposes that the language in the first sentence: “a utility must issue a corrected bill to a customer to recover or refund billed amounts” be modified to read: “a utility </w:t>
            </w:r>
            <w:r w:rsidRPr="00EC52EE">
              <w:rPr>
                <w:rFonts w:ascii="Times New Roman" w:hAnsi="Times New Roman" w:cs="Times New Roman"/>
                <w:b/>
                <w:sz w:val="24"/>
                <w:szCs w:val="24"/>
                <w:u w:val="single"/>
              </w:rPr>
              <w:t>may</w:t>
            </w:r>
            <w:r w:rsidRPr="00EC52EE">
              <w:rPr>
                <w:rFonts w:ascii="Times New Roman" w:hAnsi="Times New Roman" w:cs="Times New Roman"/>
                <w:sz w:val="24"/>
                <w:szCs w:val="24"/>
              </w:rPr>
              <w:t xml:space="preserve"> issue a corrected bill to a customer to recover under-billed amounts and must issue a corrected bill to a customer to refund over-billed amounts.” Essentially, this modification gives the utility flexibility to not back bill a customer who has been under-billed, which is helpful in certain situations. For example, in a switched meter or mislabeled meter base situation, the </w:t>
            </w:r>
            <w:r w:rsidRPr="00EC52EE">
              <w:rPr>
                <w:rFonts w:ascii="Times New Roman" w:hAnsi="Times New Roman" w:cs="Times New Roman"/>
                <w:sz w:val="24"/>
                <w:szCs w:val="24"/>
              </w:rPr>
              <w:lastRenderedPageBreak/>
              <w:t>customer may no longer be a customer to issue the corrected bill. This flexibility would be both a benefit to the customer and the utility.</w:t>
            </w:r>
          </w:p>
          <w:p w14:paraId="1A998C55" w14:textId="77777777" w:rsidR="00F362EA" w:rsidRPr="00EC52EE" w:rsidRDefault="00F362EA" w:rsidP="0073236C">
            <w:pPr>
              <w:rPr>
                <w:rFonts w:ascii="Times New Roman" w:hAnsi="Times New Roman" w:cs="Times New Roman"/>
                <w:sz w:val="24"/>
                <w:szCs w:val="24"/>
              </w:rPr>
            </w:pPr>
          </w:p>
          <w:p w14:paraId="0FA94EFB" w14:textId="77777777" w:rsidR="00F362EA" w:rsidRPr="00EC52EE" w:rsidRDefault="00F362EA" w:rsidP="0073236C">
            <w:pPr>
              <w:rPr>
                <w:rFonts w:ascii="Times New Roman" w:hAnsi="Times New Roman" w:cs="Times New Roman"/>
                <w:sz w:val="24"/>
                <w:szCs w:val="24"/>
              </w:rPr>
            </w:pPr>
            <w:r w:rsidRPr="00EC52EE">
              <w:rPr>
                <w:rFonts w:ascii="Times New Roman" w:hAnsi="Times New Roman" w:cs="Times New Roman"/>
                <w:sz w:val="24"/>
                <w:szCs w:val="24"/>
              </w:rPr>
              <w:t xml:space="preserve">In Section 6, </w:t>
            </w:r>
            <w:proofErr w:type="spellStart"/>
            <w:r w:rsidRPr="00EC52EE">
              <w:rPr>
                <w:rFonts w:ascii="Times New Roman" w:hAnsi="Times New Roman" w:cs="Times New Roman"/>
                <w:sz w:val="24"/>
                <w:szCs w:val="24"/>
              </w:rPr>
              <w:t>Avista</w:t>
            </w:r>
            <w:proofErr w:type="spellEnd"/>
            <w:r w:rsidRPr="00EC52EE">
              <w:rPr>
                <w:rFonts w:ascii="Times New Roman" w:hAnsi="Times New Roman" w:cs="Times New Roman"/>
                <w:sz w:val="24"/>
                <w:szCs w:val="24"/>
              </w:rPr>
              <w:t xml:space="preserve"> proposes that item (e): “The actions taken to eliminate the cause of the bill correction” be removed. The reason for the bill correction is already included in part (a), therefore, the company does not believe this requirement will add additional value. Also, messaging is limited on a bill so the company would propose to eliminate any requirements that may not be needed. Issuing a letter will be necessary in some situations, but also comes at an added cost.</w:t>
            </w:r>
          </w:p>
          <w:p w14:paraId="6D47AC34" w14:textId="77777777" w:rsidR="00F362EA" w:rsidRPr="00EC52EE" w:rsidRDefault="00F362EA" w:rsidP="0073236C">
            <w:pPr>
              <w:rPr>
                <w:rFonts w:ascii="Times New Roman" w:hAnsi="Times New Roman" w:cs="Times New Roman"/>
                <w:sz w:val="24"/>
                <w:szCs w:val="24"/>
              </w:rPr>
            </w:pPr>
          </w:p>
          <w:p w14:paraId="12177749" w14:textId="71A6297E" w:rsidR="00F362EA" w:rsidRPr="00EC52EE" w:rsidRDefault="00F362EA" w:rsidP="0073236C">
            <w:pPr>
              <w:rPr>
                <w:rFonts w:ascii="Times New Roman" w:hAnsi="Times New Roman" w:cs="Times New Roman"/>
                <w:i/>
                <w:sz w:val="24"/>
                <w:szCs w:val="24"/>
              </w:rPr>
            </w:pPr>
            <w:r w:rsidRPr="00EC52EE">
              <w:rPr>
                <w:rFonts w:ascii="Times New Roman" w:hAnsi="Times New Roman" w:cs="Times New Roman"/>
                <w:sz w:val="24"/>
                <w:szCs w:val="24"/>
              </w:rPr>
              <w:t xml:space="preserve">In Section 6(f), </w:t>
            </w:r>
            <w:proofErr w:type="spellStart"/>
            <w:r w:rsidRPr="00EC52EE">
              <w:rPr>
                <w:rFonts w:ascii="Times New Roman" w:hAnsi="Times New Roman" w:cs="Times New Roman"/>
                <w:sz w:val="24"/>
                <w:szCs w:val="24"/>
              </w:rPr>
              <w:t>Avista</w:t>
            </w:r>
            <w:proofErr w:type="spellEnd"/>
            <w:r w:rsidRPr="00EC52EE">
              <w:rPr>
                <w:rFonts w:ascii="Times New Roman" w:hAnsi="Times New Roman" w:cs="Times New Roman"/>
                <w:sz w:val="24"/>
                <w:szCs w:val="24"/>
              </w:rPr>
              <w:t xml:space="preserve"> proposes the language be modified to read as follows: “</w:t>
            </w:r>
            <w:r w:rsidRPr="00EC52EE">
              <w:rPr>
                <w:rFonts w:ascii="Times New Roman" w:hAnsi="Times New Roman" w:cs="Times New Roman"/>
                <w:b/>
                <w:sz w:val="24"/>
                <w:szCs w:val="24"/>
                <w:u w:val="single"/>
              </w:rPr>
              <w:t>When issuing a corrected bill for under-billing</w:t>
            </w:r>
            <w:r w:rsidRPr="00EC52EE">
              <w:rPr>
                <w:rFonts w:ascii="Times New Roman" w:hAnsi="Times New Roman" w:cs="Times New Roman"/>
                <w:sz w:val="24"/>
                <w:szCs w:val="24"/>
              </w:rPr>
              <w:t>, an explanation of the availability of payment arrangements …” The company proposes this modification as payment arrangements do not apply to situations when a utility issues a corrected bill or refund for an over-billing.</w:t>
            </w:r>
          </w:p>
        </w:tc>
        <w:tc>
          <w:tcPr>
            <w:tcW w:w="4248" w:type="dxa"/>
            <w:vMerge/>
          </w:tcPr>
          <w:p w14:paraId="2947E48B" w14:textId="64370CE4" w:rsidR="00F362EA" w:rsidRPr="00EC52EE" w:rsidRDefault="00F362EA" w:rsidP="00022224">
            <w:pPr>
              <w:rPr>
                <w:rFonts w:ascii="Times New Roman" w:hAnsi="Times New Roman" w:cs="Times New Roman"/>
                <w:sz w:val="24"/>
                <w:szCs w:val="24"/>
              </w:rPr>
            </w:pPr>
          </w:p>
        </w:tc>
      </w:tr>
      <w:tr w:rsidR="00F362EA" w:rsidRPr="00EC52EE" w14:paraId="751F5E93" w14:textId="77777777" w:rsidTr="002B46DD">
        <w:trPr>
          <w:cantSplit/>
          <w:trHeight w:val="980"/>
        </w:trPr>
        <w:tc>
          <w:tcPr>
            <w:tcW w:w="1705" w:type="dxa"/>
            <w:vMerge/>
          </w:tcPr>
          <w:p w14:paraId="751F5E8B" w14:textId="77777777" w:rsidR="00F362EA" w:rsidRPr="00EC52EE" w:rsidRDefault="00F362EA" w:rsidP="0073236C">
            <w:pPr>
              <w:rPr>
                <w:rFonts w:ascii="Times New Roman" w:hAnsi="Times New Roman" w:cs="Times New Roman"/>
                <w:b/>
                <w:sz w:val="24"/>
                <w:szCs w:val="24"/>
              </w:rPr>
            </w:pPr>
          </w:p>
        </w:tc>
        <w:tc>
          <w:tcPr>
            <w:tcW w:w="1530" w:type="dxa"/>
          </w:tcPr>
          <w:p w14:paraId="751F5E8C" w14:textId="7E3EA650" w:rsidR="00F362EA" w:rsidRPr="00EC52EE" w:rsidRDefault="00F362EA" w:rsidP="0073236C">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p w14:paraId="3021B3FB" w14:textId="2FBF744A" w:rsidR="00F362EA" w:rsidRPr="00EC52EE" w:rsidRDefault="00F362EA" w:rsidP="00F53E92">
            <w:pPr>
              <w:pStyle w:val="Default"/>
              <w:tabs>
                <w:tab w:val="left" w:pos="720"/>
                <w:tab w:val="left" w:pos="1440"/>
              </w:tabs>
            </w:pPr>
            <w:r w:rsidRPr="00EC52EE">
              <w:rPr>
                <w:b/>
              </w:rPr>
              <w:t>Section (6).</w:t>
            </w:r>
            <w:r w:rsidRPr="00EC52EE">
              <w:t xml:space="preserve">   </w:t>
            </w:r>
            <w:proofErr w:type="spellStart"/>
            <w:r w:rsidRPr="00EC52EE">
              <w:t>NWNG</w:t>
            </w:r>
            <w:proofErr w:type="spellEnd"/>
            <w:r w:rsidRPr="00EC52EE">
              <w:t xml:space="preserve"> has suggested changes to several items in this section.</w:t>
            </w:r>
          </w:p>
          <w:p w14:paraId="18027ED9" w14:textId="77777777" w:rsidR="00F362EA" w:rsidRPr="00EC52EE" w:rsidRDefault="00F362EA" w:rsidP="00F53E92">
            <w:pPr>
              <w:pStyle w:val="Default"/>
              <w:tabs>
                <w:tab w:val="left" w:pos="720"/>
                <w:tab w:val="left" w:pos="1440"/>
              </w:tabs>
              <w:ind w:left="360"/>
            </w:pPr>
          </w:p>
          <w:p w14:paraId="32C91C6E" w14:textId="5EDD068F" w:rsidR="00F362EA" w:rsidRPr="00EC52EE" w:rsidRDefault="00F362EA" w:rsidP="00F53E92">
            <w:pPr>
              <w:pStyle w:val="Default"/>
              <w:tabs>
                <w:tab w:val="left" w:pos="720"/>
                <w:tab w:val="left" w:pos="1440"/>
              </w:tabs>
              <w:ind w:left="360"/>
            </w:pPr>
            <w:r w:rsidRPr="00EC52EE">
              <w:t xml:space="preserve">First, </w:t>
            </w:r>
            <w:proofErr w:type="spellStart"/>
            <w:r w:rsidRPr="00EC52EE">
              <w:t>NWNG</w:t>
            </w:r>
            <w:proofErr w:type="spellEnd"/>
            <w:r w:rsidRPr="00EC52EE">
              <w:t xml:space="preserve"> suggests that the last sentence in the first paragraph of this section be revised as follows:</w:t>
            </w:r>
          </w:p>
          <w:p w14:paraId="68547A61" w14:textId="77777777" w:rsidR="00F362EA" w:rsidRPr="00EC52EE" w:rsidRDefault="00F362EA" w:rsidP="00F53E92">
            <w:pPr>
              <w:pStyle w:val="Default"/>
              <w:tabs>
                <w:tab w:val="left" w:pos="720"/>
                <w:tab w:val="left" w:pos="1440"/>
              </w:tabs>
            </w:pPr>
          </w:p>
          <w:p w14:paraId="57BADCA7" w14:textId="60518752" w:rsidR="00F362EA" w:rsidRPr="00EC52EE" w:rsidRDefault="00F362EA" w:rsidP="00250AAA">
            <w:pPr>
              <w:pStyle w:val="Default"/>
              <w:tabs>
                <w:tab w:val="left" w:pos="720"/>
                <w:tab w:val="left" w:pos="1440"/>
              </w:tabs>
              <w:ind w:left="720"/>
            </w:pPr>
            <w:r w:rsidRPr="00EC52EE">
              <w:t xml:space="preserve">When a corrected bill is issued, the utility must provide the following information </w:t>
            </w:r>
            <w:r w:rsidRPr="00EC52EE">
              <w:rPr>
                <w:u w:val="single"/>
              </w:rPr>
              <w:t>with</w:t>
            </w:r>
            <w:r w:rsidRPr="00EC52EE">
              <w:t xml:space="preserve"> </w:t>
            </w:r>
            <w:r w:rsidRPr="00EC52EE">
              <w:rPr>
                <w:strike/>
              </w:rPr>
              <w:t>on</w:t>
            </w:r>
            <w:r w:rsidRPr="00EC52EE">
              <w:t xml:space="preserve"> the corrected bill or in a letter sent to the customer.</w:t>
            </w:r>
          </w:p>
          <w:p w14:paraId="36AFE888" w14:textId="77777777" w:rsidR="00F362EA" w:rsidRPr="00EC52EE" w:rsidRDefault="00F362EA" w:rsidP="00F53E92">
            <w:pPr>
              <w:pStyle w:val="Default"/>
              <w:tabs>
                <w:tab w:val="left" w:pos="720"/>
                <w:tab w:val="left" w:pos="1440"/>
              </w:tabs>
            </w:pPr>
          </w:p>
          <w:p w14:paraId="15787889" w14:textId="77777777" w:rsidR="00F362EA" w:rsidRPr="00EC52EE" w:rsidRDefault="00F362EA" w:rsidP="00F53E92">
            <w:pPr>
              <w:pStyle w:val="Default"/>
              <w:tabs>
                <w:tab w:val="left" w:pos="720"/>
                <w:tab w:val="left" w:pos="1440"/>
              </w:tabs>
              <w:ind w:left="360"/>
            </w:pPr>
            <w:r w:rsidRPr="00EC52EE">
              <w:t xml:space="preserve">This change will accommodate the use of bill inserts, as stating this information on the actual bill in many cases cannot be accommodated. </w:t>
            </w:r>
          </w:p>
          <w:p w14:paraId="49B4CC0D" w14:textId="77777777" w:rsidR="00F362EA" w:rsidRPr="00EC52EE" w:rsidRDefault="00F362EA" w:rsidP="00F53E92">
            <w:pPr>
              <w:pStyle w:val="Default"/>
              <w:tabs>
                <w:tab w:val="left" w:pos="720"/>
                <w:tab w:val="left" w:pos="1440"/>
              </w:tabs>
              <w:ind w:left="720"/>
            </w:pPr>
          </w:p>
          <w:p w14:paraId="3804F5FA" w14:textId="267E9AF5" w:rsidR="00F362EA" w:rsidRPr="00EC52EE" w:rsidRDefault="00F362EA" w:rsidP="00F53E92">
            <w:pPr>
              <w:pStyle w:val="Default"/>
              <w:tabs>
                <w:tab w:val="left" w:pos="720"/>
                <w:tab w:val="left" w:pos="1440"/>
              </w:tabs>
              <w:ind w:left="360"/>
            </w:pPr>
            <w:r w:rsidRPr="00EC52EE">
              <w:t xml:space="preserve">Second, with regard to item (b), </w:t>
            </w:r>
            <w:proofErr w:type="spellStart"/>
            <w:r w:rsidRPr="00EC52EE">
              <w:t>NWNG</w:t>
            </w:r>
            <w:proofErr w:type="spellEnd"/>
            <w:r w:rsidRPr="00EC52EE">
              <w:t xml:space="preserve"> suggests that this section be revised to make this something that is available on request, but that </w:t>
            </w:r>
            <w:r w:rsidRPr="00EC52EE">
              <w:lastRenderedPageBreak/>
              <w:t>is not a required feature of the corrected bill.  There are a couple of reasons that support making this an optional item. Specifically, (</w:t>
            </w:r>
            <w:proofErr w:type="spellStart"/>
            <w:r w:rsidRPr="00EC52EE">
              <w:t>i</w:t>
            </w:r>
            <w:proofErr w:type="spellEnd"/>
            <w:r w:rsidRPr="00EC52EE">
              <w:t xml:space="preserve">) in many instances, the correction will be made in the form of a line item adjustment on a subsequent bill, and a breakdown is simply not available or necessary; (ii) the creation of a breakdown in a form that is useful to the customer can be time consuming and burdensome; and (iii) because in most cases where a billing issue covers multiple billing months we are in direct communication with the customer, many customers do not want or need a detailed breakdown with the corrected bill. While we are not opposed to providing the breakdown, we would only want to provide it if the customer requests it.  </w:t>
            </w:r>
            <w:proofErr w:type="spellStart"/>
            <w:r w:rsidRPr="00EC52EE">
              <w:t>NWNG</w:t>
            </w:r>
            <w:proofErr w:type="spellEnd"/>
            <w:r w:rsidRPr="00EC52EE">
              <w:t xml:space="preserve"> suggests item (b) be revised as follows:</w:t>
            </w:r>
          </w:p>
          <w:p w14:paraId="315D36D6" w14:textId="77777777" w:rsidR="00F362EA" w:rsidRPr="00EC52EE" w:rsidRDefault="00F362EA" w:rsidP="00F53E92">
            <w:pPr>
              <w:pStyle w:val="Default"/>
              <w:tabs>
                <w:tab w:val="left" w:pos="720"/>
                <w:tab w:val="left" w:pos="1440"/>
              </w:tabs>
              <w:ind w:left="1080"/>
            </w:pPr>
          </w:p>
          <w:p w14:paraId="600D805D" w14:textId="77777777" w:rsidR="00F362EA" w:rsidRPr="00EC52EE" w:rsidRDefault="00F362EA" w:rsidP="00250AAA">
            <w:pPr>
              <w:pStyle w:val="Default"/>
              <w:tabs>
                <w:tab w:val="left" w:pos="720"/>
                <w:tab w:val="left" w:pos="1440"/>
              </w:tabs>
              <w:ind w:left="1080"/>
            </w:pPr>
            <w:r w:rsidRPr="00EC52EE">
              <w:t xml:space="preserve">(b)  </w:t>
            </w:r>
            <w:r w:rsidRPr="00EC52EE">
              <w:rPr>
                <w:u w:val="single"/>
              </w:rPr>
              <w:t>How to request</w:t>
            </w:r>
            <w:r w:rsidRPr="00EC52EE">
              <w:t xml:space="preserve"> </w:t>
            </w:r>
            <w:r w:rsidRPr="00EC52EE">
              <w:rPr>
                <w:strike/>
              </w:rPr>
              <w:t xml:space="preserve">of </w:t>
            </w:r>
            <w:r w:rsidRPr="00EC52EE">
              <w:t xml:space="preserve">a breakdown of the bill correction for each month included in the corrected bill; </w:t>
            </w:r>
          </w:p>
          <w:p w14:paraId="01025AB6" w14:textId="77777777" w:rsidR="00F362EA" w:rsidRPr="00EC52EE" w:rsidRDefault="00F362EA" w:rsidP="00F53E92">
            <w:pPr>
              <w:pStyle w:val="Default"/>
              <w:tabs>
                <w:tab w:val="left" w:pos="720"/>
                <w:tab w:val="left" w:pos="1440"/>
              </w:tabs>
              <w:ind w:left="360"/>
            </w:pPr>
          </w:p>
          <w:p w14:paraId="525EB34F" w14:textId="620B8131" w:rsidR="00F362EA" w:rsidRPr="00EC52EE" w:rsidRDefault="00F362EA" w:rsidP="00F53E92">
            <w:pPr>
              <w:pStyle w:val="Default"/>
              <w:tabs>
                <w:tab w:val="left" w:pos="720"/>
                <w:tab w:val="left" w:pos="1440"/>
              </w:tabs>
              <w:ind w:firstLine="360"/>
            </w:pPr>
            <w:r w:rsidRPr="00EC52EE">
              <w:t xml:space="preserve">Third, with regard to item (e), </w:t>
            </w:r>
            <w:proofErr w:type="spellStart"/>
            <w:r w:rsidRPr="00EC52EE">
              <w:t>NWNG</w:t>
            </w:r>
            <w:proofErr w:type="spellEnd"/>
            <w:r w:rsidRPr="00EC52EE">
              <w:t xml:space="preserve"> suggests the following revisions:</w:t>
            </w:r>
          </w:p>
          <w:p w14:paraId="1611CA93" w14:textId="77777777" w:rsidR="00F362EA" w:rsidRPr="00EC52EE" w:rsidRDefault="00F362EA" w:rsidP="00F53E92">
            <w:pPr>
              <w:pStyle w:val="Default"/>
              <w:tabs>
                <w:tab w:val="left" w:pos="720"/>
                <w:tab w:val="left" w:pos="1440"/>
              </w:tabs>
              <w:ind w:left="360"/>
            </w:pPr>
          </w:p>
          <w:p w14:paraId="4395256C" w14:textId="77777777" w:rsidR="00F362EA" w:rsidRPr="00EC52EE" w:rsidRDefault="00F362EA" w:rsidP="00250AAA">
            <w:pPr>
              <w:pStyle w:val="Default"/>
              <w:tabs>
                <w:tab w:val="left" w:pos="720"/>
                <w:tab w:val="left" w:pos="1080"/>
                <w:tab w:val="left" w:pos="1440"/>
              </w:tabs>
              <w:ind w:left="720"/>
            </w:pPr>
            <w:r w:rsidRPr="00EC52EE">
              <w:tab/>
              <w:t xml:space="preserve">The actions taken to </w:t>
            </w:r>
            <w:r w:rsidRPr="00EC52EE">
              <w:rPr>
                <w:u w:val="single"/>
              </w:rPr>
              <w:t xml:space="preserve">resolve the issue that resulted in </w:t>
            </w:r>
            <w:r w:rsidRPr="00EC52EE">
              <w:rPr>
                <w:strike/>
              </w:rPr>
              <w:t>eliminate the cause of</w:t>
            </w:r>
            <w:r w:rsidRPr="00EC52EE">
              <w:t xml:space="preserve"> the bill correction, </w:t>
            </w:r>
            <w:r w:rsidRPr="00EC52EE">
              <w:rPr>
                <w:u w:val="single"/>
              </w:rPr>
              <w:t>if applicable</w:t>
            </w:r>
            <w:r w:rsidRPr="00EC52EE">
              <w:t>;</w:t>
            </w:r>
          </w:p>
          <w:p w14:paraId="4BC966AB" w14:textId="77777777" w:rsidR="00F362EA" w:rsidRPr="00EC52EE" w:rsidRDefault="00F362EA" w:rsidP="00F53E92">
            <w:pPr>
              <w:pStyle w:val="Default"/>
              <w:tabs>
                <w:tab w:val="left" w:pos="720"/>
                <w:tab w:val="left" w:pos="1080"/>
                <w:tab w:val="left" w:pos="1440"/>
              </w:tabs>
            </w:pPr>
          </w:p>
          <w:p w14:paraId="08747E13" w14:textId="6E682CFC" w:rsidR="00F362EA" w:rsidRPr="00EC52EE" w:rsidRDefault="00F362EA" w:rsidP="00F53E92">
            <w:pPr>
              <w:pStyle w:val="Default"/>
              <w:tabs>
                <w:tab w:val="left" w:pos="720"/>
                <w:tab w:val="left" w:pos="1080"/>
                <w:tab w:val="left" w:pos="1440"/>
              </w:tabs>
              <w:ind w:left="360"/>
            </w:pPr>
            <w:r w:rsidRPr="00EC52EE">
              <w:t xml:space="preserve">Because the utility is not eliminating the bill correction but is eliminating the cause of the bill error, </w:t>
            </w:r>
            <w:proofErr w:type="spellStart"/>
            <w:r w:rsidRPr="00EC52EE">
              <w:t>NWNG</w:t>
            </w:r>
            <w:proofErr w:type="spellEnd"/>
            <w:r w:rsidRPr="00EC52EE">
              <w:t xml:space="preserve"> suggests rewording item (b) as shown above.  The addition of “if applicable” at the end recognizes the fact that not all bill corrections require a corrective action by the utility.  </w:t>
            </w:r>
          </w:p>
          <w:p w14:paraId="78154B1B" w14:textId="77777777" w:rsidR="00F362EA" w:rsidRPr="00EC52EE" w:rsidRDefault="00F362EA" w:rsidP="00F53E92">
            <w:pPr>
              <w:pStyle w:val="ListParagraph"/>
              <w:ind w:left="72"/>
              <w:rPr>
                <w:rFonts w:ascii="Times New Roman" w:hAnsi="Times New Roman" w:cs="Times New Roman"/>
                <w:sz w:val="24"/>
                <w:szCs w:val="24"/>
              </w:rPr>
            </w:pPr>
          </w:p>
          <w:p w14:paraId="63EF5174" w14:textId="77777777" w:rsidR="00F362EA" w:rsidRPr="000F244E" w:rsidRDefault="00F362EA" w:rsidP="00217A27">
            <w:pPr>
              <w:rPr>
                <w:rFonts w:ascii="Times New Roman" w:hAnsi="Times New Roman" w:cs="Times New Roman"/>
              </w:rPr>
            </w:pPr>
          </w:p>
          <w:p w14:paraId="751F5E91" w14:textId="0E92C87A" w:rsidR="00F362EA" w:rsidRPr="00EC52EE" w:rsidRDefault="00F362EA" w:rsidP="0073236C">
            <w:pPr>
              <w:rPr>
                <w:rFonts w:ascii="Times New Roman" w:hAnsi="Times New Roman" w:cs="Times New Roman"/>
                <w:sz w:val="24"/>
                <w:szCs w:val="24"/>
              </w:rPr>
            </w:pPr>
          </w:p>
        </w:tc>
        <w:tc>
          <w:tcPr>
            <w:tcW w:w="4248" w:type="dxa"/>
            <w:vMerge/>
          </w:tcPr>
          <w:p w14:paraId="751F5E92" w14:textId="2C63A9D8" w:rsidR="00F362EA" w:rsidRPr="00EC52EE" w:rsidRDefault="00F362EA" w:rsidP="00153209">
            <w:pPr>
              <w:rPr>
                <w:rFonts w:ascii="Times New Roman" w:hAnsi="Times New Roman" w:cs="Times New Roman"/>
                <w:sz w:val="24"/>
                <w:szCs w:val="24"/>
                <w:u w:val="single"/>
              </w:rPr>
            </w:pPr>
          </w:p>
        </w:tc>
      </w:tr>
      <w:tr w:rsidR="00035AB8" w:rsidRPr="00EC52EE" w14:paraId="0A880046" w14:textId="77777777" w:rsidTr="002B46DD">
        <w:trPr>
          <w:cantSplit/>
          <w:trHeight w:val="980"/>
        </w:trPr>
        <w:tc>
          <w:tcPr>
            <w:tcW w:w="1705" w:type="dxa"/>
            <w:vMerge w:val="restart"/>
          </w:tcPr>
          <w:p w14:paraId="25E7B2C4" w14:textId="3746B625" w:rsidR="00035AB8" w:rsidRPr="00EC52EE" w:rsidRDefault="00035AB8" w:rsidP="00022224">
            <w:pPr>
              <w:rPr>
                <w:rFonts w:ascii="Times New Roman" w:hAnsi="Times New Roman" w:cs="Times New Roman"/>
                <w:b/>
                <w:sz w:val="24"/>
                <w:szCs w:val="24"/>
              </w:rPr>
            </w:pPr>
            <w:r w:rsidRPr="00EC52EE">
              <w:rPr>
                <w:rFonts w:ascii="Times New Roman" w:hAnsi="Times New Roman" w:cs="Times New Roman"/>
                <w:b/>
                <w:sz w:val="24"/>
                <w:szCs w:val="24"/>
              </w:rPr>
              <w:lastRenderedPageBreak/>
              <w:t>Residential and nonresidential service</w:t>
            </w:r>
          </w:p>
        </w:tc>
        <w:tc>
          <w:tcPr>
            <w:tcW w:w="1530" w:type="dxa"/>
          </w:tcPr>
          <w:p w14:paraId="44C1BEA1" w14:textId="10EF0F99" w:rsidR="00035AB8" w:rsidRPr="00EC52EE" w:rsidRDefault="00035AB8" w:rsidP="0073236C">
            <w:pPr>
              <w:rPr>
                <w:rFonts w:ascii="Times New Roman" w:hAnsi="Times New Roman" w:cs="Times New Roman"/>
                <w:sz w:val="24"/>
                <w:szCs w:val="24"/>
              </w:rPr>
            </w:pPr>
            <w:proofErr w:type="spellStart"/>
            <w:r>
              <w:rPr>
                <w:rFonts w:ascii="Times New Roman" w:hAnsi="Times New Roman" w:cs="Times New Roman"/>
                <w:sz w:val="24"/>
                <w:szCs w:val="24"/>
              </w:rPr>
              <w:t>PPL</w:t>
            </w:r>
            <w:proofErr w:type="spellEnd"/>
          </w:p>
        </w:tc>
        <w:tc>
          <w:tcPr>
            <w:tcW w:w="7200" w:type="dxa"/>
          </w:tcPr>
          <w:p w14:paraId="57BAED85" w14:textId="0878E753" w:rsidR="00035AB8" w:rsidRPr="00EC52EE" w:rsidRDefault="00035AB8" w:rsidP="0073236C">
            <w:pPr>
              <w:pStyle w:val="Default"/>
              <w:rPr>
                <w:i/>
              </w:rPr>
            </w:pPr>
            <w:proofErr w:type="spellStart"/>
            <w:r w:rsidRPr="00EC52EE">
              <w:t>PPL</w:t>
            </w:r>
            <w:proofErr w:type="spellEnd"/>
            <w:r w:rsidRPr="00EC52EE">
              <w:t xml:space="preserve"> supports limiting the adjustment period for meter failures or malfunctions for residential customers to six months. However, </w:t>
            </w:r>
            <w:proofErr w:type="spellStart"/>
            <w:r w:rsidRPr="00EC52EE">
              <w:t>PPL</w:t>
            </w:r>
            <w:proofErr w:type="spellEnd"/>
            <w:r w:rsidRPr="00EC52EE">
              <w:t xml:space="preserve"> proposes a 36-month adjustment limitation for under-billing to nonresidential customers for meter failures or malfunctions. Residential metering is relatively simple to track and identify errors. The complexity of nonresidential metering can make it difficult to identify problems. In addition, nonresidential customer adjustments tend to include higher dollar adjustment amounts that should not be subsidized by residential customers.</w:t>
            </w:r>
          </w:p>
        </w:tc>
        <w:tc>
          <w:tcPr>
            <w:tcW w:w="4248" w:type="dxa"/>
            <w:vMerge w:val="restart"/>
          </w:tcPr>
          <w:p w14:paraId="4B7CC047" w14:textId="59F7F6C5" w:rsidR="00035AB8" w:rsidRPr="00EC52EE" w:rsidRDefault="00035AB8" w:rsidP="00153209">
            <w:pPr>
              <w:rPr>
                <w:rFonts w:ascii="Times New Roman" w:hAnsi="Times New Roman" w:cs="Times New Roman"/>
                <w:sz w:val="24"/>
                <w:szCs w:val="24"/>
              </w:rPr>
            </w:pPr>
            <w:r w:rsidRPr="00EC52EE">
              <w:rPr>
                <w:rFonts w:ascii="Times New Roman" w:hAnsi="Times New Roman" w:cs="Times New Roman"/>
                <w:sz w:val="24"/>
                <w:szCs w:val="24"/>
              </w:rPr>
              <w:t>Staff disagrees. The companies have failed to provide compelling reasons and evidence why nonresidential customers should be excluded from this rulemaking. In fact, the data shows the number of non-residential accounts billed in excess of six months is very small, and the total amounts billed on corrected bills to nonresidential customers in excess of six months is similar to the total amounts for residential customers.</w:t>
            </w:r>
            <w:r>
              <w:rPr>
                <w:rFonts w:ascii="Times New Roman" w:hAnsi="Times New Roman" w:cs="Times New Roman"/>
                <w:sz w:val="24"/>
                <w:szCs w:val="24"/>
              </w:rPr>
              <w:t xml:space="preserve"> See attachment (page 3</w:t>
            </w:r>
            <w:r w:rsidR="00022224">
              <w:rPr>
                <w:rFonts w:ascii="Times New Roman" w:hAnsi="Times New Roman" w:cs="Times New Roman"/>
                <w:sz w:val="24"/>
                <w:szCs w:val="24"/>
              </w:rPr>
              <w:t>6</w:t>
            </w:r>
            <w:r>
              <w:rPr>
                <w:rFonts w:ascii="Times New Roman" w:hAnsi="Times New Roman" w:cs="Times New Roman"/>
                <w:sz w:val="24"/>
                <w:szCs w:val="24"/>
              </w:rPr>
              <w:t>) for table showing company comparisons. The amounts reported for nonresidential customers are very small in comparison to the companies’ total revenues, and the difference between the impact of corrected bills issued in excess of six months to non-residential customers and those issued to residential customers is not significant.</w:t>
            </w:r>
          </w:p>
          <w:p w14:paraId="3936E8A6" w14:textId="77777777" w:rsidR="00035AB8" w:rsidRPr="00EC52EE" w:rsidRDefault="00035AB8" w:rsidP="00022224">
            <w:pPr>
              <w:rPr>
                <w:rFonts w:ascii="Times New Roman" w:hAnsi="Times New Roman" w:cs="Times New Roman"/>
                <w:sz w:val="24"/>
                <w:szCs w:val="24"/>
              </w:rPr>
            </w:pPr>
          </w:p>
        </w:tc>
      </w:tr>
      <w:tr w:rsidR="00035AB8" w:rsidRPr="00EC52EE" w14:paraId="751F5EB8" w14:textId="77777777" w:rsidTr="002B46DD">
        <w:trPr>
          <w:cantSplit/>
          <w:trHeight w:val="980"/>
        </w:trPr>
        <w:tc>
          <w:tcPr>
            <w:tcW w:w="1705" w:type="dxa"/>
            <w:vMerge/>
          </w:tcPr>
          <w:p w14:paraId="751F5EB4" w14:textId="491149BD" w:rsidR="00035AB8" w:rsidRPr="00EC52EE" w:rsidRDefault="00035AB8" w:rsidP="0073236C">
            <w:pPr>
              <w:rPr>
                <w:rFonts w:ascii="Times New Roman" w:hAnsi="Times New Roman" w:cs="Times New Roman"/>
                <w:b/>
                <w:sz w:val="24"/>
                <w:szCs w:val="24"/>
              </w:rPr>
            </w:pPr>
          </w:p>
        </w:tc>
        <w:tc>
          <w:tcPr>
            <w:tcW w:w="1530" w:type="dxa"/>
          </w:tcPr>
          <w:p w14:paraId="751F5EB5" w14:textId="14C285A7" w:rsidR="00035AB8" w:rsidRPr="00EC52EE" w:rsidRDefault="00035AB8" w:rsidP="0073236C">
            <w:pPr>
              <w:rPr>
                <w:rFonts w:ascii="Times New Roman" w:hAnsi="Times New Roman" w:cs="Times New Roman"/>
                <w:sz w:val="24"/>
                <w:szCs w:val="24"/>
              </w:rPr>
            </w:pPr>
            <w:r>
              <w:rPr>
                <w:rFonts w:ascii="Times New Roman" w:hAnsi="Times New Roman" w:cs="Times New Roman"/>
                <w:sz w:val="24"/>
                <w:szCs w:val="24"/>
              </w:rPr>
              <w:t>PSE</w:t>
            </w:r>
          </w:p>
        </w:tc>
        <w:tc>
          <w:tcPr>
            <w:tcW w:w="7200" w:type="dxa"/>
          </w:tcPr>
          <w:p w14:paraId="3DD665FD" w14:textId="77777777" w:rsidR="00035AB8" w:rsidRPr="00EC52EE" w:rsidRDefault="00035AB8" w:rsidP="0073236C">
            <w:pPr>
              <w:pStyle w:val="Default"/>
            </w:pPr>
            <w:r w:rsidRPr="00EC52EE">
              <w:rPr>
                <w:i/>
              </w:rPr>
              <w:t>WAC 480-90-178(7</w:t>
            </w:r>
            <w:proofErr w:type="gramStart"/>
            <w:r w:rsidRPr="00EC52EE">
              <w:rPr>
                <w:i/>
              </w:rPr>
              <w:t>)(</w:t>
            </w:r>
            <w:proofErr w:type="gramEnd"/>
            <w:r w:rsidRPr="00EC52EE">
              <w:rPr>
                <w:i/>
              </w:rPr>
              <w:t xml:space="preserve">c) and WAC 480-100-178(7)(c):  </w:t>
            </w:r>
            <w:r w:rsidRPr="00EC52EE">
              <w:t xml:space="preserve">PSE proposes to add a new subsection (c) that includes an exemption for non-residential meters from the provisions of section 5(a).  The company argues that the exemption is necessary because utilities require flexibility to address the varying scenarios that occur with non-residential versus residential customer billing and metering.  The varying nature of the non-residential customer class makes it difficult for the utility to identify slowed or stopped meters.  For example, a business may operate seasonally, temporarily close, or not notify the utility of equipment or facility changes. Another rationale for exempting non-residential meters from these draft rules is the additional time and resources needed to address the unique and customized nature of larger meter sets.  This is particularly prevalent with larger, non-residential natural gas meters for industrial customers.  These customized meter sets require additional time to be designed, scheduled, etc. to ensure precise and accurate measurement.   </w:t>
            </w:r>
          </w:p>
          <w:p w14:paraId="751F5EB6" w14:textId="08FF1BB3" w:rsidR="00035AB8" w:rsidRPr="00EC52EE" w:rsidRDefault="00035AB8" w:rsidP="0028279E">
            <w:pPr>
              <w:rPr>
                <w:rFonts w:ascii="Times New Roman" w:hAnsi="Times New Roman" w:cs="Times New Roman"/>
                <w:sz w:val="24"/>
                <w:szCs w:val="24"/>
              </w:rPr>
            </w:pPr>
          </w:p>
        </w:tc>
        <w:tc>
          <w:tcPr>
            <w:tcW w:w="4248" w:type="dxa"/>
            <w:vMerge/>
          </w:tcPr>
          <w:p w14:paraId="751F5EB7" w14:textId="6D145A66" w:rsidR="00035AB8" w:rsidRPr="00EC52EE" w:rsidRDefault="00035AB8" w:rsidP="00153209">
            <w:pPr>
              <w:rPr>
                <w:rFonts w:ascii="Times New Roman" w:hAnsi="Times New Roman" w:cs="Times New Roman"/>
                <w:sz w:val="24"/>
                <w:szCs w:val="24"/>
              </w:rPr>
            </w:pPr>
          </w:p>
        </w:tc>
      </w:tr>
      <w:tr w:rsidR="00035AB8" w:rsidRPr="00EC52EE" w14:paraId="751F5EBE" w14:textId="77777777" w:rsidTr="002B46DD">
        <w:trPr>
          <w:cantSplit/>
          <w:trHeight w:val="980"/>
        </w:trPr>
        <w:tc>
          <w:tcPr>
            <w:tcW w:w="1705" w:type="dxa"/>
            <w:vMerge/>
          </w:tcPr>
          <w:p w14:paraId="751F5EB9" w14:textId="77777777" w:rsidR="00035AB8" w:rsidRPr="00EC52EE" w:rsidRDefault="00035AB8" w:rsidP="0073236C">
            <w:pPr>
              <w:rPr>
                <w:rFonts w:ascii="Times New Roman" w:hAnsi="Times New Roman" w:cs="Times New Roman"/>
                <w:b/>
                <w:sz w:val="24"/>
                <w:szCs w:val="24"/>
              </w:rPr>
            </w:pPr>
          </w:p>
        </w:tc>
        <w:tc>
          <w:tcPr>
            <w:tcW w:w="1530" w:type="dxa"/>
          </w:tcPr>
          <w:p w14:paraId="751F5EBA" w14:textId="1F68D5B1" w:rsidR="00035AB8" w:rsidRPr="00EC52EE" w:rsidRDefault="00035AB8" w:rsidP="0073236C">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p w14:paraId="65136B15" w14:textId="29C97208" w:rsidR="00035AB8" w:rsidRPr="00EC52EE" w:rsidRDefault="00035AB8" w:rsidP="00F30226">
            <w:pPr>
              <w:pStyle w:val="Default"/>
              <w:tabs>
                <w:tab w:val="left" w:pos="1440"/>
              </w:tabs>
              <w:ind w:left="72"/>
            </w:pPr>
            <w:proofErr w:type="spellStart"/>
            <w:r w:rsidRPr="00EC52EE">
              <w:t>NWNG</w:t>
            </w:r>
            <w:proofErr w:type="spellEnd"/>
            <w:r w:rsidRPr="00EC52EE">
              <w:t xml:space="preserve"> suggests that the six-month limitation regarding bill corrections be applicable only to residential customer bills.  As such, we recommend that corrected bills related to non-residential customer bills be included as an exception under the proposed new section (7).  </w:t>
            </w:r>
          </w:p>
          <w:p w14:paraId="34FFEC1B" w14:textId="77777777" w:rsidR="00035AB8" w:rsidRPr="000F244E" w:rsidRDefault="00035AB8" w:rsidP="00F30226">
            <w:pPr>
              <w:pStyle w:val="Default"/>
              <w:tabs>
                <w:tab w:val="left" w:pos="1440"/>
              </w:tabs>
              <w:ind w:left="360"/>
              <w:rPr>
                <w:sz w:val="22"/>
                <w:szCs w:val="22"/>
              </w:rPr>
            </w:pPr>
          </w:p>
          <w:p w14:paraId="751F5EBC" w14:textId="77777777" w:rsidR="00035AB8" w:rsidRPr="00EC52EE" w:rsidRDefault="00035AB8" w:rsidP="0073236C">
            <w:pPr>
              <w:rPr>
                <w:rFonts w:ascii="Times New Roman" w:hAnsi="Times New Roman" w:cs="Times New Roman"/>
                <w:sz w:val="24"/>
                <w:szCs w:val="24"/>
              </w:rPr>
            </w:pPr>
          </w:p>
        </w:tc>
        <w:tc>
          <w:tcPr>
            <w:tcW w:w="4248" w:type="dxa"/>
            <w:vMerge/>
          </w:tcPr>
          <w:p w14:paraId="751F5EBD" w14:textId="77777777" w:rsidR="00035AB8" w:rsidRPr="00EC52EE" w:rsidRDefault="00035AB8" w:rsidP="0073236C">
            <w:pPr>
              <w:rPr>
                <w:rFonts w:ascii="Times New Roman" w:hAnsi="Times New Roman" w:cs="Times New Roman"/>
                <w:sz w:val="24"/>
                <w:szCs w:val="24"/>
              </w:rPr>
            </w:pPr>
          </w:p>
        </w:tc>
      </w:tr>
      <w:tr w:rsidR="000558EA" w:rsidRPr="00EC52EE" w14:paraId="7F457AE6" w14:textId="77777777" w:rsidTr="002B46DD">
        <w:trPr>
          <w:cantSplit/>
          <w:trHeight w:val="980"/>
        </w:trPr>
        <w:tc>
          <w:tcPr>
            <w:tcW w:w="1705" w:type="dxa"/>
            <w:vMerge w:val="restart"/>
          </w:tcPr>
          <w:p w14:paraId="7A427972" w14:textId="24931173" w:rsidR="000558EA" w:rsidRPr="00EC52EE" w:rsidRDefault="000558EA" w:rsidP="0073236C">
            <w:pPr>
              <w:rPr>
                <w:rFonts w:ascii="Times New Roman" w:hAnsi="Times New Roman" w:cs="Times New Roman"/>
                <w:b/>
                <w:sz w:val="24"/>
                <w:szCs w:val="24"/>
              </w:rPr>
            </w:pPr>
            <w:r>
              <w:rPr>
                <w:rFonts w:ascii="Times New Roman" w:hAnsi="Times New Roman" w:cs="Times New Roman"/>
                <w:b/>
                <w:sz w:val="24"/>
                <w:szCs w:val="24"/>
              </w:rPr>
              <w:lastRenderedPageBreak/>
              <w:t>Over-billing</w:t>
            </w:r>
          </w:p>
        </w:tc>
        <w:tc>
          <w:tcPr>
            <w:tcW w:w="1530" w:type="dxa"/>
          </w:tcPr>
          <w:p w14:paraId="6339FB41" w14:textId="48C86323" w:rsidR="000558EA" w:rsidRDefault="000558EA" w:rsidP="0073236C">
            <w:pPr>
              <w:rPr>
                <w:rFonts w:ascii="Times New Roman" w:hAnsi="Times New Roman" w:cs="Times New Roman"/>
                <w:sz w:val="24"/>
                <w:szCs w:val="24"/>
              </w:rPr>
            </w:pPr>
            <w:proofErr w:type="spellStart"/>
            <w:r>
              <w:rPr>
                <w:rFonts w:ascii="Times New Roman" w:hAnsi="Times New Roman" w:cs="Times New Roman"/>
                <w:sz w:val="24"/>
                <w:szCs w:val="24"/>
              </w:rPr>
              <w:t>PPL</w:t>
            </w:r>
            <w:proofErr w:type="spellEnd"/>
          </w:p>
        </w:tc>
        <w:tc>
          <w:tcPr>
            <w:tcW w:w="7200" w:type="dxa"/>
          </w:tcPr>
          <w:p w14:paraId="4268DBBB" w14:textId="1C4CF708" w:rsidR="000558EA" w:rsidRPr="000558EA" w:rsidRDefault="000558EA" w:rsidP="00217A27">
            <w:pPr>
              <w:rPr>
                <w:rFonts w:ascii="Times New Roman" w:hAnsi="Times New Roman" w:cs="Times New Roman"/>
                <w:sz w:val="24"/>
                <w:szCs w:val="24"/>
              </w:rPr>
            </w:pPr>
            <w:proofErr w:type="spellStart"/>
            <w:r w:rsidRPr="000558EA">
              <w:rPr>
                <w:rFonts w:ascii="Times New Roman" w:hAnsi="Times New Roman" w:cs="Times New Roman"/>
                <w:sz w:val="24"/>
                <w:szCs w:val="24"/>
              </w:rPr>
              <w:t>PPL</w:t>
            </w:r>
            <w:proofErr w:type="spellEnd"/>
            <w:r w:rsidRPr="000558EA">
              <w:rPr>
                <w:rFonts w:ascii="Times New Roman" w:hAnsi="Times New Roman" w:cs="Times New Roman"/>
                <w:sz w:val="24"/>
                <w:szCs w:val="24"/>
              </w:rPr>
              <w:t xml:space="preserve"> requests that the adjustment period for over-billing be the same as required for under-billings. However, should the commission determine that adjustments for over-billings should be treated differently, </w:t>
            </w:r>
            <w:proofErr w:type="spellStart"/>
            <w:r w:rsidRPr="000558EA">
              <w:rPr>
                <w:rFonts w:ascii="Times New Roman" w:hAnsi="Times New Roman" w:cs="Times New Roman"/>
                <w:sz w:val="24"/>
                <w:szCs w:val="24"/>
              </w:rPr>
              <w:t>PPL</w:t>
            </w:r>
            <w:proofErr w:type="spellEnd"/>
            <w:r w:rsidRPr="000558EA">
              <w:rPr>
                <w:rFonts w:ascii="Times New Roman" w:hAnsi="Times New Roman" w:cs="Times New Roman"/>
                <w:sz w:val="24"/>
                <w:szCs w:val="24"/>
              </w:rPr>
              <w:t xml:space="preserve"> proposes language that would not require a utility to issue corrected bills for over-billings beyond 36 </w:t>
            </w:r>
            <w:proofErr w:type="gramStart"/>
            <w:r w:rsidRPr="000558EA">
              <w:rPr>
                <w:rFonts w:ascii="Times New Roman" w:hAnsi="Times New Roman" w:cs="Times New Roman"/>
                <w:sz w:val="24"/>
                <w:szCs w:val="24"/>
              </w:rPr>
              <w:t>months.</w:t>
            </w:r>
            <w:proofErr w:type="gramEnd"/>
          </w:p>
        </w:tc>
        <w:tc>
          <w:tcPr>
            <w:tcW w:w="4248" w:type="dxa"/>
            <w:vMerge w:val="restart"/>
          </w:tcPr>
          <w:p w14:paraId="4BC27D15" w14:textId="3C2AAC12" w:rsidR="000558EA" w:rsidRPr="00EC52EE" w:rsidRDefault="000558EA" w:rsidP="00022224">
            <w:pPr>
              <w:rPr>
                <w:rFonts w:ascii="Times New Roman" w:hAnsi="Times New Roman" w:cs="Times New Roman"/>
                <w:sz w:val="24"/>
                <w:szCs w:val="24"/>
              </w:rPr>
            </w:pPr>
            <w:r w:rsidRPr="00EC52EE">
              <w:rPr>
                <w:rFonts w:ascii="Times New Roman" w:hAnsi="Times New Roman" w:cs="Times New Roman"/>
                <w:sz w:val="24"/>
                <w:szCs w:val="24"/>
              </w:rPr>
              <w:t>Staff disagrees. The Commission’s records retention policy is six years</w:t>
            </w:r>
            <w:r>
              <w:rPr>
                <w:rStyle w:val="FootnoteReference"/>
                <w:rFonts w:ascii="Times New Roman" w:hAnsi="Times New Roman" w:cs="Times New Roman"/>
                <w:sz w:val="24"/>
                <w:szCs w:val="24"/>
              </w:rPr>
              <w:footnoteReference w:id="1"/>
            </w:r>
            <w:r w:rsidRPr="00EC52EE">
              <w:rPr>
                <w:rFonts w:ascii="Times New Roman" w:hAnsi="Times New Roman" w:cs="Times New Roman"/>
                <w:sz w:val="24"/>
                <w:szCs w:val="24"/>
              </w:rPr>
              <w:t>. The commission adopted by reference the Regulations to Govern the Preservation of Records of Electric, Gas, and Water Utilities published by the National Association of Regulatory Utility Commissioners (</w:t>
            </w:r>
            <w:proofErr w:type="spellStart"/>
            <w:r w:rsidRPr="00EC52EE">
              <w:rPr>
                <w:rFonts w:ascii="Times New Roman" w:hAnsi="Times New Roman" w:cs="Times New Roman"/>
                <w:sz w:val="24"/>
                <w:szCs w:val="24"/>
              </w:rPr>
              <w:t>NARUC</w:t>
            </w:r>
            <w:proofErr w:type="spellEnd"/>
            <w:r w:rsidRPr="00EC52EE">
              <w:rPr>
                <w:rFonts w:ascii="Times New Roman" w:hAnsi="Times New Roman" w:cs="Times New Roman"/>
                <w:sz w:val="24"/>
                <w:szCs w:val="24"/>
              </w:rPr>
              <w:t xml:space="preserve">). Staff believes that the companies should be required to refund over-billings for the entire period of time for which they are required to keep records. </w:t>
            </w:r>
          </w:p>
        </w:tc>
      </w:tr>
      <w:tr w:rsidR="000558EA" w:rsidRPr="00EC52EE" w14:paraId="751F5ECA" w14:textId="77777777" w:rsidTr="002B46DD">
        <w:trPr>
          <w:cantSplit/>
          <w:trHeight w:val="980"/>
        </w:trPr>
        <w:tc>
          <w:tcPr>
            <w:tcW w:w="1705" w:type="dxa"/>
            <w:vMerge/>
          </w:tcPr>
          <w:p w14:paraId="751F5EC6" w14:textId="4D7A1445" w:rsidR="000558EA" w:rsidRPr="00EC52EE" w:rsidRDefault="000558EA" w:rsidP="0073236C">
            <w:pPr>
              <w:rPr>
                <w:rFonts w:ascii="Times New Roman" w:hAnsi="Times New Roman" w:cs="Times New Roman"/>
                <w:b/>
                <w:sz w:val="24"/>
                <w:szCs w:val="24"/>
              </w:rPr>
            </w:pPr>
          </w:p>
        </w:tc>
        <w:tc>
          <w:tcPr>
            <w:tcW w:w="1530" w:type="dxa"/>
          </w:tcPr>
          <w:p w14:paraId="751F5EC7" w14:textId="262E544C" w:rsidR="000558EA" w:rsidRPr="00EC52EE" w:rsidRDefault="000558EA" w:rsidP="0073236C">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p w14:paraId="1A2358DA" w14:textId="70D751D6" w:rsidR="000558EA" w:rsidRPr="00EC52EE" w:rsidRDefault="000558EA" w:rsidP="00217A27">
            <w:pPr>
              <w:rPr>
                <w:rFonts w:ascii="Times New Roman" w:eastAsiaTheme="minorEastAsia" w:hAnsi="Times New Roman" w:cs="Times New Roman"/>
                <w:color w:val="000000"/>
                <w:sz w:val="24"/>
                <w:szCs w:val="24"/>
                <w:lang w:eastAsia="zh-CN"/>
              </w:rPr>
            </w:pPr>
            <w:r w:rsidRPr="00EC52EE">
              <w:rPr>
                <w:rFonts w:ascii="Times New Roman" w:hAnsi="Times New Roman" w:cs="Times New Roman"/>
                <w:sz w:val="24"/>
                <w:szCs w:val="24"/>
              </w:rPr>
              <w:t xml:space="preserve">As proposed, the use of the word “collect” implies that the intent is to impose the six-month restriction only to under-billings. If that is Staff’s intent, then </w:t>
            </w:r>
            <w:proofErr w:type="spellStart"/>
            <w:r w:rsidRPr="00EC52EE">
              <w:rPr>
                <w:rFonts w:ascii="Times New Roman" w:hAnsi="Times New Roman" w:cs="Times New Roman"/>
                <w:sz w:val="24"/>
                <w:szCs w:val="24"/>
              </w:rPr>
              <w:t>NWNG</w:t>
            </w:r>
            <w:proofErr w:type="spellEnd"/>
            <w:r w:rsidRPr="00EC52EE">
              <w:rPr>
                <w:rFonts w:ascii="Times New Roman" w:hAnsi="Times New Roman" w:cs="Times New Roman"/>
                <w:sz w:val="24"/>
                <w:szCs w:val="24"/>
              </w:rPr>
              <w:t xml:space="preserve"> recommends that a limitation on over-billings also be established.  If Staff finds that six months is too short, </w:t>
            </w:r>
            <w:proofErr w:type="spellStart"/>
            <w:r w:rsidRPr="00EC52EE">
              <w:rPr>
                <w:rFonts w:ascii="Times New Roman" w:hAnsi="Times New Roman" w:cs="Times New Roman"/>
                <w:sz w:val="24"/>
                <w:szCs w:val="24"/>
              </w:rPr>
              <w:t>NWNG</w:t>
            </w:r>
            <w:proofErr w:type="spellEnd"/>
            <w:r w:rsidRPr="00EC52EE">
              <w:rPr>
                <w:rFonts w:ascii="Times New Roman" w:hAnsi="Times New Roman" w:cs="Times New Roman"/>
                <w:sz w:val="24"/>
                <w:szCs w:val="24"/>
              </w:rPr>
              <w:t xml:space="preserve"> would recommend a 12-month limitation on refunds for over-billings. There is considerable administrative cost incurred in investigating and processing corrected bills, and an open-ended timeframe for processing over-billings would be administratively burdensome.</w:t>
            </w:r>
            <w:r w:rsidRPr="00EC52EE">
              <w:rPr>
                <w:rFonts w:ascii="Times New Roman" w:hAnsi="Times New Roman" w:cs="Times New Roman"/>
                <w:sz w:val="24"/>
                <w:szCs w:val="24"/>
              </w:rPr>
              <w:br w:type="page"/>
            </w:r>
          </w:p>
          <w:p w14:paraId="751F5EC8" w14:textId="13901932" w:rsidR="000558EA" w:rsidRPr="00EC52EE" w:rsidRDefault="000558EA" w:rsidP="00E869DC">
            <w:pPr>
              <w:rPr>
                <w:rFonts w:ascii="Times New Roman" w:hAnsi="Times New Roman" w:cs="Times New Roman"/>
                <w:sz w:val="24"/>
                <w:szCs w:val="24"/>
              </w:rPr>
            </w:pPr>
          </w:p>
        </w:tc>
        <w:tc>
          <w:tcPr>
            <w:tcW w:w="4248" w:type="dxa"/>
            <w:vMerge/>
          </w:tcPr>
          <w:p w14:paraId="751F5EC9" w14:textId="4D366E1A" w:rsidR="000558EA" w:rsidRPr="00EC52EE" w:rsidRDefault="000558EA" w:rsidP="008900A9">
            <w:pPr>
              <w:rPr>
                <w:rFonts w:ascii="Times New Roman" w:hAnsi="Times New Roman" w:cs="Times New Roman"/>
                <w:sz w:val="24"/>
                <w:szCs w:val="24"/>
              </w:rPr>
            </w:pPr>
          </w:p>
        </w:tc>
      </w:tr>
      <w:tr w:rsidR="000558EA" w:rsidRPr="00EC52EE" w14:paraId="5F6486BC" w14:textId="77777777" w:rsidTr="002B46DD">
        <w:trPr>
          <w:cantSplit/>
          <w:trHeight w:val="980"/>
        </w:trPr>
        <w:tc>
          <w:tcPr>
            <w:tcW w:w="1705" w:type="dxa"/>
          </w:tcPr>
          <w:p w14:paraId="117E6320" w14:textId="2F92C83B" w:rsidR="000558EA" w:rsidRPr="00EC52EE" w:rsidRDefault="000558EA" w:rsidP="00022224">
            <w:pPr>
              <w:rPr>
                <w:rFonts w:ascii="Times New Roman" w:hAnsi="Times New Roman" w:cs="Times New Roman"/>
                <w:b/>
                <w:sz w:val="24"/>
                <w:szCs w:val="24"/>
              </w:rPr>
            </w:pPr>
            <w:r w:rsidRPr="00EC52EE">
              <w:rPr>
                <w:rFonts w:ascii="Times New Roman" w:hAnsi="Times New Roman" w:cs="Times New Roman"/>
                <w:b/>
                <w:sz w:val="24"/>
                <w:szCs w:val="24"/>
              </w:rPr>
              <w:t>Billing errors</w:t>
            </w:r>
          </w:p>
        </w:tc>
        <w:tc>
          <w:tcPr>
            <w:tcW w:w="1530" w:type="dxa"/>
          </w:tcPr>
          <w:p w14:paraId="38AD8C81" w14:textId="643E00E4" w:rsidR="000558EA" w:rsidRPr="00EC52EE" w:rsidRDefault="000558EA" w:rsidP="0073236C">
            <w:pPr>
              <w:rPr>
                <w:rFonts w:ascii="Times New Roman" w:hAnsi="Times New Roman" w:cs="Times New Roman"/>
                <w:sz w:val="24"/>
                <w:szCs w:val="24"/>
              </w:rPr>
            </w:pPr>
            <w:proofErr w:type="spellStart"/>
            <w:r>
              <w:rPr>
                <w:rFonts w:ascii="Times New Roman" w:hAnsi="Times New Roman" w:cs="Times New Roman"/>
                <w:sz w:val="24"/>
                <w:szCs w:val="24"/>
              </w:rPr>
              <w:t>PPL</w:t>
            </w:r>
            <w:proofErr w:type="spellEnd"/>
          </w:p>
        </w:tc>
        <w:tc>
          <w:tcPr>
            <w:tcW w:w="7200" w:type="dxa"/>
          </w:tcPr>
          <w:p w14:paraId="74F40E72" w14:textId="6344DF79" w:rsidR="000558EA" w:rsidRPr="00EC52EE" w:rsidRDefault="000558EA" w:rsidP="0073236C">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disagrees with staff’s recommended six-month adjustment period for under-billing related to billing errors. Billing errors can be related to issues that are difficult to capture in a process, such as the customer signing up for service at the wrong address, the meter base being labeled incorrectly, internal wiring issues, etc. Utilities should not be penalized when the source of the error is based on problems beyond the control of the utilities. The utilities previously proposed a 36-month limitation for all billing error adjustments.</w:t>
            </w:r>
          </w:p>
        </w:tc>
        <w:tc>
          <w:tcPr>
            <w:tcW w:w="4248" w:type="dxa"/>
          </w:tcPr>
          <w:p w14:paraId="5E02C64C" w14:textId="77777777" w:rsidR="000558EA" w:rsidRDefault="00035AB8" w:rsidP="0073236C">
            <w:pPr>
              <w:rPr>
                <w:rFonts w:ascii="Times New Roman" w:hAnsi="Times New Roman" w:cs="Times New Roman"/>
                <w:sz w:val="24"/>
                <w:szCs w:val="24"/>
              </w:rPr>
            </w:pPr>
            <w:r>
              <w:rPr>
                <w:rFonts w:ascii="Times New Roman" w:hAnsi="Times New Roman" w:cs="Times New Roman"/>
                <w:sz w:val="24"/>
                <w:szCs w:val="24"/>
              </w:rPr>
              <w:t>Staff disagrees. The companies have submitted a comprehensive list of quality control measures to ensure that billing errors are caught in a timely manner. While there may be billing anomalies that occur infrequently, staff believes the companies are able to identify the majority of billing errors that occur within six months.</w:t>
            </w:r>
          </w:p>
          <w:p w14:paraId="51DB2698" w14:textId="4C420A41" w:rsidR="0061398A" w:rsidRPr="00EC52EE" w:rsidRDefault="0061398A" w:rsidP="0073236C">
            <w:pPr>
              <w:rPr>
                <w:rFonts w:ascii="Times New Roman" w:hAnsi="Times New Roman" w:cs="Times New Roman"/>
                <w:sz w:val="24"/>
                <w:szCs w:val="24"/>
              </w:rPr>
            </w:pPr>
          </w:p>
        </w:tc>
      </w:tr>
      <w:tr w:rsidR="000558EA" w:rsidRPr="00EC52EE" w14:paraId="72B24A06" w14:textId="77777777" w:rsidTr="00C2633A">
        <w:trPr>
          <w:cantSplit/>
          <w:trHeight w:val="1970"/>
        </w:trPr>
        <w:tc>
          <w:tcPr>
            <w:tcW w:w="1705" w:type="dxa"/>
          </w:tcPr>
          <w:p w14:paraId="17B5F93F" w14:textId="3CCECE9A" w:rsidR="000558EA" w:rsidRPr="00EC52EE" w:rsidRDefault="000558EA" w:rsidP="000558EA">
            <w:pPr>
              <w:rPr>
                <w:rFonts w:ascii="Times New Roman" w:hAnsi="Times New Roman" w:cs="Times New Roman"/>
                <w:b/>
                <w:sz w:val="24"/>
                <w:szCs w:val="24"/>
              </w:rPr>
            </w:pPr>
            <w:r>
              <w:rPr>
                <w:rFonts w:ascii="Times New Roman" w:hAnsi="Times New Roman" w:cs="Times New Roman"/>
                <w:b/>
                <w:sz w:val="24"/>
                <w:szCs w:val="24"/>
              </w:rPr>
              <w:t>Definitions</w:t>
            </w:r>
          </w:p>
        </w:tc>
        <w:tc>
          <w:tcPr>
            <w:tcW w:w="1530" w:type="dxa"/>
          </w:tcPr>
          <w:p w14:paraId="3B27AE7E" w14:textId="0E662D3C" w:rsidR="000558EA" w:rsidRPr="00EC52EE" w:rsidRDefault="000558EA" w:rsidP="000558EA">
            <w:pPr>
              <w:rPr>
                <w:rFonts w:ascii="Times New Roman" w:hAnsi="Times New Roman" w:cs="Times New Roman"/>
                <w:sz w:val="24"/>
                <w:szCs w:val="24"/>
              </w:rPr>
            </w:pPr>
            <w:proofErr w:type="spellStart"/>
            <w:r>
              <w:rPr>
                <w:rFonts w:ascii="Times New Roman" w:hAnsi="Times New Roman" w:cs="Times New Roman"/>
                <w:sz w:val="24"/>
                <w:szCs w:val="24"/>
              </w:rPr>
              <w:t>PPL</w:t>
            </w:r>
            <w:proofErr w:type="spellEnd"/>
          </w:p>
        </w:tc>
        <w:tc>
          <w:tcPr>
            <w:tcW w:w="7200" w:type="dxa"/>
          </w:tcPr>
          <w:p w14:paraId="7C5DFD7C" w14:textId="1BCA0C93" w:rsidR="000558EA" w:rsidRPr="00EC52EE" w:rsidRDefault="000558EA" w:rsidP="000558EA">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proposes changes to the definitions for clarity. </w:t>
            </w: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requests the removal of the term “erratic meter” from the definition of “meter failure or malfunction.” The company believes “meter failure or malfunction” is adequately defined without the term “erratic meter” included in the definition.</w:t>
            </w:r>
          </w:p>
        </w:tc>
        <w:tc>
          <w:tcPr>
            <w:tcW w:w="4248" w:type="dxa"/>
          </w:tcPr>
          <w:p w14:paraId="3CD2812C" w14:textId="52C342EC" w:rsidR="000558EA" w:rsidRPr="00EC52EE" w:rsidRDefault="00035AB8" w:rsidP="000558EA">
            <w:pPr>
              <w:rPr>
                <w:rFonts w:ascii="Times New Roman" w:hAnsi="Times New Roman" w:cs="Times New Roman"/>
                <w:sz w:val="24"/>
                <w:szCs w:val="24"/>
              </w:rPr>
            </w:pPr>
            <w:r w:rsidRPr="00EC52EE">
              <w:rPr>
                <w:rFonts w:ascii="Times New Roman" w:hAnsi="Times New Roman" w:cs="Times New Roman"/>
                <w:sz w:val="24"/>
                <w:szCs w:val="24"/>
              </w:rPr>
              <w:t>Staff disagrees. Staff investigations of informal complaints have found that there are instances when the meter shows erratic meter readings as it begins to fail.</w:t>
            </w:r>
          </w:p>
        </w:tc>
      </w:tr>
      <w:tr w:rsidR="00C2633A" w:rsidRPr="00EC52EE" w14:paraId="7D119C07" w14:textId="77777777" w:rsidTr="00C2633A">
        <w:trPr>
          <w:cantSplit/>
          <w:trHeight w:val="1970"/>
        </w:trPr>
        <w:tc>
          <w:tcPr>
            <w:tcW w:w="1705" w:type="dxa"/>
          </w:tcPr>
          <w:p w14:paraId="61FD841E" w14:textId="2C1FA967" w:rsidR="00C2633A" w:rsidRDefault="0042118E" w:rsidP="000558EA">
            <w:pPr>
              <w:rPr>
                <w:rFonts w:ascii="Times New Roman" w:hAnsi="Times New Roman" w:cs="Times New Roman"/>
                <w:b/>
                <w:sz w:val="24"/>
                <w:szCs w:val="24"/>
              </w:rPr>
            </w:pPr>
            <w:r w:rsidRPr="00EC52EE">
              <w:rPr>
                <w:rFonts w:ascii="Times New Roman" w:hAnsi="Times New Roman" w:cs="Times New Roman"/>
                <w:b/>
                <w:sz w:val="24"/>
                <w:szCs w:val="24"/>
              </w:rPr>
              <w:lastRenderedPageBreak/>
              <w:t>Conflict with WAC 480-100-183</w:t>
            </w:r>
          </w:p>
        </w:tc>
        <w:tc>
          <w:tcPr>
            <w:tcW w:w="1530" w:type="dxa"/>
          </w:tcPr>
          <w:p w14:paraId="55C255E1" w14:textId="7AF3B956" w:rsidR="00C2633A" w:rsidRDefault="0042118E" w:rsidP="000558EA">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p>
        </w:tc>
        <w:tc>
          <w:tcPr>
            <w:tcW w:w="7200" w:type="dxa"/>
          </w:tcPr>
          <w:p w14:paraId="427F862F" w14:textId="77777777" w:rsidR="0042118E" w:rsidRPr="00EC52EE" w:rsidRDefault="0042118E" w:rsidP="0042118E">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believes the proposed rule also requires a revision to WAC 480-100-183(5). WAC 480-100-183(5</w:t>
            </w:r>
            <w:proofErr w:type="gramStart"/>
            <w:r w:rsidRPr="00EC52EE">
              <w:rPr>
                <w:rFonts w:ascii="Times New Roman" w:hAnsi="Times New Roman" w:cs="Times New Roman"/>
                <w:sz w:val="24"/>
                <w:szCs w:val="24"/>
              </w:rPr>
              <w:t>)(</w:t>
            </w:r>
            <w:proofErr w:type="gramEnd"/>
            <w:r w:rsidRPr="00EC52EE">
              <w:rPr>
                <w:rFonts w:ascii="Times New Roman" w:hAnsi="Times New Roman" w:cs="Times New Roman"/>
                <w:sz w:val="24"/>
                <w:szCs w:val="24"/>
              </w:rPr>
              <w:t>a) requires utilities to refund or bill customers for the proper usage from the date that they first were billed for the malfunctioning meter, if the date if known. If the date is unknown, WAC 480-100-183(5</w:t>
            </w:r>
            <w:proofErr w:type="gramStart"/>
            <w:r w:rsidRPr="00EC52EE">
              <w:rPr>
                <w:rFonts w:ascii="Times New Roman" w:hAnsi="Times New Roman" w:cs="Times New Roman"/>
                <w:sz w:val="24"/>
                <w:szCs w:val="24"/>
              </w:rPr>
              <w:t>)(</w:t>
            </w:r>
            <w:proofErr w:type="gramEnd"/>
            <w:r w:rsidRPr="00EC52EE">
              <w:rPr>
                <w:rFonts w:ascii="Times New Roman" w:hAnsi="Times New Roman" w:cs="Times New Roman"/>
                <w:sz w:val="24"/>
                <w:szCs w:val="24"/>
              </w:rPr>
              <w:t xml:space="preserve">b) limits the adjustment period to no more than six months. </w:t>
            </w:r>
          </w:p>
          <w:p w14:paraId="314B9430" w14:textId="77777777" w:rsidR="0042118E" w:rsidRPr="00EC52EE" w:rsidRDefault="0042118E" w:rsidP="0042118E">
            <w:pPr>
              <w:rPr>
                <w:rFonts w:ascii="Times New Roman" w:hAnsi="Times New Roman" w:cs="Times New Roman"/>
                <w:sz w:val="24"/>
                <w:szCs w:val="24"/>
              </w:rPr>
            </w:pPr>
          </w:p>
          <w:p w14:paraId="3B80CA7B" w14:textId="77777777" w:rsidR="0042118E" w:rsidRPr="00EC52EE" w:rsidRDefault="0042118E" w:rsidP="0042118E">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proposed the following existing language in WAC 480-100-183(5) be deleted:</w:t>
            </w:r>
          </w:p>
          <w:p w14:paraId="56E4B0BE" w14:textId="77777777" w:rsidR="0042118E" w:rsidRPr="00EC52EE" w:rsidRDefault="0042118E" w:rsidP="0042118E">
            <w:pPr>
              <w:rPr>
                <w:rFonts w:ascii="Times New Roman" w:hAnsi="Times New Roman" w:cs="Times New Roman"/>
                <w:sz w:val="24"/>
                <w:szCs w:val="24"/>
              </w:rPr>
            </w:pPr>
          </w:p>
          <w:p w14:paraId="1E5D3D9F" w14:textId="77777777" w:rsidR="0042118E" w:rsidRPr="00EC52EE" w:rsidRDefault="0042118E" w:rsidP="0042118E">
            <w:pPr>
              <w:rPr>
                <w:rFonts w:ascii="Times New Roman" w:hAnsi="Times New Roman" w:cs="Times New Roman"/>
                <w:sz w:val="24"/>
                <w:szCs w:val="24"/>
              </w:rPr>
            </w:pPr>
            <w:r w:rsidRPr="00EC52EE">
              <w:rPr>
                <w:rFonts w:ascii="Times New Roman" w:hAnsi="Times New Roman" w:cs="Times New Roman"/>
                <w:sz w:val="24"/>
                <w:szCs w:val="24"/>
              </w:rPr>
              <w:t>(5)</w:t>
            </w:r>
          </w:p>
          <w:p w14:paraId="7A11B302" w14:textId="77777777" w:rsidR="0042118E" w:rsidRPr="00EC52EE" w:rsidRDefault="0042118E" w:rsidP="0042118E">
            <w:pPr>
              <w:rPr>
                <w:rFonts w:ascii="Times New Roman" w:hAnsi="Times New Roman" w:cs="Times New Roman"/>
                <w:sz w:val="24"/>
                <w:szCs w:val="24"/>
              </w:rPr>
            </w:pPr>
            <w:r w:rsidRPr="00EC52EE">
              <w:rPr>
                <w:rFonts w:ascii="Times New Roman" w:hAnsi="Times New Roman" w:cs="Times New Roman"/>
                <w:sz w:val="24"/>
                <w:szCs w:val="24"/>
              </w:rPr>
              <w:t xml:space="preserve">    (a) If the utility can identify the date the customer was first billed from a defective meter, the utility must refund or bill the customer for the proper usage from that date:</w:t>
            </w:r>
          </w:p>
          <w:p w14:paraId="140D410D" w14:textId="77777777" w:rsidR="0042118E" w:rsidRPr="00EC52EE" w:rsidRDefault="0042118E" w:rsidP="0042118E">
            <w:pPr>
              <w:rPr>
                <w:rFonts w:ascii="Times New Roman" w:hAnsi="Times New Roman" w:cs="Times New Roman"/>
                <w:sz w:val="24"/>
                <w:szCs w:val="24"/>
              </w:rPr>
            </w:pPr>
            <w:r w:rsidRPr="00EC52EE">
              <w:rPr>
                <w:rFonts w:ascii="Times New Roman" w:hAnsi="Times New Roman" w:cs="Times New Roman"/>
                <w:sz w:val="24"/>
                <w:szCs w:val="24"/>
              </w:rPr>
              <w:t xml:space="preserve">   (b) If the utility cannot identify the date the customer was first billed from a defective meter, the utility must refund or bill the customer for the proper usage not to exceed six months.</w:t>
            </w:r>
          </w:p>
          <w:p w14:paraId="5B8543CC" w14:textId="77777777" w:rsidR="0042118E" w:rsidRPr="00EC52EE" w:rsidRDefault="0042118E" w:rsidP="0042118E">
            <w:pPr>
              <w:rPr>
                <w:rFonts w:ascii="Times New Roman" w:hAnsi="Times New Roman" w:cs="Times New Roman"/>
                <w:sz w:val="24"/>
                <w:szCs w:val="24"/>
              </w:rPr>
            </w:pPr>
          </w:p>
          <w:p w14:paraId="2286CC2B" w14:textId="77777777" w:rsidR="0042118E" w:rsidRPr="00EC52EE" w:rsidRDefault="0042118E" w:rsidP="0042118E">
            <w:pPr>
              <w:rPr>
                <w:rFonts w:ascii="Times New Roman" w:hAnsi="Times New Roman" w:cs="Times New Roman"/>
                <w:sz w:val="24"/>
                <w:szCs w:val="24"/>
              </w:rPr>
            </w:pPr>
            <w:r w:rsidRPr="00EC52EE">
              <w:rPr>
                <w:rFonts w:ascii="Times New Roman" w:hAnsi="Times New Roman" w:cs="Times New Roman"/>
                <w:sz w:val="24"/>
                <w:szCs w:val="24"/>
              </w:rPr>
              <w:t xml:space="preserve">To eliminate confusion and to prevent having two conflicting rules depending on whether the utility initiated the investigation or the customer, </w:t>
            </w: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proposed replacing the language in WAC 480-100-183(5) as follows:</w:t>
            </w:r>
          </w:p>
          <w:p w14:paraId="2853460B" w14:textId="77777777" w:rsidR="0042118E" w:rsidRPr="00EC52EE" w:rsidRDefault="0042118E" w:rsidP="0042118E">
            <w:pPr>
              <w:rPr>
                <w:rFonts w:ascii="Times New Roman" w:hAnsi="Times New Roman" w:cs="Times New Roman"/>
                <w:sz w:val="24"/>
                <w:szCs w:val="24"/>
              </w:rPr>
            </w:pPr>
          </w:p>
          <w:p w14:paraId="1B65708F" w14:textId="1DB2E539" w:rsidR="00C2633A" w:rsidRPr="00EC52EE" w:rsidRDefault="0042118E" w:rsidP="0042118E">
            <w:pPr>
              <w:rPr>
                <w:rFonts w:ascii="Times New Roman" w:hAnsi="Times New Roman" w:cs="Times New Roman"/>
                <w:sz w:val="24"/>
                <w:szCs w:val="24"/>
              </w:rPr>
            </w:pPr>
            <w:r w:rsidRPr="00A05C26">
              <w:rPr>
                <w:rFonts w:ascii="Times New Roman" w:hAnsi="Times New Roman" w:cs="Times New Roman"/>
                <w:sz w:val="24"/>
                <w:szCs w:val="24"/>
              </w:rPr>
              <w:t xml:space="preserve">(5) If a meter test reveals a meter error greater than specified as acceptable in WAC 480-100-338, Accuracy requirements for electric meters, the utility must repair or replace the meter at no cost to the customer. </w:t>
            </w:r>
            <w:r w:rsidRPr="00A05C26">
              <w:rPr>
                <w:rFonts w:ascii="Times New Roman" w:hAnsi="Times New Roman" w:cs="Times New Roman"/>
                <w:color w:val="FF0000"/>
                <w:sz w:val="24"/>
                <w:szCs w:val="24"/>
                <w:u w:val="single"/>
              </w:rPr>
              <w:t>In accordance with WAC 480-100-178(5</w:t>
            </w:r>
            <w:proofErr w:type="gramStart"/>
            <w:r w:rsidRPr="00A05C26">
              <w:rPr>
                <w:rFonts w:ascii="Times New Roman" w:hAnsi="Times New Roman" w:cs="Times New Roman"/>
                <w:color w:val="FF0000"/>
                <w:sz w:val="24"/>
                <w:szCs w:val="24"/>
                <w:u w:val="single"/>
              </w:rPr>
              <w:t>)(</w:t>
            </w:r>
            <w:proofErr w:type="gramEnd"/>
            <w:r w:rsidRPr="00A05C26">
              <w:rPr>
                <w:rFonts w:ascii="Times New Roman" w:hAnsi="Times New Roman" w:cs="Times New Roman"/>
                <w:color w:val="FF0000"/>
                <w:sz w:val="24"/>
                <w:szCs w:val="24"/>
                <w:u w:val="single"/>
              </w:rPr>
              <w:t>a),</w:t>
            </w:r>
            <w:r w:rsidRPr="00A05C26">
              <w:rPr>
                <w:rFonts w:ascii="Times New Roman" w:hAnsi="Times New Roman" w:cs="Times New Roman"/>
                <w:color w:val="FF0000"/>
                <w:sz w:val="24"/>
                <w:szCs w:val="24"/>
              </w:rPr>
              <w:t xml:space="preserve"> </w:t>
            </w:r>
            <w:r w:rsidRPr="00A05C26">
              <w:rPr>
                <w:rFonts w:ascii="Times New Roman" w:hAnsi="Times New Roman" w:cs="Times New Roman"/>
                <w:sz w:val="24"/>
                <w:szCs w:val="24"/>
              </w:rPr>
              <w:t>the utility must adjust the bills to the customer based on the best information available to determine the appropriate charges. The utility must offer payment arrangements in accordance with WAC 480-100-138(2), Payment arrangements.</w:t>
            </w:r>
          </w:p>
        </w:tc>
        <w:tc>
          <w:tcPr>
            <w:tcW w:w="4248" w:type="dxa"/>
          </w:tcPr>
          <w:p w14:paraId="1D9BCCEF" w14:textId="6D22FD1B" w:rsidR="00C2633A" w:rsidRPr="00EC52EE" w:rsidRDefault="00A23A1B" w:rsidP="00A23A1B">
            <w:pPr>
              <w:rPr>
                <w:rFonts w:ascii="Times New Roman" w:hAnsi="Times New Roman" w:cs="Times New Roman"/>
                <w:sz w:val="24"/>
                <w:szCs w:val="24"/>
              </w:rPr>
            </w:pPr>
            <w:r w:rsidRPr="00EC52EE">
              <w:rPr>
                <w:rFonts w:ascii="Times New Roman" w:hAnsi="Times New Roman" w:cs="Times New Roman"/>
                <w:sz w:val="24"/>
                <w:szCs w:val="24"/>
              </w:rPr>
              <w:t>Staff believes the proposed rules clearly delineate the timeframes allowed for corrected bills.</w:t>
            </w:r>
            <w:r>
              <w:rPr>
                <w:rFonts w:ascii="Times New Roman" w:hAnsi="Times New Roman" w:cs="Times New Roman"/>
                <w:sz w:val="24"/>
                <w:szCs w:val="24"/>
              </w:rPr>
              <w:t xml:space="preserve"> The proposed rules are not in conflict with WAC’s 480-90-183(5); 480-100-183(5).</w:t>
            </w:r>
          </w:p>
        </w:tc>
      </w:tr>
      <w:tr w:rsidR="0007002F" w:rsidRPr="00EC52EE" w14:paraId="1FF8312B" w14:textId="77777777" w:rsidTr="00C2633A">
        <w:trPr>
          <w:cantSplit/>
          <w:trHeight w:val="1970"/>
        </w:trPr>
        <w:tc>
          <w:tcPr>
            <w:tcW w:w="1705" w:type="dxa"/>
            <w:vMerge w:val="restart"/>
          </w:tcPr>
          <w:p w14:paraId="50BFF1A8" w14:textId="64DAC844" w:rsidR="0007002F" w:rsidRPr="00EC52EE" w:rsidRDefault="0007002F" w:rsidP="000558EA">
            <w:pPr>
              <w:rPr>
                <w:rFonts w:ascii="Times New Roman" w:hAnsi="Times New Roman" w:cs="Times New Roman"/>
                <w:b/>
                <w:sz w:val="24"/>
                <w:szCs w:val="24"/>
              </w:rPr>
            </w:pPr>
            <w:r w:rsidRPr="00EC52EE">
              <w:rPr>
                <w:rFonts w:ascii="Times New Roman" w:hAnsi="Times New Roman" w:cs="Times New Roman"/>
                <w:b/>
                <w:sz w:val="24"/>
                <w:szCs w:val="24"/>
              </w:rPr>
              <w:lastRenderedPageBreak/>
              <w:t>Consistent treatment under WAC 480-100-128</w:t>
            </w:r>
          </w:p>
        </w:tc>
        <w:tc>
          <w:tcPr>
            <w:tcW w:w="1530" w:type="dxa"/>
          </w:tcPr>
          <w:p w14:paraId="6EA697B0" w14:textId="75EF59BB" w:rsidR="0007002F" w:rsidRPr="00EC52EE" w:rsidRDefault="0007002F" w:rsidP="000558EA">
            <w:pPr>
              <w:rPr>
                <w:rFonts w:ascii="Times New Roman" w:hAnsi="Times New Roman" w:cs="Times New Roman"/>
                <w:sz w:val="24"/>
                <w:szCs w:val="24"/>
              </w:rPr>
            </w:pPr>
            <w:proofErr w:type="spellStart"/>
            <w:r>
              <w:rPr>
                <w:rFonts w:ascii="Times New Roman" w:hAnsi="Times New Roman" w:cs="Times New Roman"/>
                <w:sz w:val="24"/>
                <w:szCs w:val="24"/>
              </w:rPr>
              <w:t>PPL</w:t>
            </w:r>
            <w:proofErr w:type="spellEnd"/>
          </w:p>
        </w:tc>
        <w:tc>
          <w:tcPr>
            <w:tcW w:w="7200" w:type="dxa"/>
          </w:tcPr>
          <w:p w14:paraId="58133985" w14:textId="77777777" w:rsidR="0007002F" w:rsidRPr="00EC52EE" w:rsidRDefault="0007002F" w:rsidP="00D508AE">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believes there is a conflict with WAC 480-100-128(2</w:t>
            </w:r>
            <w:proofErr w:type="gramStart"/>
            <w:r w:rsidRPr="00EC52EE">
              <w:rPr>
                <w:rFonts w:ascii="Times New Roman" w:hAnsi="Times New Roman" w:cs="Times New Roman"/>
                <w:sz w:val="24"/>
                <w:szCs w:val="24"/>
              </w:rPr>
              <w:t>)(</w:t>
            </w:r>
            <w:proofErr w:type="gramEnd"/>
            <w:r w:rsidRPr="00EC52EE">
              <w:rPr>
                <w:rFonts w:ascii="Times New Roman" w:hAnsi="Times New Roman" w:cs="Times New Roman"/>
                <w:sz w:val="24"/>
                <w:szCs w:val="24"/>
              </w:rPr>
              <w:t xml:space="preserve">f), which states the utility “must charge the customer for service used in accordance with the utility’s filed tariff” when it determines service has been used prior to receiving an application for service in the context of a possible disconnection.  </w:t>
            </w: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proposed the following revision to WAC 480-128(2)(f):</w:t>
            </w:r>
          </w:p>
          <w:p w14:paraId="74927EF3" w14:textId="77777777" w:rsidR="0007002F" w:rsidRPr="00EC52EE" w:rsidRDefault="0007002F" w:rsidP="00D508AE">
            <w:pPr>
              <w:rPr>
                <w:rFonts w:ascii="Times New Roman" w:hAnsi="Times New Roman" w:cs="Times New Roman"/>
                <w:sz w:val="24"/>
                <w:szCs w:val="24"/>
              </w:rPr>
            </w:pPr>
          </w:p>
          <w:p w14:paraId="331D361A" w14:textId="77777777" w:rsidR="0007002F" w:rsidRPr="00EC52EE" w:rsidRDefault="0007002F" w:rsidP="00D508AE">
            <w:pPr>
              <w:rPr>
                <w:rFonts w:ascii="Times New Roman" w:hAnsi="Times New Roman" w:cs="Times New Roman"/>
                <w:sz w:val="24"/>
                <w:szCs w:val="24"/>
              </w:rPr>
            </w:pPr>
            <w:r w:rsidRPr="00EC52EE">
              <w:rPr>
                <w:rFonts w:ascii="Times New Roman" w:hAnsi="Times New Roman" w:cs="Times New Roman"/>
                <w:sz w:val="24"/>
                <w:szCs w:val="24"/>
              </w:rPr>
              <w:t>The utility has determined a customer has used service prior to applying for service. The utility must charge the customer for service used in accordance with WAC 480-100-178(5</w:t>
            </w:r>
            <w:proofErr w:type="gramStart"/>
            <w:r w:rsidRPr="00EC52EE">
              <w:rPr>
                <w:rFonts w:ascii="Times New Roman" w:hAnsi="Times New Roman" w:cs="Times New Roman"/>
                <w:sz w:val="24"/>
                <w:szCs w:val="24"/>
              </w:rPr>
              <w:t>)(</w:t>
            </w:r>
            <w:proofErr w:type="gramEnd"/>
            <w:r w:rsidRPr="00EC52EE">
              <w:rPr>
                <w:rFonts w:ascii="Times New Roman" w:hAnsi="Times New Roman" w:cs="Times New Roman"/>
                <w:sz w:val="24"/>
                <w:szCs w:val="24"/>
              </w:rPr>
              <w:t>b).</w:t>
            </w:r>
          </w:p>
          <w:p w14:paraId="02B146CF" w14:textId="77777777" w:rsidR="0007002F" w:rsidRPr="00EC52EE" w:rsidRDefault="0007002F" w:rsidP="00D508AE">
            <w:pPr>
              <w:rPr>
                <w:rFonts w:ascii="Times New Roman" w:hAnsi="Times New Roman" w:cs="Times New Roman"/>
                <w:sz w:val="24"/>
                <w:szCs w:val="24"/>
              </w:rPr>
            </w:pPr>
          </w:p>
          <w:p w14:paraId="65F631FD" w14:textId="77777777" w:rsidR="0007002F" w:rsidRPr="00EC52EE" w:rsidRDefault="0007002F" w:rsidP="00D508AE">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proposes WAC 480-128(2)(f) be revised to state:</w:t>
            </w:r>
          </w:p>
          <w:p w14:paraId="30E898FF" w14:textId="77777777" w:rsidR="0007002F" w:rsidRPr="00EC52EE" w:rsidRDefault="0007002F" w:rsidP="00D508AE">
            <w:pPr>
              <w:rPr>
                <w:rFonts w:ascii="Times New Roman" w:hAnsi="Times New Roman" w:cs="Times New Roman"/>
                <w:sz w:val="24"/>
                <w:szCs w:val="24"/>
              </w:rPr>
            </w:pPr>
          </w:p>
          <w:p w14:paraId="08163D17" w14:textId="66423032" w:rsidR="0007002F" w:rsidRPr="00EC52EE" w:rsidRDefault="0007002F" w:rsidP="00D508AE">
            <w:pPr>
              <w:rPr>
                <w:rFonts w:ascii="Times New Roman" w:hAnsi="Times New Roman" w:cs="Times New Roman"/>
                <w:sz w:val="24"/>
                <w:szCs w:val="24"/>
              </w:rPr>
            </w:pPr>
            <w:r w:rsidRPr="00EC52EE">
              <w:rPr>
                <w:rFonts w:ascii="Times New Roman" w:hAnsi="Times New Roman" w:cs="Times New Roman"/>
                <w:sz w:val="24"/>
                <w:szCs w:val="24"/>
              </w:rPr>
              <w:t xml:space="preserve">The utility has determined a customer has used service prior to applying for service. The utility must charge the customer for service used in accordance with [remove: the utility’s filed tariff] </w:t>
            </w:r>
            <w:r w:rsidRPr="00EC52EE">
              <w:rPr>
                <w:rFonts w:ascii="Times New Roman" w:hAnsi="Times New Roman" w:cs="Times New Roman"/>
                <w:color w:val="FF0000"/>
                <w:sz w:val="24"/>
                <w:szCs w:val="24"/>
                <w:u w:val="single"/>
              </w:rPr>
              <w:t>WAC 480-100-178(5</w:t>
            </w:r>
            <w:proofErr w:type="gramStart"/>
            <w:r w:rsidRPr="00EC52EE">
              <w:rPr>
                <w:rFonts w:ascii="Times New Roman" w:hAnsi="Times New Roman" w:cs="Times New Roman"/>
                <w:color w:val="FF0000"/>
                <w:sz w:val="24"/>
                <w:szCs w:val="24"/>
                <w:u w:val="single"/>
              </w:rPr>
              <w:t>)(</w:t>
            </w:r>
            <w:proofErr w:type="gramEnd"/>
            <w:r w:rsidRPr="00EC52EE">
              <w:rPr>
                <w:rFonts w:ascii="Times New Roman" w:hAnsi="Times New Roman" w:cs="Times New Roman"/>
                <w:color w:val="FF0000"/>
                <w:sz w:val="24"/>
                <w:szCs w:val="24"/>
                <w:u w:val="single"/>
              </w:rPr>
              <w:t>b).</w:t>
            </w:r>
          </w:p>
        </w:tc>
        <w:tc>
          <w:tcPr>
            <w:tcW w:w="4248" w:type="dxa"/>
            <w:vMerge w:val="restart"/>
          </w:tcPr>
          <w:p w14:paraId="58326276" w14:textId="7254EE6A" w:rsidR="0007002F" w:rsidRPr="00EC52EE" w:rsidRDefault="0007002F" w:rsidP="00A23A1B">
            <w:pPr>
              <w:rPr>
                <w:rFonts w:ascii="Times New Roman" w:hAnsi="Times New Roman" w:cs="Times New Roman"/>
                <w:sz w:val="24"/>
                <w:szCs w:val="24"/>
              </w:rPr>
            </w:pPr>
            <w:r w:rsidRPr="00EC52EE">
              <w:rPr>
                <w:rFonts w:ascii="Times New Roman" w:hAnsi="Times New Roman" w:cs="Times New Roman"/>
                <w:sz w:val="24"/>
                <w:szCs w:val="24"/>
              </w:rPr>
              <w:t>Staff believes the proposed rules clearly delineate the timeframes allowed for corrected bills.</w:t>
            </w:r>
            <w:r>
              <w:rPr>
                <w:rFonts w:ascii="Times New Roman" w:hAnsi="Times New Roman" w:cs="Times New Roman"/>
                <w:sz w:val="24"/>
                <w:szCs w:val="24"/>
              </w:rPr>
              <w:t xml:space="preserve"> The proposed rules are not in conflict with WAC’s 480-90-128(2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f); and 480-100-128(2)(f).</w:t>
            </w:r>
          </w:p>
        </w:tc>
      </w:tr>
      <w:tr w:rsidR="0007002F" w:rsidRPr="00EC52EE" w14:paraId="38135E4A" w14:textId="77777777" w:rsidTr="00C2633A">
        <w:trPr>
          <w:cantSplit/>
          <w:trHeight w:val="1970"/>
        </w:trPr>
        <w:tc>
          <w:tcPr>
            <w:tcW w:w="1705" w:type="dxa"/>
            <w:vMerge/>
          </w:tcPr>
          <w:p w14:paraId="5171F843" w14:textId="77777777" w:rsidR="0007002F" w:rsidRPr="00EC52EE" w:rsidRDefault="0007002F" w:rsidP="000558EA">
            <w:pPr>
              <w:rPr>
                <w:rFonts w:ascii="Times New Roman" w:hAnsi="Times New Roman" w:cs="Times New Roman"/>
                <w:b/>
                <w:sz w:val="24"/>
                <w:szCs w:val="24"/>
              </w:rPr>
            </w:pPr>
          </w:p>
        </w:tc>
        <w:tc>
          <w:tcPr>
            <w:tcW w:w="1530" w:type="dxa"/>
          </w:tcPr>
          <w:p w14:paraId="1C4E0A1E" w14:textId="689BF5AB" w:rsidR="0007002F" w:rsidRDefault="0007002F" w:rsidP="000558EA">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p w14:paraId="3E094ACF" w14:textId="77777777" w:rsidR="0007002F" w:rsidRPr="00EC52EE" w:rsidRDefault="0007002F" w:rsidP="00D508AE">
            <w:pPr>
              <w:pStyle w:val="Default"/>
              <w:tabs>
                <w:tab w:val="left" w:pos="1440"/>
              </w:tabs>
              <w:ind w:left="360"/>
            </w:pPr>
            <w:proofErr w:type="spellStart"/>
            <w:r w:rsidRPr="00EC52EE">
              <w:t>NWNG</w:t>
            </w:r>
            <w:proofErr w:type="spellEnd"/>
            <w:r w:rsidRPr="00EC52EE">
              <w:t xml:space="preserve"> is also concerned that subjecting bill corrections for unassigned usage to the six-month limitation might be in conflict with WAC 480-90-128(2), which provides for disconnection of service without notice or without further notice, and states at (2)(f): </w:t>
            </w:r>
          </w:p>
          <w:p w14:paraId="0587C3AA" w14:textId="77777777" w:rsidR="0007002F" w:rsidRPr="00EC52EE" w:rsidRDefault="0007002F" w:rsidP="00D508AE">
            <w:pPr>
              <w:pStyle w:val="Default"/>
              <w:tabs>
                <w:tab w:val="left" w:pos="1440"/>
              </w:tabs>
              <w:ind w:left="360"/>
            </w:pPr>
          </w:p>
          <w:p w14:paraId="78E6EA53" w14:textId="446A09C7" w:rsidR="0007002F" w:rsidRPr="00EC52EE" w:rsidRDefault="0007002F" w:rsidP="00D508AE">
            <w:pPr>
              <w:rPr>
                <w:rFonts w:ascii="Times New Roman" w:hAnsi="Times New Roman" w:cs="Times New Roman"/>
                <w:sz w:val="24"/>
                <w:szCs w:val="24"/>
              </w:rPr>
            </w:pPr>
            <w:r w:rsidRPr="00EC52EE">
              <w:rPr>
                <w:i/>
              </w:rPr>
              <w:t>“The utility has determined a customer has used service prior to applying for service.  The utility must charge the customer for service used in accordance with the utility’s filed tariff.”</w:t>
            </w:r>
          </w:p>
        </w:tc>
        <w:tc>
          <w:tcPr>
            <w:tcW w:w="4248" w:type="dxa"/>
            <w:vMerge/>
          </w:tcPr>
          <w:p w14:paraId="4DB872A7" w14:textId="77777777" w:rsidR="0007002F" w:rsidRPr="00EC52EE" w:rsidRDefault="0007002F" w:rsidP="000558EA">
            <w:pPr>
              <w:rPr>
                <w:rFonts w:ascii="Times New Roman" w:hAnsi="Times New Roman" w:cs="Times New Roman"/>
                <w:sz w:val="24"/>
                <w:szCs w:val="24"/>
              </w:rPr>
            </w:pPr>
          </w:p>
        </w:tc>
      </w:tr>
      <w:tr w:rsidR="000558EA" w:rsidRPr="00EC52EE" w14:paraId="751F5EF2" w14:textId="77777777" w:rsidTr="00C2633A">
        <w:trPr>
          <w:cantSplit/>
          <w:trHeight w:val="2063"/>
        </w:trPr>
        <w:tc>
          <w:tcPr>
            <w:tcW w:w="1705" w:type="dxa"/>
          </w:tcPr>
          <w:p w14:paraId="751F5EEE" w14:textId="77777777" w:rsidR="000558EA" w:rsidRPr="00EC52EE" w:rsidRDefault="000558EA" w:rsidP="000558EA">
            <w:pPr>
              <w:rPr>
                <w:rFonts w:ascii="Times New Roman" w:hAnsi="Times New Roman" w:cs="Times New Roman"/>
                <w:b/>
                <w:sz w:val="24"/>
                <w:szCs w:val="24"/>
              </w:rPr>
            </w:pPr>
            <w:r w:rsidRPr="00EC52EE">
              <w:rPr>
                <w:rFonts w:ascii="Times New Roman" w:hAnsi="Times New Roman" w:cs="Times New Roman"/>
                <w:b/>
                <w:sz w:val="24"/>
                <w:szCs w:val="24"/>
              </w:rPr>
              <w:t>Need for System Changes and Training</w:t>
            </w:r>
          </w:p>
        </w:tc>
        <w:tc>
          <w:tcPr>
            <w:tcW w:w="1530" w:type="dxa"/>
          </w:tcPr>
          <w:p w14:paraId="751F5EEF" w14:textId="3A2FA6CE" w:rsidR="000558EA" w:rsidRPr="00EC52EE" w:rsidRDefault="000558EA" w:rsidP="000558EA">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p>
        </w:tc>
        <w:tc>
          <w:tcPr>
            <w:tcW w:w="7200" w:type="dxa"/>
          </w:tcPr>
          <w:p w14:paraId="227B2921" w14:textId="50D0AF68" w:rsidR="000558EA" w:rsidRPr="00EC52EE" w:rsidRDefault="00981E10" w:rsidP="000558EA">
            <w:pPr>
              <w:rPr>
                <w:rFonts w:ascii="Times New Roman" w:hAnsi="Times New Roman" w:cs="Times New Roman"/>
                <w:sz w:val="24"/>
                <w:szCs w:val="24"/>
              </w:rPr>
            </w:pPr>
            <w:r w:rsidRPr="00EC52EE">
              <w:rPr>
                <w:rFonts w:ascii="Times New Roman" w:hAnsi="Times New Roman" w:cs="Times New Roman"/>
                <w:sz w:val="24"/>
                <w:szCs w:val="24"/>
              </w:rPr>
              <w:t>The company believes the final rules will require changes to current business practices and processes. The company requests staff consider the system changes and training that utilities may need to complete when determining the schedule for implementation of the final requirements in this preceding.</w:t>
            </w:r>
          </w:p>
          <w:p w14:paraId="751F5EF0" w14:textId="5F347175" w:rsidR="000558EA" w:rsidRPr="00EC52EE" w:rsidRDefault="000558EA" w:rsidP="000558EA">
            <w:pPr>
              <w:rPr>
                <w:rFonts w:ascii="Times New Roman" w:hAnsi="Times New Roman" w:cs="Times New Roman"/>
                <w:sz w:val="24"/>
                <w:szCs w:val="24"/>
              </w:rPr>
            </w:pPr>
          </w:p>
        </w:tc>
        <w:tc>
          <w:tcPr>
            <w:tcW w:w="4248" w:type="dxa"/>
          </w:tcPr>
          <w:p w14:paraId="751F5EF1" w14:textId="511F0FF7" w:rsidR="000558EA" w:rsidRPr="00EC52EE" w:rsidRDefault="000558EA" w:rsidP="000558EA">
            <w:pPr>
              <w:rPr>
                <w:rFonts w:ascii="Times New Roman" w:hAnsi="Times New Roman" w:cs="Times New Roman"/>
                <w:sz w:val="24"/>
                <w:szCs w:val="24"/>
              </w:rPr>
            </w:pPr>
            <w:proofErr w:type="spellStart"/>
            <w:r w:rsidRPr="00EC52EE">
              <w:rPr>
                <w:rFonts w:ascii="Times New Roman" w:hAnsi="Times New Roman" w:cs="Times New Roman"/>
                <w:sz w:val="24"/>
                <w:szCs w:val="24"/>
              </w:rPr>
              <w:t>PPL</w:t>
            </w:r>
            <w:proofErr w:type="spellEnd"/>
            <w:r w:rsidRPr="00EC52EE">
              <w:rPr>
                <w:rFonts w:ascii="Times New Roman" w:hAnsi="Times New Roman" w:cs="Times New Roman"/>
                <w:sz w:val="24"/>
                <w:szCs w:val="24"/>
              </w:rPr>
              <w:t xml:space="preserve"> was the only company addressing a need for additional time for system changes and training. Staff believes the time for system changes and training would be minimal and should be addressed individually with each company. </w:t>
            </w:r>
          </w:p>
        </w:tc>
      </w:tr>
      <w:tr w:rsidR="000558EA" w:rsidRPr="00EC52EE" w14:paraId="45BDD02C" w14:textId="77777777" w:rsidTr="002B46DD">
        <w:trPr>
          <w:cantSplit/>
          <w:trHeight w:val="980"/>
        </w:trPr>
        <w:tc>
          <w:tcPr>
            <w:tcW w:w="1705" w:type="dxa"/>
            <w:vMerge w:val="restart"/>
          </w:tcPr>
          <w:p w14:paraId="0DE1B220" w14:textId="77777777" w:rsidR="000558EA" w:rsidRPr="00EC52EE" w:rsidRDefault="000558EA" w:rsidP="000558EA">
            <w:pPr>
              <w:rPr>
                <w:rFonts w:ascii="Times New Roman" w:hAnsi="Times New Roman" w:cs="Times New Roman"/>
                <w:b/>
                <w:sz w:val="24"/>
                <w:szCs w:val="24"/>
              </w:rPr>
            </w:pPr>
            <w:r w:rsidRPr="00EC52EE">
              <w:rPr>
                <w:rFonts w:ascii="Times New Roman" w:hAnsi="Times New Roman" w:cs="Times New Roman"/>
                <w:b/>
                <w:sz w:val="24"/>
                <w:szCs w:val="24"/>
              </w:rPr>
              <w:lastRenderedPageBreak/>
              <w:t>Response to Staff Question 1. Please provide the three most recent years of data regarding the number of corrected bills issued for under-billed amounts due to meter failure or malfunctions, or unassigned energy usage meters that exceeded six months in duration.</w:t>
            </w:r>
          </w:p>
          <w:p w14:paraId="1CFC4335" w14:textId="77777777" w:rsidR="000558EA" w:rsidRPr="00EC52EE" w:rsidRDefault="000558EA" w:rsidP="000558EA">
            <w:pPr>
              <w:rPr>
                <w:rFonts w:ascii="Times New Roman" w:hAnsi="Times New Roman" w:cs="Times New Roman"/>
                <w:b/>
                <w:sz w:val="24"/>
                <w:szCs w:val="24"/>
              </w:rPr>
            </w:pPr>
          </w:p>
        </w:tc>
        <w:tc>
          <w:tcPr>
            <w:tcW w:w="1530" w:type="dxa"/>
          </w:tcPr>
          <w:p w14:paraId="14AB1A01" w14:textId="1DE80772" w:rsidR="000558EA" w:rsidRDefault="000558EA" w:rsidP="000558EA">
            <w:pPr>
              <w:rPr>
                <w:rFonts w:ascii="Times New Roman" w:hAnsi="Times New Roman" w:cs="Times New Roman"/>
                <w:sz w:val="24"/>
                <w:szCs w:val="24"/>
              </w:rPr>
            </w:pPr>
            <w:proofErr w:type="spellStart"/>
            <w:r>
              <w:rPr>
                <w:rFonts w:ascii="Times New Roman" w:hAnsi="Times New Roman" w:cs="Times New Roman"/>
                <w:sz w:val="24"/>
                <w:szCs w:val="24"/>
              </w:rPr>
              <w:t>PPL</w:t>
            </w:r>
            <w:proofErr w:type="spellEnd"/>
          </w:p>
        </w:tc>
        <w:tc>
          <w:tcPr>
            <w:tcW w:w="7200" w:type="dxa"/>
          </w:tcPr>
          <w:p w14:paraId="1FE3E436" w14:textId="77777777" w:rsidR="000558EA" w:rsidRPr="00EC52EE" w:rsidRDefault="000558EA" w:rsidP="000558EA">
            <w:pPr>
              <w:rPr>
                <w:rFonts w:ascii="Times New Roman" w:hAnsi="Times New Roman" w:cs="Times New Roman"/>
                <w:sz w:val="24"/>
                <w:szCs w:val="24"/>
              </w:rPr>
            </w:pPr>
          </w:p>
          <w:tbl>
            <w:tblPr>
              <w:tblW w:w="8190" w:type="dxa"/>
              <w:tblInd w:w="720" w:type="dxa"/>
              <w:tblLayout w:type="fixed"/>
              <w:tblLook w:val="04A0" w:firstRow="1" w:lastRow="0" w:firstColumn="1" w:lastColumn="0" w:noHBand="0" w:noVBand="1"/>
            </w:tblPr>
            <w:tblGrid>
              <w:gridCol w:w="918"/>
              <w:gridCol w:w="1152"/>
              <w:gridCol w:w="1350"/>
              <w:gridCol w:w="1350"/>
              <w:gridCol w:w="1350"/>
              <w:gridCol w:w="2070"/>
            </w:tblGrid>
            <w:tr w:rsidR="000558EA" w:rsidRPr="00EC52EE" w14:paraId="74DD2770" w14:textId="77777777" w:rsidTr="00022224">
              <w:trPr>
                <w:gridAfter w:val="1"/>
                <w:wAfter w:w="480" w:type="dxa"/>
                <w:trHeight w:val="333"/>
              </w:trPr>
              <w:tc>
                <w:tcPr>
                  <w:tcW w:w="918" w:type="dxa"/>
                  <w:tcBorders>
                    <w:top w:val="nil"/>
                    <w:left w:val="nil"/>
                    <w:bottom w:val="single" w:sz="4" w:space="0" w:color="auto"/>
                    <w:right w:val="single" w:sz="4" w:space="0" w:color="auto"/>
                  </w:tcBorders>
                  <w:noWrap/>
                  <w:vAlign w:val="bottom"/>
                </w:tcPr>
                <w:p w14:paraId="04B6BCC5" w14:textId="77777777" w:rsidR="000558EA" w:rsidRPr="000F244E" w:rsidRDefault="000558EA" w:rsidP="00A05C26">
                  <w:pPr>
                    <w:framePr w:hSpace="180" w:wrap="around" w:hAnchor="margin" w:y="-720"/>
                    <w:rPr>
                      <w:rFonts w:ascii="Times New Roman" w:eastAsia="Times New Roman" w:hAnsi="Times New Roman" w:cs="Times New Roman"/>
                      <w:color w:val="000000"/>
                      <w:szCs w:val="24"/>
                    </w:rPr>
                  </w:pPr>
                </w:p>
              </w:tc>
              <w:tc>
                <w:tcPr>
                  <w:tcW w:w="2502" w:type="dxa"/>
                  <w:gridSpan w:val="2"/>
                  <w:tcBorders>
                    <w:top w:val="single" w:sz="4" w:space="0" w:color="auto"/>
                    <w:left w:val="nil"/>
                    <w:bottom w:val="single" w:sz="4" w:space="0" w:color="auto"/>
                    <w:right w:val="single" w:sz="4" w:space="0" w:color="auto"/>
                  </w:tcBorders>
                  <w:vAlign w:val="bottom"/>
                  <w:hideMark/>
                </w:tcPr>
                <w:p w14:paraId="71747A2D" w14:textId="77777777" w:rsidR="000558EA" w:rsidRPr="000F244E" w:rsidRDefault="000558EA" w:rsidP="00A05C26">
                  <w:pPr>
                    <w:framePr w:hSpace="180" w:wrap="around" w:hAnchor="margin" w:y="-720"/>
                    <w:jc w:val="center"/>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Residential</w:t>
                  </w:r>
                </w:p>
              </w:tc>
              <w:tc>
                <w:tcPr>
                  <w:tcW w:w="2700" w:type="dxa"/>
                  <w:gridSpan w:val="2"/>
                  <w:tcBorders>
                    <w:top w:val="single" w:sz="4" w:space="0" w:color="auto"/>
                    <w:left w:val="nil"/>
                    <w:bottom w:val="single" w:sz="4" w:space="0" w:color="auto"/>
                    <w:right w:val="single" w:sz="4" w:space="0" w:color="auto"/>
                  </w:tcBorders>
                  <w:vAlign w:val="bottom"/>
                  <w:hideMark/>
                </w:tcPr>
                <w:p w14:paraId="1C7FFB6C" w14:textId="77777777" w:rsidR="000558EA" w:rsidRPr="00FB295C" w:rsidRDefault="000558EA" w:rsidP="00A05C26">
                  <w:pPr>
                    <w:framePr w:hSpace="180" w:wrap="around" w:hAnchor="margin" w:y="-720"/>
                    <w:jc w:val="center"/>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Non Residential</w:t>
                  </w:r>
                </w:p>
              </w:tc>
            </w:tr>
            <w:tr w:rsidR="000558EA" w:rsidRPr="00EC52EE" w14:paraId="396A2398" w14:textId="77777777" w:rsidTr="00022224">
              <w:trPr>
                <w:gridAfter w:val="1"/>
                <w:wAfter w:w="480" w:type="dxa"/>
                <w:trHeight w:val="900"/>
              </w:trPr>
              <w:tc>
                <w:tcPr>
                  <w:tcW w:w="918" w:type="dxa"/>
                  <w:tcBorders>
                    <w:top w:val="single" w:sz="4" w:space="0" w:color="auto"/>
                    <w:left w:val="single" w:sz="4" w:space="0" w:color="auto"/>
                    <w:bottom w:val="nil"/>
                    <w:right w:val="single" w:sz="4" w:space="0" w:color="auto"/>
                  </w:tcBorders>
                  <w:noWrap/>
                  <w:vAlign w:val="bottom"/>
                  <w:hideMark/>
                </w:tcPr>
                <w:p w14:paraId="633EDF48" w14:textId="77777777" w:rsidR="000558EA" w:rsidRPr="00EC52EE" w:rsidRDefault="000558EA" w:rsidP="00A05C26">
                  <w:pPr>
                    <w:framePr w:hSpace="180" w:wrap="around" w:hAnchor="margin" w:y="-720"/>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 Year</w:t>
                  </w:r>
                </w:p>
              </w:tc>
              <w:tc>
                <w:tcPr>
                  <w:tcW w:w="1152" w:type="dxa"/>
                  <w:tcBorders>
                    <w:top w:val="nil"/>
                    <w:left w:val="nil"/>
                    <w:bottom w:val="single" w:sz="4" w:space="0" w:color="auto"/>
                    <w:right w:val="single" w:sz="4" w:space="0" w:color="auto"/>
                  </w:tcBorders>
                  <w:vAlign w:val="bottom"/>
                  <w:hideMark/>
                </w:tcPr>
                <w:p w14:paraId="7E08C710" w14:textId="77777777" w:rsidR="000558EA" w:rsidRPr="000F244E" w:rsidRDefault="000558EA" w:rsidP="00A05C26">
                  <w:pPr>
                    <w:framePr w:hSpace="180" w:wrap="around" w:hAnchor="margin" w:y="-720"/>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Accounts corrected more than 6 months</w:t>
                  </w:r>
                </w:p>
              </w:tc>
              <w:tc>
                <w:tcPr>
                  <w:tcW w:w="1350" w:type="dxa"/>
                  <w:tcBorders>
                    <w:top w:val="nil"/>
                    <w:left w:val="nil"/>
                    <w:bottom w:val="single" w:sz="4" w:space="0" w:color="auto"/>
                    <w:right w:val="single" w:sz="4" w:space="0" w:color="auto"/>
                  </w:tcBorders>
                  <w:vAlign w:val="bottom"/>
                  <w:hideMark/>
                </w:tcPr>
                <w:p w14:paraId="31C99EF5" w14:textId="77777777" w:rsidR="000558EA" w:rsidRPr="00FB295C" w:rsidRDefault="000558EA" w:rsidP="00A05C26">
                  <w:pPr>
                    <w:framePr w:hSpace="180" w:wrap="around" w:hAnchor="margin" w:y="-720"/>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Total amount billed in excess of 6 months</w:t>
                  </w:r>
                </w:p>
              </w:tc>
              <w:tc>
                <w:tcPr>
                  <w:tcW w:w="1350" w:type="dxa"/>
                  <w:tcBorders>
                    <w:top w:val="nil"/>
                    <w:left w:val="nil"/>
                    <w:bottom w:val="single" w:sz="4" w:space="0" w:color="auto"/>
                    <w:right w:val="single" w:sz="4" w:space="0" w:color="auto"/>
                  </w:tcBorders>
                  <w:vAlign w:val="bottom"/>
                  <w:hideMark/>
                </w:tcPr>
                <w:p w14:paraId="1EE3F772" w14:textId="77777777" w:rsidR="000558EA" w:rsidRPr="00FB295C" w:rsidRDefault="000558EA" w:rsidP="00A05C26">
                  <w:pPr>
                    <w:framePr w:hSpace="180" w:wrap="around" w:hAnchor="margin" w:y="-720"/>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Accounts corrected more than 6 months</w:t>
                  </w:r>
                </w:p>
              </w:tc>
              <w:tc>
                <w:tcPr>
                  <w:tcW w:w="1350" w:type="dxa"/>
                  <w:tcBorders>
                    <w:top w:val="nil"/>
                    <w:left w:val="nil"/>
                    <w:bottom w:val="single" w:sz="4" w:space="0" w:color="auto"/>
                    <w:right w:val="single" w:sz="4" w:space="0" w:color="auto"/>
                  </w:tcBorders>
                  <w:vAlign w:val="bottom"/>
                  <w:hideMark/>
                </w:tcPr>
                <w:p w14:paraId="2A988D1C" w14:textId="77777777" w:rsidR="000558EA" w:rsidRPr="00FB295C" w:rsidRDefault="000558EA" w:rsidP="00A05C26">
                  <w:pPr>
                    <w:framePr w:hSpace="180" w:wrap="around" w:hAnchor="margin" w:y="-720"/>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Total amount billed in excess of 6 months</w:t>
                  </w:r>
                </w:p>
              </w:tc>
            </w:tr>
            <w:tr w:rsidR="000558EA" w:rsidRPr="00EC52EE" w14:paraId="6FAE70A6" w14:textId="77777777" w:rsidTr="00022224">
              <w:trPr>
                <w:gridAfter w:val="1"/>
                <w:wAfter w:w="480" w:type="dxa"/>
                <w:trHeight w:val="300"/>
              </w:trPr>
              <w:tc>
                <w:tcPr>
                  <w:tcW w:w="918" w:type="dxa"/>
                  <w:tcBorders>
                    <w:top w:val="nil"/>
                    <w:left w:val="single" w:sz="4" w:space="0" w:color="auto"/>
                    <w:bottom w:val="single" w:sz="4" w:space="0" w:color="auto"/>
                    <w:right w:val="single" w:sz="4" w:space="0" w:color="auto"/>
                  </w:tcBorders>
                  <w:noWrap/>
                  <w:vAlign w:val="bottom"/>
                  <w:hideMark/>
                </w:tcPr>
                <w:p w14:paraId="37E44F71" w14:textId="77777777" w:rsidR="000558EA" w:rsidRPr="00EC52EE" w:rsidRDefault="000558EA"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2012</w:t>
                  </w:r>
                </w:p>
              </w:tc>
              <w:tc>
                <w:tcPr>
                  <w:tcW w:w="1152" w:type="dxa"/>
                  <w:tcBorders>
                    <w:top w:val="nil"/>
                    <w:left w:val="nil"/>
                    <w:bottom w:val="single" w:sz="4" w:space="0" w:color="auto"/>
                    <w:right w:val="single" w:sz="4" w:space="0" w:color="auto"/>
                  </w:tcBorders>
                  <w:noWrap/>
                  <w:vAlign w:val="bottom"/>
                  <w:hideMark/>
                </w:tcPr>
                <w:p w14:paraId="4CC877FE" w14:textId="77777777" w:rsidR="000558EA" w:rsidRPr="000F244E" w:rsidRDefault="000558EA"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4</w:t>
                  </w:r>
                </w:p>
              </w:tc>
              <w:tc>
                <w:tcPr>
                  <w:tcW w:w="1350" w:type="dxa"/>
                  <w:tcBorders>
                    <w:top w:val="nil"/>
                    <w:left w:val="nil"/>
                    <w:bottom w:val="single" w:sz="4" w:space="0" w:color="auto"/>
                    <w:right w:val="single" w:sz="4" w:space="0" w:color="auto"/>
                  </w:tcBorders>
                  <w:noWrap/>
                  <w:vAlign w:val="bottom"/>
                  <w:hideMark/>
                </w:tcPr>
                <w:p w14:paraId="41B0323A" w14:textId="77777777" w:rsidR="000558EA" w:rsidRPr="000F244E" w:rsidRDefault="000558EA"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$745.59</w:t>
                  </w:r>
                </w:p>
              </w:tc>
              <w:tc>
                <w:tcPr>
                  <w:tcW w:w="1350" w:type="dxa"/>
                  <w:tcBorders>
                    <w:top w:val="nil"/>
                    <w:left w:val="nil"/>
                    <w:bottom w:val="single" w:sz="4" w:space="0" w:color="auto"/>
                    <w:right w:val="single" w:sz="4" w:space="0" w:color="auto"/>
                  </w:tcBorders>
                  <w:noWrap/>
                  <w:vAlign w:val="bottom"/>
                  <w:hideMark/>
                </w:tcPr>
                <w:p w14:paraId="1F83A494" w14:textId="77777777" w:rsidR="000558EA" w:rsidRPr="00FB295C" w:rsidRDefault="000558EA"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0</w:t>
                  </w:r>
                </w:p>
              </w:tc>
              <w:tc>
                <w:tcPr>
                  <w:tcW w:w="1350" w:type="dxa"/>
                  <w:tcBorders>
                    <w:top w:val="nil"/>
                    <w:left w:val="nil"/>
                    <w:bottom w:val="single" w:sz="4" w:space="0" w:color="auto"/>
                    <w:right w:val="single" w:sz="4" w:space="0" w:color="auto"/>
                  </w:tcBorders>
                  <w:noWrap/>
                  <w:vAlign w:val="bottom"/>
                  <w:hideMark/>
                </w:tcPr>
                <w:p w14:paraId="184D7C83" w14:textId="77777777" w:rsidR="000558EA" w:rsidRPr="00FB295C" w:rsidRDefault="000558EA"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$0.00</w:t>
                  </w:r>
                </w:p>
              </w:tc>
            </w:tr>
            <w:tr w:rsidR="000558EA" w:rsidRPr="00EC52EE" w14:paraId="4AAB21C5" w14:textId="77777777" w:rsidTr="00022224">
              <w:trPr>
                <w:gridAfter w:val="1"/>
                <w:wAfter w:w="480" w:type="dxa"/>
                <w:trHeight w:val="300"/>
              </w:trPr>
              <w:tc>
                <w:tcPr>
                  <w:tcW w:w="918" w:type="dxa"/>
                  <w:tcBorders>
                    <w:top w:val="nil"/>
                    <w:left w:val="single" w:sz="4" w:space="0" w:color="auto"/>
                    <w:bottom w:val="single" w:sz="4" w:space="0" w:color="auto"/>
                    <w:right w:val="single" w:sz="4" w:space="0" w:color="auto"/>
                  </w:tcBorders>
                  <w:noWrap/>
                  <w:vAlign w:val="bottom"/>
                  <w:hideMark/>
                </w:tcPr>
                <w:p w14:paraId="12247FF3" w14:textId="77777777" w:rsidR="000558EA" w:rsidRPr="00EC52EE" w:rsidRDefault="000558EA"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2013</w:t>
                  </w:r>
                </w:p>
              </w:tc>
              <w:tc>
                <w:tcPr>
                  <w:tcW w:w="1152" w:type="dxa"/>
                  <w:tcBorders>
                    <w:top w:val="nil"/>
                    <w:left w:val="nil"/>
                    <w:bottom w:val="single" w:sz="4" w:space="0" w:color="auto"/>
                    <w:right w:val="single" w:sz="4" w:space="0" w:color="auto"/>
                  </w:tcBorders>
                  <w:noWrap/>
                  <w:vAlign w:val="bottom"/>
                  <w:hideMark/>
                </w:tcPr>
                <w:p w14:paraId="1D4D59A2" w14:textId="77777777" w:rsidR="000558EA" w:rsidRPr="000F244E" w:rsidRDefault="000558EA"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2</w:t>
                  </w:r>
                </w:p>
              </w:tc>
              <w:tc>
                <w:tcPr>
                  <w:tcW w:w="1350" w:type="dxa"/>
                  <w:tcBorders>
                    <w:top w:val="nil"/>
                    <w:left w:val="nil"/>
                    <w:bottom w:val="single" w:sz="4" w:space="0" w:color="auto"/>
                    <w:right w:val="single" w:sz="4" w:space="0" w:color="auto"/>
                  </w:tcBorders>
                  <w:noWrap/>
                  <w:vAlign w:val="bottom"/>
                  <w:hideMark/>
                </w:tcPr>
                <w:p w14:paraId="3B7452D9" w14:textId="77777777" w:rsidR="000558EA" w:rsidRPr="000F244E" w:rsidRDefault="000558EA"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$1,436.50</w:t>
                  </w:r>
                </w:p>
              </w:tc>
              <w:tc>
                <w:tcPr>
                  <w:tcW w:w="1350" w:type="dxa"/>
                  <w:tcBorders>
                    <w:top w:val="nil"/>
                    <w:left w:val="nil"/>
                    <w:bottom w:val="single" w:sz="4" w:space="0" w:color="auto"/>
                    <w:right w:val="single" w:sz="4" w:space="0" w:color="auto"/>
                  </w:tcBorders>
                  <w:noWrap/>
                  <w:vAlign w:val="bottom"/>
                  <w:hideMark/>
                </w:tcPr>
                <w:p w14:paraId="789B351B" w14:textId="77777777" w:rsidR="000558EA" w:rsidRPr="00FB295C" w:rsidRDefault="000558EA"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0</w:t>
                  </w:r>
                </w:p>
              </w:tc>
              <w:tc>
                <w:tcPr>
                  <w:tcW w:w="1350" w:type="dxa"/>
                  <w:tcBorders>
                    <w:top w:val="nil"/>
                    <w:left w:val="nil"/>
                    <w:bottom w:val="single" w:sz="4" w:space="0" w:color="auto"/>
                    <w:right w:val="single" w:sz="4" w:space="0" w:color="auto"/>
                  </w:tcBorders>
                  <w:noWrap/>
                  <w:vAlign w:val="bottom"/>
                  <w:hideMark/>
                </w:tcPr>
                <w:p w14:paraId="75514AAF" w14:textId="77777777" w:rsidR="000558EA" w:rsidRPr="00FB295C" w:rsidRDefault="000558EA"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$0.00</w:t>
                  </w:r>
                </w:p>
              </w:tc>
            </w:tr>
            <w:tr w:rsidR="000558EA" w:rsidRPr="00EC52EE" w14:paraId="3E5FBDF1" w14:textId="77777777" w:rsidTr="00022224">
              <w:trPr>
                <w:gridAfter w:val="1"/>
                <w:wAfter w:w="480" w:type="dxa"/>
                <w:trHeight w:val="300"/>
              </w:trPr>
              <w:tc>
                <w:tcPr>
                  <w:tcW w:w="918" w:type="dxa"/>
                  <w:tcBorders>
                    <w:top w:val="nil"/>
                    <w:left w:val="single" w:sz="4" w:space="0" w:color="auto"/>
                    <w:bottom w:val="single" w:sz="4" w:space="0" w:color="auto"/>
                    <w:right w:val="single" w:sz="4" w:space="0" w:color="auto"/>
                  </w:tcBorders>
                  <w:noWrap/>
                  <w:vAlign w:val="bottom"/>
                  <w:hideMark/>
                </w:tcPr>
                <w:p w14:paraId="223B68B2" w14:textId="77777777" w:rsidR="000558EA" w:rsidRPr="00EC52EE" w:rsidRDefault="000558EA"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2014</w:t>
                  </w:r>
                </w:p>
              </w:tc>
              <w:tc>
                <w:tcPr>
                  <w:tcW w:w="1152" w:type="dxa"/>
                  <w:tcBorders>
                    <w:top w:val="nil"/>
                    <w:left w:val="nil"/>
                    <w:bottom w:val="single" w:sz="4" w:space="0" w:color="auto"/>
                    <w:right w:val="single" w:sz="4" w:space="0" w:color="auto"/>
                  </w:tcBorders>
                  <w:noWrap/>
                  <w:vAlign w:val="bottom"/>
                  <w:hideMark/>
                </w:tcPr>
                <w:p w14:paraId="5C2C3E3E" w14:textId="77777777" w:rsidR="000558EA" w:rsidRPr="000F244E" w:rsidRDefault="000558EA"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1</w:t>
                  </w:r>
                </w:p>
              </w:tc>
              <w:tc>
                <w:tcPr>
                  <w:tcW w:w="1350" w:type="dxa"/>
                  <w:tcBorders>
                    <w:top w:val="nil"/>
                    <w:left w:val="nil"/>
                    <w:bottom w:val="single" w:sz="4" w:space="0" w:color="auto"/>
                    <w:right w:val="single" w:sz="4" w:space="0" w:color="auto"/>
                  </w:tcBorders>
                  <w:noWrap/>
                  <w:vAlign w:val="bottom"/>
                  <w:hideMark/>
                </w:tcPr>
                <w:p w14:paraId="285CB89A" w14:textId="77777777" w:rsidR="000558EA" w:rsidRPr="000F244E" w:rsidRDefault="000558EA"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$846.66</w:t>
                  </w:r>
                </w:p>
              </w:tc>
              <w:tc>
                <w:tcPr>
                  <w:tcW w:w="1350" w:type="dxa"/>
                  <w:tcBorders>
                    <w:top w:val="nil"/>
                    <w:left w:val="nil"/>
                    <w:bottom w:val="single" w:sz="4" w:space="0" w:color="auto"/>
                    <w:right w:val="single" w:sz="4" w:space="0" w:color="auto"/>
                  </w:tcBorders>
                  <w:noWrap/>
                  <w:vAlign w:val="bottom"/>
                  <w:hideMark/>
                </w:tcPr>
                <w:p w14:paraId="0822AAE4" w14:textId="77777777" w:rsidR="000558EA" w:rsidRPr="00FB295C" w:rsidRDefault="000558EA"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2</w:t>
                  </w:r>
                </w:p>
              </w:tc>
              <w:tc>
                <w:tcPr>
                  <w:tcW w:w="1350" w:type="dxa"/>
                  <w:tcBorders>
                    <w:top w:val="nil"/>
                    <w:left w:val="nil"/>
                    <w:bottom w:val="single" w:sz="4" w:space="0" w:color="auto"/>
                    <w:right w:val="single" w:sz="4" w:space="0" w:color="auto"/>
                  </w:tcBorders>
                  <w:noWrap/>
                  <w:vAlign w:val="bottom"/>
                  <w:hideMark/>
                </w:tcPr>
                <w:p w14:paraId="3502901F" w14:textId="77777777" w:rsidR="000558EA" w:rsidRPr="00FB295C" w:rsidRDefault="000558EA"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$841.59</w:t>
                  </w:r>
                </w:p>
              </w:tc>
            </w:tr>
            <w:tr w:rsidR="000558EA" w:rsidRPr="00EC52EE" w14:paraId="5F02D8AC" w14:textId="77777777" w:rsidTr="00022224">
              <w:trPr>
                <w:trHeight w:val="300"/>
              </w:trPr>
              <w:tc>
                <w:tcPr>
                  <w:tcW w:w="8190" w:type="dxa"/>
                  <w:gridSpan w:val="6"/>
                  <w:tcBorders>
                    <w:top w:val="single" w:sz="4" w:space="0" w:color="auto"/>
                    <w:left w:val="nil"/>
                    <w:bottom w:val="nil"/>
                    <w:right w:val="nil"/>
                  </w:tcBorders>
                  <w:noWrap/>
                  <w:vAlign w:val="bottom"/>
                  <w:hideMark/>
                </w:tcPr>
                <w:p w14:paraId="7A06A7BB" w14:textId="77777777" w:rsidR="000558EA" w:rsidRPr="00EC52EE" w:rsidRDefault="000558EA" w:rsidP="00A05C26">
                  <w:pPr>
                    <w:framePr w:hSpace="180" w:wrap="around" w:hAnchor="margin" w:y="-720"/>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 xml:space="preserve">Adjustments due to bankruptcy and charges/fees waived are not </w:t>
                  </w:r>
                </w:p>
                <w:p w14:paraId="6C5DA153" w14:textId="77777777" w:rsidR="000558EA" w:rsidRPr="000F244E" w:rsidRDefault="000558EA" w:rsidP="00A05C26">
                  <w:pPr>
                    <w:framePr w:hSpace="180" w:wrap="around" w:hAnchor="margin" w:y="-720"/>
                    <w:rPr>
                      <w:rFonts w:ascii="Times New Roman" w:eastAsia="Times New Roman" w:hAnsi="Times New Roman" w:cs="Times New Roman"/>
                      <w:color w:val="000000"/>
                      <w:szCs w:val="24"/>
                    </w:rPr>
                  </w:pPr>
                  <w:proofErr w:type="gramStart"/>
                  <w:r w:rsidRPr="000F244E">
                    <w:rPr>
                      <w:rFonts w:ascii="Times New Roman" w:eastAsia="Times New Roman" w:hAnsi="Times New Roman" w:cs="Times New Roman"/>
                      <w:color w:val="000000"/>
                      <w:szCs w:val="24"/>
                    </w:rPr>
                    <w:t>included</w:t>
                  </w:r>
                  <w:proofErr w:type="gramEnd"/>
                  <w:r w:rsidRPr="000F244E">
                    <w:rPr>
                      <w:rFonts w:ascii="Times New Roman" w:eastAsia="Times New Roman" w:hAnsi="Times New Roman" w:cs="Times New Roman"/>
                      <w:color w:val="000000"/>
                      <w:szCs w:val="24"/>
                    </w:rPr>
                    <w:t>.</w:t>
                  </w:r>
                </w:p>
              </w:tc>
            </w:tr>
          </w:tbl>
          <w:p w14:paraId="0B3F3181" w14:textId="77777777" w:rsidR="000558EA" w:rsidRPr="00EC52EE" w:rsidRDefault="000558EA" w:rsidP="000558EA">
            <w:pPr>
              <w:rPr>
                <w:rFonts w:ascii="Times New Roman" w:hAnsi="Times New Roman" w:cs="Times New Roman"/>
                <w:sz w:val="24"/>
                <w:szCs w:val="24"/>
              </w:rPr>
            </w:pPr>
          </w:p>
          <w:p w14:paraId="125ACE60" w14:textId="77777777" w:rsidR="000558EA" w:rsidRPr="00EC52EE" w:rsidRDefault="000558EA" w:rsidP="000558EA">
            <w:pPr>
              <w:rPr>
                <w:rFonts w:ascii="Times New Roman" w:hAnsi="Times New Roman" w:cs="Times New Roman"/>
                <w:sz w:val="24"/>
                <w:szCs w:val="24"/>
              </w:rPr>
            </w:pPr>
          </w:p>
          <w:p w14:paraId="40ABE84E" w14:textId="77777777" w:rsidR="000558EA" w:rsidRPr="00EC52EE" w:rsidRDefault="000558EA" w:rsidP="000558EA">
            <w:pPr>
              <w:rPr>
                <w:rFonts w:ascii="Times New Roman" w:hAnsi="Times New Roman" w:cs="Times New Roman"/>
                <w:sz w:val="24"/>
                <w:szCs w:val="24"/>
              </w:rPr>
            </w:pPr>
          </w:p>
          <w:tbl>
            <w:tblPr>
              <w:tblW w:w="3060" w:type="dxa"/>
              <w:tblInd w:w="712" w:type="dxa"/>
              <w:tblLayout w:type="fixed"/>
              <w:tblLook w:val="04A0" w:firstRow="1" w:lastRow="0" w:firstColumn="1" w:lastColumn="0" w:noHBand="0" w:noVBand="1"/>
            </w:tblPr>
            <w:tblGrid>
              <w:gridCol w:w="900"/>
              <w:gridCol w:w="2160"/>
            </w:tblGrid>
            <w:tr w:rsidR="000558EA" w:rsidRPr="00EC52EE" w14:paraId="3E443E69" w14:textId="77777777" w:rsidTr="00022224">
              <w:trPr>
                <w:trHeight w:val="900"/>
              </w:trPr>
              <w:tc>
                <w:tcPr>
                  <w:tcW w:w="900" w:type="dxa"/>
                  <w:tcBorders>
                    <w:top w:val="single" w:sz="4" w:space="0" w:color="auto"/>
                    <w:left w:val="single" w:sz="4" w:space="0" w:color="auto"/>
                    <w:bottom w:val="nil"/>
                    <w:right w:val="single" w:sz="4" w:space="0" w:color="auto"/>
                  </w:tcBorders>
                  <w:noWrap/>
                  <w:vAlign w:val="bottom"/>
                  <w:hideMark/>
                </w:tcPr>
                <w:p w14:paraId="1DFBD15A" w14:textId="77777777" w:rsidR="000558EA" w:rsidRPr="000F244E" w:rsidRDefault="000558EA" w:rsidP="00A05C26">
                  <w:pPr>
                    <w:framePr w:hSpace="180" w:wrap="around" w:hAnchor="margin" w:y="-720"/>
                    <w:spacing w:line="254" w:lineRule="auto"/>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 Year</w:t>
                  </w:r>
                </w:p>
              </w:tc>
              <w:tc>
                <w:tcPr>
                  <w:tcW w:w="2160" w:type="dxa"/>
                  <w:tcBorders>
                    <w:top w:val="single" w:sz="4" w:space="0" w:color="auto"/>
                    <w:left w:val="nil"/>
                    <w:bottom w:val="single" w:sz="4" w:space="0" w:color="auto"/>
                    <w:right w:val="single" w:sz="4" w:space="0" w:color="auto"/>
                  </w:tcBorders>
                  <w:noWrap/>
                  <w:vAlign w:val="bottom"/>
                  <w:hideMark/>
                </w:tcPr>
                <w:p w14:paraId="609B3B71" w14:textId="77777777" w:rsidR="000558EA" w:rsidRPr="000F244E" w:rsidRDefault="000558EA" w:rsidP="00A05C26">
                  <w:pPr>
                    <w:framePr w:hSpace="180" w:wrap="around" w:hAnchor="margin" w:y="-720"/>
                    <w:spacing w:line="254" w:lineRule="auto"/>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Total Washington Revenue</w:t>
                  </w:r>
                </w:p>
              </w:tc>
            </w:tr>
            <w:tr w:rsidR="000558EA" w:rsidRPr="00EC52EE" w14:paraId="3907B4B2" w14:textId="77777777" w:rsidTr="00022224">
              <w:trPr>
                <w:trHeight w:val="300"/>
              </w:trPr>
              <w:tc>
                <w:tcPr>
                  <w:tcW w:w="900" w:type="dxa"/>
                  <w:tcBorders>
                    <w:top w:val="nil"/>
                    <w:left w:val="single" w:sz="4" w:space="0" w:color="auto"/>
                    <w:bottom w:val="single" w:sz="4" w:space="0" w:color="auto"/>
                    <w:right w:val="single" w:sz="4" w:space="0" w:color="auto"/>
                  </w:tcBorders>
                  <w:noWrap/>
                  <w:vAlign w:val="bottom"/>
                  <w:hideMark/>
                </w:tcPr>
                <w:p w14:paraId="5B1B0C3F" w14:textId="77777777" w:rsidR="000558EA" w:rsidRPr="00EC52EE" w:rsidRDefault="000558EA" w:rsidP="00A05C26">
                  <w:pPr>
                    <w:framePr w:hSpace="180" w:wrap="around" w:hAnchor="margin" w:y="-720"/>
                    <w:spacing w:line="254" w:lineRule="auto"/>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2012</w:t>
                  </w:r>
                </w:p>
              </w:tc>
              <w:tc>
                <w:tcPr>
                  <w:tcW w:w="2160" w:type="dxa"/>
                  <w:tcBorders>
                    <w:top w:val="single" w:sz="4" w:space="0" w:color="auto"/>
                    <w:left w:val="nil"/>
                    <w:bottom w:val="single" w:sz="4" w:space="0" w:color="auto"/>
                    <w:right w:val="single" w:sz="4" w:space="0" w:color="auto"/>
                  </w:tcBorders>
                  <w:noWrap/>
                  <w:vAlign w:val="bottom"/>
                  <w:hideMark/>
                </w:tcPr>
                <w:p w14:paraId="37B1BF61" w14:textId="77777777" w:rsidR="000558EA" w:rsidRPr="000F244E" w:rsidRDefault="000558EA" w:rsidP="00A05C26">
                  <w:pPr>
                    <w:framePr w:hSpace="180" w:wrap="around" w:hAnchor="margin" w:y="-720"/>
                    <w:spacing w:line="254" w:lineRule="auto"/>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$302,511,323.12</w:t>
                  </w:r>
                </w:p>
              </w:tc>
            </w:tr>
            <w:tr w:rsidR="000558EA" w:rsidRPr="00EC52EE" w14:paraId="3B670B06" w14:textId="77777777" w:rsidTr="00022224">
              <w:trPr>
                <w:trHeight w:val="300"/>
              </w:trPr>
              <w:tc>
                <w:tcPr>
                  <w:tcW w:w="900" w:type="dxa"/>
                  <w:tcBorders>
                    <w:top w:val="nil"/>
                    <w:left w:val="single" w:sz="4" w:space="0" w:color="auto"/>
                    <w:bottom w:val="single" w:sz="4" w:space="0" w:color="auto"/>
                    <w:right w:val="single" w:sz="4" w:space="0" w:color="auto"/>
                  </w:tcBorders>
                  <w:noWrap/>
                  <w:vAlign w:val="bottom"/>
                  <w:hideMark/>
                </w:tcPr>
                <w:p w14:paraId="77ABDCF0" w14:textId="77777777" w:rsidR="000558EA" w:rsidRPr="00EC52EE" w:rsidRDefault="000558EA" w:rsidP="00A05C26">
                  <w:pPr>
                    <w:framePr w:hSpace="180" w:wrap="around" w:hAnchor="margin" w:y="-720"/>
                    <w:spacing w:line="254" w:lineRule="auto"/>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2013</w:t>
                  </w:r>
                </w:p>
              </w:tc>
              <w:tc>
                <w:tcPr>
                  <w:tcW w:w="2160" w:type="dxa"/>
                  <w:tcBorders>
                    <w:top w:val="single" w:sz="4" w:space="0" w:color="auto"/>
                    <w:left w:val="nil"/>
                    <w:bottom w:val="single" w:sz="4" w:space="0" w:color="auto"/>
                    <w:right w:val="single" w:sz="4" w:space="0" w:color="auto"/>
                  </w:tcBorders>
                  <w:noWrap/>
                  <w:vAlign w:val="bottom"/>
                  <w:hideMark/>
                </w:tcPr>
                <w:p w14:paraId="1747DFF2" w14:textId="77777777" w:rsidR="000558EA" w:rsidRPr="000F244E" w:rsidRDefault="000558EA" w:rsidP="00A05C26">
                  <w:pPr>
                    <w:framePr w:hSpace="180" w:wrap="around" w:hAnchor="margin" w:y="-720"/>
                    <w:spacing w:line="254" w:lineRule="auto"/>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$313,273,892.31</w:t>
                  </w:r>
                </w:p>
              </w:tc>
            </w:tr>
            <w:tr w:rsidR="000558EA" w:rsidRPr="00EC52EE" w14:paraId="5F67CCA4" w14:textId="77777777" w:rsidTr="00022224">
              <w:trPr>
                <w:trHeight w:val="300"/>
              </w:trPr>
              <w:tc>
                <w:tcPr>
                  <w:tcW w:w="900" w:type="dxa"/>
                  <w:tcBorders>
                    <w:top w:val="nil"/>
                    <w:left w:val="single" w:sz="4" w:space="0" w:color="auto"/>
                    <w:bottom w:val="single" w:sz="4" w:space="0" w:color="auto"/>
                    <w:right w:val="single" w:sz="4" w:space="0" w:color="auto"/>
                  </w:tcBorders>
                  <w:noWrap/>
                  <w:vAlign w:val="bottom"/>
                  <w:hideMark/>
                </w:tcPr>
                <w:p w14:paraId="7B1EC349" w14:textId="77777777" w:rsidR="000558EA" w:rsidRPr="00EC52EE" w:rsidRDefault="000558EA" w:rsidP="00A05C26">
                  <w:pPr>
                    <w:framePr w:hSpace="180" w:wrap="around" w:hAnchor="margin" w:y="-720"/>
                    <w:spacing w:line="254" w:lineRule="auto"/>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2014</w:t>
                  </w:r>
                </w:p>
              </w:tc>
              <w:tc>
                <w:tcPr>
                  <w:tcW w:w="2160" w:type="dxa"/>
                  <w:tcBorders>
                    <w:top w:val="single" w:sz="4" w:space="0" w:color="auto"/>
                    <w:left w:val="nil"/>
                    <w:bottom w:val="single" w:sz="4" w:space="0" w:color="auto"/>
                    <w:right w:val="single" w:sz="4" w:space="0" w:color="auto"/>
                  </w:tcBorders>
                  <w:noWrap/>
                  <w:vAlign w:val="bottom"/>
                  <w:hideMark/>
                </w:tcPr>
                <w:p w14:paraId="6636CD1D" w14:textId="77777777" w:rsidR="000558EA" w:rsidRPr="000F244E" w:rsidRDefault="000558EA" w:rsidP="00A05C26">
                  <w:pPr>
                    <w:framePr w:hSpace="180" w:wrap="around" w:hAnchor="margin" w:y="-720"/>
                    <w:spacing w:line="254" w:lineRule="auto"/>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$319,351,198.18</w:t>
                  </w:r>
                </w:p>
              </w:tc>
            </w:tr>
          </w:tbl>
          <w:p w14:paraId="2C229A21" w14:textId="77777777" w:rsidR="000558EA" w:rsidRPr="00EC52EE" w:rsidRDefault="000558EA" w:rsidP="000558EA">
            <w:pPr>
              <w:rPr>
                <w:rFonts w:ascii="Times New Roman" w:hAnsi="Times New Roman" w:cs="Times New Roman"/>
                <w:sz w:val="24"/>
                <w:szCs w:val="24"/>
              </w:rPr>
            </w:pPr>
          </w:p>
          <w:p w14:paraId="0311525D" w14:textId="77777777" w:rsidR="000558EA" w:rsidRPr="000F244E" w:rsidRDefault="000558EA" w:rsidP="000558EA">
            <w:pPr>
              <w:rPr>
                <w:rFonts w:ascii="Times New Roman" w:hAnsi="Times New Roman" w:cs="Times New Roman"/>
                <w:szCs w:val="20"/>
              </w:rPr>
            </w:pPr>
          </w:p>
        </w:tc>
        <w:tc>
          <w:tcPr>
            <w:tcW w:w="4248" w:type="dxa"/>
          </w:tcPr>
          <w:p w14:paraId="4A915D87" w14:textId="77777777" w:rsidR="000558EA" w:rsidRPr="00EC52EE" w:rsidRDefault="000558EA" w:rsidP="000558EA">
            <w:pPr>
              <w:rPr>
                <w:rFonts w:ascii="Times New Roman" w:hAnsi="Times New Roman" w:cs="Times New Roman"/>
                <w:sz w:val="24"/>
                <w:szCs w:val="24"/>
              </w:rPr>
            </w:pPr>
          </w:p>
        </w:tc>
      </w:tr>
      <w:tr w:rsidR="000558EA" w:rsidRPr="00EC52EE" w14:paraId="751F5F34" w14:textId="77777777" w:rsidTr="002B46DD">
        <w:trPr>
          <w:cantSplit/>
          <w:trHeight w:val="980"/>
        </w:trPr>
        <w:tc>
          <w:tcPr>
            <w:tcW w:w="1705" w:type="dxa"/>
            <w:vMerge/>
          </w:tcPr>
          <w:p w14:paraId="751F5EF4" w14:textId="77777777" w:rsidR="000558EA" w:rsidRPr="00EC52EE" w:rsidRDefault="000558EA" w:rsidP="000558EA">
            <w:pPr>
              <w:rPr>
                <w:rFonts w:ascii="Times New Roman" w:hAnsi="Times New Roman" w:cs="Times New Roman"/>
                <w:b/>
                <w:sz w:val="24"/>
                <w:szCs w:val="24"/>
              </w:rPr>
            </w:pPr>
          </w:p>
        </w:tc>
        <w:tc>
          <w:tcPr>
            <w:tcW w:w="1530" w:type="dxa"/>
          </w:tcPr>
          <w:p w14:paraId="751F5EF5" w14:textId="63901628" w:rsidR="000558EA" w:rsidRPr="00EC52EE" w:rsidRDefault="000558EA" w:rsidP="000558EA">
            <w:pPr>
              <w:rPr>
                <w:rFonts w:ascii="Times New Roman" w:hAnsi="Times New Roman" w:cs="Times New Roman"/>
                <w:sz w:val="24"/>
                <w:szCs w:val="24"/>
              </w:rPr>
            </w:pPr>
            <w:proofErr w:type="spellStart"/>
            <w:r>
              <w:rPr>
                <w:rFonts w:ascii="Times New Roman" w:hAnsi="Times New Roman" w:cs="Times New Roman"/>
                <w:sz w:val="24"/>
                <w:szCs w:val="24"/>
              </w:rPr>
              <w:t>Avista</w:t>
            </w:r>
            <w:proofErr w:type="spellEnd"/>
          </w:p>
        </w:tc>
        <w:tc>
          <w:tcPr>
            <w:tcW w:w="7200" w:type="dxa"/>
          </w:tcPr>
          <w:tbl>
            <w:tblPr>
              <w:tblStyle w:val="TableGrid"/>
              <w:tblW w:w="0" w:type="auto"/>
              <w:jc w:val="center"/>
              <w:tblLayout w:type="fixed"/>
              <w:tblLook w:val="04A0" w:firstRow="1" w:lastRow="0" w:firstColumn="1" w:lastColumn="0" w:noHBand="0" w:noVBand="1"/>
            </w:tblPr>
            <w:tblGrid>
              <w:gridCol w:w="723"/>
              <w:gridCol w:w="1710"/>
              <w:gridCol w:w="1440"/>
              <w:gridCol w:w="1766"/>
              <w:gridCol w:w="1340"/>
            </w:tblGrid>
            <w:tr w:rsidR="000558EA" w:rsidRPr="00EC52EE" w14:paraId="4C41B84D" w14:textId="77777777" w:rsidTr="0081765E">
              <w:trPr>
                <w:trHeight w:val="300"/>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159ABE" w14:textId="77777777" w:rsidR="000558EA" w:rsidRPr="000F244E" w:rsidRDefault="000558EA" w:rsidP="00A05C26">
                  <w:pPr>
                    <w:framePr w:hSpace="180" w:wrap="around" w:hAnchor="margin" w:y="-720"/>
                    <w:rPr>
                      <w:rFonts w:ascii="Times New Roman" w:hAnsi="Times New Roman" w:cs="Times New Roman"/>
                      <w:bCs/>
                      <w:szCs w:val="20"/>
                    </w:rPr>
                  </w:pPr>
                  <w:r w:rsidRPr="000F244E">
                    <w:rPr>
                      <w:rFonts w:ascii="Times New Roman" w:hAnsi="Times New Roman" w:cs="Times New Roman"/>
                      <w:szCs w:val="20"/>
                    </w:rPr>
                    <w:br w:type="page"/>
                  </w:r>
                  <w:r w:rsidRPr="000F244E">
                    <w:rPr>
                      <w:rFonts w:ascii="Times New Roman" w:hAnsi="Times New Roman" w:cs="Times New Roman"/>
                      <w:bCs/>
                      <w:szCs w:val="20"/>
                    </w:rPr>
                    <w:t>Year</w:t>
                  </w: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DE509F" w14:textId="77777777" w:rsidR="000558EA" w:rsidRPr="000F244E" w:rsidRDefault="000558EA" w:rsidP="00A05C26">
                  <w:pPr>
                    <w:framePr w:hSpace="180" w:wrap="around" w:hAnchor="margin" w:y="-720"/>
                    <w:jc w:val="center"/>
                    <w:rPr>
                      <w:rFonts w:ascii="Times New Roman" w:eastAsia="Times" w:hAnsi="Times New Roman" w:cs="Times New Roman"/>
                      <w:bCs/>
                      <w:szCs w:val="20"/>
                    </w:rPr>
                  </w:pPr>
                  <w:r w:rsidRPr="000F244E">
                    <w:rPr>
                      <w:rFonts w:ascii="Times New Roman" w:hAnsi="Times New Roman" w:cs="Times New Roman"/>
                      <w:bCs/>
                      <w:szCs w:val="20"/>
                    </w:rPr>
                    <w:t>Residential</w:t>
                  </w:r>
                </w:p>
              </w:tc>
              <w:tc>
                <w:tcPr>
                  <w:tcW w:w="3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C7EFA6" w14:textId="77777777" w:rsidR="000558EA" w:rsidRPr="00FB295C" w:rsidRDefault="000558EA" w:rsidP="00A05C26">
                  <w:pPr>
                    <w:framePr w:hSpace="180" w:wrap="around" w:hAnchor="margin" w:y="-720"/>
                    <w:jc w:val="center"/>
                    <w:rPr>
                      <w:rFonts w:ascii="Times New Roman" w:hAnsi="Times New Roman" w:cs="Times New Roman"/>
                      <w:bCs/>
                      <w:szCs w:val="20"/>
                    </w:rPr>
                  </w:pPr>
                  <w:r w:rsidRPr="000F244E">
                    <w:rPr>
                      <w:rFonts w:ascii="Times New Roman" w:hAnsi="Times New Roman" w:cs="Times New Roman"/>
                      <w:bCs/>
                      <w:szCs w:val="20"/>
                    </w:rPr>
                    <w:t>Non Residential</w:t>
                  </w:r>
                </w:p>
              </w:tc>
            </w:tr>
            <w:tr w:rsidR="000558EA" w:rsidRPr="00EC52EE" w14:paraId="68377CBB" w14:textId="77777777" w:rsidTr="0081765E">
              <w:trPr>
                <w:trHeight w:val="1376"/>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84BB3" w14:textId="77777777" w:rsidR="000558EA" w:rsidRPr="00EC52EE" w:rsidRDefault="000558EA" w:rsidP="00A05C26">
                  <w:pPr>
                    <w:framePr w:hSpace="180" w:wrap="around" w:hAnchor="margin" w:y="-720"/>
                    <w:rPr>
                      <w:rFonts w:ascii="Times New Roman" w:hAnsi="Times New Roman" w:cs="Times New Roman"/>
                      <w:szCs w:val="20"/>
                    </w:rPr>
                  </w:pPr>
                  <w:r w:rsidRPr="00EC52EE">
                    <w:rPr>
                      <w:rFonts w:ascii="Times New Roman" w:hAnsi="Times New Roman" w:cs="Times New Roman"/>
                      <w:szCs w:val="20"/>
                    </w:rPr>
                    <w:t>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CD0D1" w14:textId="77777777" w:rsidR="000558EA" w:rsidRPr="000F244E" w:rsidRDefault="000558EA" w:rsidP="00A05C26">
                  <w:pPr>
                    <w:framePr w:hSpace="180" w:wrap="around" w:hAnchor="margin" w:y="-720"/>
                    <w:jc w:val="center"/>
                    <w:rPr>
                      <w:rFonts w:ascii="Times New Roman" w:hAnsi="Times New Roman" w:cs="Times New Roman"/>
                      <w:bCs/>
                      <w:szCs w:val="20"/>
                    </w:rPr>
                  </w:pPr>
                  <w:r w:rsidRPr="000F244E">
                    <w:rPr>
                      <w:rFonts w:ascii="Times New Roman" w:hAnsi="Times New Roman" w:cs="Times New Roman"/>
                      <w:bCs/>
                      <w:szCs w:val="20"/>
                    </w:rPr>
                    <w:t>Number of accounts issued corrected bills exceeding six months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3C401" w14:textId="77777777" w:rsidR="000558EA" w:rsidRPr="00FB295C" w:rsidRDefault="000558EA" w:rsidP="00A05C26">
                  <w:pPr>
                    <w:framePr w:hSpace="180" w:wrap="around" w:hAnchor="margin" w:y="-720"/>
                    <w:jc w:val="center"/>
                    <w:rPr>
                      <w:rFonts w:ascii="Times New Roman" w:hAnsi="Times New Roman" w:cs="Times New Roman"/>
                      <w:bCs/>
                      <w:szCs w:val="20"/>
                    </w:rPr>
                  </w:pPr>
                  <w:r w:rsidRPr="00FB295C">
                    <w:rPr>
                      <w:rFonts w:ascii="Times New Roman" w:hAnsi="Times New Roman" w:cs="Times New Roman"/>
                      <w:bCs/>
                      <w:szCs w:val="20"/>
                    </w:rPr>
                    <w:t>Total amount billed in excess of six months*</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351A6" w14:textId="77777777" w:rsidR="000558EA" w:rsidRPr="00FB295C" w:rsidRDefault="000558EA" w:rsidP="00A05C26">
                  <w:pPr>
                    <w:framePr w:hSpace="180" w:wrap="around" w:hAnchor="margin" w:y="-720"/>
                    <w:jc w:val="center"/>
                    <w:rPr>
                      <w:rFonts w:ascii="Times New Roman" w:hAnsi="Times New Roman" w:cs="Times New Roman"/>
                      <w:bCs/>
                      <w:szCs w:val="20"/>
                    </w:rPr>
                  </w:pPr>
                  <w:r w:rsidRPr="00FB295C">
                    <w:rPr>
                      <w:rFonts w:ascii="Times New Roman" w:hAnsi="Times New Roman" w:cs="Times New Roman"/>
                      <w:bCs/>
                      <w:szCs w:val="20"/>
                    </w:rPr>
                    <w:t>Number of accounts issued corrected bills exceeding six months</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02DBC" w14:textId="77777777" w:rsidR="000558EA" w:rsidRPr="00FB295C" w:rsidRDefault="000558EA" w:rsidP="00A05C26">
                  <w:pPr>
                    <w:framePr w:hSpace="180" w:wrap="around" w:hAnchor="margin" w:y="-720"/>
                    <w:jc w:val="center"/>
                    <w:rPr>
                      <w:rFonts w:ascii="Times New Roman" w:hAnsi="Times New Roman" w:cs="Times New Roman"/>
                      <w:bCs/>
                      <w:szCs w:val="20"/>
                    </w:rPr>
                  </w:pPr>
                  <w:r w:rsidRPr="00FB295C">
                    <w:rPr>
                      <w:rFonts w:ascii="Times New Roman" w:hAnsi="Times New Roman" w:cs="Times New Roman"/>
                      <w:bCs/>
                      <w:szCs w:val="20"/>
                    </w:rPr>
                    <w:t>Total amount billed in excess of six months*</w:t>
                  </w:r>
                </w:p>
              </w:tc>
            </w:tr>
            <w:tr w:rsidR="000558EA" w:rsidRPr="00EC52EE" w14:paraId="10BB3FC1" w14:textId="77777777" w:rsidTr="0081765E">
              <w:trPr>
                <w:trHeight w:val="300"/>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3B9004E" w14:textId="77777777" w:rsidR="000558EA" w:rsidRPr="00EC52EE" w:rsidRDefault="000558EA" w:rsidP="00A05C26">
                  <w:pPr>
                    <w:framePr w:hSpace="180" w:wrap="around" w:hAnchor="margin" w:y="-720"/>
                    <w:rPr>
                      <w:rFonts w:ascii="Times New Roman" w:hAnsi="Times New Roman" w:cs="Times New Roman"/>
                      <w:bCs/>
                      <w:szCs w:val="20"/>
                    </w:rPr>
                  </w:pPr>
                  <w:r w:rsidRPr="00EC52EE">
                    <w:rPr>
                      <w:rFonts w:ascii="Times New Roman" w:hAnsi="Times New Roman" w:cs="Times New Roman"/>
                      <w:bCs/>
                      <w:szCs w:val="20"/>
                    </w:rPr>
                    <w:t>2012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4D792A" w14:textId="77777777" w:rsidR="000558EA" w:rsidRPr="000F244E"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62E2F60" w14:textId="77777777" w:rsidR="000558EA" w:rsidRPr="000F244E"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$3,019</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DC5E06" w14:textId="77777777" w:rsidR="000558EA" w:rsidRPr="00FB295C"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2</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50FF873" w14:textId="77777777" w:rsidR="000558EA" w:rsidRPr="00FB295C" w:rsidRDefault="000558EA" w:rsidP="00A05C26">
                  <w:pPr>
                    <w:framePr w:hSpace="180" w:wrap="around" w:hAnchor="margin" w:y="-720"/>
                    <w:jc w:val="center"/>
                    <w:rPr>
                      <w:rFonts w:ascii="Times New Roman" w:hAnsi="Times New Roman" w:cs="Times New Roman"/>
                      <w:szCs w:val="20"/>
                    </w:rPr>
                  </w:pPr>
                  <w:r w:rsidRPr="00FB295C">
                    <w:rPr>
                      <w:rFonts w:ascii="Times New Roman" w:hAnsi="Times New Roman" w:cs="Times New Roman"/>
                      <w:szCs w:val="20"/>
                    </w:rPr>
                    <w:t>$555</w:t>
                  </w:r>
                </w:p>
              </w:tc>
            </w:tr>
            <w:tr w:rsidR="000558EA" w:rsidRPr="00EC52EE" w14:paraId="5B2AD241" w14:textId="77777777" w:rsidTr="0081765E">
              <w:trPr>
                <w:trHeight w:val="300"/>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8978C5" w14:textId="77777777" w:rsidR="000558EA" w:rsidRPr="00EC52EE" w:rsidRDefault="000558EA" w:rsidP="00A05C26">
                  <w:pPr>
                    <w:framePr w:hSpace="180" w:wrap="around" w:hAnchor="margin" w:y="-720"/>
                    <w:rPr>
                      <w:rFonts w:ascii="Times New Roman" w:hAnsi="Times New Roman" w:cs="Times New Roman"/>
                      <w:bCs/>
                      <w:szCs w:val="20"/>
                    </w:rPr>
                  </w:pPr>
                  <w:r w:rsidRPr="00EC52EE">
                    <w:rPr>
                      <w:rFonts w:ascii="Times New Roman" w:hAnsi="Times New Roman" w:cs="Times New Roman"/>
                      <w:bCs/>
                      <w:szCs w:val="20"/>
                    </w:rPr>
                    <w:t>2013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6EB1D79" w14:textId="77777777" w:rsidR="000558EA" w:rsidRPr="000F244E"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4D660D6" w14:textId="77777777" w:rsidR="000558EA" w:rsidRPr="000F244E"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$2,932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F4D95DC" w14:textId="77777777" w:rsidR="000558EA" w:rsidRPr="00FB295C"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7AE187" w14:textId="77777777" w:rsidR="000558EA" w:rsidRPr="00FB295C" w:rsidRDefault="000558EA" w:rsidP="00A05C26">
                  <w:pPr>
                    <w:framePr w:hSpace="180" w:wrap="around" w:hAnchor="margin" w:y="-720"/>
                    <w:jc w:val="center"/>
                    <w:rPr>
                      <w:rFonts w:ascii="Times New Roman" w:hAnsi="Times New Roman" w:cs="Times New Roman"/>
                      <w:szCs w:val="20"/>
                    </w:rPr>
                  </w:pPr>
                  <w:r w:rsidRPr="00FB295C">
                    <w:rPr>
                      <w:rFonts w:ascii="Times New Roman" w:hAnsi="Times New Roman" w:cs="Times New Roman"/>
                      <w:szCs w:val="20"/>
                    </w:rPr>
                    <w:t>$332</w:t>
                  </w:r>
                </w:p>
              </w:tc>
            </w:tr>
            <w:tr w:rsidR="000558EA" w:rsidRPr="00EC52EE" w14:paraId="675AE816" w14:textId="77777777" w:rsidTr="0081765E">
              <w:trPr>
                <w:trHeight w:val="300"/>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D0FC21" w14:textId="77777777" w:rsidR="000558EA" w:rsidRPr="00EC52EE" w:rsidRDefault="000558EA" w:rsidP="00A05C26">
                  <w:pPr>
                    <w:framePr w:hSpace="180" w:wrap="around" w:hAnchor="margin" w:y="-720"/>
                    <w:rPr>
                      <w:rFonts w:ascii="Times New Roman" w:hAnsi="Times New Roman" w:cs="Times New Roman"/>
                      <w:bCs/>
                      <w:szCs w:val="20"/>
                    </w:rPr>
                  </w:pPr>
                  <w:r w:rsidRPr="00EC52EE">
                    <w:rPr>
                      <w:rFonts w:ascii="Times New Roman" w:hAnsi="Times New Roman" w:cs="Times New Roman"/>
                      <w:bCs/>
                      <w:szCs w:val="20"/>
                    </w:rPr>
                    <w:t>2014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6542C6" w14:textId="77777777" w:rsidR="000558EA" w:rsidRPr="000F244E"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7BF7607" w14:textId="77777777" w:rsidR="000558EA" w:rsidRPr="000F244E"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$1,258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71FCB0D" w14:textId="77777777" w:rsidR="000558EA" w:rsidRPr="00FB295C"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9BD89C4" w14:textId="77777777" w:rsidR="000558EA" w:rsidRPr="00FB295C" w:rsidRDefault="000558EA" w:rsidP="00A05C26">
                  <w:pPr>
                    <w:framePr w:hSpace="180" w:wrap="around" w:hAnchor="margin" w:y="-720"/>
                    <w:jc w:val="center"/>
                    <w:rPr>
                      <w:rFonts w:ascii="Times New Roman" w:hAnsi="Times New Roman" w:cs="Times New Roman"/>
                      <w:szCs w:val="20"/>
                    </w:rPr>
                  </w:pPr>
                  <w:r w:rsidRPr="00FB295C">
                    <w:rPr>
                      <w:rFonts w:ascii="Times New Roman" w:hAnsi="Times New Roman" w:cs="Times New Roman"/>
                      <w:szCs w:val="20"/>
                    </w:rPr>
                    <w:t>$3,823</w:t>
                  </w:r>
                </w:p>
              </w:tc>
            </w:tr>
          </w:tbl>
          <w:p w14:paraId="25868390" w14:textId="77777777" w:rsidR="000558EA" w:rsidRPr="00EC52EE" w:rsidRDefault="000558EA" w:rsidP="000558EA">
            <w:pPr>
              <w:rPr>
                <w:rFonts w:ascii="Times New Roman" w:eastAsia="Times" w:hAnsi="Times New Roman" w:cs="Times New Roman"/>
                <w:szCs w:val="20"/>
              </w:rPr>
            </w:pPr>
          </w:p>
          <w:p w14:paraId="3471F08C" w14:textId="77777777" w:rsidR="000558EA" w:rsidRPr="000F244E" w:rsidRDefault="000558EA" w:rsidP="000558EA">
            <w:pPr>
              <w:jc w:val="center"/>
              <w:rPr>
                <w:rFonts w:ascii="Times New Roman" w:hAnsi="Times New Roman" w:cs="Times New Roman"/>
              </w:rPr>
            </w:pPr>
            <w:r w:rsidRPr="000F244E">
              <w:rPr>
                <w:rFonts w:ascii="Times New Roman" w:hAnsi="Times New Roman" w:cs="Times New Roman"/>
              </w:rPr>
              <w:t>*The dollar amounts included in the table represent the sum of total amount</w:t>
            </w:r>
          </w:p>
          <w:p w14:paraId="1225FE68" w14:textId="77777777" w:rsidR="000558EA" w:rsidRPr="000F244E" w:rsidRDefault="000558EA" w:rsidP="000558EA">
            <w:pPr>
              <w:rPr>
                <w:rFonts w:ascii="Times New Roman" w:hAnsi="Times New Roman" w:cs="Times New Roman"/>
              </w:rPr>
            </w:pPr>
            <w:proofErr w:type="gramStart"/>
            <w:r w:rsidRPr="000F244E">
              <w:rPr>
                <w:rFonts w:ascii="Times New Roman" w:hAnsi="Times New Roman" w:cs="Times New Roman"/>
              </w:rPr>
              <w:t>re-billed</w:t>
            </w:r>
            <w:proofErr w:type="gramEnd"/>
            <w:r w:rsidRPr="000F244E">
              <w:rPr>
                <w:rFonts w:ascii="Times New Roman" w:hAnsi="Times New Roman" w:cs="Times New Roman"/>
              </w:rPr>
              <w:t xml:space="preserve"> to customers who were issued corrected bills in excess of six months.</w:t>
            </w:r>
          </w:p>
          <w:tbl>
            <w:tblPr>
              <w:tblStyle w:val="TableGrid"/>
              <w:tblW w:w="0" w:type="auto"/>
              <w:jc w:val="center"/>
              <w:tblLayout w:type="fixed"/>
              <w:tblLook w:val="04A0" w:firstRow="1" w:lastRow="0" w:firstColumn="1" w:lastColumn="0" w:noHBand="0" w:noVBand="1"/>
            </w:tblPr>
            <w:tblGrid>
              <w:gridCol w:w="723"/>
              <w:gridCol w:w="1636"/>
            </w:tblGrid>
            <w:tr w:rsidR="000558EA" w:rsidRPr="00EC52EE" w14:paraId="1315DA11" w14:textId="77777777" w:rsidTr="0081765E">
              <w:trPr>
                <w:trHeight w:val="300"/>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9DA390" w14:textId="77777777" w:rsidR="000558EA" w:rsidRPr="00FB295C" w:rsidRDefault="000558EA" w:rsidP="00A05C26">
                  <w:pPr>
                    <w:framePr w:hSpace="180" w:wrap="around" w:hAnchor="margin" w:y="-720"/>
                    <w:rPr>
                      <w:rFonts w:ascii="Times New Roman" w:hAnsi="Times New Roman" w:cs="Times New Roman"/>
                      <w:bCs/>
                      <w:szCs w:val="20"/>
                    </w:rPr>
                  </w:pPr>
                  <w:r w:rsidRPr="00FB295C">
                    <w:rPr>
                      <w:rFonts w:ascii="Times New Roman" w:hAnsi="Times New Roman" w:cs="Times New Roman"/>
                      <w:szCs w:val="20"/>
                    </w:rPr>
                    <w:br w:type="page"/>
                  </w:r>
                  <w:r w:rsidRPr="00FB295C">
                    <w:rPr>
                      <w:rFonts w:ascii="Times New Roman" w:hAnsi="Times New Roman" w:cs="Times New Roman"/>
                      <w:bCs/>
                      <w:szCs w:val="20"/>
                    </w:rPr>
                    <w:t>Year</w:t>
                  </w:r>
                </w:p>
              </w:tc>
              <w:tc>
                <w:tcPr>
                  <w:tcW w:w="1636" w:type="dxa"/>
                  <w:tcBorders>
                    <w:top w:val="single" w:sz="4" w:space="0" w:color="auto"/>
                    <w:left w:val="single" w:sz="4" w:space="0" w:color="auto"/>
                    <w:bottom w:val="single" w:sz="4" w:space="0" w:color="auto"/>
                    <w:right w:val="single" w:sz="4" w:space="0" w:color="auto"/>
                  </w:tcBorders>
                  <w:hideMark/>
                </w:tcPr>
                <w:p w14:paraId="7898A599" w14:textId="77777777" w:rsidR="000558EA" w:rsidRPr="00FB295C" w:rsidRDefault="000558EA" w:rsidP="00A05C26">
                  <w:pPr>
                    <w:framePr w:hSpace="180" w:wrap="around" w:hAnchor="margin" w:y="-720"/>
                    <w:jc w:val="center"/>
                    <w:rPr>
                      <w:rFonts w:ascii="Times New Roman" w:eastAsia="Times" w:hAnsi="Times New Roman" w:cs="Times New Roman"/>
                      <w:bCs/>
                      <w:szCs w:val="20"/>
                    </w:rPr>
                  </w:pPr>
                  <w:r w:rsidRPr="00FB295C">
                    <w:rPr>
                      <w:rFonts w:ascii="Times New Roman" w:hAnsi="Times New Roman" w:cs="Times New Roman"/>
                      <w:bCs/>
                      <w:szCs w:val="20"/>
                    </w:rPr>
                    <w:t>Total Revenue</w:t>
                  </w:r>
                </w:p>
              </w:tc>
            </w:tr>
            <w:tr w:rsidR="000558EA" w:rsidRPr="00EC52EE" w14:paraId="078AE0C1" w14:textId="77777777" w:rsidTr="0081765E">
              <w:trPr>
                <w:trHeight w:val="1376"/>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B7ED7" w14:textId="77777777" w:rsidR="000558EA" w:rsidRPr="00EC52EE" w:rsidRDefault="000558EA" w:rsidP="00A05C26">
                  <w:pPr>
                    <w:framePr w:hSpace="180" w:wrap="around" w:hAnchor="margin" w:y="-720"/>
                    <w:rPr>
                      <w:rFonts w:ascii="Times New Roman" w:hAnsi="Times New Roman" w:cs="Times New Roman"/>
                      <w:szCs w:val="20"/>
                    </w:rPr>
                  </w:pPr>
                  <w:r w:rsidRPr="00EC52EE">
                    <w:rPr>
                      <w:rFonts w:ascii="Times New Roman" w:hAnsi="Times New Roman" w:cs="Times New Roman"/>
                      <w:szCs w:val="20"/>
                    </w:rPr>
                    <w:t> </w:t>
                  </w:r>
                </w:p>
              </w:tc>
              <w:tc>
                <w:tcPr>
                  <w:tcW w:w="1636" w:type="dxa"/>
                  <w:tcBorders>
                    <w:top w:val="single" w:sz="4" w:space="0" w:color="auto"/>
                    <w:left w:val="single" w:sz="4" w:space="0" w:color="auto"/>
                    <w:bottom w:val="single" w:sz="4" w:space="0" w:color="auto"/>
                    <w:right w:val="single" w:sz="4" w:space="0" w:color="auto"/>
                  </w:tcBorders>
                  <w:hideMark/>
                </w:tcPr>
                <w:p w14:paraId="791DCE93" w14:textId="77777777" w:rsidR="000558EA" w:rsidRPr="000F244E" w:rsidRDefault="000558EA" w:rsidP="00A05C26">
                  <w:pPr>
                    <w:framePr w:hSpace="180" w:wrap="around" w:hAnchor="margin" w:y="-720"/>
                    <w:jc w:val="center"/>
                    <w:rPr>
                      <w:rFonts w:ascii="Times New Roman" w:hAnsi="Times New Roman" w:cs="Times New Roman"/>
                      <w:bCs/>
                      <w:szCs w:val="20"/>
                    </w:rPr>
                  </w:pPr>
                  <w:r w:rsidRPr="000F244E">
                    <w:rPr>
                      <w:rFonts w:ascii="Times New Roman" w:hAnsi="Times New Roman" w:cs="Times New Roman"/>
                      <w:bCs/>
                      <w:szCs w:val="20"/>
                    </w:rPr>
                    <w:t>Company's total revenue</w:t>
                  </w:r>
                </w:p>
              </w:tc>
            </w:tr>
            <w:tr w:rsidR="000558EA" w:rsidRPr="00EC52EE" w14:paraId="5C913A08" w14:textId="77777777" w:rsidTr="0081765E">
              <w:trPr>
                <w:trHeight w:val="300"/>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5DD0F9F" w14:textId="77777777" w:rsidR="000558EA" w:rsidRPr="00EC52EE" w:rsidRDefault="000558EA" w:rsidP="00A05C26">
                  <w:pPr>
                    <w:framePr w:hSpace="180" w:wrap="around" w:hAnchor="margin" w:y="-720"/>
                    <w:rPr>
                      <w:rFonts w:ascii="Times New Roman" w:hAnsi="Times New Roman" w:cs="Times New Roman"/>
                      <w:bCs/>
                      <w:szCs w:val="20"/>
                    </w:rPr>
                  </w:pPr>
                  <w:r w:rsidRPr="00EC52EE">
                    <w:rPr>
                      <w:rFonts w:ascii="Times New Roman" w:hAnsi="Times New Roman" w:cs="Times New Roman"/>
                      <w:bCs/>
                      <w:szCs w:val="20"/>
                    </w:rPr>
                    <w:t>2012</w:t>
                  </w:r>
                </w:p>
              </w:tc>
              <w:tc>
                <w:tcPr>
                  <w:tcW w:w="1636" w:type="dxa"/>
                  <w:tcBorders>
                    <w:top w:val="single" w:sz="4" w:space="0" w:color="auto"/>
                    <w:left w:val="single" w:sz="4" w:space="0" w:color="auto"/>
                    <w:bottom w:val="single" w:sz="4" w:space="0" w:color="auto"/>
                    <w:right w:val="single" w:sz="4" w:space="0" w:color="auto"/>
                  </w:tcBorders>
                  <w:hideMark/>
                </w:tcPr>
                <w:p w14:paraId="3CAD39DA" w14:textId="77777777" w:rsidR="000558EA" w:rsidRPr="000F244E"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$625,675,220</w:t>
                  </w:r>
                </w:p>
              </w:tc>
            </w:tr>
            <w:tr w:rsidR="000558EA" w:rsidRPr="00EC52EE" w14:paraId="5BC565C6" w14:textId="77777777" w:rsidTr="0081765E">
              <w:trPr>
                <w:trHeight w:val="300"/>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6C3CF1" w14:textId="77777777" w:rsidR="000558EA" w:rsidRPr="00EC52EE" w:rsidRDefault="000558EA" w:rsidP="00A05C26">
                  <w:pPr>
                    <w:framePr w:hSpace="180" w:wrap="around" w:hAnchor="margin" w:y="-720"/>
                    <w:rPr>
                      <w:rFonts w:ascii="Times New Roman" w:hAnsi="Times New Roman" w:cs="Times New Roman"/>
                      <w:bCs/>
                      <w:szCs w:val="20"/>
                    </w:rPr>
                  </w:pPr>
                  <w:r w:rsidRPr="00EC52EE">
                    <w:rPr>
                      <w:rFonts w:ascii="Times New Roman" w:hAnsi="Times New Roman" w:cs="Times New Roman"/>
                      <w:bCs/>
                      <w:szCs w:val="20"/>
                    </w:rPr>
                    <w:t>2013</w:t>
                  </w:r>
                </w:p>
              </w:tc>
              <w:tc>
                <w:tcPr>
                  <w:tcW w:w="1636" w:type="dxa"/>
                  <w:tcBorders>
                    <w:top w:val="single" w:sz="4" w:space="0" w:color="auto"/>
                    <w:left w:val="single" w:sz="4" w:space="0" w:color="auto"/>
                    <w:bottom w:val="single" w:sz="4" w:space="0" w:color="auto"/>
                    <w:right w:val="single" w:sz="4" w:space="0" w:color="auto"/>
                  </w:tcBorders>
                  <w:hideMark/>
                </w:tcPr>
                <w:p w14:paraId="356AC2F1" w14:textId="77777777" w:rsidR="000558EA" w:rsidRPr="000F244E"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$651,307,499</w:t>
                  </w:r>
                </w:p>
              </w:tc>
            </w:tr>
            <w:tr w:rsidR="000558EA" w:rsidRPr="00EC52EE" w14:paraId="07D60321" w14:textId="77777777" w:rsidTr="0081765E">
              <w:trPr>
                <w:trHeight w:val="300"/>
                <w:jc w:val="center"/>
              </w:trPr>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EDE4F0C" w14:textId="77777777" w:rsidR="000558EA" w:rsidRPr="00EC52EE" w:rsidRDefault="000558EA" w:rsidP="00A05C26">
                  <w:pPr>
                    <w:framePr w:hSpace="180" w:wrap="around" w:hAnchor="margin" w:y="-720"/>
                    <w:rPr>
                      <w:rFonts w:ascii="Times New Roman" w:hAnsi="Times New Roman" w:cs="Times New Roman"/>
                      <w:bCs/>
                      <w:szCs w:val="20"/>
                    </w:rPr>
                  </w:pPr>
                  <w:r w:rsidRPr="00EC52EE">
                    <w:rPr>
                      <w:rFonts w:ascii="Times New Roman" w:hAnsi="Times New Roman" w:cs="Times New Roman"/>
                      <w:bCs/>
                      <w:szCs w:val="20"/>
                    </w:rPr>
                    <w:t>2014</w:t>
                  </w:r>
                </w:p>
              </w:tc>
              <w:tc>
                <w:tcPr>
                  <w:tcW w:w="1636" w:type="dxa"/>
                  <w:tcBorders>
                    <w:top w:val="single" w:sz="4" w:space="0" w:color="auto"/>
                    <w:left w:val="single" w:sz="4" w:space="0" w:color="auto"/>
                    <w:bottom w:val="single" w:sz="4" w:space="0" w:color="auto"/>
                    <w:right w:val="single" w:sz="4" w:space="0" w:color="auto"/>
                  </w:tcBorders>
                  <w:hideMark/>
                </w:tcPr>
                <w:p w14:paraId="718B4B55" w14:textId="77777777" w:rsidR="000558EA" w:rsidRPr="000F244E" w:rsidRDefault="000558EA" w:rsidP="00A05C26">
                  <w:pPr>
                    <w:framePr w:hSpace="180" w:wrap="around" w:hAnchor="margin" w:y="-720"/>
                    <w:jc w:val="center"/>
                    <w:rPr>
                      <w:rFonts w:ascii="Times New Roman" w:hAnsi="Times New Roman" w:cs="Times New Roman"/>
                      <w:szCs w:val="20"/>
                    </w:rPr>
                  </w:pPr>
                  <w:r w:rsidRPr="000F244E">
                    <w:rPr>
                      <w:rFonts w:ascii="Times New Roman" w:hAnsi="Times New Roman" w:cs="Times New Roman"/>
                      <w:szCs w:val="20"/>
                    </w:rPr>
                    <w:t>$675,386,929</w:t>
                  </w:r>
                </w:p>
              </w:tc>
            </w:tr>
          </w:tbl>
          <w:p w14:paraId="751F5F32" w14:textId="77777777" w:rsidR="000558EA" w:rsidRPr="00EC52EE" w:rsidRDefault="000558EA" w:rsidP="000558EA">
            <w:pPr>
              <w:rPr>
                <w:rFonts w:ascii="Times New Roman" w:hAnsi="Times New Roman" w:cs="Times New Roman"/>
                <w:sz w:val="24"/>
                <w:szCs w:val="24"/>
              </w:rPr>
            </w:pPr>
          </w:p>
        </w:tc>
        <w:tc>
          <w:tcPr>
            <w:tcW w:w="4248" w:type="dxa"/>
            <w:vMerge w:val="restart"/>
          </w:tcPr>
          <w:p w14:paraId="45A0A0BA" w14:textId="77777777" w:rsidR="000558EA" w:rsidRPr="00EC52EE" w:rsidRDefault="000558EA" w:rsidP="000558EA">
            <w:pPr>
              <w:rPr>
                <w:rFonts w:ascii="Times New Roman" w:hAnsi="Times New Roman" w:cs="Times New Roman"/>
                <w:sz w:val="24"/>
                <w:szCs w:val="24"/>
              </w:rPr>
            </w:pPr>
            <w:r w:rsidRPr="00EC52EE">
              <w:rPr>
                <w:rFonts w:ascii="Times New Roman" w:hAnsi="Times New Roman" w:cs="Times New Roman"/>
                <w:sz w:val="24"/>
                <w:szCs w:val="24"/>
              </w:rPr>
              <w:lastRenderedPageBreak/>
              <w:t xml:space="preserve">The data submitted by the companies do not substantiate their concerns to eliminate nonresidential customers from this rulemaking. </w:t>
            </w:r>
          </w:p>
          <w:p w14:paraId="3E42D0CB" w14:textId="77777777" w:rsidR="000558EA" w:rsidRPr="00EC52EE" w:rsidRDefault="000558EA" w:rsidP="000558EA">
            <w:pPr>
              <w:rPr>
                <w:rFonts w:ascii="Times New Roman" w:hAnsi="Times New Roman" w:cs="Times New Roman"/>
                <w:sz w:val="24"/>
                <w:szCs w:val="24"/>
              </w:rPr>
            </w:pPr>
          </w:p>
          <w:p w14:paraId="2450D1B1" w14:textId="354CCE26" w:rsidR="000558EA" w:rsidRPr="00EC52EE" w:rsidRDefault="000558EA" w:rsidP="000558EA">
            <w:pPr>
              <w:rPr>
                <w:rFonts w:ascii="Times New Roman" w:hAnsi="Times New Roman" w:cs="Times New Roman"/>
                <w:sz w:val="24"/>
                <w:szCs w:val="24"/>
              </w:rPr>
            </w:pPr>
            <w:r w:rsidRPr="00EC52EE">
              <w:rPr>
                <w:rFonts w:ascii="Times New Roman" w:hAnsi="Times New Roman" w:cs="Times New Roman"/>
                <w:sz w:val="24"/>
                <w:szCs w:val="24"/>
              </w:rPr>
              <w:t xml:space="preserve">The percentage of the amounts billed in excess of six months are very small compared to the companies’ total Washington revenue. Staff believes there </w:t>
            </w:r>
            <w:r w:rsidRPr="00EC52EE">
              <w:rPr>
                <w:rFonts w:ascii="Times New Roman" w:hAnsi="Times New Roman" w:cs="Times New Roman"/>
                <w:sz w:val="24"/>
                <w:szCs w:val="24"/>
              </w:rPr>
              <w:lastRenderedPageBreak/>
              <w:t>is minimal impact regarding the effect of restricting corrected bills to six months for both residential and nonresidential customers.</w:t>
            </w:r>
          </w:p>
          <w:p w14:paraId="751F5F33" w14:textId="78EA45D5" w:rsidR="000558EA" w:rsidRPr="00EC52EE" w:rsidRDefault="000558EA" w:rsidP="000558EA">
            <w:pPr>
              <w:rPr>
                <w:rFonts w:ascii="Times New Roman" w:hAnsi="Times New Roman" w:cs="Times New Roman"/>
                <w:sz w:val="24"/>
                <w:szCs w:val="24"/>
              </w:rPr>
            </w:pPr>
          </w:p>
        </w:tc>
      </w:tr>
      <w:tr w:rsidR="000558EA" w:rsidRPr="00EC52EE" w14:paraId="751F5F67" w14:textId="77777777" w:rsidTr="002B46DD">
        <w:trPr>
          <w:cantSplit/>
          <w:trHeight w:val="980"/>
        </w:trPr>
        <w:tc>
          <w:tcPr>
            <w:tcW w:w="1705" w:type="dxa"/>
            <w:vMerge/>
          </w:tcPr>
          <w:p w14:paraId="751F5F35" w14:textId="77777777" w:rsidR="000558EA" w:rsidRPr="00EC52EE" w:rsidRDefault="000558EA" w:rsidP="000558EA">
            <w:pPr>
              <w:rPr>
                <w:rFonts w:ascii="Times New Roman" w:hAnsi="Times New Roman" w:cs="Times New Roman"/>
                <w:b/>
                <w:sz w:val="24"/>
                <w:szCs w:val="24"/>
              </w:rPr>
            </w:pPr>
          </w:p>
        </w:tc>
        <w:tc>
          <w:tcPr>
            <w:tcW w:w="1530" w:type="dxa"/>
          </w:tcPr>
          <w:p w14:paraId="751F5F36" w14:textId="2C3A9312" w:rsidR="000558EA" w:rsidRPr="00EC52EE" w:rsidRDefault="00981E10" w:rsidP="000558EA">
            <w:pPr>
              <w:rPr>
                <w:rFonts w:ascii="Times New Roman" w:hAnsi="Times New Roman" w:cs="Times New Roman"/>
                <w:sz w:val="24"/>
                <w:szCs w:val="24"/>
              </w:rPr>
            </w:pPr>
            <w:r>
              <w:rPr>
                <w:rFonts w:ascii="Times New Roman" w:hAnsi="Times New Roman" w:cs="Times New Roman"/>
                <w:sz w:val="24"/>
                <w:szCs w:val="24"/>
              </w:rPr>
              <w:t>PSE</w:t>
            </w:r>
          </w:p>
        </w:tc>
        <w:tc>
          <w:tcPr>
            <w:tcW w:w="7200" w:type="dxa"/>
          </w:tcPr>
          <w:tbl>
            <w:tblPr>
              <w:tblW w:w="6019" w:type="dxa"/>
              <w:tblInd w:w="93" w:type="dxa"/>
              <w:tblLayout w:type="fixed"/>
              <w:tblLook w:val="04A0" w:firstRow="1" w:lastRow="0" w:firstColumn="1" w:lastColumn="0" w:noHBand="0" w:noVBand="1"/>
            </w:tblPr>
            <w:tblGrid>
              <w:gridCol w:w="723"/>
              <w:gridCol w:w="1196"/>
              <w:gridCol w:w="1490"/>
              <w:gridCol w:w="1196"/>
              <w:gridCol w:w="1414"/>
            </w:tblGrid>
            <w:tr w:rsidR="000558EA" w:rsidRPr="00EC52EE" w14:paraId="15EEF3CF" w14:textId="77777777" w:rsidTr="00394276">
              <w:trPr>
                <w:trHeight w:val="379"/>
              </w:trPr>
              <w:tc>
                <w:tcPr>
                  <w:tcW w:w="723" w:type="dxa"/>
                  <w:tcBorders>
                    <w:top w:val="single" w:sz="8" w:space="0" w:color="auto"/>
                    <w:left w:val="single" w:sz="8" w:space="0" w:color="auto"/>
                    <w:bottom w:val="single" w:sz="8" w:space="0" w:color="auto"/>
                    <w:right w:val="single" w:sz="8" w:space="0" w:color="auto"/>
                  </w:tcBorders>
                  <w:vAlign w:val="center"/>
                  <w:hideMark/>
                </w:tcPr>
                <w:p w14:paraId="3842B738" w14:textId="77777777" w:rsidR="000558EA" w:rsidRPr="00FB295C" w:rsidRDefault="000558EA"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Year</w:t>
                  </w:r>
                </w:p>
              </w:tc>
              <w:tc>
                <w:tcPr>
                  <w:tcW w:w="2686" w:type="dxa"/>
                  <w:gridSpan w:val="2"/>
                  <w:tcBorders>
                    <w:top w:val="single" w:sz="8" w:space="0" w:color="auto"/>
                    <w:left w:val="nil"/>
                    <w:bottom w:val="single" w:sz="8" w:space="0" w:color="auto"/>
                    <w:right w:val="single" w:sz="8" w:space="0" w:color="000000"/>
                  </w:tcBorders>
                  <w:vAlign w:val="center"/>
                  <w:hideMark/>
                </w:tcPr>
                <w:p w14:paraId="727BBBF4" w14:textId="77777777" w:rsidR="000558EA" w:rsidRPr="00FB295C" w:rsidRDefault="000558EA"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Residential</w:t>
                  </w:r>
                </w:p>
              </w:tc>
              <w:tc>
                <w:tcPr>
                  <w:tcW w:w="2610" w:type="dxa"/>
                  <w:gridSpan w:val="2"/>
                  <w:tcBorders>
                    <w:top w:val="single" w:sz="8" w:space="0" w:color="auto"/>
                    <w:left w:val="nil"/>
                    <w:bottom w:val="single" w:sz="8" w:space="0" w:color="auto"/>
                    <w:right w:val="single" w:sz="8" w:space="0" w:color="000000"/>
                  </w:tcBorders>
                  <w:vAlign w:val="center"/>
                  <w:hideMark/>
                </w:tcPr>
                <w:p w14:paraId="0FE66CF7" w14:textId="77777777" w:rsidR="000558EA" w:rsidRPr="00FB295C" w:rsidRDefault="000558EA"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Non Residential</w:t>
                  </w:r>
                </w:p>
              </w:tc>
            </w:tr>
            <w:tr w:rsidR="000558EA" w:rsidRPr="00EC52EE" w14:paraId="64F5B987" w14:textId="77777777" w:rsidTr="00394276">
              <w:trPr>
                <w:trHeight w:val="3350"/>
              </w:trPr>
              <w:tc>
                <w:tcPr>
                  <w:tcW w:w="723" w:type="dxa"/>
                  <w:tcBorders>
                    <w:top w:val="nil"/>
                    <w:left w:val="single" w:sz="8" w:space="0" w:color="auto"/>
                    <w:bottom w:val="single" w:sz="8" w:space="0" w:color="auto"/>
                    <w:right w:val="single" w:sz="8" w:space="0" w:color="auto"/>
                  </w:tcBorders>
                  <w:vAlign w:val="center"/>
                  <w:hideMark/>
                </w:tcPr>
                <w:p w14:paraId="0B0C08E5" w14:textId="77777777" w:rsidR="000558EA" w:rsidRPr="00FB295C" w:rsidRDefault="000558EA"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 </w:t>
                  </w:r>
                </w:p>
              </w:tc>
              <w:tc>
                <w:tcPr>
                  <w:tcW w:w="1196" w:type="dxa"/>
                  <w:tcBorders>
                    <w:top w:val="nil"/>
                    <w:left w:val="nil"/>
                    <w:bottom w:val="single" w:sz="8" w:space="0" w:color="auto"/>
                    <w:right w:val="single" w:sz="8" w:space="0" w:color="auto"/>
                  </w:tcBorders>
                  <w:vAlign w:val="center"/>
                  <w:hideMark/>
                </w:tcPr>
                <w:p w14:paraId="67BDF19C" w14:textId="77777777" w:rsidR="000558EA" w:rsidRPr="00FB295C" w:rsidRDefault="000558EA"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Number of accounts issued corrected bills exceeding six months</w:t>
                  </w:r>
                </w:p>
              </w:tc>
              <w:tc>
                <w:tcPr>
                  <w:tcW w:w="1490" w:type="dxa"/>
                  <w:tcBorders>
                    <w:top w:val="nil"/>
                    <w:left w:val="nil"/>
                    <w:bottom w:val="single" w:sz="8" w:space="0" w:color="auto"/>
                    <w:right w:val="single" w:sz="8" w:space="0" w:color="auto"/>
                  </w:tcBorders>
                  <w:vAlign w:val="center"/>
                  <w:hideMark/>
                </w:tcPr>
                <w:p w14:paraId="7CEAE541" w14:textId="77777777" w:rsidR="000558EA" w:rsidRPr="00FB295C" w:rsidRDefault="000558EA"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Total amount billed in excess of six months</w:t>
                  </w:r>
                </w:p>
              </w:tc>
              <w:tc>
                <w:tcPr>
                  <w:tcW w:w="1196" w:type="dxa"/>
                  <w:tcBorders>
                    <w:top w:val="nil"/>
                    <w:left w:val="nil"/>
                    <w:bottom w:val="single" w:sz="8" w:space="0" w:color="auto"/>
                    <w:right w:val="single" w:sz="8" w:space="0" w:color="auto"/>
                  </w:tcBorders>
                  <w:vAlign w:val="center"/>
                  <w:hideMark/>
                </w:tcPr>
                <w:p w14:paraId="5A69EAEB" w14:textId="77777777" w:rsidR="000558EA" w:rsidRPr="00FB295C" w:rsidRDefault="000558EA"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Number of accounts issued  corrected bills exceeding six months</w:t>
                  </w:r>
                </w:p>
              </w:tc>
              <w:tc>
                <w:tcPr>
                  <w:tcW w:w="1414" w:type="dxa"/>
                  <w:tcBorders>
                    <w:top w:val="nil"/>
                    <w:left w:val="nil"/>
                    <w:bottom w:val="single" w:sz="8" w:space="0" w:color="auto"/>
                    <w:right w:val="single" w:sz="8" w:space="0" w:color="auto"/>
                  </w:tcBorders>
                  <w:vAlign w:val="center"/>
                  <w:hideMark/>
                </w:tcPr>
                <w:p w14:paraId="2C662066" w14:textId="77777777" w:rsidR="000558EA" w:rsidRPr="00FB295C" w:rsidRDefault="000558EA"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Total amount billed in excess of six months</w:t>
                  </w:r>
                </w:p>
              </w:tc>
            </w:tr>
            <w:tr w:rsidR="000558EA" w:rsidRPr="00EC52EE" w14:paraId="5A044D60" w14:textId="77777777" w:rsidTr="00394276">
              <w:trPr>
                <w:trHeight w:val="379"/>
              </w:trPr>
              <w:tc>
                <w:tcPr>
                  <w:tcW w:w="723" w:type="dxa"/>
                  <w:tcBorders>
                    <w:top w:val="nil"/>
                    <w:left w:val="single" w:sz="8" w:space="0" w:color="auto"/>
                    <w:bottom w:val="single" w:sz="8" w:space="0" w:color="auto"/>
                    <w:right w:val="single" w:sz="8" w:space="0" w:color="auto"/>
                  </w:tcBorders>
                  <w:vAlign w:val="center"/>
                  <w:hideMark/>
                </w:tcPr>
                <w:p w14:paraId="41DB4D07"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2012</w:t>
                  </w:r>
                </w:p>
              </w:tc>
              <w:tc>
                <w:tcPr>
                  <w:tcW w:w="1196" w:type="dxa"/>
                  <w:tcBorders>
                    <w:top w:val="nil"/>
                    <w:left w:val="nil"/>
                    <w:bottom w:val="single" w:sz="8" w:space="0" w:color="auto"/>
                    <w:right w:val="single" w:sz="8" w:space="0" w:color="auto"/>
                  </w:tcBorders>
                  <w:vAlign w:val="center"/>
                  <w:hideMark/>
                </w:tcPr>
                <w:p w14:paraId="1526EF58"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572</w:t>
                  </w:r>
                </w:p>
              </w:tc>
              <w:tc>
                <w:tcPr>
                  <w:tcW w:w="1490" w:type="dxa"/>
                  <w:tcBorders>
                    <w:top w:val="nil"/>
                    <w:left w:val="nil"/>
                    <w:bottom w:val="single" w:sz="8" w:space="0" w:color="auto"/>
                    <w:right w:val="single" w:sz="8" w:space="0" w:color="auto"/>
                  </w:tcBorders>
                  <w:vAlign w:val="center"/>
                  <w:hideMark/>
                </w:tcPr>
                <w:p w14:paraId="11B8C8BB"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$473,216</w:t>
                  </w:r>
                </w:p>
              </w:tc>
              <w:tc>
                <w:tcPr>
                  <w:tcW w:w="1196" w:type="dxa"/>
                  <w:tcBorders>
                    <w:top w:val="nil"/>
                    <w:left w:val="nil"/>
                    <w:bottom w:val="single" w:sz="8" w:space="0" w:color="auto"/>
                    <w:right w:val="single" w:sz="8" w:space="0" w:color="auto"/>
                  </w:tcBorders>
                  <w:vAlign w:val="center"/>
                  <w:hideMark/>
                </w:tcPr>
                <w:p w14:paraId="78F96587"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110</w:t>
                  </w:r>
                </w:p>
              </w:tc>
              <w:tc>
                <w:tcPr>
                  <w:tcW w:w="1414" w:type="dxa"/>
                  <w:tcBorders>
                    <w:top w:val="nil"/>
                    <w:left w:val="nil"/>
                    <w:bottom w:val="single" w:sz="8" w:space="0" w:color="auto"/>
                    <w:right w:val="single" w:sz="8" w:space="0" w:color="auto"/>
                  </w:tcBorders>
                  <w:vAlign w:val="center"/>
                  <w:hideMark/>
                </w:tcPr>
                <w:p w14:paraId="12B8E3B5"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$517,811</w:t>
                  </w:r>
                </w:p>
              </w:tc>
            </w:tr>
            <w:tr w:rsidR="000558EA" w:rsidRPr="00EC52EE" w14:paraId="3BEECE70" w14:textId="77777777" w:rsidTr="00394276">
              <w:trPr>
                <w:trHeight w:val="379"/>
              </w:trPr>
              <w:tc>
                <w:tcPr>
                  <w:tcW w:w="723" w:type="dxa"/>
                  <w:tcBorders>
                    <w:top w:val="nil"/>
                    <w:left w:val="single" w:sz="8" w:space="0" w:color="auto"/>
                    <w:bottom w:val="single" w:sz="8" w:space="0" w:color="auto"/>
                    <w:right w:val="single" w:sz="8" w:space="0" w:color="auto"/>
                  </w:tcBorders>
                  <w:vAlign w:val="center"/>
                  <w:hideMark/>
                </w:tcPr>
                <w:p w14:paraId="721945AC"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2013</w:t>
                  </w:r>
                </w:p>
              </w:tc>
              <w:tc>
                <w:tcPr>
                  <w:tcW w:w="1196" w:type="dxa"/>
                  <w:tcBorders>
                    <w:top w:val="nil"/>
                    <w:left w:val="nil"/>
                    <w:bottom w:val="single" w:sz="8" w:space="0" w:color="auto"/>
                    <w:right w:val="single" w:sz="8" w:space="0" w:color="auto"/>
                  </w:tcBorders>
                  <w:vAlign w:val="center"/>
                  <w:hideMark/>
                </w:tcPr>
                <w:p w14:paraId="4E92C39B"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433</w:t>
                  </w:r>
                </w:p>
              </w:tc>
              <w:tc>
                <w:tcPr>
                  <w:tcW w:w="1490" w:type="dxa"/>
                  <w:tcBorders>
                    <w:top w:val="nil"/>
                    <w:left w:val="nil"/>
                    <w:bottom w:val="single" w:sz="8" w:space="0" w:color="auto"/>
                    <w:right w:val="single" w:sz="8" w:space="0" w:color="auto"/>
                  </w:tcBorders>
                  <w:vAlign w:val="center"/>
                  <w:hideMark/>
                </w:tcPr>
                <w:p w14:paraId="6F66EF57"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$323,100</w:t>
                  </w:r>
                </w:p>
              </w:tc>
              <w:tc>
                <w:tcPr>
                  <w:tcW w:w="1196" w:type="dxa"/>
                  <w:tcBorders>
                    <w:top w:val="nil"/>
                    <w:left w:val="nil"/>
                    <w:bottom w:val="single" w:sz="8" w:space="0" w:color="auto"/>
                    <w:right w:val="single" w:sz="8" w:space="0" w:color="auto"/>
                  </w:tcBorders>
                  <w:vAlign w:val="center"/>
                  <w:hideMark/>
                </w:tcPr>
                <w:p w14:paraId="5AF8DB3C"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69</w:t>
                  </w:r>
                </w:p>
              </w:tc>
              <w:tc>
                <w:tcPr>
                  <w:tcW w:w="1414" w:type="dxa"/>
                  <w:tcBorders>
                    <w:top w:val="nil"/>
                    <w:left w:val="nil"/>
                    <w:bottom w:val="single" w:sz="8" w:space="0" w:color="auto"/>
                    <w:right w:val="single" w:sz="8" w:space="0" w:color="auto"/>
                  </w:tcBorders>
                  <w:vAlign w:val="center"/>
                  <w:hideMark/>
                </w:tcPr>
                <w:p w14:paraId="17FF65BD"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$278,368</w:t>
                  </w:r>
                </w:p>
              </w:tc>
            </w:tr>
            <w:tr w:rsidR="000558EA" w:rsidRPr="00EC52EE" w14:paraId="789A3496" w14:textId="77777777" w:rsidTr="00394276">
              <w:trPr>
                <w:trHeight w:val="379"/>
              </w:trPr>
              <w:tc>
                <w:tcPr>
                  <w:tcW w:w="723" w:type="dxa"/>
                  <w:tcBorders>
                    <w:top w:val="nil"/>
                    <w:left w:val="single" w:sz="8" w:space="0" w:color="auto"/>
                    <w:bottom w:val="single" w:sz="8" w:space="0" w:color="auto"/>
                    <w:right w:val="single" w:sz="8" w:space="0" w:color="auto"/>
                  </w:tcBorders>
                  <w:vAlign w:val="center"/>
                  <w:hideMark/>
                </w:tcPr>
                <w:p w14:paraId="5372832A"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2014</w:t>
                  </w:r>
                </w:p>
              </w:tc>
              <w:tc>
                <w:tcPr>
                  <w:tcW w:w="1196" w:type="dxa"/>
                  <w:tcBorders>
                    <w:top w:val="nil"/>
                    <w:left w:val="nil"/>
                    <w:bottom w:val="single" w:sz="8" w:space="0" w:color="auto"/>
                    <w:right w:val="single" w:sz="8" w:space="0" w:color="auto"/>
                  </w:tcBorders>
                  <w:vAlign w:val="center"/>
                  <w:hideMark/>
                </w:tcPr>
                <w:p w14:paraId="6B1ED259"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536</w:t>
                  </w:r>
                </w:p>
              </w:tc>
              <w:tc>
                <w:tcPr>
                  <w:tcW w:w="1490" w:type="dxa"/>
                  <w:tcBorders>
                    <w:top w:val="nil"/>
                    <w:left w:val="nil"/>
                    <w:bottom w:val="single" w:sz="8" w:space="0" w:color="auto"/>
                    <w:right w:val="single" w:sz="8" w:space="0" w:color="auto"/>
                  </w:tcBorders>
                  <w:vAlign w:val="center"/>
                  <w:hideMark/>
                </w:tcPr>
                <w:p w14:paraId="18789659"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$424,585</w:t>
                  </w:r>
                </w:p>
              </w:tc>
              <w:tc>
                <w:tcPr>
                  <w:tcW w:w="1196" w:type="dxa"/>
                  <w:tcBorders>
                    <w:top w:val="nil"/>
                    <w:left w:val="nil"/>
                    <w:bottom w:val="single" w:sz="8" w:space="0" w:color="auto"/>
                    <w:right w:val="single" w:sz="8" w:space="0" w:color="auto"/>
                  </w:tcBorders>
                  <w:vAlign w:val="center"/>
                  <w:hideMark/>
                </w:tcPr>
                <w:p w14:paraId="652C8B1A"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88</w:t>
                  </w:r>
                </w:p>
              </w:tc>
              <w:tc>
                <w:tcPr>
                  <w:tcW w:w="1414" w:type="dxa"/>
                  <w:tcBorders>
                    <w:top w:val="nil"/>
                    <w:left w:val="nil"/>
                    <w:bottom w:val="single" w:sz="8" w:space="0" w:color="auto"/>
                    <w:right w:val="single" w:sz="8" w:space="0" w:color="auto"/>
                  </w:tcBorders>
                  <w:vAlign w:val="center"/>
                  <w:hideMark/>
                </w:tcPr>
                <w:p w14:paraId="78E15C2D"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$606,874</w:t>
                  </w:r>
                </w:p>
              </w:tc>
            </w:tr>
          </w:tbl>
          <w:p w14:paraId="4EE063A4" w14:textId="77777777" w:rsidR="000558EA" w:rsidRPr="00EC52EE" w:rsidRDefault="000558EA" w:rsidP="000558EA">
            <w:pPr>
              <w:rPr>
                <w:rFonts w:ascii="Times New Roman" w:hAnsi="Times New Roman" w:cs="Times New Roman"/>
                <w:szCs w:val="20"/>
              </w:rPr>
            </w:pPr>
          </w:p>
          <w:p w14:paraId="115B5BE1" w14:textId="77777777" w:rsidR="000558EA" w:rsidRPr="000F244E" w:rsidRDefault="000558EA" w:rsidP="000558EA">
            <w:pPr>
              <w:rPr>
                <w:rFonts w:ascii="Times New Roman" w:hAnsi="Times New Roman" w:cs="Times New Roman"/>
                <w:szCs w:val="20"/>
              </w:rPr>
            </w:pPr>
          </w:p>
          <w:tbl>
            <w:tblPr>
              <w:tblW w:w="3084" w:type="dxa"/>
              <w:tblInd w:w="93" w:type="dxa"/>
              <w:tblLayout w:type="fixed"/>
              <w:tblLook w:val="04A0" w:firstRow="1" w:lastRow="0" w:firstColumn="1" w:lastColumn="0" w:noHBand="0" w:noVBand="1"/>
            </w:tblPr>
            <w:tblGrid>
              <w:gridCol w:w="890"/>
              <w:gridCol w:w="2194"/>
            </w:tblGrid>
            <w:tr w:rsidR="000558EA" w:rsidRPr="00EC52EE" w14:paraId="639F12A6" w14:textId="77777777" w:rsidTr="00BF4091">
              <w:trPr>
                <w:trHeight w:val="379"/>
              </w:trPr>
              <w:tc>
                <w:tcPr>
                  <w:tcW w:w="890" w:type="dxa"/>
                  <w:tcBorders>
                    <w:top w:val="single" w:sz="8" w:space="0" w:color="auto"/>
                    <w:left w:val="single" w:sz="8" w:space="0" w:color="auto"/>
                    <w:bottom w:val="single" w:sz="8" w:space="0" w:color="auto"/>
                    <w:right w:val="single" w:sz="8" w:space="0" w:color="auto"/>
                  </w:tcBorders>
                  <w:vAlign w:val="center"/>
                  <w:hideMark/>
                </w:tcPr>
                <w:p w14:paraId="78E07D48" w14:textId="77777777" w:rsidR="000558EA" w:rsidRPr="00FB295C" w:rsidRDefault="000558EA"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lastRenderedPageBreak/>
                    <w:t>Year</w:t>
                  </w:r>
                </w:p>
              </w:tc>
              <w:tc>
                <w:tcPr>
                  <w:tcW w:w="2194" w:type="dxa"/>
                  <w:tcBorders>
                    <w:top w:val="single" w:sz="8" w:space="0" w:color="auto"/>
                    <w:left w:val="nil"/>
                    <w:bottom w:val="single" w:sz="8" w:space="0" w:color="auto"/>
                    <w:right w:val="single" w:sz="8" w:space="0" w:color="auto"/>
                  </w:tcBorders>
                  <w:vAlign w:val="center"/>
                  <w:hideMark/>
                </w:tcPr>
                <w:p w14:paraId="57333C59" w14:textId="77777777" w:rsidR="000558EA" w:rsidRPr="00FB295C" w:rsidRDefault="000558EA"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Total Revenue</w:t>
                  </w:r>
                </w:p>
              </w:tc>
            </w:tr>
            <w:tr w:rsidR="000558EA" w:rsidRPr="00EC52EE" w14:paraId="42FC854A" w14:textId="77777777" w:rsidTr="00BF4091">
              <w:trPr>
                <w:trHeight w:val="1105"/>
              </w:trPr>
              <w:tc>
                <w:tcPr>
                  <w:tcW w:w="890" w:type="dxa"/>
                  <w:tcBorders>
                    <w:top w:val="nil"/>
                    <w:left w:val="single" w:sz="8" w:space="0" w:color="auto"/>
                    <w:bottom w:val="single" w:sz="8" w:space="0" w:color="auto"/>
                    <w:right w:val="single" w:sz="8" w:space="0" w:color="auto"/>
                  </w:tcBorders>
                  <w:vAlign w:val="center"/>
                  <w:hideMark/>
                </w:tcPr>
                <w:p w14:paraId="689B4EDB" w14:textId="77777777" w:rsidR="000558EA" w:rsidRPr="00FB295C" w:rsidRDefault="000558EA"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 </w:t>
                  </w:r>
                </w:p>
              </w:tc>
              <w:tc>
                <w:tcPr>
                  <w:tcW w:w="2194" w:type="dxa"/>
                  <w:tcBorders>
                    <w:top w:val="nil"/>
                    <w:left w:val="nil"/>
                    <w:bottom w:val="single" w:sz="8" w:space="0" w:color="auto"/>
                    <w:right w:val="single" w:sz="8" w:space="0" w:color="auto"/>
                  </w:tcBorders>
                  <w:vAlign w:val="center"/>
                  <w:hideMark/>
                </w:tcPr>
                <w:p w14:paraId="292D1E9F" w14:textId="77777777" w:rsidR="000558EA" w:rsidRPr="00FB295C" w:rsidRDefault="000558EA"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Company’s total revenue</w:t>
                  </w:r>
                </w:p>
              </w:tc>
            </w:tr>
            <w:tr w:rsidR="000558EA" w:rsidRPr="00EC52EE" w14:paraId="626A9707" w14:textId="77777777" w:rsidTr="00BF4091">
              <w:trPr>
                <w:trHeight w:val="379"/>
              </w:trPr>
              <w:tc>
                <w:tcPr>
                  <w:tcW w:w="890" w:type="dxa"/>
                  <w:tcBorders>
                    <w:top w:val="nil"/>
                    <w:left w:val="single" w:sz="8" w:space="0" w:color="auto"/>
                    <w:bottom w:val="single" w:sz="8" w:space="0" w:color="auto"/>
                    <w:right w:val="single" w:sz="8" w:space="0" w:color="auto"/>
                  </w:tcBorders>
                  <w:vAlign w:val="center"/>
                  <w:hideMark/>
                </w:tcPr>
                <w:p w14:paraId="6C924551"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2012</w:t>
                  </w:r>
                </w:p>
              </w:tc>
              <w:tc>
                <w:tcPr>
                  <w:tcW w:w="2194" w:type="dxa"/>
                  <w:tcBorders>
                    <w:top w:val="nil"/>
                    <w:left w:val="nil"/>
                    <w:bottom w:val="single" w:sz="8" w:space="0" w:color="auto"/>
                    <w:right w:val="single" w:sz="8" w:space="0" w:color="auto"/>
                  </w:tcBorders>
                  <w:vAlign w:val="center"/>
                  <w:hideMark/>
                </w:tcPr>
                <w:p w14:paraId="427A21AC"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$3,248,843,000</w:t>
                  </w:r>
                </w:p>
              </w:tc>
            </w:tr>
            <w:tr w:rsidR="000558EA" w:rsidRPr="00EC52EE" w14:paraId="0789D531" w14:textId="77777777" w:rsidTr="00BF4091">
              <w:trPr>
                <w:trHeight w:val="379"/>
              </w:trPr>
              <w:tc>
                <w:tcPr>
                  <w:tcW w:w="890" w:type="dxa"/>
                  <w:tcBorders>
                    <w:top w:val="nil"/>
                    <w:left w:val="single" w:sz="8" w:space="0" w:color="auto"/>
                    <w:bottom w:val="single" w:sz="8" w:space="0" w:color="auto"/>
                    <w:right w:val="single" w:sz="8" w:space="0" w:color="auto"/>
                  </w:tcBorders>
                  <w:vAlign w:val="center"/>
                  <w:hideMark/>
                </w:tcPr>
                <w:p w14:paraId="2E30D5B0"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2013</w:t>
                  </w:r>
                </w:p>
              </w:tc>
              <w:tc>
                <w:tcPr>
                  <w:tcW w:w="2194" w:type="dxa"/>
                  <w:tcBorders>
                    <w:top w:val="nil"/>
                    <w:left w:val="nil"/>
                    <w:bottom w:val="single" w:sz="8" w:space="0" w:color="auto"/>
                    <w:right w:val="single" w:sz="8" w:space="0" w:color="auto"/>
                  </w:tcBorders>
                  <w:vAlign w:val="center"/>
                  <w:hideMark/>
                </w:tcPr>
                <w:p w14:paraId="22829B3A"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$3,187,335,000</w:t>
                  </w:r>
                </w:p>
              </w:tc>
            </w:tr>
            <w:tr w:rsidR="000558EA" w:rsidRPr="00EC52EE" w14:paraId="655FC860" w14:textId="77777777" w:rsidTr="00BF4091">
              <w:trPr>
                <w:trHeight w:val="379"/>
              </w:trPr>
              <w:tc>
                <w:tcPr>
                  <w:tcW w:w="890" w:type="dxa"/>
                  <w:tcBorders>
                    <w:top w:val="nil"/>
                    <w:left w:val="single" w:sz="8" w:space="0" w:color="auto"/>
                    <w:bottom w:val="single" w:sz="8" w:space="0" w:color="auto"/>
                    <w:right w:val="single" w:sz="8" w:space="0" w:color="auto"/>
                  </w:tcBorders>
                  <w:vAlign w:val="center"/>
                  <w:hideMark/>
                </w:tcPr>
                <w:p w14:paraId="4DC47977"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2014</w:t>
                  </w:r>
                </w:p>
              </w:tc>
              <w:tc>
                <w:tcPr>
                  <w:tcW w:w="2194" w:type="dxa"/>
                  <w:tcBorders>
                    <w:top w:val="nil"/>
                    <w:left w:val="nil"/>
                    <w:bottom w:val="single" w:sz="8" w:space="0" w:color="auto"/>
                    <w:right w:val="single" w:sz="8" w:space="0" w:color="auto"/>
                  </w:tcBorders>
                  <w:vAlign w:val="center"/>
                  <w:hideMark/>
                </w:tcPr>
                <w:p w14:paraId="05749AB5" w14:textId="77777777" w:rsidR="000558EA" w:rsidRPr="00FB295C" w:rsidRDefault="000558EA"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$3,116,123,000</w:t>
                  </w:r>
                </w:p>
              </w:tc>
            </w:tr>
          </w:tbl>
          <w:p w14:paraId="2696F4AD" w14:textId="77777777" w:rsidR="000558EA" w:rsidRDefault="000558EA" w:rsidP="000558EA">
            <w:pPr>
              <w:rPr>
                <w:rFonts w:ascii="Times New Roman" w:hAnsi="Times New Roman" w:cs="Times New Roman"/>
                <w:szCs w:val="20"/>
              </w:rPr>
            </w:pPr>
          </w:p>
          <w:p w14:paraId="19908E78" w14:textId="77777777" w:rsidR="0032553B" w:rsidRPr="00EC52EE" w:rsidRDefault="0032553B" w:rsidP="000558EA">
            <w:pPr>
              <w:rPr>
                <w:rFonts w:ascii="Times New Roman" w:hAnsi="Times New Roman" w:cs="Times New Roman"/>
                <w:szCs w:val="20"/>
              </w:rPr>
            </w:pPr>
          </w:p>
          <w:p w14:paraId="751F5F65" w14:textId="77777777" w:rsidR="000558EA" w:rsidRPr="00EC52EE" w:rsidRDefault="000558EA" w:rsidP="000558EA">
            <w:pPr>
              <w:rPr>
                <w:rFonts w:ascii="Times New Roman" w:hAnsi="Times New Roman" w:cs="Times New Roman"/>
                <w:sz w:val="24"/>
                <w:szCs w:val="24"/>
              </w:rPr>
            </w:pPr>
          </w:p>
        </w:tc>
        <w:tc>
          <w:tcPr>
            <w:tcW w:w="4248" w:type="dxa"/>
            <w:vMerge/>
          </w:tcPr>
          <w:p w14:paraId="751F5F66" w14:textId="77777777" w:rsidR="000558EA" w:rsidRPr="00EC52EE" w:rsidRDefault="000558EA" w:rsidP="000558EA">
            <w:pPr>
              <w:rPr>
                <w:rFonts w:ascii="Times New Roman" w:hAnsi="Times New Roman" w:cs="Times New Roman"/>
                <w:sz w:val="24"/>
                <w:szCs w:val="24"/>
              </w:rPr>
            </w:pPr>
          </w:p>
        </w:tc>
      </w:tr>
      <w:tr w:rsidR="000558EA" w:rsidRPr="00EC52EE" w14:paraId="751F5F9A" w14:textId="77777777" w:rsidTr="002B46DD">
        <w:trPr>
          <w:cantSplit/>
          <w:trHeight w:val="82"/>
        </w:trPr>
        <w:tc>
          <w:tcPr>
            <w:tcW w:w="1705" w:type="dxa"/>
            <w:vMerge/>
          </w:tcPr>
          <w:p w14:paraId="751F5F68" w14:textId="77777777" w:rsidR="000558EA" w:rsidRPr="00EC52EE" w:rsidRDefault="000558EA" w:rsidP="000558EA">
            <w:pPr>
              <w:rPr>
                <w:rFonts w:ascii="Times New Roman" w:hAnsi="Times New Roman" w:cs="Times New Roman"/>
                <w:b/>
                <w:sz w:val="24"/>
                <w:szCs w:val="24"/>
              </w:rPr>
            </w:pPr>
          </w:p>
        </w:tc>
        <w:tc>
          <w:tcPr>
            <w:tcW w:w="1530" w:type="dxa"/>
          </w:tcPr>
          <w:p w14:paraId="751F5F69" w14:textId="1196A072" w:rsidR="000558EA" w:rsidRPr="00EC52EE" w:rsidRDefault="00981E10" w:rsidP="000558EA">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tbl>
            <w:tblPr>
              <w:tblW w:w="6210" w:type="dxa"/>
              <w:tblLayout w:type="fixed"/>
              <w:tblCellMar>
                <w:left w:w="0" w:type="dxa"/>
                <w:right w:w="0" w:type="dxa"/>
              </w:tblCellMar>
              <w:tblLook w:val="04A0" w:firstRow="1" w:lastRow="0" w:firstColumn="1" w:lastColumn="0" w:noHBand="0" w:noVBand="1"/>
            </w:tblPr>
            <w:tblGrid>
              <w:gridCol w:w="631"/>
              <w:gridCol w:w="1050"/>
              <w:gridCol w:w="1933"/>
              <w:gridCol w:w="1066"/>
              <w:gridCol w:w="1530"/>
            </w:tblGrid>
            <w:tr w:rsidR="000558EA" w:rsidRPr="00EC52EE" w14:paraId="75BDDAB2" w14:textId="77777777" w:rsidTr="00652776">
              <w:trPr>
                <w:trHeight w:val="281"/>
              </w:trPr>
              <w:tc>
                <w:tcPr>
                  <w:tcW w:w="631" w:type="dxa"/>
                  <w:vMerge w:val="restart"/>
                  <w:tcBorders>
                    <w:top w:val="single" w:sz="12" w:space="0" w:color="auto"/>
                    <w:left w:val="single" w:sz="12" w:space="0" w:color="auto"/>
                    <w:bottom w:val="single" w:sz="8" w:space="0" w:color="auto"/>
                    <w:right w:val="single" w:sz="8" w:space="0" w:color="auto"/>
                  </w:tcBorders>
                  <w:noWrap/>
                  <w:tcMar>
                    <w:top w:w="0" w:type="dxa"/>
                    <w:left w:w="108" w:type="dxa"/>
                    <w:bottom w:w="0" w:type="dxa"/>
                    <w:right w:w="108" w:type="dxa"/>
                  </w:tcMar>
                  <w:hideMark/>
                </w:tcPr>
                <w:p w14:paraId="0835569C" w14:textId="77777777" w:rsidR="000558EA" w:rsidRPr="00FB295C" w:rsidRDefault="000558EA"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Year</w:t>
                  </w:r>
                </w:p>
              </w:tc>
              <w:tc>
                <w:tcPr>
                  <w:tcW w:w="2983" w:type="dxa"/>
                  <w:gridSpan w:val="2"/>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1485646" w14:textId="77777777" w:rsidR="000558EA" w:rsidRPr="00FB295C" w:rsidRDefault="000558EA"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Residential</w:t>
                  </w:r>
                </w:p>
              </w:tc>
              <w:tc>
                <w:tcPr>
                  <w:tcW w:w="2596" w:type="dxa"/>
                  <w:gridSpan w:val="2"/>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4F22665D" w14:textId="77777777" w:rsidR="000558EA" w:rsidRPr="00FB295C" w:rsidRDefault="000558EA"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Non Residential</w:t>
                  </w:r>
                </w:p>
              </w:tc>
            </w:tr>
            <w:tr w:rsidR="000558EA" w:rsidRPr="00EC52EE" w14:paraId="6E712579" w14:textId="77777777" w:rsidTr="00652776">
              <w:trPr>
                <w:trHeight w:val="300"/>
              </w:trPr>
              <w:tc>
                <w:tcPr>
                  <w:tcW w:w="631" w:type="dxa"/>
                  <w:vMerge/>
                  <w:tcBorders>
                    <w:top w:val="single" w:sz="12" w:space="0" w:color="auto"/>
                    <w:left w:val="single" w:sz="12" w:space="0" w:color="auto"/>
                    <w:bottom w:val="single" w:sz="8" w:space="0" w:color="auto"/>
                    <w:right w:val="single" w:sz="8" w:space="0" w:color="auto"/>
                  </w:tcBorders>
                  <w:vAlign w:val="center"/>
                  <w:hideMark/>
                </w:tcPr>
                <w:p w14:paraId="0F7BCCF6" w14:textId="77777777" w:rsidR="000558EA" w:rsidRPr="00FB295C" w:rsidRDefault="000558EA" w:rsidP="00A05C26">
                  <w:pPr>
                    <w:framePr w:hSpace="180" w:wrap="around" w:hAnchor="margin" w:y="-720"/>
                    <w:rPr>
                      <w:rFonts w:ascii="Times New Roman" w:hAnsi="Times New Roman" w:cs="Times New Roman"/>
                      <w:color w:val="000000"/>
                      <w:sz w:val="20"/>
                      <w:lang w:eastAsia="zh-CN"/>
                    </w:rPr>
                  </w:pPr>
                </w:p>
              </w:tc>
              <w:tc>
                <w:tcPr>
                  <w:tcW w:w="4916" w:type="dxa"/>
                  <w:gridSpan w:val="2"/>
                  <w:vMerge/>
                  <w:tcBorders>
                    <w:top w:val="single" w:sz="12" w:space="0" w:color="auto"/>
                    <w:left w:val="nil"/>
                    <w:bottom w:val="single" w:sz="8" w:space="0" w:color="auto"/>
                    <w:right w:val="single" w:sz="8" w:space="0" w:color="auto"/>
                  </w:tcBorders>
                  <w:vAlign w:val="center"/>
                  <w:hideMark/>
                </w:tcPr>
                <w:p w14:paraId="1B72BB3B" w14:textId="77777777" w:rsidR="000558EA" w:rsidRPr="00FB295C" w:rsidRDefault="000558EA" w:rsidP="00A05C26">
                  <w:pPr>
                    <w:framePr w:hSpace="180" w:wrap="around" w:hAnchor="margin" w:y="-720"/>
                    <w:rPr>
                      <w:rFonts w:ascii="Times New Roman" w:hAnsi="Times New Roman" w:cs="Times New Roman"/>
                      <w:color w:val="000000"/>
                      <w:sz w:val="20"/>
                      <w:lang w:eastAsia="zh-CN"/>
                    </w:rPr>
                  </w:pPr>
                </w:p>
              </w:tc>
              <w:tc>
                <w:tcPr>
                  <w:tcW w:w="4126" w:type="dxa"/>
                  <w:gridSpan w:val="2"/>
                  <w:vMerge/>
                  <w:tcBorders>
                    <w:top w:val="single" w:sz="12" w:space="0" w:color="auto"/>
                    <w:left w:val="nil"/>
                    <w:bottom w:val="single" w:sz="8" w:space="0" w:color="auto"/>
                    <w:right w:val="single" w:sz="8" w:space="0" w:color="auto"/>
                  </w:tcBorders>
                  <w:vAlign w:val="center"/>
                  <w:hideMark/>
                </w:tcPr>
                <w:p w14:paraId="1B859350" w14:textId="77777777" w:rsidR="000558EA" w:rsidRPr="00FB295C" w:rsidRDefault="000558EA" w:rsidP="00A05C26">
                  <w:pPr>
                    <w:framePr w:hSpace="180" w:wrap="around" w:hAnchor="margin" w:y="-720"/>
                    <w:rPr>
                      <w:rFonts w:ascii="Times New Roman" w:hAnsi="Times New Roman" w:cs="Times New Roman"/>
                      <w:color w:val="000000"/>
                      <w:sz w:val="20"/>
                      <w:lang w:eastAsia="zh-CN"/>
                    </w:rPr>
                  </w:pPr>
                </w:p>
              </w:tc>
            </w:tr>
            <w:tr w:rsidR="000558EA" w:rsidRPr="00EC52EE" w14:paraId="5450E53B" w14:textId="77777777" w:rsidTr="00652776">
              <w:trPr>
                <w:trHeight w:val="900"/>
              </w:trPr>
              <w:tc>
                <w:tcPr>
                  <w:tcW w:w="63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05B782C1"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14:paraId="6C1FD9E3"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of accounts with corrected bill exceeding 6 months</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1CF6C703"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Total amount billed in excess of 6 months</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14:paraId="423D8725"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of accounts with corrected bill exceeding 6 months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D76741A"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Total amount billed in excess of 6 months</w:t>
                  </w:r>
                </w:p>
              </w:tc>
            </w:tr>
            <w:tr w:rsidR="000558EA" w:rsidRPr="00EC52EE" w14:paraId="3DF9E22C" w14:textId="77777777" w:rsidTr="00652776">
              <w:trPr>
                <w:trHeight w:val="300"/>
              </w:trPr>
              <w:tc>
                <w:tcPr>
                  <w:tcW w:w="63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3E76F5D4"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2012</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14:paraId="74C1A758"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1</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hideMark/>
                </w:tcPr>
                <w:p w14:paraId="443DD94C"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84.68</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14:paraId="13C61C0B"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22E86E6"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N/A</w:t>
                  </w:r>
                </w:p>
              </w:tc>
            </w:tr>
            <w:tr w:rsidR="000558EA" w:rsidRPr="00EC52EE" w14:paraId="029B4CE0" w14:textId="77777777" w:rsidTr="00652776">
              <w:trPr>
                <w:trHeight w:val="300"/>
              </w:trPr>
              <w:tc>
                <w:tcPr>
                  <w:tcW w:w="63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366689CD"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2013</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14:paraId="16C152D2"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0</w:t>
                  </w:r>
                </w:p>
              </w:tc>
              <w:tc>
                <w:tcPr>
                  <w:tcW w:w="1933" w:type="dxa"/>
                  <w:tcBorders>
                    <w:top w:val="nil"/>
                    <w:left w:val="nil"/>
                    <w:bottom w:val="single" w:sz="8" w:space="0" w:color="auto"/>
                    <w:right w:val="single" w:sz="8" w:space="0" w:color="auto"/>
                  </w:tcBorders>
                  <w:noWrap/>
                  <w:tcMar>
                    <w:top w:w="0" w:type="dxa"/>
                    <w:left w:w="108" w:type="dxa"/>
                    <w:bottom w:w="0" w:type="dxa"/>
                    <w:right w:w="108" w:type="dxa"/>
                  </w:tcMar>
                  <w:hideMark/>
                </w:tcPr>
                <w:p w14:paraId="1192F17F"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14:paraId="4D47593F"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537A3FF"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N/A</w:t>
                  </w:r>
                </w:p>
              </w:tc>
            </w:tr>
            <w:tr w:rsidR="000558EA" w:rsidRPr="00EC52EE" w14:paraId="03CC5C89" w14:textId="77777777" w:rsidTr="00652776">
              <w:trPr>
                <w:trHeight w:val="315"/>
              </w:trPr>
              <w:tc>
                <w:tcPr>
                  <w:tcW w:w="631" w:type="dxa"/>
                  <w:tcBorders>
                    <w:top w:val="nil"/>
                    <w:left w:val="single" w:sz="12" w:space="0" w:color="auto"/>
                    <w:bottom w:val="single" w:sz="12" w:space="0" w:color="auto"/>
                    <w:right w:val="single" w:sz="8" w:space="0" w:color="auto"/>
                  </w:tcBorders>
                  <w:noWrap/>
                  <w:tcMar>
                    <w:top w:w="0" w:type="dxa"/>
                    <w:left w:w="108" w:type="dxa"/>
                    <w:bottom w:w="0" w:type="dxa"/>
                    <w:right w:w="108" w:type="dxa"/>
                  </w:tcMar>
                  <w:hideMark/>
                </w:tcPr>
                <w:p w14:paraId="1AE0DBAF"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2014</w:t>
                  </w:r>
                </w:p>
              </w:tc>
              <w:tc>
                <w:tcPr>
                  <w:tcW w:w="1050" w:type="dxa"/>
                  <w:tcBorders>
                    <w:top w:val="nil"/>
                    <w:left w:val="nil"/>
                    <w:bottom w:val="single" w:sz="12" w:space="0" w:color="auto"/>
                    <w:right w:val="single" w:sz="8" w:space="0" w:color="auto"/>
                  </w:tcBorders>
                  <w:tcMar>
                    <w:top w:w="0" w:type="dxa"/>
                    <w:left w:w="108" w:type="dxa"/>
                    <w:bottom w:w="0" w:type="dxa"/>
                    <w:right w:w="108" w:type="dxa"/>
                  </w:tcMar>
                  <w:hideMark/>
                </w:tcPr>
                <w:p w14:paraId="3F5885CB"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w:t>
                  </w:r>
                </w:p>
              </w:tc>
              <w:tc>
                <w:tcPr>
                  <w:tcW w:w="1933" w:type="dxa"/>
                  <w:tcBorders>
                    <w:top w:val="nil"/>
                    <w:left w:val="nil"/>
                    <w:bottom w:val="single" w:sz="12" w:space="0" w:color="auto"/>
                    <w:right w:val="single" w:sz="8" w:space="0" w:color="auto"/>
                  </w:tcBorders>
                  <w:noWrap/>
                  <w:tcMar>
                    <w:top w:w="0" w:type="dxa"/>
                    <w:left w:w="108" w:type="dxa"/>
                    <w:bottom w:w="0" w:type="dxa"/>
                    <w:right w:w="108" w:type="dxa"/>
                  </w:tcMar>
                  <w:hideMark/>
                </w:tcPr>
                <w:p w14:paraId="42119696"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40.24</w:t>
                  </w:r>
                </w:p>
              </w:tc>
              <w:tc>
                <w:tcPr>
                  <w:tcW w:w="1066" w:type="dxa"/>
                  <w:tcBorders>
                    <w:top w:val="nil"/>
                    <w:left w:val="nil"/>
                    <w:bottom w:val="single" w:sz="12" w:space="0" w:color="auto"/>
                    <w:right w:val="single" w:sz="8" w:space="0" w:color="auto"/>
                  </w:tcBorders>
                  <w:tcMar>
                    <w:top w:w="0" w:type="dxa"/>
                    <w:left w:w="108" w:type="dxa"/>
                    <w:bottom w:w="0" w:type="dxa"/>
                    <w:right w:w="108" w:type="dxa"/>
                  </w:tcMar>
                  <w:hideMark/>
                </w:tcPr>
                <w:p w14:paraId="37CACA2A"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0</w:t>
                  </w:r>
                </w:p>
              </w:tc>
              <w:tc>
                <w:tcPr>
                  <w:tcW w:w="1530" w:type="dxa"/>
                  <w:tcBorders>
                    <w:top w:val="nil"/>
                    <w:left w:val="nil"/>
                    <w:bottom w:val="single" w:sz="12" w:space="0" w:color="auto"/>
                    <w:right w:val="single" w:sz="8" w:space="0" w:color="auto"/>
                  </w:tcBorders>
                  <w:tcMar>
                    <w:top w:w="0" w:type="dxa"/>
                    <w:left w:w="108" w:type="dxa"/>
                    <w:bottom w:w="0" w:type="dxa"/>
                    <w:right w:w="108" w:type="dxa"/>
                  </w:tcMar>
                  <w:hideMark/>
                </w:tcPr>
                <w:p w14:paraId="79BA86A5"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N/A</w:t>
                  </w:r>
                </w:p>
              </w:tc>
            </w:tr>
          </w:tbl>
          <w:p w14:paraId="52069928" w14:textId="77777777" w:rsidR="000558EA" w:rsidRPr="00EC52EE" w:rsidRDefault="000558EA" w:rsidP="000558EA">
            <w:pPr>
              <w:autoSpaceDE w:val="0"/>
              <w:autoSpaceDN w:val="0"/>
              <w:adjustRightInd w:val="0"/>
              <w:rPr>
                <w:rFonts w:ascii="Times New Roman" w:eastAsiaTheme="minorEastAsia" w:hAnsi="Times New Roman" w:cs="Times New Roman"/>
                <w:color w:val="000000"/>
                <w:sz w:val="24"/>
                <w:szCs w:val="24"/>
                <w:lang w:eastAsia="zh-CN"/>
              </w:rPr>
            </w:pPr>
          </w:p>
          <w:p w14:paraId="622E85DF" w14:textId="5E8D5E1F" w:rsidR="000558EA" w:rsidRPr="00FB295C" w:rsidRDefault="000558EA" w:rsidP="000558EA">
            <w:pPr>
              <w:autoSpaceDE w:val="0"/>
              <w:autoSpaceDN w:val="0"/>
              <w:adjustRightInd w:val="0"/>
              <w:rPr>
                <w:rFonts w:ascii="Times New Roman" w:eastAsiaTheme="minorEastAsia" w:hAnsi="Times New Roman" w:cs="Times New Roman"/>
                <w:color w:val="000000"/>
                <w:szCs w:val="24"/>
                <w:lang w:eastAsia="zh-CN"/>
              </w:rPr>
            </w:pPr>
            <w:r w:rsidRPr="00FB295C">
              <w:rPr>
                <w:rFonts w:ascii="Times New Roman" w:eastAsiaTheme="minorEastAsia" w:hAnsi="Times New Roman" w:cs="Times New Roman"/>
                <w:color w:val="000000"/>
                <w:szCs w:val="24"/>
                <w:lang w:eastAsia="zh-CN"/>
              </w:rPr>
              <w:t xml:space="preserve">Please note that </w:t>
            </w:r>
            <w:proofErr w:type="spellStart"/>
            <w:r w:rsidRPr="00FB295C">
              <w:rPr>
                <w:rFonts w:ascii="Times New Roman" w:eastAsiaTheme="minorEastAsia" w:hAnsi="Times New Roman" w:cs="Times New Roman"/>
                <w:color w:val="000000"/>
                <w:szCs w:val="24"/>
                <w:lang w:eastAsia="zh-CN"/>
              </w:rPr>
              <w:t>NWNG</w:t>
            </w:r>
            <w:proofErr w:type="spellEnd"/>
            <w:r w:rsidRPr="00FB295C">
              <w:rPr>
                <w:rFonts w:ascii="Times New Roman" w:eastAsiaTheme="minorEastAsia" w:hAnsi="Times New Roman" w:cs="Times New Roman"/>
                <w:color w:val="000000"/>
                <w:szCs w:val="24"/>
                <w:lang w:eastAsia="zh-CN"/>
              </w:rPr>
              <w:t xml:space="preserve"> does not track bills issued for unassigned usage.  The data presented above is specific only to corrected bills issued due to meter failure or malfunction. </w:t>
            </w:r>
          </w:p>
          <w:p w14:paraId="2DD29CE5" w14:textId="77777777" w:rsidR="000558EA" w:rsidRPr="00FB295C" w:rsidRDefault="000558EA" w:rsidP="000558EA">
            <w:pPr>
              <w:autoSpaceDE w:val="0"/>
              <w:autoSpaceDN w:val="0"/>
              <w:adjustRightInd w:val="0"/>
              <w:rPr>
                <w:rFonts w:ascii="Times New Roman" w:eastAsiaTheme="minorEastAsia" w:hAnsi="Times New Roman" w:cs="Times New Roman"/>
                <w:color w:val="000000"/>
                <w:szCs w:val="24"/>
                <w:lang w:eastAsia="zh-CN"/>
              </w:rPr>
            </w:pPr>
          </w:p>
          <w:p w14:paraId="03D9D1B7" w14:textId="77777777" w:rsidR="000558EA" w:rsidRPr="00FB295C" w:rsidRDefault="000558EA" w:rsidP="000558EA">
            <w:pPr>
              <w:autoSpaceDE w:val="0"/>
              <w:autoSpaceDN w:val="0"/>
              <w:adjustRightInd w:val="0"/>
              <w:rPr>
                <w:rFonts w:ascii="Times New Roman" w:eastAsiaTheme="minorEastAsia" w:hAnsi="Times New Roman" w:cs="Times New Roman"/>
                <w:color w:val="000000"/>
                <w:szCs w:val="24"/>
                <w:lang w:eastAsia="zh-CN"/>
              </w:rPr>
            </w:pPr>
          </w:p>
          <w:tbl>
            <w:tblPr>
              <w:tblW w:w="2311" w:type="dxa"/>
              <w:tblLayout w:type="fixed"/>
              <w:tblCellMar>
                <w:left w:w="0" w:type="dxa"/>
                <w:right w:w="0" w:type="dxa"/>
              </w:tblCellMar>
              <w:tblLook w:val="04A0" w:firstRow="1" w:lastRow="0" w:firstColumn="1" w:lastColumn="0" w:noHBand="0" w:noVBand="1"/>
            </w:tblPr>
            <w:tblGrid>
              <w:gridCol w:w="961"/>
              <w:gridCol w:w="1350"/>
            </w:tblGrid>
            <w:tr w:rsidR="000558EA" w:rsidRPr="00EC52EE" w14:paraId="4ADA705C" w14:textId="77777777" w:rsidTr="0004080A">
              <w:trPr>
                <w:trHeight w:val="622"/>
              </w:trPr>
              <w:tc>
                <w:tcPr>
                  <w:tcW w:w="961" w:type="dxa"/>
                  <w:tcBorders>
                    <w:top w:val="single" w:sz="12" w:space="0" w:color="auto"/>
                    <w:left w:val="single" w:sz="12" w:space="0" w:color="auto"/>
                    <w:bottom w:val="nil"/>
                    <w:right w:val="single" w:sz="8" w:space="0" w:color="auto"/>
                  </w:tcBorders>
                  <w:noWrap/>
                  <w:tcMar>
                    <w:top w:w="0" w:type="dxa"/>
                    <w:left w:w="108" w:type="dxa"/>
                    <w:bottom w:w="0" w:type="dxa"/>
                    <w:right w:w="108" w:type="dxa"/>
                  </w:tcMar>
                  <w:hideMark/>
                </w:tcPr>
                <w:p w14:paraId="564F08C2" w14:textId="77777777" w:rsidR="000558EA" w:rsidRPr="00FB295C" w:rsidRDefault="000558EA" w:rsidP="00A05C26">
                  <w:pPr>
                    <w:framePr w:hSpace="180" w:wrap="around" w:hAnchor="margin" w:y="-720"/>
                    <w:spacing w:line="276" w:lineRule="auto"/>
                    <w:rPr>
                      <w:rFonts w:ascii="Times New Roman" w:hAnsi="Times New Roman" w:cs="Times New Roman"/>
                      <w:i/>
                      <w:color w:val="000000"/>
                      <w:sz w:val="20"/>
                      <w:lang w:eastAsia="zh-CN"/>
                    </w:rPr>
                  </w:pPr>
                  <w:r w:rsidRPr="00FB295C">
                    <w:rPr>
                      <w:rFonts w:ascii="Times New Roman" w:hAnsi="Times New Roman" w:cs="Times New Roman"/>
                      <w:color w:val="000000"/>
                      <w:sz w:val="20"/>
                      <w:lang w:eastAsia="zh-CN"/>
                    </w:rPr>
                    <w:lastRenderedPageBreak/>
                    <w:t>Year</w:t>
                  </w:r>
                </w:p>
              </w:tc>
              <w:tc>
                <w:tcPr>
                  <w:tcW w:w="1350" w:type="dxa"/>
                  <w:tcBorders>
                    <w:top w:val="single" w:sz="12" w:space="0" w:color="auto"/>
                    <w:left w:val="nil"/>
                    <w:bottom w:val="nil"/>
                    <w:right w:val="single" w:sz="12" w:space="0" w:color="auto"/>
                  </w:tcBorders>
                  <w:noWrap/>
                  <w:tcMar>
                    <w:top w:w="0" w:type="dxa"/>
                    <w:left w:w="108" w:type="dxa"/>
                    <w:bottom w:w="0" w:type="dxa"/>
                    <w:right w:w="108" w:type="dxa"/>
                  </w:tcMar>
                  <w:hideMark/>
                </w:tcPr>
                <w:p w14:paraId="310FEBEB" w14:textId="77777777" w:rsidR="000558EA" w:rsidRPr="00FB295C" w:rsidRDefault="000558EA" w:rsidP="00A05C26">
                  <w:pPr>
                    <w:framePr w:hSpace="180" w:wrap="around" w:hAnchor="margin" w:y="-720"/>
                    <w:spacing w:line="276" w:lineRule="auto"/>
                    <w:rPr>
                      <w:rFonts w:ascii="Times New Roman" w:hAnsi="Times New Roman" w:cs="Times New Roman"/>
                      <w:i/>
                      <w:color w:val="000000"/>
                      <w:sz w:val="20"/>
                      <w:lang w:eastAsia="zh-CN"/>
                    </w:rPr>
                  </w:pPr>
                  <w:r w:rsidRPr="00FB295C">
                    <w:rPr>
                      <w:rFonts w:ascii="Times New Roman" w:hAnsi="Times New Roman" w:cs="Times New Roman"/>
                      <w:i/>
                      <w:color w:val="000000"/>
                      <w:sz w:val="20"/>
                      <w:lang w:eastAsia="zh-CN"/>
                    </w:rPr>
                    <w:t>Total Revenue</w:t>
                  </w:r>
                </w:p>
              </w:tc>
            </w:tr>
            <w:tr w:rsidR="000558EA" w:rsidRPr="00EC52EE" w14:paraId="7F363D0F" w14:textId="77777777" w:rsidTr="0004080A">
              <w:trPr>
                <w:trHeight w:val="300"/>
              </w:trPr>
              <w:tc>
                <w:tcPr>
                  <w:tcW w:w="96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39155908"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2012</w:t>
                  </w:r>
                </w:p>
              </w:tc>
              <w:tc>
                <w:tcPr>
                  <w:tcW w:w="1350" w:type="dxa"/>
                  <w:tcBorders>
                    <w:top w:val="nil"/>
                    <w:left w:val="nil"/>
                    <w:bottom w:val="single" w:sz="8" w:space="0" w:color="auto"/>
                    <w:right w:val="single" w:sz="12" w:space="0" w:color="auto"/>
                  </w:tcBorders>
                  <w:noWrap/>
                  <w:tcMar>
                    <w:top w:w="0" w:type="dxa"/>
                    <w:left w:w="108" w:type="dxa"/>
                    <w:bottom w:w="0" w:type="dxa"/>
                    <w:right w:w="108" w:type="dxa"/>
                  </w:tcMar>
                  <w:hideMark/>
                </w:tcPr>
                <w:p w14:paraId="0305590F"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sz w:val="20"/>
                      <w:szCs w:val="20"/>
                      <w:lang w:eastAsia="zh-CN"/>
                    </w:rPr>
                    <w:t>$69,954,449</w:t>
                  </w:r>
                </w:p>
              </w:tc>
            </w:tr>
            <w:tr w:rsidR="000558EA" w:rsidRPr="00EC52EE" w14:paraId="43FDD620" w14:textId="77777777" w:rsidTr="0004080A">
              <w:trPr>
                <w:trHeight w:val="300"/>
              </w:trPr>
              <w:tc>
                <w:tcPr>
                  <w:tcW w:w="96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5ED15386"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2013</w:t>
                  </w:r>
                </w:p>
              </w:tc>
              <w:tc>
                <w:tcPr>
                  <w:tcW w:w="1350" w:type="dxa"/>
                  <w:tcBorders>
                    <w:top w:val="nil"/>
                    <w:left w:val="nil"/>
                    <w:bottom w:val="single" w:sz="8" w:space="0" w:color="auto"/>
                    <w:right w:val="single" w:sz="12" w:space="0" w:color="auto"/>
                  </w:tcBorders>
                  <w:noWrap/>
                  <w:tcMar>
                    <w:top w:w="0" w:type="dxa"/>
                    <w:left w:w="108" w:type="dxa"/>
                    <w:bottom w:w="0" w:type="dxa"/>
                    <w:right w:w="108" w:type="dxa"/>
                  </w:tcMar>
                  <w:hideMark/>
                </w:tcPr>
                <w:p w14:paraId="1F7E1BD1"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sz w:val="20"/>
                      <w:szCs w:val="20"/>
                      <w:lang w:eastAsia="zh-CN"/>
                    </w:rPr>
                    <w:t>$73,988,411</w:t>
                  </w:r>
                </w:p>
              </w:tc>
            </w:tr>
            <w:tr w:rsidR="000558EA" w:rsidRPr="00EC52EE" w14:paraId="28D30E47" w14:textId="77777777" w:rsidTr="0004080A">
              <w:trPr>
                <w:trHeight w:val="315"/>
              </w:trPr>
              <w:tc>
                <w:tcPr>
                  <w:tcW w:w="961" w:type="dxa"/>
                  <w:tcBorders>
                    <w:top w:val="nil"/>
                    <w:left w:val="single" w:sz="12" w:space="0" w:color="auto"/>
                    <w:bottom w:val="single" w:sz="12" w:space="0" w:color="auto"/>
                    <w:right w:val="single" w:sz="8" w:space="0" w:color="auto"/>
                  </w:tcBorders>
                  <w:noWrap/>
                  <w:tcMar>
                    <w:top w:w="0" w:type="dxa"/>
                    <w:left w:w="108" w:type="dxa"/>
                    <w:bottom w:w="0" w:type="dxa"/>
                    <w:right w:w="108" w:type="dxa"/>
                  </w:tcMar>
                  <w:hideMark/>
                </w:tcPr>
                <w:p w14:paraId="7C0C621D"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2014</w:t>
                  </w:r>
                </w:p>
              </w:tc>
              <w:tc>
                <w:tcPr>
                  <w:tcW w:w="1350" w:type="dxa"/>
                  <w:tcBorders>
                    <w:top w:val="nil"/>
                    <w:left w:val="nil"/>
                    <w:bottom w:val="single" w:sz="12" w:space="0" w:color="auto"/>
                    <w:right w:val="single" w:sz="12" w:space="0" w:color="auto"/>
                  </w:tcBorders>
                  <w:noWrap/>
                  <w:tcMar>
                    <w:top w:w="0" w:type="dxa"/>
                    <w:left w:w="108" w:type="dxa"/>
                    <w:bottom w:w="0" w:type="dxa"/>
                    <w:right w:w="108" w:type="dxa"/>
                  </w:tcMar>
                  <w:hideMark/>
                </w:tcPr>
                <w:p w14:paraId="021CE03C" w14:textId="77777777" w:rsidR="000558EA" w:rsidRPr="00FB295C" w:rsidRDefault="000558EA"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sz w:val="20"/>
                      <w:szCs w:val="20"/>
                      <w:lang w:eastAsia="zh-CN"/>
                    </w:rPr>
                    <w:t>$71,567,785</w:t>
                  </w:r>
                </w:p>
              </w:tc>
            </w:tr>
          </w:tbl>
          <w:p w14:paraId="43D78147" w14:textId="77777777" w:rsidR="000558EA" w:rsidRPr="00FB295C" w:rsidRDefault="000558EA" w:rsidP="000558EA">
            <w:pPr>
              <w:autoSpaceDE w:val="0"/>
              <w:autoSpaceDN w:val="0"/>
              <w:adjustRightInd w:val="0"/>
              <w:rPr>
                <w:rFonts w:ascii="Times New Roman" w:eastAsiaTheme="minorEastAsia" w:hAnsi="Times New Roman" w:cs="Times New Roman"/>
                <w:color w:val="000000"/>
                <w:szCs w:val="24"/>
                <w:lang w:eastAsia="zh-CN"/>
              </w:rPr>
            </w:pPr>
          </w:p>
          <w:p w14:paraId="751F5F98" w14:textId="77777777" w:rsidR="000558EA" w:rsidRPr="000F244E" w:rsidRDefault="000558EA" w:rsidP="000558EA">
            <w:pPr>
              <w:rPr>
                <w:rFonts w:ascii="Times New Roman" w:hAnsi="Times New Roman" w:cs="Times New Roman"/>
                <w:szCs w:val="20"/>
              </w:rPr>
            </w:pPr>
          </w:p>
        </w:tc>
        <w:tc>
          <w:tcPr>
            <w:tcW w:w="4248" w:type="dxa"/>
            <w:vMerge/>
          </w:tcPr>
          <w:p w14:paraId="751F5F99" w14:textId="77777777" w:rsidR="000558EA" w:rsidRPr="00EC52EE" w:rsidRDefault="000558EA" w:rsidP="000558EA">
            <w:pPr>
              <w:rPr>
                <w:rFonts w:ascii="Times New Roman" w:hAnsi="Times New Roman" w:cs="Times New Roman"/>
                <w:sz w:val="24"/>
                <w:szCs w:val="24"/>
              </w:rPr>
            </w:pPr>
          </w:p>
        </w:tc>
      </w:tr>
      <w:tr w:rsidR="000558EA" w:rsidRPr="00EC52EE" w14:paraId="751F5FD0" w14:textId="77777777" w:rsidTr="002B46DD">
        <w:trPr>
          <w:cantSplit/>
          <w:trHeight w:val="82"/>
        </w:trPr>
        <w:tc>
          <w:tcPr>
            <w:tcW w:w="1705" w:type="dxa"/>
            <w:vMerge/>
          </w:tcPr>
          <w:p w14:paraId="751F5F9B" w14:textId="77777777" w:rsidR="000558EA" w:rsidRPr="00EC52EE" w:rsidRDefault="000558EA" w:rsidP="000558EA">
            <w:pPr>
              <w:rPr>
                <w:rFonts w:ascii="Times New Roman" w:hAnsi="Times New Roman" w:cs="Times New Roman"/>
                <w:b/>
                <w:sz w:val="24"/>
                <w:szCs w:val="24"/>
              </w:rPr>
            </w:pPr>
          </w:p>
        </w:tc>
        <w:tc>
          <w:tcPr>
            <w:tcW w:w="1530" w:type="dxa"/>
          </w:tcPr>
          <w:p w14:paraId="751F5F9C" w14:textId="09B57BE1" w:rsidR="000558EA" w:rsidRPr="00EC52EE" w:rsidRDefault="00981E10" w:rsidP="000558EA">
            <w:pPr>
              <w:rPr>
                <w:rFonts w:ascii="Times New Roman" w:hAnsi="Times New Roman" w:cs="Times New Roman"/>
                <w:sz w:val="24"/>
                <w:szCs w:val="24"/>
              </w:rPr>
            </w:pPr>
            <w:proofErr w:type="spellStart"/>
            <w:r>
              <w:rPr>
                <w:rFonts w:ascii="Times New Roman" w:hAnsi="Times New Roman" w:cs="Times New Roman"/>
                <w:sz w:val="24"/>
                <w:szCs w:val="24"/>
              </w:rPr>
              <w:t>CNGC</w:t>
            </w:r>
            <w:proofErr w:type="spellEnd"/>
          </w:p>
        </w:tc>
        <w:tc>
          <w:tcPr>
            <w:tcW w:w="7200" w:type="dxa"/>
          </w:tcPr>
          <w:p w14:paraId="751F5FCE" w14:textId="481A9790" w:rsidR="000558EA" w:rsidRPr="00FB295C" w:rsidRDefault="000558EA" w:rsidP="000558EA">
            <w:pPr>
              <w:spacing w:line="276" w:lineRule="auto"/>
              <w:rPr>
                <w:rFonts w:ascii="Times New Roman" w:hAnsi="Times New Roman" w:cs="Times New Roman"/>
                <w:color w:val="000000"/>
              </w:rPr>
            </w:pPr>
            <w:r w:rsidRPr="00FB295C">
              <w:rPr>
                <w:rFonts w:ascii="Times New Roman" w:hAnsi="Times New Roman" w:cs="Times New Roman"/>
                <w:color w:val="000000"/>
                <w:sz w:val="24"/>
                <w:szCs w:val="24"/>
                <w:lang w:eastAsia="zh-CN"/>
              </w:rPr>
              <w:t>Cascade Natural Gas Company (</w:t>
            </w:r>
            <w:proofErr w:type="spellStart"/>
            <w:r w:rsidRPr="00FB295C">
              <w:rPr>
                <w:rFonts w:ascii="Times New Roman" w:hAnsi="Times New Roman" w:cs="Times New Roman"/>
                <w:color w:val="000000"/>
                <w:sz w:val="24"/>
                <w:szCs w:val="24"/>
                <w:lang w:eastAsia="zh-CN"/>
              </w:rPr>
              <w:t>CNG</w:t>
            </w:r>
            <w:proofErr w:type="spellEnd"/>
            <w:r w:rsidRPr="00FB295C">
              <w:rPr>
                <w:rFonts w:ascii="Times New Roman" w:hAnsi="Times New Roman" w:cs="Times New Roman"/>
                <w:color w:val="000000"/>
                <w:sz w:val="24"/>
                <w:szCs w:val="24"/>
                <w:lang w:eastAsia="zh-CN"/>
              </w:rPr>
              <w:t xml:space="preserve">) does not track under-billed reads with a unique field order type. </w:t>
            </w:r>
            <w:proofErr w:type="spellStart"/>
            <w:r w:rsidRPr="00FB295C">
              <w:rPr>
                <w:rFonts w:ascii="Times New Roman" w:hAnsi="Times New Roman" w:cs="Times New Roman"/>
                <w:color w:val="000000"/>
                <w:sz w:val="24"/>
                <w:szCs w:val="24"/>
                <w:lang w:eastAsia="zh-CN"/>
              </w:rPr>
              <w:t>CNG</w:t>
            </w:r>
            <w:proofErr w:type="spellEnd"/>
            <w:r w:rsidRPr="00FB295C">
              <w:rPr>
                <w:rFonts w:ascii="Times New Roman" w:hAnsi="Times New Roman" w:cs="Times New Roman"/>
                <w:color w:val="000000"/>
                <w:sz w:val="24"/>
                <w:szCs w:val="24"/>
                <w:lang w:eastAsia="zh-CN"/>
              </w:rPr>
              <w:t xml:space="preserve"> does not have a system record of the number of occurrences, the reason for the occurrences, or the results of the investigation for such billing anomalies.</w:t>
            </w:r>
          </w:p>
        </w:tc>
        <w:tc>
          <w:tcPr>
            <w:tcW w:w="4248" w:type="dxa"/>
            <w:vMerge/>
          </w:tcPr>
          <w:p w14:paraId="751F5FCF" w14:textId="77777777" w:rsidR="000558EA" w:rsidRPr="00EC52EE" w:rsidRDefault="000558EA" w:rsidP="000558EA">
            <w:pPr>
              <w:rPr>
                <w:rFonts w:ascii="Times New Roman" w:hAnsi="Times New Roman" w:cs="Times New Roman"/>
                <w:sz w:val="24"/>
                <w:szCs w:val="24"/>
              </w:rPr>
            </w:pPr>
          </w:p>
        </w:tc>
      </w:tr>
      <w:tr w:rsidR="000558EA" w:rsidRPr="00EC52EE" w14:paraId="751F5FD5" w14:textId="77777777" w:rsidTr="002B46DD">
        <w:trPr>
          <w:cantSplit/>
          <w:trHeight w:val="82"/>
        </w:trPr>
        <w:tc>
          <w:tcPr>
            <w:tcW w:w="1705" w:type="dxa"/>
            <w:vMerge/>
          </w:tcPr>
          <w:p w14:paraId="751F5FD1" w14:textId="77777777" w:rsidR="000558EA" w:rsidRPr="00EC52EE" w:rsidRDefault="000558EA" w:rsidP="000558EA">
            <w:pPr>
              <w:rPr>
                <w:rFonts w:ascii="Times New Roman" w:hAnsi="Times New Roman" w:cs="Times New Roman"/>
                <w:b/>
                <w:sz w:val="24"/>
                <w:szCs w:val="24"/>
              </w:rPr>
            </w:pPr>
          </w:p>
        </w:tc>
        <w:tc>
          <w:tcPr>
            <w:tcW w:w="1530" w:type="dxa"/>
          </w:tcPr>
          <w:p w14:paraId="751F5FD2" w14:textId="37617BEB" w:rsidR="000558EA" w:rsidRPr="00EC52EE" w:rsidRDefault="000558EA" w:rsidP="000558EA">
            <w:pPr>
              <w:rPr>
                <w:rFonts w:ascii="Times New Roman" w:hAnsi="Times New Roman" w:cs="Times New Roman"/>
                <w:sz w:val="24"/>
                <w:szCs w:val="24"/>
              </w:rPr>
            </w:pPr>
          </w:p>
        </w:tc>
        <w:tc>
          <w:tcPr>
            <w:tcW w:w="7200" w:type="dxa"/>
          </w:tcPr>
          <w:p w14:paraId="751F5FD3" w14:textId="0C033228" w:rsidR="000558EA" w:rsidRPr="00FB295C" w:rsidRDefault="000558EA" w:rsidP="000558EA">
            <w:pPr>
              <w:spacing w:line="276" w:lineRule="auto"/>
              <w:rPr>
                <w:rFonts w:ascii="Times New Roman" w:hAnsi="Times New Roman" w:cs="Times New Roman"/>
                <w:color w:val="000000"/>
                <w:sz w:val="24"/>
                <w:szCs w:val="24"/>
                <w:lang w:eastAsia="zh-CN"/>
              </w:rPr>
            </w:pPr>
          </w:p>
        </w:tc>
        <w:tc>
          <w:tcPr>
            <w:tcW w:w="4248" w:type="dxa"/>
            <w:vMerge/>
          </w:tcPr>
          <w:p w14:paraId="751F5FD4" w14:textId="77777777" w:rsidR="000558EA" w:rsidRPr="00EC52EE" w:rsidRDefault="000558EA" w:rsidP="000558EA">
            <w:pPr>
              <w:rPr>
                <w:rFonts w:ascii="Times New Roman" w:hAnsi="Times New Roman" w:cs="Times New Roman"/>
                <w:sz w:val="24"/>
                <w:szCs w:val="24"/>
              </w:rPr>
            </w:pPr>
          </w:p>
        </w:tc>
      </w:tr>
      <w:tr w:rsidR="00B16675" w:rsidRPr="00EC52EE" w14:paraId="164EB0F6" w14:textId="77777777" w:rsidTr="002B46DD">
        <w:trPr>
          <w:cantSplit/>
          <w:trHeight w:val="980"/>
        </w:trPr>
        <w:tc>
          <w:tcPr>
            <w:tcW w:w="1705" w:type="dxa"/>
            <w:vMerge w:val="restart"/>
          </w:tcPr>
          <w:p w14:paraId="2178CAE2" w14:textId="5AE10F21" w:rsidR="00B16675" w:rsidRPr="00EC52EE" w:rsidRDefault="00B16675" w:rsidP="00022224">
            <w:pPr>
              <w:rPr>
                <w:rFonts w:ascii="Times New Roman" w:hAnsi="Times New Roman" w:cs="Times New Roman"/>
                <w:b/>
                <w:sz w:val="24"/>
                <w:szCs w:val="24"/>
              </w:rPr>
            </w:pPr>
            <w:r w:rsidRPr="00EC52EE">
              <w:rPr>
                <w:rFonts w:ascii="Times New Roman" w:hAnsi="Times New Roman" w:cs="Times New Roman"/>
                <w:b/>
                <w:sz w:val="24"/>
                <w:szCs w:val="24"/>
              </w:rPr>
              <w:t xml:space="preserve">Response to staff question 2: Please provide the three most recent years of data regarding the number of corrected bills issued for under-billed amounts due to all other billing errors (excluding </w:t>
            </w:r>
            <w:r w:rsidRPr="00EC52EE">
              <w:rPr>
                <w:rFonts w:ascii="Times New Roman" w:hAnsi="Times New Roman" w:cs="Times New Roman"/>
                <w:b/>
                <w:sz w:val="24"/>
                <w:szCs w:val="24"/>
              </w:rPr>
              <w:lastRenderedPageBreak/>
              <w:t>meter tampering, fraud and estimated bills.) Examples include: corrected bills for incorrect prorated bills; mislabeled meter bases; incorrectly installed meters; incorrect billing rate schedules; and incorrect billing multipliers</w:t>
            </w:r>
          </w:p>
        </w:tc>
        <w:tc>
          <w:tcPr>
            <w:tcW w:w="1530" w:type="dxa"/>
          </w:tcPr>
          <w:p w14:paraId="320BFAC6" w14:textId="490E76DE" w:rsidR="00B16675" w:rsidRPr="00EC52EE" w:rsidRDefault="00B16675" w:rsidP="000558EA">
            <w:pPr>
              <w:rPr>
                <w:rFonts w:ascii="Times New Roman" w:hAnsi="Times New Roman" w:cs="Times New Roman"/>
                <w:sz w:val="24"/>
                <w:szCs w:val="24"/>
              </w:rPr>
            </w:pPr>
            <w:proofErr w:type="spellStart"/>
            <w:r>
              <w:rPr>
                <w:rFonts w:ascii="Times New Roman" w:hAnsi="Times New Roman" w:cs="Times New Roman"/>
                <w:sz w:val="24"/>
                <w:szCs w:val="24"/>
              </w:rPr>
              <w:lastRenderedPageBreak/>
              <w:t>PPL</w:t>
            </w:r>
            <w:proofErr w:type="spellEnd"/>
          </w:p>
        </w:tc>
        <w:tc>
          <w:tcPr>
            <w:tcW w:w="7200" w:type="dxa"/>
          </w:tcPr>
          <w:tbl>
            <w:tblPr>
              <w:tblW w:w="8565" w:type="dxa"/>
              <w:tblInd w:w="720" w:type="dxa"/>
              <w:tblLayout w:type="fixed"/>
              <w:tblLook w:val="04A0" w:firstRow="1" w:lastRow="0" w:firstColumn="1" w:lastColumn="0" w:noHBand="0" w:noVBand="1"/>
            </w:tblPr>
            <w:tblGrid>
              <w:gridCol w:w="917"/>
              <w:gridCol w:w="1152"/>
              <w:gridCol w:w="1260"/>
              <w:gridCol w:w="1170"/>
              <w:gridCol w:w="1440"/>
              <w:gridCol w:w="2626"/>
            </w:tblGrid>
            <w:tr w:rsidR="00B16675" w:rsidRPr="00EC52EE" w14:paraId="4479A9B9" w14:textId="77777777" w:rsidTr="00022224">
              <w:trPr>
                <w:gridAfter w:val="1"/>
                <w:wAfter w:w="2627" w:type="dxa"/>
                <w:trHeight w:val="333"/>
              </w:trPr>
              <w:tc>
                <w:tcPr>
                  <w:tcW w:w="918" w:type="dxa"/>
                  <w:tcBorders>
                    <w:top w:val="nil"/>
                    <w:left w:val="nil"/>
                    <w:bottom w:val="single" w:sz="4" w:space="0" w:color="auto"/>
                    <w:right w:val="single" w:sz="4" w:space="0" w:color="auto"/>
                  </w:tcBorders>
                  <w:noWrap/>
                  <w:vAlign w:val="bottom"/>
                </w:tcPr>
                <w:p w14:paraId="274D3BEF" w14:textId="77777777" w:rsidR="00B16675" w:rsidRPr="000F244E" w:rsidRDefault="00B16675" w:rsidP="00A05C26">
                  <w:pPr>
                    <w:framePr w:hSpace="180" w:wrap="around" w:hAnchor="margin" w:y="-720"/>
                    <w:rPr>
                      <w:rFonts w:ascii="Times New Roman" w:eastAsia="Times New Roman" w:hAnsi="Times New Roman" w:cs="Times New Roman"/>
                      <w:color w:val="000000"/>
                      <w:szCs w:val="24"/>
                    </w:rPr>
                  </w:pPr>
                </w:p>
              </w:tc>
              <w:tc>
                <w:tcPr>
                  <w:tcW w:w="2412" w:type="dxa"/>
                  <w:gridSpan w:val="2"/>
                  <w:tcBorders>
                    <w:top w:val="single" w:sz="4" w:space="0" w:color="auto"/>
                    <w:left w:val="nil"/>
                    <w:bottom w:val="single" w:sz="4" w:space="0" w:color="auto"/>
                    <w:right w:val="single" w:sz="4" w:space="0" w:color="auto"/>
                  </w:tcBorders>
                  <w:vAlign w:val="bottom"/>
                  <w:hideMark/>
                </w:tcPr>
                <w:p w14:paraId="590116AA" w14:textId="77777777" w:rsidR="00B16675" w:rsidRPr="000F244E" w:rsidRDefault="00B16675" w:rsidP="00A05C26">
                  <w:pPr>
                    <w:framePr w:hSpace="180" w:wrap="around" w:hAnchor="margin" w:y="-720"/>
                    <w:jc w:val="center"/>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Residential</w:t>
                  </w:r>
                </w:p>
              </w:tc>
              <w:tc>
                <w:tcPr>
                  <w:tcW w:w="2610" w:type="dxa"/>
                  <w:gridSpan w:val="2"/>
                  <w:tcBorders>
                    <w:top w:val="single" w:sz="4" w:space="0" w:color="auto"/>
                    <w:left w:val="nil"/>
                    <w:bottom w:val="single" w:sz="4" w:space="0" w:color="auto"/>
                    <w:right w:val="single" w:sz="4" w:space="0" w:color="auto"/>
                  </w:tcBorders>
                  <w:vAlign w:val="bottom"/>
                  <w:hideMark/>
                </w:tcPr>
                <w:p w14:paraId="19CF659B" w14:textId="77777777" w:rsidR="00B16675" w:rsidRPr="00FB295C" w:rsidRDefault="00B16675" w:rsidP="00A05C26">
                  <w:pPr>
                    <w:framePr w:hSpace="180" w:wrap="around" w:hAnchor="margin" w:y="-720"/>
                    <w:jc w:val="center"/>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Non Residential</w:t>
                  </w:r>
                </w:p>
              </w:tc>
            </w:tr>
            <w:tr w:rsidR="00B16675" w:rsidRPr="00EC52EE" w14:paraId="645AD9AA" w14:textId="77777777" w:rsidTr="00022224">
              <w:trPr>
                <w:trHeight w:val="900"/>
              </w:trPr>
              <w:tc>
                <w:tcPr>
                  <w:tcW w:w="918" w:type="dxa"/>
                  <w:tcBorders>
                    <w:top w:val="single" w:sz="4" w:space="0" w:color="auto"/>
                    <w:left w:val="single" w:sz="4" w:space="0" w:color="auto"/>
                    <w:bottom w:val="nil"/>
                    <w:right w:val="single" w:sz="4" w:space="0" w:color="auto"/>
                  </w:tcBorders>
                  <w:noWrap/>
                  <w:vAlign w:val="bottom"/>
                  <w:hideMark/>
                </w:tcPr>
                <w:p w14:paraId="0A7103D0" w14:textId="77777777" w:rsidR="00B16675" w:rsidRPr="00EC52EE" w:rsidRDefault="00B16675" w:rsidP="00A05C26">
                  <w:pPr>
                    <w:framePr w:hSpace="180" w:wrap="around" w:hAnchor="margin" w:y="-720"/>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 Year</w:t>
                  </w:r>
                </w:p>
              </w:tc>
              <w:tc>
                <w:tcPr>
                  <w:tcW w:w="1152" w:type="dxa"/>
                  <w:tcBorders>
                    <w:top w:val="nil"/>
                    <w:left w:val="nil"/>
                    <w:bottom w:val="single" w:sz="4" w:space="0" w:color="auto"/>
                    <w:right w:val="single" w:sz="4" w:space="0" w:color="auto"/>
                  </w:tcBorders>
                  <w:vAlign w:val="bottom"/>
                  <w:hideMark/>
                </w:tcPr>
                <w:p w14:paraId="2CAC01BB" w14:textId="77777777" w:rsidR="00B16675" w:rsidRPr="000F244E" w:rsidRDefault="00B16675" w:rsidP="00A05C26">
                  <w:pPr>
                    <w:framePr w:hSpace="180" w:wrap="around" w:hAnchor="margin" w:y="-720"/>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Accounts corrected more than 6 months</w:t>
                  </w:r>
                </w:p>
              </w:tc>
              <w:tc>
                <w:tcPr>
                  <w:tcW w:w="1260" w:type="dxa"/>
                  <w:tcBorders>
                    <w:top w:val="nil"/>
                    <w:left w:val="nil"/>
                    <w:bottom w:val="single" w:sz="4" w:space="0" w:color="auto"/>
                    <w:right w:val="single" w:sz="4" w:space="0" w:color="auto"/>
                  </w:tcBorders>
                  <w:vAlign w:val="bottom"/>
                  <w:hideMark/>
                </w:tcPr>
                <w:p w14:paraId="5DCB1B21" w14:textId="77777777" w:rsidR="00B16675" w:rsidRPr="00FB295C" w:rsidRDefault="00B16675" w:rsidP="00A05C26">
                  <w:pPr>
                    <w:framePr w:hSpace="180" w:wrap="around" w:hAnchor="margin" w:y="-720"/>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Total amount billed in excess of 6 months</w:t>
                  </w:r>
                </w:p>
              </w:tc>
              <w:tc>
                <w:tcPr>
                  <w:tcW w:w="1170" w:type="dxa"/>
                  <w:tcBorders>
                    <w:top w:val="nil"/>
                    <w:left w:val="nil"/>
                    <w:bottom w:val="single" w:sz="4" w:space="0" w:color="auto"/>
                    <w:right w:val="single" w:sz="4" w:space="0" w:color="auto"/>
                  </w:tcBorders>
                  <w:vAlign w:val="bottom"/>
                  <w:hideMark/>
                </w:tcPr>
                <w:p w14:paraId="53DCA3AB" w14:textId="77777777" w:rsidR="00B16675" w:rsidRPr="00FB295C" w:rsidRDefault="00B16675" w:rsidP="00A05C26">
                  <w:pPr>
                    <w:framePr w:hSpace="180" w:wrap="around" w:hAnchor="margin" w:y="-720"/>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Accounts corrected more than 6 months</w:t>
                  </w:r>
                </w:p>
              </w:tc>
              <w:tc>
                <w:tcPr>
                  <w:tcW w:w="1440" w:type="dxa"/>
                  <w:tcBorders>
                    <w:top w:val="nil"/>
                    <w:left w:val="nil"/>
                    <w:bottom w:val="single" w:sz="4" w:space="0" w:color="auto"/>
                    <w:right w:val="single" w:sz="4" w:space="0" w:color="auto"/>
                  </w:tcBorders>
                  <w:vAlign w:val="bottom"/>
                  <w:hideMark/>
                </w:tcPr>
                <w:p w14:paraId="527FB96D" w14:textId="77777777" w:rsidR="00B16675" w:rsidRPr="00FB295C" w:rsidRDefault="00B16675" w:rsidP="00A05C26">
                  <w:pPr>
                    <w:framePr w:hSpace="180" w:wrap="around" w:hAnchor="margin" w:y="-720"/>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Total amount billed in excess of 6 months</w:t>
                  </w:r>
                </w:p>
              </w:tc>
              <w:tc>
                <w:tcPr>
                  <w:tcW w:w="2625" w:type="dxa"/>
                  <w:vAlign w:val="center"/>
                  <w:hideMark/>
                </w:tcPr>
                <w:p w14:paraId="08F9706E" w14:textId="77777777" w:rsidR="00B16675" w:rsidRPr="00FB295C" w:rsidRDefault="00B16675" w:rsidP="00A05C26">
                  <w:pPr>
                    <w:framePr w:hSpace="180" w:wrap="around" w:hAnchor="margin" w:y="-720"/>
                    <w:rPr>
                      <w:rFonts w:ascii="Times New Roman" w:hAnsi="Times New Roman" w:cs="Times New Roman"/>
                      <w:sz w:val="20"/>
                    </w:rPr>
                  </w:pPr>
                </w:p>
              </w:tc>
            </w:tr>
            <w:tr w:rsidR="00B16675" w:rsidRPr="00EC52EE" w14:paraId="37ED5EB8" w14:textId="77777777" w:rsidTr="00022224">
              <w:trPr>
                <w:trHeight w:val="300"/>
              </w:trPr>
              <w:tc>
                <w:tcPr>
                  <w:tcW w:w="918" w:type="dxa"/>
                  <w:tcBorders>
                    <w:top w:val="nil"/>
                    <w:left w:val="single" w:sz="4" w:space="0" w:color="auto"/>
                    <w:bottom w:val="single" w:sz="4" w:space="0" w:color="auto"/>
                    <w:right w:val="single" w:sz="4" w:space="0" w:color="auto"/>
                  </w:tcBorders>
                  <w:noWrap/>
                  <w:vAlign w:val="bottom"/>
                  <w:hideMark/>
                </w:tcPr>
                <w:p w14:paraId="0C5D4752"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2012</w:t>
                  </w:r>
                </w:p>
              </w:tc>
              <w:tc>
                <w:tcPr>
                  <w:tcW w:w="1152" w:type="dxa"/>
                  <w:tcBorders>
                    <w:top w:val="nil"/>
                    <w:left w:val="nil"/>
                    <w:bottom w:val="single" w:sz="4" w:space="0" w:color="auto"/>
                    <w:right w:val="single" w:sz="4" w:space="0" w:color="auto"/>
                  </w:tcBorders>
                  <w:noWrap/>
                  <w:vAlign w:val="bottom"/>
                  <w:hideMark/>
                </w:tcPr>
                <w:p w14:paraId="7185D23A"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4</w:t>
                  </w:r>
                </w:p>
              </w:tc>
              <w:tc>
                <w:tcPr>
                  <w:tcW w:w="1260" w:type="dxa"/>
                  <w:tcBorders>
                    <w:top w:val="nil"/>
                    <w:left w:val="nil"/>
                    <w:bottom w:val="single" w:sz="4" w:space="0" w:color="auto"/>
                    <w:right w:val="single" w:sz="4" w:space="0" w:color="auto"/>
                  </w:tcBorders>
                  <w:noWrap/>
                  <w:vAlign w:val="bottom"/>
                  <w:hideMark/>
                </w:tcPr>
                <w:p w14:paraId="35DEF92D"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$745.59</w:t>
                  </w:r>
                </w:p>
              </w:tc>
              <w:tc>
                <w:tcPr>
                  <w:tcW w:w="1170" w:type="dxa"/>
                  <w:tcBorders>
                    <w:top w:val="nil"/>
                    <w:left w:val="nil"/>
                    <w:bottom w:val="single" w:sz="4" w:space="0" w:color="auto"/>
                    <w:right w:val="single" w:sz="4" w:space="0" w:color="auto"/>
                  </w:tcBorders>
                  <w:noWrap/>
                  <w:vAlign w:val="bottom"/>
                  <w:hideMark/>
                </w:tcPr>
                <w:p w14:paraId="460A01CC"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0</w:t>
                  </w:r>
                </w:p>
              </w:tc>
              <w:tc>
                <w:tcPr>
                  <w:tcW w:w="1440" w:type="dxa"/>
                  <w:tcBorders>
                    <w:top w:val="nil"/>
                    <w:left w:val="nil"/>
                    <w:bottom w:val="single" w:sz="4" w:space="0" w:color="auto"/>
                    <w:right w:val="single" w:sz="4" w:space="0" w:color="auto"/>
                  </w:tcBorders>
                  <w:noWrap/>
                  <w:vAlign w:val="bottom"/>
                  <w:hideMark/>
                </w:tcPr>
                <w:p w14:paraId="08F3CFC5"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$0.00</w:t>
                  </w:r>
                </w:p>
              </w:tc>
              <w:tc>
                <w:tcPr>
                  <w:tcW w:w="2625" w:type="dxa"/>
                  <w:vAlign w:val="center"/>
                  <w:hideMark/>
                </w:tcPr>
                <w:p w14:paraId="0C76782F" w14:textId="77777777" w:rsidR="00B16675" w:rsidRPr="00FB295C" w:rsidRDefault="00B16675" w:rsidP="00A05C26">
                  <w:pPr>
                    <w:framePr w:hSpace="180" w:wrap="around" w:hAnchor="margin" w:y="-720"/>
                    <w:rPr>
                      <w:rFonts w:ascii="Times New Roman" w:hAnsi="Times New Roman" w:cs="Times New Roman"/>
                      <w:sz w:val="20"/>
                    </w:rPr>
                  </w:pPr>
                </w:p>
              </w:tc>
            </w:tr>
            <w:tr w:rsidR="00B16675" w:rsidRPr="00EC52EE" w14:paraId="7F4A6A96" w14:textId="77777777" w:rsidTr="00022224">
              <w:trPr>
                <w:trHeight w:val="300"/>
              </w:trPr>
              <w:tc>
                <w:tcPr>
                  <w:tcW w:w="918" w:type="dxa"/>
                  <w:tcBorders>
                    <w:top w:val="nil"/>
                    <w:left w:val="single" w:sz="4" w:space="0" w:color="auto"/>
                    <w:bottom w:val="single" w:sz="4" w:space="0" w:color="auto"/>
                    <w:right w:val="single" w:sz="4" w:space="0" w:color="auto"/>
                  </w:tcBorders>
                  <w:noWrap/>
                  <w:vAlign w:val="bottom"/>
                  <w:hideMark/>
                </w:tcPr>
                <w:p w14:paraId="285782CD"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2013</w:t>
                  </w:r>
                </w:p>
              </w:tc>
              <w:tc>
                <w:tcPr>
                  <w:tcW w:w="1152" w:type="dxa"/>
                  <w:tcBorders>
                    <w:top w:val="nil"/>
                    <w:left w:val="nil"/>
                    <w:bottom w:val="single" w:sz="4" w:space="0" w:color="auto"/>
                    <w:right w:val="single" w:sz="4" w:space="0" w:color="auto"/>
                  </w:tcBorders>
                  <w:noWrap/>
                  <w:vAlign w:val="bottom"/>
                  <w:hideMark/>
                </w:tcPr>
                <w:p w14:paraId="4041B0AA"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2</w:t>
                  </w:r>
                </w:p>
              </w:tc>
              <w:tc>
                <w:tcPr>
                  <w:tcW w:w="1260" w:type="dxa"/>
                  <w:tcBorders>
                    <w:top w:val="nil"/>
                    <w:left w:val="nil"/>
                    <w:bottom w:val="single" w:sz="4" w:space="0" w:color="auto"/>
                    <w:right w:val="single" w:sz="4" w:space="0" w:color="auto"/>
                  </w:tcBorders>
                  <w:noWrap/>
                  <w:vAlign w:val="bottom"/>
                  <w:hideMark/>
                </w:tcPr>
                <w:p w14:paraId="33233A75"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$1,436.50</w:t>
                  </w:r>
                </w:p>
              </w:tc>
              <w:tc>
                <w:tcPr>
                  <w:tcW w:w="1170" w:type="dxa"/>
                  <w:tcBorders>
                    <w:top w:val="nil"/>
                    <w:left w:val="nil"/>
                    <w:bottom w:val="single" w:sz="4" w:space="0" w:color="auto"/>
                    <w:right w:val="single" w:sz="4" w:space="0" w:color="auto"/>
                  </w:tcBorders>
                  <w:noWrap/>
                  <w:vAlign w:val="bottom"/>
                  <w:hideMark/>
                </w:tcPr>
                <w:p w14:paraId="69866608"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0</w:t>
                  </w:r>
                </w:p>
              </w:tc>
              <w:tc>
                <w:tcPr>
                  <w:tcW w:w="1440" w:type="dxa"/>
                  <w:tcBorders>
                    <w:top w:val="nil"/>
                    <w:left w:val="nil"/>
                    <w:bottom w:val="single" w:sz="4" w:space="0" w:color="auto"/>
                    <w:right w:val="single" w:sz="4" w:space="0" w:color="auto"/>
                  </w:tcBorders>
                  <w:noWrap/>
                  <w:vAlign w:val="bottom"/>
                  <w:hideMark/>
                </w:tcPr>
                <w:p w14:paraId="64051E57"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$0.00</w:t>
                  </w:r>
                </w:p>
              </w:tc>
              <w:tc>
                <w:tcPr>
                  <w:tcW w:w="2625" w:type="dxa"/>
                  <w:vAlign w:val="center"/>
                  <w:hideMark/>
                </w:tcPr>
                <w:p w14:paraId="3369DCDA" w14:textId="77777777" w:rsidR="00B16675" w:rsidRPr="00FB295C" w:rsidRDefault="00B16675" w:rsidP="00A05C26">
                  <w:pPr>
                    <w:framePr w:hSpace="180" w:wrap="around" w:hAnchor="margin" w:y="-720"/>
                    <w:rPr>
                      <w:rFonts w:ascii="Times New Roman" w:hAnsi="Times New Roman" w:cs="Times New Roman"/>
                      <w:sz w:val="20"/>
                    </w:rPr>
                  </w:pPr>
                </w:p>
              </w:tc>
            </w:tr>
            <w:tr w:rsidR="00B16675" w:rsidRPr="00EC52EE" w14:paraId="706F8CA5" w14:textId="77777777" w:rsidTr="00022224">
              <w:trPr>
                <w:trHeight w:val="300"/>
              </w:trPr>
              <w:tc>
                <w:tcPr>
                  <w:tcW w:w="918" w:type="dxa"/>
                  <w:tcBorders>
                    <w:top w:val="nil"/>
                    <w:left w:val="single" w:sz="4" w:space="0" w:color="auto"/>
                    <w:bottom w:val="single" w:sz="4" w:space="0" w:color="auto"/>
                    <w:right w:val="single" w:sz="4" w:space="0" w:color="auto"/>
                  </w:tcBorders>
                  <w:noWrap/>
                  <w:vAlign w:val="bottom"/>
                  <w:hideMark/>
                </w:tcPr>
                <w:p w14:paraId="64E80310"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2014</w:t>
                  </w:r>
                </w:p>
              </w:tc>
              <w:tc>
                <w:tcPr>
                  <w:tcW w:w="1152" w:type="dxa"/>
                  <w:tcBorders>
                    <w:top w:val="nil"/>
                    <w:left w:val="nil"/>
                    <w:bottom w:val="single" w:sz="4" w:space="0" w:color="auto"/>
                    <w:right w:val="single" w:sz="4" w:space="0" w:color="auto"/>
                  </w:tcBorders>
                  <w:noWrap/>
                  <w:vAlign w:val="bottom"/>
                  <w:hideMark/>
                </w:tcPr>
                <w:p w14:paraId="33CA5F58"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1</w:t>
                  </w:r>
                </w:p>
              </w:tc>
              <w:tc>
                <w:tcPr>
                  <w:tcW w:w="1260" w:type="dxa"/>
                  <w:tcBorders>
                    <w:top w:val="nil"/>
                    <w:left w:val="nil"/>
                    <w:bottom w:val="single" w:sz="4" w:space="0" w:color="auto"/>
                    <w:right w:val="single" w:sz="4" w:space="0" w:color="auto"/>
                  </w:tcBorders>
                  <w:noWrap/>
                  <w:vAlign w:val="bottom"/>
                  <w:hideMark/>
                </w:tcPr>
                <w:p w14:paraId="75B88756"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$846.66</w:t>
                  </w:r>
                </w:p>
              </w:tc>
              <w:tc>
                <w:tcPr>
                  <w:tcW w:w="1170" w:type="dxa"/>
                  <w:tcBorders>
                    <w:top w:val="nil"/>
                    <w:left w:val="nil"/>
                    <w:bottom w:val="single" w:sz="4" w:space="0" w:color="auto"/>
                    <w:right w:val="single" w:sz="4" w:space="0" w:color="auto"/>
                  </w:tcBorders>
                  <w:noWrap/>
                  <w:vAlign w:val="bottom"/>
                  <w:hideMark/>
                </w:tcPr>
                <w:p w14:paraId="432CDC50"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2</w:t>
                  </w:r>
                </w:p>
              </w:tc>
              <w:tc>
                <w:tcPr>
                  <w:tcW w:w="1440" w:type="dxa"/>
                  <w:tcBorders>
                    <w:top w:val="nil"/>
                    <w:left w:val="nil"/>
                    <w:bottom w:val="single" w:sz="4" w:space="0" w:color="auto"/>
                    <w:right w:val="single" w:sz="4" w:space="0" w:color="auto"/>
                  </w:tcBorders>
                  <w:noWrap/>
                  <w:vAlign w:val="bottom"/>
                  <w:hideMark/>
                </w:tcPr>
                <w:p w14:paraId="2B0CBC76"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$841.59</w:t>
                  </w:r>
                </w:p>
              </w:tc>
              <w:tc>
                <w:tcPr>
                  <w:tcW w:w="2625" w:type="dxa"/>
                  <w:vAlign w:val="center"/>
                  <w:hideMark/>
                </w:tcPr>
                <w:p w14:paraId="22A6B4B7" w14:textId="77777777" w:rsidR="00B16675" w:rsidRPr="00FB295C" w:rsidRDefault="00B16675" w:rsidP="00A05C26">
                  <w:pPr>
                    <w:framePr w:hSpace="180" w:wrap="around" w:hAnchor="margin" w:y="-720"/>
                    <w:rPr>
                      <w:rFonts w:ascii="Times New Roman" w:hAnsi="Times New Roman" w:cs="Times New Roman"/>
                      <w:sz w:val="20"/>
                    </w:rPr>
                  </w:pPr>
                </w:p>
              </w:tc>
            </w:tr>
            <w:tr w:rsidR="00B16675" w:rsidRPr="00EC52EE" w14:paraId="64FB4EA6" w14:textId="77777777" w:rsidTr="00022224">
              <w:trPr>
                <w:trHeight w:val="300"/>
              </w:trPr>
              <w:tc>
                <w:tcPr>
                  <w:tcW w:w="8298" w:type="dxa"/>
                  <w:gridSpan w:val="6"/>
                  <w:tcBorders>
                    <w:top w:val="single" w:sz="4" w:space="0" w:color="auto"/>
                    <w:left w:val="nil"/>
                    <w:bottom w:val="nil"/>
                    <w:right w:val="nil"/>
                  </w:tcBorders>
                  <w:noWrap/>
                  <w:vAlign w:val="bottom"/>
                  <w:hideMark/>
                </w:tcPr>
                <w:p w14:paraId="027390AE" w14:textId="77777777" w:rsidR="00B16675" w:rsidRPr="00EC52EE" w:rsidRDefault="00B16675" w:rsidP="00A05C26">
                  <w:pPr>
                    <w:framePr w:hSpace="180" w:wrap="around" w:hAnchor="margin" w:y="-720"/>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 xml:space="preserve">Adjustments due to bankruptcy and charges/fees waived are </w:t>
                  </w:r>
                </w:p>
                <w:p w14:paraId="268204B5" w14:textId="77777777" w:rsidR="00B16675" w:rsidRPr="000F244E" w:rsidRDefault="00B16675" w:rsidP="00A05C26">
                  <w:pPr>
                    <w:framePr w:hSpace="180" w:wrap="around" w:hAnchor="margin" w:y="-720"/>
                    <w:rPr>
                      <w:rFonts w:ascii="Times New Roman" w:eastAsia="Times New Roman" w:hAnsi="Times New Roman" w:cs="Times New Roman"/>
                      <w:color w:val="000000"/>
                      <w:szCs w:val="24"/>
                    </w:rPr>
                  </w:pPr>
                  <w:proofErr w:type="gramStart"/>
                  <w:r w:rsidRPr="000F244E">
                    <w:rPr>
                      <w:rFonts w:ascii="Times New Roman" w:eastAsia="Times New Roman" w:hAnsi="Times New Roman" w:cs="Times New Roman"/>
                      <w:color w:val="000000"/>
                      <w:szCs w:val="24"/>
                    </w:rPr>
                    <w:t>not</w:t>
                  </w:r>
                  <w:proofErr w:type="gramEnd"/>
                  <w:r w:rsidRPr="000F244E">
                    <w:rPr>
                      <w:rFonts w:ascii="Times New Roman" w:eastAsia="Times New Roman" w:hAnsi="Times New Roman" w:cs="Times New Roman"/>
                      <w:color w:val="000000"/>
                      <w:szCs w:val="24"/>
                    </w:rPr>
                    <w:t xml:space="preserve"> included.</w:t>
                  </w:r>
                </w:p>
              </w:tc>
            </w:tr>
          </w:tbl>
          <w:p w14:paraId="18051E4F" w14:textId="77777777" w:rsidR="00B16675" w:rsidRPr="00EC52EE" w:rsidRDefault="00B16675" w:rsidP="00981E10">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982"/>
              <w:gridCol w:w="1980"/>
            </w:tblGrid>
            <w:tr w:rsidR="00B16675" w:rsidRPr="00EC52EE" w14:paraId="3CB9AAA5" w14:textId="77777777" w:rsidTr="00022224">
              <w:tc>
                <w:tcPr>
                  <w:tcW w:w="982" w:type="dxa"/>
                  <w:tcBorders>
                    <w:top w:val="single" w:sz="4" w:space="0" w:color="auto"/>
                    <w:left w:val="single" w:sz="4" w:space="0" w:color="auto"/>
                    <w:bottom w:val="single" w:sz="4" w:space="0" w:color="auto"/>
                    <w:right w:val="single" w:sz="4" w:space="0" w:color="auto"/>
                  </w:tcBorders>
                  <w:vAlign w:val="bottom"/>
                  <w:hideMark/>
                </w:tcPr>
                <w:p w14:paraId="176874AC" w14:textId="77777777" w:rsidR="00B16675" w:rsidRPr="000F244E" w:rsidRDefault="00B16675" w:rsidP="00A05C26">
                  <w:pPr>
                    <w:framePr w:hSpace="180" w:wrap="around" w:hAnchor="margin" w:y="-720"/>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 Year</w:t>
                  </w:r>
                </w:p>
              </w:tc>
              <w:tc>
                <w:tcPr>
                  <w:tcW w:w="1980" w:type="dxa"/>
                  <w:tcBorders>
                    <w:top w:val="single" w:sz="4" w:space="0" w:color="auto"/>
                    <w:left w:val="single" w:sz="4" w:space="0" w:color="auto"/>
                    <w:bottom w:val="single" w:sz="4" w:space="0" w:color="auto"/>
                    <w:right w:val="single" w:sz="4" w:space="0" w:color="auto"/>
                  </w:tcBorders>
                  <w:vAlign w:val="bottom"/>
                  <w:hideMark/>
                </w:tcPr>
                <w:p w14:paraId="1D50B843" w14:textId="77777777" w:rsidR="00B16675" w:rsidRPr="000F244E" w:rsidRDefault="00B16675" w:rsidP="00A05C26">
                  <w:pPr>
                    <w:framePr w:hSpace="180" w:wrap="around" w:hAnchor="margin" w:y="-720"/>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Total Washington Revenue</w:t>
                  </w:r>
                </w:p>
              </w:tc>
            </w:tr>
            <w:tr w:rsidR="00B16675" w:rsidRPr="00EC52EE" w14:paraId="5EFA890D" w14:textId="77777777" w:rsidTr="00022224">
              <w:tc>
                <w:tcPr>
                  <w:tcW w:w="982" w:type="dxa"/>
                  <w:tcBorders>
                    <w:top w:val="single" w:sz="4" w:space="0" w:color="auto"/>
                    <w:left w:val="single" w:sz="4" w:space="0" w:color="auto"/>
                    <w:bottom w:val="single" w:sz="4" w:space="0" w:color="auto"/>
                    <w:right w:val="single" w:sz="4" w:space="0" w:color="auto"/>
                  </w:tcBorders>
                  <w:vAlign w:val="bottom"/>
                  <w:hideMark/>
                </w:tcPr>
                <w:p w14:paraId="39D460A5"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2012</w:t>
                  </w:r>
                </w:p>
              </w:tc>
              <w:tc>
                <w:tcPr>
                  <w:tcW w:w="1980" w:type="dxa"/>
                  <w:tcBorders>
                    <w:top w:val="single" w:sz="4" w:space="0" w:color="auto"/>
                    <w:left w:val="single" w:sz="4" w:space="0" w:color="auto"/>
                    <w:bottom w:val="single" w:sz="4" w:space="0" w:color="auto"/>
                    <w:right w:val="single" w:sz="4" w:space="0" w:color="auto"/>
                  </w:tcBorders>
                  <w:vAlign w:val="bottom"/>
                  <w:hideMark/>
                </w:tcPr>
                <w:p w14:paraId="238C7894"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$302,511,323.12</w:t>
                  </w:r>
                </w:p>
              </w:tc>
            </w:tr>
            <w:tr w:rsidR="00B16675" w:rsidRPr="00EC52EE" w14:paraId="6DCA2498" w14:textId="77777777" w:rsidTr="00022224">
              <w:tc>
                <w:tcPr>
                  <w:tcW w:w="982" w:type="dxa"/>
                  <w:tcBorders>
                    <w:top w:val="single" w:sz="4" w:space="0" w:color="auto"/>
                    <w:left w:val="single" w:sz="4" w:space="0" w:color="auto"/>
                    <w:bottom w:val="single" w:sz="4" w:space="0" w:color="auto"/>
                    <w:right w:val="single" w:sz="4" w:space="0" w:color="auto"/>
                  </w:tcBorders>
                  <w:vAlign w:val="bottom"/>
                  <w:hideMark/>
                </w:tcPr>
                <w:p w14:paraId="4C6895E8"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2013</w:t>
                  </w:r>
                </w:p>
              </w:tc>
              <w:tc>
                <w:tcPr>
                  <w:tcW w:w="1980" w:type="dxa"/>
                  <w:tcBorders>
                    <w:top w:val="single" w:sz="4" w:space="0" w:color="auto"/>
                    <w:left w:val="single" w:sz="4" w:space="0" w:color="auto"/>
                    <w:bottom w:val="single" w:sz="4" w:space="0" w:color="auto"/>
                    <w:right w:val="single" w:sz="4" w:space="0" w:color="auto"/>
                  </w:tcBorders>
                  <w:vAlign w:val="bottom"/>
                  <w:hideMark/>
                </w:tcPr>
                <w:p w14:paraId="634BCB7B"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$313,273,892.31</w:t>
                  </w:r>
                </w:p>
              </w:tc>
            </w:tr>
            <w:tr w:rsidR="00B16675" w:rsidRPr="00EC52EE" w14:paraId="4C215FB5" w14:textId="77777777" w:rsidTr="00022224">
              <w:tc>
                <w:tcPr>
                  <w:tcW w:w="982" w:type="dxa"/>
                  <w:tcBorders>
                    <w:top w:val="single" w:sz="4" w:space="0" w:color="auto"/>
                    <w:left w:val="single" w:sz="4" w:space="0" w:color="auto"/>
                    <w:bottom w:val="single" w:sz="4" w:space="0" w:color="auto"/>
                    <w:right w:val="single" w:sz="4" w:space="0" w:color="auto"/>
                  </w:tcBorders>
                  <w:vAlign w:val="bottom"/>
                  <w:hideMark/>
                </w:tcPr>
                <w:p w14:paraId="7EEABF2B"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2014</w:t>
                  </w:r>
                </w:p>
              </w:tc>
              <w:tc>
                <w:tcPr>
                  <w:tcW w:w="1980" w:type="dxa"/>
                  <w:tcBorders>
                    <w:top w:val="single" w:sz="4" w:space="0" w:color="auto"/>
                    <w:left w:val="single" w:sz="4" w:space="0" w:color="auto"/>
                    <w:bottom w:val="single" w:sz="4" w:space="0" w:color="auto"/>
                    <w:right w:val="single" w:sz="4" w:space="0" w:color="auto"/>
                  </w:tcBorders>
                  <w:vAlign w:val="bottom"/>
                  <w:hideMark/>
                </w:tcPr>
                <w:p w14:paraId="0EB4E0D1"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$319,351,198.18</w:t>
                  </w:r>
                </w:p>
              </w:tc>
            </w:tr>
          </w:tbl>
          <w:p w14:paraId="10A03A07" w14:textId="77777777" w:rsidR="00B16675" w:rsidRPr="000F244E" w:rsidRDefault="00B16675" w:rsidP="00981E10">
            <w:pPr>
              <w:rPr>
                <w:rFonts w:ascii="Times New Roman" w:eastAsia="Times New Roman" w:hAnsi="Times New Roman" w:cs="Times New Roman"/>
                <w:b/>
                <w:bCs/>
                <w:color w:val="000000"/>
              </w:rPr>
            </w:pPr>
          </w:p>
        </w:tc>
        <w:tc>
          <w:tcPr>
            <w:tcW w:w="4248" w:type="dxa"/>
            <w:vMerge w:val="restart"/>
          </w:tcPr>
          <w:p w14:paraId="6DDEC594" w14:textId="36408B34" w:rsidR="00B16675" w:rsidRPr="00EC52EE" w:rsidRDefault="00B16675" w:rsidP="00022224">
            <w:pPr>
              <w:rPr>
                <w:rFonts w:ascii="Times New Roman" w:hAnsi="Times New Roman" w:cs="Times New Roman"/>
                <w:sz w:val="24"/>
                <w:szCs w:val="24"/>
              </w:rPr>
            </w:pPr>
            <w:r w:rsidRPr="00EC52EE">
              <w:rPr>
                <w:rFonts w:ascii="Times New Roman" w:hAnsi="Times New Roman" w:cs="Times New Roman"/>
                <w:sz w:val="24"/>
                <w:szCs w:val="24"/>
              </w:rPr>
              <w:t>The data shows the revenue impact of restricting the corrected bills for nonresidential customers to be very small.</w:t>
            </w:r>
          </w:p>
        </w:tc>
      </w:tr>
      <w:tr w:rsidR="00B16675" w:rsidRPr="00EC52EE" w14:paraId="751F600A" w14:textId="77777777" w:rsidTr="002B46DD">
        <w:trPr>
          <w:cantSplit/>
          <w:trHeight w:val="980"/>
        </w:trPr>
        <w:tc>
          <w:tcPr>
            <w:tcW w:w="1705" w:type="dxa"/>
            <w:vMerge/>
          </w:tcPr>
          <w:p w14:paraId="751F5FD6" w14:textId="435CD195" w:rsidR="00B16675" w:rsidRPr="00EC52EE" w:rsidRDefault="00B16675" w:rsidP="000558EA">
            <w:pPr>
              <w:rPr>
                <w:rFonts w:ascii="Times New Roman" w:hAnsi="Times New Roman" w:cs="Times New Roman"/>
                <w:b/>
                <w:sz w:val="24"/>
                <w:szCs w:val="24"/>
              </w:rPr>
            </w:pPr>
          </w:p>
        </w:tc>
        <w:tc>
          <w:tcPr>
            <w:tcW w:w="1530" w:type="dxa"/>
          </w:tcPr>
          <w:p w14:paraId="751F5FD7" w14:textId="480498BE" w:rsidR="00B16675" w:rsidRPr="00EC52EE" w:rsidRDefault="00B16675" w:rsidP="000558EA">
            <w:pPr>
              <w:rPr>
                <w:rFonts w:ascii="Times New Roman" w:hAnsi="Times New Roman" w:cs="Times New Roman"/>
                <w:sz w:val="24"/>
                <w:szCs w:val="24"/>
              </w:rPr>
            </w:pPr>
            <w:proofErr w:type="spellStart"/>
            <w:r>
              <w:rPr>
                <w:rFonts w:ascii="Times New Roman" w:hAnsi="Times New Roman" w:cs="Times New Roman"/>
                <w:sz w:val="24"/>
                <w:szCs w:val="24"/>
              </w:rPr>
              <w:t>Avista</w:t>
            </w:r>
            <w:proofErr w:type="spellEnd"/>
          </w:p>
        </w:tc>
        <w:tc>
          <w:tcPr>
            <w:tcW w:w="7200" w:type="dxa"/>
          </w:tcPr>
          <w:tbl>
            <w:tblPr>
              <w:tblW w:w="7015" w:type="dxa"/>
              <w:jc w:val="center"/>
              <w:tblLayout w:type="fixed"/>
              <w:tblLook w:val="04A0" w:firstRow="1" w:lastRow="0" w:firstColumn="1" w:lastColumn="0" w:noHBand="0" w:noVBand="1"/>
            </w:tblPr>
            <w:tblGrid>
              <w:gridCol w:w="890"/>
              <w:gridCol w:w="1715"/>
              <w:gridCol w:w="1375"/>
              <w:gridCol w:w="1685"/>
              <w:gridCol w:w="1350"/>
            </w:tblGrid>
            <w:tr w:rsidR="00B16675" w:rsidRPr="00EC52EE" w14:paraId="72C4E893" w14:textId="77777777" w:rsidTr="0081765E">
              <w:trPr>
                <w:trHeight w:val="300"/>
                <w:jc w:val="center"/>
              </w:trPr>
              <w:tc>
                <w:tcPr>
                  <w:tcW w:w="890" w:type="dxa"/>
                  <w:tcBorders>
                    <w:top w:val="single" w:sz="4" w:space="0" w:color="auto"/>
                    <w:left w:val="single" w:sz="4" w:space="0" w:color="auto"/>
                    <w:bottom w:val="single" w:sz="4" w:space="0" w:color="auto"/>
                    <w:right w:val="single" w:sz="4" w:space="0" w:color="auto"/>
                  </w:tcBorders>
                  <w:noWrap/>
                  <w:vAlign w:val="bottom"/>
                  <w:hideMark/>
                </w:tcPr>
                <w:p w14:paraId="3A39C00C" w14:textId="77777777" w:rsidR="00B16675" w:rsidRPr="000F244E" w:rsidRDefault="00B16675" w:rsidP="00A05C26">
                  <w:pPr>
                    <w:framePr w:hSpace="180" w:wrap="around" w:hAnchor="margin" w:y="-720"/>
                    <w:jc w:val="center"/>
                    <w:rPr>
                      <w:rFonts w:ascii="Times New Roman" w:eastAsia="Times New Roman" w:hAnsi="Times New Roman" w:cs="Times New Roman"/>
                      <w:b/>
                      <w:bCs/>
                      <w:color w:val="000000"/>
                    </w:rPr>
                  </w:pPr>
                  <w:r w:rsidRPr="000F244E">
                    <w:rPr>
                      <w:rFonts w:ascii="Times New Roman" w:eastAsia="Times New Roman" w:hAnsi="Times New Roman" w:cs="Times New Roman"/>
                      <w:b/>
                      <w:bCs/>
                      <w:color w:val="000000"/>
                    </w:rPr>
                    <w:t>Year</w:t>
                  </w:r>
                </w:p>
              </w:tc>
              <w:tc>
                <w:tcPr>
                  <w:tcW w:w="3090" w:type="dxa"/>
                  <w:gridSpan w:val="2"/>
                  <w:tcBorders>
                    <w:top w:val="single" w:sz="4" w:space="0" w:color="auto"/>
                    <w:left w:val="nil"/>
                    <w:bottom w:val="single" w:sz="4" w:space="0" w:color="auto"/>
                    <w:right w:val="single" w:sz="4" w:space="0" w:color="auto"/>
                  </w:tcBorders>
                  <w:noWrap/>
                  <w:vAlign w:val="bottom"/>
                  <w:hideMark/>
                </w:tcPr>
                <w:p w14:paraId="54896F57" w14:textId="77777777" w:rsidR="00B16675" w:rsidRPr="000F244E" w:rsidRDefault="00B16675" w:rsidP="00A05C26">
                  <w:pPr>
                    <w:framePr w:hSpace="180" w:wrap="around" w:hAnchor="margin" w:y="-720"/>
                    <w:jc w:val="center"/>
                    <w:rPr>
                      <w:rFonts w:ascii="Times New Roman" w:eastAsia="Times New Roman" w:hAnsi="Times New Roman" w:cs="Times New Roman"/>
                      <w:b/>
                      <w:bCs/>
                      <w:color w:val="000000"/>
                    </w:rPr>
                  </w:pPr>
                  <w:r w:rsidRPr="000F244E">
                    <w:rPr>
                      <w:rFonts w:ascii="Times New Roman" w:eastAsia="Times New Roman" w:hAnsi="Times New Roman" w:cs="Times New Roman"/>
                      <w:b/>
                      <w:bCs/>
                      <w:color w:val="000000"/>
                    </w:rPr>
                    <w:t>Residential</w:t>
                  </w:r>
                </w:p>
              </w:tc>
              <w:tc>
                <w:tcPr>
                  <w:tcW w:w="3035" w:type="dxa"/>
                  <w:gridSpan w:val="2"/>
                  <w:tcBorders>
                    <w:top w:val="single" w:sz="4" w:space="0" w:color="auto"/>
                    <w:left w:val="nil"/>
                    <w:bottom w:val="single" w:sz="4" w:space="0" w:color="auto"/>
                    <w:right w:val="single" w:sz="4" w:space="0" w:color="auto"/>
                  </w:tcBorders>
                  <w:noWrap/>
                  <w:vAlign w:val="bottom"/>
                  <w:hideMark/>
                </w:tcPr>
                <w:p w14:paraId="3781346C" w14:textId="77777777" w:rsidR="00B16675" w:rsidRPr="00FB295C" w:rsidRDefault="00B16675" w:rsidP="00A05C26">
                  <w:pPr>
                    <w:framePr w:hSpace="180" w:wrap="around" w:hAnchor="margin" w:y="-720"/>
                    <w:jc w:val="center"/>
                    <w:rPr>
                      <w:rFonts w:ascii="Times New Roman" w:eastAsia="Times New Roman" w:hAnsi="Times New Roman" w:cs="Times New Roman"/>
                      <w:b/>
                      <w:bCs/>
                      <w:color w:val="000000"/>
                    </w:rPr>
                  </w:pPr>
                  <w:r w:rsidRPr="00FB295C">
                    <w:rPr>
                      <w:rFonts w:ascii="Times New Roman" w:eastAsia="Times New Roman" w:hAnsi="Times New Roman" w:cs="Times New Roman"/>
                      <w:b/>
                      <w:bCs/>
                      <w:color w:val="000000"/>
                    </w:rPr>
                    <w:t>Non Residential</w:t>
                  </w:r>
                </w:p>
              </w:tc>
            </w:tr>
            <w:tr w:rsidR="00B16675" w:rsidRPr="00EC52EE" w14:paraId="64F42471" w14:textId="77777777" w:rsidTr="0081765E">
              <w:trPr>
                <w:trHeight w:val="1286"/>
                <w:jc w:val="center"/>
              </w:trPr>
              <w:tc>
                <w:tcPr>
                  <w:tcW w:w="890" w:type="dxa"/>
                  <w:tcBorders>
                    <w:top w:val="nil"/>
                    <w:left w:val="single" w:sz="4" w:space="0" w:color="auto"/>
                    <w:bottom w:val="single" w:sz="4" w:space="0" w:color="auto"/>
                    <w:right w:val="single" w:sz="4" w:space="0" w:color="auto"/>
                  </w:tcBorders>
                  <w:vAlign w:val="bottom"/>
                  <w:hideMark/>
                </w:tcPr>
                <w:p w14:paraId="071B4B56" w14:textId="77777777" w:rsidR="00B16675" w:rsidRPr="00EC52EE" w:rsidRDefault="00B16675" w:rsidP="00A05C26">
                  <w:pPr>
                    <w:framePr w:hSpace="180" w:wrap="around" w:hAnchor="margin" w:y="-720"/>
                    <w:rPr>
                      <w:rFonts w:ascii="Times New Roman" w:eastAsia="Times New Roman" w:hAnsi="Times New Roman" w:cs="Times New Roman"/>
                      <w:color w:val="000000"/>
                    </w:rPr>
                  </w:pPr>
                  <w:r w:rsidRPr="00EC52EE">
                    <w:rPr>
                      <w:rFonts w:ascii="Times New Roman" w:eastAsia="Times New Roman" w:hAnsi="Times New Roman" w:cs="Times New Roman"/>
                      <w:color w:val="000000"/>
                    </w:rPr>
                    <w:t> </w:t>
                  </w:r>
                </w:p>
              </w:tc>
              <w:tc>
                <w:tcPr>
                  <w:tcW w:w="1715" w:type="dxa"/>
                  <w:tcBorders>
                    <w:top w:val="nil"/>
                    <w:left w:val="nil"/>
                    <w:bottom w:val="single" w:sz="4" w:space="0" w:color="auto"/>
                    <w:right w:val="single" w:sz="4" w:space="0" w:color="auto"/>
                  </w:tcBorders>
                  <w:hideMark/>
                </w:tcPr>
                <w:p w14:paraId="3D25E681" w14:textId="77777777" w:rsidR="00B16675" w:rsidRPr="000F244E" w:rsidRDefault="00B16675" w:rsidP="00A05C26">
                  <w:pPr>
                    <w:framePr w:hSpace="180" w:wrap="around" w:hAnchor="margin" w:y="-720"/>
                    <w:jc w:val="center"/>
                    <w:rPr>
                      <w:rFonts w:ascii="Times New Roman" w:eastAsia="Times New Roman" w:hAnsi="Times New Roman" w:cs="Times New Roman"/>
                      <w:b/>
                      <w:bCs/>
                      <w:color w:val="000000"/>
                    </w:rPr>
                  </w:pPr>
                  <w:r w:rsidRPr="000F244E">
                    <w:rPr>
                      <w:rFonts w:ascii="Times New Roman" w:eastAsia="Times New Roman" w:hAnsi="Times New Roman" w:cs="Times New Roman"/>
                      <w:b/>
                      <w:bCs/>
                      <w:color w:val="000000"/>
                    </w:rPr>
                    <w:t>Number of accounts issued corrected bills exceeding six months</w:t>
                  </w:r>
                </w:p>
              </w:tc>
              <w:tc>
                <w:tcPr>
                  <w:tcW w:w="1375" w:type="dxa"/>
                  <w:tcBorders>
                    <w:top w:val="nil"/>
                    <w:left w:val="nil"/>
                    <w:bottom w:val="single" w:sz="4" w:space="0" w:color="auto"/>
                    <w:right w:val="single" w:sz="4" w:space="0" w:color="auto"/>
                  </w:tcBorders>
                  <w:hideMark/>
                </w:tcPr>
                <w:p w14:paraId="7208A88B" w14:textId="77777777" w:rsidR="00B16675" w:rsidRPr="00FB295C" w:rsidRDefault="00B16675" w:rsidP="00A05C26">
                  <w:pPr>
                    <w:framePr w:hSpace="180" w:wrap="around" w:hAnchor="margin" w:y="-720"/>
                    <w:jc w:val="center"/>
                    <w:rPr>
                      <w:rFonts w:ascii="Times New Roman" w:eastAsia="Times New Roman" w:hAnsi="Times New Roman" w:cs="Times New Roman"/>
                      <w:b/>
                      <w:bCs/>
                      <w:color w:val="000000"/>
                    </w:rPr>
                  </w:pPr>
                  <w:r w:rsidRPr="000F244E">
                    <w:rPr>
                      <w:rFonts w:ascii="Times New Roman" w:eastAsia="Times New Roman" w:hAnsi="Times New Roman" w:cs="Times New Roman"/>
                      <w:b/>
                      <w:bCs/>
                      <w:color w:val="000000"/>
                    </w:rPr>
                    <w:t>Total amount billed in excess of six months*</w:t>
                  </w:r>
                </w:p>
              </w:tc>
              <w:tc>
                <w:tcPr>
                  <w:tcW w:w="1685" w:type="dxa"/>
                  <w:tcBorders>
                    <w:top w:val="nil"/>
                    <w:left w:val="nil"/>
                    <w:bottom w:val="single" w:sz="4" w:space="0" w:color="auto"/>
                    <w:right w:val="single" w:sz="4" w:space="0" w:color="auto"/>
                  </w:tcBorders>
                  <w:hideMark/>
                </w:tcPr>
                <w:p w14:paraId="5136D9DA" w14:textId="77777777" w:rsidR="00B16675" w:rsidRPr="00FB295C" w:rsidRDefault="00B16675" w:rsidP="00A05C26">
                  <w:pPr>
                    <w:framePr w:hSpace="180" w:wrap="around" w:hAnchor="margin" w:y="-720"/>
                    <w:jc w:val="center"/>
                    <w:rPr>
                      <w:rFonts w:ascii="Times New Roman" w:eastAsia="Times New Roman" w:hAnsi="Times New Roman" w:cs="Times New Roman"/>
                      <w:b/>
                      <w:bCs/>
                      <w:color w:val="000000"/>
                    </w:rPr>
                  </w:pPr>
                  <w:r w:rsidRPr="00FB295C">
                    <w:rPr>
                      <w:rFonts w:ascii="Times New Roman" w:eastAsia="Times New Roman" w:hAnsi="Times New Roman" w:cs="Times New Roman"/>
                      <w:b/>
                      <w:bCs/>
                      <w:color w:val="000000"/>
                    </w:rPr>
                    <w:t>Number of accounts issued corrected bills exceeding six months</w:t>
                  </w:r>
                </w:p>
              </w:tc>
              <w:tc>
                <w:tcPr>
                  <w:tcW w:w="1350" w:type="dxa"/>
                  <w:tcBorders>
                    <w:top w:val="nil"/>
                    <w:left w:val="nil"/>
                    <w:bottom w:val="single" w:sz="4" w:space="0" w:color="auto"/>
                    <w:right w:val="single" w:sz="4" w:space="0" w:color="auto"/>
                  </w:tcBorders>
                  <w:hideMark/>
                </w:tcPr>
                <w:p w14:paraId="405055B0" w14:textId="77777777" w:rsidR="00B16675" w:rsidRPr="00FB295C" w:rsidRDefault="00B16675" w:rsidP="00A05C26">
                  <w:pPr>
                    <w:framePr w:hSpace="180" w:wrap="around" w:hAnchor="margin" w:y="-720"/>
                    <w:jc w:val="center"/>
                    <w:rPr>
                      <w:rFonts w:ascii="Times New Roman" w:eastAsia="Times New Roman" w:hAnsi="Times New Roman" w:cs="Times New Roman"/>
                      <w:b/>
                      <w:bCs/>
                      <w:color w:val="000000"/>
                    </w:rPr>
                  </w:pPr>
                  <w:r w:rsidRPr="00FB295C">
                    <w:rPr>
                      <w:rFonts w:ascii="Times New Roman" w:eastAsia="Times New Roman" w:hAnsi="Times New Roman" w:cs="Times New Roman"/>
                      <w:b/>
                      <w:bCs/>
                      <w:color w:val="000000"/>
                    </w:rPr>
                    <w:t>Total amount billed in excess of six months*</w:t>
                  </w:r>
                </w:p>
              </w:tc>
            </w:tr>
            <w:tr w:rsidR="00B16675" w:rsidRPr="00EC52EE" w14:paraId="604329AD" w14:textId="77777777" w:rsidTr="0081765E">
              <w:trPr>
                <w:trHeight w:val="300"/>
                <w:jc w:val="center"/>
              </w:trPr>
              <w:tc>
                <w:tcPr>
                  <w:tcW w:w="890" w:type="dxa"/>
                  <w:tcBorders>
                    <w:top w:val="nil"/>
                    <w:left w:val="single" w:sz="4" w:space="0" w:color="auto"/>
                    <w:bottom w:val="single" w:sz="4" w:space="0" w:color="auto"/>
                    <w:right w:val="single" w:sz="4" w:space="0" w:color="auto"/>
                  </w:tcBorders>
                  <w:noWrap/>
                  <w:vAlign w:val="bottom"/>
                  <w:hideMark/>
                </w:tcPr>
                <w:p w14:paraId="0526E549" w14:textId="77777777" w:rsidR="00B16675" w:rsidRPr="00EC52EE" w:rsidRDefault="00B16675" w:rsidP="00A05C26">
                  <w:pPr>
                    <w:framePr w:hSpace="180" w:wrap="around" w:hAnchor="margin" w:y="-720"/>
                    <w:rPr>
                      <w:rFonts w:ascii="Times New Roman" w:eastAsia="Times New Roman" w:hAnsi="Times New Roman" w:cs="Times New Roman"/>
                      <w:b/>
                      <w:bCs/>
                      <w:color w:val="000000"/>
                    </w:rPr>
                  </w:pPr>
                  <w:r w:rsidRPr="00EC52EE">
                    <w:rPr>
                      <w:rFonts w:ascii="Times New Roman" w:eastAsia="Times New Roman" w:hAnsi="Times New Roman" w:cs="Times New Roman"/>
                      <w:b/>
                      <w:bCs/>
                      <w:color w:val="000000"/>
                    </w:rPr>
                    <w:t>2012</w:t>
                  </w:r>
                </w:p>
              </w:tc>
              <w:tc>
                <w:tcPr>
                  <w:tcW w:w="1715" w:type="dxa"/>
                  <w:tcBorders>
                    <w:top w:val="nil"/>
                    <w:left w:val="nil"/>
                    <w:bottom w:val="single" w:sz="4" w:space="0" w:color="auto"/>
                    <w:right w:val="single" w:sz="4" w:space="0" w:color="auto"/>
                  </w:tcBorders>
                  <w:noWrap/>
                  <w:vAlign w:val="bottom"/>
                  <w:hideMark/>
                </w:tcPr>
                <w:p w14:paraId="4036DA04" w14:textId="77777777" w:rsidR="00B16675" w:rsidRPr="000F244E" w:rsidRDefault="00B16675" w:rsidP="00A05C26">
                  <w:pPr>
                    <w:framePr w:hSpace="180" w:wrap="around" w:hAnchor="margin" w:y="-720"/>
                    <w:jc w:val="center"/>
                    <w:rPr>
                      <w:rFonts w:ascii="Times New Roman" w:eastAsia="Times New Roman" w:hAnsi="Times New Roman" w:cs="Times New Roman"/>
                      <w:color w:val="000000"/>
                    </w:rPr>
                  </w:pPr>
                  <w:r w:rsidRPr="000F244E">
                    <w:rPr>
                      <w:rFonts w:ascii="Times New Roman" w:eastAsia="Times New Roman" w:hAnsi="Times New Roman" w:cs="Times New Roman"/>
                      <w:color w:val="000000"/>
                    </w:rPr>
                    <w:t>0</w:t>
                  </w:r>
                </w:p>
              </w:tc>
              <w:tc>
                <w:tcPr>
                  <w:tcW w:w="1375" w:type="dxa"/>
                  <w:tcBorders>
                    <w:top w:val="nil"/>
                    <w:left w:val="nil"/>
                    <w:bottom w:val="single" w:sz="4" w:space="0" w:color="auto"/>
                    <w:right w:val="single" w:sz="4" w:space="0" w:color="auto"/>
                  </w:tcBorders>
                  <w:noWrap/>
                  <w:vAlign w:val="bottom"/>
                  <w:hideMark/>
                </w:tcPr>
                <w:p w14:paraId="1356A3A6" w14:textId="77777777" w:rsidR="00B16675" w:rsidRPr="000F244E" w:rsidRDefault="00B16675" w:rsidP="00A05C26">
                  <w:pPr>
                    <w:framePr w:hSpace="180" w:wrap="around" w:hAnchor="margin" w:y="-720"/>
                    <w:jc w:val="center"/>
                    <w:rPr>
                      <w:rFonts w:ascii="Times New Roman" w:eastAsia="Times New Roman" w:hAnsi="Times New Roman" w:cs="Times New Roman"/>
                      <w:color w:val="000000"/>
                    </w:rPr>
                  </w:pPr>
                  <w:r w:rsidRPr="000F244E">
                    <w:rPr>
                      <w:rFonts w:ascii="Times New Roman" w:eastAsia="Times New Roman" w:hAnsi="Times New Roman" w:cs="Times New Roman"/>
                      <w:color w:val="000000"/>
                    </w:rPr>
                    <w:t>$0</w:t>
                  </w:r>
                </w:p>
              </w:tc>
              <w:tc>
                <w:tcPr>
                  <w:tcW w:w="1685" w:type="dxa"/>
                  <w:tcBorders>
                    <w:top w:val="nil"/>
                    <w:left w:val="nil"/>
                    <w:bottom w:val="single" w:sz="4" w:space="0" w:color="auto"/>
                    <w:right w:val="single" w:sz="4" w:space="0" w:color="auto"/>
                  </w:tcBorders>
                  <w:noWrap/>
                  <w:vAlign w:val="bottom"/>
                  <w:hideMark/>
                </w:tcPr>
                <w:p w14:paraId="7DD0C2C2" w14:textId="77777777" w:rsidR="00B16675" w:rsidRPr="00FB295C" w:rsidRDefault="00B16675" w:rsidP="00A05C26">
                  <w:pPr>
                    <w:framePr w:hSpace="180" w:wrap="around" w:hAnchor="margin" w:y="-720"/>
                    <w:jc w:val="center"/>
                    <w:rPr>
                      <w:rFonts w:ascii="Times New Roman" w:eastAsia="Times New Roman" w:hAnsi="Times New Roman" w:cs="Times New Roman"/>
                      <w:color w:val="000000"/>
                    </w:rPr>
                  </w:pPr>
                  <w:r w:rsidRPr="000F244E">
                    <w:rPr>
                      <w:rFonts w:ascii="Times New Roman" w:eastAsia="Times New Roman" w:hAnsi="Times New Roman" w:cs="Times New Roman"/>
                      <w:color w:val="000000"/>
                    </w:rPr>
                    <w:t>4</w:t>
                  </w:r>
                </w:p>
              </w:tc>
              <w:tc>
                <w:tcPr>
                  <w:tcW w:w="1350" w:type="dxa"/>
                  <w:tcBorders>
                    <w:top w:val="nil"/>
                    <w:left w:val="nil"/>
                    <w:bottom w:val="single" w:sz="4" w:space="0" w:color="auto"/>
                    <w:right w:val="single" w:sz="4" w:space="0" w:color="auto"/>
                  </w:tcBorders>
                  <w:noWrap/>
                  <w:vAlign w:val="bottom"/>
                  <w:hideMark/>
                </w:tcPr>
                <w:p w14:paraId="4CCC9A2A" w14:textId="77777777" w:rsidR="00B16675" w:rsidRPr="00FB295C" w:rsidRDefault="00B16675" w:rsidP="00A05C26">
                  <w:pPr>
                    <w:framePr w:hSpace="180" w:wrap="around" w:hAnchor="margin" w:y="-720"/>
                    <w:jc w:val="center"/>
                    <w:rPr>
                      <w:rFonts w:ascii="Times New Roman" w:eastAsia="Times New Roman" w:hAnsi="Times New Roman" w:cs="Times New Roman"/>
                      <w:color w:val="000000"/>
                    </w:rPr>
                  </w:pPr>
                  <w:r w:rsidRPr="00FB295C">
                    <w:rPr>
                      <w:rFonts w:ascii="Times New Roman" w:eastAsia="Times New Roman" w:hAnsi="Times New Roman" w:cs="Times New Roman"/>
                      <w:color w:val="000000"/>
                    </w:rPr>
                    <w:t>$34,123</w:t>
                  </w:r>
                </w:p>
              </w:tc>
            </w:tr>
            <w:tr w:rsidR="00B16675" w:rsidRPr="00EC52EE" w14:paraId="3D3BBFFE" w14:textId="77777777" w:rsidTr="0081765E">
              <w:trPr>
                <w:trHeight w:val="300"/>
                <w:jc w:val="center"/>
              </w:trPr>
              <w:tc>
                <w:tcPr>
                  <w:tcW w:w="890" w:type="dxa"/>
                  <w:tcBorders>
                    <w:top w:val="nil"/>
                    <w:left w:val="single" w:sz="4" w:space="0" w:color="auto"/>
                    <w:bottom w:val="single" w:sz="4" w:space="0" w:color="auto"/>
                    <w:right w:val="single" w:sz="4" w:space="0" w:color="auto"/>
                  </w:tcBorders>
                  <w:noWrap/>
                  <w:vAlign w:val="bottom"/>
                  <w:hideMark/>
                </w:tcPr>
                <w:p w14:paraId="0BA2CBAF" w14:textId="77777777" w:rsidR="00B16675" w:rsidRPr="00EC52EE" w:rsidRDefault="00B16675" w:rsidP="00A05C26">
                  <w:pPr>
                    <w:framePr w:hSpace="180" w:wrap="around" w:hAnchor="margin" w:y="-720"/>
                    <w:rPr>
                      <w:rFonts w:ascii="Times New Roman" w:eastAsia="Times New Roman" w:hAnsi="Times New Roman" w:cs="Times New Roman"/>
                      <w:b/>
                      <w:bCs/>
                      <w:color w:val="000000"/>
                    </w:rPr>
                  </w:pPr>
                  <w:r w:rsidRPr="00EC52EE">
                    <w:rPr>
                      <w:rFonts w:ascii="Times New Roman" w:eastAsia="Times New Roman" w:hAnsi="Times New Roman" w:cs="Times New Roman"/>
                      <w:b/>
                      <w:bCs/>
                      <w:color w:val="000000"/>
                    </w:rPr>
                    <w:t>2013</w:t>
                  </w:r>
                </w:p>
              </w:tc>
              <w:tc>
                <w:tcPr>
                  <w:tcW w:w="1715" w:type="dxa"/>
                  <w:tcBorders>
                    <w:top w:val="nil"/>
                    <w:left w:val="nil"/>
                    <w:bottom w:val="single" w:sz="4" w:space="0" w:color="auto"/>
                    <w:right w:val="single" w:sz="4" w:space="0" w:color="auto"/>
                  </w:tcBorders>
                  <w:noWrap/>
                  <w:vAlign w:val="bottom"/>
                  <w:hideMark/>
                </w:tcPr>
                <w:p w14:paraId="7F6CB962" w14:textId="77777777" w:rsidR="00B16675" w:rsidRPr="000F244E" w:rsidRDefault="00B16675" w:rsidP="00A05C26">
                  <w:pPr>
                    <w:framePr w:hSpace="180" w:wrap="around" w:hAnchor="margin" w:y="-720"/>
                    <w:jc w:val="center"/>
                    <w:rPr>
                      <w:rFonts w:ascii="Times New Roman" w:eastAsia="Times New Roman" w:hAnsi="Times New Roman" w:cs="Times New Roman"/>
                      <w:color w:val="000000"/>
                    </w:rPr>
                  </w:pPr>
                  <w:r w:rsidRPr="000F244E">
                    <w:rPr>
                      <w:rFonts w:ascii="Times New Roman" w:eastAsia="Times New Roman" w:hAnsi="Times New Roman" w:cs="Times New Roman"/>
                      <w:color w:val="000000"/>
                    </w:rPr>
                    <w:t>1</w:t>
                  </w:r>
                </w:p>
              </w:tc>
              <w:tc>
                <w:tcPr>
                  <w:tcW w:w="1375" w:type="dxa"/>
                  <w:tcBorders>
                    <w:top w:val="nil"/>
                    <w:left w:val="nil"/>
                    <w:bottom w:val="single" w:sz="4" w:space="0" w:color="auto"/>
                    <w:right w:val="single" w:sz="4" w:space="0" w:color="auto"/>
                  </w:tcBorders>
                  <w:noWrap/>
                  <w:vAlign w:val="bottom"/>
                  <w:hideMark/>
                </w:tcPr>
                <w:p w14:paraId="0910E961" w14:textId="77777777" w:rsidR="00B16675" w:rsidRPr="000F244E" w:rsidRDefault="00B16675" w:rsidP="00A05C26">
                  <w:pPr>
                    <w:framePr w:hSpace="180" w:wrap="around" w:hAnchor="margin" w:y="-720"/>
                    <w:jc w:val="center"/>
                    <w:rPr>
                      <w:rFonts w:ascii="Times New Roman" w:eastAsia="Times New Roman" w:hAnsi="Times New Roman" w:cs="Times New Roman"/>
                      <w:color w:val="000000"/>
                    </w:rPr>
                  </w:pPr>
                  <w:r w:rsidRPr="000F244E">
                    <w:rPr>
                      <w:rFonts w:ascii="Times New Roman" w:eastAsia="Times New Roman" w:hAnsi="Times New Roman" w:cs="Times New Roman"/>
                      <w:color w:val="000000"/>
                    </w:rPr>
                    <w:t>$2,137</w:t>
                  </w:r>
                </w:p>
              </w:tc>
              <w:tc>
                <w:tcPr>
                  <w:tcW w:w="1685" w:type="dxa"/>
                  <w:tcBorders>
                    <w:top w:val="nil"/>
                    <w:left w:val="nil"/>
                    <w:bottom w:val="single" w:sz="4" w:space="0" w:color="auto"/>
                    <w:right w:val="single" w:sz="4" w:space="0" w:color="auto"/>
                  </w:tcBorders>
                  <w:noWrap/>
                  <w:vAlign w:val="bottom"/>
                  <w:hideMark/>
                </w:tcPr>
                <w:p w14:paraId="68D5DC9E" w14:textId="77777777" w:rsidR="00B16675" w:rsidRPr="00FB295C" w:rsidRDefault="00B16675" w:rsidP="00A05C26">
                  <w:pPr>
                    <w:framePr w:hSpace="180" w:wrap="around" w:hAnchor="margin" w:y="-720"/>
                    <w:jc w:val="center"/>
                    <w:rPr>
                      <w:rFonts w:ascii="Times New Roman" w:eastAsia="Times New Roman" w:hAnsi="Times New Roman" w:cs="Times New Roman"/>
                      <w:color w:val="000000"/>
                    </w:rPr>
                  </w:pPr>
                  <w:r w:rsidRPr="000F244E">
                    <w:rPr>
                      <w:rFonts w:ascii="Times New Roman" w:eastAsia="Times New Roman" w:hAnsi="Times New Roman" w:cs="Times New Roman"/>
                      <w:color w:val="000000"/>
                    </w:rPr>
                    <w:t>0</w:t>
                  </w:r>
                </w:p>
              </w:tc>
              <w:tc>
                <w:tcPr>
                  <w:tcW w:w="1350" w:type="dxa"/>
                  <w:tcBorders>
                    <w:top w:val="nil"/>
                    <w:left w:val="nil"/>
                    <w:bottom w:val="single" w:sz="4" w:space="0" w:color="auto"/>
                    <w:right w:val="single" w:sz="4" w:space="0" w:color="auto"/>
                  </w:tcBorders>
                  <w:noWrap/>
                  <w:vAlign w:val="bottom"/>
                  <w:hideMark/>
                </w:tcPr>
                <w:p w14:paraId="6F7D83F2" w14:textId="77777777" w:rsidR="00B16675" w:rsidRPr="00FB295C" w:rsidRDefault="00B16675" w:rsidP="00A05C26">
                  <w:pPr>
                    <w:framePr w:hSpace="180" w:wrap="around" w:hAnchor="margin" w:y="-720"/>
                    <w:jc w:val="center"/>
                    <w:rPr>
                      <w:rFonts w:ascii="Times New Roman" w:eastAsia="Times New Roman" w:hAnsi="Times New Roman" w:cs="Times New Roman"/>
                      <w:color w:val="000000"/>
                    </w:rPr>
                  </w:pPr>
                  <w:r w:rsidRPr="00FB295C">
                    <w:rPr>
                      <w:rFonts w:ascii="Times New Roman" w:eastAsia="Times New Roman" w:hAnsi="Times New Roman" w:cs="Times New Roman"/>
                      <w:color w:val="000000"/>
                    </w:rPr>
                    <w:t>$0</w:t>
                  </w:r>
                </w:p>
              </w:tc>
            </w:tr>
            <w:tr w:rsidR="00B16675" w:rsidRPr="00EC52EE" w14:paraId="4458592B" w14:textId="77777777" w:rsidTr="0081765E">
              <w:trPr>
                <w:trHeight w:val="300"/>
                <w:jc w:val="center"/>
              </w:trPr>
              <w:tc>
                <w:tcPr>
                  <w:tcW w:w="890" w:type="dxa"/>
                  <w:tcBorders>
                    <w:top w:val="nil"/>
                    <w:left w:val="single" w:sz="4" w:space="0" w:color="auto"/>
                    <w:bottom w:val="single" w:sz="4" w:space="0" w:color="auto"/>
                    <w:right w:val="single" w:sz="4" w:space="0" w:color="auto"/>
                  </w:tcBorders>
                  <w:noWrap/>
                  <w:vAlign w:val="bottom"/>
                  <w:hideMark/>
                </w:tcPr>
                <w:p w14:paraId="38414E76" w14:textId="77777777" w:rsidR="00B16675" w:rsidRPr="00EC52EE" w:rsidRDefault="00B16675" w:rsidP="00A05C26">
                  <w:pPr>
                    <w:framePr w:hSpace="180" w:wrap="around" w:hAnchor="margin" w:y="-720"/>
                    <w:rPr>
                      <w:rFonts w:ascii="Times New Roman" w:eastAsia="Times New Roman" w:hAnsi="Times New Roman" w:cs="Times New Roman"/>
                      <w:b/>
                      <w:bCs/>
                      <w:color w:val="000000"/>
                    </w:rPr>
                  </w:pPr>
                  <w:r w:rsidRPr="00EC52EE">
                    <w:rPr>
                      <w:rFonts w:ascii="Times New Roman" w:eastAsia="Times New Roman" w:hAnsi="Times New Roman" w:cs="Times New Roman"/>
                      <w:b/>
                      <w:bCs/>
                      <w:color w:val="000000"/>
                    </w:rPr>
                    <w:t>2014</w:t>
                  </w:r>
                </w:p>
              </w:tc>
              <w:tc>
                <w:tcPr>
                  <w:tcW w:w="1715" w:type="dxa"/>
                  <w:tcBorders>
                    <w:top w:val="nil"/>
                    <w:left w:val="nil"/>
                    <w:bottom w:val="single" w:sz="4" w:space="0" w:color="auto"/>
                    <w:right w:val="single" w:sz="4" w:space="0" w:color="auto"/>
                  </w:tcBorders>
                  <w:noWrap/>
                  <w:vAlign w:val="bottom"/>
                  <w:hideMark/>
                </w:tcPr>
                <w:p w14:paraId="3C6BE0E1" w14:textId="77777777" w:rsidR="00B16675" w:rsidRPr="000F244E" w:rsidRDefault="00B16675" w:rsidP="00A05C26">
                  <w:pPr>
                    <w:framePr w:hSpace="180" w:wrap="around" w:hAnchor="margin" w:y="-720"/>
                    <w:jc w:val="center"/>
                    <w:rPr>
                      <w:rFonts w:ascii="Times New Roman" w:eastAsia="Times New Roman" w:hAnsi="Times New Roman" w:cs="Times New Roman"/>
                      <w:color w:val="000000"/>
                    </w:rPr>
                  </w:pPr>
                  <w:r w:rsidRPr="000F244E">
                    <w:rPr>
                      <w:rFonts w:ascii="Times New Roman" w:eastAsia="Times New Roman" w:hAnsi="Times New Roman" w:cs="Times New Roman"/>
                      <w:color w:val="000000"/>
                    </w:rPr>
                    <w:t>0</w:t>
                  </w:r>
                </w:p>
              </w:tc>
              <w:tc>
                <w:tcPr>
                  <w:tcW w:w="1375" w:type="dxa"/>
                  <w:tcBorders>
                    <w:top w:val="nil"/>
                    <w:left w:val="nil"/>
                    <w:bottom w:val="single" w:sz="4" w:space="0" w:color="auto"/>
                    <w:right w:val="single" w:sz="4" w:space="0" w:color="auto"/>
                  </w:tcBorders>
                  <w:noWrap/>
                  <w:vAlign w:val="bottom"/>
                  <w:hideMark/>
                </w:tcPr>
                <w:p w14:paraId="119EF3AE" w14:textId="77777777" w:rsidR="00B16675" w:rsidRPr="000F244E" w:rsidRDefault="00B16675" w:rsidP="00A05C26">
                  <w:pPr>
                    <w:framePr w:hSpace="180" w:wrap="around" w:hAnchor="margin" w:y="-720"/>
                    <w:jc w:val="center"/>
                    <w:rPr>
                      <w:rFonts w:ascii="Times New Roman" w:eastAsia="Times New Roman" w:hAnsi="Times New Roman" w:cs="Times New Roman"/>
                      <w:color w:val="000000"/>
                    </w:rPr>
                  </w:pPr>
                  <w:r w:rsidRPr="000F244E">
                    <w:rPr>
                      <w:rFonts w:ascii="Times New Roman" w:eastAsia="Times New Roman" w:hAnsi="Times New Roman" w:cs="Times New Roman"/>
                      <w:color w:val="000000"/>
                    </w:rPr>
                    <w:t>$0</w:t>
                  </w:r>
                </w:p>
              </w:tc>
              <w:tc>
                <w:tcPr>
                  <w:tcW w:w="1685" w:type="dxa"/>
                  <w:tcBorders>
                    <w:top w:val="nil"/>
                    <w:left w:val="nil"/>
                    <w:bottom w:val="single" w:sz="4" w:space="0" w:color="auto"/>
                    <w:right w:val="single" w:sz="4" w:space="0" w:color="auto"/>
                  </w:tcBorders>
                  <w:noWrap/>
                  <w:vAlign w:val="bottom"/>
                  <w:hideMark/>
                </w:tcPr>
                <w:p w14:paraId="19F708D2" w14:textId="77777777" w:rsidR="00B16675" w:rsidRPr="00FB295C" w:rsidRDefault="00B16675" w:rsidP="00A05C26">
                  <w:pPr>
                    <w:framePr w:hSpace="180" w:wrap="around" w:hAnchor="margin" w:y="-720"/>
                    <w:jc w:val="center"/>
                    <w:rPr>
                      <w:rFonts w:ascii="Times New Roman" w:eastAsia="Times New Roman" w:hAnsi="Times New Roman" w:cs="Times New Roman"/>
                      <w:color w:val="000000"/>
                    </w:rPr>
                  </w:pPr>
                  <w:r w:rsidRPr="000F244E">
                    <w:rPr>
                      <w:rFonts w:ascii="Times New Roman" w:eastAsia="Times New Roman" w:hAnsi="Times New Roman" w:cs="Times New Roman"/>
                      <w:color w:val="000000"/>
                    </w:rPr>
                    <w:t>0</w:t>
                  </w:r>
                </w:p>
              </w:tc>
              <w:tc>
                <w:tcPr>
                  <w:tcW w:w="1350" w:type="dxa"/>
                  <w:tcBorders>
                    <w:top w:val="nil"/>
                    <w:left w:val="nil"/>
                    <w:bottom w:val="single" w:sz="4" w:space="0" w:color="auto"/>
                    <w:right w:val="single" w:sz="4" w:space="0" w:color="auto"/>
                  </w:tcBorders>
                  <w:noWrap/>
                  <w:vAlign w:val="bottom"/>
                  <w:hideMark/>
                </w:tcPr>
                <w:p w14:paraId="351A1304" w14:textId="77777777" w:rsidR="00B16675" w:rsidRPr="00FB295C" w:rsidRDefault="00B16675" w:rsidP="00A05C26">
                  <w:pPr>
                    <w:framePr w:hSpace="180" w:wrap="around" w:hAnchor="margin" w:y="-720"/>
                    <w:jc w:val="center"/>
                    <w:rPr>
                      <w:rFonts w:ascii="Times New Roman" w:eastAsia="Times New Roman" w:hAnsi="Times New Roman" w:cs="Times New Roman"/>
                      <w:color w:val="000000"/>
                    </w:rPr>
                  </w:pPr>
                  <w:r w:rsidRPr="00FB295C">
                    <w:rPr>
                      <w:rFonts w:ascii="Times New Roman" w:eastAsia="Times New Roman" w:hAnsi="Times New Roman" w:cs="Times New Roman"/>
                      <w:color w:val="000000"/>
                    </w:rPr>
                    <w:t>$0</w:t>
                  </w:r>
                </w:p>
              </w:tc>
            </w:tr>
          </w:tbl>
          <w:p w14:paraId="0C61A2DC" w14:textId="77777777" w:rsidR="00B16675" w:rsidRPr="00EC52EE" w:rsidRDefault="00B16675" w:rsidP="000558EA">
            <w:pPr>
              <w:pStyle w:val="ListParagraph"/>
              <w:ind w:left="0"/>
              <w:rPr>
                <w:rFonts w:ascii="Times New Roman" w:eastAsia="Times New Roman" w:hAnsi="Times New Roman" w:cs="Times New Roman"/>
                <w:sz w:val="24"/>
                <w:szCs w:val="24"/>
              </w:rPr>
            </w:pPr>
          </w:p>
          <w:p w14:paraId="18B19C67" w14:textId="77777777" w:rsidR="00B16675" w:rsidRPr="000F244E" w:rsidRDefault="00B16675" w:rsidP="000558EA">
            <w:pPr>
              <w:jc w:val="center"/>
              <w:rPr>
                <w:rFonts w:ascii="Times New Roman" w:hAnsi="Times New Roman" w:cs="Times New Roman"/>
              </w:rPr>
            </w:pPr>
            <w:r w:rsidRPr="000F244E">
              <w:rPr>
                <w:rFonts w:ascii="Times New Roman" w:hAnsi="Times New Roman" w:cs="Times New Roman"/>
              </w:rPr>
              <w:t>* The dollar amounts included in the table represent the sum of total amount</w:t>
            </w:r>
          </w:p>
          <w:p w14:paraId="70C9E405" w14:textId="77777777" w:rsidR="00B16675" w:rsidRPr="00FB295C" w:rsidRDefault="00B16675" w:rsidP="000558EA">
            <w:pPr>
              <w:jc w:val="center"/>
              <w:rPr>
                <w:rFonts w:ascii="Times New Roman" w:hAnsi="Times New Roman" w:cs="Times New Roman"/>
              </w:rPr>
            </w:pPr>
            <w:r w:rsidRPr="000F244E">
              <w:rPr>
                <w:rFonts w:ascii="Times New Roman" w:hAnsi="Times New Roman" w:cs="Times New Roman"/>
              </w:rPr>
              <w:t xml:space="preserve"> </w:t>
            </w:r>
            <w:proofErr w:type="gramStart"/>
            <w:r w:rsidRPr="000F244E">
              <w:rPr>
                <w:rFonts w:ascii="Times New Roman" w:hAnsi="Times New Roman" w:cs="Times New Roman"/>
              </w:rPr>
              <w:t>re-billed</w:t>
            </w:r>
            <w:proofErr w:type="gramEnd"/>
            <w:r w:rsidRPr="00FB295C">
              <w:rPr>
                <w:rFonts w:ascii="Times New Roman" w:hAnsi="Times New Roman" w:cs="Times New Roman"/>
              </w:rPr>
              <w:t xml:space="preserve"> to customers who were issued corrected bills in excess of six months.</w:t>
            </w:r>
          </w:p>
          <w:p w14:paraId="0C3D9466" w14:textId="77777777" w:rsidR="00B16675" w:rsidRDefault="00B16675" w:rsidP="000558EA">
            <w:pPr>
              <w:rPr>
                <w:rFonts w:ascii="Times New Roman" w:eastAsia="Times New Roman" w:hAnsi="Times New Roman" w:cs="Times New Roman"/>
                <w:color w:val="000000"/>
                <w:szCs w:val="24"/>
              </w:rPr>
            </w:pPr>
          </w:p>
          <w:p w14:paraId="04FDCFBF" w14:textId="77777777" w:rsidR="00B16675" w:rsidRDefault="00B16675" w:rsidP="000558EA">
            <w:pPr>
              <w:rPr>
                <w:rFonts w:ascii="Times New Roman" w:eastAsia="Times New Roman" w:hAnsi="Times New Roman" w:cs="Times New Roman"/>
                <w:color w:val="000000"/>
                <w:szCs w:val="24"/>
              </w:rPr>
            </w:pPr>
          </w:p>
          <w:p w14:paraId="18178D35" w14:textId="77777777" w:rsidR="00B16675" w:rsidRPr="00FB295C" w:rsidRDefault="00B16675" w:rsidP="000558EA">
            <w:pPr>
              <w:rPr>
                <w:rFonts w:ascii="Times New Roman" w:eastAsia="Times New Roman" w:hAnsi="Times New Roman" w:cs="Times New Roman"/>
                <w:color w:val="000000"/>
                <w:szCs w:val="24"/>
              </w:rPr>
            </w:pPr>
          </w:p>
          <w:tbl>
            <w:tblPr>
              <w:tblW w:w="2505" w:type="dxa"/>
              <w:jc w:val="center"/>
              <w:tblLayout w:type="fixed"/>
              <w:tblLook w:val="04A0" w:firstRow="1" w:lastRow="0" w:firstColumn="1" w:lastColumn="0" w:noHBand="0" w:noVBand="1"/>
            </w:tblPr>
            <w:tblGrid>
              <w:gridCol w:w="890"/>
              <w:gridCol w:w="1615"/>
            </w:tblGrid>
            <w:tr w:rsidR="00B16675" w:rsidRPr="00EC52EE" w14:paraId="7BA198B5" w14:textId="77777777" w:rsidTr="0081765E">
              <w:trPr>
                <w:trHeight w:val="300"/>
                <w:jc w:val="center"/>
              </w:trPr>
              <w:tc>
                <w:tcPr>
                  <w:tcW w:w="890" w:type="dxa"/>
                  <w:tcBorders>
                    <w:top w:val="single" w:sz="4" w:space="0" w:color="auto"/>
                    <w:left w:val="single" w:sz="4" w:space="0" w:color="auto"/>
                    <w:bottom w:val="single" w:sz="4" w:space="0" w:color="auto"/>
                    <w:right w:val="single" w:sz="4" w:space="0" w:color="auto"/>
                  </w:tcBorders>
                  <w:noWrap/>
                  <w:vAlign w:val="bottom"/>
                  <w:hideMark/>
                </w:tcPr>
                <w:p w14:paraId="3172B4D8"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rPr>
                  </w:pPr>
                  <w:r w:rsidRPr="00EC52EE">
                    <w:rPr>
                      <w:rFonts w:ascii="Times New Roman" w:eastAsia="Times New Roman" w:hAnsi="Times New Roman" w:cs="Times New Roman"/>
                      <w:b/>
                      <w:bCs/>
                      <w:color w:val="000000"/>
                    </w:rPr>
                    <w:t>Year</w:t>
                  </w:r>
                </w:p>
              </w:tc>
              <w:tc>
                <w:tcPr>
                  <w:tcW w:w="1615" w:type="dxa"/>
                  <w:tcBorders>
                    <w:top w:val="single" w:sz="4" w:space="0" w:color="auto"/>
                    <w:left w:val="nil"/>
                    <w:bottom w:val="single" w:sz="4" w:space="0" w:color="auto"/>
                    <w:right w:val="single" w:sz="4" w:space="0" w:color="auto"/>
                  </w:tcBorders>
                  <w:noWrap/>
                  <w:vAlign w:val="bottom"/>
                  <w:hideMark/>
                </w:tcPr>
                <w:p w14:paraId="18908741"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rPr>
                  </w:pPr>
                  <w:r w:rsidRPr="00EC52EE">
                    <w:rPr>
                      <w:rFonts w:ascii="Times New Roman" w:eastAsia="Times New Roman" w:hAnsi="Times New Roman" w:cs="Times New Roman"/>
                      <w:b/>
                      <w:bCs/>
                      <w:color w:val="000000"/>
                    </w:rPr>
                    <w:t>Total Revenue</w:t>
                  </w:r>
                </w:p>
              </w:tc>
            </w:tr>
            <w:tr w:rsidR="00B16675" w:rsidRPr="00EC52EE" w14:paraId="301B4D82" w14:textId="77777777" w:rsidTr="0081765E">
              <w:trPr>
                <w:trHeight w:val="1286"/>
                <w:jc w:val="center"/>
              </w:trPr>
              <w:tc>
                <w:tcPr>
                  <w:tcW w:w="890" w:type="dxa"/>
                  <w:tcBorders>
                    <w:top w:val="nil"/>
                    <w:left w:val="single" w:sz="4" w:space="0" w:color="auto"/>
                    <w:bottom w:val="single" w:sz="4" w:space="0" w:color="auto"/>
                    <w:right w:val="single" w:sz="4" w:space="0" w:color="auto"/>
                  </w:tcBorders>
                  <w:vAlign w:val="bottom"/>
                  <w:hideMark/>
                </w:tcPr>
                <w:p w14:paraId="016C5EA1" w14:textId="77777777" w:rsidR="00B16675" w:rsidRPr="00EC52EE" w:rsidRDefault="00B16675" w:rsidP="00A05C26">
                  <w:pPr>
                    <w:framePr w:hSpace="180" w:wrap="around" w:hAnchor="margin" w:y="-720"/>
                    <w:rPr>
                      <w:rFonts w:ascii="Times New Roman" w:eastAsia="Times New Roman" w:hAnsi="Times New Roman" w:cs="Times New Roman"/>
                      <w:color w:val="000000"/>
                    </w:rPr>
                  </w:pPr>
                  <w:r w:rsidRPr="00EC52EE">
                    <w:rPr>
                      <w:rFonts w:ascii="Times New Roman" w:eastAsia="Times New Roman" w:hAnsi="Times New Roman" w:cs="Times New Roman"/>
                      <w:color w:val="000000"/>
                    </w:rPr>
                    <w:t> </w:t>
                  </w:r>
                </w:p>
              </w:tc>
              <w:tc>
                <w:tcPr>
                  <w:tcW w:w="1615" w:type="dxa"/>
                  <w:tcBorders>
                    <w:top w:val="nil"/>
                    <w:left w:val="nil"/>
                    <w:bottom w:val="single" w:sz="4" w:space="0" w:color="auto"/>
                    <w:right w:val="single" w:sz="4" w:space="0" w:color="auto"/>
                  </w:tcBorders>
                  <w:hideMark/>
                </w:tcPr>
                <w:p w14:paraId="3576F82B"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rPr>
                  </w:pPr>
                  <w:r w:rsidRPr="00EC52EE">
                    <w:rPr>
                      <w:rFonts w:ascii="Times New Roman" w:eastAsia="Times New Roman" w:hAnsi="Times New Roman" w:cs="Times New Roman"/>
                      <w:b/>
                      <w:bCs/>
                      <w:color w:val="000000"/>
                    </w:rPr>
                    <w:t>Company's total revenue</w:t>
                  </w:r>
                </w:p>
              </w:tc>
            </w:tr>
            <w:tr w:rsidR="00B16675" w:rsidRPr="00EC52EE" w14:paraId="5069DAC4" w14:textId="77777777" w:rsidTr="0081765E">
              <w:trPr>
                <w:trHeight w:val="300"/>
                <w:jc w:val="center"/>
              </w:trPr>
              <w:tc>
                <w:tcPr>
                  <w:tcW w:w="890" w:type="dxa"/>
                  <w:tcBorders>
                    <w:top w:val="nil"/>
                    <w:left w:val="single" w:sz="4" w:space="0" w:color="auto"/>
                    <w:bottom w:val="single" w:sz="4" w:space="0" w:color="auto"/>
                    <w:right w:val="single" w:sz="4" w:space="0" w:color="auto"/>
                  </w:tcBorders>
                  <w:noWrap/>
                  <w:vAlign w:val="bottom"/>
                  <w:hideMark/>
                </w:tcPr>
                <w:p w14:paraId="227948E6" w14:textId="77777777" w:rsidR="00B16675" w:rsidRPr="00EC52EE" w:rsidRDefault="00B16675" w:rsidP="00A05C26">
                  <w:pPr>
                    <w:framePr w:hSpace="180" w:wrap="around" w:hAnchor="margin" w:y="-720"/>
                    <w:rPr>
                      <w:rFonts w:ascii="Times New Roman" w:eastAsia="Times New Roman" w:hAnsi="Times New Roman" w:cs="Times New Roman"/>
                      <w:b/>
                      <w:bCs/>
                      <w:color w:val="000000"/>
                    </w:rPr>
                  </w:pPr>
                  <w:r w:rsidRPr="00EC52EE">
                    <w:rPr>
                      <w:rFonts w:ascii="Times New Roman" w:eastAsia="Times New Roman" w:hAnsi="Times New Roman" w:cs="Times New Roman"/>
                      <w:b/>
                      <w:bCs/>
                      <w:color w:val="000000"/>
                    </w:rPr>
                    <w:t>2012</w:t>
                  </w:r>
                </w:p>
              </w:tc>
              <w:tc>
                <w:tcPr>
                  <w:tcW w:w="1615" w:type="dxa"/>
                  <w:tcBorders>
                    <w:top w:val="nil"/>
                    <w:left w:val="nil"/>
                    <w:bottom w:val="single" w:sz="4" w:space="0" w:color="auto"/>
                    <w:right w:val="single" w:sz="4" w:space="0" w:color="auto"/>
                  </w:tcBorders>
                  <w:noWrap/>
                  <w:vAlign w:val="bottom"/>
                  <w:hideMark/>
                </w:tcPr>
                <w:p w14:paraId="21EE5CC6" w14:textId="77777777" w:rsidR="00B16675" w:rsidRPr="00EC52EE" w:rsidRDefault="00B16675" w:rsidP="00A05C26">
                  <w:pPr>
                    <w:framePr w:hSpace="180" w:wrap="around" w:hAnchor="margin" w:y="-720"/>
                    <w:jc w:val="center"/>
                    <w:rPr>
                      <w:rFonts w:ascii="Times New Roman" w:eastAsia="Times New Roman" w:hAnsi="Times New Roman" w:cs="Times New Roman"/>
                      <w:color w:val="000000"/>
                    </w:rPr>
                  </w:pPr>
                  <w:r w:rsidRPr="00EC52EE">
                    <w:rPr>
                      <w:rFonts w:ascii="Times New Roman" w:eastAsia="Times New Roman" w:hAnsi="Times New Roman" w:cs="Times New Roman"/>
                      <w:color w:val="000000"/>
                    </w:rPr>
                    <w:t>$625,675,220</w:t>
                  </w:r>
                </w:p>
              </w:tc>
            </w:tr>
            <w:tr w:rsidR="00B16675" w:rsidRPr="00EC52EE" w14:paraId="39FBAE33" w14:textId="77777777" w:rsidTr="0081765E">
              <w:trPr>
                <w:trHeight w:val="300"/>
                <w:jc w:val="center"/>
              </w:trPr>
              <w:tc>
                <w:tcPr>
                  <w:tcW w:w="890" w:type="dxa"/>
                  <w:tcBorders>
                    <w:top w:val="nil"/>
                    <w:left w:val="single" w:sz="4" w:space="0" w:color="auto"/>
                    <w:bottom w:val="single" w:sz="4" w:space="0" w:color="auto"/>
                    <w:right w:val="single" w:sz="4" w:space="0" w:color="auto"/>
                  </w:tcBorders>
                  <w:noWrap/>
                  <w:vAlign w:val="bottom"/>
                  <w:hideMark/>
                </w:tcPr>
                <w:p w14:paraId="07FA6BF2" w14:textId="77777777" w:rsidR="00B16675" w:rsidRPr="00EC52EE" w:rsidRDefault="00B16675" w:rsidP="00A05C26">
                  <w:pPr>
                    <w:framePr w:hSpace="180" w:wrap="around" w:hAnchor="margin" w:y="-720"/>
                    <w:rPr>
                      <w:rFonts w:ascii="Times New Roman" w:eastAsia="Times New Roman" w:hAnsi="Times New Roman" w:cs="Times New Roman"/>
                      <w:b/>
                      <w:bCs/>
                      <w:color w:val="000000"/>
                    </w:rPr>
                  </w:pPr>
                  <w:r w:rsidRPr="00EC52EE">
                    <w:rPr>
                      <w:rFonts w:ascii="Times New Roman" w:eastAsia="Times New Roman" w:hAnsi="Times New Roman" w:cs="Times New Roman"/>
                      <w:b/>
                      <w:bCs/>
                      <w:color w:val="000000"/>
                    </w:rPr>
                    <w:t>2013</w:t>
                  </w:r>
                </w:p>
              </w:tc>
              <w:tc>
                <w:tcPr>
                  <w:tcW w:w="1615" w:type="dxa"/>
                  <w:tcBorders>
                    <w:top w:val="nil"/>
                    <w:left w:val="nil"/>
                    <w:bottom w:val="single" w:sz="4" w:space="0" w:color="auto"/>
                    <w:right w:val="single" w:sz="4" w:space="0" w:color="auto"/>
                  </w:tcBorders>
                  <w:noWrap/>
                  <w:vAlign w:val="bottom"/>
                  <w:hideMark/>
                </w:tcPr>
                <w:p w14:paraId="2D0BD51E" w14:textId="77777777" w:rsidR="00B16675" w:rsidRPr="00EC52EE" w:rsidRDefault="00B16675" w:rsidP="00A05C26">
                  <w:pPr>
                    <w:framePr w:hSpace="180" w:wrap="around" w:hAnchor="margin" w:y="-720"/>
                    <w:jc w:val="center"/>
                    <w:rPr>
                      <w:rFonts w:ascii="Times New Roman" w:eastAsia="Times New Roman" w:hAnsi="Times New Roman" w:cs="Times New Roman"/>
                      <w:color w:val="000000"/>
                    </w:rPr>
                  </w:pPr>
                  <w:r w:rsidRPr="00EC52EE">
                    <w:rPr>
                      <w:rFonts w:ascii="Times New Roman" w:eastAsia="Times New Roman" w:hAnsi="Times New Roman" w:cs="Times New Roman"/>
                      <w:color w:val="000000"/>
                    </w:rPr>
                    <w:t>$651,307,499</w:t>
                  </w:r>
                </w:p>
              </w:tc>
            </w:tr>
            <w:tr w:rsidR="00B16675" w:rsidRPr="00EC52EE" w14:paraId="18124511" w14:textId="77777777" w:rsidTr="0081765E">
              <w:trPr>
                <w:trHeight w:val="300"/>
                <w:jc w:val="center"/>
              </w:trPr>
              <w:tc>
                <w:tcPr>
                  <w:tcW w:w="890" w:type="dxa"/>
                  <w:tcBorders>
                    <w:top w:val="nil"/>
                    <w:left w:val="single" w:sz="4" w:space="0" w:color="auto"/>
                    <w:bottom w:val="single" w:sz="4" w:space="0" w:color="auto"/>
                    <w:right w:val="single" w:sz="4" w:space="0" w:color="auto"/>
                  </w:tcBorders>
                  <w:noWrap/>
                  <w:vAlign w:val="bottom"/>
                  <w:hideMark/>
                </w:tcPr>
                <w:p w14:paraId="0756AD41" w14:textId="77777777" w:rsidR="00B16675" w:rsidRPr="00EC52EE" w:rsidRDefault="00B16675" w:rsidP="00A05C26">
                  <w:pPr>
                    <w:framePr w:hSpace="180" w:wrap="around" w:hAnchor="margin" w:y="-720"/>
                    <w:rPr>
                      <w:rFonts w:ascii="Times New Roman" w:eastAsia="Times New Roman" w:hAnsi="Times New Roman" w:cs="Times New Roman"/>
                      <w:b/>
                      <w:bCs/>
                      <w:color w:val="000000"/>
                    </w:rPr>
                  </w:pPr>
                  <w:r w:rsidRPr="00EC52EE">
                    <w:rPr>
                      <w:rFonts w:ascii="Times New Roman" w:eastAsia="Times New Roman" w:hAnsi="Times New Roman" w:cs="Times New Roman"/>
                      <w:b/>
                      <w:bCs/>
                      <w:color w:val="000000"/>
                    </w:rPr>
                    <w:t>2014</w:t>
                  </w:r>
                </w:p>
              </w:tc>
              <w:tc>
                <w:tcPr>
                  <w:tcW w:w="1615" w:type="dxa"/>
                  <w:tcBorders>
                    <w:top w:val="nil"/>
                    <w:left w:val="nil"/>
                    <w:bottom w:val="single" w:sz="4" w:space="0" w:color="auto"/>
                    <w:right w:val="single" w:sz="4" w:space="0" w:color="auto"/>
                  </w:tcBorders>
                  <w:noWrap/>
                  <w:vAlign w:val="bottom"/>
                  <w:hideMark/>
                </w:tcPr>
                <w:p w14:paraId="2341381C" w14:textId="77777777" w:rsidR="00B16675" w:rsidRPr="00EC52EE" w:rsidRDefault="00B16675" w:rsidP="00A05C26">
                  <w:pPr>
                    <w:framePr w:hSpace="180" w:wrap="around" w:hAnchor="margin" w:y="-720"/>
                    <w:jc w:val="center"/>
                    <w:rPr>
                      <w:rFonts w:ascii="Times New Roman" w:eastAsia="Times New Roman" w:hAnsi="Times New Roman" w:cs="Times New Roman"/>
                      <w:color w:val="000000"/>
                    </w:rPr>
                  </w:pPr>
                  <w:r w:rsidRPr="00EC52EE">
                    <w:rPr>
                      <w:rFonts w:ascii="Times New Roman" w:eastAsia="Times New Roman" w:hAnsi="Times New Roman" w:cs="Times New Roman"/>
                      <w:color w:val="000000"/>
                    </w:rPr>
                    <w:t>$675,386,929</w:t>
                  </w:r>
                </w:p>
              </w:tc>
            </w:tr>
          </w:tbl>
          <w:p w14:paraId="751F6008" w14:textId="77777777" w:rsidR="00B16675" w:rsidRPr="00EC52EE" w:rsidRDefault="00B16675" w:rsidP="000558EA">
            <w:pPr>
              <w:rPr>
                <w:rFonts w:ascii="Times New Roman" w:hAnsi="Times New Roman" w:cs="Times New Roman"/>
                <w:sz w:val="24"/>
                <w:szCs w:val="24"/>
              </w:rPr>
            </w:pPr>
          </w:p>
        </w:tc>
        <w:tc>
          <w:tcPr>
            <w:tcW w:w="4248" w:type="dxa"/>
            <w:vMerge/>
          </w:tcPr>
          <w:p w14:paraId="751F6009" w14:textId="6635BA7F" w:rsidR="00B16675" w:rsidRPr="00EC52EE" w:rsidRDefault="00B16675" w:rsidP="000558EA">
            <w:pPr>
              <w:rPr>
                <w:rFonts w:ascii="Times New Roman" w:hAnsi="Times New Roman" w:cs="Times New Roman"/>
                <w:sz w:val="24"/>
                <w:szCs w:val="24"/>
              </w:rPr>
            </w:pPr>
          </w:p>
        </w:tc>
      </w:tr>
      <w:tr w:rsidR="00B16675" w:rsidRPr="00EC52EE" w14:paraId="751F603E" w14:textId="77777777" w:rsidTr="002B46DD">
        <w:trPr>
          <w:cantSplit/>
          <w:trHeight w:val="980"/>
        </w:trPr>
        <w:tc>
          <w:tcPr>
            <w:tcW w:w="1705" w:type="dxa"/>
            <w:vMerge/>
          </w:tcPr>
          <w:p w14:paraId="751F600B" w14:textId="77777777" w:rsidR="00B16675" w:rsidRPr="00EC52EE" w:rsidRDefault="00B16675" w:rsidP="000558EA">
            <w:pPr>
              <w:rPr>
                <w:rFonts w:ascii="Times New Roman" w:hAnsi="Times New Roman" w:cs="Times New Roman"/>
                <w:b/>
                <w:sz w:val="24"/>
                <w:szCs w:val="24"/>
              </w:rPr>
            </w:pPr>
          </w:p>
        </w:tc>
        <w:tc>
          <w:tcPr>
            <w:tcW w:w="1530" w:type="dxa"/>
          </w:tcPr>
          <w:p w14:paraId="751F600C" w14:textId="50D0F1C6" w:rsidR="00B16675" w:rsidRPr="00EC52EE" w:rsidRDefault="00B16675" w:rsidP="000558EA">
            <w:pPr>
              <w:rPr>
                <w:rFonts w:ascii="Times New Roman" w:hAnsi="Times New Roman" w:cs="Times New Roman"/>
                <w:sz w:val="24"/>
                <w:szCs w:val="24"/>
              </w:rPr>
            </w:pPr>
            <w:r>
              <w:rPr>
                <w:rFonts w:ascii="Times New Roman" w:hAnsi="Times New Roman" w:cs="Times New Roman"/>
                <w:sz w:val="24"/>
                <w:szCs w:val="24"/>
              </w:rPr>
              <w:t>PSE</w:t>
            </w:r>
          </w:p>
        </w:tc>
        <w:tc>
          <w:tcPr>
            <w:tcW w:w="7200" w:type="dxa"/>
          </w:tcPr>
          <w:p w14:paraId="0FF06E2D" w14:textId="77777777" w:rsidR="00B16675" w:rsidRPr="00EC52EE" w:rsidRDefault="00B16675" w:rsidP="000558EA">
            <w:pPr>
              <w:pStyle w:val="Default"/>
              <w:rPr>
                <w:b/>
                <w:u w:val="single"/>
              </w:rPr>
            </w:pPr>
          </w:p>
          <w:p w14:paraId="15BF7563" w14:textId="77777777" w:rsidR="00B16675" w:rsidRPr="00EC52EE" w:rsidRDefault="00B16675" w:rsidP="000558EA">
            <w:pPr>
              <w:pStyle w:val="Default"/>
            </w:pPr>
            <w:r w:rsidRPr="00EC52EE">
              <w:t xml:space="preserve">PSE’s meter and billing correction tracking system specifically tracks billing corrections related to stopped meter and </w:t>
            </w:r>
            <w:proofErr w:type="spellStart"/>
            <w:r w:rsidRPr="00EC52EE">
              <w:t>UEU</w:t>
            </w:r>
            <w:proofErr w:type="spellEnd"/>
            <w:r w:rsidRPr="00EC52EE">
              <w:t xml:space="preserve"> problems.  The system does not include an “other billing errors” category.</w:t>
            </w:r>
          </w:p>
          <w:p w14:paraId="751F603C" w14:textId="77777777" w:rsidR="00B16675" w:rsidRPr="00EC52EE" w:rsidRDefault="00B16675" w:rsidP="000558EA">
            <w:pPr>
              <w:rPr>
                <w:rFonts w:ascii="Times New Roman" w:eastAsia="Times New Roman" w:hAnsi="Times New Roman" w:cs="Times New Roman"/>
                <w:color w:val="000000"/>
                <w:szCs w:val="24"/>
              </w:rPr>
            </w:pPr>
          </w:p>
        </w:tc>
        <w:tc>
          <w:tcPr>
            <w:tcW w:w="4248" w:type="dxa"/>
            <w:vMerge/>
          </w:tcPr>
          <w:p w14:paraId="751F603D" w14:textId="77777777" w:rsidR="00B16675" w:rsidRPr="00EC52EE" w:rsidRDefault="00B16675" w:rsidP="000558EA">
            <w:pPr>
              <w:rPr>
                <w:rFonts w:ascii="Times New Roman" w:hAnsi="Times New Roman" w:cs="Times New Roman"/>
                <w:sz w:val="24"/>
                <w:szCs w:val="24"/>
              </w:rPr>
            </w:pPr>
          </w:p>
        </w:tc>
      </w:tr>
      <w:tr w:rsidR="00B16675" w:rsidRPr="00EC52EE" w14:paraId="751F6045" w14:textId="77777777" w:rsidTr="002B46DD">
        <w:trPr>
          <w:cantSplit/>
          <w:trHeight w:val="980"/>
        </w:trPr>
        <w:tc>
          <w:tcPr>
            <w:tcW w:w="1705" w:type="dxa"/>
            <w:vMerge/>
          </w:tcPr>
          <w:p w14:paraId="751F603F" w14:textId="77777777" w:rsidR="00B16675" w:rsidRPr="00EC52EE" w:rsidRDefault="00B16675" w:rsidP="000558EA">
            <w:pPr>
              <w:rPr>
                <w:rFonts w:ascii="Times New Roman" w:hAnsi="Times New Roman" w:cs="Times New Roman"/>
                <w:b/>
                <w:sz w:val="24"/>
                <w:szCs w:val="24"/>
              </w:rPr>
            </w:pPr>
          </w:p>
        </w:tc>
        <w:tc>
          <w:tcPr>
            <w:tcW w:w="1530" w:type="dxa"/>
          </w:tcPr>
          <w:p w14:paraId="751F6040" w14:textId="6E12F4B5" w:rsidR="00B16675" w:rsidRPr="00EC52EE" w:rsidRDefault="00B16675" w:rsidP="000558EA">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tbl>
            <w:tblPr>
              <w:tblW w:w="6983" w:type="dxa"/>
              <w:tblLayout w:type="fixed"/>
              <w:tblCellMar>
                <w:left w:w="0" w:type="dxa"/>
                <w:right w:w="0" w:type="dxa"/>
              </w:tblCellMar>
              <w:tblLook w:val="04A0" w:firstRow="1" w:lastRow="0" w:firstColumn="1" w:lastColumn="0" w:noHBand="0" w:noVBand="1"/>
            </w:tblPr>
            <w:tblGrid>
              <w:gridCol w:w="705"/>
              <w:gridCol w:w="1320"/>
              <w:gridCol w:w="1656"/>
              <w:gridCol w:w="1413"/>
              <w:gridCol w:w="1889"/>
            </w:tblGrid>
            <w:tr w:rsidR="00B16675" w:rsidRPr="00EC52EE" w14:paraId="3FFBFC7D" w14:textId="77777777" w:rsidTr="00D060FD">
              <w:trPr>
                <w:trHeight w:val="300"/>
              </w:trPr>
              <w:tc>
                <w:tcPr>
                  <w:tcW w:w="705"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6D0723EA"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Year</w:t>
                  </w:r>
                </w:p>
              </w:tc>
              <w:tc>
                <w:tcPr>
                  <w:tcW w:w="29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5F9B6C0"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Residential</w:t>
                  </w:r>
                </w:p>
              </w:tc>
              <w:tc>
                <w:tcPr>
                  <w:tcW w:w="33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7E4CF93"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Non Residential</w:t>
                  </w:r>
                </w:p>
              </w:tc>
            </w:tr>
            <w:tr w:rsidR="00B16675" w:rsidRPr="00EC52EE" w14:paraId="2DADDB3B" w14:textId="77777777" w:rsidTr="00D060FD">
              <w:trPr>
                <w:trHeight w:val="900"/>
              </w:trPr>
              <w:tc>
                <w:tcPr>
                  <w:tcW w:w="705"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41122931" w14:textId="77777777" w:rsidR="00B16675" w:rsidRPr="00FB295C" w:rsidRDefault="00B16675" w:rsidP="00A05C26">
                  <w:pPr>
                    <w:framePr w:hSpace="180" w:wrap="around" w:hAnchor="margin" w:y="-720"/>
                    <w:rPr>
                      <w:rFonts w:ascii="Times New Roman" w:hAnsi="Times New Roman" w:cs="Times New Roman"/>
                      <w:color w:val="000000"/>
                      <w:sz w:val="20"/>
                      <w:lang w:eastAsia="zh-CN"/>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70C31836"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of accounts with corrected bill exceeding 6 months</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784C08A"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Total amount billed in excess of 6 months</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14:paraId="0ADB176C"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of accounts with corrected bill exceeding 6 months</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121E40EF"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Total amount billed in excess of 6 months</w:t>
                  </w:r>
                </w:p>
              </w:tc>
            </w:tr>
            <w:tr w:rsidR="00B16675" w:rsidRPr="00EC52EE" w14:paraId="06896F77" w14:textId="77777777" w:rsidTr="00D060FD">
              <w:trPr>
                <w:trHeight w:val="300"/>
              </w:trPr>
              <w:tc>
                <w:tcPr>
                  <w:tcW w:w="705"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01C02813"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43CE18E0"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0</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hideMark/>
                </w:tcPr>
                <w:p w14:paraId="549D1727"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N/A</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14:paraId="298E127A"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3</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4A67ADF5"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147,110.25</w:t>
                  </w:r>
                </w:p>
              </w:tc>
            </w:tr>
            <w:tr w:rsidR="00B16675" w:rsidRPr="00EC52EE" w14:paraId="218A29ED" w14:textId="77777777" w:rsidTr="00D060FD">
              <w:trPr>
                <w:trHeight w:val="300"/>
              </w:trPr>
              <w:tc>
                <w:tcPr>
                  <w:tcW w:w="705"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6185EB70"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2013</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69A62544"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1</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hideMark/>
                </w:tcPr>
                <w:p w14:paraId="25F08C07"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27.49</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14:paraId="1838B8B8"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0</w:t>
                  </w:r>
                </w:p>
              </w:tc>
              <w:tc>
                <w:tcPr>
                  <w:tcW w:w="1889" w:type="dxa"/>
                  <w:tcBorders>
                    <w:top w:val="nil"/>
                    <w:left w:val="nil"/>
                    <w:bottom w:val="single" w:sz="8" w:space="0" w:color="auto"/>
                    <w:right w:val="single" w:sz="8" w:space="0" w:color="auto"/>
                  </w:tcBorders>
                  <w:tcMar>
                    <w:top w:w="0" w:type="dxa"/>
                    <w:left w:w="108" w:type="dxa"/>
                    <w:bottom w:w="0" w:type="dxa"/>
                    <w:right w:w="108" w:type="dxa"/>
                  </w:tcMar>
                  <w:hideMark/>
                </w:tcPr>
                <w:p w14:paraId="53132BF5"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xml:space="preserve">$                 N/A           </w:t>
                  </w:r>
                </w:p>
              </w:tc>
            </w:tr>
            <w:tr w:rsidR="00B16675" w:rsidRPr="00EC52EE" w14:paraId="3901E823" w14:textId="77777777" w:rsidTr="00D060FD">
              <w:trPr>
                <w:trHeight w:val="315"/>
              </w:trPr>
              <w:tc>
                <w:tcPr>
                  <w:tcW w:w="705" w:type="dxa"/>
                  <w:tcBorders>
                    <w:top w:val="nil"/>
                    <w:left w:val="single" w:sz="12" w:space="0" w:color="auto"/>
                    <w:bottom w:val="single" w:sz="12" w:space="0" w:color="auto"/>
                    <w:right w:val="single" w:sz="8" w:space="0" w:color="auto"/>
                  </w:tcBorders>
                  <w:noWrap/>
                  <w:tcMar>
                    <w:top w:w="0" w:type="dxa"/>
                    <w:left w:w="108" w:type="dxa"/>
                    <w:bottom w:w="0" w:type="dxa"/>
                    <w:right w:w="108" w:type="dxa"/>
                  </w:tcMar>
                  <w:hideMark/>
                </w:tcPr>
                <w:p w14:paraId="4C772D5B"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2014</w:t>
                  </w:r>
                </w:p>
              </w:tc>
              <w:tc>
                <w:tcPr>
                  <w:tcW w:w="1320" w:type="dxa"/>
                  <w:tcBorders>
                    <w:top w:val="nil"/>
                    <w:left w:val="nil"/>
                    <w:bottom w:val="single" w:sz="12" w:space="0" w:color="auto"/>
                    <w:right w:val="single" w:sz="8" w:space="0" w:color="auto"/>
                  </w:tcBorders>
                  <w:tcMar>
                    <w:top w:w="0" w:type="dxa"/>
                    <w:left w:w="108" w:type="dxa"/>
                    <w:bottom w:w="0" w:type="dxa"/>
                    <w:right w:w="108" w:type="dxa"/>
                  </w:tcMar>
                  <w:hideMark/>
                </w:tcPr>
                <w:p w14:paraId="1313E81C"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0</w:t>
                  </w:r>
                </w:p>
              </w:tc>
              <w:tc>
                <w:tcPr>
                  <w:tcW w:w="1656" w:type="dxa"/>
                  <w:tcBorders>
                    <w:top w:val="nil"/>
                    <w:left w:val="nil"/>
                    <w:bottom w:val="single" w:sz="12" w:space="0" w:color="auto"/>
                    <w:right w:val="single" w:sz="8" w:space="0" w:color="auto"/>
                  </w:tcBorders>
                  <w:noWrap/>
                  <w:tcMar>
                    <w:top w:w="0" w:type="dxa"/>
                    <w:left w:w="108" w:type="dxa"/>
                    <w:bottom w:w="0" w:type="dxa"/>
                    <w:right w:w="108" w:type="dxa"/>
                  </w:tcMar>
                  <w:hideMark/>
                </w:tcPr>
                <w:p w14:paraId="7DBC2ACC"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N/A</w:t>
                  </w:r>
                </w:p>
              </w:tc>
              <w:tc>
                <w:tcPr>
                  <w:tcW w:w="1413" w:type="dxa"/>
                  <w:tcBorders>
                    <w:top w:val="nil"/>
                    <w:left w:val="nil"/>
                    <w:bottom w:val="single" w:sz="12" w:space="0" w:color="auto"/>
                    <w:right w:val="single" w:sz="8" w:space="0" w:color="auto"/>
                  </w:tcBorders>
                  <w:tcMar>
                    <w:top w:w="0" w:type="dxa"/>
                    <w:left w:w="108" w:type="dxa"/>
                    <w:bottom w:w="0" w:type="dxa"/>
                    <w:right w:w="108" w:type="dxa"/>
                  </w:tcMar>
                  <w:hideMark/>
                </w:tcPr>
                <w:p w14:paraId="36C2CFE4"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0</w:t>
                  </w:r>
                </w:p>
              </w:tc>
              <w:tc>
                <w:tcPr>
                  <w:tcW w:w="1889" w:type="dxa"/>
                  <w:tcBorders>
                    <w:top w:val="nil"/>
                    <w:left w:val="nil"/>
                    <w:bottom w:val="single" w:sz="12" w:space="0" w:color="auto"/>
                    <w:right w:val="single" w:sz="8" w:space="0" w:color="auto"/>
                  </w:tcBorders>
                  <w:tcMar>
                    <w:top w:w="0" w:type="dxa"/>
                    <w:left w:w="108" w:type="dxa"/>
                    <w:bottom w:w="0" w:type="dxa"/>
                    <w:right w:w="108" w:type="dxa"/>
                  </w:tcMar>
                  <w:hideMark/>
                </w:tcPr>
                <w:p w14:paraId="6AAE3A5D"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N/A</w:t>
                  </w:r>
                </w:p>
              </w:tc>
            </w:tr>
          </w:tbl>
          <w:p w14:paraId="19336534" w14:textId="77777777" w:rsidR="00B16675" w:rsidRPr="00EC52EE" w:rsidRDefault="00B16675" w:rsidP="000558EA">
            <w:pPr>
              <w:pStyle w:val="Default"/>
              <w:rPr>
                <w:b/>
                <w:u w:val="single"/>
              </w:rPr>
            </w:pPr>
          </w:p>
          <w:p w14:paraId="63BE313D" w14:textId="77777777" w:rsidR="00B16675" w:rsidRDefault="00B16675" w:rsidP="000558EA">
            <w:pPr>
              <w:pStyle w:val="Default"/>
              <w:rPr>
                <w:b/>
                <w:u w:val="single"/>
              </w:rPr>
            </w:pPr>
          </w:p>
          <w:p w14:paraId="5A90F448" w14:textId="77777777" w:rsidR="00B16675" w:rsidRDefault="00B16675" w:rsidP="000558EA">
            <w:pPr>
              <w:pStyle w:val="Default"/>
              <w:rPr>
                <w:b/>
                <w:u w:val="single"/>
              </w:rPr>
            </w:pPr>
          </w:p>
          <w:p w14:paraId="05F859AF" w14:textId="77777777" w:rsidR="00B16675" w:rsidRDefault="00B16675" w:rsidP="000558EA">
            <w:pPr>
              <w:pStyle w:val="Default"/>
              <w:rPr>
                <w:b/>
                <w:u w:val="single"/>
              </w:rPr>
            </w:pPr>
          </w:p>
          <w:p w14:paraId="239534CA" w14:textId="77777777" w:rsidR="00B16675" w:rsidRDefault="00B16675" w:rsidP="000558EA">
            <w:pPr>
              <w:pStyle w:val="Default"/>
              <w:rPr>
                <w:b/>
                <w:u w:val="single"/>
              </w:rPr>
            </w:pPr>
          </w:p>
          <w:p w14:paraId="2E16F549" w14:textId="77777777" w:rsidR="00B16675" w:rsidRDefault="00B16675" w:rsidP="000558EA">
            <w:pPr>
              <w:pStyle w:val="Default"/>
              <w:rPr>
                <w:b/>
                <w:u w:val="single"/>
              </w:rPr>
            </w:pPr>
          </w:p>
          <w:p w14:paraId="41CCCB6F" w14:textId="77777777" w:rsidR="00B16675" w:rsidRPr="00EC52EE" w:rsidRDefault="00B16675" w:rsidP="000558EA">
            <w:pPr>
              <w:pStyle w:val="Default"/>
              <w:rPr>
                <w:b/>
                <w:u w:val="single"/>
              </w:rPr>
            </w:pPr>
          </w:p>
          <w:tbl>
            <w:tblPr>
              <w:tblW w:w="2382" w:type="dxa"/>
              <w:tblLayout w:type="fixed"/>
              <w:tblCellMar>
                <w:left w:w="0" w:type="dxa"/>
                <w:right w:w="0" w:type="dxa"/>
              </w:tblCellMar>
              <w:tblLook w:val="04A0" w:firstRow="1" w:lastRow="0" w:firstColumn="1" w:lastColumn="0" w:noHBand="0" w:noVBand="1"/>
            </w:tblPr>
            <w:tblGrid>
              <w:gridCol w:w="960"/>
              <w:gridCol w:w="1422"/>
            </w:tblGrid>
            <w:tr w:rsidR="00B16675" w:rsidRPr="00EC52EE" w14:paraId="241CD4AB" w14:textId="77777777" w:rsidTr="00D060FD">
              <w:trPr>
                <w:trHeight w:val="622"/>
              </w:trPr>
              <w:tc>
                <w:tcPr>
                  <w:tcW w:w="960" w:type="dxa"/>
                  <w:tcBorders>
                    <w:top w:val="single" w:sz="12" w:space="0" w:color="auto"/>
                    <w:left w:val="single" w:sz="12" w:space="0" w:color="auto"/>
                    <w:bottom w:val="nil"/>
                    <w:right w:val="single" w:sz="8" w:space="0" w:color="auto"/>
                  </w:tcBorders>
                  <w:noWrap/>
                  <w:tcMar>
                    <w:top w:w="0" w:type="dxa"/>
                    <w:left w:w="108" w:type="dxa"/>
                    <w:bottom w:w="0" w:type="dxa"/>
                    <w:right w:w="108" w:type="dxa"/>
                  </w:tcMar>
                  <w:vAlign w:val="bottom"/>
                  <w:hideMark/>
                </w:tcPr>
                <w:p w14:paraId="1273D797"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Year</w:t>
                  </w:r>
                </w:p>
              </w:tc>
              <w:tc>
                <w:tcPr>
                  <w:tcW w:w="1422" w:type="dxa"/>
                  <w:tcBorders>
                    <w:top w:val="single" w:sz="12" w:space="0" w:color="auto"/>
                    <w:left w:val="nil"/>
                    <w:bottom w:val="nil"/>
                    <w:right w:val="single" w:sz="12" w:space="0" w:color="auto"/>
                  </w:tcBorders>
                  <w:noWrap/>
                  <w:tcMar>
                    <w:top w:w="0" w:type="dxa"/>
                    <w:left w:w="108" w:type="dxa"/>
                    <w:bottom w:w="0" w:type="dxa"/>
                    <w:right w:w="108" w:type="dxa"/>
                  </w:tcMar>
                  <w:vAlign w:val="bottom"/>
                  <w:hideMark/>
                </w:tcPr>
                <w:p w14:paraId="01227AF3"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w:t>
                  </w:r>
                </w:p>
                <w:p w14:paraId="22D36D82"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Total Revenue</w:t>
                  </w:r>
                </w:p>
              </w:tc>
            </w:tr>
            <w:tr w:rsidR="00B16675" w:rsidRPr="00EC52EE" w14:paraId="69E87369" w14:textId="77777777" w:rsidTr="00D060FD">
              <w:trPr>
                <w:trHeight w:val="9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01176B32" w14:textId="77777777" w:rsidR="00B16675" w:rsidRPr="00FB295C" w:rsidRDefault="00B16675" w:rsidP="00A05C26">
                  <w:pPr>
                    <w:framePr w:hSpace="180" w:wrap="around" w:hAnchor="margin" w:y="-720"/>
                    <w:rPr>
                      <w:rFonts w:ascii="Times New Roman" w:hAnsi="Times New Roman" w:cs="Times New Roman"/>
                      <w:color w:val="000000"/>
                      <w:sz w:val="20"/>
                      <w:lang w:eastAsia="zh-CN"/>
                    </w:rPr>
                  </w:pPr>
                </w:p>
              </w:tc>
              <w:tc>
                <w:tcPr>
                  <w:tcW w:w="1422" w:type="dxa"/>
                  <w:tcBorders>
                    <w:top w:val="nil"/>
                    <w:left w:val="nil"/>
                    <w:bottom w:val="single" w:sz="8" w:space="0" w:color="auto"/>
                    <w:right w:val="single" w:sz="12" w:space="0" w:color="auto"/>
                  </w:tcBorders>
                  <w:noWrap/>
                  <w:tcMar>
                    <w:top w:w="0" w:type="dxa"/>
                    <w:left w:w="108" w:type="dxa"/>
                    <w:bottom w:w="0" w:type="dxa"/>
                    <w:right w:w="108" w:type="dxa"/>
                  </w:tcMar>
                  <w:hideMark/>
                </w:tcPr>
                <w:p w14:paraId="7A78086F" w14:textId="77777777" w:rsidR="00B16675" w:rsidRPr="00FB295C" w:rsidRDefault="00B16675" w:rsidP="00A05C26">
                  <w:pPr>
                    <w:framePr w:hSpace="180" w:wrap="around" w:hAnchor="margin" w:y="-720"/>
                    <w:rPr>
                      <w:rFonts w:ascii="Times New Roman" w:hAnsi="Times New Roman" w:cs="Times New Roman"/>
                      <w:sz w:val="20"/>
                      <w:szCs w:val="20"/>
                    </w:rPr>
                  </w:pPr>
                </w:p>
              </w:tc>
            </w:tr>
            <w:tr w:rsidR="00B16675" w:rsidRPr="00EC52EE" w14:paraId="7AF83FE6" w14:textId="77777777" w:rsidTr="00D060FD">
              <w:trPr>
                <w:trHeight w:val="3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15A0721E"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2012</w:t>
                  </w:r>
                </w:p>
              </w:tc>
              <w:tc>
                <w:tcPr>
                  <w:tcW w:w="1422" w:type="dxa"/>
                  <w:tcBorders>
                    <w:top w:val="nil"/>
                    <w:left w:val="nil"/>
                    <w:bottom w:val="single" w:sz="8" w:space="0" w:color="auto"/>
                    <w:right w:val="single" w:sz="12" w:space="0" w:color="auto"/>
                  </w:tcBorders>
                  <w:noWrap/>
                  <w:tcMar>
                    <w:top w:w="0" w:type="dxa"/>
                    <w:left w:w="108" w:type="dxa"/>
                    <w:bottom w:w="0" w:type="dxa"/>
                    <w:right w:w="108" w:type="dxa"/>
                  </w:tcMar>
                  <w:hideMark/>
                </w:tcPr>
                <w:p w14:paraId="47469CC0"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sz w:val="20"/>
                      <w:szCs w:val="20"/>
                      <w:lang w:eastAsia="zh-CN"/>
                    </w:rPr>
                    <w:t>$69,954,449</w:t>
                  </w:r>
                </w:p>
              </w:tc>
            </w:tr>
            <w:tr w:rsidR="00B16675" w:rsidRPr="00EC52EE" w14:paraId="170E8DA9" w14:textId="77777777" w:rsidTr="00D060FD">
              <w:trPr>
                <w:trHeight w:val="300"/>
              </w:trPr>
              <w:tc>
                <w:tcPr>
                  <w:tcW w:w="960"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20B845B4"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2013</w:t>
                  </w:r>
                </w:p>
              </w:tc>
              <w:tc>
                <w:tcPr>
                  <w:tcW w:w="1422" w:type="dxa"/>
                  <w:tcBorders>
                    <w:top w:val="nil"/>
                    <w:left w:val="nil"/>
                    <w:bottom w:val="single" w:sz="8" w:space="0" w:color="auto"/>
                    <w:right w:val="single" w:sz="12" w:space="0" w:color="auto"/>
                  </w:tcBorders>
                  <w:noWrap/>
                  <w:tcMar>
                    <w:top w:w="0" w:type="dxa"/>
                    <w:left w:w="108" w:type="dxa"/>
                    <w:bottom w:w="0" w:type="dxa"/>
                    <w:right w:w="108" w:type="dxa"/>
                  </w:tcMar>
                  <w:hideMark/>
                </w:tcPr>
                <w:p w14:paraId="5856DAA3"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sz w:val="20"/>
                      <w:szCs w:val="20"/>
                      <w:lang w:eastAsia="zh-CN"/>
                    </w:rPr>
                    <w:t>$73,988,411</w:t>
                  </w:r>
                </w:p>
              </w:tc>
            </w:tr>
            <w:tr w:rsidR="00B16675" w:rsidRPr="00EC52EE" w14:paraId="118CB0A3" w14:textId="77777777" w:rsidTr="00D060FD">
              <w:trPr>
                <w:trHeight w:val="315"/>
              </w:trPr>
              <w:tc>
                <w:tcPr>
                  <w:tcW w:w="960" w:type="dxa"/>
                  <w:tcBorders>
                    <w:top w:val="nil"/>
                    <w:left w:val="single" w:sz="12" w:space="0" w:color="auto"/>
                    <w:bottom w:val="single" w:sz="12" w:space="0" w:color="auto"/>
                    <w:right w:val="single" w:sz="8" w:space="0" w:color="auto"/>
                  </w:tcBorders>
                  <w:noWrap/>
                  <w:tcMar>
                    <w:top w:w="0" w:type="dxa"/>
                    <w:left w:w="108" w:type="dxa"/>
                    <w:bottom w:w="0" w:type="dxa"/>
                    <w:right w:w="108" w:type="dxa"/>
                  </w:tcMar>
                  <w:hideMark/>
                </w:tcPr>
                <w:p w14:paraId="245D5C32"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2014</w:t>
                  </w:r>
                </w:p>
              </w:tc>
              <w:tc>
                <w:tcPr>
                  <w:tcW w:w="1422" w:type="dxa"/>
                  <w:tcBorders>
                    <w:top w:val="nil"/>
                    <w:left w:val="nil"/>
                    <w:bottom w:val="single" w:sz="12" w:space="0" w:color="auto"/>
                    <w:right w:val="single" w:sz="12" w:space="0" w:color="auto"/>
                  </w:tcBorders>
                  <w:noWrap/>
                  <w:tcMar>
                    <w:top w:w="0" w:type="dxa"/>
                    <w:left w:w="108" w:type="dxa"/>
                    <w:bottom w:w="0" w:type="dxa"/>
                    <w:right w:w="108" w:type="dxa"/>
                  </w:tcMar>
                  <w:hideMark/>
                </w:tcPr>
                <w:p w14:paraId="2CA6AECD"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sz w:val="20"/>
                      <w:szCs w:val="20"/>
                      <w:lang w:eastAsia="zh-CN"/>
                    </w:rPr>
                    <w:t>$71,567,785</w:t>
                  </w:r>
                </w:p>
              </w:tc>
            </w:tr>
          </w:tbl>
          <w:p w14:paraId="751F6043" w14:textId="77777777" w:rsidR="00B16675" w:rsidRPr="000F244E" w:rsidRDefault="00B16675" w:rsidP="000558EA">
            <w:pPr>
              <w:rPr>
                <w:rFonts w:ascii="Times New Roman" w:eastAsia="Times New Roman" w:hAnsi="Times New Roman" w:cs="Times New Roman"/>
                <w:b/>
                <w:bCs/>
                <w:color w:val="000000"/>
              </w:rPr>
            </w:pPr>
          </w:p>
        </w:tc>
        <w:tc>
          <w:tcPr>
            <w:tcW w:w="4248" w:type="dxa"/>
            <w:vMerge/>
          </w:tcPr>
          <w:p w14:paraId="751F6044" w14:textId="77777777" w:rsidR="00B16675" w:rsidRPr="00EC52EE" w:rsidRDefault="00B16675" w:rsidP="000558EA">
            <w:pPr>
              <w:rPr>
                <w:rFonts w:ascii="Times New Roman" w:hAnsi="Times New Roman" w:cs="Times New Roman"/>
                <w:sz w:val="24"/>
                <w:szCs w:val="24"/>
              </w:rPr>
            </w:pPr>
          </w:p>
        </w:tc>
      </w:tr>
      <w:tr w:rsidR="00B16675" w:rsidRPr="00EC52EE" w14:paraId="751F6078" w14:textId="77777777" w:rsidTr="002B46DD">
        <w:trPr>
          <w:cantSplit/>
          <w:trHeight w:val="980"/>
        </w:trPr>
        <w:tc>
          <w:tcPr>
            <w:tcW w:w="1705" w:type="dxa"/>
            <w:vMerge/>
          </w:tcPr>
          <w:p w14:paraId="751F6046" w14:textId="77777777" w:rsidR="00B16675" w:rsidRPr="00EC52EE" w:rsidRDefault="00B16675" w:rsidP="000558EA">
            <w:pPr>
              <w:rPr>
                <w:rFonts w:ascii="Times New Roman" w:hAnsi="Times New Roman" w:cs="Times New Roman"/>
                <w:b/>
                <w:sz w:val="24"/>
                <w:szCs w:val="24"/>
              </w:rPr>
            </w:pPr>
          </w:p>
        </w:tc>
        <w:tc>
          <w:tcPr>
            <w:tcW w:w="1530" w:type="dxa"/>
          </w:tcPr>
          <w:p w14:paraId="751F6047" w14:textId="5BD4924F" w:rsidR="00B16675" w:rsidRPr="00EC52EE" w:rsidRDefault="00B16675" w:rsidP="000558EA">
            <w:pPr>
              <w:rPr>
                <w:rFonts w:ascii="Times New Roman" w:hAnsi="Times New Roman" w:cs="Times New Roman"/>
                <w:sz w:val="24"/>
                <w:szCs w:val="24"/>
              </w:rPr>
            </w:pPr>
            <w:proofErr w:type="spellStart"/>
            <w:r>
              <w:rPr>
                <w:rFonts w:ascii="Times New Roman" w:hAnsi="Times New Roman" w:cs="Times New Roman"/>
                <w:sz w:val="24"/>
                <w:szCs w:val="24"/>
              </w:rPr>
              <w:t>CNGC</w:t>
            </w:r>
            <w:proofErr w:type="spellEnd"/>
          </w:p>
        </w:tc>
        <w:tc>
          <w:tcPr>
            <w:tcW w:w="7200" w:type="dxa"/>
          </w:tcPr>
          <w:p w14:paraId="751F6076" w14:textId="5D611F9A" w:rsidR="00B16675" w:rsidRPr="00EC52EE" w:rsidRDefault="00B16675" w:rsidP="000558EA">
            <w:pPr>
              <w:pStyle w:val="Default"/>
              <w:rPr>
                <w:b/>
                <w:u w:val="single"/>
              </w:rPr>
            </w:pPr>
            <w:r w:rsidRPr="00EC52EE">
              <w:rPr>
                <w:lang w:eastAsia="zh-CN"/>
              </w:rPr>
              <w:t>Same response as question number 1.</w:t>
            </w:r>
          </w:p>
        </w:tc>
        <w:tc>
          <w:tcPr>
            <w:tcW w:w="4248" w:type="dxa"/>
            <w:vMerge/>
          </w:tcPr>
          <w:p w14:paraId="751F6077" w14:textId="77777777" w:rsidR="00B16675" w:rsidRPr="00EC52EE" w:rsidRDefault="00B16675" w:rsidP="000558EA">
            <w:pPr>
              <w:rPr>
                <w:rFonts w:ascii="Times New Roman" w:hAnsi="Times New Roman" w:cs="Times New Roman"/>
                <w:sz w:val="24"/>
                <w:szCs w:val="24"/>
              </w:rPr>
            </w:pPr>
          </w:p>
        </w:tc>
      </w:tr>
      <w:tr w:rsidR="00B16675" w:rsidRPr="00EC52EE" w14:paraId="4CFE1D04" w14:textId="77777777" w:rsidTr="002B46DD">
        <w:trPr>
          <w:cantSplit/>
          <w:trHeight w:val="980"/>
        </w:trPr>
        <w:tc>
          <w:tcPr>
            <w:tcW w:w="1705" w:type="dxa"/>
            <w:vMerge w:val="restart"/>
          </w:tcPr>
          <w:p w14:paraId="0A3A0C16" w14:textId="0EA786F1" w:rsidR="00B16675" w:rsidRPr="00EC52EE" w:rsidRDefault="00B16675" w:rsidP="00B16675">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Response to staff question 3: The </w:t>
            </w:r>
            <w:r>
              <w:rPr>
                <w:rFonts w:ascii="Times New Roman" w:hAnsi="Times New Roman" w:cs="Times New Roman"/>
                <w:b/>
                <w:sz w:val="24"/>
                <w:szCs w:val="24"/>
              </w:rPr>
              <w:lastRenderedPageBreak/>
              <w:t>rationale for requesting the exclusion of non-residential customers from the six month billing correction limitations is unclear.</w:t>
            </w:r>
          </w:p>
        </w:tc>
        <w:tc>
          <w:tcPr>
            <w:tcW w:w="1530" w:type="dxa"/>
          </w:tcPr>
          <w:p w14:paraId="6FEE6475" w14:textId="162AA440" w:rsidR="00B16675" w:rsidRPr="00EC52EE" w:rsidRDefault="00B16675" w:rsidP="00B16675">
            <w:pPr>
              <w:rPr>
                <w:rFonts w:ascii="Times New Roman" w:hAnsi="Times New Roman" w:cs="Times New Roman"/>
                <w:sz w:val="24"/>
                <w:szCs w:val="24"/>
              </w:rPr>
            </w:pPr>
            <w:proofErr w:type="spellStart"/>
            <w:r>
              <w:rPr>
                <w:rFonts w:ascii="Times New Roman" w:hAnsi="Times New Roman" w:cs="Times New Roman"/>
                <w:sz w:val="24"/>
                <w:szCs w:val="24"/>
              </w:rPr>
              <w:lastRenderedPageBreak/>
              <w:t>PPL</w:t>
            </w:r>
            <w:proofErr w:type="spellEnd"/>
          </w:p>
        </w:tc>
        <w:tc>
          <w:tcPr>
            <w:tcW w:w="7200" w:type="dxa"/>
          </w:tcPr>
          <w:p w14:paraId="3C37AE19" w14:textId="77777777" w:rsidR="00B16675" w:rsidRPr="00FB295C" w:rsidRDefault="00B16675" w:rsidP="00B16675">
            <w:pPr>
              <w:pStyle w:val="ListParagraph"/>
              <w:numPr>
                <w:ilvl w:val="1"/>
                <w:numId w:val="3"/>
              </w:numPr>
              <w:autoSpaceDE w:val="0"/>
              <w:autoSpaceDN w:val="0"/>
              <w:adjustRightInd w:val="0"/>
              <w:spacing w:after="56" w:line="240" w:lineRule="auto"/>
              <w:ind w:left="1080"/>
              <w:rPr>
                <w:rFonts w:ascii="Times New Roman" w:hAnsi="Times New Roman" w:cs="Times New Roman"/>
                <w:color w:val="000000"/>
                <w:szCs w:val="24"/>
              </w:rPr>
            </w:pPr>
            <w:r w:rsidRPr="000F244E">
              <w:rPr>
                <w:rFonts w:ascii="Times New Roman" w:hAnsi="Times New Roman" w:cs="Times New Roman"/>
                <w:b/>
                <w:color w:val="000000"/>
                <w:szCs w:val="24"/>
              </w:rPr>
              <w:t>Please provide additional rationale and examples of why it is important to exclude non-residential customers.</w:t>
            </w:r>
            <w:r w:rsidRPr="000F244E">
              <w:rPr>
                <w:rFonts w:ascii="Times New Roman" w:hAnsi="Times New Roman" w:cs="Times New Roman"/>
                <w:color w:val="000000"/>
                <w:szCs w:val="24"/>
              </w:rPr>
              <w:t xml:space="preserve"> </w:t>
            </w:r>
          </w:p>
          <w:p w14:paraId="3F1ECD6C" w14:textId="77777777" w:rsidR="00B16675" w:rsidRPr="00FB295C" w:rsidRDefault="00B16675" w:rsidP="00B16675">
            <w:pPr>
              <w:pStyle w:val="ListParagraph"/>
              <w:autoSpaceDE w:val="0"/>
              <w:autoSpaceDN w:val="0"/>
              <w:adjustRightInd w:val="0"/>
              <w:spacing w:after="56"/>
              <w:ind w:left="1080"/>
              <w:rPr>
                <w:rFonts w:ascii="Times New Roman" w:hAnsi="Times New Roman" w:cs="Times New Roman"/>
                <w:color w:val="000000"/>
                <w:szCs w:val="24"/>
              </w:rPr>
            </w:pPr>
            <w:r w:rsidRPr="00FB295C">
              <w:rPr>
                <w:rFonts w:ascii="Times New Roman" w:hAnsi="Times New Roman" w:cs="Times New Roman"/>
                <w:color w:val="000000"/>
                <w:szCs w:val="24"/>
              </w:rPr>
              <w:t xml:space="preserve">Pacific Power supports excluding nonresidential customers from the six-month limitation for adjustments for meter failures or </w:t>
            </w:r>
            <w:r w:rsidRPr="00FB295C">
              <w:rPr>
                <w:rFonts w:ascii="Times New Roman" w:hAnsi="Times New Roman" w:cs="Times New Roman"/>
                <w:color w:val="000000"/>
                <w:szCs w:val="24"/>
              </w:rPr>
              <w:lastRenderedPageBreak/>
              <w:t>malfunctions.  It can be difficult to identify when a meter error or billing error occurs for nonresidential customers.  The following are some examples of metering or billing errors that could occur with nonresidential customers that may go undetected by the utility:</w:t>
            </w:r>
          </w:p>
          <w:p w14:paraId="1BBB87FF" w14:textId="77777777" w:rsidR="00B16675" w:rsidRPr="00FB295C" w:rsidRDefault="00B16675" w:rsidP="00B16675">
            <w:pPr>
              <w:pStyle w:val="ListParagraph"/>
              <w:numPr>
                <w:ilvl w:val="0"/>
                <w:numId w:val="4"/>
              </w:numPr>
              <w:autoSpaceDE w:val="0"/>
              <w:autoSpaceDN w:val="0"/>
              <w:adjustRightInd w:val="0"/>
              <w:spacing w:after="56" w:line="240" w:lineRule="auto"/>
              <w:rPr>
                <w:rFonts w:ascii="Times New Roman" w:hAnsi="Times New Roman" w:cs="Times New Roman"/>
                <w:color w:val="000000"/>
                <w:szCs w:val="24"/>
              </w:rPr>
            </w:pPr>
            <w:r w:rsidRPr="00FB295C">
              <w:rPr>
                <w:rFonts w:ascii="Times New Roman" w:hAnsi="Times New Roman" w:cs="Times New Roman"/>
                <w:color w:val="000000"/>
                <w:szCs w:val="24"/>
              </w:rPr>
              <w:t>The meter stops during a period of curtailment or shut down and the customer does not notify the utility when normal operations resume.</w:t>
            </w:r>
          </w:p>
          <w:p w14:paraId="045CFA5D" w14:textId="77777777" w:rsidR="00B16675" w:rsidRPr="00FB295C" w:rsidRDefault="00B16675" w:rsidP="00B16675">
            <w:pPr>
              <w:pStyle w:val="ListParagraph"/>
              <w:numPr>
                <w:ilvl w:val="0"/>
                <w:numId w:val="4"/>
              </w:numPr>
              <w:autoSpaceDE w:val="0"/>
              <w:autoSpaceDN w:val="0"/>
              <w:adjustRightInd w:val="0"/>
              <w:spacing w:after="56" w:line="240" w:lineRule="auto"/>
              <w:rPr>
                <w:rFonts w:ascii="Times New Roman" w:hAnsi="Times New Roman" w:cs="Times New Roman"/>
                <w:color w:val="000000"/>
                <w:szCs w:val="24"/>
              </w:rPr>
            </w:pPr>
            <w:r w:rsidRPr="00FB295C">
              <w:rPr>
                <w:rFonts w:ascii="Times New Roman" w:hAnsi="Times New Roman" w:cs="Times New Roman"/>
                <w:color w:val="000000"/>
                <w:szCs w:val="24"/>
              </w:rPr>
              <w:t>The customer modifies their facilities, requiring different metering equipment to properly measure and bill their usage, but does not notify the utility of the change.</w:t>
            </w:r>
          </w:p>
          <w:p w14:paraId="7DFD6227" w14:textId="77777777" w:rsidR="00B16675" w:rsidRPr="00FB295C" w:rsidRDefault="00B16675" w:rsidP="00B16675">
            <w:pPr>
              <w:pStyle w:val="ListParagraph"/>
              <w:autoSpaceDE w:val="0"/>
              <w:autoSpaceDN w:val="0"/>
              <w:adjustRightInd w:val="0"/>
              <w:spacing w:after="56"/>
              <w:ind w:left="1080"/>
              <w:rPr>
                <w:rFonts w:ascii="Times New Roman" w:hAnsi="Times New Roman" w:cs="Times New Roman"/>
                <w:color w:val="000000"/>
                <w:szCs w:val="24"/>
              </w:rPr>
            </w:pPr>
            <w:r w:rsidRPr="00FB295C">
              <w:rPr>
                <w:rFonts w:ascii="Times New Roman" w:hAnsi="Times New Roman" w:cs="Times New Roman"/>
                <w:szCs w:val="24"/>
              </w:rPr>
              <w:t xml:space="preserve">In response to Staff’s concerns, Pacific Power is proposing in these comments a billing adjustment limitation for nonresidential customers. </w:t>
            </w:r>
          </w:p>
          <w:p w14:paraId="7CAB5DFD" w14:textId="77777777" w:rsidR="00B16675" w:rsidRPr="00FB295C" w:rsidRDefault="00B16675" w:rsidP="00B16675">
            <w:pPr>
              <w:pStyle w:val="ListParagraph"/>
              <w:numPr>
                <w:ilvl w:val="1"/>
                <w:numId w:val="3"/>
              </w:numPr>
              <w:autoSpaceDE w:val="0"/>
              <w:autoSpaceDN w:val="0"/>
              <w:adjustRightInd w:val="0"/>
              <w:spacing w:after="0" w:line="240" w:lineRule="auto"/>
              <w:ind w:left="1080"/>
              <w:rPr>
                <w:rFonts w:ascii="Times New Roman" w:hAnsi="Times New Roman" w:cs="Times New Roman"/>
                <w:b/>
                <w:color w:val="000000"/>
                <w:szCs w:val="24"/>
              </w:rPr>
            </w:pPr>
            <w:r w:rsidRPr="00FB295C">
              <w:rPr>
                <w:rFonts w:ascii="Times New Roman" w:hAnsi="Times New Roman" w:cs="Times New Roman"/>
                <w:b/>
                <w:color w:val="000000"/>
                <w:szCs w:val="24"/>
              </w:rPr>
              <w:t>Please provide the following additional data regarding seasonal commercial customers. Also, please provide an explanation of how seasonal commercial customers pose a problem for companies to identify and correct billing problems.</w:t>
            </w:r>
          </w:p>
          <w:p w14:paraId="55419B6F" w14:textId="77777777" w:rsidR="00B16675" w:rsidRPr="00FB295C" w:rsidRDefault="00B16675" w:rsidP="00B16675">
            <w:pPr>
              <w:pStyle w:val="ListParagraph"/>
              <w:autoSpaceDE w:val="0"/>
              <w:autoSpaceDN w:val="0"/>
              <w:adjustRightInd w:val="0"/>
              <w:ind w:left="1080"/>
              <w:rPr>
                <w:rFonts w:ascii="Times New Roman" w:hAnsi="Times New Roman" w:cs="Times New Roman"/>
                <w:b/>
                <w:color w:val="000000"/>
                <w:szCs w:val="24"/>
              </w:rPr>
            </w:pPr>
          </w:p>
          <w:tbl>
            <w:tblPr>
              <w:tblW w:w="5384" w:type="dxa"/>
              <w:tblInd w:w="1440" w:type="dxa"/>
              <w:tblLayout w:type="fixed"/>
              <w:tblLook w:val="04A0" w:firstRow="1" w:lastRow="0" w:firstColumn="1" w:lastColumn="0" w:noHBand="0" w:noVBand="1"/>
            </w:tblPr>
            <w:tblGrid>
              <w:gridCol w:w="809"/>
              <w:gridCol w:w="1894"/>
              <w:gridCol w:w="1090"/>
              <w:gridCol w:w="1591"/>
            </w:tblGrid>
            <w:tr w:rsidR="00B16675" w:rsidRPr="00EC52EE" w14:paraId="28EAABFA" w14:textId="77777777" w:rsidTr="00022224">
              <w:trPr>
                <w:gridAfter w:val="1"/>
                <w:wAfter w:w="1591" w:type="dxa"/>
                <w:trHeight w:val="300"/>
              </w:trPr>
              <w:tc>
                <w:tcPr>
                  <w:tcW w:w="809" w:type="dxa"/>
                  <w:tcBorders>
                    <w:bottom w:val="single" w:sz="4" w:space="0" w:color="auto"/>
                    <w:right w:val="single" w:sz="4" w:space="0" w:color="auto"/>
                  </w:tcBorders>
                  <w:shd w:val="clear" w:color="auto" w:fill="auto"/>
                  <w:noWrap/>
                  <w:vAlign w:val="bottom"/>
                  <w:hideMark/>
                </w:tcPr>
                <w:p w14:paraId="50F4DA26" w14:textId="77777777" w:rsidR="00B16675" w:rsidRPr="00FB295C" w:rsidRDefault="00B16675" w:rsidP="00A05C26">
                  <w:pPr>
                    <w:framePr w:hSpace="180" w:wrap="around" w:hAnchor="margin" w:y="-720"/>
                    <w:rPr>
                      <w:rFonts w:ascii="Times New Roman" w:eastAsia="Times New Roman" w:hAnsi="Times New Roman" w:cs="Times New Roman"/>
                      <w:color w:val="000000"/>
                      <w:szCs w:val="24"/>
                    </w:rPr>
                  </w:pP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1C210" w14:textId="77777777" w:rsidR="00B16675" w:rsidRPr="00FB295C" w:rsidRDefault="00B16675" w:rsidP="00A05C26">
                  <w:pPr>
                    <w:framePr w:hSpace="180" w:wrap="around" w:hAnchor="margin" w:y="-720"/>
                    <w:jc w:val="center"/>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Seasonal Customer</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CCFC" w14:textId="77777777" w:rsidR="00B16675" w:rsidRPr="00FB295C" w:rsidRDefault="00B16675" w:rsidP="00A05C26">
                  <w:pPr>
                    <w:framePr w:hSpace="180" w:wrap="around" w:hAnchor="margin" w:y="-720"/>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Total Revenue</w:t>
                  </w:r>
                </w:p>
              </w:tc>
            </w:tr>
            <w:tr w:rsidR="00B16675" w:rsidRPr="00EC52EE" w14:paraId="23978168" w14:textId="77777777" w:rsidTr="00022224">
              <w:trPr>
                <w:trHeight w:val="150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4DD453C9" w14:textId="77777777" w:rsidR="00B16675" w:rsidRPr="00EC52EE" w:rsidRDefault="00B16675" w:rsidP="00A05C26">
                  <w:pPr>
                    <w:framePr w:hSpace="180" w:wrap="around" w:hAnchor="margin" w:y="-720"/>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 Year</w:t>
                  </w:r>
                </w:p>
              </w:tc>
              <w:tc>
                <w:tcPr>
                  <w:tcW w:w="1894" w:type="dxa"/>
                  <w:tcBorders>
                    <w:top w:val="single" w:sz="4" w:space="0" w:color="auto"/>
                    <w:left w:val="nil"/>
                    <w:bottom w:val="single" w:sz="4" w:space="0" w:color="auto"/>
                    <w:right w:val="single" w:sz="4" w:space="0" w:color="auto"/>
                  </w:tcBorders>
                  <w:shd w:val="clear" w:color="auto" w:fill="auto"/>
                  <w:vAlign w:val="bottom"/>
                  <w:hideMark/>
                </w:tcPr>
                <w:p w14:paraId="659F282C" w14:textId="77777777" w:rsidR="00B16675" w:rsidRPr="000F244E" w:rsidRDefault="00B16675" w:rsidP="00A05C26">
                  <w:pPr>
                    <w:framePr w:hSpace="180" w:wrap="around" w:hAnchor="margin" w:y="-720"/>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Number of accounts issued corrected bills exceeding six months</w:t>
                  </w:r>
                </w:p>
              </w:tc>
              <w:tc>
                <w:tcPr>
                  <w:tcW w:w="1090" w:type="dxa"/>
                  <w:tcBorders>
                    <w:top w:val="nil"/>
                    <w:left w:val="nil"/>
                    <w:bottom w:val="single" w:sz="4" w:space="0" w:color="auto"/>
                    <w:right w:val="single" w:sz="4" w:space="0" w:color="auto"/>
                  </w:tcBorders>
                  <w:shd w:val="clear" w:color="auto" w:fill="auto"/>
                  <w:vAlign w:val="bottom"/>
                  <w:hideMark/>
                </w:tcPr>
                <w:p w14:paraId="25D51E3E" w14:textId="77777777" w:rsidR="00B16675" w:rsidRPr="00FB295C" w:rsidRDefault="00B16675" w:rsidP="00A05C26">
                  <w:pPr>
                    <w:framePr w:hSpace="180" w:wrap="around" w:hAnchor="margin" w:y="-720"/>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Total amount billed in excess of six months</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14:paraId="7BF5E678" w14:textId="77777777" w:rsidR="00B16675" w:rsidRPr="00FB295C" w:rsidRDefault="00B16675" w:rsidP="00A05C26">
                  <w:pPr>
                    <w:framePr w:hSpace="180" w:wrap="around" w:hAnchor="margin" w:y="-720"/>
                    <w:jc w:val="center"/>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Seasonal Customer Revenue</w:t>
                  </w:r>
                </w:p>
              </w:tc>
            </w:tr>
            <w:tr w:rsidR="00B16675" w:rsidRPr="00EC52EE" w14:paraId="6863E8B6" w14:textId="77777777" w:rsidTr="00022224">
              <w:trPr>
                <w:trHeight w:val="30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64C3758"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2012</w:t>
                  </w:r>
                </w:p>
              </w:tc>
              <w:tc>
                <w:tcPr>
                  <w:tcW w:w="1894" w:type="dxa"/>
                  <w:tcBorders>
                    <w:top w:val="nil"/>
                    <w:left w:val="nil"/>
                    <w:bottom w:val="single" w:sz="4" w:space="0" w:color="auto"/>
                    <w:right w:val="single" w:sz="4" w:space="0" w:color="auto"/>
                  </w:tcBorders>
                  <w:shd w:val="clear" w:color="auto" w:fill="auto"/>
                  <w:noWrap/>
                  <w:vAlign w:val="bottom"/>
                  <w:hideMark/>
                </w:tcPr>
                <w:p w14:paraId="34F3E62A"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2</w:t>
                  </w:r>
                </w:p>
              </w:tc>
              <w:tc>
                <w:tcPr>
                  <w:tcW w:w="1090" w:type="dxa"/>
                  <w:tcBorders>
                    <w:top w:val="nil"/>
                    <w:left w:val="nil"/>
                    <w:bottom w:val="single" w:sz="4" w:space="0" w:color="auto"/>
                    <w:right w:val="single" w:sz="4" w:space="0" w:color="auto"/>
                  </w:tcBorders>
                  <w:shd w:val="clear" w:color="auto" w:fill="auto"/>
                  <w:noWrap/>
                  <w:vAlign w:val="bottom"/>
                  <w:hideMark/>
                </w:tcPr>
                <w:p w14:paraId="0BD19FC5"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$92.00</w:t>
                  </w:r>
                </w:p>
              </w:tc>
              <w:tc>
                <w:tcPr>
                  <w:tcW w:w="1591" w:type="dxa"/>
                  <w:tcBorders>
                    <w:top w:val="nil"/>
                    <w:left w:val="nil"/>
                    <w:bottom w:val="single" w:sz="4" w:space="0" w:color="auto"/>
                    <w:right w:val="single" w:sz="4" w:space="0" w:color="auto"/>
                  </w:tcBorders>
                  <w:shd w:val="clear" w:color="auto" w:fill="auto"/>
                  <w:noWrap/>
                  <w:vAlign w:val="bottom"/>
                  <w:hideMark/>
                </w:tcPr>
                <w:p w14:paraId="03EAF920"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$12,429,049.14</w:t>
                  </w:r>
                </w:p>
              </w:tc>
            </w:tr>
            <w:tr w:rsidR="00B16675" w:rsidRPr="00EC52EE" w14:paraId="701C4F5E" w14:textId="77777777" w:rsidTr="00022224">
              <w:trPr>
                <w:trHeight w:val="30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5BE36EC6"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2013</w:t>
                  </w:r>
                </w:p>
              </w:tc>
              <w:tc>
                <w:tcPr>
                  <w:tcW w:w="1894" w:type="dxa"/>
                  <w:tcBorders>
                    <w:top w:val="nil"/>
                    <w:left w:val="nil"/>
                    <w:bottom w:val="single" w:sz="4" w:space="0" w:color="auto"/>
                    <w:right w:val="single" w:sz="4" w:space="0" w:color="auto"/>
                  </w:tcBorders>
                  <w:shd w:val="clear" w:color="auto" w:fill="auto"/>
                  <w:noWrap/>
                  <w:vAlign w:val="bottom"/>
                  <w:hideMark/>
                </w:tcPr>
                <w:p w14:paraId="3F1D87E8"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2</w:t>
                  </w:r>
                </w:p>
              </w:tc>
              <w:tc>
                <w:tcPr>
                  <w:tcW w:w="1090" w:type="dxa"/>
                  <w:tcBorders>
                    <w:top w:val="nil"/>
                    <w:left w:val="nil"/>
                    <w:bottom w:val="single" w:sz="4" w:space="0" w:color="auto"/>
                    <w:right w:val="single" w:sz="4" w:space="0" w:color="auto"/>
                  </w:tcBorders>
                  <w:shd w:val="clear" w:color="auto" w:fill="auto"/>
                  <w:noWrap/>
                  <w:vAlign w:val="bottom"/>
                  <w:hideMark/>
                </w:tcPr>
                <w:p w14:paraId="6AF3B149"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-$626.94</w:t>
                  </w:r>
                </w:p>
              </w:tc>
              <w:tc>
                <w:tcPr>
                  <w:tcW w:w="1591" w:type="dxa"/>
                  <w:tcBorders>
                    <w:top w:val="nil"/>
                    <w:left w:val="nil"/>
                    <w:bottom w:val="single" w:sz="4" w:space="0" w:color="auto"/>
                    <w:right w:val="single" w:sz="4" w:space="0" w:color="auto"/>
                  </w:tcBorders>
                  <w:shd w:val="clear" w:color="auto" w:fill="auto"/>
                  <w:noWrap/>
                  <w:vAlign w:val="bottom"/>
                  <w:hideMark/>
                </w:tcPr>
                <w:p w14:paraId="21E52DD7"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$12,823,928.67</w:t>
                  </w:r>
                </w:p>
              </w:tc>
            </w:tr>
            <w:tr w:rsidR="00B16675" w:rsidRPr="00EC52EE" w14:paraId="1C4921F5" w14:textId="77777777" w:rsidTr="00022224">
              <w:trPr>
                <w:trHeight w:val="30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091DC72E"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2014</w:t>
                  </w:r>
                </w:p>
              </w:tc>
              <w:tc>
                <w:tcPr>
                  <w:tcW w:w="1894" w:type="dxa"/>
                  <w:tcBorders>
                    <w:top w:val="nil"/>
                    <w:left w:val="nil"/>
                    <w:bottom w:val="single" w:sz="4" w:space="0" w:color="auto"/>
                    <w:right w:val="single" w:sz="4" w:space="0" w:color="auto"/>
                  </w:tcBorders>
                  <w:shd w:val="clear" w:color="auto" w:fill="auto"/>
                  <w:noWrap/>
                  <w:vAlign w:val="bottom"/>
                  <w:hideMark/>
                </w:tcPr>
                <w:p w14:paraId="566EF744"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5</w:t>
                  </w:r>
                </w:p>
              </w:tc>
              <w:tc>
                <w:tcPr>
                  <w:tcW w:w="1090" w:type="dxa"/>
                  <w:tcBorders>
                    <w:top w:val="nil"/>
                    <w:left w:val="nil"/>
                    <w:bottom w:val="single" w:sz="4" w:space="0" w:color="auto"/>
                    <w:right w:val="single" w:sz="4" w:space="0" w:color="auto"/>
                  </w:tcBorders>
                  <w:shd w:val="clear" w:color="auto" w:fill="auto"/>
                  <w:noWrap/>
                  <w:vAlign w:val="bottom"/>
                  <w:hideMark/>
                </w:tcPr>
                <w:p w14:paraId="7A10D772"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-$69.14</w:t>
                  </w:r>
                </w:p>
              </w:tc>
              <w:tc>
                <w:tcPr>
                  <w:tcW w:w="1591" w:type="dxa"/>
                  <w:tcBorders>
                    <w:top w:val="nil"/>
                    <w:left w:val="nil"/>
                    <w:bottom w:val="single" w:sz="4" w:space="0" w:color="auto"/>
                    <w:right w:val="single" w:sz="4" w:space="0" w:color="auto"/>
                  </w:tcBorders>
                  <w:shd w:val="clear" w:color="auto" w:fill="auto"/>
                  <w:noWrap/>
                  <w:vAlign w:val="bottom"/>
                  <w:hideMark/>
                </w:tcPr>
                <w:p w14:paraId="73263842"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$14,161,537.96</w:t>
                  </w:r>
                </w:p>
              </w:tc>
            </w:tr>
            <w:tr w:rsidR="00B16675" w:rsidRPr="00EC52EE" w14:paraId="24D2DD22" w14:textId="77777777" w:rsidTr="00022224">
              <w:trPr>
                <w:trHeight w:val="300"/>
              </w:trPr>
              <w:tc>
                <w:tcPr>
                  <w:tcW w:w="5384" w:type="dxa"/>
                  <w:gridSpan w:val="4"/>
                  <w:tcBorders>
                    <w:top w:val="single" w:sz="4" w:space="0" w:color="auto"/>
                  </w:tcBorders>
                  <w:shd w:val="clear" w:color="auto" w:fill="auto"/>
                  <w:noWrap/>
                  <w:vAlign w:val="bottom"/>
                </w:tcPr>
                <w:p w14:paraId="3CA86FB9" w14:textId="77777777" w:rsidR="00B16675" w:rsidRPr="000F244E" w:rsidRDefault="00B16675" w:rsidP="00A05C26">
                  <w:pPr>
                    <w:framePr w:hSpace="180" w:wrap="around" w:hAnchor="margin" w:y="-720"/>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Only schedule 40 customers are included.  These customers are also included in other responses herein.</w:t>
                  </w:r>
                </w:p>
              </w:tc>
            </w:tr>
          </w:tbl>
          <w:p w14:paraId="487A1B6C" w14:textId="77777777" w:rsidR="00B16675" w:rsidRPr="00EC52EE" w:rsidRDefault="00B16675" w:rsidP="00B16675">
            <w:pPr>
              <w:widowControl w:val="0"/>
              <w:ind w:left="1080"/>
              <w:rPr>
                <w:rFonts w:ascii="Times New Roman" w:hAnsi="Times New Roman" w:cs="Times New Roman"/>
                <w:szCs w:val="24"/>
              </w:rPr>
            </w:pPr>
          </w:p>
          <w:p w14:paraId="0F7ACF4F" w14:textId="77777777" w:rsidR="00B16675" w:rsidRPr="00FB295C" w:rsidRDefault="00B16675" w:rsidP="00B16675">
            <w:pPr>
              <w:widowControl w:val="0"/>
              <w:ind w:left="1080"/>
              <w:rPr>
                <w:rFonts w:ascii="Times New Roman" w:hAnsi="Times New Roman" w:cs="Times New Roman"/>
                <w:szCs w:val="24"/>
              </w:rPr>
            </w:pPr>
            <w:r w:rsidRPr="000F244E">
              <w:rPr>
                <w:rFonts w:ascii="Times New Roman" w:hAnsi="Times New Roman" w:cs="Times New Roman"/>
                <w:szCs w:val="24"/>
              </w:rPr>
              <w:t>While seasonal nonresidential customers primarily use electric service during the “irrigation season”, the irrigation season varies for each customer.  Factors such as the type of crop being grown, weather conditions, crop rotations, etc. can all affect when a customer starts and stops their irrigation season for the year.  This variation can make it difficult to identify a meter failure or malfunction.  For example, if the meter starts to slow or stops in the fall when irrigation seasons typically end, it may look no different than the seasonal nonresidential customer slowing down operations for the season.  It would be cost prohibitive for the utility to send an employee out at the end of the irrigation season to verify whether the meter has failed or the seasonal nonresidential customer has simply stopp</w:t>
            </w:r>
            <w:r w:rsidRPr="00FB295C">
              <w:rPr>
                <w:rFonts w:ascii="Times New Roman" w:hAnsi="Times New Roman" w:cs="Times New Roman"/>
                <w:szCs w:val="24"/>
              </w:rPr>
              <w:t>ed irrigating for the season.  Additionally, access to meters can be an issue which prevents utilities from being able to resolve meter or billing issues promptly.</w:t>
            </w:r>
          </w:p>
          <w:p w14:paraId="756FD1B4" w14:textId="77777777" w:rsidR="00B16675" w:rsidRPr="00FB295C" w:rsidRDefault="00B16675" w:rsidP="00B16675">
            <w:pPr>
              <w:widowControl w:val="0"/>
              <w:ind w:left="1080"/>
              <w:rPr>
                <w:rFonts w:ascii="Times New Roman" w:hAnsi="Times New Roman" w:cs="Times New Roman"/>
                <w:szCs w:val="24"/>
              </w:rPr>
            </w:pPr>
          </w:p>
          <w:p w14:paraId="5DCCD595" w14:textId="77777777" w:rsidR="00B16675" w:rsidRPr="00FB295C" w:rsidRDefault="00B16675" w:rsidP="00B16675">
            <w:pPr>
              <w:autoSpaceDE w:val="0"/>
              <w:autoSpaceDN w:val="0"/>
              <w:adjustRightInd w:val="0"/>
              <w:ind w:left="1080"/>
              <w:rPr>
                <w:rFonts w:ascii="Times New Roman" w:hAnsi="Times New Roman" w:cs="Times New Roman"/>
                <w:szCs w:val="24"/>
              </w:rPr>
            </w:pPr>
            <w:r w:rsidRPr="00FB295C">
              <w:rPr>
                <w:rFonts w:ascii="Times New Roman" w:hAnsi="Times New Roman" w:cs="Times New Roman"/>
                <w:szCs w:val="24"/>
              </w:rPr>
              <w:t>Unassigned usage can also be difficult to address with seasonal nonresidential customers.  If a new customer takes over the service at the end of the irrigation season but does not apply for service, they could have minimal usage during the off season.  The usage may be so low that it does not prompt an investigation of the unassigned usage.  It could be over six months before the seasonal nonresidential customer begins to irrigate, prompting the utility to investigate.</w:t>
            </w:r>
          </w:p>
          <w:p w14:paraId="2790CCC0" w14:textId="77777777" w:rsidR="00B16675" w:rsidRPr="00EC52EE" w:rsidRDefault="00B16675" w:rsidP="00B16675">
            <w:pPr>
              <w:spacing w:line="360" w:lineRule="auto"/>
              <w:jc w:val="both"/>
              <w:rPr>
                <w:rFonts w:ascii="Times New Roman" w:hAnsi="Times New Roman" w:cs="Times New Roman"/>
              </w:rPr>
            </w:pPr>
          </w:p>
        </w:tc>
        <w:tc>
          <w:tcPr>
            <w:tcW w:w="4248" w:type="dxa"/>
          </w:tcPr>
          <w:p w14:paraId="36E8FF53" w14:textId="77777777" w:rsidR="00B16675" w:rsidRPr="00EC52EE" w:rsidRDefault="00B16675" w:rsidP="00B16675">
            <w:pPr>
              <w:rPr>
                <w:rFonts w:ascii="Times New Roman" w:hAnsi="Times New Roman" w:cs="Times New Roman"/>
                <w:sz w:val="24"/>
                <w:szCs w:val="24"/>
              </w:rPr>
            </w:pPr>
            <w:r w:rsidRPr="00EC52EE">
              <w:rPr>
                <w:rFonts w:ascii="Times New Roman" w:hAnsi="Times New Roman" w:cs="Times New Roman"/>
                <w:sz w:val="24"/>
                <w:szCs w:val="24"/>
              </w:rPr>
              <w:lastRenderedPageBreak/>
              <w:t>Staff believes the companies have not shown a compelling reason for excluding nonresidential customers from the six month billing correction limitation.</w:t>
            </w:r>
          </w:p>
          <w:p w14:paraId="2397DD7C" w14:textId="77777777" w:rsidR="00B16675" w:rsidRPr="00EC52EE" w:rsidRDefault="00B16675" w:rsidP="00B16675">
            <w:pPr>
              <w:rPr>
                <w:rFonts w:ascii="Times New Roman" w:hAnsi="Times New Roman" w:cs="Times New Roman"/>
                <w:sz w:val="24"/>
                <w:szCs w:val="24"/>
              </w:rPr>
            </w:pPr>
          </w:p>
          <w:p w14:paraId="790B991E" w14:textId="141898B8" w:rsidR="00B16675" w:rsidRPr="00EC52EE" w:rsidRDefault="00B16675" w:rsidP="00B16675">
            <w:pPr>
              <w:rPr>
                <w:rFonts w:ascii="Times New Roman" w:hAnsi="Times New Roman" w:cs="Times New Roman"/>
                <w:sz w:val="24"/>
                <w:szCs w:val="24"/>
              </w:rPr>
            </w:pPr>
            <w:proofErr w:type="spellStart"/>
            <w:r w:rsidRPr="00EC52EE">
              <w:rPr>
                <w:rFonts w:ascii="Times New Roman" w:hAnsi="Times New Roman" w:cs="Times New Roman"/>
                <w:sz w:val="24"/>
                <w:szCs w:val="24"/>
              </w:rPr>
              <w:t>Avista</w:t>
            </w:r>
            <w:proofErr w:type="spellEnd"/>
            <w:r w:rsidRPr="00EC52EE">
              <w:rPr>
                <w:rFonts w:ascii="Times New Roman" w:hAnsi="Times New Roman" w:cs="Times New Roman"/>
                <w:sz w:val="24"/>
                <w:szCs w:val="24"/>
              </w:rPr>
              <w:t xml:space="preserve"> agreed that the rule should be applied to both residential and nonresidential customers.</w:t>
            </w:r>
          </w:p>
        </w:tc>
      </w:tr>
      <w:tr w:rsidR="00B16675" w:rsidRPr="00EC52EE" w14:paraId="751F60A8" w14:textId="77777777" w:rsidTr="002B46DD">
        <w:trPr>
          <w:cantSplit/>
          <w:trHeight w:val="980"/>
        </w:trPr>
        <w:tc>
          <w:tcPr>
            <w:tcW w:w="1705" w:type="dxa"/>
            <w:vMerge/>
          </w:tcPr>
          <w:p w14:paraId="751F607F" w14:textId="77777777" w:rsidR="00B16675" w:rsidRPr="00EC52EE" w:rsidRDefault="00B16675" w:rsidP="00B16675">
            <w:pPr>
              <w:pStyle w:val="ListParagraph"/>
              <w:rPr>
                <w:rFonts w:ascii="Times New Roman" w:hAnsi="Times New Roman" w:cs="Times New Roman"/>
                <w:b/>
                <w:sz w:val="24"/>
                <w:szCs w:val="24"/>
              </w:rPr>
            </w:pPr>
          </w:p>
        </w:tc>
        <w:tc>
          <w:tcPr>
            <w:tcW w:w="1530" w:type="dxa"/>
          </w:tcPr>
          <w:p w14:paraId="751F6080" w14:textId="6B00CA84" w:rsidR="00B16675" w:rsidRPr="00EC52EE" w:rsidRDefault="00B16675" w:rsidP="00B16675">
            <w:pPr>
              <w:rPr>
                <w:rFonts w:ascii="Times New Roman" w:hAnsi="Times New Roman" w:cs="Times New Roman"/>
                <w:sz w:val="24"/>
                <w:szCs w:val="24"/>
              </w:rPr>
            </w:pPr>
            <w:proofErr w:type="spellStart"/>
            <w:r>
              <w:rPr>
                <w:rFonts w:ascii="Times New Roman" w:hAnsi="Times New Roman" w:cs="Times New Roman"/>
                <w:sz w:val="24"/>
                <w:szCs w:val="24"/>
              </w:rPr>
              <w:t>Avista</w:t>
            </w:r>
            <w:proofErr w:type="spellEnd"/>
          </w:p>
        </w:tc>
        <w:tc>
          <w:tcPr>
            <w:tcW w:w="7200" w:type="dxa"/>
          </w:tcPr>
          <w:p w14:paraId="6DCDA325" w14:textId="77777777" w:rsidR="00B16675" w:rsidRPr="00096573" w:rsidRDefault="00B16675" w:rsidP="00096573">
            <w:pPr>
              <w:jc w:val="both"/>
              <w:rPr>
                <w:rFonts w:ascii="Times New Roman" w:hAnsi="Times New Roman" w:cs="Times New Roman"/>
                <w:sz w:val="24"/>
                <w:szCs w:val="24"/>
              </w:rPr>
            </w:pPr>
            <w:proofErr w:type="spellStart"/>
            <w:r w:rsidRPr="00096573">
              <w:rPr>
                <w:rFonts w:ascii="Times New Roman" w:hAnsi="Times New Roman" w:cs="Times New Roman"/>
                <w:sz w:val="24"/>
                <w:szCs w:val="24"/>
              </w:rPr>
              <w:t>Avista</w:t>
            </w:r>
            <w:proofErr w:type="spellEnd"/>
            <w:r w:rsidRPr="00096573">
              <w:rPr>
                <w:rFonts w:ascii="Times New Roman" w:hAnsi="Times New Roman" w:cs="Times New Roman"/>
                <w:sz w:val="24"/>
                <w:szCs w:val="24"/>
              </w:rPr>
              <w:t xml:space="preserve"> believes the draft rules, as written, should apply to residential and non- residential customers. Typically, the terms that describe commercial customers are in reference to the rate schedule a customer is being billed for service.  For example, “small business customer” or “commercial customer” refers generally to </w:t>
            </w:r>
            <w:proofErr w:type="spellStart"/>
            <w:r w:rsidRPr="00096573">
              <w:rPr>
                <w:rFonts w:ascii="Times New Roman" w:hAnsi="Times New Roman" w:cs="Times New Roman"/>
                <w:sz w:val="24"/>
                <w:szCs w:val="24"/>
              </w:rPr>
              <w:t>Avista’s</w:t>
            </w:r>
            <w:proofErr w:type="spellEnd"/>
            <w:r w:rsidRPr="00096573">
              <w:rPr>
                <w:rFonts w:ascii="Times New Roman" w:hAnsi="Times New Roman" w:cs="Times New Roman"/>
                <w:sz w:val="24"/>
                <w:szCs w:val="24"/>
              </w:rPr>
              <w:t xml:space="preserve"> Schedule 11, General Service customer.  “Large Commercial Customer” generally refers to </w:t>
            </w:r>
            <w:proofErr w:type="spellStart"/>
            <w:r w:rsidRPr="00096573">
              <w:rPr>
                <w:rFonts w:ascii="Times New Roman" w:hAnsi="Times New Roman" w:cs="Times New Roman"/>
                <w:sz w:val="24"/>
                <w:szCs w:val="24"/>
              </w:rPr>
              <w:t>Avista’s</w:t>
            </w:r>
            <w:proofErr w:type="spellEnd"/>
            <w:r w:rsidRPr="00096573">
              <w:rPr>
                <w:rFonts w:ascii="Times New Roman" w:hAnsi="Times New Roman" w:cs="Times New Roman"/>
                <w:sz w:val="24"/>
                <w:szCs w:val="24"/>
              </w:rPr>
              <w:t xml:space="preserve"> Schedule 21, Large General Service customer and “Industrial Customer” generally refers to </w:t>
            </w:r>
            <w:proofErr w:type="spellStart"/>
            <w:r w:rsidRPr="00096573">
              <w:rPr>
                <w:rFonts w:ascii="Times New Roman" w:hAnsi="Times New Roman" w:cs="Times New Roman"/>
                <w:sz w:val="24"/>
                <w:szCs w:val="24"/>
              </w:rPr>
              <w:t>Avista’s</w:t>
            </w:r>
            <w:proofErr w:type="spellEnd"/>
            <w:r w:rsidRPr="00096573">
              <w:rPr>
                <w:rFonts w:ascii="Times New Roman" w:hAnsi="Times New Roman" w:cs="Times New Roman"/>
                <w:sz w:val="24"/>
                <w:szCs w:val="24"/>
              </w:rPr>
              <w:t xml:space="preserve"> Schedule 25, Extra Large General Service </w:t>
            </w:r>
            <w:r w:rsidRPr="00096573">
              <w:rPr>
                <w:rFonts w:ascii="Times New Roman" w:hAnsi="Times New Roman" w:cs="Times New Roman"/>
                <w:sz w:val="24"/>
                <w:szCs w:val="24"/>
              </w:rPr>
              <w:lastRenderedPageBreak/>
              <w:t xml:space="preserve">customer. </w:t>
            </w:r>
            <w:proofErr w:type="spellStart"/>
            <w:r w:rsidRPr="00096573">
              <w:rPr>
                <w:rFonts w:ascii="Times New Roman" w:hAnsi="Times New Roman" w:cs="Times New Roman"/>
                <w:sz w:val="24"/>
                <w:szCs w:val="24"/>
              </w:rPr>
              <w:t>Avista</w:t>
            </w:r>
            <w:proofErr w:type="spellEnd"/>
            <w:r w:rsidRPr="00096573">
              <w:rPr>
                <w:rFonts w:ascii="Times New Roman" w:hAnsi="Times New Roman" w:cs="Times New Roman"/>
                <w:sz w:val="24"/>
                <w:szCs w:val="24"/>
              </w:rPr>
              <w:t xml:space="preserve"> is not able to separate seasonal commercial customers from all commercial customers, thus we are unable to provide the data requested.</w:t>
            </w:r>
          </w:p>
          <w:p w14:paraId="04F8AC2B" w14:textId="77777777" w:rsidR="00B16675" w:rsidRPr="00096573" w:rsidRDefault="00B16675" w:rsidP="00096573">
            <w:pPr>
              <w:rPr>
                <w:rFonts w:ascii="Times New Roman" w:eastAsia="Times New Roman" w:hAnsi="Times New Roman" w:cs="Times New Roman"/>
                <w:sz w:val="24"/>
                <w:szCs w:val="24"/>
              </w:rPr>
            </w:pPr>
            <w:r w:rsidRPr="00096573">
              <w:rPr>
                <w:rFonts w:ascii="Times New Roman" w:hAnsi="Times New Roman" w:cs="Times New Roman"/>
                <w:sz w:val="24"/>
                <w:szCs w:val="24"/>
              </w:rPr>
              <w:br w:type="page"/>
            </w:r>
          </w:p>
          <w:p w14:paraId="751F60A6" w14:textId="77777777" w:rsidR="00B16675" w:rsidRPr="00096573" w:rsidRDefault="00B16675" w:rsidP="00096573">
            <w:pPr>
              <w:rPr>
                <w:rFonts w:ascii="Times New Roman" w:eastAsia="Times New Roman" w:hAnsi="Times New Roman" w:cs="Times New Roman"/>
                <w:color w:val="000000"/>
                <w:sz w:val="24"/>
                <w:szCs w:val="24"/>
              </w:rPr>
            </w:pPr>
          </w:p>
        </w:tc>
        <w:tc>
          <w:tcPr>
            <w:tcW w:w="4248" w:type="dxa"/>
            <w:vMerge w:val="restart"/>
          </w:tcPr>
          <w:p w14:paraId="751F60A7" w14:textId="607C4375" w:rsidR="00B16675" w:rsidRPr="00EC52EE" w:rsidRDefault="00B16675" w:rsidP="00B16675">
            <w:pPr>
              <w:rPr>
                <w:rFonts w:ascii="Times New Roman" w:hAnsi="Times New Roman" w:cs="Times New Roman"/>
                <w:sz w:val="24"/>
                <w:szCs w:val="24"/>
              </w:rPr>
            </w:pPr>
          </w:p>
        </w:tc>
      </w:tr>
      <w:tr w:rsidR="00B16675" w:rsidRPr="00EC52EE" w14:paraId="751F60AF" w14:textId="77777777" w:rsidTr="002B46DD">
        <w:trPr>
          <w:cantSplit/>
          <w:trHeight w:val="980"/>
        </w:trPr>
        <w:tc>
          <w:tcPr>
            <w:tcW w:w="1705" w:type="dxa"/>
            <w:vMerge/>
          </w:tcPr>
          <w:p w14:paraId="751F60A9" w14:textId="77777777" w:rsidR="00B16675" w:rsidRPr="00EC52EE" w:rsidRDefault="00B16675" w:rsidP="00B16675">
            <w:pPr>
              <w:rPr>
                <w:rFonts w:ascii="Times New Roman" w:hAnsi="Times New Roman" w:cs="Times New Roman"/>
                <w:b/>
                <w:sz w:val="24"/>
                <w:szCs w:val="24"/>
              </w:rPr>
            </w:pPr>
          </w:p>
        </w:tc>
        <w:tc>
          <w:tcPr>
            <w:tcW w:w="1530" w:type="dxa"/>
          </w:tcPr>
          <w:p w14:paraId="751F60AA" w14:textId="73C30FC1" w:rsidR="00B16675" w:rsidRPr="00EC52EE" w:rsidRDefault="00B16675" w:rsidP="00B16675">
            <w:pPr>
              <w:rPr>
                <w:rFonts w:ascii="Times New Roman" w:hAnsi="Times New Roman" w:cs="Times New Roman"/>
                <w:sz w:val="24"/>
                <w:szCs w:val="24"/>
              </w:rPr>
            </w:pPr>
            <w:r>
              <w:rPr>
                <w:rFonts w:ascii="Times New Roman" w:hAnsi="Times New Roman" w:cs="Times New Roman"/>
                <w:sz w:val="24"/>
                <w:szCs w:val="24"/>
              </w:rPr>
              <w:t>PSE</w:t>
            </w:r>
          </w:p>
        </w:tc>
        <w:tc>
          <w:tcPr>
            <w:tcW w:w="7200" w:type="dxa"/>
          </w:tcPr>
          <w:p w14:paraId="01F15DE3" w14:textId="77777777" w:rsidR="00B16675" w:rsidRPr="00EC52EE" w:rsidRDefault="00B16675" w:rsidP="00B16675">
            <w:pPr>
              <w:pStyle w:val="Default"/>
            </w:pPr>
            <w:r w:rsidRPr="00EC52EE">
              <w:t xml:space="preserve">PSE stated it is extremely difficult to distinguish whether changes in usage patterns are due to a business’s operational changes or a slowed/ stopped meter.  In addition, non-residential customer billing adjustments represent a much higher billing amount (on average) than residential.  The data in PSE’s response to question #4 below demonstrates this higher amount.   In 2012, for example, the total average non-residential amount was $2,414 versus $248 for residential.  In 2013, the total average non-residential amount was $4,481 versus $179 for residential.  In 2014, the total average non-residential amount was $362 versus $56 for residential.  Utilities need flexibility to address the causes of usage pattern changes for non-residential customers and to ensure the larger average amounts are fully addressed.  Finally, another rationale for excluding non-residential meters is the additional time and resources needed to address the unique and customized nature of larger meter sets.  This is particularly prevalent with larger, non-residential natural gas meters for industrial customers.  These customized meter sets require additional time to be designed, scheduled, etc. to ensure precise and accurate measurement.   </w:t>
            </w:r>
          </w:p>
          <w:tbl>
            <w:tblPr>
              <w:tblW w:w="5389" w:type="dxa"/>
              <w:tblInd w:w="93" w:type="dxa"/>
              <w:tblLayout w:type="fixed"/>
              <w:tblLook w:val="04A0" w:firstRow="1" w:lastRow="0" w:firstColumn="1" w:lastColumn="0" w:noHBand="0" w:noVBand="1"/>
            </w:tblPr>
            <w:tblGrid>
              <w:gridCol w:w="979"/>
              <w:gridCol w:w="1530"/>
              <w:gridCol w:w="1530"/>
              <w:gridCol w:w="1350"/>
            </w:tblGrid>
            <w:tr w:rsidR="00B16675" w:rsidRPr="00EC52EE" w14:paraId="4E11A376" w14:textId="77777777" w:rsidTr="00722966">
              <w:trPr>
                <w:trHeight w:val="346"/>
              </w:trPr>
              <w:tc>
                <w:tcPr>
                  <w:tcW w:w="979" w:type="dxa"/>
                  <w:tcBorders>
                    <w:top w:val="single" w:sz="8" w:space="0" w:color="auto"/>
                    <w:left w:val="single" w:sz="8" w:space="0" w:color="auto"/>
                    <w:bottom w:val="single" w:sz="8" w:space="0" w:color="auto"/>
                    <w:right w:val="single" w:sz="8" w:space="0" w:color="auto"/>
                  </w:tcBorders>
                  <w:vAlign w:val="center"/>
                  <w:hideMark/>
                </w:tcPr>
                <w:p w14:paraId="23AB87E9"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Year</w:t>
                  </w:r>
                </w:p>
              </w:tc>
              <w:tc>
                <w:tcPr>
                  <w:tcW w:w="3060" w:type="dxa"/>
                  <w:gridSpan w:val="2"/>
                  <w:tcBorders>
                    <w:top w:val="single" w:sz="8" w:space="0" w:color="auto"/>
                    <w:left w:val="nil"/>
                    <w:bottom w:val="single" w:sz="8" w:space="0" w:color="auto"/>
                    <w:right w:val="single" w:sz="8" w:space="0" w:color="000000"/>
                  </w:tcBorders>
                  <w:vAlign w:val="center"/>
                  <w:hideMark/>
                </w:tcPr>
                <w:p w14:paraId="0689C334"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Seasonal Commercial Customers</w:t>
                  </w:r>
                </w:p>
              </w:tc>
              <w:tc>
                <w:tcPr>
                  <w:tcW w:w="1350" w:type="dxa"/>
                  <w:tcBorders>
                    <w:top w:val="single" w:sz="8" w:space="0" w:color="auto"/>
                    <w:left w:val="nil"/>
                    <w:bottom w:val="single" w:sz="8" w:space="0" w:color="auto"/>
                    <w:right w:val="single" w:sz="8" w:space="0" w:color="auto"/>
                  </w:tcBorders>
                  <w:vAlign w:val="center"/>
                  <w:hideMark/>
                </w:tcPr>
                <w:p w14:paraId="6E1245EE"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Total Revenue</w:t>
                  </w:r>
                </w:p>
              </w:tc>
            </w:tr>
            <w:tr w:rsidR="00B16675" w:rsidRPr="00EC52EE" w14:paraId="081FFE7B" w14:textId="77777777" w:rsidTr="00722966">
              <w:trPr>
                <w:trHeight w:val="1041"/>
              </w:trPr>
              <w:tc>
                <w:tcPr>
                  <w:tcW w:w="979" w:type="dxa"/>
                  <w:tcBorders>
                    <w:top w:val="nil"/>
                    <w:left w:val="single" w:sz="8" w:space="0" w:color="auto"/>
                    <w:bottom w:val="single" w:sz="8" w:space="0" w:color="auto"/>
                    <w:right w:val="single" w:sz="8" w:space="0" w:color="auto"/>
                  </w:tcBorders>
                  <w:vAlign w:val="center"/>
                  <w:hideMark/>
                </w:tcPr>
                <w:p w14:paraId="15B8C434"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 </w:t>
                  </w:r>
                </w:p>
              </w:tc>
              <w:tc>
                <w:tcPr>
                  <w:tcW w:w="1530" w:type="dxa"/>
                  <w:tcBorders>
                    <w:top w:val="nil"/>
                    <w:left w:val="nil"/>
                    <w:bottom w:val="single" w:sz="8" w:space="0" w:color="auto"/>
                    <w:right w:val="single" w:sz="8" w:space="0" w:color="auto"/>
                  </w:tcBorders>
                  <w:vAlign w:val="center"/>
                  <w:hideMark/>
                </w:tcPr>
                <w:p w14:paraId="6C4BCCAA"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Number of accounts issued corrected bills exceeding six months</w:t>
                  </w:r>
                </w:p>
              </w:tc>
              <w:tc>
                <w:tcPr>
                  <w:tcW w:w="1530" w:type="dxa"/>
                  <w:tcBorders>
                    <w:top w:val="nil"/>
                    <w:left w:val="nil"/>
                    <w:bottom w:val="single" w:sz="8" w:space="0" w:color="auto"/>
                    <w:right w:val="single" w:sz="8" w:space="0" w:color="auto"/>
                  </w:tcBorders>
                  <w:vAlign w:val="center"/>
                  <w:hideMark/>
                </w:tcPr>
                <w:p w14:paraId="32F7846E"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Total amount billed in excess of six months</w:t>
                  </w:r>
                </w:p>
              </w:tc>
              <w:tc>
                <w:tcPr>
                  <w:tcW w:w="1350" w:type="dxa"/>
                  <w:tcBorders>
                    <w:top w:val="nil"/>
                    <w:left w:val="nil"/>
                    <w:bottom w:val="single" w:sz="8" w:space="0" w:color="auto"/>
                    <w:right w:val="single" w:sz="8" w:space="0" w:color="auto"/>
                  </w:tcBorders>
                  <w:vAlign w:val="center"/>
                  <w:hideMark/>
                </w:tcPr>
                <w:p w14:paraId="5CA02E60"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Seasonal customer revenue</w:t>
                  </w:r>
                </w:p>
              </w:tc>
            </w:tr>
            <w:tr w:rsidR="00B16675" w:rsidRPr="00EC52EE" w14:paraId="2F4714BC" w14:textId="77777777" w:rsidTr="00722966">
              <w:trPr>
                <w:trHeight w:val="131"/>
              </w:trPr>
              <w:tc>
                <w:tcPr>
                  <w:tcW w:w="979" w:type="dxa"/>
                  <w:tcBorders>
                    <w:top w:val="nil"/>
                    <w:left w:val="single" w:sz="8" w:space="0" w:color="auto"/>
                    <w:bottom w:val="single" w:sz="8" w:space="0" w:color="auto"/>
                    <w:right w:val="single" w:sz="8" w:space="0" w:color="auto"/>
                  </w:tcBorders>
                  <w:vAlign w:val="center"/>
                  <w:hideMark/>
                </w:tcPr>
                <w:p w14:paraId="4E7273D9"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2012</w:t>
                  </w:r>
                </w:p>
              </w:tc>
              <w:tc>
                <w:tcPr>
                  <w:tcW w:w="1530" w:type="dxa"/>
                  <w:tcBorders>
                    <w:top w:val="nil"/>
                    <w:left w:val="nil"/>
                    <w:bottom w:val="single" w:sz="8" w:space="0" w:color="auto"/>
                    <w:right w:val="single" w:sz="8" w:space="0" w:color="auto"/>
                  </w:tcBorders>
                  <w:vAlign w:val="center"/>
                  <w:hideMark/>
                </w:tcPr>
                <w:p w14:paraId="17D32A65"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3</w:t>
                  </w:r>
                </w:p>
              </w:tc>
              <w:tc>
                <w:tcPr>
                  <w:tcW w:w="1530" w:type="dxa"/>
                  <w:tcBorders>
                    <w:top w:val="nil"/>
                    <w:left w:val="nil"/>
                    <w:bottom w:val="single" w:sz="8" w:space="0" w:color="auto"/>
                    <w:right w:val="single" w:sz="8" w:space="0" w:color="auto"/>
                  </w:tcBorders>
                  <w:vAlign w:val="center"/>
                  <w:hideMark/>
                </w:tcPr>
                <w:p w14:paraId="1B0E2103"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$13,630</w:t>
                  </w:r>
                </w:p>
              </w:tc>
              <w:tc>
                <w:tcPr>
                  <w:tcW w:w="1350" w:type="dxa"/>
                  <w:tcBorders>
                    <w:top w:val="nil"/>
                    <w:left w:val="nil"/>
                    <w:bottom w:val="single" w:sz="8" w:space="0" w:color="auto"/>
                    <w:right w:val="single" w:sz="8" w:space="0" w:color="auto"/>
                  </w:tcBorders>
                  <w:vAlign w:val="center"/>
                  <w:hideMark/>
                </w:tcPr>
                <w:p w14:paraId="08152C09"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n/a</w:t>
                  </w:r>
                </w:p>
              </w:tc>
            </w:tr>
            <w:tr w:rsidR="00B16675" w:rsidRPr="00EC52EE" w14:paraId="7D4722EE" w14:textId="77777777" w:rsidTr="00722966">
              <w:trPr>
                <w:trHeight w:val="131"/>
              </w:trPr>
              <w:tc>
                <w:tcPr>
                  <w:tcW w:w="979" w:type="dxa"/>
                  <w:tcBorders>
                    <w:top w:val="nil"/>
                    <w:left w:val="single" w:sz="8" w:space="0" w:color="auto"/>
                    <w:bottom w:val="single" w:sz="8" w:space="0" w:color="auto"/>
                    <w:right w:val="single" w:sz="8" w:space="0" w:color="auto"/>
                  </w:tcBorders>
                  <w:vAlign w:val="center"/>
                  <w:hideMark/>
                </w:tcPr>
                <w:p w14:paraId="54F3445E"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lastRenderedPageBreak/>
                    <w:t>2013</w:t>
                  </w:r>
                </w:p>
              </w:tc>
              <w:tc>
                <w:tcPr>
                  <w:tcW w:w="1530" w:type="dxa"/>
                  <w:tcBorders>
                    <w:top w:val="nil"/>
                    <w:left w:val="nil"/>
                    <w:bottom w:val="single" w:sz="8" w:space="0" w:color="auto"/>
                    <w:right w:val="single" w:sz="8" w:space="0" w:color="auto"/>
                  </w:tcBorders>
                  <w:vAlign w:val="center"/>
                  <w:hideMark/>
                </w:tcPr>
                <w:p w14:paraId="13929C59"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4</w:t>
                  </w:r>
                </w:p>
              </w:tc>
              <w:tc>
                <w:tcPr>
                  <w:tcW w:w="1530" w:type="dxa"/>
                  <w:tcBorders>
                    <w:top w:val="nil"/>
                    <w:left w:val="nil"/>
                    <w:bottom w:val="single" w:sz="8" w:space="0" w:color="auto"/>
                    <w:right w:val="single" w:sz="8" w:space="0" w:color="auto"/>
                  </w:tcBorders>
                  <w:vAlign w:val="center"/>
                  <w:hideMark/>
                </w:tcPr>
                <w:p w14:paraId="7A84BFC5"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$16,592</w:t>
                  </w:r>
                </w:p>
              </w:tc>
              <w:tc>
                <w:tcPr>
                  <w:tcW w:w="1350" w:type="dxa"/>
                  <w:tcBorders>
                    <w:top w:val="nil"/>
                    <w:left w:val="nil"/>
                    <w:bottom w:val="single" w:sz="8" w:space="0" w:color="auto"/>
                    <w:right w:val="single" w:sz="8" w:space="0" w:color="auto"/>
                  </w:tcBorders>
                  <w:vAlign w:val="center"/>
                  <w:hideMark/>
                </w:tcPr>
                <w:p w14:paraId="51BDE6AC"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n/a</w:t>
                  </w:r>
                </w:p>
              </w:tc>
            </w:tr>
            <w:tr w:rsidR="00B16675" w:rsidRPr="00EC52EE" w14:paraId="37977237" w14:textId="77777777" w:rsidTr="00722966">
              <w:trPr>
                <w:trHeight w:val="131"/>
              </w:trPr>
              <w:tc>
                <w:tcPr>
                  <w:tcW w:w="979" w:type="dxa"/>
                  <w:tcBorders>
                    <w:top w:val="nil"/>
                    <w:left w:val="single" w:sz="8" w:space="0" w:color="auto"/>
                    <w:bottom w:val="single" w:sz="8" w:space="0" w:color="auto"/>
                    <w:right w:val="single" w:sz="8" w:space="0" w:color="auto"/>
                  </w:tcBorders>
                  <w:vAlign w:val="center"/>
                  <w:hideMark/>
                </w:tcPr>
                <w:p w14:paraId="2D140B7C"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2014</w:t>
                  </w:r>
                </w:p>
              </w:tc>
              <w:tc>
                <w:tcPr>
                  <w:tcW w:w="1530" w:type="dxa"/>
                  <w:tcBorders>
                    <w:top w:val="nil"/>
                    <w:left w:val="nil"/>
                    <w:bottom w:val="single" w:sz="8" w:space="0" w:color="auto"/>
                    <w:right w:val="single" w:sz="8" w:space="0" w:color="auto"/>
                  </w:tcBorders>
                  <w:vAlign w:val="center"/>
                  <w:hideMark/>
                </w:tcPr>
                <w:p w14:paraId="750953CF"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4</w:t>
                  </w:r>
                </w:p>
              </w:tc>
              <w:tc>
                <w:tcPr>
                  <w:tcW w:w="1530" w:type="dxa"/>
                  <w:tcBorders>
                    <w:top w:val="nil"/>
                    <w:left w:val="nil"/>
                    <w:bottom w:val="single" w:sz="8" w:space="0" w:color="auto"/>
                    <w:right w:val="single" w:sz="8" w:space="0" w:color="auto"/>
                  </w:tcBorders>
                  <w:vAlign w:val="center"/>
                  <w:hideMark/>
                </w:tcPr>
                <w:p w14:paraId="01E11C25"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$18,318</w:t>
                  </w:r>
                </w:p>
              </w:tc>
              <w:tc>
                <w:tcPr>
                  <w:tcW w:w="1350" w:type="dxa"/>
                  <w:tcBorders>
                    <w:top w:val="nil"/>
                    <w:left w:val="nil"/>
                    <w:bottom w:val="single" w:sz="8" w:space="0" w:color="auto"/>
                    <w:right w:val="single" w:sz="8" w:space="0" w:color="auto"/>
                  </w:tcBorders>
                  <w:vAlign w:val="center"/>
                  <w:hideMark/>
                </w:tcPr>
                <w:p w14:paraId="3401794E"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n/a</w:t>
                  </w:r>
                </w:p>
              </w:tc>
            </w:tr>
          </w:tbl>
          <w:p w14:paraId="48058065" w14:textId="77777777" w:rsidR="00B16675" w:rsidRPr="00EC52EE" w:rsidRDefault="00B16675" w:rsidP="00B16675">
            <w:pPr>
              <w:pStyle w:val="Default"/>
            </w:pPr>
          </w:p>
          <w:p w14:paraId="161B896C" w14:textId="77777777" w:rsidR="00B16675" w:rsidRPr="00EC52EE" w:rsidRDefault="00B16675" w:rsidP="00B16675">
            <w:pPr>
              <w:pStyle w:val="Default"/>
              <w:ind w:left="720"/>
            </w:pPr>
          </w:p>
          <w:p w14:paraId="751F60AD" w14:textId="77777777" w:rsidR="00B16675" w:rsidRPr="000F244E" w:rsidRDefault="00B16675" w:rsidP="00B16675">
            <w:pPr>
              <w:pStyle w:val="ListParagraph"/>
              <w:autoSpaceDE w:val="0"/>
              <w:autoSpaceDN w:val="0"/>
              <w:adjustRightInd w:val="0"/>
              <w:spacing w:after="56" w:line="240" w:lineRule="auto"/>
              <w:ind w:left="-18" w:firstLine="18"/>
              <w:rPr>
                <w:rFonts w:ascii="Times New Roman" w:hAnsi="Times New Roman" w:cs="Times New Roman"/>
                <w:b/>
                <w:color w:val="000000"/>
                <w:szCs w:val="24"/>
              </w:rPr>
            </w:pPr>
          </w:p>
        </w:tc>
        <w:tc>
          <w:tcPr>
            <w:tcW w:w="4248" w:type="dxa"/>
            <w:vMerge/>
          </w:tcPr>
          <w:p w14:paraId="751F60AE" w14:textId="77777777" w:rsidR="00B16675" w:rsidRPr="00EC52EE" w:rsidRDefault="00B16675" w:rsidP="00B16675">
            <w:pPr>
              <w:rPr>
                <w:rFonts w:ascii="Times New Roman" w:hAnsi="Times New Roman" w:cs="Times New Roman"/>
                <w:sz w:val="24"/>
                <w:szCs w:val="24"/>
              </w:rPr>
            </w:pPr>
          </w:p>
        </w:tc>
      </w:tr>
      <w:tr w:rsidR="00B16675" w:rsidRPr="00EC52EE" w14:paraId="751F60D0" w14:textId="77777777" w:rsidTr="002B46DD">
        <w:trPr>
          <w:cantSplit/>
          <w:trHeight w:val="262"/>
        </w:trPr>
        <w:tc>
          <w:tcPr>
            <w:tcW w:w="1705" w:type="dxa"/>
            <w:vMerge/>
          </w:tcPr>
          <w:p w14:paraId="751F60B0" w14:textId="77777777" w:rsidR="00B16675" w:rsidRPr="00EC52EE" w:rsidRDefault="00B16675" w:rsidP="00B16675">
            <w:pPr>
              <w:rPr>
                <w:rFonts w:ascii="Times New Roman" w:hAnsi="Times New Roman" w:cs="Times New Roman"/>
                <w:b/>
                <w:sz w:val="24"/>
                <w:szCs w:val="24"/>
              </w:rPr>
            </w:pPr>
          </w:p>
        </w:tc>
        <w:tc>
          <w:tcPr>
            <w:tcW w:w="1530" w:type="dxa"/>
          </w:tcPr>
          <w:p w14:paraId="751F60B1" w14:textId="5EEF1BFF" w:rsidR="00B16675" w:rsidRPr="00EC52EE" w:rsidRDefault="00B16675" w:rsidP="00B16675">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p w14:paraId="3973A8D6" w14:textId="77777777" w:rsidR="00B16675" w:rsidRPr="00FB295C" w:rsidRDefault="00B16675" w:rsidP="00B16675">
            <w:pPr>
              <w:pStyle w:val="Default"/>
              <w:rPr>
                <w:sz w:val="22"/>
              </w:rPr>
            </w:pPr>
            <w:r w:rsidRPr="00FB295C">
              <w:rPr>
                <w:sz w:val="22"/>
              </w:rPr>
              <w:t xml:space="preserve">There are a number of reasons to exclude non-residential customers from the six month billing correction limitation.  These reasons include, but are not necessarily limited to:  </w:t>
            </w:r>
          </w:p>
          <w:p w14:paraId="2520E0DA" w14:textId="77777777" w:rsidR="00B16675" w:rsidRPr="00FB295C" w:rsidRDefault="00B16675" w:rsidP="00B16675">
            <w:pPr>
              <w:pStyle w:val="Default"/>
              <w:ind w:left="1080"/>
              <w:rPr>
                <w:sz w:val="22"/>
              </w:rPr>
            </w:pPr>
          </w:p>
          <w:p w14:paraId="795ECD21" w14:textId="77777777" w:rsidR="00B16675" w:rsidRPr="00FB295C" w:rsidRDefault="00B16675" w:rsidP="00B16675">
            <w:pPr>
              <w:pStyle w:val="Default"/>
              <w:numPr>
                <w:ilvl w:val="0"/>
                <w:numId w:val="11"/>
              </w:numPr>
              <w:rPr>
                <w:sz w:val="22"/>
              </w:rPr>
            </w:pPr>
            <w:r w:rsidRPr="00FB295C">
              <w:rPr>
                <w:sz w:val="22"/>
              </w:rPr>
              <w:t>The dollar amounts associated with meter failures or malfunctions tend to be much larger than is experienced with residential customers.  For example, see the Company’s response to question two above, where two non-residential accounts resulted in more than $147,000 that would have been written off if the six month rule had been in effect.  Large write-offs like this ultimately serve to increase rates to other customers.</w:t>
            </w:r>
          </w:p>
          <w:p w14:paraId="44F06532" w14:textId="77777777" w:rsidR="00B16675" w:rsidRPr="00FB295C" w:rsidRDefault="00B16675" w:rsidP="00B16675">
            <w:pPr>
              <w:pStyle w:val="Default"/>
              <w:numPr>
                <w:ilvl w:val="0"/>
                <w:numId w:val="11"/>
              </w:numPr>
              <w:rPr>
                <w:sz w:val="22"/>
              </w:rPr>
            </w:pPr>
            <w:r w:rsidRPr="00FB295C">
              <w:rPr>
                <w:sz w:val="22"/>
              </w:rPr>
              <w:t>The non-residential meter set configurations can be complex with more components than the typical residential meter set.  The more complex the meter set configuration, the more difficult it is to detect meter failures.  As such, a malfunction could exist for longer periods of time without being detected.  Once detected, the result could be under- or over-billings that are much larger than would ever be experienced in the residential customer class.</w:t>
            </w:r>
          </w:p>
          <w:p w14:paraId="556712E5" w14:textId="77777777" w:rsidR="00B16675" w:rsidRPr="00FB295C" w:rsidRDefault="00B16675" w:rsidP="00B16675">
            <w:pPr>
              <w:pStyle w:val="Default"/>
              <w:numPr>
                <w:ilvl w:val="0"/>
                <w:numId w:val="11"/>
              </w:numPr>
              <w:rPr>
                <w:sz w:val="22"/>
              </w:rPr>
            </w:pPr>
            <w:r w:rsidRPr="00FB295C">
              <w:rPr>
                <w:sz w:val="22"/>
              </w:rPr>
              <w:t xml:space="preserve">Many non-residential customers tend to have varying production schedules throughout the year, often with periods of extremely high and extremely low usage.  This variability in usage makes it even more difficult to determine if in any given period the usage increase or decrease is the result of a meter failure or malfunction.  </w:t>
            </w:r>
          </w:p>
          <w:p w14:paraId="6E4CABF6" w14:textId="77777777" w:rsidR="00B16675" w:rsidRPr="00FB295C" w:rsidRDefault="00B16675" w:rsidP="00B16675">
            <w:pPr>
              <w:pStyle w:val="Default"/>
              <w:ind w:left="1440"/>
              <w:rPr>
                <w:sz w:val="22"/>
              </w:rPr>
            </w:pPr>
          </w:p>
          <w:p w14:paraId="0E6DF53B" w14:textId="418EEA2A" w:rsidR="00B16675" w:rsidRPr="00FB295C" w:rsidRDefault="00B16675" w:rsidP="00B16675">
            <w:pPr>
              <w:pStyle w:val="Default"/>
              <w:rPr>
                <w:sz w:val="22"/>
              </w:rPr>
            </w:pPr>
            <w:r w:rsidRPr="00EC52EE">
              <w:br w:type="page"/>
            </w:r>
            <w:r w:rsidRPr="00FB295C">
              <w:rPr>
                <w:sz w:val="22"/>
              </w:rPr>
              <w:t xml:space="preserve">There were no seasonal customer accounts that were issued corrected bills that exceeded six months of usage.  </w:t>
            </w:r>
            <w:proofErr w:type="spellStart"/>
            <w:r w:rsidRPr="00FB295C">
              <w:rPr>
                <w:sz w:val="22"/>
              </w:rPr>
              <w:t>NWNG</w:t>
            </w:r>
            <w:proofErr w:type="spellEnd"/>
            <w:r w:rsidRPr="00FB295C">
              <w:rPr>
                <w:sz w:val="22"/>
              </w:rPr>
              <w:t xml:space="preserve"> does not separately track revenues associated with seasonal customer use.</w:t>
            </w:r>
          </w:p>
          <w:p w14:paraId="2B658B76" w14:textId="77777777" w:rsidR="00B16675" w:rsidRPr="00FB295C" w:rsidRDefault="00B16675" w:rsidP="00B16675">
            <w:pPr>
              <w:pStyle w:val="Default"/>
              <w:ind w:left="720"/>
              <w:rPr>
                <w:sz w:val="22"/>
              </w:rPr>
            </w:pPr>
          </w:p>
          <w:p w14:paraId="71A3FC17" w14:textId="77777777" w:rsidR="00B16675" w:rsidRPr="00FB295C" w:rsidRDefault="00B16675" w:rsidP="00B16675">
            <w:pPr>
              <w:pStyle w:val="Default"/>
              <w:ind w:left="1080"/>
              <w:rPr>
                <w:sz w:val="22"/>
              </w:rPr>
            </w:pPr>
            <w:r w:rsidRPr="00FB295C">
              <w:rPr>
                <w:sz w:val="22"/>
              </w:rPr>
              <w:t xml:space="preserve">Any seasonal use customer, whether residential or non-residential, pose a problem in the Company’s ability to quickly identify a meter malfunction or failure.  This is largely due to the fact that these customers could go several months – maybe even an entire 12 consecutive month period or more – with zero use.  For the most part, these are customers that use natural gas only for space heating purposes.  In the non-residential sector, this is often associated with freeze protection.  </w:t>
            </w:r>
          </w:p>
          <w:p w14:paraId="3B0AF079" w14:textId="77777777" w:rsidR="00B16675" w:rsidRPr="00FB295C" w:rsidRDefault="00B16675" w:rsidP="00B16675">
            <w:pPr>
              <w:pStyle w:val="Default"/>
              <w:ind w:left="1080"/>
              <w:rPr>
                <w:sz w:val="22"/>
              </w:rPr>
            </w:pPr>
          </w:p>
          <w:p w14:paraId="2DB81E03" w14:textId="77777777" w:rsidR="00B16675" w:rsidRPr="00FB295C" w:rsidRDefault="00B16675" w:rsidP="00B16675">
            <w:pPr>
              <w:pStyle w:val="Default"/>
              <w:ind w:left="1080"/>
              <w:rPr>
                <w:sz w:val="22"/>
              </w:rPr>
            </w:pPr>
            <w:r w:rsidRPr="00FB295C">
              <w:rPr>
                <w:sz w:val="22"/>
              </w:rPr>
              <w:t>It would not be prudent for the Company to assume that extended consecutive zero use reads (e.g. six months or more) is merely the result of the customer’s behavior.  As such, NW Natural’s policy is to initiate an account review or meter investigation on zero-use meters where six months of consecutive zero use has been recorded.  It would be unduly burdensome and costly for the Company to perform these investigations more frequently because in general, the zero use meter read is not attributable to a meter failure or malfunction.</w:t>
            </w:r>
          </w:p>
          <w:p w14:paraId="0B641A95" w14:textId="77777777" w:rsidR="00B16675" w:rsidRPr="00FB295C" w:rsidRDefault="00B16675" w:rsidP="00B16675">
            <w:pPr>
              <w:spacing w:after="200" w:line="276" w:lineRule="auto"/>
              <w:rPr>
                <w:rFonts w:ascii="Times New Roman" w:eastAsiaTheme="minorEastAsia" w:hAnsi="Times New Roman" w:cs="Times New Roman"/>
                <w:color w:val="000000"/>
                <w:szCs w:val="24"/>
                <w:lang w:eastAsia="zh-CN"/>
              </w:rPr>
            </w:pPr>
          </w:p>
          <w:p w14:paraId="751F60CE" w14:textId="77777777" w:rsidR="00B16675" w:rsidRPr="00EC52EE" w:rsidRDefault="00B16675" w:rsidP="00B16675">
            <w:pPr>
              <w:spacing w:line="360" w:lineRule="auto"/>
              <w:jc w:val="both"/>
              <w:rPr>
                <w:rFonts w:ascii="Times New Roman" w:hAnsi="Times New Roman" w:cs="Times New Roman"/>
              </w:rPr>
            </w:pPr>
          </w:p>
        </w:tc>
        <w:tc>
          <w:tcPr>
            <w:tcW w:w="4248" w:type="dxa"/>
            <w:vMerge/>
          </w:tcPr>
          <w:p w14:paraId="751F60CF" w14:textId="77777777" w:rsidR="00B16675" w:rsidRPr="00EC52EE" w:rsidRDefault="00B16675" w:rsidP="00B16675">
            <w:pPr>
              <w:rPr>
                <w:rFonts w:ascii="Times New Roman" w:hAnsi="Times New Roman" w:cs="Times New Roman"/>
                <w:sz w:val="24"/>
                <w:szCs w:val="24"/>
              </w:rPr>
            </w:pPr>
          </w:p>
        </w:tc>
      </w:tr>
      <w:tr w:rsidR="00B16675" w:rsidRPr="00EC52EE" w14:paraId="751F60E1" w14:textId="77777777" w:rsidTr="002B46DD">
        <w:trPr>
          <w:cantSplit/>
          <w:trHeight w:val="980"/>
        </w:trPr>
        <w:tc>
          <w:tcPr>
            <w:tcW w:w="1705" w:type="dxa"/>
            <w:vMerge/>
          </w:tcPr>
          <w:p w14:paraId="751F60D1" w14:textId="77777777" w:rsidR="00B16675" w:rsidRPr="00EC52EE" w:rsidRDefault="00B16675" w:rsidP="00B16675">
            <w:pPr>
              <w:rPr>
                <w:rFonts w:ascii="Times New Roman" w:hAnsi="Times New Roman" w:cs="Times New Roman"/>
                <w:b/>
                <w:sz w:val="24"/>
                <w:szCs w:val="24"/>
              </w:rPr>
            </w:pPr>
          </w:p>
        </w:tc>
        <w:tc>
          <w:tcPr>
            <w:tcW w:w="1530" w:type="dxa"/>
          </w:tcPr>
          <w:p w14:paraId="751F60D2" w14:textId="4CAC3AE9" w:rsidR="00B16675" w:rsidRPr="00EC52EE" w:rsidRDefault="00B16675" w:rsidP="00B16675">
            <w:pPr>
              <w:rPr>
                <w:rFonts w:ascii="Times New Roman" w:hAnsi="Times New Roman" w:cs="Times New Roman"/>
                <w:sz w:val="24"/>
                <w:szCs w:val="24"/>
              </w:rPr>
            </w:pPr>
            <w:proofErr w:type="spellStart"/>
            <w:r>
              <w:rPr>
                <w:rFonts w:ascii="Times New Roman" w:hAnsi="Times New Roman" w:cs="Times New Roman"/>
                <w:sz w:val="24"/>
                <w:szCs w:val="24"/>
              </w:rPr>
              <w:t>CNGC</w:t>
            </w:r>
            <w:proofErr w:type="spellEnd"/>
          </w:p>
        </w:tc>
        <w:tc>
          <w:tcPr>
            <w:tcW w:w="7200" w:type="dxa"/>
          </w:tcPr>
          <w:p w14:paraId="1A5C702B" w14:textId="77777777" w:rsidR="00B16675" w:rsidRPr="00EC52EE" w:rsidRDefault="00B16675" w:rsidP="00B16675">
            <w:pPr>
              <w:pStyle w:val="Default"/>
            </w:pPr>
            <w:r w:rsidRPr="00EC52EE">
              <w:t>Errors with residential bills are more easily detected than errors with nonresidential bills because residential customers typically have an easily identifiable and fairly consistent annual load curve. A residential customer may have a fairly constant baseline load from a water heater and a more substantial heating load that increases as the weather gets cooler. Gas drier usage and stovetops do not use enough gas to create significant deviations in the residential load profile.</w:t>
            </w:r>
          </w:p>
          <w:p w14:paraId="6747D146" w14:textId="77777777" w:rsidR="00B16675" w:rsidRPr="00EC52EE" w:rsidRDefault="00B16675" w:rsidP="00B16675">
            <w:pPr>
              <w:pStyle w:val="Default"/>
            </w:pPr>
          </w:p>
          <w:p w14:paraId="49345859" w14:textId="77777777" w:rsidR="00B16675" w:rsidRPr="00EC52EE" w:rsidRDefault="00B16675" w:rsidP="00B16675">
            <w:pPr>
              <w:pStyle w:val="Default"/>
            </w:pPr>
            <w:r w:rsidRPr="00EC52EE">
              <w:t xml:space="preserve">By contrast, non-residential customers do not have a typical load profile. A non-residential customer may use gas for heating or for an industrial process. Adding or subtracting working hours or production runs could significantly change a non-residential customer’s usage. Nonresidential customers’ usage responds to economic and market </w:t>
            </w:r>
            <w:r w:rsidRPr="00EC52EE">
              <w:lastRenderedPageBreak/>
              <w:t>factors specific to that customer and not only weather. Because they may have atypical usage patterns when compared with either their own historic use or to other non-residential customer, detecting metering or billing errors through exception reporting is much more difficult.</w:t>
            </w:r>
          </w:p>
          <w:p w14:paraId="782E3A13" w14:textId="77777777" w:rsidR="00B16675" w:rsidRPr="00EC52EE" w:rsidRDefault="00B16675" w:rsidP="00B16675">
            <w:pPr>
              <w:pStyle w:val="Default"/>
            </w:pPr>
          </w:p>
          <w:p w14:paraId="2076F2C0" w14:textId="77777777" w:rsidR="00B16675" w:rsidRPr="00EC52EE" w:rsidRDefault="00B16675" w:rsidP="00B16675">
            <w:pPr>
              <w:pStyle w:val="Default"/>
            </w:pPr>
            <w:r w:rsidRPr="00EC52EE">
              <w:t xml:space="preserve">The term “seasonal” is not used in the company’s tariff but is used conversationally to refer to spikes in usage that are experienced during certain times of the year. For instance, wineries and other agricultural customers may have seasonal spikes in demand, but these spikes vary from year-to-year based on a number of factors such as the crop being grown and the crop yield. </w:t>
            </w:r>
          </w:p>
          <w:p w14:paraId="0E4B6F5E" w14:textId="77777777" w:rsidR="00B16675" w:rsidRPr="00EC52EE" w:rsidRDefault="00B16675" w:rsidP="00B16675">
            <w:pPr>
              <w:pStyle w:val="Default"/>
            </w:pPr>
          </w:p>
          <w:p w14:paraId="751F60DF" w14:textId="7EFC24CA" w:rsidR="00B16675" w:rsidRPr="00EC52EE" w:rsidRDefault="00B16675" w:rsidP="00B16675">
            <w:pPr>
              <w:pStyle w:val="Default"/>
              <w:rPr>
                <w:b/>
                <w:u w:val="single"/>
              </w:rPr>
            </w:pPr>
            <w:r w:rsidRPr="00EC52EE">
              <w:t>The company does not have a way to retrieve the requested data from its billing system.</w:t>
            </w:r>
          </w:p>
        </w:tc>
        <w:tc>
          <w:tcPr>
            <w:tcW w:w="4248" w:type="dxa"/>
            <w:vMerge/>
          </w:tcPr>
          <w:p w14:paraId="751F60E0" w14:textId="77777777" w:rsidR="00B16675" w:rsidRPr="00EC52EE" w:rsidRDefault="00B16675" w:rsidP="00B16675">
            <w:pPr>
              <w:rPr>
                <w:rFonts w:ascii="Times New Roman" w:hAnsi="Times New Roman" w:cs="Times New Roman"/>
                <w:sz w:val="24"/>
                <w:szCs w:val="24"/>
              </w:rPr>
            </w:pPr>
          </w:p>
        </w:tc>
      </w:tr>
      <w:tr w:rsidR="00B16675" w:rsidRPr="00EC52EE" w14:paraId="751F60EC" w14:textId="77777777" w:rsidTr="002B46DD">
        <w:trPr>
          <w:cantSplit/>
          <w:trHeight w:val="980"/>
        </w:trPr>
        <w:tc>
          <w:tcPr>
            <w:tcW w:w="1705" w:type="dxa"/>
            <w:vMerge/>
          </w:tcPr>
          <w:p w14:paraId="751F60E2" w14:textId="77777777" w:rsidR="00B16675" w:rsidRPr="00EC52EE" w:rsidRDefault="00B16675" w:rsidP="00B16675">
            <w:pPr>
              <w:rPr>
                <w:rFonts w:ascii="Times New Roman" w:hAnsi="Times New Roman" w:cs="Times New Roman"/>
                <w:b/>
                <w:sz w:val="24"/>
                <w:szCs w:val="24"/>
              </w:rPr>
            </w:pPr>
          </w:p>
        </w:tc>
        <w:tc>
          <w:tcPr>
            <w:tcW w:w="1530" w:type="dxa"/>
          </w:tcPr>
          <w:p w14:paraId="751F60E3" w14:textId="441BC009" w:rsidR="00B16675" w:rsidRPr="00EC52EE" w:rsidRDefault="00B16675" w:rsidP="00B16675">
            <w:pPr>
              <w:rPr>
                <w:rFonts w:ascii="Times New Roman" w:hAnsi="Times New Roman" w:cs="Times New Roman"/>
                <w:sz w:val="24"/>
                <w:szCs w:val="24"/>
              </w:rPr>
            </w:pPr>
          </w:p>
        </w:tc>
        <w:tc>
          <w:tcPr>
            <w:tcW w:w="7200" w:type="dxa"/>
          </w:tcPr>
          <w:p w14:paraId="751F60EA" w14:textId="2A1C49B4" w:rsidR="00B16675" w:rsidRPr="00EC52EE" w:rsidRDefault="00B16675" w:rsidP="00B16675">
            <w:pPr>
              <w:pStyle w:val="Default"/>
            </w:pPr>
          </w:p>
        </w:tc>
        <w:tc>
          <w:tcPr>
            <w:tcW w:w="4248" w:type="dxa"/>
            <w:vMerge/>
          </w:tcPr>
          <w:p w14:paraId="751F60EB" w14:textId="77777777" w:rsidR="00B16675" w:rsidRPr="00EC52EE" w:rsidRDefault="00B16675" w:rsidP="00B16675">
            <w:pPr>
              <w:rPr>
                <w:rFonts w:ascii="Times New Roman" w:hAnsi="Times New Roman" w:cs="Times New Roman"/>
                <w:sz w:val="24"/>
                <w:szCs w:val="24"/>
              </w:rPr>
            </w:pPr>
          </w:p>
        </w:tc>
      </w:tr>
      <w:tr w:rsidR="00B16675" w:rsidRPr="00EC52EE" w14:paraId="7AF74EC0" w14:textId="77777777" w:rsidTr="002B46DD">
        <w:trPr>
          <w:cantSplit/>
          <w:trHeight w:val="980"/>
        </w:trPr>
        <w:tc>
          <w:tcPr>
            <w:tcW w:w="1705" w:type="dxa"/>
            <w:vMerge w:val="restart"/>
          </w:tcPr>
          <w:p w14:paraId="616DBC1A" w14:textId="32289692" w:rsidR="00B16675" w:rsidRPr="00EC52EE" w:rsidRDefault="00B16675" w:rsidP="00022224">
            <w:pPr>
              <w:rPr>
                <w:rFonts w:ascii="Times New Roman" w:hAnsi="Times New Roman" w:cs="Times New Roman"/>
                <w:b/>
                <w:sz w:val="24"/>
                <w:szCs w:val="24"/>
              </w:rPr>
            </w:pPr>
            <w:r w:rsidRPr="00EC52EE">
              <w:rPr>
                <w:rFonts w:ascii="Times New Roman" w:hAnsi="Times New Roman" w:cs="Times New Roman"/>
                <w:b/>
                <w:sz w:val="24"/>
                <w:szCs w:val="24"/>
              </w:rPr>
              <w:t>Response to staff question 4: Please provide the most recent three years of data for corrected bills related to overbilling.</w:t>
            </w:r>
          </w:p>
        </w:tc>
        <w:tc>
          <w:tcPr>
            <w:tcW w:w="1530" w:type="dxa"/>
          </w:tcPr>
          <w:p w14:paraId="49D629DB" w14:textId="77A2E013" w:rsidR="00B16675" w:rsidRPr="00EC52EE" w:rsidRDefault="00B16675" w:rsidP="00B16675">
            <w:pPr>
              <w:rPr>
                <w:rFonts w:ascii="Times New Roman" w:hAnsi="Times New Roman" w:cs="Times New Roman"/>
                <w:sz w:val="24"/>
                <w:szCs w:val="24"/>
              </w:rPr>
            </w:pPr>
            <w:proofErr w:type="spellStart"/>
            <w:r>
              <w:rPr>
                <w:rFonts w:ascii="Times New Roman" w:hAnsi="Times New Roman" w:cs="Times New Roman"/>
                <w:sz w:val="24"/>
                <w:szCs w:val="24"/>
              </w:rPr>
              <w:t>PPL</w:t>
            </w:r>
            <w:proofErr w:type="spellEnd"/>
          </w:p>
        </w:tc>
        <w:tc>
          <w:tcPr>
            <w:tcW w:w="7200" w:type="dxa"/>
          </w:tcPr>
          <w:tbl>
            <w:tblPr>
              <w:tblW w:w="5940" w:type="dxa"/>
              <w:tblInd w:w="720" w:type="dxa"/>
              <w:tblLayout w:type="fixed"/>
              <w:tblLook w:val="04A0" w:firstRow="1" w:lastRow="0" w:firstColumn="1" w:lastColumn="0" w:noHBand="0" w:noVBand="1"/>
            </w:tblPr>
            <w:tblGrid>
              <w:gridCol w:w="810"/>
              <w:gridCol w:w="150"/>
              <w:gridCol w:w="1020"/>
              <w:gridCol w:w="1350"/>
              <w:gridCol w:w="1170"/>
              <w:gridCol w:w="1440"/>
            </w:tblGrid>
            <w:tr w:rsidR="00B16675" w:rsidRPr="00EC52EE" w14:paraId="78DEB181" w14:textId="77777777" w:rsidTr="00022224">
              <w:trPr>
                <w:trHeight w:val="300"/>
              </w:trPr>
              <w:tc>
                <w:tcPr>
                  <w:tcW w:w="960" w:type="dxa"/>
                  <w:gridSpan w:val="2"/>
                  <w:tcBorders>
                    <w:top w:val="nil"/>
                    <w:left w:val="nil"/>
                    <w:bottom w:val="single" w:sz="4" w:space="0" w:color="auto"/>
                    <w:right w:val="single" w:sz="4" w:space="0" w:color="auto"/>
                  </w:tcBorders>
                  <w:noWrap/>
                  <w:vAlign w:val="bottom"/>
                  <w:hideMark/>
                </w:tcPr>
                <w:p w14:paraId="295FC256" w14:textId="77777777" w:rsidR="00B16675" w:rsidRPr="00FB295C" w:rsidRDefault="00B16675" w:rsidP="00A05C26">
                  <w:pPr>
                    <w:framePr w:hSpace="180" w:wrap="around" w:hAnchor="margin" w:y="-720"/>
                    <w:rPr>
                      <w:rFonts w:ascii="Times New Roman" w:hAnsi="Times New Roman" w:cs="Times New Roman"/>
                    </w:rPr>
                  </w:pPr>
                </w:p>
              </w:tc>
              <w:tc>
                <w:tcPr>
                  <w:tcW w:w="2370" w:type="dxa"/>
                  <w:gridSpan w:val="2"/>
                  <w:tcBorders>
                    <w:top w:val="single" w:sz="4" w:space="0" w:color="auto"/>
                    <w:left w:val="nil"/>
                    <w:bottom w:val="single" w:sz="4" w:space="0" w:color="auto"/>
                    <w:right w:val="single" w:sz="4" w:space="0" w:color="auto"/>
                  </w:tcBorders>
                  <w:noWrap/>
                  <w:vAlign w:val="bottom"/>
                  <w:hideMark/>
                </w:tcPr>
                <w:p w14:paraId="59AF210D" w14:textId="77777777" w:rsidR="00B16675" w:rsidRPr="00EC52EE" w:rsidRDefault="00B16675" w:rsidP="00A05C26">
                  <w:pPr>
                    <w:framePr w:hSpace="180" w:wrap="around" w:hAnchor="margin" w:y="-720"/>
                    <w:jc w:val="center"/>
                    <w:rPr>
                      <w:rFonts w:ascii="Times New Roman" w:eastAsia="Times New Roman" w:hAnsi="Times New Roman" w:cs="Times New Roman"/>
                      <w:color w:val="000000"/>
                      <w:sz w:val="24"/>
                      <w:szCs w:val="24"/>
                    </w:rPr>
                  </w:pPr>
                  <w:r w:rsidRPr="00EC52EE">
                    <w:rPr>
                      <w:rFonts w:ascii="Times New Roman" w:eastAsia="Times New Roman" w:hAnsi="Times New Roman" w:cs="Times New Roman"/>
                      <w:color w:val="000000"/>
                      <w:szCs w:val="24"/>
                    </w:rPr>
                    <w:t>Residential</w:t>
                  </w:r>
                </w:p>
              </w:tc>
              <w:tc>
                <w:tcPr>
                  <w:tcW w:w="2610" w:type="dxa"/>
                  <w:gridSpan w:val="2"/>
                  <w:tcBorders>
                    <w:top w:val="single" w:sz="4" w:space="0" w:color="auto"/>
                    <w:left w:val="nil"/>
                    <w:bottom w:val="single" w:sz="4" w:space="0" w:color="auto"/>
                    <w:right w:val="single" w:sz="4" w:space="0" w:color="auto"/>
                  </w:tcBorders>
                  <w:noWrap/>
                  <w:vAlign w:val="bottom"/>
                  <w:hideMark/>
                </w:tcPr>
                <w:p w14:paraId="2E93D853" w14:textId="77777777" w:rsidR="00B16675" w:rsidRPr="000F244E" w:rsidRDefault="00B16675" w:rsidP="00A05C26">
                  <w:pPr>
                    <w:framePr w:hSpace="180" w:wrap="around" w:hAnchor="margin" w:y="-720"/>
                    <w:jc w:val="center"/>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Non Residential</w:t>
                  </w:r>
                </w:p>
              </w:tc>
            </w:tr>
            <w:tr w:rsidR="00B16675" w:rsidRPr="00EC52EE" w14:paraId="6F94E6CE" w14:textId="77777777" w:rsidTr="00022224">
              <w:trPr>
                <w:trHeight w:val="900"/>
              </w:trPr>
              <w:tc>
                <w:tcPr>
                  <w:tcW w:w="810" w:type="dxa"/>
                  <w:tcBorders>
                    <w:top w:val="nil"/>
                    <w:left w:val="single" w:sz="4" w:space="0" w:color="auto"/>
                    <w:bottom w:val="single" w:sz="4" w:space="0" w:color="auto"/>
                    <w:right w:val="single" w:sz="4" w:space="0" w:color="auto"/>
                  </w:tcBorders>
                  <w:noWrap/>
                  <w:vAlign w:val="bottom"/>
                  <w:hideMark/>
                </w:tcPr>
                <w:p w14:paraId="124C9B66" w14:textId="77777777" w:rsidR="00B16675" w:rsidRPr="00EC52EE" w:rsidRDefault="00B16675" w:rsidP="00A05C26">
                  <w:pPr>
                    <w:framePr w:hSpace="180" w:wrap="around" w:hAnchor="margin" w:y="-720"/>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 Year</w:t>
                  </w:r>
                </w:p>
              </w:tc>
              <w:tc>
                <w:tcPr>
                  <w:tcW w:w="1170" w:type="dxa"/>
                  <w:gridSpan w:val="2"/>
                  <w:tcBorders>
                    <w:top w:val="nil"/>
                    <w:left w:val="nil"/>
                    <w:bottom w:val="single" w:sz="4" w:space="0" w:color="auto"/>
                    <w:right w:val="single" w:sz="4" w:space="0" w:color="auto"/>
                  </w:tcBorders>
                  <w:vAlign w:val="bottom"/>
                  <w:hideMark/>
                </w:tcPr>
                <w:p w14:paraId="1FF26382" w14:textId="77777777" w:rsidR="00B16675" w:rsidRPr="000F244E" w:rsidRDefault="00B16675" w:rsidP="00A05C26">
                  <w:pPr>
                    <w:framePr w:hSpace="180" w:wrap="around" w:hAnchor="margin" w:y="-720"/>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Accounts corrected more the 6 months</w:t>
                  </w:r>
                </w:p>
              </w:tc>
              <w:tc>
                <w:tcPr>
                  <w:tcW w:w="1350" w:type="dxa"/>
                  <w:tcBorders>
                    <w:top w:val="nil"/>
                    <w:left w:val="nil"/>
                    <w:bottom w:val="single" w:sz="4" w:space="0" w:color="auto"/>
                    <w:right w:val="single" w:sz="4" w:space="0" w:color="auto"/>
                  </w:tcBorders>
                  <w:vAlign w:val="bottom"/>
                  <w:hideMark/>
                </w:tcPr>
                <w:p w14:paraId="30E048B2" w14:textId="77777777" w:rsidR="00B16675" w:rsidRPr="00FB295C" w:rsidRDefault="00B16675" w:rsidP="00A05C26">
                  <w:pPr>
                    <w:framePr w:hSpace="180" w:wrap="around" w:hAnchor="margin" w:y="-720"/>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Total amount billed in excess of 6 months</w:t>
                  </w:r>
                </w:p>
              </w:tc>
              <w:tc>
                <w:tcPr>
                  <w:tcW w:w="1170" w:type="dxa"/>
                  <w:tcBorders>
                    <w:top w:val="nil"/>
                    <w:left w:val="nil"/>
                    <w:bottom w:val="single" w:sz="4" w:space="0" w:color="auto"/>
                    <w:right w:val="single" w:sz="4" w:space="0" w:color="auto"/>
                  </w:tcBorders>
                  <w:vAlign w:val="bottom"/>
                  <w:hideMark/>
                </w:tcPr>
                <w:p w14:paraId="27519FAB" w14:textId="77777777" w:rsidR="00B16675" w:rsidRPr="00FB295C" w:rsidRDefault="00B16675" w:rsidP="00A05C26">
                  <w:pPr>
                    <w:framePr w:hSpace="180" w:wrap="around" w:hAnchor="margin" w:y="-720"/>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Accounts corrected more the 6 months</w:t>
                  </w:r>
                </w:p>
              </w:tc>
              <w:tc>
                <w:tcPr>
                  <w:tcW w:w="1440" w:type="dxa"/>
                  <w:tcBorders>
                    <w:top w:val="nil"/>
                    <w:left w:val="nil"/>
                    <w:bottom w:val="single" w:sz="4" w:space="0" w:color="auto"/>
                    <w:right w:val="single" w:sz="4" w:space="0" w:color="auto"/>
                  </w:tcBorders>
                  <w:vAlign w:val="bottom"/>
                  <w:hideMark/>
                </w:tcPr>
                <w:p w14:paraId="01673625" w14:textId="77777777" w:rsidR="00B16675" w:rsidRPr="00FB295C" w:rsidRDefault="00B16675" w:rsidP="00A05C26">
                  <w:pPr>
                    <w:framePr w:hSpace="180" w:wrap="around" w:hAnchor="margin" w:y="-720"/>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Total amount billed in excess of 6 months</w:t>
                  </w:r>
                </w:p>
              </w:tc>
            </w:tr>
            <w:tr w:rsidR="00B16675" w:rsidRPr="00EC52EE" w14:paraId="02672E6A" w14:textId="77777777" w:rsidTr="00022224">
              <w:trPr>
                <w:trHeight w:val="300"/>
              </w:trPr>
              <w:tc>
                <w:tcPr>
                  <w:tcW w:w="810" w:type="dxa"/>
                  <w:tcBorders>
                    <w:top w:val="nil"/>
                    <w:left w:val="single" w:sz="4" w:space="0" w:color="auto"/>
                    <w:bottom w:val="single" w:sz="4" w:space="0" w:color="auto"/>
                    <w:right w:val="single" w:sz="4" w:space="0" w:color="auto"/>
                  </w:tcBorders>
                  <w:noWrap/>
                  <w:vAlign w:val="bottom"/>
                  <w:hideMark/>
                </w:tcPr>
                <w:p w14:paraId="3E6763F9"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2012</w:t>
                  </w:r>
                </w:p>
              </w:tc>
              <w:tc>
                <w:tcPr>
                  <w:tcW w:w="1170" w:type="dxa"/>
                  <w:gridSpan w:val="2"/>
                  <w:tcBorders>
                    <w:top w:val="nil"/>
                    <w:left w:val="nil"/>
                    <w:bottom w:val="single" w:sz="4" w:space="0" w:color="auto"/>
                    <w:right w:val="single" w:sz="4" w:space="0" w:color="auto"/>
                  </w:tcBorders>
                  <w:noWrap/>
                  <w:vAlign w:val="bottom"/>
                  <w:hideMark/>
                </w:tcPr>
                <w:p w14:paraId="1F73257F"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23</w:t>
                  </w:r>
                </w:p>
              </w:tc>
              <w:tc>
                <w:tcPr>
                  <w:tcW w:w="1350" w:type="dxa"/>
                  <w:tcBorders>
                    <w:top w:val="nil"/>
                    <w:left w:val="nil"/>
                    <w:bottom w:val="single" w:sz="4" w:space="0" w:color="auto"/>
                    <w:right w:val="single" w:sz="4" w:space="0" w:color="auto"/>
                  </w:tcBorders>
                  <w:noWrap/>
                  <w:vAlign w:val="bottom"/>
                  <w:hideMark/>
                </w:tcPr>
                <w:p w14:paraId="1F722B0B"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-$2,111.39</w:t>
                  </w:r>
                </w:p>
              </w:tc>
              <w:tc>
                <w:tcPr>
                  <w:tcW w:w="1170" w:type="dxa"/>
                  <w:tcBorders>
                    <w:top w:val="nil"/>
                    <w:left w:val="nil"/>
                    <w:bottom w:val="single" w:sz="4" w:space="0" w:color="auto"/>
                    <w:right w:val="single" w:sz="4" w:space="0" w:color="auto"/>
                  </w:tcBorders>
                  <w:noWrap/>
                  <w:vAlign w:val="bottom"/>
                  <w:hideMark/>
                </w:tcPr>
                <w:p w14:paraId="79E9F76B"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11</w:t>
                  </w:r>
                </w:p>
              </w:tc>
              <w:tc>
                <w:tcPr>
                  <w:tcW w:w="1440" w:type="dxa"/>
                  <w:tcBorders>
                    <w:top w:val="nil"/>
                    <w:left w:val="nil"/>
                    <w:bottom w:val="single" w:sz="4" w:space="0" w:color="auto"/>
                    <w:right w:val="single" w:sz="4" w:space="0" w:color="auto"/>
                  </w:tcBorders>
                  <w:noWrap/>
                  <w:vAlign w:val="bottom"/>
                  <w:hideMark/>
                </w:tcPr>
                <w:p w14:paraId="1FC5CD71"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-$748.45</w:t>
                  </w:r>
                </w:p>
              </w:tc>
            </w:tr>
            <w:tr w:rsidR="00B16675" w:rsidRPr="00EC52EE" w14:paraId="2C56BDAE" w14:textId="77777777" w:rsidTr="00022224">
              <w:trPr>
                <w:trHeight w:val="300"/>
              </w:trPr>
              <w:tc>
                <w:tcPr>
                  <w:tcW w:w="810" w:type="dxa"/>
                  <w:tcBorders>
                    <w:top w:val="nil"/>
                    <w:left w:val="single" w:sz="4" w:space="0" w:color="auto"/>
                    <w:bottom w:val="single" w:sz="4" w:space="0" w:color="auto"/>
                    <w:right w:val="single" w:sz="4" w:space="0" w:color="auto"/>
                  </w:tcBorders>
                  <w:noWrap/>
                  <w:vAlign w:val="bottom"/>
                  <w:hideMark/>
                </w:tcPr>
                <w:p w14:paraId="4B6C3B20"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2013</w:t>
                  </w:r>
                </w:p>
              </w:tc>
              <w:tc>
                <w:tcPr>
                  <w:tcW w:w="1170" w:type="dxa"/>
                  <w:gridSpan w:val="2"/>
                  <w:tcBorders>
                    <w:top w:val="nil"/>
                    <w:left w:val="nil"/>
                    <w:bottom w:val="single" w:sz="4" w:space="0" w:color="auto"/>
                    <w:right w:val="single" w:sz="4" w:space="0" w:color="auto"/>
                  </w:tcBorders>
                  <w:noWrap/>
                  <w:vAlign w:val="bottom"/>
                  <w:hideMark/>
                </w:tcPr>
                <w:p w14:paraId="12251153"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32</w:t>
                  </w:r>
                </w:p>
              </w:tc>
              <w:tc>
                <w:tcPr>
                  <w:tcW w:w="1350" w:type="dxa"/>
                  <w:tcBorders>
                    <w:top w:val="nil"/>
                    <w:left w:val="nil"/>
                    <w:bottom w:val="single" w:sz="4" w:space="0" w:color="auto"/>
                    <w:right w:val="single" w:sz="4" w:space="0" w:color="auto"/>
                  </w:tcBorders>
                  <w:noWrap/>
                  <w:vAlign w:val="bottom"/>
                  <w:hideMark/>
                </w:tcPr>
                <w:p w14:paraId="33164757"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-$949.02</w:t>
                  </w:r>
                </w:p>
              </w:tc>
              <w:tc>
                <w:tcPr>
                  <w:tcW w:w="1170" w:type="dxa"/>
                  <w:tcBorders>
                    <w:top w:val="nil"/>
                    <w:left w:val="nil"/>
                    <w:bottom w:val="single" w:sz="4" w:space="0" w:color="auto"/>
                    <w:right w:val="single" w:sz="4" w:space="0" w:color="auto"/>
                  </w:tcBorders>
                  <w:noWrap/>
                  <w:vAlign w:val="bottom"/>
                  <w:hideMark/>
                </w:tcPr>
                <w:p w14:paraId="78BB9232"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8</w:t>
                  </w:r>
                </w:p>
              </w:tc>
              <w:tc>
                <w:tcPr>
                  <w:tcW w:w="1440" w:type="dxa"/>
                  <w:tcBorders>
                    <w:top w:val="nil"/>
                    <w:left w:val="nil"/>
                    <w:bottom w:val="single" w:sz="4" w:space="0" w:color="auto"/>
                    <w:right w:val="single" w:sz="4" w:space="0" w:color="auto"/>
                  </w:tcBorders>
                  <w:noWrap/>
                  <w:vAlign w:val="bottom"/>
                  <w:hideMark/>
                </w:tcPr>
                <w:p w14:paraId="4EE46DD7"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-$50,663.79</w:t>
                  </w:r>
                </w:p>
              </w:tc>
            </w:tr>
            <w:tr w:rsidR="00B16675" w:rsidRPr="00EC52EE" w14:paraId="452C007E" w14:textId="77777777" w:rsidTr="00022224">
              <w:trPr>
                <w:trHeight w:val="300"/>
              </w:trPr>
              <w:tc>
                <w:tcPr>
                  <w:tcW w:w="810" w:type="dxa"/>
                  <w:tcBorders>
                    <w:top w:val="nil"/>
                    <w:left w:val="single" w:sz="4" w:space="0" w:color="auto"/>
                    <w:bottom w:val="single" w:sz="4" w:space="0" w:color="auto"/>
                    <w:right w:val="single" w:sz="4" w:space="0" w:color="auto"/>
                  </w:tcBorders>
                  <w:noWrap/>
                  <w:vAlign w:val="bottom"/>
                  <w:hideMark/>
                </w:tcPr>
                <w:p w14:paraId="16B77742" w14:textId="77777777" w:rsidR="00B16675" w:rsidRPr="00EC52EE" w:rsidRDefault="00B16675" w:rsidP="00A05C26">
                  <w:pPr>
                    <w:framePr w:hSpace="180" w:wrap="around" w:hAnchor="margin" w:y="-720"/>
                    <w:jc w:val="right"/>
                    <w:rPr>
                      <w:rFonts w:ascii="Times New Roman" w:eastAsia="Times New Roman" w:hAnsi="Times New Roman" w:cs="Times New Roman"/>
                      <w:color w:val="000000"/>
                      <w:szCs w:val="24"/>
                    </w:rPr>
                  </w:pPr>
                  <w:r w:rsidRPr="00EC52EE">
                    <w:rPr>
                      <w:rFonts w:ascii="Times New Roman" w:eastAsia="Times New Roman" w:hAnsi="Times New Roman" w:cs="Times New Roman"/>
                      <w:color w:val="000000"/>
                      <w:szCs w:val="24"/>
                    </w:rPr>
                    <w:t>2014</w:t>
                  </w:r>
                </w:p>
              </w:tc>
              <w:tc>
                <w:tcPr>
                  <w:tcW w:w="1170" w:type="dxa"/>
                  <w:gridSpan w:val="2"/>
                  <w:tcBorders>
                    <w:top w:val="nil"/>
                    <w:left w:val="nil"/>
                    <w:bottom w:val="single" w:sz="4" w:space="0" w:color="auto"/>
                    <w:right w:val="single" w:sz="4" w:space="0" w:color="auto"/>
                  </w:tcBorders>
                  <w:noWrap/>
                  <w:vAlign w:val="bottom"/>
                  <w:hideMark/>
                </w:tcPr>
                <w:p w14:paraId="1766D78D"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20</w:t>
                  </w:r>
                </w:p>
              </w:tc>
              <w:tc>
                <w:tcPr>
                  <w:tcW w:w="1350" w:type="dxa"/>
                  <w:tcBorders>
                    <w:top w:val="nil"/>
                    <w:left w:val="nil"/>
                    <w:bottom w:val="single" w:sz="4" w:space="0" w:color="auto"/>
                    <w:right w:val="single" w:sz="4" w:space="0" w:color="auto"/>
                  </w:tcBorders>
                  <w:noWrap/>
                  <w:vAlign w:val="bottom"/>
                  <w:hideMark/>
                </w:tcPr>
                <w:p w14:paraId="5F67F504" w14:textId="77777777" w:rsidR="00B16675" w:rsidRPr="000F244E" w:rsidRDefault="00B16675" w:rsidP="00A05C26">
                  <w:pPr>
                    <w:framePr w:hSpace="180" w:wrap="around" w:hAnchor="margin" w:y="-720"/>
                    <w:jc w:val="right"/>
                    <w:rPr>
                      <w:rFonts w:ascii="Times New Roman" w:eastAsia="Times New Roman" w:hAnsi="Times New Roman" w:cs="Times New Roman"/>
                      <w:color w:val="000000"/>
                      <w:szCs w:val="24"/>
                    </w:rPr>
                  </w:pPr>
                  <w:r w:rsidRPr="000F244E">
                    <w:rPr>
                      <w:rFonts w:ascii="Times New Roman" w:eastAsia="Times New Roman" w:hAnsi="Times New Roman" w:cs="Times New Roman"/>
                      <w:color w:val="000000"/>
                      <w:szCs w:val="24"/>
                    </w:rPr>
                    <w:t>-$2,450.49</w:t>
                  </w:r>
                </w:p>
              </w:tc>
              <w:tc>
                <w:tcPr>
                  <w:tcW w:w="1170" w:type="dxa"/>
                  <w:tcBorders>
                    <w:top w:val="nil"/>
                    <w:left w:val="nil"/>
                    <w:bottom w:val="single" w:sz="4" w:space="0" w:color="auto"/>
                    <w:right w:val="single" w:sz="4" w:space="0" w:color="auto"/>
                  </w:tcBorders>
                  <w:noWrap/>
                  <w:vAlign w:val="bottom"/>
                  <w:hideMark/>
                </w:tcPr>
                <w:p w14:paraId="322F8E85"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9</w:t>
                  </w:r>
                </w:p>
              </w:tc>
              <w:tc>
                <w:tcPr>
                  <w:tcW w:w="1440" w:type="dxa"/>
                  <w:tcBorders>
                    <w:top w:val="nil"/>
                    <w:left w:val="nil"/>
                    <w:bottom w:val="single" w:sz="4" w:space="0" w:color="auto"/>
                    <w:right w:val="single" w:sz="4" w:space="0" w:color="auto"/>
                  </w:tcBorders>
                  <w:noWrap/>
                  <w:vAlign w:val="bottom"/>
                  <w:hideMark/>
                </w:tcPr>
                <w:p w14:paraId="657B45A7" w14:textId="77777777" w:rsidR="00B16675" w:rsidRPr="00FB295C" w:rsidRDefault="00B16675" w:rsidP="00A05C26">
                  <w:pPr>
                    <w:framePr w:hSpace="180" w:wrap="around" w:hAnchor="margin" w:y="-720"/>
                    <w:jc w:val="right"/>
                    <w:rPr>
                      <w:rFonts w:ascii="Times New Roman" w:eastAsia="Times New Roman" w:hAnsi="Times New Roman" w:cs="Times New Roman"/>
                      <w:color w:val="000000"/>
                      <w:szCs w:val="24"/>
                    </w:rPr>
                  </w:pPr>
                  <w:r w:rsidRPr="00FB295C">
                    <w:rPr>
                      <w:rFonts w:ascii="Times New Roman" w:eastAsia="Times New Roman" w:hAnsi="Times New Roman" w:cs="Times New Roman"/>
                      <w:color w:val="000000"/>
                      <w:szCs w:val="24"/>
                    </w:rPr>
                    <w:t>-$6,683.62</w:t>
                  </w:r>
                </w:p>
              </w:tc>
            </w:tr>
          </w:tbl>
          <w:p w14:paraId="38108C6D" w14:textId="77777777" w:rsidR="00B16675" w:rsidRPr="00EC52EE" w:rsidRDefault="00B16675" w:rsidP="00B16675">
            <w:pPr>
              <w:rPr>
                <w:rFonts w:ascii="Times New Roman" w:eastAsia="Times New Roman" w:hAnsi="Times New Roman" w:cs="Times New Roman"/>
                <w:b/>
                <w:bCs/>
                <w:color w:val="000000"/>
                <w:sz w:val="16"/>
                <w:szCs w:val="16"/>
              </w:rPr>
            </w:pPr>
          </w:p>
        </w:tc>
        <w:tc>
          <w:tcPr>
            <w:tcW w:w="4248" w:type="dxa"/>
          </w:tcPr>
          <w:p w14:paraId="6DE81194" w14:textId="77777777" w:rsidR="00B16675" w:rsidRPr="00EC52EE" w:rsidRDefault="00B16675" w:rsidP="00B16675">
            <w:pPr>
              <w:rPr>
                <w:rFonts w:ascii="Times New Roman" w:hAnsi="Times New Roman" w:cs="Times New Roman"/>
                <w:sz w:val="24"/>
                <w:szCs w:val="24"/>
              </w:rPr>
            </w:pPr>
          </w:p>
        </w:tc>
      </w:tr>
      <w:tr w:rsidR="00B16675" w:rsidRPr="00EC52EE" w14:paraId="751F610D" w14:textId="77777777" w:rsidTr="002B46DD">
        <w:trPr>
          <w:cantSplit/>
          <w:trHeight w:val="980"/>
        </w:trPr>
        <w:tc>
          <w:tcPr>
            <w:tcW w:w="1705" w:type="dxa"/>
            <w:vMerge/>
          </w:tcPr>
          <w:p w14:paraId="751F60ED" w14:textId="389B2008" w:rsidR="00B16675" w:rsidRPr="00EC52EE" w:rsidRDefault="00B16675" w:rsidP="00B16675">
            <w:pPr>
              <w:rPr>
                <w:rFonts w:ascii="Times New Roman" w:hAnsi="Times New Roman" w:cs="Times New Roman"/>
                <w:b/>
                <w:sz w:val="24"/>
                <w:szCs w:val="24"/>
              </w:rPr>
            </w:pPr>
          </w:p>
        </w:tc>
        <w:tc>
          <w:tcPr>
            <w:tcW w:w="1530" w:type="dxa"/>
          </w:tcPr>
          <w:p w14:paraId="751F60EE" w14:textId="4529E52C" w:rsidR="00B16675" w:rsidRPr="00EC52EE" w:rsidRDefault="00035AB8" w:rsidP="00B16675">
            <w:pPr>
              <w:rPr>
                <w:rFonts w:ascii="Times New Roman" w:hAnsi="Times New Roman" w:cs="Times New Roman"/>
                <w:sz w:val="24"/>
                <w:szCs w:val="24"/>
              </w:rPr>
            </w:pPr>
            <w:proofErr w:type="spellStart"/>
            <w:r>
              <w:rPr>
                <w:rFonts w:ascii="Times New Roman" w:hAnsi="Times New Roman" w:cs="Times New Roman"/>
                <w:sz w:val="24"/>
                <w:szCs w:val="24"/>
              </w:rPr>
              <w:t>Avista</w:t>
            </w:r>
            <w:proofErr w:type="spellEnd"/>
          </w:p>
        </w:tc>
        <w:tc>
          <w:tcPr>
            <w:tcW w:w="7200" w:type="dxa"/>
          </w:tcPr>
          <w:tbl>
            <w:tblPr>
              <w:tblW w:w="6004" w:type="dxa"/>
              <w:tblInd w:w="738" w:type="dxa"/>
              <w:tblLayout w:type="fixed"/>
              <w:tblLook w:val="04A0" w:firstRow="1" w:lastRow="0" w:firstColumn="1" w:lastColumn="0" w:noHBand="0" w:noVBand="1"/>
            </w:tblPr>
            <w:tblGrid>
              <w:gridCol w:w="681"/>
              <w:gridCol w:w="1183"/>
              <w:gridCol w:w="1260"/>
              <w:gridCol w:w="1260"/>
              <w:gridCol w:w="1620"/>
            </w:tblGrid>
            <w:tr w:rsidR="00B16675" w:rsidRPr="00EC52EE" w14:paraId="6A20A6F9" w14:textId="77777777" w:rsidTr="008867DA">
              <w:trPr>
                <w:trHeight w:val="300"/>
              </w:trPr>
              <w:tc>
                <w:tcPr>
                  <w:tcW w:w="681" w:type="dxa"/>
                  <w:tcBorders>
                    <w:top w:val="single" w:sz="4" w:space="0" w:color="auto"/>
                    <w:left w:val="single" w:sz="4" w:space="0" w:color="auto"/>
                    <w:bottom w:val="single" w:sz="4" w:space="0" w:color="auto"/>
                    <w:right w:val="single" w:sz="4" w:space="0" w:color="auto"/>
                  </w:tcBorders>
                  <w:noWrap/>
                  <w:vAlign w:val="bottom"/>
                  <w:hideMark/>
                </w:tcPr>
                <w:p w14:paraId="1EE47FAB"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t>Year</w:t>
                  </w:r>
                </w:p>
              </w:tc>
              <w:tc>
                <w:tcPr>
                  <w:tcW w:w="2443" w:type="dxa"/>
                  <w:gridSpan w:val="2"/>
                  <w:tcBorders>
                    <w:top w:val="single" w:sz="4" w:space="0" w:color="auto"/>
                    <w:left w:val="nil"/>
                    <w:bottom w:val="single" w:sz="4" w:space="0" w:color="auto"/>
                    <w:right w:val="single" w:sz="4" w:space="0" w:color="auto"/>
                  </w:tcBorders>
                  <w:noWrap/>
                  <w:vAlign w:val="bottom"/>
                  <w:hideMark/>
                </w:tcPr>
                <w:p w14:paraId="3F027A0B"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t>Residential</w:t>
                  </w:r>
                </w:p>
              </w:tc>
              <w:tc>
                <w:tcPr>
                  <w:tcW w:w="2880" w:type="dxa"/>
                  <w:gridSpan w:val="2"/>
                  <w:tcBorders>
                    <w:top w:val="single" w:sz="4" w:space="0" w:color="auto"/>
                    <w:left w:val="nil"/>
                    <w:bottom w:val="single" w:sz="4" w:space="0" w:color="auto"/>
                    <w:right w:val="single" w:sz="4" w:space="0" w:color="auto"/>
                  </w:tcBorders>
                  <w:noWrap/>
                  <w:vAlign w:val="bottom"/>
                  <w:hideMark/>
                </w:tcPr>
                <w:p w14:paraId="5D10D74E"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t>Non Residential</w:t>
                  </w:r>
                </w:p>
              </w:tc>
            </w:tr>
            <w:tr w:rsidR="00B16675" w:rsidRPr="00EC52EE" w14:paraId="0401799A" w14:textId="77777777" w:rsidTr="008867DA">
              <w:trPr>
                <w:trHeight w:val="1070"/>
              </w:trPr>
              <w:tc>
                <w:tcPr>
                  <w:tcW w:w="681" w:type="dxa"/>
                  <w:tcBorders>
                    <w:top w:val="nil"/>
                    <w:left w:val="single" w:sz="4" w:space="0" w:color="auto"/>
                    <w:bottom w:val="single" w:sz="4" w:space="0" w:color="auto"/>
                    <w:right w:val="single" w:sz="4" w:space="0" w:color="auto"/>
                  </w:tcBorders>
                  <w:vAlign w:val="bottom"/>
                  <w:hideMark/>
                </w:tcPr>
                <w:p w14:paraId="01B27DEB" w14:textId="77777777" w:rsidR="00B16675" w:rsidRPr="00EC52EE" w:rsidRDefault="00B16675" w:rsidP="00A05C26">
                  <w:pPr>
                    <w:framePr w:hSpace="180" w:wrap="around" w:hAnchor="margin" w:y="-720"/>
                    <w:rPr>
                      <w:rFonts w:ascii="Times New Roman" w:eastAsia="Times New Roman" w:hAnsi="Times New Roman" w:cs="Times New Roman"/>
                      <w:color w:val="000000"/>
                      <w:sz w:val="16"/>
                      <w:szCs w:val="16"/>
                    </w:rPr>
                  </w:pPr>
                  <w:r w:rsidRPr="00EC52EE">
                    <w:rPr>
                      <w:rFonts w:ascii="Times New Roman" w:eastAsia="Times New Roman" w:hAnsi="Times New Roman" w:cs="Times New Roman"/>
                      <w:color w:val="000000"/>
                      <w:sz w:val="16"/>
                      <w:szCs w:val="16"/>
                    </w:rPr>
                    <w:t> </w:t>
                  </w:r>
                </w:p>
              </w:tc>
              <w:tc>
                <w:tcPr>
                  <w:tcW w:w="1183" w:type="dxa"/>
                  <w:tcBorders>
                    <w:top w:val="nil"/>
                    <w:left w:val="nil"/>
                    <w:bottom w:val="single" w:sz="4" w:space="0" w:color="auto"/>
                    <w:right w:val="single" w:sz="4" w:space="0" w:color="auto"/>
                  </w:tcBorders>
                  <w:hideMark/>
                </w:tcPr>
                <w:p w14:paraId="37956395"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t>Number of accounts issued refunds exceeding six months</w:t>
                  </w:r>
                </w:p>
              </w:tc>
              <w:tc>
                <w:tcPr>
                  <w:tcW w:w="1260" w:type="dxa"/>
                  <w:tcBorders>
                    <w:top w:val="nil"/>
                    <w:left w:val="nil"/>
                    <w:bottom w:val="single" w:sz="4" w:space="0" w:color="auto"/>
                    <w:right w:val="single" w:sz="4" w:space="0" w:color="auto"/>
                  </w:tcBorders>
                  <w:hideMark/>
                </w:tcPr>
                <w:p w14:paraId="791A2258"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t>Total amount of refunds in excess of six months*</w:t>
                  </w:r>
                </w:p>
              </w:tc>
              <w:tc>
                <w:tcPr>
                  <w:tcW w:w="1260" w:type="dxa"/>
                  <w:tcBorders>
                    <w:top w:val="nil"/>
                    <w:left w:val="nil"/>
                    <w:bottom w:val="single" w:sz="4" w:space="0" w:color="auto"/>
                    <w:right w:val="single" w:sz="4" w:space="0" w:color="auto"/>
                  </w:tcBorders>
                  <w:hideMark/>
                </w:tcPr>
                <w:p w14:paraId="7AA48B4B"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t>Number of accounts issued refunds exceeding six months</w:t>
                  </w:r>
                </w:p>
              </w:tc>
              <w:tc>
                <w:tcPr>
                  <w:tcW w:w="1620" w:type="dxa"/>
                  <w:tcBorders>
                    <w:top w:val="nil"/>
                    <w:left w:val="nil"/>
                    <w:bottom w:val="single" w:sz="4" w:space="0" w:color="auto"/>
                    <w:right w:val="single" w:sz="4" w:space="0" w:color="auto"/>
                  </w:tcBorders>
                  <w:hideMark/>
                </w:tcPr>
                <w:p w14:paraId="1580A9DE" w14:textId="77777777" w:rsidR="00B16675" w:rsidRPr="00EC52EE" w:rsidRDefault="00B16675" w:rsidP="00A05C26">
                  <w:pPr>
                    <w:framePr w:hSpace="180" w:wrap="around" w:hAnchor="margin" w:y="-720"/>
                    <w:jc w:val="center"/>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t>Total amount of refunds in excess of six months*</w:t>
                  </w:r>
                </w:p>
              </w:tc>
            </w:tr>
            <w:tr w:rsidR="00B16675" w:rsidRPr="00EC52EE" w14:paraId="400C5B37" w14:textId="77777777" w:rsidTr="008867DA">
              <w:trPr>
                <w:trHeight w:val="300"/>
              </w:trPr>
              <w:tc>
                <w:tcPr>
                  <w:tcW w:w="681" w:type="dxa"/>
                  <w:tcBorders>
                    <w:top w:val="nil"/>
                    <w:left w:val="single" w:sz="4" w:space="0" w:color="auto"/>
                    <w:bottom w:val="single" w:sz="4" w:space="0" w:color="auto"/>
                    <w:right w:val="single" w:sz="4" w:space="0" w:color="auto"/>
                  </w:tcBorders>
                  <w:noWrap/>
                  <w:vAlign w:val="bottom"/>
                  <w:hideMark/>
                </w:tcPr>
                <w:p w14:paraId="47A2B527" w14:textId="77777777" w:rsidR="00B16675" w:rsidRPr="00EC52EE" w:rsidRDefault="00B16675" w:rsidP="00A05C26">
                  <w:pPr>
                    <w:framePr w:hSpace="180" w:wrap="around" w:hAnchor="margin" w:y="-720"/>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t>2012</w:t>
                  </w:r>
                </w:p>
              </w:tc>
              <w:tc>
                <w:tcPr>
                  <w:tcW w:w="1183" w:type="dxa"/>
                  <w:tcBorders>
                    <w:top w:val="nil"/>
                    <w:left w:val="nil"/>
                    <w:bottom w:val="single" w:sz="4" w:space="0" w:color="auto"/>
                    <w:right w:val="single" w:sz="4" w:space="0" w:color="auto"/>
                  </w:tcBorders>
                  <w:noWrap/>
                  <w:vAlign w:val="bottom"/>
                  <w:hideMark/>
                </w:tcPr>
                <w:p w14:paraId="480C7973"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24</w:t>
                  </w:r>
                </w:p>
              </w:tc>
              <w:tc>
                <w:tcPr>
                  <w:tcW w:w="1260" w:type="dxa"/>
                  <w:tcBorders>
                    <w:top w:val="nil"/>
                    <w:left w:val="nil"/>
                    <w:bottom w:val="single" w:sz="4" w:space="0" w:color="auto"/>
                    <w:right w:val="single" w:sz="4" w:space="0" w:color="auto"/>
                  </w:tcBorders>
                  <w:noWrap/>
                  <w:vAlign w:val="bottom"/>
                  <w:hideMark/>
                </w:tcPr>
                <w:p w14:paraId="219C1A47"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($9,351)</w:t>
                  </w:r>
                </w:p>
              </w:tc>
              <w:tc>
                <w:tcPr>
                  <w:tcW w:w="1260" w:type="dxa"/>
                  <w:tcBorders>
                    <w:top w:val="nil"/>
                    <w:left w:val="nil"/>
                    <w:bottom w:val="single" w:sz="4" w:space="0" w:color="auto"/>
                    <w:right w:val="single" w:sz="4" w:space="0" w:color="auto"/>
                  </w:tcBorders>
                  <w:noWrap/>
                  <w:vAlign w:val="bottom"/>
                  <w:hideMark/>
                </w:tcPr>
                <w:p w14:paraId="7CA8E60A"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5</w:t>
                  </w:r>
                </w:p>
              </w:tc>
              <w:tc>
                <w:tcPr>
                  <w:tcW w:w="1620" w:type="dxa"/>
                  <w:tcBorders>
                    <w:top w:val="nil"/>
                    <w:left w:val="nil"/>
                    <w:bottom w:val="single" w:sz="4" w:space="0" w:color="auto"/>
                    <w:right w:val="single" w:sz="4" w:space="0" w:color="auto"/>
                  </w:tcBorders>
                  <w:noWrap/>
                  <w:vAlign w:val="bottom"/>
                  <w:hideMark/>
                </w:tcPr>
                <w:p w14:paraId="768DFC13"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($5,064)</w:t>
                  </w:r>
                </w:p>
              </w:tc>
            </w:tr>
            <w:tr w:rsidR="00B16675" w:rsidRPr="00EC52EE" w14:paraId="5BE90666" w14:textId="77777777" w:rsidTr="008867DA">
              <w:trPr>
                <w:trHeight w:val="300"/>
              </w:trPr>
              <w:tc>
                <w:tcPr>
                  <w:tcW w:w="681" w:type="dxa"/>
                  <w:tcBorders>
                    <w:top w:val="nil"/>
                    <w:left w:val="single" w:sz="4" w:space="0" w:color="auto"/>
                    <w:bottom w:val="single" w:sz="4" w:space="0" w:color="auto"/>
                    <w:right w:val="single" w:sz="4" w:space="0" w:color="auto"/>
                  </w:tcBorders>
                  <w:noWrap/>
                  <w:vAlign w:val="bottom"/>
                  <w:hideMark/>
                </w:tcPr>
                <w:p w14:paraId="35141FA1" w14:textId="77777777" w:rsidR="00B16675" w:rsidRPr="00EC52EE" w:rsidRDefault="00B16675" w:rsidP="00A05C26">
                  <w:pPr>
                    <w:framePr w:hSpace="180" w:wrap="around" w:hAnchor="margin" w:y="-720"/>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lastRenderedPageBreak/>
                    <w:t>2013</w:t>
                  </w:r>
                </w:p>
              </w:tc>
              <w:tc>
                <w:tcPr>
                  <w:tcW w:w="1183" w:type="dxa"/>
                  <w:tcBorders>
                    <w:top w:val="nil"/>
                    <w:left w:val="nil"/>
                    <w:bottom w:val="single" w:sz="4" w:space="0" w:color="auto"/>
                    <w:right w:val="single" w:sz="4" w:space="0" w:color="auto"/>
                  </w:tcBorders>
                  <w:noWrap/>
                  <w:vAlign w:val="bottom"/>
                  <w:hideMark/>
                </w:tcPr>
                <w:p w14:paraId="600E2460"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27</w:t>
                  </w:r>
                </w:p>
              </w:tc>
              <w:tc>
                <w:tcPr>
                  <w:tcW w:w="1260" w:type="dxa"/>
                  <w:tcBorders>
                    <w:top w:val="nil"/>
                    <w:left w:val="nil"/>
                    <w:bottom w:val="single" w:sz="4" w:space="0" w:color="auto"/>
                    <w:right w:val="single" w:sz="4" w:space="0" w:color="auto"/>
                  </w:tcBorders>
                  <w:noWrap/>
                  <w:vAlign w:val="bottom"/>
                  <w:hideMark/>
                </w:tcPr>
                <w:p w14:paraId="19965C41"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($7,171)</w:t>
                  </w:r>
                </w:p>
              </w:tc>
              <w:tc>
                <w:tcPr>
                  <w:tcW w:w="1260" w:type="dxa"/>
                  <w:tcBorders>
                    <w:top w:val="nil"/>
                    <w:left w:val="nil"/>
                    <w:bottom w:val="single" w:sz="4" w:space="0" w:color="auto"/>
                    <w:right w:val="single" w:sz="4" w:space="0" w:color="auto"/>
                  </w:tcBorders>
                  <w:noWrap/>
                  <w:vAlign w:val="bottom"/>
                  <w:hideMark/>
                </w:tcPr>
                <w:p w14:paraId="385DFA3D"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1</w:t>
                  </w:r>
                </w:p>
              </w:tc>
              <w:tc>
                <w:tcPr>
                  <w:tcW w:w="1620" w:type="dxa"/>
                  <w:tcBorders>
                    <w:top w:val="nil"/>
                    <w:left w:val="nil"/>
                    <w:bottom w:val="single" w:sz="4" w:space="0" w:color="auto"/>
                    <w:right w:val="single" w:sz="4" w:space="0" w:color="auto"/>
                  </w:tcBorders>
                  <w:noWrap/>
                  <w:vAlign w:val="bottom"/>
                  <w:hideMark/>
                </w:tcPr>
                <w:p w14:paraId="0855BAB9"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($3,444)</w:t>
                  </w:r>
                </w:p>
              </w:tc>
            </w:tr>
            <w:tr w:rsidR="00B16675" w:rsidRPr="00EC52EE" w14:paraId="3EC6673F" w14:textId="77777777" w:rsidTr="008867DA">
              <w:trPr>
                <w:trHeight w:val="300"/>
              </w:trPr>
              <w:tc>
                <w:tcPr>
                  <w:tcW w:w="681" w:type="dxa"/>
                  <w:tcBorders>
                    <w:top w:val="nil"/>
                    <w:left w:val="single" w:sz="4" w:space="0" w:color="auto"/>
                    <w:bottom w:val="single" w:sz="4" w:space="0" w:color="auto"/>
                    <w:right w:val="single" w:sz="4" w:space="0" w:color="auto"/>
                  </w:tcBorders>
                  <w:noWrap/>
                  <w:vAlign w:val="bottom"/>
                  <w:hideMark/>
                </w:tcPr>
                <w:p w14:paraId="15A763EE" w14:textId="77777777" w:rsidR="00B16675" w:rsidRPr="00EC52EE" w:rsidRDefault="00B16675" w:rsidP="00A05C26">
                  <w:pPr>
                    <w:framePr w:hSpace="180" w:wrap="around" w:hAnchor="margin" w:y="-720"/>
                    <w:rPr>
                      <w:rFonts w:ascii="Times New Roman" w:eastAsia="Times New Roman" w:hAnsi="Times New Roman" w:cs="Times New Roman"/>
                      <w:b/>
                      <w:bCs/>
                      <w:color w:val="000000"/>
                      <w:sz w:val="16"/>
                      <w:szCs w:val="16"/>
                    </w:rPr>
                  </w:pPr>
                  <w:r w:rsidRPr="00EC52EE">
                    <w:rPr>
                      <w:rFonts w:ascii="Times New Roman" w:eastAsia="Times New Roman" w:hAnsi="Times New Roman" w:cs="Times New Roman"/>
                      <w:b/>
                      <w:bCs/>
                      <w:color w:val="000000"/>
                      <w:sz w:val="16"/>
                      <w:szCs w:val="16"/>
                    </w:rPr>
                    <w:t>2014</w:t>
                  </w:r>
                </w:p>
              </w:tc>
              <w:tc>
                <w:tcPr>
                  <w:tcW w:w="1183" w:type="dxa"/>
                  <w:tcBorders>
                    <w:top w:val="nil"/>
                    <w:left w:val="nil"/>
                    <w:bottom w:val="single" w:sz="4" w:space="0" w:color="auto"/>
                    <w:right w:val="single" w:sz="4" w:space="0" w:color="auto"/>
                  </w:tcBorders>
                  <w:noWrap/>
                  <w:vAlign w:val="bottom"/>
                  <w:hideMark/>
                </w:tcPr>
                <w:p w14:paraId="51B15204"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62</w:t>
                  </w:r>
                </w:p>
              </w:tc>
              <w:tc>
                <w:tcPr>
                  <w:tcW w:w="1260" w:type="dxa"/>
                  <w:tcBorders>
                    <w:top w:val="nil"/>
                    <w:left w:val="nil"/>
                    <w:bottom w:val="single" w:sz="4" w:space="0" w:color="auto"/>
                    <w:right w:val="single" w:sz="4" w:space="0" w:color="auto"/>
                  </w:tcBorders>
                  <w:noWrap/>
                  <w:vAlign w:val="bottom"/>
                  <w:hideMark/>
                </w:tcPr>
                <w:p w14:paraId="1AA431E8"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($3,479)</w:t>
                  </w:r>
                </w:p>
              </w:tc>
              <w:tc>
                <w:tcPr>
                  <w:tcW w:w="1260" w:type="dxa"/>
                  <w:tcBorders>
                    <w:top w:val="nil"/>
                    <w:left w:val="nil"/>
                    <w:bottom w:val="single" w:sz="4" w:space="0" w:color="auto"/>
                    <w:right w:val="single" w:sz="4" w:space="0" w:color="auto"/>
                  </w:tcBorders>
                  <w:noWrap/>
                  <w:vAlign w:val="bottom"/>
                  <w:hideMark/>
                </w:tcPr>
                <w:p w14:paraId="281B4B94"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10</w:t>
                  </w:r>
                </w:p>
              </w:tc>
              <w:tc>
                <w:tcPr>
                  <w:tcW w:w="1620" w:type="dxa"/>
                  <w:tcBorders>
                    <w:top w:val="nil"/>
                    <w:left w:val="nil"/>
                    <w:bottom w:val="single" w:sz="4" w:space="0" w:color="auto"/>
                    <w:right w:val="single" w:sz="4" w:space="0" w:color="auto"/>
                  </w:tcBorders>
                  <w:noWrap/>
                  <w:vAlign w:val="bottom"/>
                  <w:hideMark/>
                </w:tcPr>
                <w:p w14:paraId="3A2F2C61" w14:textId="77777777" w:rsidR="00B16675" w:rsidRPr="00EC52EE" w:rsidRDefault="00B16675" w:rsidP="00A05C26">
                  <w:pPr>
                    <w:framePr w:hSpace="180" w:wrap="around" w:hAnchor="margin" w:y="-720"/>
                    <w:jc w:val="center"/>
                    <w:rPr>
                      <w:rFonts w:ascii="Times New Roman" w:eastAsia="Times New Roman" w:hAnsi="Times New Roman" w:cs="Times New Roman"/>
                      <w:sz w:val="16"/>
                      <w:szCs w:val="16"/>
                    </w:rPr>
                  </w:pPr>
                  <w:r w:rsidRPr="00EC52EE">
                    <w:rPr>
                      <w:rFonts w:ascii="Times New Roman" w:eastAsia="Times New Roman" w:hAnsi="Times New Roman" w:cs="Times New Roman"/>
                      <w:sz w:val="16"/>
                      <w:szCs w:val="16"/>
                    </w:rPr>
                    <w:t>($18,058)</w:t>
                  </w:r>
                </w:p>
              </w:tc>
            </w:tr>
          </w:tbl>
          <w:p w14:paraId="751F610B" w14:textId="77777777" w:rsidR="00B16675" w:rsidRPr="00EC52EE" w:rsidRDefault="00B16675" w:rsidP="00B16675">
            <w:pPr>
              <w:pStyle w:val="ListParagraph"/>
              <w:autoSpaceDE w:val="0"/>
              <w:autoSpaceDN w:val="0"/>
              <w:adjustRightInd w:val="0"/>
              <w:spacing w:after="56" w:line="240" w:lineRule="auto"/>
              <w:ind w:left="-18"/>
              <w:rPr>
                <w:rFonts w:ascii="Times New Roman" w:hAnsi="Times New Roman" w:cs="Times New Roman"/>
                <w:b/>
                <w:color w:val="000000"/>
                <w:szCs w:val="24"/>
              </w:rPr>
            </w:pPr>
          </w:p>
        </w:tc>
        <w:tc>
          <w:tcPr>
            <w:tcW w:w="4248" w:type="dxa"/>
            <w:vMerge w:val="restart"/>
          </w:tcPr>
          <w:p w14:paraId="751F610C" w14:textId="0BD72450" w:rsidR="00B16675" w:rsidRPr="00EC52EE" w:rsidRDefault="00B16675" w:rsidP="00B16675">
            <w:pPr>
              <w:rPr>
                <w:rFonts w:ascii="Times New Roman" w:hAnsi="Times New Roman" w:cs="Times New Roman"/>
                <w:sz w:val="24"/>
                <w:szCs w:val="24"/>
              </w:rPr>
            </w:pPr>
            <w:r w:rsidRPr="00EC52EE">
              <w:rPr>
                <w:rFonts w:ascii="Times New Roman" w:hAnsi="Times New Roman" w:cs="Times New Roman"/>
                <w:sz w:val="24"/>
                <w:szCs w:val="24"/>
              </w:rPr>
              <w:lastRenderedPageBreak/>
              <w:t xml:space="preserve">Staff acknowledges the additional information.  </w:t>
            </w:r>
          </w:p>
        </w:tc>
      </w:tr>
      <w:tr w:rsidR="00B16675" w:rsidRPr="00EC52EE" w14:paraId="751F612E" w14:textId="77777777" w:rsidTr="002B46DD">
        <w:trPr>
          <w:cantSplit/>
          <w:trHeight w:val="980"/>
        </w:trPr>
        <w:tc>
          <w:tcPr>
            <w:tcW w:w="1705" w:type="dxa"/>
            <w:vMerge/>
          </w:tcPr>
          <w:p w14:paraId="751F610E" w14:textId="77777777" w:rsidR="00B16675" w:rsidRPr="00EC52EE" w:rsidRDefault="00B16675" w:rsidP="00B16675">
            <w:pPr>
              <w:rPr>
                <w:rFonts w:ascii="Times New Roman" w:hAnsi="Times New Roman" w:cs="Times New Roman"/>
                <w:b/>
                <w:sz w:val="24"/>
                <w:szCs w:val="24"/>
              </w:rPr>
            </w:pPr>
          </w:p>
        </w:tc>
        <w:tc>
          <w:tcPr>
            <w:tcW w:w="1530" w:type="dxa"/>
          </w:tcPr>
          <w:p w14:paraId="751F610F" w14:textId="0349CE93" w:rsidR="00B16675" w:rsidRPr="00EC52EE" w:rsidRDefault="00035AB8" w:rsidP="00B16675">
            <w:pPr>
              <w:rPr>
                <w:rFonts w:ascii="Times New Roman" w:hAnsi="Times New Roman" w:cs="Times New Roman"/>
                <w:sz w:val="24"/>
                <w:szCs w:val="24"/>
              </w:rPr>
            </w:pPr>
            <w:r>
              <w:rPr>
                <w:rFonts w:ascii="Times New Roman" w:hAnsi="Times New Roman" w:cs="Times New Roman"/>
                <w:sz w:val="24"/>
                <w:szCs w:val="24"/>
              </w:rPr>
              <w:t>PSE</w:t>
            </w:r>
          </w:p>
        </w:tc>
        <w:tc>
          <w:tcPr>
            <w:tcW w:w="7200" w:type="dxa"/>
          </w:tcPr>
          <w:tbl>
            <w:tblPr>
              <w:tblW w:w="6559" w:type="dxa"/>
              <w:tblInd w:w="93" w:type="dxa"/>
              <w:tblLayout w:type="fixed"/>
              <w:tblLook w:val="04A0" w:firstRow="1" w:lastRow="0" w:firstColumn="1" w:lastColumn="0" w:noHBand="0" w:noVBand="1"/>
            </w:tblPr>
            <w:tblGrid>
              <w:gridCol w:w="799"/>
              <w:gridCol w:w="1196"/>
              <w:gridCol w:w="1234"/>
              <w:gridCol w:w="1620"/>
              <w:gridCol w:w="1710"/>
            </w:tblGrid>
            <w:tr w:rsidR="00B16675" w:rsidRPr="00EC52EE" w14:paraId="4F84AD3F" w14:textId="77777777" w:rsidTr="00722966">
              <w:trPr>
                <w:trHeight w:val="303"/>
              </w:trPr>
              <w:tc>
                <w:tcPr>
                  <w:tcW w:w="799" w:type="dxa"/>
                  <w:tcBorders>
                    <w:top w:val="single" w:sz="8" w:space="0" w:color="auto"/>
                    <w:left w:val="single" w:sz="8" w:space="0" w:color="auto"/>
                    <w:bottom w:val="single" w:sz="8" w:space="0" w:color="auto"/>
                    <w:right w:val="single" w:sz="8" w:space="0" w:color="auto"/>
                  </w:tcBorders>
                  <w:vAlign w:val="center"/>
                  <w:hideMark/>
                </w:tcPr>
                <w:p w14:paraId="5C73A5D7"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Year</w:t>
                  </w:r>
                </w:p>
              </w:tc>
              <w:tc>
                <w:tcPr>
                  <w:tcW w:w="2430" w:type="dxa"/>
                  <w:gridSpan w:val="2"/>
                  <w:tcBorders>
                    <w:top w:val="single" w:sz="8" w:space="0" w:color="auto"/>
                    <w:left w:val="nil"/>
                    <w:bottom w:val="single" w:sz="8" w:space="0" w:color="auto"/>
                    <w:right w:val="single" w:sz="8" w:space="0" w:color="000000"/>
                  </w:tcBorders>
                  <w:vAlign w:val="center"/>
                  <w:hideMark/>
                </w:tcPr>
                <w:p w14:paraId="5BAE0DA8"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Residential</w:t>
                  </w:r>
                </w:p>
              </w:tc>
              <w:tc>
                <w:tcPr>
                  <w:tcW w:w="3330" w:type="dxa"/>
                  <w:gridSpan w:val="2"/>
                  <w:tcBorders>
                    <w:top w:val="single" w:sz="8" w:space="0" w:color="auto"/>
                    <w:left w:val="nil"/>
                    <w:bottom w:val="single" w:sz="8" w:space="0" w:color="auto"/>
                    <w:right w:val="single" w:sz="8" w:space="0" w:color="000000"/>
                  </w:tcBorders>
                  <w:vAlign w:val="center"/>
                  <w:hideMark/>
                </w:tcPr>
                <w:p w14:paraId="3F4EDD18"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rPr>
                  </w:pPr>
                  <w:r w:rsidRPr="00FB295C">
                    <w:rPr>
                      <w:rFonts w:ascii="Times New Roman" w:hAnsi="Times New Roman" w:cs="Times New Roman"/>
                      <w:color w:val="000000"/>
                    </w:rPr>
                    <w:t>Non Residential</w:t>
                  </w:r>
                </w:p>
              </w:tc>
            </w:tr>
            <w:tr w:rsidR="00B16675" w:rsidRPr="00EC52EE" w14:paraId="58FD2BB5" w14:textId="77777777" w:rsidTr="00722966">
              <w:trPr>
                <w:trHeight w:val="2330"/>
              </w:trPr>
              <w:tc>
                <w:tcPr>
                  <w:tcW w:w="799" w:type="dxa"/>
                  <w:tcBorders>
                    <w:top w:val="nil"/>
                    <w:left w:val="single" w:sz="8" w:space="0" w:color="auto"/>
                    <w:bottom w:val="single" w:sz="8" w:space="0" w:color="auto"/>
                    <w:right w:val="single" w:sz="8" w:space="0" w:color="auto"/>
                  </w:tcBorders>
                  <w:vAlign w:val="center"/>
                  <w:hideMark/>
                </w:tcPr>
                <w:p w14:paraId="2FF72753"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 </w:t>
                  </w:r>
                </w:p>
              </w:tc>
              <w:tc>
                <w:tcPr>
                  <w:tcW w:w="1196" w:type="dxa"/>
                  <w:tcBorders>
                    <w:top w:val="nil"/>
                    <w:left w:val="nil"/>
                    <w:bottom w:val="single" w:sz="8" w:space="0" w:color="auto"/>
                    <w:right w:val="single" w:sz="8" w:space="0" w:color="auto"/>
                  </w:tcBorders>
                  <w:vAlign w:val="center"/>
                  <w:hideMark/>
                </w:tcPr>
                <w:p w14:paraId="37AC6209"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Number of accounts issued refunds exceeding six months</w:t>
                  </w:r>
                </w:p>
              </w:tc>
              <w:tc>
                <w:tcPr>
                  <w:tcW w:w="1234" w:type="dxa"/>
                  <w:tcBorders>
                    <w:top w:val="nil"/>
                    <w:left w:val="nil"/>
                    <w:bottom w:val="single" w:sz="8" w:space="0" w:color="auto"/>
                    <w:right w:val="single" w:sz="8" w:space="0" w:color="auto"/>
                  </w:tcBorders>
                  <w:vAlign w:val="center"/>
                  <w:hideMark/>
                </w:tcPr>
                <w:p w14:paraId="6B39C6AA"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Total amount of refunds  in excess of six months</w:t>
                  </w:r>
                </w:p>
              </w:tc>
              <w:tc>
                <w:tcPr>
                  <w:tcW w:w="1620" w:type="dxa"/>
                  <w:tcBorders>
                    <w:top w:val="nil"/>
                    <w:left w:val="nil"/>
                    <w:bottom w:val="single" w:sz="8" w:space="0" w:color="auto"/>
                    <w:right w:val="single" w:sz="8" w:space="0" w:color="auto"/>
                  </w:tcBorders>
                  <w:vAlign w:val="center"/>
                  <w:hideMark/>
                </w:tcPr>
                <w:p w14:paraId="228747F8"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Number of accounts issued refunds exceeding six months</w:t>
                  </w:r>
                </w:p>
              </w:tc>
              <w:tc>
                <w:tcPr>
                  <w:tcW w:w="1710" w:type="dxa"/>
                  <w:tcBorders>
                    <w:top w:val="nil"/>
                    <w:left w:val="nil"/>
                    <w:bottom w:val="single" w:sz="8" w:space="0" w:color="auto"/>
                    <w:right w:val="single" w:sz="8" w:space="0" w:color="auto"/>
                  </w:tcBorders>
                  <w:vAlign w:val="center"/>
                  <w:hideMark/>
                </w:tcPr>
                <w:p w14:paraId="3AE0B143" w14:textId="77777777" w:rsidR="00B16675" w:rsidRPr="00FB295C" w:rsidRDefault="00B16675" w:rsidP="00A05C26">
                  <w:pPr>
                    <w:framePr w:hSpace="180" w:wrap="around" w:hAnchor="margin" w:y="-720"/>
                    <w:spacing w:line="276" w:lineRule="auto"/>
                    <w:rPr>
                      <w:rFonts w:ascii="Times New Roman" w:hAnsi="Times New Roman" w:cs="Times New Roman"/>
                      <w:color w:val="000000"/>
                    </w:rPr>
                  </w:pPr>
                  <w:r w:rsidRPr="00FB295C">
                    <w:rPr>
                      <w:rFonts w:ascii="Times New Roman" w:hAnsi="Times New Roman" w:cs="Times New Roman"/>
                      <w:color w:val="000000"/>
                    </w:rPr>
                    <w:t>Total amount of refunds exceeding six months</w:t>
                  </w:r>
                </w:p>
              </w:tc>
            </w:tr>
            <w:tr w:rsidR="00B16675" w:rsidRPr="00EC52EE" w14:paraId="307D6A77" w14:textId="77777777" w:rsidTr="00722966">
              <w:trPr>
                <w:trHeight w:val="303"/>
              </w:trPr>
              <w:tc>
                <w:tcPr>
                  <w:tcW w:w="799" w:type="dxa"/>
                  <w:tcBorders>
                    <w:top w:val="nil"/>
                    <w:left w:val="single" w:sz="8" w:space="0" w:color="auto"/>
                    <w:bottom w:val="single" w:sz="8" w:space="0" w:color="auto"/>
                    <w:right w:val="single" w:sz="8" w:space="0" w:color="auto"/>
                  </w:tcBorders>
                  <w:vAlign w:val="center"/>
                  <w:hideMark/>
                </w:tcPr>
                <w:p w14:paraId="0382ACD4"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2012</w:t>
                  </w:r>
                </w:p>
              </w:tc>
              <w:tc>
                <w:tcPr>
                  <w:tcW w:w="1196" w:type="dxa"/>
                  <w:tcBorders>
                    <w:top w:val="nil"/>
                    <w:left w:val="nil"/>
                    <w:bottom w:val="single" w:sz="8" w:space="0" w:color="auto"/>
                    <w:right w:val="single" w:sz="8" w:space="0" w:color="auto"/>
                  </w:tcBorders>
                  <w:vAlign w:val="center"/>
                  <w:hideMark/>
                </w:tcPr>
                <w:p w14:paraId="472CEDF9"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13</w:t>
                  </w:r>
                </w:p>
              </w:tc>
              <w:tc>
                <w:tcPr>
                  <w:tcW w:w="1234" w:type="dxa"/>
                  <w:tcBorders>
                    <w:top w:val="nil"/>
                    <w:left w:val="nil"/>
                    <w:bottom w:val="single" w:sz="8" w:space="0" w:color="auto"/>
                    <w:right w:val="single" w:sz="8" w:space="0" w:color="auto"/>
                  </w:tcBorders>
                  <w:vAlign w:val="center"/>
                  <w:hideMark/>
                </w:tcPr>
                <w:p w14:paraId="21B242B3"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-$3,226</w:t>
                  </w:r>
                </w:p>
              </w:tc>
              <w:tc>
                <w:tcPr>
                  <w:tcW w:w="1620" w:type="dxa"/>
                  <w:tcBorders>
                    <w:top w:val="nil"/>
                    <w:left w:val="nil"/>
                    <w:bottom w:val="single" w:sz="8" w:space="0" w:color="auto"/>
                    <w:right w:val="single" w:sz="8" w:space="0" w:color="auto"/>
                  </w:tcBorders>
                  <w:vAlign w:val="center"/>
                  <w:hideMark/>
                </w:tcPr>
                <w:p w14:paraId="4EB58D51"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3</w:t>
                  </w:r>
                </w:p>
              </w:tc>
              <w:tc>
                <w:tcPr>
                  <w:tcW w:w="1710" w:type="dxa"/>
                  <w:tcBorders>
                    <w:top w:val="nil"/>
                    <w:left w:val="nil"/>
                    <w:bottom w:val="single" w:sz="8" w:space="0" w:color="auto"/>
                    <w:right w:val="single" w:sz="8" w:space="0" w:color="auto"/>
                  </w:tcBorders>
                  <w:vAlign w:val="center"/>
                  <w:hideMark/>
                </w:tcPr>
                <w:p w14:paraId="25FB306C"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-$7,242</w:t>
                  </w:r>
                </w:p>
              </w:tc>
            </w:tr>
            <w:tr w:rsidR="00B16675" w:rsidRPr="00EC52EE" w14:paraId="2483ECFC" w14:textId="77777777" w:rsidTr="00722966">
              <w:trPr>
                <w:trHeight w:val="303"/>
              </w:trPr>
              <w:tc>
                <w:tcPr>
                  <w:tcW w:w="799" w:type="dxa"/>
                  <w:tcBorders>
                    <w:top w:val="nil"/>
                    <w:left w:val="single" w:sz="8" w:space="0" w:color="auto"/>
                    <w:bottom w:val="single" w:sz="8" w:space="0" w:color="auto"/>
                    <w:right w:val="single" w:sz="8" w:space="0" w:color="auto"/>
                  </w:tcBorders>
                  <w:vAlign w:val="center"/>
                  <w:hideMark/>
                </w:tcPr>
                <w:p w14:paraId="566A18CB"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2013</w:t>
                  </w:r>
                </w:p>
              </w:tc>
              <w:tc>
                <w:tcPr>
                  <w:tcW w:w="1196" w:type="dxa"/>
                  <w:tcBorders>
                    <w:top w:val="nil"/>
                    <w:left w:val="nil"/>
                    <w:bottom w:val="single" w:sz="8" w:space="0" w:color="auto"/>
                    <w:right w:val="single" w:sz="8" w:space="0" w:color="auto"/>
                  </w:tcBorders>
                  <w:vAlign w:val="center"/>
                  <w:hideMark/>
                </w:tcPr>
                <w:p w14:paraId="3F45FB1D"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30</w:t>
                  </w:r>
                </w:p>
              </w:tc>
              <w:tc>
                <w:tcPr>
                  <w:tcW w:w="1234" w:type="dxa"/>
                  <w:tcBorders>
                    <w:top w:val="nil"/>
                    <w:left w:val="nil"/>
                    <w:bottom w:val="single" w:sz="8" w:space="0" w:color="auto"/>
                    <w:right w:val="single" w:sz="8" w:space="0" w:color="auto"/>
                  </w:tcBorders>
                  <w:vAlign w:val="center"/>
                  <w:hideMark/>
                </w:tcPr>
                <w:p w14:paraId="7ABF596E"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-$5,363</w:t>
                  </w:r>
                </w:p>
              </w:tc>
              <w:tc>
                <w:tcPr>
                  <w:tcW w:w="1620" w:type="dxa"/>
                  <w:tcBorders>
                    <w:top w:val="nil"/>
                    <w:left w:val="nil"/>
                    <w:bottom w:val="single" w:sz="8" w:space="0" w:color="auto"/>
                    <w:right w:val="single" w:sz="8" w:space="0" w:color="auto"/>
                  </w:tcBorders>
                  <w:vAlign w:val="center"/>
                  <w:hideMark/>
                </w:tcPr>
                <w:p w14:paraId="19D6BF42"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1</w:t>
                  </w:r>
                </w:p>
              </w:tc>
              <w:tc>
                <w:tcPr>
                  <w:tcW w:w="1710" w:type="dxa"/>
                  <w:tcBorders>
                    <w:top w:val="nil"/>
                    <w:left w:val="nil"/>
                    <w:bottom w:val="single" w:sz="8" w:space="0" w:color="auto"/>
                    <w:right w:val="single" w:sz="8" w:space="0" w:color="auto"/>
                  </w:tcBorders>
                  <w:vAlign w:val="center"/>
                  <w:hideMark/>
                </w:tcPr>
                <w:p w14:paraId="5E7408D6"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-$4,481</w:t>
                  </w:r>
                </w:p>
              </w:tc>
            </w:tr>
            <w:tr w:rsidR="00B16675" w:rsidRPr="00EC52EE" w14:paraId="7D7F363B" w14:textId="77777777" w:rsidTr="00722966">
              <w:trPr>
                <w:trHeight w:val="303"/>
              </w:trPr>
              <w:tc>
                <w:tcPr>
                  <w:tcW w:w="799" w:type="dxa"/>
                  <w:tcBorders>
                    <w:top w:val="nil"/>
                    <w:left w:val="single" w:sz="8" w:space="0" w:color="auto"/>
                    <w:bottom w:val="single" w:sz="8" w:space="0" w:color="auto"/>
                    <w:right w:val="single" w:sz="8" w:space="0" w:color="auto"/>
                  </w:tcBorders>
                  <w:vAlign w:val="center"/>
                  <w:hideMark/>
                </w:tcPr>
                <w:p w14:paraId="742740F5"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2014</w:t>
                  </w:r>
                </w:p>
              </w:tc>
              <w:tc>
                <w:tcPr>
                  <w:tcW w:w="1196" w:type="dxa"/>
                  <w:tcBorders>
                    <w:top w:val="nil"/>
                    <w:left w:val="nil"/>
                    <w:bottom w:val="single" w:sz="8" w:space="0" w:color="auto"/>
                    <w:right w:val="single" w:sz="8" w:space="0" w:color="auto"/>
                  </w:tcBorders>
                  <w:vAlign w:val="center"/>
                  <w:hideMark/>
                </w:tcPr>
                <w:p w14:paraId="20F3E6CD"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33</w:t>
                  </w:r>
                </w:p>
              </w:tc>
              <w:tc>
                <w:tcPr>
                  <w:tcW w:w="1234" w:type="dxa"/>
                  <w:tcBorders>
                    <w:top w:val="nil"/>
                    <w:left w:val="nil"/>
                    <w:bottom w:val="single" w:sz="8" w:space="0" w:color="auto"/>
                    <w:right w:val="single" w:sz="8" w:space="0" w:color="auto"/>
                  </w:tcBorders>
                  <w:vAlign w:val="center"/>
                  <w:hideMark/>
                </w:tcPr>
                <w:p w14:paraId="47E9FA3F"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-$1,861</w:t>
                  </w:r>
                </w:p>
              </w:tc>
              <w:tc>
                <w:tcPr>
                  <w:tcW w:w="1620" w:type="dxa"/>
                  <w:tcBorders>
                    <w:top w:val="nil"/>
                    <w:left w:val="nil"/>
                    <w:bottom w:val="single" w:sz="8" w:space="0" w:color="auto"/>
                    <w:right w:val="single" w:sz="8" w:space="0" w:color="auto"/>
                  </w:tcBorders>
                  <w:vAlign w:val="center"/>
                  <w:hideMark/>
                </w:tcPr>
                <w:p w14:paraId="7632306E"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13</w:t>
                  </w:r>
                </w:p>
              </w:tc>
              <w:tc>
                <w:tcPr>
                  <w:tcW w:w="1710" w:type="dxa"/>
                  <w:tcBorders>
                    <w:top w:val="nil"/>
                    <w:left w:val="nil"/>
                    <w:bottom w:val="single" w:sz="8" w:space="0" w:color="auto"/>
                    <w:right w:val="single" w:sz="8" w:space="0" w:color="auto"/>
                  </w:tcBorders>
                  <w:vAlign w:val="center"/>
                  <w:hideMark/>
                </w:tcPr>
                <w:p w14:paraId="7E78DB3A" w14:textId="77777777" w:rsidR="00B16675" w:rsidRPr="00FB295C" w:rsidRDefault="00B16675" w:rsidP="00A05C26">
                  <w:pPr>
                    <w:framePr w:hSpace="180" w:wrap="around" w:hAnchor="margin" w:y="-720"/>
                    <w:spacing w:line="276" w:lineRule="auto"/>
                    <w:jc w:val="right"/>
                    <w:rPr>
                      <w:rFonts w:ascii="Times New Roman" w:hAnsi="Times New Roman" w:cs="Times New Roman"/>
                      <w:color w:val="000000"/>
                    </w:rPr>
                  </w:pPr>
                  <w:r w:rsidRPr="00FB295C">
                    <w:rPr>
                      <w:rFonts w:ascii="Times New Roman" w:hAnsi="Times New Roman" w:cs="Times New Roman"/>
                      <w:color w:val="000000"/>
                    </w:rPr>
                    <w:t>-$4,704</w:t>
                  </w:r>
                </w:p>
              </w:tc>
            </w:tr>
          </w:tbl>
          <w:p w14:paraId="751F612C" w14:textId="77777777" w:rsidR="00B16675" w:rsidRPr="00FB295C" w:rsidRDefault="00B16675" w:rsidP="00B16675">
            <w:pPr>
              <w:rPr>
                <w:rFonts w:ascii="Times New Roman" w:hAnsi="Times New Roman" w:cs="Times New Roman"/>
              </w:rPr>
            </w:pPr>
          </w:p>
        </w:tc>
        <w:tc>
          <w:tcPr>
            <w:tcW w:w="4248" w:type="dxa"/>
            <w:vMerge/>
          </w:tcPr>
          <w:p w14:paraId="751F612D" w14:textId="77777777" w:rsidR="00B16675" w:rsidRPr="00EC52EE" w:rsidRDefault="00B16675" w:rsidP="00B16675">
            <w:pPr>
              <w:rPr>
                <w:rFonts w:ascii="Times New Roman" w:hAnsi="Times New Roman" w:cs="Times New Roman"/>
                <w:sz w:val="24"/>
                <w:szCs w:val="24"/>
              </w:rPr>
            </w:pPr>
          </w:p>
        </w:tc>
      </w:tr>
      <w:tr w:rsidR="00B16675" w:rsidRPr="00EC52EE" w14:paraId="751F614F" w14:textId="77777777" w:rsidTr="002B46DD">
        <w:trPr>
          <w:cantSplit/>
          <w:trHeight w:val="980"/>
        </w:trPr>
        <w:tc>
          <w:tcPr>
            <w:tcW w:w="1705" w:type="dxa"/>
            <w:vMerge/>
          </w:tcPr>
          <w:p w14:paraId="751F612F" w14:textId="77777777" w:rsidR="00B16675" w:rsidRPr="00EC52EE" w:rsidRDefault="00B16675" w:rsidP="00B16675">
            <w:pPr>
              <w:rPr>
                <w:rFonts w:ascii="Times New Roman" w:hAnsi="Times New Roman" w:cs="Times New Roman"/>
                <w:b/>
                <w:sz w:val="24"/>
                <w:szCs w:val="24"/>
              </w:rPr>
            </w:pPr>
          </w:p>
        </w:tc>
        <w:tc>
          <w:tcPr>
            <w:tcW w:w="1530" w:type="dxa"/>
          </w:tcPr>
          <w:p w14:paraId="751F6130" w14:textId="4F53246A" w:rsidR="00B16675" w:rsidRPr="00EC52EE" w:rsidRDefault="00035AB8" w:rsidP="00B16675">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tbl>
            <w:tblPr>
              <w:tblW w:w="6645" w:type="dxa"/>
              <w:tblLayout w:type="fixed"/>
              <w:tblCellMar>
                <w:left w:w="0" w:type="dxa"/>
                <w:right w:w="0" w:type="dxa"/>
              </w:tblCellMar>
              <w:tblLook w:val="04A0" w:firstRow="1" w:lastRow="0" w:firstColumn="1" w:lastColumn="0" w:noHBand="0" w:noVBand="1"/>
            </w:tblPr>
            <w:tblGrid>
              <w:gridCol w:w="631"/>
              <w:gridCol w:w="1154"/>
              <w:gridCol w:w="1944"/>
              <w:gridCol w:w="1182"/>
              <w:gridCol w:w="1734"/>
            </w:tblGrid>
            <w:tr w:rsidR="00B16675" w:rsidRPr="00EC52EE" w14:paraId="7D35F07E" w14:textId="77777777" w:rsidTr="002B46DD">
              <w:trPr>
                <w:trHeight w:val="300"/>
              </w:trPr>
              <w:tc>
                <w:tcPr>
                  <w:tcW w:w="63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14506082"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Year</w:t>
                  </w:r>
                </w:p>
              </w:tc>
              <w:tc>
                <w:tcPr>
                  <w:tcW w:w="30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93246E"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Residential</w:t>
                  </w:r>
                </w:p>
              </w:tc>
              <w:tc>
                <w:tcPr>
                  <w:tcW w:w="29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E97B8F"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Non Residential</w:t>
                  </w:r>
                </w:p>
              </w:tc>
            </w:tr>
            <w:tr w:rsidR="00B16675" w:rsidRPr="00EC52EE" w14:paraId="1800E3BD" w14:textId="77777777" w:rsidTr="002B46DD">
              <w:trPr>
                <w:trHeight w:val="900"/>
              </w:trPr>
              <w:tc>
                <w:tcPr>
                  <w:tcW w:w="63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1957FFEC"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001B4CF"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of accounts with corrected bill exceeding 6 months</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14:paraId="3C824C41"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Total amount of refunds in excess of 6 months</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14:paraId="6DB43865"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of accounts with corrected bill exceeding 6 months</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35E47247" w14:textId="77777777" w:rsidR="00B16675" w:rsidRPr="00FB295C" w:rsidRDefault="00B16675" w:rsidP="00A05C26">
                  <w:pPr>
                    <w:framePr w:hSpace="180" w:wrap="around" w:hAnchor="margin" w:y="-720"/>
                    <w:spacing w:line="276" w:lineRule="auto"/>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Total amount of refunds in excess of 6 months</w:t>
                  </w:r>
                </w:p>
              </w:tc>
            </w:tr>
            <w:tr w:rsidR="00B16675" w:rsidRPr="00EC52EE" w14:paraId="20A2F921" w14:textId="77777777" w:rsidTr="002B46DD">
              <w:trPr>
                <w:trHeight w:val="300"/>
              </w:trPr>
              <w:tc>
                <w:tcPr>
                  <w:tcW w:w="63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752D8A3F"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2012</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F1D82C1"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1</w:t>
                  </w:r>
                </w:p>
              </w:tc>
              <w:tc>
                <w:tcPr>
                  <w:tcW w:w="1944" w:type="dxa"/>
                  <w:tcBorders>
                    <w:top w:val="nil"/>
                    <w:left w:val="nil"/>
                    <w:bottom w:val="single" w:sz="8" w:space="0" w:color="auto"/>
                    <w:right w:val="single" w:sz="8" w:space="0" w:color="auto"/>
                  </w:tcBorders>
                  <w:noWrap/>
                  <w:tcMar>
                    <w:top w:w="0" w:type="dxa"/>
                    <w:left w:w="108" w:type="dxa"/>
                    <w:bottom w:w="0" w:type="dxa"/>
                    <w:right w:w="108" w:type="dxa"/>
                  </w:tcMar>
                  <w:hideMark/>
                </w:tcPr>
                <w:p w14:paraId="5A2E074B" w14:textId="6DF94BD6"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62</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14:paraId="32DAB8B7"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3</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0BED109C" w14:textId="6AF94E5F"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181</w:t>
                  </w:r>
                </w:p>
              </w:tc>
            </w:tr>
            <w:tr w:rsidR="00B16675" w:rsidRPr="00EC52EE" w14:paraId="238A5B35" w14:textId="77777777" w:rsidTr="002B46DD">
              <w:trPr>
                <w:trHeight w:val="300"/>
              </w:trPr>
              <w:tc>
                <w:tcPr>
                  <w:tcW w:w="631" w:type="dxa"/>
                  <w:tcBorders>
                    <w:top w:val="nil"/>
                    <w:left w:val="single" w:sz="12" w:space="0" w:color="auto"/>
                    <w:bottom w:val="single" w:sz="8" w:space="0" w:color="auto"/>
                    <w:right w:val="single" w:sz="8" w:space="0" w:color="auto"/>
                  </w:tcBorders>
                  <w:noWrap/>
                  <w:tcMar>
                    <w:top w:w="0" w:type="dxa"/>
                    <w:left w:w="108" w:type="dxa"/>
                    <w:bottom w:w="0" w:type="dxa"/>
                    <w:right w:w="108" w:type="dxa"/>
                  </w:tcMar>
                  <w:hideMark/>
                </w:tcPr>
                <w:p w14:paraId="273C3344"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2013</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B878E18"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8</w:t>
                  </w:r>
                </w:p>
              </w:tc>
              <w:tc>
                <w:tcPr>
                  <w:tcW w:w="1944" w:type="dxa"/>
                  <w:tcBorders>
                    <w:top w:val="nil"/>
                    <w:left w:val="nil"/>
                    <w:bottom w:val="single" w:sz="8" w:space="0" w:color="auto"/>
                    <w:right w:val="single" w:sz="8" w:space="0" w:color="auto"/>
                  </w:tcBorders>
                  <w:noWrap/>
                  <w:tcMar>
                    <w:top w:w="0" w:type="dxa"/>
                    <w:left w:w="108" w:type="dxa"/>
                    <w:bottom w:w="0" w:type="dxa"/>
                    <w:right w:w="108" w:type="dxa"/>
                  </w:tcMar>
                  <w:hideMark/>
                </w:tcPr>
                <w:p w14:paraId="2A63191E" w14:textId="39CB0FD0"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287</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14:paraId="36C76B0A"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3</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1B6241FE" w14:textId="1494373F"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326</w:t>
                  </w:r>
                </w:p>
              </w:tc>
            </w:tr>
            <w:tr w:rsidR="00B16675" w:rsidRPr="00EC52EE" w14:paraId="1F42A338" w14:textId="77777777" w:rsidTr="002B46DD">
              <w:trPr>
                <w:trHeight w:val="315"/>
              </w:trPr>
              <w:tc>
                <w:tcPr>
                  <w:tcW w:w="631" w:type="dxa"/>
                  <w:tcBorders>
                    <w:top w:val="nil"/>
                    <w:left w:val="single" w:sz="12" w:space="0" w:color="auto"/>
                    <w:bottom w:val="single" w:sz="12" w:space="0" w:color="auto"/>
                    <w:right w:val="single" w:sz="8" w:space="0" w:color="auto"/>
                  </w:tcBorders>
                  <w:noWrap/>
                  <w:tcMar>
                    <w:top w:w="0" w:type="dxa"/>
                    <w:left w:w="108" w:type="dxa"/>
                    <w:bottom w:w="0" w:type="dxa"/>
                    <w:right w:w="108" w:type="dxa"/>
                  </w:tcMar>
                  <w:hideMark/>
                </w:tcPr>
                <w:p w14:paraId="0DD9C0FF"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2014</w:t>
                  </w:r>
                </w:p>
              </w:tc>
              <w:tc>
                <w:tcPr>
                  <w:tcW w:w="1154" w:type="dxa"/>
                  <w:tcBorders>
                    <w:top w:val="nil"/>
                    <w:left w:val="nil"/>
                    <w:bottom w:val="single" w:sz="12" w:space="0" w:color="auto"/>
                    <w:right w:val="single" w:sz="8" w:space="0" w:color="auto"/>
                  </w:tcBorders>
                  <w:tcMar>
                    <w:top w:w="0" w:type="dxa"/>
                    <w:left w:w="108" w:type="dxa"/>
                    <w:bottom w:w="0" w:type="dxa"/>
                    <w:right w:w="108" w:type="dxa"/>
                  </w:tcMar>
                  <w:hideMark/>
                </w:tcPr>
                <w:p w14:paraId="75CDA7B6"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6</w:t>
                  </w:r>
                </w:p>
              </w:tc>
              <w:tc>
                <w:tcPr>
                  <w:tcW w:w="1944" w:type="dxa"/>
                  <w:tcBorders>
                    <w:top w:val="nil"/>
                    <w:left w:val="nil"/>
                    <w:bottom w:val="single" w:sz="12" w:space="0" w:color="auto"/>
                    <w:right w:val="single" w:sz="8" w:space="0" w:color="auto"/>
                  </w:tcBorders>
                  <w:noWrap/>
                  <w:tcMar>
                    <w:top w:w="0" w:type="dxa"/>
                    <w:left w:w="108" w:type="dxa"/>
                    <w:bottom w:w="0" w:type="dxa"/>
                    <w:right w:w="108" w:type="dxa"/>
                  </w:tcMar>
                  <w:hideMark/>
                </w:tcPr>
                <w:p w14:paraId="6DA7F058" w14:textId="20792309"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231</w:t>
                  </w:r>
                </w:p>
              </w:tc>
              <w:tc>
                <w:tcPr>
                  <w:tcW w:w="1182" w:type="dxa"/>
                  <w:tcBorders>
                    <w:top w:val="nil"/>
                    <w:left w:val="nil"/>
                    <w:bottom w:val="single" w:sz="12" w:space="0" w:color="auto"/>
                    <w:right w:val="single" w:sz="8" w:space="0" w:color="auto"/>
                  </w:tcBorders>
                  <w:tcMar>
                    <w:top w:w="0" w:type="dxa"/>
                    <w:left w:w="108" w:type="dxa"/>
                    <w:bottom w:w="0" w:type="dxa"/>
                    <w:right w:w="108" w:type="dxa"/>
                  </w:tcMar>
                  <w:hideMark/>
                </w:tcPr>
                <w:p w14:paraId="5EBC4A4A" w14:textId="77777777"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4</w:t>
                  </w:r>
                </w:p>
              </w:tc>
              <w:tc>
                <w:tcPr>
                  <w:tcW w:w="1734" w:type="dxa"/>
                  <w:tcBorders>
                    <w:top w:val="nil"/>
                    <w:left w:val="nil"/>
                    <w:bottom w:val="single" w:sz="12" w:space="0" w:color="auto"/>
                    <w:right w:val="single" w:sz="8" w:space="0" w:color="auto"/>
                  </w:tcBorders>
                  <w:tcMar>
                    <w:top w:w="0" w:type="dxa"/>
                    <w:left w:w="108" w:type="dxa"/>
                    <w:bottom w:w="0" w:type="dxa"/>
                    <w:right w:w="108" w:type="dxa"/>
                  </w:tcMar>
                  <w:hideMark/>
                </w:tcPr>
                <w:p w14:paraId="787AEF7E" w14:textId="568A3D71" w:rsidR="00B16675" w:rsidRPr="00FB295C" w:rsidRDefault="00B16675" w:rsidP="00A05C26">
                  <w:pPr>
                    <w:framePr w:hSpace="180" w:wrap="around" w:hAnchor="margin" w:y="-720"/>
                    <w:spacing w:line="276" w:lineRule="auto"/>
                    <w:jc w:val="center"/>
                    <w:rPr>
                      <w:rFonts w:ascii="Times New Roman" w:hAnsi="Times New Roman" w:cs="Times New Roman"/>
                      <w:color w:val="000000"/>
                      <w:sz w:val="20"/>
                      <w:lang w:eastAsia="zh-CN"/>
                    </w:rPr>
                  </w:pPr>
                  <w:r w:rsidRPr="00FB295C">
                    <w:rPr>
                      <w:rFonts w:ascii="Times New Roman" w:hAnsi="Times New Roman" w:cs="Times New Roman"/>
                      <w:color w:val="000000"/>
                      <w:sz w:val="20"/>
                      <w:lang w:eastAsia="zh-CN"/>
                    </w:rPr>
                    <w:t>$                      501</w:t>
                  </w:r>
                </w:p>
              </w:tc>
            </w:tr>
          </w:tbl>
          <w:p w14:paraId="751F614D" w14:textId="77777777" w:rsidR="00B16675" w:rsidRPr="00EC52EE" w:rsidRDefault="00B16675" w:rsidP="00B16675">
            <w:pPr>
              <w:rPr>
                <w:rFonts w:ascii="Times New Roman" w:eastAsia="Times New Roman" w:hAnsi="Times New Roman" w:cs="Times New Roman"/>
                <w:b/>
                <w:bCs/>
                <w:color w:val="000000"/>
                <w:sz w:val="16"/>
                <w:szCs w:val="16"/>
              </w:rPr>
            </w:pPr>
          </w:p>
        </w:tc>
        <w:tc>
          <w:tcPr>
            <w:tcW w:w="4248" w:type="dxa"/>
            <w:vMerge/>
          </w:tcPr>
          <w:p w14:paraId="751F614E" w14:textId="77777777" w:rsidR="00B16675" w:rsidRPr="00EC52EE" w:rsidRDefault="00B16675" w:rsidP="00B16675">
            <w:pPr>
              <w:rPr>
                <w:rFonts w:ascii="Times New Roman" w:hAnsi="Times New Roman" w:cs="Times New Roman"/>
                <w:sz w:val="24"/>
                <w:szCs w:val="24"/>
              </w:rPr>
            </w:pPr>
          </w:p>
        </w:tc>
      </w:tr>
      <w:tr w:rsidR="00B16675" w:rsidRPr="00EC52EE" w14:paraId="751F6170" w14:textId="77777777" w:rsidTr="002B46DD">
        <w:trPr>
          <w:cantSplit/>
          <w:trHeight w:val="980"/>
        </w:trPr>
        <w:tc>
          <w:tcPr>
            <w:tcW w:w="1705" w:type="dxa"/>
            <w:vMerge/>
          </w:tcPr>
          <w:p w14:paraId="751F6150" w14:textId="77777777" w:rsidR="00B16675" w:rsidRPr="00EC52EE" w:rsidRDefault="00B16675" w:rsidP="00B16675">
            <w:pPr>
              <w:rPr>
                <w:rFonts w:ascii="Times New Roman" w:hAnsi="Times New Roman" w:cs="Times New Roman"/>
                <w:b/>
                <w:sz w:val="24"/>
                <w:szCs w:val="24"/>
              </w:rPr>
            </w:pPr>
          </w:p>
        </w:tc>
        <w:tc>
          <w:tcPr>
            <w:tcW w:w="1530" w:type="dxa"/>
          </w:tcPr>
          <w:p w14:paraId="751F6151" w14:textId="57B6DC54" w:rsidR="00B16675" w:rsidRPr="00EC52EE" w:rsidRDefault="00035AB8" w:rsidP="00B16675">
            <w:pPr>
              <w:rPr>
                <w:rFonts w:ascii="Times New Roman" w:hAnsi="Times New Roman" w:cs="Times New Roman"/>
                <w:sz w:val="24"/>
                <w:szCs w:val="24"/>
              </w:rPr>
            </w:pPr>
            <w:proofErr w:type="spellStart"/>
            <w:r>
              <w:rPr>
                <w:rFonts w:ascii="Times New Roman" w:hAnsi="Times New Roman" w:cs="Times New Roman"/>
                <w:sz w:val="24"/>
                <w:szCs w:val="24"/>
              </w:rPr>
              <w:t>CNGC</w:t>
            </w:r>
            <w:proofErr w:type="spellEnd"/>
          </w:p>
        </w:tc>
        <w:tc>
          <w:tcPr>
            <w:tcW w:w="7200" w:type="dxa"/>
          </w:tcPr>
          <w:p w14:paraId="751F616E" w14:textId="5A7C6B4A" w:rsidR="00B16675" w:rsidRPr="00FB295C" w:rsidRDefault="00B16675" w:rsidP="00B16675">
            <w:pPr>
              <w:spacing w:line="276" w:lineRule="auto"/>
              <w:rPr>
                <w:rFonts w:ascii="Times New Roman" w:hAnsi="Times New Roman" w:cs="Times New Roman"/>
                <w:color w:val="000000"/>
              </w:rPr>
            </w:pPr>
            <w:r w:rsidRPr="00EC52EE">
              <w:rPr>
                <w:rFonts w:ascii="Times New Roman" w:hAnsi="Times New Roman" w:cs="Times New Roman"/>
                <w:color w:val="000000"/>
                <w:sz w:val="24"/>
                <w:szCs w:val="24"/>
                <w:lang w:eastAsia="zh-CN"/>
              </w:rPr>
              <w:t>Because the company does not track over-billed reads with a unique field order type, the company does not have a system record of the number of occurrences, the reason for the occurrences, or the results of the investigations for such billing anomalies.</w:t>
            </w:r>
          </w:p>
        </w:tc>
        <w:tc>
          <w:tcPr>
            <w:tcW w:w="4248" w:type="dxa"/>
            <w:vMerge/>
          </w:tcPr>
          <w:p w14:paraId="751F616F" w14:textId="77777777" w:rsidR="00B16675" w:rsidRPr="00EC52EE" w:rsidRDefault="00B16675" w:rsidP="00B16675">
            <w:pPr>
              <w:rPr>
                <w:rFonts w:ascii="Times New Roman" w:hAnsi="Times New Roman" w:cs="Times New Roman"/>
                <w:sz w:val="24"/>
                <w:szCs w:val="24"/>
              </w:rPr>
            </w:pPr>
          </w:p>
        </w:tc>
      </w:tr>
      <w:tr w:rsidR="0032553B" w:rsidRPr="00EC52EE" w14:paraId="4A5A7947" w14:textId="77777777" w:rsidTr="002B46DD">
        <w:trPr>
          <w:cantSplit/>
          <w:trHeight w:val="980"/>
        </w:trPr>
        <w:tc>
          <w:tcPr>
            <w:tcW w:w="1705" w:type="dxa"/>
            <w:vMerge w:val="restart"/>
          </w:tcPr>
          <w:p w14:paraId="375D0A0C" w14:textId="627AD0FC" w:rsidR="0032553B" w:rsidRPr="00EC52EE" w:rsidRDefault="0032553B" w:rsidP="00B16675">
            <w:pPr>
              <w:rPr>
                <w:rFonts w:ascii="Times New Roman" w:hAnsi="Times New Roman" w:cs="Times New Roman"/>
                <w:b/>
                <w:sz w:val="24"/>
                <w:szCs w:val="24"/>
              </w:rPr>
            </w:pPr>
            <w:r w:rsidRPr="00EC52EE">
              <w:rPr>
                <w:rFonts w:ascii="Times New Roman" w:hAnsi="Times New Roman" w:cs="Times New Roman"/>
                <w:b/>
                <w:sz w:val="24"/>
                <w:szCs w:val="24"/>
              </w:rPr>
              <w:lastRenderedPageBreak/>
              <w:t xml:space="preserve">Response to staff question 5: Please describe all current procedures </w:t>
            </w:r>
            <w:proofErr w:type="gramStart"/>
            <w:r w:rsidRPr="00EC52EE">
              <w:rPr>
                <w:rFonts w:ascii="Times New Roman" w:hAnsi="Times New Roman" w:cs="Times New Roman"/>
                <w:b/>
                <w:sz w:val="24"/>
                <w:szCs w:val="24"/>
              </w:rPr>
              <w:t>in  place</w:t>
            </w:r>
            <w:proofErr w:type="gramEnd"/>
            <w:r w:rsidRPr="00EC52EE">
              <w:rPr>
                <w:rFonts w:ascii="Times New Roman" w:hAnsi="Times New Roman" w:cs="Times New Roman"/>
                <w:b/>
                <w:sz w:val="24"/>
                <w:szCs w:val="24"/>
              </w:rPr>
              <w:t xml:space="preserve"> to prevent and identify billing errors resulting from: incorrect prorated bills; mislabeled meter bases; incorrectly installed meters, incorrect billing rate schedules; or incorrect billing multipliers.</w:t>
            </w:r>
          </w:p>
        </w:tc>
        <w:tc>
          <w:tcPr>
            <w:tcW w:w="1530" w:type="dxa"/>
          </w:tcPr>
          <w:p w14:paraId="07572F53" w14:textId="5CCD190D" w:rsidR="0032553B" w:rsidRPr="00EC52EE" w:rsidRDefault="0032553B" w:rsidP="00B16675">
            <w:pPr>
              <w:rPr>
                <w:rFonts w:ascii="Times New Roman" w:hAnsi="Times New Roman" w:cs="Times New Roman"/>
                <w:sz w:val="24"/>
                <w:szCs w:val="24"/>
              </w:rPr>
            </w:pPr>
            <w:proofErr w:type="spellStart"/>
            <w:r>
              <w:rPr>
                <w:rFonts w:ascii="Times New Roman" w:hAnsi="Times New Roman" w:cs="Times New Roman"/>
                <w:sz w:val="24"/>
                <w:szCs w:val="24"/>
              </w:rPr>
              <w:t>PPL</w:t>
            </w:r>
            <w:proofErr w:type="spellEnd"/>
          </w:p>
        </w:tc>
        <w:tc>
          <w:tcPr>
            <w:tcW w:w="7200" w:type="dxa"/>
          </w:tcPr>
          <w:p w14:paraId="4346FD5C" w14:textId="77777777" w:rsidR="0032553B" w:rsidRPr="00EC52EE" w:rsidRDefault="0032553B" w:rsidP="00B16675">
            <w:pPr>
              <w:ind w:left="360"/>
              <w:rPr>
                <w:rFonts w:ascii="Times New Roman" w:hAnsi="Times New Roman" w:cs="Times New Roman"/>
                <w:sz w:val="24"/>
                <w:szCs w:val="24"/>
                <w:u w:val="single"/>
              </w:rPr>
            </w:pPr>
            <w:r w:rsidRPr="00EC52EE">
              <w:rPr>
                <w:rFonts w:ascii="Times New Roman" w:hAnsi="Times New Roman" w:cs="Times New Roman"/>
                <w:sz w:val="24"/>
                <w:szCs w:val="24"/>
                <w:u w:val="single"/>
              </w:rPr>
              <w:t>Identifying and Preventing Billing Errors</w:t>
            </w:r>
          </w:p>
          <w:p w14:paraId="15729302" w14:textId="77777777" w:rsidR="0032553B" w:rsidRPr="00EC52EE" w:rsidRDefault="0032553B" w:rsidP="00B16675">
            <w:pPr>
              <w:ind w:left="360"/>
              <w:rPr>
                <w:rFonts w:ascii="Times New Roman" w:hAnsi="Times New Roman" w:cs="Times New Roman"/>
                <w:sz w:val="24"/>
                <w:szCs w:val="24"/>
              </w:rPr>
            </w:pPr>
          </w:p>
          <w:p w14:paraId="677E6C5F" w14:textId="77777777" w:rsidR="0032553B" w:rsidRPr="00EC52EE" w:rsidRDefault="0032553B" w:rsidP="00B16675">
            <w:pPr>
              <w:ind w:left="360"/>
              <w:rPr>
                <w:rFonts w:ascii="Times New Roman" w:hAnsi="Times New Roman" w:cs="Times New Roman"/>
                <w:sz w:val="24"/>
                <w:szCs w:val="24"/>
              </w:rPr>
            </w:pPr>
            <w:r w:rsidRPr="00EC52EE">
              <w:rPr>
                <w:rFonts w:ascii="Times New Roman" w:hAnsi="Times New Roman" w:cs="Times New Roman"/>
                <w:sz w:val="24"/>
                <w:szCs w:val="24"/>
              </w:rPr>
              <w:t>The Company has several automated and manual processes that analyze billing and metering information to help prevent billing errors.  Several of these processes are described below.</w:t>
            </w:r>
          </w:p>
          <w:p w14:paraId="78105EA3" w14:textId="77777777" w:rsidR="0032553B" w:rsidRPr="00EC52EE" w:rsidRDefault="0032553B" w:rsidP="00B16675">
            <w:pPr>
              <w:ind w:left="360"/>
              <w:rPr>
                <w:rFonts w:ascii="Times New Roman" w:hAnsi="Times New Roman" w:cs="Times New Roman"/>
                <w:sz w:val="24"/>
                <w:szCs w:val="24"/>
              </w:rPr>
            </w:pPr>
          </w:p>
          <w:p w14:paraId="270B8329" w14:textId="77777777" w:rsidR="0032553B" w:rsidRPr="00EC52EE" w:rsidRDefault="0032553B" w:rsidP="00B16675">
            <w:pPr>
              <w:ind w:left="1080"/>
              <w:rPr>
                <w:rFonts w:ascii="Times New Roman" w:hAnsi="Times New Roman" w:cs="Times New Roman"/>
                <w:b/>
                <w:sz w:val="24"/>
                <w:szCs w:val="24"/>
              </w:rPr>
            </w:pPr>
            <w:r w:rsidRPr="00EC52EE">
              <w:rPr>
                <w:rFonts w:ascii="Times New Roman" w:hAnsi="Times New Roman" w:cs="Times New Roman"/>
                <w:b/>
                <w:sz w:val="24"/>
                <w:szCs w:val="24"/>
              </w:rPr>
              <w:t>Suspends Process</w:t>
            </w:r>
          </w:p>
          <w:p w14:paraId="7FB37DC1" w14:textId="77777777" w:rsidR="0032553B" w:rsidRPr="00EC52EE" w:rsidRDefault="0032553B" w:rsidP="00B16675">
            <w:pPr>
              <w:ind w:left="1080"/>
              <w:rPr>
                <w:rFonts w:ascii="Times New Roman" w:hAnsi="Times New Roman" w:cs="Times New Roman"/>
                <w:sz w:val="24"/>
                <w:szCs w:val="24"/>
              </w:rPr>
            </w:pPr>
            <w:r w:rsidRPr="00EC52EE">
              <w:rPr>
                <w:rFonts w:ascii="Times New Roman" w:hAnsi="Times New Roman" w:cs="Times New Roman"/>
                <w:sz w:val="24"/>
                <w:szCs w:val="24"/>
              </w:rPr>
              <w:t xml:space="preserve">The Company’s automated “suspends process” assists in identifying many potential billing errors including, but not limited to, misread meters, rate schedule errors, meter register inconsistencies and meter failures.  There are currently over 50 different types of automated billing suspends that require a billing agent complete an electronic review of the bill prior to the statement being sent to the customer.  Suspends may result in re-reads, meter site visits/exchanges or a telephone call to the customer to gather/clarify information before the statement is sent. </w:t>
            </w:r>
          </w:p>
          <w:p w14:paraId="23EC485B" w14:textId="77777777" w:rsidR="0032553B" w:rsidRPr="00EC52EE" w:rsidRDefault="0032553B" w:rsidP="00B16675">
            <w:pPr>
              <w:ind w:left="1080"/>
              <w:rPr>
                <w:rFonts w:ascii="Times New Roman" w:hAnsi="Times New Roman" w:cs="Times New Roman"/>
                <w:sz w:val="24"/>
                <w:szCs w:val="24"/>
              </w:rPr>
            </w:pPr>
          </w:p>
          <w:p w14:paraId="3AA08C9F" w14:textId="77777777" w:rsidR="0032553B" w:rsidRPr="00EC52EE" w:rsidRDefault="0032553B" w:rsidP="00B16675">
            <w:pPr>
              <w:ind w:left="1080"/>
              <w:rPr>
                <w:rFonts w:ascii="Times New Roman" w:hAnsi="Times New Roman" w:cs="Times New Roman"/>
                <w:b/>
                <w:sz w:val="24"/>
                <w:szCs w:val="24"/>
              </w:rPr>
            </w:pPr>
            <w:r w:rsidRPr="00EC52EE">
              <w:rPr>
                <w:rFonts w:ascii="Times New Roman" w:hAnsi="Times New Roman" w:cs="Times New Roman"/>
                <w:b/>
                <w:sz w:val="24"/>
                <w:szCs w:val="24"/>
              </w:rPr>
              <w:t>System Edits</w:t>
            </w:r>
          </w:p>
          <w:p w14:paraId="3C3F8721" w14:textId="77777777" w:rsidR="0032553B" w:rsidRPr="00EC52EE" w:rsidRDefault="0032553B" w:rsidP="00B16675">
            <w:pPr>
              <w:ind w:left="1080"/>
              <w:rPr>
                <w:rFonts w:ascii="Times New Roman" w:hAnsi="Times New Roman" w:cs="Times New Roman"/>
                <w:sz w:val="24"/>
                <w:szCs w:val="24"/>
              </w:rPr>
            </w:pPr>
            <w:r w:rsidRPr="00EC52EE">
              <w:rPr>
                <w:rFonts w:ascii="Times New Roman" w:hAnsi="Times New Roman" w:cs="Times New Roman"/>
                <w:sz w:val="24"/>
                <w:szCs w:val="24"/>
              </w:rPr>
              <w:t xml:space="preserve">The Company’s billing system has a number of built-in system edits that prevent incorrect meter installations based on the specific meter type being installed, including phase, billing multiplier, current/voltage transformer ratios, service profile, meter asset status, communication type, etc.  These edits prevent errors from occurring during the initial setup and exchange of meters in the system. </w:t>
            </w:r>
          </w:p>
          <w:p w14:paraId="6C2FCEE2" w14:textId="77777777" w:rsidR="0032553B" w:rsidRPr="00EC52EE" w:rsidRDefault="0032553B" w:rsidP="00B16675">
            <w:pPr>
              <w:ind w:left="360"/>
              <w:rPr>
                <w:rFonts w:ascii="Times New Roman" w:hAnsi="Times New Roman" w:cs="Times New Roman"/>
                <w:sz w:val="24"/>
                <w:szCs w:val="24"/>
              </w:rPr>
            </w:pPr>
          </w:p>
          <w:p w14:paraId="0120A266" w14:textId="77777777" w:rsidR="0032553B" w:rsidRPr="00EC52EE" w:rsidRDefault="0032553B" w:rsidP="00B16675">
            <w:pPr>
              <w:ind w:left="1080"/>
              <w:rPr>
                <w:rFonts w:ascii="Times New Roman" w:hAnsi="Times New Roman" w:cs="Times New Roman"/>
                <w:b/>
                <w:sz w:val="24"/>
                <w:szCs w:val="24"/>
              </w:rPr>
            </w:pPr>
            <w:r w:rsidRPr="00EC52EE">
              <w:rPr>
                <w:rFonts w:ascii="Times New Roman" w:hAnsi="Times New Roman" w:cs="Times New Roman"/>
                <w:b/>
                <w:sz w:val="24"/>
                <w:szCs w:val="24"/>
              </w:rPr>
              <w:t>Verify Service Information (</w:t>
            </w:r>
            <w:proofErr w:type="spellStart"/>
            <w:r w:rsidRPr="00EC52EE">
              <w:rPr>
                <w:rFonts w:ascii="Times New Roman" w:hAnsi="Times New Roman" w:cs="Times New Roman"/>
                <w:b/>
                <w:sz w:val="24"/>
                <w:szCs w:val="24"/>
              </w:rPr>
              <w:t>VSI</w:t>
            </w:r>
            <w:proofErr w:type="spellEnd"/>
            <w:r w:rsidRPr="00EC52EE">
              <w:rPr>
                <w:rFonts w:ascii="Times New Roman" w:hAnsi="Times New Roman" w:cs="Times New Roman"/>
                <w:b/>
                <w:sz w:val="24"/>
                <w:szCs w:val="24"/>
              </w:rPr>
              <w:t xml:space="preserve">) Process </w:t>
            </w:r>
          </w:p>
          <w:p w14:paraId="5C02E4EA" w14:textId="77777777" w:rsidR="0032553B" w:rsidRPr="00EC52EE" w:rsidRDefault="0032553B" w:rsidP="00B16675">
            <w:pPr>
              <w:ind w:left="1080"/>
              <w:rPr>
                <w:rFonts w:ascii="Times New Roman" w:hAnsi="Times New Roman" w:cs="Times New Roman"/>
                <w:sz w:val="24"/>
                <w:szCs w:val="24"/>
              </w:rPr>
            </w:pPr>
            <w:r w:rsidRPr="00EC52EE">
              <w:rPr>
                <w:rFonts w:ascii="Times New Roman" w:hAnsi="Times New Roman" w:cs="Times New Roman"/>
                <w:sz w:val="24"/>
                <w:szCs w:val="24"/>
              </w:rPr>
              <w:t>When an instrument-rated metering installation is initially installed, rewired, tested or a meter is exchanged, a verification service information (</w:t>
            </w:r>
            <w:proofErr w:type="spellStart"/>
            <w:r w:rsidRPr="00EC52EE">
              <w:rPr>
                <w:rFonts w:ascii="Times New Roman" w:hAnsi="Times New Roman" w:cs="Times New Roman"/>
                <w:sz w:val="24"/>
                <w:szCs w:val="24"/>
              </w:rPr>
              <w:t>VSI</w:t>
            </w:r>
            <w:proofErr w:type="spellEnd"/>
            <w:r w:rsidRPr="00EC52EE">
              <w:rPr>
                <w:rFonts w:ascii="Times New Roman" w:hAnsi="Times New Roman" w:cs="Times New Roman"/>
                <w:sz w:val="24"/>
                <w:szCs w:val="24"/>
              </w:rPr>
              <w:t xml:space="preserve">) procedure is followed to ensure billing errors are avoided.  The </w:t>
            </w:r>
            <w:proofErr w:type="spellStart"/>
            <w:r w:rsidRPr="00EC52EE">
              <w:rPr>
                <w:rFonts w:ascii="Times New Roman" w:hAnsi="Times New Roman" w:cs="Times New Roman"/>
                <w:sz w:val="24"/>
                <w:szCs w:val="24"/>
              </w:rPr>
              <w:t>VSI</w:t>
            </w:r>
            <w:proofErr w:type="spellEnd"/>
            <w:r w:rsidRPr="00EC52EE">
              <w:rPr>
                <w:rFonts w:ascii="Times New Roman" w:hAnsi="Times New Roman" w:cs="Times New Roman"/>
                <w:sz w:val="24"/>
                <w:szCs w:val="24"/>
              </w:rPr>
              <w:t xml:space="preserve"> process includes a full inspection of the installation, a review of </w:t>
            </w:r>
            <w:r w:rsidRPr="00EC52EE">
              <w:rPr>
                <w:rFonts w:ascii="Times New Roman" w:hAnsi="Times New Roman" w:cs="Times New Roman"/>
                <w:sz w:val="24"/>
                <w:szCs w:val="24"/>
              </w:rPr>
              <w:lastRenderedPageBreak/>
              <w:t xml:space="preserve">billing determinants, meter characteristics and voltage/current testing. </w:t>
            </w:r>
          </w:p>
          <w:p w14:paraId="7614D83F" w14:textId="77777777" w:rsidR="0032553B" w:rsidRPr="00EC52EE" w:rsidRDefault="0032553B" w:rsidP="00B16675">
            <w:pPr>
              <w:ind w:left="1080"/>
              <w:rPr>
                <w:rFonts w:ascii="Times New Roman" w:hAnsi="Times New Roman" w:cs="Times New Roman"/>
                <w:sz w:val="24"/>
                <w:szCs w:val="24"/>
              </w:rPr>
            </w:pPr>
          </w:p>
          <w:p w14:paraId="18B8DC21" w14:textId="77777777" w:rsidR="0032553B" w:rsidRPr="00EC52EE" w:rsidRDefault="0032553B" w:rsidP="00B16675">
            <w:pPr>
              <w:ind w:left="1080"/>
              <w:rPr>
                <w:rFonts w:ascii="Times New Roman" w:hAnsi="Times New Roman" w:cs="Times New Roman"/>
                <w:b/>
                <w:sz w:val="24"/>
                <w:szCs w:val="24"/>
              </w:rPr>
            </w:pPr>
            <w:r w:rsidRPr="00EC52EE">
              <w:rPr>
                <w:rFonts w:ascii="Times New Roman" w:hAnsi="Times New Roman" w:cs="Times New Roman"/>
                <w:b/>
                <w:sz w:val="24"/>
                <w:szCs w:val="24"/>
              </w:rPr>
              <w:t>Validation One-Line Team (VOLT) Process (Installations Over 1 MW)</w:t>
            </w:r>
          </w:p>
          <w:p w14:paraId="06E19F8E" w14:textId="77777777" w:rsidR="0032553B" w:rsidRPr="00EC52EE" w:rsidRDefault="0032553B" w:rsidP="00B16675">
            <w:pPr>
              <w:ind w:left="1080"/>
              <w:rPr>
                <w:rFonts w:ascii="Times New Roman" w:hAnsi="Times New Roman" w:cs="Times New Roman"/>
                <w:sz w:val="24"/>
                <w:szCs w:val="24"/>
              </w:rPr>
            </w:pPr>
            <w:r w:rsidRPr="00EC52EE">
              <w:rPr>
                <w:rFonts w:ascii="Times New Roman" w:hAnsi="Times New Roman" w:cs="Times New Roman"/>
                <w:sz w:val="24"/>
                <w:szCs w:val="24"/>
              </w:rPr>
              <w:t xml:space="preserve">The Company follows a VOLT procedure that tracks the installation of any single meter measuring over 1 MW of load.  The VOLT process is a cross-functional team audit with participants from the meter engineering, billing, account management and contract groups.  The VOLT audit is performed prior to the first statement being sent to the customer to prevent any errors in the initial setup of an account.  This procedure may also be implemented whenever significant changes occur at the site.  </w:t>
            </w:r>
          </w:p>
          <w:p w14:paraId="18B2BB97" w14:textId="77777777" w:rsidR="0032553B" w:rsidRPr="00EC52EE" w:rsidRDefault="0032553B" w:rsidP="00B16675">
            <w:pPr>
              <w:ind w:left="1080"/>
              <w:rPr>
                <w:rFonts w:ascii="Times New Roman" w:hAnsi="Times New Roman" w:cs="Times New Roman"/>
                <w:sz w:val="24"/>
                <w:szCs w:val="24"/>
              </w:rPr>
            </w:pPr>
          </w:p>
          <w:p w14:paraId="1BD361C1" w14:textId="77777777" w:rsidR="0032553B" w:rsidRPr="00EC52EE" w:rsidRDefault="0032553B" w:rsidP="00B16675">
            <w:pPr>
              <w:ind w:left="1080"/>
              <w:rPr>
                <w:rFonts w:ascii="Times New Roman" w:hAnsi="Times New Roman" w:cs="Times New Roman"/>
                <w:b/>
                <w:sz w:val="24"/>
                <w:szCs w:val="24"/>
              </w:rPr>
            </w:pPr>
            <w:r w:rsidRPr="00EC52EE">
              <w:rPr>
                <w:rFonts w:ascii="Times New Roman" w:hAnsi="Times New Roman" w:cs="Times New Roman"/>
                <w:b/>
                <w:sz w:val="24"/>
                <w:szCs w:val="24"/>
              </w:rPr>
              <w:t>Verification Reports</w:t>
            </w:r>
          </w:p>
          <w:p w14:paraId="1759F10C" w14:textId="77777777" w:rsidR="0032553B" w:rsidRPr="00EC52EE" w:rsidRDefault="0032553B" w:rsidP="00B16675">
            <w:pPr>
              <w:ind w:left="1080"/>
              <w:rPr>
                <w:rFonts w:ascii="Times New Roman" w:hAnsi="Times New Roman" w:cs="Times New Roman"/>
                <w:sz w:val="24"/>
                <w:szCs w:val="24"/>
              </w:rPr>
            </w:pPr>
            <w:r w:rsidRPr="00EC52EE">
              <w:rPr>
                <w:rFonts w:ascii="Times New Roman" w:hAnsi="Times New Roman" w:cs="Times New Roman"/>
                <w:sz w:val="24"/>
                <w:szCs w:val="24"/>
              </w:rPr>
              <w:t>Monthly or daily reports are reviewed to determine if customers are being billing on the correct rate schedule.</w:t>
            </w:r>
          </w:p>
          <w:p w14:paraId="70811B38" w14:textId="77777777" w:rsidR="0032553B" w:rsidRPr="00EC52EE" w:rsidRDefault="0032553B" w:rsidP="00B16675">
            <w:pPr>
              <w:pStyle w:val="ListParagraph"/>
              <w:numPr>
                <w:ilvl w:val="0"/>
                <w:numId w:val="6"/>
              </w:numPr>
              <w:spacing w:after="0" w:line="240" w:lineRule="auto"/>
              <w:ind w:left="1800"/>
              <w:rPr>
                <w:rFonts w:ascii="Times New Roman" w:hAnsi="Times New Roman" w:cs="Times New Roman"/>
                <w:sz w:val="24"/>
                <w:szCs w:val="24"/>
              </w:rPr>
            </w:pPr>
            <w:r w:rsidRPr="00EC52EE">
              <w:rPr>
                <w:rFonts w:ascii="Times New Roman" w:hAnsi="Times New Roman" w:cs="Times New Roman"/>
                <w:sz w:val="24"/>
                <w:szCs w:val="24"/>
              </w:rPr>
              <w:t xml:space="preserve">New customer BPA review </w:t>
            </w:r>
          </w:p>
          <w:p w14:paraId="23FE2696" w14:textId="77777777" w:rsidR="0032553B" w:rsidRPr="00EC52EE" w:rsidRDefault="0032553B" w:rsidP="00B16675">
            <w:pPr>
              <w:pStyle w:val="ListParagraph"/>
              <w:numPr>
                <w:ilvl w:val="0"/>
                <w:numId w:val="6"/>
              </w:numPr>
              <w:spacing w:after="0" w:line="240" w:lineRule="auto"/>
              <w:ind w:left="1800"/>
              <w:rPr>
                <w:rFonts w:ascii="Times New Roman" w:hAnsi="Times New Roman" w:cs="Times New Roman"/>
                <w:sz w:val="24"/>
                <w:szCs w:val="24"/>
              </w:rPr>
            </w:pPr>
            <w:r w:rsidRPr="00EC52EE">
              <w:rPr>
                <w:rFonts w:ascii="Times New Roman" w:hAnsi="Times New Roman" w:cs="Times New Roman"/>
                <w:sz w:val="24"/>
                <w:szCs w:val="24"/>
              </w:rPr>
              <w:t>Separately metered new services (barn, garage, shop) BPA qualification review</w:t>
            </w:r>
          </w:p>
          <w:p w14:paraId="681B0A0D" w14:textId="77777777" w:rsidR="0032553B" w:rsidRPr="00EC52EE" w:rsidRDefault="0032553B" w:rsidP="00B16675">
            <w:pPr>
              <w:pStyle w:val="ListParagraph"/>
              <w:numPr>
                <w:ilvl w:val="0"/>
                <w:numId w:val="6"/>
              </w:numPr>
              <w:spacing w:after="0" w:line="240" w:lineRule="auto"/>
              <w:ind w:left="1800"/>
              <w:rPr>
                <w:rFonts w:ascii="Times New Roman" w:hAnsi="Times New Roman" w:cs="Times New Roman"/>
                <w:sz w:val="24"/>
                <w:szCs w:val="24"/>
              </w:rPr>
            </w:pPr>
            <w:r w:rsidRPr="00EC52EE">
              <w:rPr>
                <w:rFonts w:ascii="Times New Roman" w:hAnsi="Times New Roman" w:cs="Times New Roman"/>
                <w:sz w:val="24"/>
                <w:szCs w:val="24"/>
              </w:rPr>
              <w:t xml:space="preserve">Non-residential account type billing on residential rate schedule </w:t>
            </w:r>
          </w:p>
          <w:p w14:paraId="705D9273" w14:textId="77777777" w:rsidR="0032553B" w:rsidRPr="00EC52EE" w:rsidRDefault="0032553B" w:rsidP="00B16675">
            <w:pPr>
              <w:pStyle w:val="ListParagraph"/>
              <w:numPr>
                <w:ilvl w:val="0"/>
                <w:numId w:val="6"/>
              </w:numPr>
              <w:spacing w:after="0" w:line="240" w:lineRule="auto"/>
              <w:ind w:left="1800"/>
              <w:rPr>
                <w:rFonts w:ascii="Times New Roman" w:hAnsi="Times New Roman" w:cs="Times New Roman"/>
                <w:sz w:val="24"/>
                <w:szCs w:val="24"/>
              </w:rPr>
            </w:pPr>
            <w:r w:rsidRPr="00EC52EE">
              <w:rPr>
                <w:rFonts w:ascii="Times New Roman" w:hAnsi="Times New Roman" w:cs="Times New Roman"/>
                <w:sz w:val="24"/>
                <w:szCs w:val="24"/>
              </w:rPr>
              <w:t>New irrigation rate schedule account review</w:t>
            </w:r>
          </w:p>
          <w:p w14:paraId="50C83E09" w14:textId="77777777" w:rsidR="0032553B" w:rsidRPr="00EC52EE" w:rsidRDefault="0032553B" w:rsidP="00B16675">
            <w:pPr>
              <w:pStyle w:val="ListParagraph"/>
              <w:numPr>
                <w:ilvl w:val="0"/>
                <w:numId w:val="6"/>
              </w:numPr>
              <w:spacing w:after="0" w:line="240" w:lineRule="auto"/>
              <w:ind w:left="1800"/>
              <w:rPr>
                <w:rFonts w:ascii="Times New Roman" w:hAnsi="Times New Roman" w:cs="Times New Roman"/>
                <w:sz w:val="24"/>
                <w:szCs w:val="24"/>
              </w:rPr>
            </w:pPr>
            <w:r w:rsidRPr="00EC52EE">
              <w:rPr>
                <w:rFonts w:ascii="Times New Roman" w:hAnsi="Times New Roman" w:cs="Times New Roman"/>
                <w:sz w:val="24"/>
                <w:szCs w:val="24"/>
              </w:rPr>
              <w:t xml:space="preserve">Missing or </w:t>
            </w:r>
            <w:proofErr w:type="spellStart"/>
            <w:r w:rsidRPr="00EC52EE">
              <w:rPr>
                <w:rFonts w:ascii="Times New Roman" w:hAnsi="Times New Roman" w:cs="Times New Roman"/>
                <w:sz w:val="24"/>
                <w:szCs w:val="24"/>
              </w:rPr>
              <w:t>mis</w:t>
            </w:r>
            <w:proofErr w:type="spellEnd"/>
            <w:r w:rsidRPr="00EC52EE">
              <w:rPr>
                <w:rFonts w:ascii="Times New Roman" w:hAnsi="Times New Roman" w:cs="Times New Roman"/>
                <w:sz w:val="24"/>
                <w:szCs w:val="24"/>
              </w:rPr>
              <w:t>-matched data on the load screen review (indicator of possible incorrect rate schedule)</w:t>
            </w:r>
          </w:p>
          <w:p w14:paraId="2D00CDA4" w14:textId="77777777" w:rsidR="0032553B" w:rsidRPr="00EC52EE" w:rsidRDefault="0032553B" w:rsidP="00B16675">
            <w:pPr>
              <w:ind w:left="1080"/>
              <w:rPr>
                <w:rFonts w:ascii="Times New Roman" w:hAnsi="Times New Roman" w:cs="Times New Roman"/>
                <w:sz w:val="24"/>
                <w:szCs w:val="24"/>
              </w:rPr>
            </w:pPr>
          </w:p>
          <w:p w14:paraId="12DDD569" w14:textId="77777777" w:rsidR="0032553B" w:rsidRPr="00EC52EE" w:rsidRDefault="0032553B" w:rsidP="00B16675">
            <w:pPr>
              <w:ind w:left="1080"/>
              <w:rPr>
                <w:rFonts w:ascii="Times New Roman" w:hAnsi="Times New Roman" w:cs="Times New Roman"/>
                <w:b/>
                <w:sz w:val="24"/>
                <w:szCs w:val="24"/>
              </w:rPr>
            </w:pPr>
            <w:r w:rsidRPr="00EC52EE">
              <w:rPr>
                <w:rFonts w:ascii="Times New Roman" w:hAnsi="Times New Roman" w:cs="Times New Roman"/>
                <w:b/>
                <w:sz w:val="24"/>
                <w:szCs w:val="24"/>
              </w:rPr>
              <w:t>Quality Monitoring</w:t>
            </w:r>
          </w:p>
          <w:p w14:paraId="6350E5E6" w14:textId="77777777" w:rsidR="0032553B" w:rsidRPr="00EC52EE" w:rsidRDefault="0032553B" w:rsidP="00B16675">
            <w:pPr>
              <w:ind w:left="1080"/>
              <w:rPr>
                <w:rFonts w:ascii="Times New Roman" w:hAnsi="Times New Roman" w:cs="Times New Roman"/>
                <w:sz w:val="24"/>
                <w:szCs w:val="24"/>
              </w:rPr>
            </w:pPr>
            <w:r w:rsidRPr="00EC52EE">
              <w:rPr>
                <w:rFonts w:ascii="Times New Roman" w:hAnsi="Times New Roman" w:cs="Times New Roman"/>
                <w:sz w:val="24"/>
                <w:szCs w:val="24"/>
              </w:rPr>
              <w:t xml:space="preserve">The Company’s call centers monitor random customer calls and agent back-office work for quality and accuracy when customers apply for service.  If an agent incorrectly sets up a customer’s account or selects an incorrect rate schedule, the </w:t>
            </w:r>
            <w:r w:rsidRPr="00EC52EE">
              <w:rPr>
                <w:rFonts w:ascii="Times New Roman" w:hAnsi="Times New Roman" w:cs="Times New Roman"/>
                <w:sz w:val="24"/>
                <w:szCs w:val="24"/>
              </w:rPr>
              <w:lastRenderedPageBreak/>
              <w:t xml:space="preserve">error is corrected and additional training is provided to the agent. </w:t>
            </w:r>
          </w:p>
          <w:p w14:paraId="319090B5" w14:textId="77777777" w:rsidR="0032553B" w:rsidRPr="00EC52EE" w:rsidRDefault="0032553B" w:rsidP="00B16675">
            <w:pPr>
              <w:ind w:left="360"/>
              <w:rPr>
                <w:rFonts w:ascii="Times New Roman" w:hAnsi="Times New Roman" w:cs="Times New Roman"/>
                <w:sz w:val="24"/>
                <w:szCs w:val="24"/>
                <w:u w:val="single"/>
              </w:rPr>
            </w:pPr>
          </w:p>
          <w:p w14:paraId="120C35AA" w14:textId="77777777" w:rsidR="0032553B" w:rsidRPr="00EC52EE" w:rsidRDefault="0032553B" w:rsidP="00B16675">
            <w:pPr>
              <w:ind w:left="360"/>
              <w:rPr>
                <w:rFonts w:ascii="Times New Roman" w:hAnsi="Times New Roman" w:cs="Times New Roman"/>
                <w:sz w:val="24"/>
                <w:szCs w:val="24"/>
              </w:rPr>
            </w:pPr>
            <w:r w:rsidRPr="00EC52EE">
              <w:rPr>
                <w:rFonts w:ascii="Times New Roman" w:hAnsi="Times New Roman" w:cs="Times New Roman"/>
                <w:sz w:val="24"/>
                <w:szCs w:val="24"/>
                <w:u w:val="single"/>
              </w:rPr>
              <w:t>Preventing Mislabeled Meter Bases</w:t>
            </w:r>
          </w:p>
          <w:p w14:paraId="7973804A" w14:textId="77777777" w:rsidR="0032553B" w:rsidRPr="00EC52EE" w:rsidRDefault="0032553B" w:rsidP="00B16675">
            <w:pPr>
              <w:ind w:left="720"/>
              <w:rPr>
                <w:rFonts w:ascii="Times New Roman" w:hAnsi="Times New Roman" w:cs="Times New Roman"/>
                <w:sz w:val="24"/>
                <w:szCs w:val="24"/>
              </w:rPr>
            </w:pPr>
            <w:r w:rsidRPr="00EC52EE">
              <w:rPr>
                <w:rFonts w:ascii="Times New Roman" w:hAnsi="Times New Roman" w:cs="Times New Roman"/>
                <w:sz w:val="24"/>
                <w:szCs w:val="24"/>
              </w:rPr>
              <w:t xml:space="preserve">Accurate labeling of meter bases is the customer’s responsibility (WA Rule </w:t>
            </w:r>
            <w:proofErr w:type="spellStart"/>
            <w:r w:rsidRPr="00EC52EE">
              <w:rPr>
                <w:rFonts w:ascii="Times New Roman" w:hAnsi="Times New Roman" w:cs="Times New Roman"/>
                <w:sz w:val="24"/>
                <w:szCs w:val="24"/>
              </w:rPr>
              <w:t>8A</w:t>
            </w:r>
            <w:proofErr w:type="spellEnd"/>
            <w:r w:rsidRPr="00EC52EE">
              <w:rPr>
                <w:rFonts w:ascii="Times New Roman" w:hAnsi="Times New Roman" w:cs="Times New Roman"/>
                <w:sz w:val="24"/>
                <w:szCs w:val="24"/>
              </w:rPr>
              <w:t>).  The company does everything it can to ensure customers are aware of this responsibility, including publishing guidelines in the Company’s Electric Service Requirements (</w:t>
            </w:r>
            <w:proofErr w:type="spellStart"/>
            <w:r w:rsidRPr="00EC52EE">
              <w:rPr>
                <w:rFonts w:ascii="Times New Roman" w:hAnsi="Times New Roman" w:cs="Times New Roman"/>
                <w:sz w:val="24"/>
                <w:szCs w:val="24"/>
              </w:rPr>
              <w:t>ESR</w:t>
            </w:r>
            <w:proofErr w:type="spellEnd"/>
            <w:r w:rsidRPr="00EC52EE">
              <w:rPr>
                <w:rFonts w:ascii="Times New Roman" w:hAnsi="Times New Roman" w:cs="Times New Roman"/>
                <w:sz w:val="24"/>
                <w:szCs w:val="24"/>
              </w:rPr>
              <w:t xml:space="preserve">) booklet, which is available online at </w:t>
            </w:r>
            <w:hyperlink r:id="rId10" w:history="1">
              <w:r w:rsidRPr="00EC52EE">
                <w:rPr>
                  <w:rStyle w:val="Hyperlink"/>
                  <w:rFonts w:ascii="Times New Roman" w:hAnsi="Times New Roman" w:cs="Times New Roman"/>
                  <w:sz w:val="24"/>
                  <w:szCs w:val="24"/>
                </w:rPr>
                <w:t>www.pacificpower.net/esr</w:t>
              </w:r>
            </w:hyperlink>
            <w:r w:rsidRPr="00EC52EE">
              <w:rPr>
                <w:rFonts w:ascii="Times New Roman" w:hAnsi="Times New Roman" w:cs="Times New Roman"/>
                <w:sz w:val="24"/>
                <w:szCs w:val="24"/>
              </w:rPr>
              <w:t xml:space="preserve">.  Labeling of meter bases is addressed in the following sections of the Company’s </w:t>
            </w:r>
            <w:proofErr w:type="spellStart"/>
            <w:r w:rsidRPr="00EC52EE">
              <w:rPr>
                <w:rFonts w:ascii="Times New Roman" w:hAnsi="Times New Roman" w:cs="Times New Roman"/>
                <w:sz w:val="24"/>
                <w:szCs w:val="24"/>
              </w:rPr>
              <w:t>ESR</w:t>
            </w:r>
            <w:proofErr w:type="spellEnd"/>
            <w:r w:rsidRPr="00EC52EE">
              <w:rPr>
                <w:rFonts w:ascii="Times New Roman" w:hAnsi="Times New Roman" w:cs="Times New Roman"/>
                <w:sz w:val="24"/>
                <w:szCs w:val="24"/>
              </w:rPr>
              <w:t xml:space="preserve">: </w:t>
            </w:r>
          </w:p>
          <w:p w14:paraId="5F0D864D" w14:textId="77777777" w:rsidR="0032553B" w:rsidRPr="00EC52EE" w:rsidRDefault="0032553B" w:rsidP="00B16675">
            <w:pPr>
              <w:ind w:left="360"/>
              <w:rPr>
                <w:rFonts w:ascii="Times New Roman" w:hAnsi="Times New Roman" w:cs="Times New Roman"/>
                <w:sz w:val="24"/>
                <w:szCs w:val="24"/>
              </w:rPr>
            </w:pPr>
          </w:p>
          <w:p w14:paraId="24E615B6" w14:textId="77777777" w:rsidR="0032553B" w:rsidRPr="00EC52EE" w:rsidRDefault="0032553B" w:rsidP="00B16675">
            <w:pPr>
              <w:pStyle w:val="ListParagraph"/>
              <w:numPr>
                <w:ilvl w:val="0"/>
                <w:numId w:val="5"/>
              </w:numPr>
              <w:spacing w:after="0" w:line="240" w:lineRule="auto"/>
              <w:ind w:left="1080"/>
              <w:rPr>
                <w:rFonts w:ascii="Times New Roman" w:hAnsi="Times New Roman" w:cs="Times New Roman"/>
                <w:sz w:val="24"/>
                <w:szCs w:val="24"/>
              </w:rPr>
            </w:pPr>
            <w:r w:rsidRPr="00EC52EE">
              <w:rPr>
                <w:rFonts w:ascii="Times New Roman" w:hAnsi="Times New Roman" w:cs="Times New Roman"/>
                <w:sz w:val="24"/>
                <w:szCs w:val="24"/>
              </w:rPr>
              <w:t>7.7.3, requirement 10</w:t>
            </w:r>
          </w:p>
          <w:p w14:paraId="29DBA383" w14:textId="77777777" w:rsidR="0032553B" w:rsidRPr="00EC52EE" w:rsidRDefault="0032553B" w:rsidP="00B16675">
            <w:pPr>
              <w:pStyle w:val="ListParagraph"/>
              <w:numPr>
                <w:ilvl w:val="0"/>
                <w:numId w:val="5"/>
              </w:numPr>
              <w:spacing w:after="0" w:line="240" w:lineRule="auto"/>
              <w:ind w:left="1080"/>
              <w:rPr>
                <w:rFonts w:ascii="Times New Roman" w:hAnsi="Times New Roman" w:cs="Times New Roman"/>
                <w:sz w:val="24"/>
                <w:szCs w:val="24"/>
              </w:rPr>
            </w:pPr>
            <w:r w:rsidRPr="00EC52EE">
              <w:rPr>
                <w:rFonts w:ascii="Times New Roman" w:hAnsi="Times New Roman" w:cs="Times New Roman"/>
                <w:sz w:val="24"/>
                <w:szCs w:val="24"/>
              </w:rPr>
              <w:t>7.8.3, requirement 7</w:t>
            </w:r>
          </w:p>
          <w:p w14:paraId="6A1C9B80" w14:textId="77777777" w:rsidR="0032553B" w:rsidRPr="00EC52EE" w:rsidRDefault="0032553B" w:rsidP="00B16675">
            <w:pPr>
              <w:pStyle w:val="ListParagraph"/>
              <w:numPr>
                <w:ilvl w:val="0"/>
                <w:numId w:val="5"/>
              </w:numPr>
              <w:spacing w:after="0" w:line="240" w:lineRule="auto"/>
              <w:ind w:left="1080"/>
              <w:rPr>
                <w:rFonts w:ascii="Times New Roman" w:hAnsi="Times New Roman" w:cs="Times New Roman"/>
                <w:sz w:val="24"/>
                <w:szCs w:val="24"/>
              </w:rPr>
            </w:pPr>
            <w:r w:rsidRPr="00EC52EE">
              <w:rPr>
                <w:rFonts w:ascii="Times New Roman" w:hAnsi="Times New Roman" w:cs="Times New Roman"/>
                <w:sz w:val="24"/>
                <w:szCs w:val="24"/>
              </w:rPr>
              <w:t>10.6, requirement 1</w:t>
            </w:r>
          </w:p>
          <w:p w14:paraId="66865F34" w14:textId="77777777" w:rsidR="0032553B" w:rsidRPr="00EC52EE" w:rsidRDefault="0032553B" w:rsidP="00B16675">
            <w:pPr>
              <w:ind w:left="720"/>
              <w:rPr>
                <w:rFonts w:ascii="Times New Roman" w:hAnsi="Times New Roman" w:cs="Times New Roman"/>
                <w:sz w:val="24"/>
                <w:szCs w:val="24"/>
              </w:rPr>
            </w:pPr>
          </w:p>
          <w:p w14:paraId="4BFF48B3" w14:textId="77777777" w:rsidR="0032553B" w:rsidRPr="00EC52EE" w:rsidRDefault="0032553B" w:rsidP="00B16675">
            <w:pPr>
              <w:ind w:left="720"/>
              <w:rPr>
                <w:rFonts w:ascii="Times New Roman" w:hAnsi="Times New Roman" w:cs="Times New Roman"/>
                <w:sz w:val="24"/>
                <w:szCs w:val="24"/>
              </w:rPr>
            </w:pPr>
            <w:r w:rsidRPr="00EC52EE">
              <w:rPr>
                <w:rFonts w:ascii="Times New Roman" w:hAnsi="Times New Roman" w:cs="Times New Roman"/>
                <w:sz w:val="24"/>
                <w:szCs w:val="24"/>
              </w:rPr>
              <w:t xml:space="preserve">The Company also has a “Multi-Meter Verification Process” for business accounts.  When multiple meters are installed on a single business structure, such as a strip mall or individually metered business offices in a complex, a letter is sent to the initial customer that signs up for service to remind them to verify the meter information at the site is correctly reflected on their bill. </w:t>
            </w:r>
          </w:p>
          <w:p w14:paraId="36BF4923" w14:textId="77777777" w:rsidR="0032553B" w:rsidRPr="00EC52EE" w:rsidRDefault="0032553B" w:rsidP="00B16675">
            <w:pPr>
              <w:pStyle w:val="NoSpacing"/>
              <w:spacing w:line="360" w:lineRule="auto"/>
              <w:jc w:val="both"/>
              <w:rPr>
                <w:rFonts w:ascii="Times New Roman" w:hAnsi="Times New Roman"/>
                <w:sz w:val="24"/>
                <w:szCs w:val="24"/>
              </w:rPr>
            </w:pPr>
          </w:p>
        </w:tc>
        <w:tc>
          <w:tcPr>
            <w:tcW w:w="4248" w:type="dxa"/>
            <w:vMerge w:val="restart"/>
          </w:tcPr>
          <w:p w14:paraId="43E76D88" w14:textId="77777777" w:rsidR="0032553B" w:rsidRPr="00EC52EE" w:rsidRDefault="0032553B" w:rsidP="00B16675">
            <w:pPr>
              <w:rPr>
                <w:rFonts w:ascii="Times New Roman" w:hAnsi="Times New Roman" w:cs="Times New Roman"/>
                <w:sz w:val="24"/>
                <w:szCs w:val="24"/>
              </w:rPr>
            </w:pPr>
            <w:r w:rsidRPr="00EC52EE">
              <w:rPr>
                <w:rFonts w:ascii="Times New Roman" w:hAnsi="Times New Roman" w:cs="Times New Roman"/>
                <w:sz w:val="24"/>
                <w:szCs w:val="24"/>
              </w:rPr>
              <w:lastRenderedPageBreak/>
              <w:t>The companies have reported extensive quality control processes that analyze billing and metering information to help prevent billing errors.</w:t>
            </w:r>
          </w:p>
          <w:p w14:paraId="2061C902" w14:textId="77777777" w:rsidR="0032553B" w:rsidRPr="00EC52EE" w:rsidRDefault="0032553B" w:rsidP="00B16675">
            <w:pPr>
              <w:rPr>
                <w:rFonts w:ascii="Times New Roman" w:hAnsi="Times New Roman" w:cs="Times New Roman"/>
                <w:sz w:val="24"/>
                <w:szCs w:val="24"/>
              </w:rPr>
            </w:pPr>
          </w:p>
          <w:p w14:paraId="66E02AAA" w14:textId="77777777" w:rsidR="0032553B" w:rsidRDefault="0032553B" w:rsidP="00022224">
            <w:pPr>
              <w:rPr>
                <w:rFonts w:ascii="Times New Roman" w:hAnsi="Times New Roman" w:cs="Times New Roman"/>
                <w:sz w:val="24"/>
                <w:szCs w:val="24"/>
              </w:rPr>
            </w:pPr>
            <w:r w:rsidRPr="00EC52EE">
              <w:rPr>
                <w:rFonts w:ascii="Times New Roman" w:hAnsi="Times New Roman" w:cs="Times New Roman"/>
                <w:sz w:val="24"/>
                <w:szCs w:val="24"/>
              </w:rPr>
              <w:t>Staff believes that some additional refinements in the companies’ procedures could further reduce billing errors. This would include increased customer education and communication.</w:t>
            </w:r>
          </w:p>
          <w:p w14:paraId="40D1BC69" w14:textId="77777777" w:rsidR="00FC7E98" w:rsidRDefault="00FC7E98" w:rsidP="00022224">
            <w:pPr>
              <w:rPr>
                <w:rFonts w:ascii="Times New Roman" w:hAnsi="Times New Roman" w:cs="Times New Roman"/>
                <w:sz w:val="24"/>
                <w:szCs w:val="24"/>
              </w:rPr>
            </w:pPr>
          </w:p>
          <w:p w14:paraId="4935DD43" w14:textId="77777777" w:rsidR="00FC7E98" w:rsidRDefault="00FC7E98" w:rsidP="00022224">
            <w:pPr>
              <w:rPr>
                <w:rFonts w:ascii="Times New Roman" w:hAnsi="Times New Roman" w:cs="Times New Roman"/>
                <w:sz w:val="24"/>
                <w:szCs w:val="24"/>
              </w:rPr>
            </w:pPr>
          </w:p>
          <w:p w14:paraId="32763A5E" w14:textId="77777777" w:rsidR="00FC7E98" w:rsidRDefault="00FC7E98" w:rsidP="00022224">
            <w:pPr>
              <w:rPr>
                <w:rFonts w:ascii="Times New Roman" w:hAnsi="Times New Roman" w:cs="Times New Roman"/>
                <w:sz w:val="24"/>
                <w:szCs w:val="24"/>
              </w:rPr>
            </w:pPr>
          </w:p>
          <w:p w14:paraId="7CA9F89E" w14:textId="77777777" w:rsidR="00FC7E98" w:rsidRDefault="00FC7E98" w:rsidP="00022224">
            <w:pPr>
              <w:rPr>
                <w:rFonts w:ascii="Times New Roman" w:hAnsi="Times New Roman" w:cs="Times New Roman"/>
                <w:sz w:val="24"/>
                <w:szCs w:val="24"/>
              </w:rPr>
            </w:pPr>
          </w:p>
          <w:p w14:paraId="1FB3C8C0" w14:textId="77777777" w:rsidR="00FC7E98" w:rsidRDefault="00FC7E98" w:rsidP="00022224">
            <w:pPr>
              <w:rPr>
                <w:rFonts w:ascii="Times New Roman" w:hAnsi="Times New Roman" w:cs="Times New Roman"/>
                <w:sz w:val="24"/>
                <w:szCs w:val="24"/>
              </w:rPr>
            </w:pPr>
          </w:p>
          <w:p w14:paraId="4F293143" w14:textId="77777777" w:rsidR="00FC7E98" w:rsidRDefault="00FC7E98" w:rsidP="00022224">
            <w:pPr>
              <w:rPr>
                <w:rFonts w:ascii="Times New Roman" w:hAnsi="Times New Roman" w:cs="Times New Roman"/>
                <w:sz w:val="24"/>
                <w:szCs w:val="24"/>
              </w:rPr>
            </w:pPr>
          </w:p>
          <w:p w14:paraId="7A53A410" w14:textId="77777777" w:rsidR="00FC7E98" w:rsidRDefault="00FC7E98" w:rsidP="00022224">
            <w:pPr>
              <w:rPr>
                <w:rFonts w:ascii="Times New Roman" w:hAnsi="Times New Roman" w:cs="Times New Roman"/>
                <w:sz w:val="24"/>
                <w:szCs w:val="24"/>
              </w:rPr>
            </w:pPr>
          </w:p>
          <w:p w14:paraId="75C9FA03" w14:textId="77777777" w:rsidR="00FC7E98" w:rsidRDefault="00FC7E98" w:rsidP="00022224">
            <w:pPr>
              <w:rPr>
                <w:rFonts w:ascii="Times New Roman" w:hAnsi="Times New Roman" w:cs="Times New Roman"/>
                <w:sz w:val="24"/>
                <w:szCs w:val="24"/>
              </w:rPr>
            </w:pPr>
          </w:p>
          <w:p w14:paraId="60893D33" w14:textId="77777777" w:rsidR="00FC7E98" w:rsidRDefault="00FC7E98" w:rsidP="00022224">
            <w:pPr>
              <w:rPr>
                <w:rFonts w:ascii="Times New Roman" w:hAnsi="Times New Roman" w:cs="Times New Roman"/>
                <w:sz w:val="24"/>
                <w:szCs w:val="24"/>
              </w:rPr>
            </w:pPr>
          </w:p>
          <w:p w14:paraId="0BFDADF7" w14:textId="77777777" w:rsidR="00FC7E98" w:rsidRDefault="00FC7E98" w:rsidP="00022224">
            <w:pPr>
              <w:rPr>
                <w:rFonts w:ascii="Times New Roman" w:hAnsi="Times New Roman" w:cs="Times New Roman"/>
                <w:sz w:val="24"/>
                <w:szCs w:val="24"/>
              </w:rPr>
            </w:pPr>
          </w:p>
          <w:p w14:paraId="1E078771" w14:textId="77777777" w:rsidR="00FC7E98" w:rsidRDefault="00FC7E98" w:rsidP="00022224">
            <w:pPr>
              <w:rPr>
                <w:rFonts w:ascii="Times New Roman" w:hAnsi="Times New Roman" w:cs="Times New Roman"/>
                <w:sz w:val="24"/>
                <w:szCs w:val="24"/>
              </w:rPr>
            </w:pPr>
          </w:p>
          <w:p w14:paraId="21E3C20F" w14:textId="77777777" w:rsidR="00FC7E98" w:rsidRDefault="00FC7E98" w:rsidP="00022224">
            <w:pPr>
              <w:rPr>
                <w:rFonts w:ascii="Times New Roman" w:hAnsi="Times New Roman" w:cs="Times New Roman"/>
                <w:sz w:val="24"/>
                <w:szCs w:val="24"/>
              </w:rPr>
            </w:pPr>
          </w:p>
          <w:p w14:paraId="39988248" w14:textId="77777777" w:rsidR="00FC7E98" w:rsidRDefault="00FC7E98" w:rsidP="00022224">
            <w:pPr>
              <w:rPr>
                <w:rFonts w:ascii="Times New Roman" w:hAnsi="Times New Roman" w:cs="Times New Roman"/>
                <w:sz w:val="24"/>
                <w:szCs w:val="24"/>
              </w:rPr>
            </w:pPr>
          </w:p>
          <w:p w14:paraId="2ACACCEA" w14:textId="77777777" w:rsidR="00FC7E98" w:rsidRDefault="00FC7E98" w:rsidP="00022224">
            <w:pPr>
              <w:rPr>
                <w:rFonts w:ascii="Times New Roman" w:hAnsi="Times New Roman" w:cs="Times New Roman"/>
                <w:sz w:val="24"/>
                <w:szCs w:val="24"/>
              </w:rPr>
            </w:pPr>
          </w:p>
          <w:p w14:paraId="4123EECC" w14:textId="77777777" w:rsidR="00FC7E98" w:rsidRDefault="00FC7E98" w:rsidP="00022224">
            <w:pPr>
              <w:rPr>
                <w:rFonts w:ascii="Times New Roman" w:hAnsi="Times New Roman" w:cs="Times New Roman"/>
                <w:sz w:val="24"/>
                <w:szCs w:val="24"/>
              </w:rPr>
            </w:pPr>
          </w:p>
          <w:p w14:paraId="1A8CCE05" w14:textId="77777777" w:rsidR="00FC7E98" w:rsidRDefault="00FC7E98" w:rsidP="00022224">
            <w:pPr>
              <w:rPr>
                <w:rFonts w:ascii="Times New Roman" w:hAnsi="Times New Roman" w:cs="Times New Roman"/>
                <w:sz w:val="24"/>
                <w:szCs w:val="24"/>
              </w:rPr>
            </w:pPr>
          </w:p>
          <w:p w14:paraId="26C85B5A" w14:textId="77777777" w:rsidR="00FC7E98" w:rsidRDefault="00FC7E98" w:rsidP="00022224">
            <w:pPr>
              <w:rPr>
                <w:rFonts w:ascii="Times New Roman" w:hAnsi="Times New Roman" w:cs="Times New Roman"/>
                <w:sz w:val="24"/>
                <w:szCs w:val="24"/>
              </w:rPr>
            </w:pPr>
          </w:p>
          <w:p w14:paraId="6F6554BF" w14:textId="77777777" w:rsidR="00FC7E98" w:rsidRDefault="00FC7E98" w:rsidP="00022224">
            <w:pPr>
              <w:rPr>
                <w:rFonts w:ascii="Times New Roman" w:hAnsi="Times New Roman" w:cs="Times New Roman"/>
                <w:sz w:val="24"/>
                <w:szCs w:val="24"/>
              </w:rPr>
            </w:pPr>
          </w:p>
          <w:p w14:paraId="1D71276A" w14:textId="77777777" w:rsidR="00FC7E98" w:rsidRDefault="00FC7E98" w:rsidP="00022224">
            <w:pPr>
              <w:rPr>
                <w:rFonts w:ascii="Times New Roman" w:hAnsi="Times New Roman" w:cs="Times New Roman"/>
                <w:sz w:val="24"/>
                <w:szCs w:val="24"/>
              </w:rPr>
            </w:pPr>
          </w:p>
          <w:p w14:paraId="1901C316" w14:textId="77777777" w:rsidR="00FC7E98" w:rsidRDefault="00FC7E98" w:rsidP="00022224">
            <w:pPr>
              <w:rPr>
                <w:rFonts w:ascii="Times New Roman" w:hAnsi="Times New Roman" w:cs="Times New Roman"/>
                <w:sz w:val="24"/>
                <w:szCs w:val="24"/>
              </w:rPr>
            </w:pPr>
          </w:p>
          <w:p w14:paraId="73A5D198" w14:textId="77777777" w:rsidR="00FC7E98" w:rsidRDefault="00FC7E98" w:rsidP="00022224">
            <w:pPr>
              <w:rPr>
                <w:rFonts w:ascii="Times New Roman" w:hAnsi="Times New Roman" w:cs="Times New Roman"/>
                <w:sz w:val="24"/>
                <w:szCs w:val="24"/>
              </w:rPr>
            </w:pPr>
          </w:p>
          <w:p w14:paraId="3B66B3AC" w14:textId="77777777" w:rsidR="00FC7E98" w:rsidRDefault="00FC7E98" w:rsidP="00022224">
            <w:pPr>
              <w:rPr>
                <w:rFonts w:ascii="Times New Roman" w:hAnsi="Times New Roman" w:cs="Times New Roman"/>
                <w:sz w:val="24"/>
                <w:szCs w:val="24"/>
              </w:rPr>
            </w:pPr>
          </w:p>
          <w:p w14:paraId="6E07A646" w14:textId="77777777" w:rsidR="00FC7E98" w:rsidRDefault="00FC7E98" w:rsidP="00022224">
            <w:pPr>
              <w:rPr>
                <w:rFonts w:ascii="Times New Roman" w:hAnsi="Times New Roman" w:cs="Times New Roman"/>
                <w:sz w:val="24"/>
                <w:szCs w:val="24"/>
              </w:rPr>
            </w:pPr>
          </w:p>
          <w:p w14:paraId="3682AEA3" w14:textId="77777777" w:rsidR="00FC7E98" w:rsidRDefault="00FC7E98" w:rsidP="00022224">
            <w:pPr>
              <w:rPr>
                <w:rFonts w:ascii="Times New Roman" w:hAnsi="Times New Roman" w:cs="Times New Roman"/>
                <w:sz w:val="24"/>
                <w:szCs w:val="24"/>
              </w:rPr>
            </w:pPr>
          </w:p>
          <w:p w14:paraId="4E726992" w14:textId="77777777" w:rsidR="00FC7E98" w:rsidRDefault="00FC7E98" w:rsidP="00022224">
            <w:pPr>
              <w:rPr>
                <w:rFonts w:ascii="Times New Roman" w:hAnsi="Times New Roman" w:cs="Times New Roman"/>
                <w:sz w:val="24"/>
                <w:szCs w:val="24"/>
              </w:rPr>
            </w:pPr>
          </w:p>
          <w:p w14:paraId="1648F563" w14:textId="77777777" w:rsidR="00FC7E98" w:rsidRDefault="00FC7E98" w:rsidP="00022224">
            <w:pPr>
              <w:rPr>
                <w:rFonts w:ascii="Times New Roman" w:hAnsi="Times New Roman" w:cs="Times New Roman"/>
                <w:sz w:val="24"/>
                <w:szCs w:val="24"/>
              </w:rPr>
            </w:pPr>
          </w:p>
          <w:p w14:paraId="07FA874C" w14:textId="77777777" w:rsidR="00FC7E98" w:rsidRDefault="00FC7E98" w:rsidP="00022224">
            <w:pPr>
              <w:rPr>
                <w:rFonts w:ascii="Times New Roman" w:hAnsi="Times New Roman" w:cs="Times New Roman"/>
                <w:sz w:val="24"/>
                <w:szCs w:val="24"/>
              </w:rPr>
            </w:pPr>
          </w:p>
          <w:p w14:paraId="31252828" w14:textId="77777777" w:rsidR="00FC7E98" w:rsidRDefault="00FC7E98" w:rsidP="00022224">
            <w:pPr>
              <w:rPr>
                <w:rFonts w:ascii="Times New Roman" w:hAnsi="Times New Roman" w:cs="Times New Roman"/>
                <w:sz w:val="24"/>
                <w:szCs w:val="24"/>
              </w:rPr>
            </w:pPr>
          </w:p>
          <w:p w14:paraId="79824D2F" w14:textId="77777777" w:rsidR="00FC7E98" w:rsidRDefault="00FC7E98" w:rsidP="00022224">
            <w:pPr>
              <w:rPr>
                <w:rFonts w:ascii="Times New Roman" w:hAnsi="Times New Roman" w:cs="Times New Roman"/>
                <w:sz w:val="24"/>
                <w:szCs w:val="24"/>
              </w:rPr>
            </w:pPr>
          </w:p>
          <w:p w14:paraId="16D80F4B" w14:textId="77777777" w:rsidR="00FC7E98" w:rsidRDefault="00FC7E98" w:rsidP="00022224">
            <w:pPr>
              <w:rPr>
                <w:rFonts w:ascii="Times New Roman" w:hAnsi="Times New Roman" w:cs="Times New Roman"/>
                <w:sz w:val="24"/>
                <w:szCs w:val="24"/>
              </w:rPr>
            </w:pPr>
          </w:p>
          <w:p w14:paraId="79CF769A" w14:textId="77777777" w:rsidR="00FC7E98" w:rsidRDefault="00FC7E98" w:rsidP="00022224">
            <w:pPr>
              <w:rPr>
                <w:rFonts w:ascii="Times New Roman" w:hAnsi="Times New Roman" w:cs="Times New Roman"/>
                <w:sz w:val="24"/>
                <w:szCs w:val="24"/>
              </w:rPr>
            </w:pPr>
          </w:p>
          <w:p w14:paraId="2705E14A" w14:textId="77777777" w:rsidR="00FC7E98" w:rsidRDefault="00FC7E98" w:rsidP="00022224">
            <w:pPr>
              <w:rPr>
                <w:rFonts w:ascii="Times New Roman" w:hAnsi="Times New Roman" w:cs="Times New Roman"/>
                <w:sz w:val="24"/>
                <w:szCs w:val="24"/>
              </w:rPr>
            </w:pPr>
          </w:p>
          <w:p w14:paraId="27A0AABA" w14:textId="77777777" w:rsidR="00FC7E98" w:rsidRDefault="00FC7E98" w:rsidP="00022224">
            <w:pPr>
              <w:rPr>
                <w:rFonts w:ascii="Times New Roman" w:hAnsi="Times New Roman" w:cs="Times New Roman"/>
                <w:sz w:val="24"/>
                <w:szCs w:val="24"/>
              </w:rPr>
            </w:pPr>
          </w:p>
          <w:p w14:paraId="59C2690D" w14:textId="77777777" w:rsidR="00FC7E98" w:rsidRDefault="00FC7E98" w:rsidP="00022224">
            <w:pPr>
              <w:rPr>
                <w:rFonts w:ascii="Times New Roman" w:hAnsi="Times New Roman" w:cs="Times New Roman"/>
                <w:sz w:val="24"/>
                <w:szCs w:val="24"/>
              </w:rPr>
            </w:pPr>
          </w:p>
          <w:p w14:paraId="1244FC81" w14:textId="77777777" w:rsidR="00FC7E98" w:rsidRDefault="00FC7E98" w:rsidP="00022224">
            <w:pPr>
              <w:rPr>
                <w:rFonts w:ascii="Times New Roman" w:hAnsi="Times New Roman" w:cs="Times New Roman"/>
                <w:sz w:val="24"/>
                <w:szCs w:val="24"/>
              </w:rPr>
            </w:pPr>
          </w:p>
          <w:p w14:paraId="7B97A019" w14:textId="77777777" w:rsidR="00FC7E98" w:rsidRDefault="00FC7E98" w:rsidP="00022224">
            <w:pPr>
              <w:rPr>
                <w:rFonts w:ascii="Times New Roman" w:hAnsi="Times New Roman" w:cs="Times New Roman"/>
                <w:sz w:val="24"/>
                <w:szCs w:val="24"/>
              </w:rPr>
            </w:pPr>
          </w:p>
          <w:p w14:paraId="02E5EAFA" w14:textId="77777777" w:rsidR="00FC7E98" w:rsidRDefault="00FC7E98" w:rsidP="00022224">
            <w:pPr>
              <w:rPr>
                <w:rFonts w:ascii="Times New Roman" w:hAnsi="Times New Roman" w:cs="Times New Roman"/>
                <w:sz w:val="24"/>
                <w:szCs w:val="24"/>
              </w:rPr>
            </w:pPr>
          </w:p>
          <w:p w14:paraId="49743117" w14:textId="77777777" w:rsidR="00FC7E98" w:rsidRDefault="00FC7E98" w:rsidP="00022224">
            <w:pPr>
              <w:rPr>
                <w:rFonts w:ascii="Times New Roman" w:hAnsi="Times New Roman" w:cs="Times New Roman"/>
                <w:sz w:val="24"/>
                <w:szCs w:val="24"/>
              </w:rPr>
            </w:pPr>
          </w:p>
          <w:p w14:paraId="098C2903" w14:textId="77777777" w:rsidR="00FC7E98" w:rsidRDefault="00FC7E98" w:rsidP="00022224">
            <w:pPr>
              <w:rPr>
                <w:rFonts w:ascii="Times New Roman" w:hAnsi="Times New Roman" w:cs="Times New Roman"/>
                <w:sz w:val="24"/>
                <w:szCs w:val="24"/>
              </w:rPr>
            </w:pPr>
          </w:p>
          <w:p w14:paraId="610E008D" w14:textId="77777777" w:rsidR="00FC7E98" w:rsidRDefault="00FC7E98" w:rsidP="00022224">
            <w:pPr>
              <w:rPr>
                <w:rFonts w:ascii="Times New Roman" w:hAnsi="Times New Roman" w:cs="Times New Roman"/>
                <w:sz w:val="24"/>
                <w:szCs w:val="24"/>
              </w:rPr>
            </w:pPr>
          </w:p>
          <w:p w14:paraId="7137FE5B" w14:textId="77777777" w:rsidR="00FC7E98" w:rsidRDefault="00FC7E98" w:rsidP="00022224">
            <w:pPr>
              <w:rPr>
                <w:rFonts w:ascii="Times New Roman" w:hAnsi="Times New Roman" w:cs="Times New Roman"/>
                <w:sz w:val="24"/>
                <w:szCs w:val="24"/>
              </w:rPr>
            </w:pPr>
          </w:p>
          <w:p w14:paraId="0C25E0CC" w14:textId="77777777" w:rsidR="00FC7E98" w:rsidRDefault="00FC7E98" w:rsidP="00022224">
            <w:pPr>
              <w:rPr>
                <w:rFonts w:ascii="Times New Roman" w:hAnsi="Times New Roman" w:cs="Times New Roman"/>
                <w:sz w:val="24"/>
                <w:szCs w:val="24"/>
              </w:rPr>
            </w:pPr>
          </w:p>
          <w:p w14:paraId="242DAFC7" w14:textId="77777777" w:rsidR="00FC7E98" w:rsidRDefault="00FC7E98" w:rsidP="00022224">
            <w:pPr>
              <w:rPr>
                <w:rFonts w:ascii="Times New Roman" w:hAnsi="Times New Roman" w:cs="Times New Roman"/>
                <w:sz w:val="24"/>
                <w:szCs w:val="24"/>
              </w:rPr>
            </w:pPr>
          </w:p>
          <w:p w14:paraId="07BD2B94" w14:textId="77777777" w:rsidR="00FC7E98" w:rsidRDefault="00FC7E98" w:rsidP="00022224">
            <w:pPr>
              <w:rPr>
                <w:rFonts w:ascii="Times New Roman" w:hAnsi="Times New Roman" w:cs="Times New Roman"/>
                <w:sz w:val="24"/>
                <w:szCs w:val="24"/>
              </w:rPr>
            </w:pPr>
          </w:p>
          <w:p w14:paraId="7F3D8EC6" w14:textId="77777777" w:rsidR="00FC7E98" w:rsidRDefault="00FC7E98" w:rsidP="00022224">
            <w:pPr>
              <w:rPr>
                <w:rFonts w:ascii="Times New Roman" w:hAnsi="Times New Roman" w:cs="Times New Roman"/>
                <w:sz w:val="24"/>
                <w:szCs w:val="24"/>
              </w:rPr>
            </w:pPr>
          </w:p>
          <w:p w14:paraId="779B431A" w14:textId="77777777" w:rsidR="00FC7E98" w:rsidRDefault="00FC7E98" w:rsidP="00022224">
            <w:pPr>
              <w:rPr>
                <w:rFonts w:ascii="Times New Roman" w:hAnsi="Times New Roman" w:cs="Times New Roman"/>
                <w:sz w:val="24"/>
                <w:szCs w:val="24"/>
              </w:rPr>
            </w:pPr>
          </w:p>
          <w:p w14:paraId="1A6A4258" w14:textId="77777777" w:rsidR="00FC7E98" w:rsidRDefault="00FC7E98" w:rsidP="00022224">
            <w:pPr>
              <w:rPr>
                <w:rFonts w:ascii="Times New Roman" w:hAnsi="Times New Roman" w:cs="Times New Roman"/>
                <w:sz w:val="24"/>
                <w:szCs w:val="24"/>
              </w:rPr>
            </w:pPr>
          </w:p>
          <w:p w14:paraId="797FF438" w14:textId="77777777" w:rsidR="00FC7E98" w:rsidRDefault="00FC7E98" w:rsidP="00022224">
            <w:pPr>
              <w:rPr>
                <w:rFonts w:ascii="Times New Roman" w:hAnsi="Times New Roman" w:cs="Times New Roman"/>
                <w:sz w:val="24"/>
                <w:szCs w:val="24"/>
              </w:rPr>
            </w:pPr>
          </w:p>
          <w:p w14:paraId="3CC908C5" w14:textId="77777777" w:rsidR="00FC7E98" w:rsidRDefault="00FC7E98" w:rsidP="00022224">
            <w:pPr>
              <w:rPr>
                <w:rFonts w:ascii="Times New Roman" w:hAnsi="Times New Roman" w:cs="Times New Roman"/>
                <w:sz w:val="24"/>
                <w:szCs w:val="24"/>
              </w:rPr>
            </w:pPr>
          </w:p>
          <w:p w14:paraId="0762544C" w14:textId="77777777" w:rsidR="00FC7E98" w:rsidRDefault="00FC7E98" w:rsidP="00022224">
            <w:pPr>
              <w:rPr>
                <w:rFonts w:ascii="Times New Roman" w:hAnsi="Times New Roman" w:cs="Times New Roman"/>
                <w:sz w:val="24"/>
                <w:szCs w:val="24"/>
              </w:rPr>
            </w:pPr>
          </w:p>
          <w:p w14:paraId="62489C35" w14:textId="77777777" w:rsidR="00FC7E98" w:rsidRDefault="00FC7E98" w:rsidP="00022224">
            <w:pPr>
              <w:rPr>
                <w:rFonts w:ascii="Times New Roman" w:hAnsi="Times New Roman" w:cs="Times New Roman"/>
                <w:sz w:val="24"/>
                <w:szCs w:val="24"/>
              </w:rPr>
            </w:pPr>
          </w:p>
          <w:p w14:paraId="169D8ABA" w14:textId="77777777" w:rsidR="00FC7E98" w:rsidRDefault="00FC7E98" w:rsidP="00022224">
            <w:pPr>
              <w:rPr>
                <w:rFonts w:ascii="Times New Roman" w:hAnsi="Times New Roman" w:cs="Times New Roman"/>
                <w:sz w:val="24"/>
                <w:szCs w:val="24"/>
              </w:rPr>
            </w:pPr>
          </w:p>
          <w:p w14:paraId="34DFC382" w14:textId="77777777" w:rsidR="00FC7E98" w:rsidRDefault="00FC7E98" w:rsidP="00022224">
            <w:pPr>
              <w:rPr>
                <w:rFonts w:ascii="Times New Roman" w:hAnsi="Times New Roman" w:cs="Times New Roman"/>
                <w:sz w:val="24"/>
                <w:szCs w:val="24"/>
              </w:rPr>
            </w:pPr>
          </w:p>
          <w:p w14:paraId="075C2613" w14:textId="77777777" w:rsidR="00FC7E98" w:rsidRDefault="00FC7E98" w:rsidP="00022224">
            <w:pPr>
              <w:rPr>
                <w:rFonts w:ascii="Times New Roman" w:hAnsi="Times New Roman" w:cs="Times New Roman"/>
                <w:sz w:val="24"/>
                <w:szCs w:val="24"/>
              </w:rPr>
            </w:pPr>
          </w:p>
          <w:p w14:paraId="752D6431" w14:textId="77777777" w:rsidR="00FC7E98" w:rsidRDefault="00FC7E98" w:rsidP="00022224">
            <w:pPr>
              <w:rPr>
                <w:rFonts w:ascii="Times New Roman" w:hAnsi="Times New Roman" w:cs="Times New Roman"/>
                <w:sz w:val="24"/>
                <w:szCs w:val="24"/>
              </w:rPr>
            </w:pPr>
          </w:p>
          <w:p w14:paraId="69699BF7" w14:textId="77777777" w:rsidR="00FC7E98" w:rsidRDefault="00FC7E98" w:rsidP="00022224">
            <w:pPr>
              <w:rPr>
                <w:rFonts w:ascii="Times New Roman" w:hAnsi="Times New Roman" w:cs="Times New Roman"/>
                <w:sz w:val="24"/>
                <w:szCs w:val="24"/>
              </w:rPr>
            </w:pPr>
          </w:p>
          <w:p w14:paraId="13914FCA" w14:textId="77777777" w:rsidR="00FC7E98" w:rsidRDefault="00FC7E98" w:rsidP="00022224">
            <w:pPr>
              <w:rPr>
                <w:rFonts w:ascii="Times New Roman" w:hAnsi="Times New Roman" w:cs="Times New Roman"/>
                <w:sz w:val="24"/>
                <w:szCs w:val="24"/>
              </w:rPr>
            </w:pPr>
          </w:p>
          <w:p w14:paraId="48AEB1ED" w14:textId="77777777" w:rsidR="00FC7E98" w:rsidRDefault="00FC7E98" w:rsidP="00022224">
            <w:pPr>
              <w:rPr>
                <w:rFonts w:ascii="Times New Roman" w:hAnsi="Times New Roman" w:cs="Times New Roman"/>
                <w:sz w:val="24"/>
                <w:szCs w:val="24"/>
              </w:rPr>
            </w:pPr>
          </w:p>
          <w:p w14:paraId="70ECBE1E" w14:textId="77777777" w:rsidR="00FC7E98" w:rsidRDefault="00FC7E98" w:rsidP="00022224">
            <w:pPr>
              <w:rPr>
                <w:rFonts w:ascii="Times New Roman" w:hAnsi="Times New Roman" w:cs="Times New Roman"/>
                <w:sz w:val="24"/>
                <w:szCs w:val="24"/>
              </w:rPr>
            </w:pPr>
          </w:p>
          <w:p w14:paraId="454669C0" w14:textId="77777777" w:rsidR="00FC7E98" w:rsidRDefault="00FC7E98" w:rsidP="00022224">
            <w:pPr>
              <w:rPr>
                <w:rFonts w:ascii="Times New Roman" w:hAnsi="Times New Roman" w:cs="Times New Roman"/>
                <w:sz w:val="24"/>
                <w:szCs w:val="24"/>
              </w:rPr>
            </w:pPr>
          </w:p>
          <w:p w14:paraId="3953D779" w14:textId="77777777" w:rsidR="00FC7E98" w:rsidRDefault="00FC7E98" w:rsidP="00022224">
            <w:pPr>
              <w:rPr>
                <w:rFonts w:ascii="Times New Roman" w:hAnsi="Times New Roman" w:cs="Times New Roman"/>
                <w:sz w:val="24"/>
                <w:szCs w:val="24"/>
              </w:rPr>
            </w:pPr>
          </w:p>
          <w:p w14:paraId="607E05EF" w14:textId="77777777" w:rsidR="00FC7E98" w:rsidRDefault="00FC7E98" w:rsidP="00022224">
            <w:pPr>
              <w:rPr>
                <w:rFonts w:ascii="Times New Roman" w:hAnsi="Times New Roman" w:cs="Times New Roman"/>
                <w:sz w:val="24"/>
                <w:szCs w:val="24"/>
              </w:rPr>
            </w:pPr>
          </w:p>
          <w:p w14:paraId="5DB69EE1" w14:textId="77777777" w:rsidR="00FC7E98" w:rsidRDefault="00FC7E98" w:rsidP="00022224">
            <w:pPr>
              <w:rPr>
                <w:rFonts w:ascii="Times New Roman" w:hAnsi="Times New Roman" w:cs="Times New Roman"/>
                <w:sz w:val="24"/>
                <w:szCs w:val="24"/>
              </w:rPr>
            </w:pPr>
          </w:p>
          <w:p w14:paraId="41F9FDA6" w14:textId="77777777" w:rsidR="00FC7E98" w:rsidRDefault="00FC7E98" w:rsidP="00022224">
            <w:pPr>
              <w:rPr>
                <w:rFonts w:ascii="Times New Roman" w:hAnsi="Times New Roman" w:cs="Times New Roman"/>
                <w:sz w:val="24"/>
                <w:szCs w:val="24"/>
              </w:rPr>
            </w:pPr>
          </w:p>
          <w:p w14:paraId="2E848FF7" w14:textId="77777777" w:rsidR="00FC7E98" w:rsidRDefault="00FC7E98" w:rsidP="00022224">
            <w:pPr>
              <w:rPr>
                <w:rFonts w:ascii="Times New Roman" w:hAnsi="Times New Roman" w:cs="Times New Roman"/>
                <w:sz w:val="24"/>
                <w:szCs w:val="24"/>
              </w:rPr>
            </w:pPr>
          </w:p>
          <w:p w14:paraId="2E93B539" w14:textId="77777777" w:rsidR="00FC7E98" w:rsidRDefault="00FC7E98" w:rsidP="00022224">
            <w:pPr>
              <w:rPr>
                <w:rFonts w:ascii="Times New Roman" w:hAnsi="Times New Roman" w:cs="Times New Roman"/>
                <w:sz w:val="24"/>
                <w:szCs w:val="24"/>
              </w:rPr>
            </w:pPr>
          </w:p>
          <w:p w14:paraId="739C11E9" w14:textId="77777777" w:rsidR="00FC7E98" w:rsidRDefault="00FC7E98" w:rsidP="00022224">
            <w:pPr>
              <w:rPr>
                <w:rFonts w:ascii="Times New Roman" w:hAnsi="Times New Roman" w:cs="Times New Roman"/>
                <w:sz w:val="24"/>
                <w:szCs w:val="24"/>
              </w:rPr>
            </w:pPr>
          </w:p>
          <w:p w14:paraId="45681F6A" w14:textId="77777777" w:rsidR="00FC7E98" w:rsidRDefault="00FC7E98" w:rsidP="00022224">
            <w:pPr>
              <w:rPr>
                <w:rFonts w:ascii="Times New Roman" w:hAnsi="Times New Roman" w:cs="Times New Roman"/>
                <w:sz w:val="24"/>
                <w:szCs w:val="24"/>
              </w:rPr>
            </w:pPr>
          </w:p>
          <w:p w14:paraId="468A0471" w14:textId="77777777" w:rsidR="00FC7E98" w:rsidRDefault="00FC7E98" w:rsidP="00022224">
            <w:pPr>
              <w:rPr>
                <w:rFonts w:ascii="Times New Roman" w:hAnsi="Times New Roman" w:cs="Times New Roman"/>
                <w:sz w:val="24"/>
                <w:szCs w:val="24"/>
              </w:rPr>
            </w:pPr>
          </w:p>
          <w:p w14:paraId="37D94236" w14:textId="77777777" w:rsidR="00FC7E98" w:rsidRDefault="00FC7E98" w:rsidP="00022224">
            <w:pPr>
              <w:rPr>
                <w:rFonts w:ascii="Times New Roman" w:hAnsi="Times New Roman" w:cs="Times New Roman"/>
                <w:sz w:val="24"/>
                <w:szCs w:val="24"/>
              </w:rPr>
            </w:pPr>
          </w:p>
          <w:p w14:paraId="24CDDF52" w14:textId="77777777" w:rsidR="00FC7E98" w:rsidRDefault="00FC7E98" w:rsidP="00022224">
            <w:pPr>
              <w:rPr>
                <w:rFonts w:ascii="Times New Roman" w:hAnsi="Times New Roman" w:cs="Times New Roman"/>
                <w:sz w:val="24"/>
                <w:szCs w:val="24"/>
              </w:rPr>
            </w:pPr>
          </w:p>
          <w:p w14:paraId="08FD0E21" w14:textId="77777777" w:rsidR="00FC7E98" w:rsidRDefault="00FC7E98" w:rsidP="00022224">
            <w:pPr>
              <w:rPr>
                <w:rFonts w:ascii="Times New Roman" w:hAnsi="Times New Roman" w:cs="Times New Roman"/>
                <w:sz w:val="24"/>
                <w:szCs w:val="24"/>
              </w:rPr>
            </w:pPr>
          </w:p>
          <w:p w14:paraId="6F13CA72" w14:textId="77777777" w:rsidR="00FC7E98" w:rsidRDefault="00FC7E98" w:rsidP="00022224">
            <w:pPr>
              <w:rPr>
                <w:rFonts w:ascii="Times New Roman" w:hAnsi="Times New Roman" w:cs="Times New Roman"/>
                <w:sz w:val="24"/>
                <w:szCs w:val="24"/>
              </w:rPr>
            </w:pPr>
          </w:p>
          <w:p w14:paraId="654A7C09" w14:textId="77777777" w:rsidR="00FC7E98" w:rsidRDefault="00FC7E98" w:rsidP="00022224">
            <w:pPr>
              <w:rPr>
                <w:rFonts w:ascii="Times New Roman" w:hAnsi="Times New Roman" w:cs="Times New Roman"/>
                <w:sz w:val="24"/>
                <w:szCs w:val="24"/>
              </w:rPr>
            </w:pPr>
          </w:p>
          <w:p w14:paraId="75855296" w14:textId="77777777" w:rsidR="00FC7E98" w:rsidRDefault="00FC7E98" w:rsidP="00022224">
            <w:pPr>
              <w:rPr>
                <w:rFonts w:ascii="Times New Roman" w:hAnsi="Times New Roman" w:cs="Times New Roman"/>
                <w:sz w:val="24"/>
                <w:szCs w:val="24"/>
              </w:rPr>
            </w:pPr>
          </w:p>
          <w:p w14:paraId="16BE4539" w14:textId="77777777" w:rsidR="00FC7E98" w:rsidRDefault="00FC7E98" w:rsidP="00022224">
            <w:pPr>
              <w:rPr>
                <w:rFonts w:ascii="Times New Roman" w:hAnsi="Times New Roman" w:cs="Times New Roman"/>
                <w:sz w:val="24"/>
                <w:szCs w:val="24"/>
              </w:rPr>
            </w:pPr>
          </w:p>
          <w:p w14:paraId="1C725195" w14:textId="77777777" w:rsidR="00FC7E98" w:rsidRDefault="00FC7E98" w:rsidP="00022224">
            <w:pPr>
              <w:rPr>
                <w:rFonts w:ascii="Times New Roman" w:hAnsi="Times New Roman" w:cs="Times New Roman"/>
                <w:sz w:val="24"/>
                <w:szCs w:val="24"/>
              </w:rPr>
            </w:pPr>
          </w:p>
          <w:p w14:paraId="68B08B9B" w14:textId="77777777" w:rsidR="00FC7E98" w:rsidRDefault="00FC7E98" w:rsidP="00022224">
            <w:pPr>
              <w:rPr>
                <w:rFonts w:ascii="Times New Roman" w:hAnsi="Times New Roman" w:cs="Times New Roman"/>
                <w:sz w:val="24"/>
                <w:szCs w:val="24"/>
              </w:rPr>
            </w:pPr>
          </w:p>
          <w:p w14:paraId="57E8A847" w14:textId="77777777" w:rsidR="00FC7E98" w:rsidRDefault="00FC7E98" w:rsidP="00022224">
            <w:pPr>
              <w:rPr>
                <w:rFonts w:ascii="Times New Roman" w:hAnsi="Times New Roman" w:cs="Times New Roman"/>
                <w:sz w:val="24"/>
                <w:szCs w:val="24"/>
              </w:rPr>
            </w:pPr>
          </w:p>
          <w:p w14:paraId="138C8602" w14:textId="77777777" w:rsidR="00FC7E98" w:rsidRDefault="00FC7E98" w:rsidP="00022224">
            <w:pPr>
              <w:rPr>
                <w:rFonts w:ascii="Times New Roman" w:hAnsi="Times New Roman" w:cs="Times New Roman"/>
                <w:sz w:val="24"/>
                <w:szCs w:val="24"/>
              </w:rPr>
            </w:pPr>
          </w:p>
          <w:p w14:paraId="10FDC8E1" w14:textId="77777777" w:rsidR="00FC7E98" w:rsidRDefault="00FC7E98" w:rsidP="00022224">
            <w:pPr>
              <w:rPr>
                <w:rFonts w:ascii="Times New Roman" w:hAnsi="Times New Roman" w:cs="Times New Roman"/>
                <w:sz w:val="24"/>
                <w:szCs w:val="24"/>
              </w:rPr>
            </w:pPr>
          </w:p>
          <w:p w14:paraId="73102485" w14:textId="77777777" w:rsidR="00FC7E98" w:rsidRDefault="00FC7E98" w:rsidP="00022224">
            <w:pPr>
              <w:rPr>
                <w:rFonts w:ascii="Times New Roman" w:hAnsi="Times New Roman" w:cs="Times New Roman"/>
                <w:sz w:val="24"/>
                <w:szCs w:val="24"/>
              </w:rPr>
            </w:pPr>
          </w:p>
          <w:p w14:paraId="4D55F8C7" w14:textId="77777777" w:rsidR="00FC7E98" w:rsidRDefault="00FC7E98" w:rsidP="00022224">
            <w:pPr>
              <w:rPr>
                <w:rFonts w:ascii="Times New Roman" w:hAnsi="Times New Roman" w:cs="Times New Roman"/>
                <w:sz w:val="24"/>
                <w:szCs w:val="24"/>
              </w:rPr>
            </w:pPr>
          </w:p>
          <w:p w14:paraId="7635CADF" w14:textId="77777777" w:rsidR="00FC7E98" w:rsidRDefault="00FC7E98" w:rsidP="00022224">
            <w:pPr>
              <w:rPr>
                <w:rFonts w:ascii="Times New Roman" w:hAnsi="Times New Roman" w:cs="Times New Roman"/>
                <w:sz w:val="24"/>
                <w:szCs w:val="24"/>
              </w:rPr>
            </w:pPr>
          </w:p>
          <w:p w14:paraId="08B4D263" w14:textId="77777777" w:rsidR="00FC7E98" w:rsidRDefault="00FC7E98" w:rsidP="00022224">
            <w:pPr>
              <w:rPr>
                <w:rFonts w:ascii="Times New Roman" w:hAnsi="Times New Roman" w:cs="Times New Roman"/>
                <w:sz w:val="24"/>
                <w:szCs w:val="24"/>
              </w:rPr>
            </w:pPr>
          </w:p>
          <w:p w14:paraId="1BF7DFBB" w14:textId="77777777" w:rsidR="00FC7E98" w:rsidRDefault="00FC7E98" w:rsidP="00022224">
            <w:pPr>
              <w:rPr>
                <w:rFonts w:ascii="Times New Roman" w:hAnsi="Times New Roman" w:cs="Times New Roman"/>
                <w:sz w:val="24"/>
                <w:szCs w:val="24"/>
              </w:rPr>
            </w:pPr>
          </w:p>
          <w:p w14:paraId="0F4ED284" w14:textId="77777777" w:rsidR="00FC7E98" w:rsidRDefault="00FC7E98" w:rsidP="00022224">
            <w:pPr>
              <w:rPr>
                <w:rFonts w:ascii="Times New Roman" w:hAnsi="Times New Roman" w:cs="Times New Roman"/>
                <w:sz w:val="24"/>
                <w:szCs w:val="24"/>
              </w:rPr>
            </w:pPr>
          </w:p>
          <w:p w14:paraId="5DEED3AA" w14:textId="77777777" w:rsidR="00FC7E98" w:rsidRDefault="00FC7E98" w:rsidP="00022224">
            <w:pPr>
              <w:rPr>
                <w:rFonts w:ascii="Times New Roman" w:hAnsi="Times New Roman" w:cs="Times New Roman"/>
                <w:sz w:val="24"/>
                <w:szCs w:val="24"/>
              </w:rPr>
            </w:pPr>
          </w:p>
          <w:p w14:paraId="2E3B0610" w14:textId="77777777" w:rsidR="00FC7E98" w:rsidRDefault="00FC7E98" w:rsidP="00022224">
            <w:pPr>
              <w:rPr>
                <w:rFonts w:ascii="Times New Roman" w:hAnsi="Times New Roman" w:cs="Times New Roman"/>
                <w:sz w:val="24"/>
                <w:szCs w:val="24"/>
              </w:rPr>
            </w:pPr>
          </w:p>
          <w:p w14:paraId="29645D78" w14:textId="77777777" w:rsidR="00FC7E98" w:rsidRDefault="00FC7E98" w:rsidP="00022224">
            <w:pPr>
              <w:rPr>
                <w:rFonts w:ascii="Times New Roman" w:hAnsi="Times New Roman" w:cs="Times New Roman"/>
                <w:sz w:val="24"/>
                <w:szCs w:val="24"/>
              </w:rPr>
            </w:pPr>
          </w:p>
          <w:p w14:paraId="0A628D47" w14:textId="77777777" w:rsidR="00FC7E98" w:rsidRDefault="00FC7E98" w:rsidP="00022224">
            <w:pPr>
              <w:rPr>
                <w:rFonts w:ascii="Times New Roman" w:hAnsi="Times New Roman" w:cs="Times New Roman"/>
                <w:sz w:val="24"/>
                <w:szCs w:val="24"/>
              </w:rPr>
            </w:pPr>
          </w:p>
          <w:p w14:paraId="01D2979E" w14:textId="77777777" w:rsidR="00FC7E98" w:rsidRDefault="00FC7E98" w:rsidP="00022224">
            <w:pPr>
              <w:rPr>
                <w:rFonts w:ascii="Times New Roman" w:hAnsi="Times New Roman" w:cs="Times New Roman"/>
                <w:sz w:val="24"/>
                <w:szCs w:val="24"/>
              </w:rPr>
            </w:pPr>
          </w:p>
          <w:p w14:paraId="070F2C11" w14:textId="77777777" w:rsidR="00FC7E98" w:rsidRDefault="00FC7E98" w:rsidP="00022224">
            <w:pPr>
              <w:rPr>
                <w:rFonts w:ascii="Times New Roman" w:hAnsi="Times New Roman" w:cs="Times New Roman"/>
                <w:sz w:val="24"/>
                <w:szCs w:val="24"/>
              </w:rPr>
            </w:pPr>
          </w:p>
          <w:p w14:paraId="6C1A4D56" w14:textId="77777777" w:rsidR="00FC7E98" w:rsidRDefault="00FC7E98" w:rsidP="00022224">
            <w:pPr>
              <w:rPr>
                <w:rFonts w:ascii="Times New Roman" w:hAnsi="Times New Roman" w:cs="Times New Roman"/>
                <w:sz w:val="24"/>
                <w:szCs w:val="24"/>
              </w:rPr>
            </w:pPr>
          </w:p>
          <w:p w14:paraId="4815BFD0" w14:textId="77777777" w:rsidR="00FC7E98" w:rsidRDefault="00FC7E98" w:rsidP="00022224">
            <w:pPr>
              <w:rPr>
                <w:rFonts w:ascii="Times New Roman" w:hAnsi="Times New Roman" w:cs="Times New Roman"/>
                <w:sz w:val="24"/>
                <w:szCs w:val="24"/>
              </w:rPr>
            </w:pPr>
          </w:p>
          <w:p w14:paraId="056C688E" w14:textId="77777777" w:rsidR="00FC7E98" w:rsidRDefault="00FC7E98" w:rsidP="00022224">
            <w:pPr>
              <w:rPr>
                <w:rFonts w:ascii="Times New Roman" w:hAnsi="Times New Roman" w:cs="Times New Roman"/>
                <w:sz w:val="24"/>
                <w:szCs w:val="24"/>
              </w:rPr>
            </w:pPr>
          </w:p>
          <w:p w14:paraId="2AF3C8D5" w14:textId="77777777" w:rsidR="00FC7E98" w:rsidRDefault="00FC7E98" w:rsidP="00022224">
            <w:pPr>
              <w:rPr>
                <w:rFonts w:ascii="Times New Roman" w:hAnsi="Times New Roman" w:cs="Times New Roman"/>
                <w:sz w:val="24"/>
                <w:szCs w:val="24"/>
              </w:rPr>
            </w:pPr>
          </w:p>
          <w:p w14:paraId="656C6486" w14:textId="77777777" w:rsidR="00FC7E98" w:rsidRDefault="00FC7E98" w:rsidP="00022224">
            <w:pPr>
              <w:rPr>
                <w:rFonts w:ascii="Times New Roman" w:hAnsi="Times New Roman" w:cs="Times New Roman"/>
                <w:sz w:val="24"/>
                <w:szCs w:val="24"/>
              </w:rPr>
            </w:pPr>
          </w:p>
          <w:p w14:paraId="0A595E05" w14:textId="77777777" w:rsidR="00FC7E98" w:rsidRDefault="00FC7E98" w:rsidP="00022224">
            <w:pPr>
              <w:rPr>
                <w:rFonts w:ascii="Times New Roman" w:hAnsi="Times New Roman" w:cs="Times New Roman"/>
                <w:sz w:val="24"/>
                <w:szCs w:val="24"/>
              </w:rPr>
            </w:pPr>
          </w:p>
          <w:p w14:paraId="2178AA87" w14:textId="77777777" w:rsidR="00FC7E98" w:rsidRDefault="00FC7E98" w:rsidP="00022224">
            <w:pPr>
              <w:rPr>
                <w:rFonts w:ascii="Times New Roman" w:hAnsi="Times New Roman" w:cs="Times New Roman"/>
                <w:sz w:val="24"/>
                <w:szCs w:val="24"/>
              </w:rPr>
            </w:pPr>
          </w:p>
          <w:p w14:paraId="2D32C62D" w14:textId="77777777" w:rsidR="00FC7E98" w:rsidRDefault="00FC7E98" w:rsidP="00022224">
            <w:pPr>
              <w:rPr>
                <w:rFonts w:ascii="Times New Roman" w:hAnsi="Times New Roman" w:cs="Times New Roman"/>
                <w:sz w:val="24"/>
                <w:szCs w:val="24"/>
              </w:rPr>
            </w:pPr>
          </w:p>
          <w:p w14:paraId="0FE96A9E" w14:textId="77777777" w:rsidR="00FC7E98" w:rsidRDefault="00FC7E98" w:rsidP="00022224">
            <w:pPr>
              <w:rPr>
                <w:rFonts w:ascii="Times New Roman" w:hAnsi="Times New Roman" w:cs="Times New Roman"/>
                <w:sz w:val="24"/>
                <w:szCs w:val="24"/>
              </w:rPr>
            </w:pPr>
          </w:p>
          <w:p w14:paraId="08ABE0B4" w14:textId="77777777" w:rsidR="00FC7E98" w:rsidRDefault="00FC7E98" w:rsidP="00022224">
            <w:pPr>
              <w:rPr>
                <w:rFonts w:ascii="Times New Roman" w:hAnsi="Times New Roman" w:cs="Times New Roman"/>
                <w:sz w:val="24"/>
                <w:szCs w:val="24"/>
              </w:rPr>
            </w:pPr>
          </w:p>
          <w:p w14:paraId="44D820CC" w14:textId="77777777" w:rsidR="00FC7E98" w:rsidRDefault="00FC7E98" w:rsidP="00022224">
            <w:pPr>
              <w:rPr>
                <w:rFonts w:ascii="Times New Roman" w:hAnsi="Times New Roman" w:cs="Times New Roman"/>
                <w:sz w:val="24"/>
                <w:szCs w:val="24"/>
              </w:rPr>
            </w:pPr>
          </w:p>
          <w:p w14:paraId="326F0FEC" w14:textId="77777777" w:rsidR="00FC7E98" w:rsidRDefault="00FC7E98" w:rsidP="00022224">
            <w:pPr>
              <w:rPr>
                <w:rFonts w:ascii="Times New Roman" w:hAnsi="Times New Roman" w:cs="Times New Roman"/>
                <w:sz w:val="24"/>
                <w:szCs w:val="24"/>
              </w:rPr>
            </w:pPr>
          </w:p>
          <w:p w14:paraId="69C29418" w14:textId="77777777" w:rsidR="00FC7E98" w:rsidRDefault="00FC7E98" w:rsidP="00022224">
            <w:pPr>
              <w:rPr>
                <w:rFonts w:ascii="Times New Roman" w:hAnsi="Times New Roman" w:cs="Times New Roman"/>
                <w:sz w:val="24"/>
                <w:szCs w:val="24"/>
              </w:rPr>
            </w:pPr>
          </w:p>
          <w:p w14:paraId="68B841DF" w14:textId="77777777" w:rsidR="00FC7E98" w:rsidRDefault="00FC7E98" w:rsidP="00022224">
            <w:pPr>
              <w:rPr>
                <w:rFonts w:ascii="Times New Roman" w:hAnsi="Times New Roman" w:cs="Times New Roman"/>
                <w:sz w:val="24"/>
                <w:szCs w:val="24"/>
              </w:rPr>
            </w:pPr>
          </w:p>
          <w:p w14:paraId="7FC3EA17" w14:textId="77777777" w:rsidR="00FC7E98" w:rsidRDefault="00FC7E98" w:rsidP="00022224">
            <w:pPr>
              <w:rPr>
                <w:rFonts w:ascii="Times New Roman" w:hAnsi="Times New Roman" w:cs="Times New Roman"/>
                <w:sz w:val="24"/>
                <w:szCs w:val="24"/>
              </w:rPr>
            </w:pPr>
          </w:p>
          <w:p w14:paraId="19F86BA5" w14:textId="77777777" w:rsidR="00FC7E98" w:rsidRDefault="00FC7E98" w:rsidP="00022224">
            <w:pPr>
              <w:rPr>
                <w:rFonts w:ascii="Times New Roman" w:hAnsi="Times New Roman" w:cs="Times New Roman"/>
                <w:sz w:val="24"/>
                <w:szCs w:val="24"/>
              </w:rPr>
            </w:pPr>
          </w:p>
          <w:p w14:paraId="6A465302" w14:textId="77777777" w:rsidR="00FC7E98" w:rsidRDefault="00FC7E98" w:rsidP="00022224">
            <w:pPr>
              <w:rPr>
                <w:rFonts w:ascii="Times New Roman" w:hAnsi="Times New Roman" w:cs="Times New Roman"/>
                <w:sz w:val="24"/>
                <w:szCs w:val="24"/>
              </w:rPr>
            </w:pPr>
          </w:p>
          <w:p w14:paraId="26EB6B2A" w14:textId="77777777" w:rsidR="00FC7E98" w:rsidRDefault="00FC7E98" w:rsidP="00022224">
            <w:pPr>
              <w:rPr>
                <w:rFonts w:ascii="Times New Roman" w:hAnsi="Times New Roman" w:cs="Times New Roman"/>
                <w:sz w:val="24"/>
                <w:szCs w:val="24"/>
              </w:rPr>
            </w:pPr>
          </w:p>
          <w:p w14:paraId="307AF244" w14:textId="77777777" w:rsidR="00FC7E98" w:rsidRDefault="00FC7E98" w:rsidP="00022224">
            <w:pPr>
              <w:rPr>
                <w:rFonts w:ascii="Times New Roman" w:hAnsi="Times New Roman" w:cs="Times New Roman"/>
                <w:sz w:val="24"/>
                <w:szCs w:val="24"/>
              </w:rPr>
            </w:pPr>
          </w:p>
          <w:p w14:paraId="77ACE388" w14:textId="77777777" w:rsidR="00FC7E98" w:rsidRDefault="00FC7E98" w:rsidP="00022224">
            <w:pPr>
              <w:rPr>
                <w:rFonts w:ascii="Times New Roman" w:hAnsi="Times New Roman" w:cs="Times New Roman"/>
                <w:sz w:val="24"/>
                <w:szCs w:val="24"/>
              </w:rPr>
            </w:pPr>
          </w:p>
          <w:p w14:paraId="3EA1C786" w14:textId="77777777" w:rsidR="00FC7E98" w:rsidRDefault="00FC7E98" w:rsidP="00022224">
            <w:pPr>
              <w:rPr>
                <w:rFonts w:ascii="Times New Roman" w:hAnsi="Times New Roman" w:cs="Times New Roman"/>
                <w:sz w:val="24"/>
                <w:szCs w:val="24"/>
              </w:rPr>
            </w:pPr>
          </w:p>
          <w:p w14:paraId="5F7047E7" w14:textId="77777777" w:rsidR="00FC7E98" w:rsidRDefault="00FC7E98" w:rsidP="00022224">
            <w:pPr>
              <w:rPr>
                <w:rFonts w:ascii="Times New Roman" w:hAnsi="Times New Roman" w:cs="Times New Roman"/>
                <w:sz w:val="24"/>
                <w:szCs w:val="24"/>
              </w:rPr>
            </w:pPr>
          </w:p>
          <w:p w14:paraId="71835C28" w14:textId="77777777" w:rsidR="00FC7E98" w:rsidRDefault="00FC7E98" w:rsidP="00022224">
            <w:pPr>
              <w:rPr>
                <w:rFonts w:ascii="Times New Roman" w:hAnsi="Times New Roman" w:cs="Times New Roman"/>
                <w:sz w:val="24"/>
                <w:szCs w:val="24"/>
              </w:rPr>
            </w:pPr>
          </w:p>
          <w:p w14:paraId="5773524E" w14:textId="77777777" w:rsidR="00FC7E98" w:rsidRDefault="00FC7E98" w:rsidP="00022224">
            <w:pPr>
              <w:rPr>
                <w:rFonts w:ascii="Times New Roman" w:hAnsi="Times New Roman" w:cs="Times New Roman"/>
                <w:sz w:val="24"/>
                <w:szCs w:val="24"/>
              </w:rPr>
            </w:pPr>
          </w:p>
          <w:p w14:paraId="7E296A33" w14:textId="77777777" w:rsidR="00FC7E98" w:rsidRDefault="00FC7E98" w:rsidP="00022224">
            <w:pPr>
              <w:rPr>
                <w:rFonts w:ascii="Times New Roman" w:hAnsi="Times New Roman" w:cs="Times New Roman"/>
                <w:sz w:val="24"/>
                <w:szCs w:val="24"/>
              </w:rPr>
            </w:pPr>
          </w:p>
          <w:p w14:paraId="15DC2E00" w14:textId="77777777" w:rsidR="00FC7E98" w:rsidRDefault="00FC7E98" w:rsidP="00022224">
            <w:pPr>
              <w:rPr>
                <w:rFonts w:ascii="Times New Roman" w:hAnsi="Times New Roman" w:cs="Times New Roman"/>
                <w:sz w:val="24"/>
                <w:szCs w:val="24"/>
              </w:rPr>
            </w:pPr>
          </w:p>
          <w:p w14:paraId="3ADD7910" w14:textId="77777777" w:rsidR="00FC7E98" w:rsidRDefault="00FC7E98" w:rsidP="00022224">
            <w:pPr>
              <w:rPr>
                <w:rFonts w:ascii="Times New Roman" w:hAnsi="Times New Roman" w:cs="Times New Roman"/>
                <w:sz w:val="24"/>
                <w:szCs w:val="24"/>
              </w:rPr>
            </w:pPr>
          </w:p>
          <w:p w14:paraId="5D7A2417" w14:textId="77777777" w:rsidR="00FC7E98" w:rsidRDefault="00FC7E98" w:rsidP="00022224">
            <w:pPr>
              <w:rPr>
                <w:rFonts w:ascii="Times New Roman" w:hAnsi="Times New Roman" w:cs="Times New Roman"/>
                <w:sz w:val="24"/>
                <w:szCs w:val="24"/>
              </w:rPr>
            </w:pPr>
          </w:p>
          <w:p w14:paraId="31C778EC" w14:textId="77777777" w:rsidR="00FC7E98" w:rsidRDefault="00FC7E98" w:rsidP="00022224">
            <w:pPr>
              <w:rPr>
                <w:rFonts w:ascii="Times New Roman" w:hAnsi="Times New Roman" w:cs="Times New Roman"/>
                <w:sz w:val="24"/>
                <w:szCs w:val="24"/>
              </w:rPr>
            </w:pPr>
          </w:p>
          <w:p w14:paraId="4C76C528" w14:textId="77777777" w:rsidR="00FC7E98" w:rsidRDefault="00FC7E98" w:rsidP="00022224">
            <w:pPr>
              <w:rPr>
                <w:rFonts w:ascii="Times New Roman" w:hAnsi="Times New Roman" w:cs="Times New Roman"/>
                <w:sz w:val="24"/>
                <w:szCs w:val="24"/>
              </w:rPr>
            </w:pPr>
          </w:p>
          <w:p w14:paraId="03767E0E" w14:textId="77777777" w:rsidR="00FC7E98" w:rsidRDefault="00FC7E98" w:rsidP="00022224">
            <w:pPr>
              <w:rPr>
                <w:rFonts w:ascii="Times New Roman" w:hAnsi="Times New Roman" w:cs="Times New Roman"/>
                <w:sz w:val="24"/>
                <w:szCs w:val="24"/>
              </w:rPr>
            </w:pPr>
          </w:p>
          <w:p w14:paraId="73CE8F7D" w14:textId="77777777" w:rsidR="00FC7E98" w:rsidRDefault="00FC7E98" w:rsidP="00022224">
            <w:pPr>
              <w:rPr>
                <w:rFonts w:ascii="Times New Roman" w:hAnsi="Times New Roman" w:cs="Times New Roman"/>
                <w:sz w:val="24"/>
                <w:szCs w:val="24"/>
              </w:rPr>
            </w:pPr>
          </w:p>
          <w:p w14:paraId="56639549" w14:textId="77777777" w:rsidR="00FC7E98" w:rsidRDefault="00FC7E98" w:rsidP="00022224">
            <w:pPr>
              <w:rPr>
                <w:rFonts w:ascii="Times New Roman" w:hAnsi="Times New Roman" w:cs="Times New Roman"/>
                <w:sz w:val="24"/>
                <w:szCs w:val="24"/>
              </w:rPr>
            </w:pPr>
          </w:p>
          <w:p w14:paraId="4562FA7E" w14:textId="77777777" w:rsidR="00FC7E98" w:rsidRDefault="00FC7E98" w:rsidP="00022224">
            <w:pPr>
              <w:rPr>
                <w:rFonts w:ascii="Times New Roman" w:hAnsi="Times New Roman" w:cs="Times New Roman"/>
                <w:sz w:val="24"/>
                <w:szCs w:val="24"/>
              </w:rPr>
            </w:pPr>
          </w:p>
          <w:p w14:paraId="01309FF9" w14:textId="77777777" w:rsidR="00FC7E98" w:rsidRDefault="00FC7E98" w:rsidP="00022224">
            <w:pPr>
              <w:rPr>
                <w:rFonts w:ascii="Times New Roman" w:hAnsi="Times New Roman" w:cs="Times New Roman"/>
                <w:sz w:val="24"/>
                <w:szCs w:val="24"/>
              </w:rPr>
            </w:pPr>
          </w:p>
          <w:p w14:paraId="4175D206" w14:textId="77777777" w:rsidR="00FC7E98" w:rsidRDefault="00FC7E98" w:rsidP="00022224">
            <w:pPr>
              <w:rPr>
                <w:rFonts w:ascii="Times New Roman" w:hAnsi="Times New Roman" w:cs="Times New Roman"/>
                <w:sz w:val="24"/>
                <w:szCs w:val="24"/>
              </w:rPr>
            </w:pPr>
          </w:p>
          <w:p w14:paraId="6006FD5B" w14:textId="77777777" w:rsidR="00FC7E98" w:rsidRDefault="00FC7E98" w:rsidP="00022224">
            <w:pPr>
              <w:rPr>
                <w:rFonts w:ascii="Times New Roman" w:hAnsi="Times New Roman" w:cs="Times New Roman"/>
                <w:sz w:val="24"/>
                <w:szCs w:val="24"/>
              </w:rPr>
            </w:pPr>
          </w:p>
          <w:p w14:paraId="073274D0" w14:textId="77777777" w:rsidR="00FC7E98" w:rsidRDefault="00FC7E98" w:rsidP="00022224">
            <w:pPr>
              <w:rPr>
                <w:rFonts w:ascii="Times New Roman" w:hAnsi="Times New Roman" w:cs="Times New Roman"/>
                <w:sz w:val="24"/>
                <w:szCs w:val="24"/>
              </w:rPr>
            </w:pPr>
          </w:p>
          <w:p w14:paraId="35B8007E" w14:textId="77777777" w:rsidR="00FC7E98" w:rsidRDefault="00FC7E98" w:rsidP="00022224">
            <w:pPr>
              <w:rPr>
                <w:rFonts w:ascii="Times New Roman" w:hAnsi="Times New Roman" w:cs="Times New Roman"/>
                <w:sz w:val="24"/>
                <w:szCs w:val="24"/>
              </w:rPr>
            </w:pPr>
          </w:p>
          <w:p w14:paraId="6EF7ACB3" w14:textId="77777777" w:rsidR="00FC7E98" w:rsidRDefault="00FC7E98" w:rsidP="00022224">
            <w:pPr>
              <w:rPr>
                <w:rFonts w:ascii="Times New Roman" w:hAnsi="Times New Roman" w:cs="Times New Roman"/>
                <w:sz w:val="24"/>
                <w:szCs w:val="24"/>
              </w:rPr>
            </w:pPr>
          </w:p>
          <w:p w14:paraId="2EA94172" w14:textId="77777777" w:rsidR="00FC7E98" w:rsidRDefault="00FC7E98" w:rsidP="00022224">
            <w:pPr>
              <w:rPr>
                <w:rFonts w:ascii="Times New Roman" w:hAnsi="Times New Roman" w:cs="Times New Roman"/>
                <w:sz w:val="24"/>
                <w:szCs w:val="24"/>
              </w:rPr>
            </w:pPr>
          </w:p>
          <w:p w14:paraId="2E4073FA" w14:textId="77777777" w:rsidR="00FC7E98" w:rsidRDefault="00FC7E98" w:rsidP="00022224">
            <w:pPr>
              <w:rPr>
                <w:rFonts w:ascii="Times New Roman" w:hAnsi="Times New Roman" w:cs="Times New Roman"/>
                <w:sz w:val="24"/>
                <w:szCs w:val="24"/>
              </w:rPr>
            </w:pPr>
          </w:p>
          <w:p w14:paraId="79AE152F" w14:textId="77777777" w:rsidR="00FC7E98" w:rsidRDefault="00FC7E98" w:rsidP="00022224">
            <w:pPr>
              <w:rPr>
                <w:rFonts w:ascii="Times New Roman" w:hAnsi="Times New Roman" w:cs="Times New Roman"/>
                <w:sz w:val="24"/>
                <w:szCs w:val="24"/>
              </w:rPr>
            </w:pPr>
          </w:p>
          <w:p w14:paraId="266FA456" w14:textId="77777777" w:rsidR="00FC7E98" w:rsidRDefault="00FC7E98" w:rsidP="00022224">
            <w:pPr>
              <w:rPr>
                <w:rFonts w:ascii="Times New Roman" w:hAnsi="Times New Roman" w:cs="Times New Roman"/>
                <w:sz w:val="24"/>
                <w:szCs w:val="24"/>
              </w:rPr>
            </w:pPr>
          </w:p>
          <w:p w14:paraId="24003F40" w14:textId="77777777" w:rsidR="00FC7E98" w:rsidRDefault="00FC7E98" w:rsidP="00022224">
            <w:pPr>
              <w:rPr>
                <w:rFonts w:ascii="Times New Roman" w:hAnsi="Times New Roman" w:cs="Times New Roman"/>
                <w:sz w:val="24"/>
                <w:szCs w:val="24"/>
              </w:rPr>
            </w:pPr>
          </w:p>
          <w:p w14:paraId="38874315" w14:textId="77777777" w:rsidR="00FC7E98" w:rsidRDefault="00FC7E98" w:rsidP="00022224">
            <w:pPr>
              <w:rPr>
                <w:rFonts w:ascii="Times New Roman" w:hAnsi="Times New Roman" w:cs="Times New Roman"/>
                <w:sz w:val="24"/>
                <w:szCs w:val="24"/>
              </w:rPr>
            </w:pPr>
          </w:p>
          <w:p w14:paraId="38254563" w14:textId="77777777" w:rsidR="00FC7E98" w:rsidRDefault="00FC7E98" w:rsidP="00022224">
            <w:pPr>
              <w:rPr>
                <w:rFonts w:ascii="Times New Roman" w:hAnsi="Times New Roman" w:cs="Times New Roman"/>
                <w:sz w:val="24"/>
                <w:szCs w:val="24"/>
              </w:rPr>
            </w:pPr>
          </w:p>
          <w:p w14:paraId="08E3A8C1" w14:textId="77777777" w:rsidR="00FC7E98" w:rsidRDefault="00FC7E98" w:rsidP="00022224">
            <w:pPr>
              <w:rPr>
                <w:rFonts w:ascii="Times New Roman" w:hAnsi="Times New Roman" w:cs="Times New Roman"/>
                <w:sz w:val="24"/>
                <w:szCs w:val="24"/>
              </w:rPr>
            </w:pPr>
          </w:p>
          <w:p w14:paraId="20CDBA06" w14:textId="77777777" w:rsidR="00FC7E98" w:rsidRDefault="00FC7E98" w:rsidP="00022224">
            <w:pPr>
              <w:rPr>
                <w:rFonts w:ascii="Times New Roman" w:hAnsi="Times New Roman" w:cs="Times New Roman"/>
                <w:sz w:val="24"/>
                <w:szCs w:val="24"/>
              </w:rPr>
            </w:pPr>
          </w:p>
          <w:p w14:paraId="0F663DB7" w14:textId="77777777" w:rsidR="00FC7E98" w:rsidRDefault="00FC7E98" w:rsidP="00022224">
            <w:pPr>
              <w:rPr>
                <w:rFonts w:ascii="Times New Roman" w:hAnsi="Times New Roman" w:cs="Times New Roman"/>
                <w:sz w:val="24"/>
                <w:szCs w:val="24"/>
              </w:rPr>
            </w:pPr>
          </w:p>
          <w:p w14:paraId="605A5E89" w14:textId="77777777" w:rsidR="00FC7E98" w:rsidRDefault="00FC7E98" w:rsidP="00022224">
            <w:pPr>
              <w:rPr>
                <w:rFonts w:ascii="Times New Roman" w:hAnsi="Times New Roman" w:cs="Times New Roman"/>
                <w:sz w:val="24"/>
                <w:szCs w:val="24"/>
              </w:rPr>
            </w:pPr>
          </w:p>
          <w:p w14:paraId="05E98B6F" w14:textId="77777777" w:rsidR="00FC7E98" w:rsidRDefault="00FC7E98" w:rsidP="00022224">
            <w:pPr>
              <w:rPr>
                <w:rFonts w:ascii="Times New Roman" w:hAnsi="Times New Roman" w:cs="Times New Roman"/>
                <w:sz w:val="24"/>
                <w:szCs w:val="24"/>
              </w:rPr>
            </w:pPr>
          </w:p>
          <w:p w14:paraId="6B96D6BF" w14:textId="77777777" w:rsidR="00FC7E98" w:rsidRDefault="00FC7E98" w:rsidP="00022224">
            <w:pPr>
              <w:rPr>
                <w:rFonts w:ascii="Times New Roman" w:hAnsi="Times New Roman" w:cs="Times New Roman"/>
                <w:sz w:val="24"/>
                <w:szCs w:val="24"/>
              </w:rPr>
            </w:pPr>
          </w:p>
          <w:p w14:paraId="14B94AC9" w14:textId="77777777" w:rsidR="00FC7E98" w:rsidRDefault="00FC7E98" w:rsidP="00022224">
            <w:pPr>
              <w:rPr>
                <w:rFonts w:ascii="Times New Roman" w:hAnsi="Times New Roman" w:cs="Times New Roman"/>
                <w:sz w:val="24"/>
                <w:szCs w:val="24"/>
              </w:rPr>
            </w:pPr>
          </w:p>
          <w:p w14:paraId="2376BBFD" w14:textId="77777777" w:rsidR="00FC7E98" w:rsidRDefault="00FC7E98" w:rsidP="00022224">
            <w:pPr>
              <w:rPr>
                <w:rFonts w:ascii="Times New Roman" w:hAnsi="Times New Roman" w:cs="Times New Roman"/>
                <w:sz w:val="24"/>
                <w:szCs w:val="24"/>
              </w:rPr>
            </w:pPr>
          </w:p>
          <w:p w14:paraId="1D16B0E1" w14:textId="77777777" w:rsidR="00FC7E98" w:rsidRDefault="00FC7E98" w:rsidP="00022224">
            <w:pPr>
              <w:rPr>
                <w:rFonts w:ascii="Times New Roman" w:hAnsi="Times New Roman" w:cs="Times New Roman"/>
                <w:sz w:val="24"/>
                <w:szCs w:val="24"/>
              </w:rPr>
            </w:pPr>
          </w:p>
          <w:p w14:paraId="0A8C64A9" w14:textId="77777777" w:rsidR="00FC7E98" w:rsidRDefault="00FC7E98" w:rsidP="00022224">
            <w:pPr>
              <w:rPr>
                <w:rFonts w:ascii="Times New Roman" w:hAnsi="Times New Roman" w:cs="Times New Roman"/>
                <w:sz w:val="24"/>
                <w:szCs w:val="24"/>
              </w:rPr>
            </w:pPr>
          </w:p>
          <w:p w14:paraId="46FE4E5B" w14:textId="77777777" w:rsidR="00FC7E98" w:rsidRDefault="00FC7E98" w:rsidP="00022224">
            <w:pPr>
              <w:rPr>
                <w:rFonts w:ascii="Times New Roman" w:hAnsi="Times New Roman" w:cs="Times New Roman"/>
                <w:sz w:val="24"/>
                <w:szCs w:val="24"/>
              </w:rPr>
            </w:pPr>
          </w:p>
          <w:p w14:paraId="1412753A" w14:textId="3AD62778" w:rsidR="00FC7E98" w:rsidRDefault="00FC7E98" w:rsidP="00022224">
            <w:pPr>
              <w:rPr>
                <w:rFonts w:ascii="Times New Roman" w:hAnsi="Times New Roman" w:cs="Times New Roman"/>
                <w:sz w:val="24"/>
                <w:szCs w:val="24"/>
              </w:rPr>
            </w:pPr>
            <w:r>
              <w:rPr>
                <w:rFonts w:ascii="Times New Roman" w:hAnsi="Times New Roman" w:cs="Times New Roman"/>
                <w:sz w:val="24"/>
                <w:szCs w:val="24"/>
              </w:rPr>
              <w:lastRenderedPageBreak/>
              <w:t>Staff disagrees the reporting requirements of the proposed rules in WAC 480-90-178(5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 and WAC 480-100-178(5)(c) are overly burdensome. Staff believes the one-time initial report with updates as necessary would be helpful for the following reasons: (1) It serves as a frame of reference when reviewing the companies’ procedures; and (2) The plans can be helpful in comparing best practices of the regulated companies.</w:t>
            </w:r>
          </w:p>
          <w:p w14:paraId="2327E818" w14:textId="77777777" w:rsidR="00FC7E98" w:rsidRDefault="00FC7E98" w:rsidP="00022224">
            <w:pPr>
              <w:rPr>
                <w:rFonts w:ascii="Times New Roman" w:hAnsi="Times New Roman" w:cs="Times New Roman"/>
                <w:sz w:val="24"/>
                <w:szCs w:val="24"/>
              </w:rPr>
            </w:pPr>
          </w:p>
          <w:p w14:paraId="4CFFB922" w14:textId="77777777" w:rsidR="00FC7E98" w:rsidRDefault="00FC7E98" w:rsidP="00022224">
            <w:pPr>
              <w:rPr>
                <w:rFonts w:ascii="Times New Roman" w:hAnsi="Times New Roman" w:cs="Times New Roman"/>
                <w:sz w:val="24"/>
                <w:szCs w:val="24"/>
              </w:rPr>
            </w:pPr>
          </w:p>
          <w:p w14:paraId="096E3415" w14:textId="77777777" w:rsidR="00FC7E98" w:rsidRDefault="00FC7E98" w:rsidP="00022224">
            <w:pPr>
              <w:rPr>
                <w:rFonts w:ascii="Times New Roman" w:hAnsi="Times New Roman" w:cs="Times New Roman"/>
                <w:sz w:val="24"/>
                <w:szCs w:val="24"/>
              </w:rPr>
            </w:pPr>
          </w:p>
          <w:p w14:paraId="63659037" w14:textId="626919F5" w:rsidR="00FC7E98" w:rsidRPr="00EC52EE" w:rsidRDefault="00FC7E98" w:rsidP="00022224">
            <w:pPr>
              <w:rPr>
                <w:rFonts w:ascii="Times New Roman" w:hAnsi="Times New Roman" w:cs="Times New Roman"/>
                <w:sz w:val="24"/>
                <w:szCs w:val="24"/>
              </w:rPr>
            </w:pPr>
          </w:p>
        </w:tc>
      </w:tr>
      <w:tr w:rsidR="0032553B" w:rsidRPr="00EC52EE" w14:paraId="751F619D" w14:textId="77777777" w:rsidTr="002B46DD">
        <w:trPr>
          <w:cantSplit/>
          <w:trHeight w:val="980"/>
        </w:trPr>
        <w:tc>
          <w:tcPr>
            <w:tcW w:w="1705" w:type="dxa"/>
            <w:vMerge/>
          </w:tcPr>
          <w:p w14:paraId="751F6176" w14:textId="2B0E6664" w:rsidR="0032553B" w:rsidRPr="00EC52EE" w:rsidRDefault="0032553B" w:rsidP="00B16675">
            <w:pPr>
              <w:rPr>
                <w:rFonts w:ascii="Times New Roman" w:hAnsi="Times New Roman" w:cs="Times New Roman"/>
                <w:b/>
                <w:sz w:val="24"/>
                <w:szCs w:val="24"/>
              </w:rPr>
            </w:pPr>
          </w:p>
        </w:tc>
        <w:tc>
          <w:tcPr>
            <w:tcW w:w="1530" w:type="dxa"/>
          </w:tcPr>
          <w:p w14:paraId="751F6177" w14:textId="577DF378" w:rsidR="0032553B" w:rsidRPr="00EC52EE" w:rsidRDefault="0032553B" w:rsidP="00B16675">
            <w:pPr>
              <w:rPr>
                <w:rFonts w:ascii="Times New Roman" w:hAnsi="Times New Roman" w:cs="Times New Roman"/>
                <w:sz w:val="24"/>
                <w:szCs w:val="24"/>
              </w:rPr>
            </w:pPr>
            <w:proofErr w:type="spellStart"/>
            <w:r>
              <w:rPr>
                <w:rFonts w:ascii="Times New Roman" w:hAnsi="Times New Roman" w:cs="Times New Roman"/>
                <w:sz w:val="24"/>
                <w:szCs w:val="24"/>
              </w:rPr>
              <w:t>Avista</w:t>
            </w:r>
            <w:proofErr w:type="spellEnd"/>
          </w:p>
        </w:tc>
        <w:tc>
          <w:tcPr>
            <w:tcW w:w="7200" w:type="dxa"/>
          </w:tcPr>
          <w:p w14:paraId="1345E9F0" w14:textId="77777777" w:rsidR="0032553B" w:rsidRPr="00EC52EE" w:rsidRDefault="0032553B" w:rsidP="00B16675">
            <w:pPr>
              <w:pStyle w:val="NoSpacing"/>
              <w:spacing w:line="360" w:lineRule="auto"/>
              <w:jc w:val="both"/>
              <w:rPr>
                <w:rFonts w:ascii="Times New Roman" w:hAnsi="Times New Roman"/>
                <w:sz w:val="24"/>
                <w:szCs w:val="24"/>
              </w:rPr>
            </w:pPr>
            <w:proofErr w:type="spellStart"/>
            <w:r w:rsidRPr="00EC52EE">
              <w:rPr>
                <w:rFonts w:ascii="Times New Roman" w:hAnsi="Times New Roman"/>
                <w:sz w:val="24"/>
                <w:szCs w:val="24"/>
              </w:rPr>
              <w:t>Avista</w:t>
            </w:r>
            <w:proofErr w:type="spellEnd"/>
            <w:r w:rsidRPr="00EC52EE">
              <w:rPr>
                <w:rFonts w:ascii="Times New Roman" w:hAnsi="Times New Roman"/>
                <w:sz w:val="24"/>
                <w:szCs w:val="24"/>
              </w:rPr>
              <w:t xml:space="preserve"> has many procedures in place to prevent and identify billing errors from occurring. From a system perspective, meter installs, changes, or removals are primarily completed through the Company’s Mobile Dispatch System.  With this application we are able to set validation rules to ensure data integrity.  These rules help in preventing errors from being </w:t>
            </w:r>
            <w:r w:rsidRPr="00EC52EE">
              <w:rPr>
                <w:rFonts w:ascii="Times New Roman" w:hAnsi="Times New Roman"/>
                <w:sz w:val="24"/>
                <w:szCs w:val="24"/>
              </w:rPr>
              <w:lastRenderedPageBreak/>
              <w:t>entered in the system and to ensure that the proper equipment is being installed in the field.  In addition, some of the specific procedures in place to prevent and identify billing errors are as follows:</w:t>
            </w:r>
          </w:p>
          <w:p w14:paraId="7C2C6278" w14:textId="77777777" w:rsidR="0032553B" w:rsidRPr="00EC52EE" w:rsidRDefault="0032553B" w:rsidP="00B16675">
            <w:pPr>
              <w:pStyle w:val="NoSpacing"/>
              <w:numPr>
                <w:ilvl w:val="0"/>
                <w:numId w:val="7"/>
              </w:numPr>
              <w:jc w:val="both"/>
              <w:rPr>
                <w:rFonts w:ascii="Times New Roman" w:hAnsi="Times New Roman"/>
                <w:sz w:val="24"/>
                <w:szCs w:val="24"/>
              </w:rPr>
            </w:pPr>
            <w:r w:rsidRPr="00EC52EE">
              <w:rPr>
                <w:rFonts w:ascii="Times New Roman" w:hAnsi="Times New Roman"/>
                <w:b/>
                <w:sz w:val="24"/>
                <w:szCs w:val="24"/>
              </w:rPr>
              <w:t>Incorrect prorated bills</w:t>
            </w:r>
            <w:r w:rsidRPr="00EC52EE">
              <w:rPr>
                <w:rFonts w:ascii="Times New Roman" w:hAnsi="Times New Roman"/>
                <w:sz w:val="24"/>
                <w:szCs w:val="24"/>
              </w:rPr>
              <w:t xml:space="preserve"> – </w:t>
            </w:r>
            <w:proofErr w:type="spellStart"/>
            <w:r w:rsidRPr="00EC52EE">
              <w:rPr>
                <w:rFonts w:ascii="Times New Roman" w:hAnsi="Times New Roman"/>
                <w:sz w:val="24"/>
                <w:szCs w:val="24"/>
              </w:rPr>
              <w:t>Avista’s</w:t>
            </w:r>
            <w:proofErr w:type="spellEnd"/>
            <w:r w:rsidRPr="00EC52EE">
              <w:rPr>
                <w:rFonts w:ascii="Times New Roman" w:hAnsi="Times New Roman"/>
                <w:sz w:val="24"/>
                <w:szCs w:val="24"/>
              </w:rPr>
              <w:t xml:space="preserve"> Customer Care &amp; Billing system has built in functionality for the automated proration of bills.  This functionality insures that bills are prorated correctly.    </w:t>
            </w:r>
          </w:p>
          <w:p w14:paraId="4DCA7DF8" w14:textId="77777777" w:rsidR="0032553B" w:rsidRPr="00EC52EE" w:rsidRDefault="0032553B" w:rsidP="00B16675">
            <w:pPr>
              <w:pStyle w:val="NoSpacing"/>
              <w:numPr>
                <w:ilvl w:val="0"/>
                <w:numId w:val="7"/>
              </w:numPr>
              <w:jc w:val="both"/>
              <w:rPr>
                <w:rFonts w:ascii="Times New Roman" w:hAnsi="Times New Roman"/>
                <w:sz w:val="24"/>
                <w:szCs w:val="24"/>
              </w:rPr>
            </w:pPr>
            <w:r w:rsidRPr="00EC52EE">
              <w:rPr>
                <w:rFonts w:ascii="Times New Roman" w:hAnsi="Times New Roman"/>
                <w:b/>
                <w:sz w:val="24"/>
                <w:szCs w:val="24"/>
              </w:rPr>
              <w:t>Mislabeled meter bases</w:t>
            </w:r>
            <w:r w:rsidRPr="00EC52EE">
              <w:rPr>
                <w:rFonts w:ascii="Times New Roman" w:hAnsi="Times New Roman"/>
                <w:sz w:val="24"/>
                <w:szCs w:val="24"/>
              </w:rPr>
              <w:t xml:space="preserve"> – </w:t>
            </w:r>
            <w:proofErr w:type="spellStart"/>
            <w:r w:rsidRPr="00EC52EE">
              <w:rPr>
                <w:rFonts w:ascii="Times New Roman" w:hAnsi="Times New Roman"/>
                <w:sz w:val="24"/>
                <w:szCs w:val="24"/>
              </w:rPr>
              <w:t>Avista</w:t>
            </w:r>
            <w:proofErr w:type="spellEnd"/>
            <w:r w:rsidRPr="00EC52EE">
              <w:rPr>
                <w:rFonts w:ascii="Times New Roman" w:hAnsi="Times New Roman"/>
                <w:sz w:val="24"/>
                <w:szCs w:val="24"/>
              </w:rPr>
              <w:t xml:space="preserve"> requires all meter sockets in multi-unit dwellings with separate meters to be labeled.  </w:t>
            </w:r>
            <w:proofErr w:type="spellStart"/>
            <w:r w:rsidRPr="00EC52EE">
              <w:rPr>
                <w:rFonts w:ascii="Times New Roman" w:hAnsi="Times New Roman"/>
                <w:sz w:val="24"/>
                <w:szCs w:val="24"/>
              </w:rPr>
              <w:t>Avista</w:t>
            </w:r>
            <w:proofErr w:type="spellEnd"/>
            <w:r w:rsidRPr="00EC52EE">
              <w:rPr>
                <w:rFonts w:ascii="Times New Roman" w:hAnsi="Times New Roman"/>
                <w:sz w:val="24"/>
                <w:szCs w:val="24"/>
              </w:rPr>
              <w:t xml:space="preserve"> will not install any meters at multi-metered facilities until each individual meter is properly labeled and each circuit is physically verified jointly by the installing electrician and </w:t>
            </w:r>
            <w:proofErr w:type="spellStart"/>
            <w:r w:rsidRPr="00EC52EE">
              <w:rPr>
                <w:rFonts w:ascii="Times New Roman" w:hAnsi="Times New Roman"/>
                <w:sz w:val="24"/>
                <w:szCs w:val="24"/>
              </w:rPr>
              <w:t>Avista’s</w:t>
            </w:r>
            <w:proofErr w:type="spellEnd"/>
            <w:r w:rsidRPr="00EC52EE">
              <w:rPr>
                <w:rFonts w:ascii="Times New Roman" w:hAnsi="Times New Roman"/>
                <w:sz w:val="24"/>
                <w:szCs w:val="24"/>
              </w:rPr>
              <w:t xml:space="preserve"> meter installer. The building owner is responsible for the proper identification of electric and natural gas meters, which includes making sure the building number/letter matches what was provided during the joint verification. In addition, for natural gas meters, each type meter is physically different from one another and labeled from the manufacturer with the meter size and model.  When installing a natural gas meter, the meter installation field order will specify the size of meter required to properly serve the customer.</w:t>
            </w:r>
          </w:p>
          <w:p w14:paraId="6C4F6DFB" w14:textId="77777777" w:rsidR="0032553B" w:rsidRPr="00EC52EE" w:rsidRDefault="0032553B" w:rsidP="00B16675">
            <w:pPr>
              <w:pStyle w:val="ListParagraph"/>
              <w:numPr>
                <w:ilvl w:val="0"/>
                <w:numId w:val="7"/>
              </w:numPr>
              <w:spacing w:after="0" w:line="240" w:lineRule="auto"/>
              <w:jc w:val="both"/>
              <w:rPr>
                <w:rFonts w:ascii="Times New Roman" w:eastAsia="Calibri" w:hAnsi="Times New Roman" w:cs="Times New Roman"/>
                <w:sz w:val="24"/>
                <w:szCs w:val="24"/>
              </w:rPr>
            </w:pPr>
            <w:r w:rsidRPr="00EC52EE">
              <w:rPr>
                <w:rFonts w:ascii="Times New Roman" w:eastAsia="Calibri" w:hAnsi="Times New Roman" w:cs="Times New Roman"/>
                <w:b/>
                <w:sz w:val="24"/>
                <w:szCs w:val="24"/>
              </w:rPr>
              <w:t>Incorrectly installed meters</w:t>
            </w:r>
            <w:r w:rsidRPr="00EC52EE">
              <w:rPr>
                <w:rFonts w:ascii="Times New Roman" w:eastAsia="Calibri" w:hAnsi="Times New Roman" w:cs="Times New Roman"/>
                <w:sz w:val="24"/>
                <w:szCs w:val="24"/>
              </w:rPr>
              <w:t xml:space="preserve"> - Only </w:t>
            </w:r>
            <w:proofErr w:type="spellStart"/>
            <w:r w:rsidRPr="00EC52EE">
              <w:rPr>
                <w:rFonts w:ascii="Times New Roman" w:eastAsia="Calibri" w:hAnsi="Times New Roman" w:cs="Times New Roman"/>
                <w:sz w:val="24"/>
                <w:szCs w:val="24"/>
              </w:rPr>
              <w:t>Avista</w:t>
            </w:r>
            <w:proofErr w:type="spellEnd"/>
            <w:r w:rsidRPr="00EC52EE">
              <w:rPr>
                <w:rFonts w:ascii="Times New Roman" w:eastAsia="Calibri" w:hAnsi="Times New Roman" w:cs="Times New Roman"/>
                <w:sz w:val="24"/>
                <w:szCs w:val="24"/>
              </w:rPr>
              <w:t xml:space="preserve">-owned metering equipment will be used to provide billing information. </w:t>
            </w:r>
            <w:proofErr w:type="spellStart"/>
            <w:r w:rsidRPr="00EC52EE">
              <w:rPr>
                <w:rFonts w:ascii="Times New Roman" w:eastAsia="Calibri" w:hAnsi="Times New Roman" w:cs="Times New Roman"/>
                <w:sz w:val="24"/>
                <w:szCs w:val="24"/>
              </w:rPr>
              <w:t>Avista</w:t>
            </w:r>
            <w:proofErr w:type="spellEnd"/>
            <w:r w:rsidRPr="00EC52EE">
              <w:rPr>
                <w:rFonts w:ascii="Times New Roman" w:eastAsia="Calibri" w:hAnsi="Times New Roman" w:cs="Times New Roman"/>
                <w:sz w:val="24"/>
                <w:szCs w:val="24"/>
              </w:rPr>
              <w:t xml:space="preserve"> uses Journeyman meter technicians who have completed three years of meter specific training to install meters. Each technician works with electricians and Customer Project Coordinators to provide the proper metering given the specific installation. </w:t>
            </w:r>
            <w:r w:rsidRPr="00EC52EE">
              <w:rPr>
                <w:rFonts w:ascii="Times New Roman" w:hAnsi="Times New Roman" w:cs="Times New Roman"/>
                <w:sz w:val="24"/>
                <w:szCs w:val="24"/>
              </w:rPr>
              <w:t xml:space="preserve">When natural gas meters are installed, the natural gas service person verifies the piping and meter are level and plumb to ensure proper </w:t>
            </w:r>
            <w:r w:rsidRPr="00EC52EE">
              <w:rPr>
                <w:rFonts w:ascii="Times New Roman" w:hAnsi="Times New Roman" w:cs="Times New Roman"/>
                <w:sz w:val="24"/>
                <w:szCs w:val="24"/>
              </w:rPr>
              <w:lastRenderedPageBreak/>
              <w:t>operation of the meter. Additionally, the pressure regulator setting is verified under both flowing and non-flowing conditions (actual values are entered into the meter installation field order). Lastly, the test hands on the natural gas meter index are visually checked to ensure they show natural gas usage before completing the meter installation field order.</w:t>
            </w:r>
          </w:p>
          <w:p w14:paraId="3E3B1CB0" w14:textId="77777777" w:rsidR="0032553B" w:rsidRPr="00EC52EE" w:rsidRDefault="0032553B" w:rsidP="00B16675">
            <w:pPr>
              <w:pStyle w:val="ListParagraph"/>
              <w:numPr>
                <w:ilvl w:val="0"/>
                <w:numId w:val="7"/>
              </w:numPr>
              <w:spacing w:after="0" w:line="240" w:lineRule="auto"/>
              <w:jc w:val="both"/>
              <w:rPr>
                <w:rFonts w:ascii="Times New Roman" w:hAnsi="Times New Roman" w:cs="Times New Roman"/>
                <w:color w:val="1F497D"/>
                <w:sz w:val="24"/>
                <w:szCs w:val="24"/>
              </w:rPr>
            </w:pPr>
            <w:r w:rsidRPr="00EC52EE">
              <w:rPr>
                <w:rFonts w:ascii="Times New Roman" w:hAnsi="Times New Roman" w:cs="Times New Roman"/>
                <w:b/>
                <w:sz w:val="24"/>
                <w:szCs w:val="24"/>
              </w:rPr>
              <w:t>Incorrect billing rate schedu</w:t>
            </w:r>
            <w:r w:rsidRPr="00EC52EE">
              <w:rPr>
                <w:rFonts w:ascii="Times New Roman" w:eastAsia="Calibri" w:hAnsi="Times New Roman" w:cs="Times New Roman"/>
                <w:sz w:val="24"/>
                <w:szCs w:val="24"/>
              </w:rPr>
              <w:t>les - For new installations, the rate schedule is entered by the employee in the office who creates the new premise (meter location) and field order. The meter technician reviews the billing rate schedule to make sure it is appropriate.</w:t>
            </w:r>
          </w:p>
          <w:p w14:paraId="7CC851FE" w14:textId="77777777" w:rsidR="0032553B" w:rsidRPr="00EC52EE" w:rsidRDefault="0032553B" w:rsidP="00B16675">
            <w:pPr>
              <w:pStyle w:val="ListParagraph"/>
              <w:numPr>
                <w:ilvl w:val="0"/>
                <w:numId w:val="7"/>
              </w:numPr>
              <w:spacing w:after="0" w:line="240" w:lineRule="auto"/>
              <w:jc w:val="both"/>
              <w:rPr>
                <w:rFonts w:ascii="Times New Roman" w:eastAsia="Calibri" w:hAnsi="Times New Roman" w:cs="Times New Roman"/>
                <w:sz w:val="24"/>
                <w:szCs w:val="24"/>
              </w:rPr>
            </w:pPr>
            <w:r w:rsidRPr="00EC52EE">
              <w:rPr>
                <w:rFonts w:ascii="Times New Roman" w:eastAsia="Calibri" w:hAnsi="Times New Roman" w:cs="Times New Roman"/>
                <w:b/>
                <w:sz w:val="24"/>
                <w:szCs w:val="24"/>
              </w:rPr>
              <w:t>Incorrect billing multipliers</w:t>
            </w:r>
            <w:r w:rsidRPr="00EC52EE">
              <w:rPr>
                <w:rFonts w:ascii="Times New Roman" w:eastAsia="Calibri" w:hAnsi="Times New Roman" w:cs="Times New Roman"/>
                <w:sz w:val="24"/>
                <w:szCs w:val="24"/>
              </w:rPr>
              <w:t xml:space="preserve"> – For electric meters, the billing multiplier is determined by the meter technician who installs the meter based on the installation. The multiplier is written on the meter and is also documented as part of the field order completion. In the field order, the meter multiplier entered must be “1” if there are no Current Transformers (</w:t>
            </w:r>
            <w:proofErr w:type="spellStart"/>
            <w:r w:rsidRPr="00EC52EE">
              <w:rPr>
                <w:rFonts w:ascii="Times New Roman" w:eastAsia="Calibri" w:hAnsi="Times New Roman" w:cs="Times New Roman"/>
                <w:sz w:val="24"/>
                <w:szCs w:val="24"/>
              </w:rPr>
              <w:t>CTs</w:t>
            </w:r>
            <w:proofErr w:type="spellEnd"/>
            <w:r w:rsidRPr="00EC52EE">
              <w:rPr>
                <w:rFonts w:ascii="Times New Roman" w:eastAsia="Calibri" w:hAnsi="Times New Roman" w:cs="Times New Roman"/>
                <w:sz w:val="24"/>
                <w:szCs w:val="24"/>
              </w:rPr>
              <w:t xml:space="preserve">) present or the order will not be allowed to be completed. If there are </w:t>
            </w:r>
            <w:proofErr w:type="spellStart"/>
            <w:r w:rsidRPr="00EC52EE">
              <w:rPr>
                <w:rFonts w:ascii="Times New Roman" w:eastAsia="Calibri" w:hAnsi="Times New Roman" w:cs="Times New Roman"/>
                <w:sz w:val="24"/>
                <w:szCs w:val="24"/>
              </w:rPr>
              <w:t>CTs</w:t>
            </w:r>
            <w:proofErr w:type="spellEnd"/>
            <w:r w:rsidRPr="00EC52EE">
              <w:rPr>
                <w:rFonts w:ascii="Times New Roman" w:eastAsia="Calibri" w:hAnsi="Times New Roman" w:cs="Times New Roman"/>
                <w:sz w:val="24"/>
                <w:szCs w:val="24"/>
              </w:rPr>
              <w:t xml:space="preserve"> present, the multiplier must match the CT ratio before the order can be completed. These verifications prevent field technicians from making mistakes while entering the multipliers. For natural gas meters, the meter multiplier is programmed by the meter manufacturer.  </w:t>
            </w:r>
            <w:proofErr w:type="spellStart"/>
            <w:r w:rsidRPr="00EC52EE">
              <w:rPr>
                <w:rFonts w:ascii="Times New Roman" w:eastAsia="Calibri" w:hAnsi="Times New Roman" w:cs="Times New Roman"/>
                <w:sz w:val="24"/>
                <w:szCs w:val="24"/>
              </w:rPr>
              <w:t>Avista</w:t>
            </w:r>
            <w:proofErr w:type="spellEnd"/>
            <w:r w:rsidRPr="00EC52EE">
              <w:rPr>
                <w:rFonts w:ascii="Times New Roman" w:eastAsia="Calibri" w:hAnsi="Times New Roman" w:cs="Times New Roman"/>
                <w:sz w:val="24"/>
                <w:szCs w:val="24"/>
              </w:rPr>
              <w:t xml:space="preserve"> randomly samples new batches of meter orders when they are received from the manufacturer to ensure they are properly programmed.  </w:t>
            </w:r>
            <w:proofErr w:type="spellStart"/>
            <w:r w:rsidRPr="00EC52EE">
              <w:rPr>
                <w:rFonts w:ascii="Times New Roman" w:eastAsia="Calibri" w:hAnsi="Times New Roman" w:cs="Times New Roman"/>
                <w:sz w:val="24"/>
                <w:szCs w:val="24"/>
              </w:rPr>
              <w:t>Avista</w:t>
            </w:r>
            <w:proofErr w:type="spellEnd"/>
            <w:r w:rsidRPr="00EC52EE">
              <w:rPr>
                <w:rFonts w:ascii="Times New Roman" w:eastAsia="Calibri" w:hAnsi="Times New Roman" w:cs="Times New Roman"/>
                <w:sz w:val="24"/>
                <w:szCs w:val="24"/>
              </w:rPr>
              <w:t xml:space="preserve"> also verifies the meter multiplier is correct in the field when performing certain types of work on gas meters already installed.</w:t>
            </w:r>
          </w:p>
          <w:p w14:paraId="2BFE771C" w14:textId="77777777" w:rsidR="0032553B" w:rsidRPr="00EC52EE" w:rsidRDefault="0032553B" w:rsidP="00B16675">
            <w:pPr>
              <w:pStyle w:val="NoSpacing"/>
              <w:spacing w:line="360" w:lineRule="auto"/>
              <w:ind w:left="1440"/>
              <w:jc w:val="both"/>
              <w:rPr>
                <w:rFonts w:ascii="Times New Roman" w:hAnsi="Times New Roman"/>
                <w:sz w:val="24"/>
                <w:szCs w:val="24"/>
              </w:rPr>
            </w:pPr>
          </w:p>
          <w:p w14:paraId="751F619B" w14:textId="77777777" w:rsidR="0032553B" w:rsidRPr="00FB295C" w:rsidRDefault="0032553B" w:rsidP="00B16675">
            <w:pPr>
              <w:rPr>
                <w:rFonts w:ascii="Times New Roman" w:hAnsi="Times New Roman" w:cs="Times New Roman"/>
              </w:rPr>
            </w:pPr>
          </w:p>
        </w:tc>
        <w:tc>
          <w:tcPr>
            <w:tcW w:w="4248" w:type="dxa"/>
            <w:vMerge/>
          </w:tcPr>
          <w:p w14:paraId="751F619C" w14:textId="5A888F1F" w:rsidR="0032553B" w:rsidRPr="00EC52EE" w:rsidRDefault="0032553B" w:rsidP="00B16675">
            <w:pPr>
              <w:rPr>
                <w:rFonts w:ascii="Times New Roman" w:hAnsi="Times New Roman" w:cs="Times New Roman"/>
                <w:sz w:val="24"/>
                <w:szCs w:val="24"/>
              </w:rPr>
            </w:pPr>
          </w:p>
        </w:tc>
      </w:tr>
      <w:tr w:rsidR="0032553B" w:rsidRPr="00EC52EE" w14:paraId="751F61A9" w14:textId="77777777" w:rsidTr="002B46DD">
        <w:trPr>
          <w:cantSplit/>
          <w:trHeight w:val="980"/>
        </w:trPr>
        <w:tc>
          <w:tcPr>
            <w:tcW w:w="1705" w:type="dxa"/>
            <w:vMerge/>
          </w:tcPr>
          <w:p w14:paraId="751F619E" w14:textId="1890CCA3" w:rsidR="0032553B" w:rsidRPr="00EC52EE" w:rsidRDefault="0032553B" w:rsidP="00B16675">
            <w:pPr>
              <w:rPr>
                <w:rFonts w:ascii="Times New Roman" w:hAnsi="Times New Roman" w:cs="Times New Roman"/>
                <w:b/>
                <w:sz w:val="24"/>
                <w:szCs w:val="24"/>
              </w:rPr>
            </w:pPr>
          </w:p>
        </w:tc>
        <w:tc>
          <w:tcPr>
            <w:tcW w:w="1530" w:type="dxa"/>
          </w:tcPr>
          <w:p w14:paraId="751F619F" w14:textId="1BD71D79" w:rsidR="0032553B" w:rsidRPr="00EC52EE" w:rsidRDefault="0032553B" w:rsidP="00B16675">
            <w:pPr>
              <w:rPr>
                <w:rFonts w:ascii="Times New Roman" w:hAnsi="Times New Roman" w:cs="Times New Roman"/>
                <w:sz w:val="24"/>
                <w:szCs w:val="24"/>
              </w:rPr>
            </w:pPr>
            <w:r>
              <w:rPr>
                <w:rFonts w:ascii="Times New Roman" w:hAnsi="Times New Roman" w:cs="Times New Roman"/>
                <w:sz w:val="24"/>
                <w:szCs w:val="24"/>
              </w:rPr>
              <w:t>PSE</w:t>
            </w:r>
          </w:p>
        </w:tc>
        <w:tc>
          <w:tcPr>
            <w:tcW w:w="7200" w:type="dxa"/>
          </w:tcPr>
          <w:p w14:paraId="5C2C2E22" w14:textId="77777777" w:rsidR="0032553B" w:rsidRPr="00EC52EE" w:rsidRDefault="0032553B" w:rsidP="00B16675">
            <w:pPr>
              <w:rPr>
                <w:rFonts w:ascii="Times New Roman" w:hAnsi="Times New Roman" w:cs="Times New Roman"/>
                <w:sz w:val="24"/>
                <w:szCs w:val="24"/>
              </w:rPr>
            </w:pPr>
            <w:r w:rsidRPr="00EC52EE">
              <w:rPr>
                <w:rFonts w:ascii="Times New Roman" w:hAnsi="Times New Roman" w:cs="Times New Roman"/>
                <w:i/>
                <w:sz w:val="24"/>
                <w:szCs w:val="24"/>
              </w:rPr>
              <w:t>WAC 480-90-178(5</w:t>
            </w:r>
            <w:proofErr w:type="gramStart"/>
            <w:r w:rsidRPr="00EC52EE">
              <w:rPr>
                <w:rFonts w:ascii="Times New Roman" w:hAnsi="Times New Roman" w:cs="Times New Roman"/>
                <w:i/>
                <w:sz w:val="24"/>
                <w:szCs w:val="24"/>
              </w:rPr>
              <w:t>)(</w:t>
            </w:r>
            <w:proofErr w:type="gramEnd"/>
            <w:r w:rsidRPr="00EC52EE">
              <w:rPr>
                <w:rFonts w:ascii="Times New Roman" w:hAnsi="Times New Roman" w:cs="Times New Roman"/>
                <w:i/>
                <w:sz w:val="24"/>
                <w:szCs w:val="24"/>
              </w:rPr>
              <w:t xml:space="preserve">c) and WAC 480-100-178(5)(c):  </w:t>
            </w:r>
            <w:r w:rsidRPr="00EC52EE">
              <w:rPr>
                <w:rFonts w:ascii="Times New Roman" w:hAnsi="Times New Roman" w:cs="Times New Roman"/>
                <w:sz w:val="24"/>
                <w:szCs w:val="24"/>
              </w:rPr>
              <w:t xml:space="preserve">PSE proposes to eliminate this section from the draft rules because there are existing rules that establish requirements for utilities to develop and maintain procedures for meter testing, repairing and replacement of meters.  It is unclear to PSE the value in requiring utilities to file a “plan” and provide ongoing updates for identifying and repairing meters to have on file at the Commission.  The Commission can already request such information from utilities on its billing and metering procedures at any time, and therefore an additional requirement to file a “plan” is duplicative, burdensome and does not belong in the final rule.  It is unclear what value will be gained by adding an additional administrative filing. </w:t>
            </w:r>
          </w:p>
          <w:p w14:paraId="751F61A7" w14:textId="77777777" w:rsidR="0032553B" w:rsidRPr="000F244E" w:rsidRDefault="0032553B" w:rsidP="00B16675">
            <w:pPr>
              <w:ind w:left="72"/>
              <w:rPr>
                <w:rFonts w:ascii="Times New Roman" w:hAnsi="Times New Roman" w:cs="Times New Roman"/>
                <w:szCs w:val="24"/>
                <w:u w:val="single"/>
              </w:rPr>
            </w:pPr>
          </w:p>
        </w:tc>
        <w:tc>
          <w:tcPr>
            <w:tcW w:w="4248" w:type="dxa"/>
            <w:vMerge/>
          </w:tcPr>
          <w:p w14:paraId="751F61A8" w14:textId="77777777" w:rsidR="0032553B" w:rsidRPr="00EC52EE" w:rsidRDefault="0032553B" w:rsidP="00B16675">
            <w:pPr>
              <w:rPr>
                <w:rFonts w:ascii="Times New Roman" w:hAnsi="Times New Roman" w:cs="Times New Roman"/>
                <w:sz w:val="24"/>
                <w:szCs w:val="24"/>
              </w:rPr>
            </w:pPr>
          </w:p>
        </w:tc>
      </w:tr>
      <w:tr w:rsidR="0032553B" w:rsidRPr="00EC52EE" w14:paraId="751F61AF" w14:textId="77777777" w:rsidTr="002B46DD">
        <w:trPr>
          <w:cantSplit/>
          <w:trHeight w:val="980"/>
        </w:trPr>
        <w:tc>
          <w:tcPr>
            <w:tcW w:w="1705" w:type="dxa"/>
            <w:vMerge/>
          </w:tcPr>
          <w:p w14:paraId="751F61AA" w14:textId="77777777" w:rsidR="0032553B" w:rsidRPr="00EC52EE" w:rsidRDefault="0032553B" w:rsidP="00B16675">
            <w:pPr>
              <w:rPr>
                <w:rFonts w:ascii="Times New Roman" w:hAnsi="Times New Roman" w:cs="Times New Roman"/>
                <w:b/>
                <w:sz w:val="24"/>
                <w:szCs w:val="24"/>
              </w:rPr>
            </w:pPr>
          </w:p>
        </w:tc>
        <w:tc>
          <w:tcPr>
            <w:tcW w:w="1530" w:type="dxa"/>
          </w:tcPr>
          <w:p w14:paraId="751F61AB" w14:textId="0F5C342B" w:rsidR="0032553B" w:rsidRPr="00EC52EE" w:rsidRDefault="0032553B" w:rsidP="00B16675">
            <w:pPr>
              <w:rPr>
                <w:rFonts w:ascii="Times New Roman" w:hAnsi="Times New Roman" w:cs="Times New Roman"/>
                <w:sz w:val="24"/>
                <w:szCs w:val="24"/>
              </w:rPr>
            </w:pPr>
            <w:proofErr w:type="spellStart"/>
            <w:r>
              <w:rPr>
                <w:rFonts w:ascii="Times New Roman" w:hAnsi="Times New Roman" w:cs="Times New Roman"/>
                <w:sz w:val="24"/>
                <w:szCs w:val="24"/>
              </w:rPr>
              <w:t>NWNG</w:t>
            </w:r>
            <w:proofErr w:type="spellEnd"/>
          </w:p>
        </w:tc>
        <w:tc>
          <w:tcPr>
            <w:tcW w:w="7200" w:type="dxa"/>
          </w:tcPr>
          <w:p w14:paraId="25F2BAB3" w14:textId="390AFFD3" w:rsidR="0032553B" w:rsidRPr="00EC52EE" w:rsidRDefault="0032553B" w:rsidP="00B16675">
            <w:pPr>
              <w:pStyle w:val="Default"/>
              <w:tabs>
                <w:tab w:val="left" w:pos="720"/>
                <w:tab w:val="left" w:pos="1440"/>
              </w:tabs>
            </w:pPr>
            <w:r w:rsidRPr="00EC52EE">
              <w:rPr>
                <w:b/>
              </w:rPr>
              <w:t>Section (5</w:t>
            </w:r>
            <w:proofErr w:type="gramStart"/>
            <w:r w:rsidRPr="00EC52EE">
              <w:rPr>
                <w:b/>
              </w:rPr>
              <w:t>)(</w:t>
            </w:r>
            <w:proofErr w:type="gramEnd"/>
            <w:r w:rsidRPr="00EC52EE">
              <w:rPr>
                <w:b/>
              </w:rPr>
              <w:t>c).</w:t>
            </w:r>
            <w:r w:rsidRPr="00EC52EE">
              <w:t xml:space="preserve">  </w:t>
            </w:r>
            <w:proofErr w:type="spellStart"/>
            <w:r w:rsidRPr="00EC52EE">
              <w:t>NWNG</w:t>
            </w:r>
            <w:proofErr w:type="spellEnd"/>
            <w:r w:rsidRPr="00EC52EE">
              <w:t xml:space="preserve"> is fundamentally opposed to the inclusion of this new section in this rule as it is currently proposed.  Our concerns are set forth below:</w:t>
            </w:r>
          </w:p>
          <w:p w14:paraId="6BF13187" w14:textId="77777777" w:rsidR="0032553B" w:rsidRPr="00EC52EE" w:rsidRDefault="0032553B" w:rsidP="00B16675">
            <w:pPr>
              <w:pStyle w:val="Default"/>
              <w:tabs>
                <w:tab w:val="left" w:pos="720"/>
                <w:tab w:val="left" w:pos="1440"/>
              </w:tabs>
              <w:ind w:left="360"/>
              <w:rPr>
                <w:b/>
              </w:rPr>
            </w:pPr>
          </w:p>
          <w:p w14:paraId="1F05F358" w14:textId="77777777" w:rsidR="0032553B" w:rsidRPr="00EC52EE" w:rsidRDefault="0032553B" w:rsidP="00B16675">
            <w:pPr>
              <w:pStyle w:val="Default"/>
              <w:tabs>
                <w:tab w:val="left" w:pos="720"/>
                <w:tab w:val="left" w:pos="1440"/>
              </w:tabs>
              <w:ind w:left="360"/>
            </w:pPr>
            <w:r w:rsidRPr="00EC52EE">
              <w:t xml:space="preserve">First, the requirements for identifying, repairing or replacing meters that are not functioning correctly are already governed by other rules – specifically WAC 480-90-343 and WAC 480-90-183.   These rules have been in effect for many years, and as a result the Company has tariff provisions and associated well established procedures in place for ensuring compliance with these rules.  Incorporating a seemingly new requirement in this rule serves only to create an unnecessary duplication of effort, and may ultimately only create potential conflict and confusion.   </w:t>
            </w:r>
          </w:p>
          <w:p w14:paraId="42552EA4" w14:textId="77777777" w:rsidR="0032553B" w:rsidRPr="00EC52EE" w:rsidRDefault="0032553B" w:rsidP="00B16675">
            <w:pPr>
              <w:pStyle w:val="Default"/>
              <w:tabs>
                <w:tab w:val="left" w:pos="720"/>
                <w:tab w:val="left" w:pos="1440"/>
              </w:tabs>
              <w:ind w:left="360"/>
            </w:pPr>
          </w:p>
          <w:p w14:paraId="58EB21D8" w14:textId="76051A84" w:rsidR="0032553B" w:rsidRPr="00EC52EE" w:rsidRDefault="0032553B" w:rsidP="00B16675">
            <w:pPr>
              <w:pStyle w:val="Default"/>
              <w:tabs>
                <w:tab w:val="left" w:pos="720"/>
                <w:tab w:val="left" w:pos="1440"/>
              </w:tabs>
              <w:ind w:left="360"/>
            </w:pPr>
            <w:r w:rsidRPr="00EC52EE">
              <w:t xml:space="preserve">Second, </w:t>
            </w:r>
            <w:proofErr w:type="spellStart"/>
            <w:r w:rsidRPr="00EC52EE">
              <w:t>NWNG</w:t>
            </w:r>
            <w:proofErr w:type="spellEnd"/>
            <w:r w:rsidRPr="00EC52EE">
              <w:t xml:space="preserve"> is concerned with Staff’s proposed requirement that a utility file its procedural document with the Commission.  This new language imposes an unnecessary degree of oversight that seems to result in little more than the micro-management of utility practices.  The additional reporting requirement proposed by Staff serves to add unnecessary administration for both the utilities and </w:t>
            </w:r>
            <w:r w:rsidRPr="00EC52EE">
              <w:lastRenderedPageBreak/>
              <w:t xml:space="preserve">for the Commission, given that the Commission Staff may, at any time, invoke the right to request a copy of the utility’s procedures and practices should a concern arise.  In short, the proposed requirement to file a procedure, and any updates to such procedure, with the Commission is potentially onerous and of questionable value.  </w:t>
            </w:r>
          </w:p>
          <w:p w14:paraId="4F7E3442" w14:textId="77777777" w:rsidR="0032553B" w:rsidRPr="00EC52EE" w:rsidRDefault="0032553B" w:rsidP="00B16675">
            <w:pPr>
              <w:pStyle w:val="Default"/>
              <w:tabs>
                <w:tab w:val="left" w:pos="720"/>
                <w:tab w:val="left" w:pos="1440"/>
              </w:tabs>
              <w:ind w:left="360"/>
            </w:pPr>
          </w:p>
          <w:p w14:paraId="37A7AB2F" w14:textId="3CD72421" w:rsidR="0032553B" w:rsidRPr="00EC52EE" w:rsidRDefault="0032553B" w:rsidP="00B16675">
            <w:pPr>
              <w:pStyle w:val="Default"/>
              <w:tabs>
                <w:tab w:val="left" w:pos="720"/>
                <w:tab w:val="left" w:pos="1440"/>
              </w:tabs>
              <w:ind w:left="360"/>
            </w:pPr>
            <w:proofErr w:type="spellStart"/>
            <w:r w:rsidRPr="00EC52EE">
              <w:t>NWNG</w:t>
            </w:r>
            <w:proofErr w:type="spellEnd"/>
            <w:r w:rsidRPr="00EC52EE">
              <w:t xml:space="preserve"> suggests that the proposed draft rule language in this section be deleted in the entirety, and that this section be revised as follows:</w:t>
            </w:r>
          </w:p>
          <w:p w14:paraId="365EF06F" w14:textId="77777777" w:rsidR="0032553B" w:rsidRPr="00EC52EE" w:rsidRDefault="0032553B" w:rsidP="00B16675">
            <w:pPr>
              <w:pStyle w:val="Default"/>
              <w:tabs>
                <w:tab w:val="left" w:pos="720"/>
                <w:tab w:val="left" w:pos="1440"/>
              </w:tabs>
              <w:ind w:left="360"/>
            </w:pPr>
          </w:p>
          <w:p w14:paraId="733A9B4D" w14:textId="77777777" w:rsidR="0032553B" w:rsidRPr="00EC52EE" w:rsidRDefault="0032553B" w:rsidP="00B16675">
            <w:pPr>
              <w:pStyle w:val="Default"/>
              <w:tabs>
                <w:tab w:val="left" w:pos="720"/>
                <w:tab w:val="left" w:pos="1440"/>
              </w:tabs>
              <w:ind w:left="720"/>
              <w:rPr>
                <w:u w:val="single"/>
              </w:rPr>
            </w:pPr>
            <w:r w:rsidRPr="00EC52EE">
              <w:rPr>
                <w:u w:val="single"/>
              </w:rPr>
              <w:t xml:space="preserve">A utility must develop and maintain procedures describing its practices regarding the </w:t>
            </w:r>
          </w:p>
          <w:p w14:paraId="2A64D608" w14:textId="77777777" w:rsidR="0032553B" w:rsidRPr="00EC52EE" w:rsidRDefault="0032553B" w:rsidP="00B16675">
            <w:pPr>
              <w:pStyle w:val="Default"/>
              <w:tabs>
                <w:tab w:val="left" w:pos="720"/>
                <w:tab w:val="left" w:pos="1440"/>
              </w:tabs>
              <w:ind w:left="720"/>
              <w:rPr>
                <w:u w:val="single"/>
              </w:rPr>
            </w:pPr>
            <w:r w:rsidRPr="00EC52EE">
              <w:rPr>
                <w:u w:val="single"/>
              </w:rPr>
              <w:t xml:space="preserve">issuance of corrected bills that result from (a) meter failure or malfunction; (b) unassigned </w:t>
            </w:r>
          </w:p>
          <w:p w14:paraId="7973AA86" w14:textId="77777777" w:rsidR="0032553B" w:rsidRPr="00EC52EE" w:rsidRDefault="0032553B" w:rsidP="00B16675">
            <w:pPr>
              <w:pStyle w:val="Default"/>
              <w:tabs>
                <w:tab w:val="left" w:pos="720"/>
                <w:tab w:val="left" w:pos="1440"/>
              </w:tabs>
              <w:ind w:left="720"/>
              <w:rPr>
                <w:u w:val="single"/>
              </w:rPr>
            </w:pPr>
            <w:proofErr w:type="gramStart"/>
            <w:r w:rsidRPr="00EC52EE">
              <w:rPr>
                <w:u w:val="single"/>
              </w:rPr>
              <w:t>meter</w:t>
            </w:r>
            <w:proofErr w:type="gramEnd"/>
            <w:r w:rsidRPr="00EC52EE">
              <w:rPr>
                <w:u w:val="single"/>
              </w:rPr>
              <w:t xml:space="preserve"> usage; and (c) other billing errors, as defined in this rule, not later than May 1, 2016.  </w:t>
            </w:r>
          </w:p>
          <w:p w14:paraId="6561CAAB" w14:textId="77777777" w:rsidR="0032553B" w:rsidRPr="00EC52EE" w:rsidRDefault="0032553B" w:rsidP="00B16675">
            <w:pPr>
              <w:pStyle w:val="Default"/>
              <w:tabs>
                <w:tab w:val="left" w:pos="720"/>
                <w:tab w:val="left" w:pos="1440"/>
              </w:tabs>
              <w:ind w:left="720"/>
              <w:rPr>
                <w:u w:val="single"/>
              </w:rPr>
            </w:pPr>
            <w:r w:rsidRPr="00EC52EE">
              <w:rPr>
                <w:u w:val="single"/>
              </w:rPr>
              <w:t xml:space="preserve">The utility must submit a copy of such procedures to the Commission within ten (10) business </w:t>
            </w:r>
          </w:p>
          <w:p w14:paraId="73A8E2DA" w14:textId="77777777" w:rsidR="0032553B" w:rsidRPr="00EC52EE" w:rsidRDefault="0032553B" w:rsidP="00B16675">
            <w:pPr>
              <w:pStyle w:val="Default"/>
              <w:tabs>
                <w:tab w:val="left" w:pos="720"/>
                <w:tab w:val="left" w:pos="1440"/>
              </w:tabs>
              <w:ind w:left="720"/>
              <w:rPr>
                <w:u w:val="single"/>
              </w:rPr>
            </w:pPr>
            <w:proofErr w:type="gramStart"/>
            <w:r w:rsidRPr="00EC52EE">
              <w:rPr>
                <w:u w:val="single"/>
              </w:rPr>
              <w:t>days</w:t>
            </w:r>
            <w:proofErr w:type="gramEnd"/>
            <w:r w:rsidRPr="00EC52EE">
              <w:rPr>
                <w:u w:val="single"/>
              </w:rPr>
              <w:t xml:space="preserve"> of receiving a request.</w:t>
            </w:r>
          </w:p>
          <w:p w14:paraId="3113B224" w14:textId="77777777" w:rsidR="0032553B" w:rsidRPr="00EC52EE" w:rsidRDefault="0032553B" w:rsidP="00B16675">
            <w:pPr>
              <w:pStyle w:val="Default"/>
              <w:tabs>
                <w:tab w:val="left" w:pos="720"/>
                <w:tab w:val="left" w:pos="1440"/>
              </w:tabs>
              <w:ind w:left="360"/>
            </w:pPr>
          </w:p>
          <w:p w14:paraId="5BA5ED1D" w14:textId="2491C84D" w:rsidR="0032553B" w:rsidRPr="00EC52EE" w:rsidRDefault="0032553B" w:rsidP="00B16675">
            <w:pPr>
              <w:pStyle w:val="Default"/>
              <w:tabs>
                <w:tab w:val="left" w:pos="720"/>
                <w:tab w:val="left" w:pos="1440"/>
              </w:tabs>
              <w:ind w:left="360"/>
            </w:pPr>
            <w:r w:rsidRPr="00EC52EE">
              <w:t xml:space="preserve">In further comment, </w:t>
            </w:r>
            <w:proofErr w:type="spellStart"/>
            <w:r w:rsidRPr="00EC52EE">
              <w:t>NWNG</w:t>
            </w:r>
            <w:proofErr w:type="spellEnd"/>
            <w:r w:rsidRPr="00EC52EE">
              <w:t xml:space="preserve"> would not be opposed to incorporating language in its tariff that would generally describe its practices regarding the issuance of corrected bills as a means to comply with this new section of the rule.  </w:t>
            </w:r>
          </w:p>
          <w:p w14:paraId="078649CE" w14:textId="77777777" w:rsidR="0032553B" w:rsidRPr="00EC52EE" w:rsidRDefault="0032553B" w:rsidP="00B16675">
            <w:pPr>
              <w:pStyle w:val="Default"/>
              <w:tabs>
                <w:tab w:val="left" w:pos="720"/>
                <w:tab w:val="left" w:pos="1440"/>
              </w:tabs>
              <w:ind w:left="360"/>
            </w:pPr>
          </w:p>
          <w:p w14:paraId="45CA1643" w14:textId="07BE024D" w:rsidR="0032553B" w:rsidRPr="00EC52EE" w:rsidRDefault="0032553B" w:rsidP="00B16675">
            <w:pPr>
              <w:pStyle w:val="NoSpacing"/>
              <w:ind w:firstLine="360"/>
              <w:rPr>
                <w:rFonts w:ascii="Times New Roman" w:hAnsi="Times New Roman"/>
                <w:sz w:val="24"/>
                <w:szCs w:val="24"/>
              </w:rPr>
            </w:pPr>
            <w:proofErr w:type="spellStart"/>
            <w:r w:rsidRPr="00EC52EE">
              <w:rPr>
                <w:rFonts w:ascii="Times New Roman" w:hAnsi="Times New Roman"/>
                <w:sz w:val="24"/>
                <w:szCs w:val="24"/>
              </w:rPr>
              <w:t>NWNG</w:t>
            </w:r>
            <w:proofErr w:type="spellEnd"/>
            <w:r w:rsidRPr="00EC52EE">
              <w:rPr>
                <w:rFonts w:ascii="Times New Roman" w:hAnsi="Times New Roman"/>
                <w:sz w:val="24"/>
                <w:szCs w:val="24"/>
              </w:rPr>
              <w:t xml:space="preserve"> utilizes the following procedures to prevent / identify billing errors:</w:t>
            </w:r>
          </w:p>
          <w:p w14:paraId="74C4EB8B" w14:textId="77777777" w:rsidR="0032553B" w:rsidRPr="00EC52EE" w:rsidRDefault="0032553B" w:rsidP="00B16675">
            <w:pPr>
              <w:pStyle w:val="NoSpacing"/>
              <w:rPr>
                <w:rFonts w:ascii="Times New Roman" w:hAnsi="Times New Roman"/>
                <w:sz w:val="24"/>
                <w:szCs w:val="24"/>
              </w:rPr>
            </w:pPr>
          </w:p>
          <w:p w14:paraId="418D2038" w14:textId="77777777" w:rsidR="0032553B" w:rsidRPr="00EC52EE" w:rsidRDefault="0032553B" w:rsidP="00B16675">
            <w:pPr>
              <w:pStyle w:val="NoSpacing"/>
              <w:numPr>
                <w:ilvl w:val="0"/>
                <w:numId w:val="12"/>
              </w:numPr>
              <w:ind w:left="720"/>
              <w:rPr>
                <w:rFonts w:ascii="Times New Roman" w:hAnsi="Times New Roman"/>
                <w:sz w:val="24"/>
                <w:szCs w:val="24"/>
              </w:rPr>
            </w:pPr>
            <w:r w:rsidRPr="00EC52EE">
              <w:rPr>
                <w:rFonts w:ascii="Times New Roman" w:hAnsi="Times New Roman"/>
                <w:sz w:val="24"/>
                <w:szCs w:val="24"/>
                <w:u w:val="single"/>
              </w:rPr>
              <w:t>Incorrect prorated bills:</w:t>
            </w:r>
            <w:r w:rsidRPr="00EC52EE">
              <w:rPr>
                <w:rFonts w:ascii="Times New Roman" w:hAnsi="Times New Roman"/>
                <w:sz w:val="24"/>
                <w:szCs w:val="24"/>
              </w:rPr>
              <w:t xml:space="preserve">  When there is a change in rates, the new billing rates are entered into the Company’s Customer Information System (CIS) in a test environment where test bills for each rate schedule are generated and reviewed. Once tested and the bill calculation accuracy is verified, the test site is </w:t>
            </w:r>
            <w:r w:rsidRPr="00EC52EE">
              <w:rPr>
                <w:rFonts w:ascii="Times New Roman" w:hAnsi="Times New Roman"/>
                <w:sz w:val="24"/>
                <w:szCs w:val="24"/>
              </w:rPr>
              <w:lastRenderedPageBreak/>
              <w:t>systematically moved to production (rather than re-entering values into production).  Once moved to production, a sample of production bills is reviewed to again verify the rates and proration are calculating accurately.  In addition, the Company’s Account Services Department randomly samples bills on a weekly basis to review and verify the accuracy of all aspects of the bill.</w:t>
            </w:r>
          </w:p>
          <w:p w14:paraId="5E19CD66" w14:textId="77777777" w:rsidR="0032553B" w:rsidRPr="00EC52EE" w:rsidRDefault="0032553B" w:rsidP="00B16675">
            <w:pPr>
              <w:pStyle w:val="NoSpacing"/>
              <w:ind w:left="720"/>
              <w:rPr>
                <w:rFonts w:ascii="Times New Roman" w:hAnsi="Times New Roman"/>
                <w:sz w:val="24"/>
                <w:szCs w:val="24"/>
              </w:rPr>
            </w:pPr>
          </w:p>
          <w:p w14:paraId="1EE99FB8" w14:textId="1F6AECA9" w:rsidR="0032553B" w:rsidRPr="00EC52EE" w:rsidRDefault="0032553B" w:rsidP="00B16675">
            <w:pPr>
              <w:pStyle w:val="NoSpacing"/>
              <w:numPr>
                <w:ilvl w:val="0"/>
                <w:numId w:val="12"/>
              </w:numPr>
              <w:ind w:left="720"/>
              <w:rPr>
                <w:rFonts w:ascii="Times New Roman" w:hAnsi="Times New Roman"/>
                <w:sz w:val="24"/>
                <w:szCs w:val="24"/>
              </w:rPr>
            </w:pPr>
            <w:r w:rsidRPr="00EC52EE">
              <w:rPr>
                <w:rFonts w:ascii="Times New Roman" w:hAnsi="Times New Roman"/>
                <w:sz w:val="24"/>
                <w:szCs w:val="24"/>
                <w:u w:val="single"/>
              </w:rPr>
              <w:t>Mislabeled meter bases:</w:t>
            </w:r>
            <w:r w:rsidRPr="00EC52EE">
              <w:rPr>
                <w:rFonts w:ascii="Times New Roman" w:hAnsi="Times New Roman"/>
                <w:sz w:val="24"/>
                <w:szCs w:val="24"/>
              </w:rPr>
              <w:t xml:space="preserve">  For purposes of this response, </w:t>
            </w:r>
            <w:proofErr w:type="spellStart"/>
            <w:r w:rsidRPr="00EC52EE">
              <w:rPr>
                <w:rFonts w:ascii="Times New Roman" w:hAnsi="Times New Roman"/>
                <w:sz w:val="24"/>
                <w:szCs w:val="24"/>
              </w:rPr>
              <w:t>NWNG</w:t>
            </w:r>
            <w:proofErr w:type="spellEnd"/>
            <w:r w:rsidRPr="00EC52EE">
              <w:rPr>
                <w:rFonts w:ascii="Times New Roman" w:hAnsi="Times New Roman"/>
                <w:sz w:val="24"/>
                <w:szCs w:val="24"/>
              </w:rPr>
              <w:t xml:space="preserve"> assumes this item is in reference to a situation that we refer to as “crossed-meters” where the meters have been mislabeled, usually by a building contractor.  To mitigate crossed-meter situations from occurring, the Company’s field services team does the following:  </w:t>
            </w:r>
          </w:p>
          <w:p w14:paraId="03A10B46" w14:textId="77777777" w:rsidR="0032553B" w:rsidRPr="00EC52EE" w:rsidRDefault="0032553B" w:rsidP="00B16675">
            <w:pPr>
              <w:pStyle w:val="ListParagraph"/>
              <w:rPr>
                <w:rFonts w:ascii="Times New Roman" w:hAnsi="Times New Roman" w:cs="Times New Roman"/>
                <w:sz w:val="24"/>
                <w:szCs w:val="24"/>
              </w:rPr>
            </w:pPr>
          </w:p>
          <w:p w14:paraId="543A1D19" w14:textId="4FB22CE9" w:rsidR="0032553B" w:rsidRPr="00EC52EE" w:rsidRDefault="0032553B" w:rsidP="00B16675">
            <w:pPr>
              <w:pStyle w:val="NoSpacing"/>
              <w:ind w:left="720"/>
              <w:rPr>
                <w:rFonts w:ascii="Times New Roman" w:hAnsi="Times New Roman"/>
                <w:sz w:val="24"/>
                <w:szCs w:val="24"/>
              </w:rPr>
            </w:pPr>
            <w:r w:rsidRPr="00EC52EE">
              <w:rPr>
                <w:rFonts w:ascii="Times New Roman" w:hAnsi="Times New Roman"/>
                <w:sz w:val="24"/>
                <w:szCs w:val="24"/>
              </w:rPr>
              <w:t xml:space="preserve">When a meter is set by a Company contractor, a </w:t>
            </w:r>
            <w:proofErr w:type="spellStart"/>
            <w:r w:rsidRPr="00EC52EE">
              <w:rPr>
                <w:rFonts w:ascii="Times New Roman" w:hAnsi="Times New Roman"/>
                <w:sz w:val="24"/>
                <w:szCs w:val="24"/>
              </w:rPr>
              <w:t>NWNG</w:t>
            </w:r>
            <w:proofErr w:type="spellEnd"/>
            <w:r w:rsidRPr="00EC52EE">
              <w:rPr>
                <w:rFonts w:ascii="Times New Roman" w:hAnsi="Times New Roman"/>
                <w:sz w:val="24"/>
                <w:szCs w:val="24"/>
              </w:rPr>
              <w:t xml:space="preserve"> Quality Assurance (QA) inspector will verify the physical meter number at the premise matches the meter number entered into the as-built paper report completed by the installation crew.  </w:t>
            </w:r>
          </w:p>
          <w:p w14:paraId="547B296A" w14:textId="77777777" w:rsidR="0032553B" w:rsidRPr="00EC52EE" w:rsidRDefault="0032553B" w:rsidP="00B16675">
            <w:pPr>
              <w:pStyle w:val="NoSpacing"/>
              <w:ind w:left="720"/>
              <w:rPr>
                <w:rFonts w:ascii="Times New Roman" w:hAnsi="Times New Roman"/>
                <w:sz w:val="24"/>
                <w:szCs w:val="24"/>
              </w:rPr>
            </w:pPr>
          </w:p>
          <w:p w14:paraId="13F09F7A" w14:textId="0171CBA7" w:rsidR="0032553B" w:rsidRPr="00EC52EE" w:rsidRDefault="0032553B" w:rsidP="00B16675">
            <w:pPr>
              <w:pStyle w:val="NoSpacing"/>
              <w:ind w:left="720"/>
              <w:rPr>
                <w:rFonts w:ascii="Times New Roman" w:hAnsi="Times New Roman"/>
                <w:sz w:val="24"/>
                <w:szCs w:val="24"/>
              </w:rPr>
            </w:pPr>
            <w:r w:rsidRPr="00EC52EE">
              <w:rPr>
                <w:rFonts w:ascii="Times New Roman" w:hAnsi="Times New Roman"/>
                <w:sz w:val="24"/>
                <w:szCs w:val="24"/>
              </w:rPr>
              <w:t xml:space="preserve">When a meter is set by Company personnel, a </w:t>
            </w:r>
            <w:proofErr w:type="spellStart"/>
            <w:r w:rsidRPr="00EC52EE">
              <w:rPr>
                <w:rFonts w:ascii="Times New Roman" w:hAnsi="Times New Roman"/>
                <w:sz w:val="24"/>
                <w:szCs w:val="24"/>
              </w:rPr>
              <w:t>NWNG</w:t>
            </w:r>
            <w:proofErr w:type="spellEnd"/>
            <w:r w:rsidRPr="00EC52EE">
              <w:rPr>
                <w:rFonts w:ascii="Times New Roman" w:hAnsi="Times New Roman"/>
                <w:sz w:val="24"/>
                <w:szCs w:val="24"/>
              </w:rPr>
              <w:t xml:space="preserve"> QA inspector will verify that the meter number at the premise matches the electronic order issued by the Company’s P-CAD system.</w:t>
            </w:r>
          </w:p>
          <w:p w14:paraId="1122C83D" w14:textId="77777777" w:rsidR="0032553B" w:rsidRPr="00EC52EE" w:rsidRDefault="0032553B" w:rsidP="00B16675">
            <w:pPr>
              <w:pStyle w:val="ListParagraph"/>
              <w:rPr>
                <w:rFonts w:ascii="Times New Roman" w:hAnsi="Times New Roman" w:cs="Times New Roman"/>
                <w:sz w:val="24"/>
                <w:szCs w:val="24"/>
              </w:rPr>
            </w:pPr>
          </w:p>
          <w:p w14:paraId="7E68997C" w14:textId="77777777" w:rsidR="0032553B" w:rsidRPr="00EC52EE" w:rsidRDefault="0032553B" w:rsidP="00B16675">
            <w:pPr>
              <w:pStyle w:val="NoSpacing"/>
              <w:ind w:left="720"/>
              <w:rPr>
                <w:rFonts w:ascii="Times New Roman" w:hAnsi="Times New Roman"/>
                <w:sz w:val="24"/>
                <w:szCs w:val="24"/>
              </w:rPr>
            </w:pPr>
            <w:r w:rsidRPr="00EC52EE">
              <w:rPr>
                <w:rFonts w:ascii="Times New Roman" w:hAnsi="Times New Roman"/>
                <w:sz w:val="24"/>
                <w:szCs w:val="24"/>
              </w:rPr>
              <w:t>Once verified, the meter numbers are entered into the CIS to activate the customer account.</w:t>
            </w:r>
          </w:p>
          <w:p w14:paraId="0DD51546" w14:textId="77777777" w:rsidR="0032553B" w:rsidRPr="00EC52EE" w:rsidRDefault="0032553B" w:rsidP="00B16675">
            <w:pPr>
              <w:pStyle w:val="NoSpacing"/>
              <w:ind w:left="720"/>
              <w:rPr>
                <w:rFonts w:ascii="Times New Roman" w:hAnsi="Times New Roman"/>
                <w:sz w:val="24"/>
                <w:szCs w:val="24"/>
              </w:rPr>
            </w:pPr>
          </w:p>
          <w:p w14:paraId="429DCF35" w14:textId="77777777" w:rsidR="0032553B" w:rsidRPr="00EC52EE" w:rsidRDefault="0032553B" w:rsidP="00B16675">
            <w:pPr>
              <w:pStyle w:val="NoSpacing"/>
              <w:numPr>
                <w:ilvl w:val="0"/>
                <w:numId w:val="12"/>
              </w:numPr>
              <w:ind w:left="720"/>
              <w:rPr>
                <w:rFonts w:ascii="Times New Roman" w:hAnsi="Times New Roman"/>
                <w:sz w:val="24"/>
                <w:szCs w:val="24"/>
              </w:rPr>
            </w:pPr>
            <w:r w:rsidRPr="00EC52EE">
              <w:rPr>
                <w:rFonts w:ascii="Times New Roman" w:hAnsi="Times New Roman"/>
                <w:sz w:val="24"/>
                <w:szCs w:val="24"/>
                <w:u w:val="single"/>
              </w:rPr>
              <w:t>Incorrectly installed meters:</w:t>
            </w:r>
            <w:r w:rsidRPr="00EC52EE">
              <w:rPr>
                <w:rFonts w:ascii="Times New Roman" w:hAnsi="Times New Roman"/>
                <w:sz w:val="24"/>
                <w:szCs w:val="24"/>
              </w:rPr>
              <w:t xml:space="preserve"> The Company uses a variety of methods to help mitigate the occurrence of meter installation errors. These include:</w:t>
            </w:r>
          </w:p>
          <w:p w14:paraId="3B23079C" w14:textId="77777777" w:rsidR="0032553B" w:rsidRPr="00EC52EE" w:rsidRDefault="0032553B" w:rsidP="00B16675">
            <w:pPr>
              <w:pStyle w:val="NoSpacing"/>
              <w:numPr>
                <w:ilvl w:val="1"/>
                <w:numId w:val="12"/>
              </w:numPr>
              <w:ind w:left="1440"/>
              <w:rPr>
                <w:rFonts w:ascii="Times New Roman" w:hAnsi="Times New Roman"/>
                <w:sz w:val="24"/>
                <w:szCs w:val="24"/>
              </w:rPr>
            </w:pPr>
            <w:r w:rsidRPr="00EC52EE">
              <w:rPr>
                <w:rFonts w:ascii="Times New Roman" w:hAnsi="Times New Roman"/>
                <w:sz w:val="24"/>
                <w:szCs w:val="24"/>
              </w:rPr>
              <w:lastRenderedPageBreak/>
              <w:t>Meters come from the manufacturer with the Automated Meter Reading (AMR) device installed.  The Company sample tests the devices upon arrival to confirm proper registration.</w:t>
            </w:r>
          </w:p>
          <w:p w14:paraId="49E7BFF7" w14:textId="77777777" w:rsidR="0032553B" w:rsidRPr="00EC52EE" w:rsidRDefault="0032553B" w:rsidP="00B16675">
            <w:pPr>
              <w:pStyle w:val="NoSpacing"/>
              <w:numPr>
                <w:ilvl w:val="1"/>
                <w:numId w:val="12"/>
              </w:numPr>
              <w:ind w:left="1440"/>
              <w:rPr>
                <w:rFonts w:ascii="Times New Roman" w:hAnsi="Times New Roman"/>
                <w:sz w:val="24"/>
                <w:szCs w:val="24"/>
              </w:rPr>
            </w:pPr>
            <w:r w:rsidRPr="00EC52EE">
              <w:rPr>
                <w:rFonts w:ascii="Times New Roman" w:hAnsi="Times New Roman"/>
                <w:sz w:val="24"/>
                <w:szCs w:val="24"/>
              </w:rPr>
              <w:t>Any meter set (or meter change) order must pass certain predefined conditions.  If the conditions are not met, the meter order is elevated for additional review.  The conditions that would cause a meter order to escalate include:</w:t>
            </w:r>
          </w:p>
          <w:p w14:paraId="5ABC4DD5" w14:textId="77777777" w:rsidR="0032553B" w:rsidRPr="00EC52EE" w:rsidRDefault="0032553B" w:rsidP="00B16675">
            <w:pPr>
              <w:pStyle w:val="NoSpacing"/>
              <w:numPr>
                <w:ilvl w:val="2"/>
                <w:numId w:val="12"/>
              </w:numPr>
              <w:ind w:left="2160"/>
              <w:rPr>
                <w:rFonts w:ascii="Times New Roman" w:hAnsi="Times New Roman"/>
                <w:sz w:val="24"/>
                <w:szCs w:val="24"/>
              </w:rPr>
            </w:pPr>
            <w:r w:rsidRPr="00EC52EE">
              <w:rPr>
                <w:rFonts w:ascii="Times New Roman" w:hAnsi="Times New Roman"/>
                <w:sz w:val="24"/>
                <w:szCs w:val="24"/>
              </w:rPr>
              <w:t>Meter pressure of old meter does not match newly installed meter.</w:t>
            </w:r>
          </w:p>
          <w:p w14:paraId="0502BBD3" w14:textId="77777777" w:rsidR="0032553B" w:rsidRPr="00EC52EE" w:rsidRDefault="0032553B" w:rsidP="00B16675">
            <w:pPr>
              <w:pStyle w:val="NoSpacing"/>
              <w:numPr>
                <w:ilvl w:val="2"/>
                <w:numId w:val="12"/>
              </w:numPr>
              <w:ind w:left="2160"/>
              <w:rPr>
                <w:rFonts w:ascii="Times New Roman" w:hAnsi="Times New Roman"/>
                <w:sz w:val="24"/>
                <w:szCs w:val="24"/>
              </w:rPr>
            </w:pPr>
            <w:r w:rsidRPr="00EC52EE">
              <w:rPr>
                <w:rFonts w:ascii="Times New Roman" w:hAnsi="Times New Roman"/>
                <w:sz w:val="24"/>
                <w:szCs w:val="24"/>
              </w:rPr>
              <w:t>Number of index digits does not match meter profile.</w:t>
            </w:r>
          </w:p>
          <w:p w14:paraId="54EC4027" w14:textId="77777777" w:rsidR="0032553B" w:rsidRPr="00EC52EE" w:rsidRDefault="0032553B" w:rsidP="00B16675">
            <w:pPr>
              <w:pStyle w:val="NoSpacing"/>
              <w:numPr>
                <w:ilvl w:val="2"/>
                <w:numId w:val="12"/>
              </w:numPr>
              <w:ind w:left="2160"/>
              <w:rPr>
                <w:rFonts w:ascii="Times New Roman" w:hAnsi="Times New Roman"/>
                <w:sz w:val="24"/>
                <w:szCs w:val="24"/>
              </w:rPr>
            </w:pPr>
            <w:r w:rsidRPr="00EC52EE">
              <w:rPr>
                <w:rFonts w:ascii="Times New Roman" w:hAnsi="Times New Roman"/>
                <w:sz w:val="24"/>
                <w:szCs w:val="24"/>
              </w:rPr>
              <w:t>Meter number not eligible for install</w:t>
            </w:r>
          </w:p>
          <w:p w14:paraId="06660258" w14:textId="77777777" w:rsidR="0032553B" w:rsidRPr="00EC52EE" w:rsidRDefault="0032553B" w:rsidP="00B16675">
            <w:pPr>
              <w:pStyle w:val="NoSpacing"/>
              <w:numPr>
                <w:ilvl w:val="1"/>
                <w:numId w:val="12"/>
              </w:numPr>
              <w:ind w:left="1440"/>
              <w:rPr>
                <w:rFonts w:ascii="Times New Roman" w:hAnsi="Times New Roman"/>
                <w:sz w:val="24"/>
                <w:szCs w:val="24"/>
              </w:rPr>
            </w:pPr>
            <w:r w:rsidRPr="00EC52EE">
              <w:rPr>
                <w:rFonts w:ascii="Times New Roman" w:hAnsi="Times New Roman"/>
                <w:sz w:val="24"/>
                <w:szCs w:val="24"/>
              </w:rPr>
              <w:t>If a meter fails to transmit a meter read for two consecutive months, a meter inspection order is automatically generated and investigated by field services.</w:t>
            </w:r>
          </w:p>
          <w:p w14:paraId="1274AC35" w14:textId="77777777" w:rsidR="0032553B" w:rsidRPr="00EC52EE" w:rsidRDefault="0032553B" w:rsidP="00B16675">
            <w:pPr>
              <w:pStyle w:val="NoSpacing"/>
              <w:numPr>
                <w:ilvl w:val="1"/>
                <w:numId w:val="12"/>
              </w:numPr>
              <w:ind w:left="1440"/>
              <w:rPr>
                <w:rFonts w:ascii="Times New Roman" w:hAnsi="Times New Roman"/>
                <w:sz w:val="24"/>
                <w:szCs w:val="24"/>
              </w:rPr>
            </w:pPr>
            <w:r w:rsidRPr="00EC52EE">
              <w:rPr>
                <w:rFonts w:ascii="Times New Roman" w:hAnsi="Times New Roman"/>
                <w:sz w:val="24"/>
                <w:szCs w:val="24"/>
              </w:rPr>
              <w:t>At the time an account bills, the CIS bill logic auto checks for certain conditions. If the condition is not valid, a bill exception will be created and a billing clerk must review / resolve the condition before the bill will be released. Such conditions include:</w:t>
            </w:r>
          </w:p>
          <w:p w14:paraId="20FF369C" w14:textId="77777777" w:rsidR="0032553B" w:rsidRPr="00EC52EE" w:rsidRDefault="0032553B" w:rsidP="00B16675">
            <w:pPr>
              <w:pStyle w:val="NoSpacing"/>
              <w:numPr>
                <w:ilvl w:val="2"/>
                <w:numId w:val="12"/>
              </w:numPr>
              <w:ind w:left="2160"/>
              <w:rPr>
                <w:rFonts w:ascii="Times New Roman" w:hAnsi="Times New Roman"/>
                <w:sz w:val="24"/>
                <w:szCs w:val="24"/>
              </w:rPr>
            </w:pPr>
            <w:r w:rsidRPr="00EC52EE">
              <w:rPr>
                <w:rFonts w:ascii="Times New Roman" w:hAnsi="Times New Roman"/>
                <w:sz w:val="24"/>
                <w:szCs w:val="24"/>
              </w:rPr>
              <w:t>Meter pressure error (</w:t>
            </w:r>
            <w:proofErr w:type="spellStart"/>
            <w:r w:rsidRPr="00EC52EE">
              <w:rPr>
                <w:rFonts w:ascii="Times New Roman" w:hAnsi="Times New Roman"/>
                <w:sz w:val="24"/>
                <w:szCs w:val="24"/>
              </w:rPr>
              <w:t>MTRPR</w:t>
            </w:r>
            <w:proofErr w:type="spellEnd"/>
            <w:r w:rsidRPr="00EC52EE">
              <w:rPr>
                <w:rFonts w:ascii="Times New Roman" w:hAnsi="Times New Roman"/>
                <w:sz w:val="24"/>
                <w:szCs w:val="24"/>
              </w:rPr>
              <w:t>)</w:t>
            </w:r>
          </w:p>
          <w:p w14:paraId="79DED1D7" w14:textId="77777777" w:rsidR="0032553B" w:rsidRPr="00EC52EE" w:rsidRDefault="0032553B" w:rsidP="00B16675">
            <w:pPr>
              <w:pStyle w:val="NoSpacing"/>
              <w:numPr>
                <w:ilvl w:val="2"/>
                <w:numId w:val="12"/>
              </w:numPr>
              <w:ind w:left="2160"/>
              <w:rPr>
                <w:rFonts w:ascii="Times New Roman" w:hAnsi="Times New Roman"/>
                <w:sz w:val="24"/>
                <w:szCs w:val="24"/>
              </w:rPr>
            </w:pPr>
            <w:r w:rsidRPr="00EC52EE">
              <w:rPr>
                <w:rFonts w:ascii="Times New Roman" w:hAnsi="Times New Roman"/>
                <w:sz w:val="24"/>
                <w:szCs w:val="24"/>
              </w:rPr>
              <w:t>Meter temperature compensation error (</w:t>
            </w:r>
            <w:proofErr w:type="spellStart"/>
            <w:r w:rsidRPr="00EC52EE">
              <w:rPr>
                <w:rFonts w:ascii="Times New Roman" w:hAnsi="Times New Roman"/>
                <w:sz w:val="24"/>
                <w:szCs w:val="24"/>
              </w:rPr>
              <w:t>MTRTM</w:t>
            </w:r>
            <w:proofErr w:type="spellEnd"/>
            <w:r w:rsidRPr="00EC52EE">
              <w:rPr>
                <w:rFonts w:ascii="Times New Roman" w:hAnsi="Times New Roman"/>
                <w:sz w:val="24"/>
                <w:szCs w:val="24"/>
              </w:rPr>
              <w:t>)</w:t>
            </w:r>
          </w:p>
          <w:p w14:paraId="742516C5" w14:textId="77777777" w:rsidR="0032553B" w:rsidRPr="00EC52EE" w:rsidRDefault="0032553B" w:rsidP="00B16675">
            <w:pPr>
              <w:pStyle w:val="NoSpacing"/>
              <w:numPr>
                <w:ilvl w:val="2"/>
                <w:numId w:val="12"/>
              </w:numPr>
              <w:ind w:left="2160"/>
              <w:rPr>
                <w:rFonts w:ascii="Times New Roman" w:hAnsi="Times New Roman"/>
                <w:sz w:val="24"/>
                <w:szCs w:val="24"/>
              </w:rPr>
            </w:pPr>
            <w:r w:rsidRPr="00EC52EE">
              <w:rPr>
                <w:rFonts w:ascii="Times New Roman" w:hAnsi="Times New Roman"/>
                <w:sz w:val="24"/>
                <w:szCs w:val="24"/>
              </w:rPr>
              <w:t>Meter multiplier error (</w:t>
            </w:r>
            <w:proofErr w:type="spellStart"/>
            <w:r w:rsidRPr="00EC52EE">
              <w:rPr>
                <w:rFonts w:ascii="Times New Roman" w:hAnsi="Times New Roman"/>
                <w:sz w:val="24"/>
                <w:szCs w:val="24"/>
              </w:rPr>
              <w:t>MLTPR</w:t>
            </w:r>
            <w:proofErr w:type="spellEnd"/>
            <w:r w:rsidRPr="00EC52EE">
              <w:rPr>
                <w:rFonts w:ascii="Times New Roman" w:hAnsi="Times New Roman"/>
                <w:sz w:val="24"/>
                <w:szCs w:val="24"/>
              </w:rPr>
              <w:t>)</w:t>
            </w:r>
          </w:p>
          <w:p w14:paraId="4DE77289" w14:textId="77777777" w:rsidR="0032553B" w:rsidRPr="00EC52EE" w:rsidRDefault="0032553B" w:rsidP="00B16675">
            <w:pPr>
              <w:pStyle w:val="NoSpacing"/>
              <w:numPr>
                <w:ilvl w:val="2"/>
                <w:numId w:val="12"/>
              </w:numPr>
              <w:ind w:left="2160"/>
              <w:rPr>
                <w:rFonts w:ascii="Times New Roman" w:hAnsi="Times New Roman"/>
                <w:sz w:val="24"/>
                <w:szCs w:val="24"/>
              </w:rPr>
            </w:pPr>
            <w:r w:rsidRPr="00EC52EE">
              <w:rPr>
                <w:rFonts w:ascii="Times New Roman" w:hAnsi="Times New Roman"/>
                <w:sz w:val="24"/>
                <w:szCs w:val="24"/>
              </w:rPr>
              <w:t>Low / high use (various)</w:t>
            </w:r>
          </w:p>
          <w:p w14:paraId="4321CC0F" w14:textId="77777777" w:rsidR="0032553B" w:rsidRPr="00EC52EE" w:rsidRDefault="0032553B" w:rsidP="00B16675">
            <w:pPr>
              <w:pStyle w:val="NoSpacing"/>
              <w:numPr>
                <w:ilvl w:val="2"/>
                <w:numId w:val="12"/>
              </w:numPr>
              <w:ind w:left="2160"/>
              <w:rPr>
                <w:rFonts w:ascii="Times New Roman" w:hAnsi="Times New Roman"/>
                <w:sz w:val="24"/>
                <w:szCs w:val="24"/>
              </w:rPr>
            </w:pPr>
            <w:r w:rsidRPr="00EC52EE">
              <w:rPr>
                <w:rFonts w:ascii="Times New Roman" w:hAnsi="Times New Roman"/>
                <w:sz w:val="24"/>
                <w:szCs w:val="24"/>
              </w:rPr>
              <w:t>No use (</w:t>
            </w:r>
            <w:proofErr w:type="spellStart"/>
            <w:r w:rsidRPr="00EC52EE">
              <w:rPr>
                <w:rFonts w:ascii="Times New Roman" w:hAnsi="Times New Roman"/>
                <w:sz w:val="24"/>
                <w:szCs w:val="24"/>
              </w:rPr>
              <w:t>ZUSE</w:t>
            </w:r>
            <w:proofErr w:type="spellEnd"/>
            <w:r w:rsidRPr="00EC52EE">
              <w:rPr>
                <w:rFonts w:ascii="Times New Roman" w:hAnsi="Times New Roman"/>
                <w:sz w:val="24"/>
                <w:szCs w:val="24"/>
              </w:rPr>
              <w:t>)</w:t>
            </w:r>
          </w:p>
          <w:p w14:paraId="029E3092" w14:textId="77777777" w:rsidR="0032553B" w:rsidRPr="00EC52EE" w:rsidRDefault="0032553B" w:rsidP="00B16675">
            <w:pPr>
              <w:pStyle w:val="NoSpacing"/>
              <w:ind w:left="720"/>
              <w:rPr>
                <w:rFonts w:ascii="Times New Roman" w:hAnsi="Times New Roman"/>
                <w:sz w:val="24"/>
                <w:szCs w:val="24"/>
              </w:rPr>
            </w:pPr>
          </w:p>
          <w:p w14:paraId="09BA11B5" w14:textId="059E7374" w:rsidR="0032553B" w:rsidRPr="00EC52EE" w:rsidRDefault="0032553B" w:rsidP="00B16675">
            <w:pPr>
              <w:pStyle w:val="NoSpacing"/>
              <w:numPr>
                <w:ilvl w:val="0"/>
                <w:numId w:val="12"/>
              </w:numPr>
              <w:ind w:left="720"/>
              <w:rPr>
                <w:rFonts w:ascii="Times New Roman" w:hAnsi="Times New Roman"/>
                <w:sz w:val="24"/>
                <w:szCs w:val="24"/>
              </w:rPr>
            </w:pPr>
            <w:r w:rsidRPr="00EC52EE">
              <w:rPr>
                <w:rFonts w:ascii="Times New Roman" w:hAnsi="Times New Roman"/>
                <w:sz w:val="24"/>
                <w:szCs w:val="24"/>
                <w:u w:val="single"/>
              </w:rPr>
              <w:t>Incorrect billing rate schedules</w:t>
            </w:r>
            <w:r w:rsidRPr="00EC52EE">
              <w:rPr>
                <w:rFonts w:ascii="Times New Roman" w:hAnsi="Times New Roman"/>
                <w:sz w:val="24"/>
                <w:szCs w:val="24"/>
              </w:rPr>
              <w:t xml:space="preserve">: As new premises are initialized into the system, a </w:t>
            </w:r>
            <w:proofErr w:type="spellStart"/>
            <w:r w:rsidRPr="00EC52EE">
              <w:rPr>
                <w:rFonts w:ascii="Times New Roman" w:hAnsi="Times New Roman"/>
                <w:sz w:val="24"/>
                <w:szCs w:val="24"/>
              </w:rPr>
              <w:t>NWNG</w:t>
            </w:r>
            <w:proofErr w:type="spellEnd"/>
            <w:r w:rsidRPr="00EC52EE">
              <w:rPr>
                <w:rFonts w:ascii="Times New Roman" w:hAnsi="Times New Roman"/>
                <w:sz w:val="24"/>
                <w:szCs w:val="24"/>
              </w:rPr>
              <w:t xml:space="preserve"> representative determines whether the account is residential or non-residential.  The customer class associated with the rate schedule must match the customer class </w:t>
            </w:r>
            <w:r w:rsidRPr="00EC52EE">
              <w:rPr>
                <w:rFonts w:ascii="Times New Roman" w:hAnsi="Times New Roman"/>
                <w:sz w:val="24"/>
                <w:szCs w:val="24"/>
              </w:rPr>
              <w:lastRenderedPageBreak/>
              <w:t xml:space="preserve">designated on the account.   For example, residential Rate Schedule 2 cannot be selected if the customer class designation is commercial. </w:t>
            </w:r>
          </w:p>
          <w:p w14:paraId="4245F6DE" w14:textId="77777777" w:rsidR="0032553B" w:rsidRPr="00EC52EE" w:rsidRDefault="0032553B" w:rsidP="00B16675">
            <w:pPr>
              <w:pStyle w:val="NoSpacing"/>
              <w:ind w:left="720"/>
              <w:rPr>
                <w:rFonts w:ascii="Times New Roman" w:hAnsi="Times New Roman"/>
                <w:sz w:val="24"/>
                <w:szCs w:val="24"/>
              </w:rPr>
            </w:pPr>
          </w:p>
          <w:p w14:paraId="111C7045" w14:textId="77777777" w:rsidR="0032553B" w:rsidRPr="00EC52EE" w:rsidRDefault="0032553B" w:rsidP="00B16675">
            <w:pPr>
              <w:pStyle w:val="NoSpacing"/>
              <w:ind w:left="720"/>
              <w:rPr>
                <w:rFonts w:ascii="Times New Roman" w:hAnsi="Times New Roman"/>
                <w:sz w:val="24"/>
                <w:szCs w:val="24"/>
              </w:rPr>
            </w:pPr>
            <w:r w:rsidRPr="00EC52EE">
              <w:rPr>
                <w:rFonts w:ascii="Times New Roman" w:hAnsi="Times New Roman"/>
                <w:sz w:val="24"/>
                <w:szCs w:val="24"/>
              </w:rPr>
              <w:t xml:space="preserve">As customer turnover occurs on an existing premise, the Customer Contact Center (CCC) representative (CSR) queries the customer to determine whether the existing rate schedule assignment is the appropriate rate schedule for service to the new customer.  For residential and small commercial accounts there is just one rate schedule option for each (Schedule 2 for residential and Schedule 3 for commercial).  </w:t>
            </w:r>
          </w:p>
          <w:p w14:paraId="0B0BB227" w14:textId="77777777" w:rsidR="0032553B" w:rsidRPr="00EC52EE" w:rsidRDefault="0032553B" w:rsidP="00B16675">
            <w:pPr>
              <w:pStyle w:val="NoSpacing"/>
              <w:ind w:left="720"/>
              <w:rPr>
                <w:rFonts w:ascii="Times New Roman" w:hAnsi="Times New Roman"/>
                <w:sz w:val="24"/>
                <w:szCs w:val="24"/>
              </w:rPr>
            </w:pPr>
          </w:p>
          <w:p w14:paraId="50A94F41" w14:textId="2ABFDBF2" w:rsidR="0032553B" w:rsidRPr="00EC52EE" w:rsidRDefault="0032553B" w:rsidP="00B16675">
            <w:pPr>
              <w:pStyle w:val="NoSpacing"/>
              <w:ind w:left="720"/>
              <w:rPr>
                <w:rFonts w:ascii="Times New Roman" w:hAnsi="Times New Roman"/>
                <w:sz w:val="24"/>
                <w:szCs w:val="24"/>
              </w:rPr>
            </w:pPr>
            <w:r w:rsidRPr="00EC52EE">
              <w:rPr>
                <w:rFonts w:ascii="Times New Roman" w:hAnsi="Times New Roman"/>
                <w:sz w:val="24"/>
                <w:szCs w:val="24"/>
              </w:rPr>
              <w:t xml:space="preserve">Larger use non-residential customers (typically where usage is expected to be more than 2,000 </w:t>
            </w:r>
            <w:proofErr w:type="spellStart"/>
            <w:r w:rsidRPr="00EC52EE">
              <w:rPr>
                <w:rFonts w:ascii="Times New Roman" w:hAnsi="Times New Roman"/>
                <w:sz w:val="24"/>
                <w:szCs w:val="24"/>
              </w:rPr>
              <w:t>therms</w:t>
            </w:r>
            <w:proofErr w:type="spellEnd"/>
            <w:r w:rsidRPr="00EC52EE">
              <w:rPr>
                <w:rFonts w:ascii="Times New Roman" w:hAnsi="Times New Roman"/>
                <w:sz w:val="24"/>
                <w:szCs w:val="24"/>
              </w:rPr>
              <w:t xml:space="preserve"> per month) are handled by the Major Account Services Department as there are multiple rate options available.  These customers are required to sign an election form to document which rate option they desire to be placed on.  Clerk entry of these rate schedule elections is reviewed by a second individual to confirm that the account is properly set-up.</w:t>
            </w:r>
          </w:p>
          <w:p w14:paraId="0A52619C" w14:textId="77777777" w:rsidR="0032553B" w:rsidRPr="00EC52EE" w:rsidRDefault="0032553B" w:rsidP="00B16675">
            <w:pPr>
              <w:pStyle w:val="NoSpacing"/>
              <w:ind w:left="720"/>
              <w:rPr>
                <w:rFonts w:ascii="Times New Roman" w:hAnsi="Times New Roman"/>
                <w:sz w:val="24"/>
                <w:szCs w:val="24"/>
              </w:rPr>
            </w:pPr>
          </w:p>
          <w:p w14:paraId="15774DDB" w14:textId="77777777" w:rsidR="0032553B" w:rsidRPr="00EC52EE" w:rsidRDefault="0032553B" w:rsidP="00B16675">
            <w:pPr>
              <w:pStyle w:val="NoSpacing"/>
              <w:ind w:left="720"/>
              <w:rPr>
                <w:rFonts w:ascii="Times New Roman" w:hAnsi="Times New Roman"/>
                <w:sz w:val="24"/>
                <w:szCs w:val="24"/>
              </w:rPr>
            </w:pPr>
            <w:r w:rsidRPr="00EC52EE">
              <w:rPr>
                <w:rFonts w:ascii="Times New Roman" w:hAnsi="Times New Roman"/>
                <w:sz w:val="24"/>
                <w:szCs w:val="24"/>
              </w:rPr>
              <w:t>At the time an account bills, a bill exception will be created if certain conditions exists.  A billing clerk must review / resolve the condition before the bill can be released. Such conditions include:</w:t>
            </w:r>
          </w:p>
          <w:p w14:paraId="1CF2762B" w14:textId="77777777" w:rsidR="0032553B" w:rsidRPr="00EC52EE" w:rsidRDefault="0032553B" w:rsidP="00B16675">
            <w:pPr>
              <w:pStyle w:val="NoSpacing"/>
              <w:numPr>
                <w:ilvl w:val="0"/>
                <w:numId w:val="13"/>
              </w:numPr>
              <w:ind w:left="1440"/>
              <w:rPr>
                <w:rFonts w:ascii="Times New Roman" w:hAnsi="Times New Roman"/>
                <w:sz w:val="24"/>
                <w:szCs w:val="24"/>
              </w:rPr>
            </w:pPr>
            <w:r w:rsidRPr="00EC52EE">
              <w:rPr>
                <w:rFonts w:ascii="Times New Roman" w:hAnsi="Times New Roman"/>
                <w:sz w:val="24"/>
                <w:szCs w:val="24"/>
              </w:rPr>
              <w:t>Rate schedule not valid for state (</w:t>
            </w:r>
            <w:proofErr w:type="spellStart"/>
            <w:r w:rsidRPr="00EC52EE">
              <w:rPr>
                <w:rFonts w:ascii="Times New Roman" w:hAnsi="Times New Roman"/>
                <w:sz w:val="24"/>
                <w:szCs w:val="24"/>
              </w:rPr>
              <w:t>RSWS</w:t>
            </w:r>
            <w:proofErr w:type="spellEnd"/>
            <w:r w:rsidRPr="00EC52EE">
              <w:rPr>
                <w:rFonts w:ascii="Times New Roman" w:hAnsi="Times New Roman"/>
                <w:sz w:val="24"/>
                <w:szCs w:val="24"/>
              </w:rPr>
              <w:t>)</w:t>
            </w:r>
          </w:p>
          <w:p w14:paraId="1CAC1E86" w14:textId="77777777" w:rsidR="0032553B" w:rsidRPr="00EC52EE" w:rsidRDefault="0032553B" w:rsidP="00B16675">
            <w:pPr>
              <w:pStyle w:val="NoSpacing"/>
              <w:numPr>
                <w:ilvl w:val="0"/>
                <w:numId w:val="13"/>
              </w:numPr>
              <w:ind w:left="1440"/>
              <w:rPr>
                <w:rFonts w:ascii="Times New Roman" w:hAnsi="Times New Roman"/>
                <w:sz w:val="24"/>
                <w:szCs w:val="24"/>
              </w:rPr>
            </w:pPr>
            <w:r w:rsidRPr="00EC52EE">
              <w:rPr>
                <w:rFonts w:ascii="Times New Roman" w:hAnsi="Times New Roman"/>
                <w:sz w:val="24"/>
                <w:szCs w:val="24"/>
              </w:rPr>
              <w:t>Rate schedule not effective during billing period (</w:t>
            </w:r>
            <w:proofErr w:type="spellStart"/>
            <w:r w:rsidRPr="00EC52EE">
              <w:rPr>
                <w:rFonts w:ascii="Times New Roman" w:hAnsi="Times New Roman"/>
                <w:sz w:val="24"/>
                <w:szCs w:val="24"/>
              </w:rPr>
              <w:t>RSCH</w:t>
            </w:r>
            <w:proofErr w:type="spellEnd"/>
            <w:r w:rsidRPr="00EC52EE">
              <w:rPr>
                <w:rFonts w:ascii="Times New Roman" w:hAnsi="Times New Roman"/>
                <w:sz w:val="24"/>
                <w:szCs w:val="24"/>
              </w:rPr>
              <w:t>)</w:t>
            </w:r>
          </w:p>
          <w:p w14:paraId="121BB86C" w14:textId="77777777" w:rsidR="0032553B" w:rsidRPr="00EC52EE" w:rsidRDefault="0032553B" w:rsidP="00B16675">
            <w:pPr>
              <w:pStyle w:val="NoSpacing"/>
              <w:numPr>
                <w:ilvl w:val="0"/>
                <w:numId w:val="13"/>
              </w:numPr>
              <w:ind w:left="1440"/>
              <w:rPr>
                <w:rFonts w:ascii="Times New Roman" w:hAnsi="Times New Roman"/>
                <w:sz w:val="24"/>
                <w:szCs w:val="24"/>
              </w:rPr>
            </w:pPr>
            <w:r w:rsidRPr="00EC52EE">
              <w:rPr>
                <w:rFonts w:ascii="Times New Roman" w:hAnsi="Times New Roman"/>
                <w:sz w:val="24"/>
                <w:szCs w:val="24"/>
              </w:rPr>
              <w:t>Rate schedule requires contract but contract not found (</w:t>
            </w:r>
            <w:proofErr w:type="spellStart"/>
            <w:r w:rsidRPr="00EC52EE">
              <w:rPr>
                <w:rFonts w:ascii="Times New Roman" w:hAnsi="Times New Roman"/>
                <w:sz w:val="24"/>
                <w:szCs w:val="24"/>
              </w:rPr>
              <w:t>CRRS</w:t>
            </w:r>
            <w:proofErr w:type="spellEnd"/>
            <w:r w:rsidRPr="00EC52EE">
              <w:rPr>
                <w:rFonts w:ascii="Times New Roman" w:hAnsi="Times New Roman"/>
                <w:sz w:val="24"/>
                <w:szCs w:val="24"/>
              </w:rPr>
              <w:t>)</w:t>
            </w:r>
          </w:p>
          <w:p w14:paraId="4C7ED47C" w14:textId="77777777" w:rsidR="0032553B" w:rsidRPr="00EC52EE" w:rsidRDefault="0032553B" w:rsidP="00B16675">
            <w:pPr>
              <w:pStyle w:val="NoSpacing"/>
              <w:numPr>
                <w:ilvl w:val="0"/>
                <w:numId w:val="13"/>
              </w:numPr>
              <w:ind w:left="1440"/>
              <w:rPr>
                <w:rFonts w:ascii="Times New Roman" w:hAnsi="Times New Roman"/>
                <w:sz w:val="24"/>
                <w:szCs w:val="24"/>
              </w:rPr>
            </w:pPr>
            <w:r w:rsidRPr="00EC52EE">
              <w:rPr>
                <w:rFonts w:ascii="Times New Roman" w:hAnsi="Times New Roman"/>
                <w:sz w:val="24"/>
                <w:szCs w:val="24"/>
              </w:rPr>
              <w:t>Rate schedule does not agree with contract record (</w:t>
            </w:r>
            <w:proofErr w:type="spellStart"/>
            <w:r w:rsidRPr="00EC52EE">
              <w:rPr>
                <w:rFonts w:ascii="Times New Roman" w:hAnsi="Times New Roman"/>
                <w:sz w:val="24"/>
                <w:szCs w:val="24"/>
              </w:rPr>
              <w:t>RSMM</w:t>
            </w:r>
            <w:proofErr w:type="spellEnd"/>
            <w:r w:rsidRPr="00EC52EE">
              <w:rPr>
                <w:rFonts w:ascii="Times New Roman" w:hAnsi="Times New Roman"/>
                <w:sz w:val="24"/>
                <w:szCs w:val="24"/>
              </w:rPr>
              <w:t>)</w:t>
            </w:r>
          </w:p>
          <w:p w14:paraId="38AA7D4D" w14:textId="77777777" w:rsidR="0032553B" w:rsidRPr="00EC52EE" w:rsidRDefault="0032553B" w:rsidP="00B16675">
            <w:pPr>
              <w:pStyle w:val="NoSpacing"/>
              <w:rPr>
                <w:rFonts w:ascii="Times New Roman" w:hAnsi="Times New Roman"/>
                <w:sz w:val="24"/>
                <w:szCs w:val="24"/>
              </w:rPr>
            </w:pPr>
          </w:p>
          <w:p w14:paraId="7F95CE28" w14:textId="77777777" w:rsidR="0032553B" w:rsidRPr="00EC52EE" w:rsidRDefault="0032553B" w:rsidP="00B16675">
            <w:pPr>
              <w:pStyle w:val="NoSpacing"/>
              <w:numPr>
                <w:ilvl w:val="0"/>
                <w:numId w:val="12"/>
              </w:numPr>
              <w:ind w:left="720"/>
              <w:rPr>
                <w:rFonts w:ascii="Times New Roman" w:hAnsi="Times New Roman"/>
                <w:sz w:val="24"/>
                <w:szCs w:val="24"/>
              </w:rPr>
            </w:pPr>
            <w:r w:rsidRPr="00EC52EE">
              <w:rPr>
                <w:rFonts w:ascii="Times New Roman" w:hAnsi="Times New Roman"/>
                <w:sz w:val="24"/>
                <w:szCs w:val="24"/>
                <w:u w:val="single"/>
              </w:rPr>
              <w:lastRenderedPageBreak/>
              <w:t>Incorrect billing multipliers:</w:t>
            </w:r>
            <w:r w:rsidRPr="00EC52EE">
              <w:rPr>
                <w:rFonts w:ascii="Times New Roman" w:hAnsi="Times New Roman"/>
                <w:sz w:val="24"/>
                <w:szCs w:val="24"/>
              </w:rPr>
              <w:t xml:space="preserve"> Meters are grouped by families as they are purchased and each family is assigned one meter multiplier value. This value follows the meter except where there is a need to change the meter multiplier, such as when certain attachments are added to the meter set. </w:t>
            </w:r>
          </w:p>
          <w:p w14:paraId="3112D6E8" w14:textId="77777777" w:rsidR="0032553B" w:rsidRPr="00EC52EE" w:rsidRDefault="0032553B" w:rsidP="00B16675">
            <w:pPr>
              <w:pStyle w:val="NoSpacing"/>
              <w:ind w:left="720"/>
              <w:rPr>
                <w:rFonts w:ascii="Times New Roman" w:hAnsi="Times New Roman"/>
                <w:sz w:val="24"/>
                <w:szCs w:val="24"/>
                <w:u w:val="single"/>
              </w:rPr>
            </w:pPr>
          </w:p>
          <w:p w14:paraId="26EA5F50" w14:textId="426E7530" w:rsidR="0032553B" w:rsidRPr="00EC52EE" w:rsidRDefault="0032553B" w:rsidP="00B16675">
            <w:pPr>
              <w:pStyle w:val="NoSpacing"/>
              <w:ind w:left="720"/>
            </w:pPr>
            <w:r w:rsidRPr="00EC52EE">
              <w:rPr>
                <w:rFonts w:ascii="Times New Roman" w:hAnsi="Times New Roman"/>
                <w:sz w:val="24"/>
                <w:szCs w:val="24"/>
              </w:rPr>
              <w:t>Each time an account bills, there is system logic in CIS to confirm that the meter multiplier associated with the meter agrees with an algorithmic formula.  A bill exception stops any bill that fails this logic and must be reviewed / corrected by a billing clerk.</w:t>
            </w:r>
          </w:p>
          <w:p w14:paraId="751F61AD" w14:textId="77777777" w:rsidR="0032553B" w:rsidRPr="00EC52EE" w:rsidRDefault="0032553B" w:rsidP="00B16675">
            <w:pPr>
              <w:ind w:hanging="18"/>
              <w:rPr>
                <w:rFonts w:ascii="Times New Roman" w:hAnsi="Times New Roman" w:cs="Times New Roman"/>
                <w:sz w:val="24"/>
                <w:szCs w:val="24"/>
                <w:u w:val="single"/>
              </w:rPr>
            </w:pPr>
          </w:p>
        </w:tc>
        <w:tc>
          <w:tcPr>
            <w:tcW w:w="4248" w:type="dxa"/>
            <w:vMerge/>
          </w:tcPr>
          <w:p w14:paraId="751F61AE" w14:textId="77777777" w:rsidR="0032553B" w:rsidRPr="00EC52EE" w:rsidRDefault="0032553B" w:rsidP="00B16675">
            <w:pPr>
              <w:rPr>
                <w:rFonts w:ascii="Times New Roman" w:hAnsi="Times New Roman" w:cs="Times New Roman"/>
                <w:sz w:val="24"/>
                <w:szCs w:val="24"/>
              </w:rPr>
            </w:pPr>
          </w:p>
        </w:tc>
      </w:tr>
      <w:tr w:rsidR="0032553B" w:rsidRPr="00EC52EE" w14:paraId="751F61EF" w14:textId="77777777" w:rsidTr="00022224">
        <w:trPr>
          <w:cantSplit/>
          <w:trHeight w:val="8996"/>
        </w:trPr>
        <w:tc>
          <w:tcPr>
            <w:tcW w:w="1705" w:type="dxa"/>
            <w:vMerge/>
          </w:tcPr>
          <w:p w14:paraId="751F61B0" w14:textId="77777777" w:rsidR="0032553B" w:rsidRPr="00EC52EE" w:rsidRDefault="0032553B" w:rsidP="00B16675">
            <w:pPr>
              <w:rPr>
                <w:rFonts w:ascii="Times New Roman" w:hAnsi="Times New Roman" w:cs="Times New Roman"/>
                <w:b/>
                <w:sz w:val="24"/>
                <w:szCs w:val="24"/>
              </w:rPr>
            </w:pPr>
          </w:p>
        </w:tc>
        <w:tc>
          <w:tcPr>
            <w:tcW w:w="1530" w:type="dxa"/>
          </w:tcPr>
          <w:p w14:paraId="778759A4" w14:textId="77777777" w:rsidR="0032553B" w:rsidRPr="00EC52EE" w:rsidRDefault="0032553B" w:rsidP="00B16675">
            <w:pPr>
              <w:rPr>
                <w:rFonts w:ascii="Times New Roman" w:hAnsi="Times New Roman" w:cs="Times New Roman"/>
                <w:sz w:val="24"/>
                <w:szCs w:val="24"/>
              </w:rPr>
            </w:pPr>
            <w:proofErr w:type="spellStart"/>
            <w:r>
              <w:rPr>
                <w:rFonts w:ascii="Times New Roman" w:hAnsi="Times New Roman" w:cs="Times New Roman"/>
                <w:sz w:val="24"/>
                <w:szCs w:val="24"/>
              </w:rPr>
              <w:t>CNGC</w:t>
            </w:r>
            <w:proofErr w:type="spellEnd"/>
          </w:p>
          <w:p w14:paraId="751F61B1" w14:textId="5B1D9A6A" w:rsidR="0032553B" w:rsidRPr="00EC52EE" w:rsidRDefault="0032553B" w:rsidP="00B16675">
            <w:pPr>
              <w:rPr>
                <w:rFonts w:ascii="Times New Roman" w:hAnsi="Times New Roman" w:cs="Times New Roman"/>
                <w:sz w:val="24"/>
                <w:szCs w:val="24"/>
              </w:rPr>
            </w:pPr>
          </w:p>
        </w:tc>
        <w:tc>
          <w:tcPr>
            <w:tcW w:w="7200" w:type="dxa"/>
          </w:tcPr>
          <w:p w14:paraId="08575928" w14:textId="77777777" w:rsidR="0032553B" w:rsidRPr="00EC52EE" w:rsidRDefault="0032553B" w:rsidP="00B16675">
            <w:pPr>
              <w:pStyle w:val="Default"/>
              <w:tabs>
                <w:tab w:val="left" w:pos="720"/>
                <w:tab w:val="left" w:pos="1440"/>
              </w:tabs>
            </w:pPr>
            <w:r w:rsidRPr="00EC52EE">
              <w:t>The company has the following processes and procedures for preventing and identifying billing errors:</w:t>
            </w:r>
          </w:p>
          <w:p w14:paraId="1A0405E3" w14:textId="77777777" w:rsidR="0032553B" w:rsidRPr="00EC52EE" w:rsidRDefault="0032553B" w:rsidP="00B16675">
            <w:pPr>
              <w:pStyle w:val="Default"/>
              <w:numPr>
                <w:ilvl w:val="0"/>
                <w:numId w:val="14"/>
              </w:numPr>
              <w:tabs>
                <w:tab w:val="left" w:pos="720"/>
                <w:tab w:val="left" w:pos="1440"/>
              </w:tabs>
            </w:pPr>
            <w:r w:rsidRPr="00EC52EE">
              <w:t>Exception Reporting: A daily report listing abnormally high or low reads is automatically generated when a read is 90% lower or higher than the expected bandwidth of normal usage. Expected usage is 0.4 to 2.5 times estimated usage based on the demand at the premise for the prior three years. This report notifies the company of any dead meter, including meters that are functional but have no usage, and meters registering usage where there is no customer of record. The report is manually reviewed and anomalies are investigated.</w:t>
            </w:r>
          </w:p>
          <w:p w14:paraId="27628B57" w14:textId="77777777" w:rsidR="0032553B" w:rsidRPr="00EC52EE" w:rsidRDefault="0032553B" w:rsidP="00B16675">
            <w:pPr>
              <w:pStyle w:val="Default"/>
              <w:numPr>
                <w:ilvl w:val="1"/>
                <w:numId w:val="14"/>
              </w:numPr>
              <w:tabs>
                <w:tab w:val="left" w:pos="720"/>
                <w:tab w:val="left" w:pos="1440"/>
              </w:tabs>
            </w:pPr>
            <w:r w:rsidRPr="00EC52EE">
              <w:t>The investigation may be a manual review of that customer’s historical usage or it may be a physical check of the meter. The analyst reviewing the report determines the necessary action for the bill in question.</w:t>
            </w:r>
          </w:p>
          <w:p w14:paraId="0A885316" w14:textId="77777777" w:rsidR="0032553B" w:rsidRPr="00EC52EE" w:rsidRDefault="0032553B" w:rsidP="00B16675">
            <w:pPr>
              <w:pStyle w:val="Default"/>
              <w:numPr>
                <w:ilvl w:val="0"/>
                <w:numId w:val="14"/>
              </w:numPr>
              <w:tabs>
                <w:tab w:val="left" w:pos="720"/>
                <w:tab w:val="left" w:pos="1440"/>
              </w:tabs>
            </w:pPr>
            <w:r w:rsidRPr="00EC52EE">
              <w:t>Unidentified usage: When unidentified energy usage is discovered through exception reporting, the company places a door hanger on the premise asking the occupant to establish service with 48 hours. If service is not established within that timeframe, the service is disconnected.</w:t>
            </w:r>
          </w:p>
          <w:p w14:paraId="2AE83B99" w14:textId="77777777" w:rsidR="0032553B" w:rsidRPr="00EC52EE" w:rsidRDefault="0032553B" w:rsidP="00B16675">
            <w:pPr>
              <w:pStyle w:val="Default"/>
              <w:numPr>
                <w:ilvl w:val="0"/>
                <w:numId w:val="14"/>
              </w:numPr>
              <w:tabs>
                <w:tab w:val="left" w:pos="720"/>
                <w:tab w:val="left" w:pos="1440"/>
              </w:tabs>
            </w:pPr>
            <w:r w:rsidRPr="00EC52EE">
              <w:t>Meter testing: In compliance with WAC 480-90-248 and rule 7 of the company’s tariff, the company systematically and repeatedly tests a statistical sample of its meters for compliance to the 2% tolerance established in WAC 480-90-338.</w:t>
            </w:r>
          </w:p>
          <w:p w14:paraId="2A4336CC" w14:textId="77777777" w:rsidR="0032553B" w:rsidRPr="00EC52EE" w:rsidRDefault="0032553B" w:rsidP="00B16675">
            <w:pPr>
              <w:pStyle w:val="Default"/>
              <w:numPr>
                <w:ilvl w:val="0"/>
                <w:numId w:val="14"/>
              </w:numPr>
              <w:tabs>
                <w:tab w:val="left" w:pos="720"/>
                <w:tab w:val="left" w:pos="1440"/>
              </w:tabs>
            </w:pPr>
            <w:r w:rsidRPr="00EC52EE">
              <w:t>Testing new rates: When new rates are entered into the customer billing system, they are entered into a test environment and are verified before they are transferred live to the billing system.</w:t>
            </w:r>
          </w:p>
          <w:p w14:paraId="751F61ED" w14:textId="430A8B43" w:rsidR="0032553B" w:rsidRPr="006D2C1D" w:rsidRDefault="0032553B" w:rsidP="00B16675">
            <w:pPr>
              <w:pStyle w:val="ListParagraph"/>
              <w:numPr>
                <w:ilvl w:val="0"/>
                <w:numId w:val="14"/>
              </w:numPr>
              <w:rPr>
                <w:rFonts w:ascii="Times New Roman" w:hAnsi="Times New Roman" w:cs="Times New Roman"/>
                <w:sz w:val="24"/>
                <w:szCs w:val="24"/>
              </w:rPr>
            </w:pPr>
            <w:r w:rsidRPr="00EC52EE">
              <w:t>Estimated bills: When bills are estimated, the company follows the procedure of using the usage patterns for the same timeframe for the prior three years.</w:t>
            </w:r>
          </w:p>
        </w:tc>
        <w:tc>
          <w:tcPr>
            <w:tcW w:w="4248" w:type="dxa"/>
            <w:vMerge/>
          </w:tcPr>
          <w:p w14:paraId="751F61EE" w14:textId="77777777" w:rsidR="0032553B" w:rsidRPr="00EC52EE" w:rsidRDefault="0032553B" w:rsidP="00B16675">
            <w:pPr>
              <w:rPr>
                <w:rFonts w:ascii="Times New Roman" w:hAnsi="Times New Roman" w:cs="Times New Roman"/>
                <w:sz w:val="24"/>
                <w:szCs w:val="24"/>
              </w:rPr>
            </w:pPr>
          </w:p>
        </w:tc>
      </w:tr>
    </w:tbl>
    <w:p w14:paraId="751F61FB" w14:textId="5445B795" w:rsidR="009C7A39" w:rsidRDefault="009C7A39" w:rsidP="009C7A39">
      <w:pPr>
        <w:rPr>
          <w:rFonts w:ascii="Times New Roman" w:hAnsi="Times New Roman" w:cs="Times New Roman"/>
        </w:rPr>
      </w:pPr>
    </w:p>
    <w:p w14:paraId="11A0B363" w14:textId="77777777" w:rsidR="009C7A39" w:rsidRDefault="009C7A39">
      <w:pPr>
        <w:spacing w:after="160" w:line="259" w:lineRule="auto"/>
        <w:rPr>
          <w:rFonts w:ascii="Times New Roman" w:hAnsi="Times New Roman" w:cs="Times New Roman"/>
        </w:rPr>
      </w:pPr>
      <w:r>
        <w:rPr>
          <w:rFonts w:ascii="Times New Roman" w:hAnsi="Times New Roman" w:cs="Times New Roman"/>
        </w:rPr>
        <w:br w:type="page"/>
      </w:r>
    </w:p>
    <w:p w14:paraId="2B78D3EB" w14:textId="3250286D" w:rsidR="009C7A39" w:rsidRPr="0032553B" w:rsidRDefault="009C7A39" w:rsidP="009C7A39">
      <w:pPr>
        <w:rPr>
          <w:rFonts w:ascii="Times New Roman" w:hAnsi="Times New Roman" w:cs="Times New Roman"/>
          <w:b/>
          <w:u w:val="single"/>
        </w:rPr>
      </w:pPr>
      <w:r w:rsidRPr="0032553B">
        <w:rPr>
          <w:rFonts w:ascii="Times New Roman" w:hAnsi="Times New Roman" w:cs="Times New Roman"/>
          <w:b/>
          <w:u w:val="single"/>
        </w:rPr>
        <w:lastRenderedPageBreak/>
        <w:t>Appendix showing table mentioned in staff response to company comments (page 7) regarding residential and nonresidential service.</w:t>
      </w:r>
    </w:p>
    <w:p w14:paraId="7E0911F9" w14:textId="77777777" w:rsidR="009C7A39" w:rsidRDefault="009C7A39" w:rsidP="009C7A39"/>
    <w:p w14:paraId="52EF2E54" w14:textId="0DAC35B7" w:rsidR="009C7A39" w:rsidRDefault="009C7A39" w:rsidP="009C7A39">
      <w:r>
        <w:t>The amounts reported for nonresidential customers are very small in comparison to the companies’ total revenues, and the</w:t>
      </w:r>
    </w:p>
    <w:p w14:paraId="497E4F12" w14:textId="291434DF" w:rsidR="009C7A39" w:rsidRDefault="009C7A39" w:rsidP="009C7A39">
      <w:r>
        <w:t>Difference between the impact of corrected bills issued in excess of six months to non-residential customers and those issued</w:t>
      </w:r>
    </w:p>
    <w:p w14:paraId="3DC426E0" w14:textId="36CB5A33" w:rsidR="009C7A39" w:rsidRDefault="009C7A39" w:rsidP="009C7A39">
      <w:r>
        <w:t>To residential customers is not significant.</w:t>
      </w:r>
    </w:p>
    <w:p w14:paraId="48B03178" w14:textId="77777777" w:rsidR="009C7A39" w:rsidRDefault="009C7A39" w:rsidP="009C7A39"/>
    <w:p w14:paraId="2A669BFE" w14:textId="77777777" w:rsidR="009C7A39" w:rsidRDefault="009C7A39" w:rsidP="009C7A39"/>
    <w:tbl>
      <w:tblPr>
        <w:tblStyle w:val="TableGrid"/>
        <w:tblW w:w="9625" w:type="dxa"/>
        <w:tblLook w:val="04A0" w:firstRow="1" w:lastRow="0" w:firstColumn="1" w:lastColumn="0" w:noHBand="0" w:noVBand="1"/>
      </w:tblPr>
      <w:tblGrid>
        <w:gridCol w:w="1191"/>
        <w:gridCol w:w="1243"/>
        <w:gridCol w:w="1226"/>
        <w:gridCol w:w="1225"/>
        <w:gridCol w:w="1044"/>
        <w:gridCol w:w="1052"/>
        <w:gridCol w:w="1036"/>
        <w:gridCol w:w="1608"/>
      </w:tblGrid>
      <w:tr w:rsidR="009C7A39" w14:paraId="386CFD35" w14:textId="77777777" w:rsidTr="00022224">
        <w:tc>
          <w:tcPr>
            <w:tcW w:w="1196" w:type="dxa"/>
          </w:tcPr>
          <w:p w14:paraId="5566A4A7" w14:textId="77777777" w:rsidR="009C7A39" w:rsidRPr="00534087" w:rsidRDefault="009C7A39" w:rsidP="00022224">
            <w:pPr>
              <w:rPr>
                <w:rFonts w:cstheme="minorHAnsi"/>
              </w:rPr>
            </w:pPr>
          </w:p>
        </w:tc>
        <w:tc>
          <w:tcPr>
            <w:tcW w:w="3703" w:type="dxa"/>
            <w:gridSpan w:val="3"/>
          </w:tcPr>
          <w:p w14:paraId="5DC7830B" w14:textId="77777777" w:rsidR="009C7A39" w:rsidRPr="00534087" w:rsidRDefault="009C7A39" w:rsidP="00022224">
            <w:pPr>
              <w:jc w:val="center"/>
              <w:rPr>
                <w:rFonts w:cstheme="minorHAnsi"/>
                <w:b/>
                <w:color w:val="000000"/>
              </w:rPr>
            </w:pPr>
            <w:r w:rsidRPr="00534087">
              <w:rPr>
                <w:rFonts w:cstheme="minorHAnsi"/>
                <w:b/>
                <w:color w:val="000000"/>
              </w:rPr>
              <w:t>Non-residential</w:t>
            </w:r>
          </w:p>
          <w:p w14:paraId="49FB17CF" w14:textId="77777777" w:rsidR="009C7A39" w:rsidRPr="00534087" w:rsidRDefault="009C7A39" w:rsidP="00022224">
            <w:pPr>
              <w:rPr>
                <w:rFonts w:cstheme="minorHAnsi"/>
                <w:b/>
              </w:rPr>
            </w:pPr>
          </w:p>
        </w:tc>
        <w:tc>
          <w:tcPr>
            <w:tcW w:w="3121" w:type="dxa"/>
            <w:gridSpan w:val="3"/>
          </w:tcPr>
          <w:p w14:paraId="40CD3FBC" w14:textId="77777777" w:rsidR="009C7A39" w:rsidRPr="00534087" w:rsidRDefault="009C7A39" w:rsidP="00022224">
            <w:pPr>
              <w:jc w:val="center"/>
              <w:rPr>
                <w:rFonts w:cstheme="minorHAnsi"/>
                <w:b/>
                <w:color w:val="000000"/>
              </w:rPr>
            </w:pPr>
            <w:r w:rsidRPr="00534087">
              <w:rPr>
                <w:rFonts w:cstheme="minorHAnsi"/>
                <w:b/>
                <w:color w:val="000000"/>
              </w:rPr>
              <w:t>Residential</w:t>
            </w:r>
          </w:p>
          <w:p w14:paraId="1D12D97A" w14:textId="77777777" w:rsidR="009C7A39" w:rsidRPr="00534087" w:rsidRDefault="009C7A39" w:rsidP="00022224">
            <w:pPr>
              <w:jc w:val="center"/>
              <w:rPr>
                <w:rFonts w:cstheme="minorHAnsi"/>
                <w:b/>
              </w:rPr>
            </w:pPr>
          </w:p>
        </w:tc>
        <w:tc>
          <w:tcPr>
            <w:tcW w:w="1605" w:type="dxa"/>
          </w:tcPr>
          <w:p w14:paraId="772DF06A" w14:textId="77777777" w:rsidR="009C7A39" w:rsidRPr="00534087" w:rsidRDefault="009C7A39" w:rsidP="00022224">
            <w:pPr>
              <w:rPr>
                <w:rFonts w:cstheme="minorHAnsi"/>
              </w:rPr>
            </w:pPr>
          </w:p>
        </w:tc>
      </w:tr>
      <w:tr w:rsidR="009C7A39" w14:paraId="7F584449" w14:textId="77777777" w:rsidTr="00022224">
        <w:tc>
          <w:tcPr>
            <w:tcW w:w="1196" w:type="dxa"/>
          </w:tcPr>
          <w:p w14:paraId="483AA6E8" w14:textId="77777777" w:rsidR="009C7A39" w:rsidRPr="00534087" w:rsidRDefault="009C7A39" w:rsidP="00022224">
            <w:pPr>
              <w:rPr>
                <w:rFonts w:cstheme="minorHAnsi"/>
              </w:rPr>
            </w:pPr>
          </w:p>
        </w:tc>
        <w:tc>
          <w:tcPr>
            <w:tcW w:w="1246" w:type="dxa"/>
          </w:tcPr>
          <w:p w14:paraId="0D21E528" w14:textId="77777777" w:rsidR="009C7A39" w:rsidRPr="00534087" w:rsidRDefault="009C7A39" w:rsidP="00022224">
            <w:pPr>
              <w:rPr>
                <w:rFonts w:cstheme="minorHAnsi"/>
                <w:color w:val="000000"/>
              </w:rPr>
            </w:pPr>
            <w:r w:rsidRPr="00534087">
              <w:rPr>
                <w:rFonts w:cstheme="minorHAnsi"/>
                <w:color w:val="000000"/>
              </w:rPr>
              <w:t>Number of accounts billed in excess of 6 months (2012-2014)</w:t>
            </w:r>
          </w:p>
          <w:p w14:paraId="6860DEF5" w14:textId="77777777" w:rsidR="009C7A39" w:rsidRPr="00534087" w:rsidRDefault="009C7A39" w:rsidP="00022224">
            <w:pPr>
              <w:rPr>
                <w:rFonts w:cstheme="minorHAnsi"/>
              </w:rPr>
            </w:pPr>
          </w:p>
        </w:tc>
        <w:tc>
          <w:tcPr>
            <w:tcW w:w="1228" w:type="dxa"/>
          </w:tcPr>
          <w:p w14:paraId="67565C61" w14:textId="77777777" w:rsidR="009C7A39" w:rsidRPr="00534087" w:rsidRDefault="009C7A39" w:rsidP="00022224">
            <w:pPr>
              <w:rPr>
                <w:rFonts w:cstheme="minorHAnsi"/>
                <w:color w:val="000000"/>
              </w:rPr>
            </w:pPr>
            <w:r w:rsidRPr="00534087">
              <w:rPr>
                <w:rFonts w:cstheme="minorHAnsi"/>
                <w:color w:val="000000"/>
              </w:rPr>
              <w:t>Average annual total amount billed  in excess of 6 months (2012-2014)</w:t>
            </w:r>
          </w:p>
          <w:p w14:paraId="7722ED58" w14:textId="77777777" w:rsidR="009C7A39" w:rsidRPr="00534087" w:rsidRDefault="009C7A39" w:rsidP="00022224">
            <w:pPr>
              <w:rPr>
                <w:rFonts w:cstheme="minorHAnsi"/>
              </w:rPr>
            </w:pPr>
          </w:p>
        </w:tc>
        <w:tc>
          <w:tcPr>
            <w:tcW w:w="1229" w:type="dxa"/>
          </w:tcPr>
          <w:p w14:paraId="11F84FB1" w14:textId="77777777" w:rsidR="009C7A39" w:rsidRPr="00534087" w:rsidRDefault="009C7A39" w:rsidP="00022224">
            <w:pPr>
              <w:rPr>
                <w:rFonts w:cstheme="minorHAnsi"/>
                <w:color w:val="000000"/>
              </w:rPr>
            </w:pPr>
            <w:r w:rsidRPr="00534087">
              <w:rPr>
                <w:rFonts w:cstheme="minorHAnsi"/>
                <w:color w:val="000000"/>
              </w:rPr>
              <w:t>Percent of average annual revenue</w:t>
            </w:r>
          </w:p>
          <w:p w14:paraId="7E16038D" w14:textId="77777777" w:rsidR="009C7A39" w:rsidRPr="00534087" w:rsidRDefault="009C7A39" w:rsidP="00022224">
            <w:pPr>
              <w:rPr>
                <w:rFonts w:cstheme="minorHAnsi"/>
              </w:rPr>
            </w:pPr>
          </w:p>
        </w:tc>
        <w:tc>
          <w:tcPr>
            <w:tcW w:w="1044" w:type="dxa"/>
          </w:tcPr>
          <w:p w14:paraId="2D9338A7" w14:textId="77777777" w:rsidR="009C7A39" w:rsidRPr="00534087" w:rsidRDefault="009C7A39" w:rsidP="00022224">
            <w:pPr>
              <w:rPr>
                <w:rFonts w:cstheme="minorHAnsi"/>
                <w:color w:val="000000"/>
              </w:rPr>
            </w:pPr>
            <w:r w:rsidRPr="00534087">
              <w:rPr>
                <w:rFonts w:cstheme="minorHAnsi"/>
                <w:color w:val="000000"/>
              </w:rPr>
              <w:t>Number of accounts billed in excess of 6 months (2012-2014)</w:t>
            </w:r>
          </w:p>
          <w:p w14:paraId="03F11F09" w14:textId="77777777" w:rsidR="009C7A39" w:rsidRPr="00534087" w:rsidRDefault="009C7A39" w:rsidP="00022224">
            <w:pPr>
              <w:rPr>
                <w:rFonts w:cstheme="minorHAnsi"/>
              </w:rPr>
            </w:pPr>
          </w:p>
        </w:tc>
        <w:tc>
          <w:tcPr>
            <w:tcW w:w="1040" w:type="dxa"/>
          </w:tcPr>
          <w:p w14:paraId="544050DE" w14:textId="77777777" w:rsidR="009C7A39" w:rsidRPr="00534087" w:rsidRDefault="009C7A39" w:rsidP="00022224">
            <w:pPr>
              <w:rPr>
                <w:rFonts w:cstheme="minorHAnsi"/>
                <w:color w:val="000000"/>
              </w:rPr>
            </w:pPr>
            <w:r w:rsidRPr="00534087">
              <w:rPr>
                <w:rFonts w:cstheme="minorHAnsi"/>
                <w:color w:val="000000"/>
              </w:rPr>
              <w:t>Average annual total amount billed  in excess of 6 months (2012-2014)</w:t>
            </w:r>
          </w:p>
          <w:p w14:paraId="426B421E" w14:textId="77777777" w:rsidR="009C7A39" w:rsidRPr="00534087" w:rsidRDefault="009C7A39" w:rsidP="00022224">
            <w:pPr>
              <w:rPr>
                <w:rFonts w:cstheme="minorHAnsi"/>
              </w:rPr>
            </w:pPr>
          </w:p>
        </w:tc>
        <w:tc>
          <w:tcPr>
            <w:tcW w:w="1037" w:type="dxa"/>
          </w:tcPr>
          <w:p w14:paraId="27D46133" w14:textId="77777777" w:rsidR="009C7A39" w:rsidRPr="00534087" w:rsidRDefault="009C7A39" w:rsidP="00022224">
            <w:pPr>
              <w:rPr>
                <w:rFonts w:cstheme="minorHAnsi"/>
                <w:color w:val="000000"/>
              </w:rPr>
            </w:pPr>
            <w:r w:rsidRPr="00534087">
              <w:rPr>
                <w:rFonts w:cstheme="minorHAnsi"/>
                <w:color w:val="000000"/>
              </w:rPr>
              <w:t>Percent of average annual revenue</w:t>
            </w:r>
          </w:p>
          <w:p w14:paraId="19A1B560" w14:textId="77777777" w:rsidR="009C7A39" w:rsidRPr="00534087" w:rsidRDefault="009C7A39" w:rsidP="00022224">
            <w:pPr>
              <w:rPr>
                <w:rFonts w:cstheme="minorHAnsi"/>
              </w:rPr>
            </w:pPr>
          </w:p>
        </w:tc>
        <w:tc>
          <w:tcPr>
            <w:tcW w:w="1605" w:type="dxa"/>
          </w:tcPr>
          <w:p w14:paraId="6BB7E12A" w14:textId="77777777" w:rsidR="009C7A39" w:rsidRPr="00534087" w:rsidRDefault="009C7A39" w:rsidP="00022224">
            <w:pPr>
              <w:rPr>
                <w:rFonts w:cstheme="minorHAnsi"/>
                <w:color w:val="000000"/>
              </w:rPr>
            </w:pPr>
            <w:r w:rsidRPr="00534087">
              <w:rPr>
                <w:rFonts w:cstheme="minorHAnsi"/>
                <w:color w:val="000000"/>
              </w:rPr>
              <w:t>Average annual revenue</w:t>
            </w:r>
          </w:p>
          <w:p w14:paraId="0845F86E" w14:textId="77777777" w:rsidR="009C7A39" w:rsidRPr="00534087" w:rsidRDefault="009C7A39" w:rsidP="00022224">
            <w:pPr>
              <w:rPr>
                <w:rFonts w:cstheme="minorHAnsi"/>
              </w:rPr>
            </w:pPr>
          </w:p>
        </w:tc>
      </w:tr>
      <w:tr w:rsidR="009C7A39" w14:paraId="3ACAFA71" w14:textId="77777777" w:rsidTr="00022224">
        <w:tc>
          <w:tcPr>
            <w:tcW w:w="1196" w:type="dxa"/>
          </w:tcPr>
          <w:p w14:paraId="7840AACA" w14:textId="77777777" w:rsidR="009C7A39" w:rsidRPr="00534087" w:rsidRDefault="009C7A39" w:rsidP="00022224">
            <w:pPr>
              <w:rPr>
                <w:rFonts w:cstheme="minorHAnsi"/>
              </w:rPr>
            </w:pPr>
            <w:proofErr w:type="spellStart"/>
            <w:r w:rsidRPr="00534087">
              <w:rPr>
                <w:rFonts w:cstheme="minorHAnsi"/>
              </w:rPr>
              <w:t>Avista</w:t>
            </w:r>
            <w:proofErr w:type="spellEnd"/>
          </w:p>
        </w:tc>
        <w:tc>
          <w:tcPr>
            <w:tcW w:w="1246" w:type="dxa"/>
          </w:tcPr>
          <w:p w14:paraId="63E4F467" w14:textId="77777777" w:rsidR="009C7A39" w:rsidRPr="00534087" w:rsidRDefault="009C7A39" w:rsidP="00022224">
            <w:pPr>
              <w:jc w:val="right"/>
              <w:rPr>
                <w:rFonts w:cstheme="minorHAnsi"/>
              </w:rPr>
            </w:pPr>
            <w:r w:rsidRPr="00534087">
              <w:rPr>
                <w:rFonts w:cstheme="minorHAnsi"/>
              </w:rPr>
              <w:t>8</w:t>
            </w:r>
          </w:p>
        </w:tc>
        <w:tc>
          <w:tcPr>
            <w:tcW w:w="1228" w:type="dxa"/>
          </w:tcPr>
          <w:p w14:paraId="6180F858" w14:textId="77777777" w:rsidR="009C7A39" w:rsidRPr="00534087" w:rsidRDefault="009C7A39" w:rsidP="00022224">
            <w:pPr>
              <w:jc w:val="right"/>
              <w:rPr>
                <w:rFonts w:cstheme="minorHAnsi"/>
              </w:rPr>
            </w:pPr>
            <w:r w:rsidRPr="00534087">
              <w:rPr>
                <w:rFonts w:cstheme="minorHAnsi"/>
              </w:rPr>
              <w:t>$12,944</w:t>
            </w:r>
          </w:p>
        </w:tc>
        <w:tc>
          <w:tcPr>
            <w:tcW w:w="1229" w:type="dxa"/>
          </w:tcPr>
          <w:p w14:paraId="2BC43B82" w14:textId="77777777" w:rsidR="009C7A39" w:rsidRPr="00534087" w:rsidRDefault="009C7A39" w:rsidP="00022224">
            <w:pPr>
              <w:jc w:val="right"/>
              <w:rPr>
                <w:rFonts w:cstheme="minorHAnsi"/>
              </w:rPr>
            </w:pPr>
            <w:r w:rsidRPr="00534087">
              <w:rPr>
                <w:rFonts w:cstheme="minorHAnsi"/>
              </w:rPr>
              <w:t>0.002%</w:t>
            </w:r>
          </w:p>
        </w:tc>
        <w:tc>
          <w:tcPr>
            <w:tcW w:w="1044" w:type="dxa"/>
          </w:tcPr>
          <w:p w14:paraId="222BC784" w14:textId="77777777" w:rsidR="009C7A39" w:rsidRPr="00534087" w:rsidRDefault="009C7A39" w:rsidP="00022224">
            <w:pPr>
              <w:jc w:val="right"/>
              <w:rPr>
                <w:rFonts w:cstheme="minorHAnsi"/>
              </w:rPr>
            </w:pPr>
            <w:r w:rsidRPr="00534087">
              <w:rPr>
                <w:rFonts w:cstheme="minorHAnsi"/>
              </w:rPr>
              <w:t>18</w:t>
            </w:r>
          </w:p>
        </w:tc>
        <w:tc>
          <w:tcPr>
            <w:tcW w:w="1040" w:type="dxa"/>
          </w:tcPr>
          <w:p w14:paraId="0491CBE7" w14:textId="77777777" w:rsidR="009C7A39" w:rsidRPr="00534087" w:rsidRDefault="009C7A39" w:rsidP="00022224">
            <w:pPr>
              <w:jc w:val="right"/>
              <w:rPr>
                <w:rFonts w:cstheme="minorHAnsi"/>
              </w:rPr>
            </w:pPr>
            <w:r w:rsidRPr="00534087">
              <w:rPr>
                <w:rFonts w:cstheme="minorHAnsi"/>
              </w:rPr>
              <w:t>$3,115</w:t>
            </w:r>
          </w:p>
        </w:tc>
        <w:tc>
          <w:tcPr>
            <w:tcW w:w="1037" w:type="dxa"/>
          </w:tcPr>
          <w:p w14:paraId="68481231" w14:textId="77777777" w:rsidR="009C7A39" w:rsidRPr="00534087" w:rsidRDefault="009C7A39" w:rsidP="00022224">
            <w:pPr>
              <w:jc w:val="right"/>
              <w:rPr>
                <w:rFonts w:cstheme="minorHAnsi"/>
              </w:rPr>
            </w:pPr>
            <w:r w:rsidRPr="00534087">
              <w:rPr>
                <w:rFonts w:cstheme="minorHAnsi"/>
              </w:rPr>
              <w:t>0.000%</w:t>
            </w:r>
          </w:p>
        </w:tc>
        <w:tc>
          <w:tcPr>
            <w:tcW w:w="1605" w:type="dxa"/>
          </w:tcPr>
          <w:p w14:paraId="2FEEC143" w14:textId="77777777" w:rsidR="009C7A39" w:rsidRPr="00534087" w:rsidRDefault="009C7A39" w:rsidP="00022224">
            <w:pPr>
              <w:jc w:val="right"/>
              <w:rPr>
                <w:rFonts w:cstheme="minorHAnsi"/>
                <w:color w:val="000000"/>
              </w:rPr>
            </w:pPr>
            <w:r w:rsidRPr="00534087">
              <w:rPr>
                <w:rFonts w:cstheme="minorHAnsi"/>
                <w:color w:val="000000"/>
              </w:rPr>
              <w:t xml:space="preserve">      $650,789,883 </w:t>
            </w:r>
          </w:p>
          <w:p w14:paraId="7578EA8C" w14:textId="77777777" w:rsidR="009C7A39" w:rsidRPr="00534087" w:rsidRDefault="009C7A39" w:rsidP="00022224">
            <w:pPr>
              <w:jc w:val="right"/>
              <w:rPr>
                <w:rFonts w:cstheme="minorHAnsi"/>
              </w:rPr>
            </w:pPr>
          </w:p>
        </w:tc>
      </w:tr>
      <w:tr w:rsidR="009C7A39" w14:paraId="3E2070D9" w14:textId="77777777" w:rsidTr="00022224">
        <w:tc>
          <w:tcPr>
            <w:tcW w:w="1196" w:type="dxa"/>
          </w:tcPr>
          <w:p w14:paraId="17F68503" w14:textId="77777777" w:rsidR="009C7A39" w:rsidRPr="00534087" w:rsidRDefault="009C7A39" w:rsidP="00022224">
            <w:pPr>
              <w:rPr>
                <w:rFonts w:cstheme="minorHAnsi"/>
              </w:rPr>
            </w:pPr>
            <w:r w:rsidRPr="00534087">
              <w:rPr>
                <w:rFonts w:cstheme="minorHAnsi"/>
              </w:rPr>
              <w:t>PSE</w:t>
            </w:r>
          </w:p>
        </w:tc>
        <w:tc>
          <w:tcPr>
            <w:tcW w:w="1246" w:type="dxa"/>
          </w:tcPr>
          <w:p w14:paraId="67599443" w14:textId="77777777" w:rsidR="009C7A39" w:rsidRPr="00534087" w:rsidRDefault="009C7A39" w:rsidP="00022224">
            <w:pPr>
              <w:jc w:val="right"/>
              <w:rPr>
                <w:rFonts w:cstheme="minorHAnsi"/>
              </w:rPr>
            </w:pPr>
            <w:r w:rsidRPr="00534087">
              <w:rPr>
                <w:rFonts w:cstheme="minorHAnsi"/>
              </w:rPr>
              <w:t>267</w:t>
            </w:r>
          </w:p>
        </w:tc>
        <w:tc>
          <w:tcPr>
            <w:tcW w:w="1228" w:type="dxa"/>
          </w:tcPr>
          <w:p w14:paraId="7299B5D0" w14:textId="77777777" w:rsidR="009C7A39" w:rsidRPr="00534087" w:rsidRDefault="009C7A39" w:rsidP="00022224">
            <w:pPr>
              <w:jc w:val="right"/>
              <w:rPr>
                <w:rFonts w:cstheme="minorHAnsi"/>
              </w:rPr>
            </w:pPr>
            <w:r w:rsidRPr="00534087">
              <w:rPr>
                <w:rFonts w:cstheme="minorHAnsi"/>
              </w:rPr>
              <w:t>$467,684</w:t>
            </w:r>
          </w:p>
        </w:tc>
        <w:tc>
          <w:tcPr>
            <w:tcW w:w="1229" w:type="dxa"/>
          </w:tcPr>
          <w:p w14:paraId="0DE0E6D9" w14:textId="77777777" w:rsidR="009C7A39" w:rsidRPr="00534087" w:rsidRDefault="009C7A39" w:rsidP="00022224">
            <w:pPr>
              <w:jc w:val="right"/>
              <w:rPr>
                <w:rFonts w:cstheme="minorHAnsi"/>
              </w:rPr>
            </w:pPr>
            <w:r w:rsidRPr="00534087">
              <w:rPr>
                <w:rFonts w:cstheme="minorHAnsi"/>
              </w:rPr>
              <w:t>0.015%</w:t>
            </w:r>
          </w:p>
        </w:tc>
        <w:tc>
          <w:tcPr>
            <w:tcW w:w="1044" w:type="dxa"/>
          </w:tcPr>
          <w:p w14:paraId="0804D718" w14:textId="77777777" w:rsidR="009C7A39" w:rsidRPr="00534087" w:rsidRDefault="009C7A39" w:rsidP="00022224">
            <w:pPr>
              <w:jc w:val="right"/>
              <w:rPr>
                <w:rFonts w:cstheme="minorHAnsi"/>
              </w:rPr>
            </w:pPr>
            <w:r w:rsidRPr="00534087">
              <w:rPr>
                <w:rFonts w:cstheme="minorHAnsi"/>
              </w:rPr>
              <w:t>1,541</w:t>
            </w:r>
          </w:p>
        </w:tc>
        <w:tc>
          <w:tcPr>
            <w:tcW w:w="1040" w:type="dxa"/>
          </w:tcPr>
          <w:p w14:paraId="3CBC7967" w14:textId="77777777" w:rsidR="009C7A39" w:rsidRPr="00534087" w:rsidRDefault="009C7A39" w:rsidP="00022224">
            <w:pPr>
              <w:jc w:val="right"/>
              <w:rPr>
                <w:rFonts w:cstheme="minorHAnsi"/>
              </w:rPr>
            </w:pPr>
            <w:r w:rsidRPr="00534087">
              <w:rPr>
                <w:rFonts w:cstheme="minorHAnsi"/>
              </w:rPr>
              <w:t>$406,967</w:t>
            </w:r>
          </w:p>
        </w:tc>
        <w:tc>
          <w:tcPr>
            <w:tcW w:w="1037" w:type="dxa"/>
          </w:tcPr>
          <w:p w14:paraId="258A3B69" w14:textId="77777777" w:rsidR="009C7A39" w:rsidRPr="00534087" w:rsidRDefault="009C7A39" w:rsidP="00022224">
            <w:pPr>
              <w:jc w:val="right"/>
              <w:rPr>
                <w:rFonts w:cstheme="minorHAnsi"/>
              </w:rPr>
            </w:pPr>
            <w:r w:rsidRPr="00534087">
              <w:rPr>
                <w:rFonts w:cstheme="minorHAnsi"/>
              </w:rPr>
              <w:t>0.013%</w:t>
            </w:r>
          </w:p>
        </w:tc>
        <w:tc>
          <w:tcPr>
            <w:tcW w:w="1605" w:type="dxa"/>
          </w:tcPr>
          <w:p w14:paraId="43160090" w14:textId="77777777" w:rsidR="009C7A39" w:rsidRPr="00534087" w:rsidRDefault="009C7A39" w:rsidP="00022224">
            <w:pPr>
              <w:jc w:val="right"/>
              <w:rPr>
                <w:rFonts w:cstheme="minorHAnsi"/>
              </w:rPr>
            </w:pPr>
            <w:r w:rsidRPr="00534087">
              <w:rPr>
                <w:rFonts w:cstheme="minorHAnsi"/>
              </w:rPr>
              <w:t>$3,184,100,333</w:t>
            </w:r>
          </w:p>
        </w:tc>
      </w:tr>
      <w:tr w:rsidR="009C7A39" w14:paraId="4CC8E4A3" w14:textId="77777777" w:rsidTr="00022224">
        <w:tc>
          <w:tcPr>
            <w:tcW w:w="1196" w:type="dxa"/>
          </w:tcPr>
          <w:p w14:paraId="7D961B2E" w14:textId="77777777" w:rsidR="009C7A39" w:rsidRPr="00534087" w:rsidRDefault="009C7A39" w:rsidP="00022224">
            <w:pPr>
              <w:rPr>
                <w:rFonts w:cstheme="minorHAnsi"/>
              </w:rPr>
            </w:pPr>
            <w:proofErr w:type="spellStart"/>
            <w:r w:rsidRPr="00534087">
              <w:rPr>
                <w:rFonts w:cstheme="minorHAnsi"/>
              </w:rPr>
              <w:t>NWNG</w:t>
            </w:r>
            <w:proofErr w:type="spellEnd"/>
          </w:p>
        </w:tc>
        <w:tc>
          <w:tcPr>
            <w:tcW w:w="1246" w:type="dxa"/>
          </w:tcPr>
          <w:p w14:paraId="029DB890" w14:textId="77777777" w:rsidR="009C7A39" w:rsidRPr="00534087" w:rsidRDefault="009C7A39" w:rsidP="00022224">
            <w:pPr>
              <w:jc w:val="right"/>
              <w:rPr>
                <w:rFonts w:cstheme="minorHAnsi"/>
              </w:rPr>
            </w:pPr>
            <w:r w:rsidRPr="00534087">
              <w:rPr>
                <w:rFonts w:cstheme="minorHAnsi"/>
              </w:rPr>
              <w:t>3</w:t>
            </w:r>
          </w:p>
        </w:tc>
        <w:tc>
          <w:tcPr>
            <w:tcW w:w="1228" w:type="dxa"/>
          </w:tcPr>
          <w:p w14:paraId="77BE21BC" w14:textId="77777777" w:rsidR="009C7A39" w:rsidRPr="00534087" w:rsidRDefault="009C7A39" w:rsidP="00022224">
            <w:pPr>
              <w:jc w:val="right"/>
              <w:rPr>
                <w:rFonts w:cstheme="minorHAnsi"/>
              </w:rPr>
            </w:pPr>
            <w:r w:rsidRPr="00534087">
              <w:rPr>
                <w:rFonts w:cstheme="minorHAnsi"/>
              </w:rPr>
              <w:t>$49,037</w:t>
            </w:r>
          </w:p>
        </w:tc>
        <w:tc>
          <w:tcPr>
            <w:tcW w:w="1229" w:type="dxa"/>
          </w:tcPr>
          <w:p w14:paraId="542116B2" w14:textId="77777777" w:rsidR="009C7A39" w:rsidRPr="00534087" w:rsidRDefault="009C7A39" w:rsidP="00022224">
            <w:pPr>
              <w:jc w:val="right"/>
              <w:rPr>
                <w:rFonts w:cstheme="minorHAnsi"/>
              </w:rPr>
            </w:pPr>
            <w:r w:rsidRPr="00534087">
              <w:rPr>
                <w:rFonts w:cstheme="minorHAnsi"/>
              </w:rPr>
              <w:t>0.068%</w:t>
            </w:r>
          </w:p>
        </w:tc>
        <w:tc>
          <w:tcPr>
            <w:tcW w:w="1044" w:type="dxa"/>
          </w:tcPr>
          <w:p w14:paraId="14707CB7" w14:textId="77777777" w:rsidR="009C7A39" w:rsidRPr="00534087" w:rsidRDefault="009C7A39" w:rsidP="00022224">
            <w:pPr>
              <w:jc w:val="right"/>
              <w:rPr>
                <w:rFonts w:cstheme="minorHAnsi"/>
              </w:rPr>
            </w:pPr>
            <w:r w:rsidRPr="00534087">
              <w:rPr>
                <w:rFonts w:cstheme="minorHAnsi"/>
              </w:rPr>
              <w:t>4</w:t>
            </w:r>
          </w:p>
        </w:tc>
        <w:tc>
          <w:tcPr>
            <w:tcW w:w="1040" w:type="dxa"/>
          </w:tcPr>
          <w:p w14:paraId="3A6D27FC" w14:textId="77777777" w:rsidR="009C7A39" w:rsidRPr="00534087" w:rsidRDefault="009C7A39" w:rsidP="00022224">
            <w:pPr>
              <w:jc w:val="right"/>
              <w:rPr>
                <w:rFonts w:cstheme="minorHAnsi"/>
              </w:rPr>
            </w:pPr>
            <w:r w:rsidRPr="00534087">
              <w:rPr>
                <w:rFonts w:cstheme="minorHAnsi"/>
              </w:rPr>
              <w:t>$51</w:t>
            </w:r>
          </w:p>
        </w:tc>
        <w:tc>
          <w:tcPr>
            <w:tcW w:w="1037" w:type="dxa"/>
          </w:tcPr>
          <w:p w14:paraId="08A3CE89" w14:textId="77777777" w:rsidR="009C7A39" w:rsidRPr="00534087" w:rsidRDefault="009C7A39" w:rsidP="00022224">
            <w:pPr>
              <w:jc w:val="right"/>
              <w:rPr>
                <w:rFonts w:cstheme="minorHAnsi"/>
              </w:rPr>
            </w:pPr>
            <w:r w:rsidRPr="00534087">
              <w:rPr>
                <w:rFonts w:cstheme="minorHAnsi"/>
              </w:rPr>
              <w:t>0.000%</w:t>
            </w:r>
          </w:p>
        </w:tc>
        <w:tc>
          <w:tcPr>
            <w:tcW w:w="1605" w:type="dxa"/>
          </w:tcPr>
          <w:p w14:paraId="0F370509" w14:textId="77777777" w:rsidR="009C7A39" w:rsidRPr="00534087" w:rsidRDefault="009C7A39" w:rsidP="00022224">
            <w:pPr>
              <w:jc w:val="right"/>
              <w:rPr>
                <w:rFonts w:cstheme="minorHAnsi"/>
              </w:rPr>
            </w:pPr>
            <w:r w:rsidRPr="00534087">
              <w:rPr>
                <w:rFonts w:cstheme="minorHAnsi"/>
              </w:rPr>
              <w:t>$71,836,882</w:t>
            </w:r>
          </w:p>
        </w:tc>
      </w:tr>
      <w:tr w:rsidR="009C7A39" w14:paraId="6EBF921C" w14:textId="77777777" w:rsidTr="00022224">
        <w:tc>
          <w:tcPr>
            <w:tcW w:w="1196" w:type="dxa"/>
          </w:tcPr>
          <w:p w14:paraId="51F82E29" w14:textId="77777777" w:rsidR="009C7A39" w:rsidRPr="00534087" w:rsidRDefault="009C7A39" w:rsidP="00022224">
            <w:pPr>
              <w:rPr>
                <w:rFonts w:cstheme="minorHAnsi"/>
              </w:rPr>
            </w:pPr>
            <w:proofErr w:type="spellStart"/>
            <w:r w:rsidRPr="00534087">
              <w:rPr>
                <w:rFonts w:cstheme="minorHAnsi"/>
              </w:rPr>
              <w:t>PPL</w:t>
            </w:r>
            <w:proofErr w:type="spellEnd"/>
          </w:p>
        </w:tc>
        <w:tc>
          <w:tcPr>
            <w:tcW w:w="1246" w:type="dxa"/>
          </w:tcPr>
          <w:p w14:paraId="390FB8C8" w14:textId="77777777" w:rsidR="009C7A39" w:rsidRPr="00534087" w:rsidRDefault="009C7A39" w:rsidP="00022224">
            <w:pPr>
              <w:jc w:val="right"/>
              <w:rPr>
                <w:rFonts w:cstheme="minorHAnsi"/>
              </w:rPr>
            </w:pPr>
            <w:r w:rsidRPr="00534087">
              <w:rPr>
                <w:rFonts w:cstheme="minorHAnsi"/>
              </w:rPr>
              <w:t>2</w:t>
            </w:r>
          </w:p>
        </w:tc>
        <w:tc>
          <w:tcPr>
            <w:tcW w:w="1228" w:type="dxa"/>
          </w:tcPr>
          <w:p w14:paraId="2B309AFD" w14:textId="77777777" w:rsidR="009C7A39" w:rsidRPr="00534087" w:rsidRDefault="009C7A39" w:rsidP="00022224">
            <w:pPr>
              <w:jc w:val="right"/>
              <w:rPr>
                <w:rFonts w:cstheme="minorHAnsi"/>
              </w:rPr>
            </w:pPr>
            <w:r w:rsidRPr="00534087">
              <w:rPr>
                <w:rFonts w:cstheme="minorHAnsi"/>
              </w:rPr>
              <w:t>$280</w:t>
            </w:r>
          </w:p>
        </w:tc>
        <w:tc>
          <w:tcPr>
            <w:tcW w:w="1229" w:type="dxa"/>
          </w:tcPr>
          <w:p w14:paraId="02B69695" w14:textId="77777777" w:rsidR="009C7A39" w:rsidRPr="00534087" w:rsidRDefault="009C7A39" w:rsidP="00022224">
            <w:pPr>
              <w:jc w:val="right"/>
              <w:rPr>
                <w:rFonts w:cstheme="minorHAnsi"/>
              </w:rPr>
            </w:pPr>
            <w:r w:rsidRPr="00534087">
              <w:rPr>
                <w:rFonts w:cstheme="minorHAnsi"/>
              </w:rPr>
              <w:t>0.000%</w:t>
            </w:r>
          </w:p>
        </w:tc>
        <w:tc>
          <w:tcPr>
            <w:tcW w:w="1044" w:type="dxa"/>
          </w:tcPr>
          <w:p w14:paraId="31BB8E39" w14:textId="77777777" w:rsidR="009C7A39" w:rsidRPr="00534087" w:rsidRDefault="009C7A39" w:rsidP="00022224">
            <w:pPr>
              <w:jc w:val="right"/>
              <w:rPr>
                <w:rFonts w:cstheme="minorHAnsi"/>
              </w:rPr>
            </w:pPr>
            <w:r w:rsidRPr="00534087">
              <w:rPr>
                <w:rFonts w:cstheme="minorHAnsi"/>
              </w:rPr>
              <w:t>7</w:t>
            </w:r>
          </w:p>
        </w:tc>
        <w:tc>
          <w:tcPr>
            <w:tcW w:w="1040" w:type="dxa"/>
          </w:tcPr>
          <w:p w14:paraId="034BEE1D" w14:textId="77777777" w:rsidR="009C7A39" w:rsidRPr="00534087" w:rsidRDefault="009C7A39" w:rsidP="00022224">
            <w:pPr>
              <w:jc w:val="right"/>
              <w:rPr>
                <w:rFonts w:cstheme="minorHAnsi"/>
              </w:rPr>
            </w:pPr>
            <w:r w:rsidRPr="00534087">
              <w:rPr>
                <w:rFonts w:cstheme="minorHAnsi"/>
              </w:rPr>
              <w:t>$1,010</w:t>
            </w:r>
          </w:p>
        </w:tc>
        <w:tc>
          <w:tcPr>
            <w:tcW w:w="1037" w:type="dxa"/>
          </w:tcPr>
          <w:p w14:paraId="12FA8B01" w14:textId="77777777" w:rsidR="009C7A39" w:rsidRPr="00534087" w:rsidRDefault="009C7A39" w:rsidP="00022224">
            <w:pPr>
              <w:jc w:val="right"/>
              <w:rPr>
                <w:rFonts w:cstheme="minorHAnsi"/>
              </w:rPr>
            </w:pPr>
            <w:r w:rsidRPr="00534087">
              <w:rPr>
                <w:rFonts w:cstheme="minorHAnsi"/>
              </w:rPr>
              <w:t>0.000%</w:t>
            </w:r>
          </w:p>
        </w:tc>
        <w:tc>
          <w:tcPr>
            <w:tcW w:w="1605" w:type="dxa"/>
          </w:tcPr>
          <w:p w14:paraId="30B36F3F" w14:textId="77777777" w:rsidR="009C7A39" w:rsidRPr="00534087" w:rsidRDefault="009C7A39" w:rsidP="00022224">
            <w:pPr>
              <w:jc w:val="right"/>
              <w:rPr>
                <w:rFonts w:cstheme="minorHAnsi"/>
              </w:rPr>
            </w:pPr>
            <w:r w:rsidRPr="00534087">
              <w:rPr>
                <w:rFonts w:cstheme="minorHAnsi"/>
              </w:rPr>
              <w:t>$311,712,138</w:t>
            </w:r>
          </w:p>
        </w:tc>
      </w:tr>
      <w:tr w:rsidR="009C7A39" w14:paraId="1F6E7F40" w14:textId="77777777" w:rsidTr="00022224">
        <w:tc>
          <w:tcPr>
            <w:tcW w:w="1196" w:type="dxa"/>
          </w:tcPr>
          <w:p w14:paraId="46552E4A" w14:textId="77777777" w:rsidR="009C7A39" w:rsidRPr="00534087" w:rsidRDefault="009C7A39" w:rsidP="00022224">
            <w:pPr>
              <w:rPr>
                <w:rFonts w:cstheme="minorHAnsi"/>
              </w:rPr>
            </w:pPr>
            <w:proofErr w:type="spellStart"/>
            <w:r w:rsidRPr="00534087">
              <w:rPr>
                <w:rFonts w:cstheme="minorHAnsi"/>
              </w:rPr>
              <w:t>CNGC</w:t>
            </w:r>
            <w:proofErr w:type="spellEnd"/>
          </w:p>
        </w:tc>
        <w:tc>
          <w:tcPr>
            <w:tcW w:w="1246" w:type="dxa"/>
          </w:tcPr>
          <w:p w14:paraId="4CDD98EF" w14:textId="77777777" w:rsidR="009C7A39" w:rsidRPr="00534087" w:rsidRDefault="009C7A39" w:rsidP="00022224">
            <w:pPr>
              <w:jc w:val="right"/>
              <w:rPr>
                <w:rFonts w:cstheme="minorHAnsi"/>
              </w:rPr>
            </w:pPr>
            <w:r w:rsidRPr="00534087">
              <w:rPr>
                <w:rFonts w:cstheme="minorHAnsi"/>
              </w:rPr>
              <w:t>Not reported</w:t>
            </w:r>
          </w:p>
        </w:tc>
        <w:tc>
          <w:tcPr>
            <w:tcW w:w="1228" w:type="dxa"/>
          </w:tcPr>
          <w:p w14:paraId="6C40F0AC" w14:textId="77777777" w:rsidR="009C7A39" w:rsidRPr="00534087" w:rsidRDefault="009C7A39" w:rsidP="00022224">
            <w:pPr>
              <w:jc w:val="right"/>
              <w:rPr>
                <w:rFonts w:cstheme="minorHAnsi"/>
              </w:rPr>
            </w:pPr>
            <w:r w:rsidRPr="00534087">
              <w:rPr>
                <w:rFonts w:cstheme="minorHAnsi"/>
              </w:rPr>
              <w:t>Not reported</w:t>
            </w:r>
          </w:p>
        </w:tc>
        <w:tc>
          <w:tcPr>
            <w:tcW w:w="1229" w:type="dxa"/>
          </w:tcPr>
          <w:p w14:paraId="125DED40" w14:textId="77777777" w:rsidR="009C7A39" w:rsidRPr="00534087" w:rsidRDefault="009C7A39" w:rsidP="00022224">
            <w:pPr>
              <w:jc w:val="right"/>
              <w:rPr>
                <w:rFonts w:cstheme="minorHAnsi"/>
              </w:rPr>
            </w:pPr>
          </w:p>
        </w:tc>
        <w:tc>
          <w:tcPr>
            <w:tcW w:w="1044" w:type="dxa"/>
          </w:tcPr>
          <w:p w14:paraId="38635FFB" w14:textId="77777777" w:rsidR="009C7A39" w:rsidRPr="00534087" w:rsidRDefault="009C7A39" w:rsidP="00022224">
            <w:pPr>
              <w:jc w:val="right"/>
              <w:rPr>
                <w:rFonts w:cstheme="minorHAnsi"/>
              </w:rPr>
            </w:pPr>
            <w:r w:rsidRPr="00534087">
              <w:rPr>
                <w:rFonts w:cstheme="minorHAnsi"/>
              </w:rPr>
              <w:t>Not reported</w:t>
            </w:r>
          </w:p>
        </w:tc>
        <w:tc>
          <w:tcPr>
            <w:tcW w:w="1040" w:type="dxa"/>
          </w:tcPr>
          <w:p w14:paraId="5765EEB5" w14:textId="77777777" w:rsidR="009C7A39" w:rsidRPr="00534087" w:rsidRDefault="009C7A39" w:rsidP="00022224">
            <w:pPr>
              <w:jc w:val="right"/>
              <w:rPr>
                <w:rFonts w:cstheme="minorHAnsi"/>
              </w:rPr>
            </w:pPr>
            <w:r w:rsidRPr="00534087">
              <w:rPr>
                <w:rFonts w:cstheme="minorHAnsi"/>
              </w:rPr>
              <w:t>Not reported</w:t>
            </w:r>
          </w:p>
        </w:tc>
        <w:tc>
          <w:tcPr>
            <w:tcW w:w="1037" w:type="dxa"/>
          </w:tcPr>
          <w:p w14:paraId="7C837D60" w14:textId="77777777" w:rsidR="009C7A39" w:rsidRPr="00534087" w:rsidRDefault="009C7A39" w:rsidP="00022224">
            <w:pPr>
              <w:jc w:val="right"/>
              <w:rPr>
                <w:rFonts w:cstheme="minorHAnsi"/>
              </w:rPr>
            </w:pPr>
          </w:p>
        </w:tc>
        <w:tc>
          <w:tcPr>
            <w:tcW w:w="1605" w:type="dxa"/>
          </w:tcPr>
          <w:p w14:paraId="5B6DD418" w14:textId="77777777" w:rsidR="009C7A39" w:rsidRPr="00534087" w:rsidRDefault="009C7A39" w:rsidP="00022224">
            <w:pPr>
              <w:jc w:val="right"/>
              <w:rPr>
                <w:rFonts w:cstheme="minorHAnsi"/>
              </w:rPr>
            </w:pPr>
          </w:p>
        </w:tc>
      </w:tr>
    </w:tbl>
    <w:p w14:paraId="6D148E9E" w14:textId="77777777" w:rsidR="009C7A39" w:rsidRDefault="009C7A39" w:rsidP="009C7A39"/>
    <w:p w14:paraId="6978A458" w14:textId="77777777" w:rsidR="004B2DE6" w:rsidRPr="00FB295C" w:rsidRDefault="004B2DE6" w:rsidP="009C7A39">
      <w:pPr>
        <w:rPr>
          <w:rFonts w:ascii="Times New Roman" w:hAnsi="Times New Roman" w:cs="Times New Roman"/>
        </w:rPr>
      </w:pPr>
    </w:p>
    <w:sectPr w:rsidR="004B2DE6" w:rsidRPr="00FB295C" w:rsidSect="005B3A59">
      <w:headerReference w:type="default" r:id="rId11"/>
      <w:footerReference w:type="default" r:id="rId12"/>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973C0" w14:textId="77777777" w:rsidR="006D6ADA" w:rsidRDefault="006D6ADA" w:rsidP="004B2DE6">
      <w:r>
        <w:separator/>
      </w:r>
    </w:p>
  </w:endnote>
  <w:endnote w:type="continuationSeparator" w:id="0">
    <w:p w14:paraId="132C0215" w14:textId="77777777" w:rsidR="006D6ADA" w:rsidRDefault="006D6ADA" w:rsidP="004B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156615"/>
      <w:docPartObj>
        <w:docPartGallery w:val="Page Numbers (Bottom of Page)"/>
        <w:docPartUnique/>
      </w:docPartObj>
    </w:sdtPr>
    <w:sdtEndPr>
      <w:rPr>
        <w:noProof/>
      </w:rPr>
    </w:sdtEndPr>
    <w:sdtContent>
      <w:p w14:paraId="6926EFC8" w14:textId="78B5B311" w:rsidR="006D6ADA" w:rsidRDefault="006D6ADA">
        <w:pPr>
          <w:pStyle w:val="Footer"/>
          <w:jc w:val="center"/>
        </w:pPr>
        <w:r>
          <w:fldChar w:fldCharType="begin"/>
        </w:r>
        <w:r>
          <w:instrText xml:space="preserve"> PAGE   \* MERGEFORMAT </w:instrText>
        </w:r>
        <w:r>
          <w:fldChar w:fldCharType="separate"/>
        </w:r>
        <w:r w:rsidR="00A05C26">
          <w:rPr>
            <w:noProof/>
          </w:rPr>
          <w:t>20</w:t>
        </w:r>
        <w:r>
          <w:rPr>
            <w:noProof/>
          </w:rPr>
          <w:fldChar w:fldCharType="end"/>
        </w:r>
      </w:p>
    </w:sdtContent>
  </w:sdt>
  <w:p w14:paraId="6EF9C8B4" w14:textId="77777777" w:rsidR="006D6ADA" w:rsidRDefault="006D6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045F6" w14:textId="77777777" w:rsidR="006D6ADA" w:rsidRDefault="006D6ADA" w:rsidP="004B2DE6">
      <w:r>
        <w:separator/>
      </w:r>
    </w:p>
  </w:footnote>
  <w:footnote w:type="continuationSeparator" w:id="0">
    <w:p w14:paraId="4E53A4EB" w14:textId="77777777" w:rsidR="006D6ADA" w:rsidRDefault="006D6ADA" w:rsidP="004B2DE6">
      <w:r>
        <w:continuationSeparator/>
      </w:r>
    </w:p>
  </w:footnote>
  <w:footnote w:id="1">
    <w:p w14:paraId="4C180A1A" w14:textId="77777777" w:rsidR="006D6ADA" w:rsidRDefault="006D6ADA">
      <w:pPr>
        <w:pStyle w:val="FootnoteText"/>
      </w:pPr>
      <w:r>
        <w:rPr>
          <w:rStyle w:val="FootnoteReference"/>
        </w:rPr>
        <w:footnoteRef/>
      </w:r>
      <w:r>
        <w:t xml:space="preserve"> Docket A-131761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F6200" w14:textId="77777777" w:rsidR="006D6ADA" w:rsidRDefault="006D6ADA">
    <w:pPr>
      <w:pStyle w:val="Header"/>
    </w:pPr>
    <w:r>
      <w:rPr>
        <w:noProof/>
      </w:rPr>
      <mc:AlternateContent>
        <mc:Choice Requires="wps">
          <w:drawing>
            <wp:anchor distT="0" distB="0" distL="118745" distR="118745" simplePos="0" relativeHeight="251659264" behindDoc="1" locked="0" layoutInCell="1" allowOverlap="0" wp14:anchorId="751F6201" wp14:editId="751F6202">
              <wp:simplePos x="0" y="0"/>
              <wp:positionH relativeFrom="margin">
                <wp:align>right</wp:align>
              </wp:positionH>
              <wp:positionV relativeFrom="page">
                <wp:posOffset>171450</wp:posOffset>
              </wp:positionV>
              <wp:extent cx="5949950" cy="6000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600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F6203" w14:textId="3DE1724E" w:rsidR="006D6ADA" w:rsidRDefault="006D6ADA">
                          <w:pPr>
                            <w:pStyle w:val="Header"/>
                            <w:tabs>
                              <w:tab w:val="clear" w:pos="4680"/>
                              <w:tab w:val="clear" w:pos="9360"/>
                            </w:tabs>
                            <w:jc w:val="center"/>
                            <w:rPr>
                              <w:caps/>
                              <w:color w:val="FFFFFF" w:themeColor="background1"/>
                            </w:rPr>
                          </w:pPr>
                          <w:r>
                            <w:rPr>
                              <w:caps/>
                              <w:color w:val="FFFFFF" w:themeColor="background1"/>
                            </w:rPr>
                            <w:t>CORRECTED BILLING iSSUES rULEMAKING</w:t>
                          </w:r>
                        </w:p>
                        <w:p w14:paraId="751F6204" w14:textId="77777777" w:rsidR="006D6ADA" w:rsidRDefault="006D6ADA">
                          <w:pPr>
                            <w:pStyle w:val="Header"/>
                            <w:tabs>
                              <w:tab w:val="clear" w:pos="4680"/>
                              <w:tab w:val="clear" w:pos="9360"/>
                            </w:tabs>
                            <w:jc w:val="center"/>
                            <w:rPr>
                              <w:caps/>
                              <w:color w:val="FFFFFF" w:themeColor="background1"/>
                            </w:rPr>
                          </w:pPr>
                          <w:r>
                            <w:rPr>
                              <w:caps/>
                              <w:color w:val="FFFFFF" w:themeColor="background1"/>
                            </w:rPr>
                            <w:t>dOCKET u-144155</w:t>
                          </w:r>
                        </w:p>
                        <w:p w14:paraId="751F6205" w14:textId="77777777" w:rsidR="006D6ADA" w:rsidRDefault="006D6ADA">
                          <w:pPr>
                            <w:pStyle w:val="Header"/>
                            <w:tabs>
                              <w:tab w:val="clear" w:pos="4680"/>
                              <w:tab w:val="clear" w:pos="9360"/>
                            </w:tabs>
                            <w:jc w:val="center"/>
                            <w:rPr>
                              <w:caps/>
                              <w:color w:val="FFFFFF" w:themeColor="background1"/>
                            </w:rPr>
                          </w:pPr>
                          <w:r>
                            <w:rPr>
                              <w:caps/>
                              <w:color w:val="FFFFFF" w:themeColor="background1"/>
                            </w:rPr>
                            <w:t>cOMMENT sUMMARY – oCTOBER 2015</w:t>
                          </w:r>
                        </w:p>
                        <w:p w14:paraId="751F6206" w14:textId="77777777" w:rsidR="006D6ADA" w:rsidRDefault="006D6ADA">
                          <w:pPr>
                            <w:pStyle w:val="Header"/>
                            <w:tabs>
                              <w:tab w:val="clear" w:pos="4680"/>
                              <w:tab w:val="clear" w:pos="9360"/>
                            </w:tabs>
                            <w:jc w:val="center"/>
                            <w:rPr>
                              <w:caps/>
                              <w:color w:val="FFFFFF" w:themeColor="background1"/>
                            </w:rPr>
                          </w:pPr>
                        </w:p>
                        <w:p w14:paraId="751F6207" w14:textId="77777777" w:rsidR="006D6ADA" w:rsidRDefault="006D6ADA">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751F6201" id="Rectangle 197" o:spid="_x0000_s1026" style="position:absolute;margin-left:417.3pt;margin-top:13.5pt;width:468.5pt;height:47.2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" o:allowoverlap="f" fillcolor="#5b9bd5 [3204]" stroked="f" strokeweight="1pt">
              <v:textbox>
                <w:txbxContent>
                  <w:p w14:paraId="751F6203" w14:textId="3DE1724E" w:rsidR="006D6ADA" w:rsidRDefault="006D6ADA">
                    <w:pPr>
                      <w:pStyle w:val="Header"/>
                      <w:tabs>
                        <w:tab w:val="clear" w:pos="4680"/>
                        <w:tab w:val="clear" w:pos="9360"/>
                      </w:tabs>
                      <w:jc w:val="center"/>
                      <w:rPr>
                        <w:caps/>
                        <w:color w:val="FFFFFF" w:themeColor="background1"/>
                      </w:rPr>
                    </w:pPr>
                    <w:r>
                      <w:rPr>
                        <w:caps/>
                        <w:color w:val="FFFFFF" w:themeColor="background1"/>
                      </w:rPr>
                      <w:t>CORRECTED BILLING iSSUES rULEMAKING</w:t>
                    </w:r>
                  </w:p>
                  <w:p w14:paraId="751F6204" w14:textId="77777777" w:rsidR="006D6ADA" w:rsidRDefault="006D6ADA">
                    <w:pPr>
                      <w:pStyle w:val="Header"/>
                      <w:tabs>
                        <w:tab w:val="clear" w:pos="4680"/>
                        <w:tab w:val="clear" w:pos="9360"/>
                      </w:tabs>
                      <w:jc w:val="center"/>
                      <w:rPr>
                        <w:caps/>
                        <w:color w:val="FFFFFF" w:themeColor="background1"/>
                      </w:rPr>
                    </w:pPr>
                    <w:r>
                      <w:rPr>
                        <w:caps/>
                        <w:color w:val="FFFFFF" w:themeColor="background1"/>
                      </w:rPr>
                      <w:t>dOCKET u-144155</w:t>
                    </w:r>
                  </w:p>
                  <w:p w14:paraId="751F6205" w14:textId="77777777" w:rsidR="006D6ADA" w:rsidRDefault="006D6ADA">
                    <w:pPr>
                      <w:pStyle w:val="Header"/>
                      <w:tabs>
                        <w:tab w:val="clear" w:pos="4680"/>
                        <w:tab w:val="clear" w:pos="9360"/>
                      </w:tabs>
                      <w:jc w:val="center"/>
                      <w:rPr>
                        <w:caps/>
                        <w:color w:val="FFFFFF" w:themeColor="background1"/>
                      </w:rPr>
                    </w:pPr>
                    <w:r>
                      <w:rPr>
                        <w:caps/>
                        <w:color w:val="FFFFFF" w:themeColor="background1"/>
                      </w:rPr>
                      <w:t>cOMMENT sUMMARY – oCTOBER 2015</w:t>
                    </w:r>
                  </w:p>
                  <w:p w14:paraId="751F6206" w14:textId="77777777" w:rsidR="006D6ADA" w:rsidRDefault="006D6ADA">
                    <w:pPr>
                      <w:pStyle w:val="Header"/>
                      <w:tabs>
                        <w:tab w:val="clear" w:pos="4680"/>
                        <w:tab w:val="clear" w:pos="9360"/>
                      </w:tabs>
                      <w:jc w:val="center"/>
                      <w:rPr>
                        <w:caps/>
                        <w:color w:val="FFFFFF" w:themeColor="background1"/>
                      </w:rPr>
                    </w:pPr>
                  </w:p>
                  <w:p w14:paraId="751F6207" w14:textId="77777777" w:rsidR="006D6ADA" w:rsidRDefault="006D6ADA">
                    <w:pPr>
                      <w:pStyle w:val="Header"/>
                      <w:tabs>
                        <w:tab w:val="clear" w:pos="4680"/>
                        <w:tab w:val="clear" w:pos="9360"/>
                      </w:tabs>
                      <w:jc w:val="center"/>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6C06"/>
    <w:multiLevelType w:val="hybridMultilevel"/>
    <w:tmpl w:val="9CB094F0"/>
    <w:lvl w:ilvl="0" w:tplc="8CF283D4">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A5427"/>
    <w:multiLevelType w:val="hybridMultilevel"/>
    <w:tmpl w:val="188AB2A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B79B2"/>
    <w:multiLevelType w:val="hybridMultilevel"/>
    <w:tmpl w:val="59824A96"/>
    <w:lvl w:ilvl="0" w:tplc="FD7E7B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D2990"/>
    <w:multiLevelType w:val="hybridMultilevel"/>
    <w:tmpl w:val="35C426FE"/>
    <w:lvl w:ilvl="0" w:tplc="619AB0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F24928"/>
    <w:multiLevelType w:val="hybridMultilevel"/>
    <w:tmpl w:val="7B78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D334D"/>
    <w:multiLevelType w:val="hybridMultilevel"/>
    <w:tmpl w:val="97483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CB227A"/>
    <w:multiLevelType w:val="hybridMultilevel"/>
    <w:tmpl w:val="D3608E06"/>
    <w:lvl w:ilvl="0" w:tplc="0409000F">
      <w:start w:val="1"/>
      <w:numFmt w:val="decimal"/>
      <w:lvlText w:val="%1."/>
      <w:lvlJc w:val="left"/>
      <w:pPr>
        <w:ind w:left="720" w:hanging="360"/>
      </w:pPr>
    </w:lvl>
    <w:lvl w:ilvl="1" w:tplc="0F92992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2647C"/>
    <w:multiLevelType w:val="hybridMultilevel"/>
    <w:tmpl w:val="49024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F77355"/>
    <w:multiLevelType w:val="hybridMultilevel"/>
    <w:tmpl w:val="927C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3242C"/>
    <w:multiLevelType w:val="hybridMultilevel"/>
    <w:tmpl w:val="DEB8E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90E7C29"/>
    <w:multiLevelType w:val="hybridMultilevel"/>
    <w:tmpl w:val="FE440400"/>
    <w:lvl w:ilvl="0" w:tplc="3B7C8B6C">
      <w:start w:val="1"/>
      <w:numFmt w:val="decimal"/>
      <w:lvlText w:val="%1."/>
      <w:lvlJc w:val="left"/>
      <w:pPr>
        <w:ind w:left="360" w:hanging="360"/>
      </w:pPr>
      <w:rPr>
        <w:rFonts w:hint="default"/>
        <w:b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13739E"/>
    <w:multiLevelType w:val="hybridMultilevel"/>
    <w:tmpl w:val="20A4B01C"/>
    <w:lvl w:ilvl="0" w:tplc="763A0C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6A12CF"/>
    <w:multiLevelType w:val="hybridMultilevel"/>
    <w:tmpl w:val="55087C1E"/>
    <w:lvl w:ilvl="0" w:tplc="7334F55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BB0F73"/>
    <w:multiLevelType w:val="hybridMultilevel"/>
    <w:tmpl w:val="9BAE0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6"/>
  </w:num>
  <w:num w:numId="4">
    <w:abstractNumId w:val="9"/>
  </w:num>
  <w:num w:numId="5">
    <w:abstractNumId w:val="8"/>
  </w:num>
  <w:num w:numId="6">
    <w:abstractNumId w:val="7"/>
  </w:num>
  <w:num w:numId="7">
    <w:abstractNumId w:val="12"/>
  </w:num>
  <w:num w:numId="8">
    <w:abstractNumId w:val="2"/>
  </w:num>
  <w:num w:numId="9">
    <w:abstractNumId w:val="10"/>
  </w:num>
  <w:num w:numId="10">
    <w:abstractNumId w:val="3"/>
  </w:num>
  <w:num w:numId="11">
    <w:abstractNumId w:val="11"/>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E6"/>
    <w:rsid w:val="00022224"/>
    <w:rsid w:val="000342B9"/>
    <w:rsid w:val="00035AB8"/>
    <w:rsid w:val="0004080A"/>
    <w:rsid w:val="000558EA"/>
    <w:rsid w:val="0007002F"/>
    <w:rsid w:val="0008514A"/>
    <w:rsid w:val="0009589B"/>
    <w:rsid w:val="00096573"/>
    <w:rsid w:val="000A45CF"/>
    <w:rsid w:val="000B2FAB"/>
    <w:rsid w:val="000F244E"/>
    <w:rsid w:val="00153209"/>
    <w:rsid w:val="00156691"/>
    <w:rsid w:val="001D1C29"/>
    <w:rsid w:val="00207080"/>
    <w:rsid w:val="00217A27"/>
    <w:rsid w:val="00245124"/>
    <w:rsid w:val="00250AAA"/>
    <w:rsid w:val="00252DAF"/>
    <w:rsid w:val="0028279E"/>
    <w:rsid w:val="00291257"/>
    <w:rsid w:val="002970BF"/>
    <w:rsid w:val="002B46DD"/>
    <w:rsid w:val="003035C2"/>
    <w:rsid w:val="0032553B"/>
    <w:rsid w:val="00343C8F"/>
    <w:rsid w:val="0037313B"/>
    <w:rsid w:val="00392D9B"/>
    <w:rsid w:val="00394276"/>
    <w:rsid w:val="003C0854"/>
    <w:rsid w:val="0042118E"/>
    <w:rsid w:val="00432CB8"/>
    <w:rsid w:val="00440D4F"/>
    <w:rsid w:val="004906EA"/>
    <w:rsid w:val="004B2DE6"/>
    <w:rsid w:val="00512D70"/>
    <w:rsid w:val="0056715B"/>
    <w:rsid w:val="00593F7C"/>
    <w:rsid w:val="00595268"/>
    <w:rsid w:val="005B3A59"/>
    <w:rsid w:val="005C5CB6"/>
    <w:rsid w:val="00602CF1"/>
    <w:rsid w:val="006060DC"/>
    <w:rsid w:val="0061398A"/>
    <w:rsid w:val="00613FC9"/>
    <w:rsid w:val="00627620"/>
    <w:rsid w:val="00631854"/>
    <w:rsid w:val="00644170"/>
    <w:rsid w:val="00652776"/>
    <w:rsid w:val="006B6B23"/>
    <w:rsid w:val="006D2C1D"/>
    <w:rsid w:val="006D4385"/>
    <w:rsid w:val="006D6ADA"/>
    <w:rsid w:val="00722966"/>
    <w:rsid w:val="0073236C"/>
    <w:rsid w:val="007365A5"/>
    <w:rsid w:val="007A2B1B"/>
    <w:rsid w:val="007E7152"/>
    <w:rsid w:val="0081765E"/>
    <w:rsid w:val="00853050"/>
    <w:rsid w:val="008867DA"/>
    <w:rsid w:val="008900A9"/>
    <w:rsid w:val="008E67E9"/>
    <w:rsid w:val="009157DC"/>
    <w:rsid w:val="0091776D"/>
    <w:rsid w:val="00934B39"/>
    <w:rsid w:val="00940DAE"/>
    <w:rsid w:val="00980D19"/>
    <w:rsid w:val="00981E10"/>
    <w:rsid w:val="00994D63"/>
    <w:rsid w:val="009C7A39"/>
    <w:rsid w:val="009E0152"/>
    <w:rsid w:val="00A05C26"/>
    <w:rsid w:val="00A06EC4"/>
    <w:rsid w:val="00A23A1B"/>
    <w:rsid w:val="00A741E7"/>
    <w:rsid w:val="00A95469"/>
    <w:rsid w:val="00B16675"/>
    <w:rsid w:val="00B3025D"/>
    <w:rsid w:val="00B63619"/>
    <w:rsid w:val="00B64BCD"/>
    <w:rsid w:val="00B915C3"/>
    <w:rsid w:val="00BD1FC6"/>
    <w:rsid w:val="00BD6411"/>
    <w:rsid w:val="00BF4091"/>
    <w:rsid w:val="00C2633A"/>
    <w:rsid w:val="00C328EF"/>
    <w:rsid w:val="00C87BE4"/>
    <w:rsid w:val="00CE1DC7"/>
    <w:rsid w:val="00D060FD"/>
    <w:rsid w:val="00D1172C"/>
    <w:rsid w:val="00D508AE"/>
    <w:rsid w:val="00D53A9F"/>
    <w:rsid w:val="00D626F1"/>
    <w:rsid w:val="00DB6DC8"/>
    <w:rsid w:val="00DF374F"/>
    <w:rsid w:val="00E467AA"/>
    <w:rsid w:val="00E70A5C"/>
    <w:rsid w:val="00E82BA2"/>
    <w:rsid w:val="00E869DC"/>
    <w:rsid w:val="00EC52EE"/>
    <w:rsid w:val="00ED5079"/>
    <w:rsid w:val="00F30226"/>
    <w:rsid w:val="00F362EA"/>
    <w:rsid w:val="00F46A39"/>
    <w:rsid w:val="00F53E92"/>
    <w:rsid w:val="00F73477"/>
    <w:rsid w:val="00F7789E"/>
    <w:rsid w:val="00FA2CA5"/>
    <w:rsid w:val="00FB1D6F"/>
    <w:rsid w:val="00FB295C"/>
    <w:rsid w:val="00FC5EDF"/>
    <w:rsid w:val="00FC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1F5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D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DE6"/>
    <w:pPr>
      <w:spacing w:after="200" w:line="276" w:lineRule="auto"/>
      <w:ind w:left="720"/>
      <w:contextualSpacing/>
    </w:pPr>
  </w:style>
  <w:style w:type="paragraph" w:styleId="Header">
    <w:name w:val="header"/>
    <w:basedOn w:val="Normal"/>
    <w:link w:val="HeaderChar"/>
    <w:uiPriority w:val="99"/>
    <w:unhideWhenUsed/>
    <w:rsid w:val="004B2DE6"/>
    <w:pPr>
      <w:tabs>
        <w:tab w:val="center" w:pos="4680"/>
        <w:tab w:val="right" w:pos="9360"/>
      </w:tabs>
    </w:pPr>
  </w:style>
  <w:style w:type="character" w:customStyle="1" w:styleId="HeaderChar">
    <w:name w:val="Header Char"/>
    <w:basedOn w:val="DefaultParagraphFont"/>
    <w:link w:val="Header"/>
    <w:uiPriority w:val="99"/>
    <w:rsid w:val="004B2DE6"/>
  </w:style>
  <w:style w:type="paragraph" w:styleId="Footer">
    <w:name w:val="footer"/>
    <w:basedOn w:val="Normal"/>
    <w:link w:val="FooterChar"/>
    <w:uiPriority w:val="99"/>
    <w:unhideWhenUsed/>
    <w:rsid w:val="004B2DE6"/>
    <w:pPr>
      <w:tabs>
        <w:tab w:val="center" w:pos="4680"/>
        <w:tab w:val="right" w:pos="9360"/>
      </w:tabs>
    </w:pPr>
  </w:style>
  <w:style w:type="character" w:customStyle="1" w:styleId="FooterChar">
    <w:name w:val="Footer Char"/>
    <w:basedOn w:val="DefaultParagraphFont"/>
    <w:link w:val="Footer"/>
    <w:uiPriority w:val="99"/>
    <w:rsid w:val="004B2DE6"/>
  </w:style>
  <w:style w:type="character" w:styleId="CommentReference">
    <w:name w:val="annotation reference"/>
    <w:basedOn w:val="DefaultParagraphFont"/>
    <w:uiPriority w:val="99"/>
    <w:semiHidden/>
    <w:unhideWhenUsed/>
    <w:rsid w:val="006060DC"/>
    <w:rPr>
      <w:sz w:val="16"/>
      <w:szCs w:val="16"/>
    </w:rPr>
  </w:style>
  <w:style w:type="paragraph" w:styleId="CommentText">
    <w:name w:val="annotation text"/>
    <w:basedOn w:val="Normal"/>
    <w:link w:val="CommentTextChar"/>
    <w:uiPriority w:val="99"/>
    <w:semiHidden/>
    <w:unhideWhenUsed/>
    <w:rsid w:val="006060DC"/>
    <w:rPr>
      <w:sz w:val="20"/>
      <w:szCs w:val="20"/>
    </w:rPr>
  </w:style>
  <w:style w:type="character" w:customStyle="1" w:styleId="CommentTextChar">
    <w:name w:val="Comment Text Char"/>
    <w:basedOn w:val="DefaultParagraphFont"/>
    <w:link w:val="CommentText"/>
    <w:uiPriority w:val="99"/>
    <w:semiHidden/>
    <w:rsid w:val="006060DC"/>
    <w:rPr>
      <w:sz w:val="20"/>
      <w:szCs w:val="20"/>
    </w:rPr>
  </w:style>
  <w:style w:type="paragraph" w:styleId="CommentSubject">
    <w:name w:val="annotation subject"/>
    <w:basedOn w:val="CommentText"/>
    <w:next w:val="CommentText"/>
    <w:link w:val="CommentSubjectChar"/>
    <w:uiPriority w:val="99"/>
    <w:semiHidden/>
    <w:unhideWhenUsed/>
    <w:rsid w:val="006060DC"/>
    <w:rPr>
      <w:b/>
      <w:bCs/>
    </w:rPr>
  </w:style>
  <w:style w:type="character" w:customStyle="1" w:styleId="CommentSubjectChar">
    <w:name w:val="Comment Subject Char"/>
    <w:basedOn w:val="CommentTextChar"/>
    <w:link w:val="CommentSubject"/>
    <w:uiPriority w:val="99"/>
    <w:semiHidden/>
    <w:rsid w:val="006060DC"/>
    <w:rPr>
      <w:b/>
      <w:bCs/>
      <w:sz w:val="20"/>
      <w:szCs w:val="20"/>
    </w:rPr>
  </w:style>
  <w:style w:type="paragraph" w:styleId="BalloonText">
    <w:name w:val="Balloon Text"/>
    <w:basedOn w:val="Normal"/>
    <w:link w:val="BalloonTextChar"/>
    <w:uiPriority w:val="99"/>
    <w:semiHidden/>
    <w:unhideWhenUsed/>
    <w:rsid w:val="00606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DC"/>
    <w:rPr>
      <w:rFonts w:ascii="Segoe UI" w:hAnsi="Segoe UI" w:cs="Segoe UI"/>
      <w:sz w:val="18"/>
      <w:szCs w:val="18"/>
    </w:rPr>
  </w:style>
  <w:style w:type="character" w:styleId="Hyperlink">
    <w:name w:val="Hyperlink"/>
    <w:basedOn w:val="DefaultParagraphFont"/>
    <w:uiPriority w:val="99"/>
    <w:unhideWhenUsed/>
    <w:rsid w:val="00E467AA"/>
    <w:rPr>
      <w:color w:val="0563C1" w:themeColor="hyperlink"/>
      <w:u w:val="single"/>
    </w:rPr>
  </w:style>
  <w:style w:type="paragraph" w:styleId="NoSpacing">
    <w:name w:val="No Spacing"/>
    <w:link w:val="NoSpacingChar"/>
    <w:uiPriority w:val="1"/>
    <w:qFormat/>
    <w:rsid w:val="0091776D"/>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91776D"/>
    <w:rPr>
      <w:rFonts w:ascii="Calibri" w:eastAsia="Calibri" w:hAnsi="Calibri" w:cs="Times New Roman"/>
    </w:rPr>
  </w:style>
  <w:style w:type="paragraph" w:customStyle="1" w:styleId="Default">
    <w:name w:val="Default"/>
    <w:rsid w:val="0073236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B295C"/>
    <w:rPr>
      <w:sz w:val="20"/>
      <w:szCs w:val="20"/>
    </w:rPr>
  </w:style>
  <w:style w:type="character" w:customStyle="1" w:styleId="FootnoteTextChar">
    <w:name w:val="Footnote Text Char"/>
    <w:basedOn w:val="DefaultParagraphFont"/>
    <w:link w:val="FootnoteText"/>
    <w:uiPriority w:val="99"/>
    <w:semiHidden/>
    <w:rsid w:val="00FB295C"/>
    <w:rPr>
      <w:sz w:val="20"/>
      <w:szCs w:val="20"/>
    </w:rPr>
  </w:style>
  <w:style w:type="character" w:styleId="FootnoteReference">
    <w:name w:val="footnote reference"/>
    <w:basedOn w:val="DefaultParagraphFont"/>
    <w:uiPriority w:val="99"/>
    <w:semiHidden/>
    <w:unhideWhenUsed/>
    <w:rsid w:val="00FB295C"/>
    <w:rPr>
      <w:vertAlign w:val="superscript"/>
    </w:rPr>
  </w:style>
  <w:style w:type="paragraph" w:styleId="Revision">
    <w:name w:val="Revision"/>
    <w:hidden/>
    <w:uiPriority w:val="99"/>
    <w:semiHidden/>
    <w:rsid w:val="00A23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639">
      <w:bodyDiv w:val="1"/>
      <w:marLeft w:val="0"/>
      <w:marRight w:val="0"/>
      <w:marTop w:val="0"/>
      <w:marBottom w:val="0"/>
      <w:divBdr>
        <w:top w:val="none" w:sz="0" w:space="0" w:color="auto"/>
        <w:left w:val="none" w:sz="0" w:space="0" w:color="auto"/>
        <w:bottom w:val="none" w:sz="0" w:space="0" w:color="auto"/>
        <w:right w:val="none" w:sz="0" w:space="0" w:color="auto"/>
      </w:divBdr>
    </w:div>
    <w:div w:id="85224873">
      <w:bodyDiv w:val="1"/>
      <w:marLeft w:val="0"/>
      <w:marRight w:val="0"/>
      <w:marTop w:val="0"/>
      <w:marBottom w:val="0"/>
      <w:divBdr>
        <w:top w:val="none" w:sz="0" w:space="0" w:color="auto"/>
        <w:left w:val="none" w:sz="0" w:space="0" w:color="auto"/>
        <w:bottom w:val="none" w:sz="0" w:space="0" w:color="auto"/>
        <w:right w:val="none" w:sz="0" w:space="0" w:color="auto"/>
      </w:divBdr>
    </w:div>
    <w:div w:id="98376051">
      <w:bodyDiv w:val="1"/>
      <w:marLeft w:val="0"/>
      <w:marRight w:val="0"/>
      <w:marTop w:val="0"/>
      <w:marBottom w:val="0"/>
      <w:divBdr>
        <w:top w:val="none" w:sz="0" w:space="0" w:color="auto"/>
        <w:left w:val="none" w:sz="0" w:space="0" w:color="auto"/>
        <w:bottom w:val="none" w:sz="0" w:space="0" w:color="auto"/>
        <w:right w:val="none" w:sz="0" w:space="0" w:color="auto"/>
      </w:divBdr>
    </w:div>
    <w:div w:id="158735347">
      <w:bodyDiv w:val="1"/>
      <w:marLeft w:val="0"/>
      <w:marRight w:val="0"/>
      <w:marTop w:val="0"/>
      <w:marBottom w:val="0"/>
      <w:divBdr>
        <w:top w:val="none" w:sz="0" w:space="0" w:color="auto"/>
        <w:left w:val="none" w:sz="0" w:space="0" w:color="auto"/>
        <w:bottom w:val="none" w:sz="0" w:space="0" w:color="auto"/>
        <w:right w:val="none" w:sz="0" w:space="0" w:color="auto"/>
      </w:divBdr>
    </w:div>
    <w:div w:id="328290140">
      <w:bodyDiv w:val="1"/>
      <w:marLeft w:val="0"/>
      <w:marRight w:val="0"/>
      <w:marTop w:val="0"/>
      <w:marBottom w:val="0"/>
      <w:divBdr>
        <w:top w:val="none" w:sz="0" w:space="0" w:color="auto"/>
        <w:left w:val="none" w:sz="0" w:space="0" w:color="auto"/>
        <w:bottom w:val="none" w:sz="0" w:space="0" w:color="auto"/>
        <w:right w:val="none" w:sz="0" w:space="0" w:color="auto"/>
      </w:divBdr>
    </w:div>
    <w:div w:id="363750814">
      <w:bodyDiv w:val="1"/>
      <w:marLeft w:val="0"/>
      <w:marRight w:val="0"/>
      <w:marTop w:val="0"/>
      <w:marBottom w:val="0"/>
      <w:divBdr>
        <w:top w:val="none" w:sz="0" w:space="0" w:color="auto"/>
        <w:left w:val="none" w:sz="0" w:space="0" w:color="auto"/>
        <w:bottom w:val="none" w:sz="0" w:space="0" w:color="auto"/>
        <w:right w:val="none" w:sz="0" w:space="0" w:color="auto"/>
      </w:divBdr>
    </w:div>
    <w:div w:id="488712911">
      <w:bodyDiv w:val="1"/>
      <w:marLeft w:val="0"/>
      <w:marRight w:val="0"/>
      <w:marTop w:val="0"/>
      <w:marBottom w:val="0"/>
      <w:divBdr>
        <w:top w:val="none" w:sz="0" w:space="0" w:color="auto"/>
        <w:left w:val="none" w:sz="0" w:space="0" w:color="auto"/>
        <w:bottom w:val="none" w:sz="0" w:space="0" w:color="auto"/>
        <w:right w:val="none" w:sz="0" w:space="0" w:color="auto"/>
      </w:divBdr>
    </w:div>
    <w:div w:id="655188743">
      <w:bodyDiv w:val="1"/>
      <w:marLeft w:val="0"/>
      <w:marRight w:val="0"/>
      <w:marTop w:val="0"/>
      <w:marBottom w:val="0"/>
      <w:divBdr>
        <w:top w:val="none" w:sz="0" w:space="0" w:color="auto"/>
        <w:left w:val="none" w:sz="0" w:space="0" w:color="auto"/>
        <w:bottom w:val="none" w:sz="0" w:space="0" w:color="auto"/>
        <w:right w:val="none" w:sz="0" w:space="0" w:color="auto"/>
      </w:divBdr>
    </w:div>
    <w:div w:id="701128494">
      <w:bodyDiv w:val="1"/>
      <w:marLeft w:val="0"/>
      <w:marRight w:val="0"/>
      <w:marTop w:val="0"/>
      <w:marBottom w:val="0"/>
      <w:divBdr>
        <w:top w:val="none" w:sz="0" w:space="0" w:color="auto"/>
        <w:left w:val="none" w:sz="0" w:space="0" w:color="auto"/>
        <w:bottom w:val="none" w:sz="0" w:space="0" w:color="auto"/>
        <w:right w:val="none" w:sz="0" w:space="0" w:color="auto"/>
      </w:divBdr>
    </w:div>
    <w:div w:id="798646717">
      <w:bodyDiv w:val="1"/>
      <w:marLeft w:val="0"/>
      <w:marRight w:val="0"/>
      <w:marTop w:val="0"/>
      <w:marBottom w:val="0"/>
      <w:divBdr>
        <w:top w:val="none" w:sz="0" w:space="0" w:color="auto"/>
        <w:left w:val="none" w:sz="0" w:space="0" w:color="auto"/>
        <w:bottom w:val="none" w:sz="0" w:space="0" w:color="auto"/>
        <w:right w:val="none" w:sz="0" w:space="0" w:color="auto"/>
      </w:divBdr>
    </w:div>
    <w:div w:id="842742924">
      <w:bodyDiv w:val="1"/>
      <w:marLeft w:val="0"/>
      <w:marRight w:val="0"/>
      <w:marTop w:val="0"/>
      <w:marBottom w:val="0"/>
      <w:divBdr>
        <w:top w:val="none" w:sz="0" w:space="0" w:color="auto"/>
        <w:left w:val="none" w:sz="0" w:space="0" w:color="auto"/>
        <w:bottom w:val="none" w:sz="0" w:space="0" w:color="auto"/>
        <w:right w:val="none" w:sz="0" w:space="0" w:color="auto"/>
      </w:divBdr>
    </w:div>
    <w:div w:id="846672680">
      <w:bodyDiv w:val="1"/>
      <w:marLeft w:val="0"/>
      <w:marRight w:val="0"/>
      <w:marTop w:val="0"/>
      <w:marBottom w:val="0"/>
      <w:divBdr>
        <w:top w:val="none" w:sz="0" w:space="0" w:color="auto"/>
        <w:left w:val="none" w:sz="0" w:space="0" w:color="auto"/>
        <w:bottom w:val="none" w:sz="0" w:space="0" w:color="auto"/>
        <w:right w:val="none" w:sz="0" w:space="0" w:color="auto"/>
      </w:divBdr>
    </w:div>
    <w:div w:id="881330565">
      <w:bodyDiv w:val="1"/>
      <w:marLeft w:val="0"/>
      <w:marRight w:val="0"/>
      <w:marTop w:val="0"/>
      <w:marBottom w:val="0"/>
      <w:divBdr>
        <w:top w:val="none" w:sz="0" w:space="0" w:color="auto"/>
        <w:left w:val="none" w:sz="0" w:space="0" w:color="auto"/>
        <w:bottom w:val="none" w:sz="0" w:space="0" w:color="auto"/>
        <w:right w:val="none" w:sz="0" w:space="0" w:color="auto"/>
      </w:divBdr>
    </w:div>
    <w:div w:id="930553158">
      <w:bodyDiv w:val="1"/>
      <w:marLeft w:val="0"/>
      <w:marRight w:val="0"/>
      <w:marTop w:val="0"/>
      <w:marBottom w:val="0"/>
      <w:divBdr>
        <w:top w:val="none" w:sz="0" w:space="0" w:color="auto"/>
        <w:left w:val="none" w:sz="0" w:space="0" w:color="auto"/>
        <w:bottom w:val="none" w:sz="0" w:space="0" w:color="auto"/>
        <w:right w:val="none" w:sz="0" w:space="0" w:color="auto"/>
      </w:divBdr>
    </w:div>
    <w:div w:id="1056590084">
      <w:bodyDiv w:val="1"/>
      <w:marLeft w:val="0"/>
      <w:marRight w:val="0"/>
      <w:marTop w:val="0"/>
      <w:marBottom w:val="0"/>
      <w:divBdr>
        <w:top w:val="none" w:sz="0" w:space="0" w:color="auto"/>
        <w:left w:val="none" w:sz="0" w:space="0" w:color="auto"/>
        <w:bottom w:val="none" w:sz="0" w:space="0" w:color="auto"/>
        <w:right w:val="none" w:sz="0" w:space="0" w:color="auto"/>
      </w:divBdr>
    </w:div>
    <w:div w:id="1169907511">
      <w:bodyDiv w:val="1"/>
      <w:marLeft w:val="0"/>
      <w:marRight w:val="0"/>
      <w:marTop w:val="0"/>
      <w:marBottom w:val="0"/>
      <w:divBdr>
        <w:top w:val="none" w:sz="0" w:space="0" w:color="auto"/>
        <w:left w:val="none" w:sz="0" w:space="0" w:color="auto"/>
        <w:bottom w:val="none" w:sz="0" w:space="0" w:color="auto"/>
        <w:right w:val="none" w:sz="0" w:space="0" w:color="auto"/>
      </w:divBdr>
    </w:div>
    <w:div w:id="1375930012">
      <w:bodyDiv w:val="1"/>
      <w:marLeft w:val="0"/>
      <w:marRight w:val="0"/>
      <w:marTop w:val="0"/>
      <w:marBottom w:val="0"/>
      <w:divBdr>
        <w:top w:val="none" w:sz="0" w:space="0" w:color="auto"/>
        <w:left w:val="none" w:sz="0" w:space="0" w:color="auto"/>
        <w:bottom w:val="none" w:sz="0" w:space="0" w:color="auto"/>
        <w:right w:val="none" w:sz="0" w:space="0" w:color="auto"/>
      </w:divBdr>
    </w:div>
    <w:div w:id="1435982014">
      <w:bodyDiv w:val="1"/>
      <w:marLeft w:val="0"/>
      <w:marRight w:val="0"/>
      <w:marTop w:val="0"/>
      <w:marBottom w:val="0"/>
      <w:divBdr>
        <w:top w:val="none" w:sz="0" w:space="0" w:color="auto"/>
        <w:left w:val="none" w:sz="0" w:space="0" w:color="auto"/>
        <w:bottom w:val="none" w:sz="0" w:space="0" w:color="auto"/>
        <w:right w:val="none" w:sz="0" w:space="0" w:color="auto"/>
      </w:divBdr>
    </w:div>
    <w:div w:id="1519658971">
      <w:bodyDiv w:val="1"/>
      <w:marLeft w:val="0"/>
      <w:marRight w:val="0"/>
      <w:marTop w:val="0"/>
      <w:marBottom w:val="0"/>
      <w:divBdr>
        <w:top w:val="none" w:sz="0" w:space="0" w:color="auto"/>
        <w:left w:val="none" w:sz="0" w:space="0" w:color="auto"/>
        <w:bottom w:val="none" w:sz="0" w:space="0" w:color="auto"/>
        <w:right w:val="none" w:sz="0" w:space="0" w:color="auto"/>
      </w:divBdr>
    </w:div>
    <w:div w:id="1608924346">
      <w:bodyDiv w:val="1"/>
      <w:marLeft w:val="0"/>
      <w:marRight w:val="0"/>
      <w:marTop w:val="0"/>
      <w:marBottom w:val="0"/>
      <w:divBdr>
        <w:top w:val="none" w:sz="0" w:space="0" w:color="auto"/>
        <w:left w:val="none" w:sz="0" w:space="0" w:color="auto"/>
        <w:bottom w:val="none" w:sz="0" w:space="0" w:color="auto"/>
        <w:right w:val="none" w:sz="0" w:space="0" w:color="auto"/>
      </w:divBdr>
    </w:div>
    <w:div w:id="1640450169">
      <w:bodyDiv w:val="1"/>
      <w:marLeft w:val="0"/>
      <w:marRight w:val="0"/>
      <w:marTop w:val="0"/>
      <w:marBottom w:val="0"/>
      <w:divBdr>
        <w:top w:val="none" w:sz="0" w:space="0" w:color="auto"/>
        <w:left w:val="none" w:sz="0" w:space="0" w:color="auto"/>
        <w:bottom w:val="none" w:sz="0" w:space="0" w:color="auto"/>
        <w:right w:val="none" w:sz="0" w:space="0" w:color="auto"/>
      </w:divBdr>
    </w:div>
    <w:div w:id="1663701892">
      <w:bodyDiv w:val="1"/>
      <w:marLeft w:val="0"/>
      <w:marRight w:val="0"/>
      <w:marTop w:val="0"/>
      <w:marBottom w:val="0"/>
      <w:divBdr>
        <w:top w:val="none" w:sz="0" w:space="0" w:color="auto"/>
        <w:left w:val="none" w:sz="0" w:space="0" w:color="auto"/>
        <w:bottom w:val="none" w:sz="0" w:space="0" w:color="auto"/>
        <w:right w:val="none" w:sz="0" w:space="0" w:color="auto"/>
      </w:divBdr>
    </w:div>
    <w:div w:id="1699549370">
      <w:bodyDiv w:val="1"/>
      <w:marLeft w:val="0"/>
      <w:marRight w:val="0"/>
      <w:marTop w:val="0"/>
      <w:marBottom w:val="0"/>
      <w:divBdr>
        <w:top w:val="none" w:sz="0" w:space="0" w:color="auto"/>
        <w:left w:val="none" w:sz="0" w:space="0" w:color="auto"/>
        <w:bottom w:val="none" w:sz="0" w:space="0" w:color="auto"/>
        <w:right w:val="none" w:sz="0" w:space="0" w:color="auto"/>
      </w:divBdr>
    </w:div>
    <w:div w:id="1778327500">
      <w:bodyDiv w:val="1"/>
      <w:marLeft w:val="0"/>
      <w:marRight w:val="0"/>
      <w:marTop w:val="0"/>
      <w:marBottom w:val="0"/>
      <w:divBdr>
        <w:top w:val="none" w:sz="0" w:space="0" w:color="auto"/>
        <w:left w:val="none" w:sz="0" w:space="0" w:color="auto"/>
        <w:bottom w:val="none" w:sz="0" w:space="0" w:color="auto"/>
        <w:right w:val="none" w:sz="0" w:space="0" w:color="auto"/>
      </w:divBdr>
    </w:div>
    <w:div w:id="1838419291">
      <w:bodyDiv w:val="1"/>
      <w:marLeft w:val="0"/>
      <w:marRight w:val="0"/>
      <w:marTop w:val="0"/>
      <w:marBottom w:val="0"/>
      <w:divBdr>
        <w:top w:val="none" w:sz="0" w:space="0" w:color="auto"/>
        <w:left w:val="none" w:sz="0" w:space="0" w:color="auto"/>
        <w:bottom w:val="none" w:sz="0" w:space="0" w:color="auto"/>
        <w:right w:val="none" w:sz="0" w:space="0" w:color="auto"/>
      </w:divBdr>
    </w:div>
    <w:div w:id="1926527471">
      <w:bodyDiv w:val="1"/>
      <w:marLeft w:val="0"/>
      <w:marRight w:val="0"/>
      <w:marTop w:val="0"/>
      <w:marBottom w:val="0"/>
      <w:divBdr>
        <w:top w:val="none" w:sz="0" w:space="0" w:color="auto"/>
        <w:left w:val="none" w:sz="0" w:space="0" w:color="auto"/>
        <w:bottom w:val="none" w:sz="0" w:space="0" w:color="auto"/>
        <w:right w:val="none" w:sz="0" w:space="0" w:color="auto"/>
      </w:divBdr>
    </w:div>
    <w:div w:id="1965380167">
      <w:bodyDiv w:val="1"/>
      <w:marLeft w:val="0"/>
      <w:marRight w:val="0"/>
      <w:marTop w:val="0"/>
      <w:marBottom w:val="0"/>
      <w:divBdr>
        <w:top w:val="none" w:sz="0" w:space="0" w:color="auto"/>
        <w:left w:val="none" w:sz="0" w:space="0" w:color="auto"/>
        <w:bottom w:val="none" w:sz="0" w:space="0" w:color="auto"/>
        <w:right w:val="none" w:sz="0" w:space="0" w:color="auto"/>
      </w:divBdr>
    </w:div>
    <w:div w:id="2014720005">
      <w:bodyDiv w:val="1"/>
      <w:marLeft w:val="0"/>
      <w:marRight w:val="0"/>
      <w:marTop w:val="0"/>
      <w:marBottom w:val="0"/>
      <w:divBdr>
        <w:top w:val="none" w:sz="0" w:space="0" w:color="auto"/>
        <w:left w:val="none" w:sz="0" w:space="0" w:color="auto"/>
        <w:bottom w:val="none" w:sz="0" w:space="0" w:color="auto"/>
        <w:right w:val="none" w:sz="0" w:space="0" w:color="auto"/>
      </w:divBdr>
    </w:div>
    <w:div w:id="2071538968">
      <w:bodyDiv w:val="1"/>
      <w:marLeft w:val="0"/>
      <w:marRight w:val="0"/>
      <w:marTop w:val="0"/>
      <w:marBottom w:val="0"/>
      <w:divBdr>
        <w:top w:val="none" w:sz="0" w:space="0" w:color="auto"/>
        <w:left w:val="none" w:sz="0" w:space="0" w:color="auto"/>
        <w:bottom w:val="none" w:sz="0" w:space="0" w:color="auto"/>
        <w:right w:val="none" w:sz="0" w:space="0" w:color="auto"/>
      </w:divBdr>
    </w:div>
    <w:div w:id="2092123313">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www.pacificpower.net/es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144155</DocketNumber>
    <IndustryCode xmlns="dc463f71-b30c-4ab2-9473-d307f9d35888">501</IndustryCode>
    <Prefix xmlns="dc463f71-b30c-4ab2-9473-d307f9d35888">U</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2014-12-24T08:00:00+00:00</OpenedDate>
    <Date1 xmlns="dc463f71-b30c-4ab2-9473-d307f9d35888">2015-11-20T19:16:25+00:00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6AF45D-B019-4A2E-939B-4A6982221DC1}"/>
</file>

<file path=customXml/itemProps2.xml><?xml version="1.0" encoding="utf-8"?>
<ds:datastoreItem xmlns:ds="http://schemas.openxmlformats.org/officeDocument/2006/customXml" ds:itemID="{FBBD5DA6-826E-4347-BC13-F71D0B241540}"/>
</file>

<file path=customXml/itemProps3.xml><?xml version="1.0" encoding="utf-8"?>
<ds:datastoreItem xmlns:ds="http://schemas.openxmlformats.org/officeDocument/2006/customXml" ds:itemID="{A32A213A-F04E-4D2D-92AF-68431F131E1D}"/>
</file>

<file path=customXml/itemProps4.xml><?xml version="1.0" encoding="utf-8"?>
<ds:datastoreItem xmlns:ds="http://schemas.openxmlformats.org/officeDocument/2006/customXml" ds:itemID="{E874277B-3326-47E8-B9E9-30748DE5F595}"/>
</file>

<file path=docProps/app.xml><?xml version="1.0" encoding="utf-8"?>
<Properties xmlns="http://schemas.openxmlformats.org/officeDocument/2006/extended-properties" xmlns:vt="http://schemas.openxmlformats.org/officeDocument/2006/docPropsVTypes">
  <Template>Normal</Template>
  <TotalTime>0</TotalTime>
  <Pages>36</Pages>
  <Words>8759</Words>
  <Characters>49931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2015-11-16T21:00:00Z</dcterms:created>
  <dcterms:modified xsi:type="dcterms:W3CDTF">2015-11-18T18:58:00Z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