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D8" w:rsidRPr="009353C3" w:rsidRDefault="00F748D8" w:rsidP="00EF097C">
      <w:pPr>
        <w:tabs>
          <w:tab w:val="center" w:pos="4680"/>
        </w:tabs>
        <w:ind w:right="-108"/>
        <w:rPr>
          <w:sz w:val="24"/>
        </w:rPr>
      </w:pPr>
      <w:r w:rsidRPr="009353C3">
        <w:rPr>
          <w:sz w:val="24"/>
        </w:rPr>
        <w:t>BEFORE THE WASHINGTON UTILITIES AND TRANSPORTATION COMMISSION</w:t>
      </w:r>
    </w:p>
    <w:p w:rsidR="00F748D8" w:rsidRPr="009353C3" w:rsidRDefault="00F748D8" w:rsidP="000625B3">
      <w:pPr>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9353C3" w:rsidTr="00046943">
        <w:tc>
          <w:tcPr>
            <w:tcW w:w="4590" w:type="dxa"/>
            <w:tcBorders>
              <w:top w:val="single" w:sz="6" w:space="0" w:color="FFFFFF"/>
              <w:left w:val="single" w:sz="6" w:space="0" w:color="FFFFFF"/>
              <w:bottom w:val="single" w:sz="7" w:space="0" w:color="000000"/>
              <w:right w:val="single" w:sz="6" w:space="0" w:color="FFFFFF"/>
            </w:tcBorders>
          </w:tcPr>
          <w:p w:rsidR="0060422B" w:rsidRPr="009353C3" w:rsidRDefault="0060422B" w:rsidP="00046943">
            <w:pPr>
              <w:tabs>
                <w:tab w:val="left" w:pos="2160"/>
              </w:tabs>
              <w:rPr>
                <w:bCs/>
                <w:sz w:val="24"/>
              </w:rPr>
            </w:pPr>
            <w:r w:rsidRPr="009353C3">
              <w:rPr>
                <w:bCs/>
                <w:sz w:val="24"/>
              </w:rPr>
              <w:t>In the Matter of the Application of</w:t>
            </w:r>
          </w:p>
          <w:p w:rsidR="0060422B" w:rsidRPr="009353C3" w:rsidRDefault="0060422B" w:rsidP="00046943">
            <w:pPr>
              <w:tabs>
                <w:tab w:val="left" w:pos="2160"/>
              </w:tabs>
              <w:rPr>
                <w:bCs/>
                <w:sz w:val="24"/>
              </w:rPr>
            </w:pPr>
          </w:p>
          <w:p w:rsidR="0060422B" w:rsidRPr="009353C3" w:rsidRDefault="0060422B" w:rsidP="00046943">
            <w:pPr>
              <w:tabs>
                <w:tab w:val="left" w:pos="2160"/>
              </w:tabs>
              <w:rPr>
                <w:bCs/>
                <w:sz w:val="24"/>
              </w:rPr>
            </w:pPr>
            <w:r w:rsidRPr="009353C3">
              <w:rPr>
                <w:bCs/>
                <w:sz w:val="24"/>
              </w:rPr>
              <w:t>MCNAMARA, SEAN d/b/a BELLINGHAM WATER TAXI</w:t>
            </w:r>
          </w:p>
          <w:p w:rsidR="0060422B" w:rsidRPr="009353C3" w:rsidRDefault="0060422B" w:rsidP="00046943">
            <w:pPr>
              <w:tabs>
                <w:tab w:val="left" w:pos="2160"/>
              </w:tabs>
              <w:rPr>
                <w:bCs/>
                <w:sz w:val="24"/>
              </w:rPr>
            </w:pPr>
          </w:p>
          <w:p w:rsidR="0060422B" w:rsidRDefault="0060422B" w:rsidP="00046943">
            <w:pPr>
              <w:tabs>
                <w:tab w:val="left" w:pos="2160"/>
              </w:tabs>
              <w:rPr>
                <w:bCs/>
                <w:sz w:val="24"/>
              </w:rPr>
            </w:pPr>
            <w:r w:rsidRPr="009353C3">
              <w:rPr>
                <w:bCs/>
                <w:sz w:val="24"/>
              </w:rPr>
              <w:t>For Extension of Authority Under Certificate BC-64619</w:t>
            </w:r>
          </w:p>
          <w:p w:rsidR="00DE11BB" w:rsidRPr="009353C3" w:rsidRDefault="00DE11BB" w:rsidP="00046943">
            <w:pPr>
              <w:tabs>
                <w:tab w:val="left" w:pos="2160"/>
              </w:tabs>
              <w:rPr>
                <w:bCs/>
                <w:sz w:val="24"/>
              </w:rPr>
            </w:pPr>
            <w:r>
              <w:rPr>
                <w:bCs/>
                <w:sz w:val="24"/>
              </w:rPr>
              <w:t xml:space="preserve">. . . . . . . . . . . . . . . . . . . . . . . . . . . . . . . . . . . . </w:t>
            </w:r>
          </w:p>
          <w:p w:rsidR="0060422B" w:rsidRPr="009353C3" w:rsidRDefault="0060422B" w:rsidP="00046943">
            <w:pPr>
              <w:tabs>
                <w:tab w:val="left" w:pos="2160"/>
              </w:tabs>
              <w:rPr>
                <w:b/>
                <w:bCs/>
                <w:sz w:val="24"/>
              </w:rPr>
            </w:pPr>
            <w:r w:rsidRPr="009353C3">
              <w:rPr>
                <w:bCs/>
                <w:sz w:val="24"/>
              </w:rPr>
              <w:t>In the Matter of the Application of</w:t>
            </w:r>
          </w:p>
          <w:p w:rsidR="0060422B" w:rsidRPr="009353C3" w:rsidRDefault="0060422B" w:rsidP="00046943">
            <w:pPr>
              <w:tabs>
                <w:tab w:val="left" w:pos="2160"/>
              </w:tabs>
              <w:rPr>
                <w:sz w:val="24"/>
              </w:rPr>
            </w:pPr>
          </w:p>
          <w:p w:rsidR="0060422B" w:rsidRPr="009353C3" w:rsidRDefault="0060422B" w:rsidP="00046943">
            <w:pPr>
              <w:tabs>
                <w:tab w:val="left" w:pos="2160"/>
              </w:tabs>
              <w:rPr>
                <w:sz w:val="24"/>
              </w:rPr>
            </w:pPr>
            <w:r w:rsidRPr="009353C3">
              <w:rPr>
                <w:sz w:val="24"/>
              </w:rPr>
              <w:t>PACIFIC CRUISES NORTHWEST, INC. d/b/a SAN JUAN CRUISES</w:t>
            </w:r>
          </w:p>
          <w:p w:rsidR="0060422B" w:rsidRPr="009353C3" w:rsidRDefault="0060422B" w:rsidP="00046943">
            <w:pPr>
              <w:tabs>
                <w:tab w:val="left" w:pos="2160"/>
              </w:tabs>
              <w:rPr>
                <w:sz w:val="24"/>
              </w:rPr>
            </w:pPr>
          </w:p>
          <w:p w:rsidR="0060422B" w:rsidRPr="009353C3" w:rsidRDefault="0060422B" w:rsidP="00046943">
            <w:pPr>
              <w:tabs>
                <w:tab w:val="left" w:pos="2160"/>
              </w:tabs>
              <w:rPr>
                <w:sz w:val="24"/>
              </w:rPr>
            </w:pPr>
            <w:r w:rsidRPr="009353C3">
              <w:rPr>
                <w:sz w:val="24"/>
              </w:rPr>
              <w:t>For a Certificate of Public Convenience and Necessity to Operate Vessels in Furnishing Passenger Ferry Service</w:t>
            </w:r>
          </w:p>
          <w:p w:rsidR="004F69A5" w:rsidRPr="009353C3" w:rsidRDefault="004F69A5" w:rsidP="00046943">
            <w:pPr>
              <w:tabs>
                <w:tab w:val="left" w:pos="2160"/>
              </w:tabs>
              <w:rPr>
                <w:sz w:val="24"/>
              </w:rPr>
            </w:pPr>
          </w:p>
        </w:tc>
        <w:tc>
          <w:tcPr>
            <w:tcW w:w="4590" w:type="dxa"/>
            <w:tcBorders>
              <w:top w:val="single" w:sz="6" w:space="0" w:color="FFFFFF"/>
              <w:left w:val="single" w:sz="7" w:space="0" w:color="000000"/>
              <w:bottom w:val="single" w:sz="6" w:space="0" w:color="FFFFFF"/>
              <w:right w:val="single" w:sz="6" w:space="0" w:color="FFFFFF"/>
            </w:tcBorders>
          </w:tcPr>
          <w:p w:rsidR="00DE11BB" w:rsidRDefault="004C3D65" w:rsidP="0058594C">
            <w:pPr>
              <w:ind w:firstLine="416"/>
              <w:rPr>
                <w:sz w:val="24"/>
              </w:rPr>
            </w:pPr>
            <w:r w:rsidRPr="009353C3">
              <w:rPr>
                <w:sz w:val="24"/>
              </w:rPr>
              <w:t xml:space="preserve">DOCKET </w:t>
            </w:r>
            <w:r w:rsidR="00484A91" w:rsidRPr="009353C3">
              <w:rPr>
                <w:sz w:val="24"/>
              </w:rPr>
              <w:t xml:space="preserve">TS-121253 </w:t>
            </w:r>
            <w:r w:rsidR="00DE11BB">
              <w:rPr>
                <w:sz w:val="24"/>
              </w:rPr>
              <w:t>and</w:t>
            </w:r>
          </w:p>
          <w:p w:rsidR="00DE11BB" w:rsidRPr="00DE11BB" w:rsidRDefault="00DE11BB" w:rsidP="0058594C">
            <w:pPr>
              <w:ind w:firstLine="416"/>
              <w:rPr>
                <w:sz w:val="24"/>
              </w:rPr>
            </w:pPr>
            <w:r>
              <w:rPr>
                <w:sz w:val="24"/>
              </w:rPr>
              <w:t xml:space="preserve">DOCKET </w:t>
            </w:r>
            <w:r w:rsidR="00484A91" w:rsidRPr="009353C3">
              <w:rPr>
                <w:sz w:val="24"/>
              </w:rPr>
              <w:t>TS-121395</w:t>
            </w:r>
            <w:r>
              <w:rPr>
                <w:sz w:val="24"/>
              </w:rPr>
              <w:t xml:space="preserve"> </w:t>
            </w:r>
            <w:r w:rsidRPr="009353C3">
              <w:rPr>
                <w:i/>
                <w:sz w:val="24"/>
              </w:rPr>
              <w:t>(Consolidated)</w:t>
            </w:r>
          </w:p>
          <w:p w:rsidR="00484A91" w:rsidRPr="009353C3" w:rsidRDefault="00484A91" w:rsidP="0058594C">
            <w:pPr>
              <w:ind w:firstLine="416"/>
              <w:rPr>
                <w:sz w:val="24"/>
              </w:rPr>
            </w:pPr>
          </w:p>
          <w:p w:rsidR="00F748D8" w:rsidRPr="009353C3" w:rsidRDefault="00F748D8" w:rsidP="0058594C">
            <w:pPr>
              <w:ind w:firstLine="416"/>
              <w:rPr>
                <w:sz w:val="24"/>
              </w:rPr>
            </w:pPr>
          </w:p>
          <w:p w:rsidR="00F748D8" w:rsidRPr="009353C3" w:rsidRDefault="00484A91" w:rsidP="0058594C">
            <w:pPr>
              <w:spacing w:after="19"/>
              <w:ind w:left="416"/>
              <w:rPr>
                <w:sz w:val="24"/>
              </w:rPr>
            </w:pPr>
            <w:r w:rsidRPr="009353C3">
              <w:rPr>
                <w:sz w:val="24"/>
              </w:rPr>
              <w:t xml:space="preserve">COMMISSION STAFF </w:t>
            </w:r>
            <w:r w:rsidR="00F46C83">
              <w:rPr>
                <w:sz w:val="24"/>
              </w:rPr>
              <w:t xml:space="preserve">ANSWER </w:t>
            </w:r>
            <w:r w:rsidR="00E43C30">
              <w:rPr>
                <w:sz w:val="24"/>
              </w:rPr>
              <w:t xml:space="preserve">IN RESPONSE </w:t>
            </w:r>
            <w:r w:rsidR="00F46C83">
              <w:rPr>
                <w:sz w:val="24"/>
              </w:rPr>
              <w:t>TO ISLAND MARINER</w:t>
            </w:r>
            <w:r w:rsidR="008971CE">
              <w:rPr>
                <w:sz w:val="24"/>
              </w:rPr>
              <w:t xml:space="preserve"> CRUISES, INC’</w:t>
            </w:r>
            <w:r w:rsidR="0058594C">
              <w:rPr>
                <w:sz w:val="24"/>
              </w:rPr>
              <w:t>S</w:t>
            </w:r>
            <w:r w:rsidR="00F46C83">
              <w:rPr>
                <w:sz w:val="24"/>
              </w:rPr>
              <w:t xml:space="preserve"> PETITION FOR ADMINISTRATIVE REVIEW</w:t>
            </w:r>
            <w:r w:rsidR="00F748D8" w:rsidRPr="009353C3">
              <w:rPr>
                <w:sz w:val="24"/>
              </w:rPr>
              <w:t xml:space="preserve"> </w:t>
            </w:r>
          </w:p>
        </w:tc>
      </w:tr>
    </w:tbl>
    <w:p w:rsidR="00F748D8" w:rsidRPr="009353C3" w:rsidRDefault="00F748D8" w:rsidP="000625B3">
      <w:pPr>
        <w:rPr>
          <w:sz w:val="24"/>
        </w:rPr>
      </w:pPr>
    </w:p>
    <w:p w:rsidR="00F46C83" w:rsidRDefault="00DE11BB" w:rsidP="00F46C83">
      <w:pPr>
        <w:numPr>
          <w:ilvl w:val="0"/>
          <w:numId w:val="2"/>
        </w:numPr>
        <w:tabs>
          <w:tab w:val="clear" w:pos="1440"/>
        </w:tabs>
        <w:spacing w:line="456" w:lineRule="auto"/>
        <w:ind w:left="0"/>
        <w:rPr>
          <w:sz w:val="24"/>
        </w:rPr>
      </w:pPr>
      <w:r w:rsidRPr="00420ACA">
        <w:rPr>
          <w:sz w:val="24"/>
        </w:rPr>
        <w:tab/>
      </w:r>
      <w:r w:rsidR="00314070">
        <w:rPr>
          <w:sz w:val="24"/>
        </w:rPr>
        <w:t xml:space="preserve">Pursuant to WAC </w:t>
      </w:r>
      <w:r w:rsidR="00263A65">
        <w:rPr>
          <w:sz w:val="24"/>
        </w:rPr>
        <w:t xml:space="preserve">480-07-825(4) </w:t>
      </w:r>
      <w:r w:rsidR="00732562" w:rsidRPr="00420ACA">
        <w:rPr>
          <w:sz w:val="24"/>
        </w:rPr>
        <w:t xml:space="preserve">Commission Staff </w:t>
      </w:r>
      <w:r w:rsidR="00263A65">
        <w:rPr>
          <w:sz w:val="24"/>
        </w:rPr>
        <w:t>(Staff) submits this Answer</w:t>
      </w:r>
      <w:r w:rsidR="00F9481F">
        <w:rPr>
          <w:sz w:val="24"/>
        </w:rPr>
        <w:t xml:space="preserve"> in </w:t>
      </w:r>
      <w:r w:rsidR="00E43C30">
        <w:rPr>
          <w:sz w:val="24"/>
        </w:rPr>
        <w:t>response</w:t>
      </w:r>
      <w:r w:rsidR="00F9481F">
        <w:rPr>
          <w:sz w:val="24"/>
        </w:rPr>
        <w:t xml:space="preserve"> to</w:t>
      </w:r>
      <w:r w:rsidR="00263A65">
        <w:rPr>
          <w:sz w:val="24"/>
        </w:rPr>
        <w:t xml:space="preserve"> Island Mariner</w:t>
      </w:r>
      <w:r w:rsidR="008971CE">
        <w:rPr>
          <w:sz w:val="24"/>
        </w:rPr>
        <w:t xml:space="preserve"> Cruises, Inc.</w:t>
      </w:r>
      <w:r w:rsidR="00263A65">
        <w:rPr>
          <w:sz w:val="24"/>
        </w:rPr>
        <w:t>’s</w:t>
      </w:r>
      <w:r w:rsidR="008971CE">
        <w:rPr>
          <w:sz w:val="24"/>
        </w:rPr>
        <w:t xml:space="preserve"> (Island Mariner Cruises)</w:t>
      </w:r>
      <w:r w:rsidR="00263A65">
        <w:rPr>
          <w:sz w:val="24"/>
        </w:rPr>
        <w:t xml:space="preserve"> Petition for Administrative Review of Order 03</w:t>
      </w:r>
      <w:r w:rsidR="0012521E">
        <w:rPr>
          <w:sz w:val="24"/>
        </w:rPr>
        <w:t>, Initial Order Granting the Applications of Bellingham Water Taxi and San Juan Cruises, with Conditions</w:t>
      </w:r>
      <w:r w:rsidR="00263A65">
        <w:rPr>
          <w:sz w:val="24"/>
        </w:rPr>
        <w:t xml:space="preserve">.  </w:t>
      </w:r>
      <w:r w:rsidR="00E43C30">
        <w:rPr>
          <w:sz w:val="24"/>
        </w:rPr>
        <w:t xml:space="preserve"> Staff supports the Initial Order.  </w:t>
      </w:r>
      <w:r w:rsidR="00263A65">
        <w:rPr>
          <w:sz w:val="24"/>
        </w:rPr>
        <w:t xml:space="preserve">Staff does not challenge the </w:t>
      </w:r>
      <w:r w:rsidR="00E43C30">
        <w:rPr>
          <w:sz w:val="24"/>
        </w:rPr>
        <w:t xml:space="preserve">Initial </w:t>
      </w:r>
      <w:r w:rsidR="00263A65">
        <w:rPr>
          <w:sz w:val="24"/>
        </w:rPr>
        <w:t xml:space="preserve">Order in this Answer.   </w:t>
      </w:r>
    </w:p>
    <w:p w:rsidR="00F46C83" w:rsidRDefault="00F46C83" w:rsidP="00F46C83">
      <w:pPr>
        <w:widowControl/>
        <w:autoSpaceDE/>
        <w:autoSpaceDN/>
        <w:adjustRightInd/>
        <w:spacing w:line="456" w:lineRule="auto"/>
        <w:ind w:left="720" w:hanging="720"/>
        <w:rPr>
          <w:b/>
          <w:sz w:val="24"/>
        </w:rPr>
      </w:pPr>
      <w:r>
        <w:rPr>
          <w:b/>
          <w:sz w:val="24"/>
        </w:rPr>
        <w:t>A.</w:t>
      </w:r>
      <w:r>
        <w:rPr>
          <w:b/>
          <w:sz w:val="24"/>
        </w:rPr>
        <w:tab/>
      </w:r>
      <w:r w:rsidR="00EB334F">
        <w:rPr>
          <w:b/>
          <w:sz w:val="24"/>
        </w:rPr>
        <w:t>Island Mariner</w:t>
      </w:r>
      <w:r w:rsidR="008971CE">
        <w:rPr>
          <w:b/>
          <w:sz w:val="24"/>
        </w:rPr>
        <w:t xml:space="preserve"> Cruises’</w:t>
      </w:r>
      <w:r w:rsidR="00EB334F">
        <w:rPr>
          <w:b/>
          <w:sz w:val="24"/>
        </w:rPr>
        <w:t xml:space="preserve"> Petition is </w:t>
      </w:r>
      <w:r w:rsidR="00241997">
        <w:rPr>
          <w:b/>
          <w:sz w:val="24"/>
        </w:rPr>
        <w:t xml:space="preserve">Deficient </w:t>
      </w:r>
    </w:p>
    <w:p w:rsidR="00E86D9F" w:rsidRDefault="00F46C83" w:rsidP="00E86D9F">
      <w:pPr>
        <w:widowControl/>
        <w:numPr>
          <w:ilvl w:val="0"/>
          <w:numId w:val="2"/>
        </w:numPr>
        <w:tabs>
          <w:tab w:val="clear" w:pos="1440"/>
        </w:tabs>
        <w:spacing w:line="456" w:lineRule="auto"/>
        <w:ind w:left="0"/>
        <w:rPr>
          <w:b/>
          <w:sz w:val="24"/>
        </w:rPr>
      </w:pPr>
      <w:r w:rsidRPr="00F242AD">
        <w:rPr>
          <w:sz w:val="24"/>
        </w:rPr>
        <w:tab/>
      </w:r>
      <w:r w:rsidR="00F9481F">
        <w:rPr>
          <w:sz w:val="24"/>
        </w:rPr>
        <w:t xml:space="preserve">In many respects, </w:t>
      </w:r>
      <w:r w:rsidR="006A42B7" w:rsidRPr="00F242AD">
        <w:rPr>
          <w:sz w:val="24"/>
        </w:rPr>
        <w:t>Island Mariner</w:t>
      </w:r>
      <w:r w:rsidR="008971CE">
        <w:rPr>
          <w:sz w:val="24"/>
        </w:rPr>
        <w:t xml:space="preserve"> Cruises’</w:t>
      </w:r>
      <w:r w:rsidR="006A42B7" w:rsidRPr="00F242AD">
        <w:rPr>
          <w:sz w:val="24"/>
        </w:rPr>
        <w:t xml:space="preserve"> Petition </w:t>
      </w:r>
      <w:r w:rsidR="00EB334F">
        <w:rPr>
          <w:sz w:val="24"/>
        </w:rPr>
        <w:t>is unclear and not specific with respect to the nature of its challenge, nor</w:t>
      </w:r>
      <w:r w:rsidR="0012521E">
        <w:rPr>
          <w:sz w:val="24"/>
        </w:rPr>
        <w:t xml:space="preserve"> does it</w:t>
      </w:r>
      <w:r w:rsidR="00EB334F">
        <w:rPr>
          <w:sz w:val="24"/>
        </w:rPr>
        <w:t xml:space="preserve"> </w:t>
      </w:r>
      <w:r w:rsidR="0012521E">
        <w:rPr>
          <w:sz w:val="24"/>
        </w:rPr>
        <w:t xml:space="preserve">properly </w:t>
      </w:r>
      <w:r w:rsidR="00EB334F">
        <w:rPr>
          <w:sz w:val="24"/>
        </w:rPr>
        <w:t xml:space="preserve">cite to portions of the record or </w:t>
      </w:r>
      <w:r w:rsidR="00882B87">
        <w:rPr>
          <w:sz w:val="24"/>
        </w:rPr>
        <w:t>the Initial Order</w:t>
      </w:r>
      <w:r w:rsidR="00EB334F">
        <w:rPr>
          <w:sz w:val="24"/>
        </w:rPr>
        <w:t xml:space="preserve">, in keeping with the requirements in </w:t>
      </w:r>
      <w:r w:rsidR="006A42B7" w:rsidRPr="00F242AD">
        <w:rPr>
          <w:sz w:val="24"/>
        </w:rPr>
        <w:t>WAC 480-07-825</w:t>
      </w:r>
      <w:r w:rsidR="00CD1BB5">
        <w:rPr>
          <w:sz w:val="24"/>
        </w:rPr>
        <w:t>(3)</w:t>
      </w:r>
      <w:r w:rsidR="00EB334F">
        <w:rPr>
          <w:sz w:val="24"/>
        </w:rPr>
        <w:t>.  At the outset</w:t>
      </w:r>
      <w:r w:rsidR="00223DC9">
        <w:rPr>
          <w:sz w:val="24"/>
        </w:rPr>
        <w:t xml:space="preserve"> of its Petition, </w:t>
      </w:r>
      <w:r w:rsidR="00EB334F">
        <w:rPr>
          <w:sz w:val="24"/>
        </w:rPr>
        <w:t>Island Mariner</w:t>
      </w:r>
      <w:r w:rsidR="008971CE">
        <w:rPr>
          <w:sz w:val="24"/>
        </w:rPr>
        <w:t xml:space="preserve"> Cruises</w:t>
      </w:r>
      <w:r w:rsidR="00EB334F">
        <w:rPr>
          <w:sz w:val="24"/>
        </w:rPr>
        <w:t xml:space="preserve"> </w:t>
      </w:r>
      <w:r w:rsidR="00F00B4A">
        <w:rPr>
          <w:sz w:val="24"/>
        </w:rPr>
        <w:t xml:space="preserve">indicates it is </w:t>
      </w:r>
      <w:r w:rsidR="00F9481F">
        <w:rPr>
          <w:sz w:val="24"/>
        </w:rPr>
        <w:t xml:space="preserve">providing </w:t>
      </w:r>
      <w:r w:rsidR="00223DC9">
        <w:rPr>
          <w:sz w:val="24"/>
        </w:rPr>
        <w:t>“information”</w:t>
      </w:r>
      <w:r w:rsidR="00F00B4A">
        <w:rPr>
          <w:sz w:val="24"/>
        </w:rPr>
        <w:t xml:space="preserve"> </w:t>
      </w:r>
      <w:r w:rsidR="00EB334F">
        <w:rPr>
          <w:sz w:val="24"/>
        </w:rPr>
        <w:t>but does not explain why it was unable to present the information at hearing.</w:t>
      </w:r>
      <w:r w:rsidR="00F9481F">
        <w:rPr>
          <w:rStyle w:val="FootnoteReference"/>
          <w:sz w:val="24"/>
        </w:rPr>
        <w:footnoteReference w:id="1"/>
      </w:r>
      <w:r w:rsidR="00241997">
        <w:rPr>
          <w:sz w:val="24"/>
        </w:rPr>
        <w:t xml:space="preserve"> </w:t>
      </w:r>
      <w:r w:rsidR="00CD1BB5">
        <w:rPr>
          <w:sz w:val="24"/>
        </w:rPr>
        <w:t xml:space="preserve"> </w:t>
      </w:r>
      <w:r w:rsidR="00241997">
        <w:rPr>
          <w:sz w:val="24"/>
        </w:rPr>
        <w:t>Island Mariner</w:t>
      </w:r>
      <w:r w:rsidR="008971CE">
        <w:rPr>
          <w:sz w:val="24"/>
        </w:rPr>
        <w:t xml:space="preserve"> Cruises</w:t>
      </w:r>
      <w:r w:rsidR="00241997">
        <w:rPr>
          <w:sz w:val="24"/>
        </w:rPr>
        <w:t xml:space="preserve"> </w:t>
      </w:r>
      <w:r w:rsidR="00EB334F">
        <w:rPr>
          <w:sz w:val="24"/>
        </w:rPr>
        <w:t xml:space="preserve">takes issue with the </w:t>
      </w:r>
      <w:r w:rsidR="00882B87">
        <w:rPr>
          <w:sz w:val="24"/>
        </w:rPr>
        <w:t>Initial Order</w:t>
      </w:r>
      <w:r w:rsidR="00463DC5">
        <w:rPr>
          <w:sz w:val="24"/>
        </w:rPr>
        <w:t>’s use of the word “express”</w:t>
      </w:r>
      <w:r w:rsidR="00241997">
        <w:rPr>
          <w:sz w:val="24"/>
        </w:rPr>
        <w:t xml:space="preserve">, although it is unclear how </w:t>
      </w:r>
      <w:r w:rsidR="00D85B9A">
        <w:rPr>
          <w:sz w:val="24"/>
        </w:rPr>
        <w:t>this</w:t>
      </w:r>
      <w:r w:rsidR="00F00B4A">
        <w:rPr>
          <w:sz w:val="24"/>
        </w:rPr>
        <w:t xml:space="preserve"> merits </w:t>
      </w:r>
      <w:r w:rsidR="00F00B4A">
        <w:rPr>
          <w:sz w:val="24"/>
        </w:rPr>
        <w:lastRenderedPageBreak/>
        <w:t>r</w:t>
      </w:r>
      <w:r w:rsidR="00241997">
        <w:rPr>
          <w:sz w:val="24"/>
        </w:rPr>
        <w:t>eview</w:t>
      </w:r>
      <w:r w:rsidR="00C86B13">
        <w:rPr>
          <w:sz w:val="24"/>
        </w:rPr>
        <w:t>.</w:t>
      </w:r>
      <w:r w:rsidR="00466EBF">
        <w:rPr>
          <w:rStyle w:val="FootnoteReference"/>
          <w:sz w:val="24"/>
        </w:rPr>
        <w:footnoteReference w:id="2"/>
      </w:r>
      <w:r w:rsidR="00AD21BA" w:rsidRPr="00F242AD">
        <w:rPr>
          <w:sz w:val="24"/>
        </w:rPr>
        <w:t xml:space="preserve"> </w:t>
      </w:r>
      <w:r w:rsidR="00577461" w:rsidRPr="00F242AD">
        <w:rPr>
          <w:sz w:val="24"/>
        </w:rPr>
        <w:t xml:space="preserve"> </w:t>
      </w:r>
      <w:r w:rsidR="00AD21BA" w:rsidRPr="00F242AD">
        <w:rPr>
          <w:sz w:val="24"/>
        </w:rPr>
        <w:t xml:space="preserve">Notwithstanding </w:t>
      </w:r>
      <w:r w:rsidR="00C86B13">
        <w:rPr>
          <w:sz w:val="24"/>
        </w:rPr>
        <w:t>this,</w:t>
      </w:r>
      <w:r w:rsidR="00AD21BA" w:rsidRPr="00F242AD">
        <w:rPr>
          <w:sz w:val="24"/>
        </w:rPr>
        <w:t xml:space="preserve"> Staff addresses</w:t>
      </w:r>
      <w:r w:rsidR="0012521E">
        <w:rPr>
          <w:sz w:val="24"/>
        </w:rPr>
        <w:t xml:space="preserve"> what appears to be Island Marine</w:t>
      </w:r>
      <w:r w:rsidR="008971CE">
        <w:rPr>
          <w:sz w:val="24"/>
        </w:rPr>
        <w:t xml:space="preserve"> Cruises’ </w:t>
      </w:r>
      <w:r w:rsidR="00241997">
        <w:rPr>
          <w:sz w:val="24"/>
        </w:rPr>
        <w:t xml:space="preserve">challenge to a legal conclusion </w:t>
      </w:r>
      <w:r w:rsidR="00F242AD" w:rsidRPr="00F242AD">
        <w:rPr>
          <w:sz w:val="24"/>
        </w:rPr>
        <w:t xml:space="preserve">in </w:t>
      </w:r>
      <w:r w:rsidR="00882B87">
        <w:rPr>
          <w:sz w:val="24"/>
        </w:rPr>
        <w:t>the Initial Order</w:t>
      </w:r>
      <w:r w:rsidR="00241997">
        <w:rPr>
          <w:sz w:val="24"/>
        </w:rPr>
        <w:t>, as follows</w:t>
      </w:r>
      <w:r w:rsidR="00F242AD">
        <w:rPr>
          <w:sz w:val="24"/>
        </w:rPr>
        <w:t xml:space="preserve">.  </w:t>
      </w:r>
    </w:p>
    <w:p w:rsidR="00E86D9F" w:rsidRDefault="00E86D9F" w:rsidP="00E86D9F">
      <w:pPr>
        <w:ind w:left="720" w:hanging="720"/>
        <w:rPr>
          <w:b/>
          <w:sz w:val="24"/>
        </w:rPr>
      </w:pPr>
      <w:r>
        <w:rPr>
          <w:b/>
          <w:sz w:val="24"/>
        </w:rPr>
        <w:t>B</w:t>
      </w:r>
      <w:r w:rsidRPr="00F242AD">
        <w:rPr>
          <w:b/>
          <w:sz w:val="24"/>
        </w:rPr>
        <w:t>.</w:t>
      </w:r>
      <w:r>
        <w:rPr>
          <w:b/>
          <w:sz w:val="24"/>
        </w:rPr>
        <w:tab/>
      </w:r>
      <w:r w:rsidRPr="00F242AD">
        <w:rPr>
          <w:b/>
          <w:sz w:val="24"/>
        </w:rPr>
        <w:t xml:space="preserve">The Initial Order correctly </w:t>
      </w:r>
      <w:r>
        <w:rPr>
          <w:b/>
          <w:sz w:val="24"/>
        </w:rPr>
        <w:t xml:space="preserve">found that </w:t>
      </w:r>
      <w:r w:rsidRPr="00F242AD">
        <w:rPr>
          <w:b/>
          <w:sz w:val="24"/>
        </w:rPr>
        <w:t>San Juan Cruises</w:t>
      </w:r>
      <w:r w:rsidR="00592575">
        <w:rPr>
          <w:b/>
          <w:sz w:val="24"/>
        </w:rPr>
        <w:t>’</w:t>
      </w:r>
      <w:r w:rsidRPr="00F242AD">
        <w:rPr>
          <w:b/>
          <w:sz w:val="24"/>
        </w:rPr>
        <w:t xml:space="preserve"> application </w:t>
      </w:r>
      <w:r>
        <w:rPr>
          <w:b/>
          <w:sz w:val="24"/>
        </w:rPr>
        <w:t xml:space="preserve">met the requirements of RCW 81.84.020 </w:t>
      </w:r>
      <w:r w:rsidRPr="00F242AD">
        <w:rPr>
          <w:b/>
          <w:sz w:val="24"/>
        </w:rPr>
        <w:t>because it does not propose to operate in territory already served by an existing certificate</w:t>
      </w:r>
      <w:r w:rsidR="007C4396">
        <w:rPr>
          <w:b/>
          <w:sz w:val="24"/>
        </w:rPr>
        <w:t xml:space="preserve">. </w:t>
      </w:r>
    </w:p>
    <w:p w:rsidR="00E86D9F" w:rsidRPr="00947145" w:rsidRDefault="00E86D9F" w:rsidP="00E86D9F">
      <w:pPr>
        <w:ind w:left="720" w:hanging="720"/>
        <w:rPr>
          <w:b/>
          <w:sz w:val="24"/>
        </w:rPr>
      </w:pPr>
    </w:p>
    <w:p w:rsidR="0058594C" w:rsidRPr="0058594C" w:rsidRDefault="00E86D9F" w:rsidP="0058594C">
      <w:pPr>
        <w:widowControl/>
        <w:numPr>
          <w:ilvl w:val="0"/>
          <w:numId w:val="2"/>
        </w:numPr>
        <w:tabs>
          <w:tab w:val="clear" w:pos="1440"/>
        </w:tabs>
        <w:spacing w:line="456" w:lineRule="auto"/>
        <w:ind w:left="0"/>
        <w:rPr>
          <w:b/>
          <w:sz w:val="24"/>
        </w:rPr>
      </w:pPr>
      <w:r>
        <w:rPr>
          <w:sz w:val="24"/>
        </w:rPr>
        <w:tab/>
      </w:r>
      <w:r w:rsidR="00F00B4A" w:rsidRPr="00E86D9F">
        <w:rPr>
          <w:sz w:val="24"/>
        </w:rPr>
        <w:t>Island Mariner</w:t>
      </w:r>
      <w:r w:rsidR="008971CE">
        <w:rPr>
          <w:sz w:val="24"/>
        </w:rPr>
        <w:t xml:space="preserve"> Cruises</w:t>
      </w:r>
      <w:r w:rsidR="00F00B4A" w:rsidRPr="00E86D9F">
        <w:rPr>
          <w:sz w:val="24"/>
        </w:rPr>
        <w:t xml:space="preserve"> a</w:t>
      </w:r>
      <w:r w:rsidR="004F62D9">
        <w:rPr>
          <w:sz w:val="24"/>
        </w:rPr>
        <w:t>sserts</w:t>
      </w:r>
      <w:r w:rsidR="00F00B4A" w:rsidRPr="00E86D9F">
        <w:rPr>
          <w:sz w:val="24"/>
        </w:rPr>
        <w:t xml:space="preserve"> that </w:t>
      </w:r>
      <w:r w:rsidR="001C3256">
        <w:rPr>
          <w:sz w:val="24"/>
        </w:rPr>
        <w:t xml:space="preserve">the administrative law judge erred </w:t>
      </w:r>
      <w:r w:rsidR="004F62D9">
        <w:rPr>
          <w:sz w:val="24"/>
        </w:rPr>
        <w:t xml:space="preserve">in </w:t>
      </w:r>
      <w:r w:rsidR="00C86B13">
        <w:rPr>
          <w:sz w:val="24"/>
        </w:rPr>
        <w:t>concluding</w:t>
      </w:r>
      <w:r w:rsidR="001C3256">
        <w:rPr>
          <w:sz w:val="24"/>
        </w:rPr>
        <w:t xml:space="preserve"> </w:t>
      </w:r>
      <w:r w:rsidR="001C3256" w:rsidRPr="00E86D9F">
        <w:rPr>
          <w:sz w:val="24"/>
        </w:rPr>
        <w:t>that San Juan Cruises</w:t>
      </w:r>
      <w:r w:rsidR="00935044">
        <w:rPr>
          <w:sz w:val="24"/>
        </w:rPr>
        <w:t xml:space="preserve"> </w:t>
      </w:r>
      <w:r w:rsidR="000E0FFF">
        <w:rPr>
          <w:sz w:val="24"/>
        </w:rPr>
        <w:t xml:space="preserve">does not propose to </w:t>
      </w:r>
      <w:r w:rsidR="001C3256" w:rsidRPr="00E86D9F">
        <w:rPr>
          <w:sz w:val="24"/>
        </w:rPr>
        <w:t>operate in the same territory as Island Mariner within the meaning of R</w:t>
      </w:r>
      <w:r w:rsidR="004F62D9">
        <w:rPr>
          <w:sz w:val="24"/>
        </w:rPr>
        <w:t xml:space="preserve">CW 81.84.020.  </w:t>
      </w:r>
      <w:r w:rsidR="000E0FFF">
        <w:rPr>
          <w:sz w:val="24"/>
        </w:rPr>
        <w:t xml:space="preserve">Island Mariner </w:t>
      </w:r>
      <w:r w:rsidR="008971CE">
        <w:rPr>
          <w:sz w:val="24"/>
        </w:rPr>
        <w:t xml:space="preserve">Cruises </w:t>
      </w:r>
      <w:r w:rsidR="000E0FFF">
        <w:rPr>
          <w:sz w:val="24"/>
        </w:rPr>
        <w:t xml:space="preserve">asserts that the Commission should find that the application </w:t>
      </w:r>
      <w:r w:rsidR="00F00B4A" w:rsidRPr="00E86D9F">
        <w:rPr>
          <w:sz w:val="24"/>
        </w:rPr>
        <w:t>overlaps with its existing authority and so the Commission should be barred from granting the application.</w:t>
      </w:r>
      <w:r w:rsidR="00F00B4A">
        <w:rPr>
          <w:rStyle w:val="FootnoteReference"/>
          <w:sz w:val="24"/>
        </w:rPr>
        <w:footnoteReference w:id="3"/>
      </w:r>
      <w:r w:rsidR="00F00B4A" w:rsidRPr="00E86D9F">
        <w:rPr>
          <w:sz w:val="24"/>
        </w:rPr>
        <w:t xml:space="preserve">  The </w:t>
      </w:r>
      <w:r w:rsidR="00463DC5">
        <w:rPr>
          <w:sz w:val="24"/>
        </w:rPr>
        <w:t>Initial Order’s conclusion was proper.</w:t>
      </w:r>
    </w:p>
    <w:p w:rsidR="0058594C" w:rsidRPr="0058594C" w:rsidRDefault="0058594C" w:rsidP="0058594C">
      <w:pPr>
        <w:widowControl/>
        <w:numPr>
          <w:ilvl w:val="0"/>
          <w:numId w:val="2"/>
        </w:numPr>
        <w:tabs>
          <w:tab w:val="clear" w:pos="1440"/>
        </w:tabs>
        <w:spacing w:line="456" w:lineRule="auto"/>
        <w:ind w:left="0"/>
        <w:rPr>
          <w:b/>
          <w:sz w:val="24"/>
        </w:rPr>
      </w:pPr>
      <w:r>
        <w:rPr>
          <w:sz w:val="24"/>
        </w:rPr>
        <w:tab/>
      </w:r>
      <w:r w:rsidR="0086777A" w:rsidRPr="0058594C">
        <w:rPr>
          <w:sz w:val="24"/>
        </w:rPr>
        <w:t xml:space="preserve">The </w:t>
      </w:r>
      <w:r w:rsidR="00882B87" w:rsidRPr="0058594C">
        <w:rPr>
          <w:sz w:val="24"/>
        </w:rPr>
        <w:t xml:space="preserve">Initial </w:t>
      </w:r>
      <w:r w:rsidR="0086777A" w:rsidRPr="0058594C">
        <w:rPr>
          <w:sz w:val="24"/>
        </w:rPr>
        <w:t xml:space="preserve">Order correctly </w:t>
      </w:r>
      <w:r w:rsidR="00E929DB" w:rsidRPr="0058594C">
        <w:rPr>
          <w:sz w:val="24"/>
        </w:rPr>
        <w:t>describes the competing applications</w:t>
      </w:r>
      <w:r w:rsidR="002D40AD" w:rsidRPr="0058594C">
        <w:rPr>
          <w:sz w:val="24"/>
        </w:rPr>
        <w:t xml:space="preserve"> and that they are </w:t>
      </w:r>
      <w:r w:rsidR="00E929DB" w:rsidRPr="0058594C">
        <w:rPr>
          <w:sz w:val="24"/>
        </w:rPr>
        <w:t>generally</w:t>
      </w:r>
      <w:r w:rsidR="0091010C" w:rsidRPr="0058594C">
        <w:rPr>
          <w:sz w:val="24"/>
        </w:rPr>
        <w:t xml:space="preserve"> distingu</w:t>
      </w:r>
      <w:r w:rsidR="00314070" w:rsidRPr="0058594C">
        <w:rPr>
          <w:sz w:val="24"/>
        </w:rPr>
        <w:t>ishable from the existing certif</w:t>
      </w:r>
      <w:r w:rsidR="0091010C" w:rsidRPr="0058594C">
        <w:rPr>
          <w:sz w:val="24"/>
        </w:rPr>
        <w:t>icate holder, Island Mariner</w:t>
      </w:r>
      <w:r w:rsidR="008971CE" w:rsidRPr="0058594C">
        <w:rPr>
          <w:sz w:val="24"/>
        </w:rPr>
        <w:t xml:space="preserve"> Cruises.</w:t>
      </w:r>
      <w:r w:rsidR="00833E38">
        <w:rPr>
          <w:rStyle w:val="FootnoteReference"/>
          <w:sz w:val="24"/>
        </w:rPr>
        <w:footnoteReference w:id="4"/>
      </w:r>
      <w:r w:rsidR="00833E38" w:rsidRPr="0058594C">
        <w:rPr>
          <w:sz w:val="24"/>
        </w:rPr>
        <w:t xml:space="preserve"> </w:t>
      </w:r>
      <w:r w:rsidR="00E86D9F" w:rsidRPr="0058594C">
        <w:rPr>
          <w:sz w:val="24"/>
        </w:rPr>
        <w:t xml:space="preserve"> </w:t>
      </w:r>
      <w:r w:rsidR="00F242AD" w:rsidRPr="0058594C">
        <w:rPr>
          <w:sz w:val="24"/>
        </w:rPr>
        <w:t>The record is clear that, w</w:t>
      </w:r>
      <w:r w:rsidR="0091010C" w:rsidRPr="0058594C">
        <w:rPr>
          <w:sz w:val="24"/>
        </w:rPr>
        <w:t xml:space="preserve">hile all </w:t>
      </w:r>
      <w:r w:rsidR="0093602F" w:rsidRPr="0058594C">
        <w:rPr>
          <w:sz w:val="24"/>
        </w:rPr>
        <w:t xml:space="preserve">would </w:t>
      </w:r>
      <w:r w:rsidR="0091010C" w:rsidRPr="0058594C">
        <w:rPr>
          <w:sz w:val="24"/>
        </w:rPr>
        <w:t>share the same scheduled stop (Friday H</w:t>
      </w:r>
      <w:r w:rsidR="00F242AD" w:rsidRPr="0058594C">
        <w:rPr>
          <w:sz w:val="24"/>
        </w:rPr>
        <w:t xml:space="preserve">arbor), their </w:t>
      </w:r>
      <w:r w:rsidR="00935044" w:rsidRPr="0058594C">
        <w:rPr>
          <w:sz w:val="24"/>
        </w:rPr>
        <w:t>routes are distinct</w:t>
      </w:r>
      <w:r w:rsidR="00F242AD" w:rsidRPr="0058594C">
        <w:rPr>
          <w:sz w:val="24"/>
        </w:rPr>
        <w:t>:</w:t>
      </w:r>
      <w:r w:rsidR="00935044">
        <w:rPr>
          <w:rStyle w:val="FootnoteReference"/>
          <w:sz w:val="24"/>
        </w:rPr>
        <w:footnoteReference w:id="5"/>
      </w:r>
      <w:r w:rsidR="0091010C" w:rsidRPr="0058594C">
        <w:rPr>
          <w:sz w:val="24"/>
        </w:rPr>
        <w:t xml:space="preserve">  (1) San Juan Cruises</w:t>
      </w:r>
      <w:r w:rsidR="00592575" w:rsidRPr="0058594C">
        <w:rPr>
          <w:sz w:val="24"/>
        </w:rPr>
        <w:t>’</w:t>
      </w:r>
      <w:r w:rsidR="0091010C" w:rsidRPr="0058594C">
        <w:rPr>
          <w:sz w:val="24"/>
        </w:rPr>
        <w:t xml:space="preserve"> </w:t>
      </w:r>
      <w:r w:rsidR="00CD1BB5" w:rsidRPr="0058594C">
        <w:rPr>
          <w:sz w:val="24"/>
        </w:rPr>
        <w:t xml:space="preserve">certificate </w:t>
      </w:r>
      <w:r w:rsidR="0091010C" w:rsidRPr="0058594C">
        <w:rPr>
          <w:sz w:val="24"/>
        </w:rPr>
        <w:t xml:space="preserve">would provide a nonstop </w:t>
      </w:r>
      <w:r w:rsidR="00CD1BB5" w:rsidRPr="0058594C">
        <w:rPr>
          <w:sz w:val="24"/>
        </w:rPr>
        <w:t xml:space="preserve">commercial ferry </w:t>
      </w:r>
      <w:r w:rsidR="0091010C" w:rsidRPr="0058594C">
        <w:rPr>
          <w:sz w:val="24"/>
        </w:rPr>
        <w:t xml:space="preserve">route between </w:t>
      </w:r>
      <w:r w:rsidR="00AC7011" w:rsidRPr="0058594C">
        <w:rPr>
          <w:sz w:val="24"/>
        </w:rPr>
        <w:t xml:space="preserve">Bellingham and </w:t>
      </w:r>
      <w:r w:rsidR="0091010C" w:rsidRPr="0058594C">
        <w:rPr>
          <w:sz w:val="24"/>
        </w:rPr>
        <w:t>Friday Harbor</w:t>
      </w:r>
      <w:r w:rsidR="00E86D9F" w:rsidRPr="0058594C">
        <w:rPr>
          <w:sz w:val="24"/>
        </w:rPr>
        <w:t>;</w:t>
      </w:r>
      <w:r w:rsidR="0091010C" w:rsidRPr="0058594C">
        <w:rPr>
          <w:sz w:val="24"/>
        </w:rPr>
        <w:t xml:space="preserve"> (2) Bellingham Water Taxi’s </w:t>
      </w:r>
      <w:r w:rsidR="00F242AD" w:rsidRPr="0058594C">
        <w:rPr>
          <w:sz w:val="24"/>
        </w:rPr>
        <w:t xml:space="preserve">application </w:t>
      </w:r>
      <w:r w:rsidR="0091010C" w:rsidRPr="0058594C">
        <w:rPr>
          <w:sz w:val="24"/>
        </w:rPr>
        <w:t xml:space="preserve">would </w:t>
      </w:r>
      <w:r w:rsidR="00F242AD" w:rsidRPr="0058594C">
        <w:rPr>
          <w:sz w:val="24"/>
        </w:rPr>
        <w:t>extend its existing route to</w:t>
      </w:r>
      <w:r w:rsidR="0091010C" w:rsidRPr="0058594C">
        <w:rPr>
          <w:sz w:val="24"/>
        </w:rPr>
        <w:t xml:space="preserve"> Friday Harbor b</w:t>
      </w:r>
      <w:r w:rsidR="00F242AD" w:rsidRPr="0058594C">
        <w:rPr>
          <w:sz w:val="24"/>
        </w:rPr>
        <w:t>ut would thereupon include an</w:t>
      </w:r>
      <w:r w:rsidR="0091010C" w:rsidRPr="0058594C">
        <w:rPr>
          <w:sz w:val="24"/>
        </w:rPr>
        <w:t xml:space="preserve"> additional scheduled stop and flag stops between Friday Harbor and Bellingham; (3) Island Mariner</w:t>
      </w:r>
      <w:r w:rsidR="008971CE" w:rsidRPr="0058594C">
        <w:rPr>
          <w:sz w:val="24"/>
        </w:rPr>
        <w:t xml:space="preserve"> Cruises’</w:t>
      </w:r>
      <w:r w:rsidR="0091010C" w:rsidRPr="0058594C">
        <w:rPr>
          <w:sz w:val="24"/>
        </w:rPr>
        <w:t xml:space="preserve"> </w:t>
      </w:r>
      <w:r w:rsidR="0086777A" w:rsidRPr="0058594C">
        <w:rPr>
          <w:sz w:val="24"/>
        </w:rPr>
        <w:t xml:space="preserve">existing </w:t>
      </w:r>
      <w:r w:rsidR="00DA0C49" w:rsidRPr="0058594C">
        <w:rPr>
          <w:sz w:val="24"/>
        </w:rPr>
        <w:t xml:space="preserve">ferry </w:t>
      </w:r>
      <w:r w:rsidR="0091010C" w:rsidRPr="0058594C">
        <w:rPr>
          <w:sz w:val="24"/>
        </w:rPr>
        <w:t xml:space="preserve">certificate </w:t>
      </w:r>
      <w:r w:rsidR="001C3256" w:rsidRPr="0058594C">
        <w:rPr>
          <w:sz w:val="24"/>
        </w:rPr>
        <w:t xml:space="preserve">is a </w:t>
      </w:r>
      <w:r w:rsidR="00F242AD" w:rsidRPr="0058594C">
        <w:rPr>
          <w:sz w:val="24"/>
        </w:rPr>
        <w:t>multiple-</w:t>
      </w:r>
      <w:r w:rsidR="0091010C" w:rsidRPr="0058594C">
        <w:rPr>
          <w:sz w:val="24"/>
        </w:rPr>
        <w:t xml:space="preserve">stop route </w:t>
      </w:r>
      <w:r w:rsidR="0086444D" w:rsidRPr="0058594C">
        <w:rPr>
          <w:sz w:val="24"/>
        </w:rPr>
        <w:t xml:space="preserve">between Bellingham and Friday Harbor via Elisa, Sinclair, Cypress, Blakely, Decatur, Crane, Jones, </w:t>
      </w:r>
      <w:proofErr w:type="spellStart"/>
      <w:r w:rsidR="0086444D" w:rsidRPr="0058594C">
        <w:rPr>
          <w:sz w:val="24"/>
        </w:rPr>
        <w:t>Spieden</w:t>
      </w:r>
      <w:proofErr w:type="spellEnd"/>
      <w:r w:rsidR="0086444D" w:rsidRPr="0058594C">
        <w:rPr>
          <w:sz w:val="24"/>
        </w:rPr>
        <w:t xml:space="preserve">, Johns, Stuart, Waldron, </w:t>
      </w:r>
      <w:proofErr w:type="spellStart"/>
      <w:r w:rsidR="0086444D" w:rsidRPr="0058594C">
        <w:rPr>
          <w:sz w:val="24"/>
        </w:rPr>
        <w:t>Sucia</w:t>
      </w:r>
      <w:proofErr w:type="spellEnd"/>
      <w:r w:rsidR="0086444D" w:rsidRPr="0058594C">
        <w:rPr>
          <w:sz w:val="24"/>
        </w:rPr>
        <w:t xml:space="preserve"> and </w:t>
      </w:r>
      <w:proofErr w:type="spellStart"/>
      <w:r w:rsidR="0086444D" w:rsidRPr="0058594C">
        <w:rPr>
          <w:sz w:val="24"/>
        </w:rPr>
        <w:t>Matia</w:t>
      </w:r>
      <w:proofErr w:type="spellEnd"/>
      <w:r w:rsidR="0086444D" w:rsidRPr="0058594C">
        <w:rPr>
          <w:sz w:val="24"/>
        </w:rPr>
        <w:t xml:space="preserve"> </w:t>
      </w:r>
      <w:r>
        <w:rPr>
          <w:sz w:val="24"/>
        </w:rPr>
        <w:t>i</w:t>
      </w:r>
      <w:r w:rsidR="0086444D" w:rsidRPr="0058594C">
        <w:rPr>
          <w:sz w:val="24"/>
        </w:rPr>
        <w:t xml:space="preserve">slands with an additional stop at Roche Harbor on San Juan </w:t>
      </w:r>
      <w:r w:rsidR="0086444D" w:rsidRPr="0058594C">
        <w:rPr>
          <w:sz w:val="24"/>
        </w:rPr>
        <w:lastRenderedPageBreak/>
        <w:t xml:space="preserve">Island, Rosario Resort, Olga and Doe Bay on Orcas Island, Lopez and Shaw </w:t>
      </w:r>
      <w:r>
        <w:rPr>
          <w:sz w:val="24"/>
        </w:rPr>
        <w:t>i</w:t>
      </w:r>
      <w:r w:rsidR="0086444D" w:rsidRPr="0058594C">
        <w:rPr>
          <w:sz w:val="24"/>
        </w:rPr>
        <w:t xml:space="preserve">slands, but </w:t>
      </w:r>
      <w:r w:rsidR="008971CE" w:rsidRPr="0058594C">
        <w:rPr>
          <w:sz w:val="24"/>
        </w:rPr>
        <w:t>the company</w:t>
      </w:r>
      <w:r w:rsidR="0086444D" w:rsidRPr="0058594C">
        <w:rPr>
          <w:sz w:val="24"/>
        </w:rPr>
        <w:t xml:space="preserve"> does not provide a direct route.</w:t>
      </w:r>
      <w:r w:rsidR="00512D10">
        <w:rPr>
          <w:rStyle w:val="FootnoteReference"/>
          <w:sz w:val="24"/>
        </w:rPr>
        <w:footnoteReference w:id="6"/>
      </w:r>
      <w:r w:rsidR="0025240A" w:rsidRPr="0058594C">
        <w:rPr>
          <w:sz w:val="24"/>
        </w:rPr>
        <w:t xml:space="preserve"> </w:t>
      </w:r>
      <w:r w:rsidR="008F25AA" w:rsidRPr="0058594C">
        <w:rPr>
          <w:sz w:val="24"/>
        </w:rPr>
        <w:t xml:space="preserve"> </w:t>
      </w:r>
      <w:r w:rsidR="00882B87" w:rsidRPr="0058594C">
        <w:rPr>
          <w:sz w:val="24"/>
        </w:rPr>
        <w:t>The Initial Order</w:t>
      </w:r>
      <w:r w:rsidR="00AC7011" w:rsidRPr="0058594C">
        <w:rPr>
          <w:sz w:val="24"/>
        </w:rPr>
        <w:t xml:space="preserve"> grants both new applications, but restrict</w:t>
      </w:r>
      <w:r w:rsidR="0086444D" w:rsidRPr="0058594C">
        <w:rPr>
          <w:sz w:val="24"/>
        </w:rPr>
        <w:t xml:space="preserve">s </w:t>
      </w:r>
      <w:r w:rsidR="00AC7011" w:rsidRPr="0058594C">
        <w:rPr>
          <w:sz w:val="24"/>
        </w:rPr>
        <w:t xml:space="preserve">Bellingham Water Taxi’s extension to Friday Harbor to </w:t>
      </w:r>
      <w:r w:rsidR="002D40AD" w:rsidRPr="0058594C">
        <w:rPr>
          <w:sz w:val="24"/>
        </w:rPr>
        <w:t>non-</w:t>
      </w:r>
      <w:r w:rsidR="00AC7011" w:rsidRPr="0058594C">
        <w:rPr>
          <w:sz w:val="24"/>
        </w:rPr>
        <w:t>peak season</w:t>
      </w:r>
      <w:r w:rsidR="002D40AD" w:rsidRPr="0058594C">
        <w:rPr>
          <w:sz w:val="24"/>
        </w:rPr>
        <w:t>s</w:t>
      </w:r>
      <w:r w:rsidR="00AC7011" w:rsidRPr="0058594C">
        <w:rPr>
          <w:sz w:val="24"/>
        </w:rPr>
        <w:t xml:space="preserve"> provided that Island Mariner</w:t>
      </w:r>
      <w:r w:rsidR="008971CE" w:rsidRPr="0058594C">
        <w:rPr>
          <w:sz w:val="24"/>
        </w:rPr>
        <w:t xml:space="preserve"> Cruises</w:t>
      </w:r>
      <w:r w:rsidR="00AC7011" w:rsidRPr="0058594C">
        <w:rPr>
          <w:sz w:val="24"/>
        </w:rPr>
        <w:t xml:space="preserve"> initiates peak-season service in 2013.</w:t>
      </w:r>
      <w:r w:rsidR="00512D10">
        <w:rPr>
          <w:rStyle w:val="FootnoteReference"/>
          <w:sz w:val="24"/>
        </w:rPr>
        <w:footnoteReference w:id="7"/>
      </w:r>
    </w:p>
    <w:p w:rsidR="0058594C" w:rsidRPr="0058594C" w:rsidRDefault="0058594C" w:rsidP="0058594C">
      <w:pPr>
        <w:widowControl/>
        <w:numPr>
          <w:ilvl w:val="0"/>
          <w:numId w:val="2"/>
        </w:numPr>
        <w:tabs>
          <w:tab w:val="clear" w:pos="1440"/>
        </w:tabs>
        <w:spacing w:line="456" w:lineRule="auto"/>
        <w:ind w:left="0"/>
        <w:rPr>
          <w:b/>
          <w:sz w:val="24"/>
        </w:rPr>
      </w:pPr>
      <w:r>
        <w:rPr>
          <w:sz w:val="24"/>
        </w:rPr>
        <w:tab/>
      </w:r>
      <w:r w:rsidR="00882B87" w:rsidRPr="0058594C">
        <w:rPr>
          <w:sz w:val="24"/>
        </w:rPr>
        <w:t>The Initial Order’s</w:t>
      </w:r>
      <w:r w:rsidR="00DA0C49" w:rsidRPr="0058594C">
        <w:rPr>
          <w:sz w:val="24"/>
        </w:rPr>
        <w:t xml:space="preserve"> </w:t>
      </w:r>
      <w:r w:rsidR="0025240A" w:rsidRPr="0058594C">
        <w:rPr>
          <w:sz w:val="24"/>
        </w:rPr>
        <w:t>analysis and conclusion that San Juan Cruises territory does not overlap for purposes of RCW 81.84.020</w:t>
      </w:r>
      <w:r w:rsidR="00833E38">
        <w:rPr>
          <w:rStyle w:val="FootnoteReference"/>
          <w:sz w:val="24"/>
        </w:rPr>
        <w:footnoteReference w:id="8"/>
      </w:r>
      <w:r w:rsidR="007D389F" w:rsidRPr="0058594C">
        <w:rPr>
          <w:sz w:val="24"/>
        </w:rPr>
        <w:t xml:space="preserve"> is consistent with</w:t>
      </w:r>
      <w:r w:rsidR="00F242AD" w:rsidRPr="0058594C">
        <w:rPr>
          <w:sz w:val="24"/>
        </w:rPr>
        <w:t xml:space="preserve"> a prior order of the Commission, in Docket </w:t>
      </w:r>
      <w:r w:rsidR="0093602F" w:rsidRPr="0058594C">
        <w:rPr>
          <w:sz w:val="24"/>
        </w:rPr>
        <w:t>TS-031996</w:t>
      </w:r>
      <w:r w:rsidR="008971CE" w:rsidRPr="0058594C">
        <w:rPr>
          <w:sz w:val="24"/>
        </w:rPr>
        <w:t>.</w:t>
      </w:r>
      <w:r w:rsidR="007D389F">
        <w:rPr>
          <w:rStyle w:val="FootnoteReference"/>
          <w:sz w:val="24"/>
        </w:rPr>
        <w:footnoteReference w:id="9"/>
      </w:r>
      <w:r w:rsidR="007D389F" w:rsidRPr="0058594C">
        <w:rPr>
          <w:sz w:val="24"/>
        </w:rPr>
        <w:t xml:space="preserve"> </w:t>
      </w:r>
      <w:r w:rsidR="00CD1BB5" w:rsidRPr="0058594C">
        <w:rPr>
          <w:sz w:val="24"/>
        </w:rPr>
        <w:t xml:space="preserve"> </w:t>
      </w:r>
      <w:r w:rsidR="0093602F" w:rsidRPr="0058594C">
        <w:rPr>
          <w:sz w:val="24"/>
        </w:rPr>
        <w:t xml:space="preserve">There, the Commission found that a </w:t>
      </w:r>
      <w:r w:rsidR="00F10C97" w:rsidRPr="0058594C">
        <w:rPr>
          <w:sz w:val="24"/>
        </w:rPr>
        <w:t xml:space="preserve">proposed </w:t>
      </w:r>
      <w:r w:rsidR="00F1380A" w:rsidRPr="0058594C">
        <w:rPr>
          <w:sz w:val="24"/>
        </w:rPr>
        <w:t>direct service between Bellingham and Friday Harbor</w:t>
      </w:r>
      <w:r w:rsidR="00166F40" w:rsidRPr="0058594C">
        <w:rPr>
          <w:sz w:val="24"/>
        </w:rPr>
        <w:t xml:space="preserve"> </w:t>
      </w:r>
      <w:r w:rsidR="007D389F" w:rsidRPr="0058594C">
        <w:rPr>
          <w:sz w:val="24"/>
        </w:rPr>
        <w:t>with no stops</w:t>
      </w:r>
      <w:r w:rsidR="00F10C97" w:rsidRPr="0058594C">
        <w:rPr>
          <w:sz w:val="24"/>
        </w:rPr>
        <w:t xml:space="preserve"> </w:t>
      </w:r>
      <w:r w:rsidR="007D389F" w:rsidRPr="0058594C">
        <w:rPr>
          <w:sz w:val="24"/>
        </w:rPr>
        <w:t xml:space="preserve">sufficiently differed from an existing </w:t>
      </w:r>
      <w:r w:rsidR="00F1380A" w:rsidRPr="0058594C">
        <w:rPr>
          <w:sz w:val="24"/>
        </w:rPr>
        <w:t>service that required flag stops along the way</w:t>
      </w:r>
      <w:r w:rsidR="00DA0C49" w:rsidRPr="0058594C">
        <w:rPr>
          <w:sz w:val="24"/>
        </w:rPr>
        <w:t>,</w:t>
      </w:r>
      <w:r w:rsidR="00166F40" w:rsidRPr="0058594C">
        <w:rPr>
          <w:sz w:val="24"/>
        </w:rPr>
        <w:t xml:space="preserve"> </w:t>
      </w:r>
      <w:r w:rsidR="00947145" w:rsidRPr="0058594C">
        <w:rPr>
          <w:sz w:val="24"/>
        </w:rPr>
        <w:t>such</w:t>
      </w:r>
      <w:r w:rsidR="007D389F" w:rsidRPr="0058594C">
        <w:rPr>
          <w:sz w:val="24"/>
        </w:rPr>
        <w:t xml:space="preserve"> that </w:t>
      </w:r>
      <w:r w:rsidR="00947145" w:rsidRPr="0058594C">
        <w:rPr>
          <w:sz w:val="24"/>
        </w:rPr>
        <w:t xml:space="preserve">the proposed service </w:t>
      </w:r>
      <w:r w:rsidR="007D389F" w:rsidRPr="0058594C">
        <w:rPr>
          <w:sz w:val="24"/>
        </w:rPr>
        <w:t>was not “territory already served</w:t>
      </w:r>
      <w:r w:rsidR="00947145" w:rsidRPr="0058594C">
        <w:rPr>
          <w:sz w:val="24"/>
        </w:rPr>
        <w:t>.”</w:t>
      </w:r>
      <w:r w:rsidR="00F10C97">
        <w:rPr>
          <w:rStyle w:val="FootnoteReference"/>
          <w:sz w:val="24"/>
        </w:rPr>
        <w:footnoteReference w:id="10"/>
      </w:r>
      <w:r w:rsidR="007D389F" w:rsidRPr="0058594C">
        <w:rPr>
          <w:sz w:val="24"/>
        </w:rPr>
        <w:t xml:space="preserve"> </w:t>
      </w:r>
      <w:r w:rsidR="00F10C97" w:rsidRPr="0058594C">
        <w:rPr>
          <w:sz w:val="24"/>
        </w:rPr>
        <w:t xml:space="preserve"> </w:t>
      </w:r>
      <w:r w:rsidR="00DA0C49" w:rsidRPr="0058594C">
        <w:rPr>
          <w:sz w:val="24"/>
        </w:rPr>
        <w:t xml:space="preserve">The analysis in </w:t>
      </w:r>
      <w:r w:rsidR="002D40AD" w:rsidRPr="0058594C">
        <w:rPr>
          <w:sz w:val="24"/>
        </w:rPr>
        <w:t xml:space="preserve">TS-031996 </w:t>
      </w:r>
      <w:r w:rsidR="00DA0C49" w:rsidRPr="0058594C">
        <w:rPr>
          <w:sz w:val="24"/>
        </w:rPr>
        <w:t>was similar to</w:t>
      </w:r>
      <w:r w:rsidR="00C1406A" w:rsidRPr="0058594C">
        <w:rPr>
          <w:sz w:val="24"/>
        </w:rPr>
        <w:t xml:space="preserve"> that employed by the Commission under</w:t>
      </w:r>
      <w:r w:rsidR="00A55643" w:rsidRPr="0058594C">
        <w:rPr>
          <w:sz w:val="24"/>
        </w:rPr>
        <w:t xml:space="preserve"> the auto transportation statute, RCW 81.68</w:t>
      </w:r>
      <w:r w:rsidR="00C1406A" w:rsidRPr="0058594C">
        <w:rPr>
          <w:sz w:val="24"/>
        </w:rPr>
        <w:t xml:space="preserve">, which is similar to the </w:t>
      </w:r>
      <w:r w:rsidR="00A55643" w:rsidRPr="0058594C">
        <w:rPr>
          <w:sz w:val="24"/>
        </w:rPr>
        <w:t xml:space="preserve">commercial </w:t>
      </w:r>
      <w:r w:rsidR="00223DC9" w:rsidRPr="0058594C">
        <w:rPr>
          <w:sz w:val="24"/>
        </w:rPr>
        <w:t xml:space="preserve">ferry statute </w:t>
      </w:r>
      <w:r w:rsidR="00C1406A" w:rsidRPr="0058594C">
        <w:rPr>
          <w:sz w:val="24"/>
        </w:rPr>
        <w:t>in terms of favoring exclusive territories.</w:t>
      </w:r>
      <w:r w:rsidR="00C1406A">
        <w:rPr>
          <w:rStyle w:val="FootnoteReference"/>
          <w:sz w:val="24"/>
        </w:rPr>
        <w:footnoteReference w:id="11"/>
      </w:r>
      <w:r w:rsidR="00F1380A" w:rsidRPr="0058594C">
        <w:rPr>
          <w:sz w:val="24"/>
        </w:rPr>
        <w:t xml:space="preserve"> </w:t>
      </w:r>
      <w:r w:rsidR="00B81FDE" w:rsidRPr="0058594C">
        <w:rPr>
          <w:sz w:val="24"/>
        </w:rPr>
        <w:t xml:space="preserve"> </w:t>
      </w:r>
      <w:r w:rsidR="00C1406A" w:rsidRPr="0058594C">
        <w:rPr>
          <w:sz w:val="24"/>
        </w:rPr>
        <w:t xml:space="preserve">A </w:t>
      </w:r>
      <w:r w:rsidR="00F1380A" w:rsidRPr="0058594C">
        <w:rPr>
          <w:sz w:val="24"/>
        </w:rPr>
        <w:t xml:space="preserve">territory may not be “already served” because the existing certificate holder is not serving it with respect to </w:t>
      </w:r>
      <w:r w:rsidR="00314070" w:rsidRPr="0058594C">
        <w:rPr>
          <w:sz w:val="24"/>
        </w:rPr>
        <w:t>a particular type of service.</w:t>
      </w:r>
      <w:r w:rsidR="00C1406A">
        <w:rPr>
          <w:rStyle w:val="FootnoteReference"/>
          <w:sz w:val="24"/>
        </w:rPr>
        <w:footnoteReference w:id="12"/>
      </w:r>
      <w:r w:rsidR="00314070" w:rsidRPr="0058594C">
        <w:rPr>
          <w:sz w:val="24"/>
        </w:rPr>
        <w:t xml:space="preserve"> </w:t>
      </w:r>
      <w:r w:rsidR="00C1406A" w:rsidRPr="0058594C">
        <w:rPr>
          <w:sz w:val="24"/>
        </w:rPr>
        <w:t xml:space="preserve"> </w:t>
      </w:r>
      <w:r w:rsidR="00A55643" w:rsidRPr="0058594C">
        <w:rPr>
          <w:sz w:val="24"/>
        </w:rPr>
        <w:t>As the Commission noted:</w:t>
      </w:r>
    </w:p>
    <w:p w:rsidR="0058594C" w:rsidRDefault="0058594C" w:rsidP="0058594C">
      <w:pPr>
        <w:widowControl/>
        <w:ind w:left="720" w:right="18"/>
        <w:rPr>
          <w:sz w:val="24"/>
        </w:rPr>
      </w:pPr>
      <w:r>
        <w:rPr>
          <w:sz w:val="24"/>
        </w:rPr>
        <w:t>“When the existing certificate holder directs its service at certain market niches within its territory which differ substantially from the markets the applicant proposes, the Commission has held that the statutory restrictions will not be read to prevent entrepreneurs from developing and serving new markets within a territory.”</w:t>
      </w:r>
      <w:r>
        <w:rPr>
          <w:rStyle w:val="FootnoteReference"/>
          <w:sz w:val="24"/>
        </w:rPr>
        <w:footnoteReference w:id="13"/>
      </w:r>
      <w:r>
        <w:rPr>
          <w:sz w:val="24"/>
        </w:rPr>
        <w:t xml:space="preserve"> </w:t>
      </w:r>
    </w:p>
    <w:p w:rsidR="0058594C" w:rsidRPr="0058594C" w:rsidRDefault="0058594C" w:rsidP="0058594C">
      <w:pPr>
        <w:widowControl/>
        <w:spacing w:line="456" w:lineRule="auto"/>
        <w:rPr>
          <w:b/>
          <w:sz w:val="24"/>
        </w:rPr>
      </w:pPr>
    </w:p>
    <w:p w:rsidR="0058594C" w:rsidRPr="0058594C" w:rsidRDefault="0058594C" w:rsidP="0058594C">
      <w:pPr>
        <w:widowControl/>
        <w:numPr>
          <w:ilvl w:val="0"/>
          <w:numId w:val="2"/>
        </w:numPr>
        <w:tabs>
          <w:tab w:val="clear" w:pos="1440"/>
        </w:tabs>
        <w:spacing w:line="456" w:lineRule="auto"/>
        <w:ind w:left="0"/>
        <w:rPr>
          <w:b/>
          <w:sz w:val="24"/>
        </w:rPr>
      </w:pPr>
      <w:r>
        <w:rPr>
          <w:iCs/>
          <w:sz w:val="24"/>
        </w:rPr>
        <w:lastRenderedPageBreak/>
        <w:tab/>
      </w:r>
      <w:r w:rsidR="00A55643" w:rsidRPr="0058594C">
        <w:rPr>
          <w:iCs/>
          <w:sz w:val="24"/>
        </w:rPr>
        <w:t xml:space="preserve">In </w:t>
      </w:r>
      <w:r w:rsidR="00592575" w:rsidRPr="0058594C">
        <w:rPr>
          <w:iCs/>
          <w:sz w:val="24"/>
        </w:rPr>
        <w:t>Docket</w:t>
      </w:r>
      <w:r w:rsidR="00C37415" w:rsidRPr="0058594C">
        <w:rPr>
          <w:iCs/>
          <w:sz w:val="24"/>
        </w:rPr>
        <w:t xml:space="preserve"> </w:t>
      </w:r>
      <w:r w:rsidR="00A55643" w:rsidRPr="0058594C">
        <w:rPr>
          <w:iCs/>
          <w:sz w:val="24"/>
        </w:rPr>
        <w:t xml:space="preserve">TS-031996, </w:t>
      </w:r>
      <w:r w:rsidR="00592575" w:rsidRPr="0058594C">
        <w:rPr>
          <w:iCs/>
          <w:sz w:val="24"/>
        </w:rPr>
        <w:t xml:space="preserve">Order 04, </w:t>
      </w:r>
      <w:r w:rsidR="00A55643" w:rsidRPr="0058594C">
        <w:rPr>
          <w:iCs/>
          <w:sz w:val="24"/>
        </w:rPr>
        <w:t xml:space="preserve">the Commission </w:t>
      </w:r>
      <w:r w:rsidR="007D389F" w:rsidRPr="0058594C">
        <w:rPr>
          <w:iCs/>
          <w:sz w:val="24"/>
        </w:rPr>
        <w:t xml:space="preserve">also </w:t>
      </w:r>
      <w:r w:rsidR="00C37415" w:rsidRPr="0058594C">
        <w:rPr>
          <w:iCs/>
          <w:sz w:val="24"/>
        </w:rPr>
        <w:t>explained</w:t>
      </w:r>
      <w:r w:rsidR="007D389F" w:rsidRPr="0058594C">
        <w:rPr>
          <w:iCs/>
          <w:sz w:val="24"/>
        </w:rPr>
        <w:t>:</w:t>
      </w:r>
    </w:p>
    <w:p w:rsidR="0058594C" w:rsidRPr="00EA4F98" w:rsidRDefault="0058594C" w:rsidP="0058594C">
      <w:pPr>
        <w:widowControl/>
        <w:ind w:left="806" w:right="18"/>
        <w:rPr>
          <w:iCs/>
          <w:sz w:val="24"/>
        </w:rPr>
      </w:pPr>
      <w:r w:rsidRPr="00EA4F98">
        <w:rPr>
          <w:iCs/>
          <w:sz w:val="24"/>
        </w:rPr>
        <w:t>“The Commission must consider whether the territory at issue is “territory already served” within the meaning of the statute…</w:t>
      </w:r>
      <w:r>
        <w:rPr>
          <w:iCs/>
          <w:sz w:val="24"/>
        </w:rPr>
        <w:t xml:space="preserve">.  </w:t>
      </w:r>
      <w:r w:rsidRPr="00EA4F98">
        <w:rPr>
          <w:iCs/>
          <w:sz w:val="24"/>
        </w:rPr>
        <w:t>One factor to be considered is the extent of the authority of the intervenors.  Another is whether or not they are serving to the extent of that authority.  A third is whether the type of service provided reasonably serves the market.</w:t>
      </w:r>
      <w:r w:rsidRPr="00EA4F98">
        <w:rPr>
          <w:rStyle w:val="FootnoteReference"/>
          <w:iCs/>
          <w:sz w:val="24"/>
        </w:rPr>
        <w:footnoteReference w:id="14"/>
      </w:r>
    </w:p>
    <w:p w:rsidR="0058594C" w:rsidRPr="00EA4F98" w:rsidRDefault="0058594C" w:rsidP="0058594C">
      <w:pPr>
        <w:widowControl/>
        <w:ind w:left="806" w:right="1008"/>
        <w:rPr>
          <w:iCs/>
          <w:sz w:val="24"/>
        </w:rPr>
      </w:pPr>
      <w:r w:rsidRPr="00EA4F98">
        <w:rPr>
          <w:iCs/>
          <w:sz w:val="24"/>
        </w:rPr>
        <w:t xml:space="preserve">   </w:t>
      </w:r>
    </w:p>
    <w:p w:rsidR="0058594C" w:rsidRPr="0058594C" w:rsidRDefault="0058594C" w:rsidP="0058594C">
      <w:pPr>
        <w:widowControl/>
        <w:numPr>
          <w:ilvl w:val="0"/>
          <w:numId w:val="2"/>
        </w:numPr>
        <w:tabs>
          <w:tab w:val="clear" w:pos="1440"/>
        </w:tabs>
        <w:spacing w:line="456" w:lineRule="auto"/>
        <w:ind w:left="0"/>
        <w:rPr>
          <w:b/>
          <w:sz w:val="24"/>
        </w:rPr>
      </w:pPr>
      <w:r>
        <w:rPr>
          <w:iCs/>
          <w:sz w:val="24"/>
        </w:rPr>
        <w:tab/>
      </w:r>
      <w:r w:rsidR="00AF53CE" w:rsidRPr="0058594C">
        <w:rPr>
          <w:iCs/>
          <w:sz w:val="24"/>
        </w:rPr>
        <w:t xml:space="preserve">The Commission </w:t>
      </w:r>
      <w:r w:rsidR="00592575" w:rsidRPr="0058594C">
        <w:rPr>
          <w:iCs/>
          <w:sz w:val="24"/>
        </w:rPr>
        <w:t>may distinguish</w:t>
      </w:r>
      <w:r w:rsidR="00AF53CE" w:rsidRPr="0058594C">
        <w:rPr>
          <w:iCs/>
          <w:sz w:val="24"/>
        </w:rPr>
        <w:t xml:space="preserve"> between different types of service</w:t>
      </w:r>
      <w:r w:rsidR="001055D0" w:rsidRPr="0058594C">
        <w:rPr>
          <w:iCs/>
          <w:sz w:val="24"/>
        </w:rPr>
        <w:t xml:space="preserve"> when offered between the same two points.  </w:t>
      </w:r>
      <w:r w:rsidR="00AF53CE" w:rsidRPr="0058594C">
        <w:rPr>
          <w:iCs/>
          <w:sz w:val="24"/>
        </w:rPr>
        <w:t>The Commission has also previously determined, when reviewing competing applications, that it could grant more than one application for commercial ferry service</w:t>
      </w:r>
      <w:r w:rsidR="001055D0" w:rsidRPr="0058594C">
        <w:rPr>
          <w:iCs/>
          <w:sz w:val="24"/>
        </w:rPr>
        <w:t xml:space="preserve"> if the nature of the service, the level of need, and the applicants’ ability to fully meet shippers’ needs were consistent with a grant of authority to more than one carrier.</w:t>
      </w:r>
      <w:r w:rsidR="001055D0">
        <w:rPr>
          <w:rStyle w:val="FootnoteReference"/>
          <w:iCs/>
          <w:sz w:val="24"/>
        </w:rPr>
        <w:footnoteReference w:id="15"/>
      </w:r>
      <w:r w:rsidR="001055D0" w:rsidRPr="0058594C">
        <w:rPr>
          <w:iCs/>
          <w:sz w:val="24"/>
        </w:rPr>
        <w:t xml:space="preserve"> </w:t>
      </w:r>
      <w:r w:rsidR="0093543B" w:rsidRPr="0058594C">
        <w:rPr>
          <w:iCs/>
          <w:sz w:val="24"/>
        </w:rPr>
        <w:t xml:space="preserve"> Here,</w:t>
      </w:r>
      <w:r w:rsidR="00592575" w:rsidRPr="0058594C">
        <w:rPr>
          <w:iCs/>
          <w:sz w:val="24"/>
        </w:rPr>
        <w:t xml:space="preserve"> </w:t>
      </w:r>
      <w:r w:rsidR="00915FBA" w:rsidRPr="0058594C">
        <w:rPr>
          <w:iCs/>
          <w:sz w:val="24"/>
        </w:rPr>
        <w:t xml:space="preserve">as in Docket TS-031996, </w:t>
      </w:r>
      <w:r w:rsidR="00592575" w:rsidRPr="0058594C">
        <w:rPr>
          <w:iCs/>
          <w:sz w:val="24"/>
        </w:rPr>
        <w:t xml:space="preserve">although </w:t>
      </w:r>
      <w:r w:rsidR="00BF2E64" w:rsidRPr="0058594C">
        <w:rPr>
          <w:iCs/>
          <w:sz w:val="24"/>
        </w:rPr>
        <w:t>they may</w:t>
      </w:r>
      <w:r w:rsidR="000E0FFF" w:rsidRPr="0058594C">
        <w:rPr>
          <w:iCs/>
          <w:sz w:val="24"/>
        </w:rPr>
        <w:t xml:space="preserve"> share a common destination,</w:t>
      </w:r>
      <w:r w:rsidR="0093543B" w:rsidRPr="0058594C">
        <w:rPr>
          <w:iCs/>
          <w:sz w:val="24"/>
        </w:rPr>
        <w:t xml:space="preserve"> </w:t>
      </w:r>
      <w:r w:rsidR="00592575" w:rsidRPr="0058594C">
        <w:rPr>
          <w:iCs/>
          <w:sz w:val="24"/>
        </w:rPr>
        <w:t>the applicant San Juan Cr</w:t>
      </w:r>
      <w:r w:rsidR="001C3256" w:rsidRPr="0058594C">
        <w:rPr>
          <w:iCs/>
          <w:sz w:val="24"/>
        </w:rPr>
        <w:t>uises proposes a type of service (a nonstop route)</w:t>
      </w:r>
      <w:r w:rsidR="00592575" w:rsidRPr="0058594C">
        <w:rPr>
          <w:iCs/>
          <w:sz w:val="24"/>
        </w:rPr>
        <w:t xml:space="preserve"> </w:t>
      </w:r>
      <w:r w:rsidR="000E0FFF" w:rsidRPr="0058594C">
        <w:rPr>
          <w:iCs/>
          <w:sz w:val="24"/>
        </w:rPr>
        <w:t xml:space="preserve">that is </w:t>
      </w:r>
      <w:r w:rsidR="00592575" w:rsidRPr="0058594C">
        <w:rPr>
          <w:iCs/>
          <w:sz w:val="24"/>
        </w:rPr>
        <w:t xml:space="preserve">not offered by the existing certificate holder. </w:t>
      </w:r>
      <w:r w:rsidR="00882B87" w:rsidRPr="0058594C">
        <w:rPr>
          <w:iCs/>
          <w:sz w:val="24"/>
        </w:rPr>
        <w:t xml:space="preserve"> The Initial Order correctly cites to evidence in the record supporting need for the</w:t>
      </w:r>
      <w:r w:rsidR="0093543B" w:rsidRPr="0058594C">
        <w:rPr>
          <w:iCs/>
          <w:sz w:val="24"/>
        </w:rPr>
        <w:t xml:space="preserve"> </w:t>
      </w:r>
      <w:r w:rsidR="00915FBA" w:rsidRPr="0058594C">
        <w:rPr>
          <w:iCs/>
          <w:sz w:val="24"/>
        </w:rPr>
        <w:t>proposed</w:t>
      </w:r>
      <w:r w:rsidR="0093543B" w:rsidRPr="0058594C">
        <w:rPr>
          <w:iCs/>
          <w:sz w:val="24"/>
        </w:rPr>
        <w:t xml:space="preserve"> nonstop service</w:t>
      </w:r>
      <w:r w:rsidR="002D7330" w:rsidRPr="0058594C">
        <w:rPr>
          <w:iCs/>
          <w:sz w:val="24"/>
        </w:rPr>
        <w:t>.</w:t>
      </w:r>
      <w:r w:rsidR="00223DC9">
        <w:rPr>
          <w:rStyle w:val="FootnoteReference"/>
          <w:iCs/>
          <w:sz w:val="24"/>
        </w:rPr>
        <w:footnoteReference w:id="16"/>
      </w:r>
      <w:r w:rsidR="00F00B4A" w:rsidRPr="0058594C">
        <w:rPr>
          <w:iCs/>
          <w:sz w:val="24"/>
        </w:rPr>
        <w:t xml:space="preserve"> </w:t>
      </w:r>
      <w:r w:rsidR="0093543B" w:rsidRPr="0058594C">
        <w:rPr>
          <w:iCs/>
          <w:sz w:val="24"/>
        </w:rPr>
        <w:t xml:space="preserve"> The administrative law judge correctly applied RCW 81.84.020</w:t>
      </w:r>
      <w:r w:rsidR="006067EB" w:rsidRPr="0058594C">
        <w:rPr>
          <w:iCs/>
          <w:sz w:val="24"/>
        </w:rPr>
        <w:t xml:space="preserve"> </w:t>
      </w:r>
      <w:r w:rsidR="0093543B" w:rsidRPr="0058594C">
        <w:rPr>
          <w:iCs/>
          <w:sz w:val="24"/>
        </w:rPr>
        <w:t>consistent with precedent</w:t>
      </w:r>
      <w:r w:rsidR="006067EB" w:rsidRPr="0058594C">
        <w:rPr>
          <w:iCs/>
          <w:sz w:val="24"/>
        </w:rPr>
        <w:t>, in holding that San Juan Cruises does not propose to operate in the same territory as Island Mariner.</w:t>
      </w:r>
    </w:p>
    <w:p w:rsidR="00DF59E4" w:rsidRPr="00DF59E4" w:rsidRDefault="0058594C" w:rsidP="00DF59E4">
      <w:pPr>
        <w:widowControl/>
        <w:numPr>
          <w:ilvl w:val="0"/>
          <w:numId w:val="2"/>
        </w:numPr>
        <w:tabs>
          <w:tab w:val="clear" w:pos="1440"/>
        </w:tabs>
        <w:spacing w:line="456" w:lineRule="auto"/>
        <w:ind w:left="0"/>
        <w:rPr>
          <w:b/>
          <w:sz w:val="24"/>
        </w:rPr>
      </w:pPr>
      <w:r>
        <w:rPr>
          <w:iCs/>
          <w:sz w:val="24"/>
        </w:rPr>
        <w:tab/>
      </w:r>
      <w:r w:rsidR="00136A56" w:rsidRPr="0058594C">
        <w:rPr>
          <w:iCs/>
          <w:sz w:val="24"/>
        </w:rPr>
        <w:t xml:space="preserve">In its Petition, </w:t>
      </w:r>
      <w:r w:rsidR="00412043" w:rsidRPr="0058594C">
        <w:rPr>
          <w:iCs/>
          <w:sz w:val="24"/>
        </w:rPr>
        <w:t xml:space="preserve">apparently in the alternative, </w:t>
      </w:r>
      <w:r w:rsidR="00DA0C49" w:rsidRPr="0058594C">
        <w:rPr>
          <w:iCs/>
          <w:sz w:val="24"/>
        </w:rPr>
        <w:t xml:space="preserve">Island Mariner </w:t>
      </w:r>
      <w:r w:rsidR="00412043" w:rsidRPr="0058594C">
        <w:rPr>
          <w:iCs/>
          <w:sz w:val="24"/>
        </w:rPr>
        <w:t xml:space="preserve">also </w:t>
      </w:r>
      <w:r w:rsidR="00463DC5">
        <w:rPr>
          <w:iCs/>
          <w:sz w:val="24"/>
        </w:rPr>
        <w:t xml:space="preserve">suggests </w:t>
      </w:r>
      <w:r w:rsidR="00915FBA" w:rsidRPr="0058594C">
        <w:rPr>
          <w:iCs/>
          <w:sz w:val="24"/>
        </w:rPr>
        <w:t>that San J</w:t>
      </w:r>
      <w:r w:rsidR="002D7330" w:rsidRPr="0058594C">
        <w:rPr>
          <w:iCs/>
          <w:sz w:val="24"/>
        </w:rPr>
        <w:t xml:space="preserve">uan Cruises should be required by the Commission </w:t>
      </w:r>
      <w:r w:rsidR="00915FBA" w:rsidRPr="0058594C">
        <w:rPr>
          <w:iCs/>
          <w:sz w:val="24"/>
        </w:rPr>
        <w:t xml:space="preserve">to </w:t>
      </w:r>
      <w:r w:rsidR="00136A56" w:rsidRPr="0058594C">
        <w:rPr>
          <w:iCs/>
          <w:sz w:val="24"/>
        </w:rPr>
        <w:t xml:space="preserve">operate its vessels </w:t>
      </w:r>
      <w:r w:rsidR="00915FBA" w:rsidRPr="0058594C">
        <w:rPr>
          <w:iCs/>
          <w:sz w:val="24"/>
        </w:rPr>
        <w:t>at a particular speed</w:t>
      </w:r>
      <w:r w:rsidR="00773D64" w:rsidRPr="0058594C">
        <w:rPr>
          <w:iCs/>
          <w:sz w:val="24"/>
        </w:rPr>
        <w:t>.</w:t>
      </w:r>
      <w:r w:rsidR="006067EB">
        <w:rPr>
          <w:rStyle w:val="FootnoteReference"/>
          <w:iCs/>
          <w:sz w:val="24"/>
        </w:rPr>
        <w:footnoteReference w:id="17"/>
      </w:r>
      <w:r w:rsidR="00136A56" w:rsidRPr="0058594C">
        <w:rPr>
          <w:iCs/>
          <w:sz w:val="24"/>
        </w:rPr>
        <w:t xml:space="preserve">  Staff disagrees. </w:t>
      </w:r>
      <w:r w:rsidR="00C86B13" w:rsidRPr="0058594C">
        <w:rPr>
          <w:iCs/>
          <w:sz w:val="24"/>
        </w:rPr>
        <w:t xml:space="preserve"> The Commission should not be setting the </w:t>
      </w:r>
      <w:r w:rsidR="004F62D9" w:rsidRPr="0058594C">
        <w:rPr>
          <w:iCs/>
          <w:sz w:val="24"/>
        </w:rPr>
        <w:t xml:space="preserve">specific </w:t>
      </w:r>
      <w:r w:rsidR="00C86B13" w:rsidRPr="0058594C">
        <w:rPr>
          <w:iCs/>
          <w:sz w:val="24"/>
        </w:rPr>
        <w:t>speeds of travel</w:t>
      </w:r>
      <w:r w:rsidR="001C7369" w:rsidRPr="0058594C">
        <w:rPr>
          <w:iCs/>
          <w:sz w:val="24"/>
        </w:rPr>
        <w:t>, there is no authority cited in support of this proposition,</w:t>
      </w:r>
      <w:r w:rsidR="004F62D9" w:rsidRPr="0058594C">
        <w:rPr>
          <w:iCs/>
          <w:sz w:val="24"/>
        </w:rPr>
        <w:t xml:space="preserve"> and </w:t>
      </w:r>
      <w:r w:rsidR="00C86B13" w:rsidRPr="0058594C">
        <w:rPr>
          <w:iCs/>
          <w:sz w:val="24"/>
        </w:rPr>
        <w:t xml:space="preserve">it would not make sense to do so.  </w:t>
      </w:r>
      <w:r w:rsidR="00412043" w:rsidRPr="0058594C">
        <w:rPr>
          <w:iCs/>
          <w:sz w:val="24"/>
        </w:rPr>
        <w:t>I</w:t>
      </w:r>
      <w:r w:rsidR="00136A56" w:rsidRPr="0058594C">
        <w:rPr>
          <w:iCs/>
          <w:sz w:val="24"/>
        </w:rPr>
        <w:t xml:space="preserve">n any </w:t>
      </w:r>
      <w:r w:rsidR="00C86B13" w:rsidRPr="0058594C">
        <w:rPr>
          <w:iCs/>
          <w:sz w:val="24"/>
        </w:rPr>
        <w:t>event,</w:t>
      </w:r>
      <w:r w:rsidR="006067EB" w:rsidRPr="0058594C">
        <w:rPr>
          <w:iCs/>
          <w:sz w:val="24"/>
        </w:rPr>
        <w:t xml:space="preserve"> commercial</w:t>
      </w:r>
      <w:r w:rsidR="00C86B13" w:rsidRPr="0058594C">
        <w:rPr>
          <w:iCs/>
          <w:sz w:val="24"/>
        </w:rPr>
        <w:t xml:space="preserve"> </w:t>
      </w:r>
      <w:r w:rsidR="00136A56" w:rsidRPr="0058594C">
        <w:rPr>
          <w:iCs/>
          <w:sz w:val="24"/>
        </w:rPr>
        <w:t>ferry operators, a</w:t>
      </w:r>
      <w:r w:rsidR="00C86B13" w:rsidRPr="0058594C">
        <w:rPr>
          <w:iCs/>
          <w:sz w:val="24"/>
        </w:rPr>
        <w:t xml:space="preserve">s common carriers, </w:t>
      </w:r>
      <w:r w:rsidR="004F62D9" w:rsidRPr="0058594C">
        <w:rPr>
          <w:iCs/>
          <w:sz w:val="24"/>
        </w:rPr>
        <w:t>have a duty under</w:t>
      </w:r>
      <w:r w:rsidR="006067EB" w:rsidRPr="0058594C">
        <w:rPr>
          <w:iCs/>
          <w:sz w:val="24"/>
        </w:rPr>
        <w:t xml:space="preserve"> </w:t>
      </w:r>
      <w:r w:rsidR="006067EB" w:rsidRPr="0058594C">
        <w:rPr>
          <w:iCs/>
          <w:sz w:val="24"/>
        </w:rPr>
        <w:lastRenderedPageBreak/>
        <w:t>RCW 81.28.02</w:t>
      </w:r>
      <w:r w:rsidR="00136A56" w:rsidRPr="0058594C">
        <w:rPr>
          <w:iCs/>
          <w:sz w:val="24"/>
        </w:rPr>
        <w:t xml:space="preserve">0 to </w:t>
      </w:r>
      <w:r w:rsidR="004F62D9" w:rsidRPr="0058594C">
        <w:rPr>
          <w:iCs/>
          <w:sz w:val="24"/>
        </w:rPr>
        <w:t xml:space="preserve">expedite traffic </w:t>
      </w:r>
      <w:r w:rsidR="000F22D0" w:rsidRPr="0058594C">
        <w:rPr>
          <w:iCs/>
          <w:sz w:val="24"/>
        </w:rPr>
        <w:t>for their</w:t>
      </w:r>
      <w:r w:rsidR="004F62D9" w:rsidRPr="0058594C">
        <w:rPr>
          <w:iCs/>
          <w:sz w:val="24"/>
        </w:rPr>
        <w:t xml:space="preserve"> regulated </w:t>
      </w:r>
      <w:r w:rsidR="000F22D0" w:rsidRPr="0058594C">
        <w:rPr>
          <w:iCs/>
          <w:sz w:val="24"/>
        </w:rPr>
        <w:t>service.</w:t>
      </w:r>
      <w:r w:rsidR="00882B87" w:rsidRPr="0058594C">
        <w:rPr>
          <w:iCs/>
          <w:sz w:val="24"/>
        </w:rPr>
        <w:t xml:space="preserve"> </w:t>
      </w:r>
      <w:r w:rsidR="004F62D9" w:rsidRPr="0058594C">
        <w:rPr>
          <w:iCs/>
          <w:sz w:val="24"/>
        </w:rPr>
        <w:t xml:space="preserve"> The record does not support imposing additional conditions on the proposed scheduled service</w:t>
      </w:r>
      <w:r w:rsidR="00882B87" w:rsidRPr="0058594C">
        <w:rPr>
          <w:iCs/>
          <w:sz w:val="24"/>
        </w:rPr>
        <w:t xml:space="preserve"> regarding speed.</w:t>
      </w:r>
    </w:p>
    <w:p w:rsidR="00AF53CE" w:rsidRPr="00DF59E4" w:rsidRDefault="00DF59E4" w:rsidP="00DF59E4">
      <w:pPr>
        <w:widowControl/>
        <w:numPr>
          <w:ilvl w:val="0"/>
          <w:numId w:val="2"/>
        </w:numPr>
        <w:tabs>
          <w:tab w:val="clear" w:pos="1440"/>
        </w:tabs>
        <w:spacing w:line="456" w:lineRule="auto"/>
        <w:ind w:left="0"/>
        <w:rPr>
          <w:b/>
          <w:sz w:val="24"/>
        </w:rPr>
      </w:pPr>
      <w:r>
        <w:rPr>
          <w:iCs/>
          <w:sz w:val="24"/>
        </w:rPr>
        <w:tab/>
      </w:r>
      <w:r w:rsidR="00412043" w:rsidRPr="00DF59E4">
        <w:rPr>
          <w:iCs/>
          <w:sz w:val="24"/>
        </w:rPr>
        <w:t>The</w:t>
      </w:r>
      <w:r w:rsidR="00772CBF">
        <w:rPr>
          <w:iCs/>
          <w:sz w:val="24"/>
        </w:rPr>
        <w:t xml:space="preserve"> Initial Order was proper, and the </w:t>
      </w:r>
      <w:r w:rsidR="00412043" w:rsidRPr="00DF59E4">
        <w:rPr>
          <w:iCs/>
          <w:sz w:val="24"/>
        </w:rPr>
        <w:t xml:space="preserve">Commission should </w:t>
      </w:r>
      <w:r w:rsidR="00223DC9" w:rsidRPr="00DF59E4">
        <w:rPr>
          <w:iCs/>
          <w:sz w:val="24"/>
        </w:rPr>
        <w:t>deny Island Mariner’s Petition for Administrative R</w:t>
      </w:r>
      <w:r w:rsidR="0093543B" w:rsidRPr="00DF59E4">
        <w:rPr>
          <w:iCs/>
          <w:sz w:val="24"/>
        </w:rPr>
        <w:t xml:space="preserve">eview. </w:t>
      </w:r>
      <w:bookmarkStart w:id="0" w:name="_GoBack"/>
      <w:bookmarkEnd w:id="0"/>
    </w:p>
    <w:p w:rsidR="00314070" w:rsidRPr="00EA4F98" w:rsidRDefault="00F748D8" w:rsidP="00314070">
      <w:pPr>
        <w:spacing w:line="456" w:lineRule="auto"/>
        <w:ind w:left="720"/>
        <w:rPr>
          <w:sz w:val="24"/>
        </w:rPr>
      </w:pPr>
      <w:proofErr w:type="gramStart"/>
      <w:r w:rsidRPr="00EA4F98">
        <w:rPr>
          <w:sz w:val="24"/>
        </w:rPr>
        <w:t xml:space="preserve">DATED </w:t>
      </w:r>
      <w:r w:rsidR="00E41842" w:rsidRPr="00EA4F98">
        <w:rPr>
          <w:sz w:val="24"/>
        </w:rPr>
        <w:t>th</w:t>
      </w:r>
      <w:r w:rsidR="00DE11BB" w:rsidRPr="00EA4F98">
        <w:rPr>
          <w:sz w:val="24"/>
        </w:rPr>
        <w:t xml:space="preserve">is </w:t>
      </w:r>
      <w:r w:rsidR="00F46C83" w:rsidRPr="00EA4F98">
        <w:rPr>
          <w:sz w:val="24"/>
        </w:rPr>
        <w:t>1st</w:t>
      </w:r>
      <w:r w:rsidR="007D4705" w:rsidRPr="00EA4F98">
        <w:rPr>
          <w:sz w:val="24"/>
        </w:rPr>
        <w:t xml:space="preserve"> </w:t>
      </w:r>
      <w:r w:rsidR="00DE11BB" w:rsidRPr="00EA4F98">
        <w:rPr>
          <w:sz w:val="24"/>
        </w:rPr>
        <w:t xml:space="preserve">day of </w:t>
      </w:r>
      <w:r w:rsidR="00F46C83" w:rsidRPr="00EA4F98">
        <w:rPr>
          <w:sz w:val="24"/>
        </w:rPr>
        <w:t>May,</w:t>
      </w:r>
      <w:r w:rsidR="007D4705" w:rsidRPr="00EA4F98">
        <w:rPr>
          <w:sz w:val="24"/>
        </w:rPr>
        <w:t xml:space="preserve"> 2013</w:t>
      </w:r>
      <w:r w:rsidR="00E41842" w:rsidRPr="00EA4F98">
        <w:rPr>
          <w:sz w:val="24"/>
        </w:rPr>
        <w:t>.</w:t>
      </w:r>
      <w:proofErr w:type="gramEnd"/>
    </w:p>
    <w:p w:rsidR="00F748D8" w:rsidRPr="00EA4F98" w:rsidRDefault="00F748D8" w:rsidP="00046943">
      <w:pPr>
        <w:ind w:left="720"/>
        <w:rPr>
          <w:sz w:val="24"/>
        </w:rPr>
      </w:pPr>
      <w:r w:rsidRPr="00EA4F98">
        <w:rPr>
          <w:sz w:val="24"/>
        </w:rPr>
        <w:tab/>
      </w:r>
      <w:r w:rsidRPr="00EA4F98">
        <w:rPr>
          <w:sz w:val="24"/>
        </w:rPr>
        <w:tab/>
      </w:r>
      <w:r w:rsidRPr="00EA4F98">
        <w:rPr>
          <w:sz w:val="24"/>
        </w:rPr>
        <w:tab/>
      </w:r>
      <w:r w:rsidRPr="00EA4F98">
        <w:rPr>
          <w:sz w:val="24"/>
        </w:rPr>
        <w:tab/>
      </w:r>
      <w:r w:rsidRPr="00EA4F98">
        <w:rPr>
          <w:sz w:val="24"/>
        </w:rPr>
        <w:tab/>
      </w:r>
      <w:r w:rsidRPr="00EA4F98">
        <w:rPr>
          <w:sz w:val="24"/>
        </w:rPr>
        <w:tab/>
        <w:t xml:space="preserve">Respectfully submitted, </w:t>
      </w:r>
    </w:p>
    <w:p w:rsidR="00F748D8" w:rsidRPr="00EA4F98" w:rsidRDefault="00F748D8" w:rsidP="00046943">
      <w:pPr>
        <w:pStyle w:val="BodyTextIndent2"/>
        <w:rPr>
          <w:rFonts w:ascii="Times New Roman" w:hAnsi="Times New Roman"/>
        </w:rPr>
      </w:pPr>
    </w:p>
    <w:p w:rsidR="00046943" w:rsidRPr="00EA4F98" w:rsidRDefault="007D4705" w:rsidP="00046943">
      <w:pPr>
        <w:ind w:left="5040"/>
        <w:rPr>
          <w:sz w:val="24"/>
        </w:rPr>
      </w:pPr>
      <w:r w:rsidRPr="00EA4F98">
        <w:rPr>
          <w:sz w:val="24"/>
        </w:rPr>
        <w:t xml:space="preserve">ROBERT </w:t>
      </w:r>
      <w:r w:rsidR="00046943" w:rsidRPr="00EA4F98">
        <w:rPr>
          <w:sz w:val="24"/>
        </w:rPr>
        <w:t>W. FERGUSON</w:t>
      </w:r>
    </w:p>
    <w:p w:rsidR="00F748D8" w:rsidRPr="00EA4F98" w:rsidRDefault="00F748D8" w:rsidP="00046943">
      <w:pPr>
        <w:ind w:left="5040"/>
        <w:rPr>
          <w:sz w:val="24"/>
        </w:rPr>
      </w:pPr>
      <w:r w:rsidRPr="00EA4F98">
        <w:rPr>
          <w:sz w:val="24"/>
        </w:rPr>
        <w:t>Attorney General</w:t>
      </w:r>
    </w:p>
    <w:p w:rsidR="00F748D8" w:rsidRDefault="00F748D8" w:rsidP="00046943">
      <w:pPr>
        <w:rPr>
          <w:sz w:val="24"/>
        </w:rPr>
      </w:pPr>
    </w:p>
    <w:p w:rsidR="006A377A" w:rsidRPr="00EA4F98" w:rsidRDefault="006A377A" w:rsidP="00046943">
      <w:pPr>
        <w:rPr>
          <w:sz w:val="24"/>
        </w:rPr>
      </w:pPr>
    </w:p>
    <w:p w:rsidR="00F748D8" w:rsidRPr="00EA4F98" w:rsidRDefault="00F748D8" w:rsidP="00046943">
      <w:pPr>
        <w:ind w:left="1440" w:firstLine="3600"/>
        <w:rPr>
          <w:sz w:val="24"/>
        </w:rPr>
      </w:pPr>
      <w:r w:rsidRPr="00EA4F98">
        <w:rPr>
          <w:sz w:val="24"/>
        </w:rPr>
        <w:t>______________________________</w:t>
      </w:r>
    </w:p>
    <w:p w:rsidR="00F748D8" w:rsidRPr="00EA4F98" w:rsidRDefault="006C0B04" w:rsidP="00046943">
      <w:pPr>
        <w:ind w:firstLine="5040"/>
        <w:rPr>
          <w:sz w:val="24"/>
        </w:rPr>
      </w:pPr>
      <w:r w:rsidRPr="00EA4F98">
        <w:rPr>
          <w:sz w:val="24"/>
        </w:rPr>
        <w:t>MICHAEL A. FASSIO</w:t>
      </w:r>
    </w:p>
    <w:p w:rsidR="00F748D8" w:rsidRPr="00EA4F98" w:rsidRDefault="00F748D8" w:rsidP="00046943">
      <w:pPr>
        <w:ind w:left="1440" w:firstLine="3600"/>
        <w:rPr>
          <w:sz w:val="24"/>
        </w:rPr>
      </w:pPr>
      <w:r w:rsidRPr="00EA4F98">
        <w:rPr>
          <w:sz w:val="24"/>
        </w:rPr>
        <w:t>Assistant Attorney General</w:t>
      </w:r>
    </w:p>
    <w:p w:rsidR="00F748D8" w:rsidRPr="00EA4F98" w:rsidRDefault="00F748D8" w:rsidP="00046943">
      <w:pPr>
        <w:ind w:left="2160" w:firstLine="2880"/>
        <w:rPr>
          <w:sz w:val="24"/>
        </w:rPr>
      </w:pPr>
      <w:r w:rsidRPr="00EA4F98">
        <w:rPr>
          <w:sz w:val="24"/>
        </w:rPr>
        <w:t>Counsel for Washington Utilities and</w:t>
      </w:r>
    </w:p>
    <w:p w:rsidR="00F748D8" w:rsidRPr="00EA4F98" w:rsidRDefault="004F69A5" w:rsidP="00046943">
      <w:pPr>
        <w:ind w:left="2880" w:firstLine="2160"/>
        <w:rPr>
          <w:sz w:val="24"/>
        </w:rPr>
      </w:pPr>
      <w:r w:rsidRPr="00EA4F98">
        <w:rPr>
          <w:sz w:val="24"/>
        </w:rPr>
        <w:t>Transportation Commission</w:t>
      </w:r>
      <w:r w:rsidR="005E07C2" w:rsidRPr="00EA4F98">
        <w:rPr>
          <w:sz w:val="24"/>
        </w:rPr>
        <w:t xml:space="preserve"> Staff</w:t>
      </w:r>
    </w:p>
    <w:p w:rsidR="00F748D8" w:rsidRPr="00EA4F98" w:rsidRDefault="00F748D8" w:rsidP="00046943">
      <w:pPr>
        <w:rPr>
          <w:sz w:val="24"/>
        </w:rPr>
      </w:pPr>
    </w:p>
    <w:sectPr w:rsidR="00F748D8" w:rsidRPr="00EA4F98" w:rsidSect="00DE11BB">
      <w:footerReference w:type="default" r:id="rId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94C" w:rsidRDefault="0058594C">
      <w:r>
        <w:separator/>
      </w:r>
    </w:p>
  </w:endnote>
  <w:endnote w:type="continuationSeparator" w:id="0">
    <w:p w:rsidR="0058594C" w:rsidRDefault="0058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4C" w:rsidRDefault="0058594C" w:rsidP="0012325D">
    <w:pPr>
      <w:pStyle w:val="Footer"/>
    </w:pPr>
    <w:r>
      <w:t>STAFF’S ANSWER TO PETITION</w:t>
    </w:r>
  </w:p>
  <w:p w:rsidR="0058594C" w:rsidRPr="00737B08" w:rsidRDefault="0058594C" w:rsidP="0012325D">
    <w:pPr>
      <w:pStyle w:val="Footer"/>
    </w:pPr>
    <w:r>
      <w:t>FOR ADMINISTRATIVE REVIEW</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772CBF">
      <w:rPr>
        <w:rStyle w:val="PageNumber"/>
        <w:noProof/>
      </w:rPr>
      <w:t>5</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94C" w:rsidRDefault="0058594C">
      <w:r>
        <w:separator/>
      </w:r>
    </w:p>
  </w:footnote>
  <w:footnote w:type="continuationSeparator" w:id="0">
    <w:p w:rsidR="0058594C" w:rsidRDefault="0058594C">
      <w:r>
        <w:continuationSeparator/>
      </w:r>
    </w:p>
  </w:footnote>
  <w:footnote w:id="1">
    <w:p w:rsidR="0058594C" w:rsidRDefault="0058594C">
      <w:pPr>
        <w:pStyle w:val="FootnoteText"/>
      </w:pPr>
      <w:r>
        <w:rPr>
          <w:rStyle w:val="FootnoteReference"/>
        </w:rPr>
        <w:footnoteRef/>
      </w:r>
      <w:r>
        <w:t xml:space="preserve"> The record is closed, and Island Mariner Cruises did not move to reopen the record pursuant to WAC 480-07-830.  A Petition for Administrative Review is not the appropriate forum to introduce new evidence. </w:t>
      </w:r>
    </w:p>
  </w:footnote>
  <w:footnote w:id="2">
    <w:p w:rsidR="0058594C" w:rsidRDefault="0058594C">
      <w:pPr>
        <w:pStyle w:val="FootnoteText"/>
      </w:pPr>
      <w:r>
        <w:rPr>
          <w:rStyle w:val="FootnoteReference"/>
        </w:rPr>
        <w:footnoteRef/>
      </w:r>
      <w:r>
        <w:t xml:space="preserve"> Contrary to Island Mariner Cruises’ claim, “express boat” is not found in the Initial Order</w:t>
      </w:r>
      <w:r w:rsidR="00463DC5">
        <w:t>. Moreover,</w:t>
      </w:r>
      <w:r>
        <w:t xml:space="preserve"> although </w:t>
      </w:r>
      <w:r w:rsidR="00463DC5">
        <w:t xml:space="preserve">the </w:t>
      </w:r>
      <w:r>
        <w:t>terms “express”</w:t>
      </w:r>
      <w:r w:rsidR="00463DC5">
        <w:t xml:space="preserve"> appears</w:t>
      </w:r>
      <w:r>
        <w:t xml:space="preserve"> in discussion, it is not incorporated into findings of fact or conclusions of law related to the current applications.  “Express” is not defined in commercial ferry statutes and rules.  It is reasonable, based on the record to interpret the term within the confines and context of the </w:t>
      </w:r>
      <w:r w:rsidR="00463DC5">
        <w:t>Initial Order</w:t>
      </w:r>
      <w:r>
        <w:t xml:space="preserve"> to describe nonstop route/service as distinguished from a multi-stop or flag-stop route/service.  This would also be consistent with the few instances in which it appears in hearing testimony, i.e.: </w:t>
      </w:r>
      <w:r w:rsidR="00DF59E4">
        <w:t xml:space="preserve"> </w:t>
      </w:r>
      <w:r>
        <w:t>(1) Witness Darrell Bryan, responding to questions from Mr. Buzzard used “express” in reference to a nonstop service</w:t>
      </w:r>
      <w:r w:rsidR="00DF59E4">
        <w:t xml:space="preserve">, Tr. Bryan 259:22, 260:6 </w:t>
      </w:r>
      <w:r>
        <w:t>and 260:18; (2) Witness Drew Schmidt referred to his company’s prior certificate as “Friday Harbor express route with no flag stops</w:t>
      </w:r>
      <w:r w:rsidR="00DF59E4">
        <w:t>,</w:t>
      </w:r>
      <w:r>
        <w:t xml:space="preserve">” Tr. Schmidt 278:19-20.  </w:t>
      </w:r>
    </w:p>
  </w:footnote>
  <w:footnote w:id="3">
    <w:p w:rsidR="0058594C" w:rsidRDefault="0058594C" w:rsidP="00F00B4A">
      <w:pPr>
        <w:pStyle w:val="FootnoteText"/>
      </w:pPr>
      <w:r>
        <w:rPr>
          <w:rStyle w:val="FootnoteReference"/>
        </w:rPr>
        <w:footnoteRef/>
      </w:r>
      <w:r>
        <w:t xml:space="preserve"> See Petition for Administrative Review of Island Mariner Cruises, page 3. </w:t>
      </w:r>
    </w:p>
  </w:footnote>
  <w:footnote w:id="4">
    <w:p w:rsidR="0058594C" w:rsidRDefault="0058594C">
      <w:pPr>
        <w:pStyle w:val="FootnoteText"/>
      </w:pPr>
      <w:r>
        <w:rPr>
          <w:rStyle w:val="FootnoteReference"/>
        </w:rPr>
        <w:footnoteRef/>
      </w:r>
      <w:r>
        <w:t xml:space="preserve"> Order 03, ¶¶ 2-3, ¶¶ 10-12, ¶¶ 16-17. </w:t>
      </w:r>
    </w:p>
  </w:footnote>
  <w:footnote w:id="5">
    <w:p w:rsidR="0058594C" w:rsidRDefault="0058594C">
      <w:pPr>
        <w:pStyle w:val="FootnoteText"/>
      </w:pPr>
      <w:r>
        <w:rPr>
          <w:rStyle w:val="FootnoteReference"/>
        </w:rPr>
        <w:footnoteRef/>
      </w:r>
      <w:r>
        <w:t xml:space="preserve"> Order 03, ¶ 39. </w:t>
      </w:r>
    </w:p>
  </w:footnote>
  <w:footnote w:id="6">
    <w:p w:rsidR="0058594C" w:rsidRDefault="0058594C">
      <w:pPr>
        <w:pStyle w:val="FootnoteText"/>
      </w:pPr>
      <w:r>
        <w:rPr>
          <w:rStyle w:val="FootnoteReference"/>
        </w:rPr>
        <w:footnoteRef/>
      </w:r>
      <w:r>
        <w:t xml:space="preserve"> Order 03, ¶¶ 2-3, 10-12</w:t>
      </w:r>
    </w:p>
  </w:footnote>
  <w:footnote w:id="7">
    <w:p w:rsidR="0058594C" w:rsidRDefault="0058594C">
      <w:pPr>
        <w:pStyle w:val="FootnoteText"/>
      </w:pPr>
      <w:r>
        <w:rPr>
          <w:rStyle w:val="FootnoteReference"/>
        </w:rPr>
        <w:footnoteRef/>
      </w:r>
      <w:r>
        <w:t xml:space="preserve"> Order 03, ¶ 17, ¶ 43</w:t>
      </w:r>
    </w:p>
  </w:footnote>
  <w:footnote w:id="8">
    <w:p w:rsidR="0058594C" w:rsidRPr="00EA4F98" w:rsidRDefault="0058594C">
      <w:pPr>
        <w:pStyle w:val="FootnoteText"/>
      </w:pPr>
      <w:r w:rsidRPr="00EA4F98">
        <w:rPr>
          <w:rStyle w:val="FootnoteReference"/>
        </w:rPr>
        <w:footnoteRef/>
      </w:r>
      <w:r w:rsidRPr="00EA4F98">
        <w:t xml:space="preserve"> </w:t>
      </w:r>
      <w:r>
        <w:t xml:space="preserve">See </w:t>
      </w:r>
      <w:r w:rsidRPr="00EA4F98">
        <w:t xml:space="preserve">Order 03, </w:t>
      </w:r>
      <w:r>
        <w:t>¶¶</w:t>
      </w:r>
      <w:r w:rsidR="00DF59E4">
        <w:t xml:space="preserve"> </w:t>
      </w:r>
      <w:r>
        <w:t>13-17, ¶</w:t>
      </w:r>
      <w:r w:rsidR="00DF59E4">
        <w:t xml:space="preserve"> </w:t>
      </w:r>
      <w:r>
        <w:t>61.</w:t>
      </w:r>
    </w:p>
  </w:footnote>
  <w:footnote w:id="9">
    <w:p w:rsidR="0058594C" w:rsidRPr="00EA4F98" w:rsidRDefault="0058594C">
      <w:pPr>
        <w:pStyle w:val="FootnoteText"/>
      </w:pPr>
      <w:r w:rsidRPr="00EA4F98">
        <w:rPr>
          <w:rStyle w:val="FootnoteReference"/>
        </w:rPr>
        <w:footnoteRef/>
      </w:r>
      <w:r w:rsidRPr="00EA4F98">
        <w:t xml:space="preserve"> </w:t>
      </w:r>
      <w:r>
        <w:t xml:space="preserve">See </w:t>
      </w:r>
      <w:r>
        <w:rPr>
          <w:i/>
        </w:rPr>
        <w:t>In re Pacific Cruises Northwest, Inc. d/b/a Victoria San Juan Cruises</w:t>
      </w:r>
      <w:r w:rsidRPr="0074470E">
        <w:t xml:space="preserve">, </w:t>
      </w:r>
      <w:r>
        <w:t xml:space="preserve">Docket TS-031996, Order 04, (February 11, 2005), affirmed by Order 05 (March 10, 2005).  That case compared a similar application, by San Juan Cruises, with the then-existing certificate holder, which was Island Mariner Cruises. </w:t>
      </w:r>
    </w:p>
  </w:footnote>
  <w:footnote w:id="10">
    <w:p w:rsidR="0058594C" w:rsidRDefault="0058594C">
      <w:pPr>
        <w:pStyle w:val="FootnoteText"/>
      </w:pPr>
      <w:r>
        <w:rPr>
          <w:rStyle w:val="FootnoteReference"/>
        </w:rPr>
        <w:footnoteRef/>
      </w:r>
      <w:r>
        <w:t xml:space="preserve"> </w:t>
      </w:r>
      <w:proofErr w:type="gramStart"/>
      <w:r>
        <w:rPr>
          <w:i/>
        </w:rPr>
        <w:t>Id.</w:t>
      </w:r>
      <w:r>
        <w:t>, ¶ 22.</w:t>
      </w:r>
      <w:proofErr w:type="gramEnd"/>
      <w:r>
        <w:t xml:space="preserve">  </w:t>
      </w:r>
    </w:p>
  </w:footnote>
  <w:footnote w:id="11">
    <w:p w:rsidR="0058594C" w:rsidRPr="00EA4F98" w:rsidRDefault="0058594C">
      <w:pPr>
        <w:pStyle w:val="FootnoteText"/>
      </w:pPr>
      <w:r w:rsidRPr="00EA4F98">
        <w:rPr>
          <w:rStyle w:val="FootnoteReference"/>
        </w:rPr>
        <w:footnoteRef/>
      </w:r>
      <w:r w:rsidRPr="00EA4F98">
        <w:t xml:space="preserve"> </w:t>
      </w:r>
      <w:r w:rsidRPr="00EA4F98">
        <w:rPr>
          <w:i/>
        </w:rPr>
        <w:t>Id.</w:t>
      </w:r>
      <w:r w:rsidRPr="0074470E">
        <w:t xml:space="preserve">, </w:t>
      </w:r>
      <w:r w:rsidRPr="0074470E">
        <w:rPr>
          <w:i/>
        </w:rPr>
        <w:t>¶¶</w:t>
      </w:r>
      <w:r w:rsidRPr="00EA4F98">
        <w:rPr>
          <w:i/>
        </w:rPr>
        <w:t xml:space="preserve"> </w:t>
      </w:r>
      <w:r w:rsidRPr="00592575">
        <w:t>22-26.</w:t>
      </w:r>
      <w:r w:rsidRPr="00EA4F98">
        <w:rPr>
          <w:i/>
        </w:rPr>
        <w:t xml:space="preserve">  </w:t>
      </w:r>
      <w:r w:rsidRPr="00EA4F98">
        <w:t>R</w:t>
      </w:r>
      <w:r>
        <w:t>CW 81.68.040 provides</w:t>
      </w:r>
      <w:r w:rsidRPr="00EA4F98">
        <w:t>:  “The commission shall have power, after hearing, when the applicant requests a certificate to operate in a territory already served by a certificate holder under this chapter, only when the existing auto transportation company or companies serving such territory will not provide the same to the satisfaction of the commission.”</w:t>
      </w:r>
    </w:p>
  </w:footnote>
  <w:footnote w:id="12">
    <w:p w:rsidR="0058594C" w:rsidRPr="00D867DA" w:rsidRDefault="0058594C">
      <w:pPr>
        <w:pStyle w:val="FootnoteText"/>
      </w:pPr>
      <w:r w:rsidRPr="00EA4F98">
        <w:rPr>
          <w:rStyle w:val="FootnoteReference"/>
        </w:rPr>
        <w:footnoteRef/>
      </w:r>
      <w:r w:rsidRPr="00EA4F98">
        <w:t xml:space="preserve"> </w:t>
      </w:r>
      <w:proofErr w:type="gramStart"/>
      <w:r w:rsidRPr="00EA4F98">
        <w:rPr>
          <w:i/>
        </w:rPr>
        <w:t>Id.</w:t>
      </w:r>
      <w:r>
        <w:t xml:space="preserve">, </w:t>
      </w:r>
      <w:r w:rsidRPr="00EA4F98">
        <w:rPr>
          <w:i/>
        </w:rPr>
        <w:t xml:space="preserve">¶ </w:t>
      </w:r>
      <w:r w:rsidRPr="00D867DA">
        <w:t>22.</w:t>
      </w:r>
      <w:proofErr w:type="gramEnd"/>
      <w:r w:rsidRPr="00D867DA">
        <w:t xml:space="preserve"> </w:t>
      </w:r>
    </w:p>
  </w:footnote>
  <w:footnote w:id="13">
    <w:p w:rsidR="0058594C" w:rsidRPr="0074470E" w:rsidRDefault="0058594C" w:rsidP="0058594C">
      <w:pPr>
        <w:widowControl/>
        <w:ind w:right="18"/>
        <w:rPr>
          <w:i/>
          <w:iCs/>
          <w:szCs w:val="20"/>
        </w:rPr>
      </w:pPr>
      <w:r w:rsidRPr="0074470E">
        <w:rPr>
          <w:rStyle w:val="FootnoteReference"/>
        </w:rPr>
        <w:footnoteRef/>
      </w:r>
      <w:r w:rsidRPr="0074470E">
        <w:t xml:space="preserve"> </w:t>
      </w:r>
      <w:r>
        <w:rPr>
          <w:i/>
        </w:rPr>
        <w:t xml:space="preserve">Id. </w:t>
      </w:r>
      <w:r w:rsidRPr="0074470E">
        <w:t xml:space="preserve"> </w:t>
      </w:r>
      <w:r w:rsidRPr="0074470E">
        <w:rPr>
          <w:iCs/>
          <w:szCs w:val="20"/>
        </w:rPr>
        <w:t>¶ 22, citing to</w:t>
      </w:r>
      <w:r w:rsidRPr="0074470E">
        <w:rPr>
          <w:i/>
          <w:iCs/>
          <w:szCs w:val="20"/>
        </w:rPr>
        <w:t xml:space="preserve"> In re Application B-78450 of Pacific Cruises</w:t>
      </w:r>
      <w:r>
        <w:rPr>
          <w:i/>
          <w:iCs/>
          <w:szCs w:val="20"/>
        </w:rPr>
        <w:t xml:space="preserve"> </w:t>
      </w:r>
      <w:r w:rsidRPr="0074470E">
        <w:rPr>
          <w:i/>
          <w:iCs/>
          <w:szCs w:val="20"/>
        </w:rPr>
        <w:t>Northwest, Inc</w:t>
      </w:r>
      <w:r w:rsidRPr="0058594C">
        <w:rPr>
          <w:iCs/>
          <w:szCs w:val="20"/>
        </w:rPr>
        <w:t xml:space="preserve">., Order S.B.C. No. 524, Hearing No. B-78450, </w:t>
      </w:r>
      <w:r w:rsidRPr="00D867DA">
        <w:rPr>
          <w:iCs/>
          <w:szCs w:val="20"/>
        </w:rPr>
        <w:t xml:space="preserve">at p. 8 (May 23, 1996) (citing a number of bus and </w:t>
      </w:r>
      <w:proofErr w:type="spellStart"/>
      <w:r w:rsidRPr="00D867DA">
        <w:rPr>
          <w:iCs/>
          <w:szCs w:val="20"/>
        </w:rPr>
        <w:t>airporter</w:t>
      </w:r>
      <w:proofErr w:type="spellEnd"/>
      <w:r w:rsidRPr="00D867DA">
        <w:rPr>
          <w:iCs/>
          <w:szCs w:val="20"/>
        </w:rPr>
        <w:t xml:space="preserve"> cases).</w:t>
      </w:r>
    </w:p>
  </w:footnote>
  <w:footnote w:id="14">
    <w:p w:rsidR="0058594C" w:rsidRPr="0058594C" w:rsidRDefault="0058594C" w:rsidP="0058594C">
      <w:pPr>
        <w:widowControl/>
        <w:ind w:right="18"/>
        <w:rPr>
          <w:iCs/>
          <w:sz w:val="24"/>
        </w:rPr>
      </w:pPr>
      <w:r w:rsidRPr="00EA4F98">
        <w:rPr>
          <w:rStyle w:val="FootnoteReference"/>
        </w:rPr>
        <w:footnoteRef/>
      </w:r>
      <w:r>
        <w:rPr>
          <w:i/>
          <w:iCs/>
          <w:szCs w:val="20"/>
        </w:rPr>
        <w:t>Id</w:t>
      </w:r>
      <w:r w:rsidRPr="00592575">
        <w:rPr>
          <w:i/>
          <w:iCs/>
          <w:szCs w:val="20"/>
        </w:rPr>
        <w:t>.</w:t>
      </w:r>
      <w:r w:rsidRPr="0058594C">
        <w:rPr>
          <w:iCs/>
          <w:szCs w:val="20"/>
        </w:rPr>
        <w:t xml:space="preserve">, </w:t>
      </w:r>
      <w:r w:rsidRPr="00EA4F98">
        <w:rPr>
          <w:iCs/>
          <w:szCs w:val="20"/>
        </w:rPr>
        <w:t>¶</w:t>
      </w:r>
      <w:r>
        <w:rPr>
          <w:iCs/>
          <w:szCs w:val="20"/>
        </w:rPr>
        <w:t xml:space="preserve"> 23</w:t>
      </w:r>
      <w:proofErr w:type="gramStart"/>
      <w:r w:rsidRPr="00EA4F98">
        <w:rPr>
          <w:iCs/>
          <w:szCs w:val="20"/>
        </w:rPr>
        <w:t>, citing</w:t>
      </w:r>
      <w:proofErr w:type="gramEnd"/>
      <w:r w:rsidRPr="00EA4F98">
        <w:rPr>
          <w:iCs/>
          <w:szCs w:val="20"/>
        </w:rPr>
        <w:t xml:space="preserve"> to </w:t>
      </w:r>
      <w:r w:rsidRPr="00EA4F98">
        <w:rPr>
          <w:i/>
          <w:iCs/>
          <w:szCs w:val="20"/>
        </w:rPr>
        <w:t>In the Matter of the Application of San Juan Airlines, Inc., d/b/a Shuttle Express</w:t>
      </w:r>
      <w:r w:rsidRPr="0058594C">
        <w:rPr>
          <w:iCs/>
          <w:szCs w:val="20"/>
        </w:rPr>
        <w:t xml:space="preserve">, Order M.V.C. No. 1809, Hearing No. D-2566, Commission Decision and Order Granting Application as Amended in Part, </w:t>
      </w:r>
      <w:r w:rsidRPr="0074470E">
        <w:rPr>
          <w:iCs/>
          <w:szCs w:val="20"/>
        </w:rPr>
        <w:t>p</w:t>
      </w:r>
      <w:r w:rsidRPr="00EA4F98">
        <w:rPr>
          <w:iCs/>
          <w:szCs w:val="20"/>
        </w:rPr>
        <w:t>age 17 (April 21, 1989).</w:t>
      </w:r>
      <w:r w:rsidRPr="00EA4F98">
        <w:rPr>
          <w:i/>
          <w:iCs/>
          <w:szCs w:val="20"/>
        </w:rPr>
        <w:t xml:space="preserve"> </w:t>
      </w:r>
    </w:p>
  </w:footnote>
  <w:footnote w:id="15">
    <w:p w:rsidR="0058594C" w:rsidRPr="001055D0" w:rsidRDefault="0058594C">
      <w:pPr>
        <w:pStyle w:val="FootnoteText"/>
      </w:pPr>
      <w:r>
        <w:rPr>
          <w:rStyle w:val="FootnoteReference"/>
        </w:rPr>
        <w:footnoteRef/>
      </w:r>
      <w:r>
        <w:t xml:space="preserve"> </w:t>
      </w:r>
      <w:r>
        <w:rPr>
          <w:i/>
        </w:rPr>
        <w:t>In re Dutchman Marine, LLC and Seattle Harbor Tours</w:t>
      </w:r>
      <w:r>
        <w:t xml:space="preserve">, Dockets TS-01774 and TS-002055, First Supplemental Order, ¶ 63 (Sept. 2001) citing </w:t>
      </w:r>
      <w:r>
        <w:rPr>
          <w:i/>
        </w:rPr>
        <w:t>In re Jack Rood and Jack L. Harmon Jr., d/b/a Arrow Launch Service</w:t>
      </w:r>
      <w:r w:rsidRPr="006A377A">
        <w:t xml:space="preserve">, </w:t>
      </w:r>
      <w:r>
        <w:t xml:space="preserve">Order S.B.C. No. 467; Order S.B.C. No. 468, </w:t>
      </w:r>
      <w:r>
        <w:rPr>
          <w:i/>
        </w:rPr>
        <w:t xml:space="preserve">In re </w:t>
      </w:r>
      <w:proofErr w:type="spellStart"/>
      <w:r>
        <w:rPr>
          <w:i/>
        </w:rPr>
        <w:t>Belairco</w:t>
      </w:r>
      <w:proofErr w:type="spellEnd"/>
      <w:r>
        <w:rPr>
          <w:i/>
        </w:rPr>
        <w:t xml:space="preserve">, Inc. </w:t>
      </w:r>
      <w:r>
        <w:t xml:space="preserve">(May 1990). </w:t>
      </w:r>
    </w:p>
  </w:footnote>
  <w:footnote w:id="16">
    <w:p w:rsidR="0058594C" w:rsidRDefault="0058594C">
      <w:pPr>
        <w:pStyle w:val="FootnoteText"/>
      </w:pPr>
      <w:r>
        <w:rPr>
          <w:rStyle w:val="FootnoteReference"/>
        </w:rPr>
        <w:footnoteRef/>
      </w:r>
      <w:r>
        <w:t xml:space="preserve"> See Order 03, </w:t>
      </w:r>
      <w:r w:rsidRPr="00EA4F98">
        <w:rPr>
          <w:iCs/>
        </w:rPr>
        <w:t>¶¶</w:t>
      </w:r>
      <w:r w:rsidR="00DF59E4">
        <w:rPr>
          <w:iCs/>
        </w:rPr>
        <w:t xml:space="preserve"> </w:t>
      </w:r>
      <w:r>
        <w:rPr>
          <w:iCs/>
        </w:rPr>
        <w:t xml:space="preserve">18-22. </w:t>
      </w:r>
    </w:p>
  </w:footnote>
  <w:footnote w:id="17">
    <w:p w:rsidR="0058594C" w:rsidRDefault="0058594C">
      <w:pPr>
        <w:pStyle w:val="FootnoteText"/>
      </w:pPr>
      <w:r>
        <w:rPr>
          <w:rStyle w:val="FootnoteReference"/>
        </w:rPr>
        <w:footnoteRef/>
      </w:r>
      <w:r>
        <w:t xml:space="preserve"> See Island Mariner Cruises’ Petition for Administrative Review, page 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E0A"/>
    <w:multiLevelType w:val="hybridMultilevel"/>
    <w:tmpl w:val="38B4B488"/>
    <w:lvl w:ilvl="0" w:tplc="66FC3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FF10B0"/>
    <w:multiLevelType w:val="hybridMultilevel"/>
    <w:tmpl w:val="E4B6E010"/>
    <w:lvl w:ilvl="0" w:tplc="0084066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7F7209"/>
    <w:multiLevelType w:val="hybridMultilevel"/>
    <w:tmpl w:val="3C54B7FE"/>
    <w:lvl w:ilvl="0" w:tplc="56F2D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444567"/>
    <w:multiLevelType w:val="hybridMultilevel"/>
    <w:tmpl w:val="6E922E8A"/>
    <w:lvl w:ilvl="0" w:tplc="DE34201C">
      <w:start w:val="1"/>
      <w:numFmt w:val="decimal"/>
      <w:lvlText w:val="%1"/>
      <w:lvlJc w:val="left"/>
      <w:pPr>
        <w:tabs>
          <w:tab w:val="num" w:pos="1440"/>
        </w:tabs>
        <w:ind w:left="720" w:hanging="720"/>
      </w:pPr>
      <w:rPr>
        <w:rFonts w:ascii="Times New Roman" w:hAnsi="Times New Roman" w:hint="default"/>
        <w:b w:val="0"/>
        <w:i/>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4366BF0"/>
    <w:multiLevelType w:val="hybridMultilevel"/>
    <w:tmpl w:val="C4B842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4A21B2"/>
    <w:multiLevelType w:val="hybridMultilevel"/>
    <w:tmpl w:val="C472CA4C"/>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388C23B0"/>
    <w:multiLevelType w:val="hybridMultilevel"/>
    <w:tmpl w:val="C152FCE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7BE7AE5"/>
    <w:multiLevelType w:val="hybridMultilevel"/>
    <w:tmpl w:val="8CA03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num>
  <w:num w:numId="5">
    <w:abstractNumId w:val="8"/>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48D8"/>
    <w:rsid w:val="00000C67"/>
    <w:rsid w:val="0000114E"/>
    <w:rsid w:val="000057F5"/>
    <w:rsid w:val="00020FE6"/>
    <w:rsid w:val="00025DB8"/>
    <w:rsid w:val="00032D18"/>
    <w:rsid w:val="000348A5"/>
    <w:rsid w:val="000355CF"/>
    <w:rsid w:val="00040B7F"/>
    <w:rsid w:val="00043DC7"/>
    <w:rsid w:val="00046943"/>
    <w:rsid w:val="00046F62"/>
    <w:rsid w:val="00047114"/>
    <w:rsid w:val="00062100"/>
    <w:rsid w:val="000625B3"/>
    <w:rsid w:val="00066041"/>
    <w:rsid w:val="00070A77"/>
    <w:rsid w:val="00076A99"/>
    <w:rsid w:val="000857E7"/>
    <w:rsid w:val="0009375C"/>
    <w:rsid w:val="000A1131"/>
    <w:rsid w:val="000B70BB"/>
    <w:rsid w:val="000C5FE4"/>
    <w:rsid w:val="000E0FFF"/>
    <w:rsid w:val="000E6144"/>
    <w:rsid w:val="000F22D0"/>
    <w:rsid w:val="001055D0"/>
    <w:rsid w:val="00110F0A"/>
    <w:rsid w:val="001110CC"/>
    <w:rsid w:val="00111B69"/>
    <w:rsid w:val="00114CA0"/>
    <w:rsid w:val="00115404"/>
    <w:rsid w:val="0012325D"/>
    <w:rsid w:val="0012521E"/>
    <w:rsid w:val="0012535A"/>
    <w:rsid w:val="00130ABB"/>
    <w:rsid w:val="00136A56"/>
    <w:rsid w:val="0014457A"/>
    <w:rsid w:val="001646C3"/>
    <w:rsid w:val="00166F40"/>
    <w:rsid w:val="00171BCE"/>
    <w:rsid w:val="00181D7A"/>
    <w:rsid w:val="001976C9"/>
    <w:rsid w:val="001A15D8"/>
    <w:rsid w:val="001A1CAF"/>
    <w:rsid w:val="001A3E51"/>
    <w:rsid w:val="001C07CF"/>
    <w:rsid w:val="001C3256"/>
    <w:rsid w:val="001C7369"/>
    <w:rsid w:val="001C790F"/>
    <w:rsid w:val="001D229C"/>
    <w:rsid w:val="001E201B"/>
    <w:rsid w:val="0020784B"/>
    <w:rsid w:val="00223DC9"/>
    <w:rsid w:val="00224D3A"/>
    <w:rsid w:val="00227489"/>
    <w:rsid w:val="00233BB2"/>
    <w:rsid w:val="00241997"/>
    <w:rsid w:val="0025240A"/>
    <w:rsid w:val="00255923"/>
    <w:rsid w:val="00263A65"/>
    <w:rsid w:val="00276D13"/>
    <w:rsid w:val="00284FAD"/>
    <w:rsid w:val="002923EF"/>
    <w:rsid w:val="00293EA5"/>
    <w:rsid w:val="002C6BAA"/>
    <w:rsid w:val="002C7938"/>
    <w:rsid w:val="002D3C29"/>
    <w:rsid w:val="002D40AD"/>
    <w:rsid w:val="002D7330"/>
    <w:rsid w:val="002E4CDD"/>
    <w:rsid w:val="002E7E37"/>
    <w:rsid w:val="00301085"/>
    <w:rsid w:val="00314070"/>
    <w:rsid w:val="00316676"/>
    <w:rsid w:val="003439E7"/>
    <w:rsid w:val="003550CC"/>
    <w:rsid w:val="00361BF8"/>
    <w:rsid w:val="00364D6F"/>
    <w:rsid w:val="00385FA9"/>
    <w:rsid w:val="00391790"/>
    <w:rsid w:val="00391810"/>
    <w:rsid w:val="003A38D9"/>
    <w:rsid w:val="003A4509"/>
    <w:rsid w:val="003C473A"/>
    <w:rsid w:val="003C5390"/>
    <w:rsid w:val="003C7704"/>
    <w:rsid w:val="003D086A"/>
    <w:rsid w:val="003D25B9"/>
    <w:rsid w:val="003E3B7E"/>
    <w:rsid w:val="003E7C10"/>
    <w:rsid w:val="003F1945"/>
    <w:rsid w:val="003F5D4F"/>
    <w:rsid w:val="003F739D"/>
    <w:rsid w:val="00400B6C"/>
    <w:rsid w:val="00411010"/>
    <w:rsid w:val="00412043"/>
    <w:rsid w:val="00420ACA"/>
    <w:rsid w:val="00420F5F"/>
    <w:rsid w:val="0042589C"/>
    <w:rsid w:val="00434005"/>
    <w:rsid w:val="00436B19"/>
    <w:rsid w:val="00447261"/>
    <w:rsid w:val="00463DC5"/>
    <w:rsid w:val="00466EBF"/>
    <w:rsid w:val="00470A89"/>
    <w:rsid w:val="00483FEE"/>
    <w:rsid w:val="00484A91"/>
    <w:rsid w:val="00486EF9"/>
    <w:rsid w:val="00491EB0"/>
    <w:rsid w:val="00496C1E"/>
    <w:rsid w:val="004A4F64"/>
    <w:rsid w:val="004A6E42"/>
    <w:rsid w:val="004C3D65"/>
    <w:rsid w:val="004D446C"/>
    <w:rsid w:val="004E1487"/>
    <w:rsid w:val="004E39D2"/>
    <w:rsid w:val="004F62D9"/>
    <w:rsid w:val="004F69A5"/>
    <w:rsid w:val="00501FFC"/>
    <w:rsid w:val="005035C5"/>
    <w:rsid w:val="00511579"/>
    <w:rsid w:val="00512D10"/>
    <w:rsid w:val="00523D55"/>
    <w:rsid w:val="00537593"/>
    <w:rsid w:val="00552C73"/>
    <w:rsid w:val="0056305E"/>
    <w:rsid w:val="00571F57"/>
    <w:rsid w:val="00577461"/>
    <w:rsid w:val="0058594C"/>
    <w:rsid w:val="0059015D"/>
    <w:rsid w:val="00591885"/>
    <w:rsid w:val="00592575"/>
    <w:rsid w:val="00595D41"/>
    <w:rsid w:val="005B169A"/>
    <w:rsid w:val="005B749B"/>
    <w:rsid w:val="005C4278"/>
    <w:rsid w:val="005D547A"/>
    <w:rsid w:val="005E07C2"/>
    <w:rsid w:val="005E1036"/>
    <w:rsid w:val="005E1968"/>
    <w:rsid w:val="005E62DF"/>
    <w:rsid w:val="005F1A65"/>
    <w:rsid w:val="006022DA"/>
    <w:rsid w:val="0060422B"/>
    <w:rsid w:val="006067EB"/>
    <w:rsid w:val="00621050"/>
    <w:rsid w:val="00626EB0"/>
    <w:rsid w:val="00635316"/>
    <w:rsid w:val="006375D1"/>
    <w:rsid w:val="00641D60"/>
    <w:rsid w:val="00641F98"/>
    <w:rsid w:val="00645F09"/>
    <w:rsid w:val="00647B36"/>
    <w:rsid w:val="0065561B"/>
    <w:rsid w:val="00672910"/>
    <w:rsid w:val="00684B12"/>
    <w:rsid w:val="0069066F"/>
    <w:rsid w:val="00693402"/>
    <w:rsid w:val="006A377A"/>
    <w:rsid w:val="006A42B7"/>
    <w:rsid w:val="006A62F5"/>
    <w:rsid w:val="006C0B04"/>
    <w:rsid w:val="006F0CBA"/>
    <w:rsid w:val="006F102C"/>
    <w:rsid w:val="006F386F"/>
    <w:rsid w:val="00710A00"/>
    <w:rsid w:val="00712732"/>
    <w:rsid w:val="00716E17"/>
    <w:rsid w:val="00721BAA"/>
    <w:rsid w:val="00725C8F"/>
    <w:rsid w:val="00732562"/>
    <w:rsid w:val="00733886"/>
    <w:rsid w:val="0073637C"/>
    <w:rsid w:val="00737B08"/>
    <w:rsid w:val="00744191"/>
    <w:rsid w:val="0074470E"/>
    <w:rsid w:val="00744A29"/>
    <w:rsid w:val="007464F1"/>
    <w:rsid w:val="00750FCB"/>
    <w:rsid w:val="00756F1E"/>
    <w:rsid w:val="00761021"/>
    <w:rsid w:val="00765C84"/>
    <w:rsid w:val="00766366"/>
    <w:rsid w:val="0076699B"/>
    <w:rsid w:val="00772CBF"/>
    <w:rsid w:val="00773D64"/>
    <w:rsid w:val="00784FC3"/>
    <w:rsid w:val="00785496"/>
    <w:rsid w:val="00785E7D"/>
    <w:rsid w:val="007930DE"/>
    <w:rsid w:val="007A6DBE"/>
    <w:rsid w:val="007B3DD9"/>
    <w:rsid w:val="007B54E1"/>
    <w:rsid w:val="007C1BA6"/>
    <w:rsid w:val="007C2915"/>
    <w:rsid w:val="007C4396"/>
    <w:rsid w:val="007C6611"/>
    <w:rsid w:val="007D389F"/>
    <w:rsid w:val="007D4705"/>
    <w:rsid w:val="008023B7"/>
    <w:rsid w:val="008054BC"/>
    <w:rsid w:val="008220FB"/>
    <w:rsid w:val="00833E38"/>
    <w:rsid w:val="00837D62"/>
    <w:rsid w:val="008400C8"/>
    <w:rsid w:val="00845884"/>
    <w:rsid w:val="00853958"/>
    <w:rsid w:val="0086444D"/>
    <w:rsid w:val="0086777A"/>
    <w:rsid w:val="00870774"/>
    <w:rsid w:val="00882B87"/>
    <w:rsid w:val="0089062F"/>
    <w:rsid w:val="008971CE"/>
    <w:rsid w:val="008A28A8"/>
    <w:rsid w:val="008A6850"/>
    <w:rsid w:val="008B2AA2"/>
    <w:rsid w:val="008C4225"/>
    <w:rsid w:val="008C4FD9"/>
    <w:rsid w:val="008D5385"/>
    <w:rsid w:val="008E6628"/>
    <w:rsid w:val="008F25AA"/>
    <w:rsid w:val="008F5507"/>
    <w:rsid w:val="0091010C"/>
    <w:rsid w:val="00915FBA"/>
    <w:rsid w:val="009237DE"/>
    <w:rsid w:val="00935044"/>
    <w:rsid w:val="009353C3"/>
    <w:rsid w:val="0093543B"/>
    <w:rsid w:val="0093602F"/>
    <w:rsid w:val="00947145"/>
    <w:rsid w:val="0097740F"/>
    <w:rsid w:val="009B0697"/>
    <w:rsid w:val="009C2DB0"/>
    <w:rsid w:val="009D2756"/>
    <w:rsid w:val="009D6057"/>
    <w:rsid w:val="009D7427"/>
    <w:rsid w:val="009E43BA"/>
    <w:rsid w:val="009F5CB0"/>
    <w:rsid w:val="00A15565"/>
    <w:rsid w:val="00A16D20"/>
    <w:rsid w:val="00A42C3C"/>
    <w:rsid w:val="00A44547"/>
    <w:rsid w:val="00A47387"/>
    <w:rsid w:val="00A52012"/>
    <w:rsid w:val="00A55643"/>
    <w:rsid w:val="00A55A4B"/>
    <w:rsid w:val="00A57F63"/>
    <w:rsid w:val="00A72F4E"/>
    <w:rsid w:val="00A74055"/>
    <w:rsid w:val="00A80028"/>
    <w:rsid w:val="00A918DE"/>
    <w:rsid w:val="00AA248F"/>
    <w:rsid w:val="00AA5B27"/>
    <w:rsid w:val="00AB0597"/>
    <w:rsid w:val="00AC7011"/>
    <w:rsid w:val="00AD21BA"/>
    <w:rsid w:val="00AD4294"/>
    <w:rsid w:val="00AE4D7E"/>
    <w:rsid w:val="00AE4DE2"/>
    <w:rsid w:val="00AF53CE"/>
    <w:rsid w:val="00B02B7D"/>
    <w:rsid w:val="00B24364"/>
    <w:rsid w:val="00B42B83"/>
    <w:rsid w:val="00B51223"/>
    <w:rsid w:val="00B5290A"/>
    <w:rsid w:val="00B542C7"/>
    <w:rsid w:val="00B57EC8"/>
    <w:rsid w:val="00B73973"/>
    <w:rsid w:val="00B81FDE"/>
    <w:rsid w:val="00B831E2"/>
    <w:rsid w:val="00B86876"/>
    <w:rsid w:val="00B86B4B"/>
    <w:rsid w:val="00B901CE"/>
    <w:rsid w:val="00BA2294"/>
    <w:rsid w:val="00BB5FB7"/>
    <w:rsid w:val="00BF2E64"/>
    <w:rsid w:val="00BF3CD1"/>
    <w:rsid w:val="00BF3DEA"/>
    <w:rsid w:val="00C01F9C"/>
    <w:rsid w:val="00C04319"/>
    <w:rsid w:val="00C1406A"/>
    <w:rsid w:val="00C141CE"/>
    <w:rsid w:val="00C142A1"/>
    <w:rsid w:val="00C21AE6"/>
    <w:rsid w:val="00C360A4"/>
    <w:rsid w:val="00C37415"/>
    <w:rsid w:val="00C421FE"/>
    <w:rsid w:val="00C5478B"/>
    <w:rsid w:val="00C66129"/>
    <w:rsid w:val="00C77B75"/>
    <w:rsid w:val="00C8023E"/>
    <w:rsid w:val="00C831C4"/>
    <w:rsid w:val="00C8402C"/>
    <w:rsid w:val="00C86B13"/>
    <w:rsid w:val="00C9595F"/>
    <w:rsid w:val="00CB1E5A"/>
    <w:rsid w:val="00CD1BB5"/>
    <w:rsid w:val="00CD4198"/>
    <w:rsid w:val="00CD4F59"/>
    <w:rsid w:val="00CE5CBF"/>
    <w:rsid w:val="00CF207F"/>
    <w:rsid w:val="00CF3DB0"/>
    <w:rsid w:val="00CF689A"/>
    <w:rsid w:val="00D22816"/>
    <w:rsid w:val="00D352FF"/>
    <w:rsid w:val="00D35F42"/>
    <w:rsid w:val="00D45C1C"/>
    <w:rsid w:val="00D46497"/>
    <w:rsid w:val="00D6714D"/>
    <w:rsid w:val="00D71AC5"/>
    <w:rsid w:val="00D722D0"/>
    <w:rsid w:val="00D81478"/>
    <w:rsid w:val="00D83928"/>
    <w:rsid w:val="00D85B9A"/>
    <w:rsid w:val="00D867DA"/>
    <w:rsid w:val="00DA0C49"/>
    <w:rsid w:val="00DA492F"/>
    <w:rsid w:val="00DA58AB"/>
    <w:rsid w:val="00DC31DD"/>
    <w:rsid w:val="00DC51D0"/>
    <w:rsid w:val="00DD5E2E"/>
    <w:rsid w:val="00DD6608"/>
    <w:rsid w:val="00DE0431"/>
    <w:rsid w:val="00DE11BB"/>
    <w:rsid w:val="00DE51BD"/>
    <w:rsid w:val="00DF1CB7"/>
    <w:rsid w:val="00DF329B"/>
    <w:rsid w:val="00DF59E4"/>
    <w:rsid w:val="00DF6A62"/>
    <w:rsid w:val="00E0015C"/>
    <w:rsid w:val="00E04D05"/>
    <w:rsid w:val="00E26D01"/>
    <w:rsid w:val="00E41842"/>
    <w:rsid w:val="00E43C30"/>
    <w:rsid w:val="00E51495"/>
    <w:rsid w:val="00E86D9F"/>
    <w:rsid w:val="00E929DB"/>
    <w:rsid w:val="00E94032"/>
    <w:rsid w:val="00EA4F98"/>
    <w:rsid w:val="00EA6B34"/>
    <w:rsid w:val="00EB334F"/>
    <w:rsid w:val="00EB43C2"/>
    <w:rsid w:val="00EB795B"/>
    <w:rsid w:val="00ED3C0B"/>
    <w:rsid w:val="00ED4DFB"/>
    <w:rsid w:val="00EE74AA"/>
    <w:rsid w:val="00EF097C"/>
    <w:rsid w:val="00F00B4A"/>
    <w:rsid w:val="00F0668A"/>
    <w:rsid w:val="00F10C97"/>
    <w:rsid w:val="00F1380A"/>
    <w:rsid w:val="00F242AD"/>
    <w:rsid w:val="00F26282"/>
    <w:rsid w:val="00F30DE9"/>
    <w:rsid w:val="00F40205"/>
    <w:rsid w:val="00F415E1"/>
    <w:rsid w:val="00F46C83"/>
    <w:rsid w:val="00F6099B"/>
    <w:rsid w:val="00F748D8"/>
    <w:rsid w:val="00F77C60"/>
    <w:rsid w:val="00F92ECD"/>
    <w:rsid w:val="00F9481F"/>
    <w:rsid w:val="00FB0203"/>
    <w:rsid w:val="00FB40B7"/>
    <w:rsid w:val="00FC583B"/>
    <w:rsid w:val="00FE097F"/>
    <w:rsid w:val="00FE2629"/>
    <w:rsid w:val="00FE4EF8"/>
    <w:rsid w:val="00FE6377"/>
    <w:rsid w:val="00FF5687"/>
    <w:rsid w:val="00F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21BAA"/>
    <w:rPr>
      <w:rFonts w:ascii="Tahoma" w:hAnsi="Tahoma" w:cs="Tahoma"/>
      <w:sz w:val="16"/>
      <w:szCs w:val="16"/>
    </w:rPr>
  </w:style>
  <w:style w:type="character" w:customStyle="1" w:styleId="BalloonTextChar">
    <w:name w:val="Balloon Text Char"/>
    <w:basedOn w:val="DefaultParagraphFont"/>
    <w:link w:val="BalloonText"/>
    <w:rsid w:val="00721BAA"/>
    <w:rPr>
      <w:rFonts w:ascii="Tahoma" w:hAnsi="Tahoma" w:cs="Tahoma"/>
      <w:sz w:val="16"/>
      <w:szCs w:val="16"/>
    </w:rPr>
  </w:style>
  <w:style w:type="paragraph" w:styleId="ListParagraph">
    <w:name w:val="List Paragraph"/>
    <w:basedOn w:val="Normal"/>
    <w:uiPriority w:val="34"/>
    <w:qFormat/>
    <w:rsid w:val="00420ACA"/>
    <w:pPr>
      <w:ind w:left="720"/>
      <w:contextualSpacing/>
    </w:pPr>
  </w:style>
  <w:style w:type="character" w:customStyle="1" w:styleId="FootnoteTextChar">
    <w:name w:val="Footnote Text Char"/>
    <w:basedOn w:val="DefaultParagraphFont"/>
    <w:link w:val="FootnoteText"/>
    <w:semiHidden/>
    <w:rsid w:val="00420ACA"/>
  </w:style>
  <w:style w:type="character" w:styleId="CommentReference">
    <w:name w:val="annotation reference"/>
    <w:basedOn w:val="DefaultParagraphFont"/>
    <w:rsid w:val="00436B19"/>
    <w:rPr>
      <w:sz w:val="16"/>
      <w:szCs w:val="16"/>
    </w:rPr>
  </w:style>
  <w:style w:type="paragraph" w:styleId="CommentText">
    <w:name w:val="annotation text"/>
    <w:basedOn w:val="Normal"/>
    <w:link w:val="CommentTextChar"/>
    <w:rsid w:val="00436B19"/>
    <w:rPr>
      <w:szCs w:val="20"/>
    </w:rPr>
  </w:style>
  <w:style w:type="character" w:customStyle="1" w:styleId="CommentTextChar">
    <w:name w:val="Comment Text Char"/>
    <w:basedOn w:val="DefaultParagraphFont"/>
    <w:link w:val="CommentText"/>
    <w:rsid w:val="00436B19"/>
  </w:style>
  <w:style w:type="paragraph" w:styleId="CommentSubject">
    <w:name w:val="annotation subject"/>
    <w:basedOn w:val="CommentText"/>
    <w:next w:val="CommentText"/>
    <w:link w:val="CommentSubjectChar"/>
    <w:rsid w:val="00436B19"/>
    <w:rPr>
      <w:b/>
      <w:bCs/>
    </w:rPr>
  </w:style>
  <w:style w:type="character" w:customStyle="1" w:styleId="CommentSubjectChar">
    <w:name w:val="Comment Subject Char"/>
    <w:basedOn w:val="CommentTextChar"/>
    <w:link w:val="CommentSubject"/>
    <w:rsid w:val="00436B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21BAA"/>
    <w:rPr>
      <w:rFonts w:ascii="Tahoma" w:hAnsi="Tahoma" w:cs="Tahoma"/>
      <w:sz w:val="16"/>
      <w:szCs w:val="16"/>
    </w:rPr>
  </w:style>
  <w:style w:type="character" w:customStyle="1" w:styleId="BalloonTextChar">
    <w:name w:val="Balloon Text Char"/>
    <w:basedOn w:val="DefaultParagraphFont"/>
    <w:link w:val="BalloonText"/>
    <w:rsid w:val="00721BAA"/>
    <w:rPr>
      <w:rFonts w:ascii="Tahoma" w:hAnsi="Tahoma" w:cs="Tahoma"/>
      <w:sz w:val="16"/>
      <w:szCs w:val="16"/>
    </w:rPr>
  </w:style>
  <w:style w:type="paragraph" w:styleId="ListParagraph">
    <w:name w:val="List Paragraph"/>
    <w:basedOn w:val="Normal"/>
    <w:uiPriority w:val="34"/>
    <w:qFormat/>
    <w:rsid w:val="00420ACA"/>
    <w:pPr>
      <w:ind w:left="720"/>
      <w:contextualSpacing/>
    </w:pPr>
  </w:style>
  <w:style w:type="character" w:customStyle="1" w:styleId="FootnoteTextChar">
    <w:name w:val="Footnote Text Char"/>
    <w:basedOn w:val="DefaultParagraphFont"/>
    <w:link w:val="FootnoteText"/>
    <w:semiHidden/>
    <w:rsid w:val="00420ACA"/>
  </w:style>
  <w:style w:type="character" w:styleId="CommentReference">
    <w:name w:val="annotation reference"/>
    <w:basedOn w:val="DefaultParagraphFont"/>
    <w:rsid w:val="00436B19"/>
    <w:rPr>
      <w:sz w:val="16"/>
      <w:szCs w:val="16"/>
    </w:rPr>
  </w:style>
  <w:style w:type="paragraph" w:styleId="CommentText">
    <w:name w:val="annotation text"/>
    <w:basedOn w:val="Normal"/>
    <w:link w:val="CommentTextChar"/>
    <w:rsid w:val="00436B19"/>
    <w:rPr>
      <w:szCs w:val="20"/>
    </w:rPr>
  </w:style>
  <w:style w:type="character" w:customStyle="1" w:styleId="CommentTextChar">
    <w:name w:val="Comment Text Char"/>
    <w:basedOn w:val="DefaultParagraphFont"/>
    <w:link w:val="CommentText"/>
    <w:rsid w:val="00436B19"/>
  </w:style>
  <w:style w:type="paragraph" w:styleId="CommentSubject">
    <w:name w:val="annotation subject"/>
    <w:basedOn w:val="CommentText"/>
    <w:next w:val="CommentText"/>
    <w:link w:val="CommentSubjectChar"/>
    <w:rsid w:val="00436B19"/>
    <w:rPr>
      <w:b/>
      <w:bCs/>
    </w:rPr>
  </w:style>
  <w:style w:type="character" w:customStyle="1" w:styleId="CommentSubjectChar">
    <w:name w:val="Comment Subject Char"/>
    <w:basedOn w:val="CommentTextChar"/>
    <w:link w:val="CommentSubject"/>
    <w:rsid w:val="00436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2012-08-24T07:00:00+00:00</OpenedDate>
    <Date1 xmlns="dc463f71-b30c-4ab2-9473-d307f9d35888">2013-05-01T07:00:00+00:00</Date1>
    <IsDocumentOrder xmlns="dc463f71-b30c-4ab2-9473-d307f9d35888" xsi:nil="true"/>
    <IsHighlyConfidential xmlns="dc463f71-b30c-4ab2-9473-d307f9d35888">false</IsHighlyConfidential>
    <CaseCompanyNames xmlns="dc463f71-b30c-4ab2-9473-d307f9d35888">Pacific Cruises Northwest, Inc</CaseCompanyNames>
    <DocketNumber xmlns="dc463f71-b30c-4ab2-9473-d307f9d35888">121395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8CADD6B7414E4DABB553898CB56886" ma:contentTypeVersion="139" ma:contentTypeDescription="" ma:contentTypeScope="" ma:versionID="aa13fc42fa3b3ebc72dfc06eee1e15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68938-A8B9-48B3-8514-CB02E3ACF40B}"/>
</file>

<file path=customXml/itemProps2.xml><?xml version="1.0" encoding="utf-8"?>
<ds:datastoreItem xmlns:ds="http://schemas.openxmlformats.org/officeDocument/2006/customXml" ds:itemID="{4C7F00BD-918C-4F09-9696-EE14A8CC75BD}"/>
</file>

<file path=customXml/itemProps3.xml><?xml version="1.0" encoding="utf-8"?>
<ds:datastoreItem xmlns:ds="http://schemas.openxmlformats.org/officeDocument/2006/customXml" ds:itemID="{EAAA76CE-F424-42D4-BAB2-5ED3BCDFFBC9}"/>
</file>

<file path=customXml/itemProps4.xml><?xml version="1.0" encoding="utf-8"?>
<ds:datastoreItem xmlns:ds="http://schemas.openxmlformats.org/officeDocument/2006/customXml" ds:itemID="{0BE072F2-7F9D-43C8-B105-32FA765CB276}"/>
</file>

<file path=customXml/itemProps5.xml><?xml version="1.0" encoding="utf-8"?>
<ds:datastoreItem xmlns:ds="http://schemas.openxmlformats.org/officeDocument/2006/customXml" ds:itemID="{805747F1-7244-4005-B908-D550EBCB6053}"/>
</file>

<file path=docProps/app.xml><?xml version="1.0" encoding="utf-8"?>
<Properties xmlns="http://schemas.openxmlformats.org/officeDocument/2006/extended-properties" xmlns:vt="http://schemas.openxmlformats.org/officeDocument/2006/docPropsVTypes">
  <Template>Normal</Template>
  <TotalTime>360</TotalTime>
  <Pages>5</Pages>
  <Words>1123</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Krista Linley</dc:creator>
  <cp:lastModifiedBy>Fassio, Michael (UTC)</cp:lastModifiedBy>
  <cp:revision>27</cp:revision>
  <cp:lastPrinted>2013-05-01T18:28:00Z</cp:lastPrinted>
  <dcterms:created xsi:type="dcterms:W3CDTF">2013-04-29T23:25:00Z</dcterms:created>
  <dcterms:modified xsi:type="dcterms:W3CDTF">2013-05-01T20:32:00Z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0x0101006E56B4D1795A2E4DB2F0B01679ED314A00668CADD6B7414E4DABB553898CB56886</vt:lpwstr>
  </property>
  <property fmtid="{D5CDD505-2E9C-101B-9397-08002B2CF9AE}" pid="3" name="_docset_NoMedatataSyncRequired">
    <vt:lpwstr>False</vt:lpwstr>
  </property>
</Properties>
</file>