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66707D" w:rsidRDefault="0066707D" w:rsidP="0066707D">
      <w:pPr>
        <w:pStyle w:val="Heading1"/>
        <w:jc w:val="center"/>
        <w:rPr>
          <w:sz w:val="24"/>
        </w:rPr>
      </w:pPr>
      <w:r>
        <w:rPr>
          <w:sz w:val="24"/>
        </w:rPr>
        <w:t>WASHINGTON UTILITIES AND TRANSPORTATION COMMISSION</w:t>
      </w:r>
    </w:p>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305849">
        <w:trPr>
          <w:trHeight w:val="2951"/>
        </w:trPr>
        <w:tc>
          <w:tcPr>
            <w:tcW w:w="4396" w:type="dxa"/>
            <w:tcBorders>
              <w:bottom w:val="single" w:sz="4" w:space="0" w:color="auto"/>
            </w:tcBorders>
          </w:tcPr>
          <w:p w:rsidR="0066707D" w:rsidRPr="003D3DCC" w:rsidRDefault="0066707D" w:rsidP="003058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66707D" w:rsidRDefault="0066707D" w:rsidP="00305849">
            <w:pPr>
              <w:tabs>
                <w:tab w:val="left" w:pos="2168"/>
              </w:tabs>
            </w:pPr>
          </w:p>
          <w:p w:rsidR="0066707D" w:rsidRDefault="0066707D" w:rsidP="00305849">
            <w:pPr>
              <w:tabs>
                <w:tab w:val="left" w:pos="2168"/>
              </w:tabs>
            </w:pPr>
            <w:r>
              <w:t>PUGET SOUND ENERGY, INC., and</w:t>
            </w:r>
          </w:p>
          <w:p w:rsidR="0066707D" w:rsidRDefault="0066707D" w:rsidP="00305849">
            <w:pPr>
              <w:tabs>
                <w:tab w:val="left" w:pos="2168"/>
              </w:tabs>
            </w:pPr>
            <w:r>
              <w:t>NW ENERGY COALITION</w:t>
            </w:r>
          </w:p>
          <w:p w:rsidR="0066707D" w:rsidRDefault="0066707D" w:rsidP="00305849">
            <w:pPr>
              <w:tabs>
                <w:tab w:val="left" w:pos="2168"/>
              </w:tabs>
            </w:pPr>
          </w:p>
          <w:p w:rsidR="0066707D" w:rsidRPr="00F90CD2" w:rsidRDefault="0066707D" w:rsidP="003058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BE7413" w:rsidRDefault="0066707D" w:rsidP="00305849">
            <w:pPr>
              <w:pStyle w:val="SingleSpacing"/>
              <w:spacing w:line="240" w:lineRule="auto"/>
              <w:rPr>
                <w:i/>
              </w:rPr>
            </w:pPr>
            <w:r w:rsidRPr="005A2AFA">
              <w:t>)</w:t>
            </w:r>
          </w:p>
        </w:tc>
        <w:tc>
          <w:tcPr>
            <w:tcW w:w="4113" w:type="dxa"/>
          </w:tcPr>
          <w:p w:rsidR="006208EB" w:rsidRDefault="006208EB" w:rsidP="00305849">
            <w:pPr>
              <w:pStyle w:val="SingleSpacing"/>
              <w:spacing w:line="240" w:lineRule="auto"/>
            </w:pPr>
            <w:bookmarkStart w:id="1" w:name="CaseNumber"/>
            <w:bookmarkEnd w:id="1"/>
          </w:p>
          <w:p w:rsidR="006208EB" w:rsidRDefault="006208EB" w:rsidP="00305849">
            <w:pPr>
              <w:pStyle w:val="SingleSpacing"/>
              <w:spacing w:line="240" w:lineRule="auto"/>
            </w:pPr>
          </w:p>
          <w:p w:rsidR="006208EB" w:rsidRDefault="006208EB" w:rsidP="00305849">
            <w:pPr>
              <w:pStyle w:val="SingleSpacing"/>
              <w:spacing w:line="240" w:lineRule="auto"/>
            </w:pPr>
          </w:p>
          <w:p w:rsidR="0066707D" w:rsidRDefault="0066707D" w:rsidP="00305849">
            <w:pPr>
              <w:pStyle w:val="SingleSpacing"/>
              <w:spacing w:line="240" w:lineRule="auto"/>
            </w:pPr>
            <w:r w:rsidRPr="007A1546">
              <w:t>DOCKET NO</w:t>
            </w:r>
            <w:r>
              <w:t>S</w:t>
            </w:r>
            <w:r w:rsidRPr="007A1546">
              <w:t xml:space="preserve">. </w:t>
            </w:r>
            <w:r w:rsidRPr="007A1546">
              <w:rPr>
                <w:bCs/>
              </w:rPr>
              <w:t>UE-</w:t>
            </w:r>
            <w:r>
              <w:t>121697/UG-121705</w:t>
            </w:r>
          </w:p>
          <w:p w:rsidR="0066707D" w:rsidRDefault="0066707D" w:rsidP="006208EB">
            <w:pPr>
              <w:pStyle w:val="SingleSpacing"/>
              <w:spacing w:line="240" w:lineRule="auto"/>
            </w:pPr>
            <w:r>
              <w:t>(Consolidated)</w:t>
            </w:r>
          </w:p>
          <w:p w:rsidR="006208EB" w:rsidRDefault="006208EB" w:rsidP="006208EB">
            <w:pPr>
              <w:pStyle w:val="SingleSpacing"/>
              <w:spacing w:line="240" w:lineRule="auto"/>
            </w:pPr>
          </w:p>
          <w:p w:rsidR="006208EB" w:rsidRPr="005A2AFA" w:rsidRDefault="006208EB" w:rsidP="006208EB">
            <w:pPr>
              <w:pStyle w:val="SingleSpacing"/>
              <w:spacing w:line="240" w:lineRule="auto"/>
            </w:pPr>
            <w:r>
              <w:t>and</w:t>
            </w:r>
          </w:p>
        </w:tc>
      </w:tr>
    </w:tbl>
    <w:p w:rsidR="0066707D" w:rsidRDefault="0066707D" w:rsidP="0066707D">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208EB" w:rsidTr="00E648B6">
        <w:trPr>
          <w:trHeight w:val="2951"/>
        </w:trPr>
        <w:tc>
          <w:tcPr>
            <w:tcW w:w="4396" w:type="dxa"/>
            <w:tcBorders>
              <w:bottom w:val="single" w:sz="4" w:space="0" w:color="auto"/>
            </w:tcBorders>
          </w:tcPr>
          <w:p w:rsidR="006208EB" w:rsidRDefault="006208EB" w:rsidP="00E648B6">
            <w:pPr>
              <w:pStyle w:val="Footer"/>
              <w:widowControl/>
              <w:tabs>
                <w:tab w:val="clear" w:pos="4320"/>
                <w:tab w:val="clear" w:pos="8640"/>
                <w:tab w:val="left" w:pos="2160"/>
              </w:tabs>
              <w:rPr>
                <w:snapToGrid/>
              </w:rPr>
            </w:pPr>
            <w:r>
              <w:rPr>
                <w:snapToGrid/>
              </w:rPr>
              <w:t>WASHINGTON UTILITIES AND TRANSPORTATION COMMISSION,</w:t>
            </w:r>
          </w:p>
          <w:p w:rsidR="006208EB" w:rsidRDefault="006208EB" w:rsidP="00E648B6">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ind w:firstLine="2340"/>
              <w:rPr>
                <w:snapToGrid/>
              </w:rPr>
            </w:pPr>
            <w:r>
              <w:rPr>
                <w:snapToGrid/>
              </w:rPr>
              <w:t>Complainant,</w:t>
            </w:r>
          </w:p>
          <w:p w:rsidR="006208EB" w:rsidRDefault="006208EB" w:rsidP="006208EB">
            <w:pPr>
              <w:pStyle w:val="Footer"/>
              <w:widowControl/>
              <w:tabs>
                <w:tab w:val="clear" w:pos="4320"/>
                <w:tab w:val="clear" w:pos="8640"/>
                <w:tab w:val="left" w:pos="2160"/>
              </w:tabs>
              <w:ind w:firstLine="2340"/>
              <w:rPr>
                <w:snapToGrid/>
              </w:rPr>
            </w:pPr>
          </w:p>
          <w:p w:rsidR="006208EB" w:rsidRDefault="006208EB" w:rsidP="006208EB">
            <w:pPr>
              <w:pStyle w:val="Footer"/>
              <w:widowControl/>
              <w:tabs>
                <w:tab w:val="clear" w:pos="4320"/>
                <w:tab w:val="clear" w:pos="8640"/>
                <w:tab w:val="left" w:pos="2160"/>
              </w:tabs>
              <w:rPr>
                <w:snapToGrid/>
              </w:rPr>
            </w:pPr>
            <w:r>
              <w:rPr>
                <w:snapToGrid/>
              </w:rPr>
              <w:t>v.</w:t>
            </w:r>
          </w:p>
          <w:p w:rsidR="006208EB" w:rsidRDefault="006208EB" w:rsidP="006208EB">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rPr>
                <w:snapToGrid/>
              </w:rPr>
            </w:pPr>
            <w:r>
              <w:rPr>
                <w:snapToGrid/>
              </w:rPr>
              <w:t>PUGET SOUND ENERGY, INC.</w:t>
            </w:r>
          </w:p>
          <w:p w:rsidR="006208EB" w:rsidRDefault="006208EB" w:rsidP="006208EB">
            <w:pPr>
              <w:pStyle w:val="Footer"/>
              <w:widowControl/>
              <w:tabs>
                <w:tab w:val="clear" w:pos="4320"/>
                <w:tab w:val="clear" w:pos="8640"/>
                <w:tab w:val="left" w:pos="2160"/>
              </w:tabs>
              <w:rPr>
                <w:snapToGrid/>
              </w:rPr>
            </w:pPr>
          </w:p>
          <w:p w:rsidR="006208EB" w:rsidRPr="00F90CD2" w:rsidRDefault="006208EB" w:rsidP="006208EB">
            <w:pPr>
              <w:pStyle w:val="Footer"/>
              <w:widowControl/>
              <w:tabs>
                <w:tab w:val="clear" w:pos="4320"/>
                <w:tab w:val="clear" w:pos="8640"/>
                <w:tab w:val="left" w:pos="2160"/>
              </w:tabs>
              <w:ind w:firstLine="2340"/>
              <w:rPr>
                <w:snapToGrid/>
              </w:rPr>
            </w:pPr>
            <w:r>
              <w:rPr>
                <w:snapToGrid/>
              </w:rPr>
              <w:t>Respondent.</w:t>
            </w:r>
          </w:p>
        </w:tc>
        <w:tc>
          <w:tcPr>
            <w:tcW w:w="274" w:type="dxa"/>
          </w:tcPr>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BE7413" w:rsidRDefault="006208EB" w:rsidP="00E648B6">
            <w:pPr>
              <w:pStyle w:val="SingleSpacing"/>
              <w:spacing w:line="240" w:lineRule="auto"/>
              <w:rPr>
                <w:i/>
              </w:rPr>
            </w:pPr>
            <w:r w:rsidRPr="005A2AFA">
              <w:t>)</w:t>
            </w:r>
          </w:p>
        </w:tc>
        <w:tc>
          <w:tcPr>
            <w:tcW w:w="4113" w:type="dxa"/>
          </w:tcPr>
          <w:p w:rsidR="006208EB" w:rsidRDefault="006208EB" w:rsidP="00E648B6">
            <w:pPr>
              <w:pStyle w:val="SingleSpacing"/>
              <w:spacing w:line="240" w:lineRule="auto"/>
            </w:pPr>
            <w:r w:rsidRPr="007A1546">
              <w:t>DOCKET NO</w:t>
            </w:r>
            <w:r>
              <w:t>S</w:t>
            </w:r>
            <w:r w:rsidRPr="007A1546">
              <w:t xml:space="preserve">. </w:t>
            </w:r>
            <w:r w:rsidRPr="007A1546">
              <w:rPr>
                <w:bCs/>
              </w:rPr>
              <w:t>UE-</w:t>
            </w:r>
            <w:r>
              <w:t>130137/UG-130138</w:t>
            </w:r>
          </w:p>
          <w:p w:rsidR="006208EB" w:rsidRDefault="006208EB" w:rsidP="00E648B6">
            <w:pPr>
              <w:pStyle w:val="SingleSpacing"/>
              <w:spacing w:line="240" w:lineRule="auto"/>
            </w:pPr>
            <w:r>
              <w:t>(Consolidated)</w:t>
            </w: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r>
              <w:t xml:space="preserve">INDUSTRIAL CUSTOMERS OF NORTHWEST UTILITIES’ </w:t>
            </w:r>
            <w:r w:rsidR="00423D90">
              <w:t>PROPOSAL FOR PROCEDURE ON REMAND</w:t>
            </w:r>
          </w:p>
          <w:p w:rsidR="006208EB" w:rsidRPr="005A2AFA" w:rsidRDefault="006208EB" w:rsidP="00E648B6">
            <w:pPr>
              <w:pStyle w:val="SingleSpacing"/>
              <w:spacing w:line="240" w:lineRule="auto"/>
            </w:pPr>
          </w:p>
        </w:tc>
      </w:tr>
    </w:tbl>
    <w:p w:rsidR="006208EB" w:rsidRDefault="006208EB" w:rsidP="006208EB">
      <w:pPr>
        <w:ind w:left="1080"/>
        <w:rPr>
          <w:b/>
        </w:rPr>
      </w:pPr>
    </w:p>
    <w:p w:rsidR="007F42ED" w:rsidRDefault="0066707D" w:rsidP="0066707D">
      <w:pPr>
        <w:jc w:val="center"/>
      </w:pPr>
      <w:r>
        <w:rPr>
          <w:b/>
        </w:rPr>
        <w:t>I.</w:t>
      </w:r>
      <w:r>
        <w:rPr>
          <w:b/>
        </w:rPr>
        <w:tab/>
        <w:t>INTRODUCTION</w:t>
      </w:r>
    </w:p>
    <w:p w:rsidR="0066707D" w:rsidRDefault="0066707D" w:rsidP="0066707D">
      <w:pPr>
        <w:jc w:val="center"/>
      </w:pPr>
    </w:p>
    <w:p w:rsidR="00423D90" w:rsidRDefault="00185154" w:rsidP="00185154">
      <w:pPr>
        <w:pStyle w:val="WUTCParagraph"/>
      </w:pPr>
      <w:r>
        <w:tab/>
      </w:r>
      <w:r w:rsidR="009C0AD8">
        <w:t>Pursuant to the Washington Utilities and Transportation Commission’s (“Commission”) Notice Suspending Response Deadlines and Providing Opportunity to File Proposals</w:t>
      </w:r>
      <w:r w:rsidR="0016612E">
        <w:t xml:space="preserve"> (“Notice”)</w:t>
      </w:r>
      <w:r w:rsidR="009C0AD8">
        <w:t>, issued on August 5, 2014 in the above-referenced dockets, the Industrial Customers of Northwest Utilities (“ICNU”)</w:t>
      </w:r>
      <w:r w:rsidR="006E3C22">
        <w:t xml:space="preserve"> files this proposal, as set forth below, for how the Commission should proceed following remand of Order 07 in these dockets.</w:t>
      </w:r>
    </w:p>
    <w:p w:rsidR="006E3C22" w:rsidRDefault="006E3C22" w:rsidP="006E3C22">
      <w:pPr>
        <w:spacing w:line="480" w:lineRule="auto"/>
        <w:jc w:val="center"/>
      </w:pPr>
      <w:r>
        <w:rPr>
          <w:b/>
        </w:rPr>
        <w:t>II.</w:t>
      </w:r>
      <w:r>
        <w:rPr>
          <w:b/>
        </w:rPr>
        <w:tab/>
        <w:t>BACKGROUND</w:t>
      </w:r>
    </w:p>
    <w:p w:rsidR="006E3C22" w:rsidRPr="00185154" w:rsidRDefault="00185154" w:rsidP="00185154">
      <w:pPr>
        <w:pStyle w:val="WUTCParagraph"/>
      </w:pPr>
      <w:r>
        <w:tab/>
      </w:r>
      <w:r w:rsidR="006E3C22" w:rsidRPr="00185154">
        <w:t xml:space="preserve">On July 25, 2014, the Thurston County Superior Court </w:t>
      </w:r>
      <w:r w:rsidR="00EC0328" w:rsidRPr="00185154">
        <w:t xml:space="preserve">(“Court”) </w:t>
      </w:r>
      <w:r w:rsidR="006E3C22" w:rsidRPr="00185154">
        <w:t>entered an order reversing, in part, the Commission’s findings in Order 07, which authorized an expedited rate filing</w:t>
      </w:r>
      <w:r w:rsidR="00374037" w:rsidRPr="00185154">
        <w:t xml:space="preserve"> (“ERF”)</w:t>
      </w:r>
      <w:r w:rsidR="006E3C22" w:rsidRPr="00185154">
        <w:t xml:space="preserve">, decoupling mechanism, and rate plan for Puget Sound Energy, Inc. (“PSE” or the </w:t>
      </w:r>
      <w:r w:rsidR="006E3C22" w:rsidRPr="00185154">
        <w:lastRenderedPageBreak/>
        <w:t>“Company”).</w:t>
      </w:r>
      <w:r w:rsidR="0016612E" w:rsidRPr="00E11DEE">
        <w:rPr>
          <w:rStyle w:val="FootnoteReference"/>
          <w:szCs w:val="24"/>
          <w:u w:val="single"/>
        </w:rPr>
        <w:footnoteReference w:id="1"/>
      </w:r>
      <w:proofErr w:type="gramStart"/>
      <w:r w:rsidR="00A2614A" w:rsidRPr="00E11DEE">
        <w:rPr>
          <w:szCs w:val="24"/>
          <w:vertAlign w:val="superscript"/>
        </w:rPr>
        <w:t>/</w:t>
      </w:r>
      <w:r w:rsidR="006E3C22" w:rsidRPr="00185154">
        <w:t xml:space="preserve">  Although</w:t>
      </w:r>
      <w:proofErr w:type="gramEnd"/>
      <w:r w:rsidR="006E3C22" w:rsidRPr="00185154">
        <w:t xml:space="preserve"> a full cost of capital study performed by ICNU’s witness, Michael Gorman, established a reasonable return on equity (“ROE”) for PSE of 9.30 percent, the Commission maintained PSE’s ROE at 9.8 percent, the level it previously authorized in PSE’s most recent general rate case.</w:t>
      </w:r>
      <w:r w:rsidR="00A22404" w:rsidRPr="00E11DEE">
        <w:rPr>
          <w:rStyle w:val="FootnoteReference"/>
          <w:u w:val="single"/>
        </w:rPr>
        <w:footnoteReference w:id="2"/>
      </w:r>
      <w:proofErr w:type="gramStart"/>
      <w:r w:rsidR="00A2614A" w:rsidRPr="00E11DEE">
        <w:rPr>
          <w:vertAlign w:val="superscript"/>
        </w:rPr>
        <w:t>/</w:t>
      </w:r>
      <w:r w:rsidR="006E3C22" w:rsidRPr="00185154">
        <w:t xml:space="preserve">  </w:t>
      </w:r>
      <w:r w:rsidR="00EC0328" w:rsidRPr="00185154">
        <w:t>No</w:t>
      </w:r>
      <w:proofErr w:type="gramEnd"/>
      <w:r w:rsidR="00EC0328" w:rsidRPr="00185154">
        <w:t xml:space="preserve"> other </w:t>
      </w:r>
      <w:r w:rsidR="00E94984">
        <w:t xml:space="preserve">complete </w:t>
      </w:r>
      <w:r w:rsidR="00EC0328" w:rsidRPr="00185154">
        <w:t>cost of capital study was entered into the record.  In its remand order, the Court found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w:t>
      </w:r>
      <w:r w:rsidR="00802119" w:rsidRPr="00E11DEE">
        <w:rPr>
          <w:rStyle w:val="FootnoteReference"/>
          <w:u w:val="single"/>
        </w:rPr>
        <w:footnoteReference w:id="3"/>
      </w:r>
      <w:proofErr w:type="gramStart"/>
      <w:r w:rsidR="00A2614A" w:rsidRPr="00E11DEE">
        <w:rPr>
          <w:vertAlign w:val="superscript"/>
        </w:rPr>
        <w:t>/</w:t>
      </w:r>
      <w:r w:rsidR="00EC0328" w:rsidRPr="00185154">
        <w:t xml:space="preserve">  The</w:t>
      </w:r>
      <w:proofErr w:type="gramEnd"/>
      <w:r w:rsidR="00EC0328" w:rsidRPr="00185154">
        <w:t xml:space="preserve"> Court ordered the Commission to “establish fair, just, reasonable and sufficient rates to be charged under the rate plan, and to order any other appropriate relief.”</w:t>
      </w:r>
      <w:r w:rsidR="00802119" w:rsidRPr="00E11DEE">
        <w:rPr>
          <w:rStyle w:val="FootnoteReference"/>
          <w:u w:val="single"/>
        </w:rPr>
        <w:footnoteReference w:id="4"/>
      </w:r>
      <w:r w:rsidR="00A2614A" w:rsidRPr="00E11DEE">
        <w:rPr>
          <w:vertAlign w:val="superscript"/>
        </w:rPr>
        <w:t>/</w:t>
      </w:r>
    </w:p>
    <w:p w:rsidR="00EC0328" w:rsidRPr="00185154" w:rsidRDefault="00185154" w:rsidP="00185154">
      <w:pPr>
        <w:pStyle w:val="WUTCParagraph"/>
      </w:pPr>
      <w:r>
        <w:tab/>
      </w:r>
      <w:r w:rsidR="00EC0328" w:rsidRPr="00185154">
        <w:t>Pursuant to th</w:t>
      </w:r>
      <w:r w:rsidR="007442FE">
        <w:t>e Thurston Superior Court Order</w:t>
      </w:r>
      <w:r w:rsidR="00EC0328" w:rsidRPr="00185154">
        <w:t xml:space="preserve">, ICNU, on July 30, 2014, filed a Petition for Accounting Order </w:t>
      </w:r>
      <w:r w:rsidR="0016612E" w:rsidRPr="00185154">
        <w:t xml:space="preserve">(“Petition”) </w:t>
      </w:r>
      <w:r w:rsidR="00EC0328" w:rsidRPr="00185154">
        <w:t>and a Motion to Modify Order 07</w:t>
      </w:r>
      <w:r w:rsidR="0016612E" w:rsidRPr="00185154">
        <w:t xml:space="preserve"> (“Motion”)</w:t>
      </w:r>
      <w:r w:rsidR="00EC0328" w:rsidRPr="00185154">
        <w:t>.</w:t>
      </w:r>
      <w:r w:rsidR="00A22404" w:rsidRPr="00E11DEE">
        <w:rPr>
          <w:rStyle w:val="FootnoteReference"/>
          <w:u w:val="single"/>
        </w:rPr>
        <w:footnoteReference w:id="5"/>
      </w:r>
      <w:r w:rsidR="00A2614A" w:rsidRPr="00E11DEE">
        <w:rPr>
          <w:vertAlign w:val="superscript"/>
        </w:rPr>
        <w:t>/</w:t>
      </w:r>
      <w:r w:rsidR="00EC0328" w:rsidRPr="00185154">
        <w:t xml:space="preserve">  ICNU</w:t>
      </w:r>
      <w:r w:rsidR="00A22404" w:rsidRPr="00185154">
        <w:t>’s Petition</w:t>
      </w:r>
      <w:r w:rsidR="00EC0328" w:rsidRPr="00185154">
        <w:t xml:space="preserve"> requested that the Commission order PSE to refund to customers amounts it has collected under its rate plan that represent the difference between its currently authorized 9.8 percent ROE and the 9.3 percent ROE supported by the record.</w:t>
      </w:r>
      <w:r w:rsidR="00A22404" w:rsidRPr="00E11DEE">
        <w:rPr>
          <w:rStyle w:val="FootnoteReference"/>
          <w:u w:val="single"/>
        </w:rPr>
        <w:footnoteReference w:id="6"/>
      </w:r>
      <w:proofErr w:type="gramStart"/>
      <w:r w:rsidR="00A2614A" w:rsidRPr="00E11DEE">
        <w:rPr>
          <w:vertAlign w:val="superscript"/>
        </w:rPr>
        <w:t>/</w:t>
      </w:r>
      <w:r w:rsidR="00EC0328" w:rsidRPr="00185154">
        <w:t xml:space="preserve">  ICNU</w:t>
      </w:r>
      <w:proofErr w:type="gramEnd"/>
      <w:r w:rsidR="00EC0328" w:rsidRPr="00185154">
        <w:t xml:space="preserve"> further requested that PSE establish a deferred account to track this difference going forward.</w:t>
      </w:r>
      <w:r w:rsidR="00A22404" w:rsidRPr="00E11DEE">
        <w:rPr>
          <w:rStyle w:val="FootnoteReference"/>
          <w:u w:val="single"/>
        </w:rPr>
        <w:footnoteReference w:id="7"/>
      </w:r>
      <w:proofErr w:type="gramStart"/>
      <w:r w:rsidR="00A2614A" w:rsidRPr="00E11DEE">
        <w:rPr>
          <w:vertAlign w:val="superscript"/>
        </w:rPr>
        <w:t>/</w:t>
      </w:r>
      <w:r w:rsidR="00EC0328" w:rsidRPr="00E11DEE">
        <w:rPr>
          <w:vertAlign w:val="superscript"/>
        </w:rPr>
        <w:t xml:space="preserve"> </w:t>
      </w:r>
      <w:r w:rsidR="00EC0328" w:rsidRPr="00185154">
        <w:t xml:space="preserve"> ICNU’s</w:t>
      </w:r>
      <w:proofErr w:type="gramEnd"/>
      <w:r w:rsidR="00EC0328" w:rsidRPr="00185154">
        <w:t xml:space="preserve"> </w:t>
      </w:r>
      <w:r w:rsidR="00A22404" w:rsidRPr="00185154">
        <w:t>M</w:t>
      </w:r>
      <w:r w:rsidR="00EC0328" w:rsidRPr="00185154">
        <w:t>otion request</w:t>
      </w:r>
      <w:r w:rsidR="007442FE">
        <w:t>s</w:t>
      </w:r>
      <w:r w:rsidR="00EC0328" w:rsidRPr="00185154">
        <w:t xml:space="preserve"> that the Commission modify Order 07 to find that there </w:t>
      </w:r>
      <w:r w:rsidR="007442FE">
        <w:t>i</w:t>
      </w:r>
      <w:r w:rsidR="00EC0328" w:rsidRPr="00185154">
        <w:t>s sufficient evidence in the record to set PSE’s ROE at 9.3 percent.</w:t>
      </w:r>
      <w:r w:rsidR="00A22404" w:rsidRPr="00E11DEE">
        <w:rPr>
          <w:rStyle w:val="FootnoteReference"/>
          <w:u w:val="single"/>
        </w:rPr>
        <w:footnoteReference w:id="8"/>
      </w:r>
      <w:r w:rsidR="00A2614A" w:rsidRPr="00E11DEE">
        <w:rPr>
          <w:vertAlign w:val="superscript"/>
        </w:rPr>
        <w:t>/</w:t>
      </w:r>
    </w:p>
    <w:p w:rsidR="0016612E" w:rsidRDefault="00185154" w:rsidP="00185154">
      <w:pPr>
        <w:pStyle w:val="WUTCParagraph"/>
      </w:pPr>
      <w:r>
        <w:lastRenderedPageBreak/>
        <w:tab/>
      </w:r>
      <w:r w:rsidR="0016612E">
        <w:t>Subsequent to the filing of ICNU’s Petition and Motion, the Commission served its Notice on the parties to this proceeding.  The Notice indicated that ICNU’s Petition and Motion “represent ICNU’s view of how the Commission should comply with the Court’s order.”</w:t>
      </w:r>
      <w:r w:rsidR="0016612E" w:rsidRPr="00A2614A">
        <w:rPr>
          <w:rStyle w:val="FootnoteReference"/>
          <w:u w:val="single"/>
        </w:rPr>
        <w:footnoteReference w:id="9"/>
      </w:r>
      <w:r w:rsidR="00A2614A">
        <w:rPr>
          <w:vertAlign w:val="superscript"/>
        </w:rPr>
        <w:t>/</w:t>
      </w:r>
      <w:r w:rsidR="0016612E">
        <w:t xml:space="preserve">  While ICNU advocates for the relief requested in its Petition and Motion, it also appreciates the ability to address the benefits and limitations of other possible options the Commission could pursue in this remand proceeding.</w:t>
      </w:r>
    </w:p>
    <w:p w:rsidR="00EC0328" w:rsidRDefault="00EC0328" w:rsidP="00EC0328">
      <w:pPr>
        <w:spacing w:line="480" w:lineRule="auto"/>
        <w:jc w:val="center"/>
        <w:rPr>
          <w:b/>
        </w:rPr>
      </w:pPr>
      <w:r>
        <w:rPr>
          <w:b/>
        </w:rPr>
        <w:t>III.</w:t>
      </w:r>
      <w:r>
        <w:rPr>
          <w:b/>
        </w:rPr>
        <w:tab/>
        <w:t>ICNU’S PROPOSAL</w:t>
      </w:r>
    </w:p>
    <w:p w:rsidR="007839F4" w:rsidRDefault="00185154" w:rsidP="00185154">
      <w:pPr>
        <w:pStyle w:val="WUTCParagraph"/>
      </w:pPr>
      <w:r>
        <w:tab/>
      </w:r>
      <w:r w:rsidR="008F0340">
        <w:t>The Court’s remand order requires the Commission to “establish fair, just, reasonable and sufficient rates” for PSE.</w:t>
      </w:r>
      <w:r w:rsidR="007839F4" w:rsidRPr="00374037">
        <w:rPr>
          <w:rStyle w:val="FootnoteReference"/>
          <w:u w:val="single"/>
        </w:rPr>
        <w:footnoteReference w:id="10"/>
      </w:r>
      <w:proofErr w:type="gramStart"/>
      <w:r w:rsidR="00374037">
        <w:rPr>
          <w:vertAlign w:val="superscript"/>
        </w:rPr>
        <w:t>/</w:t>
      </w:r>
      <w:r w:rsidR="008F0340">
        <w:t xml:space="preserve">  Accordingly</w:t>
      </w:r>
      <w:proofErr w:type="gramEnd"/>
      <w:r w:rsidR="008F0340">
        <w:t xml:space="preserve">, it would be within the Commission’s discretion to hold a general rate case for PSE so that a full picture of its rates can be developed.  ICNU would support this process.  </w:t>
      </w:r>
    </w:p>
    <w:p w:rsidR="005C7B2B" w:rsidRDefault="00185154" w:rsidP="00185154">
      <w:pPr>
        <w:pStyle w:val="WUTCParagraph"/>
      </w:pPr>
      <w:r>
        <w:tab/>
      </w:r>
      <w:r w:rsidR="008F0340">
        <w:t>ICNU also recognizes, however, that a driving factor behind the expedited rate filing and rate plan Order 07 granted PSE was to avoid holding such a rate case.</w:t>
      </w:r>
      <w:r w:rsidR="007839F4" w:rsidRPr="00374037">
        <w:rPr>
          <w:rStyle w:val="FootnoteReference"/>
          <w:u w:val="single"/>
        </w:rPr>
        <w:footnoteReference w:id="11"/>
      </w:r>
      <w:proofErr w:type="gramStart"/>
      <w:r w:rsidR="00374037" w:rsidRPr="007442FE">
        <w:rPr>
          <w:vertAlign w:val="superscript"/>
        </w:rPr>
        <w:t>/</w:t>
      </w:r>
      <w:r w:rsidR="007442FE">
        <w:t xml:space="preserve">  </w:t>
      </w:r>
      <w:r w:rsidR="0042149A">
        <w:t>Thus</w:t>
      </w:r>
      <w:proofErr w:type="gramEnd"/>
      <w:r w:rsidR="0042149A">
        <w:t>, i</w:t>
      </w:r>
      <w:r w:rsidR="008F0340">
        <w:t>f the Commission does not hold a general rate case, ICNU proposes that</w:t>
      </w:r>
      <w:r w:rsidR="00C614A6">
        <w:t xml:space="preserve"> the Commission </w:t>
      </w:r>
      <w:r w:rsidR="007442FE">
        <w:t xml:space="preserve">determine </w:t>
      </w:r>
      <w:r w:rsidR="008F0340">
        <w:t xml:space="preserve"> PSE’s ROE based on the current record</w:t>
      </w:r>
      <w:r w:rsidR="00EC0328">
        <w:t>.</w:t>
      </w:r>
      <w:r w:rsidR="00B020CF">
        <w:t xml:space="preserve">  </w:t>
      </w:r>
    </w:p>
    <w:p w:rsidR="0016612E" w:rsidRPr="0016612E" w:rsidRDefault="0016612E" w:rsidP="0016612E">
      <w:pPr>
        <w:spacing w:after="240"/>
        <w:ind w:left="1440" w:hanging="720"/>
        <w:rPr>
          <w:b/>
        </w:rPr>
      </w:pPr>
      <w:r>
        <w:rPr>
          <w:b/>
        </w:rPr>
        <w:t>A.</w:t>
      </w:r>
      <w:r>
        <w:rPr>
          <w:b/>
        </w:rPr>
        <w:tab/>
        <w:t>Determining a reasonable ROE from the current record evidence is the simplest, fastest, and most legally sound procedure.</w:t>
      </w:r>
    </w:p>
    <w:p w:rsidR="00374037" w:rsidRDefault="00185154" w:rsidP="00185154">
      <w:pPr>
        <w:pStyle w:val="WUTCParagraph"/>
      </w:pPr>
      <w:r>
        <w:tab/>
      </w:r>
      <w:r w:rsidR="0016612E">
        <w:t xml:space="preserve">As discussed in ICNU’s Petition and Motion, the record </w:t>
      </w:r>
      <w:r w:rsidR="007839F4">
        <w:t xml:space="preserve">in these dockets </w:t>
      </w:r>
      <w:r w:rsidR="0016612E">
        <w:t>is already sufficiently developed to determine a reasonable ROE for PSE.</w:t>
      </w:r>
      <w:r w:rsidR="00A22404" w:rsidRPr="00A2614A">
        <w:rPr>
          <w:rStyle w:val="FootnoteReference"/>
          <w:u w:val="single"/>
        </w:rPr>
        <w:footnoteReference w:id="12"/>
      </w:r>
      <w:r w:rsidR="00A2614A">
        <w:rPr>
          <w:vertAlign w:val="superscript"/>
        </w:rPr>
        <w:t>/</w:t>
      </w:r>
      <w:r w:rsidR="00802119">
        <w:t xml:space="preserve">  </w:t>
      </w:r>
      <w:r w:rsidR="00C17587">
        <w:t>It contains a complete cost of capital analysis performed by Mr. Gorman, which includes three versions of a discounted cash flow analysis, a risk premium analysis, and a capital asset pricing model analysis.</w:t>
      </w:r>
      <w:r w:rsidR="005661AE" w:rsidRPr="00A2614A">
        <w:rPr>
          <w:rStyle w:val="FootnoteReference"/>
          <w:u w:val="single"/>
        </w:rPr>
        <w:footnoteReference w:id="13"/>
      </w:r>
      <w:r w:rsidR="00A2614A">
        <w:rPr>
          <w:vertAlign w:val="superscript"/>
        </w:rPr>
        <w:t>/</w:t>
      </w:r>
      <w:r w:rsidR="00C17587">
        <w:t xml:space="preserve">  </w:t>
      </w:r>
      <w:r w:rsidR="007839F4">
        <w:t xml:space="preserve">This </w:t>
      </w:r>
      <w:r w:rsidR="007839F4">
        <w:lastRenderedPageBreak/>
        <w:t>was sufficient evidence</w:t>
      </w:r>
      <w:r w:rsidR="00C17587">
        <w:t xml:space="preserve"> for Commissioner Jones to find that PSE’s ROE should be reduced at the time Order 07 was issued.</w:t>
      </w:r>
      <w:r w:rsidR="005661AE" w:rsidRPr="00A2614A">
        <w:rPr>
          <w:rStyle w:val="FootnoteReference"/>
          <w:u w:val="single"/>
        </w:rPr>
        <w:footnoteReference w:id="14"/>
      </w:r>
      <w:r w:rsidR="00A2614A">
        <w:rPr>
          <w:vertAlign w:val="superscript"/>
        </w:rPr>
        <w:t>/</w:t>
      </w:r>
      <w:r w:rsidR="00C17587">
        <w:t xml:space="preserve">  </w:t>
      </w:r>
      <w:r w:rsidR="007839F4">
        <w:t>The Commission has previously determined a utility’s ROE based on a single cost of capital analysis.</w:t>
      </w:r>
      <w:r w:rsidR="007839F4" w:rsidRPr="00374037">
        <w:rPr>
          <w:rStyle w:val="FootnoteReference"/>
          <w:u w:val="single"/>
        </w:rPr>
        <w:footnoteReference w:id="15"/>
      </w:r>
      <w:r w:rsidR="00374037">
        <w:rPr>
          <w:vertAlign w:val="superscript"/>
        </w:rPr>
        <w:t>/</w:t>
      </w:r>
      <w:r w:rsidR="004924BC">
        <w:t xml:space="preserve">  </w:t>
      </w:r>
      <w:r w:rsidR="007839F4">
        <w:t>Furthermore, determining PSE’s ROE based on the current record evidence would not create the legal and procedural difficulties the other options would, discussed below, including the absence of necessary evidence and the potential for a contentious and lengthy proceeding.</w:t>
      </w:r>
      <w:r w:rsidR="00374037">
        <w:t xml:space="preserve">  </w:t>
      </w:r>
    </w:p>
    <w:p w:rsidR="0016612E" w:rsidRDefault="00185154" w:rsidP="00185154">
      <w:pPr>
        <w:pStyle w:val="WUTCParagraph"/>
      </w:pPr>
      <w:r>
        <w:tab/>
      </w:r>
      <w:r w:rsidR="00374037">
        <w:t>Moreover, determining PSE’s ROE based on the record as it existed at the time Order 07 was issued would be consistent with the Commission’s intentions when it authorized the ERF and rate plan for PSE, which was to establish baseline rates at this time to be in effect for the duration of the plan.  Accordingly, determining an ROE for PSE based on the current record would be a legally sound procedure that would also support the Commission’s intentions when it authorized PSE’s rate plan and ERF.</w:t>
      </w:r>
    </w:p>
    <w:p w:rsidR="0016612E" w:rsidRPr="0016612E" w:rsidRDefault="0016612E" w:rsidP="0016612E">
      <w:pPr>
        <w:spacing w:line="480" w:lineRule="auto"/>
        <w:ind w:firstLine="720"/>
        <w:rPr>
          <w:b/>
        </w:rPr>
      </w:pPr>
      <w:r>
        <w:rPr>
          <w:b/>
        </w:rPr>
        <w:t>B.</w:t>
      </w:r>
      <w:r>
        <w:rPr>
          <w:b/>
        </w:rPr>
        <w:tab/>
        <w:t>Calculating a past ROE is procedurally and legally problematic.</w:t>
      </w:r>
    </w:p>
    <w:p w:rsidR="00EC0328" w:rsidRPr="00185154" w:rsidRDefault="00185154" w:rsidP="00185154">
      <w:pPr>
        <w:pStyle w:val="WUTCParagraph"/>
      </w:pPr>
      <w:r>
        <w:tab/>
      </w:r>
      <w:r w:rsidR="005661AE" w:rsidRPr="00185154">
        <w:t>As opposed to determining a reasonable ROE for PSE based on the record when Order 07 was issued, a</w:t>
      </w:r>
      <w:r w:rsidR="0051675B" w:rsidRPr="00185154">
        <w:t xml:space="preserve">n after-the-fact calculation of a reasonable ROE raises a host of evidentiary problems that would make any order based on such a procedure </w:t>
      </w:r>
      <w:r w:rsidR="00E94984">
        <w:t>suspect</w:t>
      </w:r>
      <w:r w:rsidR="0051675B" w:rsidRPr="00185154">
        <w:t xml:space="preserve">.  Much of the data necessary to calculate PSE’s ROE when Order 07 was issued, </w:t>
      </w:r>
      <w:r w:rsidR="007839F4" w:rsidRPr="00185154">
        <w:t>on</w:t>
      </w:r>
      <w:r w:rsidR="0051675B" w:rsidRPr="00185154">
        <w:t xml:space="preserve"> June </w:t>
      </w:r>
      <w:r w:rsidR="007839F4" w:rsidRPr="00185154">
        <w:t xml:space="preserve">25, </w:t>
      </w:r>
      <w:r w:rsidR="0051675B" w:rsidRPr="00185154">
        <w:t>2013, is likely no longer available.</w:t>
      </w:r>
      <w:r w:rsidR="00057B70" w:rsidRPr="00E11DEE">
        <w:rPr>
          <w:rStyle w:val="FootnoteReference"/>
          <w:u w:val="single"/>
        </w:rPr>
        <w:footnoteReference w:id="16"/>
      </w:r>
      <w:proofErr w:type="gramStart"/>
      <w:r w:rsidR="00A2614A" w:rsidRPr="00E11DEE">
        <w:rPr>
          <w:vertAlign w:val="superscript"/>
        </w:rPr>
        <w:t>/</w:t>
      </w:r>
      <w:r w:rsidR="0051675B" w:rsidRPr="00185154">
        <w:t xml:space="preserve">  Growth</w:t>
      </w:r>
      <w:proofErr w:type="gramEnd"/>
      <w:r w:rsidR="0051675B" w:rsidRPr="00185154">
        <w:t xml:space="preserve"> rate estimates used in a discounted cash flow analysis</w:t>
      </w:r>
      <w:r w:rsidR="00E8600D">
        <w:t xml:space="preserve"> (“DCF”)</w:t>
      </w:r>
      <w:r w:rsidR="0051675B" w:rsidRPr="00185154">
        <w:t xml:space="preserve"> are not retained for long periods</w:t>
      </w:r>
      <w:r w:rsidR="00E8600D">
        <w:t xml:space="preserve"> because they only provide the current consensus analysts’ growth projections</w:t>
      </w:r>
      <w:r w:rsidR="0051675B" w:rsidRPr="00185154">
        <w:t>.</w:t>
      </w:r>
      <w:r w:rsidR="00057B70" w:rsidRPr="00E11DEE">
        <w:rPr>
          <w:rStyle w:val="FootnoteReference"/>
          <w:u w:val="single"/>
        </w:rPr>
        <w:footnoteReference w:id="17"/>
      </w:r>
      <w:proofErr w:type="gramStart"/>
      <w:r w:rsidR="00A2614A" w:rsidRPr="00E11DEE">
        <w:rPr>
          <w:vertAlign w:val="superscript"/>
        </w:rPr>
        <w:t>/</w:t>
      </w:r>
      <w:r w:rsidR="0051675B" w:rsidRPr="00185154">
        <w:t xml:space="preserve">  </w:t>
      </w:r>
      <w:r w:rsidR="00E8600D">
        <w:t>Thus</w:t>
      </w:r>
      <w:proofErr w:type="gramEnd"/>
      <w:r w:rsidR="00E8600D">
        <w:t xml:space="preserve">, it is </w:t>
      </w:r>
      <w:r w:rsidR="007442FE">
        <w:t>very difficult</w:t>
      </w:r>
      <w:r w:rsidR="00E8600D">
        <w:t xml:space="preserve"> to accurately estimate a DCF cost of equity for a </w:t>
      </w:r>
      <w:r w:rsidR="00E8600D">
        <w:lastRenderedPageBreak/>
        <w:t>utility in a period after the rate case.</w:t>
      </w:r>
      <w:r w:rsidR="00E8600D" w:rsidRPr="00E8600D">
        <w:rPr>
          <w:rStyle w:val="FootnoteReference"/>
          <w:u w:val="single"/>
        </w:rPr>
        <w:footnoteReference w:id="18"/>
      </w:r>
      <w:proofErr w:type="gramStart"/>
      <w:r w:rsidR="00E8600D">
        <w:rPr>
          <w:vertAlign w:val="superscript"/>
        </w:rPr>
        <w:t>/</w:t>
      </w:r>
      <w:r w:rsidR="00E8600D">
        <w:t xml:space="preserve">  C</w:t>
      </w:r>
      <w:r w:rsidR="0051675B" w:rsidRPr="00185154">
        <w:t>ertain</w:t>
      </w:r>
      <w:proofErr w:type="gramEnd"/>
      <w:r w:rsidR="0051675B" w:rsidRPr="00185154">
        <w:t xml:space="preserve"> </w:t>
      </w:r>
      <w:r w:rsidR="0051675B" w:rsidRPr="00E8600D">
        <w:rPr>
          <w:i/>
        </w:rPr>
        <w:t>Value</w:t>
      </w:r>
      <w:r w:rsidR="00A2614A" w:rsidRPr="00E8600D">
        <w:rPr>
          <w:i/>
        </w:rPr>
        <w:t xml:space="preserve"> L</w:t>
      </w:r>
      <w:r w:rsidR="0051675B" w:rsidRPr="00E8600D">
        <w:rPr>
          <w:i/>
        </w:rPr>
        <w:t>ine</w:t>
      </w:r>
      <w:r w:rsidR="0051675B" w:rsidRPr="00185154">
        <w:t xml:space="preserve"> information necessary for a capital asset pricing model analysis</w:t>
      </w:r>
      <w:r w:rsidR="00E8600D">
        <w:t xml:space="preserve"> may also not be available to all parties</w:t>
      </w:r>
      <w:r w:rsidR="0051675B" w:rsidRPr="00185154">
        <w:t>.</w:t>
      </w:r>
      <w:r w:rsidR="00057B70" w:rsidRPr="00E11DEE">
        <w:rPr>
          <w:rStyle w:val="FootnoteReference"/>
          <w:u w:val="single"/>
        </w:rPr>
        <w:footnoteReference w:id="19"/>
      </w:r>
      <w:proofErr w:type="gramStart"/>
      <w:r w:rsidR="00A2614A" w:rsidRPr="00E11DEE">
        <w:rPr>
          <w:vertAlign w:val="superscript"/>
        </w:rPr>
        <w:t>/</w:t>
      </w:r>
      <w:r w:rsidR="0051675B" w:rsidRPr="00185154">
        <w:t xml:space="preserve">  </w:t>
      </w:r>
      <w:r w:rsidR="00057B70" w:rsidRPr="00185154">
        <w:t>T</w:t>
      </w:r>
      <w:r w:rsidR="0051675B" w:rsidRPr="00185154">
        <w:t>he</w:t>
      </w:r>
      <w:proofErr w:type="gramEnd"/>
      <w:r w:rsidR="0051675B" w:rsidRPr="00185154">
        <w:t xml:space="preserve"> absence of such information </w:t>
      </w:r>
      <w:r w:rsidR="00057B70" w:rsidRPr="00185154">
        <w:t xml:space="preserve">would </w:t>
      </w:r>
      <w:r w:rsidR="0051675B" w:rsidRPr="00185154">
        <w:t>lead to r</w:t>
      </w:r>
      <w:r w:rsidR="00057B70" w:rsidRPr="00185154">
        <w:t>esults of questionable validity.</w:t>
      </w:r>
      <w:r w:rsidR="0051675B" w:rsidRPr="00185154">
        <w:t xml:space="preserve"> </w:t>
      </w:r>
      <w:r w:rsidR="00057B70" w:rsidRPr="00185154">
        <w:t xml:space="preserve"> I</w:t>
      </w:r>
      <w:r w:rsidR="0051675B" w:rsidRPr="00185154">
        <w:t>t would also inhibit other parties’ ability to evaluate and challenge these results.</w:t>
      </w:r>
      <w:r w:rsidR="00057B70" w:rsidRPr="00E11DEE">
        <w:rPr>
          <w:rStyle w:val="FootnoteReference"/>
          <w:u w:val="single"/>
        </w:rPr>
        <w:footnoteReference w:id="20"/>
      </w:r>
      <w:r w:rsidR="00A2614A" w:rsidRPr="00E11DEE">
        <w:rPr>
          <w:vertAlign w:val="superscript"/>
        </w:rPr>
        <w:t>/</w:t>
      </w:r>
    </w:p>
    <w:p w:rsidR="0051675B" w:rsidRDefault="00185154" w:rsidP="00185154">
      <w:pPr>
        <w:pStyle w:val="WUTCParagraph"/>
      </w:pPr>
      <w:r>
        <w:tab/>
      </w:r>
      <w:r w:rsidR="00972A94">
        <w:t>Further complicating an after-the-fact ROE calculation is whether one uses the information even if it is available.  Such information consists largely of projections about how markets will perform in the future.</w:t>
      </w:r>
      <w:r w:rsidR="00E8600D" w:rsidRPr="00E8600D">
        <w:rPr>
          <w:rStyle w:val="FootnoteReference"/>
          <w:u w:val="single"/>
        </w:rPr>
        <w:footnoteReference w:id="21"/>
      </w:r>
      <w:proofErr w:type="gramStart"/>
      <w:r w:rsidR="00E8600D">
        <w:rPr>
          <w:vertAlign w:val="superscript"/>
        </w:rPr>
        <w:t>/</w:t>
      </w:r>
      <w:r w:rsidR="00972A94">
        <w:t xml:space="preserve">  As</w:t>
      </w:r>
      <w:proofErr w:type="gramEnd"/>
      <w:r w:rsidR="00972A94">
        <w:t xml:space="preserve"> such, some of these projections almost certainly deviate from how markets have actually performed in the past year.  Do the parties use the projections – as they would have done to calculate the ROE at the time – or do they use actual data from the past year?  While the former is likely to be </w:t>
      </w:r>
      <w:r w:rsidR="00162DF9">
        <w:t xml:space="preserve">based, at least in part, on information known to be inaccurate, the latter would require calculating an ROE that deviates from accepted modeling principles.  </w:t>
      </w:r>
      <w:r w:rsidR="00381BFE">
        <w:t xml:space="preserve">Either way, to the extent parties differ in </w:t>
      </w:r>
      <w:r w:rsidR="00A03DA9">
        <w:t>fundamental</w:t>
      </w:r>
      <w:r w:rsidR="00381BFE">
        <w:t xml:space="preserve"> assumptions as to what information to use, this is likely to </w:t>
      </w:r>
      <w:r w:rsidR="00057B70">
        <w:t xml:space="preserve">lead to extended debate on the </w:t>
      </w:r>
      <w:r w:rsidR="007442FE">
        <w:t xml:space="preserve">validity </w:t>
      </w:r>
      <w:r w:rsidR="00057B70">
        <w:t>of the various modeling results.</w:t>
      </w:r>
      <w:r w:rsidR="00E8600D" w:rsidRPr="00E8600D">
        <w:rPr>
          <w:rStyle w:val="FootnoteReference"/>
          <w:u w:val="single"/>
        </w:rPr>
        <w:footnoteReference w:id="22"/>
      </w:r>
      <w:proofErr w:type="gramStart"/>
      <w:r w:rsidR="00E8600D">
        <w:rPr>
          <w:vertAlign w:val="superscript"/>
        </w:rPr>
        <w:t>/</w:t>
      </w:r>
      <w:r w:rsidR="00057B70">
        <w:t xml:space="preserve">  While</w:t>
      </w:r>
      <w:proofErr w:type="gramEnd"/>
      <w:r w:rsidR="00057B70">
        <w:t xml:space="preserve"> the Commission often determines a reasonable ROE based on the range of reasonableness established by the parties’</w:t>
      </w:r>
      <w:r w:rsidR="00374037">
        <w:t xml:space="preserve"> respective results</w:t>
      </w:r>
      <w:r w:rsidR="00057B70">
        <w:t>, this task would be made more complex in this case due to the potential incompatibility of such results.</w:t>
      </w:r>
      <w:r w:rsidR="00E8600D" w:rsidRPr="00E8600D">
        <w:rPr>
          <w:rStyle w:val="FootnoteReference"/>
          <w:u w:val="single"/>
        </w:rPr>
        <w:footnoteReference w:id="23"/>
      </w:r>
      <w:proofErr w:type="gramStart"/>
      <w:r w:rsidR="00E8600D">
        <w:rPr>
          <w:vertAlign w:val="superscript"/>
        </w:rPr>
        <w:t>/</w:t>
      </w:r>
      <w:r w:rsidR="00374037">
        <w:t xml:space="preserve">  Thus</w:t>
      </w:r>
      <w:proofErr w:type="gramEnd"/>
      <w:r w:rsidR="00374037">
        <w:t xml:space="preserve">, reopening the record to receive additional evidence of what PSE’s ROE should have been when Order 07 was issued (or some other past date) is likely to raise significant evidentiary and legal problems, which make this option </w:t>
      </w:r>
      <w:r w:rsidR="00E94984">
        <w:t>difficult</w:t>
      </w:r>
      <w:r w:rsidR="00374037">
        <w:t>.</w:t>
      </w:r>
      <w:r w:rsidR="00130590" w:rsidRPr="00130590">
        <w:rPr>
          <w:rStyle w:val="FootnoteReference"/>
          <w:u w:val="single"/>
        </w:rPr>
        <w:footnoteReference w:id="24"/>
      </w:r>
      <w:r w:rsidR="00130590">
        <w:rPr>
          <w:vertAlign w:val="superscript"/>
        </w:rPr>
        <w:t>/</w:t>
      </w:r>
    </w:p>
    <w:p w:rsidR="0016612E" w:rsidRPr="0016612E" w:rsidRDefault="0016612E" w:rsidP="0016612E">
      <w:pPr>
        <w:spacing w:after="240"/>
        <w:ind w:left="1440" w:hanging="720"/>
        <w:rPr>
          <w:b/>
        </w:rPr>
      </w:pPr>
      <w:r>
        <w:rPr>
          <w:b/>
        </w:rPr>
        <w:lastRenderedPageBreak/>
        <w:t>C.</w:t>
      </w:r>
      <w:r>
        <w:rPr>
          <w:b/>
        </w:rPr>
        <w:tab/>
        <w:t>Reopening the record to receive additional evidence of PSE’s ROE would be a complex and time-consuming process.</w:t>
      </w:r>
    </w:p>
    <w:p w:rsidR="007839F4" w:rsidRDefault="00185154" w:rsidP="00185154">
      <w:pPr>
        <w:pStyle w:val="WUTCParagraph"/>
      </w:pPr>
      <w:r>
        <w:tab/>
      </w:r>
      <w:r w:rsidR="007839F4">
        <w:t>While reopening the record to determine an after-the-fact ROE for PSE would be fraught with evidentiary issues, r</w:t>
      </w:r>
      <w:r w:rsidR="00162DF9">
        <w:t>eopening the record to receive additional evidence of PSE’s ROE</w:t>
      </w:r>
      <w:r w:rsidR="004924BC">
        <w:t xml:space="preserve">, even </w:t>
      </w:r>
      <w:r w:rsidR="00057B70">
        <w:t>limited to</w:t>
      </w:r>
      <w:r w:rsidR="004924BC">
        <w:t xml:space="preserve"> a going-forward basis,</w:t>
      </w:r>
      <w:r w:rsidR="00162DF9">
        <w:t xml:space="preserve"> would </w:t>
      </w:r>
      <w:r w:rsidR="004924BC">
        <w:t>frustrate</w:t>
      </w:r>
      <w:r w:rsidR="007839F4">
        <w:t xml:space="preserve"> the purposes behind the </w:t>
      </w:r>
      <w:r w:rsidR="00FC6827">
        <w:t>ERF</w:t>
      </w:r>
      <w:r w:rsidR="007839F4">
        <w:t xml:space="preserve"> filing and rate plan.  The Commission intended for PSE’s rates to be in effect for the duration of the rate plan.</w:t>
      </w:r>
      <w:r w:rsidR="007839F4" w:rsidRPr="00374037">
        <w:rPr>
          <w:rStyle w:val="FootnoteReference"/>
          <w:u w:val="single"/>
        </w:rPr>
        <w:footnoteReference w:id="25"/>
      </w:r>
      <w:r w:rsidR="00374037">
        <w:rPr>
          <w:vertAlign w:val="superscript"/>
        </w:rPr>
        <w:t>/</w:t>
      </w:r>
      <w:r w:rsidR="00162DF9">
        <w:t xml:space="preserve"> </w:t>
      </w:r>
      <w:r w:rsidR="007839F4">
        <w:t xml:space="preserve"> It would be incompatible with this intention to determine an ROE for PSE for the portion of the rate plan that has already occurred</w:t>
      </w:r>
      <w:r w:rsidR="00374037">
        <w:t xml:space="preserve"> (based on the current record)</w:t>
      </w:r>
      <w:r w:rsidR="007839F4">
        <w:t xml:space="preserve">, and a </w:t>
      </w:r>
      <w:r w:rsidR="00374037">
        <w:t xml:space="preserve">potentially </w:t>
      </w:r>
      <w:r w:rsidR="007839F4">
        <w:t>different ROE for the portion that has yet to occur</w:t>
      </w:r>
      <w:r w:rsidR="00374037">
        <w:t xml:space="preserve"> (based on new evidence of current market forecasts)</w:t>
      </w:r>
      <w:r w:rsidR="007839F4">
        <w:t xml:space="preserve">.  </w:t>
      </w:r>
    </w:p>
    <w:p w:rsidR="00057B70" w:rsidRDefault="00185154" w:rsidP="00185154">
      <w:pPr>
        <w:pStyle w:val="WUTCParagraph"/>
      </w:pPr>
      <w:r>
        <w:tab/>
      </w:r>
      <w:r w:rsidR="007839F4">
        <w:t xml:space="preserve">Moreover, </w:t>
      </w:r>
      <w:r w:rsidR="00162DF9">
        <w:t xml:space="preserve">one of the Commission’s principal reasons for granting PSE an </w:t>
      </w:r>
      <w:r w:rsidR="00FC6827">
        <w:t>ERF</w:t>
      </w:r>
      <w:r w:rsidR="00162DF9">
        <w:t xml:space="preserve"> and rate plan in the first place</w:t>
      </w:r>
      <w:r w:rsidR="007839F4">
        <w:t xml:space="preserve"> was “</w:t>
      </w:r>
      <w:r w:rsidR="00162DF9">
        <w:t>to relieve all stakeholders and the Commission from the burdens of almost continuous general rate case proceedings that have characterized our utility regulation during recent periods.”</w:t>
      </w:r>
      <w:r w:rsidR="00162DF9" w:rsidRPr="00A2614A">
        <w:rPr>
          <w:rStyle w:val="FootnoteReference"/>
          <w:u w:val="single"/>
        </w:rPr>
        <w:footnoteReference w:id="26"/>
      </w:r>
      <w:r w:rsidR="00A2614A">
        <w:rPr>
          <w:vertAlign w:val="superscript"/>
        </w:rPr>
        <w:t>/</w:t>
      </w:r>
      <w:r w:rsidR="00162DF9">
        <w:t xml:space="preserve">  </w:t>
      </w:r>
      <w:r w:rsidR="00FC6827">
        <w:t>As another state utility commission has recognized, “to reevaluate the return on equity … would make it necessary to open the record for a broad range of issues, all of which could lead to a protracted process not substantially different from an entirely new rate case.”</w:t>
      </w:r>
      <w:r w:rsidR="00FC6827" w:rsidRPr="00A2614A">
        <w:rPr>
          <w:rStyle w:val="FootnoteReference"/>
          <w:u w:val="single"/>
        </w:rPr>
        <w:footnoteReference w:id="27"/>
      </w:r>
      <w:r w:rsidR="00FC6827">
        <w:rPr>
          <w:vertAlign w:val="superscript"/>
        </w:rPr>
        <w:t xml:space="preserve">/  </w:t>
      </w:r>
      <w:r w:rsidR="00160EBE">
        <w:t xml:space="preserve">  </w:t>
      </w:r>
      <w:r w:rsidR="00057B70">
        <w:t xml:space="preserve">  </w:t>
      </w:r>
    </w:p>
    <w:p w:rsidR="00FC6827" w:rsidRDefault="00185154" w:rsidP="00185154">
      <w:pPr>
        <w:pStyle w:val="WUTCParagraph"/>
      </w:pPr>
      <w:r>
        <w:tab/>
      </w:r>
      <w:r w:rsidR="00FC6827">
        <w:t>Procedurally, there would</w:t>
      </w:r>
      <w:r w:rsidR="00057B70">
        <w:t xml:space="preserve"> likely</w:t>
      </w:r>
      <w:r w:rsidR="00C614A6">
        <w:t xml:space="preserve"> </w:t>
      </w:r>
      <w:r w:rsidR="00FC6827">
        <w:t>need to be</w:t>
      </w:r>
      <w:r w:rsidR="00C614A6">
        <w:t xml:space="preserve"> at least two rounds of testimony, briefing, and a hearing – </w:t>
      </w:r>
      <w:r w:rsidR="00057B70">
        <w:t xml:space="preserve">substantially </w:t>
      </w:r>
      <w:r w:rsidR="00C614A6">
        <w:t xml:space="preserve">the same process the Commission would follow in a general rate case.  </w:t>
      </w:r>
      <w:r w:rsidR="00FC6827">
        <w:t xml:space="preserve">Moreover, this would not be a simple, straightforward process.  Determining an appropriate ROE is often one of the most contentious and time-consuming aspects of a rate case.  It most certainly would be in this </w:t>
      </w:r>
      <w:proofErr w:type="gramStart"/>
      <w:r w:rsidR="00FC6827">
        <w:t>remand</w:t>
      </w:r>
      <w:proofErr w:type="gramEnd"/>
      <w:r w:rsidR="00FC6827">
        <w:t xml:space="preserve"> proceeding.  Such a determination is no mere </w:t>
      </w:r>
      <w:r w:rsidR="00FC6827">
        <w:lastRenderedPageBreak/>
        <w:t>ministerial calculation.  It involves an overarching and comprehensive evaluation of PSE’s investment risk.  This is likely to implicate numerous aspects of PSE’s business, which, in turn, is likely to turn this remand process into precisely the type of proceeding the Commission was attempting to avoid in the first place when it issued Order 07.</w:t>
      </w:r>
    </w:p>
    <w:p w:rsidR="00972A94" w:rsidRPr="00FC6827" w:rsidRDefault="00185154" w:rsidP="00185154">
      <w:pPr>
        <w:pStyle w:val="WUTCParagraph"/>
      </w:pPr>
      <w:r>
        <w:tab/>
      </w:r>
      <w:r w:rsidR="00160EBE">
        <w:t>Simply put, there would be no quick resolution to this case if the Commission reopened the record on PSE’s ROE in this proceeding.</w:t>
      </w:r>
      <w:r w:rsidR="00802119">
        <w:t xml:space="preserve">  Accordingly, if the Commission wishes to adhere to its “important policy objective” of relieving the Commission and stakeholders of the burdens of such proceedings, it should not reopen the record in this case.</w:t>
      </w:r>
      <w:r w:rsidR="00802119" w:rsidRPr="00A2614A">
        <w:rPr>
          <w:rStyle w:val="FootnoteReference"/>
          <w:u w:val="single"/>
        </w:rPr>
        <w:footnoteReference w:id="28"/>
      </w:r>
      <w:r w:rsidR="00A2614A">
        <w:rPr>
          <w:vertAlign w:val="superscript"/>
        </w:rPr>
        <w:t>/</w:t>
      </w:r>
      <w:r w:rsidR="00FC6827">
        <w:t xml:space="preserve">  Otherwise, it might as well hold a general rate case for PSE.</w:t>
      </w:r>
    </w:p>
    <w:p w:rsidR="005C7B2B" w:rsidRDefault="005C7B2B" w:rsidP="005C7B2B">
      <w:pPr>
        <w:spacing w:line="480" w:lineRule="auto"/>
        <w:jc w:val="center"/>
      </w:pPr>
      <w:r>
        <w:rPr>
          <w:b/>
        </w:rPr>
        <w:t>IV.</w:t>
      </w:r>
      <w:r>
        <w:rPr>
          <w:b/>
        </w:rPr>
        <w:tab/>
        <w:t>CONCLUSION</w:t>
      </w:r>
    </w:p>
    <w:p w:rsidR="00423D90" w:rsidRDefault="00185154" w:rsidP="00185154">
      <w:pPr>
        <w:pStyle w:val="WUTCParagraph"/>
      </w:pPr>
      <w:r>
        <w:tab/>
      </w:r>
      <w:r w:rsidR="004924BC">
        <w:t>For the foregoing reasons, ICNU proposes that the Commission either hold a general rate case for PSE to determine the Company’s “fair, just, reasonable and sufficient rates” or, alternatively, determine a reasonable ROE for PSE based on the evidence as it currently exists in the record.</w:t>
      </w:r>
      <w:r w:rsidR="007442FE">
        <w:t xml:space="preserve">  Further, ICNU requests that its Petition for </w:t>
      </w:r>
      <w:r w:rsidR="0042149A">
        <w:t>Accounting Order and Motion to Modify Order 07</w:t>
      </w:r>
      <w:r w:rsidR="007442FE">
        <w:t xml:space="preserve"> be granted.</w:t>
      </w:r>
    </w:p>
    <w:p w:rsidR="0042149A" w:rsidRDefault="0042149A" w:rsidP="007E73A7">
      <w:pPr>
        <w:keepNext/>
        <w:spacing w:line="480" w:lineRule="auto"/>
        <w:ind w:firstLine="1440"/>
      </w:pPr>
    </w:p>
    <w:p w:rsidR="007E73A7" w:rsidRDefault="007E73A7" w:rsidP="007E73A7">
      <w:pPr>
        <w:keepNext/>
        <w:spacing w:line="480" w:lineRule="auto"/>
        <w:ind w:firstLine="1440"/>
      </w:pPr>
      <w:bookmarkStart w:id="2" w:name="_GoBack"/>
      <w:bookmarkEnd w:id="2"/>
      <w:r>
        <w:t>Da</w:t>
      </w:r>
      <w:r w:rsidR="00FF6C72">
        <w:t xml:space="preserve">ted in Portland, Oregon, this </w:t>
      </w:r>
      <w:r w:rsidR="00057B70">
        <w:t>26</w:t>
      </w:r>
      <w:r w:rsidR="00FF6C72">
        <w:t>th</w:t>
      </w:r>
      <w:r>
        <w:t xml:space="preserve"> day of </w:t>
      </w:r>
      <w:r w:rsidR="00057B70">
        <w:t>August</w:t>
      </w:r>
      <w:r>
        <w:t>, 2014.</w:t>
      </w:r>
    </w:p>
    <w:p w:rsidR="007E73A7" w:rsidRDefault="007E73A7" w:rsidP="007E73A7">
      <w:pPr>
        <w:keepNext/>
        <w:spacing w:line="480" w:lineRule="auto"/>
        <w:ind w:left="2880" w:firstLine="720"/>
      </w:pPr>
      <w:r>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7E73A7" w:rsidP="007E73A7">
      <w:pPr>
        <w:keepNext/>
        <w:ind w:firstLine="3600"/>
      </w:pPr>
      <w:r>
        <w:t>Tyler C. Pepple</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7E73A7" w:rsidP="007E73A7">
      <w:pPr>
        <w:ind w:left="2912" w:firstLine="688"/>
      </w:pPr>
      <w:r>
        <w:t>tcp@dvclaw.com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3F" w:rsidRDefault="0022253F" w:rsidP="00400717">
      <w:r>
        <w:separator/>
      </w:r>
    </w:p>
  </w:endnote>
  <w:endnote w:type="continuationSeparator" w:id="0">
    <w:p w:rsidR="0022253F" w:rsidRDefault="0022253F"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39" w:rsidRDefault="00520F39">
    <w:pPr>
      <w:pStyle w:val="Footer"/>
    </w:pPr>
    <w:r>
      <w:t xml:space="preserve">PAGE </w:t>
    </w:r>
    <w:sdt>
      <w:sdtPr>
        <w:id w:val="-426735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149A">
          <w:rPr>
            <w:noProof/>
          </w:rPr>
          <w:t>1</w:t>
        </w:r>
        <w:r>
          <w:rPr>
            <w:noProof/>
          </w:rPr>
          <w:fldChar w:fldCharType="end"/>
        </w:r>
        <w:r>
          <w:rPr>
            <w:noProof/>
          </w:rPr>
          <w:t xml:space="preserve"> – ICNU </w:t>
        </w:r>
        <w:r w:rsidR="00972A94">
          <w:rPr>
            <w:noProof/>
          </w:rPr>
          <w:t>PROPOSAL ON REMAND</w:t>
        </w:r>
      </w:sdtContent>
    </w:sdt>
  </w:p>
  <w:p w:rsidR="00520F39" w:rsidRDefault="00520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3F" w:rsidRDefault="0022253F" w:rsidP="00400717">
      <w:r>
        <w:separator/>
      </w:r>
    </w:p>
  </w:footnote>
  <w:footnote w:type="continuationSeparator" w:id="0">
    <w:p w:rsidR="0022253F" w:rsidRDefault="0022253F" w:rsidP="00400717">
      <w:r>
        <w:continuationSeparator/>
      </w:r>
    </w:p>
  </w:footnote>
  <w:footnote w:id="1">
    <w:p w:rsidR="0016612E" w:rsidRDefault="0016612E" w:rsidP="00802119">
      <w:pPr>
        <w:pStyle w:val="FootnoteText"/>
        <w:ind w:left="720" w:hanging="720"/>
      </w:pPr>
      <w:r w:rsidRPr="00A2614A">
        <w:rPr>
          <w:rStyle w:val="FootnoteReference"/>
          <w:u w:val="single"/>
        </w:rPr>
        <w:footnoteRef/>
      </w:r>
      <w:r w:rsidR="00A2614A">
        <w:rPr>
          <w:vertAlign w:val="superscript"/>
        </w:rPr>
        <w:t>/</w:t>
      </w:r>
      <w:r>
        <w:t xml:space="preserve"> </w:t>
      </w:r>
      <w:r>
        <w:tab/>
      </w:r>
      <w:r w:rsidR="00EB40AE">
        <w:t>WUTC Docket Nos. UE-1216</w:t>
      </w:r>
      <w:r>
        <w:t xml:space="preserve">97/UG-121705 and UE-130137/UG-130138, </w:t>
      </w:r>
      <w:r w:rsidR="00802119">
        <w:t>“Letter re: Order</w:t>
      </w:r>
      <w:r w:rsidR="00EB40AE">
        <w:t xml:space="preserve"> of Judge Carol Murphy” (July 25</w:t>
      </w:r>
      <w:r w:rsidR="00802119">
        <w:t>, 2014).</w:t>
      </w:r>
    </w:p>
  </w:footnote>
  <w:footnote w:id="2">
    <w:p w:rsidR="00A22404" w:rsidRDefault="00A22404">
      <w:pPr>
        <w:pStyle w:val="FootnoteText"/>
      </w:pPr>
      <w:r w:rsidRPr="00A2614A">
        <w:rPr>
          <w:rStyle w:val="FootnoteReference"/>
          <w:u w:val="single"/>
        </w:rPr>
        <w:footnoteRef/>
      </w:r>
      <w:r w:rsidR="00A2614A">
        <w:rPr>
          <w:vertAlign w:val="superscript"/>
        </w:rPr>
        <w:t>/</w:t>
      </w:r>
      <w:r>
        <w:t xml:space="preserve"> </w:t>
      </w:r>
      <w:r>
        <w:tab/>
        <w:t>Order 07 ¶ 220.</w:t>
      </w:r>
    </w:p>
  </w:footnote>
  <w:footnote w:id="3">
    <w:p w:rsidR="00802119" w:rsidRPr="00802119" w:rsidRDefault="00802119">
      <w:pPr>
        <w:pStyle w:val="FootnoteText"/>
      </w:pPr>
      <w:r w:rsidRPr="00A2614A">
        <w:rPr>
          <w:rStyle w:val="FootnoteReference"/>
          <w:u w:val="single"/>
        </w:rPr>
        <w:footnoteRef/>
      </w:r>
      <w:r w:rsidR="00A2614A">
        <w:rPr>
          <w:vertAlign w:val="superscript"/>
        </w:rPr>
        <w:t>/</w:t>
      </w:r>
      <w:r>
        <w:t xml:space="preserve"> </w:t>
      </w:r>
      <w:r>
        <w:tab/>
      </w:r>
      <w:r>
        <w:rPr>
          <w:u w:val="single"/>
        </w:rPr>
        <w:t>Id.</w:t>
      </w:r>
      <w:r w:rsidR="00EB40AE">
        <w:t>;</w:t>
      </w:r>
      <w:r>
        <w:t xml:space="preserve"> Super. </w:t>
      </w:r>
      <w:proofErr w:type="gramStart"/>
      <w:r>
        <w:t>Ct. Order at 2</w:t>
      </w:r>
      <w:r w:rsidR="00EB40AE">
        <w:t>.</w:t>
      </w:r>
      <w:proofErr w:type="gramEnd"/>
    </w:p>
  </w:footnote>
  <w:footnote w:id="4">
    <w:p w:rsidR="00802119" w:rsidRPr="00802119" w:rsidRDefault="00802119">
      <w:pPr>
        <w:pStyle w:val="FootnoteText"/>
      </w:pPr>
      <w:r w:rsidRPr="00A2614A">
        <w:rPr>
          <w:rStyle w:val="FootnoteReference"/>
          <w:u w:val="single"/>
        </w:rPr>
        <w:footnoteRef/>
      </w:r>
      <w:r w:rsidR="00A2614A">
        <w:rPr>
          <w:vertAlign w:val="superscript"/>
        </w:rPr>
        <w:t>/</w:t>
      </w:r>
      <w:r>
        <w:t xml:space="preserve"> </w:t>
      </w:r>
      <w:r>
        <w:tab/>
      </w:r>
      <w:r w:rsidR="00EB40AE">
        <w:t>Super. Ct. Order at 3.</w:t>
      </w:r>
    </w:p>
  </w:footnote>
  <w:footnote w:id="5">
    <w:p w:rsidR="00A22404" w:rsidRDefault="00A22404" w:rsidP="00A22404">
      <w:pPr>
        <w:pStyle w:val="FootnoteText"/>
        <w:ind w:left="720" w:hanging="720"/>
      </w:pPr>
      <w:r w:rsidRPr="00A2614A">
        <w:rPr>
          <w:rStyle w:val="FootnoteReference"/>
          <w:u w:val="single"/>
        </w:rPr>
        <w:footnoteRef/>
      </w:r>
      <w:r w:rsidR="00A2614A">
        <w:rPr>
          <w:vertAlign w:val="superscript"/>
        </w:rPr>
        <w:t>/</w:t>
      </w:r>
      <w:r w:rsidR="00EB40AE">
        <w:t xml:space="preserve"> </w:t>
      </w:r>
      <w:r w:rsidR="00EB40AE">
        <w:tab/>
        <w:t xml:space="preserve">WUTC Docket Nos. </w:t>
      </w:r>
      <w:proofErr w:type="gramStart"/>
      <w:r w:rsidR="00EB40AE">
        <w:t>UE-1216</w:t>
      </w:r>
      <w:r>
        <w:t>97/UG-121705 and UE-130137/UG-130138, ICNU Petition for Accounting Order and ICNU Motion to Modify Order 07 (July 30, 2014).</w:t>
      </w:r>
      <w:proofErr w:type="gramEnd"/>
    </w:p>
  </w:footnote>
  <w:footnote w:id="6">
    <w:p w:rsidR="00A22404" w:rsidRDefault="00A22404">
      <w:pPr>
        <w:pStyle w:val="FootnoteText"/>
      </w:pPr>
      <w:r w:rsidRPr="00A2614A">
        <w:rPr>
          <w:rStyle w:val="FootnoteReference"/>
          <w:u w:val="single"/>
        </w:rPr>
        <w:footnoteRef/>
      </w:r>
      <w:r w:rsidR="00A2614A">
        <w:rPr>
          <w:vertAlign w:val="superscript"/>
        </w:rPr>
        <w:t>/</w:t>
      </w:r>
      <w:r>
        <w:t xml:space="preserve"> </w:t>
      </w:r>
      <w:r>
        <w:tab/>
        <w:t>Petition ¶ 8.</w:t>
      </w:r>
    </w:p>
  </w:footnote>
  <w:footnote w:id="7">
    <w:p w:rsidR="00A22404" w:rsidRDefault="00A22404" w:rsidP="00A22404">
      <w:pPr>
        <w:pStyle w:val="FootnoteText"/>
      </w:pPr>
      <w:r w:rsidRPr="00A2614A">
        <w:rPr>
          <w:rStyle w:val="FootnoteReference"/>
          <w:u w:val="single"/>
        </w:rPr>
        <w:footnoteRef/>
      </w:r>
      <w:r w:rsidR="00A2614A">
        <w:rPr>
          <w:vertAlign w:val="superscript"/>
        </w:rPr>
        <w:t>/</w:t>
      </w:r>
      <w:r>
        <w:t xml:space="preserve"> </w:t>
      </w:r>
      <w:r>
        <w:tab/>
      </w:r>
      <w:r>
        <w:rPr>
          <w:u w:val="single"/>
        </w:rPr>
        <w:t>Id.</w:t>
      </w:r>
      <w:r>
        <w:t xml:space="preserve"> ¶ 9.</w:t>
      </w:r>
    </w:p>
  </w:footnote>
  <w:footnote w:id="8">
    <w:p w:rsidR="00A22404" w:rsidRDefault="00A22404">
      <w:pPr>
        <w:pStyle w:val="FootnoteText"/>
      </w:pPr>
      <w:r w:rsidRPr="00A2614A">
        <w:rPr>
          <w:rStyle w:val="FootnoteReference"/>
          <w:u w:val="single"/>
        </w:rPr>
        <w:footnoteRef/>
      </w:r>
      <w:r w:rsidR="00A2614A">
        <w:rPr>
          <w:vertAlign w:val="superscript"/>
        </w:rPr>
        <w:t>/</w:t>
      </w:r>
      <w:r>
        <w:t xml:space="preserve"> </w:t>
      </w:r>
      <w:r>
        <w:tab/>
        <w:t>Motion ¶ 8.</w:t>
      </w:r>
    </w:p>
  </w:footnote>
  <w:footnote w:id="9">
    <w:p w:rsidR="0016612E" w:rsidRDefault="0016612E">
      <w:pPr>
        <w:pStyle w:val="FootnoteText"/>
      </w:pPr>
      <w:r w:rsidRPr="00A2614A">
        <w:rPr>
          <w:rStyle w:val="FootnoteReference"/>
          <w:u w:val="single"/>
        </w:rPr>
        <w:footnoteRef/>
      </w:r>
      <w:r w:rsidR="00A2614A">
        <w:rPr>
          <w:vertAlign w:val="superscript"/>
        </w:rPr>
        <w:t>/</w:t>
      </w:r>
      <w:r>
        <w:t xml:space="preserve"> </w:t>
      </w:r>
      <w:r>
        <w:tab/>
        <w:t>Commission Notice at 2.</w:t>
      </w:r>
    </w:p>
  </w:footnote>
  <w:footnote w:id="10">
    <w:p w:rsidR="007839F4" w:rsidRDefault="007839F4">
      <w:pPr>
        <w:pStyle w:val="FootnoteText"/>
      </w:pPr>
      <w:r w:rsidRPr="00374037">
        <w:rPr>
          <w:rStyle w:val="FootnoteReference"/>
          <w:u w:val="single"/>
        </w:rPr>
        <w:footnoteRef/>
      </w:r>
      <w:r w:rsidR="00374037">
        <w:rPr>
          <w:vertAlign w:val="superscript"/>
        </w:rPr>
        <w:t>/</w:t>
      </w:r>
      <w:r>
        <w:t xml:space="preserve"> </w:t>
      </w:r>
      <w:r>
        <w:tab/>
        <w:t xml:space="preserve">Super. </w:t>
      </w:r>
      <w:proofErr w:type="gramStart"/>
      <w:r>
        <w:t>Ct. Order at 3.</w:t>
      </w:r>
      <w:proofErr w:type="gramEnd"/>
    </w:p>
  </w:footnote>
  <w:footnote w:id="11">
    <w:p w:rsidR="007839F4" w:rsidRDefault="007839F4">
      <w:pPr>
        <w:pStyle w:val="FootnoteText"/>
      </w:pPr>
      <w:r w:rsidRPr="00374037">
        <w:rPr>
          <w:rStyle w:val="FootnoteReference"/>
          <w:u w:val="single"/>
        </w:rPr>
        <w:footnoteRef/>
      </w:r>
      <w:r w:rsidR="00374037">
        <w:rPr>
          <w:vertAlign w:val="superscript"/>
        </w:rPr>
        <w:t>/</w:t>
      </w:r>
      <w:r>
        <w:t xml:space="preserve"> </w:t>
      </w:r>
      <w:r>
        <w:tab/>
        <w:t>Order 07 ¶ 21.</w:t>
      </w:r>
    </w:p>
  </w:footnote>
  <w:footnote w:id="12">
    <w:p w:rsidR="00A22404" w:rsidRDefault="00A22404">
      <w:pPr>
        <w:pStyle w:val="FootnoteText"/>
      </w:pPr>
      <w:r w:rsidRPr="00A2614A">
        <w:rPr>
          <w:rStyle w:val="FootnoteReference"/>
          <w:u w:val="single"/>
        </w:rPr>
        <w:footnoteRef/>
      </w:r>
      <w:r w:rsidR="00A2614A">
        <w:rPr>
          <w:vertAlign w:val="superscript"/>
        </w:rPr>
        <w:t>/</w:t>
      </w:r>
      <w:r>
        <w:t xml:space="preserve"> </w:t>
      </w:r>
      <w:r>
        <w:tab/>
        <w:t>Motion ¶¶ 6-8; Petition ¶ 7.</w:t>
      </w:r>
    </w:p>
  </w:footnote>
  <w:footnote w:id="13">
    <w:p w:rsidR="005661AE" w:rsidRDefault="005661AE">
      <w:pPr>
        <w:pStyle w:val="FootnoteText"/>
      </w:pPr>
      <w:r w:rsidRPr="00A2614A">
        <w:rPr>
          <w:rStyle w:val="FootnoteReference"/>
          <w:u w:val="single"/>
        </w:rPr>
        <w:footnoteRef/>
      </w:r>
      <w:r w:rsidR="00A2614A">
        <w:rPr>
          <w:vertAlign w:val="superscript"/>
        </w:rPr>
        <w:t>/</w:t>
      </w:r>
      <w:r>
        <w:t xml:space="preserve"> </w:t>
      </w:r>
      <w:r>
        <w:tab/>
        <w:t xml:space="preserve">ICNU Ex. No. </w:t>
      </w:r>
      <w:proofErr w:type="gramStart"/>
      <w:r>
        <w:t>__ (MPG-3).</w:t>
      </w:r>
      <w:proofErr w:type="gramEnd"/>
    </w:p>
  </w:footnote>
  <w:footnote w:id="14">
    <w:p w:rsidR="005661AE" w:rsidRDefault="005661AE">
      <w:pPr>
        <w:pStyle w:val="FootnoteText"/>
      </w:pPr>
      <w:r w:rsidRPr="00A2614A">
        <w:rPr>
          <w:rStyle w:val="FootnoteReference"/>
          <w:u w:val="single"/>
        </w:rPr>
        <w:footnoteRef/>
      </w:r>
      <w:r w:rsidR="00A2614A">
        <w:rPr>
          <w:vertAlign w:val="superscript"/>
        </w:rPr>
        <w:t>/</w:t>
      </w:r>
      <w:r>
        <w:t xml:space="preserve"> </w:t>
      </w:r>
      <w:r>
        <w:tab/>
        <w:t>Order 07, Separate Statement of Commissioner Jones ¶ 4.</w:t>
      </w:r>
    </w:p>
  </w:footnote>
  <w:footnote w:id="15">
    <w:p w:rsidR="007839F4" w:rsidRDefault="007839F4" w:rsidP="00374037">
      <w:pPr>
        <w:pStyle w:val="FootnoteText"/>
        <w:ind w:left="720" w:hanging="720"/>
      </w:pPr>
      <w:r w:rsidRPr="00374037">
        <w:rPr>
          <w:rStyle w:val="FootnoteReference"/>
          <w:u w:val="single"/>
        </w:rPr>
        <w:footnoteRef/>
      </w:r>
      <w:r w:rsidR="00374037">
        <w:rPr>
          <w:vertAlign w:val="superscript"/>
        </w:rPr>
        <w:t>/</w:t>
      </w:r>
      <w:r>
        <w:t xml:space="preserve"> </w:t>
      </w:r>
      <w:r>
        <w:tab/>
      </w:r>
      <w:r w:rsidR="00374037" w:rsidRPr="00682CCD">
        <w:rPr>
          <w:u w:val="single"/>
        </w:rPr>
        <w:t>WUTC v. American Water Res., Inc.</w:t>
      </w:r>
      <w:r w:rsidR="00374037">
        <w:t>, Docket Nos. UW-980072, UW-980258, UW-980265, UW-980076, 1999 Wash. UTC LEXIS 63, 6th Supp. Order at *12-*17 (Jan. 21, 1999).</w:t>
      </w:r>
    </w:p>
  </w:footnote>
  <w:footnote w:id="16">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t xml:space="preserve">Attachment A (Affidavit of Michael P. </w:t>
      </w:r>
      <w:r>
        <w:t>Gorman</w:t>
      </w:r>
      <w:r w:rsidR="00E8600D">
        <w:t>)</w:t>
      </w:r>
      <w:r>
        <w:t xml:space="preserve"> ¶ </w:t>
      </w:r>
      <w:r w:rsidR="00E8600D">
        <w:t>7</w:t>
      </w:r>
      <w:r>
        <w:t>.</w:t>
      </w:r>
    </w:p>
  </w:footnote>
  <w:footnote w:id="17">
    <w:p w:rsidR="00057B70" w:rsidRPr="00057B70" w:rsidRDefault="00057B70">
      <w:pPr>
        <w:pStyle w:val="FootnoteText"/>
      </w:pPr>
      <w:r w:rsidRPr="00A2614A">
        <w:rPr>
          <w:rStyle w:val="FootnoteReference"/>
          <w:u w:val="single"/>
        </w:rPr>
        <w:footnoteRef/>
      </w:r>
      <w:r w:rsidR="00A2614A">
        <w:rPr>
          <w:vertAlign w:val="superscript"/>
        </w:rPr>
        <w:t>/</w:t>
      </w:r>
      <w:r w:rsidR="00E8600D">
        <w:t xml:space="preserve"> </w:t>
      </w:r>
      <w:r w:rsidR="00E8600D">
        <w:tab/>
      </w:r>
      <w:r w:rsidR="00E8600D">
        <w:rPr>
          <w:u w:val="single"/>
        </w:rPr>
        <w:t>Id.</w:t>
      </w:r>
      <w:r w:rsidR="00E8600D">
        <w:t xml:space="preserve"> ¶ 8</w:t>
      </w:r>
      <w:r>
        <w:t>.</w:t>
      </w:r>
    </w:p>
  </w:footnote>
  <w:footnote w:id="18">
    <w:p w:rsidR="00E8600D" w:rsidRPr="00E8600D" w:rsidRDefault="00E8600D">
      <w:pPr>
        <w:pStyle w:val="FootnoteText"/>
        <w:rPr>
          <w:u w:val="single"/>
        </w:rPr>
      </w:pPr>
      <w:r w:rsidRPr="00E8600D">
        <w:rPr>
          <w:rStyle w:val="FootnoteReference"/>
          <w:u w:val="single"/>
        </w:rPr>
        <w:footnoteRef/>
      </w:r>
      <w:r>
        <w:rPr>
          <w:vertAlign w:val="superscript"/>
        </w:rPr>
        <w:t>/</w:t>
      </w:r>
      <w:r>
        <w:t xml:space="preserve"> </w:t>
      </w:r>
      <w:r>
        <w:tab/>
      </w:r>
      <w:r>
        <w:rPr>
          <w:u w:val="single"/>
        </w:rPr>
        <w:t>Id.</w:t>
      </w:r>
    </w:p>
  </w:footnote>
  <w:footnote w:id="19">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rPr>
          <w:u w:val="single"/>
        </w:rPr>
        <w:t>Id.</w:t>
      </w:r>
      <w:r>
        <w:t xml:space="preserve"> ¶ </w:t>
      </w:r>
      <w:r w:rsidR="00E8600D">
        <w:t>9</w:t>
      </w:r>
      <w:r>
        <w:t>.</w:t>
      </w:r>
    </w:p>
  </w:footnote>
  <w:footnote w:id="20">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rPr>
          <w:u w:val="single"/>
        </w:rPr>
        <w:t>Id.</w:t>
      </w:r>
      <w:r>
        <w:t xml:space="preserve"> ¶</w:t>
      </w:r>
      <w:r w:rsidR="00E8600D">
        <w:t>¶</w:t>
      </w:r>
      <w:r>
        <w:t xml:space="preserve"> </w:t>
      </w:r>
      <w:r w:rsidR="00E8600D">
        <w:t>9, 11</w:t>
      </w:r>
      <w:r>
        <w:t>.</w:t>
      </w:r>
    </w:p>
  </w:footnote>
  <w:footnote w:id="21">
    <w:p w:rsidR="00E8600D" w:rsidRPr="00E8600D" w:rsidRDefault="00E8600D">
      <w:pPr>
        <w:pStyle w:val="FootnoteText"/>
      </w:pPr>
      <w:r w:rsidRPr="00E8600D">
        <w:rPr>
          <w:rStyle w:val="FootnoteReference"/>
          <w:u w:val="single"/>
        </w:rPr>
        <w:footnoteRef/>
      </w:r>
      <w:r>
        <w:rPr>
          <w:vertAlign w:val="superscript"/>
        </w:rPr>
        <w:t>/</w:t>
      </w:r>
      <w:r>
        <w:t xml:space="preserve"> </w:t>
      </w:r>
      <w:r>
        <w:tab/>
      </w:r>
      <w:r>
        <w:rPr>
          <w:u w:val="single"/>
        </w:rPr>
        <w:t>Id.</w:t>
      </w:r>
      <w:r>
        <w:t xml:space="preserve"> ¶ 10.</w:t>
      </w:r>
    </w:p>
  </w:footnote>
  <w:footnote w:id="22">
    <w:p w:rsidR="00E8600D" w:rsidRPr="00E8600D" w:rsidRDefault="00E8600D">
      <w:pPr>
        <w:pStyle w:val="FootnoteText"/>
        <w:rPr>
          <w:u w:val="single"/>
        </w:rPr>
      </w:pPr>
      <w:r w:rsidRPr="00E8600D">
        <w:rPr>
          <w:rStyle w:val="FootnoteReference"/>
          <w:u w:val="single"/>
        </w:rPr>
        <w:footnoteRef/>
      </w:r>
      <w:r>
        <w:rPr>
          <w:vertAlign w:val="superscript"/>
        </w:rPr>
        <w:t>/</w:t>
      </w:r>
      <w:r>
        <w:t xml:space="preserve"> </w:t>
      </w:r>
      <w:r>
        <w:tab/>
      </w:r>
      <w:r>
        <w:rPr>
          <w:u w:val="single"/>
        </w:rPr>
        <w:t>Id.</w:t>
      </w:r>
    </w:p>
  </w:footnote>
  <w:footnote w:id="23">
    <w:p w:rsidR="00E8600D" w:rsidRPr="00E8600D" w:rsidRDefault="00E8600D">
      <w:pPr>
        <w:pStyle w:val="FootnoteText"/>
      </w:pPr>
      <w:r w:rsidRPr="00E8600D">
        <w:rPr>
          <w:rStyle w:val="FootnoteReference"/>
          <w:u w:val="single"/>
        </w:rPr>
        <w:footnoteRef/>
      </w:r>
      <w:r>
        <w:rPr>
          <w:vertAlign w:val="superscript"/>
        </w:rPr>
        <w:t>/</w:t>
      </w:r>
      <w:r>
        <w:t xml:space="preserve"> </w:t>
      </w:r>
      <w:r>
        <w:tab/>
      </w:r>
      <w:r>
        <w:rPr>
          <w:u w:val="single"/>
        </w:rPr>
        <w:t>Id.</w:t>
      </w:r>
      <w:r>
        <w:t xml:space="preserve"> ¶ 11.</w:t>
      </w:r>
    </w:p>
  </w:footnote>
  <w:footnote w:id="24">
    <w:p w:rsidR="00130590" w:rsidRDefault="00130590" w:rsidP="00130590">
      <w:pPr>
        <w:pStyle w:val="FootnoteText"/>
        <w:ind w:left="720" w:hanging="720"/>
      </w:pPr>
      <w:r w:rsidRPr="00130590">
        <w:rPr>
          <w:rStyle w:val="FootnoteReference"/>
          <w:u w:val="single"/>
        </w:rPr>
        <w:footnoteRef/>
      </w:r>
      <w:r>
        <w:rPr>
          <w:vertAlign w:val="superscript"/>
        </w:rPr>
        <w:t>/</w:t>
      </w:r>
      <w:r>
        <w:t xml:space="preserve"> </w:t>
      </w:r>
      <w:r>
        <w:tab/>
        <w:t>Nevertheless, if the Commission determines to undertake a retrospective examination of PSE’s ROE, ICNU plans to fully participate in this process.</w:t>
      </w:r>
    </w:p>
  </w:footnote>
  <w:footnote w:id="25">
    <w:p w:rsidR="007839F4" w:rsidRDefault="007839F4">
      <w:pPr>
        <w:pStyle w:val="FootnoteText"/>
      </w:pPr>
      <w:r w:rsidRPr="00374037">
        <w:rPr>
          <w:rStyle w:val="FootnoteReference"/>
          <w:u w:val="single"/>
        </w:rPr>
        <w:footnoteRef/>
      </w:r>
      <w:r w:rsidR="00374037">
        <w:rPr>
          <w:vertAlign w:val="superscript"/>
        </w:rPr>
        <w:t>/</w:t>
      </w:r>
      <w:r>
        <w:t xml:space="preserve"> </w:t>
      </w:r>
      <w:r>
        <w:tab/>
      </w:r>
      <w:r w:rsidR="00374037">
        <w:t>Order 07 ¶ 15</w:t>
      </w:r>
      <w:r>
        <w:t>.</w:t>
      </w:r>
    </w:p>
  </w:footnote>
  <w:footnote w:id="26">
    <w:p w:rsidR="00162DF9" w:rsidRDefault="00162DF9">
      <w:pPr>
        <w:pStyle w:val="FootnoteText"/>
      </w:pPr>
      <w:r w:rsidRPr="00A2614A">
        <w:rPr>
          <w:rStyle w:val="FootnoteReference"/>
          <w:u w:val="single"/>
        </w:rPr>
        <w:footnoteRef/>
      </w:r>
      <w:r w:rsidR="00A2614A">
        <w:rPr>
          <w:vertAlign w:val="superscript"/>
        </w:rPr>
        <w:t>/</w:t>
      </w:r>
      <w:r w:rsidR="00374037">
        <w:t xml:space="preserve"> </w:t>
      </w:r>
      <w:r w:rsidR="00374037">
        <w:tab/>
      </w:r>
      <w:r w:rsidR="00374037">
        <w:rPr>
          <w:u w:val="single"/>
        </w:rPr>
        <w:t>Id.</w:t>
      </w:r>
      <w:r>
        <w:t xml:space="preserve"> ¶ 21.</w:t>
      </w:r>
    </w:p>
  </w:footnote>
  <w:footnote w:id="27">
    <w:p w:rsidR="00FC6827" w:rsidRPr="00160EBE" w:rsidRDefault="00FC6827" w:rsidP="00FC6827">
      <w:pPr>
        <w:pStyle w:val="FootnoteText"/>
        <w:ind w:left="720" w:hanging="720"/>
      </w:pPr>
      <w:r w:rsidRPr="00A2614A">
        <w:rPr>
          <w:rStyle w:val="FootnoteReference"/>
          <w:u w:val="single"/>
        </w:rPr>
        <w:footnoteRef/>
      </w:r>
      <w:r>
        <w:rPr>
          <w:vertAlign w:val="superscript"/>
        </w:rPr>
        <w:t>/</w:t>
      </w:r>
      <w:r>
        <w:t xml:space="preserve"> </w:t>
      </w:r>
      <w:r>
        <w:tab/>
      </w:r>
      <w:r>
        <w:rPr>
          <w:u w:val="single"/>
        </w:rPr>
        <w:t>In re Applications of Westar Energy, Inc.</w:t>
      </w:r>
      <w:r>
        <w:t xml:space="preserve">, Kan. Corp. </w:t>
      </w:r>
      <w:proofErr w:type="spellStart"/>
      <w:r>
        <w:t>Comm’n</w:t>
      </w:r>
      <w:proofErr w:type="spellEnd"/>
      <w:r>
        <w:t xml:space="preserve"> Docket No. 05-WSEE-981-RTS, 2007 Kan. PUC LEXIS 187, *22 (Feb. 8, 2007).</w:t>
      </w:r>
    </w:p>
  </w:footnote>
  <w:footnote w:id="28">
    <w:p w:rsidR="00802119" w:rsidRDefault="00802119">
      <w:pPr>
        <w:pStyle w:val="FootnoteText"/>
      </w:pPr>
      <w:r w:rsidRPr="00A2614A">
        <w:rPr>
          <w:rStyle w:val="FootnoteReference"/>
          <w:u w:val="single"/>
        </w:rPr>
        <w:footnoteRef/>
      </w:r>
      <w:r w:rsidR="00A2614A">
        <w:rPr>
          <w:vertAlign w:val="superscript"/>
        </w:rPr>
        <w:t>/</w:t>
      </w:r>
      <w:r>
        <w:t xml:space="preserve"> </w:t>
      </w:r>
      <w:r>
        <w:tab/>
        <w:t>Order 07 ¶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7D"/>
    <w:rsid w:val="000015B0"/>
    <w:rsid w:val="00015413"/>
    <w:rsid w:val="00041527"/>
    <w:rsid w:val="00057B70"/>
    <w:rsid w:val="000C231D"/>
    <w:rsid w:val="00130590"/>
    <w:rsid w:val="0014527D"/>
    <w:rsid w:val="00160EBE"/>
    <w:rsid w:val="00162DF9"/>
    <w:rsid w:val="0016612E"/>
    <w:rsid w:val="001850BC"/>
    <w:rsid w:val="00185154"/>
    <w:rsid w:val="0018645C"/>
    <w:rsid w:val="001A6EEB"/>
    <w:rsid w:val="001E1438"/>
    <w:rsid w:val="0022253F"/>
    <w:rsid w:val="00233F9C"/>
    <w:rsid w:val="00253C4F"/>
    <w:rsid w:val="0029047B"/>
    <w:rsid w:val="003257D6"/>
    <w:rsid w:val="00374037"/>
    <w:rsid w:val="00381BFE"/>
    <w:rsid w:val="00385D77"/>
    <w:rsid w:val="003A02B8"/>
    <w:rsid w:val="003A1482"/>
    <w:rsid w:val="003C0368"/>
    <w:rsid w:val="003E75B5"/>
    <w:rsid w:val="00400717"/>
    <w:rsid w:val="00401BAA"/>
    <w:rsid w:val="0042149A"/>
    <w:rsid w:val="00423D90"/>
    <w:rsid w:val="004379DF"/>
    <w:rsid w:val="0048581C"/>
    <w:rsid w:val="004924BC"/>
    <w:rsid w:val="004A373F"/>
    <w:rsid w:val="004E137E"/>
    <w:rsid w:val="004E4D9B"/>
    <w:rsid w:val="0051675B"/>
    <w:rsid w:val="005205B8"/>
    <w:rsid w:val="00520F39"/>
    <w:rsid w:val="005269CB"/>
    <w:rsid w:val="005661AE"/>
    <w:rsid w:val="0057443A"/>
    <w:rsid w:val="005C7B2B"/>
    <w:rsid w:val="005D30A4"/>
    <w:rsid w:val="005E4BC1"/>
    <w:rsid w:val="005E5124"/>
    <w:rsid w:val="00601917"/>
    <w:rsid w:val="006208EB"/>
    <w:rsid w:val="00630A50"/>
    <w:rsid w:val="0066707D"/>
    <w:rsid w:val="006E3C22"/>
    <w:rsid w:val="006F150D"/>
    <w:rsid w:val="0070335C"/>
    <w:rsid w:val="00703E39"/>
    <w:rsid w:val="007442FE"/>
    <w:rsid w:val="007839F4"/>
    <w:rsid w:val="007E5F36"/>
    <w:rsid w:val="007E73A7"/>
    <w:rsid w:val="00802119"/>
    <w:rsid w:val="008E677A"/>
    <w:rsid w:val="008F0340"/>
    <w:rsid w:val="00972A94"/>
    <w:rsid w:val="00981795"/>
    <w:rsid w:val="009C0AD8"/>
    <w:rsid w:val="00A03DA9"/>
    <w:rsid w:val="00A22404"/>
    <w:rsid w:val="00A2614A"/>
    <w:rsid w:val="00B020CF"/>
    <w:rsid w:val="00B51675"/>
    <w:rsid w:val="00C17587"/>
    <w:rsid w:val="00C614A6"/>
    <w:rsid w:val="00CC353B"/>
    <w:rsid w:val="00CF2FD8"/>
    <w:rsid w:val="00D431C6"/>
    <w:rsid w:val="00D500EB"/>
    <w:rsid w:val="00D516DF"/>
    <w:rsid w:val="00DC7723"/>
    <w:rsid w:val="00E058F4"/>
    <w:rsid w:val="00E11DEE"/>
    <w:rsid w:val="00E8600D"/>
    <w:rsid w:val="00E94984"/>
    <w:rsid w:val="00EB40AE"/>
    <w:rsid w:val="00EC0328"/>
    <w:rsid w:val="00EC2743"/>
    <w:rsid w:val="00ED6BBA"/>
    <w:rsid w:val="00EE49EC"/>
    <w:rsid w:val="00EF17BB"/>
    <w:rsid w:val="00FA324A"/>
    <w:rsid w:val="00FB5DE9"/>
    <w:rsid w:val="00FC6827"/>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83534-08C4-49B5-83E2-47F198B6E13F}"/>
</file>

<file path=customXml/itemProps2.xml><?xml version="1.0" encoding="utf-8"?>
<ds:datastoreItem xmlns:ds="http://schemas.openxmlformats.org/officeDocument/2006/customXml" ds:itemID="{9B85B413-1CE9-4B93-A44B-E73B801BDC3F}"/>
</file>

<file path=customXml/itemProps3.xml><?xml version="1.0" encoding="utf-8"?>
<ds:datastoreItem xmlns:ds="http://schemas.openxmlformats.org/officeDocument/2006/customXml" ds:itemID="{3BD086A4-A5D2-48CB-9319-49B456EFD71C}"/>
</file>

<file path=customXml/itemProps4.xml><?xml version="1.0" encoding="utf-8"?>
<ds:datastoreItem xmlns:ds="http://schemas.openxmlformats.org/officeDocument/2006/customXml" ds:itemID="{92E31FC9-8D7C-462C-8F98-AD0199CAE9D7}"/>
</file>

<file path=customXml/itemProps5.xml><?xml version="1.0" encoding="utf-8"?>
<ds:datastoreItem xmlns:ds="http://schemas.openxmlformats.org/officeDocument/2006/customXml" ds:itemID="{CE6C0F76-E849-4B58-A9AF-BC69EB6252AC}"/>
</file>

<file path=docProps/app.xml><?xml version="1.0" encoding="utf-8"?>
<Properties xmlns="http://schemas.openxmlformats.org/officeDocument/2006/extended-properties" xmlns:vt="http://schemas.openxmlformats.org/officeDocument/2006/docPropsVTypes">
  <Template>Normal</Template>
  <TotalTime>321</TotalTime>
  <Pages>8</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11</cp:revision>
  <cp:lastPrinted>2014-08-25T18:13:00Z</cp:lastPrinted>
  <dcterms:created xsi:type="dcterms:W3CDTF">2014-08-21T16:17:00Z</dcterms:created>
  <dcterms:modified xsi:type="dcterms:W3CDTF">2014-08-26T15:38:00Z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