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Garamond" w:eastAsia="Times New Roman" w:hAnsi="Garamond" w:cs="Times New Roman"/>
          <w:b w:val="0"/>
          <w:bCs w:val="0"/>
          <w:color w:val="auto"/>
          <w:sz w:val="24"/>
          <w:szCs w:val="20"/>
        </w:rPr>
        <w:id w:val="1982037465"/>
        <w:docPartObj>
          <w:docPartGallery w:val="Table of Contents"/>
          <w:docPartUnique/>
        </w:docPartObj>
      </w:sdtPr>
      <w:sdtEndPr>
        <w:rPr>
          <w:noProof/>
        </w:rPr>
      </w:sdtEndPr>
      <w:sdtContent>
        <w:p w:rsidR="00815C1B" w:rsidRPr="00815C1B" w:rsidRDefault="00815C1B" w:rsidP="00FD480C">
          <w:pPr>
            <w:pStyle w:val="TOCHeading"/>
            <w:suppressLineNumbers/>
            <w:spacing w:before="0" w:line="360" w:lineRule="auto"/>
            <w:jc w:val="center"/>
            <w:rPr>
              <w:rFonts w:ascii="Times New Roman" w:hAnsi="Times New Roman" w:cs="Times New Roman"/>
              <w:color w:val="auto"/>
              <w:sz w:val="24"/>
              <w:szCs w:val="24"/>
            </w:rPr>
          </w:pPr>
          <w:r w:rsidRPr="00815C1B">
            <w:rPr>
              <w:rFonts w:ascii="Times New Roman" w:hAnsi="Times New Roman" w:cs="Times New Roman"/>
              <w:color w:val="auto"/>
              <w:sz w:val="24"/>
              <w:szCs w:val="24"/>
            </w:rPr>
            <w:t>TABLE OF CONTENTS</w:t>
          </w:r>
        </w:p>
        <w:p w:rsidR="00815C1B" w:rsidRPr="00815C1B" w:rsidRDefault="00815C1B" w:rsidP="00FD480C">
          <w:pPr>
            <w:pStyle w:val="TOC1"/>
            <w:suppressLineNumbers/>
            <w:spacing w:after="0" w:line="360" w:lineRule="auto"/>
            <w:rPr>
              <w:rFonts w:ascii="Times New Roman" w:eastAsiaTheme="minorEastAsia" w:hAnsi="Times New Roman"/>
              <w:noProof/>
              <w:sz w:val="22"/>
              <w:szCs w:val="22"/>
            </w:rPr>
          </w:pPr>
          <w:r>
            <w:fldChar w:fldCharType="begin"/>
          </w:r>
          <w:r>
            <w:instrText xml:space="preserve"> TOC \o "1-3" \h \z \u </w:instrText>
          </w:r>
          <w:r>
            <w:fldChar w:fldCharType="separate"/>
          </w:r>
          <w:hyperlink w:anchor="_Toc403654569" w:history="1">
            <w:r w:rsidRPr="00815C1B">
              <w:rPr>
                <w:rStyle w:val="Hyperlink"/>
                <w:rFonts w:ascii="Times New Roman" w:hAnsi="Times New Roman"/>
                <w:noProof/>
              </w:rPr>
              <w:t>PURPOSE AND SUMMARY</w:t>
            </w:r>
            <w:r w:rsidRPr="00815C1B">
              <w:rPr>
                <w:rFonts w:ascii="Times New Roman" w:hAnsi="Times New Roman"/>
                <w:noProof/>
                <w:webHidden/>
              </w:rPr>
              <w:tab/>
            </w:r>
            <w:r w:rsidRPr="00815C1B">
              <w:rPr>
                <w:rFonts w:ascii="Times New Roman" w:hAnsi="Times New Roman"/>
                <w:noProof/>
                <w:webHidden/>
              </w:rPr>
              <w:fldChar w:fldCharType="begin"/>
            </w:r>
            <w:r w:rsidRPr="00815C1B">
              <w:rPr>
                <w:rFonts w:ascii="Times New Roman" w:hAnsi="Times New Roman"/>
                <w:noProof/>
                <w:webHidden/>
              </w:rPr>
              <w:instrText xml:space="preserve"> PAGEREF _Toc403654569 \h </w:instrText>
            </w:r>
            <w:r w:rsidRPr="00815C1B">
              <w:rPr>
                <w:rFonts w:ascii="Times New Roman" w:hAnsi="Times New Roman"/>
                <w:noProof/>
                <w:webHidden/>
              </w:rPr>
            </w:r>
            <w:r w:rsidRPr="00815C1B">
              <w:rPr>
                <w:rFonts w:ascii="Times New Roman" w:hAnsi="Times New Roman"/>
                <w:noProof/>
                <w:webHidden/>
              </w:rPr>
              <w:fldChar w:fldCharType="separate"/>
            </w:r>
            <w:r w:rsidR="003329FD">
              <w:rPr>
                <w:rFonts w:ascii="Times New Roman" w:hAnsi="Times New Roman"/>
                <w:noProof/>
                <w:webHidden/>
              </w:rPr>
              <w:t>1</w:t>
            </w:r>
            <w:r w:rsidRPr="00815C1B">
              <w:rPr>
                <w:rFonts w:ascii="Times New Roman" w:hAnsi="Times New Roman"/>
                <w:noProof/>
                <w:webHidden/>
              </w:rPr>
              <w:fldChar w:fldCharType="end"/>
            </w:r>
          </w:hyperlink>
        </w:p>
        <w:p w:rsidR="00815C1B" w:rsidRPr="00815C1B" w:rsidRDefault="0058497B" w:rsidP="00FD480C">
          <w:pPr>
            <w:pStyle w:val="TOC1"/>
            <w:suppressLineNumbers/>
            <w:spacing w:after="0" w:line="360" w:lineRule="auto"/>
            <w:rPr>
              <w:rFonts w:ascii="Times New Roman" w:eastAsiaTheme="minorEastAsia" w:hAnsi="Times New Roman"/>
              <w:noProof/>
              <w:sz w:val="22"/>
              <w:szCs w:val="22"/>
            </w:rPr>
          </w:pPr>
          <w:hyperlink w:anchor="_Toc403654570" w:history="1">
            <w:r w:rsidR="00815C1B" w:rsidRPr="00815C1B">
              <w:rPr>
                <w:rStyle w:val="Hyperlink"/>
                <w:rFonts w:ascii="Times New Roman" w:hAnsi="Times New Roman"/>
                <w:noProof/>
              </w:rPr>
              <w:t>COST OF SERVICE</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_Toc403654570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3</w:t>
            </w:r>
            <w:r w:rsidR="00815C1B" w:rsidRPr="00815C1B">
              <w:rPr>
                <w:rFonts w:ascii="Times New Roman" w:hAnsi="Times New Roman"/>
                <w:noProof/>
                <w:webHidden/>
              </w:rPr>
              <w:fldChar w:fldCharType="end"/>
            </w:r>
          </w:hyperlink>
        </w:p>
        <w:p w:rsidR="00815C1B" w:rsidRPr="00815C1B" w:rsidRDefault="0058497B" w:rsidP="00FD480C">
          <w:pPr>
            <w:pStyle w:val="TOC1"/>
            <w:suppressLineNumbers/>
            <w:spacing w:after="0" w:line="360" w:lineRule="auto"/>
            <w:rPr>
              <w:rFonts w:ascii="Times New Roman" w:eastAsiaTheme="minorEastAsia" w:hAnsi="Times New Roman"/>
              <w:noProof/>
              <w:sz w:val="22"/>
              <w:szCs w:val="22"/>
            </w:rPr>
          </w:pPr>
          <w:hyperlink w:anchor="_Toc403654571" w:history="1">
            <w:r w:rsidR="00815C1B" w:rsidRPr="00815C1B">
              <w:rPr>
                <w:rStyle w:val="Hyperlink"/>
                <w:rFonts w:ascii="Times New Roman" w:hAnsi="Times New Roman"/>
                <w:noProof/>
              </w:rPr>
              <w:t>RATE SPREAD</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_Toc403654571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17</w:t>
            </w:r>
            <w:r w:rsidR="00815C1B" w:rsidRPr="00815C1B">
              <w:rPr>
                <w:rFonts w:ascii="Times New Roman" w:hAnsi="Times New Roman"/>
                <w:noProof/>
                <w:webHidden/>
              </w:rPr>
              <w:fldChar w:fldCharType="end"/>
            </w:r>
          </w:hyperlink>
        </w:p>
        <w:p w:rsidR="00815C1B" w:rsidRPr="00815C1B" w:rsidRDefault="0058497B" w:rsidP="00FD480C">
          <w:pPr>
            <w:pStyle w:val="TOC1"/>
            <w:suppressLineNumbers/>
            <w:spacing w:after="0" w:line="360" w:lineRule="auto"/>
            <w:rPr>
              <w:rFonts w:ascii="Times New Roman" w:eastAsiaTheme="minorEastAsia" w:hAnsi="Times New Roman"/>
              <w:noProof/>
              <w:sz w:val="22"/>
              <w:szCs w:val="22"/>
            </w:rPr>
          </w:pPr>
          <w:hyperlink w:anchor="_Toc403654572" w:history="1">
            <w:r w:rsidR="00815C1B" w:rsidRPr="00815C1B">
              <w:rPr>
                <w:rStyle w:val="Hyperlink"/>
                <w:rFonts w:ascii="Times New Roman" w:hAnsi="Times New Roman"/>
                <w:noProof/>
              </w:rPr>
              <w:t>RATE UNBUNDLING</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_Toc403654572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19</w:t>
            </w:r>
            <w:r w:rsidR="00815C1B" w:rsidRPr="00815C1B">
              <w:rPr>
                <w:rFonts w:ascii="Times New Roman" w:hAnsi="Times New Roman"/>
                <w:noProof/>
                <w:webHidden/>
              </w:rPr>
              <w:fldChar w:fldCharType="end"/>
            </w:r>
          </w:hyperlink>
        </w:p>
        <w:p w:rsidR="00815C1B" w:rsidRPr="00815C1B" w:rsidRDefault="0058497B" w:rsidP="00FD480C">
          <w:pPr>
            <w:pStyle w:val="TOC1"/>
            <w:suppressLineNumbers/>
            <w:spacing w:after="0" w:line="360" w:lineRule="auto"/>
            <w:rPr>
              <w:rFonts w:ascii="Times New Roman" w:eastAsiaTheme="minorEastAsia" w:hAnsi="Times New Roman"/>
              <w:noProof/>
              <w:sz w:val="22"/>
              <w:szCs w:val="22"/>
            </w:rPr>
          </w:pPr>
          <w:hyperlink w:anchor="_Toc403654573" w:history="1">
            <w:r w:rsidR="00815C1B" w:rsidRPr="00815C1B">
              <w:rPr>
                <w:rStyle w:val="Hyperlink"/>
                <w:rFonts w:ascii="Times New Roman" w:hAnsi="Times New Roman"/>
                <w:noProof/>
              </w:rPr>
              <w:t>RESIDENTIAL RATE DESIGN</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_Toc403654573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21</w:t>
            </w:r>
            <w:r w:rsidR="00815C1B" w:rsidRPr="00815C1B">
              <w:rPr>
                <w:rFonts w:ascii="Times New Roman" w:hAnsi="Times New Roman"/>
                <w:noProof/>
                <w:webHidden/>
              </w:rPr>
              <w:fldChar w:fldCharType="end"/>
            </w:r>
          </w:hyperlink>
        </w:p>
        <w:p w:rsidR="00815C1B" w:rsidRPr="00FD480C" w:rsidRDefault="00815C1B" w:rsidP="00FD480C">
          <w:pPr>
            <w:pStyle w:val="TOC2"/>
            <w:spacing w:line="360" w:lineRule="auto"/>
            <w:rPr>
              <w:rFonts w:eastAsiaTheme="minorEastAsia"/>
              <w:sz w:val="22"/>
              <w:szCs w:val="22"/>
            </w:rPr>
          </w:pPr>
          <w:r w:rsidRPr="00FD480C">
            <w:rPr>
              <w:rStyle w:val="Hyperlink"/>
              <w:u w:val="none"/>
            </w:rPr>
            <w:tab/>
          </w:r>
          <w:hyperlink w:anchor="_Toc403654574" w:history="1">
            <w:r w:rsidRPr="00FD480C">
              <w:rPr>
                <w:rStyle w:val="Hyperlink"/>
              </w:rPr>
              <w:t>Residential Basic Charge</w:t>
            </w:r>
            <w:r w:rsidRPr="00FD480C">
              <w:rPr>
                <w:webHidden/>
              </w:rPr>
              <w:tab/>
            </w:r>
            <w:r w:rsidRPr="00FD480C">
              <w:rPr>
                <w:webHidden/>
              </w:rPr>
              <w:fldChar w:fldCharType="begin"/>
            </w:r>
            <w:r w:rsidRPr="00FD480C">
              <w:rPr>
                <w:webHidden/>
              </w:rPr>
              <w:instrText xml:space="preserve"> PAGEREF _Toc403654574 \h </w:instrText>
            </w:r>
            <w:r w:rsidRPr="00FD480C">
              <w:rPr>
                <w:webHidden/>
              </w:rPr>
            </w:r>
            <w:r w:rsidRPr="00FD480C">
              <w:rPr>
                <w:webHidden/>
              </w:rPr>
              <w:fldChar w:fldCharType="separate"/>
            </w:r>
            <w:r w:rsidR="003329FD">
              <w:rPr>
                <w:webHidden/>
              </w:rPr>
              <w:t>22</w:t>
            </w:r>
            <w:r w:rsidRPr="00FD480C">
              <w:rPr>
                <w:webHidden/>
              </w:rPr>
              <w:fldChar w:fldCharType="end"/>
            </w:r>
          </w:hyperlink>
        </w:p>
        <w:p w:rsidR="00815C1B" w:rsidRPr="00FD480C" w:rsidRDefault="00815C1B" w:rsidP="00FD480C">
          <w:pPr>
            <w:pStyle w:val="TOC2"/>
            <w:spacing w:line="360" w:lineRule="auto"/>
            <w:rPr>
              <w:rFonts w:eastAsiaTheme="minorEastAsia"/>
              <w:sz w:val="22"/>
              <w:szCs w:val="22"/>
            </w:rPr>
          </w:pPr>
          <w:r w:rsidRPr="00FD480C">
            <w:rPr>
              <w:rStyle w:val="Hyperlink"/>
              <w:b/>
              <w:u w:val="none"/>
            </w:rPr>
            <w:tab/>
          </w:r>
          <w:hyperlink w:anchor="_Toc403654575" w:history="1">
            <w:r w:rsidRPr="00FD480C">
              <w:rPr>
                <w:rStyle w:val="Hyperlink"/>
              </w:rPr>
              <w:t>Residential Energy Block Charges</w:t>
            </w:r>
            <w:r w:rsidRPr="00FD480C">
              <w:rPr>
                <w:webHidden/>
              </w:rPr>
              <w:tab/>
            </w:r>
            <w:r w:rsidRPr="00FD480C">
              <w:rPr>
                <w:webHidden/>
              </w:rPr>
              <w:fldChar w:fldCharType="begin"/>
            </w:r>
            <w:r w:rsidRPr="00FD480C">
              <w:rPr>
                <w:webHidden/>
              </w:rPr>
              <w:instrText xml:space="preserve"> PAGEREF _Toc403654575 \h </w:instrText>
            </w:r>
            <w:r w:rsidRPr="00FD480C">
              <w:rPr>
                <w:webHidden/>
              </w:rPr>
            </w:r>
            <w:r w:rsidRPr="00FD480C">
              <w:rPr>
                <w:webHidden/>
              </w:rPr>
              <w:fldChar w:fldCharType="separate"/>
            </w:r>
            <w:r w:rsidR="003329FD">
              <w:rPr>
                <w:webHidden/>
              </w:rPr>
              <w:t>33</w:t>
            </w:r>
            <w:r w:rsidRPr="00FD480C">
              <w:rPr>
                <w:webHidden/>
              </w:rPr>
              <w:fldChar w:fldCharType="end"/>
            </w:r>
          </w:hyperlink>
        </w:p>
        <w:p w:rsidR="00815C1B" w:rsidRPr="00815C1B" w:rsidRDefault="0058497B" w:rsidP="00FD480C">
          <w:pPr>
            <w:pStyle w:val="TOC1"/>
            <w:suppressLineNumbers/>
            <w:spacing w:after="0" w:line="360" w:lineRule="auto"/>
            <w:rPr>
              <w:rFonts w:ascii="Times New Roman" w:eastAsiaTheme="minorEastAsia" w:hAnsi="Times New Roman"/>
              <w:noProof/>
              <w:sz w:val="22"/>
              <w:szCs w:val="22"/>
            </w:rPr>
          </w:pPr>
          <w:hyperlink w:anchor="_Toc403654576" w:history="1">
            <w:r w:rsidR="00815C1B" w:rsidRPr="00815C1B">
              <w:rPr>
                <w:rStyle w:val="Hyperlink"/>
                <w:rFonts w:ascii="Times New Roman" w:hAnsi="Times New Roman"/>
                <w:noProof/>
              </w:rPr>
              <w:t>GENERAL SERVICE, AGRICULTURAL PUMPING,</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_Toc403654576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50</w:t>
            </w:r>
            <w:r w:rsidR="00815C1B" w:rsidRPr="00815C1B">
              <w:rPr>
                <w:rFonts w:ascii="Times New Roman" w:hAnsi="Times New Roman"/>
                <w:noProof/>
                <w:webHidden/>
              </w:rPr>
              <w:fldChar w:fldCharType="end"/>
            </w:r>
          </w:hyperlink>
        </w:p>
        <w:p w:rsidR="00815C1B" w:rsidRPr="00815C1B" w:rsidRDefault="0058497B" w:rsidP="00FD480C">
          <w:pPr>
            <w:pStyle w:val="TOC1"/>
            <w:suppressLineNumbers/>
            <w:spacing w:after="0" w:line="360" w:lineRule="auto"/>
            <w:rPr>
              <w:rFonts w:ascii="Times New Roman" w:eastAsiaTheme="minorEastAsia" w:hAnsi="Times New Roman"/>
              <w:noProof/>
              <w:sz w:val="22"/>
              <w:szCs w:val="22"/>
            </w:rPr>
          </w:pPr>
          <w:hyperlink w:anchor="_Toc403654577" w:history="1">
            <w:r w:rsidR="00815C1B" w:rsidRPr="00815C1B">
              <w:rPr>
                <w:rStyle w:val="Hyperlink"/>
                <w:rFonts w:ascii="Times New Roman" w:hAnsi="Times New Roman"/>
                <w:noProof/>
              </w:rPr>
              <w:t>AND STREET LIGHTING RATE DESIGN</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_Toc403654577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50</w:t>
            </w:r>
            <w:r w:rsidR="00815C1B" w:rsidRPr="00815C1B">
              <w:rPr>
                <w:rFonts w:ascii="Times New Roman" w:hAnsi="Times New Roman"/>
                <w:noProof/>
                <w:webHidden/>
              </w:rPr>
              <w:fldChar w:fldCharType="end"/>
            </w:r>
          </w:hyperlink>
        </w:p>
        <w:p w:rsidR="00815C1B" w:rsidRDefault="0058497B" w:rsidP="00FD480C">
          <w:pPr>
            <w:pStyle w:val="TOC1"/>
            <w:suppressLineNumbers/>
            <w:spacing w:after="0" w:line="360" w:lineRule="auto"/>
            <w:rPr>
              <w:rFonts w:asciiTheme="minorHAnsi" w:eastAsiaTheme="minorEastAsia" w:hAnsiTheme="minorHAnsi" w:cstheme="minorBidi"/>
              <w:noProof/>
              <w:sz w:val="22"/>
              <w:szCs w:val="22"/>
            </w:rPr>
          </w:pPr>
          <w:hyperlink w:anchor="_Toc403654578" w:history="1">
            <w:r w:rsidR="00815C1B" w:rsidRPr="00815C1B">
              <w:rPr>
                <w:rStyle w:val="Hyperlink"/>
                <w:rFonts w:ascii="Times New Roman" w:hAnsi="Times New Roman"/>
                <w:noProof/>
              </w:rPr>
              <w:t>RULE D AND SCHEDULE 300</w:t>
            </w:r>
            <w:r w:rsidR="00815C1B" w:rsidRPr="00815C1B">
              <w:rPr>
                <w:rFonts w:ascii="Times New Roman" w:hAnsi="Times New Roman"/>
                <w:noProof/>
                <w:webHidden/>
              </w:rPr>
              <w:tab/>
            </w:r>
            <w:r w:rsidR="00815C1B" w:rsidRPr="00815C1B">
              <w:rPr>
                <w:rFonts w:ascii="Times New Roman" w:hAnsi="Times New Roman"/>
                <w:noProof/>
                <w:webHidden/>
              </w:rPr>
              <w:fldChar w:fldCharType="begin"/>
            </w:r>
            <w:r w:rsidR="00815C1B" w:rsidRPr="00815C1B">
              <w:rPr>
                <w:rFonts w:ascii="Times New Roman" w:hAnsi="Times New Roman"/>
                <w:noProof/>
                <w:webHidden/>
              </w:rPr>
              <w:instrText xml:space="preserve"> PAGEREF _Toc403654578 \h </w:instrText>
            </w:r>
            <w:r w:rsidR="00815C1B" w:rsidRPr="00815C1B">
              <w:rPr>
                <w:rFonts w:ascii="Times New Roman" w:hAnsi="Times New Roman"/>
                <w:noProof/>
                <w:webHidden/>
              </w:rPr>
            </w:r>
            <w:r w:rsidR="00815C1B" w:rsidRPr="00815C1B">
              <w:rPr>
                <w:rFonts w:ascii="Times New Roman" w:hAnsi="Times New Roman"/>
                <w:noProof/>
                <w:webHidden/>
              </w:rPr>
              <w:fldChar w:fldCharType="separate"/>
            </w:r>
            <w:r w:rsidR="003329FD">
              <w:rPr>
                <w:rFonts w:ascii="Times New Roman" w:hAnsi="Times New Roman"/>
                <w:noProof/>
                <w:webHidden/>
              </w:rPr>
              <w:t>51</w:t>
            </w:r>
            <w:r w:rsidR="00815C1B" w:rsidRPr="00815C1B">
              <w:rPr>
                <w:rFonts w:ascii="Times New Roman" w:hAnsi="Times New Roman"/>
                <w:noProof/>
                <w:webHidden/>
              </w:rPr>
              <w:fldChar w:fldCharType="end"/>
            </w:r>
          </w:hyperlink>
        </w:p>
        <w:p w:rsidR="00815C1B" w:rsidRDefault="00815C1B" w:rsidP="00FD480C">
          <w:pPr>
            <w:suppressLineNumbers/>
            <w:spacing w:line="360" w:lineRule="auto"/>
          </w:pPr>
          <w:r>
            <w:rPr>
              <w:b/>
              <w:bCs/>
              <w:noProof/>
            </w:rPr>
            <w:fldChar w:fldCharType="end"/>
          </w:r>
        </w:p>
      </w:sdtContent>
    </w:sdt>
    <w:p w:rsidR="00FD480C" w:rsidRDefault="00FD480C" w:rsidP="00FD480C">
      <w:pPr>
        <w:suppressLineNumbers/>
        <w:spacing w:line="240" w:lineRule="auto"/>
        <w:ind w:left="0" w:firstLine="0"/>
        <w:jc w:val="center"/>
        <w:rPr>
          <w:rFonts w:ascii="Times New Roman" w:hAnsi="Times New Roman"/>
          <w:b/>
          <w:szCs w:val="24"/>
        </w:rPr>
      </w:pPr>
      <w:r w:rsidRPr="001738B8">
        <w:rPr>
          <w:rFonts w:ascii="Times New Roman" w:hAnsi="Times New Roman"/>
          <w:b/>
          <w:szCs w:val="24"/>
        </w:rPr>
        <w:t>ATTACHED EXHIBITS</w:t>
      </w:r>
    </w:p>
    <w:p w:rsidR="00FD480C" w:rsidRPr="001738B8" w:rsidRDefault="00FD480C" w:rsidP="00FD480C">
      <w:pPr>
        <w:suppressLineNumbers/>
        <w:spacing w:line="240" w:lineRule="auto"/>
        <w:ind w:left="0" w:firstLine="0"/>
        <w:jc w:val="center"/>
        <w:rPr>
          <w:rFonts w:ascii="Times New Roman" w:hAnsi="Times New Roman"/>
          <w:b/>
          <w:szCs w:val="24"/>
        </w:rPr>
      </w:pP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JRS-14—Cost of Service by Rate Schedule—Summaries</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JRS-15—Cost of Service by Rate Schedule—All Functions</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JRS-16—Effect of Proposed Rate Increase</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JRS-17—Proposed Prices and Billing Determinants</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JRS-18—Monthly Billing Comparisons</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JRS-19—Basic Charge Calculation</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JRS-20—Survey of Monthly Basic Charges in Washington</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JRS-21</w:t>
      </w:r>
      <w:r w:rsidRPr="00023C49">
        <w:rPr>
          <w:rFonts w:ascii="Times New Roman" w:hAnsi="Times New Roman"/>
          <w:szCs w:val="24"/>
        </w:rPr>
        <w:t xml:space="preserve"> </w:t>
      </w:r>
      <w:r w:rsidRPr="00B8281F">
        <w:rPr>
          <w:rFonts w:ascii="Times New Roman" w:hAnsi="Times New Roman"/>
          <w:szCs w:val="24"/>
        </w:rPr>
        <w:t>—Usage Reduction Due to Elasticity</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 xml:space="preserve">JRS-22 —Temperature Normalization Adjustment </w:t>
      </w:r>
    </w:p>
    <w:p w:rsidR="00FD480C" w:rsidRPr="00B8281F" w:rsidRDefault="00FD480C" w:rsidP="00FD480C">
      <w:pPr>
        <w:suppressLineNumbers/>
        <w:spacing w:line="240" w:lineRule="auto"/>
        <w:ind w:left="0" w:firstLine="0"/>
        <w:rPr>
          <w:rFonts w:ascii="Times New Roman" w:hAnsi="Times New Roman"/>
          <w:szCs w:val="24"/>
        </w:rPr>
      </w:pPr>
      <w:r w:rsidRPr="00B8281F">
        <w:rPr>
          <w:rFonts w:ascii="Times New Roman" w:hAnsi="Times New Roman"/>
          <w:szCs w:val="24"/>
        </w:rPr>
        <w:t>Exhibit No.</w:t>
      </w:r>
      <w:r>
        <w:rPr>
          <w:rFonts w:ascii="Times New Roman" w:hAnsi="Times New Roman"/>
          <w:szCs w:val="24"/>
        </w:rPr>
        <w:t xml:space="preserve"> </w:t>
      </w:r>
      <w:r w:rsidRPr="00B8281F">
        <w:rPr>
          <w:rFonts w:ascii="Times New Roman" w:hAnsi="Times New Roman"/>
          <w:szCs w:val="24"/>
        </w:rPr>
        <w:t>JRS-23 —Residential Consumption Survey</w:t>
      </w:r>
    </w:p>
    <w:p w:rsidR="00FD480C" w:rsidRDefault="00FD480C" w:rsidP="00815C1B">
      <w:pPr>
        <w:suppressLineNumbers/>
        <w:spacing w:line="240" w:lineRule="auto"/>
        <w:ind w:left="0" w:firstLine="0"/>
        <w:rPr>
          <w:rFonts w:ascii="Times New Roman" w:hAnsi="Times New Roman"/>
          <w:b/>
          <w:szCs w:val="24"/>
        </w:rPr>
      </w:pPr>
    </w:p>
    <w:p w:rsidR="00FD480C" w:rsidRDefault="00FD480C" w:rsidP="00815C1B">
      <w:pPr>
        <w:suppressLineNumbers/>
        <w:spacing w:line="240" w:lineRule="auto"/>
        <w:ind w:left="0" w:firstLine="0"/>
        <w:rPr>
          <w:rFonts w:ascii="Times New Roman" w:hAnsi="Times New Roman"/>
          <w:b/>
          <w:szCs w:val="24"/>
        </w:rPr>
      </w:pPr>
    </w:p>
    <w:p w:rsidR="00FD480C" w:rsidRDefault="00FD480C" w:rsidP="00815C1B">
      <w:pPr>
        <w:suppressLineNumbers/>
        <w:spacing w:line="240" w:lineRule="auto"/>
        <w:ind w:left="0" w:firstLine="0"/>
        <w:rPr>
          <w:rFonts w:ascii="Times New Roman" w:hAnsi="Times New Roman"/>
          <w:b/>
          <w:szCs w:val="24"/>
        </w:rPr>
      </w:pPr>
    </w:p>
    <w:p w:rsidR="00815C1B" w:rsidRDefault="00815C1B" w:rsidP="00815C1B">
      <w:pPr>
        <w:suppressLineNumbers/>
        <w:spacing w:line="240" w:lineRule="auto"/>
        <w:ind w:left="0" w:firstLine="0"/>
        <w:rPr>
          <w:rFonts w:ascii="Times New Roman" w:hAnsi="Times New Roman"/>
          <w:b/>
          <w:szCs w:val="24"/>
        </w:rPr>
      </w:pPr>
      <w:r>
        <w:rPr>
          <w:rFonts w:ascii="Times New Roman" w:hAnsi="Times New Roman"/>
          <w:b/>
          <w:szCs w:val="24"/>
        </w:rPr>
        <w:br w:type="page"/>
      </w:r>
    </w:p>
    <w:p w:rsidR="009F4525" w:rsidRPr="00FC7D77" w:rsidRDefault="009F4525" w:rsidP="0034595D">
      <w:pPr>
        <w:pStyle w:val="BodyTextIndent"/>
        <w:rPr>
          <w:rFonts w:ascii="Times New Roman" w:hAnsi="Times New Roman"/>
          <w:b/>
          <w:szCs w:val="24"/>
        </w:rPr>
      </w:pPr>
      <w:r w:rsidRPr="00FC7D77">
        <w:rPr>
          <w:rFonts w:ascii="Times New Roman" w:hAnsi="Times New Roman"/>
          <w:b/>
          <w:szCs w:val="24"/>
        </w:rPr>
        <w:lastRenderedPageBreak/>
        <w:t>Q.</w:t>
      </w:r>
      <w:r w:rsidRPr="00FC7D77">
        <w:rPr>
          <w:rFonts w:ascii="Times New Roman" w:hAnsi="Times New Roman"/>
          <w:b/>
          <w:szCs w:val="24"/>
        </w:rPr>
        <w:tab/>
      </w:r>
      <w:r w:rsidR="00C12A56">
        <w:rPr>
          <w:rFonts w:ascii="Times New Roman" w:hAnsi="Times New Roman"/>
          <w:b/>
          <w:szCs w:val="24"/>
        </w:rPr>
        <w:t xml:space="preserve">Are you the same </w:t>
      </w:r>
      <w:r w:rsidR="00EA0B11">
        <w:rPr>
          <w:rFonts w:ascii="Times New Roman" w:hAnsi="Times New Roman"/>
          <w:b/>
          <w:szCs w:val="24"/>
        </w:rPr>
        <w:t>Joelle</w:t>
      </w:r>
      <w:r w:rsidR="00C12A56">
        <w:rPr>
          <w:rFonts w:ascii="Times New Roman" w:hAnsi="Times New Roman"/>
          <w:b/>
          <w:szCs w:val="24"/>
        </w:rPr>
        <w:t xml:space="preserve"> R. </w:t>
      </w:r>
      <w:r w:rsidR="00EA0B11">
        <w:rPr>
          <w:rFonts w:ascii="Times New Roman" w:hAnsi="Times New Roman"/>
          <w:b/>
          <w:szCs w:val="24"/>
        </w:rPr>
        <w:t>Steward</w:t>
      </w:r>
      <w:r w:rsidR="00C12A56">
        <w:rPr>
          <w:rFonts w:ascii="Times New Roman" w:hAnsi="Times New Roman"/>
          <w:b/>
          <w:szCs w:val="24"/>
        </w:rPr>
        <w:t xml:space="preserve"> </w:t>
      </w:r>
      <w:r w:rsidR="001453E2">
        <w:rPr>
          <w:rFonts w:ascii="Times New Roman" w:hAnsi="Times New Roman"/>
          <w:b/>
          <w:szCs w:val="24"/>
        </w:rPr>
        <w:t xml:space="preserve">who </w:t>
      </w:r>
      <w:r w:rsidR="00C639F7">
        <w:rPr>
          <w:rFonts w:ascii="Times New Roman" w:hAnsi="Times New Roman"/>
          <w:b/>
          <w:szCs w:val="24"/>
        </w:rPr>
        <w:t xml:space="preserve">previously </w:t>
      </w:r>
      <w:r w:rsidR="00452F08">
        <w:rPr>
          <w:rFonts w:ascii="Times New Roman" w:hAnsi="Times New Roman"/>
          <w:b/>
          <w:szCs w:val="24"/>
        </w:rPr>
        <w:t>submitted</w:t>
      </w:r>
      <w:r w:rsidR="00C12A56">
        <w:rPr>
          <w:rFonts w:ascii="Times New Roman" w:hAnsi="Times New Roman"/>
          <w:b/>
          <w:szCs w:val="24"/>
        </w:rPr>
        <w:t xml:space="preserve"> </w:t>
      </w:r>
      <w:r w:rsidR="00796DDF">
        <w:rPr>
          <w:rFonts w:ascii="Times New Roman" w:hAnsi="Times New Roman"/>
          <w:b/>
          <w:szCs w:val="24"/>
        </w:rPr>
        <w:t>d</w:t>
      </w:r>
      <w:r w:rsidR="00C12A56">
        <w:rPr>
          <w:rFonts w:ascii="Times New Roman" w:hAnsi="Times New Roman"/>
          <w:b/>
          <w:szCs w:val="24"/>
        </w:rPr>
        <w:t xml:space="preserve">irect </w:t>
      </w:r>
      <w:r w:rsidR="00796DDF">
        <w:rPr>
          <w:rFonts w:ascii="Times New Roman" w:hAnsi="Times New Roman"/>
          <w:b/>
          <w:szCs w:val="24"/>
        </w:rPr>
        <w:t>t</w:t>
      </w:r>
      <w:r w:rsidR="00C12A56">
        <w:rPr>
          <w:rFonts w:ascii="Times New Roman" w:hAnsi="Times New Roman"/>
          <w:b/>
          <w:szCs w:val="24"/>
        </w:rPr>
        <w:t xml:space="preserve">estimony </w:t>
      </w:r>
      <w:r w:rsidR="004B580E">
        <w:rPr>
          <w:rFonts w:ascii="Times New Roman" w:hAnsi="Times New Roman"/>
          <w:b/>
          <w:szCs w:val="24"/>
        </w:rPr>
        <w:t xml:space="preserve">in this case </w:t>
      </w:r>
      <w:r w:rsidR="00C639F7">
        <w:rPr>
          <w:rFonts w:ascii="Times New Roman" w:hAnsi="Times New Roman"/>
          <w:b/>
          <w:szCs w:val="24"/>
        </w:rPr>
        <w:t>on behalf of Pacific Power &amp; Light Company (</w:t>
      </w:r>
      <w:r w:rsidR="004B580E">
        <w:rPr>
          <w:rFonts w:ascii="Times New Roman" w:hAnsi="Times New Roman"/>
          <w:b/>
          <w:szCs w:val="24"/>
        </w:rPr>
        <w:t xml:space="preserve">Pacific Power </w:t>
      </w:r>
      <w:r w:rsidR="00C639F7">
        <w:rPr>
          <w:rFonts w:ascii="Times New Roman" w:hAnsi="Times New Roman"/>
          <w:b/>
          <w:szCs w:val="24"/>
        </w:rPr>
        <w:t xml:space="preserve">or Company) </w:t>
      </w:r>
      <w:r w:rsidR="00C12A56">
        <w:rPr>
          <w:rFonts w:ascii="Times New Roman" w:hAnsi="Times New Roman"/>
          <w:b/>
          <w:szCs w:val="24"/>
        </w:rPr>
        <w:t>in this cas</w:t>
      </w:r>
      <w:r w:rsidR="00AD204B">
        <w:rPr>
          <w:rFonts w:ascii="Times New Roman" w:hAnsi="Times New Roman"/>
          <w:b/>
          <w:szCs w:val="24"/>
        </w:rPr>
        <w:t>e</w:t>
      </w:r>
      <w:r w:rsidR="00C12A56">
        <w:rPr>
          <w:rFonts w:ascii="Times New Roman" w:hAnsi="Times New Roman"/>
          <w:b/>
          <w:szCs w:val="24"/>
        </w:rPr>
        <w:t>?</w:t>
      </w:r>
    </w:p>
    <w:p w:rsidR="00B54283" w:rsidRDefault="009F4525" w:rsidP="00032352">
      <w:pPr>
        <w:pStyle w:val="BodyTextIndent"/>
        <w:rPr>
          <w:rFonts w:ascii="Times New Roman" w:hAnsi="Times New Roman"/>
          <w:b/>
          <w:szCs w:val="24"/>
        </w:rPr>
      </w:pPr>
      <w:r w:rsidRPr="00FC7D77">
        <w:rPr>
          <w:rFonts w:ascii="Times New Roman" w:hAnsi="Times New Roman"/>
          <w:szCs w:val="24"/>
        </w:rPr>
        <w:t>A.</w:t>
      </w:r>
      <w:r w:rsidRPr="00FC7D77">
        <w:rPr>
          <w:rFonts w:ascii="Times New Roman" w:hAnsi="Times New Roman"/>
          <w:szCs w:val="24"/>
        </w:rPr>
        <w:tab/>
        <w:t>Yes</w:t>
      </w:r>
      <w:r w:rsidR="00B54283">
        <w:rPr>
          <w:rFonts w:ascii="Times New Roman" w:hAnsi="Times New Roman"/>
          <w:szCs w:val="24"/>
        </w:rPr>
        <w:t>.</w:t>
      </w:r>
    </w:p>
    <w:p w:rsidR="009F4525" w:rsidRPr="00695CC6" w:rsidRDefault="00695CC6" w:rsidP="008A6A68">
      <w:pPr>
        <w:pStyle w:val="Heading1"/>
      </w:pPr>
      <w:bookmarkStart w:id="1" w:name="_Toc403654569"/>
      <w:r w:rsidRPr="00695CC6">
        <w:t>PURPOSE AND SUMMARY</w:t>
      </w:r>
      <w:bookmarkEnd w:id="1"/>
    </w:p>
    <w:p w:rsidR="002921E2" w:rsidRDefault="00905F81">
      <w:pPr>
        <w:pStyle w:val="Answer-Testimony"/>
      </w:pPr>
      <w:r w:rsidRPr="00905F81">
        <w:rPr>
          <w:b/>
        </w:rPr>
        <w:t>Q.</w:t>
      </w:r>
      <w:r w:rsidRPr="00905F81">
        <w:rPr>
          <w:b/>
        </w:rPr>
        <w:tab/>
        <w:t>What is the purpose of your rebuttal testimony?</w:t>
      </w:r>
    </w:p>
    <w:p w:rsidR="00D7481B" w:rsidRDefault="009F4525" w:rsidP="00FF20F6">
      <w:pPr>
        <w:tabs>
          <w:tab w:val="left" w:pos="-720"/>
          <w:tab w:val="left" w:pos="0"/>
        </w:tabs>
        <w:suppressAutoHyphens/>
        <w:rPr>
          <w:rFonts w:ascii="Times New Roman" w:hAnsi="Times New Roman"/>
          <w:szCs w:val="24"/>
        </w:rPr>
      </w:pPr>
      <w:r w:rsidRPr="00FC7D77">
        <w:rPr>
          <w:rFonts w:ascii="Times New Roman" w:hAnsi="Times New Roman"/>
          <w:szCs w:val="24"/>
        </w:rPr>
        <w:t>A.</w:t>
      </w:r>
      <w:r w:rsidRPr="00FC7D77">
        <w:rPr>
          <w:rFonts w:ascii="Times New Roman" w:hAnsi="Times New Roman"/>
          <w:szCs w:val="24"/>
        </w:rPr>
        <w:tab/>
        <w:t xml:space="preserve">The purpose of my </w:t>
      </w:r>
      <w:r w:rsidR="00796DDF">
        <w:rPr>
          <w:rFonts w:ascii="Times New Roman" w:hAnsi="Times New Roman"/>
          <w:szCs w:val="24"/>
        </w:rPr>
        <w:t>r</w:t>
      </w:r>
      <w:r w:rsidRPr="00FC7D77">
        <w:rPr>
          <w:rFonts w:ascii="Times New Roman" w:hAnsi="Times New Roman"/>
          <w:szCs w:val="24"/>
        </w:rPr>
        <w:t xml:space="preserve">ebuttal </w:t>
      </w:r>
      <w:r w:rsidR="00796DDF">
        <w:rPr>
          <w:rFonts w:ascii="Times New Roman" w:hAnsi="Times New Roman"/>
          <w:szCs w:val="24"/>
        </w:rPr>
        <w:t>t</w:t>
      </w:r>
      <w:r w:rsidRPr="00FC7D77">
        <w:rPr>
          <w:rFonts w:ascii="Times New Roman" w:hAnsi="Times New Roman"/>
          <w:szCs w:val="24"/>
        </w:rPr>
        <w:t xml:space="preserve">estimony is </w:t>
      </w:r>
      <w:r w:rsidR="00796DDF">
        <w:rPr>
          <w:rFonts w:ascii="Times New Roman" w:hAnsi="Times New Roman"/>
          <w:szCs w:val="24"/>
        </w:rPr>
        <w:t xml:space="preserve">to </w:t>
      </w:r>
      <w:r w:rsidRPr="00FC7D77">
        <w:rPr>
          <w:rFonts w:ascii="Times New Roman" w:hAnsi="Times New Roman"/>
          <w:szCs w:val="24"/>
        </w:rPr>
        <w:t>present</w:t>
      </w:r>
      <w:r w:rsidR="00B82B89">
        <w:rPr>
          <w:rFonts w:ascii="Times New Roman" w:hAnsi="Times New Roman"/>
          <w:szCs w:val="24"/>
        </w:rPr>
        <w:t xml:space="preserve"> the </w:t>
      </w:r>
      <w:r w:rsidR="00D74AA4">
        <w:rPr>
          <w:rFonts w:ascii="Times New Roman" w:hAnsi="Times New Roman"/>
          <w:szCs w:val="24"/>
        </w:rPr>
        <w:t xml:space="preserve">class </w:t>
      </w:r>
      <w:r w:rsidR="00B82B89">
        <w:rPr>
          <w:rFonts w:ascii="Times New Roman" w:hAnsi="Times New Roman"/>
          <w:szCs w:val="24"/>
        </w:rPr>
        <w:t xml:space="preserve">cost of service </w:t>
      </w:r>
      <w:r w:rsidR="00D74AA4">
        <w:rPr>
          <w:rFonts w:ascii="Times New Roman" w:hAnsi="Times New Roman"/>
          <w:szCs w:val="24"/>
        </w:rPr>
        <w:t xml:space="preserve">(COS) </w:t>
      </w:r>
      <w:r w:rsidR="00B82B89">
        <w:rPr>
          <w:rFonts w:ascii="Times New Roman" w:hAnsi="Times New Roman"/>
          <w:szCs w:val="24"/>
        </w:rPr>
        <w:t>study</w:t>
      </w:r>
      <w:r w:rsidR="009A181C">
        <w:rPr>
          <w:rFonts w:ascii="Times New Roman" w:hAnsi="Times New Roman"/>
          <w:szCs w:val="24"/>
        </w:rPr>
        <w:t xml:space="preserve"> results</w:t>
      </w:r>
      <w:r w:rsidR="00B82B89">
        <w:rPr>
          <w:rFonts w:ascii="Times New Roman" w:hAnsi="Times New Roman"/>
          <w:szCs w:val="24"/>
        </w:rPr>
        <w:t>,</w:t>
      </w:r>
      <w:r w:rsidRPr="00FC7D77">
        <w:rPr>
          <w:rFonts w:ascii="Times New Roman" w:hAnsi="Times New Roman"/>
          <w:szCs w:val="24"/>
        </w:rPr>
        <w:t xml:space="preserve"> rate spread</w:t>
      </w:r>
      <w:r w:rsidR="00D42EA6">
        <w:rPr>
          <w:rFonts w:ascii="Times New Roman" w:hAnsi="Times New Roman"/>
          <w:szCs w:val="24"/>
        </w:rPr>
        <w:t>,</w:t>
      </w:r>
      <w:r w:rsidRPr="00FC7D77">
        <w:rPr>
          <w:rFonts w:ascii="Times New Roman" w:hAnsi="Times New Roman"/>
          <w:szCs w:val="24"/>
        </w:rPr>
        <w:t xml:space="preserve"> and rate design </w:t>
      </w:r>
      <w:r w:rsidR="00B268A5" w:rsidRPr="00FC7D77">
        <w:rPr>
          <w:rFonts w:ascii="Times New Roman" w:hAnsi="Times New Roman"/>
          <w:szCs w:val="24"/>
        </w:rPr>
        <w:t xml:space="preserve">proposals </w:t>
      </w:r>
      <w:r w:rsidRPr="00FC7D77">
        <w:rPr>
          <w:rFonts w:ascii="Times New Roman" w:hAnsi="Times New Roman"/>
          <w:szCs w:val="24"/>
        </w:rPr>
        <w:t xml:space="preserve">reflecting the Company’s </w:t>
      </w:r>
      <w:r w:rsidR="00A16E26" w:rsidRPr="00FC7D77">
        <w:rPr>
          <w:rFonts w:ascii="Times New Roman" w:hAnsi="Times New Roman"/>
          <w:szCs w:val="24"/>
        </w:rPr>
        <w:t xml:space="preserve">revised </w:t>
      </w:r>
      <w:r w:rsidRPr="00FC7D77">
        <w:rPr>
          <w:rFonts w:ascii="Times New Roman" w:hAnsi="Times New Roman"/>
          <w:szCs w:val="24"/>
        </w:rPr>
        <w:t>revenue requirement</w:t>
      </w:r>
      <w:r w:rsidR="0079177C">
        <w:rPr>
          <w:rFonts w:ascii="Times New Roman" w:hAnsi="Times New Roman"/>
          <w:szCs w:val="24"/>
        </w:rPr>
        <w:t>.</w:t>
      </w:r>
      <w:r w:rsidR="00796DDF">
        <w:rPr>
          <w:rFonts w:ascii="Times New Roman" w:hAnsi="Times New Roman"/>
          <w:szCs w:val="24"/>
        </w:rPr>
        <w:t xml:space="preserve"> </w:t>
      </w:r>
      <w:r w:rsidR="00AD204B">
        <w:rPr>
          <w:rFonts w:ascii="Times New Roman" w:hAnsi="Times New Roman"/>
          <w:szCs w:val="24"/>
        </w:rPr>
        <w:t xml:space="preserve"> </w:t>
      </w:r>
      <w:r w:rsidR="0079177C">
        <w:rPr>
          <w:rFonts w:ascii="Times New Roman" w:hAnsi="Times New Roman"/>
          <w:szCs w:val="24"/>
        </w:rPr>
        <w:t xml:space="preserve">I </w:t>
      </w:r>
      <w:r w:rsidR="00937E63">
        <w:rPr>
          <w:rFonts w:ascii="Times New Roman" w:hAnsi="Times New Roman"/>
          <w:szCs w:val="24"/>
        </w:rPr>
        <w:t xml:space="preserve">also </w:t>
      </w:r>
      <w:r w:rsidR="0079177C">
        <w:rPr>
          <w:rFonts w:ascii="Times New Roman" w:hAnsi="Times New Roman"/>
          <w:szCs w:val="24"/>
        </w:rPr>
        <w:t xml:space="preserve">respond to </w:t>
      </w:r>
      <w:r w:rsidR="00796DDF">
        <w:rPr>
          <w:rFonts w:ascii="Times New Roman" w:hAnsi="Times New Roman"/>
          <w:szCs w:val="24"/>
        </w:rPr>
        <w:t xml:space="preserve">the direct testimony of </w:t>
      </w:r>
      <w:r w:rsidR="00C639F7">
        <w:rPr>
          <w:rFonts w:ascii="Times New Roman" w:hAnsi="Times New Roman"/>
          <w:szCs w:val="24"/>
        </w:rPr>
        <w:t xml:space="preserve">Mr. </w:t>
      </w:r>
      <w:r w:rsidR="00CF4635">
        <w:rPr>
          <w:rFonts w:ascii="Times New Roman" w:hAnsi="Times New Roman"/>
          <w:szCs w:val="24"/>
        </w:rPr>
        <w:t>Jeremy B. Twitchell</w:t>
      </w:r>
      <w:r w:rsidR="00796DDF">
        <w:rPr>
          <w:rFonts w:ascii="Times New Roman" w:hAnsi="Times New Roman"/>
          <w:szCs w:val="24"/>
        </w:rPr>
        <w:t xml:space="preserve"> on behalf of </w:t>
      </w:r>
      <w:r w:rsidR="00C639F7">
        <w:rPr>
          <w:rFonts w:ascii="Times New Roman" w:hAnsi="Times New Roman"/>
          <w:szCs w:val="24"/>
        </w:rPr>
        <w:t xml:space="preserve">the Washington Utilities and Transportation Commission (Commission) </w:t>
      </w:r>
      <w:r w:rsidR="00796DDF">
        <w:rPr>
          <w:rFonts w:ascii="Times New Roman" w:hAnsi="Times New Roman"/>
          <w:szCs w:val="24"/>
        </w:rPr>
        <w:t xml:space="preserve">Staff, </w:t>
      </w:r>
      <w:r w:rsidR="00C639F7">
        <w:rPr>
          <w:rFonts w:ascii="Times New Roman" w:hAnsi="Times New Roman"/>
          <w:szCs w:val="24"/>
        </w:rPr>
        <w:t xml:space="preserve">Mr. </w:t>
      </w:r>
      <w:r w:rsidR="00796DDF">
        <w:rPr>
          <w:rFonts w:ascii="Times New Roman" w:hAnsi="Times New Roman"/>
          <w:szCs w:val="24"/>
        </w:rPr>
        <w:t>Glenn A</w:t>
      </w:r>
      <w:r w:rsidR="00035451">
        <w:rPr>
          <w:rFonts w:ascii="Times New Roman" w:hAnsi="Times New Roman"/>
          <w:szCs w:val="24"/>
        </w:rPr>
        <w:t>.</w:t>
      </w:r>
      <w:r w:rsidR="00796DDF">
        <w:rPr>
          <w:rFonts w:ascii="Times New Roman" w:hAnsi="Times New Roman"/>
          <w:szCs w:val="24"/>
        </w:rPr>
        <w:t xml:space="preserve"> Watkins on behalf of </w:t>
      </w:r>
      <w:r w:rsidR="00C639F7">
        <w:rPr>
          <w:rFonts w:ascii="Times New Roman" w:hAnsi="Times New Roman"/>
          <w:szCs w:val="24"/>
        </w:rPr>
        <w:t>the Public Counsel Division of the Washington Attorney General’s Office (</w:t>
      </w:r>
      <w:r w:rsidR="00796DDF">
        <w:rPr>
          <w:rFonts w:ascii="Times New Roman" w:hAnsi="Times New Roman"/>
          <w:szCs w:val="24"/>
        </w:rPr>
        <w:t>Public Counsel</w:t>
      </w:r>
      <w:r w:rsidR="00C639F7">
        <w:rPr>
          <w:rFonts w:ascii="Times New Roman" w:hAnsi="Times New Roman"/>
          <w:szCs w:val="24"/>
        </w:rPr>
        <w:t>),</w:t>
      </w:r>
      <w:r w:rsidR="00796DDF">
        <w:rPr>
          <w:rFonts w:ascii="Times New Roman" w:hAnsi="Times New Roman"/>
          <w:szCs w:val="24"/>
        </w:rPr>
        <w:t xml:space="preserve"> </w:t>
      </w:r>
      <w:r w:rsidR="005D715F">
        <w:rPr>
          <w:rFonts w:ascii="Times New Roman" w:hAnsi="Times New Roman"/>
          <w:szCs w:val="24"/>
        </w:rPr>
        <w:t xml:space="preserve">Mr. Charles Eberdt on behalf of the Energy Project, </w:t>
      </w:r>
      <w:r w:rsidR="00C639F7">
        <w:rPr>
          <w:rFonts w:ascii="Times New Roman" w:hAnsi="Times New Roman"/>
          <w:szCs w:val="24"/>
        </w:rPr>
        <w:t xml:space="preserve">Mr. </w:t>
      </w:r>
      <w:r w:rsidR="00CF4635">
        <w:rPr>
          <w:rFonts w:ascii="Times New Roman" w:hAnsi="Times New Roman"/>
          <w:szCs w:val="24"/>
        </w:rPr>
        <w:t xml:space="preserve">Robert R. Stephens </w:t>
      </w:r>
      <w:r w:rsidR="00796DDF">
        <w:rPr>
          <w:rFonts w:ascii="Times New Roman" w:hAnsi="Times New Roman"/>
          <w:szCs w:val="24"/>
        </w:rPr>
        <w:t>on behalf of Boise White Paper, LLC</w:t>
      </w:r>
      <w:r w:rsidR="00C639F7">
        <w:rPr>
          <w:rFonts w:ascii="Times New Roman" w:hAnsi="Times New Roman"/>
          <w:szCs w:val="24"/>
        </w:rPr>
        <w:t xml:space="preserve"> (Boise)</w:t>
      </w:r>
      <w:r w:rsidR="00CF4635">
        <w:rPr>
          <w:rFonts w:ascii="Times New Roman" w:hAnsi="Times New Roman"/>
          <w:szCs w:val="24"/>
        </w:rPr>
        <w:t>, Mr. Steve W. Chriss on behalf of Wal-Mart Stores, Inc. and Mr. Mark E. Fulmer</w:t>
      </w:r>
      <w:r w:rsidR="0003778E">
        <w:rPr>
          <w:rFonts w:ascii="Times New Roman" w:hAnsi="Times New Roman"/>
          <w:szCs w:val="24"/>
        </w:rPr>
        <w:t xml:space="preserve"> on behalf of The Alliance for Solar Choice (TASC)</w:t>
      </w:r>
      <w:r w:rsidR="009A181C">
        <w:rPr>
          <w:rFonts w:ascii="Times New Roman" w:hAnsi="Times New Roman"/>
          <w:szCs w:val="24"/>
        </w:rPr>
        <w:t>,</w:t>
      </w:r>
      <w:r w:rsidR="00796DDF">
        <w:rPr>
          <w:rFonts w:ascii="Times New Roman" w:hAnsi="Times New Roman"/>
          <w:szCs w:val="24"/>
        </w:rPr>
        <w:t xml:space="preserve"> regarding their positions on </w:t>
      </w:r>
      <w:r w:rsidR="00D74AA4">
        <w:rPr>
          <w:rFonts w:ascii="Times New Roman" w:hAnsi="Times New Roman"/>
          <w:szCs w:val="24"/>
        </w:rPr>
        <w:t>COS</w:t>
      </w:r>
      <w:r w:rsidR="00994072">
        <w:rPr>
          <w:rFonts w:ascii="Times New Roman" w:hAnsi="Times New Roman"/>
          <w:szCs w:val="24"/>
        </w:rPr>
        <w:t xml:space="preserve">, </w:t>
      </w:r>
      <w:r w:rsidR="0079177C">
        <w:rPr>
          <w:rFonts w:ascii="Times New Roman" w:hAnsi="Times New Roman"/>
          <w:szCs w:val="24"/>
        </w:rPr>
        <w:t>rate spread</w:t>
      </w:r>
      <w:r w:rsidR="00B54283">
        <w:rPr>
          <w:rFonts w:ascii="Times New Roman" w:hAnsi="Times New Roman"/>
          <w:szCs w:val="24"/>
        </w:rPr>
        <w:t>,</w:t>
      </w:r>
      <w:r w:rsidR="0079177C">
        <w:rPr>
          <w:rFonts w:ascii="Times New Roman" w:hAnsi="Times New Roman"/>
          <w:szCs w:val="24"/>
        </w:rPr>
        <w:t xml:space="preserve"> </w:t>
      </w:r>
      <w:r w:rsidR="00F60265">
        <w:rPr>
          <w:rFonts w:ascii="Times New Roman" w:hAnsi="Times New Roman"/>
          <w:szCs w:val="24"/>
        </w:rPr>
        <w:t>and</w:t>
      </w:r>
      <w:r w:rsidR="0079177C">
        <w:rPr>
          <w:rFonts w:ascii="Times New Roman" w:hAnsi="Times New Roman"/>
          <w:szCs w:val="24"/>
        </w:rPr>
        <w:t xml:space="preserve"> rate design</w:t>
      </w:r>
      <w:r w:rsidR="0079177C" w:rsidRPr="00FC7D77">
        <w:rPr>
          <w:rFonts w:ascii="Times New Roman" w:hAnsi="Times New Roman"/>
          <w:szCs w:val="24"/>
        </w:rPr>
        <w:t xml:space="preserve">.  </w:t>
      </w:r>
    </w:p>
    <w:p w:rsidR="002921E2" w:rsidRPr="00743B34" w:rsidRDefault="00905F81">
      <w:pPr>
        <w:pStyle w:val="Answer-Testimony"/>
      </w:pPr>
      <w:r w:rsidRPr="00743B34">
        <w:rPr>
          <w:b/>
        </w:rPr>
        <w:t>Q.</w:t>
      </w:r>
      <w:r w:rsidRPr="00743B34">
        <w:rPr>
          <w:b/>
        </w:rPr>
        <w:tab/>
        <w:t>Please summarize your testimony.</w:t>
      </w:r>
    </w:p>
    <w:p w:rsidR="00244492" w:rsidRDefault="003A3B78" w:rsidP="003A3B78">
      <w:pPr>
        <w:tabs>
          <w:tab w:val="left" w:pos="-720"/>
          <w:tab w:val="left" w:pos="0"/>
        </w:tabs>
        <w:suppressAutoHyphens/>
        <w:rPr>
          <w:rFonts w:ascii="Times New Roman" w:hAnsi="Times New Roman"/>
          <w:szCs w:val="24"/>
        </w:rPr>
      </w:pPr>
      <w:r w:rsidRPr="00743B34">
        <w:rPr>
          <w:rFonts w:ascii="Times New Roman" w:hAnsi="Times New Roman"/>
          <w:szCs w:val="24"/>
        </w:rPr>
        <w:t>A.</w:t>
      </w:r>
      <w:r w:rsidRPr="00743B34">
        <w:rPr>
          <w:rFonts w:ascii="Times New Roman" w:hAnsi="Times New Roman"/>
          <w:szCs w:val="24"/>
        </w:rPr>
        <w:tab/>
      </w:r>
      <w:r w:rsidR="00244492">
        <w:rPr>
          <w:rFonts w:ascii="Times New Roman" w:hAnsi="Times New Roman"/>
          <w:szCs w:val="24"/>
        </w:rPr>
        <w:t>The</w:t>
      </w:r>
      <w:r w:rsidR="00244492" w:rsidRPr="00743B34">
        <w:rPr>
          <w:rFonts w:ascii="Times New Roman" w:hAnsi="Times New Roman"/>
          <w:szCs w:val="24"/>
        </w:rPr>
        <w:t xml:space="preserve"> </w:t>
      </w:r>
      <w:r w:rsidR="00244492">
        <w:rPr>
          <w:rFonts w:ascii="Times New Roman" w:hAnsi="Times New Roman"/>
          <w:szCs w:val="24"/>
        </w:rPr>
        <w:t xml:space="preserve">findings and recommendations in my rebuttal testimony are: </w:t>
      </w:r>
    </w:p>
    <w:p w:rsidR="0020664C" w:rsidRPr="00743B34" w:rsidRDefault="00244492"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sidRPr="00743B34">
        <w:rPr>
          <w:rFonts w:ascii="Times New Roman" w:hAnsi="Times New Roman"/>
          <w:szCs w:val="24"/>
        </w:rPr>
        <w:t xml:space="preserve">The Company’s </w:t>
      </w:r>
      <w:r w:rsidR="000344F6" w:rsidRPr="00743B34">
        <w:rPr>
          <w:rFonts w:ascii="Times New Roman" w:hAnsi="Times New Roman"/>
          <w:szCs w:val="24"/>
        </w:rPr>
        <w:t>COS</w:t>
      </w:r>
      <w:r w:rsidRPr="00743B34">
        <w:rPr>
          <w:rFonts w:ascii="Times New Roman" w:hAnsi="Times New Roman"/>
          <w:szCs w:val="24"/>
        </w:rPr>
        <w:t xml:space="preserve"> study is consistent with prior Commission direction and presents a reasonable balance between the interests of all parties.</w:t>
      </w:r>
      <w:r w:rsidR="005860BE">
        <w:rPr>
          <w:rFonts w:ascii="Times New Roman" w:hAnsi="Times New Roman"/>
          <w:szCs w:val="24"/>
        </w:rPr>
        <w:t xml:space="preserve"> </w:t>
      </w:r>
      <w:r w:rsidR="00A27DFE">
        <w:rPr>
          <w:rFonts w:ascii="Times New Roman" w:hAnsi="Times New Roman"/>
          <w:szCs w:val="24"/>
        </w:rPr>
        <w:t xml:space="preserve"> </w:t>
      </w:r>
      <w:r w:rsidRPr="00743B34">
        <w:rPr>
          <w:rFonts w:ascii="Times New Roman" w:hAnsi="Times New Roman"/>
          <w:szCs w:val="24"/>
        </w:rPr>
        <w:t>Staff’</w:t>
      </w:r>
      <w:r w:rsidR="000344F6" w:rsidRPr="00743B34">
        <w:rPr>
          <w:rFonts w:ascii="Times New Roman" w:hAnsi="Times New Roman"/>
          <w:szCs w:val="24"/>
        </w:rPr>
        <w:t xml:space="preserve">s recommendation </w:t>
      </w:r>
      <w:r w:rsidRPr="00743B34">
        <w:rPr>
          <w:rFonts w:ascii="Times New Roman" w:hAnsi="Times New Roman"/>
          <w:szCs w:val="24"/>
        </w:rPr>
        <w:t xml:space="preserve">to create a separate allocation factor for non-dispatchable </w:t>
      </w:r>
      <w:r w:rsidR="000344F6" w:rsidRPr="00743B34">
        <w:rPr>
          <w:rFonts w:ascii="Times New Roman" w:hAnsi="Times New Roman"/>
          <w:szCs w:val="24"/>
        </w:rPr>
        <w:t>generation (i.e., wind resources) in the COS study</w:t>
      </w:r>
      <w:r w:rsidRPr="00743B34">
        <w:rPr>
          <w:rFonts w:ascii="Times New Roman" w:hAnsi="Times New Roman"/>
          <w:szCs w:val="24"/>
        </w:rPr>
        <w:t xml:space="preserve"> inappropriately </w:t>
      </w:r>
      <w:r w:rsidR="000344F6" w:rsidRPr="00743B34">
        <w:rPr>
          <w:rFonts w:ascii="Times New Roman" w:hAnsi="Times New Roman"/>
          <w:szCs w:val="24"/>
        </w:rPr>
        <w:t xml:space="preserve">singles out one type of resource and relies on a capacity value for wind that is inconsistent with the </w:t>
      </w:r>
      <w:r w:rsidR="0063335F">
        <w:rPr>
          <w:rFonts w:ascii="Times New Roman" w:hAnsi="Times New Roman"/>
          <w:szCs w:val="24"/>
        </w:rPr>
        <w:t>w</w:t>
      </w:r>
      <w:r w:rsidR="000344F6" w:rsidRPr="00743B34">
        <w:rPr>
          <w:rFonts w:ascii="Times New Roman" w:hAnsi="Times New Roman"/>
          <w:szCs w:val="24"/>
        </w:rPr>
        <w:t xml:space="preserve">est </w:t>
      </w:r>
      <w:r w:rsidR="0063335F">
        <w:rPr>
          <w:rFonts w:ascii="Times New Roman" w:hAnsi="Times New Roman"/>
          <w:szCs w:val="24"/>
        </w:rPr>
        <w:t>c</w:t>
      </w:r>
      <w:r w:rsidR="000344F6" w:rsidRPr="00743B34">
        <w:rPr>
          <w:rFonts w:ascii="Times New Roman" w:hAnsi="Times New Roman"/>
          <w:szCs w:val="24"/>
        </w:rPr>
        <w:t xml:space="preserve">ontrol </w:t>
      </w:r>
      <w:r w:rsidR="0063335F">
        <w:rPr>
          <w:rFonts w:ascii="Times New Roman" w:hAnsi="Times New Roman"/>
          <w:szCs w:val="24"/>
        </w:rPr>
        <w:t>a</w:t>
      </w:r>
      <w:r w:rsidR="000344F6" w:rsidRPr="00743B34">
        <w:rPr>
          <w:rFonts w:ascii="Times New Roman" w:hAnsi="Times New Roman"/>
          <w:szCs w:val="24"/>
        </w:rPr>
        <w:t>rea.  The Company is not opposed to Staff’s recommendation for a direct assignment of customer account managers but I recommend that if it is adopted that the costs be allocated based on the number of customers.</w:t>
      </w:r>
    </w:p>
    <w:p w:rsidR="000344F6" w:rsidRDefault="000344F6"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Pr>
          <w:rFonts w:ascii="Times New Roman" w:hAnsi="Times New Roman"/>
          <w:szCs w:val="24"/>
        </w:rPr>
        <w:lastRenderedPageBreak/>
        <w:t xml:space="preserve">The Company continues to recommend a rate spread that reasonably balances the interests of all parties as well as </w:t>
      </w:r>
      <w:r w:rsidR="005860BE">
        <w:rPr>
          <w:rFonts w:ascii="Times New Roman" w:hAnsi="Times New Roman"/>
          <w:szCs w:val="24"/>
        </w:rPr>
        <w:t>the COS results.  The Company’s proposed rate spread allocates one half of the overall increase to Schedules 24, 40, and lighting, with the remaining increase spread equally to the rest of the rate schedules.</w:t>
      </w:r>
    </w:p>
    <w:p w:rsidR="005860BE" w:rsidRDefault="005860BE"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Pr>
          <w:rFonts w:ascii="Times New Roman" w:hAnsi="Times New Roman"/>
          <w:szCs w:val="24"/>
        </w:rPr>
        <w:t>For residential rate design, the Company continues to recommend a basic charge of $14.00 per month for Schedule 16 and $8.75 per month for Schedule 17.  The Company also recommends that the Commission retain the current two block energy rate structure.</w:t>
      </w:r>
    </w:p>
    <w:p w:rsidR="005860BE" w:rsidRDefault="005860BE"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Pr>
          <w:rFonts w:ascii="Times New Roman" w:hAnsi="Times New Roman"/>
          <w:szCs w:val="24"/>
        </w:rPr>
        <w:t xml:space="preserve">The proposed $14.00 residential basic charge </w:t>
      </w:r>
      <w:r w:rsidR="0023005E">
        <w:rPr>
          <w:rFonts w:ascii="Times New Roman" w:hAnsi="Times New Roman"/>
          <w:szCs w:val="24"/>
        </w:rPr>
        <w:t xml:space="preserve">will allow the Company a better opportunity to recover its fixed costs.  The proposed basic charge </w:t>
      </w:r>
      <w:r>
        <w:rPr>
          <w:rFonts w:ascii="Times New Roman" w:hAnsi="Times New Roman"/>
          <w:szCs w:val="24"/>
        </w:rPr>
        <w:t>would recover a portion of the costs related to retail services and distribution investments</w:t>
      </w:r>
      <w:r w:rsidR="0023005E">
        <w:rPr>
          <w:rFonts w:ascii="Times New Roman" w:hAnsi="Times New Roman"/>
          <w:szCs w:val="24"/>
        </w:rPr>
        <w:t xml:space="preserve">, which </w:t>
      </w:r>
      <w:r>
        <w:rPr>
          <w:rFonts w:ascii="Times New Roman" w:hAnsi="Times New Roman"/>
          <w:szCs w:val="24"/>
        </w:rPr>
        <w:t xml:space="preserve">are necessary for the safe and reliable service to all residential customers regardless of usage levels. </w:t>
      </w:r>
      <w:r w:rsidR="00A27DFE">
        <w:rPr>
          <w:rFonts w:ascii="Times New Roman" w:hAnsi="Times New Roman"/>
          <w:szCs w:val="24"/>
        </w:rPr>
        <w:t xml:space="preserve"> </w:t>
      </w:r>
      <w:r w:rsidR="0023005E">
        <w:rPr>
          <w:rFonts w:ascii="Times New Roman" w:hAnsi="Times New Roman"/>
          <w:szCs w:val="24"/>
        </w:rPr>
        <w:t>The proposed basic charge is in line with the average basic charge for customers in Washington.</w:t>
      </w:r>
    </w:p>
    <w:p w:rsidR="00E54604" w:rsidRDefault="0023005E" w:rsidP="00E54604">
      <w:pPr>
        <w:pStyle w:val="ListParagraph"/>
        <w:numPr>
          <w:ilvl w:val="0"/>
          <w:numId w:val="37"/>
        </w:numPr>
        <w:tabs>
          <w:tab w:val="left" w:pos="-720"/>
          <w:tab w:val="left" w:pos="0"/>
        </w:tabs>
        <w:suppressAutoHyphens/>
        <w:spacing w:line="240" w:lineRule="auto"/>
        <w:rPr>
          <w:rFonts w:ascii="Times New Roman" w:hAnsi="Times New Roman"/>
          <w:szCs w:val="24"/>
        </w:rPr>
      </w:pPr>
      <w:r w:rsidRPr="00743B34">
        <w:rPr>
          <w:rFonts w:ascii="Times New Roman" w:hAnsi="Times New Roman"/>
          <w:szCs w:val="24"/>
        </w:rPr>
        <w:t xml:space="preserve">Even with the increase in the residential basic charge, the current residential rate structure will continue to be heavily weighted on energy use, thus providing a strong signal for conservation. </w:t>
      </w:r>
      <w:r w:rsidR="00A27DFE">
        <w:rPr>
          <w:rFonts w:ascii="Times New Roman" w:hAnsi="Times New Roman"/>
          <w:szCs w:val="24"/>
        </w:rPr>
        <w:t xml:space="preserve"> </w:t>
      </w:r>
      <w:r w:rsidRPr="00743B34">
        <w:rPr>
          <w:rFonts w:ascii="Times New Roman" w:hAnsi="Times New Roman"/>
          <w:szCs w:val="24"/>
        </w:rPr>
        <w:t xml:space="preserve">Nearly 90 percent of an average customer’s bill is based on their overall usage and only 11 percent due to the basic charge.  </w:t>
      </w:r>
    </w:p>
    <w:p w:rsidR="005860BE" w:rsidRDefault="005860BE" w:rsidP="00743B34">
      <w:pPr>
        <w:pStyle w:val="ListParagraph"/>
        <w:tabs>
          <w:tab w:val="left" w:pos="-720"/>
          <w:tab w:val="left" w:pos="0"/>
        </w:tabs>
        <w:suppressAutoHyphens/>
        <w:spacing w:line="240" w:lineRule="auto"/>
        <w:ind w:left="1440" w:firstLine="0"/>
        <w:rPr>
          <w:rFonts w:ascii="Times New Roman" w:hAnsi="Times New Roman"/>
          <w:szCs w:val="24"/>
        </w:rPr>
      </w:pPr>
    </w:p>
    <w:p w:rsidR="0023005E" w:rsidRDefault="00037D03"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Pr>
          <w:rFonts w:ascii="Times New Roman" w:hAnsi="Times New Roman"/>
          <w:szCs w:val="24"/>
        </w:rPr>
        <w:t xml:space="preserve">Change to the current residential two-block rate structure proposed by Staff should be denied because </w:t>
      </w:r>
      <w:r w:rsidR="001F44B3">
        <w:rPr>
          <w:rFonts w:ascii="Times New Roman" w:hAnsi="Times New Roman"/>
          <w:szCs w:val="24"/>
        </w:rPr>
        <w:t xml:space="preserve">it: </w:t>
      </w:r>
      <w:r>
        <w:rPr>
          <w:rFonts w:ascii="Times New Roman" w:hAnsi="Times New Roman"/>
          <w:szCs w:val="24"/>
        </w:rPr>
        <w:t>(1) sends a confusing price signal to customers by reducing 45 percent of customer bills, which may encourage increased usage for these customers</w:t>
      </w:r>
      <w:r w:rsidR="00A27DFE">
        <w:rPr>
          <w:rFonts w:ascii="Times New Roman" w:hAnsi="Times New Roman"/>
          <w:szCs w:val="24"/>
        </w:rPr>
        <w:t>;</w:t>
      </w:r>
      <w:r>
        <w:rPr>
          <w:rFonts w:ascii="Times New Roman" w:hAnsi="Times New Roman"/>
          <w:szCs w:val="24"/>
        </w:rPr>
        <w:t xml:space="preserve"> (2) is not cost based and appears to be largely designed to be punitive for electric heat customers</w:t>
      </w:r>
      <w:r w:rsidR="00A27DFE">
        <w:rPr>
          <w:rFonts w:ascii="Times New Roman" w:hAnsi="Times New Roman"/>
          <w:szCs w:val="24"/>
        </w:rPr>
        <w:t>;</w:t>
      </w:r>
      <w:r>
        <w:rPr>
          <w:rFonts w:ascii="Times New Roman" w:hAnsi="Times New Roman"/>
          <w:szCs w:val="24"/>
        </w:rPr>
        <w:t xml:space="preserve"> (3) will disproportionately impact low income customers</w:t>
      </w:r>
      <w:r w:rsidR="00A27DFE">
        <w:rPr>
          <w:rFonts w:ascii="Times New Roman" w:hAnsi="Times New Roman"/>
          <w:szCs w:val="24"/>
        </w:rPr>
        <w:t>;</w:t>
      </w:r>
      <w:r>
        <w:rPr>
          <w:rFonts w:ascii="Times New Roman" w:hAnsi="Times New Roman"/>
          <w:szCs w:val="24"/>
        </w:rPr>
        <w:t xml:space="preserve"> (4) will increase the risk of cost recovery for the Company</w:t>
      </w:r>
      <w:r w:rsidR="00A27DFE">
        <w:rPr>
          <w:rFonts w:ascii="Times New Roman" w:hAnsi="Times New Roman"/>
          <w:szCs w:val="24"/>
        </w:rPr>
        <w:t>;</w:t>
      </w:r>
      <w:r>
        <w:rPr>
          <w:rFonts w:ascii="Times New Roman" w:hAnsi="Times New Roman"/>
          <w:szCs w:val="24"/>
        </w:rPr>
        <w:t xml:space="preserve"> and (5) may have unintended consequences of sending an uneconomic price signal to customers for distributed generation, which w</w:t>
      </w:r>
      <w:r w:rsidR="00E54604">
        <w:rPr>
          <w:rFonts w:ascii="Times New Roman" w:hAnsi="Times New Roman"/>
          <w:szCs w:val="24"/>
        </w:rPr>
        <w:t xml:space="preserve">ould have adverse impacts for both the Company and other customers. </w:t>
      </w:r>
    </w:p>
    <w:p w:rsidR="00E54604" w:rsidRPr="00765E9A" w:rsidRDefault="00E54604"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Pr>
          <w:rFonts w:ascii="Times New Roman" w:hAnsi="Times New Roman"/>
          <w:szCs w:val="24"/>
        </w:rPr>
        <w:t xml:space="preserve">The current residential rate structure already reflects a steeply inverted block rate, particularly when compared to Avista and Puget Sound Energy, and the first block set at 600 kWh </w:t>
      </w:r>
      <w:r w:rsidR="00FE6A36">
        <w:rPr>
          <w:rFonts w:ascii="Times New Roman" w:hAnsi="Times New Roman"/>
          <w:szCs w:val="24"/>
        </w:rPr>
        <w:t xml:space="preserve">already </w:t>
      </w:r>
      <w:r>
        <w:rPr>
          <w:rFonts w:ascii="Times New Roman" w:hAnsi="Times New Roman"/>
          <w:szCs w:val="24"/>
        </w:rPr>
        <w:t xml:space="preserve">reasonably reflects the </w:t>
      </w:r>
      <w:r w:rsidR="00FE6A36">
        <w:rPr>
          <w:rFonts w:ascii="Times New Roman" w:hAnsi="Times New Roman"/>
          <w:szCs w:val="24"/>
        </w:rPr>
        <w:t xml:space="preserve">average </w:t>
      </w:r>
      <w:r>
        <w:rPr>
          <w:rFonts w:ascii="Times New Roman" w:hAnsi="Times New Roman"/>
          <w:szCs w:val="24"/>
        </w:rPr>
        <w:t xml:space="preserve">usage </w:t>
      </w:r>
      <w:r w:rsidR="00FE6A36">
        <w:rPr>
          <w:rFonts w:ascii="Times New Roman" w:hAnsi="Times New Roman"/>
          <w:szCs w:val="24"/>
        </w:rPr>
        <w:t xml:space="preserve">in Washington </w:t>
      </w:r>
      <w:r>
        <w:rPr>
          <w:rFonts w:ascii="Times New Roman" w:hAnsi="Times New Roman"/>
          <w:szCs w:val="24"/>
        </w:rPr>
        <w:t xml:space="preserve">for lighting, appliances, and water heating.  </w:t>
      </w:r>
    </w:p>
    <w:p w:rsidR="00E54604" w:rsidRDefault="00E54604" w:rsidP="00743B34">
      <w:pPr>
        <w:pStyle w:val="ListParagraph"/>
        <w:numPr>
          <w:ilvl w:val="0"/>
          <w:numId w:val="37"/>
        </w:numPr>
        <w:tabs>
          <w:tab w:val="left" w:pos="-720"/>
          <w:tab w:val="left" w:pos="0"/>
        </w:tabs>
        <w:suppressAutoHyphens/>
        <w:spacing w:after="240" w:line="240" w:lineRule="auto"/>
        <w:contextualSpacing w:val="0"/>
        <w:rPr>
          <w:rFonts w:ascii="Times New Roman" w:hAnsi="Times New Roman"/>
          <w:szCs w:val="24"/>
        </w:rPr>
      </w:pPr>
      <w:r>
        <w:rPr>
          <w:rFonts w:ascii="Times New Roman" w:hAnsi="Times New Roman"/>
          <w:szCs w:val="24"/>
        </w:rPr>
        <w:t xml:space="preserve">Staff’s discussion and recommendation that the Commission </w:t>
      </w:r>
      <w:r w:rsidR="00FE6A36">
        <w:rPr>
          <w:rFonts w:ascii="Times New Roman" w:hAnsi="Times New Roman"/>
          <w:szCs w:val="24"/>
        </w:rPr>
        <w:t>prejudge potential rate solutions for distributed generation customers is misguided and inappropriate and should be dismissed.</w:t>
      </w:r>
    </w:p>
    <w:p w:rsidR="00A27DFE" w:rsidRDefault="00FE6A36" w:rsidP="00743B34">
      <w:pPr>
        <w:pStyle w:val="ListParagraph"/>
        <w:numPr>
          <w:ilvl w:val="0"/>
          <w:numId w:val="37"/>
        </w:numPr>
        <w:tabs>
          <w:tab w:val="left" w:pos="-720"/>
          <w:tab w:val="left" w:pos="0"/>
        </w:tabs>
        <w:suppressAutoHyphens/>
        <w:spacing w:line="240" w:lineRule="auto"/>
        <w:rPr>
          <w:rFonts w:ascii="Times New Roman" w:hAnsi="Times New Roman"/>
          <w:szCs w:val="24"/>
        </w:rPr>
      </w:pPr>
      <w:r>
        <w:rPr>
          <w:rFonts w:ascii="Times New Roman" w:hAnsi="Times New Roman"/>
          <w:szCs w:val="24"/>
        </w:rPr>
        <w:t xml:space="preserve">For non-residential rate design, the Company proposes a higher increase in the demand charge for Schedule 36, in response to Wal-Mart’s proposal; however, in order to moderate intra-class impacts, the Company is proposing a smaller increase in the demand charge than that proposed by Wal-Mart.  The proposed rates for all other non-residential rate schedules are consistent with my direct testimony. </w:t>
      </w:r>
    </w:p>
    <w:p w:rsidR="003A3B78" w:rsidRPr="00695CC6" w:rsidRDefault="003A3B78" w:rsidP="00695CC6">
      <w:pPr>
        <w:pStyle w:val="ListParagraph"/>
        <w:suppressLineNumbers/>
        <w:tabs>
          <w:tab w:val="left" w:pos="-720"/>
          <w:tab w:val="left" w:pos="0"/>
        </w:tabs>
        <w:suppressAutoHyphens/>
        <w:spacing w:line="240" w:lineRule="auto"/>
        <w:ind w:left="1440" w:firstLine="0"/>
        <w:rPr>
          <w:rFonts w:ascii="Times New Roman" w:hAnsi="Times New Roman"/>
          <w:szCs w:val="24"/>
        </w:rPr>
      </w:pPr>
    </w:p>
    <w:p w:rsidR="002921E2" w:rsidRPr="00695CC6" w:rsidRDefault="00695CC6" w:rsidP="00815C1B">
      <w:pPr>
        <w:pStyle w:val="Heading1"/>
      </w:pPr>
      <w:bookmarkStart w:id="2" w:name="_Toc403654570"/>
      <w:bookmarkStart w:id="3" w:name="OLE_LINK3"/>
      <w:bookmarkStart w:id="4" w:name="OLE_LINK4"/>
      <w:r w:rsidRPr="00695CC6">
        <w:t>COST OF SERVICE</w:t>
      </w:r>
      <w:bookmarkEnd w:id="2"/>
      <w:r w:rsidRPr="00695CC6">
        <w:t xml:space="preserve"> </w:t>
      </w:r>
    </w:p>
    <w:p w:rsidR="000A5A66" w:rsidRPr="00131B32" w:rsidRDefault="000A5A66" w:rsidP="000A5A66">
      <w:pPr>
        <w:rPr>
          <w:rFonts w:ascii="Times New Roman" w:hAnsi="Times New Roman"/>
          <w:b/>
        </w:rPr>
      </w:pPr>
      <w:r w:rsidRPr="00131B32">
        <w:rPr>
          <w:rFonts w:ascii="Times New Roman" w:hAnsi="Times New Roman"/>
          <w:b/>
        </w:rPr>
        <w:t>Q.</w:t>
      </w:r>
      <w:r w:rsidRPr="00131B32">
        <w:rPr>
          <w:rFonts w:ascii="Times New Roman" w:hAnsi="Times New Roman"/>
          <w:b/>
        </w:rPr>
        <w:tab/>
      </w:r>
      <w:r>
        <w:rPr>
          <w:rFonts w:ascii="Times New Roman" w:hAnsi="Times New Roman"/>
          <w:b/>
        </w:rPr>
        <w:t xml:space="preserve">Please summarize the </w:t>
      </w:r>
      <w:r w:rsidR="00BE007B">
        <w:rPr>
          <w:rFonts w:ascii="Times New Roman" w:hAnsi="Times New Roman"/>
          <w:b/>
        </w:rPr>
        <w:t xml:space="preserve">methodology used for the </w:t>
      </w:r>
      <w:r w:rsidR="008468ED">
        <w:rPr>
          <w:rFonts w:ascii="Times New Roman" w:hAnsi="Times New Roman"/>
          <w:b/>
        </w:rPr>
        <w:t>Company’s COS</w:t>
      </w:r>
      <w:r w:rsidR="00BE007B">
        <w:rPr>
          <w:rFonts w:ascii="Times New Roman" w:hAnsi="Times New Roman"/>
          <w:b/>
        </w:rPr>
        <w:t xml:space="preserve"> </w:t>
      </w:r>
      <w:r>
        <w:rPr>
          <w:rFonts w:ascii="Times New Roman" w:hAnsi="Times New Roman"/>
          <w:b/>
        </w:rPr>
        <w:t xml:space="preserve">study </w:t>
      </w:r>
      <w:r w:rsidR="00BE007B">
        <w:rPr>
          <w:rFonts w:ascii="Times New Roman" w:hAnsi="Times New Roman"/>
          <w:b/>
        </w:rPr>
        <w:t xml:space="preserve">in the </w:t>
      </w:r>
      <w:r>
        <w:rPr>
          <w:rFonts w:ascii="Times New Roman" w:hAnsi="Times New Roman"/>
          <w:b/>
        </w:rPr>
        <w:t>initial filing</w:t>
      </w:r>
      <w:r w:rsidR="00BE007B">
        <w:rPr>
          <w:rFonts w:ascii="Times New Roman" w:hAnsi="Times New Roman"/>
          <w:b/>
        </w:rPr>
        <w:t>.</w:t>
      </w:r>
      <w:r>
        <w:rPr>
          <w:rFonts w:ascii="Times New Roman" w:hAnsi="Times New Roman"/>
          <w:b/>
        </w:rPr>
        <w:t xml:space="preserve"> </w:t>
      </w:r>
    </w:p>
    <w:p w:rsidR="000A5A66" w:rsidRDefault="000A5A66" w:rsidP="000A5A66">
      <w:pPr>
        <w:rPr>
          <w:rFonts w:ascii="Times New Roman" w:hAnsi="Times New Roman"/>
        </w:rPr>
      </w:pPr>
      <w:r w:rsidRPr="00131B32">
        <w:rPr>
          <w:rFonts w:ascii="Times New Roman" w:hAnsi="Times New Roman"/>
        </w:rPr>
        <w:t>A.</w:t>
      </w:r>
      <w:r w:rsidRPr="00131B32">
        <w:rPr>
          <w:rFonts w:ascii="Times New Roman" w:hAnsi="Times New Roman"/>
        </w:rPr>
        <w:tab/>
      </w:r>
      <w:r w:rsidR="00BE007B">
        <w:rPr>
          <w:rFonts w:ascii="Times New Roman" w:hAnsi="Times New Roman"/>
        </w:rPr>
        <w:t>In the initial filing the Company’s COS study was based on the same methodolog</w:t>
      </w:r>
      <w:r w:rsidR="00ED287E">
        <w:rPr>
          <w:rFonts w:ascii="Times New Roman" w:hAnsi="Times New Roman"/>
        </w:rPr>
        <w:t>ies</w:t>
      </w:r>
      <w:r w:rsidR="00BE007B">
        <w:rPr>
          <w:rFonts w:ascii="Times New Roman" w:hAnsi="Times New Roman"/>
        </w:rPr>
        <w:t xml:space="preserve"> </w:t>
      </w:r>
      <w:r w:rsidR="00ED287E">
        <w:rPr>
          <w:rFonts w:ascii="Times New Roman" w:hAnsi="Times New Roman"/>
        </w:rPr>
        <w:t xml:space="preserve">used in the </w:t>
      </w:r>
      <w:r w:rsidR="00BE007B">
        <w:rPr>
          <w:rFonts w:ascii="Times New Roman" w:hAnsi="Times New Roman"/>
        </w:rPr>
        <w:t>Company’s 2013 general rate case</w:t>
      </w:r>
      <w:r w:rsidR="001B0135">
        <w:rPr>
          <w:rFonts w:ascii="Times New Roman" w:hAnsi="Times New Roman"/>
        </w:rPr>
        <w:t>, Docket</w:t>
      </w:r>
      <w:r w:rsidR="005D715F">
        <w:rPr>
          <w:rFonts w:ascii="Times New Roman" w:hAnsi="Times New Roman"/>
        </w:rPr>
        <w:t xml:space="preserve"> </w:t>
      </w:r>
      <w:r w:rsidR="001B0135">
        <w:rPr>
          <w:rFonts w:ascii="Times New Roman" w:hAnsi="Times New Roman"/>
        </w:rPr>
        <w:t>UE-130043</w:t>
      </w:r>
      <w:r w:rsidR="00BE007B">
        <w:rPr>
          <w:rFonts w:ascii="Times New Roman" w:hAnsi="Times New Roman"/>
        </w:rPr>
        <w:t xml:space="preserve"> (2013 Rate Case).  Specifically, </w:t>
      </w:r>
      <w:r w:rsidR="002269C3">
        <w:rPr>
          <w:rFonts w:ascii="Times New Roman" w:hAnsi="Times New Roman"/>
        </w:rPr>
        <w:t xml:space="preserve">for generation and transmission costs </w:t>
      </w:r>
      <w:r w:rsidR="00ED287E">
        <w:rPr>
          <w:rFonts w:ascii="Times New Roman" w:hAnsi="Times New Roman"/>
        </w:rPr>
        <w:t xml:space="preserve">the Company </w:t>
      </w:r>
      <w:r w:rsidR="00BE007B">
        <w:rPr>
          <w:rFonts w:ascii="Times New Roman" w:hAnsi="Times New Roman"/>
        </w:rPr>
        <w:t>classifies costs between demand and energy using the west control area system diversified load factor (SDLF), which result</w:t>
      </w:r>
      <w:r w:rsidR="001B0135">
        <w:rPr>
          <w:rFonts w:ascii="Times New Roman" w:hAnsi="Times New Roman"/>
        </w:rPr>
        <w:t>s</w:t>
      </w:r>
      <w:r w:rsidR="00BE007B">
        <w:rPr>
          <w:rFonts w:ascii="Times New Roman" w:hAnsi="Times New Roman"/>
        </w:rPr>
        <w:t xml:space="preserve"> in 43 percent of these costs classified as demand related and 57 percent classified as energy related.  </w:t>
      </w:r>
      <w:r w:rsidR="002269C3">
        <w:rPr>
          <w:rFonts w:ascii="Times New Roman" w:hAnsi="Times New Roman"/>
        </w:rPr>
        <w:t xml:space="preserve">The demand-related costs are then allocated </w:t>
      </w:r>
      <w:r w:rsidR="00ED287E">
        <w:rPr>
          <w:rFonts w:ascii="Times New Roman" w:hAnsi="Times New Roman"/>
        </w:rPr>
        <w:t xml:space="preserve">to rate schedules </w:t>
      </w:r>
      <w:r w:rsidR="002269C3">
        <w:rPr>
          <w:rFonts w:ascii="Times New Roman" w:hAnsi="Times New Roman"/>
        </w:rPr>
        <w:t xml:space="preserve">using the Company’s highest 100 summer (April-October) and 100 winter (November-March) hourly retail peak loads in the </w:t>
      </w:r>
      <w:r w:rsidR="00BF511E">
        <w:rPr>
          <w:rFonts w:ascii="Times New Roman" w:hAnsi="Times New Roman"/>
        </w:rPr>
        <w:t>west control area</w:t>
      </w:r>
      <w:r w:rsidR="002269C3">
        <w:rPr>
          <w:rFonts w:ascii="Times New Roman" w:hAnsi="Times New Roman"/>
        </w:rPr>
        <w:t>.  The energy-related portion is allocated</w:t>
      </w:r>
      <w:r w:rsidR="00ED287E">
        <w:rPr>
          <w:rFonts w:ascii="Times New Roman" w:hAnsi="Times New Roman"/>
        </w:rPr>
        <w:t xml:space="preserve"> to rate schedules</w:t>
      </w:r>
      <w:r w:rsidR="002269C3">
        <w:rPr>
          <w:rFonts w:ascii="Times New Roman" w:hAnsi="Times New Roman"/>
        </w:rPr>
        <w:t xml:space="preserve"> using class annual load (megawatt hours), adjusted for losses. This allocation approach is consistent with prior Commission direction.  For distribution and retail service costs, </w:t>
      </w:r>
      <w:r w:rsidR="00ED287E">
        <w:rPr>
          <w:rFonts w:ascii="Times New Roman" w:hAnsi="Times New Roman"/>
        </w:rPr>
        <w:t xml:space="preserve">the Company </w:t>
      </w:r>
      <w:r w:rsidR="002269C3">
        <w:rPr>
          <w:rFonts w:ascii="Times New Roman" w:hAnsi="Times New Roman"/>
        </w:rPr>
        <w:t>also use</w:t>
      </w:r>
      <w:r w:rsidR="005D715F">
        <w:rPr>
          <w:rFonts w:ascii="Times New Roman" w:hAnsi="Times New Roman"/>
        </w:rPr>
        <w:t>s</w:t>
      </w:r>
      <w:r w:rsidR="002269C3">
        <w:rPr>
          <w:rFonts w:ascii="Times New Roman" w:hAnsi="Times New Roman"/>
        </w:rPr>
        <w:t xml:space="preserve"> methodologies consistent with prior cases.  No party raised concerns with how distribution and retail service costs were treated in the COS study.  </w:t>
      </w:r>
      <w:r w:rsidR="00A6697B">
        <w:rPr>
          <w:rFonts w:ascii="Times New Roman" w:hAnsi="Times New Roman"/>
        </w:rPr>
        <w:t xml:space="preserve">Accordingly, cost allocations I discuss </w:t>
      </w:r>
      <w:r w:rsidR="001B0135">
        <w:rPr>
          <w:rFonts w:ascii="Times New Roman" w:hAnsi="Times New Roman"/>
        </w:rPr>
        <w:t>for this rebuttal testimony</w:t>
      </w:r>
      <w:r w:rsidR="00A6697B">
        <w:rPr>
          <w:rFonts w:ascii="Times New Roman" w:hAnsi="Times New Roman"/>
        </w:rPr>
        <w:t xml:space="preserve"> refer to only generation and transmission costs.</w:t>
      </w:r>
    </w:p>
    <w:p w:rsidR="002269C3" w:rsidRPr="00131B32" w:rsidRDefault="002269C3" w:rsidP="002269C3">
      <w:pPr>
        <w:rPr>
          <w:rFonts w:ascii="Times New Roman" w:hAnsi="Times New Roman"/>
          <w:b/>
        </w:rPr>
      </w:pPr>
      <w:r w:rsidRPr="00131B32">
        <w:rPr>
          <w:rFonts w:ascii="Times New Roman" w:hAnsi="Times New Roman"/>
          <w:b/>
        </w:rPr>
        <w:t>Q.</w:t>
      </w:r>
      <w:r w:rsidRPr="00131B32">
        <w:rPr>
          <w:rFonts w:ascii="Times New Roman" w:hAnsi="Times New Roman"/>
          <w:b/>
        </w:rPr>
        <w:tab/>
      </w:r>
      <w:r>
        <w:rPr>
          <w:rFonts w:ascii="Times New Roman" w:hAnsi="Times New Roman"/>
          <w:b/>
        </w:rPr>
        <w:t xml:space="preserve">Is the Company proposing changes to the COS in this rebuttal filing? </w:t>
      </w:r>
    </w:p>
    <w:p w:rsidR="002269C3" w:rsidRDefault="002269C3" w:rsidP="002269C3">
      <w:pPr>
        <w:rPr>
          <w:rFonts w:ascii="Times New Roman" w:hAnsi="Times New Roman"/>
          <w:b/>
          <w:u w:val="single"/>
        </w:rPr>
      </w:pPr>
      <w:r w:rsidRPr="00131B32">
        <w:rPr>
          <w:rFonts w:ascii="Times New Roman" w:hAnsi="Times New Roman"/>
        </w:rPr>
        <w:t>A.</w:t>
      </w:r>
      <w:r w:rsidRPr="00131B32">
        <w:rPr>
          <w:rFonts w:ascii="Times New Roman" w:hAnsi="Times New Roman"/>
        </w:rPr>
        <w:tab/>
      </w:r>
      <w:r>
        <w:rPr>
          <w:rFonts w:ascii="Times New Roman" w:hAnsi="Times New Roman"/>
        </w:rPr>
        <w:t>No.</w:t>
      </w:r>
      <w:r w:rsidR="0026320D">
        <w:rPr>
          <w:rFonts w:ascii="Times New Roman" w:hAnsi="Times New Roman"/>
        </w:rPr>
        <w:t xml:space="preserve">  The only change reflected in the COS study is to incorporate the rebuttal results of operation for Washington presented in the rebuttal testimony of Ms. </w:t>
      </w:r>
      <w:r w:rsidR="00AA624A">
        <w:rPr>
          <w:rFonts w:ascii="Times New Roman" w:hAnsi="Times New Roman"/>
        </w:rPr>
        <w:t xml:space="preserve">Natasha C. </w:t>
      </w:r>
      <w:r w:rsidR="0026320D">
        <w:rPr>
          <w:rFonts w:ascii="Times New Roman" w:hAnsi="Times New Roman"/>
        </w:rPr>
        <w:t>Siores.</w:t>
      </w:r>
      <w:r>
        <w:rPr>
          <w:rFonts w:ascii="Times New Roman" w:hAnsi="Times New Roman"/>
        </w:rPr>
        <w:t xml:space="preserve">  </w:t>
      </w:r>
      <w:r w:rsidR="0026320D">
        <w:rPr>
          <w:rFonts w:ascii="Times New Roman" w:hAnsi="Times New Roman"/>
        </w:rPr>
        <w:t xml:space="preserve">After reviewing the COS changes proposed by Staff, Public Counsel, and Boise, the Company is not proposing methodological changes in the COS study for this proceeding.  The Company’s COS study fairly balances the study results given the range of approaches proposed by the parties.  Furthermore, the Company’s proposed rate spread, which is guided by the COS study, fairly balances the impacts for all customer classes.  </w:t>
      </w:r>
      <w:r w:rsidR="005D715F" w:rsidRPr="001738B8">
        <w:rPr>
          <w:rFonts w:ascii="Times New Roman" w:hAnsi="Times New Roman"/>
        </w:rPr>
        <w:t>Exhibit No.</w:t>
      </w:r>
      <w:r w:rsidR="00AA624A">
        <w:rPr>
          <w:rFonts w:ascii="Times New Roman" w:hAnsi="Times New Roman"/>
        </w:rPr>
        <w:t xml:space="preserve"> </w:t>
      </w:r>
      <w:r w:rsidR="005D715F" w:rsidRPr="001738B8">
        <w:rPr>
          <w:rFonts w:ascii="Times New Roman" w:hAnsi="Times New Roman"/>
        </w:rPr>
        <w:t xml:space="preserve">JRS-14 contains summary tables from the Company’s COS study for the state of Washington based on </w:t>
      </w:r>
      <w:r w:rsidR="001F44B3">
        <w:rPr>
          <w:rFonts w:ascii="Times New Roman" w:hAnsi="Times New Roman"/>
        </w:rPr>
        <w:t xml:space="preserve">the </w:t>
      </w:r>
      <w:r w:rsidR="005D715F" w:rsidRPr="001738B8">
        <w:rPr>
          <w:rFonts w:ascii="Times New Roman" w:hAnsi="Times New Roman"/>
        </w:rPr>
        <w:t>revised revenue requirement proposed in this rebuttal filing.  Exhibit No.</w:t>
      </w:r>
      <w:r w:rsidR="00AA624A">
        <w:rPr>
          <w:rFonts w:ascii="Times New Roman" w:hAnsi="Times New Roman"/>
        </w:rPr>
        <w:t xml:space="preserve"> </w:t>
      </w:r>
      <w:r w:rsidR="005D715F" w:rsidRPr="001738B8">
        <w:rPr>
          <w:rFonts w:ascii="Times New Roman" w:hAnsi="Times New Roman"/>
        </w:rPr>
        <w:t xml:space="preserve">JRS-15 displays the COS study in more detail by class and function: page 1 summarizes the total COS by class, pages 2 through 6 contain a summary by class for each major function, and pages 7 through 9 contain the unit costs by function and class.  </w:t>
      </w:r>
    </w:p>
    <w:p w:rsidR="0026320D" w:rsidRPr="00131B32" w:rsidRDefault="0026320D" w:rsidP="0026320D">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 xml:space="preserve">How do the results from the Company’s COS study compare </w:t>
      </w:r>
      <w:r w:rsidR="00FF5384">
        <w:rPr>
          <w:rFonts w:ascii="Times New Roman" w:hAnsi="Times New Roman"/>
          <w:b/>
          <w:szCs w:val="24"/>
        </w:rPr>
        <w:t>with</w:t>
      </w:r>
      <w:r w:rsidR="000C453D">
        <w:rPr>
          <w:rFonts w:ascii="Times New Roman" w:hAnsi="Times New Roman"/>
          <w:b/>
          <w:szCs w:val="24"/>
        </w:rPr>
        <w:t xml:space="preserve"> </w:t>
      </w:r>
      <w:r w:rsidRPr="00131B32">
        <w:rPr>
          <w:rFonts w:ascii="Times New Roman" w:hAnsi="Times New Roman"/>
          <w:b/>
          <w:szCs w:val="24"/>
        </w:rPr>
        <w:t>the</w:t>
      </w:r>
      <w:r w:rsidR="00A8151F">
        <w:rPr>
          <w:rFonts w:ascii="Times New Roman" w:hAnsi="Times New Roman"/>
          <w:b/>
          <w:szCs w:val="24"/>
        </w:rPr>
        <w:t xml:space="preserve"> COS approaches advocated by the other</w:t>
      </w:r>
      <w:r w:rsidRPr="00131B32">
        <w:rPr>
          <w:rFonts w:ascii="Times New Roman" w:hAnsi="Times New Roman"/>
          <w:b/>
          <w:szCs w:val="24"/>
        </w:rPr>
        <w:t xml:space="preserve"> parties?</w:t>
      </w:r>
    </w:p>
    <w:p w:rsidR="0026320D" w:rsidRPr="00131B32" w:rsidRDefault="0026320D" w:rsidP="0026320D">
      <w:pPr>
        <w:rPr>
          <w:rFonts w:ascii="Times New Roman" w:hAnsi="Times New Roman"/>
          <w:szCs w:val="24"/>
        </w:rPr>
      </w:pPr>
      <w:r w:rsidRPr="00131B32">
        <w:rPr>
          <w:rFonts w:ascii="Times New Roman" w:hAnsi="Times New Roman"/>
          <w:szCs w:val="24"/>
        </w:rPr>
        <w:t xml:space="preserve">A. </w:t>
      </w:r>
      <w:r w:rsidRPr="00131B32">
        <w:rPr>
          <w:rFonts w:ascii="Times New Roman" w:hAnsi="Times New Roman"/>
          <w:szCs w:val="24"/>
        </w:rPr>
        <w:tab/>
        <w:t xml:space="preserve">Table </w:t>
      </w:r>
      <w:r w:rsidR="00A8151F">
        <w:rPr>
          <w:rFonts w:ascii="Times New Roman" w:hAnsi="Times New Roman"/>
          <w:szCs w:val="24"/>
        </w:rPr>
        <w:t>1</w:t>
      </w:r>
      <w:r w:rsidRPr="00131B32">
        <w:rPr>
          <w:rFonts w:ascii="Times New Roman" w:hAnsi="Times New Roman"/>
          <w:szCs w:val="24"/>
        </w:rPr>
        <w:t xml:space="preserve"> compares the Company’s COS results and parity ratios (Scenario 3) with Public Counsel</w:t>
      </w:r>
      <w:r w:rsidR="001B0135">
        <w:rPr>
          <w:rFonts w:ascii="Times New Roman" w:hAnsi="Times New Roman"/>
          <w:szCs w:val="24"/>
        </w:rPr>
        <w:t>’s</w:t>
      </w:r>
      <w:r w:rsidRPr="00131B32">
        <w:rPr>
          <w:rFonts w:ascii="Times New Roman" w:hAnsi="Times New Roman"/>
          <w:szCs w:val="24"/>
        </w:rPr>
        <w:t xml:space="preserve"> (Scenario 1), Staff</w:t>
      </w:r>
      <w:r w:rsidR="001B0135">
        <w:rPr>
          <w:rFonts w:ascii="Times New Roman" w:hAnsi="Times New Roman"/>
          <w:szCs w:val="24"/>
        </w:rPr>
        <w:t>’s</w:t>
      </w:r>
      <w:r w:rsidRPr="00131B32">
        <w:rPr>
          <w:rFonts w:ascii="Times New Roman" w:hAnsi="Times New Roman"/>
          <w:szCs w:val="24"/>
        </w:rPr>
        <w:t xml:space="preserve"> (Scenario 2), and Boise’s proposals (Scenario 5)</w:t>
      </w:r>
      <w:r w:rsidR="00A8151F">
        <w:rPr>
          <w:rFonts w:ascii="Times New Roman" w:hAnsi="Times New Roman"/>
          <w:szCs w:val="24"/>
        </w:rPr>
        <w:t xml:space="preserve"> based on the Company rebuttal revenue requirement</w:t>
      </w:r>
      <w:r w:rsidRPr="00131B32">
        <w:rPr>
          <w:rFonts w:ascii="Times New Roman" w:hAnsi="Times New Roman"/>
          <w:szCs w:val="24"/>
        </w:rPr>
        <w:t xml:space="preserve">. Scenario 4 </w:t>
      </w:r>
      <w:r w:rsidR="00A8151F">
        <w:rPr>
          <w:rFonts w:ascii="Times New Roman" w:hAnsi="Times New Roman"/>
          <w:szCs w:val="24"/>
        </w:rPr>
        <w:t xml:space="preserve">(Hybrid) is a </w:t>
      </w:r>
      <w:r w:rsidRPr="00131B32">
        <w:rPr>
          <w:rFonts w:ascii="Times New Roman" w:hAnsi="Times New Roman"/>
          <w:szCs w:val="24"/>
        </w:rPr>
        <w:t>hybrid</w:t>
      </w:r>
      <w:r w:rsidR="00A8151F">
        <w:rPr>
          <w:rFonts w:ascii="Times New Roman" w:hAnsi="Times New Roman"/>
          <w:szCs w:val="24"/>
        </w:rPr>
        <w:t xml:space="preserve"> method that </w:t>
      </w:r>
      <w:r w:rsidRPr="00131B32">
        <w:rPr>
          <w:rFonts w:ascii="Times New Roman" w:hAnsi="Times New Roman"/>
          <w:szCs w:val="24"/>
        </w:rPr>
        <w:t xml:space="preserve">shows the impact on COS results if </w:t>
      </w:r>
      <w:r w:rsidR="00A8151F">
        <w:rPr>
          <w:rFonts w:ascii="Times New Roman" w:hAnsi="Times New Roman"/>
          <w:szCs w:val="24"/>
        </w:rPr>
        <w:t>classification is treated consistently with the</w:t>
      </w:r>
      <w:r w:rsidR="00BF511E">
        <w:rPr>
          <w:rFonts w:ascii="Times New Roman" w:hAnsi="Times New Roman"/>
          <w:szCs w:val="24"/>
        </w:rPr>
        <w:t xml:space="preserve"> West Control Area inter-jurisdictional allocation methodology</w:t>
      </w:r>
      <w:r w:rsidR="00A8151F">
        <w:rPr>
          <w:rFonts w:ascii="Times New Roman" w:hAnsi="Times New Roman"/>
          <w:szCs w:val="24"/>
        </w:rPr>
        <w:t xml:space="preserve"> </w:t>
      </w:r>
      <w:r w:rsidR="00BF511E">
        <w:rPr>
          <w:rFonts w:ascii="Times New Roman" w:hAnsi="Times New Roman"/>
          <w:szCs w:val="24"/>
        </w:rPr>
        <w:t>(</w:t>
      </w:r>
      <w:r w:rsidR="00A8151F">
        <w:rPr>
          <w:rFonts w:ascii="Times New Roman" w:hAnsi="Times New Roman"/>
          <w:szCs w:val="24"/>
        </w:rPr>
        <w:t>WCA</w:t>
      </w:r>
      <w:r w:rsidR="00BF511E">
        <w:rPr>
          <w:rFonts w:ascii="Times New Roman" w:hAnsi="Times New Roman"/>
          <w:szCs w:val="24"/>
        </w:rPr>
        <w:t>)</w:t>
      </w:r>
      <w:r w:rsidR="00A8151F">
        <w:rPr>
          <w:rFonts w:ascii="Times New Roman" w:hAnsi="Times New Roman"/>
          <w:szCs w:val="24"/>
        </w:rPr>
        <w:t xml:space="preserve">. </w:t>
      </w:r>
      <w:r w:rsidRPr="00131B32">
        <w:rPr>
          <w:rFonts w:ascii="Times New Roman" w:hAnsi="Times New Roman"/>
          <w:szCs w:val="24"/>
        </w:rPr>
        <w:t xml:space="preserve"> </w:t>
      </w:r>
      <w:r w:rsidR="00F0774D">
        <w:rPr>
          <w:rFonts w:ascii="Times New Roman" w:hAnsi="Times New Roman"/>
          <w:szCs w:val="24"/>
        </w:rPr>
        <w:t>Consistency between the class COS and the jurisdictional cost allocations is another approach that would be reasonable in order to align the costs allocated to customers with the drivers that allocate costs to</w:t>
      </w:r>
      <w:r w:rsidR="000C453D">
        <w:rPr>
          <w:rFonts w:ascii="Times New Roman" w:hAnsi="Times New Roman"/>
          <w:szCs w:val="24"/>
        </w:rPr>
        <w:t xml:space="preserve"> </w:t>
      </w:r>
      <w:r w:rsidR="00B330F6">
        <w:rPr>
          <w:rFonts w:ascii="Times New Roman" w:hAnsi="Times New Roman"/>
          <w:szCs w:val="24"/>
        </w:rPr>
        <w:t>Washington</w:t>
      </w:r>
      <w:r w:rsidR="00F0774D">
        <w:rPr>
          <w:rFonts w:ascii="Times New Roman" w:hAnsi="Times New Roman"/>
          <w:szCs w:val="24"/>
        </w:rPr>
        <w:t xml:space="preserve">. </w:t>
      </w:r>
    </w:p>
    <w:p w:rsidR="0026320D" w:rsidRDefault="00097880" w:rsidP="00695CC6">
      <w:pPr>
        <w:suppressLineNumbers/>
        <w:jc w:val="center"/>
        <w:rPr>
          <w:rFonts w:ascii="Times New Roman" w:hAnsi="Times New Roman"/>
          <w:b/>
          <w:u w:val="single"/>
        </w:rPr>
      </w:pPr>
      <w:r w:rsidRPr="00097880">
        <w:rPr>
          <w:noProof/>
        </w:rPr>
        <w:drawing>
          <wp:inline distT="0" distB="0" distL="0" distR="0" wp14:anchorId="095C86DD" wp14:editId="3DAE7306">
            <wp:extent cx="5715000" cy="538256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382567"/>
                    </a:xfrm>
                    <a:prstGeom prst="rect">
                      <a:avLst/>
                    </a:prstGeom>
                    <a:noFill/>
                    <a:ln>
                      <a:noFill/>
                    </a:ln>
                  </pic:spPr>
                </pic:pic>
              </a:graphicData>
            </a:graphic>
          </wp:inline>
        </w:drawing>
      </w:r>
    </w:p>
    <w:p w:rsidR="00B73803" w:rsidRDefault="00B73803" w:rsidP="00B73803">
      <w:pPr>
        <w:rPr>
          <w:rFonts w:ascii="Times New Roman" w:hAnsi="Times New Roman"/>
        </w:rPr>
      </w:pPr>
      <w:r>
        <w:rPr>
          <w:rFonts w:ascii="Times New Roman" w:hAnsi="Times New Roman"/>
          <w:b/>
        </w:rPr>
        <w:t>Q.</w:t>
      </w:r>
      <w:r>
        <w:rPr>
          <w:rFonts w:ascii="Times New Roman" w:hAnsi="Times New Roman"/>
          <w:b/>
        </w:rPr>
        <w:tab/>
        <w:t>What general conclusions can you draw from the comparison of the various COS proposals in this case?</w:t>
      </w:r>
    </w:p>
    <w:p w:rsidR="00B73803" w:rsidRPr="00402E1D" w:rsidRDefault="00B73803" w:rsidP="00B73803">
      <w:pPr>
        <w:rPr>
          <w:rFonts w:ascii="Times New Roman" w:hAnsi="Times New Roman"/>
        </w:rPr>
      </w:pPr>
      <w:r>
        <w:rPr>
          <w:rFonts w:ascii="Times New Roman" w:hAnsi="Times New Roman"/>
        </w:rPr>
        <w:t>A.</w:t>
      </w:r>
      <w:r>
        <w:rPr>
          <w:rFonts w:ascii="Times New Roman" w:hAnsi="Times New Roman"/>
        </w:rPr>
        <w:tab/>
        <w:t>As shown in Table 1, the Company’s proposal (Scenario 3) falls in the middle, between the proposals of Staff and Public Counsel on the one hand, and Boise on the other.  The Company’s proposal appropriately balances the interests of all customer classes and it</w:t>
      </w:r>
      <w:r w:rsidR="005D715F">
        <w:rPr>
          <w:rFonts w:ascii="Times New Roman" w:hAnsi="Times New Roman"/>
        </w:rPr>
        <w:t>s</w:t>
      </w:r>
      <w:r>
        <w:rPr>
          <w:rFonts w:ascii="Times New Roman" w:hAnsi="Times New Roman"/>
        </w:rPr>
        <w:t xml:space="preserve"> central position as compared to Staff and intervenors further demonstrates the overall reasonableness of </w:t>
      </w:r>
      <w:r w:rsidR="00A02932">
        <w:rPr>
          <w:rFonts w:ascii="Times New Roman" w:hAnsi="Times New Roman"/>
        </w:rPr>
        <w:t xml:space="preserve">the Company’s </w:t>
      </w:r>
      <w:r>
        <w:rPr>
          <w:rFonts w:ascii="Times New Roman" w:hAnsi="Times New Roman"/>
        </w:rPr>
        <w:t xml:space="preserve">position.  </w:t>
      </w:r>
    </w:p>
    <w:p w:rsidR="00131B32" w:rsidRPr="00131B32" w:rsidRDefault="00131B32" w:rsidP="00A82AD1">
      <w:pPr>
        <w:keepNext/>
        <w:rPr>
          <w:rFonts w:ascii="Times New Roman" w:hAnsi="Times New Roman"/>
          <w:b/>
        </w:rPr>
      </w:pPr>
      <w:r w:rsidRPr="00131B32">
        <w:rPr>
          <w:rFonts w:ascii="Times New Roman" w:hAnsi="Times New Roman"/>
          <w:b/>
        </w:rPr>
        <w:t>Q.</w:t>
      </w:r>
      <w:r w:rsidRPr="00131B32">
        <w:rPr>
          <w:rFonts w:ascii="Times New Roman" w:hAnsi="Times New Roman"/>
          <w:b/>
        </w:rPr>
        <w:tab/>
        <w:t>What changes does Public Counsel propose for the COS study?</w:t>
      </w:r>
    </w:p>
    <w:p w:rsidR="00131B32" w:rsidRDefault="00131B32" w:rsidP="00131B32">
      <w:pPr>
        <w:rPr>
          <w:rFonts w:ascii="Times New Roman" w:hAnsi="Times New Roman"/>
        </w:rPr>
      </w:pPr>
      <w:r w:rsidRPr="00131B32">
        <w:rPr>
          <w:rFonts w:ascii="Times New Roman" w:hAnsi="Times New Roman"/>
        </w:rPr>
        <w:t>A.</w:t>
      </w:r>
      <w:r w:rsidRPr="00131B32">
        <w:rPr>
          <w:rFonts w:ascii="Times New Roman" w:hAnsi="Times New Roman"/>
        </w:rPr>
        <w:tab/>
        <w:t xml:space="preserve">For the most part, Public Counsel agrees with the Company’s current </w:t>
      </w:r>
      <w:r w:rsidR="00ED287E">
        <w:rPr>
          <w:rFonts w:ascii="Times New Roman" w:hAnsi="Times New Roman"/>
        </w:rPr>
        <w:t>SDLF</w:t>
      </w:r>
      <w:r w:rsidR="008125B3">
        <w:rPr>
          <w:rFonts w:ascii="Times New Roman" w:hAnsi="Times New Roman"/>
        </w:rPr>
        <w:t xml:space="preserve"> or load factor</w:t>
      </w:r>
      <w:r w:rsidRPr="00131B32">
        <w:rPr>
          <w:rFonts w:ascii="Times New Roman" w:hAnsi="Times New Roman"/>
        </w:rPr>
        <w:t xml:space="preserve"> methodology</w:t>
      </w:r>
      <w:r w:rsidR="00ED287E">
        <w:rPr>
          <w:rFonts w:ascii="Times New Roman" w:hAnsi="Times New Roman"/>
        </w:rPr>
        <w:t xml:space="preserve"> for classifying costs between demand and energy but with caveats on the </w:t>
      </w:r>
      <w:r w:rsidRPr="00131B32">
        <w:rPr>
          <w:rFonts w:ascii="Times New Roman" w:hAnsi="Times New Roman"/>
        </w:rPr>
        <w:t>reasonableness and stability</w:t>
      </w:r>
      <w:r w:rsidR="00ED287E">
        <w:rPr>
          <w:rFonts w:ascii="Times New Roman" w:hAnsi="Times New Roman"/>
        </w:rPr>
        <w:t xml:space="preserve"> of the method</w:t>
      </w:r>
      <w:r w:rsidRPr="00131B32">
        <w:rPr>
          <w:rFonts w:ascii="Times New Roman" w:hAnsi="Times New Roman"/>
        </w:rPr>
        <w:t>.</w:t>
      </w:r>
      <w:r w:rsidR="008125B3">
        <w:rPr>
          <w:rStyle w:val="FootnoteReference"/>
        </w:rPr>
        <w:footnoteReference w:id="1"/>
      </w:r>
      <w:r w:rsidRPr="00131B32">
        <w:rPr>
          <w:rFonts w:ascii="Times New Roman" w:hAnsi="Times New Roman"/>
        </w:rPr>
        <w:t xml:space="preserve"> </w:t>
      </w:r>
      <w:r w:rsidR="00ED287E">
        <w:rPr>
          <w:rFonts w:ascii="Times New Roman" w:hAnsi="Times New Roman"/>
        </w:rPr>
        <w:t xml:space="preserve"> </w:t>
      </w:r>
      <w:r w:rsidRPr="00131B32">
        <w:rPr>
          <w:rFonts w:ascii="Times New Roman" w:hAnsi="Times New Roman"/>
        </w:rPr>
        <w:t xml:space="preserve">Public Counsel makes several proposals that may be substituted </w:t>
      </w:r>
      <w:r w:rsidR="008125B3">
        <w:rPr>
          <w:rFonts w:ascii="Times New Roman" w:hAnsi="Times New Roman"/>
        </w:rPr>
        <w:t>including</w:t>
      </w:r>
      <w:r w:rsidRPr="00131B32">
        <w:rPr>
          <w:rFonts w:ascii="Times New Roman" w:hAnsi="Times New Roman"/>
        </w:rPr>
        <w:t xml:space="preserve"> a forward-looking load factor such as the one provided in the Integrated Resource Plan (IRP), an average of multiple hours</w:t>
      </w:r>
      <w:r w:rsidR="008125B3">
        <w:rPr>
          <w:rFonts w:ascii="Times New Roman" w:hAnsi="Times New Roman"/>
        </w:rPr>
        <w:t>’</w:t>
      </w:r>
      <w:r w:rsidRPr="00131B32">
        <w:rPr>
          <w:rFonts w:ascii="Times New Roman" w:hAnsi="Times New Roman"/>
        </w:rPr>
        <w:t xml:space="preserve"> highest peak loads</w:t>
      </w:r>
      <w:r w:rsidR="002868C2">
        <w:rPr>
          <w:rFonts w:ascii="Times New Roman" w:hAnsi="Times New Roman"/>
        </w:rPr>
        <w:t xml:space="preserve"> within a single year</w:t>
      </w:r>
      <w:r w:rsidR="00DA2BA0">
        <w:rPr>
          <w:rFonts w:ascii="Times New Roman" w:hAnsi="Times New Roman"/>
        </w:rPr>
        <w:t xml:space="preserve">, or multiple years annual peak loads. </w:t>
      </w:r>
    </w:p>
    <w:p w:rsidR="008125B3" w:rsidRPr="00131B32" w:rsidRDefault="008125B3" w:rsidP="008125B3">
      <w:pPr>
        <w:rPr>
          <w:rFonts w:ascii="Times New Roman" w:hAnsi="Times New Roman"/>
          <w:b/>
        </w:rPr>
      </w:pPr>
      <w:r w:rsidRPr="00131B32">
        <w:rPr>
          <w:rFonts w:ascii="Times New Roman" w:hAnsi="Times New Roman"/>
          <w:b/>
        </w:rPr>
        <w:t>Q.</w:t>
      </w:r>
      <w:r w:rsidRPr="00131B32">
        <w:rPr>
          <w:rFonts w:ascii="Times New Roman" w:hAnsi="Times New Roman"/>
          <w:b/>
        </w:rPr>
        <w:tab/>
      </w:r>
      <w:r>
        <w:rPr>
          <w:rFonts w:ascii="Times New Roman" w:hAnsi="Times New Roman"/>
          <w:b/>
        </w:rPr>
        <w:t xml:space="preserve">Public Counsel raises a concern about a potential anomaly </w:t>
      </w:r>
      <w:r w:rsidR="00F93756">
        <w:rPr>
          <w:rFonts w:ascii="Times New Roman" w:hAnsi="Times New Roman"/>
          <w:b/>
        </w:rPr>
        <w:t xml:space="preserve">between the 2013 peak load data that the </w:t>
      </w:r>
      <w:r>
        <w:rPr>
          <w:rFonts w:ascii="Times New Roman" w:hAnsi="Times New Roman"/>
          <w:b/>
        </w:rPr>
        <w:t>Company</w:t>
      </w:r>
      <w:r w:rsidR="00F93756">
        <w:rPr>
          <w:rFonts w:ascii="Times New Roman" w:hAnsi="Times New Roman"/>
          <w:b/>
        </w:rPr>
        <w:t xml:space="preserve"> used in its </w:t>
      </w:r>
      <w:r w:rsidR="00A6697B">
        <w:rPr>
          <w:rFonts w:ascii="Times New Roman" w:hAnsi="Times New Roman"/>
          <w:b/>
        </w:rPr>
        <w:t xml:space="preserve">SDLF calculation </w:t>
      </w:r>
      <w:r w:rsidR="00F93756">
        <w:rPr>
          <w:rFonts w:ascii="Times New Roman" w:hAnsi="Times New Roman"/>
          <w:b/>
        </w:rPr>
        <w:t>and the 2014 and 2015</w:t>
      </w:r>
      <w:r w:rsidR="00A6697B">
        <w:rPr>
          <w:rFonts w:ascii="Times New Roman" w:hAnsi="Times New Roman"/>
          <w:b/>
        </w:rPr>
        <w:t xml:space="preserve"> forecast </w:t>
      </w:r>
      <w:r w:rsidR="00F93756">
        <w:rPr>
          <w:rFonts w:ascii="Times New Roman" w:hAnsi="Times New Roman"/>
          <w:b/>
        </w:rPr>
        <w:t xml:space="preserve">peak load </w:t>
      </w:r>
      <w:r w:rsidR="00A6697B">
        <w:rPr>
          <w:rFonts w:ascii="Times New Roman" w:hAnsi="Times New Roman"/>
          <w:b/>
        </w:rPr>
        <w:t xml:space="preserve">data in the </w:t>
      </w:r>
      <w:r w:rsidR="00F93756">
        <w:rPr>
          <w:rFonts w:ascii="Times New Roman" w:hAnsi="Times New Roman"/>
          <w:b/>
        </w:rPr>
        <w:t xml:space="preserve">2013 </w:t>
      </w:r>
      <w:r w:rsidR="00A6697B">
        <w:rPr>
          <w:rFonts w:ascii="Times New Roman" w:hAnsi="Times New Roman"/>
          <w:b/>
        </w:rPr>
        <w:t>IRP.  Specifically</w:t>
      </w:r>
      <w:r w:rsidR="00F93756">
        <w:rPr>
          <w:rFonts w:ascii="Times New Roman" w:hAnsi="Times New Roman"/>
          <w:b/>
        </w:rPr>
        <w:t>, Public Counsel argues</w:t>
      </w:r>
      <w:r w:rsidR="00A6697B">
        <w:rPr>
          <w:rFonts w:ascii="Times New Roman" w:hAnsi="Times New Roman"/>
          <w:b/>
        </w:rPr>
        <w:t xml:space="preserve"> that if the forecast load factor </w:t>
      </w:r>
      <w:r w:rsidR="00274ACE">
        <w:rPr>
          <w:rFonts w:ascii="Times New Roman" w:hAnsi="Times New Roman"/>
          <w:b/>
        </w:rPr>
        <w:t xml:space="preserve">from the IRP </w:t>
      </w:r>
      <w:r w:rsidR="00A6697B">
        <w:rPr>
          <w:rFonts w:ascii="Times New Roman" w:hAnsi="Times New Roman"/>
          <w:b/>
        </w:rPr>
        <w:t>were used then 28 percent of costs would be classified as demand related rather than 43 percent.</w:t>
      </w:r>
      <w:r w:rsidR="00A6697B">
        <w:rPr>
          <w:rStyle w:val="FootnoteReference"/>
          <w:b/>
        </w:rPr>
        <w:footnoteReference w:id="2"/>
      </w:r>
      <w:r w:rsidR="00A6697B">
        <w:rPr>
          <w:rFonts w:ascii="Times New Roman" w:hAnsi="Times New Roman"/>
          <w:b/>
        </w:rPr>
        <w:t xml:space="preserve">  Is this an anomaly as Public Counsel suggests</w:t>
      </w:r>
      <w:r w:rsidRPr="00131B32">
        <w:rPr>
          <w:rFonts w:ascii="Times New Roman" w:hAnsi="Times New Roman"/>
          <w:b/>
        </w:rPr>
        <w:t>?</w:t>
      </w:r>
    </w:p>
    <w:p w:rsidR="00131B32" w:rsidRPr="00131B32" w:rsidRDefault="008125B3" w:rsidP="00F93756">
      <w:pPr>
        <w:rPr>
          <w:rFonts w:ascii="Times New Roman" w:hAnsi="Times New Roman"/>
          <w:szCs w:val="24"/>
        </w:rPr>
      </w:pPr>
      <w:r w:rsidRPr="00131B32">
        <w:rPr>
          <w:rFonts w:ascii="Times New Roman" w:hAnsi="Times New Roman"/>
        </w:rPr>
        <w:t>A.</w:t>
      </w:r>
      <w:r w:rsidRPr="00131B32">
        <w:rPr>
          <w:rFonts w:ascii="Times New Roman" w:hAnsi="Times New Roman"/>
        </w:rPr>
        <w:tab/>
      </w:r>
      <w:r w:rsidR="00A6697B">
        <w:rPr>
          <w:rFonts w:ascii="Times New Roman" w:hAnsi="Times New Roman"/>
        </w:rPr>
        <w:t xml:space="preserve">No.  </w:t>
      </w:r>
      <w:r w:rsidR="00131B32" w:rsidRPr="00131B32">
        <w:rPr>
          <w:rFonts w:ascii="Times New Roman" w:hAnsi="Times New Roman"/>
          <w:szCs w:val="24"/>
        </w:rPr>
        <w:t xml:space="preserve">The forecast coincident peak in the IRP looks at the loads of the </w:t>
      </w:r>
      <w:r w:rsidR="00BF511E">
        <w:rPr>
          <w:rFonts w:ascii="Times New Roman" w:hAnsi="Times New Roman"/>
          <w:szCs w:val="24"/>
        </w:rPr>
        <w:t>west control area</w:t>
      </w:r>
      <w:r w:rsidR="00BF511E" w:rsidRPr="00131B32">
        <w:rPr>
          <w:rFonts w:ascii="Times New Roman" w:hAnsi="Times New Roman"/>
          <w:szCs w:val="24"/>
        </w:rPr>
        <w:t xml:space="preserve"> </w:t>
      </w:r>
      <w:r w:rsidR="00131B32" w:rsidRPr="00131B32">
        <w:rPr>
          <w:rFonts w:ascii="Times New Roman" w:hAnsi="Times New Roman"/>
          <w:szCs w:val="24"/>
        </w:rPr>
        <w:t xml:space="preserve">at the time of the Company’s entire system peak, which includes the </w:t>
      </w:r>
      <w:r w:rsidR="00BF511E">
        <w:rPr>
          <w:rFonts w:ascii="Times New Roman" w:hAnsi="Times New Roman"/>
          <w:szCs w:val="24"/>
        </w:rPr>
        <w:t>west control area</w:t>
      </w:r>
      <w:r w:rsidR="00BF511E" w:rsidRPr="00131B32">
        <w:rPr>
          <w:rFonts w:ascii="Times New Roman" w:hAnsi="Times New Roman"/>
          <w:szCs w:val="24"/>
        </w:rPr>
        <w:t xml:space="preserve"> </w:t>
      </w:r>
      <w:r w:rsidR="00131B32" w:rsidRPr="00131B32">
        <w:rPr>
          <w:rFonts w:ascii="Times New Roman" w:hAnsi="Times New Roman"/>
          <w:szCs w:val="24"/>
        </w:rPr>
        <w:t xml:space="preserve">loads and all other states within the Company’s system (Utah, Wyoming, and Idaho).  The difference in the IRP coincident peaks and the peak utilized by the Company can simply be attributed to the different peak times of the </w:t>
      </w:r>
      <w:r w:rsidR="00BF511E">
        <w:rPr>
          <w:rFonts w:ascii="Times New Roman" w:hAnsi="Times New Roman"/>
          <w:szCs w:val="24"/>
        </w:rPr>
        <w:t>west control area</w:t>
      </w:r>
      <w:r w:rsidR="00BF511E" w:rsidRPr="00131B32">
        <w:rPr>
          <w:rFonts w:ascii="Times New Roman" w:hAnsi="Times New Roman"/>
          <w:szCs w:val="24"/>
        </w:rPr>
        <w:t xml:space="preserve"> </w:t>
      </w:r>
      <w:r w:rsidR="00131B32" w:rsidRPr="00131B32">
        <w:rPr>
          <w:rFonts w:ascii="Times New Roman" w:hAnsi="Times New Roman"/>
          <w:szCs w:val="24"/>
        </w:rPr>
        <w:t xml:space="preserve">and the entire PacifiCorp system. The </w:t>
      </w:r>
      <w:r w:rsidR="00BF511E">
        <w:rPr>
          <w:rFonts w:ascii="Times New Roman" w:hAnsi="Times New Roman"/>
          <w:szCs w:val="24"/>
        </w:rPr>
        <w:t>west control area</w:t>
      </w:r>
      <w:r w:rsidR="00BF511E" w:rsidRPr="00131B32">
        <w:rPr>
          <w:rFonts w:ascii="Times New Roman" w:hAnsi="Times New Roman"/>
          <w:szCs w:val="24"/>
        </w:rPr>
        <w:t xml:space="preserve"> </w:t>
      </w:r>
      <w:r w:rsidR="00131B32" w:rsidRPr="00131B32">
        <w:rPr>
          <w:rFonts w:ascii="Times New Roman" w:hAnsi="Times New Roman"/>
          <w:szCs w:val="24"/>
        </w:rPr>
        <w:t xml:space="preserve">coincident peak would be 3,361 </w:t>
      </w:r>
      <w:r w:rsidR="00695CC6">
        <w:rPr>
          <w:rFonts w:ascii="Times New Roman" w:hAnsi="Times New Roman"/>
          <w:szCs w:val="24"/>
        </w:rPr>
        <w:t>megawatt (</w:t>
      </w:r>
      <w:r w:rsidR="00131B32" w:rsidRPr="00131B32">
        <w:rPr>
          <w:rFonts w:ascii="Times New Roman" w:hAnsi="Times New Roman"/>
          <w:szCs w:val="24"/>
        </w:rPr>
        <w:t>MW</w:t>
      </w:r>
      <w:r w:rsidR="00695CC6">
        <w:rPr>
          <w:rFonts w:ascii="Times New Roman" w:hAnsi="Times New Roman"/>
          <w:szCs w:val="24"/>
        </w:rPr>
        <w:t>)</w:t>
      </w:r>
      <w:r w:rsidR="00131B32" w:rsidRPr="00131B32">
        <w:rPr>
          <w:rFonts w:ascii="Times New Roman" w:hAnsi="Times New Roman"/>
          <w:szCs w:val="24"/>
        </w:rPr>
        <w:t xml:space="preserve"> at the time of the PacifiCorp system peak, a value significantly closer to those in the IRP forecasts.</w:t>
      </w:r>
    </w:p>
    <w:p w:rsidR="00131B32" w:rsidRPr="00131B32" w:rsidRDefault="00131B32" w:rsidP="00131B32">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 xml:space="preserve">Public Counsel </w:t>
      </w:r>
      <w:r w:rsidR="00A6697B">
        <w:rPr>
          <w:rFonts w:ascii="Times New Roman" w:hAnsi="Times New Roman"/>
          <w:b/>
          <w:szCs w:val="24"/>
        </w:rPr>
        <w:t xml:space="preserve">proposes </w:t>
      </w:r>
      <w:r w:rsidRPr="00131B32">
        <w:rPr>
          <w:rFonts w:ascii="Times New Roman" w:hAnsi="Times New Roman"/>
          <w:b/>
          <w:szCs w:val="24"/>
        </w:rPr>
        <w:t>classif</w:t>
      </w:r>
      <w:r w:rsidR="00A6697B">
        <w:rPr>
          <w:rFonts w:ascii="Times New Roman" w:hAnsi="Times New Roman"/>
          <w:b/>
          <w:szCs w:val="24"/>
        </w:rPr>
        <w:t>ying</w:t>
      </w:r>
      <w:r w:rsidRPr="00131B32">
        <w:rPr>
          <w:rFonts w:ascii="Times New Roman" w:hAnsi="Times New Roman"/>
          <w:b/>
          <w:szCs w:val="24"/>
        </w:rPr>
        <w:t xml:space="preserve"> </w:t>
      </w:r>
      <w:r w:rsidR="00A6697B">
        <w:rPr>
          <w:rFonts w:ascii="Times New Roman" w:hAnsi="Times New Roman"/>
          <w:b/>
          <w:szCs w:val="24"/>
        </w:rPr>
        <w:t xml:space="preserve">generation and transmission </w:t>
      </w:r>
      <w:r w:rsidRPr="00131B32">
        <w:rPr>
          <w:rFonts w:ascii="Times New Roman" w:hAnsi="Times New Roman"/>
          <w:b/>
          <w:szCs w:val="24"/>
        </w:rPr>
        <w:t>costs as 30</w:t>
      </w:r>
      <w:r w:rsidR="00A6697B">
        <w:rPr>
          <w:rFonts w:ascii="Times New Roman" w:hAnsi="Times New Roman"/>
          <w:b/>
          <w:szCs w:val="24"/>
        </w:rPr>
        <w:t xml:space="preserve"> percent</w:t>
      </w:r>
      <w:r w:rsidRPr="00131B32">
        <w:rPr>
          <w:rFonts w:ascii="Times New Roman" w:hAnsi="Times New Roman"/>
          <w:b/>
          <w:szCs w:val="24"/>
        </w:rPr>
        <w:t xml:space="preserve"> demand related and 70</w:t>
      </w:r>
      <w:r w:rsidR="00A6697B">
        <w:rPr>
          <w:rFonts w:ascii="Times New Roman" w:hAnsi="Times New Roman"/>
          <w:b/>
          <w:szCs w:val="24"/>
        </w:rPr>
        <w:t xml:space="preserve"> percent</w:t>
      </w:r>
      <w:r w:rsidRPr="00131B32">
        <w:rPr>
          <w:rFonts w:ascii="Times New Roman" w:hAnsi="Times New Roman"/>
          <w:b/>
          <w:szCs w:val="24"/>
        </w:rPr>
        <w:t xml:space="preserve"> energy related </w:t>
      </w:r>
      <w:r w:rsidR="005D715F">
        <w:rPr>
          <w:rFonts w:ascii="Times New Roman" w:hAnsi="Times New Roman"/>
          <w:b/>
          <w:szCs w:val="24"/>
        </w:rPr>
        <w:t>as a closer approximation of</w:t>
      </w:r>
      <w:r w:rsidRPr="00131B32">
        <w:rPr>
          <w:rFonts w:ascii="Times New Roman" w:hAnsi="Times New Roman"/>
          <w:b/>
          <w:szCs w:val="24"/>
        </w:rPr>
        <w:t xml:space="preserve"> the IRP load factor. What effect does this have on COS results when compared with the Company’s filed COS study?</w:t>
      </w:r>
    </w:p>
    <w:p w:rsidR="00131B32" w:rsidRPr="00131B32" w:rsidRDefault="00131B32" w:rsidP="00131B32">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r>
      <w:r w:rsidR="00F93756">
        <w:rPr>
          <w:rFonts w:ascii="Times New Roman" w:hAnsi="Times New Roman"/>
          <w:szCs w:val="24"/>
        </w:rPr>
        <w:t xml:space="preserve">Scenario 1 in </w:t>
      </w:r>
      <w:r w:rsidRPr="00131B32">
        <w:rPr>
          <w:rFonts w:ascii="Times New Roman" w:hAnsi="Times New Roman"/>
          <w:szCs w:val="24"/>
        </w:rPr>
        <w:t xml:space="preserve">Table 1 </w:t>
      </w:r>
      <w:r w:rsidR="00F93756">
        <w:rPr>
          <w:rFonts w:ascii="Times New Roman" w:hAnsi="Times New Roman"/>
          <w:szCs w:val="24"/>
        </w:rPr>
        <w:t xml:space="preserve">above </w:t>
      </w:r>
      <w:r w:rsidRPr="00131B32">
        <w:rPr>
          <w:rFonts w:ascii="Times New Roman" w:hAnsi="Times New Roman"/>
          <w:szCs w:val="24"/>
        </w:rPr>
        <w:t xml:space="preserve">illustrates the impact on COS results of classifying </w:t>
      </w:r>
      <w:r w:rsidR="00F93756">
        <w:rPr>
          <w:rFonts w:ascii="Times New Roman" w:hAnsi="Times New Roman"/>
          <w:szCs w:val="24"/>
        </w:rPr>
        <w:t xml:space="preserve">these </w:t>
      </w:r>
      <w:r w:rsidRPr="00131B32">
        <w:rPr>
          <w:rFonts w:ascii="Times New Roman" w:hAnsi="Times New Roman"/>
          <w:szCs w:val="24"/>
        </w:rPr>
        <w:t>costs as 30</w:t>
      </w:r>
      <w:r w:rsidR="00F93756">
        <w:rPr>
          <w:rFonts w:ascii="Times New Roman" w:hAnsi="Times New Roman"/>
          <w:szCs w:val="24"/>
        </w:rPr>
        <w:t xml:space="preserve"> percent</w:t>
      </w:r>
      <w:r w:rsidRPr="00131B32">
        <w:rPr>
          <w:rFonts w:ascii="Times New Roman" w:hAnsi="Times New Roman"/>
          <w:szCs w:val="24"/>
        </w:rPr>
        <w:t xml:space="preserve"> demand related and 70</w:t>
      </w:r>
      <w:r w:rsidR="00F93756">
        <w:rPr>
          <w:rFonts w:ascii="Times New Roman" w:hAnsi="Times New Roman"/>
          <w:szCs w:val="24"/>
        </w:rPr>
        <w:t xml:space="preserve"> percent</w:t>
      </w:r>
      <w:r w:rsidRPr="00131B32">
        <w:rPr>
          <w:rFonts w:ascii="Times New Roman" w:hAnsi="Times New Roman"/>
          <w:szCs w:val="24"/>
        </w:rPr>
        <w:t xml:space="preserve"> energy related. As </w:t>
      </w:r>
      <w:r w:rsidR="00F93756">
        <w:rPr>
          <w:rFonts w:ascii="Times New Roman" w:hAnsi="Times New Roman"/>
          <w:szCs w:val="24"/>
        </w:rPr>
        <w:t>would be</w:t>
      </w:r>
      <w:r w:rsidR="00F93756" w:rsidRPr="00131B32">
        <w:rPr>
          <w:rFonts w:ascii="Times New Roman" w:hAnsi="Times New Roman"/>
          <w:szCs w:val="24"/>
        </w:rPr>
        <w:t xml:space="preserve"> </w:t>
      </w:r>
      <w:r w:rsidRPr="00131B32">
        <w:rPr>
          <w:rFonts w:ascii="Times New Roman" w:hAnsi="Times New Roman"/>
          <w:szCs w:val="24"/>
        </w:rPr>
        <w:t>expected, when classifying more cost</w:t>
      </w:r>
      <w:r w:rsidR="001B0135">
        <w:rPr>
          <w:rFonts w:ascii="Times New Roman" w:hAnsi="Times New Roman"/>
          <w:szCs w:val="24"/>
        </w:rPr>
        <w:t>s</w:t>
      </w:r>
      <w:r w:rsidRPr="00131B32">
        <w:rPr>
          <w:rFonts w:ascii="Times New Roman" w:hAnsi="Times New Roman"/>
          <w:szCs w:val="24"/>
        </w:rPr>
        <w:t xml:space="preserve"> as energy related, costs are shifted from lower load factor customers (residential) to higher load factor customers (</w:t>
      </w:r>
      <w:r w:rsidR="001B0135">
        <w:rPr>
          <w:rFonts w:ascii="Times New Roman" w:hAnsi="Times New Roman"/>
          <w:szCs w:val="24"/>
        </w:rPr>
        <w:t>in</w:t>
      </w:r>
      <w:r w:rsidRPr="00131B32">
        <w:rPr>
          <w:rFonts w:ascii="Times New Roman" w:hAnsi="Times New Roman"/>
          <w:szCs w:val="24"/>
        </w:rPr>
        <w:t xml:space="preserve">dustrial or </w:t>
      </w:r>
      <w:r w:rsidR="001B0135">
        <w:rPr>
          <w:rFonts w:ascii="Times New Roman" w:hAnsi="Times New Roman"/>
          <w:szCs w:val="24"/>
        </w:rPr>
        <w:t>l</w:t>
      </w:r>
      <w:r w:rsidRPr="00131B32">
        <w:rPr>
          <w:rFonts w:ascii="Times New Roman" w:hAnsi="Times New Roman"/>
          <w:szCs w:val="24"/>
        </w:rPr>
        <w:t xml:space="preserve">arge </w:t>
      </w:r>
      <w:r w:rsidR="001B0135">
        <w:rPr>
          <w:rFonts w:ascii="Times New Roman" w:hAnsi="Times New Roman"/>
          <w:szCs w:val="24"/>
        </w:rPr>
        <w:t>g</w:t>
      </w:r>
      <w:r w:rsidRPr="00131B32">
        <w:rPr>
          <w:rFonts w:ascii="Times New Roman" w:hAnsi="Times New Roman"/>
          <w:szCs w:val="24"/>
        </w:rPr>
        <w:t xml:space="preserve">eneral </w:t>
      </w:r>
      <w:r w:rsidR="001B0135">
        <w:rPr>
          <w:rFonts w:ascii="Times New Roman" w:hAnsi="Times New Roman"/>
          <w:szCs w:val="24"/>
        </w:rPr>
        <w:t>s</w:t>
      </w:r>
      <w:r w:rsidRPr="00131B32">
        <w:rPr>
          <w:rFonts w:ascii="Times New Roman" w:hAnsi="Times New Roman"/>
          <w:szCs w:val="24"/>
        </w:rPr>
        <w:t xml:space="preserve">ervice).  </w:t>
      </w:r>
    </w:p>
    <w:p w:rsidR="00131B32" w:rsidRPr="00131B32" w:rsidRDefault="00131B32" w:rsidP="00F93756">
      <w:pPr>
        <w:rPr>
          <w:rFonts w:ascii="Times New Roman" w:hAnsi="Times New Roman"/>
          <w:b/>
        </w:rPr>
      </w:pPr>
      <w:r w:rsidRPr="00131B32">
        <w:rPr>
          <w:rFonts w:ascii="Times New Roman" w:hAnsi="Times New Roman"/>
          <w:b/>
        </w:rPr>
        <w:t>Q.</w:t>
      </w:r>
      <w:r w:rsidRPr="00131B32">
        <w:rPr>
          <w:rFonts w:ascii="Times New Roman" w:hAnsi="Times New Roman"/>
          <w:b/>
        </w:rPr>
        <w:tab/>
        <w:t>Is</w:t>
      </w:r>
      <w:r w:rsidR="00F93756">
        <w:rPr>
          <w:rFonts w:ascii="Times New Roman" w:hAnsi="Times New Roman"/>
          <w:b/>
        </w:rPr>
        <w:t xml:space="preserve"> using a 30/70 percent split between demand and energy an appropriate methodology for class COS in </w:t>
      </w:r>
      <w:r w:rsidRPr="00131B32">
        <w:rPr>
          <w:rFonts w:ascii="Times New Roman" w:hAnsi="Times New Roman"/>
          <w:b/>
        </w:rPr>
        <w:t>Washington?</w:t>
      </w:r>
    </w:p>
    <w:p w:rsidR="00131B32" w:rsidRPr="00131B32" w:rsidRDefault="00131B32" w:rsidP="00131B32">
      <w:pPr>
        <w:rPr>
          <w:rFonts w:ascii="Times New Roman" w:hAnsi="Times New Roman"/>
          <w:szCs w:val="24"/>
        </w:rPr>
      </w:pPr>
      <w:r w:rsidRPr="00131B32">
        <w:rPr>
          <w:rFonts w:ascii="Times New Roman" w:hAnsi="Times New Roman"/>
        </w:rPr>
        <w:t xml:space="preserve">A. </w:t>
      </w:r>
      <w:r w:rsidRPr="00131B32">
        <w:rPr>
          <w:rFonts w:ascii="Times New Roman" w:hAnsi="Times New Roman"/>
        </w:rPr>
        <w:tab/>
        <w:t>No.</w:t>
      </w:r>
      <w:r w:rsidRPr="00131B32">
        <w:rPr>
          <w:rFonts w:ascii="Times New Roman" w:hAnsi="Times New Roman"/>
          <w:szCs w:val="24"/>
        </w:rPr>
        <w:t xml:space="preserve"> </w:t>
      </w:r>
      <w:r w:rsidR="00F93756">
        <w:rPr>
          <w:rFonts w:ascii="Times New Roman" w:hAnsi="Times New Roman"/>
          <w:szCs w:val="24"/>
        </w:rPr>
        <w:t xml:space="preserve"> </w:t>
      </w:r>
      <w:r w:rsidR="004B580E">
        <w:rPr>
          <w:rFonts w:ascii="Times New Roman" w:hAnsi="Times New Roman"/>
          <w:szCs w:val="24"/>
        </w:rPr>
        <w:t>The Company</w:t>
      </w:r>
      <w:r w:rsidR="004B580E" w:rsidRPr="00131B32">
        <w:rPr>
          <w:rFonts w:ascii="Times New Roman" w:hAnsi="Times New Roman"/>
          <w:szCs w:val="24"/>
        </w:rPr>
        <w:t xml:space="preserve"> </w:t>
      </w:r>
      <w:r w:rsidR="00F93756">
        <w:rPr>
          <w:rFonts w:ascii="Times New Roman" w:hAnsi="Times New Roman"/>
          <w:szCs w:val="24"/>
        </w:rPr>
        <w:t xml:space="preserve">does not use </w:t>
      </w:r>
      <w:r w:rsidRPr="00131B32">
        <w:rPr>
          <w:rFonts w:ascii="Times New Roman" w:hAnsi="Times New Roman"/>
          <w:szCs w:val="24"/>
        </w:rPr>
        <w:t>system peaks to allocate costs in Washington</w:t>
      </w:r>
      <w:r w:rsidR="00BF511E">
        <w:rPr>
          <w:rFonts w:ascii="Times New Roman" w:hAnsi="Times New Roman"/>
          <w:szCs w:val="24"/>
        </w:rPr>
        <w:t>;</w:t>
      </w:r>
      <w:r w:rsidR="00F93756">
        <w:rPr>
          <w:rFonts w:ascii="Times New Roman" w:hAnsi="Times New Roman"/>
          <w:szCs w:val="24"/>
        </w:rPr>
        <w:t xml:space="preserve"> t</w:t>
      </w:r>
      <w:r w:rsidRPr="00131B32">
        <w:rPr>
          <w:rFonts w:ascii="Times New Roman" w:hAnsi="Times New Roman"/>
          <w:szCs w:val="24"/>
        </w:rPr>
        <w:t xml:space="preserve">herefore, </w:t>
      </w:r>
      <w:r w:rsidR="00F93756">
        <w:rPr>
          <w:rFonts w:ascii="Times New Roman" w:hAnsi="Times New Roman"/>
          <w:szCs w:val="24"/>
        </w:rPr>
        <w:t xml:space="preserve">this </w:t>
      </w:r>
      <w:r w:rsidRPr="00131B32">
        <w:rPr>
          <w:rFonts w:ascii="Times New Roman" w:hAnsi="Times New Roman"/>
          <w:szCs w:val="24"/>
        </w:rPr>
        <w:t xml:space="preserve">approach is unreasonable and </w:t>
      </w:r>
      <w:r w:rsidR="00963278">
        <w:rPr>
          <w:rFonts w:ascii="Times New Roman" w:hAnsi="Times New Roman"/>
          <w:szCs w:val="24"/>
        </w:rPr>
        <w:t>is inconsistent</w:t>
      </w:r>
      <w:r w:rsidR="00BF511E">
        <w:rPr>
          <w:rFonts w:ascii="Times New Roman" w:hAnsi="Times New Roman"/>
          <w:szCs w:val="24"/>
        </w:rPr>
        <w:t xml:space="preserve"> with</w:t>
      </w:r>
      <w:r w:rsidR="00963278">
        <w:rPr>
          <w:rFonts w:ascii="Times New Roman" w:hAnsi="Times New Roman"/>
          <w:szCs w:val="24"/>
        </w:rPr>
        <w:t xml:space="preserve"> </w:t>
      </w:r>
      <w:r w:rsidRPr="00131B32">
        <w:rPr>
          <w:rFonts w:ascii="Times New Roman" w:hAnsi="Times New Roman"/>
          <w:szCs w:val="24"/>
        </w:rPr>
        <w:t>the WCA.</w:t>
      </w:r>
    </w:p>
    <w:p w:rsidR="00131B32" w:rsidRPr="00131B32" w:rsidRDefault="00131B32" w:rsidP="00131B32">
      <w:pPr>
        <w:rPr>
          <w:rFonts w:ascii="Times New Roman" w:hAnsi="Times New Roman"/>
          <w:b/>
          <w:szCs w:val="24"/>
        </w:rPr>
      </w:pPr>
      <w:r w:rsidRPr="00131B32">
        <w:rPr>
          <w:rFonts w:ascii="Times New Roman" w:hAnsi="Times New Roman"/>
          <w:b/>
          <w:szCs w:val="24"/>
        </w:rPr>
        <w:t xml:space="preserve">Q. </w:t>
      </w:r>
      <w:r w:rsidRPr="00131B32">
        <w:rPr>
          <w:rFonts w:ascii="Times New Roman" w:hAnsi="Times New Roman"/>
          <w:b/>
          <w:szCs w:val="24"/>
        </w:rPr>
        <w:tab/>
        <w:t>What recommendations does Staff propose for the COS study?</w:t>
      </w:r>
    </w:p>
    <w:p w:rsidR="00131B32" w:rsidRPr="00131B32" w:rsidRDefault="00131B32" w:rsidP="00131B32">
      <w:pPr>
        <w:rPr>
          <w:rFonts w:ascii="Times New Roman" w:hAnsi="Times New Roman"/>
          <w:szCs w:val="24"/>
        </w:rPr>
      </w:pPr>
      <w:r w:rsidRPr="00131B32">
        <w:rPr>
          <w:rFonts w:ascii="Times New Roman" w:hAnsi="Times New Roman"/>
          <w:szCs w:val="24"/>
        </w:rPr>
        <w:t>A.</w:t>
      </w:r>
      <w:r w:rsidRPr="00131B32">
        <w:rPr>
          <w:rFonts w:ascii="Times New Roman" w:hAnsi="Times New Roman"/>
          <w:color w:val="3B3B3B"/>
          <w:szCs w:val="24"/>
        </w:rPr>
        <w:tab/>
      </w:r>
      <w:r w:rsidRPr="00131B32">
        <w:rPr>
          <w:rFonts w:ascii="Times New Roman" w:hAnsi="Times New Roman"/>
          <w:szCs w:val="24"/>
        </w:rPr>
        <w:t>Staff proposes classifying non-dispatchable generation (NDG) costs primarily as energy related and directly assigning the costs of corporate account managers (CAM) to large industrial customers.</w:t>
      </w:r>
    </w:p>
    <w:p w:rsidR="00131B32" w:rsidRPr="00131B32" w:rsidRDefault="00131B32" w:rsidP="00131B32">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Please describe Staff’s proposed NDG allocation factor.</w:t>
      </w:r>
    </w:p>
    <w:p w:rsidR="00DE764C" w:rsidRDefault="00131B32" w:rsidP="00131B32">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t xml:space="preserve">Staff proposes a new allocation factor to classify and allocate costs specifically related to solar and wind resources. Staff recommends that </w:t>
      </w:r>
      <w:r w:rsidR="00963278">
        <w:rPr>
          <w:rFonts w:ascii="Times New Roman" w:hAnsi="Times New Roman"/>
          <w:szCs w:val="24"/>
        </w:rPr>
        <w:t xml:space="preserve">a larger portion of the costs of these resources be classified as energy related with </w:t>
      </w:r>
      <w:r w:rsidRPr="00131B32">
        <w:rPr>
          <w:rFonts w:ascii="Times New Roman" w:hAnsi="Times New Roman"/>
          <w:szCs w:val="24"/>
        </w:rPr>
        <w:t xml:space="preserve">the demand-related portion </w:t>
      </w:r>
      <w:r w:rsidR="00F31C27">
        <w:rPr>
          <w:rFonts w:ascii="Times New Roman" w:hAnsi="Times New Roman"/>
          <w:szCs w:val="24"/>
        </w:rPr>
        <w:t xml:space="preserve">to </w:t>
      </w:r>
      <w:r w:rsidRPr="00131B32">
        <w:rPr>
          <w:rFonts w:ascii="Times New Roman" w:hAnsi="Times New Roman"/>
          <w:szCs w:val="24"/>
        </w:rPr>
        <w:t xml:space="preserve">be determined by a capacity credit developed </w:t>
      </w:r>
      <w:r w:rsidR="005D715F">
        <w:rPr>
          <w:rFonts w:ascii="Times New Roman" w:hAnsi="Times New Roman"/>
          <w:szCs w:val="24"/>
        </w:rPr>
        <w:t>for</w:t>
      </w:r>
      <w:r w:rsidRPr="00131B32">
        <w:rPr>
          <w:rFonts w:ascii="Times New Roman" w:hAnsi="Times New Roman"/>
          <w:szCs w:val="24"/>
        </w:rPr>
        <w:t xml:space="preserve"> the Company’s IRP.</w:t>
      </w:r>
      <w:r w:rsidR="00963278">
        <w:rPr>
          <w:rFonts w:ascii="Times New Roman" w:hAnsi="Times New Roman"/>
          <w:szCs w:val="24"/>
        </w:rPr>
        <w:t xml:space="preserve">  In support of this position Staff argues that </w:t>
      </w:r>
      <w:r w:rsidR="00F31C27">
        <w:rPr>
          <w:rFonts w:ascii="Times New Roman" w:hAnsi="Times New Roman"/>
          <w:szCs w:val="24"/>
        </w:rPr>
        <w:t xml:space="preserve">since compliance with </w:t>
      </w:r>
      <w:r w:rsidR="00963278">
        <w:rPr>
          <w:rFonts w:ascii="Times New Roman" w:hAnsi="Times New Roman"/>
          <w:szCs w:val="24"/>
        </w:rPr>
        <w:t>the Renewable Portfolio Standard</w:t>
      </w:r>
      <w:r w:rsidR="00F31C27">
        <w:rPr>
          <w:rFonts w:ascii="Times New Roman" w:hAnsi="Times New Roman"/>
          <w:szCs w:val="24"/>
        </w:rPr>
        <w:t xml:space="preserve"> (RPS) </w:t>
      </w:r>
      <w:r w:rsidR="003A6432">
        <w:rPr>
          <w:rFonts w:ascii="Times New Roman" w:hAnsi="Times New Roman"/>
          <w:szCs w:val="24"/>
        </w:rPr>
        <w:t>is</w:t>
      </w:r>
      <w:r w:rsidR="00F31C27">
        <w:rPr>
          <w:rFonts w:ascii="Times New Roman" w:hAnsi="Times New Roman"/>
          <w:szCs w:val="24"/>
        </w:rPr>
        <w:t xml:space="preserve"> energy based</w:t>
      </w:r>
      <w:r w:rsidR="00DE764C">
        <w:rPr>
          <w:rFonts w:ascii="Times New Roman" w:hAnsi="Times New Roman"/>
          <w:szCs w:val="24"/>
        </w:rPr>
        <w:t xml:space="preserve"> it is more consistent to assign costs based on customer energy usage</w:t>
      </w:r>
      <w:r w:rsidR="00F31C27">
        <w:rPr>
          <w:rFonts w:ascii="Times New Roman" w:hAnsi="Times New Roman"/>
          <w:szCs w:val="24"/>
        </w:rPr>
        <w:t>.</w:t>
      </w:r>
      <w:r w:rsidR="003A6432">
        <w:rPr>
          <w:rFonts w:ascii="Times New Roman" w:hAnsi="Times New Roman"/>
          <w:szCs w:val="24"/>
        </w:rPr>
        <w:t xml:space="preserve"> Additionally, while Staff recognizes that the impact on COS results </w:t>
      </w:r>
      <w:r w:rsidR="00E22E05">
        <w:rPr>
          <w:rFonts w:ascii="Times New Roman" w:hAnsi="Times New Roman"/>
          <w:szCs w:val="24"/>
        </w:rPr>
        <w:t>is</w:t>
      </w:r>
      <w:r w:rsidR="003A6432">
        <w:rPr>
          <w:rFonts w:ascii="Times New Roman" w:hAnsi="Times New Roman"/>
          <w:szCs w:val="24"/>
        </w:rPr>
        <w:t xml:space="preserve"> small right now</w:t>
      </w:r>
      <w:r w:rsidR="001B0135">
        <w:rPr>
          <w:rFonts w:ascii="Times New Roman" w:hAnsi="Times New Roman"/>
          <w:szCs w:val="24"/>
        </w:rPr>
        <w:t xml:space="preserve">, </w:t>
      </w:r>
      <w:r w:rsidR="00274ACE">
        <w:rPr>
          <w:rFonts w:ascii="Times New Roman" w:hAnsi="Times New Roman"/>
          <w:szCs w:val="24"/>
        </w:rPr>
        <w:t>Staff claims</w:t>
      </w:r>
      <w:r w:rsidR="001B0135">
        <w:rPr>
          <w:rFonts w:ascii="Times New Roman" w:hAnsi="Times New Roman"/>
          <w:szCs w:val="24"/>
        </w:rPr>
        <w:t xml:space="preserve"> that </w:t>
      </w:r>
      <w:r w:rsidR="00274ACE">
        <w:rPr>
          <w:rFonts w:ascii="Times New Roman" w:hAnsi="Times New Roman"/>
          <w:szCs w:val="24"/>
        </w:rPr>
        <w:t xml:space="preserve">the impact </w:t>
      </w:r>
      <w:r w:rsidR="003A6432">
        <w:rPr>
          <w:rFonts w:ascii="Times New Roman" w:hAnsi="Times New Roman"/>
          <w:szCs w:val="24"/>
        </w:rPr>
        <w:t>is expected to increase with the growth of wind in the Company’s portfolio.</w:t>
      </w:r>
      <w:r w:rsidR="00DE764C">
        <w:rPr>
          <w:rStyle w:val="FootnoteReference"/>
          <w:szCs w:val="24"/>
        </w:rPr>
        <w:footnoteReference w:id="3"/>
      </w:r>
      <w:r w:rsidR="00F31C27">
        <w:rPr>
          <w:rFonts w:ascii="Times New Roman" w:hAnsi="Times New Roman"/>
          <w:szCs w:val="24"/>
        </w:rPr>
        <w:t xml:space="preserve">  </w:t>
      </w:r>
    </w:p>
    <w:p w:rsidR="00DE764C" w:rsidRPr="00131B32" w:rsidRDefault="00DE764C" w:rsidP="00DE764C">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r>
      <w:r>
        <w:rPr>
          <w:rFonts w:ascii="Times New Roman" w:hAnsi="Times New Roman"/>
          <w:b/>
          <w:szCs w:val="24"/>
        </w:rPr>
        <w:t>Do you agree with Staff’s proposed NDG allocation factor?</w:t>
      </w:r>
    </w:p>
    <w:p w:rsidR="00167516" w:rsidRDefault="00DE764C" w:rsidP="001B0135">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r>
      <w:r>
        <w:rPr>
          <w:rFonts w:ascii="Times New Roman" w:hAnsi="Times New Roman"/>
          <w:szCs w:val="24"/>
        </w:rPr>
        <w:t xml:space="preserve">No.  </w:t>
      </w:r>
      <w:r w:rsidR="00167516" w:rsidRPr="00131B32">
        <w:rPr>
          <w:rFonts w:ascii="Times New Roman" w:hAnsi="Times New Roman"/>
          <w:szCs w:val="24"/>
        </w:rPr>
        <w:t xml:space="preserve">I disagree with the NDG proposal for a numbers of reasons.  First, as explained in my direct testimony, the fleet of generation resources is comprised of multiple </w:t>
      </w:r>
      <w:r w:rsidR="00274ACE">
        <w:rPr>
          <w:rFonts w:ascii="Times New Roman" w:hAnsi="Times New Roman"/>
          <w:szCs w:val="24"/>
        </w:rPr>
        <w:t xml:space="preserve">generation </w:t>
      </w:r>
      <w:r w:rsidR="00167516" w:rsidRPr="00131B32">
        <w:rPr>
          <w:rFonts w:ascii="Times New Roman" w:hAnsi="Times New Roman"/>
          <w:szCs w:val="24"/>
        </w:rPr>
        <w:t xml:space="preserve">types and the </w:t>
      </w:r>
      <w:r w:rsidR="00274ACE">
        <w:rPr>
          <w:rFonts w:ascii="Times New Roman" w:hAnsi="Times New Roman"/>
          <w:szCs w:val="24"/>
        </w:rPr>
        <w:t xml:space="preserve">Company’s </w:t>
      </w:r>
      <w:r w:rsidR="00167516" w:rsidRPr="00131B32">
        <w:rPr>
          <w:rFonts w:ascii="Times New Roman" w:hAnsi="Times New Roman"/>
          <w:szCs w:val="24"/>
        </w:rPr>
        <w:t>proposed classification recognizes the combined nature of these resources</w:t>
      </w:r>
      <w:r w:rsidR="00274ACE">
        <w:rPr>
          <w:rFonts w:ascii="Times New Roman" w:hAnsi="Times New Roman"/>
          <w:szCs w:val="24"/>
        </w:rPr>
        <w:t xml:space="preserve">, which </w:t>
      </w:r>
      <w:r w:rsidR="005D715F">
        <w:rPr>
          <w:rFonts w:ascii="Times New Roman" w:hAnsi="Times New Roman"/>
          <w:szCs w:val="24"/>
        </w:rPr>
        <w:t xml:space="preserve">together </w:t>
      </w:r>
      <w:r w:rsidR="00167516" w:rsidRPr="00131B32">
        <w:rPr>
          <w:rFonts w:ascii="Times New Roman" w:hAnsi="Times New Roman"/>
          <w:szCs w:val="24"/>
        </w:rPr>
        <w:t xml:space="preserve">are designed to meet peak load and supply the energy needs of its customers. </w:t>
      </w:r>
      <w:r w:rsidR="00167516">
        <w:rPr>
          <w:rFonts w:ascii="Times New Roman" w:hAnsi="Times New Roman"/>
          <w:szCs w:val="24"/>
        </w:rPr>
        <w:t xml:space="preserve"> Singling out one type of resource while continuing to use a factor developed for the entire fleet </w:t>
      </w:r>
      <w:r w:rsidR="001B0135">
        <w:rPr>
          <w:rFonts w:ascii="Times New Roman" w:hAnsi="Times New Roman"/>
          <w:szCs w:val="24"/>
        </w:rPr>
        <w:t xml:space="preserve">for all other resources </w:t>
      </w:r>
      <w:r w:rsidR="00167516">
        <w:rPr>
          <w:rFonts w:ascii="Times New Roman" w:hAnsi="Times New Roman"/>
          <w:szCs w:val="24"/>
        </w:rPr>
        <w:t>will bias the results.</w:t>
      </w:r>
      <w:r w:rsidR="00274ACE">
        <w:rPr>
          <w:rStyle w:val="FootnoteReference"/>
          <w:szCs w:val="24"/>
        </w:rPr>
        <w:footnoteReference w:id="4"/>
      </w:r>
      <w:r w:rsidR="00167516">
        <w:rPr>
          <w:rFonts w:ascii="Times New Roman" w:hAnsi="Times New Roman"/>
          <w:szCs w:val="24"/>
        </w:rPr>
        <w:t xml:space="preserve">  To be consistent, t</w:t>
      </w:r>
      <w:r w:rsidR="00167516" w:rsidRPr="00131B32">
        <w:rPr>
          <w:rFonts w:ascii="Times New Roman" w:hAnsi="Times New Roman"/>
          <w:szCs w:val="24"/>
        </w:rPr>
        <w:t xml:space="preserve">reating NDG differently would require the classification of all generation and transmission resources to be reassessed in both the WCA and </w:t>
      </w:r>
      <w:r w:rsidR="00AA624A">
        <w:rPr>
          <w:rFonts w:ascii="Times New Roman" w:hAnsi="Times New Roman"/>
          <w:szCs w:val="24"/>
        </w:rPr>
        <w:t xml:space="preserve">the </w:t>
      </w:r>
      <w:r w:rsidR="001B0135">
        <w:rPr>
          <w:rFonts w:ascii="Times New Roman" w:hAnsi="Times New Roman"/>
          <w:szCs w:val="24"/>
        </w:rPr>
        <w:t xml:space="preserve">class </w:t>
      </w:r>
      <w:r w:rsidR="00167516" w:rsidRPr="00131B32">
        <w:rPr>
          <w:rFonts w:ascii="Times New Roman" w:hAnsi="Times New Roman"/>
          <w:szCs w:val="24"/>
        </w:rPr>
        <w:t xml:space="preserve">cost of service </w:t>
      </w:r>
      <w:r w:rsidR="00AA624A">
        <w:rPr>
          <w:rFonts w:ascii="Times New Roman" w:hAnsi="Times New Roman"/>
          <w:szCs w:val="24"/>
        </w:rPr>
        <w:t>methodology</w:t>
      </w:r>
      <w:r w:rsidR="00167516">
        <w:rPr>
          <w:rFonts w:ascii="Times New Roman" w:hAnsi="Times New Roman"/>
          <w:szCs w:val="24"/>
        </w:rPr>
        <w:t xml:space="preserve">.  </w:t>
      </w:r>
      <w:r w:rsidR="00167516" w:rsidRPr="00131B32">
        <w:rPr>
          <w:rFonts w:ascii="Times New Roman" w:hAnsi="Times New Roman"/>
          <w:szCs w:val="24"/>
        </w:rPr>
        <w:t>This point is further supported by Public Counsel.</w:t>
      </w:r>
      <w:r w:rsidR="00167516" w:rsidRPr="00131B32">
        <w:rPr>
          <w:rFonts w:ascii="Times New Roman" w:hAnsi="Times New Roman"/>
          <w:szCs w:val="24"/>
          <w:vertAlign w:val="superscript"/>
        </w:rPr>
        <w:footnoteReference w:id="5"/>
      </w:r>
      <w:r w:rsidR="00167516">
        <w:rPr>
          <w:rFonts w:ascii="Times New Roman" w:hAnsi="Times New Roman"/>
          <w:szCs w:val="24"/>
        </w:rPr>
        <w:t xml:space="preserve">   </w:t>
      </w:r>
    </w:p>
    <w:p w:rsidR="00167516" w:rsidRPr="00131B32" w:rsidRDefault="00257900" w:rsidP="00167516">
      <w:pPr>
        <w:autoSpaceDE w:val="0"/>
        <w:autoSpaceDN w:val="0"/>
        <w:adjustRightInd w:val="0"/>
        <w:ind w:firstLine="720"/>
        <w:rPr>
          <w:rFonts w:ascii="Times New Roman" w:hAnsi="Times New Roman"/>
          <w:szCs w:val="24"/>
        </w:rPr>
      </w:pPr>
      <w:r>
        <w:rPr>
          <w:rFonts w:ascii="Times New Roman" w:hAnsi="Times New Roman"/>
          <w:szCs w:val="24"/>
        </w:rPr>
        <w:t>Second</w:t>
      </w:r>
      <w:r w:rsidR="00167516" w:rsidRPr="00131B32">
        <w:rPr>
          <w:rFonts w:ascii="Times New Roman" w:hAnsi="Times New Roman"/>
          <w:szCs w:val="24"/>
        </w:rPr>
        <w:t xml:space="preserve">, </w:t>
      </w:r>
      <w:r>
        <w:rPr>
          <w:rFonts w:ascii="Times New Roman" w:hAnsi="Times New Roman"/>
          <w:szCs w:val="24"/>
        </w:rPr>
        <w:t xml:space="preserve">Staff’s use of a </w:t>
      </w:r>
      <w:r w:rsidR="00167516" w:rsidRPr="00131B32">
        <w:rPr>
          <w:rFonts w:ascii="Times New Roman" w:hAnsi="Times New Roman"/>
          <w:szCs w:val="24"/>
        </w:rPr>
        <w:t xml:space="preserve">wind capacity value of 18.1 is </w:t>
      </w:r>
      <w:r>
        <w:rPr>
          <w:rFonts w:ascii="Times New Roman" w:hAnsi="Times New Roman"/>
          <w:szCs w:val="24"/>
        </w:rPr>
        <w:t xml:space="preserve">not consistent with the WCA.  </w:t>
      </w:r>
      <w:r w:rsidR="003A6432">
        <w:rPr>
          <w:rFonts w:ascii="Times New Roman" w:hAnsi="Times New Roman"/>
          <w:szCs w:val="24"/>
        </w:rPr>
        <w:t xml:space="preserve">When a wind capacity value relevant to the </w:t>
      </w:r>
      <w:r w:rsidR="0063335F">
        <w:rPr>
          <w:rFonts w:ascii="Times New Roman" w:hAnsi="Times New Roman"/>
          <w:szCs w:val="24"/>
        </w:rPr>
        <w:t>west control area</w:t>
      </w:r>
      <w:r w:rsidR="003A6432">
        <w:rPr>
          <w:rFonts w:ascii="Times New Roman" w:hAnsi="Times New Roman"/>
          <w:szCs w:val="24"/>
        </w:rPr>
        <w:t xml:space="preserve"> is used, the impact of the change in the COS results is de minimis.   </w:t>
      </w:r>
    </w:p>
    <w:p w:rsidR="00257900" w:rsidRPr="00131B32" w:rsidRDefault="00167516" w:rsidP="00257900">
      <w:pPr>
        <w:rPr>
          <w:rFonts w:ascii="Times New Roman" w:hAnsi="Times New Roman"/>
          <w:szCs w:val="24"/>
        </w:rPr>
      </w:pPr>
      <w:r w:rsidRPr="00131B32">
        <w:rPr>
          <w:rFonts w:ascii="Times New Roman" w:hAnsi="Times New Roman"/>
          <w:szCs w:val="24"/>
        </w:rPr>
        <w:t xml:space="preserve"> </w:t>
      </w:r>
      <w:r w:rsidR="00257900">
        <w:rPr>
          <w:rFonts w:ascii="Times New Roman" w:hAnsi="Times New Roman"/>
          <w:szCs w:val="24"/>
        </w:rPr>
        <w:tab/>
      </w:r>
      <w:r w:rsidR="00257900">
        <w:rPr>
          <w:rFonts w:ascii="Times New Roman" w:hAnsi="Times New Roman"/>
          <w:szCs w:val="24"/>
        </w:rPr>
        <w:tab/>
        <w:t>Third, w</w:t>
      </w:r>
      <w:r w:rsidR="00257900" w:rsidRPr="00131B32">
        <w:rPr>
          <w:rFonts w:ascii="Times New Roman" w:hAnsi="Times New Roman"/>
          <w:szCs w:val="24"/>
        </w:rPr>
        <w:t>hile wind may make up a larger percentage of the Company’s resources in the future, the Company’s 2013 IRP Preferred Portfolio does not have any new wind resources being installed until 2024.</w:t>
      </w:r>
      <w:r w:rsidR="00257900" w:rsidRPr="00131B32">
        <w:rPr>
          <w:rFonts w:ascii="Times New Roman" w:hAnsi="Times New Roman"/>
          <w:szCs w:val="24"/>
          <w:vertAlign w:val="superscript"/>
        </w:rPr>
        <w:footnoteReference w:id="6"/>
      </w:r>
      <w:r w:rsidR="00257900" w:rsidRPr="00131B32">
        <w:rPr>
          <w:rFonts w:ascii="Times New Roman" w:hAnsi="Times New Roman"/>
          <w:szCs w:val="24"/>
        </w:rPr>
        <w:t xml:space="preserve"> </w:t>
      </w:r>
      <w:r w:rsidR="003A6432">
        <w:rPr>
          <w:rFonts w:ascii="Times New Roman" w:hAnsi="Times New Roman"/>
          <w:szCs w:val="24"/>
        </w:rPr>
        <w:t xml:space="preserve"> </w:t>
      </w:r>
      <w:r w:rsidR="00274ACE">
        <w:rPr>
          <w:rFonts w:ascii="Times New Roman" w:hAnsi="Times New Roman"/>
          <w:szCs w:val="24"/>
        </w:rPr>
        <w:t>Because the adoption of Staff’s proposed NDG factor</w:t>
      </w:r>
      <w:r w:rsidR="00274ACE" w:rsidDel="00274ACE">
        <w:rPr>
          <w:rFonts w:ascii="Times New Roman" w:hAnsi="Times New Roman"/>
          <w:szCs w:val="24"/>
        </w:rPr>
        <w:t xml:space="preserve"> </w:t>
      </w:r>
      <w:r w:rsidR="003A6432">
        <w:rPr>
          <w:rFonts w:ascii="Times New Roman" w:hAnsi="Times New Roman"/>
          <w:szCs w:val="24"/>
        </w:rPr>
        <w:t xml:space="preserve">results in only minimal changes in the COS results and would not alter the Company’s proposed rate spread and rate design, there is no need to reflect this change at this time in light of the principled concerns of this approach.  </w:t>
      </w:r>
    </w:p>
    <w:p w:rsidR="00873572" w:rsidRPr="00131B32" w:rsidRDefault="00873572" w:rsidP="00873572">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r>
      <w:r>
        <w:rPr>
          <w:rFonts w:ascii="Times New Roman" w:hAnsi="Times New Roman"/>
          <w:b/>
          <w:szCs w:val="24"/>
        </w:rPr>
        <w:t xml:space="preserve">If all resource types were to be looked at separately for their contribution to peak, similar to how Staff proposes to treat wind resources, would that alter the classification </w:t>
      </w:r>
      <w:r w:rsidR="00241FE3">
        <w:rPr>
          <w:rFonts w:ascii="Times New Roman" w:hAnsi="Times New Roman"/>
          <w:b/>
          <w:szCs w:val="24"/>
        </w:rPr>
        <w:t xml:space="preserve">of </w:t>
      </w:r>
      <w:r>
        <w:rPr>
          <w:rFonts w:ascii="Times New Roman" w:hAnsi="Times New Roman"/>
          <w:b/>
          <w:szCs w:val="24"/>
        </w:rPr>
        <w:t>demand?</w:t>
      </w:r>
    </w:p>
    <w:p w:rsidR="00873572" w:rsidRPr="00131B32" w:rsidRDefault="00873572" w:rsidP="00873572">
      <w:pPr>
        <w:rPr>
          <w:rFonts w:ascii="Times New Roman" w:hAnsi="Times New Roman"/>
          <w:szCs w:val="24"/>
        </w:rPr>
      </w:pPr>
      <w:r w:rsidRPr="00131B32">
        <w:rPr>
          <w:rFonts w:ascii="Times New Roman" w:hAnsi="Times New Roman"/>
          <w:szCs w:val="24"/>
        </w:rPr>
        <w:t xml:space="preserve">A. </w:t>
      </w:r>
      <w:r w:rsidRPr="00131B32">
        <w:rPr>
          <w:rFonts w:ascii="Times New Roman" w:hAnsi="Times New Roman"/>
          <w:szCs w:val="24"/>
        </w:rPr>
        <w:tab/>
      </w:r>
      <w:r>
        <w:rPr>
          <w:rFonts w:ascii="Times New Roman" w:hAnsi="Times New Roman"/>
          <w:szCs w:val="24"/>
        </w:rPr>
        <w:t xml:space="preserve">Yes.  </w:t>
      </w:r>
      <w:r w:rsidRPr="00131B32">
        <w:rPr>
          <w:rFonts w:ascii="Times New Roman" w:hAnsi="Times New Roman"/>
          <w:szCs w:val="24"/>
        </w:rPr>
        <w:t xml:space="preserve">Table 2 lists the generation resources included in the </w:t>
      </w:r>
      <w:r w:rsidR="0063335F">
        <w:rPr>
          <w:rFonts w:ascii="Times New Roman" w:hAnsi="Times New Roman"/>
          <w:szCs w:val="24"/>
        </w:rPr>
        <w:t>west control area</w:t>
      </w:r>
      <w:r w:rsidRPr="00131B32">
        <w:rPr>
          <w:rFonts w:ascii="Times New Roman" w:hAnsi="Times New Roman"/>
          <w:szCs w:val="24"/>
        </w:rPr>
        <w:t xml:space="preserve">.  Included in the table for each generation resource is the 2013 energy, installed nameplate capacity rating, capacity factor, peak hour output, and calculated coincident peak hour load factor.  The coincident peak load factor is a similar calculation to the SDLF </w:t>
      </w:r>
      <w:r>
        <w:rPr>
          <w:rFonts w:ascii="Times New Roman" w:hAnsi="Times New Roman"/>
          <w:szCs w:val="24"/>
        </w:rPr>
        <w:t xml:space="preserve">used </w:t>
      </w:r>
      <w:r w:rsidRPr="00131B32">
        <w:rPr>
          <w:rFonts w:ascii="Times New Roman" w:hAnsi="Times New Roman"/>
          <w:szCs w:val="24"/>
        </w:rPr>
        <w:t xml:space="preserve">for classifying </w:t>
      </w:r>
      <w:r>
        <w:rPr>
          <w:rFonts w:ascii="Times New Roman" w:hAnsi="Times New Roman"/>
          <w:szCs w:val="24"/>
        </w:rPr>
        <w:t xml:space="preserve">generation </w:t>
      </w:r>
      <w:r w:rsidRPr="00131B32">
        <w:rPr>
          <w:rFonts w:ascii="Times New Roman" w:hAnsi="Times New Roman"/>
          <w:szCs w:val="24"/>
        </w:rPr>
        <w:t xml:space="preserve">costs. </w:t>
      </w:r>
      <w:r>
        <w:rPr>
          <w:rFonts w:ascii="Times New Roman" w:hAnsi="Times New Roman"/>
          <w:szCs w:val="24"/>
        </w:rPr>
        <w:t xml:space="preserve"> </w:t>
      </w:r>
      <w:r w:rsidRPr="00131B32">
        <w:rPr>
          <w:rFonts w:ascii="Times New Roman" w:hAnsi="Times New Roman"/>
          <w:szCs w:val="24"/>
        </w:rPr>
        <w:t xml:space="preserve">The </w:t>
      </w:r>
      <w:r w:rsidR="0063335F">
        <w:rPr>
          <w:rFonts w:ascii="Times New Roman" w:hAnsi="Times New Roman"/>
          <w:szCs w:val="24"/>
        </w:rPr>
        <w:t>west control area</w:t>
      </w:r>
      <w:r w:rsidR="0063335F" w:rsidRPr="00131B32">
        <w:rPr>
          <w:rFonts w:ascii="Times New Roman" w:hAnsi="Times New Roman"/>
          <w:szCs w:val="24"/>
        </w:rPr>
        <w:t xml:space="preserve"> </w:t>
      </w:r>
      <w:r w:rsidRPr="00131B32">
        <w:rPr>
          <w:rFonts w:ascii="Times New Roman" w:hAnsi="Times New Roman"/>
          <w:szCs w:val="24"/>
        </w:rPr>
        <w:t>peak hour occurred on December 9, 2013 at 8:00 am</w:t>
      </w:r>
      <w:r>
        <w:rPr>
          <w:rFonts w:ascii="Times New Roman" w:hAnsi="Times New Roman"/>
          <w:szCs w:val="24"/>
        </w:rPr>
        <w:t>. This table s</w:t>
      </w:r>
      <w:r w:rsidRPr="00131B32">
        <w:rPr>
          <w:rFonts w:ascii="Times New Roman" w:hAnsi="Times New Roman"/>
          <w:szCs w:val="24"/>
        </w:rPr>
        <w:t xml:space="preserve">hows on a total </w:t>
      </w:r>
      <w:r w:rsidR="0063335F">
        <w:rPr>
          <w:rFonts w:ascii="Times New Roman" w:hAnsi="Times New Roman"/>
          <w:szCs w:val="24"/>
        </w:rPr>
        <w:t>west control area</w:t>
      </w:r>
      <w:r w:rsidR="0063335F" w:rsidRPr="00131B32">
        <w:rPr>
          <w:rFonts w:ascii="Times New Roman" w:hAnsi="Times New Roman"/>
          <w:szCs w:val="24"/>
        </w:rPr>
        <w:t xml:space="preserve"> </w:t>
      </w:r>
      <w:r w:rsidRPr="00131B32">
        <w:rPr>
          <w:rFonts w:ascii="Times New Roman" w:hAnsi="Times New Roman"/>
          <w:szCs w:val="24"/>
        </w:rPr>
        <w:t>basis that the classification of demand and energy could logically be split equally at 50</w:t>
      </w:r>
      <w:r>
        <w:rPr>
          <w:rFonts w:ascii="Times New Roman" w:hAnsi="Times New Roman"/>
          <w:szCs w:val="24"/>
        </w:rPr>
        <w:t xml:space="preserve"> percent</w:t>
      </w:r>
      <w:r w:rsidRPr="00131B32">
        <w:rPr>
          <w:rFonts w:ascii="Times New Roman" w:hAnsi="Times New Roman"/>
          <w:szCs w:val="24"/>
        </w:rPr>
        <w:t>.  Looking at wind individually, it has a coincident peak load factor of 37.5</w:t>
      </w:r>
      <w:r>
        <w:rPr>
          <w:rFonts w:ascii="Times New Roman" w:hAnsi="Times New Roman"/>
          <w:szCs w:val="24"/>
        </w:rPr>
        <w:t xml:space="preserve"> percent in the </w:t>
      </w:r>
      <w:r w:rsidR="0063335F">
        <w:rPr>
          <w:rFonts w:ascii="Times New Roman" w:hAnsi="Times New Roman"/>
          <w:szCs w:val="24"/>
        </w:rPr>
        <w:t>west control area</w:t>
      </w:r>
      <w:r w:rsidRPr="00131B32">
        <w:rPr>
          <w:rFonts w:ascii="Times New Roman" w:hAnsi="Times New Roman"/>
          <w:szCs w:val="24"/>
        </w:rPr>
        <w:t xml:space="preserve">, which </w:t>
      </w:r>
      <w:r w:rsidR="005D715F">
        <w:rPr>
          <w:rFonts w:ascii="Times New Roman" w:hAnsi="Times New Roman"/>
          <w:szCs w:val="24"/>
        </w:rPr>
        <w:t>would be</w:t>
      </w:r>
      <w:r w:rsidRPr="00131B32">
        <w:rPr>
          <w:rFonts w:ascii="Times New Roman" w:hAnsi="Times New Roman"/>
          <w:szCs w:val="24"/>
        </w:rPr>
        <w:t xml:space="preserve"> a </w:t>
      </w:r>
      <w:r w:rsidR="005D715F">
        <w:rPr>
          <w:rFonts w:ascii="Times New Roman" w:hAnsi="Times New Roman"/>
          <w:szCs w:val="24"/>
        </w:rPr>
        <w:t xml:space="preserve">better </w:t>
      </w:r>
      <w:r w:rsidRPr="00131B32">
        <w:rPr>
          <w:rFonts w:ascii="Times New Roman" w:hAnsi="Times New Roman"/>
          <w:szCs w:val="24"/>
        </w:rPr>
        <w:t>proxy for its capacity value.</w:t>
      </w:r>
    </w:p>
    <w:p w:rsidR="00E22E05" w:rsidRPr="00131B32" w:rsidRDefault="00BB6141" w:rsidP="00695CC6">
      <w:pPr>
        <w:suppressLineNumbers/>
        <w:jc w:val="center"/>
        <w:rPr>
          <w:rFonts w:ascii="Times New Roman" w:hAnsi="Times New Roman"/>
          <w:color w:val="FF0000"/>
          <w:szCs w:val="24"/>
        </w:rPr>
      </w:pPr>
      <w:r w:rsidRPr="00BB6141">
        <w:rPr>
          <w:noProof/>
        </w:rPr>
        <w:drawing>
          <wp:inline distT="0" distB="0" distL="0" distR="0" wp14:anchorId="687F837F" wp14:editId="7EE48290">
            <wp:extent cx="5337810" cy="19456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7810" cy="1945640"/>
                    </a:xfrm>
                    <a:prstGeom prst="rect">
                      <a:avLst/>
                    </a:prstGeom>
                    <a:noFill/>
                    <a:ln>
                      <a:noFill/>
                    </a:ln>
                  </pic:spPr>
                </pic:pic>
              </a:graphicData>
            </a:graphic>
          </wp:inline>
        </w:drawing>
      </w:r>
    </w:p>
    <w:p w:rsidR="00131B32" w:rsidRPr="00131B32" w:rsidRDefault="00131B32" w:rsidP="00A82AD1">
      <w:pPr>
        <w:keepNext/>
        <w:rPr>
          <w:rFonts w:ascii="Times New Roman" w:hAnsi="Times New Roman"/>
          <w:b/>
          <w:szCs w:val="24"/>
        </w:rPr>
      </w:pPr>
      <w:r w:rsidRPr="00131B32">
        <w:rPr>
          <w:rFonts w:ascii="Times New Roman" w:hAnsi="Times New Roman"/>
          <w:b/>
          <w:szCs w:val="24"/>
        </w:rPr>
        <w:t xml:space="preserve">Q. </w:t>
      </w:r>
      <w:r w:rsidRPr="00131B32">
        <w:rPr>
          <w:rFonts w:ascii="Times New Roman" w:hAnsi="Times New Roman"/>
          <w:b/>
          <w:szCs w:val="24"/>
        </w:rPr>
        <w:tab/>
        <w:t xml:space="preserve">What is the source of Staff’s </w:t>
      </w:r>
      <w:r w:rsidR="00873572">
        <w:rPr>
          <w:rFonts w:ascii="Times New Roman" w:hAnsi="Times New Roman"/>
          <w:b/>
          <w:szCs w:val="24"/>
        </w:rPr>
        <w:t xml:space="preserve">proposed </w:t>
      </w:r>
      <w:r w:rsidRPr="00131B32">
        <w:rPr>
          <w:rFonts w:ascii="Times New Roman" w:hAnsi="Times New Roman"/>
          <w:b/>
          <w:szCs w:val="24"/>
        </w:rPr>
        <w:t>18.1</w:t>
      </w:r>
      <w:r w:rsidR="00873572">
        <w:rPr>
          <w:rFonts w:ascii="Times New Roman" w:hAnsi="Times New Roman"/>
          <w:b/>
          <w:szCs w:val="24"/>
        </w:rPr>
        <w:t xml:space="preserve"> percent</w:t>
      </w:r>
      <w:r w:rsidRPr="00131B32">
        <w:rPr>
          <w:rFonts w:ascii="Times New Roman" w:hAnsi="Times New Roman"/>
          <w:b/>
          <w:szCs w:val="24"/>
        </w:rPr>
        <w:t xml:space="preserve"> wind capacity value?</w:t>
      </w:r>
    </w:p>
    <w:p w:rsidR="00131B32" w:rsidRPr="00131B32" w:rsidRDefault="00131B32" w:rsidP="00131B32">
      <w:pPr>
        <w:rPr>
          <w:rFonts w:ascii="Times New Roman" w:hAnsi="Times New Roman"/>
          <w:szCs w:val="24"/>
        </w:rPr>
      </w:pPr>
      <w:r w:rsidRPr="00131B32">
        <w:rPr>
          <w:rFonts w:ascii="Times New Roman" w:hAnsi="Times New Roman"/>
          <w:szCs w:val="24"/>
        </w:rPr>
        <w:t xml:space="preserve">A.  </w:t>
      </w:r>
      <w:r w:rsidRPr="00131B32">
        <w:rPr>
          <w:rFonts w:ascii="Times New Roman" w:hAnsi="Times New Roman"/>
          <w:szCs w:val="24"/>
        </w:rPr>
        <w:tab/>
        <w:t>The 18.1</w:t>
      </w:r>
      <w:r w:rsidR="00873572">
        <w:rPr>
          <w:rFonts w:ascii="Times New Roman" w:hAnsi="Times New Roman"/>
          <w:szCs w:val="24"/>
        </w:rPr>
        <w:t xml:space="preserve"> percent </w:t>
      </w:r>
      <w:r w:rsidRPr="00131B32">
        <w:rPr>
          <w:rFonts w:ascii="Times New Roman" w:hAnsi="Times New Roman"/>
          <w:szCs w:val="24"/>
        </w:rPr>
        <w:t xml:space="preserve">wind capacity value is from the Company’s 2014 Wind and Solar Capacity Contribution Study. </w:t>
      </w:r>
      <w:r w:rsidR="00A82AD1">
        <w:rPr>
          <w:rFonts w:ascii="Times New Roman" w:hAnsi="Times New Roman"/>
          <w:szCs w:val="24"/>
        </w:rPr>
        <w:t xml:space="preserve"> </w:t>
      </w:r>
      <w:r w:rsidRPr="00131B32">
        <w:rPr>
          <w:rFonts w:ascii="Times New Roman" w:hAnsi="Times New Roman"/>
          <w:szCs w:val="24"/>
        </w:rPr>
        <w:t>The study is being utilized in the Company’s 2015 IRP.</w:t>
      </w:r>
    </w:p>
    <w:p w:rsidR="00131B32" w:rsidRPr="00131B32" w:rsidRDefault="00131B32" w:rsidP="00131B32">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Should the 18.1</w:t>
      </w:r>
      <w:r w:rsidR="00873572">
        <w:rPr>
          <w:rFonts w:ascii="Times New Roman" w:hAnsi="Times New Roman"/>
          <w:b/>
          <w:szCs w:val="24"/>
        </w:rPr>
        <w:t xml:space="preserve"> percent</w:t>
      </w:r>
      <w:r w:rsidRPr="00131B32">
        <w:rPr>
          <w:rFonts w:ascii="Times New Roman" w:hAnsi="Times New Roman"/>
          <w:b/>
          <w:szCs w:val="24"/>
        </w:rPr>
        <w:t xml:space="preserve"> capacity value of the Company’s system wind resources be used for the Company’s </w:t>
      </w:r>
      <w:r w:rsidR="0063335F">
        <w:rPr>
          <w:rFonts w:ascii="Times New Roman" w:hAnsi="Times New Roman"/>
          <w:b/>
          <w:szCs w:val="24"/>
        </w:rPr>
        <w:t>west control area</w:t>
      </w:r>
      <w:r w:rsidRPr="00131B32">
        <w:rPr>
          <w:rFonts w:ascii="Times New Roman" w:hAnsi="Times New Roman"/>
          <w:b/>
          <w:szCs w:val="24"/>
        </w:rPr>
        <w:t xml:space="preserve"> wind resources?</w:t>
      </w:r>
    </w:p>
    <w:p w:rsidR="00131B32" w:rsidRPr="00131B32" w:rsidRDefault="00131B32" w:rsidP="00131B32">
      <w:pPr>
        <w:rPr>
          <w:rFonts w:ascii="Times New Roman" w:hAnsi="Times New Roman"/>
          <w:szCs w:val="24"/>
        </w:rPr>
      </w:pPr>
      <w:r w:rsidRPr="00131B32">
        <w:rPr>
          <w:rFonts w:ascii="Times New Roman" w:hAnsi="Times New Roman"/>
          <w:szCs w:val="24"/>
        </w:rPr>
        <w:t xml:space="preserve">A.  </w:t>
      </w:r>
      <w:r w:rsidRPr="00131B32">
        <w:rPr>
          <w:rFonts w:ascii="Times New Roman" w:hAnsi="Times New Roman"/>
          <w:szCs w:val="24"/>
        </w:rPr>
        <w:tab/>
        <w:t>No.  First, the 18.1</w:t>
      </w:r>
      <w:r w:rsidR="00B02582">
        <w:rPr>
          <w:rFonts w:ascii="Times New Roman" w:hAnsi="Times New Roman"/>
          <w:szCs w:val="24"/>
        </w:rPr>
        <w:t xml:space="preserve"> percent</w:t>
      </w:r>
      <w:r w:rsidRPr="00131B32">
        <w:rPr>
          <w:rFonts w:ascii="Times New Roman" w:hAnsi="Times New Roman"/>
          <w:szCs w:val="24"/>
        </w:rPr>
        <w:t xml:space="preserve"> capacity value for wind is for PacifiCorp’s entire system which includes 2,117 MW of wind capacity made up of east and west owned wind and east and west non-owned wind.  The </w:t>
      </w:r>
      <w:r w:rsidR="0063335F">
        <w:rPr>
          <w:rFonts w:ascii="Times New Roman" w:hAnsi="Times New Roman"/>
          <w:szCs w:val="24"/>
        </w:rPr>
        <w:t>west control area</w:t>
      </w:r>
      <w:r w:rsidRPr="00131B32">
        <w:rPr>
          <w:rFonts w:ascii="Times New Roman" w:hAnsi="Times New Roman"/>
          <w:szCs w:val="24"/>
        </w:rPr>
        <w:t xml:space="preserve"> </w:t>
      </w:r>
      <w:r w:rsidR="005D715F">
        <w:rPr>
          <w:rFonts w:ascii="Times New Roman" w:hAnsi="Times New Roman"/>
          <w:szCs w:val="24"/>
        </w:rPr>
        <w:t xml:space="preserve">owned </w:t>
      </w:r>
      <w:r w:rsidRPr="00131B32">
        <w:rPr>
          <w:rFonts w:ascii="Times New Roman" w:hAnsi="Times New Roman"/>
          <w:szCs w:val="24"/>
        </w:rPr>
        <w:t>wind resources include Marengo I and II (210 MW), Goodnoe Hills (94 MW) and Leaning Juniper 1 (101 MW) for a total of 405 MW, which is included in the west</w:t>
      </w:r>
      <w:r w:rsidR="001F44B3">
        <w:rPr>
          <w:rFonts w:ascii="Times New Roman" w:hAnsi="Times New Roman"/>
          <w:szCs w:val="24"/>
        </w:rPr>
        <w:t>-</w:t>
      </w:r>
      <w:r w:rsidRPr="00131B32">
        <w:rPr>
          <w:rFonts w:ascii="Times New Roman" w:hAnsi="Times New Roman"/>
          <w:szCs w:val="24"/>
        </w:rPr>
        <w:t xml:space="preserve">owned wind category.  The </w:t>
      </w:r>
      <w:r w:rsidR="00B02582">
        <w:rPr>
          <w:rFonts w:ascii="Times New Roman" w:hAnsi="Times New Roman"/>
          <w:szCs w:val="24"/>
        </w:rPr>
        <w:t xml:space="preserve">referenced IRP </w:t>
      </w:r>
      <w:r w:rsidRPr="00131B32">
        <w:rPr>
          <w:rFonts w:ascii="Times New Roman" w:hAnsi="Times New Roman"/>
          <w:szCs w:val="24"/>
        </w:rPr>
        <w:t>study calculated separate east and west balancing authority area (BAA) wind contribution values</w:t>
      </w:r>
      <w:r w:rsidR="00B02582">
        <w:rPr>
          <w:rFonts w:ascii="Times New Roman" w:hAnsi="Times New Roman"/>
          <w:szCs w:val="24"/>
        </w:rPr>
        <w:t xml:space="preserve">, which are shown </w:t>
      </w:r>
      <w:r w:rsidRPr="00131B32">
        <w:rPr>
          <w:rFonts w:ascii="Times New Roman" w:hAnsi="Times New Roman"/>
          <w:szCs w:val="24"/>
        </w:rPr>
        <w:t>in Table 3.  The 18.1</w:t>
      </w:r>
      <w:r w:rsidR="00B02582">
        <w:rPr>
          <w:rFonts w:ascii="Times New Roman" w:hAnsi="Times New Roman"/>
          <w:szCs w:val="24"/>
        </w:rPr>
        <w:t xml:space="preserve"> percent</w:t>
      </w:r>
      <w:r w:rsidRPr="00131B32">
        <w:rPr>
          <w:rFonts w:ascii="Times New Roman" w:hAnsi="Times New Roman"/>
          <w:szCs w:val="24"/>
        </w:rPr>
        <w:t xml:space="preserve"> peak capacity contribution factor is a weighted average of the two balancing areas.  The West BAA has a wind peak contribution factor of 25.4</w:t>
      </w:r>
      <w:r w:rsidR="00B02582">
        <w:rPr>
          <w:rFonts w:ascii="Times New Roman" w:hAnsi="Times New Roman"/>
          <w:szCs w:val="24"/>
        </w:rPr>
        <w:t xml:space="preserve"> percent</w:t>
      </w:r>
      <w:r w:rsidRPr="00131B32">
        <w:rPr>
          <w:rFonts w:ascii="Times New Roman" w:hAnsi="Times New Roman"/>
          <w:szCs w:val="24"/>
        </w:rPr>
        <w:t xml:space="preserve">.  Therefore, if this study were to be </w:t>
      </w:r>
      <w:r w:rsidR="00B02582">
        <w:rPr>
          <w:rFonts w:ascii="Times New Roman" w:hAnsi="Times New Roman"/>
          <w:szCs w:val="24"/>
        </w:rPr>
        <w:t xml:space="preserve">used </w:t>
      </w:r>
      <w:r w:rsidRPr="00131B32">
        <w:rPr>
          <w:rFonts w:ascii="Times New Roman" w:hAnsi="Times New Roman"/>
          <w:szCs w:val="24"/>
        </w:rPr>
        <w:t>to assign a capacity value to wind, 25.4</w:t>
      </w:r>
      <w:r w:rsidR="00B02582">
        <w:rPr>
          <w:rFonts w:ascii="Times New Roman" w:hAnsi="Times New Roman"/>
          <w:szCs w:val="24"/>
        </w:rPr>
        <w:t xml:space="preserve"> percent</w:t>
      </w:r>
      <w:r w:rsidRPr="00131B32">
        <w:rPr>
          <w:rFonts w:ascii="Times New Roman" w:hAnsi="Times New Roman"/>
          <w:szCs w:val="24"/>
        </w:rPr>
        <w:t xml:space="preserve"> would be a more accurate capacity value as it is calculated for the West BAA, which includes the </w:t>
      </w:r>
      <w:r w:rsidR="0063335F">
        <w:rPr>
          <w:rFonts w:ascii="Times New Roman" w:hAnsi="Times New Roman"/>
          <w:szCs w:val="24"/>
        </w:rPr>
        <w:t xml:space="preserve">west control area </w:t>
      </w:r>
      <w:r w:rsidRPr="00131B32">
        <w:rPr>
          <w:rFonts w:ascii="Times New Roman" w:hAnsi="Times New Roman"/>
          <w:szCs w:val="24"/>
        </w:rPr>
        <w:t>wind farms.</w:t>
      </w:r>
    </w:p>
    <w:p w:rsidR="00131B32" w:rsidRPr="00131B32" w:rsidRDefault="00BB6141" w:rsidP="00695CC6">
      <w:pPr>
        <w:suppressLineNumbers/>
        <w:jc w:val="center"/>
        <w:rPr>
          <w:rFonts w:ascii="Times New Roman" w:hAnsi="Times New Roman"/>
          <w:szCs w:val="24"/>
        </w:rPr>
      </w:pPr>
      <w:r w:rsidRPr="00BB6141">
        <w:rPr>
          <w:noProof/>
        </w:rPr>
        <w:drawing>
          <wp:inline distT="0" distB="0" distL="0" distR="0" wp14:anchorId="1F71CFF1" wp14:editId="6C430D2A">
            <wp:extent cx="2849245" cy="1095375"/>
            <wp:effectExtent l="0" t="0" r="825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245" cy="1095375"/>
                    </a:xfrm>
                    <a:prstGeom prst="rect">
                      <a:avLst/>
                    </a:prstGeom>
                    <a:noFill/>
                    <a:ln>
                      <a:noFill/>
                    </a:ln>
                  </pic:spPr>
                </pic:pic>
              </a:graphicData>
            </a:graphic>
          </wp:inline>
        </w:drawing>
      </w:r>
    </w:p>
    <w:p w:rsidR="00131B32" w:rsidRPr="00131B32" w:rsidRDefault="00131B32" w:rsidP="00131B32">
      <w:pPr>
        <w:ind w:firstLine="720"/>
        <w:rPr>
          <w:rFonts w:ascii="Times New Roman" w:hAnsi="Times New Roman"/>
          <w:szCs w:val="24"/>
        </w:rPr>
      </w:pPr>
      <w:r w:rsidRPr="00131B32">
        <w:rPr>
          <w:rFonts w:ascii="Times New Roman" w:hAnsi="Times New Roman"/>
          <w:szCs w:val="24"/>
        </w:rPr>
        <w:t xml:space="preserve">Second, the methodologies of the Peak Capacity Contribution Value for Wind and the SDLF are not consistent.  From page 1 of the </w:t>
      </w:r>
      <w:r w:rsidR="00FA569C" w:rsidRPr="00131B32">
        <w:rPr>
          <w:rFonts w:ascii="Times New Roman" w:hAnsi="Times New Roman"/>
          <w:szCs w:val="24"/>
        </w:rPr>
        <w:t>2014 Wind and Solar Capacity Contribution Study</w:t>
      </w:r>
      <w:r w:rsidRPr="00131B32">
        <w:rPr>
          <w:rFonts w:ascii="Times New Roman" w:hAnsi="Times New Roman"/>
          <w:szCs w:val="24"/>
        </w:rPr>
        <w:t>:</w:t>
      </w:r>
    </w:p>
    <w:p w:rsidR="00131B32" w:rsidRPr="00131B32" w:rsidRDefault="00131B32" w:rsidP="00131B32">
      <w:pPr>
        <w:autoSpaceDE w:val="0"/>
        <w:autoSpaceDN w:val="0"/>
        <w:adjustRightInd w:val="0"/>
        <w:spacing w:line="240" w:lineRule="auto"/>
        <w:ind w:left="1440" w:firstLine="0"/>
        <w:rPr>
          <w:rFonts w:ascii="Times New Roman" w:hAnsi="Times New Roman"/>
          <w:szCs w:val="24"/>
        </w:rPr>
      </w:pPr>
      <w:r w:rsidRPr="00131B32">
        <w:rPr>
          <w:rFonts w:ascii="Times New Roman" w:hAnsi="Times New Roman"/>
          <w:szCs w:val="24"/>
        </w:rPr>
        <w:t xml:space="preserve">The study evaluates the relationship between reliability across all hours in a given year, accounting for variability and uncertainty in load and generation resources, and the cost of planning for system resources at varying levels of planning reserve margin. In this way, PacifiCorp’s planning reserve margin LOLP study is the mechanism used to transform hourly reliability metrics into a resource adequacy target </w:t>
      </w:r>
      <w:r w:rsidRPr="00131B32">
        <w:rPr>
          <w:rFonts w:ascii="Times New Roman" w:hAnsi="Times New Roman"/>
          <w:b/>
          <w:i/>
          <w:szCs w:val="24"/>
          <w:u w:val="single"/>
        </w:rPr>
        <w:t>at the time of system coincident peak</w:t>
      </w:r>
      <w:r w:rsidRPr="00131B32">
        <w:rPr>
          <w:rFonts w:ascii="Times New Roman" w:hAnsi="Times New Roman"/>
          <w:szCs w:val="24"/>
        </w:rPr>
        <w:t xml:space="preserve"> [emphasis added]. This same LOLP study was utilized for calculating the peak capacity contribution using the CF Method.</w:t>
      </w:r>
    </w:p>
    <w:p w:rsidR="00131B32" w:rsidRPr="00131B32" w:rsidRDefault="00131B32" w:rsidP="00CE4C4F">
      <w:pPr>
        <w:suppressLineNumbers/>
        <w:autoSpaceDE w:val="0"/>
        <w:autoSpaceDN w:val="0"/>
        <w:adjustRightInd w:val="0"/>
        <w:spacing w:line="240" w:lineRule="auto"/>
        <w:ind w:left="1440" w:firstLine="0"/>
        <w:rPr>
          <w:rFonts w:ascii="Times New Roman" w:hAnsi="Times New Roman"/>
          <w:szCs w:val="24"/>
        </w:rPr>
      </w:pPr>
    </w:p>
    <w:p w:rsidR="00131B32" w:rsidRPr="00B02582" w:rsidRDefault="00131B32" w:rsidP="00131B32">
      <w:pPr>
        <w:ind w:firstLine="720"/>
        <w:rPr>
          <w:rFonts w:ascii="Times New Roman" w:hAnsi="Times New Roman"/>
          <w:szCs w:val="24"/>
        </w:rPr>
      </w:pPr>
      <w:r w:rsidRPr="00131B32">
        <w:rPr>
          <w:rFonts w:ascii="Times New Roman" w:hAnsi="Times New Roman"/>
          <w:szCs w:val="24"/>
        </w:rPr>
        <w:t xml:space="preserve">The </w:t>
      </w:r>
      <w:r w:rsidR="0063335F">
        <w:rPr>
          <w:rFonts w:ascii="Times New Roman" w:hAnsi="Times New Roman"/>
          <w:szCs w:val="24"/>
        </w:rPr>
        <w:t>west control area</w:t>
      </w:r>
      <w:r w:rsidR="0063335F" w:rsidRPr="00131B32">
        <w:rPr>
          <w:rFonts w:ascii="Times New Roman" w:hAnsi="Times New Roman"/>
          <w:szCs w:val="24"/>
        </w:rPr>
        <w:t xml:space="preserve"> </w:t>
      </w:r>
      <w:r w:rsidRPr="00131B32">
        <w:rPr>
          <w:rFonts w:ascii="Times New Roman" w:hAnsi="Times New Roman"/>
          <w:szCs w:val="24"/>
        </w:rPr>
        <w:t xml:space="preserve">peak hour from which the SDLF is derived is not the same as the system coincident peak evaluated in the study and thus the study should not be utilized to determine </w:t>
      </w:r>
      <w:r w:rsidR="0063335F">
        <w:rPr>
          <w:rFonts w:ascii="Times New Roman" w:hAnsi="Times New Roman"/>
          <w:szCs w:val="24"/>
        </w:rPr>
        <w:t>west control area</w:t>
      </w:r>
      <w:r w:rsidRPr="00131B32">
        <w:rPr>
          <w:rFonts w:ascii="Times New Roman" w:hAnsi="Times New Roman"/>
          <w:szCs w:val="24"/>
        </w:rPr>
        <w:t xml:space="preserve"> wind resources’ contribution to </w:t>
      </w:r>
      <w:r w:rsidR="0063335F">
        <w:rPr>
          <w:rFonts w:ascii="Times New Roman" w:hAnsi="Times New Roman"/>
          <w:szCs w:val="24"/>
        </w:rPr>
        <w:t>west control area</w:t>
      </w:r>
      <w:r w:rsidRPr="00131B32">
        <w:rPr>
          <w:rFonts w:ascii="Times New Roman" w:hAnsi="Times New Roman"/>
          <w:szCs w:val="24"/>
        </w:rPr>
        <w:t xml:space="preserve"> coincident peaks.</w:t>
      </w:r>
      <w:r w:rsidR="00B02582">
        <w:rPr>
          <w:rFonts w:ascii="Times New Roman" w:hAnsi="Times New Roman"/>
          <w:szCs w:val="24"/>
        </w:rPr>
        <w:t xml:space="preserve">  To be consistent with the </w:t>
      </w:r>
      <w:r w:rsidR="0063335F">
        <w:rPr>
          <w:rFonts w:ascii="Times New Roman" w:hAnsi="Times New Roman"/>
          <w:szCs w:val="24"/>
        </w:rPr>
        <w:t>west control area</w:t>
      </w:r>
      <w:r w:rsidR="00B02582">
        <w:rPr>
          <w:rFonts w:ascii="Times New Roman" w:hAnsi="Times New Roman"/>
          <w:szCs w:val="24"/>
        </w:rPr>
        <w:t xml:space="preserve">, one would use </w:t>
      </w:r>
      <w:r w:rsidR="00B02582" w:rsidRPr="001B0135">
        <w:rPr>
          <w:rFonts w:ascii="Times New Roman" w:hAnsi="Times New Roman"/>
          <w:szCs w:val="24"/>
        </w:rPr>
        <w:t xml:space="preserve">the capacity value of the </w:t>
      </w:r>
      <w:r w:rsidR="0063335F">
        <w:rPr>
          <w:rFonts w:ascii="Times New Roman" w:hAnsi="Times New Roman"/>
          <w:szCs w:val="24"/>
        </w:rPr>
        <w:t>west control area</w:t>
      </w:r>
      <w:r w:rsidR="00B02582" w:rsidRPr="001B0135">
        <w:rPr>
          <w:rFonts w:ascii="Times New Roman" w:hAnsi="Times New Roman"/>
          <w:szCs w:val="24"/>
        </w:rPr>
        <w:t xml:space="preserve"> wind resources during the </w:t>
      </w:r>
      <w:r w:rsidR="0063335F">
        <w:rPr>
          <w:rFonts w:ascii="Times New Roman" w:hAnsi="Times New Roman"/>
          <w:szCs w:val="24"/>
        </w:rPr>
        <w:t>west control area</w:t>
      </w:r>
      <w:r w:rsidR="00B02582" w:rsidRPr="001B0135">
        <w:rPr>
          <w:rFonts w:ascii="Times New Roman" w:hAnsi="Times New Roman"/>
          <w:szCs w:val="24"/>
        </w:rPr>
        <w:t xml:space="preserve"> system peak hour of December 9, 2013 at 8:00 am</w:t>
      </w:r>
      <w:r w:rsidR="00B02582">
        <w:rPr>
          <w:rFonts w:ascii="Times New Roman" w:hAnsi="Times New Roman"/>
          <w:szCs w:val="24"/>
        </w:rPr>
        <w:t xml:space="preserve">.  </w:t>
      </w:r>
      <w:r w:rsidR="00B02582" w:rsidRPr="00131B32">
        <w:rPr>
          <w:rFonts w:ascii="Times New Roman" w:hAnsi="Times New Roman"/>
          <w:szCs w:val="24"/>
        </w:rPr>
        <w:t>As shown in Table 2</w:t>
      </w:r>
      <w:r w:rsidR="00FA569C">
        <w:rPr>
          <w:rFonts w:ascii="Times New Roman" w:hAnsi="Times New Roman"/>
          <w:szCs w:val="24"/>
        </w:rPr>
        <w:t xml:space="preserve"> above</w:t>
      </w:r>
      <w:r w:rsidR="00B02582" w:rsidRPr="00131B32">
        <w:rPr>
          <w:rFonts w:ascii="Times New Roman" w:hAnsi="Times New Roman"/>
          <w:szCs w:val="24"/>
        </w:rPr>
        <w:t xml:space="preserve">, during this peak hour, the </w:t>
      </w:r>
      <w:r w:rsidR="0063335F">
        <w:rPr>
          <w:rFonts w:ascii="Times New Roman" w:hAnsi="Times New Roman"/>
          <w:szCs w:val="24"/>
        </w:rPr>
        <w:t>west control area</w:t>
      </w:r>
      <w:r w:rsidR="00B02582" w:rsidRPr="00131B32">
        <w:rPr>
          <w:rFonts w:ascii="Times New Roman" w:hAnsi="Times New Roman"/>
          <w:szCs w:val="24"/>
        </w:rPr>
        <w:t xml:space="preserve"> wind farms’ output was 152 MW, or 37.5</w:t>
      </w:r>
      <w:r w:rsidR="005D715F">
        <w:rPr>
          <w:rFonts w:ascii="Times New Roman" w:hAnsi="Times New Roman"/>
          <w:szCs w:val="24"/>
        </w:rPr>
        <w:t xml:space="preserve"> percent</w:t>
      </w:r>
      <w:r w:rsidR="00B02582" w:rsidRPr="00131B32">
        <w:rPr>
          <w:rFonts w:ascii="Times New Roman" w:hAnsi="Times New Roman"/>
          <w:szCs w:val="24"/>
        </w:rPr>
        <w:t xml:space="preserve"> of the installed 405 MW of capacity.  </w:t>
      </w:r>
      <w:r w:rsidR="001B0135">
        <w:rPr>
          <w:rFonts w:ascii="Times New Roman" w:hAnsi="Times New Roman"/>
          <w:szCs w:val="24"/>
        </w:rPr>
        <w:t>As previously noted, this would have a de minimis impact on the COS results.</w:t>
      </w:r>
    </w:p>
    <w:p w:rsidR="00DE764C" w:rsidRPr="00131B32" w:rsidRDefault="00DE764C" w:rsidP="00DE764C">
      <w:pPr>
        <w:rPr>
          <w:rFonts w:ascii="Times New Roman" w:hAnsi="Times New Roman"/>
          <w:b/>
          <w:szCs w:val="24"/>
        </w:rPr>
      </w:pPr>
      <w:r w:rsidRPr="00131B32">
        <w:rPr>
          <w:rFonts w:ascii="Times New Roman" w:hAnsi="Times New Roman"/>
          <w:b/>
          <w:szCs w:val="24"/>
        </w:rPr>
        <w:t xml:space="preserve">Q. </w:t>
      </w:r>
      <w:r w:rsidRPr="00131B32">
        <w:rPr>
          <w:rFonts w:ascii="Times New Roman" w:hAnsi="Times New Roman"/>
          <w:b/>
          <w:szCs w:val="24"/>
        </w:rPr>
        <w:tab/>
        <w:t xml:space="preserve">As part of the reasoning for the proposed NDG allocation factor, Staff explains that </w:t>
      </w:r>
      <w:r w:rsidR="0063335F" w:rsidRPr="008468ED">
        <w:rPr>
          <w:rFonts w:ascii="Times New Roman" w:hAnsi="Times New Roman"/>
          <w:b/>
          <w:szCs w:val="24"/>
        </w:rPr>
        <w:t>west control area</w:t>
      </w:r>
      <w:r w:rsidRPr="00131B32">
        <w:rPr>
          <w:rFonts w:ascii="Times New Roman" w:hAnsi="Times New Roman"/>
          <w:b/>
          <w:szCs w:val="24"/>
        </w:rPr>
        <w:t xml:space="preserve"> states have adopted energy-based RPS.  Is there a reason for this? </w:t>
      </w:r>
    </w:p>
    <w:p w:rsidR="00DE764C" w:rsidRPr="00131B32" w:rsidRDefault="00DE764C" w:rsidP="00DE764C">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t>Washington’s RPS is logically tied to energy sales as it is simple, easy to understand and administer.  Any RPS program based on demand or a classification split between demand and energy would seem overly complicated.</w:t>
      </w:r>
      <w:r w:rsidR="005D715F">
        <w:rPr>
          <w:rFonts w:ascii="Times New Roman" w:hAnsi="Times New Roman"/>
          <w:szCs w:val="24"/>
        </w:rPr>
        <w:t xml:space="preserve">  </w:t>
      </w:r>
      <w:r w:rsidR="00B1018F">
        <w:rPr>
          <w:rFonts w:ascii="Times New Roman" w:hAnsi="Times New Roman"/>
          <w:szCs w:val="24"/>
        </w:rPr>
        <w:t xml:space="preserve">Therefore, </w:t>
      </w:r>
      <w:r w:rsidR="005D715F">
        <w:rPr>
          <w:rFonts w:ascii="Times New Roman" w:hAnsi="Times New Roman"/>
          <w:szCs w:val="24"/>
        </w:rPr>
        <w:t>this RPS</w:t>
      </w:r>
      <w:r w:rsidR="000E1FF3">
        <w:rPr>
          <w:rFonts w:ascii="Times New Roman" w:hAnsi="Times New Roman"/>
          <w:szCs w:val="24"/>
        </w:rPr>
        <w:t>-</w:t>
      </w:r>
      <w:r w:rsidR="005D715F">
        <w:rPr>
          <w:rFonts w:ascii="Times New Roman" w:hAnsi="Times New Roman"/>
          <w:szCs w:val="24"/>
        </w:rPr>
        <w:t xml:space="preserve">based argument should have no bearing.  </w:t>
      </w:r>
    </w:p>
    <w:p w:rsidR="00131B32" w:rsidRPr="00131B32" w:rsidRDefault="00131B32" w:rsidP="00131B32">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 xml:space="preserve">Please explain Staff’s recommendation </w:t>
      </w:r>
      <w:r w:rsidR="00B02582">
        <w:rPr>
          <w:rFonts w:ascii="Times New Roman" w:hAnsi="Times New Roman"/>
          <w:b/>
          <w:szCs w:val="24"/>
        </w:rPr>
        <w:t xml:space="preserve">regarding the allocation of </w:t>
      </w:r>
      <w:r w:rsidRPr="00131B32">
        <w:rPr>
          <w:rFonts w:ascii="Times New Roman" w:hAnsi="Times New Roman"/>
          <w:b/>
          <w:szCs w:val="24"/>
        </w:rPr>
        <w:t xml:space="preserve">costs </w:t>
      </w:r>
      <w:r w:rsidR="00B02582">
        <w:rPr>
          <w:rFonts w:ascii="Times New Roman" w:hAnsi="Times New Roman"/>
          <w:b/>
          <w:szCs w:val="24"/>
        </w:rPr>
        <w:t xml:space="preserve">for </w:t>
      </w:r>
      <w:r w:rsidRPr="00131B32">
        <w:rPr>
          <w:rFonts w:ascii="Times New Roman" w:hAnsi="Times New Roman"/>
          <w:b/>
          <w:szCs w:val="24"/>
        </w:rPr>
        <w:t>corporate account managers</w:t>
      </w:r>
      <w:r w:rsidR="00F56EAB">
        <w:rPr>
          <w:rFonts w:ascii="Times New Roman" w:hAnsi="Times New Roman"/>
          <w:b/>
          <w:szCs w:val="24"/>
        </w:rPr>
        <w:t xml:space="preserve"> (CAMs)</w:t>
      </w:r>
      <w:r w:rsidRPr="00131B32">
        <w:rPr>
          <w:rFonts w:ascii="Times New Roman" w:hAnsi="Times New Roman"/>
          <w:b/>
          <w:szCs w:val="24"/>
        </w:rPr>
        <w:t>.</w:t>
      </w:r>
    </w:p>
    <w:p w:rsidR="00131B32" w:rsidRPr="00131B32" w:rsidRDefault="00131B32" w:rsidP="00131B32">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t xml:space="preserve">Staff proposes that expenses related to </w:t>
      </w:r>
      <w:r w:rsidR="00F56EAB">
        <w:rPr>
          <w:rFonts w:ascii="Times New Roman" w:hAnsi="Times New Roman"/>
          <w:szCs w:val="24"/>
        </w:rPr>
        <w:t>CAMs</w:t>
      </w:r>
      <w:r w:rsidRPr="00131B32">
        <w:rPr>
          <w:rFonts w:ascii="Times New Roman" w:hAnsi="Times New Roman"/>
          <w:szCs w:val="24"/>
        </w:rPr>
        <w:t xml:space="preserve"> be directly assigned to Schedule 48T since </w:t>
      </w:r>
      <w:r w:rsidR="00F56EAB">
        <w:rPr>
          <w:rFonts w:ascii="Times New Roman" w:hAnsi="Times New Roman"/>
          <w:szCs w:val="24"/>
        </w:rPr>
        <w:t>CAMs</w:t>
      </w:r>
      <w:r w:rsidRPr="00131B32">
        <w:rPr>
          <w:rFonts w:ascii="Times New Roman" w:hAnsi="Times New Roman"/>
          <w:szCs w:val="24"/>
        </w:rPr>
        <w:t xml:space="preserve"> are assigned to </w:t>
      </w:r>
      <w:r w:rsidR="00B02582">
        <w:rPr>
          <w:rFonts w:ascii="Times New Roman" w:hAnsi="Times New Roman"/>
          <w:szCs w:val="24"/>
        </w:rPr>
        <w:t xml:space="preserve">only </w:t>
      </w:r>
      <w:r w:rsidRPr="00131B32">
        <w:rPr>
          <w:rFonts w:ascii="Times New Roman" w:hAnsi="Times New Roman"/>
          <w:szCs w:val="24"/>
        </w:rPr>
        <w:t xml:space="preserve">large customers (loads over 750 </w:t>
      </w:r>
      <w:r w:rsidR="00274ACE">
        <w:rPr>
          <w:rFonts w:ascii="Times New Roman" w:hAnsi="Times New Roman"/>
          <w:szCs w:val="24"/>
        </w:rPr>
        <w:t>k</w:t>
      </w:r>
      <w:r w:rsidRPr="00131B32">
        <w:rPr>
          <w:rFonts w:ascii="Times New Roman" w:hAnsi="Times New Roman"/>
          <w:szCs w:val="24"/>
        </w:rPr>
        <w:t>W)</w:t>
      </w:r>
      <w:r w:rsidR="00B02582">
        <w:rPr>
          <w:rFonts w:ascii="Times New Roman" w:hAnsi="Times New Roman"/>
          <w:szCs w:val="24"/>
        </w:rPr>
        <w:t xml:space="preserve">.  </w:t>
      </w:r>
    </w:p>
    <w:p w:rsidR="00131B32" w:rsidRPr="00131B32" w:rsidRDefault="00131B32" w:rsidP="00131B32">
      <w:pPr>
        <w:keepNext/>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r>
      <w:r w:rsidR="00B02582">
        <w:rPr>
          <w:rFonts w:ascii="Times New Roman" w:hAnsi="Times New Roman"/>
          <w:b/>
          <w:szCs w:val="24"/>
        </w:rPr>
        <w:t xml:space="preserve">Is the Company opposed to the </w:t>
      </w:r>
      <w:r w:rsidRPr="00131B32">
        <w:rPr>
          <w:rFonts w:ascii="Times New Roman" w:hAnsi="Times New Roman"/>
          <w:b/>
          <w:szCs w:val="24"/>
        </w:rPr>
        <w:t xml:space="preserve">direct assignment </w:t>
      </w:r>
      <w:r w:rsidR="00B02582">
        <w:rPr>
          <w:rFonts w:ascii="Times New Roman" w:hAnsi="Times New Roman"/>
          <w:b/>
          <w:szCs w:val="24"/>
        </w:rPr>
        <w:t>of these costs</w:t>
      </w:r>
      <w:r w:rsidRPr="00131B32">
        <w:rPr>
          <w:rFonts w:ascii="Times New Roman" w:hAnsi="Times New Roman"/>
          <w:b/>
          <w:szCs w:val="24"/>
        </w:rPr>
        <w:t>?</w:t>
      </w:r>
    </w:p>
    <w:p w:rsidR="00131B32" w:rsidRPr="00131B32" w:rsidRDefault="00131B32" w:rsidP="00131B32">
      <w:pPr>
        <w:rPr>
          <w:rFonts w:ascii="Times New Roman" w:hAnsi="Times New Roman"/>
          <w:color w:val="FF0000"/>
          <w:szCs w:val="24"/>
        </w:rPr>
      </w:pPr>
      <w:r w:rsidRPr="00131B32">
        <w:rPr>
          <w:rFonts w:ascii="Times New Roman" w:hAnsi="Times New Roman"/>
          <w:szCs w:val="24"/>
        </w:rPr>
        <w:t>A.</w:t>
      </w:r>
      <w:r w:rsidRPr="00131B32">
        <w:rPr>
          <w:rFonts w:ascii="Times New Roman" w:hAnsi="Times New Roman"/>
          <w:szCs w:val="24"/>
        </w:rPr>
        <w:tab/>
      </w:r>
      <w:r w:rsidR="001F44B3">
        <w:rPr>
          <w:rFonts w:ascii="Times New Roman" w:hAnsi="Times New Roman"/>
          <w:szCs w:val="24"/>
        </w:rPr>
        <w:t>No</w:t>
      </w:r>
      <w:r w:rsidRPr="00131B32">
        <w:rPr>
          <w:rFonts w:ascii="Times New Roman" w:hAnsi="Times New Roman"/>
          <w:szCs w:val="24"/>
        </w:rPr>
        <w:t xml:space="preserve">. </w:t>
      </w:r>
      <w:r w:rsidR="00B02582">
        <w:rPr>
          <w:rFonts w:ascii="Times New Roman" w:hAnsi="Times New Roman"/>
          <w:szCs w:val="24"/>
        </w:rPr>
        <w:t xml:space="preserve"> However, the </w:t>
      </w:r>
      <w:r w:rsidRPr="00131B32">
        <w:rPr>
          <w:rFonts w:ascii="Times New Roman" w:hAnsi="Times New Roman"/>
          <w:szCs w:val="24"/>
        </w:rPr>
        <w:t xml:space="preserve">impact of the proposed change is minimal at only </w:t>
      </w:r>
      <w:r w:rsidR="00B02582">
        <w:rPr>
          <w:rFonts w:ascii="Times New Roman" w:hAnsi="Times New Roman"/>
          <w:szCs w:val="24"/>
        </w:rPr>
        <w:t xml:space="preserve">about </w:t>
      </w:r>
      <w:r w:rsidRPr="00131B32">
        <w:rPr>
          <w:rFonts w:ascii="Times New Roman" w:hAnsi="Times New Roman"/>
          <w:szCs w:val="24"/>
        </w:rPr>
        <w:t>$18</w:t>
      </w:r>
      <w:r w:rsidR="00B02582">
        <w:rPr>
          <w:rFonts w:ascii="Times New Roman" w:hAnsi="Times New Roman"/>
          <w:szCs w:val="24"/>
        </w:rPr>
        <w:t>5,000</w:t>
      </w:r>
      <w:r w:rsidRPr="00131B32">
        <w:rPr>
          <w:rFonts w:ascii="Times New Roman" w:hAnsi="Times New Roman"/>
          <w:szCs w:val="24"/>
        </w:rPr>
        <w:t>.</w:t>
      </w:r>
      <w:r w:rsidRPr="00131B32">
        <w:rPr>
          <w:rFonts w:ascii="Times New Roman" w:hAnsi="Times New Roman"/>
          <w:szCs w:val="24"/>
          <w:vertAlign w:val="superscript"/>
        </w:rPr>
        <w:footnoteReference w:id="7"/>
      </w:r>
      <w:r w:rsidRPr="00131B32">
        <w:rPr>
          <w:rFonts w:ascii="Times New Roman" w:hAnsi="Times New Roman"/>
          <w:szCs w:val="24"/>
        </w:rPr>
        <w:t xml:space="preserve"> </w:t>
      </w:r>
      <w:r w:rsidR="00274ACE">
        <w:rPr>
          <w:rFonts w:ascii="Times New Roman" w:hAnsi="Times New Roman"/>
          <w:szCs w:val="24"/>
        </w:rPr>
        <w:t xml:space="preserve"> </w:t>
      </w:r>
      <w:r w:rsidRPr="00131B32">
        <w:rPr>
          <w:rFonts w:ascii="Times New Roman" w:hAnsi="Times New Roman"/>
          <w:szCs w:val="24"/>
        </w:rPr>
        <w:t>Furthermore, as explained in my direct testimony, singl</w:t>
      </w:r>
      <w:r w:rsidR="00274ACE">
        <w:rPr>
          <w:rFonts w:ascii="Times New Roman" w:hAnsi="Times New Roman"/>
          <w:szCs w:val="24"/>
        </w:rPr>
        <w:t>ing</w:t>
      </w:r>
      <w:r w:rsidRPr="00131B32">
        <w:rPr>
          <w:rFonts w:ascii="Times New Roman" w:hAnsi="Times New Roman"/>
          <w:szCs w:val="24"/>
        </w:rPr>
        <w:t xml:space="preserve"> out one customer service cost for one type of customer and isolating individual cost drivers to specific types of customers would be complex and burdensome.   </w:t>
      </w:r>
    </w:p>
    <w:p w:rsidR="00131B32" w:rsidRPr="00131B32" w:rsidRDefault="00131B32" w:rsidP="00131B32">
      <w:pPr>
        <w:rPr>
          <w:rFonts w:ascii="Times New Roman" w:hAnsi="Times New Roman"/>
          <w:b/>
          <w:szCs w:val="24"/>
        </w:rPr>
      </w:pPr>
      <w:r w:rsidRPr="00131B32">
        <w:rPr>
          <w:rFonts w:ascii="Times New Roman" w:hAnsi="Times New Roman"/>
          <w:b/>
          <w:szCs w:val="24"/>
        </w:rPr>
        <w:t xml:space="preserve">Q. </w:t>
      </w:r>
      <w:r w:rsidRPr="00131B32">
        <w:rPr>
          <w:rFonts w:ascii="Times New Roman" w:hAnsi="Times New Roman"/>
          <w:b/>
          <w:szCs w:val="24"/>
        </w:rPr>
        <w:tab/>
        <w:t>If the CAM direct assignment is adopted by the Commission, how do you propose these costs to be allocated?</w:t>
      </w:r>
    </w:p>
    <w:p w:rsidR="00131B32" w:rsidRPr="00131B32" w:rsidRDefault="00131B32" w:rsidP="00131B32">
      <w:pPr>
        <w:rPr>
          <w:rFonts w:ascii="Times New Roman" w:hAnsi="Times New Roman"/>
          <w:szCs w:val="24"/>
        </w:rPr>
      </w:pPr>
      <w:r w:rsidRPr="00131B32">
        <w:rPr>
          <w:rFonts w:ascii="Times New Roman" w:hAnsi="Times New Roman"/>
          <w:szCs w:val="24"/>
        </w:rPr>
        <w:t xml:space="preserve">A. </w:t>
      </w:r>
      <w:r w:rsidRPr="00131B32">
        <w:rPr>
          <w:rFonts w:ascii="Times New Roman" w:hAnsi="Times New Roman"/>
          <w:szCs w:val="24"/>
        </w:rPr>
        <w:tab/>
        <w:t xml:space="preserve">If </w:t>
      </w:r>
      <w:r w:rsidR="00F56EAB">
        <w:rPr>
          <w:rFonts w:ascii="Times New Roman" w:hAnsi="Times New Roman"/>
          <w:szCs w:val="24"/>
        </w:rPr>
        <w:t>adopted</w:t>
      </w:r>
      <w:r w:rsidR="00F56EAB" w:rsidRPr="00131B32">
        <w:rPr>
          <w:rFonts w:ascii="Times New Roman" w:hAnsi="Times New Roman"/>
          <w:szCs w:val="24"/>
        </w:rPr>
        <w:t xml:space="preserve"> </w:t>
      </w:r>
      <w:r w:rsidRPr="00131B32">
        <w:rPr>
          <w:rFonts w:ascii="Times New Roman" w:hAnsi="Times New Roman"/>
          <w:szCs w:val="24"/>
        </w:rPr>
        <w:t>by the Commission, I propose that the CAM costs be allocated to Schedule 48T and the Dedicated Facilities rate schedules based on the number of customers on those rate schedules.  Table 4 illustrates the impact of this change from the initial filed cost of service study.</w:t>
      </w:r>
    </w:p>
    <w:p w:rsidR="00E22E05" w:rsidRPr="00131B32" w:rsidRDefault="00BB6141" w:rsidP="00695CC6">
      <w:pPr>
        <w:suppressLineNumbers/>
        <w:ind w:left="0" w:firstLine="0"/>
        <w:jc w:val="center"/>
        <w:rPr>
          <w:rFonts w:ascii="Times New Roman" w:hAnsi="Times New Roman"/>
          <w:szCs w:val="24"/>
        </w:rPr>
      </w:pPr>
      <w:r w:rsidRPr="00BB6141">
        <w:rPr>
          <w:noProof/>
        </w:rPr>
        <w:drawing>
          <wp:inline distT="0" distB="0" distL="0" distR="0" wp14:anchorId="635D026F" wp14:editId="02335809">
            <wp:extent cx="3785235" cy="2679700"/>
            <wp:effectExtent l="0" t="0" r="571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5235" cy="2679700"/>
                    </a:xfrm>
                    <a:prstGeom prst="rect">
                      <a:avLst/>
                    </a:prstGeom>
                    <a:noFill/>
                    <a:ln>
                      <a:noFill/>
                    </a:ln>
                  </pic:spPr>
                </pic:pic>
              </a:graphicData>
            </a:graphic>
          </wp:inline>
        </w:drawing>
      </w:r>
    </w:p>
    <w:p w:rsidR="00131B32" w:rsidRPr="00131B32" w:rsidRDefault="00131B32" w:rsidP="00A82AD1">
      <w:pPr>
        <w:keepNext/>
        <w:rPr>
          <w:rFonts w:ascii="Times New Roman" w:hAnsi="Times New Roman"/>
          <w:b/>
        </w:rPr>
      </w:pPr>
      <w:r w:rsidRPr="00131B32">
        <w:rPr>
          <w:rFonts w:ascii="Times New Roman" w:hAnsi="Times New Roman"/>
          <w:b/>
        </w:rPr>
        <w:t>Q.</w:t>
      </w:r>
      <w:r w:rsidRPr="00131B32">
        <w:rPr>
          <w:rFonts w:ascii="Times New Roman" w:hAnsi="Times New Roman"/>
          <w:b/>
        </w:rPr>
        <w:tab/>
        <w:t xml:space="preserve">What methodology does Boise propose regarding the classification and allocation of </w:t>
      </w:r>
      <w:r w:rsidR="00F56EAB">
        <w:rPr>
          <w:rFonts w:ascii="Times New Roman" w:hAnsi="Times New Roman"/>
          <w:b/>
        </w:rPr>
        <w:t xml:space="preserve">generation and transmission </w:t>
      </w:r>
      <w:r w:rsidRPr="00131B32">
        <w:rPr>
          <w:rFonts w:ascii="Times New Roman" w:hAnsi="Times New Roman"/>
          <w:b/>
        </w:rPr>
        <w:t>costs?</w:t>
      </w:r>
    </w:p>
    <w:p w:rsidR="00131B32" w:rsidRPr="00131B32" w:rsidRDefault="00131B32" w:rsidP="00131B32">
      <w:pPr>
        <w:rPr>
          <w:rFonts w:ascii="Times New Roman" w:hAnsi="Times New Roman"/>
          <w:szCs w:val="24"/>
        </w:rPr>
      </w:pPr>
      <w:r w:rsidRPr="00131B32">
        <w:rPr>
          <w:rFonts w:ascii="Times New Roman" w:hAnsi="Times New Roman"/>
        </w:rPr>
        <w:t>A.</w:t>
      </w:r>
      <w:r w:rsidRPr="00131B32">
        <w:rPr>
          <w:rFonts w:ascii="Times New Roman" w:hAnsi="Times New Roman"/>
        </w:rPr>
        <w:tab/>
      </w:r>
      <w:r w:rsidRPr="00131B32">
        <w:rPr>
          <w:rFonts w:ascii="Times New Roman" w:hAnsi="Times New Roman"/>
          <w:szCs w:val="24"/>
        </w:rPr>
        <w:t>Boise</w:t>
      </w:r>
      <w:r w:rsidR="00F56EAB">
        <w:rPr>
          <w:rFonts w:ascii="Times New Roman" w:hAnsi="Times New Roman"/>
          <w:szCs w:val="24"/>
        </w:rPr>
        <w:t xml:space="preserve"> proposes</w:t>
      </w:r>
      <w:r w:rsidRPr="00131B32">
        <w:rPr>
          <w:rFonts w:ascii="Times New Roman" w:hAnsi="Times New Roman"/>
          <w:szCs w:val="24"/>
        </w:rPr>
        <w:t xml:space="preserve"> </w:t>
      </w:r>
      <w:r w:rsidR="00F56EAB" w:rsidRPr="00131B32">
        <w:rPr>
          <w:rFonts w:ascii="Times New Roman" w:hAnsi="Times New Roman"/>
          <w:szCs w:val="24"/>
        </w:rPr>
        <w:t>classif</w:t>
      </w:r>
      <w:r w:rsidR="00F56EAB">
        <w:rPr>
          <w:rFonts w:ascii="Times New Roman" w:hAnsi="Times New Roman"/>
          <w:szCs w:val="24"/>
        </w:rPr>
        <w:t>ying</w:t>
      </w:r>
      <w:r w:rsidR="00F56EAB" w:rsidRPr="00131B32">
        <w:rPr>
          <w:rFonts w:ascii="Times New Roman" w:hAnsi="Times New Roman"/>
          <w:szCs w:val="24"/>
        </w:rPr>
        <w:t xml:space="preserve"> 100</w:t>
      </w:r>
      <w:r w:rsidR="00F56EAB">
        <w:rPr>
          <w:rFonts w:ascii="Times New Roman" w:hAnsi="Times New Roman"/>
          <w:szCs w:val="24"/>
        </w:rPr>
        <w:t xml:space="preserve"> percent</w:t>
      </w:r>
      <w:r w:rsidR="00F56EAB" w:rsidRPr="00131B32">
        <w:rPr>
          <w:rFonts w:ascii="Times New Roman" w:hAnsi="Times New Roman"/>
          <w:szCs w:val="24"/>
        </w:rPr>
        <w:t xml:space="preserve"> of fixed </w:t>
      </w:r>
      <w:r w:rsidR="00F56EAB">
        <w:rPr>
          <w:rFonts w:ascii="Times New Roman" w:hAnsi="Times New Roman"/>
          <w:szCs w:val="24"/>
        </w:rPr>
        <w:t xml:space="preserve">generation </w:t>
      </w:r>
      <w:r w:rsidR="00F56EAB" w:rsidRPr="00131B32">
        <w:rPr>
          <w:rFonts w:ascii="Times New Roman" w:hAnsi="Times New Roman"/>
          <w:szCs w:val="24"/>
        </w:rPr>
        <w:t>costs as demand related and 100</w:t>
      </w:r>
      <w:r w:rsidR="00F56EAB">
        <w:rPr>
          <w:rFonts w:ascii="Times New Roman" w:hAnsi="Times New Roman"/>
          <w:szCs w:val="24"/>
        </w:rPr>
        <w:t xml:space="preserve"> percent</w:t>
      </w:r>
      <w:r w:rsidR="00F56EAB" w:rsidRPr="00131B32">
        <w:rPr>
          <w:rFonts w:ascii="Times New Roman" w:hAnsi="Times New Roman"/>
          <w:szCs w:val="24"/>
        </w:rPr>
        <w:t xml:space="preserve"> of variable costs as energy related</w:t>
      </w:r>
      <w:r w:rsidR="00F56EAB">
        <w:rPr>
          <w:rFonts w:ascii="Times New Roman" w:hAnsi="Times New Roman"/>
          <w:szCs w:val="24"/>
        </w:rPr>
        <w:t xml:space="preserve"> because, </w:t>
      </w:r>
      <w:r w:rsidR="00274ACE">
        <w:rPr>
          <w:rFonts w:ascii="Times New Roman" w:hAnsi="Times New Roman"/>
          <w:szCs w:val="24"/>
        </w:rPr>
        <w:t xml:space="preserve">Boise </w:t>
      </w:r>
      <w:r w:rsidR="00F56EAB">
        <w:rPr>
          <w:rFonts w:ascii="Times New Roman" w:hAnsi="Times New Roman"/>
          <w:szCs w:val="24"/>
        </w:rPr>
        <w:t xml:space="preserve">argues, </w:t>
      </w:r>
      <w:r w:rsidRPr="00131B32">
        <w:rPr>
          <w:rFonts w:ascii="Times New Roman" w:hAnsi="Times New Roman"/>
          <w:szCs w:val="24"/>
        </w:rPr>
        <w:t xml:space="preserve">production investment is primarily driven by the need for capacity and customer peak demands. </w:t>
      </w:r>
      <w:r w:rsidR="00F56EAB">
        <w:rPr>
          <w:rFonts w:ascii="Times New Roman" w:hAnsi="Times New Roman"/>
          <w:szCs w:val="24"/>
        </w:rPr>
        <w:t xml:space="preserve"> </w:t>
      </w:r>
      <w:r w:rsidRPr="00131B32">
        <w:rPr>
          <w:rFonts w:ascii="Times New Roman" w:hAnsi="Times New Roman"/>
          <w:szCs w:val="24"/>
        </w:rPr>
        <w:t>The variable costs primarily include fuel-related net power costs and purchased power</w:t>
      </w:r>
      <w:r w:rsidR="001B0135">
        <w:rPr>
          <w:rFonts w:ascii="Times New Roman" w:hAnsi="Times New Roman"/>
          <w:szCs w:val="24"/>
        </w:rPr>
        <w:t xml:space="preserve"> with all other costs considered fixed</w:t>
      </w:r>
      <w:r w:rsidRPr="00131B32">
        <w:rPr>
          <w:rFonts w:ascii="Times New Roman" w:hAnsi="Times New Roman"/>
          <w:szCs w:val="24"/>
        </w:rPr>
        <w:t>.</w:t>
      </w:r>
      <w:r w:rsidRPr="00131B32">
        <w:rPr>
          <w:rFonts w:ascii="Times New Roman" w:hAnsi="Times New Roman"/>
          <w:szCs w:val="24"/>
          <w:vertAlign w:val="superscript"/>
        </w:rPr>
        <w:footnoteReference w:id="8"/>
      </w:r>
      <w:r w:rsidRPr="00131B32">
        <w:rPr>
          <w:rFonts w:ascii="Times New Roman" w:hAnsi="Times New Roman"/>
          <w:szCs w:val="24"/>
        </w:rPr>
        <w:t xml:space="preserve"> </w:t>
      </w:r>
      <w:r w:rsidR="00274ACE">
        <w:rPr>
          <w:rFonts w:ascii="Times New Roman" w:hAnsi="Times New Roman"/>
          <w:szCs w:val="24"/>
        </w:rPr>
        <w:t xml:space="preserve"> </w:t>
      </w:r>
      <w:r w:rsidRPr="00131B32">
        <w:rPr>
          <w:rFonts w:ascii="Times New Roman" w:hAnsi="Times New Roman"/>
          <w:szCs w:val="24"/>
        </w:rPr>
        <w:t xml:space="preserve">Table 5 illustrates the </w:t>
      </w:r>
      <w:r w:rsidR="00F56EAB">
        <w:rPr>
          <w:rFonts w:ascii="Times New Roman" w:hAnsi="Times New Roman"/>
          <w:szCs w:val="24"/>
        </w:rPr>
        <w:t xml:space="preserve">proportional split between </w:t>
      </w:r>
      <w:r w:rsidRPr="00131B32">
        <w:rPr>
          <w:rFonts w:ascii="Times New Roman" w:hAnsi="Times New Roman"/>
          <w:szCs w:val="24"/>
        </w:rPr>
        <w:t xml:space="preserve">fixed and variable </w:t>
      </w:r>
      <w:r w:rsidR="00F56EAB">
        <w:rPr>
          <w:rFonts w:ascii="Times New Roman" w:hAnsi="Times New Roman"/>
          <w:szCs w:val="24"/>
        </w:rPr>
        <w:t xml:space="preserve">generation and transmission </w:t>
      </w:r>
      <w:r w:rsidRPr="00131B32">
        <w:rPr>
          <w:rFonts w:ascii="Times New Roman" w:hAnsi="Times New Roman"/>
          <w:szCs w:val="24"/>
        </w:rPr>
        <w:t xml:space="preserve">costs </w:t>
      </w:r>
      <w:r w:rsidR="00F56EAB">
        <w:rPr>
          <w:rFonts w:ascii="Times New Roman" w:hAnsi="Times New Roman"/>
          <w:szCs w:val="24"/>
        </w:rPr>
        <w:t xml:space="preserve">with </w:t>
      </w:r>
      <w:r w:rsidRPr="00131B32">
        <w:rPr>
          <w:rFonts w:ascii="Times New Roman" w:hAnsi="Times New Roman"/>
          <w:szCs w:val="24"/>
        </w:rPr>
        <w:t>Boise’s proposal.</w:t>
      </w:r>
    </w:p>
    <w:p w:rsidR="00131B32" w:rsidRDefault="00BB6141" w:rsidP="00695CC6">
      <w:pPr>
        <w:suppressLineNumbers/>
        <w:jc w:val="center"/>
        <w:rPr>
          <w:rFonts w:ascii="Times New Roman" w:hAnsi="Times New Roman"/>
          <w:szCs w:val="24"/>
        </w:rPr>
      </w:pPr>
      <w:r w:rsidRPr="00BB6141">
        <w:rPr>
          <w:noProof/>
        </w:rPr>
        <w:drawing>
          <wp:inline distT="0" distB="0" distL="0" distR="0" wp14:anchorId="06C5007A" wp14:editId="4EB00C6F">
            <wp:extent cx="4157345" cy="10312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7345" cy="1031240"/>
                    </a:xfrm>
                    <a:prstGeom prst="rect">
                      <a:avLst/>
                    </a:prstGeom>
                    <a:noFill/>
                    <a:ln>
                      <a:noFill/>
                    </a:ln>
                  </pic:spPr>
                </pic:pic>
              </a:graphicData>
            </a:graphic>
          </wp:inline>
        </w:drawing>
      </w:r>
    </w:p>
    <w:p w:rsidR="00131B32" w:rsidRPr="00131B32" w:rsidRDefault="00131B32" w:rsidP="00131B32">
      <w:pPr>
        <w:rPr>
          <w:rFonts w:ascii="Times New Roman" w:hAnsi="Times New Roman"/>
          <w:szCs w:val="24"/>
        </w:rPr>
      </w:pPr>
      <w:r w:rsidRPr="00131B32">
        <w:rPr>
          <w:rFonts w:ascii="Times New Roman" w:hAnsi="Times New Roman"/>
          <w:szCs w:val="24"/>
        </w:rPr>
        <w:tab/>
      </w:r>
      <w:r w:rsidRPr="00131B32">
        <w:rPr>
          <w:rFonts w:ascii="Times New Roman" w:hAnsi="Times New Roman"/>
          <w:szCs w:val="24"/>
        </w:rPr>
        <w:tab/>
      </w:r>
      <w:r w:rsidR="00F56EAB">
        <w:rPr>
          <w:rFonts w:ascii="Times New Roman" w:hAnsi="Times New Roman"/>
          <w:szCs w:val="24"/>
        </w:rPr>
        <w:t xml:space="preserve">For allocation of demand-related costs, </w:t>
      </w:r>
      <w:r w:rsidRPr="00131B32">
        <w:rPr>
          <w:rFonts w:ascii="Times New Roman" w:hAnsi="Times New Roman"/>
          <w:szCs w:val="24"/>
        </w:rPr>
        <w:t xml:space="preserve">Boise </w:t>
      </w:r>
      <w:r w:rsidR="00F56EAB">
        <w:rPr>
          <w:rFonts w:ascii="Times New Roman" w:hAnsi="Times New Roman"/>
          <w:szCs w:val="24"/>
        </w:rPr>
        <w:t xml:space="preserve">argues that </w:t>
      </w:r>
      <w:r w:rsidRPr="00131B32">
        <w:rPr>
          <w:rFonts w:ascii="Times New Roman" w:hAnsi="Times New Roman"/>
          <w:szCs w:val="24"/>
        </w:rPr>
        <w:t>the Company provides no basis for allocating these costs with the top 100 winter and 100 summer peak hours</w:t>
      </w:r>
      <w:r w:rsidR="00F56EAB">
        <w:rPr>
          <w:rFonts w:ascii="Times New Roman" w:hAnsi="Times New Roman"/>
          <w:szCs w:val="24"/>
        </w:rPr>
        <w:t xml:space="preserve"> and </w:t>
      </w:r>
      <w:r w:rsidRPr="00131B32">
        <w:rPr>
          <w:rFonts w:ascii="Times New Roman" w:hAnsi="Times New Roman"/>
          <w:szCs w:val="24"/>
        </w:rPr>
        <w:t xml:space="preserve">proposes </w:t>
      </w:r>
      <w:r w:rsidR="00F56EAB">
        <w:rPr>
          <w:rFonts w:ascii="Times New Roman" w:hAnsi="Times New Roman"/>
          <w:szCs w:val="24"/>
        </w:rPr>
        <w:t xml:space="preserve">using only the top </w:t>
      </w:r>
      <w:r w:rsidRPr="00131B32">
        <w:rPr>
          <w:rFonts w:ascii="Times New Roman" w:hAnsi="Times New Roman"/>
          <w:szCs w:val="24"/>
        </w:rPr>
        <w:t>four coincident peaks</w:t>
      </w:r>
      <w:r w:rsidR="00F56EAB">
        <w:rPr>
          <w:rFonts w:ascii="Times New Roman" w:hAnsi="Times New Roman"/>
          <w:szCs w:val="24"/>
        </w:rPr>
        <w:t xml:space="preserve">, consisting </w:t>
      </w:r>
      <w:r w:rsidRPr="00131B32">
        <w:rPr>
          <w:rFonts w:ascii="Times New Roman" w:hAnsi="Times New Roman"/>
          <w:szCs w:val="24"/>
        </w:rPr>
        <w:t xml:space="preserve">of the two highest summer months (July and August) and the two highest winter months (December and January). </w:t>
      </w:r>
    </w:p>
    <w:p w:rsidR="00131B32" w:rsidRPr="00131B32" w:rsidRDefault="00131B32" w:rsidP="00131B32">
      <w:pPr>
        <w:rPr>
          <w:rFonts w:ascii="Times New Roman" w:hAnsi="Times New Roman"/>
          <w:szCs w:val="24"/>
        </w:rPr>
      </w:pPr>
      <w:r w:rsidRPr="00131B32">
        <w:rPr>
          <w:rFonts w:ascii="Times New Roman" w:hAnsi="Times New Roman"/>
          <w:szCs w:val="24"/>
        </w:rPr>
        <w:tab/>
      </w:r>
      <w:r w:rsidRPr="00131B32">
        <w:rPr>
          <w:rFonts w:ascii="Times New Roman" w:hAnsi="Times New Roman"/>
          <w:szCs w:val="24"/>
        </w:rPr>
        <w:tab/>
      </w:r>
      <w:r w:rsidR="00F56EAB">
        <w:rPr>
          <w:rFonts w:ascii="Times New Roman" w:hAnsi="Times New Roman"/>
          <w:szCs w:val="24"/>
        </w:rPr>
        <w:t>F</w:t>
      </w:r>
      <w:r w:rsidRPr="00131B32">
        <w:rPr>
          <w:rFonts w:ascii="Times New Roman" w:hAnsi="Times New Roman"/>
          <w:szCs w:val="24"/>
        </w:rPr>
        <w:t>or transmission</w:t>
      </w:r>
      <w:r w:rsidR="00F56EAB">
        <w:rPr>
          <w:rFonts w:ascii="Times New Roman" w:hAnsi="Times New Roman"/>
          <w:szCs w:val="24"/>
        </w:rPr>
        <w:t xml:space="preserve"> </w:t>
      </w:r>
      <w:r w:rsidRPr="00131B32">
        <w:rPr>
          <w:rFonts w:ascii="Times New Roman" w:hAnsi="Times New Roman"/>
          <w:szCs w:val="24"/>
        </w:rPr>
        <w:t xml:space="preserve">costs, Boise proposes </w:t>
      </w:r>
      <w:r w:rsidR="00F56EAB">
        <w:rPr>
          <w:rFonts w:ascii="Times New Roman" w:hAnsi="Times New Roman"/>
          <w:szCs w:val="24"/>
        </w:rPr>
        <w:t xml:space="preserve">to classify all transmission as </w:t>
      </w:r>
      <w:r w:rsidRPr="00131B32">
        <w:rPr>
          <w:rFonts w:ascii="Times New Roman" w:hAnsi="Times New Roman"/>
          <w:szCs w:val="24"/>
        </w:rPr>
        <w:t>100</w:t>
      </w:r>
      <w:r w:rsidR="00F56EAB">
        <w:rPr>
          <w:rFonts w:ascii="Times New Roman" w:hAnsi="Times New Roman"/>
          <w:szCs w:val="24"/>
        </w:rPr>
        <w:t xml:space="preserve"> percent</w:t>
      </w:r>
      <w:r w:rsidRPr="00131B32">
        <w:rPr>
          <w:rFonts w:ascii="Times New Roman" w:hAnsi="Times New Roman"/>
          <w:szCs w:val="24"/>
        </w:rPr>
        <w:t xml:space="preserve"> demand related</w:t>
      </w:r>
      <w:r w:rsidR="00F56EAB">
        <w:rPr>
          <w:rFonts w:ascii="Times New Roman" w:hAnsi="Times New Roman"/>
          <w:szCs w:val="24"/>
        </w:rPr>
        <w:t xml:space="preserve"> with allocations to rate schedules based on </w:t>
      </w:r>
      <w:r w:rsidR="006549D9">
        <w:rPr>
          <w:rFonts w:ascii="Times New Roman" w:hAnsi="Times New Roman"/>
          <w:szCs w:val="24"/>
        </w:rPr>
        <w:t xml:space="preserve">the 12 monthly </w:t>
      </w:r>
      <w:r w:rsidRPr="00131B32">
        <w:rPr>
          <w:rFonts w:ascii="Times New Roman" w:hAnsi="Times New Roman"/>
          <w:szCs w:val="24"/>
        </w:rPr>
        <w:t xml:space="preserve">coincident peaks. </w:t>
      </w:r>
      <w:r w:rsidR="006549D9">
        <w:rPr>
          <w:rFonts w:ascii="Times New Roman" w:hAnsi="Times New Roman"/>
          <w:szCs w:val="24"/>
        </w:rPr>
        <w:t xml:space="preserve"> </w:t>
      </w:r>
      <w:r w:rsidRPr="00131B32">
        <w:rPr>
          <w:rFonts w:ascii="Times New Roman" w:hAnsi="Times New Roman"/>
          <w:szCs w:val="24"/>
        </w:rPr>
        <w:t>Boise</w:t>
      </w:r>
      <w:r w:rsidR="006549D9">
        <w:rPr>
          <w:rFonts w:ascii="Times New Roman" w:hAnsi="Times New Roman"/>
          <w:szCs w:val="24"/>
        </w:rPr>
        <w:t xml:space="preserve"> argues </w:t>
      </w:r>
      <w:r w:rsidRPr="00131B32">
        <w:rPr>
          <w:rFonts w:ascii="Times New Roman" w:hAnsi="Times New Roman"/>
          <w:szCs w:val="24"/>
        </w:rPr>
        <w:t xml:space="preserve">that the transmission system is built to only meet peak demand and not the energy needs of its customers. </w:t>
      </w:r>
      <w:r w:rsidRPr="00131B32">
        <w:rPr>
          <w:rFonts w:ascii="Times New Roman" w:hAnsi="Times New Roman"/>
          <w:szCs w:val="24"/>
        </w:rPr>
        <w:tab/>
      </w:r>
    </w:p>
    <w:p w:rsidR="00131B32" w:rsidRPr="00131B32" w:rsidRDefault="00131B32" w:rsidP="00A82AD1">
      <w:pPr>
        <w:keepNext/>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How does Boise’s proposal affect the COS results and compare with the Company’s filed COS study?</w:t>
      </w:r>
    </w:p>
    <w:p w:rsidR="00131B32" w:rsidRPr="00131B32" w:rsidRDefault="00131B32" w:rsidP="001B0135">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r>
      <w:r w:rsidR="006549D9">
        <w:rPr>
          <w:rFonts w:ascii="Times New Roman" w:hAnsi="Times New Roman"/>
          <w:szCs w:val="24"/>
        </w:rPr>
        <w:t xml:space="preserve">Scenario 5 in </w:t>
      </w:r>
      <w:r w:rsidRPr="00131B32">
        <w:rPr>
          <w:rFonts w:ascii="Times New Roman" w:hAnsi="Times New Roman"/>
          <w:szCs w:val="24"/>
        </w:rPr>
        <w:t xml:space="preserve">Table </w:t>
      </w:r>
      <w:r w:rsidR="006549D9">
        <w:rPr>
          <w:rFonts w:ascii="Times New Roman" w:hAnsi="Times New Roman"/>
          <w:szCs w:val="24"/>
        </w:rPr>
        <w:t>1 above</w:t>
      </w:r>
      <w:r w:rsidRPr="00131B32">
        <w:rPr>
          <w:rFonts w:ascii="Times New Roman" w:hAnsi="Times New Roman"/>
          <w:szCs w:val="24"/>
        </w:rPr>
        <w:t xml:space="preserve"> illustrates the impact on COS results </w:t>
      </w:r>
      <w:r w:rsidR="006549D9">
        <w:rPr>
          <w:rFonts w:ascii="Times New Roman" w:hAnsi="Times New Roman"/>
          <w:szCs w:val="24"/>
        </w:rPr>
        <w:t>based on Boise’s recommendation</w:t>
      </w:r>
      <w:r w:rsidRPr="00131B32">
        <w:rPr>
          <w:rFonts w:ascii="Times New Roman" w:hAnsi="Times New Roman"/>
          <w:szCs w:val="24"/>
        </w:rPr>
        <w:t>. As expected, the residential class (being a lower load factor customer class) would receive a large increase in its COS while the rest of the customer classes would experience a decrease</w:t>
      </w:r>
      <w:r w:rsidR="006549D9">
        <w:rPr>
          <w:rFonts w:ascii="Times New Roman" w:hAnsi="Times New Roman"/>
          <w:szCs w:val="24"/>
        </w:rPr>
        <w:t xml:space="preserve"> compared to the Company’s approach</w:t>
      </w:r>
      <w:r w:rsidRPr="00131B32">
        <w:rPr>
          <w:rFonts w:ascii="Times New Roman" w:hAnsi="Times New Roman"/>
          <w:szCs w:val="24"/>
        </w:rPr>
        <w:t xml:space="preserve">. </w:t>
      </w:r>
    </w:p>
    <w:p w:rsidR="001B0135" w:rsidRPr="00131B32" w:rsidRDefault="001B0135" w:rsidP="001B0135">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t xml:space="preserve">Do you agree with Boise’s methodology for classifying and allocating </w:t>
      </w:r>
      <w:r>
        <w:rPr>
          <w:rFonts w:ascii="Times New Roman" w:hAnsi="Times New Roman"/>
          <w:b/>
          <w:szCs w:val="24"/>
        </w:rPr>
        <w:t>generation and transmission</w:t>
      </w:r>
      <w:r w:rsidRPr="00131B32">
        <w:rPr>
          <w:rFonts w:ascii="Times New Roman" w:hAnsi="Times New Roman"/>
          <w:b/>
          <w:szCs w:val="24"/>
        </w:rPr>
        <w:t xml:space="preserve"> costs?</w:t>
      </w:r>
    </w:p>
    <w:p w:rsidR="001B0135" w:rsidRPr="00131B32" w:rsidRDefault="001B0135" w:rsidP="001B0135">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r>
      <w:r>
        <w:rPr>
          <w:rFonts w:ascii="Times New Roman" w:hAnsi="Times New Roman"/>
          <w:szCs w:val="24"/>
        </w:rPr>
        <w:t xml:space="preserve">Not at this time but I do agree </w:t>
      </w:r>
      <w:r w:rsidR="00274ACE">
        <w:rPr>
          <w:rFonts w:ascii="Times New Roman" w:hAnsi="Times New Roman"/>
          <w:szCs w:val="24"/>
        </w:rPr>
        <w:t xml:space="preserve">Boise’s methodology </w:t>
      </w:r>
      <w:r>
        <w:rPr>
          <w:rFonts w:ascii="Times New Roman" w:hAnsi="Times New Roman"/>
          <w:szCs w:val="24"/>
        </w:rPr>
        <w:t>could be explored further</w:t>
      </w:r>
      <w:r w:rsidRPr="00131B32">
        <w:rPr>
          <w:rFonts w:ascii="Times New Roman" w:hAnsi="Times New Roman"/>
          <w:szCs w:val="24"/>
        </w:rPr>
        <w:t xml:space="preserve">. As I have addressed in my direct testimony and earlier in rebuttal of Staff, the Company’s generation portfolio in the </w:t>
      </w:r>
      <w:r w:rsidR="0063335F">
        <w:rPr>
          <w:rFonts w:ascii="Times New Roman" w:hAnsi="Times New Roman"/>
          <w:szCs w:val="24"/>
        </w:rPr>
        <w:t>west control area</w:t>
      </w:r>
      <w:r w:rsidRPr="00131B32">
        <w:rPr>
          <w:rFonts w:ascii="Times New Roman" w:hAnsi="Times New Roman"/>
          <w:szCs w:val="24"/>
        </w:rPr>
        <w:t xml:space="preserve"> consists of multiple types of generation sources such as coal, natural gas, hydro, and renewables and these resources produce the dual products of capacity and energy. The current methodology recognizes that production investments are utilized to meet peak demand and supply energy to customers.</w:t>
      </w:r>
      <w:r>
        <w:rPr>
          <w:rFonts w:ascii="Times New Roman" w:hAnsi="Times New Roman"/>
          <w:szCs w:val="24"/>
        </w:rPr>
        <w:t xml:space="preserve"> </w:t>
      </w:r>
      <w:r w:rsidR="00AE6C8E">
        <w:rPr>
          <w:rFonts w:ascii="Times New Roman" w:hAnsi="Times New Roman"/>
          <w:szCs w:val="24"/>
        </w:rPr>
        <w:t>On a near-term basis, the only costs that will vary with energy use are net power costs.</w:t>
      </w:r>
    </w:p>
    <w:p w:rsidR="00AE6C8E" w:rsidRDefault="001B0135" w:rsidP="00381375">
      <w:pPr>
        <w:ind w:firstLine="720"/>
        <w:rPr>
          <w:rFonts w:ascii="Times New Roman" w:hAnsi="Times New Roman"/>
          <w:szCs w:val="24"/>
        </w:rPr>
      </w:pPr>
      <w:r w:rsidRPr="00131B32">
        <w:rPr>
          <w:rFonts w:ascii="Times New Roman" w:hAnsi="Times New Roman"/>
          <w:szCs w:val="24"/>
        </w:rPr>
        <w:t xml:space="preserve">I find it reasonable to classify </w:t>
      </w:r>
      <w:r>
        <w:rPr>
          <w:rFonts w:ascii="Times New Roman" w:hAnsi="Times New Roman"/>
          <w:szCs w:val="24"/>
        </w:rPr>
        <w:t xml:space="preserve">a portion of </w:t>
      </w:r>
      <w:r w:rsidR="004A3289">
        <w:rPr>
          <w:rFonts w:ascii="Times New Roman" w:hAnsi="Times New Roman"/>
          <w:szCs w:val="24"/>
        </w:rPr>
        <w:t xml:space="preserve">transmission </w:t>
      </w:r>
      <w:r w:rsidRPr="00131B32">
        <w:rPr>
          <w:rFonts w:ascii="Times New Roman" w:hAnsi="Times New Roman"/>
          <w:szCs w:val="24"/>
        </w:rPr>
        <w:t xml:space="preserve">costs as energy related. For instance, FERC Account 565 (Wheeling) is a net power cost account that could be considered a variable cost in the same manner as Boise proposes the treatment of other net power cost accounts. Further, the Company has historically viewed the transmission system as an extension of the generation system. The </w:t>
      </w:r>
      <w:r w:rsidR="00CE4C4F" w:rsidRPr="00CE4C4F">
        <w:rPr>
          <w:rFonts w:ascii="Times New Roman" w:hAnsi="Times New Roman"/>
        </w:rPr>
        <w:t>National Association of Regulatory Utility Commissioners</w:t>
      </w:r>
      <w:r w:rsidR="00CE4C4F" w:rsidRPr="00131B32">
        <w:rPr>
          <w:rFonts w:ascii="Times New Roman" w:hAnsi="Times New Roman"/>
          <w:szCs w:val="24"/>
        </w:rPr>
        <w:t xml:space="preserve"> </w:t>
      </w:r>
      <w:r w:rsidR="00CE4C4F">
        <w:rPr>
          <w:rFonts w:ascii="Times New Roman" w:hAnsi="Times New Roman"/>
          <w:szCs w:val="24"/>
        </w:rPr>
        <w:t>(</w:t>
      </w:r>
      <w:r w:rsidRPr="00131B32">
        <w:rPr>
          <w:rFonts w:ascii="Times New Roman" w:hAnsi="Times New Roman"/>
          <w:szCs w:val="24"/>
        </w:rPr>
        <w:t>NAR</w:t>
      </w:r>
      <w:r w:rsidR="00381375">
        <w:rPr>
          <w:rFonts w:ascii="Times New Roman" w:hAnsi="Times New Roman"/>
          <w:szCs w:val="24"/>
        </w:rPr>
        <w:t>UC</w:t>
      </w:r>
      <w:r w:rsidR="00CE4C4F">
        <w:rPr>
          <w:rFonts w:ascii="Times New Roman" w:hAnsi="Times New Roman"/>
          <w:szCs w:val="24"/>
        </w:rPr>
        <w:t>)</w:t>
      </w:r>
      <w:r w:rsidR="00381375">
        <w:rPr>
          <w:rFonts w:ascii="Times New Roman" w:hAnsi="Times New Roman"/>
          <w:szCs w:val="24"/>
        </w:rPr>
        <w:t xml:space="preserve"> </w:t>
      </w:r>
      <w:r w:rsidR="00AE6C8E">
        <w:rPr>
          <w:rFonts w:ascii="Times New Roman" w:hAnsi="Times New Roman"/>
          <w:szCs w:val="24"/>
        </w:rPr>
        <w:t>Cost Allocation M</w:t>
      </w:r>
      <w:r w:rsidR="00381375">
        <w:rPr>
          <w:rFonts w:ascii="Times New Roman" w:hAnsi="Times New Roman"/>
          <w:szCs w:val="24"/>
        </w:rPr>
        <w:t>anual simply states</w:t>
      </w:r>
      <w:r w:rsidR="00AE6C8E">
        <w:rPr>
          <w:rFonts w:ascii="Times New Roman" w:hAnsi="Times New Roman"/>
          <w:szCs w:val="24"/>
        </w:rPr>
        <w:t xml:space="preserve">: </w:t>
      </w:r>
    </w:p>
    <w:p w:rsidR="001B0135" w:rsidRDefault="00AE6C8E" w:rsidP="001738B8">
      <w:pPr>
        <w:spacing w:line="240" w:lineRule="auto"/>
        <w:ind w:left="1440" w:firstLine="0"/>
        <w:rPr>
          <w:rFonts w:ascii="Times New Roman" w:hAnsi="Times New Roman"/>
        </w:rPr>
      </w:pPr>
      <w:r>
        <w:rPr>
          <w:rFonts w:ascii="Times New Roman" w:hAnsi="Times New Roman"/>
          <w:szCs w:val="24"/>
        </w:rPr>
        <w:t>A</w:t>
      </w:r>
      <w:r w:rsidR="001B0135" w:rsidRPr="00131B32">
        <w:rPr>
          <w:rFonts w:ascii="Times New Roman" w:hAnsi="Times New Roman"/>
        </w:rPr>
        <w:t>fter transmission costs are separated into appropriate</w:t>
      </w:r>
      <w:r w:rsidR="001B0135">
        <w:rPr>
          <w:rFonts w:ascii="Times New Roman" w:hAnsi="Times New Roman"/>
        </w:rPr>
        <w:t xml:space="preserve"> </w:t>
      </w:r>
      <w:r w:rsidR="001B0135" w:rsidRPr="00131B32">
        <w:rPr>
          <w:rFonts w:ascii="Times New Roman" w:hAnsi="Times New Roman"/>
        </w:rPr>
        <w:t>demand or energy allocation</w:t>
      </w:r>
      <w:r w:rsidR="001B0135">
        <w:rPr>
          <w:rFonts w:ascii="Times New Roman" w:hAnsi="Times New Roman"/>
        </w:rPr>
        <w:t xml:space="preserve"> c</w:t>
      </w:r>
      <w:r w:rsidR="001B0135" w:rsidRPr="00131B32">
        <w:rPr>
          <w:rFonts w:ascii="Times New Roman" w:hAnsi="Times New Roman"/>
        </w:rPr>
        <w:t>ategories, it is necessary</w:t>
      </w:r>
      <w:r w:rsidR="001B0135">
        <w:rPr>
          <w:rFonts w:ascii="Times New Roman" w:hAnsi="Times New Roman"/>
        </w:rPr>
        <w:t xml:space="preserve"> </w:t>
      </w:r>
      <w:r w:rsidR="001B0135" w:rsidRPr="00131B32">
        <w:rPr>
          <w:rFonts w:ascii="Times New Roman" w:hAnsi="Times New Roman"/>
        </w:rPr>
        <w:t>to then select a method of assigning cost allocation</w:t>
      </w:r>
      <w:r w:rsidR="001B0135">
        <w:rPr>
          <w:rFonts w:ascii="Times New Roman" w:hAnsi="Times New Roman"/>
        </w:rPr>
        <w:t xml:space="preserve"> </w:t>
      </w:r>
      <w:r w:rsidR="001B0135" w:rsidRPr="00131B32">
        <w:rPr>
          <w:rFonts w:ascii="Times New Roman" w:hAnsi="Times New Roman"/>
        </w:rPr>
        <w:t>responsibility to various customers. In general, customers</w:t>
      </w:r>
      <w:r w:rsidR="001B0135">
        <w:rPr>
          <w:rFonts w:ascii="Times New Roman" w:hAnsi="Times New Roman"/>
        </w:rPr>
        <w:t xml:space="preserve"> </w:t>
      </w:r>
      <w:r w:rsidR="001B0135" w:rsidRPr="00131B32">
        <w:rPr>
          <w:rFonts w:ascii="Times New Roman" w:hAnsi="Times New Roman"/>
        </w:rPr>
        <w:t>are allocated a portion of the fully distributed (embedded)</w:t>
      </w:r>
      <w:r w:rsidR="001B0135">
        <w:rPr>
          <w:rFonts w:ascii="Times New Roman" w:hAnsi="Times New Roman"/>
        </w:rPr>
        <w:t xml:space="preserve"> </w:t>
      </w:r>
      <w:r w:rsidR="001B0135" w:rsidRPr="00131B32">
        <w:rPr>
          <w:rFonts w:ascii="Times New Roman" w:hAnsi="Times New Roman"/>
        </w:rPr>
        <w:t>cost of the transmission system on a basis similar to the way production costs are allocated. The reason for this</w:t>
      </w:r>
      <w:r w:rsidR="001B0135">
        <w:rPr>
          <w:rFonts w:ascii="Times New Roman" w:hAnsi="Times New Roman"/>
        </w:rPr>
        <w:t xml:space="preserve"> </w:t>
      </w:r>
      <w:r w:rsidR="001B0135" w:rsidRPr="00131B32">
        <w:rPr>
          <w:rFonts w:ascii="Times New Roman" w:hAnsi="Times New Roman"/>
        </w:rPr>
        <w:t>is that the transmission system is essentially considered to</w:t>
      </w:r>
      <w:r w:rsidR="001B0135">
        <w:rPr>
          <w:rFonts w:ascii="Times New Roman" w:hAnsi="Times New Roman"/>
        </w:rPr>
        <w:t xml:space="preserve"> </w:t>
      </w:r>
      <w:r w:rsidR="001B0135" w:rsidRPr="00131B32">
        <w:rPr>
          <w:rFonts w:ascii="Times New Roman" w:hAnsi="Times New Roman"/>
        </w:rPr>
        <w:t>be an extension of the production system, where</w:t>
      </w:r>
      <w:r w:rsidR="00D326CB">
        <w:rPr>
          <w:rFonts w:ascii="Times New Roman" w:hAnsi="Times New Roman"/>
        </w:rPr>
        <w:t xml:space="preserve"> the</w:t>
      </w:r>
      <w:r w:rsidR="001B0135" w:rsidRPr="00131B32">
        <w:rPr>
          <w:rFonts w:ascii="Times New Roman" w:hAnsi="Times New Roman"/>
        </w:rPr>
        <w:t xml:space="preserve"> planning</w:t>
      </w:r>
      <w:r w:rsidR="001B0135">
        <w:rPr>
          <w:rFonts w:ascii="Times New Roman" w:hAnsi="Times New Roman"/>
        </w:rPr>
        <w:t xml:space="preserve"> </w:t>
      </w:r>
      <w:r w:rsidR="001B0135" w:rsidRPr="00131B32">
        <w:rPr>
          <w:rFonts w:ascii="Times New Roman" w:hAnsi="Times New Roman"/>
        </w:rPr>
        <w:t>and operation of one is inexorably linked to the other. Thus, the major factors that drive production costs, it is</w:t>
      </w:r>
      <w:r w:rsidR="001B0135">
        <w:rPr>
          <w:rFonts w:ascii="Times New Roman" w:hAnsi="Times New Roman"/>
        </w:rPr>
        <w:t xml:space="preserve"> </w:t>
      </w:r>
      <w:r w:rsidR="001B0135" w:rsidRPr="00131B32">
        <w:rPr>
          <w:rFonts w:ascii="Times New Roman" w:hAnsi="Times New Roman"/>
        </w:rPr>
        <w:t>argued, tend to drive transmission costs as well.</w:t>
      </w:r>
      <w:r w:rsidR="001B0135">
        <w:rPr>
          <w:rStyle w:val="FootnoteReference"/>
        </w:rPr>
        <w:footnoteReference w:id="9"/>
      </w:r>
    </w:p>
    <w:p w:rsidR="00131228" w:rsidRPr="00381375" w:rsidRDefault="00131228" w:rsidP="00CE4C4F">
      <w:pPr>
        <w:suppressLineNumbers/>
        <w:spacing w:line="240" w:lineRule="auto"/>
        <w:ind w:left="1440" w:firstLine="0"/>
        <w:rPr>
          <w:rFonts w:ascii="Times New Roman" w:hAnsi="Times New Roman"/>
          <w:szCs w:val="24"/>
        </w:rPr>
      </w:pPr>
    </w:p>
    <w:p w:rsidR="001B0135" w:rsidRPr="00131B32" w:rsidRDefault="001B0135" w:rsidP="001B0135">
      <w:pPr>
        <w:rPr>
          <w:rFonts w:ascii="Times New Roman" w:hAnsi="Times New Roman"/>
          <w:szCs w:val="24"/>
        </w:rPr>
      </w:pPr>
      <w:r w:rsidRPr="00131B32">
        <w:rPr>
          <w:rFonts w:ascii="Times New Roman" w:hAnsi="Times New Roman"/>
          <w:szCs w:val="24"/>
        </w:rPr>
        <w:tab/>
      </w:r>
      <w:r w:rsidRPr="00131B32">
        <w:rPr>
          <w:rFonts w:ascii="Times New Roman" w:hAnsi="Times New Roman"/>
          <w:szCs w:val="24"/>
        </w:rPr>
        <w:tab/>
        <w:t xml:space="preserve">Overall, when looking at the Company’s entire generation portfolio, I do agree that more </w:t>
      </w:r>
      <w:r>
        <w:rPr>
          <w:rFonts w:ascii="Times New Roman" w:hAnsi="Times New Roman"/>
          <w:szCs w:val="24"/>
        </w:rPr>
        <w:t>generation</w:t>
      </w:r>
      <w:r w:rsidRPr="00131B32">
        <w:rPr>
          <w:rFonts w:ascii="Times New Roman" w:hAnsi="Times New Roman"/>
          <w:szCs w:val="24"/>
        </w:rPr>
        <w:t xml:space="preserve"> costs could be classified as demand related as is evident by the capacity factors of all generation sources in Table 2</w:t>
      </w:r>
      <w:r w:rsidR="00D14DAF">
        <w:rPr>
          <w:rFonts w:ascii="Times New Roman" w:hAnsi="Times New Roman"/>
          <w:szCs w:val="24"/>
        </w:rPr>
        <w:t xml:space="preserve"> above</w:t>
      </w:r>
      <w:r w:rsidRPr="00131B32">
        <w:rPr>
          <w:rFonts w:ascii="Times New Roman" w:hAnsi="Times New Roman"/>
          <w:szCs w:val="24"/>
        </w:rPr>
        <w:t xml:space="preserve">. A 50/50 demand/energy split is supported by the fact that the overall capacity factor of generation resources included in the </w:t>
      </w:r>
      <w:r w:rsidR="0063335F">
        <w:rPr>
          <w:rFonts w:ascii="Times New Roman" w:hAnsi="Times New Roman"/>
          <w:szCs w:val="24"/>
        </w:rPr>
        <w:t>west control area</w:t>
      </w:r>
      <w:r w:rsidRPr="00131B32">
        <w:rPr>
          <w:rFonts w:ascii="Times New Roman" w:hAnsi="Times New Roman"/>
          <w:szCs w:val="24"/>
        </w:rPr>
        <w:t xml:space="preserve"> was approximately 51</w:t>
      </w:r>
      <w:r>
        <w:rPr>
          <w:rFonts w:ascii="Times New Roman" w:hAnsi="Times New Roman"/>
          <w:szCs w:val="24"/>
        </w:rPr>
        <w:t xml:space="preserve"> percent</w:t>
      </w:r>
      <w:r w:rsidRPr="00131B32">
        <w:rPr>
          <w:rFonts w:ascii="Times New Roman" w:hAnsi="Times New Roman"/>
          <w:szCs w:val="24"/>
        </w:rPr>
        <w:t xml:space="preserve"> for 2013. </w:t>
      </w:r>
    </w:p>
    <w:p w:rsidR="00131B32" w:rsidRPr="00131B32" w:rsidRDefault="00131B32" w:rsidP="00131B32">
      <w:pPr>
        <w:rPr>
          <w:rFonts w:ascii="Times New Roman" w:hAnsi="Times New Roman"/>
          <w:b/>
        </w:rPr>
      </w:pPr>
      <w:r w:rsidRPr="00131B32">
        <w:rPr>
          <w:rFonts w:ascii="Times New Roman" w:hAnsi="Times New Roman"/>
          <w:b/>
        </w:rPr>
        <w:t>Q.</w:t>
      </w:r>
      <w:r w:rsidRPr="00131B32">
        <w:rPr>
          <w:rFonts w:ascii="Times New Roman" w:hAnsi="Times New Roman"/>
          <w:b/>
        </w:rPr>
        <w:tab/>
        <w:t xml:space="preserve">Why does the Company </w:t>
      </w:r>
      <w:r w:rsidR="006549D9">
        <w:rPr>
          <w:rFonts w:ascii="Times New Roman" w:hAnsi="Times New Roman"/>
          <w:b/>
        </w:rPr>
        <w:t>use</w:t>
      </w:r>
      <w:r w:rsidR="006549D9" w:rsidRPr="00131B32">
        <w:rPr>
          <w:rFonts w:ascii="Times New Roman" w:hAnsi="Times New Roman"/>
          <w:b/>
        </w:rPr>
        <w:t xml:space="preserve"> </w:t>
      </w:r>
      <w:r w:rsidRPr="00131B32">
        <w:rPr>
          <w:rFonts w:ascii="Times New Roman" w:hAnsi="Times New Roman"/>
          <w:b/>
        </w:rPr>
        <w:t xml:space="preserve">100 summer and 100 winter peaks for allocating </w:t>
      </w:r>
      <w:r w:rsidR="006549D9">
        <w:rPr>
          <w:rFonts w:ascii="Times New Roman" w:hAnsi="Times New Roman"/>
          <w:b/>
        </w:rPr>
        <w:t xml:space="preserve">generation and transmission </w:t>
      </w:r>
      <w:r w:rsidRPr="00131B32">
        <w:rPr>
          <w:rFonts w:ascii="Times New Roman" w:hAnsi="Times New Roman"/>
          <w:b/>
        </w:rPr>
        <w:t>costs?</w:t>
      </w:r>
    </w:p>
    <w:p w:rsidR="00131B32" w:rsidRPr="00131B32" w:rsidRDefault="00131B32" w:rsidP="00131B32">
      <w:pPr>
        <w:rPr>
          <w:rFonts w:ascii="Times New Roman" w:hAnsi="Times New Roman"/>
        </w:rPr>
      </w:pPr>
      <w:r w:rsidRPr="00131B32">
        <w:rPr>
          <w:rFonts w:ascii="Times New Roman" w:hAnsi="Times New Roman"/>
        </w:rPr>
        <w:t>A.</w:t>
      </w:r>
      <w:r w:rsidRPr="00131B32">
        <w:rPr>
          <w:rFonts w:ascii="Times New Roman" w:hAnsi="Times New Roman"/>
        </w:rPr>
        <w:tab/>
        <w:t xml:space="preserve">Historically, the Commission has expressed a desire for a wider range of coincident peak hours for the allocation of </w:t>
      </w:r>
      <w:r w:rsidR="006549D9">
        <w:rPr>
          <w:rFonts w:ascii="Times New Roman" w:hAnsi="Times New Roman"/>
        </w:rPr>
        <w:t>these</w:t>
      </w:r>
      <w:r w:rsidRPr="00131B32">
        <w:rPr>
          <w:rFonts w:ascii="Times New Roman" w:hAnsi="Times New Roman"/>
        </w:rPr>
        <w:t xml:space="preserve"> costs. The Commission has stated:</w:t>
      </w:r>
    </w:p>
    <w:p w:rsidR="00131B32" w:rsidRPr="00131B32" w:rsidRDefault="00131B32" w:rsidP="00A82AD1">
      <w:pPr>
        <w:spacing w:line="240" w:lineRule="auto"/>
        <w:ind w:left="1440" w:firstLine="0"/>
        <w:contextualSpacing/>
        <w:rPr>
          <w:rFonts w:ascii="Times New Roman" w:hAnsi="Times New Roman"/>
        </w:rPr>
      </w:pPr>
      <w:r w:rsidRPr="00131B32">
        <w:rPr>
          <w:rFonts w:ascii="Times New Roman" w:hAnsi="Times New Roman"/>
        </w:rPr>
        <w:t>Generally, the proper period over which to allocate the demand-related costs of peaking resources is the hours when they are expected to be used. The 200 hour proposal by the company is reasonably representative of the system peak and the actual resources put into place to serve that peak.</w:t>
      </w:r>
      <w:r w:rsidRPr="00131B32">
        <w:rPr>
          <w:rFonts w:ascii="Times New Roman" w:hAnsi="Times New Roman"/>
          <w:szCs w:val="24"/>
          <w:vertAlign w:val="superscript"/>
        </w:rPr>
        <w:footnoteReference w:id="10"/>
      </w:r>
    </w:p>
    <w:p w:rsidR="00D14DAF" w:rsidRDefault="00D14DAF" w:rsidP="00CE4C4F">
      <w:pPr>
        <w:suppressLineNumbers/>
        <w:spacing w:line="240" w:lineRule="auto"/>
        <w:ind w:firstLine="720"/>
        <w:rPr>
          <w:rFonts w:ascii="Times New Roman" w:hAnsi="Times New Roman"/>
        </w:rPr>
      </w:pPr>
    </w:p>
    <w:p w:rsidR="00131B32" w:rsidRPr="00131B32" w:rsidRDefault="00131B32" w:rsidP="00131B32">
      <w:pPr>
        <w:ind w:firstLine="720"/>
        <w:rPr>
          <w:rFonts w:ascii="Times New Roman" w:hAnsi="Times New Roman"/>
        </w:rPr>
      </w:pPr>
      <w:r w:rsidRPr="00131B32">
        <w:rPr>
          <w:rFonts w:ascii="Times New Roman" w:hAnsi="Times New Roman"/>
        </w:rPr>
        <w:t xml:space="preserve">In Docket UE-100749, Industrial Customers of Northwest Utilities (ICNU) proposed </w:t>
      </w:r>
      <w:r w:rsidR="006549D9">
        <w:rPr>
          <w:rFonts w:ascii="Times New Roman" w:hAnsi="Times New Roman"/>
        </w:rPr>
        <w:t xml:space="preserve">using the coincident </w:t>
      </w:r>
      <w:r w:rsidRPr="00131B32">
        <w:rPr>
          <w:rFonts w:ascii="Times New Roman" w:hAnsi="Times New Roman"/>
        </w:rPr>
        <w:t xml:space="preserve">peaks </w:t>
      </w:r>
      <w:r w:rsidR="006549D9">
        <w:rPr>
          <w:rFonts w:ascii="Times New Roman" w:hAnsi="Times New Roman"/>
        </w:rPr>
        <w:t xml:space="preserve">that </w:t>
      </w:r>
      <w:r w:rsidRPr="00131B32">
        <w:rPr>
          <w:rFonts w:ascii="Times New Roman" w:hAnsi="Times New Roman"/>
        </w:rPr>
        <w:t>were within 5</w:t>
      </w:r>
      <w:r w:rsidR="006549D9">
        <w:rPr>
          <w:rFonts w:ascii="Times New Roman" w:hAnsi="Times New Roman"/>
        </w:rPr>
        <w:t xml:space="preserve"> percent</w:t>
      </w:r>
      <w:r w:rsidRPr="00131B32">
        <w:rPr>
          <w:rFonts w:ascii="Times New Roman" w:hAnsi="Times New Roman"/>
        </w:rPr>
        <w:t xml:space="preserve"> of the annual system peak. In its order, the Commission rejected this methodology by stating:</w:t>
      </w:r>
    </w:p>
    <w:p w:rsidR="00131B32" w:rsidRPr="00131B32" w:rsidRDefault="00131B32" w:rsidP="001B0135">
      <w:pPr>
        <w:spacing w:line="240" w:lineRule="auto"/>
        <w:ind w:left="1440" w:firstLine="0"/>
        <w:contextualSpacing/>
        <w:rPr>
          <w:rFonts w:ascii="Times New Roman" w:hAnsi="Times New Roman"/>
        </w:rPr>
      </w:pPr>
      <w:r w:rsidRPr="00131B32">
        <w:rPr>
          <w:rFonts w:ascii="Times New Roman" w:hAnsi="Times New Roman"/>
        </w:rPr>
        <w:t>As we have in</w:t>
      </w:r>
      <w:r w:rsidR="006549D9">
        <w:rPr>
          <w:rFonts w:ascii="Times New Roman" w:hAnsi="Times New Roman"/>
        </w:rPr>
        <w:t xml:space="preserve"> </w:t>
      </w:r>
      <w:r w:rsidRPr="00131B32">
        <w:rPr>
          <w:rFonts w:ascii="Times New Roman" w:hAnsi="Times New Roman"/>
        </w:rPr>
        <w:t>the past when presented with a precise</w:t>
      </w:r>
      <w:r w:rsidR="006549D9">
        <w:rPr>
          <w:rFonts w:ascii="Times New Roman" w:hAnsi="Times New Roman"/>
        </w:rPr>
        <w:t xml:space="preserve"> </w:t>
      </w:r>
      <w:r w:rsidRPr="00131B32">
        <w:rPr>
          <w:rFonts w:ascii="Times New Roman" w:hAnsi="Times New Roman"/>
        </w:rPr>
        <w:t xml:space="preserve">revision to peak demand, we conclude that this is too narrow a range. We agree with PacifiCorp that ICNU’s proposal could produce volatility in results depending on the test period. While it is reasonable to allocate </w:t>
      </w:r>
      <w:r w:rsidR="00D14DAF">
        <w:rPr>
          <w:rFonts w:ascii="Times New Roman" w:hAnsi="Times New Roman"/>
        </w:rPr>
        <w:t xml:space="preserve">the </w:t>
      </w:r>
      <w:r w:rsidRPr="00131B32">
        <w:rPr>
          <w:rFonts w:ascii="Times New Roman" w:hAnsi="Times New Roman"/>
        </w:rPr>
        <w:t>costs</w:t>
      </w:r>
      <w:r w:rsidR="006549D9">
        <w:rPr>
          <w:rFonts w:ascii="Times New Roman" w:hAnsi="Times New Roman"/>
        </w:rPr>
        <w:t xml:space="preserve"> </w:t>
      </w:r>
      <w:r w:rsidRPr="00131B32">
        <w:rPr>
          <w:rFonts w:ascii="Times New Roman" w:hAnsi="Times New Roman"/>
        </w:rPr>
        <w:t>of peaking resources based on the hours those resources will actually be used to serve load, the allocation method</w:t>
      </w:r>
      <w:r w:rsidR="006549D9">
        <w:rPr>
          <w:rFonts w:ascii="Times New Roman" w:hAnsi="Times New Roman"/>
        </w:rPr>
        <w:t xml:space="preserve"> </w:t>
      </w:r>
      <w:r w:rsidRPr="00131B32">
        <w:rPr>
          <w:rFonts w:ascii="Times New Roman" w:hAnsi="Times New Roman"/>
        </w:rPr>
        <w:t>should be flexible enough to incorporate the variable</w:t>
      </w:r>
      <w:r w:rsidR="006549D9">
        <w:rPr>
          <w:rFonts w:ascii="Times New Roman" w:hAnsi="Times New Roman"/>
        </w:rPr>
        <w:t xml:space="preserve"> </w:t>
      </w:r>
      <w:r w:rsidRPr="00131B32">
        <w:rPr>
          <w:rFonts w:ascii="Times New Roman" w:hAnsi="Times New Roman"/>
        </w:rPr>
        <w:t>peaks experienced in Washington. PacifiCorp experiences both a summer peak and a winter peak, and</w:t>
      </w:r>
      <w:r w:rsidR="006549D9">
        <w:rPr>
          <w:rFonts w:ascii="Times New Roman" w:hAnsi="Times New Roman"/>
        </w:rPr>
        <w:t xml:space="preserve"> </w:t>
      </w:r>
      <w:r w:rsidRPr="00131B32">
        <w:rPr>
          <w:rFonts w:ascii="Times New Roman" w:hAnsi="Times New Roman"/>
        </w:rPr>
        <w:t>its proposal to include 100 summer hours and 100 winter</w:t>
      </w:r>
      <w:r w:rsidR="006549D9">
        <w:rPr>
          <w:rFonts w:ascii="Times New Roman" w:hAnsi="Times New Roman"/>
        </w:rPr>
        <w:t xml:space="preserve"> </w:t>
      </w:r>
      <w:r w:rsidRPr="00131B32">
        <w:rPr>
          <w:rFonts w:ascii="Times New Roman" w:hAnsi="Times New Roman"/>
        </w:rPr>
        <w:t>hours to determine peak demand recognizes how resources</w:t>
      </w:r>
      <w:r w:rsidR="006549D9">
        <w:rPr>
          <w:rFonts w:ascii="Times New Roman" w:hAnsi="Times New Roman"/>
        </w:rPr>
        <w:t xml:space="preserve"> </w:t>
      </w:r>
      <w:r w:rsidRPr="00131B32">
        <w:rPr>
          <w:rFonts w:ascii="Times New Roman" w:hAnsi="Times New Roman"/>
        </w:rPr>
        <w:t>are used.</w:t>
      </w:r>
      <w:r w:rsidRPr="00131B32">
        <w:rPr>
          <w:rFonts w:ascii="Times New Roman" w:hAnsi="Times New Roman"/>
          <w:szCs w:val="24"/>
          <w:vertAlign w:val="superscript"/>
        </w:rPr>
        <w:footnoteReference w:id="11"/>
      </w:r>
    </w:p>
    <w:p w:rsidR="00131B32" w:rsidRPr="00131B32" w:rsidRDefault="00131B32" w:rsidP="00CE4C4F">
      <w:pPr>
        <w:suppressLineNumbers/>
        <w:spacing w:line="240" w:lineRule="auto"/>
        <w:ind w:firstLine="720"/>
        <w:contextualSpacing/>
        <w:rPr>
          <w:rFonts w:ascii="Times New Roman" w:hAnsi="Times New Roman"/>
        </w:rPr>
      </w:pPr>
    </w:p>
    <w:p w:rsidR="00131B32" w:rsidRPr="00131B32" w:rsidRDefault="00131B32" w:rsidP="00131B32">
      <w:pPr>
        <w:rPr>
          <w:rFonts w:ascii="Times New Roman" w:hAnsi="Times New Roman"/>
          <w:szCs w:val="24"/>
        </w:rPr>
      </w:pPr>
      <w:r w:rsidRPr="001B0135">
        <w:rPr>
          <w:rFonts w:ascii="Times New Roman" w:hAnsi="Times New Roman"/>
          <w:b/>
          <w:szCs w:val="24"/>
        </w:rPr>
        <w:t>Q.</w:t>
      </w:r>
      <w:r w:rsidRPr="001B0135">
        <w:rPr>
          <w:rFonts w:ascii="Times New Roman" w:hAnsi="Times New Roman"/>
          <w:b/>
          <w:szCs w:val="24"/>
        </w:rPr>
        <w:tab/>
      </w:r>
      <w:r w:rsidRPr="00131B32">
        <w:rPr>
          <w:rFonts w:ascii="Times New Roman" w:hAnsi="Times New Roman"/>
          <w:b/>
          <w:szCs w:val="24"/>
        </w:rPr>
        <w:t xml:space="preserve">Is the Company’s methodology similar to Boise’s </w:t>
      </w:r>
      <w:r w:rsidR="004A3289">
        <w:rPr>
          <w:rFonts w:ascii="Times New Roman" w:hAnsi="Times New Roman"/>
          <w:b/>
          <w:szCs w:val="24"/>
        </w:rPr>
        <w:t xml:space="preserve">four </w:t>
      </w:r>
      <w:r w:rsidRPr="00131B32">
        <w:rPr>
          <w:rFonts w:ascii="Times New Roman" w:hAnsi="Times New Roman"/>
          <w:b/>
          <w:szCs w:val="24"/>
        </w:rPr>
        <w:t>coincident peak methodology?</w:t>
      </w:r>
      <w:r w:rsidRPr="00131B32">
        <w:rPr>
          <w:rFonts w:ascii="Times New Roman" w:hAnsi="Times New Roman"/>
          <w:szCs w:val="24"/>
        </w:rPr>
        <w:tab/>
      </w:r>
      <w:r w:rsidRPr="00131B32">
        <w:rPr>
          <w:rFonts w:ascii="Times New Roman" w:hAnsi="Times New Roman"/>
          <w:szCs w:val="24"/>
        </w:rPr>
        <w:tab/>
      </w:r>
    </w:p>
    <w:p w:rsidR="00131B32" w:rsidRPr="00131B32" w:rsidRDefault="00131B32" w:rsidP="00131B32">
      <w:pPr>
        <w:rPr>
          <w:rFonts w:ascii="Times New Roman" w:hAnsi="Times New Roman"/>
          <w:szCs w:val="24"/>
        </w:rPr>
      </w:pPr>
      <w:r w:rsidRPr="00131B32">
        <w:rPr>
          <w:rFonts w:ascii="Times New Roman" w:hAnsi="Times New Roman"/>
          <w:szCs w:val="24"/>
        </w:rPr>
        <w:t>A.</w:t>
      </w:r>
      <w:r w:rsidRPr="00131B32">
        <w:rPr>
          <w:rFonts w:ascii="Times New Roman" w:hAnsi="Times New Roman"/>
          <w:szCs w:val="24"/>
        </w:rPr>
        <w:tab/>
        <w:t xml:space="preserve">The Company’s current methodology of allocating demand-related costs is similar to Boise’s proposal while wholly embracing the Commission’s desire for a wider range of peaks that represent a summer and winter peaking system. For instance, when taking a closer look at the 100 summer and 100 winter peaks, the Company currently </w:t>
      </w:r>
      <w:r w:rsidR="006549D9">
        <w:rPr>
          <w:rFonts w:ascii="Times New Roman" w:hAnsi="Times New Roman"/>
          <w:szCs w:val="24"/>
        </w:rPr>
        <w:t>uses</w:t>
      </w:r>
      <w:r w:rsidRPr="00131B32">
        <w:rPr>
          <w:rFonts w:ascii="Times New Roman" w:hAnsi="Times New Roman"/>
          <w:szCs w:val="24"/>
        </w:rPr>
        <w:t xml:space="preserve"> </w:t>
      </w:r>
      <w:r w:rsidR="006549D9">
        <w:rPr>
          <w:rFonts w:ascii="Times New Roman" w:hAnsi="Times New Roman"/>
          <w:szCs w:val="24"/>
        </w:rPr>
        <w:t>three</w:t>
      </w:r>
      <w:r w:rsidRPr="00131B32">
        <w:rPr>
          <w:rFonts w:ascii="Times New Roman" w:hAnsi="Times New Roman"/>
          <w:szCs w:val="24"/>
        </w:rPr>
        <w:t xml:space="preserve"> summer months and </w:t>
      </w:r>
      <w:r w:rsidR="006549D9">
        <w:rPr>
          <w:rFonts w:ascii="Times New Roman" w:hAnsi="Times New Roman"/>
          <w:szCs w:val="24"/>
        </w:rPr>
        <w:t>three</w:t>
      </w:r>
      <w:r w:rsidRPr="00131B32">
        <w:rPr>
          <w:rFonts w:ascii="Times New Roman" w:hAnsi="Times New Roman"/>
          <w:szCs w:val="24"/>
        </w:rPr>
        <w:t xml:space="preserve"> winter months for allocating demand-related costs. Table </w:t>
      </w:r>
      <w:r w:rsidR="002A07BA">
        <w:rPr>
          <w:rFonts w:ascii="Times New Roman" w:hAnsi="Times New Roman"/>
          <w:szCs w:val="24"/>
        </w:rPr>
        <w:t>6</w:t>
      </w:r>
      <w:r w:rsidRPr="00131B32">
        <w:rPr>
          <w:rFonts w:ascii="Times New Roman" w:hAnsi="Times New Roman"/>
          <w:szCs w:val="24"/>
        </w:rPr>
        <w:t xml:space="preserve"> illustrates that a large majority of the 200 peaks (191 out of 200) fall within July, August, December, and January, the same months proposed by Boise. </w:t>
      </w:r>
    </w:p>
    <w:p w:rsidR="00131B32" w:rsidRPr="00131B32" w:rsidRDefault="00131228" w:rsidP="00695CC6">
      <w:pPr>
        <w:suppressLineNumbers/>
        <w:jc w:val="center"/>
        <w:rPr>
          <w:rFonts w:ascii="Times New Roman" w:hAnsi="Times New Roman"/>
          <w:b/>
          <w:szCs w:val="24"/>
        </w:rPr>
      </w:pPr>
      <w:r w:rsidRPr="00131228">
        <w:rPr>
          <w:noProof/>
        </w:rPr>
        <w:drawing>
          <wp:inline distT="0" distB="0" distL="0" distR="0" wp14:anchorId="52D9CD10" wp14:editId="089CCC10">
            <wp:extent cx="1967230" cy="1882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230" cy="1882140"/>
                    </a:xfrm>
                    <a:prstGeom prst="rect">
                      <a:avLst/>
                    </a:prstGeom>
                    <a:noFill/>
                    <a:ln>
                      <a:noFill/>
                    </a:ln>
                  </pic:spPr>
                </pic:pic>
              </a:graphicData>
            </a:graphic>
          </wp:inline>
        </w:drawing>
      </w:r>
    </w:p>
    <w:p w:rsidR="00131B32" w:rsidRPr="00131B32" w:rsidRDefault="00131B32" w:rsidP="00131B32">
      <w:pPr>
        <w:rPr>
          <w:rFonts w:ascii="Times New Roman" w:hAnsi="Times New Roman"/>
          <w:b/>
          <w:szCs w:val="24"/>
        </w:rPr>
      </w:pPr>
      <w:r w:rsidRPr="00131B32">
        <w:rPr>
          <w:rFonts w:ascii="Times New Roman" w:hAnsi="Times New Roman"/>
          <w:b/>
          <w:szCs w:val="24"/>
        </w:rPr>
        <w:t>Q.</w:t>
      </w:r>
      <w:r w:rsidRPr="00131B32">
        <w:rPr>
          <w:rFonts w:ascii="Times New Roman" w:hAnsi="Times New Roman"/>
          <w:b/>
          <w:szCs w:val="24"/>
        </w:rPr>
        <w:tab/>
      </w:r>
      <w:r w:rsidR="00B740A2">
        <w:rPr>
          <w:rFonts w:ascii="Times New Roman" w:hAnsi="Times New Roman"/>
          <w:b/>
          <w:szCs w:val="24"/>
        </w:rPr>
        <w:t>Please summarize your position on COS.</w:t>
      </w:r>
    </w:p>
    <w:p w:rsidR="00B740A2" w:rsidRDefault="00131B32" w:rsidP="001B0135">
      <w:r w:rsidRPr="00131B32">
        <w:rPr>
          <w:rFonts w:ascii="Times New Roman" w:hAnsi="Times New Roman"/>
          <w:szCs w:val="24"/>
        </w:rPr>
        <w:t>A.</w:t>
      </w:r>
      <w:r w:rsidRPr="00131B32">
        <w:rPr>
          <w:rFonts w:ascii="Times New Roman" w:hAnsi="Times New Roman"/>
          <w:szCs w:val="24"/>
        </w:rPr>
        <w:tab/>
        <w:t xml:space="preserve">The Company’s primary objective </w:t>
      </w:r>
      <w:r w:rsidR="00B740A2">
        <w:rPr>
          <w:rFonts w:ascii="Times New Roman" w:hAnsi="Times New Roman"/>
          <w:szCs w:val="24"/>
        </w:rPr>
        <w:t xml:space="preserve">for </w:t>
      </w:r>
      <w:r w:rsidRPr="00131B32">
        <w:rPr>
          <w:rFonts w:ascii="Times New Roman" w:hAnsi="Times New Roman"/>
          <w:szCs w:val="24"/>
        </w:rPr>
        <w:t>COS is to</w:t>
      </w:r>
      <w:r w:rsidR="00B740A2">
        <w:rPr>
          <w:rFonts w:ascii="Times New Roman" w:hAnsi="Times New Roman"/>
          <w:szCs w:val="24"/>
        </w:rPr>
        <w:t xml:space="preserve"> find a balanced outcome between different competing methodologies and to achieve a sustainable approach that the Company will be able to apply consistently across the years in order to avoid </w:t>
      </w:r>
      <w:r w:rsidR="002A07BA">
        <w:rPr>
          <w:rFonts w:ascii="Times New Roman" w:hAnsi="Times New Roman"/>
          <w:szCs w:val="24"/>
        </w:rPr>
        <w:t xml:space="preserve">COS </w:t>
      </w:r>
      <w:r w:rsidR="001B0135">
        <w:rPr>
          <w:rFonts w:ascii="Times New Roman" w:hAnsi="Times New Roman"/>
          <w:szCs w:val="24"/>
        </w:rPr>
        <w:t>swings</w:t>
      </w:r>
      <w:r w:rsidR="00B740A2">
        <w:rPr>
          <w:rFonts w:ascii="Times New Roman" w:hAnsi="Times New Roman"/>
          <w:szCs w:val="24"/>
        </w:rPr>
        <w:t xml:space="preserve"> from case to case</w:t>
      </w:r>
      <w:r w:rsidRPr="00131B32">
        <w:rPr>
          <w:rFonts w:ascii="Times New Roman" w:hAnsi="Times New Roman"/>
          <w:szCs w:val="24"/>
        </w:rPr>
        <w:t xml:space="preserve">. </w:t>
      </w:r>
      <w:r w:rsidR="004A3289">
        <w:rPr>
          <w:rFonts w:ascii="Times New Roman" w:hAnsi="Times New Roman"/>
          <w:szCs w:val="24"/>
        </w:rPr>
        <w:t xml:space="preserve"> </w:t>
      </w:r>
      <w:r w:rsidRPr="00131B32">
        <w:rPr>
          <w:rFonts w:ascii="Times New Roman" w:hAnsi="Times New Roman"/>
          <w:szCs w:val="24"/>
        </w:rPr>
        <w:t xml:space="preserve">A number of methodologies may be considered when assigning cost to different rate classes. Some methodologies will benefit some customer classes while other methodologies will benefit others. </w:t>
      </w:r>
      <w:r w:rsidR="004A3289">
        <w:rPr>
          <w:rFonts w:ascii="Times New Roman" w:hAnsi="Times New Roman"/>
          <w:szCs w:val="24"/>
        </w:rPr>
        <w:t xml:space="preserve"> </w:t>
      </w:r>
      <w:r w:rsidR="00B740A2">
        <w:rPr>
          <w:rFonts w:ascii="Times New Roman" w:hAnsi="Times New Roman"/>
          <w:szCs w:val="24"/>
        </w:rPr>
        <w:t>In light of these considerations, t</w:t>
      </w:r>
      <w:r w:rsidRPr="00131B32">
        <w:rPr>
          <w:rFonts w:ascii="Times New Roman" w:hAnsi="Times New Roman"/>
          <w:szCs w:val="24"/>
        </w:rPr>
        <w:t xml:space="preserve">he Company believes </w:t>
      </w:r>
      <w:r w:rsidR="00B740A2">
        <w:rPr>
          <w:rFonts w:ascii="Times New Roman" w:hAnsi="Times New Roman"/>
          <w:szCs w:val="24"/>
        </w:rPr>
        <w:t>it’s</w:t>
      </w:r>
      <w:r w:rsidRPr="00131B32">
        <w:rPr>
          <w:rFonts w:ascii="Times New Roman" w:hAnsi="Times New Roman"/>
          <w:szCs w:val="24"/>
        </w:rPr>
        <w:t xml:space="preserve"> COS study fairly assigns cost </w:t>
      </w:r>
      <w:r w:rsidR="00B740A2">
        <w:rPr>
          <w:rFonts w:ascii="Times New Roman" w:hAnsi="Times New Roman"/>
          <w:szCs w:val="24"/>
        </w:rPr>
        <w:t>and achieves balanced results</w:t>
      </w:r>
      <w:r w:rsidRPr="00131B32">
        <w:rPr>
          <w:rFonts w:ascii="Times New Roman" w:hAnsi="Times New Roman"/>
          <w:szCs w:val="24"/>
        </w:rPr>
        <w:t>.</w:t>
      </w:r>
      <w:r w:rsidR="00B740A2">
        <w:rPr>
          <w:rFonts w:ascii="Times New Roman" w:hAnsi="Times New Roman"/>
          <w:szCs w:val="24"/>
        </w:rPr>
        <w:t xml:space="preserve"> </w:t>
      </w:r>
    </w:p>
    <w:p w:rsidR="002921E2" w:rsidRPr="00CE4C4F" w:rsidRDefault="00CE4C4F" w:rsidP="00815C1B">
      <w:pPr>
        <w:pStyle w:val="Heading1"/>
      </w:pPr>
      <w:bookmarkStart w:id="5" w:name="_Toc403654571"/>
      <w:r w:rsidRPr="00CE4C4F">
        <w:t>RATE SPREAD</w:t>
      </w:r>
      <w:bookmarkEnd w:id="5"/>
    </w:p>
    <w:p w:rsidR="00096E15" w:rsidRPr="00FC7D77" w:rsidRDefault="00096E15" w:rsidP="00096E15">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Pr>
          <w:rFonts w:ascii="Times New Roman" w:hAnsi="Times New Roman"/>
          <w:b/>
        </w:rPr>
        <w:t>Based on the rebuttal revenue requirement filed in this case, w</w:t>
      </w:r>
      <w:r w:rsidRPr="00FC7D77">
        <w:rPr>
          <w:rFonts w:ascii="Times New Roman" w:hAnsi="Times New Roman"/>
          <w:b/>
        </w:rPr>
        <w:t>hat is the Company’s rate spread proposal?</w:t>
      </w:r>
    </w:p>
    <w:p w:rsidR="00AB392B" w:rsidRPr="00AB392B" w:rsidRDefault="00096E15" w:rsidP="00AB392B">
      <w:pPr>
        <w:widowControl w:val="0"/>
        <w:tabs>
          <w:tab w:val="left" w:pos="0"/>
        </w:tabs>
        <w:suppressAutoHyphens/>
        <w:rPr>
          <w:rFonts w:ascii="Times New Roman" w:hAnsi="Times New Roman"/>
          <w:bCs/>
          <w:szCs w:val="24"/>
        </w:rPr>
      </w:pPr>
      <w:r w:rsidRPr="00FC7D77">
        <w:rPr>
          <w:rFonts w:ascii="Times New Roman" w:hAnsi="Times New Roman"/>
        </w:rPr>
        <w:t>A.</w:t>
      </w:r>
      <w:r w:rsidRPr="00FC7D77">
        <w:rPr>
          <w:rFonts w:ascii="Times New Roman" w:hAnsi="Times New Roman"/>
          <w:b/>
        </w:rPr>
        <w:tab/>
      </w:r>
      <w:r>
        <w:rPr>
          <w:rFonts w:ascii="Times New Roman" w:hAnsi="Times New Roman"/>
        </w:rPr>
        <w:t xml:space="preserve">After reviewing the range of positions on COS results, the Company makes no change to the proposed rate spread methodology </w:t>
      </w:r>
      <w:r w:rsidR="00AB392B">
        <w:rPr>
          <w:rFonts w:ascii="Times New Roman" w:hAnsi="Times New Roman"/>
        </w:rPr>
        <w:t xml:space="preserve">as filed </w:t>
      </w:r>
      <w:r>
        <w:rPr>
          <w:rFonts w:ascii="Times New Roman" w:hAnsi="Times New Roman"/>
        </w:rPr>
        <w:t>in my direct testimony</w:t>
      </w:r>
      <w:r w:rsidR="00B740A2">
        <w:rPr>
          <w:rFonts w:ascii="Times New Roman" w:hAnsi="Times New Roman"/>
        </w:rPr>
        <w:t xml:space="preserve">. </w:t>
      </w:r>
      <w:r w:rsidR="00AE6C8E" w:rsidRPr="005A070C">
        <w:rPr>
          <w:rFonts w:ascii="Times New Roman" w:hAnsi="Times New Roman"/>
          <w:bCs/>
          <w:szCs w:val="24"/>
        </w:rPr>
        <w:t>Specifically, the Company propos</w:t>
      </w:r>
      <w:r w:rsidR="00AE6C8E">
        <w:rPr>
          <w:rFonts w:ascii="Times New Roman" w:hAnsi="Times New Roman"/>
          <w:bCs/>
          <w:szCs w:val="24"/>
        </w:rPr>
        <w:t>es</w:t>
      </w:r>
      <w:r w:rsidR="00AE6C8E" w:rsidRPr="005A070C">
        <w:rPr>
          <w:rFonts w:ascii="Times New Roman" w:hAnsi="Times New Roman"/>
          <w:bCs/>
          <w:szCs w:val="24"/>
        </w:rPr>
        <w:t xml:space="preserve"> to</w:t>
      </w:r>
      <w:r w:rsidR="00AE6C8E">
        <w:rPr>
          <w:rFonts w:ascii="Times New Roman" w:hAnsi="Times New Roman"/>
          <w:bCs/>
          <w:szCs w:val="24"/>
        </w:rPr>
        <w:t>:</w:t>
      </w:r>
      <w:r w:rsidR="00AE6C8E" w:rsidRPr="005A070C">
        <w:rPr>
          <w:rFonts w:ascii="Times New Roman" w:hAnsi="Times New Roman"/>
          <w:bCs/>
          <w:szCs w:val="24"/>
        </w:rPr>
        <w:t xml:space="preserve"> </w:t>
      </w:r>
      <w:r w:rsidR="000846CE">
        <w:rPr>
          <w:rFonts w:ascii="Times New Roman" w:hAnsi="Times New Roman"/>
          <w:bCs/>
          <w:szCs w:val="24"/>
        </w:rPr>
        <w:t xml:space="preserve"> </w:t>
      </w:r>
      <w:r w:rsidR="00AE6C8E">
        <w:rPr>
          <w:rFonts w:ascii="Times New Roman" w:hAnsi="Times New Roman"/>
          <w:bCs/>
          <w:szCs w:val="24"/>
        </w:rPr>
        <w:t xml:space="preserve">(1) </w:t>
      </w:r>
      <w:r w:rsidR="00AE6C8E" w:rsidRPr="005A070C">
        <w:rPr>
          <w:rFonts w:ascii="Times New Roman" w:hAnsi="Times New Roman"/>
          <w:bCs/>
          <w:szCs w:val="24"/>
        </w:rPr>
        <w:t>allocate</w:t>
      </w:r>
      <w:r w:rsidR="00AE6C8E">
        <w:rPr>
          <w:rFonts w:ascii="Times New Roman" w:hAnsi="Times New Roman"/>
          <w:bCs/>
          <w:szCs w:val="24"/>
        </w:rPr>
        <w:t xml:space="preserve"> an increase based on one-half of the overall increase to the schedules that the cost of service study indicates require a significantly smaller revenue increase (Schedules 24, 40, and lighting schedules); </w:t>
      </w:r>
      <w:r w:rsidR="000846CE">
        <w:rPr>
          <w:rFonts w:ascii="Times New Roman" w:hAnsi="Times New Roman"/>
          <w:bCs/>
          <w:szCs w:val="24"/>
        </w:rPr>
        <w:t xml:space="preserve">and </w:t>
      </w:r>
      <w:r w:rsidR="00AE6C8E">
        <w:rPr>
          <w:rFonts w:ascii="Times New Roman" w:hAnsi="Times New Roman"/>
          <w:bCs/>
          <w:szCs w:val="24"/>
        </w:rPr>
        <w:t>(2) the remaining increase is then spread equally to the rest of the rate schedules.</w:t>
      </w:r>
      <w:r w:rsidR="00B740A2">
        <w:rPr>
          <w:rFonts w:ascii="Times New Roman" w:hAnsi="Times New Roman"/>
        </w:rPr>
        <w:t xml:space="preserve"> </w:t>
      </w:r>
      <w:r w:rsidR="0029756E">
        <w:rPr>
          <w:rFonts w:ascii="Times New Roman" w:hAnsi="Times New Roman"/>
          <w:bCs/>
          <w:szCs w:val="24"/>
        </w:rPr>
        <w:t xml:space="preserve"> </w:t>
      </w:r>
      <w:r w:rsidR="00AB392B" w:rsidRPr="00AB392B">
        <w:rPr>
          <w:rFonts w:ascii="Times New Roman" w:hAnsi="Times New Roman"/>
          <w:bCs/>
          <w:szCs w:val="24"/>
        </w:rPr>
        <w:t>Exhibit No</w:t>
      </w:r>
      <w:r w:rsidR="00B8281F" w:rsidRPr="00B8281F">
        <w:rPr>
          <w:rFonts w:ascii="Times New Roman" w:hAnsi="Times New Roman"/>
          <w:szCs w:val="24"/>
        </w:rPr>
        <w:t>.</w:t>
      </w:r>
      <w:r w:rsidR="000846CE">
        <w:rPr>
          <w:rFonts w:ascii="Times New Roman" w:hAnsi="Times New Roman"/>
          <w:szCs w:val="24"/>
        </w:rPr>
        <w:t xml:space="preserve"> </w:t>
      </w:r>
      <w:r w:rsidR="00AB392B" w:rsidRPr="00AB392B">
        <w:rPr>
          <w:rFonts w:ascii="Times New Roman" w:hAnsi="Times New Roman"/>
          <w:bCs/>
          <w:szCs w:val="24"/>
        </w:rPr>
        <w:t>JRS-</w:t>
      </w:r>
      <w:r w:rsidR="000846CE">
        <w:rPr>
          <w:rFonts w:ascii="Times New Roman" w:hAnsi="Times New Roman"/>
          <w:bCs/>
          <w:szCs w:val="24"/>
        </w:rPr>
        <w:t>16</w:t>
      </w:r>
      <w:r w:rsidR="00AB392B" w:rsidRPr="00AB392B">
        <w:rPr>
          <w:rFonts w:ascii="Times New Roman" w:hAnsi="Times New Roman"/>
          <w:bCs/>
          <w:szCs w:val="24"/>
        </w:rPr>
        <w:t>, Table A (page 1), shows the effect of the proposed rebuttal base rate increase</w:t>
      </w:r>
      <w:r w:rsidR="00AB392B">
        <w:rPr>
          <w:rFonts w:ascii="Times New Roman" w:hAnsi="Times New Roman"/>
          <w:bCs/>
          <w:szCs w:val="24"/>
        </w:rPr>
        <w:t xml:space="preserve"> of $31.9 million</w:t>
      </w:r>
      <w:r w:rsidR="00AB392B" w:rsidRPr="00AB392B">
        <w:rPr>
          <w:rFonts w:ascii="Times New Roman" w:hAnsi="Times New Roman"/>
          <w:bCs/>
          <w:szCs w:val="24"/>
        </w:rPr>
        <w:t>.  Table B (page 2), shows the effect of</w:t>
      </w:r>
      <w:r w:rsidR="00AE6C8E">
        <w:rPr>
          <w:rFonts w:ascii="Times New Roman" w:hAnsi="Times New Roman"/>
          <w:bCs/>
          <w:szCs w:val="24"/>
        </w:rPr>
        <w:t xml:space="preserve"> updated deferral costs of $5.</w:t>
      </w:r>
      <w:r w:rsidR="00E90DAE">
        <w:rPr>
          <w:rFonts w:ascii="Times New Roman" w:hAnsi="Times New Roman"/>
          <w:bCs/>
          <w:szCs w:val="24"/>
        </w:rPr>
        <w:t>9</w:t>
      </w:r>
      <w:r w:rsidR="00AE6C8E">
        <w:rPr>
          <w:rFonts w:ascii="Times New Roman" w:hAnsi="Times New Roman"/>
          <w:bCs/>
          <w:szCs w:val="24"/>
        </w:rPr>
        <w:t xml:space="preserve"> million discussed in Ms. Siores’s rebuttal testimony, which the Company proposes to recover through Schedule 92, Deferral Adjustment</w:t>
      </w:r>
      <w:r w:rsidR="00AB392B" w:rsidRPr="00AB392B">
        <w:rPr>
          <w:rFonts w:ascii="Times New Roman" w:hAnsi="Times New Roman"/>
          <w:bCs/>
          <w:szCs w:val="24"/>
        </w:rPr>
        <w:t>.  Table C (page 3), shows the combined effects of the requested rebuttal base revenue increase and the amortization of the rebuttal deferrals in Schedule 92.</w:t>
      </w:r>
      <w:r w:rsidR="00AB392B">
        <w:rPr>
          <w:rFonts w:ascii="Times New Roman" w:hAnsi="Times New Roman"/>
          <w:bCs/>
          <w:szCs w:val="24"/>
        </w:rPr>
        <w:t xml:space="preserve"> </w:t>
      </w:r>
    </w:p>
    <w:p w:rsidR="00096E15" w:rsidRDefault="004A3289" w:rsidP="00A82AD1">
      <w:pPr>
        <w:tabs>
          <w:tab w:val="left" w:pos="0"/>
        </w:tabs>
        <w:suppressAutoHyphens/>
        <w:rPr>
          <w:rFonts w:ascii="Times New Roman" w:hAnsi="Times New Roman"/>
          <w:bCs/>
          <w:szCs w:val="24"/>
        </w:rPr>
      </w:pPr>
      <w:r>
        <w:rPr>
          <w:rFonts w:ascii="Times New Roman" w:hAnsi="Times New Roman"/>
        </w:rPr>
        <w:tab/>
      </w:r>
      <w:r>
        <w:rPr>
          <w:rFonts w:ascii="Times New Roman" w:hAnsi="Times New Roman"/>
        </w:rPr>
        <w:tab/>
      </w:r>
      <w:r w:rsidR="00096E15">
        <w:rPr>
          <w:rFonts w:ascii="Times New Roman" w:hAnsi="Times New Roman"/>
          <w:szCs w:val="24"/>
        </w:rPr>
        <w:t>As discussed above, in light of the range of positions on COS results, the Company continues to believe the proposed rate spread reasonably balances the interests of all parties as well as the cost of service.  Public Counsel generally supported the Company’s proposed rate spread.</w:t>
      </w:r>
      <w:r w:rsidR="0029756E">
        <w:rPr>
          <w:rFonts w:ascii="Times New Roman" w:hAnsi="Times New Roman"/>
          <w:szCs w:val="24"/>
        </w:rPr>
        <w:t xml:space="preserve"> </w:t>
      </w:r>
      <w:r w:rsidR="00096E15">
        <w:rPr>
          <w:rFonts w:ascii="Times New Roman" w:hAnsi="Times New Roman"/>
          <w:szCs w:val="24"/>
        </w:rPr>
        <w:tab/>
      </w:r>
      <w:r w:rsidR="0029756E">
        <w:rPr>
          <w:rFonts w:ascii="Times New Roman" w:hAnsi="Times New Roman"/>
          <w:szCs w:val="24"/>
        </w:rPr>
        <w:tab/>
      </w:r>
    </w:p>
    <w:p w:rsidR="00096E15" w:rsidRPr="00FC7D77" w:rsidRDefault="00096E15" w:rsidP="00096E15">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sidR="0029756E">
        <w:rPr>
          <w:rFonts w:ascii="Times New Roman" w:hAnsi="Times New Roman"/>
          <w:b/>
        </w:rPr>
        <w:t>Staff</w:t>
      </w:r>
      <w:r>
        <w:rPr>
          <w:rFonts w:ascii="Times New Roman" w:hAnsi="Times New Roman"/>
          <w:b/>
        </w:rPr>
        <w:t>,</w:t>
      </w:r>
      <w:r w:rsidR="0029756E">
        <w:rPr>
          <w:rFonts w:ascii="Times New Roman" w:hAnsi="Times New Roman"/>
          <w:b/>
        </w:rPr>
        <w:t xml:space="preserve"> Boise, and Wal-Mart </w:t>
      </w:r>
      <w:r>
        <w:rPr>
          <w:rFonts w:ascii="Times New Roman" w:hAnsi="Times New Roman"/>
          <w:b/>
        </w:rPr>
        <w:t xml:space="preserve">propose modifications to the Company’s rate spread proposal.  Please respond. </w:t>
      </w:r>
    </w:p>
    <w:p w:rsidR="001E1117" w:rsidRDefault="00096E15" w:rsidP="00743B34">
      <w:pPr>
        <w:widowControl w:val="0"/>
        <w:tabs>
          <w:tab w:val="left" w:pos="0"/>
        </w:tabs>
        <w:suppressAutoHyphens/>
        <w:rPr>
          <w:rFonts w:ascii="Times New Roman" w:hAnsi="Times New Roman"/>
        </w:rPr>
      </w:pPr>
      <w:r w:rsidRPr="00FC7D77">
        <w:rPr>
          <w:rFonts w:ascii="Times New Roman" w:hAnsi="Times New Roman"/>
        </w:rPr>
        <w:t>A.</w:t>
      </w:r>
      <w:r w:rsidRPr="00FC7D77">
        <w:rPr>
          <w:rFonts w:ascii="Times New Roman" w:hAnsi="Times New Roman"/>
          <w:b/>
        </w:rPr>
        <w:tab/>
      </w:r>
      <w:r w:rsidR="0029756E">
        <w:rPr>
          <w:rFonts w:ascii="Times New Roman" w:hAnsi="Times New Roman"/>
        </w:rPr>
        <w:t xml:space="preserve">Table </w:t>
      </w:r>
      <w:r w:rsidR="00A207E6">
        <w:rPr>
          <w:rFonts w:ascii="Times New Roman" w:hAnsi="Times New Roman"/>
        </w:rPr>
        <w:t>7</w:t>
      </w:r>
      <w:r w:rsidR="0029756E">
        <w:rPr>
          <w:rFonts w:ascii="Times New Roman" w:hAnsi="Times New Roman"/>
        </w:rPr>
        <w:t xml:space="preserve"> shows each party’s proposed increase by rate schedule as a percent of the overall increase.  </w:t>
      </w:r>
    </w:p>
    <w:p w:rsidR="00131228" w:rsidRDefault="001E1117" w:rsidP="00CE4C4F">
      <w:pPr>
        <w:widowControl w:val="0"/>
        <w:suppressLineNumbers/>
        <w:tabs>
          <w:tab w:val="left" w:pos="0"/>
        </w:tabs>
        <w:suppressAutoHyphens/>
        <w:ind w:left="0" w:firstLine="0"/>
        <w:rPr>
          <w:rFonts w:ascii="Times New Roman" w:hAnsi="Times New Roman"/>
          <w:b/>
        </w:rPr>
      </w:pPr>
      <w:r w:rsidRPr="001E1117">
        <w:rPr>
          <w:noProof/>
        </w:rPr>
        <w:drawing>
          <wp:inline distT="0" distB="0" distL="0" distR="0" wp14:anchorId="024D2ED9" wp14:editId="660AF4AD">
            <wp:extent cx="5978322" cy="245913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0930" cy="2460208"/>
                    </a:xfrm>
                    <a:prstGeom prst="rect">
                      <a:avLst/>
                    </a:prstGeom>
                    <a:noFill/>
                    <a:ln>
                      <a:noFill/>
                    </a:ln>
                  </pic:spPr>
                </pic:pic>
              </a:graphicData>
            </a:graphic>
          </wp:inline>
        </w:drawing>
      </w:r>
    </w:p>
    <w:p w:rsidR="0029756E" w:rsidRDefault="00131228" w:rsidP="00096E15">
      <w:pPr>
        <w:widowControl w:val="0"/>
        <w:tabs>
          <w:tab w:val="left" w:pos="0"/>
        </w:tabs>
        <w:suppressAutoHyphens/>
        <w:rPr>
          <w:rFonts w:ascii="Times New Roman" w:hAnsi="Times New Roman"/>
        </w:rPr>
      </w:pPr>
      <w:r>
        <w:rPr>
          <w:rFonts w:ascii="Times New Roman" w:hAnsi="Times New Roman"/>
        </w:rPr>
        <w:tab/>
      </w:r>
      <w:r>
        <w:rPr>
          <w:rFonts w:ascii="Times New Roman" w:hAnsi="Times New Roman"/>
        </w:rPr>
        <w:tab/>
      </w:r>
      <w:r w:rsidR="0029756E">
        <w:rPr>
          <w:rFonts w:ascii="Times New Roman" w:hAnsi="Times New Roman"/>
        </w:rPr>
        <w:t xml:space="preserve">Staff </w:t>
      </w:r>
      <w:r w:rsidR="00096E15">
        <w:rPr>
          <w:rFonts w:ascii="Times New Roman" w:hAnsi="Times New Roman"/>
        </w:rPr>
        <w:t xml:space="preserve">proposes a rate spread based on each rate schedule’s relative proportion to COS, or parity ratio.  Similar to the Company, </w:t>
      </w:r>
      <w:r w:rsidR="0029756E">
        <w:rPr>
          <w:rFonts w:ascii="Times New Roman" w:hAnsi="Times New Roman"/>
        </w:rPr>
        <w:t>Staff</w:t>
      </w:r>
      <w:r w:rsidR="00096E15">
        <w:rPr>
          <w:rFonts w:ascii="Times New Roman" w:hAnsi="Times New Roman"/>
        </w:rPr>
        <w:t xml:space="preserve"> proposes higher increases to the schedules that are below COS</w:t>
      </w:r>
      <w:r w:rsidR="0029756E">
        <w:rPr>
          <w:rFonts w:ascii="Times New Roman" w:hAnsi="Times New Roman"/>
        </w:rPr>
        <w:t xml:space="preserve"> and</w:t>
      </w:r>
      <w:r w:rsidR="00096E15">
        <w:rPr>
          <w:rFonts w:ascii="Times New Roman" w:hAnsi="Times New Roman"/>
        </w:rPr>
        <w:t xml:space="preserve"> a smaller increase to general service</w:t>
      </w:r>
      <w:r w:rsidR="0029756E">
        <w:rPr>
          <w:rFonts w:ascii="Times New Roman" w:hAnsi="Times New Roman"/>
        </w:rPr>
        <w:t>, however, Staff proposes</w:t>
      </w:r>
      <w:r w:rsidR="00096E15">
        <w:rPr>
          <w:rFonts w:ascii="Times New Roman" w:hAnsi="Times New Roman"/>
        </w:rPr>
        <w:t xml:space="preserve"> no increase to small general service, agricultural pumping and street lighting schedules.</w:t>
      </w:r>
      <w:r w:rsidR="00096E15" w:rsidRPr="00863E02">
        <w:rPr>
          <w:rStyle w:val="FootnoteReference"/>
        </w:rPr>
        <w:footnoteReference w:id="12"/>
      </w:r>
      <w:r w:rsidR="00096E15">
        <w:rPr>
          <w:rFonts w:ascii="Times New Roman" w:hAnsi="Times New Roman"/>
        </w:rPr>
        <w:t xml:space="preserve">  </w:t>
      </w:r>
      <w:r w:rsidR="0029756E">
        <w:rPr>
          <w:rFonts w:ascii="Times New Roman" w:hAnsi="Times New Roman"/>
        </w:rPr>
        <w:t>Staff’s proposal</w:t>
      </w:r>
      <w:r w:rsidR="00096E15">
        <w:rPr>
          <w:rFonts w:ascii="Times New Roman" w:hAnsi="Times New Roman"/>
        </w:rPr>
        <w:t xml:space="preserve"> attempts to move all schedules to within five percent of parity,</w:t>
      </w:r>
      <w:r w:rsidR="00096E15">
        <w:rPr>
          <w:rStyle w:val="FootnoteReference"/>
        </w:rPr>
        <w:footnoteReference w:id="13"/>
      </w:r>
      <w:r w:rsidR="00096E15">
        <w:rPr>
          <w:rFonts w:ascii="Times New Roman" w:hAnsi="Times New Roman"/>
        </w:rPr>
        <w:t xml:space="preserve"> whereas the Company’s proposal made more moderate movements to COS for all rate schedules.  </w:t>
      </w:r>
    </w:p>
    <w:p w:rsidR="0029756E" w:rsidRDefault="0029756E" w:rsidP="00A82AD1">
      <w:pPr>
        <w:tabs>
          <w:tab w:val="left" w:pos="0"/>
        </w:tabs>
        <w:suppressAutoHyphens/>
        <w:rPr>
          <w:rFonts w:ascii="Times New Roman" w:hAnsi="Times New Roman"/>
        </w:rPr>
      </w:pPr>
      <w:r>
        <w:rPr>
          <w:rFonts w:ascii="Times New Roman" w:hAnsi="Times New Roman"/>
        </w:rPr>
        <w:tab/>
      </w:r>
      <w:r>
        <w:rPr>
          <w:rFonts w:ascii="Times New Roman" w:hAnsi="Times New Roman"/>
        </w:rPr>
        <w:tab/>
        <w:t xml:space="preserve">Boise </w:t>
      </w:r>
      <w:r w:rsidR="00096E15">
        <w:rPr>
          <w:rFonts w:ascii="Times New Roman" w:hAnsi="Times New Roman"/>
        </w:rPr>
        <w:t>propose</w:t>
      </w:r>
      <w:r>
        <w:rPr>
          <w:rFonts w:ascii="Times New Roman" w:hAnsi="Times New Roman"/>
        </w:rPr>
        <w:t>s</w:t>
      </w:r>
      <w:r w:rsidR="00096E15">
        <w:rPr>
          <w:rFonts w:ascii="Times New Roman" w:hAnsi="Times New Roman"/>
        </w:rPr>
        <w:t xml:space="preserve"> no rate schedule receive an increase greater than 1.12 times the overall average</w:t>
      </w:r>
      <w:r>
        <w:rPr>
          <w:rFonts w:ascii="Times New Roman" w:hAnsi="Times New Roman"/>
        </w:rPr>
        <w:t xml:space="preserve">, which </w:t>
      </w:r>
      <w:r w:rsidR="00096E15">
        <w:rPr>
          <w:rFonts w:ascii="Times New Roman" w:hAnsi="Times New Roman"/>
        </w:rPr>
        <w:t>result</w:t>
      </w:r>
      <w:r>
        <w:rPr>
          <w:rFonts w:ascii="Times New Roman" w:hAnsi="Times New Roman"/>
        </w:rPr>
        <w:t xml:space="preserve">s </w:t>
      </w:r>
      <w:r w:rsidR="00096E15">
        <w:rPr>
          <w:rFonts w:ascii="Times New Roman" w:hAnsi="Times New Roman"/>
        </w:rPr>
        <w:t>in an increase equal to the Company</w:t>
      </w:r>
      <w:r>
        <w:rPr>
          <w:rFonts w:ascii="Times New Roman" w:hAnsi="Times New Roman"/>
        </w:rPr>
        <w:t>’s</w:t>
      </w:r>
      <w:r w:rsidR="00096E15">
        <w:rPr>
          <w:rFonts w:ascii="Times New Roman" w:hAnsi="Times New Roman"/>
        </w:rPr>
        <w:t xml:space="preserve"> for the residential and large general service rate schedules. The residual increase would be allocated to the other schedules based on their </w:t>
      </w:r>
      <w:r w:rsidR="00AE6C8E">
        <w:rPr>
          <w:rFonts w:ascii="Times New Roman" w:hAnsi="Times New Roman"/>
        </w:rPr>
        <w:t xml:space="preserve">relative parity to </w:t>
      </w:r>
      <w:r w:rsidR="00096E15">
        <w:rPr>
          <w:rFonts w:ascii="Times New Roman" w:hAnsi="Times New Roman"/>
        </w:rPr>
        <w:t xml:space="preserve">COS. </w:t>
      </w:r>
      <w:r>
        <w:rPr>
          <w:rFonts w:ascii="Times New Roman" w:hAnsi="Times New Roman"/>
        </w:rPr>
        <w:t xml:space="preserve">  </w:t>
      </w:r>
    </w:p>
    <w:p w:rsidR="00096E15" w:rsidRDefault="0029756E" w:rsidP="00CE4C4F">
      <w:pPr>
        <w:widowControl w:val="0"/>
        <w:tabs>
          <w:tab w:val="left" w:pos="0"/>
        </w:tabs>
        <w:suppressAutoHyphens/>
        <w:rPr>
          <w:rFonts w:ascii="Times New Roman" w:hAnsi="Times New Roman"/>
        </w:rPr>
      </w:pPr>
      <w:r>
        <w:rPr>
          <w:rFonts w:ascii="Times New Roman" w:hAnsi="Times New Roman"/>
        </w:rPr>
        <w:tab/>
      </w:r>
      <w:r>
        <w:rPr>
          <w:rFonts w:ascii="Times New Roman" w:hAnsi="Times New Roman"/>
        </w:rPr>
        <w:tab/>
        <w:t xml:space="preserve">Wal-Mart </w:t>
      </w:r>
      <w:r w:rsidR="00096E15">
        <w:rPr>
          <w:rFonts w:ascii="Times New Roman" w:hAnsi="Times New Roman"/>
        </w:rPr>
        <w:t xml:space="preserve">proposes the same increase to residential and Schedule 48 Dedicated Facilities with the residual allocated to all other rate schedules based on their </w:t>
      </w:r>
      <w:r w:rsidR="00AE6C8E">
        <w:rPr>
          <w:rFonts w:ascii="Times New Roman" w:hAnsi="Times New Roman"/>
        </w:rPr>
        <w:t xml:space="preserve">relative parity to </w:t>
      </w:r>
      <w:r w:rsidR="00096E15">
        <w:rPr>
          <w:rFonts w:ascii="Times New Roman" w:hAnsi="Times New Roman"/>
        </w:rPr>
        <w:t>COS.</w:t>
      </w:r>
    </w:p>
    <w:p w:rsidR="00096E15" w:rsidRDefault="0029756E" w:rsidP="00CE4C4F">
      <w:pPr>
        <w:widowControl w:val="0"/>
        <w:tabs>
          <w:tab w:val="left" w:pos="0"/>
        </w:tabs>
        <w:suppressAutoHyphens/>
        <w:rPr>
          <w:rFonts w:ascii="Times New Roman" w:hAnsi="Times New Roman"/>
          <w:szCs w:val="24"/>
        </w:rPr>
      </w:pPr>
      <w:r w:rsidRPr="001B0135">
        <w:rPr>
          <w:rFonts w:ascii="Times New Roman" w:hAnsi="Times New Roman"/>
          <w:b/>
        </w:rPr>
        <w:tab/>
      </w:r>
      <w:r w:rsidRPr="001B0135">
        <w:rPr>
          <w:rFonts w:ascii="Times New Roman" w:hAnsi="Times New Roman"/>
          <w:b/>
        </w:rPr>
        <w:tab/>
      </w:r>
      <w:r w:rsidR="00096E15">
        <w:rPr>
          <w:rFonts w:ascii="Times New Roman" w:hAnsi="Times New Roman"/>
          <w:szCs w:val="24"/>
        </w:rPr>
        <w:t xml:space="preserve">In light of the parties’ proposals, the Company’s proposed rate spread is a reasonable compromise that makes movement to COS for all rate schedules. </w:t>
      </w:r>
    </w:p>
    <w:p w:rsidR="00781994" w:rsidRDefault="00CE4C4F" w:rsidP="00815C1B">
      <w:pPr>
        <w:pStyle w:val="Heading1"/>
      </w:pPr>
      <w:bookmarkStart w:id="6" w:name="_Toc403654572"/>
      <w:bookmarkEnd w:id="3"/>
      <w:bookmarkEnd w:id="4"/>
      <w:r>
        <w:t>RATE UNBUNDLING</w:t>
      </w:r>
      <w:bookmarkEnd w:id="6"/>
    </w:p>
    <w:p w:rsidR="007B6530" w:rsidRDefault="007B6530" w:rsidP="007B6530">
      <w:pPr>
        <w:numPr>
          <w:ilvl w:val="0"/>
          <w:numId w:val="18"/>
        </w:numPr>
        <w:rPr>
          <w:rFonts w:ascii="Times New Roman" w:hAnsi="Times New Roman"/>
          <w:b/>
          <w:szCs w:val="24"/>
        </w:rPr>
      </w:pPr>
      <w:r>
        <w:rPr>
          <w:rFonts w:ascii="Times New Roman" w:hAnsi="Times New Roman"/>
          <w:b/>
          <w:szCs w:val="24"/>
        </w:rPr>
        <w:t xml:space="preserve">In your direct testimony the Company proposed to unbundle rates by function when developing rates.  </w:t>
      </w:r>
      <w:r w:rsidR="00110625">
        <w:rPr>
          <w:rFonts w:ascii="Times New Roman" w:hAnsi="Times New Roman"/>
          <w:b/>
          <w:szCs w:val="24"/>
        </w:rPr>
        <w:t xml:space="preserve">Did </w:t>
      </w:r>
      <w:r>
        <w:rPr>
          <w:rFonts w:ascii="Times New Roman" w:hAnsi="Times New Roman"/>
          <w:b/>
          <w:szCs w:val="24"/>
        </w:rPr>
        <w:t>the Company prepare unbundled rates for this rebuttal filing as well?</w:t>
      </w:r>
    </w:p>
    <w:p w:rsidR="00110625" w:rsidRDefault="007B6530" w:rsidP="00A82AD1">
      <w:pPr>
        <w:pStyle w:val="ListParagraph"/>
        <w:numPr>
          <w:ilvl w:val="0"/>
          <w:numId w:val="34"/>
        </w:numPr>
        <w:ind w:left="720" w:hanging="720"/>
        <w:rPr>
          <w:rFonts w:ascii="Times New Roman" w:hAnsi="Times New Roman"/>
          <w:szCs w:val="24"/>
        </w:rPr>
      </w:pPr>
      <w:r w:rsidRPr="00110625">
        <w:rPr>
          <w:rFonts w:ascii="Times New Roman" w:hAnsi="Times New Roman"/>
          <w:szCs w:val="24"/>
        </w:rPr>
        <w:t>Yes.  As explained in my direct testimony, the Company proposes to unbundle rates by function—generation, transmission, and distribution—in the tariff</w:t>
      </w:r>
      <w:r w:rsidR="00110625">
        <w:rPr>
          <w:rFonts w:ascii="Times New Roman" w:hAnsi="Times New Roman"/>
          <w:szCs w:val="24"/>
        </w:rPr>
        <w:t xml:space="preserve"> and has used the same approach for the updated proposed rates in this rebuttal filing</w:t>
      </w:r>
      <w:r w:rsidRPr="00110625">
        <w:rPr>
          <w:rFonts w:ascii="Times New Roman" w:hAnsi="Times New Roman"/>
          <w:szCs w:val="24"/>
        </w:rPr>
        <w:t xml:space="preserve">.  </w:t>
      </w:r>
      <w:r w:rsidR="00110625">
        <w:rPr>
          <w:rFonts w:ascii="Times New Roman" w:hAnsi="Times New Roman"/>
          <w:szCs w:val="24"/>
        </w:rPr>
        <w:t xml:space="preserve">Unbundling provides for greater transparency between </w:t>
      </w:r>
      <w:r w:rsidR="004A3289">
        <w:rPr>
          <w:rFonts w:ascii="Times New Roman" w:hAnsi="Times New Roman"/>
          <w:szCs w:val="24"/>
        </w:rPr>
        <w:t>COS</w:t>
      </w:r>
      <w:r w:rsidR="00110625">
        <w:rPr>
          <w:rFonts w:ascii="Times New Roman" w:hAnsi="Times New Roman"/>
          <w:szCs w:val="24"/>
        </w:rPr>
        <w:t xml:space="preserve"> and rate design.  No party appears to oppose how the Company proposed to unbundle rates, although no party other than Wal-Mart remarked on it in testimony.  Wal-Mart supports the Company’s proposal to unbundle rates and reflect the unbundled rates in the tariff; however, Wal-Mart recommends that the Commission require the Company to reflect the unbundled rates in customer bills</w:t>
      </w:r>
      <w:r w:rsidR="00625D42">
        <w:rPr>
          <w:rFonts w:ascii="Times New Roman" w:hAnsi="Times New Roman"/>
          <w:szCs w:val="24"/>
        </w:rPr>
        <w:t xml:space="preserve"> or set a timeframe for the Company to implement the changes required to do so</w:t>
      </w:r>
      <w:r w:rsidR="00110625">
        <w:rPr>
          <w:rFonts w:ascii="Times New Roman" w:hAnsi="Times New Roman"/>
          <w:szCs w:val="24"/>
        </w:rPr>
        <w:t>.</w:t>
      </w:r>
      <w:r w:rsidR="00110625">
        <w:rPr>
          <w:rStyle w:val="FootnoteReference"/>
          <w:szCs w:val="24"/>
        </w:rPr>
        <w:footnoteReference w:id="14"/>
      </w:r>
      <w:r w:rsidR="00110625">
        <w:rPr>
          <w:rFonts w:ascii="Times New Roman" w:hAnsi="Times New Roman"/>
          <w:szCs w:val="24"/>
        </w:rPr>
        <w:t xml:space="preserve"> </w:t>
      </w:r>
    </w:p>
    <w:p w:rsidR="00110625" w:rsidRPr="00FC7D77" w:rsidRDefault="00110625" w:rsidP="00110625">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sidR="00625D42">
        <w:rPr>
          <w:rFonts w:ascii="Times New Roman" w:hAnsi="Times New Roman"/>
          <w:b/>
        </w:rPr>
        <w:t>What is the Company’s response to Wal-Mart’s proposal to show the unbundled rates on customer bills?</w:t>
      </w:r>
      <w:r>
        <w:rPr>
          <w:rFonts w:ascii="Times New Roman" w:hAnsi="Times New Roman"/>
          <w:b/>
        </w:rPr>
        <w:t xml:space="preserve"> </w:t>
      </w:r>
    </w:p>
    <w:p w:rsidR="00CA62A5" w:rsidRDefault="00110625" w:rsidP="000A5A66">
      <w:pPr>
        <w:rPr>
          <w:rFonts w:ascii="Times New Roman" w:hAnsi="Times New Roman"/>
        </w:rPr>
      </w:pPr>
      <w:r w:rsidRPr="00FC7D77">
        <w:rPr>
          <w:rFonts w:ascii="Times New Roman" w:hAnsi="Times New Roman"/>
        </w:rPr>
        <w:t>A.</w:t>
      </w:r>
      <w:r w:rsidRPr="00FC7D77">
        <w:rPr>
          <w:rFonts w:ascii="Times New Roman" w:hAnsi="Times New Roman"/>
          <w:b/>
        </w:rPr>
        <w:tab/>
      </w:r>
      <w:r w:rsidR="00F0768C">
        <w:rPr>
          <w:rFonts w:ascii="Times New Roman" w:hAnsi="Times New Roman"/>
        </w:rPr>
        <w:t>The Company supports increased transparency in rates</w:t>
      </w:r>
      <w:r w:rsidR="00077177">
        <w:rPr>
          <w:rFonts w:ascii="Times New Roman" w:hAnsi="Times New Roman"/>
        </w:rPr>
        <w:t xml:space="preserve"> and accordingly is willing to work with parties to add greater cost transparency on bills</w:t>
      </w:r>
      <w:r w:rsidR="00F9675D">
        <w:rPr>
          <w:rFonts w:ascii="Times New Roman" w:hAnsi="Times New Roman"/>
        </w:rPr>
        <w:t xml:space="preserve"> for non-residential customers</w:t>
      </w:r>
      <w:r w:rsidR="00077177">
        <w:rPr>
          <w:rFonts w:ascii="Times New Roman" w:hAnsi="Times New Roman"/>
        </w:rPr>
        <w:t xml:space="preserve"> through unbundled rates.  </w:t>
      </w:r>
      <w:r w:rsidR="00F9675D">
        <w:rPr>
          <w:rFonts w:ascii="Times New Roman" w:hAnsi="Times New Roman"/>
        </w:rPr>
        <w:t xml:space="preserve">For residential customer bills, it will be important to incorporate customer education prior to </w:t>
      </w:r>
      <w:r w:rsidR="00751F0B">
        <w:rPr>
          <w:rFonts w:ascii="Times New Roman" w:hAnsi="Times New Roman"/>
        </w:rPr>
        <w:t>making changes on the bills in order to minimize customer confusion</w:t>
      </w:r>
      <w:r w:rsidR="00F9675D">
        <w:rPr>
          <w:rFonts w:ascii="Times New Roman" w:hAnsi="Times New Roman"/>
        </w:rPr>
        <w:t>.</w:t>
      </w:r>
      <w:r w:rsidR="00751F0B">
        <w:rPr>
          <w:rFonts w:ascii="Times New Roman" w:hAnsi="Times New Roman"/>
        </w:rPr>
        <w:t xml:space="preserve">  As such, any roll out in reflecting unbundled rates on bills</w:t>
      </w:r>
      <w:r w:rsidR="00115BEB">
        <w:rPr>
          <w:rFonts w:ascii="Times New Roman" w:hAnsi="Times New Roman"/>
        </w:rPr>
        <w:t xml:space="preserve"> will</w:t>
      </w:r>
      <w:r w:rsidR="00751F0B">
        <w:rPr>
          <w:rFonts w:ascii="Times New Roman" w:hAnsi="Times New Roman"/>
        </w:rPr>
        <w:t xml:space="preserve"> need to be staggered between residential and non-residential customer bill</w:t>
      </w:r>
      <w:r w:rsidR="009C0DF6">
        <w:rPr>
          <w:rFonts w:ascii="Times New Roman" w:hAnsi="Times New Roman"/>
        </w:rPr>
        <w:t>s.</w:t>
      </w:r>
    </w:p>
    <w:p w:rsidR="0029756E" w:rsidRPr="00FC7D77" w:rsidRDefault="0029756E" w:rsidP="0029756E">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Pr>
          <w:rFonts w:ascii="Times New Roman" w:hAnsi="Times New Roman"/>
          <w:b/>
        </w:rPr>
        <w:t xml:space="preserve">Is the Company proposing any other tariff changes from its initial filing for the unbundled rates? </w:t>
      </w:r>
    </w:p>
    <w:p w:rsidR="0029756E" w:rsidRPr="0029756E" w:rsidRDefault="0029756E" w:rsidP="0029756E">
      <w:r w:rsidRPr="00FC7D77">
        <w:rPr>
          <w:rFonts w:ascii="Times New Roman" w:hAnsi="Times New Roman"/>
        </w:rPr>
        <w:t>A.</w:t>
      </w:r>
      <w:r w:rsidRPr="00FC7D77">
        <w:rPr>
          <w:rFonts w:ascii="Times New Roman" w:hAnsi="Times New Roman"/>
          <w:b/>
        </w:rPr>
        <w:tab/>
      </w:r>
      <w:r>
        <w:rPr>
          <w:rFonts w:ascii="Times New Roman" w:hAnsi="Times New Roman"/>
        </w:rPr>
        <w:t xml:space="preserve">Based on a comment made by a customer at the public hearings, the Company will modify the tariff pages that show the </w:t>
      </w:r>
      <w:r w:rsidR="004D3B2C">
        <w:rPr>
          <w:rFonts w:ascii="Times New Roman" w:hAnsi="Times New Roman"/>
        </w:rPr>
        <w:t xml:space="preserve">unbundled rates to spell out the acronym NPC, or net power costs, or otherwise define the term on the tariff pages. The Company agrees with the customer’s comment that this cost element can </w:t>
      </w:r>
      <w:r w:rsidR="001B0135">
        <w:rPr>
          <w:rFonts w:ascii="Times New Roman" w:hAnsi="Times New Roman"/>
        </w:rPr>
        <w:t xml:space="preserve">be </w:t>
      </w:r>
      <w:r w:rsidR="004D3B2C">
        <w:rPr>
          <w:rFonts w:ascii="Times New Roman" w:hAnsi="Times New Roman"/>
        </w:rPr>
        <w:t xml:space="preserve">articulated in a better manner on the tariff page. </w:t>
      </w:r>
    </w:p>
    <w:p w:rsidR="002921E2" w:rsidRDefault="00FC6C8C" w:rsidP="00815C1B">
      <w:pPr>
        <w:pStyle w:val="Heading1"/>
      </w:pPr>
      <w:bookmarkStart w:id="7" w:name="_Toc403654573"/>
      <w:r w:rsidRPr="00FC7D77">
        <w:t xml:space="preserve">RESIDENTIAL </w:t>
      </w:r>
      <w:r>
        <w:t>RATE DESIGN</w:t>
      </w:r>
      <w:bookmarkEnd w:id="7"/>
    </w:p>
    <w:p w:rsidR="004E73CB" w:rsidRPr="00BF76E5" w:rsidRDefault="004E73CB" w:rsidP="004E73CB">
      <w:pPr>
        <w:autoSpaceDE w:val="0"/>
        <w:autoSpaceDN w:val="0"/>
        <w:adjustRightInd w:val="0"/>
        <w:ind w:left="0" w:firstLine="0"/>
        <w:rPr>
          <w:rFonts w:ascii="Times New Roman" w:hAnsi="Times New Roman"/>
          <w:szCs w:val="24"/>
        </w:rPr>
      </w:pPr>
      <w:r w:rsidRPr="00BF76E5">
        <w:rPr>
          <w:rFonts w:ascii="Times New Roman" w:hAnsi="Times New Roman"/>
          <w:b/>
          <w:szCs w:val="24"/>
        </w:rPr>
        <w:t xml:space="preserve">Q. </w:t>
      </w:r>
      <w:r>
        <w:rPr>
          <w:rFonts w:ascii="Times New Roman" w:hAnsi="Times New Roman"/>
          <w:b/>
          <w:szCs w:val="24"/>
        </w:rPr>
        <w:tab/>
      </w:r>
      <w:r w:rsidRPr="00BF76E5">
        <w:rPr>
          <w:rFonts w:ascii="Times New Roman" w:hAnsi="Times New Roman"/>
          <w:b/>
          <w:szCs w:val="24"/>
        </w:rPr>
        <w:t>Please summarize Staff’s proposed residential rate design.</w:t>
      </w:r>
    </w:p>
    <w:p w:rsidR="004E73CB" w:rsidRPr="00BF76E5" w:rsidRDefault="004E73CB" w:rsidP="004E73CB">
      <w:pPr>
        <w:autoSpaceDE w:val="0"/>
        <w:autoSpaceDN w:val="0"/>
        <w:adjustRightInd w:val="0"/>
        <w:rPr>
          <w:rFonts w:ascii="Times New Roman" w:hAnsi="Times New Roman"/>
          <w:szCs w:val="24"/>
        </w:rPr>
      </w:pPr>
      <w:r w:rsidRPr="00BF76E5">
        <w:rPr>
          <w:rFonts w:ascii="Times New Roman" w:hAnsi="Times New Roman"/>
          <w:szCs w:val="24"/>
        </w:rPr>
        <w:t>A.</w:t>
      </w:r>
      <w:r>
        <w:rPr>
          <w:rFonts w:ascii="Times New Roman" w:hAnsi="Times New Roman"/>
          <w:szCs w:val="24"/>
        </w:rPr>
        <w:tab/>
      </w:r>
      <w:r w:rsidRPr="00BF76E5">
        <w:rPr>
          <w:rFonts w:ascii="Times New Roman" w:hAnsi="Times New Roman"/>
          <w:szCs w:val="24"/>
        </w:rPr>
        <w:t xml:space="preserve">Staff proposes to increase the monthly residential basic charge from $7.75 to $13.00.  The remainder of the allocated increase will be recovered through the energy charges.  Staff proposes modifying the inverted </w:t>
      </w:r>
      <w:r w:rsidR="001B0135">
        <w:rPr>
          <w:rFonts w:ascii="Times New Roman" w:hAnsi="Times New Roman"/>
          <w:szCs w:val="24"/>
        </w:rPr>
        <w:t xml:space="preserve">block </w:t>
      </w:r>
      <w:r w:rsidRPr="00BF76E5">
        <w:rPr>
          <w:rFonts w:ascii="Times New Roman" w:hAnsi="Times New Roman"/>
          <w:szCs w:val="24"/>
        </w:rPr>
        <w:t xml:space="preserve">energy charges by increasing the size of </w:t>
      </w:r>
      <w:r w:rsidR="00E425EF">
        <w:rPr>
          <w:rFonts w:ascii="Times New Roman" w:hAnsi="Times New Roman"/>
          <w:szCs w:val="24"/>
        </w:rPr>
        <w:t xml:space="preserve">the first </w:t>
      </w:r>
      <w:r>
        <w:rPr>
          <w:rFonts w:ascii="Times New Roman" w:hAnsi="Times New Roman"/>
          <w:szCs w:val="24"/>
        </w:rPr>
        <w:t>b</w:t>
      </w:r>
      <w:r w:rsidRPr="00BF76E5">
        <w:rPr>
          <w:rFonts w:ascii="Times New Roman" w:hAnsi="Times New Roman"/>
          <w:szCs w:val="24"/>
        </w:rPr>
        <w:t xml:space="preserve">lock from 600 to 800 </w:t>
      </w:r>
      <w:r w:rsidR="00CE4C4F">
        <w:rPr>
          <w:rFonts w:ascii="Times New Roman" w:hAnsi="Times New Roman"/>
          <w:szCs w:val="24"/>
        </w:rPr>
        <w:t>kilowatt hour (</w:t>
      </w:r>
      <w:r w:rsidRPr="00BF76E5">
        <w:rPr>
          <w:rFonts w:ascii="Times New Roman" w:hAnsi="Times New Roman"/>
          <w:szCs w:val="24"/>
        </w:rPr>
        <w:t>kWh</w:t>
      </w:r>
      <w:r w:rsidR="00CE4C4F">
        <w:rPr>
          <w:rFonts w:ascii="Times New Roman" w:hAnsi="Times New Roman"/>
          <w:szCs w:val="24"/>
        </w:rPr>
        <w:t>)</w:t>
      </w:r>
      <w:r w:rsidRPr="00BF76E5">
        <w:rPr>
          <w:rFonts w:ascii="Times New Roman" w:hAnsi="Times New Roman"/>
          <w:szCs w:val="24"/>
        </w:rPr>
        <w:t xml:space="preserve">, </w:t>
      </w:r>
      <w:r w:rsidR="00E425EF">
        <w:rPr>
          <w:rFonts w:ascii="Times New Roman" w:hAnsi="Times New Roman"/>
          <w:szCs w:val="24"/>
        </w:rPr>
        <w:t xml:space="preserve">setting a second </w:t>
      </w:r>
      <w:r w:rsidRPr="00BF76E5">
        <w:rPr>
          <w:rFonts w:ascii="Times New Roman" w:hAnsi="Times New Roman"/>
          <w:szCs w:val="24"/>
        </w:rPr>
        <w:t>block from 801-1</w:t>
      </w:r>
      <w:r w:rsidR="00AE6C8E">
        <w:rPr>
          <w:rFonts w:ascii="Times New Roman" w:hAnsi="Times New Roman"/>
          <w:szCs w:val="24"/>
        </w:rPr>
        <w:t>,</w:t>
      </w:r>
      <w:r w:rsidRPr="00BF76E5">
        <w:rPr>
          <w:rFonts w:ascii="Times New Roman" w:hAnsi="Times New Roman"/>
          <w:szCs w:val="24"/>
        </w:rPr>
        <w:t xml:space="preserve">700 kWh and adding a third block for kWh </w:t>
      </w:r>
      <w:r w:rsidR="00E425EF">
        <w:rPr>
          <w:rFonts w:ascii="Times New Roman" w:hAnsi="Times New Roman"/>
          <w:szCs w:val="24"/>
        </w:rPr>
        <w:t xml:space="preserve">usage over </w:t>
      </w:r>
      <w:r w:rsidRPr="00BF76E5">
        <w:rPr>
          <w:rFonts w:ascii="Times New Roman" w:hAnsi="Times New Roman"/>
          <w:szCs w:val="24"/>
        </w:rPr>
        <w:t>1</w:t>
      </w:r>
      <w:r w:rsidR="00AE6C8E">
        <w:rPr>
          <w:rFonts w:ascii="Times New Roman" w:hAnsi="Times New Roman"/>
          <w:szCs w:val="24"/>
        </w:rPr>
        <w:t>,</w:t>
      </w:r>
      <w:r w:rsidRPr="00BF76E5">
        <w:rPr>
          <w:rFonts w:ascii="Times New Roman" w:hAnsi="Times New Roman"/>
          <w:szCs w:val="24"/>
        </w:rPr>
        <w:t xml:space="preserve">701.  The current residential block structure consists of two blocks: one for the first 600 kWh and the second for all additional kWh. </w:t>
      </w:r>
    </w:p>
    <w:p w:rsidR="004E73CB" w:rsidRPr="00BF76E5" w:rsidRDefault="004E73CB" w:rsidP="004E73CB">
      <w:pPr>
        <w:autoSpaceDE w:val="0"/>
        <w:autoSpaceDN w:val="0"/>
        <w:adjustRightInd w:val="0"/>
        <w:rPr>
          <w:rFonts w:ascii="Times New Roman" w:hAnsi="Times New Roman"/>
          <w:b/>
          <w:szCs w:val="24"/>
        </w:rPr>
      </w:pPr>
      <w:r w:rsidRPr="00BF76E5">
        <w:rPr>
          <w:rFonts w:ascii="Times New Roman" w:hAnsi="Times New Roman"/>
          <w:b/>
          <w:szCs w:val="24"/>
        </w:rPr>
        <w:t>Q.</w:t>
      </w:r>
      <w:r>
        <w:rPr>
          <w:rFonts w:ascii="Times New Roman" w:hAnsi="Times New Roman"/>
          <w:b/>
          <w:szCs w:val="24"/>
        </w:rPr>
        <w:tab/>
      </w:r>
      <w:r w:rsidRPr="00BF76E5">
        <w:rPr>
          <w:rFonts w:ascii="Times New Roman" w:hAnsi="Times New Roman"/>
          <w:b/>
          <w:szCs w:val="24"/>
        </w:rPr>
        <w:t xml:space="preserve"> Please summarize Public Counsel</w:t>
      </w:r>
      <w:r w:rsidR="00AE6C8E">
        <w:rPr>
          <w:rFonts w:ascii="Times New Roman" w:hAnsi="Times New Roman"/>
          <w:b/>
          <w:szCs w:val="24"/>
        </w:rPr>
        <w:t>’s</w:t>
      </w:r>
      <w:r w:rsidRPr="00BF76E5">
        <w:rPr>
          <w:rFonts w:ascii="Times New Roman" w:hAnsi="Times New Roman"/>
          <w:b/>
          <w:szCs w:val="24"/>
        </w:rPr>
        <w:t xml:space="preserve">, </w:t>
      </w:r>
      <w:r w:rsidR="00AE6C8E">
        <w:rPr>
          <w:rFonts w:ascii="Times New Roman" w:hAnsi="Times New Roman"/>
          <w:b/>
          <w:szCs w:val="24"/>
        </w:rPr>
        <w:t>t</w:t>
      </w:r>
      <w:r w:rsidRPr="00BF76E5">
        <w:rPr>
          <w:rFonts w:ascii="Times New Roman" w:hAnsi="Times New Roman"/>
          <w:b/>
          <w:szCs w:val="24"/>
        </w:rPr>
        <w:t>he Energy Project</w:t>
      </w:r>
      <w:r w:rsidR="00AE6C8E">
        <w:rPr>
          <w:rFonts w:ascii="Times New Roman" w:hAnsi="Times New Roman"/>
          <w:b/>
          <w:szCs w:val="24"/>
        </w:rPr>
        <w:t>’s,</w:t>
      </w:r>
      <w:r w:rsidRPr="00BF76E5">
        <w:rPr>
          <w:rFonts w:ascii="Times New Roman" w:hAnsi="Times New Roman"/>
          <w:b/>
          <w:szCs w:val="24"/>
        </w:rPr>
        <w:t xml:space="preserve"> and TASC’s proposed residential rate designs.</w:t>
      </w:r>
    </w:p>
    <w:p w:rsidR="004E73CB" w:rsidRDefault="004E73CB" w:rsidP="004E73CB">
      <w:pPr>
        <w:autoSpaceDE w:val="0"/>
        <w:autoSpaceDN w:val="0"/>
        <w:adjustRightInd w:val="0"/>
        <w:rPr>
          <w:rFonts w:ascii="Times New Roman" w:hAnsi="Times New Roman"/>
          <w:b/>
          <w:szCs w:val="24"/>
        </w:rPr>
      </w:pPr>
      <w:r w:rsidRPr="00BF76E5">
        <w:rPr>
          <w:rFonts w:ascii="Times New Roman" w:hAnsi="Times New Roman"/>
          <w:szCs w:val="24"/>
        </w:rPr>
        <w:t xml:space="preserve">A. </w:t>
      </w:r>
      <w:r>
        <w:rPr>
          <w:rFonts w:ascii="Times New Roman" w:hAnsi="Times New Roman"/>
          <w:szCs w:val="24"/>
        </w:rPr>
        <w:tab/>
      </w:r>
      <w:r w:rsidRPr="00BF76E5">
        <w:rPr>
          <w:rFonts w:ascii="Times New Roman" w:hAnsi="Times New Roman"/>
          <w:szCs w:val="24"/>
        </w:rPr>
        <w:t xml:space="preserve">Public Counsel and </w:t>
      </w:r>
      <w:r w:rsidR="00AE6C8E">
        <w:rPr>
          <w:rFonts w:ascii="Times New Roman" w:hAnsi="Times New Roman"/>
          <w:szCs w:val="24"/>
        </w:rPr>
        <w:t>t</w:t>
      </w:r>
      <w:r w:rsidRPr="00BF76E5">
        <w:rPr>
          <w:rFonts w:ascii="Times New Roman" w:hAnsi="Times New Roman"/>
          <w:szCs w:val="24"/>
        </w:rPr>
        <w:t xml:space="preserve">he Energy Project recommend no increase to the current </w:t>
      </w:r>
      <w:r w:rsidR="00E425EF">
        <w:rPr>
          <w:rFonts w:ascii="Times New Roman" w:hAnsi="Times New Roman"/>
          <w:szCs w:val="24"/>
        </w:rPr>
        <w:t>r</w:t>
      </w:r>
      <w:r w:rsidRPr="00BF76E5">
        <w:rPr>
          <w:rFonts w:ascii="Times New Roman" w:hAnsi="Times New Roman"/>
          <w:szCs w:val="24"/>
        </w:rPr>
        <w:t xml:space="preserve">esidential </w:t>
      </w:r>
      <w:r w:rsidR="00E425EF">
        <w:rPr>
          <w:rFonts w:ascii="Times New Roman" w:hAnsi="Times New Roman"/>
          <w:szCs w:val="24"/>
        </w:rPr>
        <w:t xml:space="preserve">basic </w:t>
      </w:r>
      <w:r w:rsidRPr="00BF76E5">
        <w:rPr>
          <w:rFonts w:ascii="Times New Roman" w:hAnsi="Times New Roman"/>
          <w:szCs w:val="24"/>
        </w:rPr>
        <w:t xml:space="preserve">charge of $7.75 per month.  TASC recommends a maximum </w:t>
      </w:r>
      <w:r w:rsidR="00E425EF">
        <w:rPr>
          <w:rFonts w:ascii="Times New Roman" w:hAnsi="Times New Roman"/>
          <w:szCs w:val="24"/>
        </w:rPr>
        <w:t>r</w:t>
      </w:r>
      <w:r w:rsidRPr="00BF76E5">
        <w:rPr>
          <w:rFonts w:ascii="Times New Roman" w:hAnsi="Times New Roman"/>
          <w:szCs w:val="24"/>
        </w:rPr>
        <w:t xml:space="preserve">esidential </w:t>
      </w:r>
      <w:r w:rsidR="00E425EF">
        <w:rPr>
          <w:rFonts w:ascii="Times New Roman" w:hAnsi="Times New Roman"/>
          <w:szCs w:val="24"/>
        </w:rPr>
        <w:t xml:space="preserve">basic </w:t>
      </w:r>
      <w:r w:rsidRPr="00BF76E5">
        <w:rPr>
          <w:rFonts w:ascii="Times New Roman" w:hAnsi="Times New Roman"/>
          <w:szCs w:val="24"/>
        </w:rPr>
        <w:t>charge of $</w:t>
      </w:r>
      <w:r w:rsidR="007E7DBE">
        <w:rPr>
          <w:rFonts w:ascii="Times New Roman" w:hAnsi="Times New Roman"/>
          <w:szCs w:val="24"/>
        </w:rPr>
        <w:t>9.00</w:t>
      </w:r>
      <w:r w:rsidRPr="00BF76E5">
        <w:rPr>
          <w:rFonts w:ascii="Times New Roman" w:hAnsi="Times New Roman"/>
          <w:szCs w:val="24"/>
        </w:rPr>
        <w:t xml:space="preserve">.  No other parties address the residential block structure.  </w:t>
      </w:r>
    </w:p>
    <w:p w:rsidR="003E5FAA" w:rsidRPr="00FC7D77" w:rsidRDefault="003E5FAA" w:rsidP="003E5FAA">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Pr>
          <w:rFonts w:ascii="Times New Roman" w:hAnsi="Times New Roman"/>
          <w:b/>
        </w:rPr>
        <w:t xml:space="preserve"> </w:t>
      </w:r>
      <w:r w:rsidR="000C703F">
        <w:rPr>
          <w:rFonts w:ascii="Times New Roman" w:hAnsi="Times New Roman"/>
          <w:b/>
        </w:rPr>
        <w:t xml:space="preserve">Is the Company proposing any changes to the </w:t>
      </w:r>
      <w:r w:rsidR="001B0135">
        <w:rPr>
          <w:rFonts w:ascii="Times New Roman" w:hAnsi="Times New Roman"/>
          <w:b/>
        </w:rPr>
        <w:t xml:space="preserve">residential </w:t>
      </w:r>
      <w:r w:rsidR="000C703F">
        <w:rPr>
          <w:rFonts w:ascii="Times New Roman" w:hAnsi="Times New Roman"/>
          <w:b/>
        </w:rPr>
        <w:t xml:space="preserve">rate design proposed in your direct testimony based on the </w:t>
      </w:r>
      <w:r w:rsidR="00456ECD">
        <w:rPr>
          <w:rFonts w:ascii="Times New Roman" w:hAnsi="Times New Roman"/>
          <w:b/>
        </w:rPr>
        <w:t>testimony from Staff, Public Counsel, TASC, or the Energy Project?</w:t>
      </w:r>
    </w:p>
    <w:p w:rsidR="003E5FAA" w:rsidRPr="000A5A66" w:rsidRDefault="003E5FAA" w:rsidP="000A5A66">
      <w:pPr>
        <w:rPr>
          <w:rFonts w:ascii="Times New Roman" w:hAnsi="Times New Roman"/>
          <w:szCs w:val="24"/>
        </w:rPr>
      </w:pPr>
      <w:r w:rsidRPr="00FC7D77">
        <w:rPr>
          <w:rFonts w:ascii="Times New Roman" w:hAnsi="Times New Roman"/>
        </w:rPr>
        <w:t>A.</w:t>
      </w:r>
      <w:r w:rsidRPr="00FC7D77">
        <w:rPr>
          <w:rFonts w:ascii="Times New Roman" w:hAnsi="Times New Roman"/>
          <w:b/>
        </w:rPr>
        <w:tab/>
      </w:r>
      <w:r w:rsidR="00456ECD">
        <w:rPr>
          <w:rFonts w:ascii="Times New Roman" w:hAnsi="Times New Roman"/>
        </w:rPr>
        <w:t>No.  The Company</w:t>
      </w:r>
      <w:r w:rsidR="00115BEB">
        <w:rPr>
          <w:rFonts w:ascii="Times New Roman" w:hAnsi="Times New Roman"/>
        </w:rPr>
        <w:t xml:space="preserve"> continues to support an increase in the basic charge to $14.00 per month</w:t>
      </w:r>
      <w:r w:rsidR="00096E15">
        <w:rPr>
          <w:rFonts w:ascii="Times New Roman" w:hAnsi="Times New Roman"/>
        </w:rPr>
        <w:t xml:space="preserve"> for Schedule 16 and $8.75 per month for Schedule 17.  </w:t>
      </w:r>
      <w:r w:rsidR="000A0E01">
        <w:rPr>
          <w:rFonts w:ascii="Times New Roman" w:hAnsi="Times New Roman"/>
        </w:rPr>
        <w:t>I will show that the $14.00 per month basic charge is supported using both the Company’s and Staff’s calculations</w:t>
      </w:r>
      <w:r w:rsidR="004A3289">
        <w:rPr>
          <w:rFonts w:ascii="Times New Roman" w:hAnsi="Times New Roman"/>
        </w:rPr>
        <w:t xml:space="preserve"> and is necessary to address the growth in distributed generation (DG) and the changing industry landscape resulting from increased customer generation</w:t>
      </w:r>
      <w:r w:rsidR="000A0E01">
        <w:rPr>
          <w:rFonts w:ascii="Times New Roman" w:hAnsi="Times New Roman"/>
        </w:rPr>
        <w:t xml:space="preserve">.  </w:t>
      </w:r>
      <w:r w:rsidR="00096E15">
        <w:rPr>
          <w:rFonts w:ascii="Times New Roman" w:hAnsi="Times New Roman"/>
        </w:rPr>
        <w:t>The Company also proposes to r</w:t>
      </w:r>
      <w:r w:rsidR="00115BEB">
        <w:rPr>
          <w:rFonts w:ascii="Times New Roman" w:hAnsi="Times New Roman"/>
        </w:rPr>
        <w:t xml:space="preserve">etain the current inverted energy block rate structure.  This rate design </w:t>
      </w:r>
      <w:r w:rsidR="00456ECD">
        <w:rPr>
          <w:rFonts w:ascii="Times New Roman" w:hAnsi="Times New Roman"/>
        </w:rPr>
        <w:t>represent</w:t>
      </w:r>
      <w:r w:rsidR="00115BEB">
        <w:rPr>
          <w:rFonts w:ascii="Times New Roman" w:hAnsi="Times New Roman"/>
        </w:rPr>
        <w:t>s</w:t>
      </w:r>
      <w:r w:rsidR="00456ECD">
        <w:rPr>
          <w:rFonts w:ascii="Times New Roman" w:hAnsi="Times New Roman"/>
        </w:rPr>
        <w:t xml:space="preserve"> the best balance between cost causation, </w:t>
      </w:r>
      <w:r w:rsidR="009556BD">
        <w:rPr>
          <w:rFonts w:ascii="Times New Roman" w:hAnsi="Times New Roman"/>
        </w:rPr>
        <w:t xml:space="preserve">equity, </w:t>
      </w:r>
      <w:r w:rsidR="00456ECD">
        <w:rPr>
          <w:rFonts w:ascii="Times New Roman" w:hAnsi="Times New Roman"/>
        </w:rPr>
        <w:t xml:space="preserve">economically efficient price signals for conservation, </w:t>
      </w:r>
      <w:r w:rsidR="009556BD">
        <w:rPr>
          <w:rFonts w:ascii="Times New Roman" w:hAnsi="Times New Roman"/>
        </w:rPr>
        <w:t>and minimizing customer impacts, particularly for low income customers.  Staff’s proposed changes in the rate design for the energy block rates are contradictory to its stated intent of encouraging conservation, are not cost-based, and will not improve fixed cost recovery for</w:t>
      </w:r>
      <w:r w:rsidR="009D4A44">
        <w:rPr>
          <w:rFonts w:ascii="Times New Roman" w:hAnsi="Times New Roman"/>
        </w:rPr>
        <w:t xml:space="preserve"> the Company.  Other parties’ proposals to limit the increase in the basic charge </w:t>
      </w:r>
      <w:r w:rsidR="00476DBF">
        <w:rPr>
          <w:rFonts w:ascii="Times New Roman" w:hAnsi="Times New Roman"/>
        </w:rPr>
        <w:t xml:space="preserve">continue to ignore cost causation in the generic name of gradualism.  </w:t>
      </w:r>
      <w:r w:rsidR="00E425EF">
        <w:rPr>
          <w:rFonts w:ascii="Times New Roman" w:hAnsi="Times New Roman"/>
        </w:rPr>
        <w:t xml:space="preserve">In the following sections I </w:t>
      </w:r>
      <w:r w:rsidR="005E55CB">
        <w:rPr>
          <w:rFonts w:ascii="Times New Roman" w:hAnsi="Times New Roman"/>
        </w:rPr>
        <w:t xml:space="preserve">will </w:t>
      </w:r>
      <w:r w:rsidR="00E425EF">
        <w:rPr>
          <w:rFonts w:ascii="Times New Roman" w:hAnsi="Times New Roman"/>
        </w:rPr>
        <w:t xml:space="preserve">first </w:t>
      </w:r>
      <w:r w:rsidR="005E55CB">
        <w:rPr>
          <w:rFonts w:ascii="Times New Roman" w:hAnsi="Times New Roman"/>
        </w:rPr>
        <w:t>respond to parties’ testimony on the customer charge, followed by my response to Staff’s proposed change in the block rate structure.</w:t>
      </w:r>
      <w:r w:rsidR="00AE6C8E">
        <w:rPr>
          <w:rFonts w:ascii="Times New Roman" w:hAnsi="Times New Roman"/>
        </w:rPr>
        <w:t xml:space="preserve">  </w:t>
      </w:r>
      <w:r w:rsidR="00AE6C8E" w:rsidRPr="001738B8">
        <w:rPr>
          <w:rFonts w:ascii="Times New Roman" w:hAnsi="Times New Roman"/>
          <w:szCs w:val="24"/>
        </w:rPr>
        <w:t>Exhibit No.</w:t>
      </w:r>
      <w:r w:rsidR="000846CE">
        <w:rPr>
          <w:rFonts w:ascii="Times New Roman" w:hAnsi="Times New Roman"/>
          <w:szCs w:val="24"/>
        </w:rPr>
        <w:t xml:space="preserve"> </w:t>
      </w:r>
      <w:r w:rsidR="00AE6C8E" w:rsidRPr="001738B8">
        <w:rPr>
          <w:rFonts w:ascii="Times New Roman" w:hAnsi="Times New Roman"/>
          <w:szCs w:val="24"/>
        </w:rPr>
        <w:t>JRS-17 contains the proposed prices and billing determinants used in calculating the proposed prices.  Exhibit No.</w:t>
      </w:r>
      <w:r w:rsidR="000846CE">
        <w:rPr>
          <w:rFonts w:ascii="Times New Roman" w:hAnsi="Times New Roman"/>
          <w:szCs w:val="24"/>
        </w:rPr>
        <w:t xml:space="preserve"> </w:t>
      </w:r>
      <w:r w:rsidR="00AE6C8E" w:rsidRPr="001738B8">
        <w:rPr>
          <w:rFonts w:ascii="Times New Roman" w:hAnsi="Times New Roman"/>
          <w:szCs w:val="24"/>
        </w:rPr>
        <w:t>JRS-18 contains monthly billing comparisons for the revised proposed prices at different usage levels for each rate schedule.</w:t>
      </w:r>
    </w:p>
    <w:p w:rsidR="00FB508D" w:rsidRPr="00815C1B" w:rsidRDefault="004E73CB" w:rsidP="00815C1B">
      <w:pPr>
        <w:pStyle w:val="Heading2"/>
        <w:ind w:left="0"/>
        <w:rPr>
          <w:b/>
        </w:rPr>
      </w:pPr>
      <w:bookmarkStart w:id="8" w:name="_Toc403654574"/>
      <w:r w:rsidRPr="00815C1B">
        <w:rPr>
          <w:b/>
        </w:rPr>
        <w:t xml:space="preserve">Residential </w:t>
      </w:r>
      <w:r w:rsidR="00E425EF" w:rsidRPr="00815C1B">
        <w:rPr>
          <w:b/>
        </w:rPr>
        <w:t xml:space="preserve">Basic </w:t>
      </w:r>
      <w:r w:rsidRPr="00815C1B">
        <w:rPr>
          <w:b/>
        </w:rPr>
        <w:t>Charge</w:t>
      </w:r>
      <w:bookmarkEnd w:id="8"/>
      <w:r w:rsidRPr="00815C1B">
        <w:rPr>
          <w:b/>
        </w:rPr>
        <w:t xml:space="preserve"> </w:t>
      </w:r>
    </w:p>
    <w:p w:rsidR="00FB508D" w:rsidRPr="00BF76E5" w:rsidRDefault="00FB508D" w:rsidP="00FB508D">
      <w:pPr>
        <w:autoSpaceDE w:val="0"/>
        <w:autoSpaceDN w:val="0"/>
        <w:adjustRightInd w:val="0"/>
        <w:rPr>
          <w:rFonts w:ascii="Times New Roman" w:hAnsi="Times New Roman"/>
          <w:b/>
          <w:szCs w:val="24"/>
        </w:rPr>
      </w:pPr>
      <w:r w:rsidRPr="00BF76E5">
        <w:rPr>
          <w:rFonts w:ascii="Times New Roman" w:hAnsi="Times New Roman"/>
          <w:b/>
          <w:szCs w:val="24"/>
        </w:rPr>
        <w:t xml:space="preserve">Q. </w:t>
      </w:r>
      <w:r>
        <w:rPr>
          <w:rFonts w:ascii="Times New Roman" w:hAnsi="Times New Roman"/>
          <w:b/>
          <w:szCs w:val="24"/>
        </w:rPr>
        <w:tab/>
      </w:r>
      <w:r w:rsidR="00E425EF">
        <w:rPr>
          <w:rFonts w:ascii="Times New Roman" w:hAnsi="Times New Roman"/>
          <w:b/>
          <w:szCs w:val="24"/>
        </w:rPr>
        <w:t xml:space="preserve">Please explain the </w:t>
      </w:r>
      <w:r w:rsidRPr="00BF76E5">
        <w:rPr>
          <w:rFonts w:ascii="Times New Roman" w:hAnsi="Times New Roman"/>
          <w:b/>
          <w:szCs w:val="24"/>
        </w:rPr>
        <w:t xml:space="preserve">Company’s proposed residential </w:t>
      </w:r>
      <w:r w:rsidR="00E425EF">
        <w:rPr>
          <w:rFonts w:ascii="Times New Roman" w:hAnsi="Times New Roman"/>
          <w:b/>
          <w:szCs w:val="24"/>
        </w:rPr>
        <w:t xml:space="preserve">basic </w:t>
      </w:r>
      <w:r w:rsidRPr="00BF76E5">
        <w:rPr>
          <w:rFonts w:ascii="Times New Roman" w:hAnsi="Times New Roman"/>
          <w:b/>
          <w:szCs w:val="24"/>
        </w:rPr>
        <w:t>charge</w:t>
      </w:r>
      <w:r w:rsidR="00E425EF">
        <w:rPr>
          <w:rFonts w:ascii="Times New Roman" w:hAnsi="Times New Roman"/>
          <w:b/>
          <w:szCs w:val="24"/>
        </w:rPr>
        <w:t>.</w:t>
      </w:r>
    </w:p>
    <w:p w:rsidR="00FB508D" w:rsidRPr="00BF76E5" w:rsidRDefault="00FB508D" w:rsidP="00FB508D">
      <w:pPr>
        <w:autoSpaceDE w:val="0"/>
        <w:autoSpaceDN w:val="0"/>
        <w:adjustRightInd w:val="0"/>
        <w:rPr>
          <w:rFonts w:ascii="Times New Roman" w:hAnsi="Times New Roman"/>
          <w:szCs w:val="24"/>
        </w:rPr>
      </w:pPr>
      <w:r w:rsidRPr="00BF76E5">
        <w:rPr>
          <w:rFonts w:ascii="Times New Roman" w:hAnsi="Times New Roman"/>
          <w:szCs w:val="24"/>
        </w:rPr>
        <w:t xml:space="preserve">A. </w:t>
      </w:r>
      <w:r>
        <w:rPr>
          <w:rFonts w:ascii="Times New Roman" w:hAnsi="Times New Roman"/>
          <w:szCs w:val="24"/>
        </w:rPr>
        <w:tab/>
      </w:r>
      <w:r w:rsidR="00E425EF">
        <w:rPr>
          <w:rFonts w:ascii="Times New Roman" w:hAnsi="Times New Roman"/>
          <w:szCs w:val="24"/>
        </w:rPr>
        <w:t xml:space="preserve">The Company’s rebuttal filing continues to support a cost-based basic charge of $14.00 per month.  </w:t>
      </w:r>
      <w:r>
        <w:rPr>
          <w:rFonts w:ascii="Times New Roman" w:hAnsi="Times New Roman"/>
          <w:szCs w:val="24"/>
        </w:rPr>
        <w:t>The proposed charge is derived from the filed COS study</w:t>
      </w:r>
      <w:r w:rsidRPr="0029646D">
        <w:rPr>
          <w:rFonts w:ascii="Times New Roman" w:hAnsi="Times New Roman"/>
          <w:szCs w:val="24"/>
        </w:rPr>
        <w:t xml:space="preserve">, </w:t>
      </w:r>
      <w:r w:rsidRPr="001738B8">
        <w:rPr>
          <w:rFonts w:ascii="Times New Roman" w:hAnsi="Times New Roman"/>
          <w:szCs w:val="24"/>
        </w:rPr>
        <w:t>Exhibit No. JRS-15</w:t>
      </w:r>
      <w:r w:rsidRPr="0029646D">
        <w:rPr>
          <w:rFonts w:ascii="Times New Roman" w:hAnsi="Times New Roman"/>
          <w:szCs w:val="24"/>
        </w:rPr>
        <w:t>.</w:t>
      </w:r>
      <w:r>
        <w:rPr>
          <w:rFonts w:ascii="Times New Roman" w:hAnsi="Times New Roman"/>
          <w:szCs w:val="24"/>
        </w:rPr>
        <w:t xml:space="preserve">  </w:t>
      </w:r>
      <w:r w:rsidRPr="00BF76E5">
        <w:rPr>
          <w:rFonts w:ascii="Times New Roman" w:hAnsi="Times New Roman"/>
          <w:szCs w:val="24"/>
        </w:rPr>
        <w:t>As explained in my direct testimony</w:t>
      </w:r>
      <w:r w:rsidR="00E425EF">
        <w:rPr>
          <w:rFonts w:ascii="Times New Roman" w:hAnsi="Times New Roman"/>
          <w:szCs w:val="24"/>
        </w:rPr>
        <w:t>,</w:t>
      </w:r>
      <w:r w:rsidRPr="00BF76E5">
        <w:rPr>
          <w:rFonts w:ascii="Times New Roman" w:hAnsi="Times New Roman"/>
          <w:szCs w:val="24"/>
        </w:rPr>
        <w:t xml:space="preserve"> fixed costs (i.e., costs that do not significantly vary with usage) are appropriate costs to include in determining the level of the residential </w:t>
      </w:r>
      <w:r w:rsidR="00E425EF">
        <w:rPr>
          <w:rFonts w:ascii="Times New Roman" w:hAnsi="Times New Roman"/>
          <w:szCs w:val="24"/>
        </w:rPr>
        <w:t xml:space="preserve">basic </w:t>
      </w:r>
      <w:r w:rsidRPr="00BF76E5">
        <w:rPr>
          <w:rFonts w:ascii="Times New Roman" w:hAnsi="Times New Roman"/>
          <w:szCs w:val="24"/>
        </w:rPr>
        <w:t xml:space="preserve">charge.  In this proceeding, the Company has proposed to limit these fixed costs to those </w:t>
      </w:r>
      <w:r w:rsidR="00E425EF">
        <w:rPr>
          <w:rFonts w:ascii="Times New Roman" w:hAnsi="Times New Roman"/>
          <w:szCs w:val="24"/>
        </w:rPr>
        <w:t xml:space="preserve">related to </w:t>
      </w:r>
      <w:r w:rsidR="00C0404C">
        <w:rPr>
          <w:rFonts w:ascii="Times New Roman" w:hAnsi="Times New Roman"/>
          <w:szCs w:val="24"/>
        </w:rPr>
        <w:t xml:space="preserve">local </w:t>
      </w:r>
      <w:r w:rsidR="00E425EF">
        <w:rPr>
          <w:rFonts w:ascii="Times New Roman" w:hAnsi="Times New Roman"/>
          <w:szCs w:val="24"/>
        </w:rPr>
        <w:t>d</w:t>
      </w:r>
      <w:r w:rsidRPr="00BF76E5">
        <w:rPr>
          <w:rFonts w:ascii="Times New Roman" w:hAnsi="Times New Roman"/>
          <w:szCs w:val="24"/>
        </w:rPr>
        <w:t xml:space="preserve">istribution and </w:t>
      </w:r>
      <w:r w:rsidR="00E425EF">
        <w:rPr>
          <w:rFonts w:ascii="Times New Roman" w:hAnsi="Times New Roman"/>
          <w:szCs w:val="24"/>
        </w:rPr>
        <w:t>r</w:t>
      </w:r>
      <w:r w:rsidRPr="00BF76E5">
        <w:rPr>
          <w:rFonts w:ascii="Times New Roman" w:hAnsi="Times New Roman"/>
          <w:szCs w:val="24"/>
        </w:rPr>
        <w:t>etail</w:t>
      </w:r>
      <w:r w:rsidR="00B41643">
        <w:rPr>
          <w:rFonts w:ascii="Times New Roman" w:hAnsi="Times New Roman"/>
          <w:szCs w:val="24"/>
        </w:rPr>
        <w:t xml:space="preserve"> service</w:t>
      </w:r>
      <w:r w:rsidR="00E425EF">
        <w:rPr>
          <w:rFonts w:ascii="Times New Roman" w:hAnsi="Times New Roman"/>
          <w:szCs w:val="24"/>
        </w:rPr>
        <w:t xml:space="preserve"> costs</w:t>
      </w:r>
      <w:r w:rsidRPr="00BF76E5">
        <w:rPr>
          <w:rFonts w:ascii="Times New Roman" w:hAnsi="Times New Roman"/>
          <w:szCs w:val="24"/>
        </w:rPr>
        <w:t xml:space="preserve">.  </w:t>
      </w:r>
      <w:r w:rsidR="00B41643">
        <w:rPr>
          <w:rFonts w:ascii="Times New Roman" w:hAnsi="Times New Roman"/>
          <w:szCs w:val="24"/>
        </w:rPr>
        <w:t>The distribution costs include meters, service lines, transformers, poles, and conductors</w:t>
      </w:r>
      <w:r w:rsidR="00C0404C">
        <w:rPr>
          <w:rFonts w:ascii="Times New Roman" w:hAnsi="Times New Roman"/>
          <w:szCs w:val="24"/>
        </w:rPr>
        <w:t xml:space="preserve">.  The retail service costs include meter reading, billing, and customer services.  </w:t>
      </w:r>
      <w:r w:rsidR="001B0135">
        <w:rPr>
          <w:rFonts w:ascii="Times New Roman" w:hAnsi="Times New Roman"/>
          <w:szCs w:val="24"/>
        </w:rPr>
        <w:t>T</w:t>
      </w:r>
      <w:r w:rsidRPr="00BF76E5">
        <w:rPr>
          <w:rFonts w:ascii="Times New Roman" w:hAnsi="Times New Roman"/>
          <w:szCs w:val="24"/>
        </w:rPr>
        <w:t xml:space="preserve">he </w:t>
      </w:r>
      <w:r w:rsidR="00E425EF">
        <w:rPr>
          <w:rFonts w:ascii="Times New Roman" w:hAnsi="Times New Roman"/>
          <w:szCs w:val="24"/>
        </w:rPr>
        <w:t xml:space="preserve">COS </w:t>
      </w:r>
      <w:r w:rsidRPr="00BF76E5">
        <w:rPr>
          <w:rFonts w:ascii="Times New Roman" w:hAnsi="Times New Roman"/>
          <w:szCs w:val="24"/>
        </w:rPr>
        <w:t xml:space="preserve">study supports a </w:t>
      </w:r>
      <w:r w:rsidR="00E425EF">
        <w:rPr>
          <w:rFonts w:ascii="Times New Roman" w:hAnsi="Times New Roman"/>
          <w:szCs w:val="24"/>
        </w:rPr>
        <w:t xml:space="preserve">basic </w:t>
      </w:r>
      <w:r w:rsidRPr="00BF76E5">
        <w:rPr>
          <w:rFonts w:ascii="Times New Roman" w:hAnsi="Times New Roman"/>
          <w:szCs w:val="24"/>
        </w:rPr>
        <w:t>charge of $</w:t>
      </w:r>
      <w:r w:rsidRPr="00370A44">
        <w:rPr>
          <w:rFonts w:ascii="Times New Roman" w:hAnsi="Times New Roman"/>
          <w:szCs w:val="24"/>
        </w:rPr>
        <w:t>28</w:t>
      </w:r>
      <w:r w:rsidRPr="00C0404C">
        <w:rPr>
          <w:rFonts w:ascii="Times New Roman" w:hAnsi="Times New Roman"/>
          <w:szCs w:val="24"/>
        </w:rPr>
        <w:t>.00</w:t>
      </w:r>
      <w:r w:rsidRPr="00BF76E5">
        <w:rPr>
          <w:rFonts w:ascii="Times New Roman" w:hAnsi="Times New Roman"/>
          <w:szCs w:val="24"/>
        </w:rPr>
        <w:t xml:space="preserve"> for these costs.  The Company’s proposal is to </w:t>
      </w:r>
      <w:r w:rsidR="00B41643">
        <w:rPr>
          <w:rFonts w:ascii="Times New Roman" w:hAnsi="Times New Roman"/>
          <w:szCs w:val="24"/>
        </w:rPr>
        <w:t xml:space="preserve">increase the current basic charge of $7.75 per month to $14.00, which would </w:t>
      </w:r>
      <w:r w:rsidRPr="00BF76E5">
        <w:rPr>
          <w:rFonts w:ascii="Times New Roman" w:hAnsi="Times New Roman"/>
          <w:szCs w:val="24"/>
        </w:rPr>
        <w:t>collect half of these costs in the monthly basic charge.</w:t>
      </w:r>
      <w:r w:rsidR="00C0404C">
        <w:rPr>
          <w:rFonts w:ascii="Times New Roman" w:hAnsi="Times New Roman"/>
          <w:szCs w:val="24"/>
        </w:rPr>
        <w:t xml:space="preserve">  Moving the basic charge to collect half of these costs </w:t>
      </w:r>
      <w:r w:rsidR="00741CE0">
        <w:rPr>
          <w:rFonts w:ascii="Times New Roman" w:hAnsi="Times New Roman"/>
          <w:szCs w:val="24"/>
        </w:rPr>
        <w:t>fairly recognizes that a minimum level of these facilities and services is required for the provision of electric service to any residential customer, regardless of size.</w:t>
      </w:r>
    </w:p>
    <w:p w:rsidR="00FB508D" w:rsidRPr="00BF76E5" w:rsidRDefault="00FB508D" w:rsidP="00FB508D">
      <w:pPr>
        <w:autoSpaceDE w:val="0"/>
        <w:autoSpaceDN w:val="0"/>
        <w:adjustRightInd w:val="0"/>
        <w:ind w:left="0" w:firstLine="0"/>
        <w:rPr>
          <w:rFonts w:ascii="Times New Roman" w:hAnsi="Times New Roman"/>
          <w:b/>
          <w:szCs w:val="24"/>
        </w:rPr>
      </w:pPr>
      <w:r w:rsidRPr="00BF76E5">
        <w:rPr>
          <w:rFonts w:ascii="Times New Roman" w:hAnsi="Times New Roman"/>
          <w:b/>
          <w:szCs w:val="24"/>
        </w:rPr>
        <w:t xml:space="preserve">Q. </w:t>
      </w:r>
      <w:r>
        <w:rPr>
          <w:rFonts w:ascii="Times New Roman" w:hAnsi="Times New Roman"/>
          <w:b/>
          <w:szCs w:val="24"/>
        </w:rPr>
        <w:tab/>
      </w:r>
      <w:r w:rsidRPr="00BF76E5">
        <w:rPr>
          <w:rFonts w:ascii="Times New Roman" w:hAnsi="Times New Roman"/>
          <w:b/>
          <w:szCs w:val="24"/>
        </w:rPr>
        <w:t xml:space="preserve">How does Staff support its </w:t>
      </w:r>
      <w:r>
        <w:rPr>
          <w:rFonts w:ascii="Times New Roman" w:hAnsi="Times New Roman"/>
          <w:b/>
          <w:szCs w:val="24"/>
        </w:rPr>
        <w:t xml:space="preserve">proposed </w:t>
      </w:r>
      <w:r w:rsidRPr="00BF76E5">
        <w:rPr>
          <w:rFonts w:ascii="Times New Roman" w:hAnsi="Times New Roman"/>
          <w:b/>
          <w:szCs w:val="24"/>
        </w:rPr>
        <w:t xml:space="preserve">$13.00 residential </w:t>
      </w:r>
      <w:r w:rsidR="00B41643">
        <w:rPr>
          <w:rFonts w:ascii="Times New Roman" w:hAnsi="Times New Roman"/>
          <w:b/>
          <w:szCs w:val="24"/>
        </w:rPr>
        <w:t xml:space="preserve">basic </w:t>
      </w:r>
      <w:r w:rsidRPr="00BF76E5">
        <w:rPr>
          <w:rFonts w:ascii="Times New Roman" w:hAnsi="Times New Roman"/>
          <w:b/>
          <w:szCs w:val="24"/>
        </w:rPr>
        <w:t xml:space="preserve">charge?  </w:t>
      </w:r>
    </w:p>
    <w:p w:rsidR="00FB508D" w:rsidRPr="00BF76E5" w:rsidRDefault="00FB508D" w:rsidP="00FB508D">
      <w:pPr>
        <w:autoSpaceDE w:val="0"/>
        <w:autoSpaceDN w:val="0"/>
        <w:adjustRightInd w:val="0"/>
        <w:rPr>
          <w:rFonts w:ascii="Times New Roman" w:hAnsi="Times New Roman"/>
          <w:szCs w:val="24"/>
        </w:rPr>
      </w:pPr>
      <w:r w:rsidRPr="00BF76E5">
        <w:rPr>
          <w:rFonts w:ascii="Times New Roman" w:hAnsi="Times New Roman"/>
          <w:szCs w:val="24"/>
        </w:rPr>
        <w:t xml:space="preserve">A.  </w:t>
      </w:r>
      <w:r>
        <w:rPr>
          <w:rFonts w:ascii="Times New Roman" w:hAnsi="Times New Roman"/>
          <w:szCs w:val="24"/>
        </w:rPr>
        <w:tab/>
      </w:r>
      <w:r w:rsidRPr="00BF76E5">
        <w:rPr>
          <w:rFonts w:ascii="Times New Roman" w:hAnsi="Times New Roman"/>
          <w:szCs w:val="24"/>
        </w:rPr>
        <w:t>Staff</w:t>
      </w:r>
      <w:r w:rsidR="00B41643">
        <w:rPr>
          <w:rFonts w:ascii="Times New Roman" w:hAnsi="Times New Roman"/>
          <w:szCs w:val="24"/>
        </w:rPr>
        <w:t xml:space="preserve"> </w:t>
      </w:r>
      <w:r w:rsidR="00741CE0">
        <w:rPr>
          <w:rFonts w:ascii="Times New Roman" w:hAnsi="Times New Roman"/>
          <w:szCs w:val="24"/>
        </w:rPr>
        <w:t xml:space="preserve">similarly </w:t>
      </w:r>
      <w:r w:rsidR="00B41643">
        <w:rPr>
          <w:rFonts w:ascii="Times New Roman" w:hAnsi="Times New Roman"/>
          <w:szCs w:val="24"/>
        </w:rPr>
        <w:t xml:space="preserve">relies on the COS to support </w:t>
      </w:r>
      <w:r w:rsidRPr="00BF76E5">
        <w:rPr>
          <w:rFonts w:ascii="Times New Roman" w:hAnsi="Times New Roman"/>
          <w:szCs w:val="24"/>
        </w:rPr>
        <w:t xml:space="preserve">its $13.00 customer charge.  In its </w:t>
      </w:r>
      <w:r w:rsidR="00B41643">
        <w:rPr>
          <w:rFonts w:ascii="Times New Roman" w:hAnsi="Times New Roman"/>
          <w:szCs w:val="24"/>
        </w:rPr>
        <w:t xml:space="preserve">basic </w:t>
      </w:r>
      <w:r w:rsidRPr="00BF76E5">
        <w:rPr>
          <w:rFonts w:ascii="Times New Roman" w:hAnsi="Times New Roman"/>
          <w:szCs w:val="24"/>
        </w:rPr>
        <w:t xml:space="preserve">charge calculation, Staff </w:t>
      </w:r>
      <w:r w:rsidR="00B41643">
        <w:rPr>
          <w:rFonts w:ascii="Times New Roman" w:hAnsi="Times New Roman"/>
          <w:szCs w:val="24"/>
        </w:rPr>
        <w:t>includ</w:t>
      </w:r>
      <w:r w:rsidR="00AE6C8E">
        <w:rPr>
          <w:rFonts w:ascii="Times New Roman" w:hAnsi="Times New Roman"/>
          <w:szCs w:val="24"/>
        </w:rPr>
        <w:t>es</w:t>
      </w:r>
      <w:r w:rsidR="00B41643">
        <w:rPr>
          <w:rFonts w:ascii="Times New Roman" w:hAnsi="Times New Roman"/>
          <w:szCs w:val="24"/>
        </w:rPr>
        <w:t xml:space="preserve"> the </w:t>
      </w:r>
      <w:r w:rsidR="00741CE0">
        <w:rPr>
          <w:rFonts w:ascii="Times New Roman" w:hAnsi="Times New Roman"/>
          <w:szCs w:val="24"/>
        </w:rPr>
        <w:t xml:space="preserve">full </w:t>
      </w:r>
      <w:r w:rsidR="00B41643">
        <w:rPr>
          <w:rFonts w:ascii="Times New Roman" w:hAnsi="Times New Roman"/>
          <w:szCs w:val="24"/>
        </w:rPr>
        <w:t xml:space="preserve">costs for retail </w:t>
      </w:r>
      <w:r w:rsidR="00C0404C">
        <w:rPr>
          <w:rFonts w:ascii="Times New Roman" w:hAnsi="Times New Roman"/>
          <w:szCs w:val="24"/>
        </w:rPr>
        <w:t>services and distribution facilities for meters, service lines, and transformers</w:t>
      </w:r>
      <w:r w:rsidRPr="00BF76E5">
        <w:rPr>
          <w:rFonts w:ascii="Times New Roman" w:hAnsi="Times New Roman"/>
          <w:szCs w:val="24"/>
        </w:rPr>
        <w:t xml:space="preserve"> in its average cost per customer calculation. </w:t>
      </w:r>
    </w:p>
    <w:p w:rsidR="00FB508D" w:rsidRPr="00BF76E5" w:rsidRDefault="00FB508D" w:rsidP="00FB508D">
      <w:pPr>
        <w:autoSpaceDE w:val="0"/>
        <w:autoSpaceDN w:val="0"/>
        <w:adjustRightInd w:val="0"/>
        <w:rPr>
          <w:rFonts w:ascii="Times New Roman" w:hAnsi="Times New Roman"/>
          <w:b/>
          <w:szCs w:val="24"/>
        </w:rPr>
      </w:pPr>
      <w:r w:rsidRPr="00BF76E5">
        <w:rPr>
          <w:rFonts w:ascii="Times New Roman" w:hAnsi="Times New Roman"/>
          <w:b/>
          <w:szCs w:val="24"/>
        </w:rPr>
        <w:t xml:space="preserve">Q. </w:t>
      </w:r>
      <w:r>
        <w:rPr>
          <w:rFonts w:ascii="Times New Roman" w:hAnsi="Times New Roman"/>
          <w:b/>
          <w:szCs w:val="24"/>
        </w:rPr>
        <w:tab/>
      </w:r>
      <w:r w:rsidRPr="00BF76E5">
        <w:rPr>
          <w:rFonts w:ascii="Times New Roman" w:hAnsi="Times New Roman"/>
          <w:b/>
          <w:szCs w:val="24"/>
        </w:rPr>
        <w:t xml:space="preserve">Using the Company’s proposed revenue requirement, what </w:t>
      </w:r>
      <w:r w:rsidR="00C0404C">
        <w:rPr>
          <w:rFonts w:ascii="Times New Roman" w:hAnsi="Times New Roman"/>
          <w:b/>
          <w:szCs w:val="24"/>
        </w:rPr>
        <w:t>b</w:t>
      </w:r>
      <w:r w:rsidRPr="00BF76E5">
        <w:rPr>
          <w:rFonts w:ascii="Times New Roman" w:hAnsi="Times New Roman"/>
          <w:b/>
          <w:szCs w:val="24"/>
        </w:rPr>
        <w:t xml:space="preserve">asic charge is supported when using the same </w:t>
      </w:r>
      <w:r w:rsidR="00C0404C">
        <w:rPr>
          <w:rFonts w:ascii="Times New Roman" w:hAnsi="Times New Roman"/>
          <w:b/>
          <w:szCs w:val="24"/>
        </w:rPr>
        <w:t xml:space="preserve">cost elements </w:t>
      </w:r>
      <w:r w:rsidRPr="00BF76E5">
        <w:rPr>
          <w:rFonts w:ascii="Times New Roman" w:hAnsi="Times New Roman"/>
          <w:b/>
          <w:szCs w:val="24"/>
        </w:rPr>
        <w:t xml:space="preserve">that </w:t>
      </w:r>
      <w:r w:rsidR="00C0404C">
        <w:rPr>
          <w:rFonts w:ascii="Times New Roman" w:hAnsi="Times New Roman"/>
          <w:b/>
          <w:szCs w:val="24"/>
        </w:rPr>
        <w:t>S</w:t>
      </w:r>
      <w:r w:rsidRPr="00BF76E5">
        <w:rPr>
          <w:rFonts w:ascii="Times New Roman" w:hAnsi="Times New Roman"/>
          <w:b/>
          <w:szCs w:val="24"/>
        </w:rPr>
        <w:t xml:space="preserve">taff included in its residential </w:t>
      </w:r>
      <w:r w:rsidR="00C0404C">
        <w:rPr>
          <w:rFonts w:ascii="Times New Roman" w:hAnsi="Times New Roman"/>
          <w:b/>
          <w:szCs w:val="24"/>
        </w:rPr>
        <w:t xml:space="preserve">basic </w:t>
      </w:r>
      <w:r w:rsidRPr="00BF76E5">
        <w:rPr>
          <w:rFonts w:ascii="Times New Roman" w:hAnsi="Times New Roman"/>
          <w:b/>
          <w:szCs w:val="24"/>
        </w:rPr>
        <w:t>charge?</w:t>
      </w:r>
    </w:p>
    <w:p w:rsidR="00FB508D" w:rsidRPr="00BF76E5" w:rsidRDefault="00FB508D" w:rsidP="00FB508D">
      <w:pPr>
        <w:autoSpaceDE w:val="0"/>
        <w:autoSpaceDN w:val="0"/>
        <w:adjustRightInd w:val="0"/>
        <w:rPr>
          <w:rFonts w:ascii="Times New Roman" w:hAnsi="Times New Roman"/>
          <w:szCs w:val="24"/>
        </w:rPr>
      </w:pPr>
      <w:r w:rsidRPr="00BF76E5">
        <w:rPr>
          <w:rFonts w:ascii="Times New Roman" w:hAnsi="Times New Roman"/>
          <w:szCs w:val="24"/>
        </w:rPr>
        <w:t xml:space="preserve">A. </w:t>
      </w:r>
      <w:r>
        <w:rPr>
          <w:rFonts w:ascii="Times New Roman" w:hAnsi="Times New Roman"/>
          <w:szCs w:val="24"/>
        </w:rPr>
        <w:tab/>
      </w:r>
      <w:r w:rsidRPr="00BF76E5">
        <w:rPr>
          <w:rFonts w:ascii="Times New Roman" w:hAnsi="Times New Roman"/>
          <w:szCs w:val="24"/>
        </w:rPr>
        <w:t xml:space="preserve">As shown in </w:t>
      </w:r>
      <w:r w:rsidRPr="001738B8">
        <w:rPr>
          <w:rFonts w:ascii="Times New Roman" w:hAnsi="Times New Roman"/>
          <w:szCs w:val="24"/>
        </w:rPr>
        <w:t>Exhibit No. JRS-</w:t>
      </w:r>
      <w:r w:rsidR="0029646D" w:rsidRPr="001738B8">
        <w:rPr>
          <w:rFonts w:ascii="Times New Roman" w:hAnsi="Times New Roman"/>
          <w:szCs w:val="24"/>
        </w:rPr>
        <w:t>19</w:t>
      </w:r>
      <w:r w:rsidRPr="001738B8">
        <w:rPr>
          <w:rFonts w:ascii="Times New Roman" w:hAnsi="Times New Roman"/>
          <w:szCs w:val="24"/>
        </w:rPr>
        <w:t xml:space="preserve">, </w:t>
      </w:r>
      <w:r w:rsidR="00741CE0">
        <w:rPr>
          <w:rFonts w:ascii="Times New Roman" w:hAnsi="Times New Roman"/>
          <w:szCs w:val="24"/>
        </w:rPr>
        <w:t xml:space="preserve">a basic charge of $14.10 is supported using </w:t>
      </w:r>
      <w:r>
        <w:rPr>
          <w:rFonts w:ascii="Times New Roman" w:hAnsi="Times New Roman"/>
          <w:szCs w:val="24"/>
        </w:rPr>
        <w:t>S</w:t>
      </w:r>
      <w:r w:rsidRPr="00BF76E5">
        <w:rPr>
          <w:rFonts w:ascii="Times New Roman" w:hAnsi="Times New Roman"/>
          <w:szCs w:val="24"/>
        </w:rPr>
        <w:t xml:space="preserve">taff’s </w:t>
      </w:r>
      <w:r w:rsidR="00741CE0">
        <w:rPr>
          <w:rFonts w:ascii="Times New Roman" w:hAnsi="Times New Roman"/>
          <w:szCs w:val="24"/>
        </w:rPr>
        <w:t xml:space="preserve">cost elements but updated to </w:t>
      </w:r>
      <w:r w:rsidRPr="00BF76E5">
        <w:rPr>
          <w:rFonts w:ascii="Times New Roman" w:hAnsi="Times New Roman"/>
          <w:szCs w:val="24"/>
        </w:rPr>
        <w:t>reflect the Company’s proposed revenue requirement.</w:t>
      </w:r>
      <w:r>
        <w:rPr>
          <w:rFonts w:ascii="Times New Roman" w:hAnsi="Times New Roman"/>
          <w:szCs w:val="24"/>
        </w:rPr>
        <w:t xml:space="preserve"> </w:t>
      </w:r>
      <w:r w:rsidRPr="00BF76E5">
        <w:rPr>
          <w:rFonts w:ascii="Times New Roman" w:hAnsi="Times New Roman"/>
          <w:szCs w:val="24"/>
        </w:rPr>
        <w:t>Staff’s method show</w:t>
      </w:r>
      <w:r>
        <w:rPr>
          <w:rFonts w:ascii="Times New Roman" w:hAnsi="Times New Roman"/>
          <w:szCs w:val="24"/>
        </w:rPr>
        <w:t>s</w:t>
      </w:r>
      <w:r w:rsidRPr="00BF76E5">
        <w:rPr>
          <w:rFonts w:ascii="Times New Roman" w:hAnsi="Times New Roman"/>
          <w:szCs w:val="24"/>
        </w:rPr>
        <w:t xml:space="preserve"> another way that a $14.00 customer charge is </w:t>
      </w:r>
      <w:r>
        <w:rPr>
          <w:rFonts w:ascii="Times New Roman" w:hAnsi="Times New Roman"/>
          <w:szCs w:val="24"/>
        </w:rPr>
        <w:t xml:space="preserve">justified and </w:t>
      </w:r>
      <w:r w:rsidRPr="00BF76E5">
        <w:rPr>
          <w:rFonts w:ascii="Times New Roman" w:hAnsi="Times New Roman"/>
          <w:szCs w:val="24"/>
        </w:rPr>
        <w:t>cost based.</w:t>
      </w:r>
    </w:p>
    <w:p w:rsidR="004A3289" w:rsidRDefault="004A3289" w:rsidP="004A3289">
      <w:pPr>
        <w:autoSpaceDE w:val="0"/>
        <w:autoSpaceDN w:val="0"/>
        <w:adjustRightInd w:val="0"/>
        <w:rPr>
          <w:rFonts w:ascii="Times New Roman" w:hAnsi="Times New Roman"/>
          <w:szCs w:val="24"/>
        </w:rPr>
      </w:pPr>
      <w:r>
        <w:rPr>
          <w:rFonts w:ascii="Times New Roman" w:hAnsi="Times New Roman"/>
          <w:b/>
          <w:szCs w:val="24"/>
        </w:rPr>
        <w:t>Q.</w:t>
      </w:r>
      <w:r>
        <w:rPr>
          <w:rFonts w:ascii="Times New Roman" w:hAnsi="Times New Roman"/>
          <w:b/>
          <w:szCs w:val="24"/>
        </w:rPr>
        <w:tab/>
        <w:t xml:space="preserve">Are there additional policy justifications for increasing the </w:t>
      </w:r>
      <w:r w:rsidR="00AE6C8E">
        <w:rPr>
          <w:rFonts w:ascii="Times New Roman" w:hAnsi="Times New Roman"/>
          <w:b/>
          <w:szCs w:val="24"/>
        </w:rPr>
        <w:t>b</w:t>
      </w:r>
      <w:r>
        <w:rPr>
          <w:rFonts w:ascii="Times New Roman" w:hAnsi="Times New Roman"/>
          <w:b/>
          <w:szCs w:val="24"/>
        </w:rPr>
        <w:t>asic charge?</w:t>
      </w:r>
    </w:p>
    <w:p w:rsidR="004A3289" w:rsidRDefault="004A3289" w:rsidP="004A3289">
      <w:pPr>
        <w:autoSpaceDE w:val="0"/>
        <w:autoSpaceDN w:val="0"/>
        <w:adjustRightInd w:val="0"/>
        <w:rPr>
          <w:rFonts w:ascii="Times New Roman" w:hAnsi="Times New Roman"/>
          <w:szCs w:val="24"/>
        </w:rPr>
      </w:pPr>
      <w:r>
        <w:rPr>
          <w:rFonts w:ascii="Times New Roman" w:hAnsi="Times New Roman"/>
          <w:szCs w:val="24"/>
        </w:rPr>
        <w:t>A.</w:t>
      </w:r>
      <w:r>
        <w:rPr>
          <w:rFonts w:ascii="Times New Roman" w:hAnsi="Times New Roman"/>
          <w:szCs w:val="24"/>
        </w:rPr>
        <w:tab/>
        <w:t xml:space="preserve">Yes.  As described in the testimony of Mr. R. Bryce Dalley, the Company, and the electric utility industry as </w:t>
      </w:r>
      <w:r w:rsidR="00E90DAE">
        <w:rPr>
          <w:rFonts w:ascii="Times New Roman" w:hAnsi="Times New Roman"/>
          <w:szCs w:val="24"/>
        </w:rPr>
        <w:t xml:space="preserve">a </w:t>
      </w:r>
      <w:r>
        <w:rPr>
          <w:rFonts w:ascii="Times New Roman" w:hAnsi="Times New Roman"/>
          <w:szCs w:val="24"/>
        </w:rPr>
        <w:t xml:space="preserve">whole, </w:t>
      </w:r>
      <w:r w:rsidRPr="00402E1D">
        <w:rPr>
          <w:rFonts w:ascii="Times New Roman" w:hAnsi="Times New Roman"/>
          <w:szCs w:val="24"/>
        </w:rPr>
        <w:t xml:space="preserve">is in a period of significant transformation.  </w:t>
      </w:r>
      <w:r>
        <w:rPr>
          <w:rFonts w:ascii="Times New Roman" w:hAnsi="Times New Roman"/>
          <w:szCs w:val="24"/>
        </w:rPr>
        <w:t xml:space="preserve">Many states, including Washington, have adopted new laws and policies designed to reduce reliance on traditional, fossil fuel generators in favor of renewable and </w:t>
      </w:r>
      <w:r w:rsidR="001F44B3">
        <w:rPr>
          <w:rFonts w:ascii="Times New Roman" w:hAnsi="Times New Roman"/>
          <w:szCs w:val="24"/>
        </w:rPr>
        <w:t>DG</w:t>
      </w:r>
      <w:r>
        <w:rPr>
          <w:rFonts w:ascii="Times New Roman" w:hAnsi="Times New Roman"/>
          <w:szCs w:val="24"/>
        </w:rPr>
        <w:t>.</w:t>
      </w:r>
      <w:r>
        <w:rPr>
          <w:rStyle w:val="FootnoteReference"/>
          <w:szCs w:val="24"/>
        </w:rPr>
        <w:footnoteReference w:id="15"/>
      </w:r>
      <w:r>
        <w:rPr>
          <w:rFonts w:ascii="Times New Roman" w:hAnsi="Times New Roman"/>
          <w:szCs w:val="24"/>
        </w:rPr>
        <w:t xml:space="preserve">  </w:t>
      </w:r>
      <w:r w:rsidRPr="00402E1D">
        <w:rPr>
          <w:rFonts w:ascii="Times New Roman" w:hAnsi="Times New Roman"/>
          <w:szCs w:val="24"/>
        </w:rPr>
        <w:t xml:space="preserve">These policy changes have created, and will continue to create, major challenges for the Company.  </w:t>
      </w:r>
      <w:r>
        <w:rPr>
          <w:rFonts w:ascii="Times New Roman" w:hAnsi="Times New Roman"/>
          <w:szCs w:val="24"/>
        </w:rPr>
        <w:t xml:space="preserve">The Company’s proposed </w:t>
      </w:r>
      <w:r w:rsidR="00AE6C8E">
        <w:rPr>
          <w:rFonts w:ascii="Times New Roman" w:hAnsi="Times New Roman"/>
          <w:szCs w:val="24"/>
        </w:rPr>
        <w:t>b</w:t>
      </w:r>
      <w:r>
        <w:rPr>
          <w:rFonts w:ascii="Times New Roman" w:hAnsi="Times New Roman"/>
          <w:szCs w:val="24"/>
        </w:rPr>
        <w:t xml:space="preserve">asic charge is intended, in part, to support the Company and ensure that </w:t>
      </w:r>
      <w:r w:rsidR="00AE6C8E">
        <w:rPr>
          <w:rFonts w:ascii="Times New Roman" w:hAnsi="Times New Roman"/>
          <w:szCs w:val="24"/>
        </w:rPr>
        <w:t xml:space="preserve">the Company </w:t>
      </w:r>
      <w:r>
        <w:rPr>
          <w:rFonts w:ascii="Times New Roman" w:hAnsi="Times New Roman"/>
          <w:szCs w:val="24"/>
        </w:rPr>
        <w:t xml:space="preserve">is well positioned to respond to growing customer generation.  </w:t>
      </w:r>
      <w:r w:rsidR="00AE6C8E">
        <w:rPr>
          <w:rFonts w:ascii="Times New Roman" w:hAnsi="Times New Roman"/>
          <w:szCs w:val="24"/>
        </w:rPr>
        <w:t xml:space="preserve">For example, since 2013, the test period for this case, there has been a 60 percent increase in the number of net metering customers through October 31, 2014. </w:t>
      </w:r>
    </w:p>
    <w:p w:rsidR="004A3289" w:rsidRDefault="004A3289" w:rsidP="004A3289">
      <w:pPr>
        <w:autoSpaceDE w:val="0"/>
        <w:autoSpaceDN w:val="0"/>
        <w:adjustRightInd w:val="0"/>
        <w:rPr>
          <w:rFonts w:ascii="Times New Roman" w:hAnsi="Times New Roman"/>
          <w:b/>
          <w:szCs w:val="24"/>
        </w:rPr>
      </w:pPr>
      <w:r>
        <w:rPr>
          <w:rFonts w:ascii="Times New Roman" w:hAnsi="Times New Roman"/>
          <w:b/>
          <w:szCs w:val="24"/>
        </w:rPr>
        <w:t>Q.</w:t>
      </w:r>
      <w:r>
        <w:rPr>
          <w:rFonts w:ascii="Times New Roman" w:hAnsi="Times New Roman"/>
          <w:b/>
          <w:szCs w:val="24"/>
        </w:rPr>
        <w:tab/>
        <w:t xml:space="preserve">How does the Company’s proposed </w:t>
      </w:r>
      <w:r w:rsidR="00AE6C8E">
        <w:rPr>
          <w:rFonts w:ascii="Times New Roman" w:hAnsi="Times New Roman"/>
          <w:b/>
          <w:szCs w:val="24"/>
        </w:rPr>
        <w:t>b</w:t>
      </w:r>
      <w:r>
        <w:rPr>
          <w:rFonts w:ascii="Times New Roman" w:hAnsi="Times New Roman"/>
          <w:b/>
          <w:szCs w:val="24"/>
        </w:rPr>
        <w:t xml:space="preserve">asic charge support the Company in the face of increasing </w:t>
      </w:r>
      <w:r w:rsidR="001F44B3">
        <w:rPr>
          <w:rFonts w:ascii="Times New Roman" w:hAnsi="Times New Roman"/>
          <w:b/>
          <w:szCs w:val="24"/>
        </w:rPr>
        <w:t>DG</w:t>
      </w:r>
      <w:r>
        <w:rPr>
          <w:rFonts w:ascii="Times New Roman" w:hAnsi="Times New Roman"/>
          <w:b/>
          <w:szCs w:val="24"/>
        </w:rPr>
        <w:t>?</w:t>
      </w:r>
    </w:p>
    <w:p w:rsidR="004A3289" w:rsidRDefault="004A3289" w:rsidP="004A3289">
      <w:pPr>
        <w:autoSpaceDE w:val="0"/>
        <w:autoSpaceDN w:val="0"/>
        <w:adjustRightInd w:val="0"/>
        <w:rPr>
          <w:rFonts w:ascii="Times New Roman" w:hAnsi="Times New Roman"/>
          <w:szCs w:val="24"/>
        </w:rPr>
      </w:pPr>
      <w:r>
        <w:rPr>
          <w:rFonts w:ascii="Times New Roman" w:hAnsi="Times New Roman"/>
          <w:szCs w:val="24"/>
        </w:rPr>
        <w:t>A.</w:t>
      </w:r>
      <w:r>
        <w:rPr>
          <w:rFonts w:ascii="Times New Roman" w:hAnsi="Times New Roman"/>
          <w:szCs w:val="24"/>
        </w:rPr>
        <w:tab/>
        <w:t xml:space="preserve">A </w:t>
      </w:r>
      <w:r w:rsidR="00AE6C8E">
        <w:rPr>
          <w:rFonts w:ascii="Times New Roman" w:hAnsi="Times New Roman"/>
          <w:szCs w:val="24"/>
        </w:rPr>
        <w:t>b</w:t>
      </w:r>
      <w:r>
        <w:rPr>
          <w:rFonts w:ascii="Times New Roman" w:hAnsi="Times New Roman"/>
          <w:szCs w:val="24"/>
        </w:rPr>
        <w:t>asic charge that more accurately reflects the Company’s actual fixed costs, as recommended by the Company and Staff, helps to mitigate cost-shifting caused by the growth in customer generation and ensures that the Company has a reasonable opportunity to recover its fixed costs from customer generators.</w:t>
      </w:r>
    </w:p>
    <w:p w:rsidR="004A3289" w:rsidRDefault="004A3289" w:rsidP="004A3289">
      <w:pPr>
        <w:autoSpaceDE w:val="0"/>
        <w:autoSpaceDN w:val="0"/>
        <w:adjustRightInd w:val="0"/>
        <w:rPr>
          <w:rFonts w:ascii="Times New Roman" w:hAnsi="Times New Roman"/>
          <w:szCs w:val="24"/>
        </w:rPr>
      </w:pPr>
      <w:r>
        <w:rPr>
          <w:rFonts w:ascii="Times New Roman" w:hAnsi="Times New Roman"/>
          <w:b/>
          <w:szCs w:val="24"/>
        </w:rPr>
        <w:t>Q.</w:t>
      </w:r>
      <w:r>
        <w:rPr>
          <w:rFonts w:ascii="Times New Roman" w:hAnsi="Times New Roman"/>
          <w:b/>
          <w:szCs w:val="24"/>
        </w:rPr>
        <w:tab/>
        <w:t>Has the Commission recognized that customer generation can result in cost-shifting to non-generating customers and compromise a utility’s ability to recover its costs?</w:t>
      </w:r>
    </w:p>
    <w:p w:rsidR="004A3289" w:rsidRDefault="004A3289" w:rsidP="004A3289">
      <w:pPr>
        <w:autoSpaceDE w:val="0"/>
        <w:autoSpaceDN w:val="0"/>
        <w:adjustRightInd w:val="0"/>
        <w:rPr>
          <w:rFonts w:ascii="Times New Roman" w:hAnsi="Times New Roman"/>
        </w:rPr>
      </w:pPr>
      <w:r>
        <w:rPr>
          <w:rFonts w:ascii="Times New Roman" w:hAnsi="Times New Roman"/>
          <w:szCs w:val="24"/>
        </w:rPr>
        <w:t>A.</w:t>
      </w:r>
      <w:r>
        <w:rPr>
          <w:rFonts w:ascii="Times New Roman" w:hAnsi="Times New Roman"/>
          <w:szCs w:val="24"/>
        </w:rPr>
        <w:tab/>
        <w:t xml:space="preserve">Yes.  </w:t>
      </w:r>
      <w:r>
        <w:rPr>
          <w:rFonts w:ascii="Times New Roman" w:hAnsi="Times New Roman"/>
        </w:rPr>
        <w:t xml:space="preserve">In a 2011 report analyzing the impact of </w:t>
      </w:r>
      <w:r w:rsidR="001F44B3">
        <w:rPr>
          <w:rFonts w:ascii="Times New Roman" w:hAnsi="Times New Roman"/>
        </w:rPr>
        <w:t>DG</w:t>
      </w:r>
      <w:r>
        <w:rPr>
          <w:rFonts w:ascii="Times New Roman" w:hAnsi="Times New Roman"/>
        </w:rPr>
        <w:t>, the Commission observed that the</w:t>
      </w:r>
      <w:r>
        <w:rPr>
          <w:rFonts w:ascii="Times New Roman" w:hAnsi="Times New Roman"/>
          <w:szCs w:val="24"/>
        </w:rPr>
        <w:t xml:space="preserve"> development of laws and policies to promote </w:t>
      </w:r>
      <w:r w:rsidR="001F44B3">
        <w:rPr>
          <w:rFonts w:ascii="Times New Roman" w:hAnsi="Times New Roman"/>
          <w:szCs w:val="24"/>
        </w:rPr>
        <w:t>DG</w:t>
      </w:r>
      <w:r>
        <w:rPr>
          <w:rFonts w:ascii="Times New Roman" w:hAnsi="Times New Roman"/>
          <w:szCs w:val="24"/>
        </w:rPr>
        <w:t xml:space="preserve"> must protect customers, </w:t>
      </w:r>
      <w:r w:rsidRPr="00402E1D">
        <w:rPr>
          <w:rFonts w:ascii="Times New Roman" w:hAnsi="Times New Roman"/>
        </w:rPr>
        <w:t>including protection from cost-shifts between rate classes and types of customers</w:t>
      </w:r>
      <w:r>
        <w:rPr>
          <w:rFonts w:ascii="Times New Roman" w:hAnsi="Times New Roman"/>
        </w:rPr>
        <w:t>, and e</w:t>
      </w:r>
      <w:r w:rsidRPr="00845F2F">
        <w:rPr>
          <w:rFonts w:ascii="Times New Roman" w:hAnsi="Times New Roman"/>
        </w:rPr>
        <w:t>nsur</w:t>
      </w:r>
      <w:r>
        <w:rPr>
          <w:rFonts w:ascii="Times New Roman" w:hAnsi="Times New Roman"/>
        </w:rPr>
        <w:t>e</w:t>
      </w:r>
      <w:r w:rsidRPr="00845F2F">
        <w:rPr>
          <w:rFonts w:ascii="Times New Roman" w:hAnsi="Times New Roman"/>
        </w:rPr>
        <w:t xml:space="preserve"> sufficient returns for utility investors.</w:t>
      </w:r>
      <w:r>
        <w:rPr>
          <w:rStyle w:val="FootnoteReference"/>
        </w:rPr>
        <w:footnoteReference w:id="16"/>
      </w:r>
      <w:r>
        <w:rPr>
          <w:rFonts w:ascii="Times New Roman" w:hAnsi="Times New Roman"/>
        </w:rPr>
        <w:t xml:space="preserve">  </w:t>
      </w:r>
    </w:p>
    <w:p w:rsidR="004A3289" w:rsidRDefault="004A3289" w:rsidP="004A3289">
      <w:pPr>
        <w:autoSpaceDE w:val="0"/>
        <w:autoSpaceDN w:val="0"/>
        <w:adjustRightInd w:val="0"/>
        <w:rPr>
          <w:rFonts w:ascii="Times New Roman" w:hAnsi="Times New Roman"/>
          <w:b/>
          <w:szCs w:val="24"/>
        </w:rPr>
      </w:pPr>
      <w:r>
        <w:rPr>
          <w:rFonts w:ascii="Times New Roman" w:hAnsi="Times New Roman"/>
          <w:b/>
          <w:szCs w:val="24"/>
        </w:rPr>
        <w:t>Q.</w:t>
      </w:r>
      <w:r>
        <w:rPr>
          <w:rFonts w:ascii="Times New Roman" w:hAnsi="Times New Roman"/>
          <w:b/>
          <w:szCs w:val="24"/>
        </w:rPr>
        <w:tab/>
        <w:t xml:space="preserve">Is the Company’s recommended </w:t>
      </w:r>
      <w:r w:rsidR="00AE6C8E">
        <w:rPr>
          <w:rFonts w:ascii="Times New Roman" w:hAnsi="Times New Roman"/>
          <w:b/>
          <w:szCs w:val="24"/>
        </w:rPr>
        <w:t>b</w:t>
      </w:r>
      <w:r>
        <w:rPr>
          <w:rFonts w:ascii="Times New Roman" w:hAnsi="Times New Roman"/>
          <w:b/>
          <w:szCs w:val="24"/>
        </w:rPr>
        <w:t>asic charge consistent with the average residential basic charges in Washington?</w:t>
      </w:r>
    </w:p>
    <w:p w:rsidR="004A3289" w:rsidRDefault="004A3289" w:rsidP="004A3289">
      <w:pPr>
        <w:autoSpaceDE w:val="0"/>
        <w:autoSpaceDN w:val="0"/>
        <w:adjustRightInd w:val="0"/>
        <w:rPr>
          <w:rFonts w:ascii="Times New Roman" w:hAnsi="Times New Roman"/>
          <w:szCs w:val="24"/>
        </w:rPr>
      </w:pPr>
      <w:r w:rsidRPr="00DC56F9">
        <w:rPr>
          <w:rFonts w:ascii="Times New Roman" w:hAnsi="Times New Roman"/>
          <w:szCs w:val="24"/>
        </w:rPr>
        <w:t xml:space="preserve">A. </w:t>
      </w:r>
      <w:r>
        <w:rPr>
          <w:rFonts w:ascii="Times New Roman" w:hAnsi="Times New Roman"/>
          <w:szCs w:val="24"/>
        </w:rPr>
        <w:tab/>
        <w:t>Yes.  The average residential basic charge in Washington is $15.</w:t>
      </w:r>
      <w:r w:rsidR="003A4617">
        <w:rPr>
          <w:rFonts w:ascii="Times New Roman" w:hAnsi="Times New Roman"/>
          <w:szCs w:val="24"/>
        </w:rPr>
        <w:t>69</w:t>
      </w:r>
      <w:r>
        <w:rPr>
          <w:rFonts w:ascii="Times New Roman" w:hAnsi="Times New Roman"/>
          <w:szCs w:val="24"/>
        </w:rPr>
        <w:t xml:space="preserve"> per month.  </w:t>
      </w:r>
      <w:r w:rsidRPr="001738B8">
        <w:rPr>
          <w:rFonts w:ascii="Times New Roman" w:hAnsi="Times New Roman"/>
        </w:rPr>
        <w:t>Exhibit No.</w:t>
      </w:r>
      <w:r w:rsidR="000846CE">
        <w:rPr>
          <w:rFonts w:ascii="Times New Roman" w:hAnsi="Times New Roman"/>
        </w:rPr>
        <w:t xml:space="preserve"> </w:t>
      </w:r>
      <w:r w:rsidRPr="001738B8">
        <w:rPr>
          <w:rFonts w:ascii="Times New Roman" w:hAnsi="Times New Roman"/>
        </w:rPr>
        <w:t>JRS-</w:t>
      </w:r>
      <w:r w:rsidR="00AE6C8E" w:rsidRPr="001738B8">
        <w:rPr>
          <w:rFonts w:ascii="Times New Roman" w:hAnsi="Times New Roman"/>
        </w:rPr>
        <w:t>20</w:t>
      </w:r>
      <w:r w:rsidRPr="00585CF8">
        <w:rPr>
          <w:rFonts w:ascii="Times New Roman" w:hAnsi="Times New Roman"/>
        </w:rPr>
        <w:t xml:space="preserve"> shows the current residential basic charges for other Washington utilities.  </w:t>
      </w:r>
      <w:r>
        <w:rPr>
          <w:rFonts w:ascii="Times New Roman" w:hAnsi="Times New Roman"/>
        </w:rPr>
        <w:t xml:space="preserve">In addition, it is my understanding that the Wisconsin Public Service Commission recently approved an </w:t>
      </w:r>
      <w:r>
        <w:rPr>
          <w:rFonts w:ascii="Times New Roman" w:hAnsi="Times New Roman"/>
          <w:szCs w:val="24"/>
        </w:rPr>
        <w:t>83 percent increase in the fixed charge for customers of Wisconsin Public Service Corporation, increasing the fixed charge to $19.</w:t>
      </w:r>
      <w:r>
        <w:rPr>
          <w:rStyle w:val="FootnoteReference"/>
          <w:szCs w:val="24"/>
        </w:rPr>
        <w:footnoteReference w:id="17"/>
      </w:r>
    </w:p>
    <w:p w:rsidR="00FB508D" w:rsidRPr="00BF76E5" w:rsidRDefault="00FB508D" w:rsidP="00FB508D">
      <w:pPr>
        <w:autoSpaceDE w:val="0"/>
        <w:autoSpaceDN w:val="0"/>
        <w:adjustRightInd w:val="0"/>
        <w:rPr>
          <w:rFonts w:ascii="Times New Roman" w:hAnsi="Times New Roman"/>
          <w:b/>
          <w:szCs w:val="24"/>
        </w:rPr>
      </w:pPr>
      <w:r w:rsidRPr="00BF76E5">
        <w:rPr>
          <w:rFonts w:ascii="Times New Roman" w:hAnsi="Times New Roman"/>
          <w:b/>
          <w:szCs w:val="24"/>
        </w:rPr>
        <w:t xml:space="preserve">Q. </w:t>
      </w:r>
      <w:r>
        <w:rPr>
          <w:rFonts w:ascii="Times New Roman" w:hAnsi="Times New Roman"/>
          <w:b/>
          <w:szCs w:val="24"/>
        </w:rPr>
        <w:tab/>
        <w:t>What justification d</w:t>
      </w:r>
      <w:r w:rsidRPr="00BF76E5">
        <w:rPr>
          <w:rFonts w:ascii="Times New Roman" w:hAnsi="Times New Roman"/>
          <w:b/>
          <w:szCs w:val="24"/>
        </w:rPr>
        <w:t xml:space="preserve">oes TASC </w:t>
      </w:r>
      <w:r>
        <w:rPr>
          <w:rFonts w:ascii="Times New Roman" w:hAnsi="Times New Roman"/>
          <w:b/>
          <w:szCs w:val="24"/>
        </w:rPr>
        <w:t xml:space="preserve">give for its maximum </w:t>
      </w:r>
      <w:r w:rsidRPr="00BF76E5">
        <w:rPr>
          <w:rFonts w:ascii="Times New Roman" w:hAnsi="Times New Roman"/>
          <w:b/>
          <w:szCs w:val="24"/>
        </w:rPr>
        <w:t>residential basic charge of $</w:t>
      </w:r>
      <w:r w:rsidR="007E7DBE">
        <w:rPr>
          <w:rFonts w:ascii="Times New Roman" w:hAnsi="Times New Roman"/>
          <w:b/>
          <w:szCs w:val="24"/>
        </w:rPr>
        <w:t>9.00</w:t>
      </w:r>
      <w:r w:rsidRPr="00BF76E5">
        <w:rPr>
          <w:rFonts w:ascii="Times New Roman" w:hAnsi="Times New Roman"/>
          <w:b/>
          <w:szCs w:val="24"/>
        </w:rPr>
        <w:t>?</w:t>
      </w:r>
    </w:p>
    <w:p w:rsidR="00E87790" w:rsidRPr="002E1DD0" w:rsidRDefault="00FB508D" w:rsidP="00FB508D">
      <w:pPr>
        <w:rPr>
          <w:rFonts w:ascii="Times New Roman" w:hAnsi="Times New Roman"/>
          <w:szCs w:val="24"/>
        </w:rPr>
      </w:pPr>
      <w:r w:rsidRPr="002E1DD0">
        <w:rPr>
          <w:rFonts w:ascii="Times New Roman" w:hAnsi="Times New Roman"/>
          <w:szCs w:val="24"/>
        </w:rPr>
        <w:t xml:space="preserve">A. </w:t>
      </w:r>
      <w:r w:rsidRPr="002E1DD0">
        <w:rPr>
          <w:rFonts w:ascii="Times New Roman" w:hAnsi="Times New Roman"/>
          <w:szCs w:val="24"/>
        </w:rPr>
        <w:tab/>
      </w:r>
      <w:r w:rsidR="007B5A80">
        <w:rPr>
          <w:rFonts w:ascii="Times New Roman" w:hAnsi="Times New Roman"/>
          <w:szCs w:val="24"/>
        </w:rPr>
        <w:t xml:space="preserve">TASC argues that the only costs that should be included in the basic charge are those for retail services, meters, and service lines.  </w:t>
      </w:r>
      <w:r w:rsidR="00E87790">
        <w:rPr>
          <w:rFonts w:ascii="Times New Roman" w:hAnsi="Times New Roman"/>
          <w:szCs w:val="24"/>
        </w:rPr>
        <w:t>TASC also argues that gradualism should prevail in any decision to raise the basic charge.</w:t>
      </w:r>
    </w:p>
    <w:p w:rsidR="00FB508D" w:rsidRPr="00BF76E5" w:rsidRDefault="00FB508D" w:rsidP="00FB508D">
      <w:pPr>
        <w:rPr>
          <w:rFonts w:ascii="Times New Roman" w:hAnsi="Times New Roman"/>
          <w:b/>
          <w:szCs w:val="24"/>
        </w:rPr>
      </w:pPr>
      <w:r w:rsidRPr="00BF76E5">
        <w:rPr>
          <w:rFonts w:ascii="Times New Roman" w:hAnsi="Times New Roman"/>
          <w:b/>
          <w:szCs w:val="24"/>
        </w:rPr>
        <w:t>Q.</w:t>
      </w:r>
      <w:r w:rsidRPr="00BF76E5">
        <w:rPr>
          <w:rFonts w:ascii="Times New Roman" w:hAnsi="Times New Roman"/>
          <w:b/>
          <w:szCs w:val="24"/>
        </w:rPr>
        <w:tab/>
        <w:t xml:space="preserve">What justification does Public Counsel give for maintaining the </w:t>
      </w:r>
      <w:r w:rsidR="00E87790">
        <w:rPr>
          <w:rFonts w:ascii="Times New Roman" w:hAnsi="Times New Roman"/>
          <w:b/>
          <w:szCs w:val="24"/>
        </w:rPr>
        <w:t>basic</w:t>
      </w:r>
      <w:r w:rsidRPr="00BF76E5">
        <w:rPr>
          <w:rFonts w:ascii="Times New Roman" w:hAnsi="Times New Roman"/>
          <w:b/>
          <w:szCs w:val="24"/>
        </w:rPr>
        <w:t xml:space="preserve"> charge at its current level?</w:t>
      </w:r>
    </w:p>
    <w:p w:rsidR="00FB508D" w:rsidRPr="00BF76E5" w:rsidRDefault="00FB508D" w:rsidP="00FB508D">
      <w:pPr>
        <w:rPr>
          <w:rFonts w:ascii="Times New Roman" w:hAnsi="Times New Roman"/>
          <w:szCs w:val="24"/>
        </w:rPr>
      </w:pPr>
      <w:r w:rsidRPr="00BF76E5">
        <w:rPr>
          <w:rFonts w:ascii="Times New Roman" w:hAnsi="Times New Roman"/>
          <w:szCs w:val="24"/>
        </w:rPr>
        <w:t xml:space="preserve">A. </w:t>
      </w:r>
      <w:r w:rsidRPr="00BF76E5">
        <w:rPr>
          <w:rFonts w:ascii="Times New Roman" w:hAnsi="Times New Roman"/>
          <w:szCs w:val="24"/>
        </w:rPr>
        <w:tab/>
        <w:t xml:space="preserve">Public Counsel argues that only marginal customer costs, which only include costs that vary as a result of a new customer, should be recovered through the customer charge.  Accordingly, </w:t>
      </w:r>
      <w:r w:rsidR="0076094F">
        <w:rPr>
          <w:rFonts w:ascii="Times New Roman" w:hAnsi="Times New Roman"/>
          <w:szCs w:val="24"/>
        </w:rPr>
        <w:t xml:space="preserve">Public Counsel includes </w:t>
      </w:r>
      <w:r w:rsidRPr="00BF76E5">
        <w:rPr>
          <w:rFonts w:ascii="Times New Roman" w:hAnsi="Times New Roman"/>
          <w:szCs w:val="24"/>
        </w:rPr>
        <w:t>only services, meters and incremental billing and accounting</w:t>
      </w:r>
      <w:r>
        <w:rPr>
          <w:rFonts w:ascii="Times New Roman" w:hAnsi="Times New Roman"/>
          <w:szCs w:val="24"/>
        </w:rPr>
        <w:t xml:space="preserve"> costs</w:t>
      </w:r>
      <w:r w:rsidRPr="00BF76E5">
        <w:rPr>
          <w:rFonts w:ascii="Times New Roman" w:hAnsi="Times New Roman"/>
          <w:szCs w:val="24"/>
        </w:rPr>
        <w:t xml:space="preserve"> in the customer charge.  </w:t>
      </w:r>
    </w:p>
    <w:p w:rsidR="00FB508D" w:rsidRPr="006B4596" w:rsidRDefault="00FB508D" w:rsidP="00D055AF">
      <w:pPr>
        <w:pStyle w:val="testimony"/>
        <w:tabs>
          <w:tab w:val="left" w:pos="1440"/>
        </w:tabs>
        <w:spacing w:line="480" w:lineRule="auto"/>
        <w:ind w:left="720" w:hanging="720"/>
        <w:rPr>
          <w:rFonts w:ascii="Times New Roman" w:hAnsi="Times New Roman"/>
          <w:szCs w:val="24"/>
        </w:rPr>
      </w:pPr>
      <w:r w:rsidRPr="006B4596">
        <w:rPr>
          <w:rFonts w:ascii="Times New Roman" w:hAnsi="Times New Roman"/>
          <w:b/>
          <w:szCs w:val="24"/>
        </w:rPr>
        <w:t>Q.</w:t>
      </w:r>
      <w:r w:rsidRPr="006B4596">
        <w:rPr>
          <w:rFonts w:ascii="Times New Roman" w:hAnsi="Times New Roman"/>
          <w:b/>
          <w:szCs w:val="24"/>
        </w:rPr>
        <w:tab/>
      </w:r>
      <w:r w:rsidR="00E87790">
        <w:rPr>
          <w:rFonts w:ascii="Times New Roman" w:hAnsi="Times New Roman"/>
          <w:b/>
          <w:szCs w:val="24"/>
        </w:rPr>
        <w:t>Public Counsel</w:t>
      </w:r>
      <w:r w:rsidRPr="006B4596">
        <w:rPr>
          <w:rFonts w:ascii="Times New Roman" w:hAnsi="Times New Roman"/>
          <w:b/>
          <w:szCs w:val="24"/>
        </w:rPr>
        <w:t xml:space="preserve"> excludes corporate overhead costs from </w:t>
      </w:r>
      <w:r w:rsidR="00A02932">
        <w:rPr>
          <w:rFonts w:ascii="Times New Roman" w:hAnsi="Times New Roman"/>
          <w:b/>
          <w:szCs w:val="24"/>
        </w:rPr>
        <w:t>its</w:t>
      </w:r>
      <w:r w:rsidR="00A02932" w:rsidRPr="006B4596">
        <w:rPr>
          <w:rFonts w:ascii="Times New Roman" w:hAnsi="Times New Roman"/>
          <w:b/>
          <w:szCs w:val="24"/>
        </w:rPr>
        <w:t xml:space="preserve"> </w:t>
      </w:r>
      <w:r w:rsidRPr="006B4596">
        <w:rPr>
          <w:rFonts w:ascii="Times New Roman" w:hAnsi="Times New Roman"/>
          <w:b/>
          <w:szCs w:val="24"/>
        </w:rPr>
        <w:t>calculation of a residential basic charge.</w:t>
      </w:r>
      <w:r w:rsidRPr="006B4596">
        <w:rPr>
          <w:rStyle w:val="FootnoteReference"/>
          <w:b/>
          <w:szCs w:val="24"/>
        </w:rPr>
        <w:footnoteReference w:id="18"/>
      </w:r>
      <w:r w:rsidRPr="006B4596">
        <w:rPr>
          <w:rFonts w:ascii="Times New Roman" w:hAnsi="Times New Roman"/>
          <w:b/>
          <w:szCs w:val="24"/>
        </w:rPr>
        <w:t xml:space="preserve">  Do you agree that these costs should be excluded?</w:t>
      </w:r>
    </w:p>
    <w:p w:rsidR="00FB508D" w:rsidRPr="006B4596" w:rsidRDefault="00FB508D" w:rsidP="00FB508D">
      <w:pPr>
        <w:pStyle w:val="testimony"/>
        <w:widowControl w:val="0"/>
        <w:tabs>
          <w:tab w:val="left" w:pos="1440"/>
        </w:tabs>
        <w:spacing w:line="480" w:lineRule="auto"/>
        <w:ind w:left="720" w:hanging="720"/>
        <w:rPr>
          <w:rFonts w:ascii="Times New Roman" w:hAnsi="Times New Roman"/>
          <w:szCs w:val="24"/>
        </w:rPr>
      </w:pPr>
      <w:r w:rsidRPr="006B4596">
        <w:rPr>
          <w:rFonts w:ascii="Times New Roman" w:hAnsi="Times New Roman"/>
          <w:szCs w:val="24"/>
        </w:rPr>
        <w:t>A.</w:t>
      </w:r>
      <w:r w:rsidRPr="006B4596">
        <w:rPr>
          <w:rFonts w:ascii="Times New Roman" w:hAnsi="Times New Roman"/>
          <w:szCs w:val="24"/>
        </w:rPr>
        <w:tab/>
        <w:t xml:space="preserve">No.  First, to be clear, the corporate overhead costs included in the </w:t>
      </w:r>
      <w:r w:rsidR="00E87790">
        <w:rPr>
          <w:rFonts w:ascii="Times New Roman" w:hAnsi="Times New Roman"/>
          <w:szCs w:val="24"/>
        </w:rPr>
        <w:t xml:space="preserve">basic </w:t>
      </w:r>
      <w:r w:rsidRPr="006B4596">
        <w:rPr>
          <w:rFonts w:ascii="Times New Roman" w:hAnsi="Times New Roman"/>
          <w:szCs w:val="24"/>
        </w:rPr>
        <w:t xml:space="preserve">charge calculation are only the portion of overhead costs that are allocated to customer-related distribution costs in the COS study; they are not all overhead costs as may be inferred from </w:t>
      </w:r>
      <w:r w:rsidR="00E87790">
        <w:rPr>
          <w:rFonts w:ascii="Times New Roman" w:hAnsi="Times New Roman"/>
          <w:szCs w:val="24"/>
        </w:rPr>
        <w:t>Public Counsel’s</w:t>
      </w:r>
      <w:r w:rsidRPr="006B4596">
        <w:rPr>
          <w:rFonts w:ascii="Times New Roman" w:hAnsi="Times New Roman"/>
          <w:szCs w:val="24"/>
        </w:rPr>
        <w:t xml:space="preserve"> testimony.   </w:t>
      </w:r>
    </w:p>
    <w:p w:rsidR="00FB508D" w:rsidRPr="006B4596" w:rsidRDefault="00FB508D" w:rsidP="00FB508D">
      <w:pPr>
        <w:pStyle w:val="testimony"/>
        <w:widowControl w:val="0"/>
        <w:tabs>
          <w:tab w:val="left" w:pos="1440"/>
        </w:tabs>
        <w:spacing w:line="480" w:lineRule="auto"/>
        <w:ind w:left="720" w:hanging="720"/>
        <w:rPr>
          <w:rFonts w:ascii="Times New Roman" w:hAnsi="Times New Roman"/>
          <w:szCs w:val="24"/>
        </w:rPr>
      </w:pPr>
      <w:r w:rsidRPr="00193937">
        <w:rPr>
          <w:rFonts w:ascii="Times New Roman" w:hAnsi="Times New Roman"/>
          <w:szCs w:val="24"/>
        </w:rPr>
        <w:tab/>
      </w:r>
      <w:r w:rsidRPr="00193937">
        <w:rPr>
          <w:rFonts w:ascii="Times New Roman" w:hAnsi="Times New Roman"/>
          <w:szCs w:val="24"/>
        </w:rPr>
        <w:tab/>
        <w:t xml:space="preserve">Second, </w:t>
      </w:r>
      <w:r w:rsidR="00E87790">
        <w:rPr>
          <w:rFonts w:ascii="Times New Roman" w:hAnsi="Times New Roman"/>
          <w:szCs w:val="24"/>
        </w:rPr>
        <w:t>Public Counsel’s</w:t>
      </w:r>
      <w:r w:rsidRPr="00193937">
        <w:rPr>
          <w:rFonts w:ascii="Times New Roman" w:hAnsi="Times New Roman"/>
          <w:szCs w:val="24"/>
        </w:rPr>
        <w:t xml:space="preserve"> only rationale for removing these costs is that the Company is “in the business of providing electricity to meet the energy needs of its customers” and that “customers do not subscribe to PacifiCorp’s services simply to be ‘connected.</w:t>
      </w:r>
      <w:r w:rsidR="006E733C">
        <w:rPr>
          <w:rFonts w:ascii="Times New Roman" w:hAnsi="Times New Roman"/>
          <w:szCs w:val="24"/>
        </w:rPr>
        <w:t>’</w:t>
      </w:r>
      <w:r>
        <w:rPr>
          <w:rFonts w:ascii="Times New Roman" w:hAnsi="Times New Roman"/>
          <w:szCs w:val="24"/>
        </w:rPr>
        <w:t>”</w:t>
      </w:r>
      <w:r w:rsidRPr="00193937">
        <w:rPr>
          <w:rStyle w:val="FootnoteReference"/>
          <w:szCs w:val="24"/>
        </w:rPr>
        <w:footnoteReference w:id="19"/>
      </w:r>
      <w:r w:rsidRPr="00193937">
        <w:rPr>
          <w:rFonts w:ascii="Times New Roman" w:hAnsi="Times New Roman"/>
          <w:szCs w:val="24"/>
        </w:rPr>
        <w:t xml:space="preserve">  This is an inadequate rationale.  Overhead</w:t>
      </w:r>
      <w:r w:rsidRPr="006B4596">
        <w:rPr>
          <w:rFonts w:ascii="Times New Roman" w:hAnsi="Times New Roman"/>
          <w:szCs w:val="24"/>
        </w:rPr>
        <w:t xml:space="preserve"> costs are a necessary part of doing business.  The Company cannot provide electricity to customers unless they are connected.  The costs of connecting and serving those customers</w:t>
      </w:r>
      <w:r w:rsidR="00D055AF">
        <w:rPr>
          <w:rFonts w:ascii="Times New Roman" w:hAnsi="Times New Roman"/>
          <w:szCs w:val="24"/>
        </w:rPr>
        <w:t>—</w:t>
      </w:r>
      <w:r w:rsidRPr="006B4596">
        <w:rPr>
          <w:rFonts w:ascii="Times New Roman" w:hAnsi="Times New Roman"/>
          <w:szCs w:val="24"/>
        </w:rPr>
        <w:t xml:space="preserve">through meters, services, </w:t>
      </w:r>
      <w:r w:rsidR="00E87790">
        <w:rPr>
          <w:rFonts w:ascii="Times New Roman" w:hAnsi="Times New Roman"/>
          <w:szCs w:val="24"/>
        </w:rPr>
        <w:t xml:space="preserve">poles, conductors, transformers, </w:t>
      </w:r>
      <w:r w:rsidRPr="006B4596">
        <w:rPr>
          <w:rFonts w:ascii="Times New Roman" w:hAnsi="Times New Roman"/>
          <w:szCs w:val="24"/>
        </w:rPr>
        <w:t>and customer services</w:t>
      </w:r>
      <w:r w:rsidR="00D055AF">
        <w:rPr>
          <w:rFonts w:ascii="Times New Roman" w:hAnsi="Times New Roman"/>
          <w:szCs w:val="24"/>
        </w:rPr>
        <w:t>—</w:t>
      </w:r>
      <w:r w:rsidRPr="006B4596">
        <w:rPr>
          <w:rFonts w:ascii="Times New Roman" w:hAnsi="Times New Roman"/>
          <w:szCs w:val="24"/>
        </w:rPr>
        <w:t xml:space="preserve">cannot exist without overhead costs.  It is appropriate to include the allocated share of overhead costs for the elements included in the calculation of the basic charge. </w:t>
      </w:r>
    </w:p>
    <w:p w:rsidR="00FB508D" w:rsidRPr="006B4596" w:rsidRDefault="00FB508D" w:rsidP="00FB508D">
      <w:pPr>
        <w:rPr>
          <w:rFonts w:ascii="Times New Roman" w:hAnsi="Times New Roman"/>
          <w:b/>
          <w:szCs w:val="24"/>
        </w:rPr>
      </w:pPr>
      <w:r w:rsidRPr="006B4596">
        <w:rPr>
          <w:rFonts w:ascii="Times New Roman" w:hAnsi="Times New Roman"/>
          <w:b/>
          <w:szCs w:val="24"/>
        </w:rPr>
        <w:t>Q.</w:t>
      </w:r>
      <w:r w:rsidRPr="006B4596">
        <w:rPr>
          <w:rFonts w:ascii="Times New Roman" w:hAnsi="Times New Roman"/>
          <w:b/>
          <w:szCs w:val="24"/>
        </w:rPr>
        <w:tab/>
        <w:t xml:space="preserve">What justification does </w:t>
      </w:r>
      <w:r w:rsidR="0076094F">
        <w:rPr>
          <w:rFonts w:ascii="Times New Roman" w:hAnsi="Times New Roman"/>
          <w:b/>
          <w:szCs w:val="24"/>
        </w:rPr>
        <w:t>t</w:t>
      </w:r>
      <w:r w:rsidRPr="006B4596">
        <w:rPr>
          <w:rFonts w:ascii="Times New Roman" w:hAnsi="Times New Roman"/>
          <w:b/>
          <w:szCs w:val="24"/>
        </w:rPr>
        <w:t>he Energy Project give for maintaining the customer charge at its current level?</w:t>
      </w:r>
    </w:p>
    <w:p w:rsidR="003A4617" w:rsidRPr="006B4596" w:rsidRDefault="00FB508D" w:rsidP="004013F2">
      <w:pPr>
        <w:pStyle w:val="testimony"/>
        <w:tabs>
          <w:tab w:val="left" w:pos="1440"/>
        </w:tabs>
        <w:spacing w:line="480" w:lineRule="auto"/>
        <w:ind w:left="720" w:hanging="720"/>
        <w:rPr>
          <w:rFonts w:ascii="Times New Roman" w:hAnsi="Times New Roman"/>
          <w:szCs w:val="24"/>
        </w:rPr>
      </w:pPr>
      <w:r w:rsidRPr="006B4596">
        <w:rPr>
          <w:rFonts w:ascii="Times New Roman" w:hAnsi="Times New Roman"/>
          <w:szCs w:val="24"/>
        </w:rPr>
        <w:t>A.</w:t>
      </w:r>
      <w:r w:rsidRPr="006B4596">
        <w:rPr>
          <w:rFonts w:ascii="Times New Roman" w:hAnsi="Times New Roman"/>
          <w:szCs w:val="24"/>
        </w:rPr>
        <w:tab/>
        <w:t>The Energy Project generally opposes incre</w:t>
      </w:r>
      <w:r>
        <w:rPr>
          <w:rFonts w:ascii="Times New Roman" w:hAnsi="Times New Roman"/>
          <w:szCs w:val="24"/>
        </w:rPr>
        <w:t>a</w:t>
      </w:r>
      <w:r w:rsidRPr="006B4596">
        <w:rPr>
          <w:rFonts w:ascii="Times New Roman" w:hAnsi="Times New Roman"/>
          <w:szCs w:val="24"/>
        </w:rPr>
        <w:t xml:space="preserve">ses to the </w:t>
      </w:r>
      <w:r w:rsidR="0076094F">
        <w:rPr>
          <w:rFonts w:ascii="Times New Roman" w:hAnsi="Times New Roman"/>
          <w:szCs w:val="24"/>
        </w:rPr>
        <w:t>b</w:t>
      </w:r>
      <w:r w:rsidRPr="006B4596">
        <w:rPr>
          <w:rFonts w:ascii="Times New Roman" w:hAnsi="Times New Roman"/>
          <w:szCs w:val="24"/>
        </w:rPr>
        <w:t>asic charge on the grounds that it diminishes a customer’s ability to control their bill.</w:t>
      </w:r>
      <w:r w:rsidR="003A4617">
        <w:rPr>
          <w:rFonts w:ascii="Times New Roman" w:hAnsi="Times New Roman"/>
          <w:szCs w:val="24"/>
        </w:rPr>
        <w:t xml:space="preserve">  As described below, the vast majority of a typical customer bill will still reflect variable costs over which customers have some control.  </w:t>
      </w:r>
    </w:p>
    <w:p w:rsidR="00FB508D" w:rsidRPr="00BF76E5" w:rsidRDefault="00FB508D" w:rsidP="00FB508D">
      <w:pPr>
        <w:rPr>
          <w:rFonts w:ascii="Times New Roman" w:hAnsi="Times New Roman"/>
          <w:b/>
          <w:szCs w:val="24"/>
        </w:rPr>
      </w:pPr>
      <w:r w:rsidRPr="00BF76E5">
        <w:rPr>
          <w:rFonts w:ascii="Times New Roman" w:hAnsi="Times New Roman"/>
          <w:b/>
          <w:szCs w:val="24"/>
        </w:rPr>
        <w:t xml:space="preserve">Q. </w:t>
      </w:r>
      <w:r w:rsidRPr="00BF76E5">
        <w:rPr>
          <w:rFonts w:ascii="Times New Roman" w:hAnsi="Times New Roman"/>
          <w:b/>
          <w:szCs w:val="24"/>
        </w:rPr>
        <w:tab/>
        <w:t>Public Counsel and TASC argue that poles, wires, and distribution transformers represent marginal costs that are variable in nature.  Do you agree?</w:t>
      </w:r>
    </w:p>
    <w:p w:rsidR="00FB508D" w:rsidRPr="00695CC6" w:rsidRDefault="000846CE" w:rsidP="00695CC6">
      <w:pPr>
        <w:rPr>
          <w:rFonts w:ascii="Times New Roman" w:hAnsi="Times New Roman"/>
          <w:b/>
          <w:szCs w:val="24"/>
        </w:rPr>
      </w:pPr>
      <w:r>
        <w:rPr>
          <w:rFonts w:ascii="Times New Roman" w:hAnsi="Times New Roman"/>
          <w:szCs w:val="24"/>
        </w:rPr>
        <w:t>A.</w:t>
      </w:r>
      <w:r>
        <w:rPr>
          <w:rFonts w:ascii="Times New Roman" w:hAnsi="Times New Roman"/>
          <w:szCs w:val="24"/>
        </w:rPr>
        <w:tab/>
      </w:r>
      <w:r w:rsidR="00FB508D" w:rsidRPr="00695CC6">
        <w:rPr>
          <w:rFonts w:ascii="Times New Roman" w:hAnsi="Times New Roman"/>
          <w:szCs w:val="24"/>
        </w:rPr>
        <w:t xml:space="preserve">No.  Poles and conductors (P&amp;C) and transformers, along with other distribution assets such as meters, services and substations are fixed costs that </w:t>
      </w:r>
      <w:r w:rsidR="00E87790" w:rsidRPr="00695CC6">
        <w:rPr>
          <w:rFonts w:ascii="Times New Roman" w:hAnsi="Times New Roman"/>
          <w:szCs w:val="24"/>
        </w:rPr>
        <w:t>are required to provide a minimum level of service to all customers</w:t>
      </w:r>
      <w:r w:rsidR="00FB508D" w:rsidRPr="00695CC6">
        <w:rPr>
          <w:rFonts w:ascii="Times New Roman" w:hAnsi="Times New Roman"/>
          <w:szCs w:val="24"/>
        </w:rPr>
        <w:t xml:space="preserve">.  These assets </w:t>
      </w:r>
      <w:r w:rsidR="008E143E" w:rsidRPr="00695CC6">
        <w:rPr>
          <w:rFonts w:ascii="Times New Roman" w:hAnsi="Times New Roman"/>
          <w:szCs w:val="24"/>
        </w:rPr>
        <w:t xml:space="preserve">will not vary in cost </w:t>
      </w:r>
      <w:r w:rsidR="00FB508D" w:rsidRPr="00695CC6">
        <w:rPr>
          <w:rFonts w:ascii="Times New Roman" w:hAnsi="Times New Roman"/>
          <w:szCs w:val="24"/>
        </w:rPr>
        <w:t xml:space="preserve">in </w:t>
      </w:r>
      <w:r w:rsidR="008E143E" w:rsidRPr="00695CC6">
        <w:rPr>
          <w:rFonts w:ascii="Times New Roman" w:hAnsi="Times New Roman"/>
          <w:szCs w:val="24"/>
        </w:rPr>
        <w:t>the near term; once installed these are long-term, fixed investments necessary for the provision of service to customers</w:t>
      </w:r>
      <w:r w:rsidR="00FB508D" w:rsidRPr="00695CC6">
        <w:rPr>
          <w:rFonts w:ascii="Times New Roman" w:hAnsi="Times New Roman"/>
          <w:szCs w:val="24"/>
        </w:rPr>
        <w:t xml:space="preserve">. </w:t>
      </w:r>
      <w:r w:rsidR="009C203D" w:rsidRPr="00695CC6">
        <w:rPr>
          <w:rFonts w:ascii="Times New Roman" w:hAnsi="Times New Roman"/>
          <w:szCs w:val="24"/>
        </w:rPr>
        <w:t>The most recent depreciation study approved by the Commission shows depreciation lives of 52, 60, and 43 years for poles, conductors, and transformers, respectively.</w:t>
      </w:r>
      <w:r w:rsidR="009C203D" w:rsidRPr="00BF76E5">
        <w:rPr>
          <w:rStyle w:val="FootnoteReference"/>
          <w:szCs w:val="24"/>
        </w:rPr>
        <w:footnoteReference w:id="20"/>
      </w:r>
      <w:r w:rsidR="009C203D" w:rsidRPr="00695CC6">
        <w:rPr>
          <w:rFonts w:ascii="Times New Roman" w:hAnsi="Times New Roman"/>
          <w:szCs w:val="24"/>
        </w:rPr>
        <w:t xml:space="preserve">  </w:t>
      </w:r>
      <w:r w:rsidR="008E143E" w:rsidRPr="00695CC6">
        <w:rPr>
          <w:rFonts w:ascii="Times New Roman" w:hAnsi="Times New Roman"/>
          <w:szCs w:val="24"/>
        </w:rPr>
        <w:t>Accordingly, these investments are not variable in nature, as asserted by Public Counsel and TASC.  The costs for these facilities do not go away when usage levels decrease, whether the decrease is related to weather, behavioral changes</w:t>
      </w:r>
      <w:r w:rsidR="002F2BA5" w:rsidRPr="00695CC6">
        <w:rPr>
          <w:rFonts w:ascii="Times New Roman" w:hAnsi="Times New Roman"/>
          <w:szCs w:val="24"/>
        </w:rPr>
        <w:t xml:space="preserve">, </w:t>
      </w:r>
      <w:r w:rsidR="008E143E" w:rsidRPr="00695CC6">
        <w:rPr>
          <w:rFonts w:ascii="Times New Roman" w:hAnsi="Times New Roman"/>
          <w:szCs w:val="24"/>
        </w:rPr>
        <w:t xml:space="preserve">the adoption of energy efficient </w:t>
      </w:r>
      <w:r w:rsidR="002F2BA5" w:rsidRPr="00695CC6">
        <w:rPr>
          <w:rFonts w:ascii="Times New Roman" w:hAnsi="Times New Roman"/>
          <w:szCs w:val="24"/>
        </w:rPr>
        <w:t xml:space="preserve">appliances, or the installation of </w:t>
      </w:r>
      <w:r w:rsidR="001F44B3">
        <w:rPr>
          <w:rFonts w:ascii="Times New Roman" w:hAnsi="Times New Roman"/>
          <w:szCs w:val="24"/>
        </w:rPr>
        <w:t>DG</w:t>
      </w:r>
      <w:r w:rsidR="008E143E" w:rsidRPr="00695CC6">
        <w:rPr>
          <w:rFonts w:ascii="Times New Roman" w:hAnsi="Times New Roman"/>
          <w:szCs w:val="24"/>
        </w:rPr>
        <w:t xml:space="preserve">.  </w:t>
      </w:r>
      <w:r w:rsidR="002F2BA5" w:rsidRPr="00695CC6">
        <w:rPr>
          <w:rFonts w:ascii="Times New Roman" w:hAnsi="Times New Roman"/>
          <w:szCs w:val="24"/>
        </w:rPr>
        <w:t xml:space="preserve">At a minimum, recovering half of these costs through the basic charge more fairly balances cost recovery for the Company and the investments </w:t>
      </w:r>
      <w:r w:rsidR="00AF0827" w:rsidRPr="00695CC6">
        <w:rPr>
          <w:rFonts w:ascii="Times New Roman" w:hAnsi="Times New Roman"/>
          <w:szCs w:val="24"/>
        </w:rPr>
        <w:t xml:space="preserve">necessary for the provision of </w:t>
      </w:r>
      <w:r w:rsidR="002F2BA5" w:rsidRPr="00695CC6">
        <w:rPr>
          <w:rFonts w:ascii="Times New Roman" w:hAnsi="Times New Roman"/>
          <w:szCs w:val="24"/>
        </w:rPr>
        <w:t>electric service</w:t>
      </w:r>
      <w:r w:rsidR="00AF0827" w:rsidRPr="00695CC6">
        <w:rPr>
          <w:rFonts w:ascii="Times New Roman" w:hAnsi="Times New Roman"/>
          <w:szCs w:val="24"/>
        </w:rPr>
        <w:t>.</w:t>
      </w:r>
      <w:r w:rsidR="002F2BA5" w:rsidRPr="00695CC6">
        <w:rPr>
          <w:rFonts w:ascii="Times New Roman" w:hAnsi="Times New Roman"/>
          <w:szCs w:val="24"/>
        </w:rPr>
        <w:t xml:space="preserve"> </w:t>
      </w:r>
    </w:p>
    <w:p w:rsidR="00FB508D" w:rsidRPr="00E73FCD" w:rsidRDefault="00FB508D" w:rsidP="00FB508D">
      <w:pPr>
        <w:pStyle w:val="ListParagraph"/>
        <w:rPr>
          <w:rFonts w:ascii="Times New Roman" w:hAnsi="Times New Roman"/>
          <w:b/>
          <w:szCs w:val="24"/>
        </w:rPr>
      </w:pPr>
      <w:r>
        <w:rPr>
          <w:rFonts w:ascii="Times New Roman" w:hAnsi="Times New Roman"/>
          <w:b/>
          <w:szCs w:val="24"/>
        </w:rPr>
        <w:t>Q.</w:t>
      </w:r>
      <w:r>
        <w:rPr>
          <w:rFonts w:ascii="Times New Roman" w:hAnsi="Times New Roman"/>
          <w:b/>
          <w:szCs w:val="24"/>
        </w:rPr>
        <w:tab/>
      </w:r>
      <w:r w:rsidRPr="00E73FCD">
        <w:rPr>
          <w:rFonts w:ascii="Times New Roman" w:hAnsi="Times New Roman"/>
          <w:b/>
          <w:szCs w:val="24"/>
        </w:rPr>
        <w:t>How do Public Counsel and TASC propose that P&amp;C and transformer costs be recovered by the Company?</w:t>
      </w:r>
    </w:p>
    <w:p w:rsidR="008A6A68" w:rsidRDefault="00FB508D" w:rsidP="00FB508D">
      <w:pPr>
        <w:pStyle w:val="testimony"/>
        <w:widowControl w:val="0"/>
        <w:tabs>
          <w:tab w:val="left" w:pos="1440"/>
        </w:tabs>
        <w:spacing w:line="480" w:lineRule="auto"/>
        <w:ind w:left="720" w:hanging="720"/>
        <w:rPr>
          <w:rFonts w:ascii="Times New Roman" w:hAnsi="Times New Roman"/>
          <w:szCs w:val="24"/>
        </w:rPr>
      </w:pPr>
      <w:r w:rsidRPr="00BF76E5">
        <w:rPr>
          <w:rFonts w:ascii="Times New Roman" w:hAnsi="Times New Roman"/>
          <w:szCs w:val="24"/>
        </w:rPr>
        <w:t xml:space="preserve">A. </w:t>
      </w:r>
      <w:r w:rsidRPr="00BF76E5">
        <w:rPr>
          <w:rFonts w:ascii="Times New Roman" w:hAnsi="Times New Roman"/>
          <w:szCs w:val="24"/>
        </w:rPr>
        <w:tab/>
      </w:r>
      <w:r w:rsidRPr="00370A44">
        <w:rPr>
          <w:rFonts w:ascii="Times New Roman" w:hAnsi="Times New Roman"/>
          <w:szCs w:val="24"/>
        </w:rPr>
        <w:t xml:space="preserve">Both Public Counsel and TASC propose that P&amp;C and </w:t>
      </w:r>
      <w:r w:rsidRPr="00AF0827">
        <w:rPr>
          <w:rFonts w:ascii="Times New Roman" w:hAnsi="Times New Roman"/>
          <w:szCs w:val="24"/>
        </w:rPr>
        <w:t>transformers be recovered through the volumetric energy charge</w:t>
      </w:r>
      <w:r w:rsidR="00AF0827">
        <w:rPr>
          <w:rFonts w:ascii="Times New Roman" w:hAnsi="Times New Roman"/>
          <w:szCs w:val="24"/>
        </w:rPr>
        <w:t xml:space="preserve"> for residential customers</w:t>
      </w:r>
      <w:r w:rsidRPr="00370A44">
        <w:rPr>
          <w:rFonts w:ascii="Times New Roman" w:hAnsi="Times New Roman"/>
          <w:szCs w:val="24"/>
        </w:rPr>
        <w:t xml:space="preserve">.  </w:t>
      </w:r>
      <w:r w:rsidR="00AF0827">
        <w:rPr>
          <w:rFonts w:ascii="Times New Roman" w:hAnsi="Times New Roman"/>
          <w:szCs w:val="24"/>
        </w:rPr>
        <w:t>However, even the NARUC Cost Allocation Manual recognizes that there is no energy component for distribution costs, stating “</w:t>
      </w:r>
      <w:r w:rsidR="00AF0827" w:rsidRPr="003F676B">
        <w:rPr>
          <w:rFonts w:ascii="Times New Roman" w:hAnsi="Times New Roman"/>
          <w:szCs w:val="24"/>
        </w:rPr>
        <w:t xml:space="preserve">Because there is no energy component of distribution related costs, we need consider </w:t>
      </w:r>
      <w:r w:rsidR="00D326CB">
        <w:rPr>
          <w:rFonts w:ascii="Times New Roman" w:hAnsi="Times New Roman"/>
          <w:szCs w:val="24"/>
        </w:rPr>
        <w:t xml:space="preserve">only </w:t>
      </w:r>
      <w:r w:rsidR="00AF0827" w:rsidRPr="003F676B">
        <w:rPr>
          <w:rFonts w:ascii="Times New Roman" w:hAnsi="Times New Roman"/>
          <w:szCs w:val="24"/>
        </w:rPr>
        <w:t>the demand and customer components</w:t>
      </w:r>
      <w:r w:rsidR="00255DC2">
        <w:rPr>
          <w:rFonts w:ascii="Times New Roman" w:hAnsi="Times New Roman"/>
          <w:szCs w:val="24"/>
        </w:rPr>
        <w:t>.”</w:t>
      </w:r>
      <w:r w:rsidR="00255DC2">
        <w:rPr>
          <w:rStyle w:val="FootnoteReference"/>
          <w:szCs w:val="24"/>
        </w:rPr>
        <w:footnoteReference w:id="21"/>
      </w:r>
      <w:r w:rsidR="00255DC2">
        <w:rPr>
          <w:rFonts w:ascii="Times New Roman" w:hAnsi="Times New Roman"/>
          <w:szCs w:val="24"/>
        </w:rPr>
        <w:t xml:space="preserve">  Accordingly, for most other rate schedules these costs are recovered through a combination of basic charges and demand charges.  Without a demand charge </w:t>
      </w:r>
    </w:p>
    <w:p w:rsidR="00AF0827" w:rsidRDefault="008A6A68" w:rsidP="00FB508D">
      <w:pPr>
        <w:pStyle w:val="testimony"/>
        <w:widowControl w:val="0"/>
        <w:tabs>
          <w:tab w:val="left" w:pos="1440"/>
        </w:tabs>
        <w:spacing w:line="480" w:lineRule="auto"/>
        <w:ind w:left="720" w:hanging="720"/>
        <w:rPr>
          <w:rFonts w:ascii="Times New Roman" w:hAnsi="Times New Roman"/>
          <w:szCs w:val="24"/>
        </w:rPr>
      </w:pPr>
      <w:r>
        <w:rPr>
          <w:rFonts w:ascii="Times New Roman" w:hAnsi="Times New Roman"/>
          <w:szCs w:val="24"/>
        </w:rPr>
        <w:tab/>
      </w:r>
      <w:r w:rsidR="00255DC2">
        <w:rPr>
          <w:rFonts w:ascii="Times New Roman" w:hAnsi="Times New Roman"/>
          <w:szCs w:val="24"/>
        </w:rPr>
        <w:t xml:space="preserve">component for residential customers, </w:t>
      </w:r>
      <w:r w:rsidR="009008FA">
        <w:rPr>
          <w:rFonts w:ascii="Times New Roman" w:hAnsi="Times New Roman"/>
          <w:szCs w:val="24"/>
        </w:rPr>
        <w:t>a balance between the basic charge and the energy charges represents the fairest, most cost-based rate design.</w:t>
      </w:r>
    </w:p>
    <w:p w:rsidR="00BF46B5" w:rsidRPr="00BF76E5" w:rsidRDefault="001B0135" w:rsidP="00BF46B5">
      <w:pPr>
        <w:rPr>
          <w:rFonts w:ascii="Times New Roman" w:hAnsi="Times New Roman"/>
          <w:b/>
          <w:szCs w:val="24"/>
        </w:rPr>
      </w:pPr>
      <w:r>
        <w:rPr>
          <w:rFonts w:ascii="Times New Roman" w:hAnsi="Times New Roman"/>
          <w:b/>
          <w:szCs w:val="24"/>
        </w:rPr>
        <w:t>Q</w:t>
      </w:r>
      <w:r w:rsidR="00BF46B5" w:rsidRPr="00BF76E5">
        <w:rPr>
          <w:rFonts w:ascii="Times New Roman" w:hAnsi="Times New Roman"/>
          <w:b/>
          <w:szCs w:val="24"/>
        </w:rPr>
        <w:t xml:space="preserve">. </w:t>
      </w:r>
      <w:r w:rsidR="00BF46B5" w:rsidRPr="00BF76E5">
        <w:rPr>
          <w:rFonts w:ascii="Times New Roman" w:hAnsi="Times New Roman"/>
          <w:b/>
          <w:szCs w:val="24"/>
        </w:rPr>
        <w:tab/>
        <w:t>Are poles, conductors</w:t>
      </w:r>
      <w:r w:rsidR="0076094F">
        <w:rPr>
          <w:rFonts w:ascii="Times New Roman" w:hAnsi="Times New Roman"/>
          <w:b/>
          <w:szCs w:val="24"/>
        </w:rPr>
        <w:t>,</w:t>
      </w:r>
      <w:r w:rsidR="00BF46B5" w:rsidRPr="00BF76E5">
        <w:rPr>
          <w:rFonts w:ascii="Times New Roman" w:hAnsi="Times New Roman"/>
          <w:b/>
          <w:szCs w:val="24"/>
        </w:rPr>
        <w:t xml:space="preserve"> and transformers a customer</w:t>
      </w:r>
      <w:r w:rsidR="0076094F">
        <w:rPr>
          <w:rFonts w:ascii="Times New Roman" w:hAnsi="Times New Roman"/>
          <w:b/>
          <w:szCs w:val="24"/>
        </w:rPr>
        <w:t>-</w:t>
      </w:r>
      <w:r w:rsidR="00BF46B5" w:rsidRPr="00BF76E5">
        <w:rPr>
          <w:rFonts w:ascii="Times New Roman" w:hAnsi="Times New Roman"/>
          <w:b/>
          <w:szCs w:val="24"/>
        </w:rPr>
        <w:t>related component of distribution line transformers?</w:t>
      </w:r>
    </w:p>
    <w:p w:rsidR="001B7157" w:rsidRPr="001738B8" w:rsidRDefault="00BF46B5" w:rsidP="001B7157">
      <w:r w:rsidRPr="00BF76E5">
        <w:rPr>
          <w:rFonts w:ascii="Times New Roman" w:hAnsi="Times New Roman"/>
          <w:szCs w:val="24"/>
        </w:rPr>
        <w:t xml:space="preserve">A. </w:t>
      </w:r>
      <w:r w:rsidRPr="00BF76E5">
        <w:rPr>
          <w:rFonts w:ascii="Times New Roman" w:hAnsi="Times New Roman"/>
          <w:szCs w:val="24"/>
        </w:rPr>
        <w:tab/>
      </w:r>
      <w:r w:rsidR="001B7157">
        <w:rPr>
          <w:rFonts w:ascii="Times New Roman" w:hAnsi="Times New Roman"/>
          <w:color w:val="000000"/>
        </w:rPr>
        <w:t>Yes.  Like a meter or service drop</w:t>
      </w:r>
      <w:r w:rsidR="001B7157" w:rsidRPr="001738B8">
        <w:rPr>
          <w:rFonts w:ascii="Times New Roman" w:hAnsi="Times New Roman"/>
        </w:rPr>
        <w:t xml:space="preserve">, there is a large portion of the distribution line conductors and distribution transformer costs that are fixed and do not vary with the capacity of the equipment.  </w:t>
      </w:r>
      <w:r w:rsidR="0076094F" w:rsidRPr="001738B8">
        <w:rPr>
          <w:rFonts w:ascii="Times New Roman" w:hAnsi="Times New Roman"/>
        </w:rPr>
        <w:t>A</w:t>
      </w:r>
      <w:r w:rsidR="001B7157" w:rsidRPr="001738B8">
        <w:rPr>
          <w:rFonts w:ascii="Times New Roman" w:hAnsi="Times New Roman"/>
        </w:rPr>
        <w:t xml:space="preserve"> large portion of the total cost </w:t>
      </w:r>
      <w:r w:rsidR="0076094F" w:rsidRPr="001738B8">
        <w:rPr>
          <w:rFonts w:ascii="Times New Roman" w:hAnsi="Times New Roman"/>
        </w:rPr>
        <w:t xml:space="preserve">of distribution equipment is </w:t>
      </w:r>
      <w:r w:rsidR="001B7157" w:rsidRPr="001738B8">
        <w:rPr>
          <w:rFonts w:ascii="Times New Roman" w:hAnsi="Times New Roman"/>
        </w:rPr>
        <w:t>associated with the embedded cost for manufacturing equipment, production processes and transportation of material</w:t>
      </w:r>
      <w:r w:rsidR="0076094F" w:rsidRPr="001738B8">
        <w:rPr>
          <w:rFonts w:ascii="Times New Roman" w:hAnsi="Times New Roman"/>
        </w:rPr>
        <w:t>,</w:t>
      </w:r>
      <w:r w:rsidR="001B7157" w:rsidRPr="001738B8">
        <w:rPr>
          <w:rFonts w:ascii="Times New Roman" w:hAnsi="Times New Roman"/>
        </w:rPr>
        <w:t xml:space="preserve"> which is required to meet federal safety standards and/or industry manufacturing standards. This cost is fixed and does not vary with capacity. For example, a 25 KVA single phase pad-mount transformer and a 50 KVA single phase pad-mount transformer</w:t>
      </w:r>
      <w:r w:rsidR="0076094F" w:rsidRPr="001738B8">
        <w:rPr>
          <w:rFonts w:ascii="Times New Roman" w:hAnsi="Times New Roman"/>
        </w:rPr>
        <w:t>, which</w:t>
      </w:r>
      <w:r w:rsidR="001B7157" w:rsidRPr="001738B8">
        <w:rPr>
          <w:rFonts w:ascii="Times New Roman" w:hAnsi="Times New Roman"/>
        </w:rPr>
        <w:t xml:space="preserve"> are commonly installed in residential subdivisions, have average installed costs of $5,212 and $5,598, respectively.  Although, the 50 KVA transformer provides double the demand capacity of the 25 KVA transformer, it only costs about 5 percent more.  Clearly, a large proportion of the cost of these transformers in this example do not vary with capacity and are fixed costs necessary to serve customers. </w:t>
      </w:r>
      <w:r w:rsidR="00C461F7">
        <w:rPr>
          <w:rFonts w:ascii="Times New Roman" w:hAnsi="Times New Roman"/>
        </w:rPr>
        <w:t xml:space="preserve"> </w:t>
      </w:r>
      <w:r w:rsidR="001B7157" w:rsidRPr="001738B8">
        <w:rPr>
          <w:rFonts w:ascii="Times New Roman" w:hAnsi="Times New Roman"/>
        </w:rPr>
        <w:t xml:space="preserve">A similar relationship exists for distribution poles and distribution line conductors in that the large majority of these </w:t>
      </w:r>
      <w:r w:rsidR="0076094F" w:rsidRPr="001738B8">
        <w:rPr>
          <w:rFonts w:ascii="Times New Roman" w:hAnsi="Times New Roman"/>
        </w:rPr>
        <w:t xml:space="preserve">equipment </w:t>
      </w:r>
      <w:r w:rsidR="001B7157" w:rsidRPr="001738B8">
        <w:rPr>
          <w:rFonts w:ascii="Times New Roman" w:hAnsi="Times New Roman"/>
        </w:rPr>
        <w:t>costs are customer</w:t>
      </w:r>
      <w:r w:rsidR="0076094F" w:rsidRPr="001738B8">
        <w:rPr>
          <w:rFonts w:ascii="Times New Roman" w:hAnsi="Times New Roman"/>
        </w:rPr>
        <w:t>-</w:t>
      </w:r>
      <w:r w:rsidR="001B7157" w:rsidRPr="001738B8">
        <w:rPr>
          <w:rFonts w:ascii="Times New Roman" w:hAnsi="Times New Roman"/>
        </w:rPr>
        <w:t>related fixed costs associated with manufacturing equipment, production processes and transportation of material</w:t>
      </w:r>
      <w:r w:rsidR="00C461F7" w:rsidRPr="001738B8">
        <w:rPr>
          <w:rFonts w:ascii="Times New Roman" w:hAnsi="Times New Roman"/>
        </w:rPr>
        <w:t xml:space="preserve">.  </w:t>
      </w:r>
      <w:r w:rsidR="001B7157" w:rsidRPr="001738B8">
        <w:rPr>
          <w:rFonts w:ascii="Times New Roman" w:hAnsi="Times New Roman"/>
        </w:rPr>
        <w:t xml:space="preserve">Without these fixed cost components, the base utility system infrastructure required to provide safe and reliable service to customers, independent of demand, would not be there. </w:t>
      </w:r>
    </w:p>
    <w:p w:rsidR="009008FA" w:rsidRPr="00BF76E5" w:rsidRDefault="001B7157" w:rsidP="009008FA">
      <w:pPr>
        <w:rPr>
          <w:rFonts w:ascii="Times New Roman" w:hAnsi="Times New Roman"/>
          <w:b/>
          <w:szCs w:val="24"/>
        </w:rPr>
      </w:pPr>
      <w:r w:rsidRPr="00BF76E5" w:rsidDel="001B7157">
        <w:rPr>
          <w:rFonts w:ascii="Times New Roman" w:hAnsi="Times New Roman"/>
          <w:szCs w:val="24"/>
        </w:rPr>
        <w:t xml:space="preserve"> </w:t>
      </w:r>
      <w:r w:rsidR="009008FA" w:rsidRPr="00BF76E5">
        <w:rPr>
          <w:rFonts w:ascii="Times New Roman" w:hAnsi="Times New Roman"/>
          <w:b/>
          <w:szCs w:val="24"/>
        </w:rPr>
        <w:t xml:space="preserve">Q. </w:t>
      </w:r>
      <w:r w:rsidR="009008FA">
        <w:rPr>
          <w:rFonts w:ascii="Times New Roman" w:hAnsi="Times New Roman"/>
          <w:b/>
          <w:szCs w:val="24"/>
        </w:rPr>
        <w:tab/>
        <w:t xml:space="preserve">For perspective, how </w:t>
      </w:r>
      <w:r w:rsidR="000A0E01">
        <w:rPr>
          <w:rFonts w:ascii="Times New Roman" w:hAnsi="Times New Roman"/>
          <w:b/>
          <w:szCs w:val="24"/>
        </w:rPr>
        <w:t>do the different cost element</w:t>
      </w:r>
      <w:r w:rsidR="008076C2">
        <w:rPr>
          <w:rFonts w:ascii="Times New Roman" w:hAnsi="Times New Roman"/>
          <w:b/>
          <w:szCs w:val="24"/>
        </w:rPr>
        <w:t>s</w:t>
      </w:r>
      <w:r w:rsidR="000A0E01">
        <w:rPr>
          <w:rFonts w:ascii="Times New Roman" w:hAnsi="Times New Roman"/>
          <w:b/>
          <w:szCs w:val="24"/>
        </w:rPr>
        <w:t xml:space="preserve"> for service to </w:t>
      </w:r>
      <w:r w:rsidR="009008FA">
        <w:rPr>
          <w:rFonts w:ascii="Times New Roman" w:hAnsi="Times New Roman"/>
          <w:b/>
          <w:szCs w:val="24"/>
        </w:rPr>
        <w:t xml:space="preserve">an average residential customer compare to how costs are recovered from the average residential customer?  </w:t>
      </w:r>
    </w:p>
    <w:p w:rsidR="00833CAD" w:rsidRDefault="009008FA" w:rsidP="007939AA">
      <w:pPr>
        <w:rPr>
          <w:rFonts w:ascii="Times New Roman" w:hAnsi="Times New Roman"/>
          <w:szCs w:val="24"/>
        </w:rPr>
      </w:pPr>
      <w:r w:rsidRPr="00BF76E5">
        <w:rPr>
          <w:rFonts w:ascii="Times New Roman" w:hAnsi="Times New Roman"/>
          <w:szCs w:val="24"/>
        </w:rPr>
        <w:t xml:space="preserve">A. </w:t>
      </w:r>
      <w:r w:rsidRPr="00BF76E5">
        <w:rPr>
          <w:rFonts w:ascii="Times New Roman" w:hAnsi="Times New Roman"/>
          <w:szCs w:val="24"/>
        </w:rPr>
        <w:tab/>
      </w:r>
      <w:r w:rsidR="008076C2" w:rsidRPr="001738B8">
        <w:rPr>
          <w:rFonts w:ascii="Times New Roman" w:hAnsi="Times New Roman"/>
          <w:szCs w:val="24"/>
        </w:rPr>
        <w:t>Table</w:t>
      </w:r>
      <w:r w:rsidR="00833CAD" w:rsidRPr="001738B8">
        <w:rPr>
          <w:rFonts w:ascii="Times New Roman" w:hAnsi="Times New Roman"/>
          <w:szCs w:val="24"/>
        </w:rPr>
        <w:t xml:space="preserve"> </w:t>
      </w:r>
      <w:r w:rsidR="00434A99" w:rsidRPr="001738B8">
        <w:rPr>
          <w:rFonts w:ascii="Times New Roman" w:hAnsi="Times New Roman"/>
          <w:szCs w:val="24"/>
        </w:rPr>
        <w:t>8</w:t>
      </w:r>
      <w:r w:rsidRPr="00BF76E5">
        <w:rPr>
          <w:rFonts w:ascii="Times New Roman" w:hAnsi="Times New Roman"/>
          <w:szCs w:val="24"/>
        </w:rPr>
        <w:t xml:space="preserve"> below</w:t>
      </w:r>
      <w:r>
        <w:rPr>
          <w:rFonts w:ascii="Times New Roman" w:hAnsi="Times New Roman"/>
          <w:szCs w:val="24"/>
        </w:rPr>
        <w:t xml:space="preserve"> shows </w:t>
      </w:r>
      <w:r w:rsidR="00833CAD">
        <w:rPr>
          <w:rFonts w:ascii="Times New Roman" w:hAnsi="Times New Roman"/>
          <w:szCs w:val="24"/>
        </w:rPr>
        <w:t xml:space="preserve">what </w:t>
      </w:r>
      <w:r>
        <w:rPr>
          <w:rFonts w:ascii="Times New Roman" w:hAnsi="Times New Roman"/>
          <w:szCs w:val="24"/>
        </w:rPr>
        <w:t>costs</w:t>
      </w:r>
      <w:r w:rsidR="00833CAD">
        <w:rPr>
          <w:rFonts w:ascii="Times New Roman" w:hAnsi="Times New Roman"/>
          <w:szCs w:val="24"/>
        </w:rPr>
        <w:t xml:space="preserve"> make up an average residential bill.  Of these costs only </w:t>
      </w:r>
      <w:r w:rsidRPr="00BF76E5">
        <w:rPr>
          <w:rFonts w:ascii="Times New Roman" w:hAnsi="Times New Roman"/>
          <w:szCs w:val="24"/>
        </w:rPr>
        <w:t>net power costs</w:t>
      </w:r>
      <w:r w:rsidR="00833CAD">
        <w:rPr>
          <w:rFonts w:ascii="Times New Roman" w:hAnsi="Times New Roman"/>
          <w:szCs w:val="24"/>
        </w:rPr>
        <w:t xml:space="preserve">, which </w:t>
      </w:r>
      <w:r>
        <w:rPr>
          <w:rFonts w:ascii="Times New Roman" w:hAnsi="Times New Roman"/>
          <w:szCs w:val="24"/>
        </w:rPr>
        <w:t xml:space="preserve">make up </w:t>
      </w:r>
      <w:r w:rsidR="00833CAD">
        <w:rPr>
          <w:rFonts w:ascii="Times New Roman" w:hAnsi="Times New Roman"/>
          <w:szCs w:val="24"/>
        </w:rPr>
        <w:t xml:space="preserve">approximately </w:t>
      </w:r>
      <w:r>
        <w:rPr>
          <w:rFonts w:ascii="Times New Roman" w:hAnsi="Times New Roman"/>
          <w:szCs w:val="24"/>
        </w:rPr>
        <w:t>4</w:t>
      </w:r>
      <w:r w:rsidR="00B5084D">
        <w:rPr>
          <w:rFonts w:ascii="Times New Roman" w:hAnsi="Times New Roman"/>
          <w:szCs w:val="24"/>
        </w:rPr>
        <w:t>2</w:t>
      </w:r>
      <w:r w:rsidR="00833CAD">
        <w:rPr>
          <w:rFonts w:ascii="Times New Roman" w:hAnsi="Times New Roman"/>
          <w:szCs w:val="24"/>
        </w:rPr>
        <w:t xml:space="preserve"> percent</w:t>
      </w:r>
      <w:r>
        <w:rPr>
          <w:rFonts w:ascii="Times New Roman" w:hAnsi="Times New Roman"/>
          <w:szCs w:val="24"/>
        </w:rPr>
        <w:t xml:space="preserve"> of the </w:t>
      </w:r>
      <w:r w:rsidRPr="00BF76E5">
        <w:rPr>
          <w:rFonts w:ascii="Times New Roman" w:hAnsi="Times New Roman"/>
          <w:szCs w:val="24"/>
        </w:rPr>
        <w:t xml:space="preserve">residential </w:t>
      </w:r>
      <w:r w:rsidR="00833CAD">
        <w:rPr>
          <w:rFonts w:ascii="Times New Roman" w:hAnsi="Times New Roman"/>
          <w:szCs w:val="24"/>
        </w:rPr>
        <w:t>costs, will truly vary in the near term with changes in usage.  The other cost components, which make up 5</w:t>
      </w:r>
      <w:r w:rsidR="00B5084D">
        <w:rPr>
          <w:rFonts w:ascii="Times New Roman" w:hAnsi="Times New Roman"/>
          <w:szCs w:val="24"/>
        </w:rPr>
        <w:t>8</w:t>
      </w:r>
      <w:r w:rsidR="00833CAD">
        <w:rPr>
          <w:rFonts w:ascii="Times New Roman" w:hAnsi="Times New Roman"/>
          <w:szCs w:val="24"/>
        </w:rPr>
        <w:t xml:space="preserve"> percent of the total residential costs, are more fixed in nature; the only thing that changes in the near term</w:t>
      </w:r>
      <w:r w:rsidR="000A0E01">
        <w:rPr>
          <w:rFonts w:ascii="Times New Roman" w:hAnsi="Times New Roman"/>
          <w:szCs w:val="24"/>
        </w:rPr>
        <w:t xml:space="preserve"> for the non-net power costs</w:t>
      </w:r>
      <w:r w:rsidR="00833CAD">
        <w:rPr>
          <w:rFonts w:ascii="Times New Roman" w:hAnsi="Times New Roman"/>
          <w:szCs w:val="24"/>
        </w:rPr>
        <w:t xml:space="preserve"> is who pays for those costs</w:t>
      </w:r>
      <w:r>
        <w:rPr>
          <w:rFonts w:ascii="Times New Roman" w:hAnsi="Times New Roman"/>
          <w:szCs w:val="24"/>
        </w:rPr>
        <w:t>.</w:t>
      </w:r>
      <w:r w:rsidRPr="00BF76E5">
        <w:rPr>
          <w:rFonts w:ascii="Times New Roman" w:hAnsi="Times New Roman"/>
          <w:szCs w:val="24"/>
        </w:rPr>
        <w:t xml:space="preserve">  </w:t>
      </w:r>
      <w:r w:rsidR="00833CAD">
        <w:rPr>
          <w:rFonts w:ascii="Times New Roman" w:hAnsi="Times New Roman"/>
          <w:szCs w:val="24"/>
        </w:rPr>
        <w:t>In contrast</w:t>
      </w:r>
      <w:r w:rsidR="00833CAD" w:rsidRPr="001738B8">
        <w:rPr>
          <w:rFonts w:ascii="Times New Roman" w:hAnsi="Times New Roman"/>
          <w:szCs w:val="24"/>
        </w:rPr>
        <w:t xml:space="preserve">, </w:t>
      </w:r>
      <w:r w:rsidR="008076C2" w:rsidRPr="001738B8">
        <w:rPr>
          <w:rFonts w:ascii="Times New Roman" w:hAnsi="Times New Roman"/>
          <w:szCs w:val="24"/>
        </w:rPr>
        <w:t xml:space="preserve">Table </w:t>
      </w:r>
      <w:r w:rsidR="00434A99" w:rsidRPr="001738B8">
        <w:rPr>
          <w:rFonts w:ascii="Times New Roman" w:hAnsi="Times New Roman"/>
          <w:szCs w:val="24"/>
        </w:rPr>
        <w:t>9</w:t>
      </w:r>
      <w:r w:rsidR="00833CAD">
        <w:rPr>
          <w:rFonts w:ascii="Times New Roman" w:hAnsi="Times New Roman"/>
          <w:szCs w:val="24"/>
        </w:rPr>
        <w:t xml:space="preserve"> </w:t>
      </w:r>
      <w:r w:rsidR="00C461F7">
        <w:rPr>
          <w:rFonts w:ascii="Times New Roman" w:hAnsi="Times New Roman"/>
          <w:szCs w:val="24"/>
        </w:rPr>
        <w:t xml:space="preserve">below </w:t>
      </w:r>
      <w:r w:rsidR="00833CAD">
        <w:rPr>
          <w:rFonts w:ascii="Times New Roman" w:hAnsi="Times New Roman"/>
          <w:szCs w:val="24"/>
        </w:rPr>
        <w:t>shows how costs are recovered through charges</w:t>
      </w:r>
      <w:r w:rsidR="0076094F">
        <w:rPr>
          <w:rFonts w:ascii="Times New Roman" w:hAnsi="Times New Roman"/>
          <w:szCs w:val="24"/>
        </w:rPr>
        <w:t xml:space="preserve"> on the bill</w:t>
      </w:r>
      <w:r w:rsidR="00833CAD">
        <w:rPr>
          <w:rFonts w:ascii="Times New Roman" w:hAnsi="Times New Roman"/>
          <w:szCs w:val="24"/>
        </w:rPr>
        <w:t xml:space="preserve">.  This shows that with the proposed </w:t>
      </w:r>
      <w:r w:rsidR="003F6119">
        <w:rPr>
          <w:rFonts w:ascii="Times New Roman" w:hAnsi="Times New Roman"/>
          <w:szCs w:val="24"/>
        </w:rPr>
        <w:t xml:space="preserve">rates, </w:t>
      </w:r>
      <w:r w:rsidR="00833CAD" w:rsidRPr="00BF76E5">
        <w:rPr>
          <w:rFonts w:ascii="Times New Roman" w:hAnsi="Times New Roman"/>
          <w:szCs w:val="24"/>
        </w:rPr>
        <w:t>only 11</w:t>
      </w:r>
      <w:r w:rsidR="00833CAD">
        <w:rPr>
          <w:rFonts w:ascii="Times New Roman" w:hAnsi="Times New Roman"/>
          <w:szCs w:val="24"/>
        </w:rPr>
        <w:t xml:space="preserve"> percent</w:t>
      </w:r>
      <w:r w:rsidR="00833CAD" w:rsidRPr="00BF76E5">
        <w:rPr>
          <w:rFonts w:ascii="Times New Roman" w:hAnsi="Times New Roman"/>
          <w:szCs w:val="24"/>
        </w:rPr>
        <w:t xml:space="preserve"> of </w:t>
      </w:r>
      <w:r w:rsidR="00833CAD">
        <w:rPr>
          <w:rFonts w:ascii="Times New Roman" w:hAnsi="Times New Roman"/>
          <w:szCs w:val="24"/>
        </w:rPr>
        <w:t>the</w:t>
      </w:r>
      <w:r w:rsidR="00833CAD" w:rsidRPr="00BF76E5">
        <w:rPr>
          <w:rFonts w:ascii="Times New Roman" w:hAnsi="Times New Roman"/>
          <w:szCs w:val="24"/>
        </w:rPr>
        <w:t xml:space="preserve"> average residential customer’s bill is fixed with the remaining 89</w:t>
      </w:r>
      <w:r w:rsidR="003F6119">
        <w:rPr>
          <w:rFonts w:ascii="Times New Roman" w:hAnsi="Times New Roman"/>
          <w:szCs w:val="24"/>
        </w:rPr>
        <w:t xml:space="preserve"> percent is</w:t>
      </w:r>
      <w:r w:rsidR="00833CAD" w:rsidRPr="00BF76E5">
        <w:rPr>
          <w:rFonts w:ascii="Times New Roman" w:hAnsi="Times New Roman"/>
          <w:szCs w:val="24"/>
        </w:rPr>
        <w:t xml:space="preserve"> variable. </w:t>
      </w:r>
    </w:p>
    <w:p w:rsidR="009008FA" w:rsidRPr="000A5A66" w:rsidRDefault="008076C2" w:rsidP="00695CC6">
      <w:pPr>
        <w:keepNext/>
        <w:suppressLineNumbers/>
        <w:ind w:left="1440"/>
        <w:jc w:val="center"/>
        <w:rPr>
          <w:rFonts w:ascii="Times New Roman" w:hAnsi="Times New Roman"/>
          <w:b/>
          <w:szCs w:val="24"/>
        </w:rPr>
      </w:pPr>
      <w:r>
        <w:rPr>
          <w:rFonts w:ascii="Times New Roman" w:hAnsi="Times New Roman"/>
          <w:b/>
          <w:szCs w:val="24"/>
        </w:rPr>
        <w:t>Table</w:t>
      </w:r>
      <w:r w:rsidR="009008FA" w:rsidRPr="000A5A66">
        <w:rPr>
          <w:rFonts w:ascii="Times New Roman" w:hAnsi="Times New Roman"/>
          <w:b/>
          <w:szCs w:val="24"/>
        </w:rPr>
        <w:t xml:space="preserve"> </w:t>
      </w:r>
      <w:r w:rsidR="00434A99">
        <w:rPr>
          <w:rFonts w:ascii="Times New Roman" w:hAnsi="Times New Roman"/>
          <w:b/>
          <w:szCs w:val="24"/>
        </w:rPr>
        <w:t>8</w:t>
      </w:r>
    </w:p>
    <w:p w:rsidR="008076C2" w:rsidRDefault="00053FDE" w:rsidP="00695CC6">
      <w:pPr>
        <w:suppressLineNumbers/>
        <w:autoSpaceDE w:val="0"/>
        <w:autoSpaceDN w:val="0"/>
        <w:adjustRightInd w:val="0"/>
        <w:ind w:left="0" w:firstLine="0"/>
        <w:jc w:val="center"/>
        <w:rPr>
          <w:rFonts w:ascii="Times New Roman" w:hAnsi="Times New Roman"/>
          <w:b/>
          <w:szCs w:val="24"/>
        </w:rPr>
      </w:pPr>
      <w:r w:rsidRPr="00743B34">
        <w:rPr>
          <w:rFonts w:ascii="Times New Roman" w:hAnsi="Times New Roman"/>
          <w:noProof/>
          <w:szCs w:val="24"/>
        </w:rPr>
        <w:drawing>
          <wp:inline distT="0" distB="0" distL="0" distR="0" wp14:anchorId="1153D5B1" wp14:editId="5839B467">
            <wp:extent cx="4059936" cy="3108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59936" cy="3108960"/>
                    </a:xfrm>
                    <a:prstGeom prst="rect">
                      <a:avLst/>
                    </a:prstGeom>
                    <a:noFill/>
                  </pic:spPr>
                </pic:pic>
              </a:graphicData>
            </a:graphic>
          </wp:inline>
        </w:drawing>
      </w:r>
    </w:p>
    <w:p w:rsidR="000846CE" w:rsidRDefault="000846CE" w:rsidP="00695CC6">
      <w:pPr>
        <w:suppressLineNumbers/>
        <w:autoSpaceDE w:val="0"/>
        <w:autoSpaceDN w:val="0"/>
        <w:adjustRightInd w:val="0"/>
        <w:ind w:left="1440"/>
        <w:jc w:val="center"/>
        <w:rPr>
          <w:rFonts w:ascii="Times New Roman" w:hAnsi="Times New Roman"/>
          <w:b/>
          <w:szCs w:val="24"/>
        </w:rPr>
      </w:pPr>
    </w:p>
    <w:p w:rsidR="003F6119" w:rsidRDefault="008076C2" w:rsidP="00695CC6">
      <w:pPr>
        <w:suppressLineNumbers/>
        <w:autoSpaceDE w:val="0"/>
        <w:autoSpaceDN w:val="0"/>
        <w:adjustRightInd w:val="0"/>
        <w:ind w:left="1440"/>
        <w:jc w:val="center"/>
        <w:rPr>
          <w:rFonts w:ascii="Times New Roman" w:hAnsi="Times New Roman"/>
          <w:b/>
          <w:szCs w:val="24"/>
        </w:rPr>
      </w:pPr>
      <w:r>
        <w:rPr>
          <w:rFonts w:ascii="Times New Roman" w:hAnsi="Times New Roman"/>
          <w:b/>
          <w:szCs w:val="24"/>
        </w:rPr>
        <w:t>Table</w:t>
      </w:r>
      <w:r w:rsidR="003F6119">
        <w:rPr>
          <w:rFonts w:ascii="Times New Roman" w:hAnsi="Times New Roman"/>
          <w:b/>
          <w:szCs w:val="24"/>
        </w:rPr>
        <w:t xml:space="preserve"> </w:t>
      </w:r>
      <w:r w:rsidR="00434A99">
        <w:rPr>
          <w:rFonts w:ascii="Times New Roman" w:hAnsi="Times New Roman"/>
          <w:b/>
          <w:szCs w:val="24"/>
        </w:rPr>
        <w:t>9</w:t>
      </w:r>
    </w:p>
    <w:p w:rsidR="009008FA" w:rsidRPr="000A5A66" w:rsidRDefault="006113C7" w:rsidP="00695CC6">
      <w:pPr>
        <w:suppressLineNumbers/>
        <w:autoSpaceDE w:val="0"/>
        <w:autoSpaceDN w:val="0"/>
        <w:adjustRightInd w:val="0"/>
        <w:ind w:left="1440"/>
        <w:jc w:val="center"/>
        <w:rPr>
          <w:rFonts w:ascii="Times New Roman" w:hAnsi="Times New Roman"/>
          <w:b/>
          <w:szCs w:val="24"/>
        </w:rPr>
      </w:pPr>
      <w:r>
        <w:rPr>
          <w:rFonts w:ascii="Times New Roman" w:hAnsi="Times New Roman"/>
          <w:b/>
          <w:noProof/>
          <w:szCs w:val="24"/>
        </w:rPr>
        <w:drawing>
          <wp:inline distT="0" distB="0" distL="0" distR="0" wp14:anchorId="38CAA9BC" wp14:editId="51DE74BA">
            <wp:extent cx="3895725" cy="29806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8579" cy="2982849"/>
                    </a:xfrm>
                    <a:prstGeom prst="rect">
                      <a:avLst/>
                    </a:prstGeom>
                    <a:noFill/>
                  </pic:spPr>
                </pic:pic>
              </a:graphicData>
            </a:graphic>
          </wp:inline>
        </w:drawing>
      </w:r>
    </w:p>
    <w:p w:rsidR="00FB508D" w:rsidRPr="00443005" w:rsidRDefault="00FB508D" w:rsidP="00A82AD1">
      <w:pPr>
        <w:keepNext/>
        <w:keepLines/>
        <w:autoSpaceDE w:val="0"/>
        <w:autoSpaceDN w:val="0"/>
        <w:adjustRightInd w:val="0"/>
        <w:rPr>
          <w:rFonts w:ascii="Times New Roman" w:hAnsi="Times New Roman"/>
          <w:b/>
          <w:szCs w:val="24"/>
        </w:rPr>
      </w:pPr>
      <w:r w:rsidRPr="00443005">
        <w:rPr>
          <w:rFonts w:ascii="Times New Roman" w:hAnsi="Times New Roman"/>
          <w:b/>
          <w:szCs w:val="24"/>
        </w:rPr>
        <w:t xml:space="preserve">Q. </w:t>
      </w:r>
      <w:r w:rsidRPr="00443005">
        <w:rPr>
          <w:rFonts w:ascii="Times New Roman" w:hAnsi="Times New Roman"/>
          <w:b/>
          <w:szCs w:val="24"/>
        </w:rPr>
        <w:tab/>
        <w:t xml:space="preserve">Public Counsel states that pricing structures that are weighted heavily on fixed charges are inferior from a conservation and efficiency standpoint than pricing </w:t>
      </w:r>
      <w:r w:rsidR="000A0E01">
        <w:rPr>
          <w:rFonts w:ascii="Times New Roman" w:hAnsi="Times New Roman"/>
          <w:b/>
          <w:szCs w:val="24"/>
        </w:rPr>
        <w:t>that</w:t>
      </w:r>
      <w:r w:rsidRPr="00443005">
        <w:rPr>
          <w:rFonts w:ascii="Times New Roman" w:hAnsi="Times New Roman"/>
          <w:b/>
          <w:szCs w:val="24"/>
        </w:rPr>
        <w:t xml:space="preserve"> requires consumers to incur more cost with additional consumption.</w:t>
      </w:r>
      <w:r w:rsidR="008076C2">
        <w:rPr>
          <w:rStyle w:val="FootnoteReference"/>
          <w:b/>
          <w:szCs w:val="24"/>
        </w:rPr>
        <w:footnoteReference w:id="22"/>
      </w:r>
      <w:r w:rsidRPr="00443005">
        <w:rPr>
          <w:rFonts w:ascii="Times New Roman" w:hAnsi="Times New Roman"/>
          <w:b/>
          <w:szCs w:val="24"/>
        </w:rPr>
        <w:t xml:space="preserve">  Is the proposed residential pricing structure heavily weighted on fixed charges?</w:t>
      </w:r>
    </w:p>
    <w:p w:rsidR="00FB508D" w:rsidRPr="00BF76E5" w:rsidRDefault="00FB508D" w:rsidP="00FB508D">
      <w:pPr>
        <w:autoSpaceDE w:val="0"/>
        <w:autoSpaceDN w:val="0"/>
        <w:adjustRightInd w:val="0"/>
        <w:rPr>
          <w:rFonts w:ascii="Times New Roman" w:hAnsi="Times New Roman"/>
          <w:szCs w:val="24"/>
          <w:highlight w:val="green"/>
        </w:rPr>
      </w:pPr>
      <w:r w:rsidRPr="00443005">
        <w:rPr>
          <w:rFonts w:ascii="Times New Roman" w:hAnsi="Times New Roman"/>
          <w:szCs w:val="24"/>
        </w:rPr>
        <w:t xml:space="preserve">A.  </w:t>
      </w:r>
      <w:r w:rsidRPr="00443005">
        <w:rPr>
          <w:rFonts w:ascii="Times New Roman" w:hAnsi="Times New Roman"/>
          <w:szCs w:val="24"/>
        </w:rPr>
        <w:tab/>
      </w:r>
      <w:r w:rsidR="008076C2">
        <w:rPr>
          <w:rFonts w:ascii="Times New Roman" w:hAnsi="Times New Roman"/>
          <w:szCs w:val="24"/>
        </w:rPr>
        <w:t xml:space="preserve">No.  In contrast, </w:t>
      </w:r>
      <w:r w:rsidRPr="00443005">
        <w:rPr>
          <w:rFonts w:ascii="Times New Roman" w:hAnsi="Times New Roman"/>
          <w:szCs w:val="24"/>
        </w:rPr>
        <w:t>the proposed pricing structure is heavily weighted toward variable charges</w:t>
      </w:r>
      <w:r w:rsidR="008076C2">
        <w:rPr>
          <w:rFonts w:ascii="Times New Roman" w:hAnsi="Times New Roman"/>
          <w:szCs w:val="24"/>
        </w:rPr>
        <w:t>,</w:t>
      </w:r>
      <w:r w:rsidR="008076C2" w:rsidRPr="008076C2">
        <w:rPr>
          <w:rFonts w:ascii="Times New Roman" w:hAnsi="Times New Roman"/>
          <w:szCs w:val="24"/>
        </w:rPr>
        <w:t xml:space="preserve"> </w:t>
      </w:r>
      <w:r w:rsidR="008076C2">
        <w:rPr>
          <w:rFonts w:ascii="Times New Roman" w:hAnsi="Times New Roman"/>
          <w:szCs w:val="24"/>
        </w:rPr>
        <w:t>a</w:t>
      </w:r>
      <w:r w:rsidR="008076C2" w:rsidRPr="00443005">
        <w:rPr>
          <w:rFonts w:ascii="Times New Roman" w:hAnsi="Times New Roman"/>
          <w:szCs w:val="24"/>
        </w:rPr>
        <w:t xml:space="preserve">s is clearly show in Table </w:t>
      </w:r>
      <w:r w:rsidR="001E2029">
        <w:rPr>
          <w:rFonts w:ascii="Times New Roman" w:hAnsi="Times New Roman"/>
          <w:szCs w:val="24"/>
        </w:rPr>
        <w:t>9</w:t>
      </w:r>
      <w:r w:rsidR="008076C2">
        <w:rPr>
          <w:rFonts w:ascii="Times New Roman" w:hAnsi="Times New Roman"/>
          <w:szCs w:val="24"/>
        </w:rPr>
        <w:t xml:space="preserve"> above</w:t>
      </w:r>
      <w:r w:rsidRPr="00443005">
        <w:rPr>
          <w:rFonts w:ascii="Times New Roman" w:hAnsi="Times New Roman"/>
          <w:szCs w:val="24"/>
        </w:rPr>
        <w:t>.</w:t>
      </w:r>
    </w:p>
    <w:p w:rsidR="00FB508D" w:rsidRPr="00BF76E5" w:rsidRDefault="00FB508D" w:rsidP="00FB508D">
      <w:pPr>
        <w:rPr>
          <w:rFonts w:ascii="Times New Roman" w:hAnsi="Times New Roman"/>
          <w:szCs w:val="24"/>
        </w:rPr>
      </w:pPr>
      <w:r w:rsidRPr="00BF76E5">
        <w:rPr>
          <w:rFonts w:ascii="Times New Roman" w:hAnsi="Times New Roman"/>
          <w:b/>
          <w:szCs w:val="24"/>
        </w:rPr>
        <w:t xml:space="preserve">Q. </w:t>
      </w:r>
      <w:r w:rsidRPr="00BF76E5">
        <w:rPr>
          <w:rFonts w:ascii="Times New Roman" w:hAnsi="Times New Roman"/>
          <w:b/>
          <w:szCs w:val="24"/>
        </w:rPr>
        <w:tab/>
        <w:t xml:space="preserve">Public Counsel, </w:t>
      </w:r>
      <w:r w:rsidR="0076094F">
        <w:rPr>
          <w:rFonts w:ascii="Times New Roman" w:hAnsi="Times New Roman"/>
          <w:b/>
          <w:szCs w:val="24"/>
        </w:rPr>
        <w:t>t</w:t>
      </w:r>
      <w:r w:rsidRPr="00BF76E5">
        <w:rPr>
          <w:rFonts w:ascii="Times New Roman" w:hAnsi="Times New Roman"/>
          <w:b/>
          <w:szCs w:val="24"/>
        </w:rPr>
        <w:t>he Energy Project and TASC argue that the proposed increase in the residential customer charge dampen customer’s price signal for conservation.  Do you agree?</w:t>
      </w:r>
    </w:p>
    <w:p w:rsidR="00FB508D" w:rsidRPr="00BF76E5" w:rsidRDefault="00FB508D" w:rsidP="00FB508D">
      <w:pPr>
        <w:autoSpaceDE w:val="0"/>
        <w:autoSpaceDN w:val="0"/>
        <w:adjustRightInd w:val="0"/>
        <w:rPr>
          <w:rFonts w:ascii="Times New Roman" w:hAnsi="Times New Roman"/>
          <w:szCs w:val="24"/>
        </w:rPr>
      </w:pPr>
      <w:r w:rsidRPr="00BF76E5">
        <w:rPr>
          <w:rFonts w:ascii="Times New Roman" w:hAnsi="Times New Roman"/>
          <w:szCs w:val="24"/>
        </w:rPr>
        <w:t xml:space="preserve">A. </w:t>
      </w:r>
      <w:r w:rsidRPr="00BF76E5">
        <w:rPr>
          <w:rFonts w:ascii="Times New Roman" w:hAnsi="Times New Roman"/>
          <w:szCs w:val="24"/>
        </w:rPr>
        <w:tab/>
        <w:t xml:space="preserve">No. </w:t>
      </w:r>
      <w:r w:rsidR="00BF46B5">
        <w:rPr>
          <w:rFonts w:ascii="Times New Roman" w:hAnsi="Times New Roman"/>
          <w:szCs w:val="24"/>
        </w:rPr>
        <w:t>As I showed in my initial testimony, u</w:t>
      </w:r>
      <w:r w:rsidRPr="00BF76E5">
        <w:rPr>
          <w:rFonts w:ascii="Times New Roman" w:hAnsi="Times New Roman"/>
          <w:szCs w:val="24"/>
        </w:rPr>
        <w:t xml:space="preserve">nder the </w:t>
      </w:r>
      <w:r w:rsidR="00BF46B5">
        <w:rPr>
          <w:rFonts w:ascii="Times New Roman" w:hAnsi="Times New Roman"/>
          <w:szCs w:val="24"/>
        </w:rPr>
        <w:t xml:space="preserve">Company’s </w:t>
      </w:r>
      <w:r w:rsidRPr="00BF76E5">
        <w:rPr>
          <w:rFonts w:ascii="Times New Roman" w:hAnsi="Times New Roman"/>
          <w:szCs w:val="24"/>
        </w:rPr>
        <w:t xml:space="preserve">proposed rates, 89 percent of the </w:t>
      </w:r>
      <w:r w:rsidR="00BF46B5">
        <w:rPr>
          <w:rFonts w:ascii="Times New Roman" w:hAnsi="Times New Roman"/>
          <w:szCs w:val="24"/>
        </w:rPr>
        <w:t xml:space="preserve">average </w:t>
      </w:r>
      <w:r w:rsidRPr="00BF76E5">
        <w:rPr>
          <w:rFonts w:ascii="Times New Roman" w:hAnsi="Times New Roman"/>
          <w:szCs w:val="24"/>
        </w:rPr>
        <w:t xml:space="preserve">customer’s bill will still be based on volumetric energy rates.  For a small user half the size of an average user, 77 percent of the bill is related to energy charges; and a high user twice the size of an average user will have 95 percent of the bill related to energy charges.  As previously noted, the proposed charge recovers only a portion of the distribution and customer service costs with the remaining costs in the energy rates, along with </w:t>
      </w:r>
      <w:r w:rsidRPr="00BF76E5">
        <w:rPr>
          <w:rFonts w:ascii="Times New Roman" w:hAnsi="Times New Roman"/>
          <w:i/>
          <w:iCs/>
          <w:szCs w:val="24"/>
        </w:rPr>
        <w:t xml:space="preserve">all </w:t>
      </w:r>
      <w:r w:rsidRPr="00BF76E5">
        <w:rPr>
          <w:rFonts w:ascii="Times New Roman" w:hAnsi="Times New Roman"/>
          <w:szCs w:val="24"/>
        </w:rPr>
        <w:t xml:space="preserve">of the costs related to generation and transmission.  </w:t>
      </w:r>
      <w:r>
        <w:rPr>
          <w:rFonts w:ascii="Times New Roman" w:hAnsi="Times New Roman"/>
          <w:szCs w:val="24"/>
        </w:rPr>
        <w:t>All residential customers—and high use in particular—will continue to have a strong motivation to conserve or pursue energy efficient technology</w:t>
      </w:r>
      <w:r w:rsidR="00C354CD">
        <w:rPr>
          <w:rFonts w:ascii="Times New Roman" w:hAnsi="Times New Roman"/>
          <w:szCs w:val="24"/>
        </w:rPr>
        <w:t xml:space="preserve"> and achieve bill savings</w:t>
      </w:r>
      <w:r>
        <w:rPr>
          <w:rFonts w:ascii="Times New Roman" w:hAnsi="Times New Roman"/>
          <w:szCs w:val="24"/>
        </w:rPr>
        <w:t xml:space="preserve">.  </w:t>
      </w:r>
      <w:r w:rsidRPr="00BF76E5">
        <w:rPr>
          <w:rFonts w:ascii="Times New Roman" w:hAnsi="Times New Roman"/>
          <w:szCs w:val="24"/>
        </w:rPr>
        <w:t xml:space="preserve">  </w:t>
      </w:r>
    </w:p>
    <w:p w:rsidR="00FB508D" w:rsidRPr="00BF76E5" w:rsidRDefault="00FB508D" w:rsidP="00A82AD1">
      <w:pPr>
        <w:keepNext/>
        <w:rPr>
          <w:rFonts w:ascii="Times New Roman" w:hAnsi="Times New Roman"/>
          <w:b/>
          <w:szCs w:val="24"/>
        </w:rPr>
      </w:pPr>
      <w:r w:rsidRPr="00BF76E5">
        <w:rPr>
          <w:rFonts w:ascii="Times New Roman" w:hAnsi="Times New Roman"/>
          <w:b/>
          <w:szCs w:val="24"/>
        </w:rPr>
        <w:t xml:space="preserve">Q. </w:t>
      </w:r>
      <w:r w:rsidRPr="00BF76E5">
        <w:rPr>
          <w:rFonts w:ascii="Times New Roman" w:hAnsi="Times New Roman"/>
          <w:b/>
          <w:szCs w:val="24"/>
        </w:rPr>
        <w:tab/>
        <w:t>Public Counsel and TASC argue that the Company’s proposed residential customer charge violates the Commission’s policy for gradualism.  Do you agree?</w:t>
      </w:r>
    </w:p>
    <w:p w:rsidR="00FB508D" w:rsidRDefault="00FB508D" w:rsidP="00FB508D">
      <w:pPr>
        <w:autoSpaceDE w:val="0"/>
        <w:autoSpaceDN w:val="0"/>
        <w:adjustRightInd w:val="0"/>
        <w:rPr>
          <w:rFonts w:ascii="Times New Roman" w:hAnsi="Times New Roman"/>
          <w:szCs w:val="24"/>
        </w:rPr>
      </w:pPr>
      <w:r w:rsidRPr="00BF76E5">
        <w:rPr>
          <w:rFonts w:ascii="Times New Roman" w:hAnsi="Times New Roman"/>
          <w:szCs w:val="24"/>
        </w:rPr>
        <w:t xml:space="preserve">A. </w:t>
      </w:r>
      <w:r w:rsidRPr="00BF76E5">
        <w:rPr>
          <w:rFonts w:ascii="Times New Roman" w:hAnsi="Times New Roman"/>
          <w:szCs w:val="24"/>
        </w:rPr>
        <w:tab/>
        <w:t xml:space="preserve">No.  The Company’s proposal does take into account the principle of gradualism.  The proposed charge does not include the fixed costs related to transmission and generation and only includes half of the </w:t>
      </w:r>
      <w:r w:rsidR="00BF46B5">
        <w:rPr>
          <w:rFonts w:ascii="Times New Roman" w:hAnsi="Times New Roman"/>
          <w:szCs w:val="24"/>
        </w:rPr>
        <w:t>d</w:t>
      </w:r>
      <w:r w:rsidRPr="00BF76E5">
        <w:rPr>
          <w:rFonts w:ascii="Times New Roman" w:hAnsi="Times New Roman"/>
          <w:szCs w:val="24"/>
        </w:rPr>
        <w:t xml:space="preserve">istribution and </w:t>
      </w:r>
      <w:r w:rsidR="00BF46B5">
        <w:rPr>
          <w:rFonts w:ascii="Times New Roman" w:hAnsi="Times New Roman"/>
          <w:szCs w:val="24"/>
        </w:rPr>
        <w:t>r</w:t>
      </w:r>
      <w:r w:rsidRPr="00BF76E5">
        <w:rPr>
          <w:rFonts w:ascii="Times New Roman" w:hAnsi="Times New Roman"/>
          <w:szCs w:val="24"/>
        </w:rPr>
        <w:t>etail costs in the proposed charge.</w:t>
      </w:r>
      <w:r>
        <w:rPr>
          <w:rFonts w:ascii="Times New Roman" w:hAnsi="Times New Roman"/>
          <w:szCs w:val="24"/>
        </w:rPr>
        <w:t xml:space="preserve">  </w:t>
      </w:r>
      <w:r w:rsidR="00BF46B5">
        <w:rPr>
          <w:rFonts w:ascii="Times New Roman" w:hAnsi="Times New Roman"/>
          <w:szCs w:val="24"/>
        </w:rPr>
        <w:t>The generic</w:t>
      </w:r>
      <w:r w:rsidR="00BA0993">
        <w:rPr>
          <w:rFonts w:ascii="Times New Roman" w:hAnsi="Times New Roman"/>
          <w:szCs w:val="24"/>
        </w:rPr>
        <w:t>, nonspecific</w:t>
      </w:r>
      <w:r w:rsidR="00BF46B5">
        <w:rPr>
          <w:rFonts w:ascii="Times New Roman" w:hAnsi="Times New Roman"/>
          <w:szCs w:val="24"/>
        </w:rPr>
        <w:t xml:space="preserve"> argument of gradualism is insufficient to perpetuate on-going intra-class cross-subsidies. </w:t>
      </w:r>
      <w:r>
        <w:rPr>
          <w:rFonts w:ascii="Times New Roman" w:hAnsi="Times New Roman"/>
          <w:szCs w:val="24"/>
        </w:rPr>
        <w:t>Aligning rate design with underlying cost causation improves efficiency because it sends proper price signals and ensures equity among customers by eliminating subsidies.</w:t>
      </w:r>
      <w:r w:rsidR="00BF46B5">
        <w:rPr>
          <w:rFonts w:ascii="Times New Roman" w:hAnsi="Times New Roman"/>
          <w:szCs w:val="24"/>
        </w:rPr>
        <w:t xml:space="preserve">  Moreover, the increase in the basic charge is </w:t>
      </w:r>
      <w:r w:rsidR="0076094F">
        <w:rPr>
          <w:rFonts w:ascii="Times New Roman" w:hAnsi="Times New Roman"/>
          <w:szCs w:val="24"/>
        </w:rPr>
        <w:t xml:space="preserve">neither </w:t>
      </w:r>
      <w:r w:rsidR="00BF46B5">
        <w:rPr>
          <w:rFonts w:ascii="Times New Roman" w:hAnsi="Times New Roman"/>
          <w:szCs w:val="24"/>
        </w:rPr>
        <w:t xml:space="preserve">unduly impacting </w:t>
      </w:r>
      <w:r w:rsidR="00790959">
        <w:rPr>
          <w:rFonts w:ascii="Times New Roman" w:hAnsi="Times New Roman"/>
          <w:szCs w:val="24"/>
        </w:rPr>
        <w:t xml:space="preserve">small use customers, </w:t>
      </w:r>
      <w:r w:rsidR="0076094F">
        <w:rPr>
          <w:rFonts w:ascii="Times New Roman" w:hAnsi="Times New Roman"/>
          <w:szCs w:val="24"/>
        </w:rPr>
        <w:t xml:space="preserve">compromising </w:t>
      </w:r>
      <w:r w:rsidR="00790959">
        <w:rPr>
          <w:rFonts w:ascii="Times New Roman" w:hAnsi="Times New Roman"/>
          <w:szCs w:val="24"/>
        </w:rPr>
        <w:t xml:space="preserve">the price signal for efficiency, </w:t>
      </w:r>
      <w:r w:rsidR="0076094F">
        <w:rPr>
          <w:rFonts w:ascii="Times New Roman" w:hAnsi="Times New Roman"/>
          <w:szCs w:val="24"/>
        </w:rPr>
        <w:t>n</w:t>
      </w:r>
      <w:r w:rsidR="00790959">
        <w:rPr>
          <w:rFonts w:ascii="Times New Roman" w:hAnsi="Times New Roman"/>
          <w:szCs w:val="24"/>
        </w:rPr>
        <w:t>or is out of line with what other residential customers pay across the state.</w:t>
      </w:r>
    </w:p>
    <w:p w:rsidR="00FB508D" w:rsidRPr="008076C2" w:rsidRDefault="00FB508D" w:rsidP="008076C2">
      <w:pPr>
        <w:pStyle w:val="testimony"/>
        <w:widowControl w:val="0"/>
        <w:tabs>
          <w:tab w:val="left" w:pos="1440"/>
        </w:tabs>
        <w:spacing w:line="480" w:lineRule="auto"/>
        <w:ind w:left="720" w:hanging="720"/>
        <w:rPr>
          <w:rFonts w:ascii="Times New Roman" w:hAnsi="Times New Roman"/>
        </w:rPr>
      </w:pPr>
      <w:r w:rsidRPr="008076C2">
        <w:rPr>
          <w:rFonts w:ascii="Times New Roman" w:hAnsi="Times New Roman"/>
          <w:b/>
        </w:rPr>
        <w:t>Q.</w:t>
      </w:r>
      <w:r w:rsidRPr="008076C2">
        <w:rPr>
          <w:rFonts w:ascii="Times New Roman" w:hAnsi="Times New Roman"/>
          <w:b/>
        </w:rPr>
        <w:tab/>
        <w:t xml:space="preserve">Mr. Watkins uses </w:t>
      </w:r>
      <w:r w:rsidRPr="008076C2">
        <w:rPr>
          <w:b/>
        </w:rPr>
        <w:t>the Federal Energy Regulatory Commission’s (FERC) adoption of a “Straight Fixed Variable” (SFV) pricing method in Order 636, which was intended for natural gas transmission pipeline companies, to suggest that the Company’s proposed rate structure could hinder energy efficiency goals.</w:t>
      </w:r>
      <w:r w:rsidRPr="008076C2">
        <w:rPr>
          <w:rStyle w:val="FootnoteReference"/>
          <w:b/>
        </w:rPr>
        <w:footnoteReference w:id="23"/>
      </w:r>
      <w:r w:rsidRPr="008076C2">
        <w:rPr>
          <w:b/>
        </w:rPr>
        <w:t xml:space="preserve">  Do you agree that this is an appropriate comparison?</w:t>
      </w:r>
    </w:p>
    <w:p w:rsidR="00FB508D" w:rsidRPr="008076C2" w:rsidRDefault="00FB508D" w:rsidP="008076C2">
      <w:pPr>
        <w:pStyle w:val="testimony"/>
        <w:widowControl w:val="0"/>
        <w:numPr>
          <w:ilvl w:val="0"/>
          <w:numId w:val="30"/>
        </w:numPr>
        <w:tabs>
          <w:tab w:val="left" w:pos="1440"/>
        </w:tabs>
        <w:spacing w:line="480" w:lineRule="auto"/>
        <w:ind w:hanging="720"/>
        <w:rPr>
          <w:rFonts w:ascii="Times New Roman" w:hAnsi="Times New Roman"/>
        </w:rPr>
      </w:pPr>
      <w:r w:rsidRPr="008076C2">
        <w:rPr>
          <w:rFonts w:ascii="Times New Roman" w:hAnsi="Times New Roman"/>
        </w:rPr>
        <w:t>No.  This comparison is irrelevant for many reasons.  First, the Company did not propose a SFV pricing structure.  The Company is merely proposing an increase in the residential basic charge to better reflect customer-related fixed costs.  A SFV pricing structure would result in a considerably larger fixed customer charge component than the Company’s proposal of $1</w:t>
      </w:r>
      <w:r w:rsidR="008076C2">
        <w:rPr>
          <w:rFonts w:ascii="Times New Roman" w:hAnsi="Times New Roman"/>
        </w:rPr>
        <w:t>4</w:t>
      </w:r>
      <w:r w:rsidRPr="008076C2">
        <w:rPr>
          <w:rFonts w:ascii="Times New Roman" w:hAnsi="Times New Roman"/>
        </w:rPr>
        <w:t xml:space="preserve">.00, after taking into account all generation, transmission and distribution related fixed costs.  Second, the purpose of FERC’s adoption of SFV for pipeline companies was to eliminate potential distortions in pipeline rate structures and stimulate competition at the wellhead for a national gas market.  FERC’s action for natural gas pipelines is simply not analogous to electric residential consumers and rates.  The purchasing decisions by gas transportation customers and residential electricity customers are very different in scale and scope.  </w:t>
      </w:r>
    </w:p>
    <w:p w:rsidR="003E5FAA" w:rsidRPr="00815C1B" w:rsidRDefault="004E73CB" w:rsidP="00815C1B">
      <w:pPr>
        <w:pStyle w:val="Heading2"/>
        <w:ind w:left="0"/>
        <w:rPr>
          <w:b/>
        </w:rPr>
      </w:pPr>
      <w:bookmarkStart w:id="9" w:name="_Toc403654575"/>
      <w:r w:rsidRPr="00815C1B">
        <w:rPr>
          <w:b/>
        </w:rPr>
        <w:t>Residential Energy Block Charges</w:t>
      </w:r>
      <w:bookmarkEnd w:id="9"/>
    </w:p>
    <w:p w:rsidR="009D4A44" w:rsidRPr="00FC7D77" w:rsidRDefault="009D4A44" w:rsidP="009D4A44">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sidR="00A921EB">
        <w:rPr>
          <w:rFonts w:ascii="Times New Roman" w:hAnsi="Times New Roman"/>
          <w:b/>
        </w:rPr>
        <w:t>Please summarize your concerns with Staff’s proposal to revise the energy charge block structure to move the first block from 600 kWh to 800 kWh</w:t>
      </w:r>
      <w:r>
        <w:rPr>
          <w:rFonts w:ascii="Times New Roman" w:hAnsi="Times New Roman"/>
          <w:b/>
        </w:rPr>
        <w:t xml:space="preserve"> </w:t>
      </w:r>
      <w:r w:rsidR="00A921EB">
        <w:rPr>
          <w:rFonts w:ascii="Times New Roman" w:hAnsi="Times New Roman"/>
          <w:b/>
        </w:rPr>
        <w:t>per month and add a third block for usage over 1</w:t>
      </w:r>
      <w:r w:rsidR="00471618">
        <w:rPr>
          <w:rFonts w:ascii="Times New Roman" w:hAnsi="Times New Roman"/>
          <w:b/>
        </w:rPr>
        <w:t>,</w:t>
      </w:r>
      <w:r w:rsidR="00A921EB">
        <w:rPr>
          <w:rFonts w:ascii="Times New Roman" w:hAnsi="Times New Roman"/>
          <w:b/>
        </w:rPr>
        <w:t xml:space="preserve">700 kWh. </w:t>
      </w:r>
    </w:p>
    <w:p w:rsidR="009D4A44" w:rsidRDefault="009D4A44" w:rsidP="000A5A66">
      <w:pPr>
        <w:rPr>
          <w:rFonts w:ascii="Times New Roman" w:hAnsi="Times New Roman"/>
          <w:b/>
          <w:szCs w:val="24"/>
        </w:rPr>
      </w:pPr>
      <w:r w:rsidRPr="00FC7D77">
        <w:rPr>
          <w:rFonts w:ascii="Times New Roman" w:hAnsi="Times New Roman"/>
        </w:rPr>
        <w:t>A.</w:t>
      </w:r>
      <w:r w:rsidR="00A921EB">
        <w:rPr>
          <w:rFonts w:ascii="Times New Roman" w:hAnsi="Times New Roman"/>
        </w:rPr>
        <w:tab/>
        <w:t>First, Staff’s proposed energy rate design is inconsistent with its stated intent “to create a clearer price signal for residential customers to be more efficient and to follow the principles of cost causation.”</w:t>
      </w:r>
      <w:r w:rsidR="00A921EB">
        <w:rPr>
          <w:rStyle w:val="FootnoteReference"/>
        </w:rPr>
        <w:footnoteReference w:id="24"/>
      </w:r>
      <w:r w:rsidR="00A921EB">
        <w:rPr>
          <w:rFonts w:ascii="Times New Roman" w:hAnsi="Times New Roman"/>
        </w:rPr>
        <w:t xml:space="preserve">  In actuality, Staff’s proposed rate</w:t>
      </w:r>
      <w:r w:rsidR="00DA4199">
        <w:rPr>
          <w:rFonts w:ascii="Times New Roman" w:hAnsi="Times New Roman"/>
        </w:rPr>
        <w:t>s</w:t>
      </w:r>
      <w:r w:rsidR="00A921EB">
        <w:rPr>
          <w:rFonts w:ascii="Times New Roman" w:hAnsi="Times New Roman"/>
        </w:rPr>
        <w:t xml:space="preserve"> will send a confusing price signal </w:t>
      </w:r>
      <w:r w:rsidR="00DA4199">
        <w:rPr>
          <w:rFonts w:ascii="Times New Roman" w:hAnsi="Times New Roman"/>
        </w:rPr>
        <w:t xml:space="preserve">and may encourage increased consumption </w:t>
      </w:r>
      <w:r w:rsidR="00A921EB">
        <w:rPr>
          <w:rFonts w:ascii="Times New Roman" w:hAnsi="Times New Roman"/>
        </w:rPr>
        <w:t xml:space="preserve">to </w:t>
      </w:r>
      <w:r w:rsidR="00DA4199">
        <w:rPr>
          <w:rFonts w:ascii="Times New Roman" w:hAnsi="Times New Roman"/>
        </w:rPr>
        <w:t xml:space="preserve">a large number of customers, and is not cost-based but merely punitive for electric heat customers.  </w:t>
      </w:r>
    </w:p>
    <w:p w:rsidR="003E5FAA" w:rsidRDefault="00DA4199" w:rsidP="000A5A66">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szCs w:val="24"/>
        </w:rPr>
        <w:t xml:space="preserve">Second, </w:t>
      </w:r>
      <w:r w:rsidR="00A82463">
        <w:rPr>
          <w:rFonts w:ascii="Times New Roman" w:hAnsi="Times New Roman"/>
          <w:szCs w:val="24"/>
        </w:rPr>
        <w:t xml:space="preserve">Staff ignores the fact that the Company’s current rate design already sends a significant price signal to large users, particularly when compared to the other investor-owned utilities in Washington.  Additionally, the current first block at 600 kWh per month already represents a reasonable level for essential </w:t>
      </w:r>
      <w:r w:rsidR="00471618">
        <w:rPr>
          <w:rFonts w:ascii="Times New Roman" w:hAnsi="Times New Roman"/>
          <w:szCs w:val="24"/>
        </w:rPr>
        <w:t xml:space="preserve">end </w:t>
      </w:r>
      <w:r w:rsidR="00A82463">
        <w:rPr>
          <w:rFonts w:ascii="Times New Roman" w:hAnsi="Times New Roman"/>
          <w:szCs w:val="24"/>
        </w:rPr>
        <w:t>uses such as lighting and appliances</w:t>
      </w:r>
      <w:r w:rsidR="00C26D3E">
        <w:rPr>
          <w:rFonts w:ascii="Times New Roman" w:hAnsi="Times New Roman"/>
          <w:szCs w:val="24"/>
        </w:rPr>
        <w:t xml:space="preserve"> for Washington</w:t>
      </w:r>
      <w:r w:rsidR="00A82463">
        <w:rPr>
          <w:rFonts w:ascii="Times New Roman" w:hAnsi="Times New Roman"/>
          <w:szCs w:val="24"/>
        </w:rPr>
        <w:t xml:space="preserve">.  </w:t>
      </w:r>
    </w:p>
    <w:p w:rsidR="006A743C" w:rsidRPr="000A5A66" w:rsidRDefault="00DA4199" w:rsidP="000A5A66">
      <w:pPr>
        <w:rPr>
          <w:rFonts w:ascii="Times New Roman" w:hAnsi="Times New Roman"/>
          <w:szCs w:val="24"/>
        </w:rPr>
      </w:pPr>
      <w:r>
        <w:rPr>
          <w:rFonts w:ascii="Times New Roman" w:hAnsi="Times New Roman"/>
          <w:szCs w:val="24"/>
        </w:rPr>
        <w:tab/>
      </w:r>
      <w:r>
        <w:rPr>
          <w:rFonts w:ascii="Times New Roman" w:hAnsi="Times New Roman"/>
          <w:szCs w:val="24"/>
        </w:rPr>
        <w:tab/>
      </w:r>
      <w:r w:rsidR="00C26D3E">
        <w:rPr>
          <w:rFonts w:ascii="Times New Roman" w:hAnsi="Times New Roman"/>
          <w:szCs w:val="24"/>
        </w:rPr>
        <w:t>Third</w:t>
      </w:r>
      <w:r w:rsidR="006A743C">
        <w:rPr>
          <w:rFonts w:ascii="Times New Roman" w:hAnsi="Times New Roman"/>
          <w:szCs w:val="24"/>
        </w:rPr>
        <w:t xml:space="preserve">, with the growth in </w:t>
      </w:r>
      <w:r w:rsidR="0076094F">
        <w:rPr>
          <w:rFonts w:ascii="Times New Roman" w:hAnsi="Times New Roman"/>
          <w:szCs w:val="24"/>
        </w:rPr>
        <w:t>customer generation</w:t>
      </w:r>
      <w:r w:rsidR="006A743C">
        <w:rPr>
          <w:rFonts w:ascii="Times New Roman" w:hAnsi="Times New Roman"/>
          <w:szCs w:val="24"/>
        </w:rPr>
        <w:t>,</w:t>
      </w:r>
      <w:r w:rsidR="0069667E">
        <w:rPr>
          <w:rFonts w:ascii="Times New Roman" w:hAnsi="Times New Roman"/>
          <w:szCs w:val="24"/>
        </w:rPr>
        <w:t xml:space="preserve"> it is important to consider unintended consequences of rate design</w:t>
      </w:r>
      <w:r w:rsidR="006D6FE7">
        <w:rPr>
          <w:rFonts w:ascii="Times New Roman" w:hAnsi="Times New Roman"/>
          <w:szCs w:val="24"/>
        </w:rPr>
        <w:t xml:space="preserve">.  Staff’s proposed tail block would send an uneconomic price signal and benefit to customers with </w:t>
      </w:r>
      <w:r w:rsidR="0076094F">
        <w:rPr>
          <w:rFonts w:ascii="Times New Roman" w:hAnsi="Times New Roman"/>
          <w:szCs w:val="24"/>
        </w:rPr>
        <w:t xml:space="preserve">DG </w:t>
      </w:r>
      <w:r w:rsidR="00366084">
        <w:rPr>
          <w:rFonts w:ascii="Times New Roman" w:hAnsi="Times New Roman"/>
          <w:szCs w:val="24"/>
        </w:rPr>
        <w:t xml:space="preserve">which </w:t>
      </w:r>
      <w:r w:rsidR="0076094F">
        <w:rPr>
          <w:rFonts w:ascii="Times New Roman" w:hAnsi="Times New Roman"/>
          <w:szCs w:val="24"/>
        </w:rPr>
        <w:t xml:space="preserve">will </w:t>
      </w:r>
      <w:r w:rsidR="00366084">
        <w:rPr>
          <w:rFonts w:ascii="Times New Roman" w:hAnsi="Times New Roman"/>
          <w:szCs w:val="24"/>
        </w:rPr>
        <w:t xml:space="preserve">contribute to cost shifting to customers without </w:t>
      </w:r>
      <w:r w:rsidR="0076094F">
        <w:rPr>
          <w:rFonts w:ascii="Times New Roman" w:hAnsi="Times New Roman"/>
          <w:szCs w:val="24"/>
        </w:rPr>
        <w:t>DG</w:t>
      </w:r>
      <w:r w:rsidR="00366084">
        <w:rPr>
          <w:rFonts w:ascii="Times New Roman" w:hAnsi="Times New Roman"/>
          <w:szCs w:val="24"/>
        </w:rPr>
        <w:t xml:space="preserve">. </w:t>
      </w:r>
    </w:p>
    <w:p w:rsidR="00A27EE8" w:rsidRPr="001649A6" w:rsidRDefault="00A27EE8" w:rsidP="00A27EE8">
      <w:pPr>
        <w:rPr>
          <w:rFonts w:ascii="Times New Roman" w:hAnsi="Times New Roman"/>
          <w:b/>
          <w:szCs w:val="24"/>
        </w:rPr>
      </w:pPr>
      <w:r>
        <w:rPr>
          <w:rFonts w:ascii="Times New Roman" w:hAnsi="Times New Roman"/>
          <w:b/>
          <w:szCs w:val="24"/>
        </w:rPr>
        <w:t>Q.</w:t>
      </w:r>
      <w:r>
        <w:rPr>
          <w:rFonts w:ascii="Times New Roman" w:hAnsi="Times New Roman"/>
          <w:b/>
          <w:szCs w:val="24"/>
        </w:rPr>
        <w:tab/>
        <w:t>Before addressing your concerns with Staff’s proposed rates, do you have other comments</w:t>
      </w:r>
      <w:r w:rsidR="0035586C">
        <w:rPr>
          <w:rFonts w:ascii="Times New Roman" w:hAnsi="Times New Roman"/>
          <w:b/>
          <w:szCs w:val="24"/>
        </w:rPr>
        <w:t xml:space="preserve"> or corrections to Staff’s testimony</w:t>
      </w:r>
      <w:r>
        <w:rPr>
          <w:rFonts w:ascii="Times New Roman" w:hAnsi="Times New Roman"/>
          <w:b/>
          <w:szCs w:val="24"/>
        </w:rPr>
        <w:t xml:space="preserve">? </w:t>
      </w:r>
    </w:p>
    <w:p w:rsidR="00A27EE8" w:rsidRDefault="00A27EE8" w:rsidP="00A27EE8">
      <w:pPr>
        <w:rPr>
          <w:rFonts w:ascii="Times New Roman" w:hAnsi="Times New Roman"/>
          <w:szCs w:val="24"/>
        </w:rPr>
      </w:pPr>
      <w:r>
        <w:rPr>
          <w:rFonts w:ascii="Times New Roman" w:hAnsi="Times New Roman"/>
          <w:szCs w:val="24"/>
        </w:rPr>
        <w:t>A.</w:t>
      </w:r>
      <w:r>
        <w:rPr>
          <w:rFonts w:ascii="Times New Roman" w:hAnsi="Times New Roman"/>
          <w:szCs w:val="24"/>
        </w:rPr>
        <w:tab/>
        <w:t>Yes.  First, I would just point out that Staff’s residential rate calculation uses residential billing units inconsistent with the test year billing units</w:t>
      </w:r>
      <w:r w:rsidR="00586D27">
        <w:rPr>
          <w:rFonts w:ascii="Times New Roman" w:hAnsi="Times New Roman"/>
          <w:szCs w:val="24"/>
        </w:rPr>
        <w:t xml:space="preserve"> used by the Company in this proceeding for both the calculation of present revenues for the results of operations and the develop</w:t>
      </w:r>
      <w:r w:rsidR="00F81885">
        <w:rPr>
          <w:rFonts w:ascii="Times New Roman" w:hAnsi="Times New Roman"/>
          <w:szCs w:val="24"/>
        </w:rPr>
        <w:t>ment</w:t>
      </w:r>
      <w:r w:rsidR="00586D27">
        <w:rPr>
          <w:rFonts w:ascii="Times New Roman" w:hAnsi="Times New Roman"/>
          <w:szCs w:val="24"/>
        </w:rPr>
        <w:t xml:space="preserve"> of residential rates</w:t>
      </w:r>
      <w:r>
        <w:rPr>
          <w:rFonts w:ascii="Times New Roman" w:hAnsi="Times New Roman"/>
          <w:szCs w:val="24"/>
        </w:rPr>
        <w:t xml:space="preserve">.  </w:t>
      </w:r>
      <w:r w:rsidR="00155E8C">
        <w:rPr>
          <w:rFonts w:ascii="Times New Roman" w:hAnsi="Times New Roman"/>
          <w:szCs w:val="24"/>
        </w:rPr>
        <w:t xml:space="preserve">It appears that Staff left out the number </w:t>
      </w:r>
      <w:r w:rsidR="00C26D3E">
        <w:rPr>
          <w:rFonts w:ascii="Times New Roman" w:hAnsi="Times New Roman"/>
          <w:szCs w:val="24"/>
        </w:rPr>
        <w:t xml:space="preserve">of </w:t>
      </w:r>
      <w:r w:rsidR="00155E8C">
        <w:rPr>
          <w:rFonts w:ascii="Times New Roman" w:hAnsi="Times New Roman"/>
          <w:szCs w:val="24"/>
        </w:rPr>
        <w:t xml:space="preserve">and net billed kWh </w:t>
      </w:r>
      <w:r w:rsidR="00C26D3E">
        <w:rPr>
          <w:rFonts w:ascii="Times New Roman" w:hAnsi="Times New Roman"/>
          <w:szCs w:val="24"/>
        </w:rPr>
        <w:t xml:space="preserve">for </w:t>
      </w:r>
      <w:r w:rsidR="00155E8C">
        <w:rPr>
          <w:rFonts w:ascii="Times New Roman" w:hAnsi="Times New Roman"/>
          <w:szCs w:val="24"/>
        </w:rPr>
        <w:t>residential net metering customers in its billing units</w:t>
      </w:r>
      <w:r w:rsidR="0076094F">
        <w:rPr>
          <w:rFonts w:ascii="Times New Roman" w:hAnsi="Times New Roman"/>
          <w:szCs w:val="24"/>
        </w:rPr>
        <w:t xml:space="preserve"> and double counted the temperature adjustment for residential Schedule 18</w:t>
      </w:r>
      <w:r w:rsidRPr="00C26D3E">
        <w:rPr>
          <w:rFonts w:ascii="Times New Roman" w:hAnsi="Times New Roman"/>
          <w:szCs w:val="24"/>
        </w:rPr>
        <w:t xml:space="preserve">.  This results in </w:t>
      </w:r>
      <w:r w:rsidR="00C26D3E" w:rsidRPr="00C26D3E">
        <w:rPr>
          <w:rFonts w:ascii="Times New Roman" w:hAnsi="Times New Roman"/>
          <w:szCs w:val="24"/>
        </w:rPr>
        <w:t>different</w:t>
      </w:r>
      <w:r w:rsidR="00C26D3E">
        <w:rPr>
          <w:rFonts w:ascii="Times New Roman" w:hAnsi="Times New Roman"/>
          <w:szCs w:val="24"/>
        </w:rPr>
        <w:t xml:space="preserve"> billing determinants and a different present revenue than reflected in the results of operations.</w:t>
      </w:r>
      <w:r w:rsidR="0035586C">
        <w:rPr>
          <w:rFonts w:ascii="Times New Roman" w:hAnsi="Times New Roman"/>
          <w:szCs w:val="24"/>
        </w:rPr>
        <w:t xml:space="preserve">  Since this appears to be an inadvertent error by Staff in the preparation of its filing</w:t>
      </w:r>
      <w:r w:rsidR="00155E8C">
        <w:rPr>
          <w:rFonts w:ascii="Times New Roman" w:hAnsi="Times New Roman"/>
          <w:szCs w:val="24"/>
        </w:rPr>
        <w:t xml:space="preserve">, </w:t>
      </w:r>
      <w:r w:rsidR="0035586C">
        <w:rPr>
          <w:rFonts w:ascii="Times New Roman" w:hAnsi="Times New Roman"/>
          <w:szCs w:val="24"/>
        </w:rPr>
        <w:t>the</w:t>
      </w:r>
      <w:r w:rsidR="00155E8C">
        <w:rPr>
          <w:rFonts w:ascii="Times New Roman" w:hAnsi="Times New Roman"/>
          <w:szCs w:val="24"/>
        </w:rPr>
        <w:t xml:space="preserve"> Company’s billing units should be relied on for calculation of</w:t>
      </w:r>
      <w:r w:rsidR="0035586C">
        <w:rPr>
          <w:rFonts w:ascii="Times New Roman" w:hAnsi="Times New Roman"/>
          <w:szCs w:val="24"/>
        </w:rPr>
        <w:t xml:space="preserve"> final rates in compliance with a Commission order in this proceeding.  </w:t>
      </w:r>
    </w:p>
    <w:p w:rsidR="0035586C" w:rsidRDefault="0035586C" w:rsidP="0035586C">
      <w:pPr>
        <w:rPr>
          <w:rFonts w:ascii="Times New Roman" w:hAnsi="Times New Roman"/>
          <w:b/>
          <w:szCs w:val="24"/>
        </w:rPr>
      </w:pPr>
      <w:r>
        <w:rPr>
          <w:rFonts w:ascii="Times New Roman" w:hAnsi="Times New Roman"/>
          <w:szCs w:val="24"/>
        </w:rPr>
        <w:tab/>
      </w:r>
      <w:r>
        <w:rPr>
          <w:rFonts w:ascii="Times New Roman" w:hAnsi="Times New Roman"/>
          <w:szCs w:val="24"/>
        </w:rPr>
        <w:tab/>
        <w:t xml:space="preserve">Second, Staff incorrectly states that the Company’s rate proposal would actually </w:t>
      </w:r>
      <w:r w:rsidRPr="000A5A66">
        <w:rPr>
          <w:rFonts w:ascii="Times New Roman" w:hAnsi="Times New Roman"/>
          <w:szCs w:val="24"/>
        </w:rPr>
        <w:t>decrease rates for the highest residential users.</w:t>
      </w:r>
      <w:r w:rsidRPr="000A5A66">
        <w:rPr>
          <w:rStyle w:val="FootnoteReference"/>
          <w:szCs w:val="24"/>
        </w:rPr>
        <w:footnoteReference w:id="25"/>
      </w:r>
      <w:r>
        <w:rPr>
          <w:rFonts w:ascii="Times New Roman" w:hAnsi="Times New Roman"/>
          <w:szCs w:val="24"/>
        </w:rPr>
        <w:t xml:space="preserve">  Staff refers to Exhibit No.</w:t>
      </w:r>
      <w:r w:rsidR="000846CE">
        <w:rPr>
          <w:rFonts w:ascii="Times New Roman" w:hAnsi="Times New Roman"/>
          <w:szCs w:val="24"/>
        </w:rPr>
        <w:t xml:space="preserve"> </w:t>
      </w:r>
      <w:r>
        <w:rPr>
          <w:rFonts w:ascii="Times New Roman" w:hAnsi="Times New Roman"/>
          <w:szCs w:val="24"/>
        </w:rPr>
        <w:t>JRS-9 in support of this statement.  However, Staff apparently misunderstands this exhibit.  Exhibit No. JRS-9 shows a comparison of monthly bill impacts for small, average, and large users under the Company’s proposed rates versus a scenario where the basic charge remained unchanged and the residential increase was entirely applied to the energy charges.  It does not show the impacts of the Company’s proposed rates that include an increase to both the basic charge and energy charges.  With the Company’s proposed rate design, large users will see a rate increase, as is clearly shown on page 1 in Exhibit No. JRS-7 for the initial filing and on page 1 in Exhibit No. JRS-</w:t>
      </w:r>
      <w:r w:rsidR="001E2029">
        <w:rPr>
          <w:rFonts w:ascii="Times New Roman" w:hAnsi="Times New Roman"/>
          <w:szCs w:val="24"/>
        </w:rPr>
        <w:t>18</w:t>
      </w:r>
      <w:r>
        <w:rPr>
          <w:rFonts w:ascii="Times New Roman" w:hAnsi="Times New Roman"/>
          <w:szCs w:val="24"/>
        </w:rPr>
        <w:t xml:space="preserve"> for this rebuttal filing.</w:t>
      </w:r>
    </w:p>
    <w:p w:rsidR="00366084" w:rsidRPr="00FC7D77" w:rsidRDefault="00366084" w:rsidP="00366084">
      <w:pPr>
        <w:widowControl w:val="0"/>
        <w:tabs>
          <w:tab w:val="left" w:pos="0"/>
        </w:tabs>
        <w:suppressAutoHyphens/>
        <w:rPr>
          <w:rFonts w:ascii="Times New Roman" w:hAnsi="Times New Roman"/>
          <w:b/>
        </w:rPr>
      </w:pPr>
      <w:r w:rsidRPr="00FC7D77">
        <w:rPr>
          <w:rFonts w:ascii="Times New Roman" w:hAnsi="Times New Roman"/>
          <w:b/>
        </w:rPr>
        <w:t>Q.</w:t>
      </w:r>
      <w:r w:rsidRPr="00FC7D77">
        <w:rPr>
          <w:rFonts w:ascii="Times New Roman" w:hAnsi="Times New Roman"/>
          <w:b/>
        </w:rPr>
        <w:tab/>
      </w:r>
      <w:r w:rsidR="00633FBB">
        <w:rPr>
          <w:rFonts w:ascii="Times New Roman" w:hAnsi="Times New Roman"/>
          <w:b/>
        </w:rPr>
        <w:t>Please explain your first concern that Staff’s proposed rate design is consistent with its intent to send a clearer price signal.</w:t>
      </w:r>
      <w:r>
        <w:rPr>
          <w:rFonts w:ascii="Times New Roman" w:hAnsi="Times New Roman"/>
          <w:b/>
        </w:rPr>
        <w:t xml:space="preserve"> </w:t>
      </w:r>
    </w:p>
    <w:p w:rsidR="006730A8" w:rsidRDefault="00366084" w:rsidP="006730A8">
      <w:pPr>
        <w:rPr>
          <w:rFonts w:ascii="Times New Roman" w:hAnsi="Times New Roman"/>
          <w:szCs w:val="24"/>
        </w:rPr>
      </w:pPr>
      <w:r w:rsidRPr="00FC7D77">
        <w:rPr>
          <w:rFonts w:ascii="Times New Roman" w:hAnsi="Times New Roman"/>
        </w:rPr>
        <w:t>A.</w:t>
      </w:r>
      <w:r>
        <w:rPr>
          <w:rFonts w:ascii="Times New Roman" w:hAnsi="Times New Roman"/>
        </w:rPr>
        <w:tab/>
      </w:r>
      <w:r w:rsidR="007E7DBE">
        <w:rPr>
          <w:rFonts w:ascii="Times New Roman" w:hAnsi="Times New Roman"/>
          <w:szCs w:val="24"/>
        </w:rPr>
        <w:t>Staff’s</w:t>
      </w:r>
      <w:r w:rsidR="006730A8">
        <w:rPr>
          <w:rFonts w:ascii="Times New Roman" w:hAnsi="Times New Roman"/>
          <w:szCs w:val="24"/>
        </w:rPr>
        <w:t xml:space="preserve"> proposed residential rate design actually reduces bills for a significant number of customers, which would produce a confusing price signal at a time when costs to the residential class are increasing.  Table </w:t>
      </w:r>
      <w:r w:rsidR="001E2029">
        <w:rPr>
          <w:rFonts w:ascii="Times New Roman" w:hAnsi="Times New Roman"/>
          <w:szCs w:val="24"/>
        </w:rPr>
        <w:t>10</w:t>
      </w:r>
      <w:r w:rsidR="006730A8">
        <w:rPr>
          <w:rFonts w:ascii="Times New Roman" w:hAnsi="Times New Roman"/>
          <w:szCs w:val="24"/>
        </w:rPr>
        <w:t xml:space="preserve"> below shows that 45 percent of customer bills—those with usage between 851 and 1,950 kWh per month—would see a reduction</w:t>
      </w:r>
      <w:r w:rsidR="0097276D">
        <w:rPr>
          <w:rFonts w:ascii="Times New Roman" w:hAnsi="Times New Roman"/>
          <w:szCs w:val="24"/>
        </w:rPr>
        <w:t xml:space="preserve"> in their bills</w:t>
      </w:r>
      <w:r w:rsidR="006730A8">
        <w:rPr>
          <w:rFonts w:ascii="Times New Roman" w:hAnsi="Times New Roman"/>
          <w:szCs w:val="24"/>
        </w:rPr>
        <w:t xml:space="preserve">.  </w:t>
      </w:r>
      <w:r w:rsidR="00334D0C">
        <w:rPr>
          <w:rFonts w:ascii="Times New Roman" w:hAnsi="Times New Roman"/>
          <w:szCs w:val="24"/>
        </w:rPr>
        <w:t>Th</w:t>
      </w:r>
      <w:r w:rsidR="003B2380">
        <w:rPr>
          <w:rFonts w:ascii="Times New Roman" w:hAnsi="Times New Roman"/>
          <w:szCs w:val="24"/>
        </w:rPr>
        <w:t>ese bill reductions</w:t>
      </w:r>
      <w:r w:rsidR="0076094F">
        <w:rPr>
          <w:rFonts w:ascii="Times New Roman" w:hAnsi="Times New Roman"/>
          <w:szCs w:val="24"/>
        </w:rPr>
        <w:t xml:space="preserve"> widely</w:t>
      </w:r>
      <w:r w:rsidR="003B2380">
        <w:rPr>
          <w:rFonts w:ascii="Times New Roman" w:hAnsi="Times New Roman"/>
          <w:szCs w:val="24"/>
        </w:rPr>
        <w:t xml:space="preserve"> span the average customer</w:t>
      </w:r>
      <w:r w:rsidR="0097276D">
        <w:rPr>
          <w:rFonts w:ascii="Times New Roman" w:hAnsi="Times New Roman"/>
          <w:szCs w:val="24"/>
        </w:rPr>
        <w:t xml:space="preserve"> usage </w:t>
      </w:r>
      <w:r w:rsidR="003B2380">
        <w:rPr>
          <w:rFonts w:ascii="Times New Roman" w:hAnsi="Times New Roman"/>
          <w:szCs w:val="24"/>
        </w:rPr>
        <w:t xml:space="preserve">at 1,300 kWh per month.  </w:t>
      </w:r>
      <w:r w:rsidR="000D4E8F">
        <w:rPr>
          <w:rFonts w:ascii="Times New Roman" w:hAnsi="Times New Roman"/>
          <w:szCs w:val="24"/>
        </w:rPr>
        <w:t xml:space="preserve">This reduction is due to Staff’s lower rate for usage </w:t>
      </w:r>
      <w:r w:rsidR="0097276D">
        <w:rPr>
          <w:rFonts w:ascii="Times New Roman" w:hAnsi="Times New Roman"/>
          <w:szCs w:val="24"/>
        </w:rPr>
        <w:t xml:space="preserve">between </w:t>
      </w:r>
      <w:r w:rsidR="000D4E8F">
        <w:rPr>
          <w:rFonts w:ascii="Times New Roman" w:hAnsi="Times New Roman"/>
          <w:szCs w:val="24"/>
        </w:rPr>
        <w:t xml:space="preserve">800 </w:t>
      </w:r>
      <w:r w:rsidR="0076094F">
        <w:rPr>
          <w:rFonts w:ascii="Times New Roman" w:hAnsi="Times New Roman"/>
          <w:szCs w:val="24"/>
        </w:rPr>
        <w:t xml:space="preserve">and 1,700 </w:t>
      </w:r>
      <w:r w:rsidR="000D4E8F">
        <w:rPr>
          <w:rFonts w:ascii="Times New Roman" w:hAnsi="Times New Roman"/>
          <w:szCs w:val="24"/>
        </w:rPr>
        <w:t>kWh and the shift in costs to the highest use customers compared to the current rate design.</w:t>
      </w:r>
      <w:r w:rsidR="0016694A">
        <w:rPr>
          <w:rFonts w:ascii="Times New Roman" w:hAnsi="Times New Roman"/>
          <w:szCs w:val="24"/>
        </w:rPr>
        <w:t xml:space="preserve">  Staff </w:t>
      </w:r>
      <w:r w:rsidR="00A10E00">
        <w:rPr>
          <w:rFonts w:ascii="Times New Roman" w:hAnsi="Times New Roman"/>
          <w:szCs w:val="24"/>
        </w:rPr>
        <w:t xml:space="preserve">readily </w:t>
      </w:r>
      <w:r w:rsidR="0016694A">
        <w:rPr>
          <w:rFonts w:ascii="Times New Roman" w:hAnsi="Times New Roman"/>
          <w:szCs w:val="24"/>
        </w:rPr>
        <w:t xml:space="preserve">acknowledges </w:t>
      </w:r>
      <w:r w:rsidR="00A10E00">
        <w:rPr>
          <w:rFonts w:ascii="Times New Roman" w:hAnsi="Times New Roman"/>
          <w:szCs w:val="24"/>
        </w:rPr>
        <w:t>this bill reduction for average customers</w:t>
      </w:r>
      <w:r w:rsidR="00A10E00">
        <w:rPr>
          <w:rStyle w:val="FootnoteReference"/>
          <w:szCs w:val="24"/>
        </w:rPr>
        <w:footnoteReference w:id="26"/>
      </w:r>
      <w:r w:rsidR="00A10E00">
        <w:rPr>
          <w:rFonts w:ascii="Times New Roman" w:hAnsi="Times New Roman"/>
          <w:szCs w:val="24"/>
        </w:rPr>
        <w:t xml:space="preserve"> but fails to explain or provide any analysis to support lower costs for average users.  </w:t>
      </w:r>
    </w:p>
    <w:p w:rsidR="00A82463" w:rsidRPr="000A5A66" w:rsidRDefault="00A82463" w:rsidP="00695CC6">
      <w:pPr>
        <w:keepNext/>
        <w:suppressLineNumbers/>
        <w:jc w:val="center"/>
        <w:rPr>
          <w:rFonts w:ascii="Times New Roman" w:hAnsi="Times New Roman"/>
          <w:b/>
          <w:szCs w:val="24"/>
        </w:rPr>
      </w:pPr>
      <w:r w:rsidRPr="001738B8">
        <w:rPr>
          <w:rFonts w:ascii="Times New Roman" w:hAnsi="Times New Roman"/>
          <w:b/>
          <w:szCs w:val="24"/>
        </w:rPr>
        <w:t xml:space="preserve">Table </w:t>
      </w:r>
      <w:r w:rsidR="00B31541" w:rsidRPr="001738B8">
        <w:rPr>
          <w:rFonts w:ascii="Times New Roman" w:hAnsi="Times New Roman"/>
          <w:b/>
          <w:szCs w:val="24"/>
        </w:rPr>
        <w:t>10</w:t>
      </w:r>
    </w:p>
    <w:p w:rsidR="003B2380" w:rsidRDefault="005A3609" w:rsidP="00695CC6">
      <w:pPr>
        <w:suppressLineNumbers/>
        <w:rPr>
          <w:rFonts w:ascii="Times New Roman" w:hAnsi="Times New Roman"/>
          <w:szCs w:val="24"/>
        </w:rPr>
      </w:pPr>
      <w:r>
        <w:rPr>
          <w:rFonts w:ascii="Times New Roman" w:hAnsi="Times New Roman"/>
          <w:noProof/>
          <w:szCs w:val="24"/>
        </w:rPr>
        <w:drawing>
          <wp:inline distT="0" distB="0" distL="0" distR="0" wp14:anchorId="5E30DED5" wp14:editId="13E1745D">
            <wp:extent cx="5631862" cy="40957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1076" cy="4102451"/>
                    </a:xfrm>
                    <a:prstGeom prst="rect">
                      <a:avLst/>
                    </a:prstGeom>
                    <a:noFill/>
                  </pic:spPr>
                </pic:pic>
              </a:graphicData>
            </a:graphic>
          </wp:inline>
        </w:drawing>
      </w:r>
    </w:p>
    <w:p w:rsidR="0016694A" w:rsidRPr="00A64416" w:rsidRDefault="0016694A" w:rsidP="0016694A">
      <w:pPr>
        <w:rPr>
          <w:rFonts w:ascii="Times New Roman" w:hAnsi="Times New Roman"/>
          <w:b/>
          <w:szCs w:val="24"/>
        </w:rPr>
      </w:pPr>
      <w:r w:rsidRPr="00A64416">
        <w:rPr>
          <w:rFonts w:ascii="Times New Roman" w:hAnsi="Times New Roman"/>
          <w:b/>
          <w:szCs w:val="24"/>
        </w:rPr>
        <w:t>Q.</w:t>
      </w:r>
      <w:r w:rsidRPr="00A64416">
        <w:rPr>
          <w:rFonts w:ascii="Times New Roman" w:hAnsi="Times New Roman"/>
          <w:b/>
          <w:szCs w:val="24"/>
        </w:rPr>
        <w:tab/>
      </w:r>
      <w:r w:rsidR="00877E25">
        <w:rPr>
          <w:rFonts w:ascii="Times New Roman" w:hAnsi="Times New Roman"/>
          <w:b/>
          <w:szCs w:val="24"/>
        </w:rPr>
        <w:t>D</w:t>
      </w:r>
      <w:r w:rsidRPr="00A64416">
        <w:rPr>
          <w:rFonts w:ascii="Times New Roman" w:hAnsi="Times New Roman"/>
          <w:b/>
          <w:szCs w:val="24"/>
        </w:rPr>
        <w:t xml:space="preserve">oes </w:t>
      </w:r>
      <w:r w:rsidR="00A10E00">
        <w:rPr>
          <w:rFonts w:ascii="Times New Roman" w:hAnsi="Times New Roman"/>
          <w:b/>
          <w:szCs w:val="24"/>
        </w:rPr>
        <w:t xml:space="preserve">Staff provide </w:t>
      </w:r>
      <w:r w:rsidR="00877E25">
        <w:rPr>
          <w:rFonts w:ascii="Times New Roman" w:hAnsi="Times New Roman"/>
          <w:b/>
          <w:szCs w:val="24"/>
        </w:rPr>
        <w:t xml:space="preserve">any </w:t>
      </w:r>
      <w:r w:rsidR="00482C17">
        <w:rPr>
          <w:rFonts w:ascii="Times New Roman" w:hAnsi="Times New Roman"/>
          <w:b/>
          <w:szCs w:val="24"/>
        </w:rPr>
        <w:t xml:space="preserve">cost-based </w:t>
      </w:r>
      <w:r w:rsidR="00877E25">
        <w:rPr>
          <w:rFonts w:ascii="Times New Roman" w:hAnsi="Times New Roman"/>
          <w:b/>
          <w:szCs w:val="24"/>
        </w:rPr>
        <w:t xml:space="preserve">analysis to support </w:t>
      </w:r>
      <w:r w:rsidRPr="00A64416">
        <w:rPr>
          <w:rFonts w:ascii="Times New Roman" w:hAnsi="Times New Roman"/>
          <w:b/>
          <w:szCs w:val="24"/>
        </w:rPr>
        <w:t xml:space="preserve">revising the current two block rate design to </w:t>
      </w:r>
      <w:r>
        <w:rPr>
          <w:rFonts w:ascii="Times New Roman" w:hAnsi="Times New Roman"/>
          <w:b/>
          <w:szCs w:val="24"/>
        </w:rPr>
        <w:t>include a third block for all usage over 1,700 kWh?</w:t>
      </w:r>
    </w:p>
    <w:p w:rsidR="0037326B" w:rsidRDefault="0016694A" w:rsidP="0016694A">
      <w:pPr>
        <w:rPr>
          <w:rFonts w:ascii="Times New Roman" w:hAnsi="Times New Roman"/>
          <w:szCs w:val="24"/>
        </w:rPr>
      </w:pPr>
      <w:r>
        <w:rPr>
          <w:rFonts w:ascii="Times New Roman" w:hAnsi="Times New Roman"/>
          <w:szCs w:val="24"/>
        </w:rPr>
        <w:t xml:space="preserve">A. </w:t>
      </w:r>
      <w:r>
        <w:rPr>
          <w:rFonts w:ascii="Times New Roman" w:hAnsi="Times New Roman"/>
          <w:szCs w:val="24"/>
        </w:rPr>
        <w:tab/>
      </w:r>
      <w:r w:rsidR="00482C17">
        <w:rPr>
          <w:rFonts w:ascii="Times New Roman" w:hAnsi="Times New Roman"/>
          <w:szCs w:val="24"/>
        </w:rPr>
        <w:t xml:space="preserve">No.  </w:t>
      </w:r>
      <w:r w:rsidR="00C26D3E">
        <w:rPr>
          <w:rFonts w:ascii="Times New Roman" w:hAnsi="Times New Roman"/>
          <w:szCs w:val="24"/>
        </w:rPr>
        <w:t xml:space="preserve">Staff merely states that it is cost-based but </w:t>
      </w:r>
      <w:r w:rsidR="00A10E00">
        <w:rPr>
          <w:rFonts w:ascii="Times New Roman" w:hAnsi="Times New Roman"/>
          <w:szCs w:val="24"/>
        </w:rPr>
        <w:t>Staff</w:t>
      </w:r>
      <w:r w:rsidR="00482C17">
        <w:rPr>
          <w:rFonts w:ascii="Times New Roman" w:hAnsi="Times New Roman"/>
          <w:szCs w:val="24"/>
        </w:rPr>
        <w:t xml:space="preserve">’s only analysis is to show that </w:t>
      </w:r>
      <w:r>
        <w:rPr>
          <w:rFonts w:ascii="Times New Roman" w:hAnsi="Times New Roman"/>
          <w:szCs w:val="24"/>
        </w:rPr>
        <w:t>average usage during four winter months (November - February) is approximately 1,700 kWh.</w:t>
      </w:r>
      <w:r w:rsidR="00482C17">
        <w:rPr>
          <w:rStyle w:val="FootnoteReference"/>
          <w:szCs w:val="24"/>
        </w:rPr>
        <w:footnoteReference w:id="27"/>
      </w:r>
      <w:r>
        <w:rPr>
          <w:rFonts w:ascii="Times New Roman" w:hAnsi="Times New Roman"/>
          <w:szCs w:val="24"/>
        </w:rPr>
        <w:t xml:space="preserve"> </w:t>
      </w:r>
      <w:r w:rsidR="00482C17">
        <w:rPr>
          <w:rFonts w:ascii="Times New Roman" w:hAnsi="Times New Roman"/>
          <w:szCs w:val="24"/>
        </w:rPr>
        <w:t xml:space="preserve"> </w:t>
      </w:r>
      <w:r w:rsidR="008C53F5">
        <w:rPr>
          <w:rFonts w:ascii="Times New Roman" w:hAnsi="Times New Roman"/>
          <w:szCs w:val="24"/>
        </w:rPr>
        <w:t xml:space="preserve">Table </w:t>
      </w:r>
      <w:r w:rsidR="00B31541">
        <w:rPr>
          <w:rFonts w:ascii="Times New Roman" w:hAnsi="Times New Roman"/>
          <w:szCs w:val="24"/>
        </w:rPr>
        <w:t>11</w:t>
      </w:r>
      <w:r w:rsidR="008C53F5">
        <w:rPr>
          <w:rFonts w:ascii="Times New Roman" w:hAnsi="Times New Roman"/>
          <w:szCs w:val="24"/>
        </w:rPr>
        <w:t xml:space="preserve"> below shows the</w:t>
      </w:r>
      <w:r w:rsidR="0037326B">
        <w:rPr>
          <w:rFonts w:ascii="Times New Roman" w:hAnsi="Times New Roman"/>
          <w:szCs w:val="24"/>
        </w:rPr>
        <w:t xml:space="preserve"> monthly distribution of bills over 1,700 kWh for Schedule 16 customers. </w:t>
      </w:r>
      <w:r>
        <w:rPr>
          <w:rFonts w:ascii="Times New Roman" w:hAnsi="Times New Roman"/>
          <w:szCs w:val="24"/>
        </w:rPr>
        <w:t xml:space="preserve">This </w:t>
      </w:r>
      <w:r w:rsidR="0037326B">
        <w:rPr>
          <w:rFonts w:ascii="Times New Roman" w:hAnsi="Times New Roman"/>
          <w:szCs w:val="24"/>
        </w:rPr>
        <w:t>table</w:t>
      </w:r>
      <w:r>
        <w:rPr>
          <w:rFonts w:ascii="Times New Roman" w:hAnsi="Times New Roman"/>
          <w:szCs w:val="24"/>
        </w:rPr>
        <w:t xml:space="preserve"> shows that approximately 72 percent of Schedule 16 bills that exceeded 1,700 kWh (over 205,000</w:t>
      </w:r>
      <w:r w:rsidR="0097276D">
        <w:rPr>
          <w:rFonts w:ascii="Times New Roman" w:hAnsi="Times New Roman"/>
          <w:szCs w:val="24"/>
        </w:rPr>
        <w:t xml:space="preserve"> bills</w:t>
      </w:r>
      <w:r>
        <w:rPr>
          <w:rFonts w:ascii="Times New Roman" w:hAnsi="Times New Roman"/>
          <w:szCs w:val="24"/>
        </w:rPr>
        <w:t>) occurred during the winter months</w:t>
      </w:r>
      <w:r w:rsidR="00A82463">
        <w:rPr>
          <w:rFonts w:ascii="Times New Roman" w:hAnsi="Times New Roman"/>
          <w:szCs w:val="24"/>
        </w:rPr>
        <w:t xml:space="preserve"> of November through April.</w:t>
      </w:r>
      <w:r w:rsidR="0037326B">
        <w:rPr>
          <w:rFonts w:ascii="Times New Roman" w:hAnsi="Times New Roman"/>
          <w:szCs w:val="24"/>
        </w:rPr>
        <w:t xml:space="preserve"> </w:t>
      </w:r>
      <w:r w:rsidR="00C461F7">
        <w:rPr>
          <w:rFonts w:ascii="Times New Roman" w:hAnsi="Times New Roman"/>
          <w:szCs w:val="24"/>
        </w:rPr>
        <w:t xml:space="preserve"> </w:t>
      </w:r>
      <w:r w:rsidR="0097276D">
        <w:rPr>
          <w:rFonts w:ascii="Times New Roman" w:hAnsi="Times New Roman"/>
          <w:szCs w:val="24"/>
        </w:rPr>
        <w:t xml:space="preserve">This new rate block therefore appears to be an attempt to </w:t>
      </w:r>
      <w:r w:rsidR="00C26D3E">
        <w:rPr>
          <w:rFonts w:ascii="Times New Roman" w:hAnsi="Times New Roman"/>
          <w:szCs w:val="24"/>
        </w:rPr>
        <w:t>penalize electric heat customers</w:t>
      </w:r>
      <w:r w:rsidR="0097276D">
        <w:rPr>
          <w:rFonts w:ascii="Times New Roman" w:hAnsi="Times New Roman"/>
          <w:szCs w:val="24"/>
        </w:rPr>
        <w:t xml:space="preserve">.  </w:t>
      </w:r>
    </w:p>
    <w:p w:rsidR="00A82463" w:rsidRDefault="00A82463" w:rsidP="00695CC6">
      <w:pPr>
        <w:suppressLineNumbers/>
        <w:jc w:val="center"/>
        <w:rPr>
          <w:rFonts w:ascii="Times New Roman" w:hAnsi="Times New Roman"/>
          <w:b/>
          <w:szCs w:val="24"/>
        </w:rPr>
      </w:pPr>
      <w:r w:rsidRPr="001738B8">
        <w:rPr>
          <w:rFonts w:ascii="Times New Roman" w:hAnsi="Times New Roman"/>
          <w:b/>
          <w:szCs w:val="24"/>
        </w:rPr>
        <w:t xml:space="preserve">Table </w:t>
      </w:r>
      <w:r w:rsidR="00B31541" w:rsidRPr="001738B8">
        <w:rPr>
          <w:rFonts w:ascii="Times New Roman" w:hAnsi="Times New Roman"/>
          <w:b/>
          <w:szCs w:val="24"/>
        </w:rPr>
        <w:t>11</w:t>
      </w:r>
    </w:p>
    <w:p w:rsidR="00A82463" w:rsidRPr="000A5A66" w:rsidRDefault="00A82463" w:rsidP="00695CC6">
      <w:pPr>
        <w:suppressLineNumbers/>
        <w:jc w:val="center"/>
        <w:rPr>
          <w:rFonts w:ascii="Times New Roman" w:hAnsi="Times New Roman"/>
          <w:b/>
          <w:szCs w:val="24"/>
        </w:rPr>
      </w:pPr>
      <w:r>
        <w:rPr>
          <w:rFonts w:ascii="Times New Roman" w:hAnsi="Times New Roman"/>
          <w:b/>
          <w:noProof/>
          <w:szCs w:val="24"/>
        </w:rPr>
        <w:drawing>
          <wp:inline distT="0" distB="0" distL="0" distR="0" wp14:anchorId="4B39C53D" wp14:editId="02508A82">
            <wp:extent cx="5292427" cy="3847415"/>
            <wp:effectExtent l="0" t="0" r="381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4028" cy="3848579"/>
                    </a:xfrm>
                    <a:prstGeom prst="rect">
                      <a:avLst/>
                    </a:prstGeom>
                    <a:noFill/>
                  </pic:spPr>
                </pic:pic>
              </a:graphicData>
            </a:graphic>
          </wp:inline>
        </w:drawing>
      </w:r>
    </w:p>
    <w:p w:rsidR="00C26D3E" w:rsidRPr="009D5F39" w:rsidRDefault="00C26D3E" w:rsidP="00C26D3E">
      <w:pPr>
        <w:rPr>
          <w:rFonts w:ascii="Times New Roman" w:hAnsi="Times New Roman"/>
          <w:szCs w:val="24"/>
        </w:rPr>
      </w:pPr>
      <w:r w:rsidRPr="009D5F39">
        <w:rPr>
          <w:rFonts w:ascii="Times New Roman" w:hAnsi="Times New Roman"/>
          <w:b/>
          <w:szCs w:val="24"/>
        </w:rPr>
        <w:t xml:space="preserve">Q. </w:t>
      </w:r>
      <w:r w:rsidRPr="009D5F39">
        <w:rPr>
          <w:rFonts w:ascii="Times New Roman" w:hAnsi="Times New Roman"/>
          <w:b/>
          <w:szCs w:val="24"/>
        </w:rPr>
        <w:tab/>
      </w:r>
      <w:r>
        <w:rPr>
          <w:rFonts w:ascii="Times New Roman" w:hAnsi="Times New Roman"/>
          <w:b/>
          <w:szCs w:val="24"/>
        </w:rPr>
        <w:t>Will low income customers be adversely impacted under Staff’s proposed rate design?</w:t>
      </w:r>
    </w:p>
    <w:p w:rsidR="00C26D3E" w:rsidRDefault="00C26D3E" w:rsidP="00C26D3E">
      <w:pPr>
        <w:rPr>
          <w:rFonts w:ascii="Times New Roman" w:hAnsi="Times New Roman"/>
          <w:szCs w:val="24"/>
        </w:rPr>
      </w:pPr>
      <w:r w:rsidRPr="009D5F39">
        <w:rPr>
          <w:rFonts w:ascii="Times New Roman" w:hAnsi="Times New Roman"/>
          <w:szCs w:val="24"/>
        </w:rPr>
        <w:t>A</w:t>
      </w:r>
      <w:r>
        <w:rPr>
          <w:rFonts w:ascii="Times New Roman" w:hAnsi="Times New Roman"/>
          <w:szCs w:val="24"/>
        </w:rPr>
        <w:t>.</w:t>
      </w:r>
      <w:r>
        <w:rPr>
          <w:rFonts w:ascii="Times New Roman" w:hAnsi="Times New Roman"/>
          <w:szCs w:val="24"/>
        </w:rPr>
        <w:tab/>
        <w:t xml:space="preserve">Yes.  I’m concerned that Staff’s rate design proposal to add a third block for usage over 1,700 kWh per month will have a </w:t>
      </w:r>
      <w:r w:rsidR="003A4617">
        <w:rPr>
          <w:rFonts w:ascii="Times New Roman" w:hAnsi="Times New Roman"/>
          <w:szCs w:val="24"/>
        </w:rPr>
        <w:t xml:space="preserve">greater </w:t>
      </w:r>
      <w:r>
        <w:rPr>
          <w:rFonts w:ascii="Times New Roman" w:hAnsi="Times New Roman"/>
          <w:szCs w:val="24"/>
        </w:rPr>
        <w:t xml:space="preserve">impact on low income customers.  Table </w:t>
      </w:r>
      <w:r w:rsidR="00B31541">
        <w:rPr>
          <w:rFonts w:ascii="Times New Roman" w:hAnsi="Times New Roman"/>
          <w:szCs w:val="24"/>
        </w:rPr>
        <w:t>12</w:t>
      </w:r>
      <w:r>
        <w:rPr>
          <w:rFonts w:ascii="Times New Roman" w:hAnsi="Times New Roman"/>
          <w:szCs w:val="24"/>
        </w:rPr>
        <w:t xml:space="preserve"> below is similar to Table </w:t>
      </w:r>
      <w:r w:rsidR="00B31541">
        <w:rPr>
          <w:rFonts w:ascii="Times New Roman" w:hAnsi="Times New Roman"/>
          <w:szCs w:val="24"/>
        </w:rPr>
        <w:t>11</w:t>
      </w:r>
      <w:r>
        <w:rPr>
          <w:rFonts w:ascii="Times New Roman" w:hAnsi="Times New Roman"/>
          <w:szCs w:val="24"/>
        </w:rPr>
        <w:t xml:space="preserve"> above except Table </w:t>
      </w:r>
      <w:r w:rsidR="00B31541">
        <w:rPr>
          <w:rFonts w:ascii="Times New Roman" w:hAnsi="Times New Roman"/>
          <w:szCs w:val="24"/>
        </w:rPr>
        <w:t>12</w:t>
      </w:r>
      <w:r>
        <w:rPr>
          <w:rFonts w:ascii="Times New Roman" w:hAnsi="Times New Roman"/>
          <w:szCs w:val="24"/>
        </w:rPr>
        <w:t xml:space="preserve"> shows the percent of customers on Schedule 17, the Company’s Low Income Bill Assistance Program (LIBA), who have bills that exceed 1,700 kWh per month.  This table shows that 85 percent of Schedule 17 low income bills exceeded 1,700 kWh (over 10,000) in the winter.  For low income customers in particular, it is likely harder to find alternatives to electric heat that would allow them to manage their bills without compromising comfort and health.  </w:t>
      </w:r>
    </w:p>
    <w:p w:rsidR="00136B71" w:rsidRPr="00136B71" w:rsidRDefault="00136B71" w:rsidP="00695CC6">
      <w:pPr>
        <w:suppressLineNumbers/>
        <w:jc w:val="center"/>
        <w:rPr>
          <w:rFonts w:ascii="Times New Roman" w:hAnsi="Times New Roman"/>
          <w:b/>
          <w:szCs w:val="24"/>
        </w:rPr>
      </w:pPr>
      <w:r w:rsidRPr="00136B71">
        <w:rPr>
          <w:rFonts w:ascii="Times New Roman" w:hAnsi="Times New Roman"/>
          <w:b/>
          <w:szCs w:val="24"/>
        </w:rPr>
        <w:t xml:space="preserve">Table </w:t>
      </w:r>
      <w:r w:rsidR="00B31541">
        <w:rPr>
          <w:rFonts w:ascii="Times New Roman" w:hAnsi="Times New Roman"/>
          <w:b/>
          <w:szCs w:val="24"/>
        </w:rPr>
        <w:t>12</w:t>
      </w:r>
    </w:p>
    <w:p w:rsidR="00C26D3E" w:rsidRDefault="00136B71" w:rsidP="00695CC6">
      <w:pPr>
        <w:suppressLineNumbers/>
        <w:jc w:val="center"/>
        <w:rPr>
          <w:rFonts w:ascii="Times New Roman" w:hAnsi="Times New Roman"/>
          <w:b/>
          <w:szCs w:val="24"/>
        </w:rPr>
      </w:pPr>
      <w:r>
        <w:rPr>
          <w:rFonts w:ascii="Times New Roman" w:hAnsi="Times New Roman"/>
          <w:b/>
          <w:noProof/>
          <w:szCs w:val="24"/>
        </w:rPr>
        <w:drawing>
          <wp:inline distT="0" distB="0" distL="0" distR="0" wp14:anchorId="66DE4C6E" wp14:editId="7927026F">
            <wp:extent cx="4972050" cy="36122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74636" cy="3614108"/>
                    </a:xfrm>
                    <a:prstGeom prst="rect">
                      <a:avLst/>
                    </a:prstGeom>
                    <a:noFill/>
                  </pic:spPr>
                </pic:pic>
              </a:graphicData>
            </a:graphic>
          </wp:inline>
        </w:drawing>
      </w:r>
    </w:p>
    <w:p w:rsidR="0037326B" w:rsidRPr="00A64416" w:rsidRDefault="0037326B" w:rsidP="0037326B">
      <w:pPr>
        <w:rPr>
          <w:rFonts w:ascii="Times New Roman" w:hAnsi="Times New Roman"/>
          <w:b/>
          <w:szCs w:val="24"/>
        </w:rPr>
      </w:pPr>
      <w:r w:rsidRPr="00A64416">
        <w:rPr>
          <w:rFonts w:ascii="Times New Roman" w:hAnsi="Times New Roman"/>
          <w:b/>
          <w:szCs w:val="24"/>
        </w:rPr>
        <w:t>Q.</w:t>
      </w:r>
      <w:r w:rsidRPr="00A64416">
        <w:rPr>
          <w:rFonts w:ascii="Times New Roman" w:hAnsi="Times New Roman"/>
          <w:b/>
          <w:szCs w:val="24"/>
        </w:rPr>
        <w:tab/>
      </w:r>
      <w:r>
        <w:rPr>
          <w:rFonts w:ascii="Times New Roman" w:hAnsi="Times New Roman"/>
          <w:b/>
          <w:szCs w:val="24"/>
        </w:rPr>
        <w:t>Does Staff provide any analysis a</w:t>
      </w:r>
      <w:r w:rsidR="00A82463">
        <w:rPr>
          <w:rFonts w:ascii="Times New Roman" w:hAnsi="Times New Roman"/>
          <w:b/>
          <w:szCs w:val="24"/>
        </w:rPr>
        <w:t xml:space="preserve">bout how customers may respond to </w:t>
      </w:r>
      <w:r w:rsidR="00A02932">
        <w:rPr>
          <w:rFonts w:ascii="Times New Roman" w:hAnsi="Times New Roman"/>
          <w:b/>
          <w:szCs w:val="24"/>
        </w:rPr>
        <w:t xml:space="preserve">its </w:t>
      </w:r>
      <w:r w:rsidR="00A82463">
        <w:rPr>
          <w:rFonts w:ascii="Times New Roman" w:hAnsi="Times New Roman"/>
          <w:b/>
          <w:szCs w:val="24"/>
        </w:rPr>
        <w:t>price signal for the third block?</w:t>
      </w:r>
    </w:p>
    <w:p w:rsidR="00552D4C" w:rsidRDefault="0037326B" w:rsidP="00842ED5">
      <w:pPr>
        <w:rPr>
          <w:b/>
          <w:bCs/>
        </w:rPr>
      </w:pPr>
      <w:r>
        <w:rPr>
          <w:rFonts w:ascii="Times New Roman" w:hAnsi="Times New Roman"/>
          <w:szCs w:val="24"/>
        </w:rPr>
        <w:t xml:space="preserve">A. </w:t>
      </w:r>
      <w:r>
        <w:rPr>
          <w:rFonts w:ascii="Times New Roman" w:hAnsi="Times New Roman"/>
          <w:szCs w:val="24"/>
        </w:rPr>
        <w:tab/>
      </w:r>
      <w:r w:rsidR="00552D4C">
        <w:rPr>
          <w:rFonts w:ascii="Times New Roman" w:hAnsi="Times New Roman"/>
          <w:szCs w:val="24"/>
        </w:rPr>
        <w:t>Staff provides an analysis of the potential</w:t>
      </w:r>
      <w:r w:rsidR="00AE4A16">
        <w:rPr>
          <w:rFonts w:ascii="Times New Roman" w:hAnsi="Times New Roman"/>
          <w:szCs w:val="24"/>
        </w:rPr>
        <w:t xml:space="preserve"> reduction in usage for the third block based on </w:t>
      </w:r>
      <w:r w:rsidR="00552D4C">
        <w:rPr>
          <w:rFonts w:ascii="Times New Roman" w:hAnsi="Times New Roman"/>
          <w:szCs w:val="24"/>
        </w:rPr>
        <w:t xml:space="preserve">price </w:t>
      </w:r>
      <w:r w:rsidR="00AE4A16">
        <w:rPr>
          <w:rFonts w:ascii="Times New Roman" w:hAnsi="Times New Roman"/>
          <w:szCs w:val="24"/>
        </w:rPr>
        <w:t>elasticity</w:t>
      </w:r>
      <w:r w:rsidR="00552D4C">
        <w:rPr>
          <w:rFonts w:ascii="Times New Roman" w:hAnsi="Times New Roman"/>
          <w:szCs w:val="24"/>
        </w:rPr>
        <w:t xml:space="preserve"> of demand</w:t>
      </w:r>
      <w:r>
        <w:rPr>
          <w:rFonts w:ascii="Times New Roman" w:hAnsi="Times New Roman"/>
          <w:szCs w:val="24"/>
        </w:rPr>
        <w:t xml:space="preserve">.  </w:t>
      </w:r>
      <w:r w:rsidR="00212A10">
        <w:rPr>
          <w:rFonts w:ascii="Times New Roman" w:hAnsi="Times New Roman"/>
          <w:szCs w:val="24"/>
        </w:rPr>
        <w:t>Staff</w:t>
      </w:r>
      <w:r w:rsidR="00212A10" w:rsidRPr="000A5A66">
        <w:rPr>
          <w:rFonts w:ascii="Times New Roman" w:hAnsi="Times New Roman"/>
          <w:szCs w:val="24"/>
        </w:rPr>
        <w:t xml:space="preserve"> uses elasticities for residential customers in Washington from a 2006 National Renewable Energy Laboratory report</w:t>
      </w:r>
      <w:r w:rsidR="00564CB3">
        <w:rPr>
          <w:rFonts w:ascii="Times New Roman" w:hAnsi="Times New Roman"/>
          <w:szCs w:val="24"/>
        </w:rPr>
        <w:t xml:space="preserve"> and</w:t>
      </w:r>
      <w:r w:rsidR="00212A10" w:rsidRPr="000A5A66">
        <w:rPr>
          <w:rFonts w:ascii="Times New Roman" w:hAnsi="Times New Roman"/>
          <w:szCs w:val="24"/>
        </w:rPr>
        <w:t xml:space="preserve"> calculate</w:t>
      </w:r>
      <w:r w:rsidR="00564CB3">
        <w:rPr>
          <w:rFonts w:ascii="Times New Roman" w:hAnsi="Times New Roman"/>
          <w:szCs w:val="24"/>
        </w:rPr>
        <w:t>s</w:t>
      </w:r>
      <w:r w:rsidR="00212A10" w:rsidRPr="000A5A66">
        <w:rPr>
          <w:rFonts w:ascii="Times New Roman" w:hAnsi="Times New Roman"/>
          <w:szCs w:val="24"/>
        </w:rPr>
        <w:t xml:space="preserve"> a potential </w:t>
      </w:r>
      <w:r w:rsidR="00552D4C">
        <w:rPr>
          <w:rFonts w:ascii="Times New Roman" w:hAnsi="Times New Roman"/>
          <w:szCs w:val="24"/>
        </w:rPr>
        <w:t xml:space="preserve">short-run load reduction of 0.23 percent or 3,759 MWh and a </w:t>
      </w:r>
      <w:r w:rsidR="00212A10">
        <w:rPr>
          <w:rFonts w:ascii="Times New Roman" w:hAnsi="Times New Roman"/>
          <w:szCs w:val="24"/>
        </w:rPr>
        <w:t xml:space="preserve">long-run </w:t>
      </w:r>
      <w:r w:rsidR="00212A10" w:rsidRPr="000A5A66">
        <w:rPr>
          <w:rFonts w:ascii="Times New Roman" w:hAnsi="Times New Roman"/>
          <w:szCs w:val="24"/>
        </w:rPr>
        <w:t xml:space="preserve">load reduction of </w:t>
      </w:r>
      <w:r w:rsidR="00552D4C">
        <w:rPr>
          <w:rFonts w:ascii="Times New Roman" w:hAnsi="Times New Roman"/>
          <w:szCs w:val="24"/>
        </w:rPr>
        <w:t xml:space="preserve">0.47 percent or </w:t>
      </w:r>
      <w:r w:rsidR="00212A10" w:rsidRPr="000A5A66">
        <w:rPr>
          <w:rFonts w:ascii="Times New Roman" w:hAnsi="Times New Roman"/>
          <w:szCs w:val="24"/>
        </w:rPr>
        <w:t xml:space="preserve">7,660 MWh in </w:t>
      </w:r>
      <w:r w:rsidR="00A02932">
        <w:rPr>
          <w:rFonts w:ascii="Times New Roman" w:hAnsi="Times New Roman"/>
          <w:szCs w:val="24"/>
        </w:rPr>
        <w:t>its</w:t>
      </w:r>
      <w:r w:rsidR="00A02932" w:rsidRPr="000A5A66">
        <w:rPr>
          <w:rFonts w:ascii="Times New Roman" w:hAnsi="Times New Roman"/>
          <w:szCs w:val="24"/>
        </w:rPr>
        <w:t xml:space="preserve"> </w:t>
      </w:r>
      <w:r w:rsidR="00212A10" w:rsidRPr="000A5A66">
        <w:rPr>
          <w:rFonts w:ascii="Times New Roman" w:hAnsi="Times New Roman"/>
          <w:szCs w:val="24"/>
        </w:rPr>
        <w:t>proposed third block</w:t>
      </w:r>
      <w:r w:rsidR="00EA2F29">
        <w:rPr>
          <w:rFonts w:ascii="Times New Roman" w:hAnsi="Times New Roman"/>
          <w:szCs w:val="24"/>
        </w:rPr>
        <w:t xml:space="preserve">.  </w:t>
      </w:r>
    </w:p>
    <w:p w:rsidR="00842ED5" w:rsidRPr="000A5A66" w:rsidRDefault="008A6A68" w:rsidP="008A6A68">
      <w:pPr>
        <w:widowControl w:val="0"/>
        <w:rPr>
          <w:rFonts w:ascii="Times New Roman" w:hAnsi="Times New Roman"/>
          <w:b/>
          <w:bCs/>
        </w:rPr>
      </w:pPr>
      <w:r>
        <w:rPr>
          <w:rFonts w:ascii="Times New Roman" w:hAnsi="Times New Roman"/>
          <w:b/>
          <w:bCs/>
        </w:rPr>
        <w:t>Q.</w:t>
      </w:r>
      <w:r>
        <w:rPr>
          <w:rFonts w:ascii="Times New Roman" w:hAnsi="Times New Roman"/>
          <w:b/>
          <w:bCs/>
        </w:rPr>
        <w:tab/>
      </w:r>
      <w:r w:rsidR="006B0E45">
        <w:rPr>
          <w:rFonts w:ascii="Times New Roman" w:hAnsi="Times New Roman"/>
          <w:b/>
          <w:bCs/>
        </w:rPr>
        <w:t>Do you have any concerns with this analysis?</w:t>
      </w:r>
    </w:p>
    <w:p w:rsidR="00564CB3" w:rsidRDefault="008A6A68" w:rsidP="008A6A68">
      <w:pPr>
        <w:widowControl w:val="0"/>
        <w:rPr>
          <w:rFonts w:ascii="Times New Roman" w:hAnsi="Times New Roman"/>
        </w:rPr>
      </w:pPr>
      <w:r>
        <w:rPr>
          <w:rFonts w:ascii="Times New Roman" w:hAnsi="Times New Roman"/>
        </w:rPr>
        <w:t>A.</w:t>
      </w:r>
      <w:r>
        <w:rPr>
          <w:rFonts w:ascii="Times New Roman" w:hAnsi="Times New Roman"/>
        </w:rPr>
        <w:tab/>
      </w:r>
      <w:r w:rsidR="00363DDB">
        <w:rPr>
          <w:rFonts w:ascii="Times New Roman" w:hAnsi="Times New Roman"/>
        </w:rPr>
        <w:t>Yes</w:t>
      </w:r>
      <w:r w:rsidR="006B0E45">
        <w:rPr>
          <w:rFonts w:ascii="Times New Roman" w:hAnsi="Times New Roman"/>
        </w:rPr>
        <w:t xml:space="preserve">.  Staff only applied this elasticity analysis to usage over 2,000 kWh.  Staff did not apply this same analysis to the usage levels that would experience a </w:t>
      </w:r>
      <w:r w:rsidR="0097276D">
        <w:rPr>
          <w:rFonts w:ascii="Times New Roman" w:hAnsi="Times New Roman"/>
        </w:rPr>
        <w:t>bill reduction</w:t>
      </w:r>
      <w:r w:rsidR="006B0E45">
        <w:rPr>
          <w:rFonts w:ascii="Times New Roman" w:hAnsi="Times New Roman"/>
        </w:rPr>
        <w:t xml:space="preserve"> under </w:t>
      </w:r>
      <w:r w:rsidR="003A4617">
        <w:rPr>
          <w:rFonts w:ascii="Times New Roman" w:hAnsi="Times New Roman"/>
        </w:rPr>
        <w:t xml:space="preserve">Staff’s </w:t>
      </w:r>
      <w:r w:rsidR="006B0E45">
        <w:rPr>
          <w:rFonts w:ascii="Times New Roman" w:hAnsi="Times New Roman"/>
        </w:rPr>
        <w:t xml:space="preserve">proposed rate design.  Elasticity works in both directions—a </w:t>
      </w:r>
      <w:r w:rsidR="00815273">
        <w:rPr>
          <w:rFonts w:ascii="Times New Roman" w:hAnsi="Times New Roman"/>
        </w:rPr>
        <w:t>reduction in price may result in an increase in demand and an increase in price may result in a reduction in demand</w:t>
      </w:r>
      <w:r w:rsidR="00564CB3">
        <w:rPr>
          <w:rFonts w:ascii="Times New Roman" w:hAnsi="Times New Roman"/>
        </w:rPr>
        <w:t>—and the elasticity factors use</w:t>
      </w:r>
      <w:r w:rsidR="003A4617">
        <w:rPr>
          <w:rFonts w:ascii="Times New Roman" w:hAnsi="Times New Roman"/>
        </w:rPr>
        <w:t>d</w:t>
      </w:r>
      <w:r w:rsidR="00564CB3">
        <w:rPr>
          <w:rFonts w:ascii="Times New Roman" w:hAnsi="Times New Roman"/>
        </w:rPr>
        <w:t xml:space="preserve"> </w:t>
      </w:r>
      <w:r w:rsidR="003A4617">
        <w:rPr>
          <w:rFonts w:ascii="Times New Roman" w:hAnsi="Times New Roman"/>
        </w:rPr>
        <w:t xml:space="preserve">by Staff </w:t>
      </w:r>
      <w:r w:rsidR="00564CB3">
        <w:rPr>
          <w:rFonts w:ascii="Times New Roman" w:hAnsi="Times New Roman"/>
        </w:rPr>
        <w:t>are not exclusive to high usage</w:t>
      </w:r>
      <w:r w:rsidR="00815273">
        <w:rPr>
          <w:rFonts w:ascii="Times New Roman" w:hAnsi="Times New Roman"/>
        </w:rPr>
        <w:t xml:space="preserve">.  </w:t>
      </w:r>
    </w:p>
    <w:p w:rsidR="00842ED5" w:rsidRPr="000A5A66" w:rsidRDefault="00842ED5" w:rsidP="000A5A66">
      <w:pPr>
        <w:ind w:firstLine="720"/>
        <w:rPr>
          <w:rFonts w:ascii="Times New Roman" w:hAnsi="Times New Roman"/>
        </w:rPr>
      </w:pPr>
      <w:r w:rsidRPr="000A5A66">
        <w:rPr>
          <w:rFonts w:ascii="Times New Roman" w:hAnsi="Times New Roman"/>
        </w:rPr>
        <w:t xml:space="preserve">Using </w:t>
      </w:r>
      <w:r w:rsidR="00815273">
        <w:rPr>
          <w:rFonts w:ascii="Times New Roman" w:hAnsi="Times New Roman"/>
        </w:rPr>
        <w:t xml:space="preserve">Staff’s </w:t>
      </w:r>
      <w:r w:rsidRPr="000A5A66">
        <w:rPr>
          <w:rFonts w:ascii="Times New Roman" w:hAnsi="Times New Roman"/>
        </w:rPr>
        <w:t xml:space="preserve">methodology, the </w:t>
      </w:r>
      <w:r w:rsidR="00815273">
        <w:rPr>
          <w:rFonts w:ascii="Times New Roman" w:hAnsi="Times New Roman"/>
        </w:rPr>
        <w:t xml:space="preserve">Company </w:t>
      </w:r>
      <w:r w:rsidR="00564CB3">
        <w:rPr>
          <w:rFonts w:ascii="Times New Roman" w:hAnsi="Times New Roman"/>
        </w:rPr>
        <w:t>re</w:t>
      </w:r>
      <w:r w:rsidR="00815273">
        <w:rPr>
          <w:rFonts w:ascii="Times New Roman" w:hAnsi="Times New Roman"/>
        </w:rPr>
        <w:t xml:space="preserve">calculates </w:t>
      </w:r>
      <w:r w:rsidR="00564CB3">
        <w:rPr>
          <w:rFonts w:ascii="Times New Roman" w:hAnsi="Times New Roman"/>
        </w:rPr>
        <w:t xml:space="preserve">Staff’s </w:t>
      </w:r>
      <w:r w:rsidR="00815273">
        <w:rPr>
          <w:rFonts w:ascii="Times New Roman" w:hAnsi="Times New Roman"/>
        </w:rPr>
        <w:t xml:space="preserve">long-run reduction due to elasticity </w:t>
      </w:r>
      <w:r w:rsidR="00564CB3">
        <w:rPr>
          <w:rFonts w:ascii="Times New Roman" w:hAnsi="Times New Roman"/>
        </w:rPr>
        <w:t xml:space="preserve">to be </w:t>
      </w:r>
      <w:r w:rsidR="00815273">
        <w:rPr>
          <w:rFonts w:ascii="Times New Roman" w:hAnsi="Times New Roman"/>
        </w:rPr>
        <w:t>8,523</w:t>
      </w:r>
      <w:r w:rsidR="00363DDB">
        <w:rPr>
          <w:rFonts w:ascii="Times New Roman" w:hAnsi="Times New Roman"/>
        </w:rPr>
        <w:t xml:space="preserve"> MWh</w:t>
      </w:r>
      <w:r w:rsidR="00815273">
        <w:rPr>
          <w:rFonts w:ascii="Times New Roman" w:hAnsi="Times New Roman"/>
        </w:rPr>
        <w:t>, or 0.53 percent</w:t>
      </w:r>
      <w:r w:rsidR="00564CB3">
        <w:rPr>
          <w:rFonts w:ascii="Times New Roman" w:hAnsi="Times New Roman"/>
        </w:rPr>
        <w:t>,</w:t>
      </w:r>
      <w:r w:rsidR="00815273" w:rsidRPr="00815273">
        <w:rPr>
          <w:rFonts w:ascii="Times New Roman" w:hAnsi="Times New Roman"/>
        </w:rPr>
        <w:t xml:space="preserve"> </w:t>
      </w:r>
      <w:r w:rsidR="00815273">
        <w:rPr>
          <w:rFonts w:ascii="Times New Roman" w:hAnsi="Times New Roman"/>
        </w:rPr>
        <w:t xml:space="preserve">based on </w:t>
      </w:r>
      <w:r w:rsidR="00363DDB">
        <w:rPr>
          <w:rFonts w:ascii="Times New Roman" w:hAnsi="Times New Roman"/>
        </w:rPr>
        <w:t xml:space="preserve">the bill changes for </w:t>
      </w:r>
      <w:r w:rsidR="00815273">
        <w:rPr>
          <w:rFonts w:ascii="Times New Roman" w:hAnsi="Times New Roman"/>
        </w:rPr>
        <w:t>all customers</w:t>
      </w:r>
      <w:r w:rsidR="002B4561">
        <w:rPr>
          <w:rFonts w:ascii="Times New Roman" w:hAnsi="Times New Roman"/>
        </w:rPr>
        <w:t>. This includes a</w:t>
      </w:r>
      <w:r w:rsidR="0097276D">
        <w:rPr>
          <w:rFonts w:ascii="Times New Roman" w:hAnsi="Times New Roman"/>
        </w:rPr>
        <w:t xml:space="preserve"> net </w:t>
      </w:r>
      <w:r w:rsidR="00815273">
        <w:rPr>
          <w:rFonts w:ascii="Times New Roman" w:hAnsi="Times New Roman"/>
        </w:rPr>
        <w:t>increase of 2,674 MWh</w:t>
      </w:r>
      <w:r w:rsidR="00C44392">
        <w:rPr>
          <w:rFonts w:ascii="Times New Roman" w:hAnsi="Times New Roman"/>
        </w:rPr>
        <w:t xml:space="preserve"> for the customers with usage between 851 and 1,950 kWh per month</w:t>
      </w:r>
      <w:r w:rsidR="00564CB3">
        <w:rPr>
          <w:rFonts w:ascii="Times New Roman" w:hAnsi="Times New Roman"/>
        </w:rPr>
        <w:t xml:space="preserve"> who would see a bill reduction under Staff’s proposal</w:t>
      </w:r>
      <w:r w:rsidR="00815273">
        <w:rPr>
          <w:rFonts w:ascii="Times New Roman" w:hAnsi="Times New Roman"/>
        </w:rPr>
        <w:t xml:space="preserve">.  </w:t>
      </w:r>
      <w:r w:rsidR="00363DDB">
        <w:rPr>
          <w:rFonts w:ascii="Times New Roman" w:hAnsi="Times New Roman"/>
        </w:rPr>
        <w:t>In contrast, under the Company’s propos</w:t>
      </w:r>
      <w:r w:rsidR="0097276D">
        <w:rPr>
          <w:rFonts w:ascii="Times New Roman" w:hAnsi="Times New Roman"/>
        </w:rPr>
        <w:t>ed rates, which balance the cost increase to all usage levels</w:t>
      </w:r>
      <w:r w:rsidR="00363DDB">
        <w:rPr>
          <w:rFonts w:ascii="Times New Roman" w:hAnsi="Times New Roman"/>
        </w:rPr>
        <w:t xml:space="preserve">, the long-run reduction </w:t>
      </w:r>
      <w:r w:rsidR="0076094F">
        <w:rPr>
          <w:rFonts w:ascii="Times New Roman" w:hAnsi="Times New Roman"/>
        </w:rPr>
        <w:t>from</w:t>
      </w:r>
      <w:r w:rsidR="00363DDB">
        <w:rPr>
          <w:rFonts w:ascii="Times New Roman" w:hAnsi="Times New Roman"/>
        </w:rPr>
        <w:t xml:space="preserve"> elasticity </w:t>
      </w:r>
      <w:r w:rsidR="0076094F">
        <w:rPr>
          <w:rFonts w:ascii="Times New Roman" w:hAnsi="Times New Roman"/>
        </w:rPr>
        <w:t>would be</w:t>
      </w:r>
      <w:r w:rsidR="00363DDB">
        <w:rPr>
          <w:rFonts w:ascii="Times New Roman" w:hAnsi="Times New Roman"/>
        </w:rPr>
        <w:t xml:space="preserve"> </w:t>
      </w:r>
      <w:r w:rsidR="002B4561">
        <w:rPr>
          <w:rFonts w:ascii="Times New Roman" w:hAnsi="Times New Roman"/>
        </w:rPr>
        <w:t xml:space="preserve">28,919 </w:t>
      </w:r>
      <w:r w:rsidR="00363DDB">
        <w:rPr>
          <w:rFonts w:ascii="Times New Roman" w:hAnsi="Times New Roman"/>
        </w:rPr>
        <w:t>MWh, or 1.8 percent of load.  Even after attempting to account for the difference in the overall revenue requirement proposed by the Company and Staff, the Company’s proposed rate design results in a higher overall reduction in use since a higher rate would apply to more kWh.  These calculations are shown in Exhibit No. JRS-</w:t>
      </w:r>
      <w:r w:rsidR="006E7374">
        <w:rPr>
          <w:rFonts w:ascii="Times New Roman" w:hAnsi="Times New Roman"/>
        </w:rPr>
        <w:t>21</w:t>
      </w:r>
      <w:r w:rsidR="00363DDB">
        <w:rPr>
          <w:rFonts w:ascii="Times New Roman" w:hAnsi="Times New Roman"/>
        </w:rPr>
        <w:t xml:space="preserve">.  </w:t>
      </w:r>
      <w:r w:rsidRPr="000A5A66">
        <w:rPr>
          <w:rFonts w:ascii="Times New Roman" w:hAnsi="Times New Roman"/>
        </w:rPr>
        <w:t xml:space="preserve"> </w:t>
      </w:r>
    </w:p>
    <w:p w:rsidR="009D79C4" w:rsidRPr="00A64416" w:rsidRDefault="009D79C4" w:rsidP="009D79C4">
      <w:pPr>
        <w:rPr>
          <w:rFonts w:ascii="Times New Roman" w:hAnsi="Times New Roman"/>
          <w:szCs w:val="24"/>
        </w:rPr>
      </w:pPr>
      <w:r w:rsidRPr="00A64416">
        <w:rPr>
          <w:rFonts w:ascii="Times New Roman" w:hAnsi="Times New Roman"/>
          <w:b/>
          <w:szCs w:val="24"/>
        </w:rPr>
        <w:t xml:space="preserve">Q. </w:t>
      </w:r>
      <w:r w:rsidRPr="00A64416">
        <w:rPr>
          <w:rFonts w:ascii="Times New Roman" w:hAnsi="Times New Roman"/>
          <w:b/>
          <w:szCs w:val="24"/>
        </w:rPr>
        <w:tab/>
      </w:r>
      <w:r>
        <w:rPr>
          <w:rFonts w:ascii="Times New Roman" w:hAnsi="Times New Roman"/>
          <w:b/>
          <w:szCs w:val="24"/>
        </w:rPr>
        <w:t xml:space="preserve">Staff argues that under its rate design the Company will face less risk of </w:t>
      </w:r>
      <w:r w:rsidR="007801B9">
        <w:rPr>
          <w:rFonts w:ascii="Times New Roman" w:hAnsi="Times New Roman"/>
          <w:b/>
          <w:szCs w:val="24"/>
        </w:rPr>
        <w:t xml:space="preserve">fixed </w:t>
      </w:r>
      <w:r>
        <w:rPr>
          <w:rFonts w:ascii="Times New Roman" w:hAnsi="Times New Roman"/>
          <w:b/>
          <w:szCs w:val="24"/>
        </w:rPr>
        <w:t xml:space="preserve">cost recovery.  Do you agree?  </w:t>
      </w:r>
    </w:p>
    <w:p w:rsidR="009D79C4" w:rsidRPr="000A5A66" w:rsidRDefault="009D79C4" w:rsidP="00370A44">
      <w:pPr>
        <w:rPr>
          <w:rFonts w:ascii="Times New Roman" w:hAnsi="Times New Roman"/>
          <w:szCs w:val="24"/>
        </w:rPr>
      </w:pPr>
      <w:r w:rsidRPr="00A64416">
        <w:rPr>
          <w:rFonts w:ascii="Times New Roman" w:hAnsi="Times New Roman"/>
          <w:szCs w:val="24"/>
        </w:rPr>
        <w:t>A</w:t>
      </w:r>
      <w:r>
        <w:rPr>
          <w:rFonts w:ascii="Times New Roman" w:hAnsi="Times New Roman"/>
          <w:szCs w:val="24"/>
        </w:rPr>
        <w:t>.</w:t>
      </w:r>
      <w:r>
        <w:rPr>
          <w:rFonts w:ascii="Times New Roman" w:hAnsi="Times New Roman"/>
          <w:szCs w:val="24"/>
        </w:rPr>
        <w:tab/>
      </w:r>
      <w:r w:rsidR="007801B9">
        <w:rPr>
          <w:rFonts w:ascii="Times New Roman" w:hAnsi="Times New Roman"/>
          <w:szCs w:val="24"/>
        </w:rPr>
        <w:t>No,</w:t>
      </w:r>
      <w:r w:rsidR="00592A38">
        <w:rPr>
          <w:rFonts w:ascii="Times New Roman" w:hAnsi="Times New Roman"/>
          <w:szCs w:val="24"/>
        </w:rPr>
        <w:t xml:space="preserve"> I disagree</w:t>
      </w:r>
      <w:r w:rsidR="007801B9">
        <w:rPr>
          <w:rFonts w:ascii="Times New Roman" w:hAnsi="Times New Roman"/>
          <w:szCs w:val="24"/>
        </w:rPr>
        <w:t xml:space="preserve"> for a couple of reasons.  For one, Staff’s table on page 28 in Exhibit No. JBT-4 that purports to show improved revenue stability from Staff’s rate design is misleading</w:t>
      </w:r>
      <w:r w:rsidR="0025265C">
        <w:rPr>
          <w:rFonts w:ascii="Times New Roman" w:hAnsi="Times New Roman"/>
          <w:szCs w:val="24"/>
        </w:rPr>
        <w:t xml:space="preserve"> because of the change in kWh in the 1</w:t>
      </w:r>
      <w:r w:rsidR="0025265C" w:rsidRPr="000A5A66">
        <w:rPr>
          <w:rFonts w:ascii="Times New Roman" w:hAnsi="Times New Roman"/>
          <w:szCs w:val="24"/>
          <w:vertAlign w:val="superscript"/>
        </w:rPr>
        <w:t>st</w:t>
      </w:r>
      <w:r w:rsidR="0025265C">
        <w:rPr>
          <w:rFonts w:ascii="Times New Roman" w:hAnsi="Times New Roman"/>
          <w:szCs w:val="24"/>
        </w:rPr>
        <w:t xml:space="preserve"> block</w:t>
      </w:r>
      <w:r w:rsidR="007801B9">
        <w:rPr>
          <w:rFonts w:ascii="Times New Roman" w:hAnsi="Times New Roman"/>
          <w:szCs w:val="24"/>
        </w:rPr>
        <w:t xml:space="preserve">.  </w:t>
      </w:r>
      <w:r w:rsidR="0025265C">
        <w:rPr>
          <w:rFonts w:ascii="Times New Roman" w:hAnsi="Times New Roman"/>
          <w:szCs w:val="24"/>
        </w:rPr>
        <w:t xml:space="preserve">By increasing the first block from 600 kWh to 800 kWh per month, the percent of revenue recovered in that block </w:t>
      </w:r>
      <w:r w:rsidR="007212D7">
        <w:rPr>
          <w:rFonts w:ascii="Times New Roman" w:hAnsi="Times New Roman"/>
          <w:szCs w:val="24"/>
        </w:rPr>
        <w:t xml:space="preserve">under Staff’s proposal </w:t>
      </w:r>
      <w:r w:rsidR="0025265C">
        <w:rPr>
          <w:rFonts w:ascii="Times New Roman" w:hAnsi="Times New Roman"/>
          <w:szCs w:val="24"/>
        </w:rPr>
        <w:t>goes up</w:t>
      </w:r>
      <w:r w:rsidR="007212D7">
        <w:rPr>
          <w:rFonts w:ascii="Times New Roman" w:hAnsi="Times New Roman"/>
          <w:szCs w:val="24"/>
        </w:rPr>
        <w:t xml:space="preserve"> because there are more kWh in that block, not because there is more stable cost recovery.  The percent of revenue from the basic charge and usage under 600 kWh is similar under both the Company’s proposal and Staff’s proposal.  </w:t>
      </w:r>
      <w:r w:rsidR="00592A38">
        <w:rPr>
          <w:rFonts w:ascii="Times New Roman" w:hAnsi="Times New Roman"/>
          <w:szCs w:val="24"/>
        </w:rPr>
        <w:t xml:space="preserve">The percent of revenue from usage over 1,700 kWh, however, is the key difference with Staff’s rate design resulting in </w:t>
      </w:r>
      <w:r w:rsidR="006113C7">
        <w:rPr>
          <w:rFonts w:ascii="Times New Roman" w:hAnsi="Times New Roman"/>
          <w:szCs w:val="24"/>
        </w:rPr>
        <w:t>22</w:t>
      </w:r>
      <w:r w:rsidR="00592A38">
        <w:rPr>
          <w:rFonts w:ascii="Times New Roman" w:hAnsi="Times New Roman"/>
          <w:szCs w:val="24"/>
        </w:rPr>
        <w:t xml:space="preserve"> percent of revenue compared to the Company’s </w:t>
      </w:r>
      <w:r w:rsidR="006113C7" w:rsidRPr="001738B8">
        <w:rPr>
          <w:rFonts w:ascii="Times New Roman" w:hAnsi="Times New Roman"/>
          <w:szCs w:val="24"/>
        </w:rPr>
        <w:t>18</w:t>
      </w:r>
      <w:r w:rsidR="00592A38" w:rsidRPr="001738B8">
        <w:rPr>
          <w:rFonts w:ascii="Times New Roman" w:hAnsi="Times New Roman"/>
          <w:szCs w:val="24"/>
        </w:rPr>
        <w:t xml:space="preserve"> percent.</w:t>
      </w:r>
      <w:r w:rsidR="00592A38">
        <w:rPr>
          <w:rFonts w:ascii="Times New Roman" w:hAnsi="Times New Roman"/>
          <w:szCs w:val="24"/>
        </w:rPr>
        <w:t xml:space="preserve">  </w:t>
      </w:r>
    </w:p>
    <w:p w:rsidR="00AE4A16" w:rsidRPr="00A64416" w:rsidRDefault="00AE4A16" w:rsidP="00AE4A16">
      <w:pPr>
        <w:rPr>
          <w:rFonts w:ascii="Times New Roman" w:hAnsi="Times New Roman"/>
          <w:b/>
          <w:szCs w:val="24"/>
        </w:rPr>
      </w:pPr>
      <w:r w:rsidRPr="00A64416">
        <w:rPr>
          <w:rFonts w:ascii="Times New Roman" w:hAnsi="Times New Roman"/>
          <w:b/>
          <w:szCs w:val="24"/>
        </w:rPr>
        <w:t>Q.</w:t>
      </w:r>
      <w:r w:rsidRPr="00A64416">
        <w:rPr>
          <w:rFonts w:ascii="Times New Roman" w:hAnsi="Times New Roman"/>
          <w:b/>
          <w:szCs w:val="24"/>
        </w:rPr>
        <w:tab/>
      </w:r>
      <w:r>
        <w:rPr>
          <w:rFonts w:ascii="Times New Roman" w:hAnsi="Times New Roman"/>
          <w:b/>
          <w:szCs w:val="24"/>
        </w:rPr>
        <w:t>Would weather influence usage in this tail block, and therefore influence the Company’s cost recovery?</w:t>
      </w:r>
    </w:p>
    <w:p w:rsidR="008A6A68" w:rsidRDefault="00AE4A16" w:rsidP="00AE4A16">
      <w:pPr>
        <w:rPr>
          <w:rFonts w:ascii="Times New Roman" w:hAnsi="Times New Roman"/>
          <w:szCs w:val="24"/>
        </w:rPr>
      </w:pPr>
      <w:r>
        <w:rPr>
          <w:rFonts w:ascii="Times New Roman" w:hAnsi="Times New Roman"/>
          <w:szCs w:val="24"/>
        </w:rPr>
        <w:t xml:space="preserve">A. </w:t>
      </w:r>
      <w:r>
        <w:rPr>
          <w:rFonts w:ascii="Times New Roman" w:hAnsi="Times New Roman"/>
          <w:szCs w:val="24"/>
        </w:rPr>
        <w:tab/>
        <w:t xml:space="preserve">Absolutely.  </w:t>
      </w:r>
      <w:r w:rsidR="0076094F">
        <w:rPr>
          <w:rFonts w:ascii="Times New Roman" w:hAnsi="Times New Roman"/>
          <w:szCs w:val="24"/>
        </w:rPr>
        <w:t xml:space="preserve">Since </w:t>
      </w:r>
      <w:r>
        <w:rPr>
          <w:rFonts w:ascii="Times New Roman" w:hAnsi="Times New Roman"/>
          <w:szCs w:val="24"/>
        </w:rPr>
        <w:t xml:space="preserve">usage over 1,700 kWh per month is largely </w:t>
      </w:r>
      <w:r w:rsidR="00363DDB">
        <w:rPr>
          <w:rFonts w:ascii="Times New Roman" w:hAnsi="Times New Roman"/>
          <w:szCs w:val="24"/>
        </w:rPr>
        <w:t>tied to electric heat in winter</w:t>
      </w:r>
      <w:r>
        <w:rPr>
          <w:rFonts w:ascii="Times New Roman" w:hAnsi="Times New Roman"/>
          <w:szCs w:val="24"/>
        </w:rPr>
        <w:t xml:space="preserve">, then temperature will influence usage and therefore </w:t>
      </w:r>
      <w:r w:rsidR="009551A3">
        <w:rPr>
          <w:rFonts w:ascii="Times New Roman" w:hAnsi="Times New Roman"/>
          <w:szCs w:val="24"/>
        </w:rPr>
        <w:t>recovery of costs.  Rates are designed based on revenue and usage that has been normalized for weather</w:t>
      </w:r>
      <w:r w:rsidR="0076094F">
        <w:rPr>
          <w:rFonts w:ascii="Times New Roman" w:hAnsi="Times New Roman"/>
          <w:szCs w:val="24"/>
        </w:rPr>
        <w:t>, however, weather is hardly ever “normal”</w:t>
      </w:r>
      <w:r w:rsidR="009551A3">
        <w:rPr>
          <w:rFonts w:ascii="Times New Roman" w:hAnsi="Times New Roman"/>
          <w:szCs w:val="24"/>
        </w:rPr>
        <w:t>.  Exhibit No. JRS-</w:t>
      </w:r>
      <w:r w:rsidR="002C7F89">
        <w:rPr>
          <w:rFonts w:ascii="Times New Roman" w:hAnsi="Times New Roman"/>
          <w:szCs w:val="24"/>
        </w:rPr>
        <w:t>22</w:t>
      </w:r>
      <w:r w:rsidR="009551A3">
        <w:rPr>
          <w:rFonts w:ascii="Times New Roman" w:hAnsi="Times New Roman"/>
          <w:szCs w:val="24"/>
        </w:rPr>
        <w:t xml:space="preserve"> shows the temperature adjustments that have been applied to normalize residential usage in the last five cases.  This exhibit shows </w:t>
      </w:r>
      <w:r w:rsidR="0037290B">
        <w:rPr>
          <w:rFonts w:ascii="Times New Roman" w:hAnsi="Times New Roman"/>
          <w:szCs w:val="24"/>
        </w:rPr>
        <w:t>that temperature adjustments</w:t>
      </w:r>
      <w:r w:rsidR="00C548EF">
        <w:rPr>
          <w:rFonts w:ascii="Times New Roman" w:hAnsi="Times New Roman"/>
          <w:szCs w:val="24"/>
        </w:rPr>
        <w:t xml:space="preserve"> for the residential class</w:t>
      </w:r>
      <w:r w:rsidR="0037290B">
        <w:rPr>
          <w:rFonts w:ascii="Times New Roman" w:hAnsi="Times New Roman"/>
          <w:szCs w:val="24"/>
        </w:rPr>
        <w:t xml:space="preserve"> </w:t>
      </w:r>
      <w:r w:rsidR="009551A3">
        <w:rPr>
          <w:rFonts w:ascii="Times New Roman" w:hAnsi="Times New Roman"/>
          <w:szCs w:val="24"/>
        </w:rPr>
        <w:t xml:space="preserve">range between a reduction to </w:t>
      </w:r>
      <w:r w:rsidR="00370A44">
        <w:rPr>
          <w:rFonts w:ascii="Times New Roman" w:hAnsi="Times New Roman"/>
          <w:szCs w:val="24"/>
        </w:rPr>
        <w:t>test period</w:t>
      </w:r>
      <w:r w:rsidR="009551A3">
        <w:rPr>
          <w:rFonts w:ascii="Times New Roman" w:hAnsi="Times New Roman"/>
          <w:szCs w:val="24"/>
        </w:rPr>
        <w:t xml:space="preserve"> </w:t>
      </w:r>
      <w:r w:rsidR="00370A44">
        <w:rPr>
          <w:rFonts w:ascii="Times New Roman" w:hAnsi="Times New Roman"/>
          <w:szCs w:val="24"/>
        </w:rPr>
        <w:t xml:space="preserve">load </w:t>
      </w:r>
      <w:r w:rsidR="009551A3">
        <w:rPr>
          <w:rFonts w:ascii="Times New Roman" w:hAnsi="Times New Roman"/>
          <w:szCs w:val="24"/>
        </w:rPr>
        <w:t xml:space="preserve">of 84,467 MWh </w:t>
      </w:r>
      <w:r w:rsidR="0037290B">
        <w:rPr>
          <w:rFonts w:ascii="Times New Roman" w:hAnsi="Times New Roman"/>
          <w:szCs w:val="24"/>
        </w:rPr>
        <w:t xml:space="preserve">and $5.6 million in revenue </w:t>
      </w:r>
      <w:r w:rsidR="009551A3">
        <w:rPr>
          <w:rFonts w:ascii="Times New Roman" w:hAnsi="Times New Roman"/>
          <w:szCs w:val="24"/>
        </w:rPr>
        <w:t xml:space="preserve">in UE-100749 to an increase of 46,034 MWh </w:t>
      </w:r>
      <w:r w:rsidR="0037290B">
        <w:rPr>
          <w:rFonts w:ascii="Times New Roman" w:hAnsi="Times New Roman"/>
          <w:szCs w:val="24"/>
        </w:rPr>
        <w:t xml:space="preserve">and $3.2 million </w:t>
      </w:r>
      <w:r w:rsidR="009551A3">
        <w:rPr>
          <w:rFonts w:ascii="Times New Roman" w:hAnsi="Times New Roman"/>
          <w:szCs w:val="24"/>
        </w:rPr>
        <w:t>in UE</w:t>
      </w:r>
      <w:r w:rsidR="007939AA">
        <w:rPr>
          <w:rFonts w:ascii="Times New Roman" w:hAnsi="Times New Roman"/>
          <w:szCs w:val="24"/>
        </w:rPr>
        <w:noBreakHyphen/>
      </w:r>
      <w:r w:rsidR="009551A3">
        <w:rPr>
          <w:rFonts w:ascii="Times New Roman" w:hAnsi="Times New Roman"/>
          <w:szCs w:val="24"/>
        </w:rPr>
        <w:t xml:space="preserve">111190. </w:t>
      </w:r>
      <w:r w:rsidR="00656EE0">
        <w:rPr>
          <w:rFonts w:ascii="Times New Roman" w:hAnsi="Times New Roman"/>
          <w:szCs w:val="24"/>
        </w:rPr>
        <w:t xml:space="preserve"> Winter temperature is the largest driver of these adjustments and represents 70 percent and 86 percent, respectively, of the total adjustments </w:t>
      </w:r>
      <w:r w:rsidR="00370A44">
        <w:rPr>
          <w:rFonts w:ascii="Times New Roman" w:hAnsi="Times New Roman"/>
          <w:szCs w:val="24"/>
        </w:rPr>
        <w:t>to the test period load for these cases</w:t>
      </w:r>
      <w:r w:rsidR="00656EE0">
        <w:rPr>
          <w:rFonts w:ascii="Times New Roman" w:hAnsi="Times New Roman"/>
          <w:szCs w:val="24"/>
        </w:rPr>
        <w:t xml:space="preserve">. </w:t>
      </w:r>
      <w:r w:rsidR="00370A44">
        <w:rPr>
          <w:rFonts w:ascii="Times New Roman" w:hAnsi="Times New Roman"/>
          <w:szCs w:val="24"/>
        </w:rPr>
        <w:t xml:space="preserve">Pushing more revenue recovery into this temperature sensitive usage block </w:t>
      </w:r>
      <w:r w:rsidR="006C371F">
        <w:rPr>
          <w:rFonts w:ascii="Times New Roman" w:hAnsi="Times New Roman"/>
          <w:szCs w:val="24"/>
        </w:rPr>
        <w:t xml:space="preserve">will </w:t>
      </w:r>
      <w:r w:rsidR="00370A44">
        <w:rPr>
          <w:rFonts w:ascii="Times New Roman" w:hAnsi="Times New Roman"/>
          <w:szCs w:val="24"/>
        </w:rPr>
        <w:t>make the Company more subject to weather for the recovery of fixed costs</w:t>
      </w:r>
      <w:r w:rsidR="006C371F">
        <w:rPr>
          <w:rFonts w:ascii="Times New Roman" w:hAnsi="Times New Roman"/>
          <w:szCs w:val="24"/>
        </w:rPr>
        <w:t xml:space="preserve">.  </w:t>
      </w:r>
      <w:r w:rsidR="00656EE0">
        <w:rPr>
          <w:rFonts w:ascii="Times New Roman" w:hAnsi="Times New Roman"/>
          <w:szCs w:val="24"/>
        </w:rPr>
        <w:t xml:space="preserve">  </w:t>
      </w:r>
    </w:p>
    <w:p w:rsidR="00370A44" w:rsidRPr="008A6A68" w:rsidRDefault="00370A44" w:rsidP="008A6A68">
      <w:pPr>
        <w:widowControl w:val="0"/>
        <w:rPr>
          <w:rFonts w:ascii="Times New Roman" w:hAnsi="Times New Roman"/>
          <w:b/>
          <w:szCs w:val="24"/>
        </w:rPr>
      </w:pPr>
      <w:r w:rsidRPr="00A64416">
        <w:rPr>
          <w:rFonts w:ascii="Times New Roman" w:hAnsi="Times New Roman"/>
          <w:b/>
          <w:szCs w:val="24"/>
        </w:rPr>
        <w:t>Q.</w:t>
      </w:r>
      <w:r w:rsidRPr="00A64416">
        <w:rPr>
          <w:rFonts w:ascii="Times New Roman" w:hAnsi="Times New Roman"/>
          <w:b/>
          <w:szCs w:val="24"/>
        </w:rPr>
        <w:tab/>
      </w:r>
      <w:r>
        <w:rPr>
          <w:rFonts w:ascii="Times New Roman" w:hAnsi="Times New Roman"/>
          <w:b/>
          <w:szCs w:val="24"/>
        </w:rPr>
        <w:t xml:space="preserve">Staff argues that only a small portion of fixed costs are in the third block rate.  </w:t>
      </w:r>
      <w:r w:rsidRPr="008A6A68">
        <w:rPr>
          <w:rFonts w:ascii="Times New Roman" w:hAnsi="Times New Roman"/>
          <w:b/>
          <w:szCs w:val="24"/>
        </w:rPr>
        <w:t>Do you agree?</w:t>
      </w:r>
    </w:p>
    <w:p w:rsidR="009D79C4" w:rsidRDefault="00370A44" w:rsidP="008A6A68">
      <w:pPr>
        <w:widowControl w:val="0"/>
        <w:rPr>
          <w:rFonts w:ascii="Times New Roman" w:hAnsi="Times New Roman"/>
          <w:szCs w:val="24"/>
        </w:rPr>
      </w:pPr>
      <w:r w:rsidRPr="008A6A68">
        <w:rPr>
          <w:rFonts w:ascii="Times New Roman" w:hAnsi="Times New Roman"/>
          <w:szCs w:val="24"/>
        </w:rPr>
        <w:t xml:space="preserve">A. </w:t>
      </w:r>
      <w:r w:rsidRPr="008A6A68">
        <w:rPr>
          <w:rFonts w:ascii="Times New Roman" w:hAnsi="Times New Roman"/>
          <w:szCs w:val="24"/>
        </w:rPr>
        <w:tab/>
        <w:t>No.  As I previously noted the only costs that will vary with changes in consumption</w:t>
      </w:r>
      <w:r>
        <w:rPr>
          <w:rFonts w:ascii="Times New Roman" w:hAnsi="Times New Roman"/>
          <w:szCs w:val="24"/>
        </w:rPr>
        <w:t xml:space="preserve"> in the near term are net power costs</w:t>
      </w:r>
      <w:r w:rsidR="005553BB">
        <w:rPr>
          <w:rFonts w:ascii="Times New Roman" w:hAnsi="Times New Roman"/>
          <w:szCs w:val="24"/>
        </w:rPr>
        <w:t>.  Staff’s proposed third block rate is approximately 12 cents/kWh</w:t>
      </w:r>
      <w:r w:rsidR="003A4617">
        <w:rPr>
          <w:rFonts w:ascii="Times New Roman" w:hAnsi="Times New Roman"/>
          <w:szCs w:val="24"/>
        </w:rPr>
        <w:t>.  N</w:t>
      </w:r>
      <w:r w:rsidR="005553BB">
        <w:rPr>
          <w:rFonts w:ascii="Times New Roman" w:hAnsi="Times New Roman"/>
          <w:szCs w:val="24"/>
        </w:rPr>
        <w:t>et power costs</w:t>
      </w:r>
      <w:r w:rsidR="003A4617">
        <w:rPr>
          <w:rFonts w:ascii="Times New Roman" w:hAnsi="Times New Roman"/>
          <w:szCs w:val="24"/>
        </w:rPr>
        <w:t>, however,</w:t>
      </w:r>
      <w:r w:rsidR="005553BB">
        <w:rPr>
          <w:rFonts w:ascii="Times New Roman" w:hAnsi="Times New Roman"/>
          <w:szCs w:val="24"/>
        </w:rPr>
        <w:t xml:space="preserve"> are approximately 3.7 cents/kWh on average.  </w:t>
      </w:r>
      <w:r w:rsidR="00522A77">
        <w:rPr>
          <w:rFonts w:ascii="Times New Roman" w:hAnsi="Times New Roman"/>
          <w:szCs w:val="24"/>
        </w:rPr>
        <w:t>So while Staff argues that “any reduction in usage in this block should strongly correlate with a reduction in the Company’s energy-based expenses such as fuel and purchased power,”</w:t>
      </w:r>
      <w:r w:rsidR="00522A77">
        <w:rPr>
          <w:rStyle w:val="FootnoteReference"/>
          <w:szCs w:val="24"/>
        </w:rPr>
        <w:footnoteReference w:id="28"/>
      </w:r>
      <w:r w:rsidR="00522A77">
        <w:rPr>
          <w:rFonts w:ascii="Times New Roman" w:hAnsi="Times New Roman"/>
          <w:szCs w:val="24"/>
        </w:rPr>
        <w:t xml:space="preserve"> there is </w:t>
      </w:r>
      <w:r w:rsidR="0076094F">
        <w:rPr>
          <w:rFonts w:ascii="Times New Roman" w:hAnsi="Times New Roman"/>
          <w:szCs w:val="24"/>
        </w:rPr>
        <w:t xml:space="preserve">an </w:t>
      </w:r>
      <w:r w:rsidR="00522A77">
        <w:rPr>
          <w:rFonts w:ascii="Times New Roman" w:hAnsi="Times New Roman"/>
          <w:szCs w:val="24"/>
        </w:rPr>
        <w:t>over 8 cents/kWh differential between the rate and variable net power costs</w:t>
      </w:r>
      <w:r w:rsidR="002D36C7">
        <w:rPr>
          <w:rFonts w:ascii="Times New Roman" w:hAnsi="Times New Roman"/>
          <w:szCs w:val="24"/>
        </w:rPr>
        <w:t>.  For any reduction in usage, the Company will under</w:t>
      </w:r>
      <w:r w:rsidR="009B1D1A">
        <w:rPr>
          <w:rFonts w:ascii="Times New Roman" w:hAnsi="Times New Roman"/>
          <w:szCs w:val="24"/>
        </w:rPr>
        <w:t xml:space="preserve"> </w:t>
      </w:r>
      <w:r w:rsidR="002D36C7">
        <w:rPr>
          <w:rFonts w:ascii="Times New Roman" w:hAnsi="Times New Roman"/>
          <w:szCs w:val="24"/>
        </w:rPr>
        <w:t xml:space="preserve">recover 8 cents in other costs.  </w:t>
      </w:r>
    </w:p>
    <w:p w:rsidR="009B1D1A" w:rsidRPr="000A5A66" w:rsidRDefault="009B1D1A" w:rsidP="009B1D1A">
      <w:pPr>
        <w:pStyle w:val="ListParagraph"/>
        <w:widowControl w:val="0"/>
        <w:tabs>
          <w:tab w:val="left" w:pos="0"/>
        </w:tabs>
        <w:suppressAutoHyphens/>
        <w:rPr>
          <w:rFonts w:ascii="Times New Roman" w:hAnsi="Times New Roman"/>
          <w:b/>
          <w:szCs w:val="24"/>
        </w:rPr>
      </w:pPr>
      <w:r w:rsidRPr="000A5A66">
        <w:rPr>
          <w:rFonts w:ascii="Times New Roman" w:hAnsi="Times New Roman"/>
          <w:b/>
          <w:szCs w:val="24"/>
        </w:rPr>
        <w:t>Q.</w:t>
      </w:r>
      <w:r w:rsidRPr="000A5A66">
        <w:rPr>
          <w:rFonts w:ascii="Times New Roman" w:hAnsi="Times New Roman"/>
          <w:b/>
          <w:szCs w:val="24"/>
        </w:rPr>
        <w:tab/>
      </w:r>
      <w:r w:rsidR="00C548EF" w:rsidRPr="000A5A66">
        <w:rPr>
          <w:rFonts w:ascii="Times New Roman" w:hAnsi="Times New Roman"/>
          <w:b/>
          <w:szCs w:val="24"/>
        </w:rPr>
        <w:t xml:space="preserve">Please explain how the current two-block rate structure already sends a significant price signal to large use customers.  </w:t>
      </w:r>
    </w:p>
    <w:p w:rsidR="00E90DAE" w:rsidRDefault="003A4617" w:rsidP="001738B8">
      <w:pPr>
        <w:rPr>
          <w:rFonts w:ascii="Times New Roman" w:hAnsi="Times New Roman"/>
          <w:szCs w:val="24"/>
        </w:rPr>
      </w:pPr>
      <w:r>
        <w:rPr>
          <w:rFonts w:ascii="Times New Roman" w:hAnsi="Times New Roman"/>
          <w:szCs w:val="24"/>
        </w:rPr>
        <w:t>A.</w:t>
      </w:r>
      <w:r>
        <w:rPr>
          <w:rFonts w:ascii="Times New Roman" w:hAnsi="Times New Roman"/>
          <w:szCs w:val="24"/>
        </w:rPr>
        <w:tab/>
      </w:r>
      <w:r w:rsidR="00C548EF" w:rsidRPr="000A5A66">
        <w:rPr>
          <w:rFonts w:ascii="Times New Roman" w:hAnsi="Times New Roman"/>
          <w:szCs w:val="24"/>
        </w:rPr>
        <w:t>T</w:t>
      </w:r>
      <w:r w:rsidR="009B1D1A" w:rsidRPr="000A5A66">
        <w:rPr>
          <w:rFonts w:ascii="Times New Roman" w:hAnsi="Times New Roman"/>
          <w:szCs w:val="24"/>
        </w:rPr>
        <w:t>he Company’s current residential rate design already reflects a steeply inverted block rate</w:t>
      </w:r>
      <w:r w:rsidR="00C548EF" w:rsidRPr="000A5A66">
        <w:rPr>
          <w:rFonts w:ascii="Times New Roman" w:hAnsi="Times New Roman"/>
          <w:szCs w:val="24"/>
        </w:rPr>
        <w:t xml:space="preserve"> that results </w:t>
      </w:r>
      <w:r w:rsidR="002B4561">
        <w:rPr>
          <w:rFonts w:ascii="Times New Roman" w:hAnsi="Times New Roman"/>
          <w:szCs w:val="24"/>
        </w:rPr>
        <w:t>in</w:t>
      </w:r>
      <w:r w:rsidR="00C548EF" w:rsidRPr="000A5A66">
        <w:rPr>
          <w:rFonts w:ascii="Times New Roman" w:hAnsi="Times New Roman"/>
          <w:szCs w:val="24"/>
        </w:rPr>
        <w:t xml:space="preserve"> a higher average price for large users</w:t>
      </w:r>
      <w:r w:rsidR="009B1D1A" w:rsidRPr="000A5A66">
        <w:rPr>
          <w:rFonts w:ascii="Times New Roman" w:hAnsi="Times New Roman"/>
          <w:szCs w:val="24"/>
        </w:rPr>
        <w:t xml:space="preserve">.  </w:t>
      </w:r>
      <w:r w:rsidR="00C548EF" w:rsidRPr="000A5A66">
        <w:rPr>
          <w:rFonts w:ascii="Times New Roman" w:hAnsi="Times New Roman"/>
          <w:szCs w:val="24"/>
        </w:rPr>
        <w:t xml:space="preserve">As Table </w:t>
      </w:r>
      <w:r>
        <w:rPr>
          <w:rFonts w:ascii="Times New Roman" w:hAnsi="Times New Roman"/>
          <w:szCs w:val="24"/>
        </w:rPr>
        <w:t>13</w:t>
      </w:r>
      <w:r w:rsidR="00C548EF" w:rsidRPr="000A5A66">
        <w:rPr>
          <w:rFonts w:ascii="Times New Roman" w:hAnsi="Times New Roman"/>
          <w:szCs w:val="24"/>
        </w:rPr>
        <w:t xml:space="preserve"> below shows, t</w:t>
      </w:r>
      <w:r w:rsidR="009B1D1A" w:rsidRPr="000A5A66">
        <w:rPr>
          <w:rFonts w:ascii="Times New Roman" w:hAnsi="Times New Roman"/>
          <w:szCs w:val="24"/>
        </w:rPr>
        <w:t>he Company’s current second tier energy rate is 58 percent higher than the first tier</w:t>
      </w:r>
      <w:r w:rsidR="00C548EF" w:rsidRPr="000A5A66">
        <w:rPr>
          <w:rFonts w:ascii="Times New Roman" w:hAnsi="Times New Roman"/>
          <w:szCs w:val="24"/>
        </w:rPr>
        <w:t xml:space="preserve">.  The </w:t>
      </w:r>
      <w:r w:rsidR="009B1D1A" w:rsidRPr="000A5A66">
        <w:rPr>
          <w:rFonts w:ascii="Times New Roman" w:hAnsi="Times New Roman"/>
          <w:szCs w:val="24"/>
        </w:rPr>
        <w:t xml:space="preserve">Company’s rebuttal proposal </w:t>
      </w:r>
      <w:r w:rsidR="00C548EF" w:rsidRPr="000A5A66">
        <w:rPr>
          <w:rFonts w:ascii="Times New Roman" w:hAnsi="Times New Roman"/>
          <w:szCs w:val="24"/>
        </w:rPr>
        <w:t xml:space="preserve">retains this differential.  </w:t>
      </w:r>
      <w:r w:rsidR="006E42C1">
        <w:rPr>
          <w:rFonts w:ascii="Times New Roman" w:hAnsi="Times New Roman"/>
          <w:szCs w:val="24"/>
        </w:rPr>
        <w:t xml:space="preserve">For perspective, </w:t>
      </w:r>
      <w:r w:rsidR="00136B71">
        <w:rPr>
          <w:rFonts w:ascii="Times New Roman" w:hAnsi="Times New Roman"/>
          <w:szCs w:val="24"/>
        </w:rPr>
        <w:t xml:space="preserve">Table </w:t>
      </w:r>
      <w:r w:rsidR="00570472">
        <w:rPr>
          <w:rFonts w:ascii="Times New Roman" w:hAnsi="Times New Roman"/>
          <w:szCs w:val="24"/>
        </w:rPr>
        <w:t>13</w:t>
      </w:r>
      <w:r w:rsidR="00136B71">
        <w:rPr>
          <w:rFonts w:ascii="Times New Roman" w:hAnsi="Times New Roman"/>
          <w:szCs w:val="24"/>
        </w:rPr>
        <w:t xml:space="preserve"> </w:t>
      </w:r>
      <w:r w:rsidR="00EB0CA5">
        <w:rPr>
          <w:rFonts w:ascii="Times New Roman" w:hAnsi="Times New Roman"/>
          <w:szCs w:val="24"/>
        </w:rPr>
        <w:t xml:space="preserve">compares the Company’s rates to the rates of the other investor-owned utilities in Washington.  </w:t>
      </w:r>
    </w:p>
    <w:p w:rsidR="00E90DAE" w:rsidRDefault="00E90DAE" w:rsidP="008468ED">
      <w:pPr>
        <w:suppressLineNumbers/>
      </w:pPr>
      <w:r>
        <w:br w:type="page"/>
      </w:r>
    </w:p>
    <w:p w:rsidR="00E90DAE" w:rsidRPr="00136B71" w:rsidRDefault="00E90DAE" w:rsidP="00695CC6">
      <w:pPr>
        <w:widowControl w:val="0"/>
        <w:suppressLineNumbers/>
        <w:spacing w:line="240" w:lineRule="auto"/>
        <w:ind w:firstLine="0"/>
        <w:jc w:val="center"/>
        <w:rPr>
          <w:rFonts w:ascii="Times New Roman" w:hAnsi="Times New Roman"/>
          <w:b/>
          <w:szCs w:val="24"/>
        </w:rPr>
      </w:pPr>
      <w:r>
        <w:rPr>
          <w:rFonts w:ascii="Times New Roman" w:hAnsi="Times New Roman"/>
          <w:b/>
          <w:szCs w:val="24"/>
        </w:rPr>
        <w:t>Table 13</w:t>
      </w:r>
    </w:p>
    <w:p w:rsidR="00E90DAE" w:rsidRDefault="00C612DC" w:rsidP="00695CC6">
      <w:pPr>
        <w:widowControl w:val="0"/>
        <w:suppressLineNumbers/>
        <w:ind w:firstLine="0"/>
        <w:jc w:val="center"/>
        <w:rPr>
          <w:rFonts w:ascii="Times New Roman" w:hAnsi="Times New Roman"/>
          <w:szCs w:val="24"/>
        </w:rPr>
      </w:pPr>
      <w:r w:rsidRPr="00C612DC">
        <w:rPr>
          <w:noProof/>
        </w:rPr>
        <w:drawing>
          <wp:inline distT="0" distB="0" distL="0" distR="0" wp14:anchorId="57C25D1E" wp14:editId="567B390A">
            <wp:extent cx="4552950" cy="3257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50" cy="3257550"/>
                    </a:xfrm>
                    <a:prstGeom prst="rect">
                      <a:avLst/>
                    </a:prstGeom>
                    <a:noFill/>
                    <a:ln>
                      <a:noFill/>
                    </a:ln>
                  </pic:spPr>
                </pic:pic>
              </a:graphicData>
            </a:graphic>
          </wp:inline>
        </w:drawing>
      </w:r>
    </w:p>
    <w:p w:rsidR="00E90DAE" w:rsidRDefault="00E90DAE" w:rsidP="00A82AD1">
      <w:pPr>
        <w:widowControl w:val="0"/>
        <w:ind w:firstLine="0"/>
        <w:rPr>
          <w:rFonts w:ascii="Times New Roman" w:hAnsi="Times New Roman"/>
          <w:szCs w:val="24"/>
        </w:rPr>
      </w:pPr>
      <w:r>
        <w:rPr>
          <w:rFonts w:ascii="Times New Roman" w:hAnsi="Times New Roman"/>
          <w:szCs w:val="24"/>
        </w:rPr>
        <w:t>This shows that t</w:t>
      </w:r>
      <w:r w:rsidRPr="000A5A66">
        <w:rPr>
          <w:rFonts w:ascii="Times New Roman" w:hAnsi="Times New Roman"/>
          <w:szCs w:val="24"/>
        </w:rPr>
        <w:t xml:space="preserve">he second tier </w:t>
      </w:r>
      <w:r>
        <w:rPr>
          <w:rFonts w:ascii="Times New Roman" w:hAnsi="Times New Roman"/>
          <w:szCs w:val="24"/>
        </w:rPr>
        <w:t xml:space="preserve">for </w:t>
      </w:r>
      <w:r w:rsidRPr="000A5A66">
        <w:rPr>
          <w:rFonts w:ascii="Times New Roman" w:hAnsi="Times New Roman"/>
          <w:szCs w:val="24"/>
        </w:rPr>
        <w:t>P</w:t>
      </w:r>
      <w:r>
        <w:rPr>
          <w:rFonts w:ascii="Times New Roman" w:hAnsi="Times New Roman"/>
          <w:szCs w:val="24"/>
        </w:rPr>
        <w:t>uget Sound Energy’s (PSE) residential customers</w:t>
      </w:r>
      <w:r w:rsidRPr="000A5A66">
        <w:rPr>
          <w:rFonts w:ascii="Times New Roman" w:hAnsi="Times New Roman"/>
          <w:szCs w:val="24"/>
        </w:rPr>
        <w:t>, which is also set for 0-600 kWh, is 22 percent higher than the first tier</w:t>
      </w:r>
      <w:r>
        <w:rPr>
          <w:rFonts w:ascii="Times New Roman" w:hAnsi="Times New Roman"/>
          <w:szCs w:val="24"/>
        </w:rPr>
        <w:t xml:space="preserve"> and results in a significantly flatter rate structure</w:t>
      </w:r>
      <w:r w:rsidRPr="000A5A66">
        <w:rPr>
          <w:rFonts w:ascii="Times New Roman" w:hAnsi="Times New Roman"/>
          <w:szCs w:val="24"/>
        </w:rPr>
        <w:t>.</w:t>
      </w:r>
      <w:r w:rsidRPr="000A5A66">
        <w:rPr>
          <w:rStyle w:val="FootnoteReference"/>
          <w:szCs w:val="24"/>
        </w:rPr>
        <w:footnoteReference w:id="29"/>
      </w:r>
      <w:r w:rsidRPr="000A5A66">
        <w:rPr>
          <w:rFonts w:ascii="Times New Roman" w:hAnsi="Times New Roman"/>
          <w:szCs w:val="24"/>
        </w:rPr>
        <w:t xml:space="preserve">  Avista, which has three residential energy tiers, has an even flatter rate structure with the second tier (for usage between 800-1500 kWh) only 16 percent higher than the first tier and the third tier only 17 percent higher than the second tier.</w:t>
      </w:r>
      <w:r w:rsidRPr="000A5A66">
        <w:rPr>
          <w:rStyle w:val="FootnoteReference"/>
          <w:szCs w:val="24"/>
        </w:rPr>
        <w:footnoteReference w:id="30"/>
      </w:r>
      <w:r w:rsidRPr="000A5A66">
        <w:rPr>
          <w:rFonts w:ascii="Times New Roman" w:hAnsi="Times New Roman"/>
          <w:szCs w:val="24"/>
        </w:rPr>
        <w:t xml:space="preserve">  The difference between the first and third tiers for Avista is 36 percent, which is significantly less than the differential in the Company’s current rate design. </w:t>
      </w:r>
      <w:r w:rsidR="007C144F">
        <w:rPr>
          <w:rFonts w:ascii="Times New Roman" w:hAnsi="Times New Roman"/>
          <w:szCs w:val="24"/>
        </w:rPr>
        <w:t xml:space="preserve"> </w:t>
      </w:r>
      <w:r>
        <w:rPr>
          <w:rFonts w:ascii="Times New Roman" w:hAnsi="Times New Roman"/>
          <w:szCs w:val="24"/>
        </w:rPr>
        <w:t>This all results in the differentials between the average rates for low and high users to be greater under the Company proposal than under the rate designs of PSE or Avista</w:t>
      </w:r>
      <w:r w:rsidR="007C144F">
        <w:rPr>
          <w:rFonts w:ascii="Times New Roman" w:hAnsi="Times New Roman"/>
          <w:szCs w:val="24"/>
        </w:rPr>
        <w:t xml:space="preserve">.  </w:t>
      </w:r>
      <w:r>
        <w:rPr>
          <w:rFonts w:ascii="Times New Roman" w:hAnsi="Times New Roman"/>
          <w:szCs w:val="24"/>
        </w:rPr>
        <w:t xml:space="preserve">However, based on average rate data for the 12 months ending June 2014 from the Edison Electric Institute (EEI), the Company has the lowest overall average rate of the three investor-owned utilities in Washington (Company – 8.21 </w:t>
      </w:r>
      <w:r w:rsidRPr="00AD06F5">
        <w:rPr>
          <w:rFonts w:ascii="Times New Roman" w:hAnsi="Times New Roman"/>
          <w:szCs w:val="24"/>
        </w:rPr>
        <w:t>¢/kWh</w:t>
      </w:r>
      <w:r>
        <w:rPr>
          <w:rFonts w:ascii="Times New Roman" w:hAnsi="Times New Roman"/>
          <w:szCs w:val="24"/>
        </w:rPr>
        <w:t xml:space="preserve">; PSE – 10.35 </w:t>
      </w:r>
      <w:r w:rsidRPr="00AD06F5">
        <w:rPr>
          <w:rFonts w:ascii="Times New Roman" w:hAnsi="Times New Roman"/>
          <w:szCs w:val="24"/>
        </w:rPr>
        <w:t>¢/kWh</w:t>
      </w:r>
      <w:r>
        <w:rPr>
          <w:rFonts w:ascii="Times New Roman" w:hAnsi="Times New Roman"/>
          <w:szCs w:val="24"/>
        </w:rPr>
        <w:t>;</w:t>
      </w:r>
      <w:r w:rsidRPr="00AD06F5">
        <w:rPr>
          <w:rFonts w:ascii="Times New Roman" w:hAnsi="Times New Roman"/>
          <w:szCs w:val="24"/>
        </w:rPr>
        <w:t xml:space="preserve"> </w:t>
      </w:r>
      <w:r>
        <w:rPr>
          <w:rFonts w:ascii="Times New Roman" w:hAnsi="Times New Roman"/>
          <w:szCs w:val="24"/>
        </w:rPr>
        <w:t xml:space="preserve">Avista – 8.74 </w:t>
      </w:r>
      <w:r w:rsidRPr="00AD06F5">
        <w:rPr>
          <w:rFonts w:ascii="Times New Roman" w:hAnsi="Times New Roman"/>
          <w:szCs w:val="24"/>
        </w:rPr>
        <w:t>¢/kWh</w:t>
      </w:r>
      <w:r>
        <w:rPr>
          <w:rFonts w:ascii="Times New Roman" w:hAnsi="Times New Roman"/>
          <w:szCs w:val="24"/>
        </w:rPr>
        <w:t xml:space="preserve">). </w:t>
      </w:r>
    </w:p>
    <w:p w:rsidR="00E90DAE" w:rsidRPr="000A5A66" w:rsidRDefault="00E90DAE" w:rsidP="00E90DAE">
      <w:pPr>
        <w:ind w:firstLine="0"/>
        <w:rPr>
          <w:rFonts w:ascii="Times New Roman" w:hAnsi="Times New Roman"/>
          <w:szCs w:val="24"/>
        </w:rPr>
      </w:pPr>
      <w:r>
        <w:rPr>
          <w:rFonts w:ascii="Times New Roman" w:hAnsi="Times New Roman"/>
          <w:szCs w:val="24"/>
        </w:rPr>
        <w:tab/>
        <w:t xml:space="preserve">Staff’s proposed rate design will increase the differential in the rate between the first and third blocks to 85 percent, resulting in bills for electric heat customers in Pacific Power’s service area being close to or higher than bills for comparably sized customers at other utilities.  For Pacific Power’s customers that rely on electric heat in winter, this </w:t>
      </w:r>
      <w:r w:rsidR="009701F6">
        <w:rPr>
          <w:rFonts w:ascii="Times New Roman" w:hAnsi="Times New Roman"/>
          <w:szCs w:val="24"/>
        </w:rPr>
        <w:t>begs</w:t>
      </w:r>
      <w:r>
        <w:rPr>
          <w:rFonts w:ascii="Times New Roman" w:hAnsi="Times New Roman"/>
          <w:szCs w:val="24"/>
        </w:rPr>
        <w:t xml:space="preserve"> a question of fairness, particularly in light of the fact that Pacific Power is the lowest overall cost utility when compared to Avista and PSE.</w:t>
      </w:r>
      <w:r w:rsidR="007939AA">
        <w:rPr>
          <w:rFonts w:ascii="Times New Roman" w:hAnsi="Times New Roman"/>
          <w:szCs w:val="24"/>
        </w:rPr>
        <w:t xml:space="preserve"> </w:t>
      </w:r>
      <w:r>
        <w:rPr>
          <w:rFonts w:ascii="Times New Roman" w:hAnsi="Times New Roman"/>
          <w:szCs w:val="24"/>
        </w:rPr>
        <w:t xml:space="preserve"> Finally, because 85 percent of Pacific Power’s low-income bills over 1,700 kWh occurred during the winter, the time during which electric heat is critical, these customers would be disproportionately affected. </w:t>
      </w:r>
    </w:p>
    <w:p w:rsidR="003F62CC" w:rsidRPr="000A5A66" w:rsidRDefault="003101D3" w:rsidP="000A5A66">
      <w:pPr>
        <w:rPr>
          <w:rFonts w:ascii="Times New Roman" w:hAnsi="Times New Roman"/>
          <w:szCs w:val="24"/>
        </w:rPr>
      </w:pPr>
      <w:r w:rsidRPr="000A5A66">
        <w:rPr>
          <w:rFonts w:ascii="Times New Roman" w:hAnsi="Times New Roman"/>
          <w:b/>
          <w:szCs w:val="24"/>
        </w:rPr>
        <w:t xml:space="preserve">Q. </w:t>
      </w:r>
      <w:r w:rsidRPr="000A5A66">
        <w:rPr>
          <w:rFonts w:ascii="Times New Roman" w:hAnsi="Times New Roman"/>
          <w:b/>
          <w:szCs w:val="24"/>
        </w:rPr>
        <w:tab/>
      </w:r>
      <w:r w:rsidR="00E27A52">
        <w:rPr>
          <w:rFonts w:ascii="Times New Roman" w:hAnsi="Times New Roman"/>
          <w:b/>
          <w:szCs w:val="24"/>
        </w:rPr>
        <w:t xml:space="preserve">In addition to creating a third block, </w:t>
      </w:r>
      <w:r w:rsidR="00EB0CA5">
        <w:rPr>
          <w:rFonts w:ascii="Times New Roman" w:hAnsi="Times New Roman"/>
          <w:b/>
          <w:szCs w:val="24"/>
        </w:rPr>
        <w:t>Staff</w:t>
      </w:r>
      <w:r w:rsidR="00E27A52">
        <w:rPr>
          <w:rFonts w:ascii="Times New Roman" w:hAnsi="Times New Roman"/>
          <w:b/>
          <w:szCs w:val="24"/>
        </w:rPr>
        <w:t xml:space="preserve"> also proposes </w:t>
      </w:r>
      <w:r w:rsidR="00FF520D">
        <w:rPr>
          <w:rFonts w:ascii="Times New Roman" w:hAnsi="Times New Roman"/>
          <w:b/>
          <w:szCs w:val="24"/>
        </w:rPr>
        <w:t xml:space="preserve">to </w:t>
      </w:r>
      <w:r w:rsidR="00167DC8">
        <w:rPr>
          <w:rFonts w:ascii="Times New Roman" w:hAnsi="Times New Roman"/>
          <w:b/>
          <w:szCs w:val="24"/>
        </w:rPr>
        <w:t>increase the size of the first block from 0-600 kWh to 0-800 kWh</w:t>
      </w:r>
      <w:r w:rsidR="00155E8C">
        <w:rPr>
          <w:rFonts w:ascii="Times New Roman" w:hAnsi="Times New Roman"/>
          <w:b/>
          <w:szCs w:val="24"/>
        </w:rPr>
        <w:t xml:space="preserve"> because </w:t>
      </w:r>
      <w:r w:rsidR="00F90E2B">
        <w:rPr>
          <w:rFonts w:ascii="Times New Roman" w:hAnsi="Times New Roman"/>
          <w:b/>
          <w:szCs w:val="24"/>
        </w:rPr>
        <w:t xml:space="preserve">Staff </w:t>
      </w:r>
      <w:r w:rsidR="00155E8C">
        <w:rPr>
          <w:rFonts w:ascii="Times New Roman" w:hAnsi="Times New Roman"/>
          <w:b/>
          <w:szCs w:val="24"/>
        </w:rPr>
        <w:t>argues that usage under 800 kWh is inelastic and that customers have limited capacity for efficiency gains when it comes to basic needs.</w:t>
      </w:r>
      <w:r w:rsidR="00155E8C">
        <w:rPr>
          <w:rStyle w:val="FootnoteReference"/>
          <w:b/>
          <w:szCs w:val="24"/>
        </w:rPr>
        <w:footnoteReference w:id="31"/>
      </w:r>
      <w:r w:rsidR="00167DC8">
        <w:rPr>
          <w:rFonts w:ascii="Times New Roman" w:hAnsi="Times New Roman"/>
          <w:b/>
          <w:szCs w:val="24"/>
        </w:rPr>
        <w:t xml:space="preserve"> </w:t>
      </w:r>
      <w:r w:rsidR="007939AA">
        <w:rPr>
          <w:rFonts w:ascii="Times New Roman" w:hAnsi="Times New Roman"/>
          <w:b/>
          <w:szCs w:val="24"/>
        </w:rPr>
        <w:t xml:space="preserve"> </w:t>
      </w:r>
      <w:r w:rsidR="00167DC8">
        <w:rPr>
          <w:rFonts w:ascii="Times New Roman" w:hAnsi="Times New Roman"/>
          <w:b/>
          <w:szCs w:val="24"/>
        </w:rPr>
        <w:t>Do you agree with this proposal?</w:t>
      </w:r>
    </w:p>
    <w:p w:rsidR="00144895" w:rsidRDefault="00E27A52" w:rsidP="00144895">
      <w:pPr>
        <w:pStyle w:val="ListParagraph"/>
        <w:rPr>
          <w:rFonts w:ascii="Times New Roman" w:hAnsi="Times New Roman"/>
        </w:rPr>
      </w:pPr>
      <w:r w:rsidRPr="000A5A66">
        <w:rPr>
          <w:rFonts w:ascii="Times New Roman" w:hAnsi="Times New Roman"/>
          <w:szCs w:val="24"/>
        </w:rPr>
        <w:t>A</w:t>
      </w:r>
      <w:r>
        <w:rPr>
          <w:rFonts w:ascii="Times New Roman" w:hAnsi="Times New Roman"/>
          <w:szCs w:val="24"/>
        </w:rPr>
        <w:t>.</w:t>
      </w:r>
      <w:r>
        <w:rPr>
          <w:rFonts w:ascii="Times New Roman" w:hAnsi="Times New Roman"/>
          <w:szCs w:val="24"/>
        </w:rPr>
        <w:tab/>
      </w:r>
      <w:r w:rsidR="00167DC8">
        <w:rPr>
          <w:rFonts w:ascii="Times New Roman" w:hAnsi="Times New Roman"/>
          <w:szCs w:val="24"/>
        </w:rPr>
        <w:t>No</w:t>
      </w:r>
      <w:r>
        <w:rPr>
          <w:rFonts w:ascii="Times New Roman" w:hAnsi="Times New Roman"/>
          <w:szCs w:val="24"/>
        </w:rPr>
        <w:t>.</w:t>
      </w:r>
      <w:r w:rsidR="007939AA">
        <w:rPr>
          <w:rFonts w:ascii="Times New Roman" w:hAnsi="Times New Roman"/>
          <w:szCs w:val="24"/>
        </w:rPr>
        <w:t xml:space="preserve"> </w:t>
      </w:r>
      <w:r w:rsidR="00167DC8">
        <w:rPr>
          <w:rFonts w:ascii="Times New Roman" w:hAnsi="Times New Roman"/>
          <w:szCs w:val="24"/>
        </w:rPr>
        <w:t xml:space="preserve"> </w:t>
      </w:r>
      <w:r w:rsidR="00167DC8" w:rsidRPr="000A5A66">
        <w:rPr>
          <w:rFonts w:ascii="Times New Roman" w:hAnsi="Times New Roman"/>
          <w:szCs w:val="24"/>
        </w:rPr>
        <w:t xml:space="preserve">The Company’s </w:t>
      </w:r>
      <w:r w:rsidR="00EB0CA5">
        <w:rPr>
          <w:rFonts w:ascii="Times New Roman" w:hAnsi="Times New Roman"/>
          <w:szCs w:val="24"/>
        </w:rPr>
        <w:t>energy efficiency</w:t>
      </w:r>
      <w:r w:rsidR="00167DC8" w:rsidRPr="000A5A66">
        <w:rPr>
          <w:rFonts w:ascii="Times New Roman" w:hAnsi="Times New Roman"/>
          <w:szCs w:val="24"/>
        </w:rPr>
        <w:t xml:space="preserve"> programs target many types of end uses</w:t>
      </w:r>
      <w:r w:rsidR="00EB0CA5">
        <w:rPr>
          <w:rFonts w:ascii="Times New Roman" w:hAnsi="Times New Roman"/>
          <w:szCs w:val="24"/>
        </w:rPr>
        <w:t xml:space="preserve">—not just electric heat—so </w:t>
      </w:r>
      <w:r w:rsidR="00167DC8" w:rsidRPr="000A5A66">
        <w:rPr>
          <w:rFonts w:ascii="Times New Roman" w:hAnsi="Times New Roman"/>
          <w:szCs w:val="24"/>
        </w:rPr>
        <w:t xml:space="preserve">altering this rate design may actually undermine those energy efficiency program efforts. </w:t>
      </w:r>
      <w:r w:rsidR="007939AA">
        <w:rPr>
          <w:rFonts w:ascii="Times New Roman" w:hAnsi="Times New Roman"/>
          <w:szCs w:val="24"/>
        </w:rPr>
        <w:t xml:space="preserve"> </w:t>
      </w:r>
      <w:r w:rsidR="00167DC8" w:rsidRPr="000A5A66">
        <w:rPr>
          <w:rFonts w:ascii="Times New Roman" w:hAnsi="Times New Roman"/>
          <w:szCs w:val="24"/>
        </w:rPr>
        <w:t xml:space="preserve">Moving more usage into the first block reduces the conservation price signal because more consumption can occur at a lower rate.  There is no compelling reason to send this confusing price signal to customers, particularly in light of Washington Initiative I-937.  </w:t>
      </w:r>
      <w:r w:rsidR="00404B64">
        <w:rPr>
          <w:rFonts w:ascii="Times New Roman" w:hAnsi="Times New Roman"/>
          <w:szCs w:val="24"/>
        </w:rPr>
        <w:t xml:space="preserve">It also doesn’t reflect on-going changes in national and state codes and standards for end-uses and buildings that are driving down use.  </w:t>
      </w:r>
      <w:r w:rsidR="00144895" w:rsidRPr="001738B8">
        <w:rPr>
          <w:rFonts w:ascii="Times New Roman" w:hAnsi="Times New Roman"/>
        </w:rPr>
        <w:t xml:space="preserve">For instance, the </w:t>
      </w:r>
      <w:r w:rsidR="00144895" w:rsidRPr="00743B34">
        <w:rPr>
          <w:rFonts w:ascii="Times New Roman" w:hAnsi="Times New Roman"/>
        </w:rPr>
        <w:t xml:space="preserve">Energy Independence and Security Act of 2007 laid out changes in Federal Lighting Standards that have phased out incandescent bulbs down to 40 watts by 2014.  This change in lighting standards has promoted the use of compact fluorescent and light emitting diode bulbs that reduce energy usage over incandescent bulbs by up to </w:t>
      </w:r>
      <w:r w:rsidR="00144895" w:rsidRPr="009701F6">
        <w:rPr>
          <w:rFonts w:ascii="Times New Roman" w:hAnsi="Times New Roman"/>
        </w:rPr>
        <w:t>75</w:t>
      </w:r>
      <w:r w:rsidR="00144895" w:rsidRPr="001738B8">
        <w:rPr>
          <w:rFonts w:ascii="Times New Roman" w:hAnsi="Times New Roman"/>
        </w:rPr>
        <w:t>-82 percent</w:t>
      </w:r>
      <w:r w:rsidR="00144895" w:rsidRPr="00144895">
        <w:rPr>
          <w:rFonts w:ascii="Times New Roman" w:hAnsi="Times New Roman"/>
          <w:color w:val="1F497D"/>
        </w:rPr>
        <w:t>.</w:t>
      </w:r>
      <w:r w:rsidR="00144895">
        <w:rPr>
          <w:rFonts w:ascii="Times New Roman" w:hAnsi="Times New Roman"/>
          <w:color w:val="1F497D"/>
        </w:rPr>
        <w:t xml:space="preserve">  </w:t>
      </w:r>
      <w:r w:rsidR="00144895">
        <w:rPr>
          <w:rFonts w:ascii="Times New Roman" w:hAnsi="Times New Roman"/>
        </w:rPr>
        <w:t xml:space="preserve">  </w:t>
      </w:r>
    </w:p>
    <w:p w:rsidR="00404B64" w:rsidRDefault="00155E8C" w:rsidP="000A5A66">
      <w:pPr>
        <w:ind w:firstLine="720"/>
        <w:rPr>
          <w:rFonts w:ascii="Times New Roman" w:hAnsi="Times New Roman"/>
          <w:szCs w:val="24"/>
        </w:rPr>
      </w:pPr>
      <w:r w:rsidRPr="000A5A66">
        <w:rPr>
          <w:rFonts w:ascii="Times New Roman" w:hAnsi="Times New Roman"/>
          <w:szCs w:val="24"/>
        </w:rPr>
        <w:t>Additionally a</w:t>
      </w:r>
      <w:r w:rsidR="004A2E91" w:rsidRPr="00155E8C">
        <w:rPr>
          <w:rFonts w:ascii="Times New Roman" w:hAnsi="Times New Roman"/>
          <w:szCs w:val="24"/>
        </w:rPr>
        <w:t>s</w:t>
      </w:r>
      <w:r w:rsidR="004A2E91">
        <w:rPr>
          <w:rFonts w:ascii="Times New Roman" w:hAnsi="Times New Roman"/>
          <w:szCs w:val="24"/>
        </w:rPr>
        <w:t xml:space="preserve"> I noted in my rebuttal to Staff’s similar proposal in the 2013 </w:t>
      </w:r>
      <w:r w:rsidR="000A4FDF">
        <w:rPr>
          <w:rFonts w:ascii="Times New Roman" w:hAnsi="Times New Roman"/>
          <w:szCs w:val="24"/>
        </w:rPr>
        <w:t>Rate Case</w:t>
      </w:r>
      <w:r w:rsidR="004A2E91">
        <w:rPr>
          <w:rFonts w:ascii="Times New Roman" w:hAnsi="Times New Roman"/>
          <w:szCs w:val="24"/>
        </w:rPr>
        <w:t>, u</w:t>
      </w:r>
      <w:r w:rsidR="00EB0CA5">
        <w:rPr>
          <w:rFonts w:ascii="Times New Roman" w:hAnsi="Times New Roman"/>
          <w:szCs w:val="24"/>
        </w:rPr>
        <w:t>sing upper-end national data to reset the tier level is incompatible with Washington’s (and the Pacific Northwest’s) historically aggressive energy efficiency efforts</w:t>
      </w:r>
      <w:r w:rsidR="001B0B68">
        <w:rPr>
          <w:rFonts w:ascii="Times New Roman" w:hAnsi="Times New Roman"/>
          <w:szCs w:val="24"/>
        </w:rPr>
        <w:t xml:space="preserve"> and building codes</w:t>
      </w:r>
      <w:r w:rsidR="00EB0CA5">
        <w:rPr>
          <w:rFonts w:ascii="Times New Roman" w:hAnsi="Times New Roman"/>
          <w:szCs w:val="24"/>
        </w:rPr>
        <w:t xml:space="preserve"> and may not be reflective of what the less elastic essential end-uses are in the Company’s Washington service area today.  </w:t>
      </w:r>
      <w:r w:rsidR="009B692B">
        <w:rPr>
          <w:rFonts w:ascii="Times New Roman" w:hAnsi="Times New Roman"/>
          <w:szCs w:val="24"/>
        </w:rPr>
        <w:t xml:space="preserve">Table </w:t>
      </w:r>
      <w:r w:rsidR="00570472">
        <w:rPr>
          <w:rFonts w:ascii="Times New Roman" w:hAnsi="Times New Roman"/>
          <w:szCs w:val="24"/>
        </w:rPr>
        <w:t>14</w:t>
      </w:r>
      <w:r w:rsidR="009B692B">
        <w:rPr>
          <w:rFonts w:ascii="Times New Roman" w:hAnsi="Times New Roman"/>
          <w:szCs w:val="24"/>
        </w:rPr>
        <w:t xml:space="preserve"> below provides the end-use saturation levels</w:t>
      </w:r>
      <w:r w:rsidR="006D52B0">
        <w:rPr>
          <w:rFonts w:ascii="Times New Roman" w:hAnsi="Times New Roman"/>
          <w:szCs w:val="24"/>
        </w:rPr>
        <w:t xml:space="preserve"> and estimated kWh use by end use that was an input into the Company’s conservation potential study used in the 2013 IRP.  The end-use saturation levels come from </w:t>
      </w:r>
      <w:r w:rsidR="009B692B">
        <w:rPr>
          <w:rFonts w:ascii="Times New Roman" w:hAnsi="Times New Roman"/>
          <w:szCs w:val="24"/>
        </w:rPr>
        <w:t xml:space="preserve">the Company’s recent residential consumption survey, which was filed with the Commission on July 31, 2014, in Docket </w:t>
      </w:r>
      <w:r w:rsidR="001B0B68">
        <w:rPr>
          <w:rFonts w:ascii="Times New Roman" w:hAnsi="Times New Roman"/>
          <w:szCs w:val="24"/>
        </w:rPr>
        <w:t>UE</w:t>
      </w:r>
      <w:r w:rsidR="007939AA">
        <w:rPr>
          <w:rFonts w:ascii="Times New Roman" w:hAnsi="Times New Roman"/>
          <w:szCs w:val="24"/>
        </w:rPr>
        <w:noBreakHyphen/>
      </w:r>
      <w:r w:rsidR="001B0B68">
        <w:rPr>
          <w:rFonts w:ascii="Times New Roman" w:hAnsi="Times New Roman"/>
          <w:szCs w:val="24"/>
        </w:rPr>
        <w:t>130043</w:t>
      </w:r>
      <w:r w:rsidR="006D52B0">
        <w:rPr>
          <w:rFonts w:ascii="Times New Roman" w:hAnsi="Times New Roman"/>
          <w:szCs w:val="24"/>
        </w:rPr>
        <w:t xml:space="preserve"> in compliance with Order </w:t>
      </w:r>
      <w:r w:rsidR="001B0B68">
        <w:rPr>
          <w:rFonts w:ascii="Times New Roman" w:hAnsi="Times New Roman"/>
          <w:szCs w:val="24"/>
        </w:rPr>
        <w:t>05.  This table shows that</w:t>
      </w:r>
      <w:r w:rsidR="00C00687">
        <w:rPr>
          <w:rFonts w:ascii="Times New Roman" w:hAnsi="Times New Roman"/>
          <w:szCs w:val="24"/>
        </w:rPr>
        <w:t xml:space="preserve"> based on more current and localized data</w:t>
      </w:r>
      <w:r w:rsidR="001B0B68">
        <w:rPr>
          <w:rFonts w:ascii="Times New Roman" w:hAnsi="Times New Roman"/>
          <w:szCs w:val="24"/>
        </w:rPr>
        <w:t xml:space="preserve"> </w:t>
      </w:r>
      <w:r w:rsidR="00404B64">
        <w:rPr>
          <w:rFonts w:ascii="Times New Roman" w:hAnsi="Times New Roman"/>
          <w:szCs w:val="24"/>
        </w:rPr>
        <w:t>for the most common types of appliance end-uses and lighting are well under 600 kWh per month</w:t>
      </w:r>
      <w:r w:rsidR="00C00687">
        <w:rPr>
          <w:rFonts w:ascii="Times New Roman" w:hAnsi="Times New Roman"/>
          <w:szCs w:val="24"/>
        </w:rPr>
        <w:t xml:space="preserve"> compared to the high end national HUD data used by Staff</w:t>
      </w:r>
      <w:r w:rsidR="00404B64">
        <w:rPr>
          <w:rFonts w:ascii="Times New Roman" w:hAnsi="Times New Roman"/>
          <w:szCs w:val="24"/>
        </w:rPr>
        <w:t xml:space="preserve">.  Even with the addition of electric water heat, which has a relatively high level of saturation in the Company’s Washington service area, a first block of 600 kWh is reasonable.  </w:t>
      </w:r>
    </w:p>
    <w:p w:rsidR="00404B64" w:rsidRPr="001738B8" w:rsidRDefault="00404B64" w:rsidP="00695CC6">
      <w:pPr>
        <w:keepNext/>
        <w:suppressLineNumbers/>
        <w:jc w:val="center"/>
        <w:rPr>
          <w:rFonts w:ascii="Times New Roman" w:hAnsi="Times New Roman"/>
          <w:b/>
          <w:szCs w:val="24"/>
        </w:rPr>
      </w:pPr>
      <w:r w:rsidRPr="001738B8">
        <w:rPr>
          <w:rFonts w:ascii="Times New Roman" w:hAnsi="Times New Roman"/>
          <w:b/>
          <w:szCs w:val="24"/>
        </w:rPr>
        <w:t>TABLE</w:t>
      </w:r>
      <w:r w:rsidR="00570472" w:rsidRPr="001738B8">
        <w:rPr>
          <w:rFonts w:ascii="Times New Roman" w:hAnsi="Times New Roman"/>
          <w:b/>
          <w:szCs w:val="24"/>
        </w:rPr>
        <w:t xml:space="preserve"> 14</w:t>
      </w:r>
    </w:p>
    <w:p w:rsidR="001B0B68" w:rsidRDefault="00EB0CA5" w:rsidP="00695CC6">
      <w:pPr>
        <w:suppressLineNumbers/>
        <w:rPr>
          <w:rFonts w:ascii="Times New Roman" w:hAnsi="Times New Roman"/>
          <w:szCs w:val="24"/>
        </w:rPr>
      </w:pPr>
      <w:r>
        <w:rPr>
          <w:rFonts w:ascii="Times New Roman" w:hAnsi="Times New Roman"/>
          <w:szCs w:val="24"/>
        </w:rPr>
        <w:tab/>
      </w:r>
      <w:r>
        <w:rPr>
          <w:rFonts w:ascii="Times New Roman" w:hAnsi="Times New Roman"/>
          <w:szCs w:val="24"/>
        </w:rPr>
        <w:tab/>
      </w:r>
      <w:r w:rsidR="00F90E2B" w:rsidRPr="00F90E2B">
        <w:rPr>
          <w:noProof/>
        </w:rPr>
        <w:drawing>
          <wp:inline distT="0" distB="0" distL="0" distR="0" wp14:anchorId="5048191C" wp14:editId="78F83743">
            <wp:extent cx="4171950" cy="35229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1950" cy="3522980"/>
                    </a:xfrm>
                    <a:prstGeom prst="rect">
                      <a:avLst/>
                    </a:prstGeom>
                    <a:noFill/>
                    <a:ln>
                      <a:noFill/>
                    </a:ln>
                  </pic:spPr>
                </pic:pic>
              </a:graphicData>
            </a:graphic>
          </wp:inline>
        </w:drawing>
      </w:r>
    </w:p>
    <w:p w:rsidR="00155E8C" w:rsidRPr="009D5F39" w:rsidRDefault="00155E8C" w:rsidP="00155E8C">
      <w:pPr>
        <w:rPr>
          <w:rFonts w:ascii="Times New Roman" w:hAnsi="Times New Roman"/>
          <w:szCs w:val="24"/>
        </w:rPr>
      </w:pPr>
      <w:r w:rsidRPr="009D5F39">
        <w:rPr>
          <w:rFonts w:ascii="Times New Roman" w:hAnsi="Times New Roman"/>
          <w:b/>
          <w:szCs w:val="24"/>
        </w:rPr>
        <w:t xml:space="preserve">Q. </w:t>
      </w:r>
      <w:r w:rsidRPr="009D5F39">
        <w:rPr>
          <w:rFonts w:ascii="Times New Roman" w:hAnsi="Times New Roman"/>
          <w:b/>
          <w:szCs w:val="24"/>
        </w:rPr>
        <w:tab/>
      </w:r>
      <w:r w:rsidR="00F7228B">
        <w:rPr>
          <w:rFonts w:ascii="Times New Roman" w:hAnsi="Times New Roman"/>
          <w:b/>
          <w:szCs w:val="24"/>
        </w:rPr>
        <w:t>Speaking of the residential consumption survey, h</w:t>
      </w:r>
      <w:r>
        <w:rPr>
          <w:rFonts w:ascii="Times New Roman" w:hAnsi="Times New Roman"/>
          <w:b/>
          <w:szCs w:val="24"/>
        </w:rPr>
        <w:t xml:space="preserve">as the Company </w:t>
      </w:r>
      <w:r w:rsidR="00F7228B">
        <w:rPr>
          <w:rFonts w:ascii="Times New Roman" w:hAnsi="Times New Roman"/>
          <w:b/>
          <w:szCs w:val="24"/>
        </w:rPr>
        <w:t>evaluated the results to see if a discernable pattern emerges to characterize customers who have usage over 1,700 kWh per month</w:t>
      </w:r>
      <w:r>
        <w:rPr>
          <w:rFonts w:ascii="Times New Roman" w:hAnsi="Times New Roman"/>
          <w:b/>
          <w:szCs w:val="24"/>
        </w:rPr>
        <w:t>?</w:t>
      </w:r>
    </w:p>
    <w:p w:rsidR="00F7228B" w:rsidRDefault="00155E8C" w:rsidP="00E13518">
      <w:pPr>
        <w:pStyle w:val="ListParagraph"/>
        <w:tabs>
          <w:tab w:val="left" w:pos="0"/>
        </w:tabs>
        <w:suppressAutoHyphens/>
        <w:rPr>
          <w:rFonts w:ascii="Times New Roman" w:hAnsi="Times New Roman"/>
          <w:szCs w:val="24"/>
        </w:rPr>
      </w:pPr>
      <w:r w:rsidRPr="009D5F39">
        <w:rPr>
          <w:rFonts w:ascii="Times New Roman" w:hAnsi="Times New Roman"/>
          <w:szCs w:val="24"/>
        </w:rPr>
        <w:t>A</w:t>
      </w:r>
      <w:r>
        <w:rPr>
          <w:rFonts w:ascii="Times New Roman" w:hAnsi="Times New Roman"/>
          <w:szCs w:val="24"/>
        </w:rPr>
        <w:t>.</w:t>
      </w:r>
      <w:r>
        <w:rPr>
          <w:rFonts w:ascii="Times New Roman" w:hAnsi="Times New Roman"/>
          <w:szCs w:val="24"/>
        </w:rPr>
        <w:tab/>
      </w:r>
      <w:r w:rsidR="00F7228B">
        <w:rPr>
          <w:rFonts w:ascii="Times New Roman" w:hAnsi="Times New Roman"/>
          <w:szCs w:val="24"/>
        </w:rPr>
        <w:t xml:space="preserve">Yes.  The Company compared responses from customers </w:t>
      </w:r>
      <w:r w:rsidR="00F81885">
        <w:rPr>
          <w:rFonts w:ascii="Times New Roman" w:hAnsi="Times New Roman"/>
          <w:szCs w:val="24"/>
        </w:rPr>
        <w:t xml:space="preserve">who had a bill for usage </w:t>
      </w:r>
      <w:r w:rsidR="00F7228B">
        <w:rPr>
          <w:rFonts w:ascii="Times New Roman" w:hAnsi="Times New Roman"/>
          <w:szCs w:val="24"/>
        </w:rPr>
        <w:t xml:space="preserve">over 1,700 kWh to </w:t>
      </w:r>
      <w:r w:rsidR="00F81885">
        <w:rPr>
          <w:rFonts w:ascii="Times New Roman" w:hAnsi="Times New Roman"/>
          <w:szCs w:val="24"/>
        </w:rPr>
        <w:t xml:space="preserve">responses from all </w:t>
      </w:r>
      <w:r w:rsidR="00F7228B">
        <w:rPr>
          <w:rFonts w:ascii="Times New Roman" w:hAnsi="Times New Roman"/>
          <w:szCs w:val="24"/>
        </w:rPr>
        <w:t xml:space="preserve">customers.  The responses are summarized in </w:t>
      </w:r>
      <w:r w:rsidR="00C00687">
        <w:rPr>
          <w:rFonts w:ascii="Times New Roman" w:hAnsi="Times New Roman"/>
          <w:szCs w:val="24"/>
        </w:rPr>
        <w:t xml:space="preserve">Confidential </w:t>
      </w:r>
      <w:r w:rsidR="00F7228B">
        <w:rPr>
          <w:rFonts w:ascii="Times New Roman" w:hAnsi="Times New Roman"/>
          <w:szCs w:val="24"/>
        </w:rPr>
        <w:t>Exhibit No. JRS-</w:t>
      </w:r>
      <w:r w:rsidR="00570472">
        <w:rPr>
          <w:rFonts w:ascii="Times New Roman" w:hAnsi="Times New Roman"/>
          <w:szCs w:val="24"/>
        </w:rPr>
        <w:t>23</w:t>
      </w:r>
      <w:r w:rsidR="00F7228B">
        <w:rPr>
          <w:rFonts w:ascii="Times New Roman" w:hAnsi="Times New Roman"/>
          <w:szCs w:val="24"/>
        </w:rPr>
        <w:t xml:space="preserve">.  Some of the interesting </w:t>
      </w:r>
      <w:r w:rsidR="000A4FDF">
        <w:rPr>
          <w:rFonts w:ascii="Times New Roman" w:hAnsi="Times New Roman"/>
          <w:szCs w:val="24"/>
        </w:rPr>
        <w:t>findings</w:t>
      </w:r>
      <w:r w:rsidR="00F7228B">
        <w:rPr>
          <w:rFonts w:ascii="Times New Roman" w:hAnsi="Times New Roman"/>
          <w:szCs w:val="24"/>
        </w:rPr>
        <w:t xml:space="preserve"> are:</w:t>
      </w:r>
    </w:p>
    <w:p w:rsidR="00144895" w:rsidRDefault="00144895" w:rsidP="00E13518">
      <w:pPr>
        <w:pStyle w:val="ListParagraph"/>
        <w:numPr>
          <w:ilvl w:val="0"/>
          <w:numId w:val="36"/>
        </w:numPr>
        <w:tabs>
          <w:tab w:val="left" w:pos="0"/>
        </w:tabs>
        <w:suppressAutoHyphens/>
        <w:rPr>
          <w:rFonts w:ascii="Times New Roman" w:hAnsi="Times New Roman"/>
          <w:szCs w:val="24"/>
        </w:rPr>
      </w:pPr>
      <w:r>
        <w:rPr>
          <w:rFonts w:ascii="Times New Roman" w:hAnsi="Times New Roman"/>
          <w:szCs w:val="24"/>
        </w:rPr>
        <w:t>High us</w:t>
      </w:r>
      <w:r w:rsidR="0059247F">
        <w:rPr>
          <w:rFonts w:ascii="Times New Roman" w:hAnsi="Times New Roman"/>
          <w:szCs w:val="24"/>
        </w:rPr>
        <w:t>age</w:t>
      </w:r>
      <w:r>
        <w:rPr>
          <w:rFonts w:ascii="Times New Roman" w:hAnsi="Times New Roman"/>
          <w:szCs w:val="24"/>
        </w:rPr>
        <w:t xml:space="preserve"> customers are more likely to have electric heat.</w:t>
      </w:r>
    </w:p>
    <w:p w:rsidR="00144895" w:rsidRDefault="00144895" w:rsidP="00E13518">
      <w:pPr>
        <w:pStyle w:val="ListParagraph"/>
        <w:numPr>
          <w:ilvl w:val="0"/>
          <w:numId w:val="36"/>
        </w:numPr>
        <w:tabs>
          <w:tab w:val="left" w:pos="0"/>
        </w:tabs>
        <w:suppressAutoHyphens/>
        <w:rPr>
          <w:rFonts w:ascii="Times New Roman" w:hAnsi="Times New Roman"/>
          <w:szCs w:val="24"/>
        </w:rPr>
      </w:pPr>
      <w:r>
        <w:rPr>
          <w:rFonts w:ascii="Times New Roman" w:hAnsi="Times New Roman"/>
          <w:szCs w:val="24"/>
        </w:rPr>
        <w:t>High usage customers are more likely to have a single-family home or a manufactured home.</w:t>
      </w:r>
    </w:p>
    <w:p w:rsidR="00102A64" w:rsidRDefault="00102A64" w:rsidP="00E13518">
      <w:pPr>
        <w:pStyle w:val="ListParagraph"/>
        <w:numPr>
          <w:ilvl w:val="0"/>
          <w:numId w:val="36"/>
        </w:numPr>
        <w:tabs>
          <w:tab w:val="left" w:pos="0"/>
        </w:tabs>
        <w:suppressAutoHyphens/>
        <w:rPr>
          <w:rFonts w:ascii="Times New Roman" w:hAnsi="Times New Roman"/>
          <w:szCs w:val="24"/>
        </w:rPr>
      </w:pPr>
      <w:r>
        <w:rPr>
          <w:rFonts w:ascii="Times New Roman" w:hAnsi="Times New Roman"/>
          <w:szCs w:val="24"/>
        </w:rPr>
        <w:t>High usage customers are more likely to have more people in the home. (Q47)</w:t>
      </w:r>
    </w:p>
    <w:p w:rsidR="0059247F" w:rsidRDefault="0059247F" w:rsidP="00E13518">
      <w:pPr>
        <w:pStyle w:val="ListParagraph"/>
        <w:numPr>
          <w:ilvl w:val="0"/>
          <w:numId w:val="36"/>
        </w:numPr>
        <w:tabs>
          <w:tab w:val="left" w:pos="0"/>
        </w:tabs>
        <w:suppressAutoHyphens/>
        <w:rPr>
          <w:rFonts w:ascii="Times New Roman" w:hAnsi="Times New Roman"/>
          <w:szCs w:val="24"/>
        </w:rPr>
      </w:pPr>
      <w:r>
        <w:rPr>
          <w:rFonts w:ascii="Times New Roman" w:hAnsi="Times New Roman"/>
          <w:szCs w:val="24"/>
        </w:rPr>
        <w:t>High usage customers are more likely to have a larger square footage</w:t>
      </w:r>
      <w:r w:rsidR="00C00687">
        <w:rPr>
          <w:rFonts w:ascii="Times New Roman" w:hAnsi="Times New Roman"/>
          <w:szCs w:val="24"/>
        </w:rPr>
        <w:t xml:space="preserve"> home</w:t>
      </w:r>
      <w:r>
        <w:rPr>
          <w:rFonts w:ascii="Times New Roman" w:hAnsi="Times New Roman"/>
          <w:szCs w:val="24"/>
        </w:rPr>
        <w:t>.</w:t>
      </w:r>
    </w:p>
    <w:p w:rsidR="00EB0CA5" w:rsidRDefault="0059247F" w:rsidP="00E13518">
      <w:pPr>
        <w:pStyle w:val="ListParagraph"/>
        <w:numPr>
          <w:ilvl w:val="0"/>
          <w:numId w:val="36"/>
        </w:numPr>
        <w:tabs>
          <w:tab w:val="left" w:pos="0"/>
        </w:tabs>
        <w:suppressAutoHyphens/>
        <w:rPr>
          <w:rFonts w:ascii="Times New Roman" w:hAnsi="Times New Roman"/>
          <w:szCs w:val="24"/>
        </w:rPr>
      </w:pPr>
      <w:r>
        <w:rPr>
          <w:rFonts w:ascii="Times New Roman" w:hAnsi="Times New Roman"/>
          <w:szCs w:val="24"/>
        </w:rPr>
        <w:t>H</w:t>
      </w:r>
      <w:r w:rsidR="00F7228B">
        <w:rPr>
          <w:rFonts w:ascii="Times New Roman" w:hAnsi="Times New Roman"/>
          <w:szCs w:val="24"/>
        </w:rPr>
        <w:t>igh us</w:t>
      </w:r>
      <w:r>
        <w:rPr>
          <w:rFonts w:ascii="Times New Roman" w:hAnsi="Times New Roman"/>
          <w:szCs w:val="24"/>
        </w:rPr>
        <w:t xml:space="preserve">age </w:t>
      </w:r>
      <w:r w:rsidR="00F7228B">
        <w:rPr>
          <w:rFonts w:ascii="Times New Roman" w:hAnsi="Times New Roman"/>
          <w:szCs w:val="24"/>
        </w:rPr>
        <w:t xml:space="preserve">customers are </w:t>
      </w:r>
      <w:r w:rsidRPr="001738B8">
        <w:rPr>
          <w:rFonts w:ascii="Times New Roman" w:hAnsi="Times New Roman"/>
          <w:szCs w:val="24"/>
          <w:u w:val="single"/>
        </w:rPr>
        <w:t>not</w:t>
      </w:r>
      <w:r>
        <w:rPr>
          <w:rFonts w:ascii="Times New Roman" w:hAnsi="Times New Roman"/>
          <w:szCs w:val="24"/>
        </w:rPr>
        <w:t xml:space="preserve"> </w:t>
      </w:r>
      <w:r w:rsidR="00F7228B">
        <w:rPr>
          <w:rFonts w:ascii="Times New Roman" w:hAnsi="Times New Roman"/>
          <w:szCs w:val="24"/>
        </w:rPr>
        <w:t xml:space="preserve">more likely to </w:t>
      </w:r>
      <w:r>
        <w:rPr>
          <w:rFonts w:ascii="Times New Roman" w:hAnsi="Times New Roman"/>
          <w:szCs w:val="24"/>
        </w:rPr>
        <w:t xml:space="preserve">keep track of their usage, be aware of how many kWh they use, </w:t>
      </w:r>
      <w:r w:rsidR="00102A64">
        <w:rPr>
          <w:rFonts w:ascii="Times New Roman" w:hAnsi="Times New Roman"/>
          <w:szCs w:val="24"/>
        </w:rPr>
        <w:t xml:space="preserve">or </w:t>
      </w:r>
      <w:r>
        <w:rPr>
          <w:rFonts w:ascii="Times New Roman" w:hAnsi="Times New Roman"/>
          <w:szCs w:val="24"/>
        </w:rPr>
        <w:t xml:space="preserve">be aware of </w:t>
      </w:r>
      <w:r w:rsidR="00102A64">
        <w:rPr>
          <w:rFonts w:ascii="Times New Roman" w:hAnsi="Times New Roman"/>
          <w:szCs w:val="24"/>
        </w:rPr>
        <w:t>the tiers.</w:t>
      </w:r>
      <w:r>
        <w:rPr>
          <w:rFonts w:ascii="Times New Roman" w:hAnsi="Times New Roman"/>
          <w:szCs w:val="24"/>
        </w:rPr>
        <w:t xml:space="preserve"> </w:t>
      </w:r>
      <w:r w:rsidR="00F7228B">
        <w:rPr>
          <w:rFonts w:ascii="Times New Roman" w:hAnsi="Times New Roman"/>
          <w:szCs w:val="24"/>
        </w:rPr>
        <w:t>(Q3</w:t>
      </w:r>
      <w:r>
        <w:rPr>
          <w:rFonts w:ascii="Times New Roman" w:hAnsi="Times New Roman"/>
          <w:szCs w:val="24"/>
        </w:rPr>
        <w:t>5</w:t>
      </w:r>
      <w:r w:rsidR="00102A64">
        <w:rPr>
          <w:rFonts w:ascii="Times New Roman" w:hAnsi="Times New Roman"/>
          <w:szCs w:val="24"/>
        </w:rPr>
        <w:t>,</w:t>
      </w:r>
      <w:r>
        <w:rPr>
          <w:rFonts w:ascii="Times New Roman" w:hAnsi="Times New Roman"/>
          <w:szCs w:val="24"/>
        </w:rPr>
        <w:t xml:space="preserve"> Q38</w:t>
      </w:r>
      <w:r w:rsidR="00102A64">
        <w:rPr>
          <w:rFonts w:ascii="Times New Roman" w:hAnsi="Times New Roman"/>
          <w:szCs w:val="24"/>
        </w:rPr>
        <w:t>, 42</w:t>
      </w:r>
      <w:r w:rsidR="00F7228B">
        <w:rPr>
          <w:rFonts w:ascii="Times New Roman" w:hAnsi="Times New Roman"/>
          <w:szCs w:val="24"/>
        </w:rPr>
        <w:t>).</w:t>
      </w:r>
    </w:p>
    <w:p w:rsidR="00F7228B" w:rsidRDefault="00102A64" w:rsidP="00E13518">
      <w:pPr>
        <w:pStyle w:val="ListParagraph"/>
        <w:numPr>
          <w:ilvl w:val="0"/>
          <w:numId w:val="36"/>
        </w:numPr>
        <w:tabs>
          <w:tab w:val="left" w:pos="0"/>
        </w:tabs>
        <w:suppressAutoHyphens/>
        <w:rPr>
          <w:rFonts w:ascii="Times New Roman" w:hAnsi="Times New Roman"/>
          <w:szCs w:val="24"/>
        </w:rPr>
      </w:pPr>
      <w:r>
        <w:rPr>
          <w:rFonts w:ascii="Times New Roman" w:hAnsi="Times New Roman"/>
          <w:szCs w:val="24"/>
        </w:rPr>
        <w:t xml:space="preserve">Over 50 percent of customers, including high usage customers, indicate that the tiers have not influenced their usage.  </w:t>
      </w:r>
      <w:r w:rsidR="00F7228B">
        <w:rPr>
          <w:rFonts w:ascii="Times New Roman" w:hAnsi="Times New Roman"/>
          <w:szCs w:val="24"/>
        </w:rPr>
        <w:t>(Q</w:t>
      </w:r>
      <w:r>
        <w:rPr>
          <w:rFonts w:ascii="Times New Roman" w:hAnsi="Times New Roman"/>
          <w:szCs w:val="24"/>
        </w:rPr>
        <w:t>44)</w:t>
      </w:r>
      <w:r w:rsidR="00F7228B">
        <w:rPr>
          <w:rFonts w:ascii="Times New Roman" w:hAnsi="Times New Roman"/>
          <w:szCs w:val="24"/>
        </w:rPr>
        <w:t>.</w:t>
      </w:r>
    </w:p>
    <w:p w:rsidR="00A735A1" w:rsidRPr="00815C1B" w:rsidRDefault="00A735A1" w:rsidP="00815C1B">
      <w:pPr>
        <w:rPr>
          <w:rFonts w:ascii="Times New Roman" w:hAnsi="Times New Roman"/>
          <w:b/>
        </w:rPr>
      </w:pPr>
      <w:r w:rsidRPr="00815C1B">
        <w:rPr>
          <w:rFonts w:ascii="Times New Roman" w:hAnsi="Times New Roman"/>
          <w:b/>
        </w:rPr>
        <w:t>Q.</w:t>
      </w:r>
      <w:r w:rsidRPr="00815C1B">
        <w:rPr>
          <w:rFonts w:ascii="Times New Roman" w:hAnsi="Times New Roman"/>
          <w:b/>
        </w:rPr>
        <w:tab/>
        <w:t xml:space="preserve">Please discuss your </w:t>
      </w:r>
      <w:r w:rsidR="00C00687" w:rsidRPr="00815C1B">
        <w:rPr>
          <w:rFonts w:ascii="Times New Roman" w:hAnsi="Times New Roman"/>
          <w:b/>
        </w:rPr>
        <w:t xml:space="preserve">third </w:t>
      </w:r>
      <w:r w:rsidRPr="00815C1B">
        <w:rPr>
          <w:rFonts w:ascii="Times New Roman" w:hAnsi="Times New Roman"/>
          <w:b/>
        </w:rPr>
        <w:t>concern about the unintended consequences of Staff’s proposed rate design.</w:t>
      </w:r>
    </w:p>
    <w:p w:rsidR="000A4FDF" w:rsidRPr="00815C1B" w:rsidRDefault="00A735A1" w:rsidP="00815C1B">
      <w:pPr>
        <w:rPr>
          <w:rFonts w:ascii="Times New Roman" w:hAnsi="Times New Roman"/>
        </w:rPr>
      </w:pPr>
      <w:r w:rsidRPr="00815C1B">
        <w:rPr>
          <w:rFonts w:ascii="Times New Roman" w:hAnsi="Times New Roman"/>
        </w:rPr>
        <w:t xml:space="preserve">A. </w:t>
      </w:r>
      <w:r w:rsidRPr="00815C1B">
        <w:rPr>
          <w:rFonts w:ascii="Times New Roman" w:hAnsi="Times New Roman"/>
        </w:rPr>
        <w:tab/>
      </w:r>
      <w:r w:rsidR="00815C1B" w:rsidRPr="00815C1B">
        <w:rPr>
          <w:rFonts w:ascii="Times New Roman" w:hAnsi="Times New Roman"/>
        </w:rPr>
        <w:t xml:space="preserve">With the growing interest in customer </w:t>
      </w:r>
      <w:r w:rsidR="001F44B3">
        <w:rPr>
          <w:rFonts w:ascii="Times New Roman" w:hAnsi="Times New Roman"/>
        </w:rPr>
        <w:t>DG</w:t>
      </w:r>
      <w:r w:rsidR="00815C1B" w:rsidRPr="00815C1B">
        <w:rPr>
          <w:rFonts w:ascii="Times New Roman" w:hAnsi="Times New Roman"/>
        </w:rPr>
        <w:t xml:space="preserve"> and net metering, described above, the company believes major changes in rate structure need to carefully consider the unintended consequences of uneconomic price signals that such rate structures may create.  With net metering, customers receive a benefit equal to the energy rate avoided for the </w:t>
      </w:r>
      <w:r w:rsidR="001F44B3">
        <w:rPr>
          <w:rFonts w:ascii="Times New Roman" w:hAnsi="Times New Roman"/>
        </w:rPr>
        <w:t>DG</w:t>
      </w:r>
      <w:r w:rsidR="001F44B3" w:rsidRPr="00815C1B">
        <w:rPr>
          <w:rFonts w:ascii="Times New Roman" w:hAnsi="Times New Roman"/>
        </w:rPr>
        <w:t xml:space="preserve"> </w:t>
      </w:r>
      <w:r w:rsidR="00815C1B" w:rsidRPr="00815C1B">
        <w:rPr>
          <w:rFonts w:ascii="Times New Roman" w:hAnsi="Times New Roman"/>
        </w:rPr>
        <w:t xml:space="preserve">output that offsets contemporaneous use.  They also receive a benefit equal to the energy rate that is applied to the excess </w:t>
      </w:r>
      <w:r w:rsidR="001F44B3">
        <w:rPr>
          <w:rFonts w:ascii="Times New Roman" w:hAnsi="Times New Roman"/>
        </w:rPr>
        <w:t>DG</w:t>
      </w:r>
      <w:r w:rsidR="001F44B3" w:rsidRPr="00815C1B">
        <w:rPr>
          <w:rFonts w:ascii="Times New Roman" w:hAnsi="Times New Roman"/>
        </w:rPr>
        <w:t xml:space="preserve"> </w:t>
      </w:r>
      <w:r w:rsidR="00815C1B" w:rsidRPr="00815C1B">
        <w:rPr>
          <w:rFonts w:ascii="Times New Roman" w:hAnsi="Times New Roman"/>
        </w:rPr>
        <w:t xml:space="preserve">output during times when output exceeds consumption.  The energy rates, therefore, become important price signals and incentives for net metering customers.  With </w:t>
      </w:r>
      <w:r w:rsidR="003329FD">
        <w:rPr>
          <w:rFonts w:ascii="Times New Roman" w:hAnsi="Times New Roman"/>
        </w:rPr>
        <w:t>S</w:t>
      </w:r>
      <w:r w:rsidR="00815C1B" w:rsidRPr="00815C1B">
        <w:rPr>
          <w:rFonts w:ascii="Times New Roman" w:hAnsi="Times New Roman"/>
        </w:rPr>
        <w:t>taff’s proposed rate de</w:t>
      </w:r>
      <w:r w:rsidR="00815C1B">
        <w:rPr>
          <w:rFonts w:ascii="Times New Roman" w:hAnsi="Times New Roman"/>
        </w:rPr>
        <w:t>sign that creates a 12 cents/kWH</w:t>
      </w:r>
      <w:r w:rsidR="00815C1B" w:rsidRPr="00815C1B">
        <w:rPr>
          <w:rFonts w:ascii="Times New Roman" w:hAnsi="Times New Roman"/>
        </w:rPr>
        <w:t xml:space="preserve"> rate (at its proposed revenue requirement) in the third block, that rate becomes an incentive or benefit for large customers either currently with or interested in </w:t>
      </w:r>
      <w:r w:rsidR="001F44B3">
        <w:rPr>
          <w:rFonts w:ascii="Times New Roman" w:hAnsi="Times New Roman"/>
        </w:rPr>
        <w:t>DG</w:t>
      </w:r>
      <w:r w:rsidR="000A4FDF" w:rsidRPr="00815C1B">
        <w:rPr>
          <w:rFonts w:ascii="Times New Roman" w:hAnsi="Times New Roman"/>
        </w:rPr>
        <w:t xml:space="preserve">.  </w:t>
      </w:r>
      <w:r w:rsidR="00815C1B" w:rsidRPr="00815C1B">
        <w:rPr>
          <w:rFonts w:ascii="Times New Roman" w:hAnsi="Times New Roman"/>
        </w:rPr>
        <w:t>Because</w:t>
      </w:r>
      <w:r w:rsidR="00F90E2B" w:rsidRPr="00815C1B">
        <w:rPr>
          <w:rFonts w:ascii="Times New Roman" w:hAnsi="Times New Roman"/>
        </w:rPr>
        <w:t xml:space="preserve"> </w:t>
      </w:r>
      <w:r w:rsidR="00815C1B" w:rsidRPr="00815C1B">
        <w:rPr>
          <w:rFonts w:ascii="Times New Roman" w:hAnsi="Times New Roman"/>
        </w:rPr>
        <w:t>that rate includes fixed costs in addition to variable costs</w:t>
      </w:r>
      <w:r w:rsidR="000A4FDF" w:rsidRPr="00815C1B">
        <w:rPr>
          <w:rFonts w:ascii="Times New Roman" w:hAnsi="Times New Roman"/>
        </w:rPr>
        <w:t>,</w:t>
      </w:r>
      <w:r w:rsidR="00F90E2B" w:rsidRPr="00815C1B">
        <w:rPr>
          <w:rFonts w:ascii="Times New Roman" w:hAnsi="Times New Roman"/>
        </w:rPr>
        <w:t xml:space="preserve"> </w:t>
      </w:r>
      <w:r w:rsidR="00815C1B" w:rsidRPr="00815C1B">
        <w:rPr>
          <w:rFonts w:ascii="Times New Roman" w:hAnsi="Times New Roman"/>
        </w:rPr>
        <w:t xml:space="preserve">(even if the company’s proposed basic charge is approved) it will lead to greater cost shifting to other customers as </w:t>
      </w:r>
      <w:r w:rsidR="001F44B3">
        <w:rPr>
          <w:rFonts w:ascii="Times New Roman" w:hAnsi="Times New Roman"/>
        </w:rPr>
        <w:t>DG</w:t>
      </w:r>
      <w:r w:rsidR="001F44B3" w:rsidRPr="00815C1B">
        <w:rPr>
          <w:rFonts w:ascii="Times New Roman" w:hAnsi="Times New Roman"/>
        </w:rPr>
        <w:t xml:space="preserve"> </w:t>
      </w:r>
      <w:r w:rsidR="00815C1B" w:rsidRPr="00815C1B">
        <w:rPr>
          <w:rFonts w:ascii="Times New Roman" w:hAnsi="Times New Roman"/>
        </w:rPr>
        <w:t>grows.</w:t>
      </w:r>
    </w:p>
    <w:p w:rsidR="00F81885" w:rsidRPr="00743B34" w:rsidRDefault="00F81885" w:rsidP="00743B34">
      <w:r>
        <w:rPr>
          <w:rFonts w:ascii="Times New Roman" w:hAnsi="Times New Roman"/>
          <w:b/>
          <w:caps/>
          <w:szCs w:val="24"/>
        </w:rPr>
        <w:tab/>
      </w:r>
      <w:r>
        <w:rPr>
          <w:rFonts w:ascii="Times New Roman" w:hAnsi="Times New Roman"/>
          <w:b/>
          <w:caps/>
          <w:szCs w:val="24"/>
        </w:rPr>
        <w:tab/>
      </w:r>
      <w:r>
        <w:rPr>
          <w:rFonts w:ascii="Times New Roman" w:hAnsi="Times New Roman"/>
          <w:szCs w:val="24"/>
        </w:rPr>
        <w:t xml:space="preserve">While the Commission has an on-going investigatory docket, UE-131883, on the costs and benefits of DG, there has been no finding or determination on the costs and benefits at this time.  Accordingly, a major revision to the current residential rate structure </w:t>
      </w:r>
      <w:r w:rsidR="00FB67E8">
        <w:rPr>
          <w:rFonts w:ascii="Times New Roman" w:hAnsi="Times New Roman"/>
          <w:szCs w:val="24"/>
        </w:rPr>
        <w:t xml:space="preserve">is premature without consideration of whether it sends a price signal consistent with the costs and benefits of DG, particularly in light of the Commission’s prior observations in Docket UE-110667 on cost-shifting due to DG. </w:t>
      </w:r>
      <w:r>
        <w:rPr>
          <w:rFonts w:ascii="Times New Roman" w:hAnsi="Times New Roman"/>
          <w:b/>
          <w:caps/>
          <w:szCs w:val="24"/>
        </w:rPr>
        <w:tab/>
      </w:r>
    </w:p>
    <w:p w:rsidR="00FB5547" w:rsidRDefault="00FB5547" w:rsidP="00FB5547">
      <w:pPr>
        <w:rPr>
          <w:rFonts w:ascii="Times New Roman" w:hAnsi="Times New Roman"/>
          <w:b/>
          <w:szCs w:val="24"/>
        </w:rPr>
      </w:pPr>
      <w:r>
        <w:rPr>
          <w:rFonts w:ascii="Times New Roman" w:hAnsi="Times New Roman"/>
          <w:b/>
          <w:szCs w:val="24"/>
        </w:rPr>
        <w:t>Q.</w:t>
      </w:r>
      <w:r>
        <w:rPr>
          <w:rFonts w:ascii="Times New Roman" w:hAnsi="Times New Roman"/>
          <w:b/>
          <w:szCs w:val="24"/>
        </w:rPr>
        <w:tab/>
        <w:t>On the topic of DG, how do you respond to Staff’s discussion in response to your direct testimony that the Company is conducting a load research study for DG customers and may propose a new rate design in a future case?</w:t>
      </w:r>
    </w:p>
    <w:p w:rsidR="00FB5547" w:rsidRDefault="00FB5547" w:rsidP="00FB5547">
      <w:pPr>
        <w:rPr>
          <w:rFonts w:ascii="Times New Roman" w:hAnsi="Times New Roman"/>
          <w:szCs w:val="24"/>
        </w:rPr>
      </w:pPr>
      <w:r>
        <w:rPr>
          <w:rFonts w:ascii="Times New Roman" w:hAnsi="Times New Roman"/>
          <w:szCs w:val="24"/>
        </w:rPr>
        <w:t xml:space="preserve">A. </w:t>
      </w:r>
      <w:r>
        <w:rPr>
          <w:rFonts w:ascii="Times New Roman" w:hAnsi="Times New Roman"/>
          <w:szCs w:val="24"/>
        </w:rPr>
        <w:tab/>
        <w:t>I found Staff’s response and recommendation confounding and inaccurate. First, I find it perplexing that Staff would prejudge a rate proposal, ask the Commission to prejudge it, and indicate a higher burden of proof would be required on something that hasn’t yet been filed.  The purpose of that part of my testimony was to inform the Commission that the Company is conducting load research to inform future rates.  Unlike Staff, the Company is not asking the Commission to take any action on this topic at this time without the benefit of supporting data.</w:t>
      </w:r>
    </w:p>
    <w:p w:rsidR="00FB5547" w:rsidRDefault="00FB5547" w:rsidP="00FB5547">
      <w:pPr>
        <w:ind w:firstLine="720"/>
        <w:rPr>
          <w:rFonts w:ascii="Times New Roman" w:hAnsi="Times New Roman"/>
          <w:szCs w:val="24"/>
        </w:rPr>
      </w:pPr>
      <w:r>
        <w:rPr>
          <w:rFonts w:ascii="Times New Roman" w:hAnsi="Times New Roman"/>
          <w:szCs w:val="24"/>
        </w:rPr>
        <w:t>Second, Staff inaccurately characterized my testimony and the three-part rate design that includes a demand rate component.  Staff states: “A three-part rate design includes the basic charge and volumetric usage charge that residential customers already pay, but adds a demand charge that assesses an additional fee based on the customer’s peak usage during the billing cycle.”</w:t>
      </w:r>
      <w:r>
        <w:rPr>
          <w:rStyle w:val="FootnoteReference"/>
          <w:szCs w:val="24"/>
        </w:rPr>
        <w:footnoteReference w:id="32"/>
      </w:r>
      <w:r>
        <w:rPr>
          <w:rFonts w:ascii="Times New Roman" w:hAnsi="Times New Roman"/>
          <w:szCs w:val="24"/>
        </w:rPr>
        <w:t xml:space="preserve"> In actuality, a demand charge is not an additional fee assessed on top of what customers already pay. All rates </w:t>
      </w:r>
      <w:r w:rsidR="00C00687">
        <w:rPr>
          <w:rFonts w:ascii="Times New Roman" w:hAnsi="Times New Roman"/>
          <w:szCs w:val="24"/>
        </w:rPr>
        <w:t xml:space="preserve">for this partial requirements customer class </w:t>
      </w:r>
      <w:r>
        <w:rPr>
          <w:rFonts w:ascii="Times New Roman" w:hAnsi="Times New Roman"/>
          <w:szCs w:val="24"/>
        </w:rPr>
        <w:t xml:space="preserve">would be redesigned and developed consistent with the costs of serving customers:  demand-related costs would be recovered through demand charges, customer-related costs through customer charges, and energy-related costs through energy charges.  This type of rate design is already used extensively in all nonresidential rate schedules so should therefore not be novel to Staff.   </w:t>
      </w:r>
    </w:p>
    <w:p w:rsidR="00FB5547" w:rsidRDefault="00FB5547" w:rsidP="00FB5547">
      <w:pPr>
        <w:rPr>
          <w:rFonts w:ascii="Times New Roman" w:hAnsi="Times New Roman"/>
          <w:szCs w:val="24"/>
        </w:rPr>
      </w:pPr>
      <w:r>
        <w:rPr>
          <w:rFonts w:ascii="Times New Roman" w:hAnsi="Times New Roman"/>
          <w:szCs w:val="24"/>
        </w:rPr>
        <w:tab/>
      </w:r>
      <w:r>
        <w:rPr>
          <w:rFonts w:ascii="Times New Roman" w:hAnsi="Times New Roman"/>
          <w:szCs w:val="24"/>
        </w:rPr>
        <w:tab/>
        <w:t xml:space="preserve">Third, Staff imputes </w:t>
      </w:r>
      <w:r w:rsidR="00F90E2B">
        <w:rPr>
          <w:rFonts w:ascii="Times New Roman" w:hAnsi="Times New Roman"/>
          <w:szCs w:val="24"/>
        </w:rPr>
        <w:t>t</w:t>
      </w:r>
      <w:r>
        <w:rPr>
          <w:rFonts w:ascii="Times New Roman" w:hAnsi="Times New Roman"/>
          <w:szCs w:val="24"/>
        </w:rPr>
        <w:t xml:space="preserve">o the Company an argument on the rationale for a future rate that the Company did not make when it points to “The Duck Curve” and then argues that the three-part </w:t>
      </w:r>
      <w:r w:rsidR="00F90E2B">
        <w:rPr>
          <w:rFonts w:ascii="Times New Roman" w:hAnsi="Times New Roman"/>
          <w:szCs w:val="24"/>
        </w:rPr>
        <w:t xml:space="preserve">rate design </w:t>
      </w:r>
      <w:r>
        <w:rPr>
          <w:rFonts w:ascii="Times New Roman" w:hAnsi="Times New Roman"/>
          <w:szCs w:val="24"/>
        </w:rPr>
        <w:t xml:space="preserve">would not reflect the operations of Pacific Power’s </w:t>
      </w:r>
      <w:r w:rsidR="0063335F">
        <w:rPr>
          <w:rFonts w:ascii="Times New Roman" w:hAnsi="Times New Roman"/>
          <w:szCs w:val="24"/>
        </w:rPr>
        <w:t>west control area</w:t>
      </w:r>
      <w:r>
        <w:rPr>
          <w:rFonts w:ascii="Times New Roman" w:hAnsi="Times New Roman"/>
          <w:szCs w:val="24"/>
        </w:rPr>
        <w:t xml:space="preserve"> system.</w:t>
      </w:r>
      <w:r>
        <w:rPr>
          <w:rStyle w:val="FootnoteReference"/>
          <w:szCs w:val="24"/>
        </w:rPr>
        <w:footnoteReference w:id="33"/>
      </w:r>
      <w:r>
        <w:rPr>
          <w:rFonts w:ascii="Times New Roman" w:hAnsi="Times New Roman"/>
          <w:szCs w:val="24"/>
        </w:rPr>
        <w:t xml:space="preserve">  Again, the Company is collecting data to inform the discussion and is not proposing a rate based on studies in other jurisdictions.  Additionally, Staff apparently fails to understand that with a three-part rate that includes a peak-based demand charge, to the extent a DG customer reduces load during the peak, the customer will receive the benefit of those cost-based savings by avoiding peak charges.  </w:t>
      </w:r>
    </w:p>
    <w:p w:rsidR="00C00687" w:rsidRDefault="00FB5547" w:rsidP="00FB5547">
      <w:pPr>
        <w:textAlignment w:val="center"/>
        <w:rPr>
          <w:rFonts w:ascii="Times New Roman" w:hAnsi="Times New Roman"/>
          <w:szCs w:val="24"/>
        </w:rPr>
      </w:pPr>
      <w:r>
        <w:rPr>
          <w:rFonts w:ascii="Times New Roman" w:hAnsi="Times New Roman"/>
          <w:szCs w:val="24"/>
        </w:rPr>
        <w:tab/>
      </w:r>
      <w:r>
        <w:rPr>
          <w:rFonts w:ascii="Times New Roman" w:hAnsi="Times New Roman"/>
          <w:szCs w:val="24"/>
        </w:rPr>
        <w:tab/>
        <w:t xml:space="preserve">Fourth, Staff’s analysis </w:t>
      </w:r>
      <w:r w:rsidR="00F90E2B">
        <w:rPr>
          <w:rFonts w:ascii="Times New Roman" w:hAnsi="Times New Roman"/>
          <w:szCs w:val="24"/>
        </w:rPr>
        <w:t>vastly over-simplifies cost drivers by concluding that DG customers help meet peak load</w:t>
      </w:r>
      <w:r>
        <w:rPr>
          <w:rFonts w:ascii="Times New Roman" w:hAnsi="Times New Roman"/>
          <w:szCs w:val="24"/>
        </w:rPr>
        <w:t xml:space="preserve"> because the peak occurs during daylight hours, which is when DG is producing.  The peak occurs in an hour, not merely in </w:t>
      </w:r>
      <w:r w:rsidR="00C00687">
        <w:rPr>
          <w:rFonts w:ascii="Times New Roman" w:hAnsi="Times New Roman"/>
          <w:szCs w:val="24"/>
        </w:rPr>
        <w:t xml:space="preserve">the broader period of </w:t>
      </w:r>
      <w:r>
        <w:rPr>
          <w:rFonts w:ascii="Times New Roman" w:hAnsi="Times New Roman"/>
          <w:szCs w:val="24"/>
        </w:rPr>
        <w:t xml:space="preserve">daylight.  And in the </w:t>
      </w:r>
      <w:r w:rsidR="0063335F">
        <w:rPr>
          <w:rFonts w:ascii="Times New Roman" w:hAnsi="Times New Roman"/>
          <w:szCs w:val="24"/>
        </w:rPr>
        <w:t>west control area</w:t>
      </w:r>
      <w:r>
        <w:rPr>
          <w:rFonts w:ascii="Times New Roman" w:hAnsi="Times New Roman"/>
          <w:szCs w:val="24"/>
        </w:rPr>
        <w:t xml:space="preserve">, the peak occurs in winter, which is when output from solar DG is significantly less.  In fact, the graph below shows the peak winter day during the test period for the residential average load profile, assumed DG production and net usage.  </w:t>
      </w:r>
    </w:p>
    <w:p w:rsidR="00053FDE" w:rsidRDefault="00053FDE" w:rsidP="00695CC6">
      <w:pPr>
        <w:suppressLineNumbers/>
        <w:ind w:firstLine="0"/>
        <w:textAlignment w:val="center"/>
        <w:rPr>
          <w:rFonts w:ascii="Times New Roman" w:hAnsi="Times New Roman"/>
          <w:szCs w:val="24"/>
        </w:rPr>
      </w:pPr>
      <w:r>
        <w:rPr>
          <w:rFonts w:ascii="Times New Roman" w:hAnsi="Times New Roman"/>
          <w:noProof/>
          <w:szCs w:val="24"/>
        </w:rPr>
        <w:drawing>
          <wp:inline distT="0" distB="0" distL="0" distR="0" wp14:anchorId="70D94E98" wp14:editId="5BA8FEED">
            <wp:extent cx="4569977" cy="2703443"/>
            <wp:effectExtent l="0" t="0" r="254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3682" cy="2705635"/>
                    </a:xfrm>
                    <a:prstGeom prst="rect">
                      <a:avLst/>
                    </a:prstGeom>
                    <a:noFill/>
                  </pic:spPr>
                </pic:pic>
              </a:graphicData>
            </a:graphic>
          </wp:inline>
        </w:drawing>
      </w:r>
    </w:p>
    <w:p w:rsidR="00FB5547" w:rsidRDefault="00FB5547" w:rsidP="001738B8">
      <w:pPr>
        <w:ind w:firstLine="0"/>
        <w:textAlignment w:val="center"/>
        <w:rPr>
          <w:rFonts w:ascii="Times New Roman" w:hAnsi="Times New Roman"/>
          <w:szCs w:val="24"/>
        </w:rPr>
      </w:pPr>
      <w:r>
        <w:rPr>
          <w:rFonts w:ascii="Times New Roman" w:hAnsi="Times New Roman"/>
          <w:szCs w:val="24"/>
        </w:rPr>
        <w:t xml:space="preserve">The winter peak day shows a few important things.  First, during the peak hour of 8:00 am, DG production is not yet producing so it is not helping the Company meet load.  Second, the </w:t>
      </w:r>
      <w:r w:rsidR="0063335F">
        <w:rPr>
          <w:rFonts w:ascii="Times New Roman" w:hAnsi="Times New Roman"/>
          <w:szCs w:val="24"/>
        </w:rPr>
        <w:t>west control area</w:t>
      </w:r>
      <w:r>
        <w:rPr>
          <w:rFonts w:ascii="Times New Roman" w:hAnsi="Times New Roman"/>
          <w:szCs w:val="24"/>
        </w:rPr>
        <w:t xml:space="preserve"> typically produces two peaks in a day, one in the morning and one in the evening.  This same day also had the highest ranked evening peak of the year at the hour of 7:00 pm.  DG production during this hour was also zero and thus not contributing energy to meet load.  Lastly, the blue area of the chart is the assumed DG production.  This is based off of an assumed 4 kW system in Yakima using the PVWatts Solar calculator.  The chart clearly shows that solar DG production does not align with the morning or evening peaks. My point in providing this graph is that, again, actual data will help inform the discussion and therefore, Staff’s rush to judgment should be dismissed.  </w:t>
      </w:r>
    </w:p>
    <w:p w:rsidR="00FB5547" w:rsidRDefault="00FB5547" w:rsidP="00FB5547">
      <w:pPr>
        <w:textAlignment w:val="center"/>
        <w:rPr>
          <w:rFonts w:ascii="Times New Roman" w:hAnsi="Times New Roman"/>
          <w:szCs w:val="24"/>
        </w:rPr>
      </w:pPr>
      <w:r>
        <w:rPr>
          <w:rFonts w:ascii="Times New Roman" w:hAnsi="Times New Roman"/>
          <w:szCs w:val="24"/>
        </w:rPr>
        <w:tab/>
      </w:r>
      <w:r>
        <w:rPr>
          <w:rFonts w:ascii="Times New Roman" w:hAnsi="Times New Roman"/>
          <w:szCs w:val="24"/>
        </w:rPr>
        <w:tab/>
        <w:t>Lastly, Staff states several times that its proposed rate spread will address many of the issues associated with DG.  Rate spread is an allocation of revenues to a class.  DG issues, on the other hand, are a rate design issue so I fail to see how Staff’s rate spread has any relationship to DG.</w:t>
      </w:r>
    </w:p>
    <w:p w:rsidR="002921E2" w:rsidRPr="00184A88" w:rsidRDefault="008A6A68" w:rsidP="00815C1B">
      <w:pPr>
        <w:pStyle w:val="Heading1"/>
        <w:spacing w:line="240" w:lineRule="auto"/>
      </w:pPr>
      <w:bookmarkStart w:id="10" w:name="_Toc403654576"/>
      <w:r w:rsidRPr="00184A88">
        <w:t>GENERAL SERVICE, AGRICULTURAL PUMPING</w:t>
      </w:r>
      <w:r>
        <w:t>,</w:t>
      </w:r>
      <w:bookmarkEnd w:id="10"/>
      <w:r w:rsidRPr="00184A88">
        <w:t xml:space="preserve"> </w:t>
      </w:r>
    </w:p>
    <w:p w:rsidR="002921E2" w:rsidRPr="00184A88" w:rsidRDefault="008A6A68" w:rsidP="00815C1B">
      <w:pPr>
        <w:pStyle w:val="Heading1"/>
        <w:spacing w:line="240" w:lineRule="auto"/>
      </w:pPr>
      <w:bookmarkStart w:id="11" w:name="_Toc362938860"/>
      <w:bookmarkStart w:id="12" w:name="_Toc403654577"/>
      <w:r w:rsidRPr="00184A88">
        <w:t>AND STREET LIGHTING RATE DESIGN</w:t>
      </w:r>
      <w:bookmarkEnd w:id="11"/>
      <w:bookmarkEnd w:id="12"/>
    </w:p>
    <w:p w:rsidR="002921E2" w:rsidRDefault="002921E2">
      <w:pPr>
        <w:suppressLineNumbers/>
        <w:spacing w:line="240" w:lineRule="auto"/>
      </w:pPr>
    </w:p>
    <w:p w:rsidR="00E532F4" w:rsidRPr="00FC7D77" w:rsidRDefault="00E532F4" w:rsidP="0034595D">
      <w:pPr>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r>
      <w:r w:rsidR="00213F76">
        <w:rPr>
          <w:rFonts w:ascii="Times New Roman" w:hAnsi="Times New Roman"/>
          <w:b/>
          <w:szCs w:val="24"/>
        </w:rPr>
        <w:t xml:space="preserve">Is the Company proposing any changes in </w:t>
      </w:r>
      <w:r w:rsidR="00962CE4">
        <w:rPr>
          <w:rFonts w:ascii="Times New Roman" w:hAnsi="Times New Roman"/>
          <w:b/>
          <w:szCs w:val="24"/>
        </w:rPr>
        <w:t xml:space="preserve">this </w:t>
      </w:r>
      <w:r w:rsidR="00213F76">
        <w:rPr>
          <w:rFonts w:ascii="Times New Roman" w:hAnsi="Times New Roman"/>
          <w:b/>
          <w:szCs w:val="24"/>
        </w:rPr>
        <w:t xml:space="preserve">rebuttal </w:t>
      </w:r>
      <w:r w:rsidR="00962CE4">
        <w:rPr>
          <w:rFonts w:ascii="Times New Roman" w:hAnsi="Times New Roman"/>
          <w:b/>
          <w:szCs w:val="24"/>
        </w:rPr>
        <w:t xml:space="preserve">filing </w:t>
      </w:r>
      <w:r w:rsidR="00213F76">
        <w:rPr>
          <w:rFonts w:ascii="Times New Roman" w:hAnsi="Times New Roman"/>
          <w:b/>
          <w:szCs w:val="24"/>
        </w:rPr>
        <w:t>to rate designs for the general service, agricultural pumping</w:t>
      </w:r>
      <w:r w:rsidR="008A4EA9">
        <w:rPr>
          <w:rFonts w:ascii="Times New Roman" w:hAnsi="Times New Roman"/>
          <w:b/>
          <w:szCs w:val="24"/>
        </w:rPr>
        <w:t>,</w:t>
      </w:r>
      <w:r w:rsidR="00213F76">
        <w:rPr>
          <w:rFonts w:ascii="Times New Roman" w:hAnsi="Times New Roman"/>
          <w:b/>
          <w:szCs w:val="24"/>
        </w:rPr>
        <w:t xml:space="preserve"> and street lighting schedules</w:t>
      </w:r>
      <w:r w:rsidRPr="00FC7D77">
        <w:rPr>
          <w:rFonts w:ascii="Times New Roman" w:hAnsi="Times New Roman"/>
          <w:b/>
          <w:szCs w:val="24"/>
        </w:rPr>
        <w:t>?</w:t>
      </w:r>
    </w:p>
    <w:p w:rsidR="00781994" w:rsidRDefault="00E532F4" w:rsidP="0034595D">
      <w:pPr>
        <w:rPr>
          <w:rFonts w:ascii="Times New Roman" w:hAnsi="Times New Roman"/>
          <w:bCs/>
          <w:szCs w:val="24"/>
        </w:rPr>
      </w:pPr>
      <w:r w:rsidRPr="00FC7D77">
        <w:rPr>
          <w:rFonts w:ascii="Times New Roman" w:hAnsi="Times New Roman"/>
          <w:bCs/>
          <w:szCs w:val="24"/>
        </w:rPr>
        <w:t>A.</w:t>
      </w:r>
      <w:r w:rsidRPr="00FC7D77">
        <w:rPr>
          <w:rFonts w:ascii="Times New Roman" w:hAnsi="Times New Roman"/>
          <w:bCs/>
          <w:szCs w:val="24"/>
        </w:rPr>
        <w:tab/>
      </w:r>
      <w:r w:rsidR="00781994">
        <w:rPr>
          <w:rFonts w:ascii="Times New Roman" w:hAnsi="Times New Roman"/>
          <w:bCs/>
          <w:szCs w:val="24"/>
        </w:rPr>
        <w:t xml:space="preserve">The Company is proposing one change to rate design for general service Schedule 36, in response to Wal-Mart’s testimony.  </w:t>
      </w:r>
      <w:r w:rsidR="00180DB2">
        <w:rPr>
          <w:rFonts w:ascii="Times New Roman" w:hAnsi="Times New Roman"/>
          <w:bCs/>
          <w:szCs w:val="24"/>
        </w:rPr>
        <w:t xml:space="preserve">Staff proposed for those classes </w:t>
      </w:r>
      <w:r w:rsidR="0064728D">
        <w:rPr>
          <w:rFonts w:ascii="Times New Roman" w:hAnsi="Times New Roman"/>
          <w:bCs/>
          <w:szCs w:val="24"/>
        </w:rPr>
        <w:t>receiving</w:t>
      </w:r>
      <w:r w:rsidR="00180DB2">
        <w:rPr>
          <w:rFonts w:ascii="Times New Roman" w:hAnsi="Times New Roman"/>
          <w:bCs/>
          <w:szCs w:val="24"/>
        </w:rPr>
        <w:t xml:space="preserve"> an increase to allocate the increase evenly across the usage-based rates within the class, except for the basic charge for the Dedicated Facilities class. </w:t>
      </w:r>
      <w:r w:rsidR="00781994">
        <w:rPr>
          <w:rFonts w:ascii="Times New Roman" w:hAnsi="Times New Roman"/>
          <w:bCs/>
          <w:szCs w:val="24"/>
        </w:rPr>
        <w:t xml:space="preserve"> </w:t>
      </w:r>
      <w:r w:rsidR="00180DB2">
        <w:rPr>
          <w:rFonts w:ascii="Times New Roman" w:hAnsi="Times New Roman"/>
          <w:bCs/>
          <w:szCs w:val="24"/>
        </w:rPr>
        <w:t xml:space="preserve">The </w:t>
      </w:r>
      <w:r w:rsidR="00213F76">
        <w:rPr>
          <w:rFonts w:ascii="Times New Roman" w:hAnsi="Times New Roman"/>
          <w:bCs/>
          <w:szCs w:val="24"/>
        </w:rPr>
        <w:t xml:space="preserve">Company </w:t>
      </w:r>
      <w:r w:rsidR="004E0629">
        <w:rPr>
          <w:rFonts w:ascii="Times New Roman" w:hAnsi="Times New Roman"/>
          <w:bCs/>
          <w:szCs w:val="24"/>
        </w:rPr>
        <w:t xml:space="preserve">is </w:t>
      </w:r>
      <w:r w:rsidR="00213F76">
        <w:rPr>
          <w:rFonts w:ascii="Times New Roman" w:hAnsi="Times New Roman"/>
          <w:bCs/>
          <w:szCs w:val="24"/>
        </w:rPr>
        <w:t xml:space="preserve">proposing </w:t>
      </w:r>
      <w:r w:rsidR="008A134C">
        <w:rPr>
          <w:rFonts w:ascii="Times New Roman" w:hAnsi="Times New Roman"/>
          <w:bCs/>
          <w:szCs w:val="24"/>
        </w:rPr>
        <w:t xml:space="preserve">no change from the approach in </w:t>
      </w:r>
      <w:r w:rsidR="00A02932">
        <w:rPr>
          <w:rFonts w:ascii="Times New Roman" w:hAnsi="Times New Roman"/>
          <w:bCs/>
          <w:szCs w:val="24"/>
        </w:rPr>
        <w:t>its</w:t>
      </w:r>
      <w:r w:rsidR="008A134C">
        <w:rPr>
          <w:rFonts w:ascii="Times New Roman" w:hAnsi="Times New Roman"/>
          <w:bCs/>
          <w:szCs w:val="24"/>
        </w:rPr>
        <w:t xml:space="preserve"> original filed case which allocated more of the increase to demand to move cost components closer to cost of service.</w:t>
      </w:r>
      <w:r w:rsidR="00F85346">
        <w:rPr>
          <w:rFonts w:ascii="Times New Roman" w:hAnsi="Times New Roman"/>
          <w:bCs/>
          <w:szCs w:val="24"/>
        </w:rPr>
        <w:t xml:space="preserve"> </w:t>
      </w:r>
      <w:r w:rsidR="008A4EA9">
        <w:rPr>
          <w:rFonts w:ascii="Times New Roman" w:hAnsi="Times New Roman"/>
          <w:bCs/>
          <w:szCs w:val="24"/>
        </w:rPr>
        <w:t xml:space="preserve"> </w:t>
      </w:r>
    </w:p>
    <w:p w:rsidR="00781994" w:rsidRPr="00FC7D77" w:rsidRDefault="00781994" w:rsidP="00781994">
      <w:pPr>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r>
      <w:r>
        <w:rPr>
          <w:rFonts w:ascii="Times New Roman" w:hAnsi="Times New Roman"/>
          <w:b/>
          <w:szCs w:val="24"/>
        </w:rPr>
        <w:t xml:space="preserve">Please explain the rate design changes for Schedule 36 proposed by Wal-Mart. </w:t>
      </w:r>
    </w:p>
    <w:p w:rsidR="00781994" w:rsidRDefault="00781994" w:rsidP="00781994">
      <w:pPr>
        <w:rPr>
          <w:rFonts w:ascii="Times New Roman" w:hAnsi="Times New Roman"/>
          <w:bCs/>
          <w:szCs w:val="24"/>
        </w:rPr>
      </w:pPr>
      <w:r w:rsidRPr="00FC7D77">
        <w:rPr>
          <w:rFonts w:ascii="Times New Roman" w:hAnsi="Times New Roman"/>
          <w:bCs/>
          <w:szCs w:val="24"/>
        </w:rPr>
        <w:t>A.</w:t>
      </w:r>
      <w:r w:rsidRPr="00FC7D77">
        <w:rPr>
          <w:rFonts w:ascii="Times New Roman" w:hAnsi="Times New Roman"/>
          <w:bCs/>
          <w:szCs w:val="24"/>
        </w:rPr>
        <w:tab/>
      </w:r>
      <w:r w:rsidR="00EF344F">
        <w:rPr>
          <w:rFonts w:ascii="Times New Roman" w:hAnsi="Times New Roman"/>
          <w:bCs/>
          <w:szCs w:val="24"/>
        </w:rPr>
        <w:t xml:space="preserve">Wal-Mart proposed an unbundled generation demand rate </w:t>
      </w:r>
      <w:r w:rsidR="00030286">
        <w:rPr>
          <w:rFonts w:ascii="Times New Roman" w:hAnsi="Times New Roman"/>
          <w:bCs/>
          <w:szCs w:val="24"/>
        </w:rPr>
        <w:t xml:space="preserve">equal to </w:t>
      </w:r>
      <w:r w:rsidR="00EF344F">
        <w:rPr>
          <w:rFonts w:ascii="Times New Roman" w:hAnsi="Times New Roman"/>
          <w:bCs/>
          <w:szCs w:val="24"/>
        </w:rPr>
        <w:t>50 percent of</w:t>
      </w:r>
      <w:r w:rsidR="0058336C">
        <w:rPr>
          <w:rFonts w:ascii="Times New Roman" w:hAnsi="Times New Roman"/>
          <w:bCs/>
          <w:szCs w:val="24"/>
        </w:rPr>
        <w:t xml:space="preserve"> a </w:t>
      </w:r>
      <w:r w:rsidR="00EF344F">
        <w:rPr>
          <w:rFonts w:ascii="Times New Roman" w:hAnsi="Times New Roman"/>
          <w:bCs/>
          <w:szCs w:val="24"/>
        </w:rPr>
        <w:t xml:space="preserve">generation demand rate calculated by dividing generation demand costs by the </w:t>
      </w:r>
      <w:r w:rsidR="0058336C">
        <w:rPr>
          <w:rFonts w:ascii="Times New Roman" w:hAnsi="Times New Roman"/>
          <w:bCs/>
          <w:szCs w:val="24"/>
        </w:rPr>
        <w:t xml:space="preserve">Schedule 36 </w:t>
      </w:r>
      <w:r w:rsidR="00EF344F">
        <w:rPr>
          <w:rFonts w:ascii="Times New Roman" w:hAnsi="Times New Roman"/>
          <w:bCs/>
          <w:szCs w:val="24"/>
        </w:rPr>
        <w:t xml:space="preserve">NCP kW </w:t>
      </w:r>
      <w:r w:rsidR="0058336C">
        <w:rPr>
          <w:rFonts w:ascii="Times New Roman" w:hAnsi="Times New Roman"/>
          <w:bCs/>
          <w:szCs w:val="24"/>
        </w:rPr>
        <w:t>found in the “Unit Cost</w:t>
      </w:r>
      <w:r w:rsidR="00B8281F">
        <w:rPr>
          <w:rFonts w:ascii="Times New Roman" w:hAnsi="Times New Roman"/>
          <w:bCs/>
          <w:szCs w:val="24"/>
        </w:rPr>
        <w:t>s</w:t>
      </w:r>
      <w:r w:rsidR="0058336C">
        <w:rPr>
          <w:rFonts w:ascii="Times New Roman" w:hAnsi="Times New Roman"/>
          <w:bCs/>
          <w:szCs w:val="24"/>
        </w:rPr>
        <w:t>” tab of Exhibit</w:t>
      </w:r>
      <w:r w:rsidR="00FB67E8">
        <w:rPr>
          <w:rFonts w:ascii="Times New Roman" w:hAnsi="Times New Roman"/>
          <w:bCs/>
          <w:szCs w:val="24"/>
        </w:rPr>
        <w:t xml:space="preserve"> No.</w:t>
      </w:r>
      <w:r w:rsidR="007939AA">
        <w:rPr>
          <w:rFonts w:ascii="Times New Roman" w:hAnsi="Times New Roman"/>
          <w:bCs/>
          <w:szCs w:val="24"/>
        </w:rPr>
        <w:t xml:space="preserve"> </w:t>
      </w:r>
      <w:r w:rsidR="0058336C">
        <w:rPr>
          <w:rFonts w:ascii="Times New Roman" w:hAnsi="Times New Roman"/>
          <w:bCs/>
          <w:szCs w:val="24"/>
        </w:rPr>
        <w:t>JRS-</w:t>
      </w:r>
      <w:r w:rsidR="00570472">
        <w:rPr>
          <w:rFonts w:ascii="Times New Roman" w:hAnsi="Times New Roman"/>
          <w:bCs/>
          <w:szCs w:val="24"/>
        </w:rPr>
        <w:t>15</w:t>
      </w:r>
      <w:r w:rsidR="00EF344F">
        <w:rPr>
          <w:rFonts w:ascii="Times New Roman" w:hAnsi="Times New Roman"/>
          <w:bCs/>
          <w:szCs w:val="24"/>
        </w:rPr>
        <w:t xml:space="preserve">. </w:t>
      </w:r>
      <w:r w:rsidR="008A6A68">
        <w:rPr>
          <w:rFonts w:ascii="Times New Roman" w:hAnsi="Times New Roman"/>
          <w:bCs/>
          <w:szCs w:val="24"/>
        </w:rPr>
        <w:t xml:space="preserve"> </w:t>
      </w:r>
      <w:r w:rsidR="00EF344F">
        <w:rPr>
          <w:rFonts w:ascii="Times New Roman" w:hAnsi="Times New Roman"/>
          <w:bCs/>
          <w:szCs w:val="24"/>
        </w:rPr>
        <w:t xml:space="preserve">Likewise </w:t>
      </w:r>
      <w:r w:rsidR="0058336C">
        <w:rPr>
          <w:rFonts w:ascii="Times New Roman" w:hAnsi="Times New Roman"/>
          <w:bCs/>
          <w:szCs w:val="24"/>
        </w:rPr>
        <w:t xml:space="preserve">a proposed </w:t>
      </w:r>
      <w:r w:rsidR="00EF344F">
        <w:rPr>
          <w:rFonts w:ascii="Times New Roman" w:hAnsi="Times New Roman"/>
          <w:bCs/>
          <w:szCs w:val="24"/>
        </w:rPr>
        <w:t>unbundled transmission demand rate</w:t>
      </w:r>
      <w:r w:rsidR="0058336C">
        <w:rPr>
          <w:rFonts w:ascii="Times New Roman" w:hAnsi="Times New Roman"/>
          <w:bCs/>
          <w:szCs w:val="24"/>
        </w:rPr>
        <w:t xml:space="preserve"> </w:t>
      </w:r>
      <w:r w:rsidR="00030286">
        <w:rPr>
          <w:rFonts w:ascii="Times New Roman" w:hAnsi="Times New Roman"/>
          <w:bCs/>
          <w:szCs w:val="24"/>
        </w:rPr>
        <w:t xml:space="preserve">equal to </w:t>
      </w:r>
      <w:r w:rsidR="0058336C">
        <w:rPr>
          <w:rFonts w:ascii="Times New Roman" w:hAnsi="Times New Roman"/>
          <w:bCs/>
          <w:szCs w:val="24"/>
        </w:rPr>
        <w:t>50 percent of a transmission demand rate calculated by dividing transmission demand costs by the Schedule 36 NCP kW.</w:t>
      </w:r>
      <w:r w:rsidR="00EF344F">
        <w:rPr>
          <w:rFonts w:ascii="Times New Roman" w:hAnsi="Times New Roman"/>
          <w:bCs/>
          <w:szCs w:val="24"/>
        </w:rPr>
        <w:t xml:space="preserve">  </w:t>
      </w:r>
    </w:p>
    <w:p w:rsidR="00781994" w:rsidRPr="00FC7D77" w:rsidRDefault="00781994" w:rsidP="00781994">
      <w:pPr>
        <w:rPr>
          <w:rFonts w:ascii="Times New Roman" w:hAnsi="Times New Roman"/>
          <w:b/>
          <w:szCs w:val="24"/>
        </w:rPr>
      </w:pPr>
      <w:r w:rsidRPr="00FC7D77">
        <w:rPr>
          <w:rFonts w:ascii="Times New Roman" w:hAnsi="Times New Roman"/>
          <w:b/>
          <w:szCs w:val="24"/>
        </w:rPr>
        <w:t>Q.</w:t>
      </w:r>
      <w:r w:rsidRPr="00FC7D77">
        <w:rPr>
          <w:rFonts w:ascii="Times New Roman" w:hAnsi="Times New Roman"/>
          <w:b/>
          <w:szCs w:val="24"/>
        </w:rPr>
        <w:tab/>
      </w:r>
      <w:r>
        <w:rPr>
          <w:rFonts w:ascii="Times New Roman" w:hAnsi="Times New Roman"/>
          <w:b/>
          <w:szCs w:val="24"/>
        </w:rPr>
        <w:t xml:space="preserve">What is the Company’s response to Wal-Mart’s proposal? </w:t>
      </w:r>
    </w:p>
    <w:p w:rsidR="00781994" w:rsidRDefault="00781994" w:rsidP="00781994">
      <w:pPr>
        <w:rPr>
          <w:rFonts w:ascii="Times New Roman" w:hAnsi="Times New Roman"/>
          <w:bCs/>
          <w:szCs w:val="24"/>
        </w:rPr>
      </w:pPr>
      <w:r w:rsidRPr="00FC7D77">
        <w:rPr>
          <w:rFonts w:ascii="Times New Roman" w:hAnsi="Times New Roman"/>
          <w:bCs/>
          <w:szCs w:val="24"/>
        </w:rPr>
        <w:t>A.</w:t>
      </w:r>
      <w:r w:rsidRPr="00FC7D77">
        <w:rPr>
          <w:rFonts w:ascii="Times New Roman" w:hAnsi="Times New Roman"/>
          <w:bCs/>
          <w:szCs w:val="24"/>
        </w:rPr>
        <w:tab/>
      </w:r>
      <w:r>
        <w:rPr>
          <w:rFonts w:ascii="Times New Roman" w:hAnsi="Times New Roman"/>
          <w:bCs/>
          <w:szCs w:val="24"/>
        </w:rPr>
        <w:t>The Company agrees in part with Wal-Mart’s proposed rate design, however, the Company is proposing a more gradual movement in increasing the demand charge for Schedule 36 in light of bill impacts.  Specifically, the Company proposes</w:t>
      </w:r>
      <w:r w:rsidR="0058336C">
        <w:rPr>
          <w:rFonts w:ascii="Times New Roman" w:hAnsi="Times New Roman"/>
          <w:bCs/>
          <w:szCs w:val="24"/>
        </w:rPr>
        <w:t xml:space="preserve"> a movement that is half way between a </w:t>
      </w:r>
      <w:r w:rsidR="002E2894">
        <w:rPr>
          <w:rFonts w:ascii="Times New Roman" w:hAnsi="Times New Roman"/>
          <w:bCs/>
          <w:szCs w:val="24"/>
        </w:rPr>
        <w:t xml:space="preserve">rebuttal </w:t>
      </w:r>
      <w:r w:rsidR="0058336C">
        <w:rPr>
          <w:rFonts w:ascii="Times New Roman" w:hAnsi="Times New Roman"/>
          <w:bCs/>
          <w:szCs w:val="24"/>
        </w:rPr>
        <w:t xml:space="preserve">rate </w:t>
      </w:r>
      <w:r w:rsidR="00244054">
        <w:rPr>
          <w:rFonts w:ascii="Times New Roman" w:hAnsi="Times New Roman"/>
          <w:bCs/>
          <w:szCs w:val="24"/>
        </w:rPr>
        <w:t>calculated the same as the original filing of $3.4</w:t>
      </w:r>
      <w:r w:rsidR="006B263A">
        <w:rPr>
          <w:rFonts w:ascii="Times New Roman" w:hAnsi="Times New Roman"/>
          <w:bCs/>
          <w:szCs w:val="24"/>
        </w:rPr>
        <w:t>9</w:t>
      </w:r>
      <w:r w:rsidR="00F90E2B">
        <w:rPr>
          <w:rFonts w:ascii="Times New Roman" w:hAnsi="Times New Roman"/>
          <w:bCs/>
          <w:szCs w:val="24"/>
        </w:rPr>
        <w:t xml:space="preserve"> </w:t>
      </w:r>
      <w:r w:rsidR="00244054">
        <w:rPr>
          <w:rFonts w:ascii="Times New Roman" w:hAnsi="Times New Roman"/>
          <w:bCs/>
          <w:szCs w:val="24"/>
        </w:rPr>
        <w:t xml:space="preserve">or approximately 40 percent of total generation demand </w:t>
      </w:r>
      <w:r w:rsidR="0058336C">
        <w:rPr>
          <w:rFonts w:ascii="Times New Roman" w:hAnsi="Times New Roman"/>
          <w:bCs/>
          <w:szCs w:val="24"/>
        </w:rPr>
        <w:t>and Wal-Mart</w:t>
      </w:r>
      <w:r w:rsidR="00180DB2">
        <w:rPr>
          <w:rFonts w:ascii="Times New Roman" w:hAnsi="Times New Roman"/>
          <w:bCs/>
          <w:szCs w:val="24"/>
        </w:rPr>
        <w:t>’s 50 percent</w:t>
      </w:r>
      <w:r w:rsidR="0058336C">
        <w:rPr>
          <w:rFonts w:ascii="Times New Roman" w:hAnsi="Times New Roman"/>
          <w:bCs/>
          <w:szCs w:val="24"/>
        </w:rPr>
        <w:t xml:space="preserve"> </w:t>
      </w:r>
      <w:r w:rsidR="007A65AA">
        <w:rPr>
          <w:rFonts w:ascii="Times New Roman" w:hAnsi="Times New Roman"/>
          <w:bCs/>
          <w:szCs w:val="24"/>
        </w:rPr>
        <w:t xml:space="preserve">generation demand </w:t>
      </w:r>
      <w:r w:rsidR="0058336C">
        <w:rPr>
          <w:rFonts w:ascii="Times New Roman" w:hAnsi="Times New Roman"/>
          <w:bCs/>
          <w:szCs w:val="24"/>
        </w:rPr>
        <w:t>proposal</w:t>
      </w:r>
      <w:r w:rsidR="00244054">
        <w:rPr>
          <w:rFonts w:ascii="Times New Roman" w:hAnsi="Times New Roman"/>
          <w:bCs/>
          <w:szCs w:val="24"/>
        </w:rPr>
        <w:t xml:space="preserve"> or $4.</w:t>
      </w:r>
      <w:r w:rsidR="006B263A">
        <w:rPr>
          <w:rFonts w:ascii="Times New Roman" w:hAnsi="Times New Roman"/>
          <w:bCs/>
          <w:szCs w:val="24"/>
        </w:rPr>
        <w:t>38</w:t>
      </w:r>
      <w:r w:rsidR="0078178A">
        <w:rPr>
          <w:rFonts w:ascii="Times New Roman" w:hAnsi="Times New Roman"/>
          <w:bCs/>
          <w:szCs w:val="24"/>
        </w:rPr>
        <w:t xml:space="preserve">.  </w:t>
      </w:r>
      <w:r w:rsidR="00244054">
        <w:rPr>
          <w:rFonts w:ascii="Times New Roman" w:hAnsi="Times New Roman"/>
          <w:bCs/>
          <w:szCs w:val="24"/>
        </w:rPr>
        <w:t xml:space="preserve">The proposed rate </w:t>
      </w:r>
      <w:r w:rsidR="007A65AA">
        <w:rPr>
          <w:rFonts w:ascii="Times New Roman" w:hAnsi="Times New Roman"/>
          <w:bCs/>
          <w:szCs w:val="24"/>
        </w:rPr>
        <w:t xml:space="preserve">of </w:t>
      </w:r>
      <w:r w:rsidR="00244054">
        <w:rPr>
          <w:rFonts w:ascii="Times New Roman" w:hAnsi="Times New Roman"/>
          <w:bCs/>
          <w:szCs w:val="24"/>
        </w:rPr>
        <w:t>$3.9</w:t>
      </w:r>
      <w:r w:rsidR="006B263A">
        <w:rPr>
          <w:rFonts w:ascii="Times New Roman" w:hAnsi="Times New Roman"/>
          <w:bCs/>
          <w:szCs w:val="24"/>
        </w:rPr>
        <w:t>4</w:t>
      </w:r>
      <w:r w:rsidR="00244054">
        <w:rPr>
          <w:rFonts w:ascii="Times New Roman" w:hAnsi="Times New Roman"/>
          <w:bCs/>
          <w:szCs w:val="24"/>
        </w:rPr>
        <w:t xml:space="preserve"> </w:t>
      </w:r>
      <w:r w:rsidR="007A65AA">
        <w:rPr>
          <w:rFonts w:ascii="Times New Roman" w:hAnsi="Times New Roman"/>
          <w:bCs/>
          <w:szCs w:val="24"/>
        </w:rPr>
        <w:t xml:space="preserve">is </w:t>
      </w:r>
      <w:r w:rsidR="00244054">
        <w:rPr>
          <w:rFonts w:ascii="Times New Roman" w:hAnsi="Times New Roman"/>
          <w:bCs/>
          <w:szCs w:val="24"/>
        </w:rPr>
        <w:t>approximately 45 percent of total generation</w:t>
      </w:r>
      <w:r w:rsidR="007A65AA">
        <w:rPr>
          <w:rFonts w:ascii="Times New Roman" w:hAnsi="Times New Roman"/>
          <w:bCs/>
          <w:szCs w:val="24"/>
        </w:rPr>
        <w:t xml:space="preserve"> demand costs</w:t>
      </w:r>
      <w:r w:rsidR="00244054">
        <w:rPr>
          <w:rFonts w:ascii="Times New Roman" w:hAnsi="Times New Roman"/>
          <w:bCs/>
          <w:szCs w:val="24"/>
        </w:rPr>
        <w:t xml:space="preserve">. The transmission demand rate </w:t>
      </w:r>
      <w:r w:rsidR="007A65AA">
        <w:rPr>
          <w:rFonts w:ascii="Times New Roman" w:hAnsi="Times New Roman"/>
          <w:bCs/>
          <w:szCs w:val="24"/>
        </w:rPr>
        <w:t xml:space="preserve">is </w:t>
      </w:r>
      <w:r w:rsidR="00244054">
        <w:rPr>
          <w:rFonts w:ascii="Times New Roman" w:hAnsi="Times New Roman"/>
          <w:bCs/>
          <w:szCs w:val="24"/>
        </w:rPr>
        <w:t xml:space="preserve">calculated </w:t>
      </w:r>
      <w:r w:rsidR="007A65AA">
        <w:rPr>
          <w:rFonts w:ascii="Times New Roman" w:hAnsi="Times New Roman"/>
          <w:bCs/>
          <w:szCs w:val="24"/>
        </w:rPr>
        <w:t xml:space="preserve">using </w:t>
      </w:r>
      <w:r w:rsidR="00244054">
        <w:rPr>
          <w:rFonts w:ascii="Times New Roman" w:hAnsi="Times New Roman"/>
          <w:bCs/>
          <w:szCs w:val="24"/>
        </w:rPr>
        <w:t xml:space="preserve">the same approach </w:t>
      </w:r>
      <w:r w:rsidR="007A65AA">
        <w:rPr>
          <w:rFonts w:ascii="Times New Roman" w:hAnsi="Times New Roman"/>
          <w:bCs/>
          <w:szCs w:val="24"/>
        </w:rPr>
        <w:t xml:space="preserve">as </w:t>
      </w:r>
      <w:r w:rsidR="00244054">
        <w:rPr>
          <w:rFonts w:ascii="Times New Roman" w:hAnsi="Times New Roman"/>
          <w:bCs/>
          <w:szCs w:val="24"/>
        </w:rPr>
        <w:t xml:space="preserve">applied above </w:t>
      </w:r>
      <w:r w:rsidR="007A65AA">
        <w:rPr>
          <w:rFonts w:ascii="Times New Roman" w:hAnsi="Times New Roman"/>
          <w:bCs/>
          <w:szCs w:val="24"/>
        </w:rPr>
        <w:t>but for transmission de</w:t>
      </w:r>
      <w:r w:rsidR="00244054">
        <w:rPr>
          <w:rFonts w:ascii="Times New Roman" w:hAnsi="Times New Roman"/>
          <w:bCs/>
          <w:szCs w:val="24"/>
        </w:rPr>
        <w:t>mand</w:t>
      </w:r>
      <w:r w:rsidR="007A65AA">
        <w:rPr>
          <w:rFonts w:ascii="Times New Roman" w:hAnsi="Times New Roman"/>
          <w:bCs/>
          <w:szCs w:val="24"/>
        </w:rPr>
        <w:t>.</w:t>
      </w:r>
      <w:r w:rsidR="00FB5547">
        <w:rPr>
          <w:rFonts w:ascii="Times New Roman" w:hAnsi="Times New Roman"/>
          <w:bCs/>
          <w:szCs w:val="24"/>
        </w:rPr>
        <w:t xml:space="preserve">  </w:t>
      </w:r>
    </w:p>
    <w:p w:rsidR="00102A64" w:rsidRPr="00815C1B" w:rsidRDefault="00102A64" w:rsidP="00815C1B">
      <w:pPr>
        <w:pStyle w:val="Heading1"/>
      </w:pPr>
      <w:bookmarkStart w:id="13" w:name="_Toc403654578"/>
      <w:r w:rsidRPr="00815C1B">
        <w:t>RULE D AND SCHEDULE 300</w:t>
      </w:r>
      <w:bookmarkEnd w:id="13"/>
    </w:p>
    <w:p w:rsidR="00102A64" w:rsidRDefault="00102A64" w:rsidP="00102A64">
      <w:pPr>
        <w:rPr>
          <w:rFonts w:ascii="Times New Roman" w:hAnsi="Times New Roman"/>
          <w:b/>
          <w:bCs/>
          <w:szCs w:val="24"/>
        </w:rPr>
      </w:pPr>
      <w:r>
        <w:rPr>
          <w:rFonts w:ascii="Times New Roman" w:hAnsi="Times New Roman"/>
          <w:b/>
          <w:bCs/>
          <w:szCs w:val="24"/>
        </w:rPr>
        <w:t>Q.</w:t>
      </w:r>
      <w:r>
        <w:rPr>
          <w:rFonts w:ascii="Times New Roman" w:hAnsi="Times New Roman"/>
          <w:b/>
          <w:bCs/>
          <w:szCs w:val="24"/>
        </w:rPr>
        <w:tab/>
        <w:t>The Company proposed changes to Rule D and Schedule 300 in the direct testimony of Company witness Ms. Barbara A. Coughlin.  Does the Company continue to support the tariff revisions proposed in Ms. Coughlin’s testimony?</w:t>
      </w:r>
    </w:p>
    <w:p w:rsidR="00102A64" w:rsidRDefault="00102A64" w:rsidP="00102A64">
      <w:pPr>
        <w:rPr>
          <w:rFonts w:ascii="Times New Roman" w:hAnsi="Times New Roman"/>
          <w:bCs/>
          <w:szCs w:val="24"/>
        </w:rPr>
      </w:pPr>
      <w:r>
        <w:rPr>
          <w:rFonts w:ascii="Times New Roman" w:hAnsi="Times New Roman"/>
          <w:bCs/>
          <w:szCs w:val="24"/>
        </w:rPr>
        <w:t>A.</w:t>
      </w:r>
      <w:r>
        <w:rPr>
          <w:rFonts w:ascii="Times New Roman" w:hAnsi="Times New Roman"/>
          <w:bCs/>
          <w:szCs w:val="24"/>
        </w:rPr>
        <w:tab/>
        <w:t xml:space="preserve">Not entirely.  In response to concerns raised by the parties, the Company is willing to withdraw its proposal for the Collection Agency to charge the customer as reflected in the changes proposed for Rule 11D, </w:t>
      </w:r>
      <w:r w:rsidR="00DA5FC3">
        <w:rPr>
          <w:rFonts w:ascii="Times New Roman" w:hAnsi="Times New Roman"/>
          <w:bCs/>
          <w:szCs w:val="24"/>
        </w:rPr>
        <w:t>its</w:t>
      </w:r>
      <w:r w:rsidR="00502A77">
        <w:rPr>
          <w:rFonts w:ascii="Times New Roman" w:hAnsi="Times New Roman"/>
          <w:bCs/>
          <w:szCs w:val="24"/>
        </w:rPr>
        <w:t xml:space="preserve"> proposal for </w:t>
      </w:r>
      <w:r w:rsidR="00BC10A4">
        <w:rPr>
          <w:rFonts w:ascii="Times New Roman" w:hAnsi="Times New Roman"/>
          <w:bCs/>
          <w:szCs w:val="24"/>
        </w:rPr>
        <w:t xml:space="preserve">changes to the </w:t>
      </w:r>
      <w:r w:rsidR="00502A77">
        <w:rPr>
          <w:rFonts w:ascii="Times New Roman" w:hAnsi="Times New Roman"/>
          <w:bCs/>
          <w:szCs w:val="24"/>
        </w:rPr>
        <w:t xml:space="preserve">Field Visit Charge </w:t>
      </w:r>
      <w:r w:rsidR="00BC10A4">
        <w:rPr>
          <w:rFonts w:ascii="Times New Roman" w:hAnsi="Times New Roman"/>
          <w:bCs/>
          <w:szCs w:val="24"/>
        </w:rPr>
        <w:t xml:space="preserve">language </w:t>
      </w:r>
      <w:r w:rsidR="00502A77">
        <w:rPr>
          <w:rFonts w:ascii="Times New Roman" w:hAnsi="Times New Roman"/>
          <w:bCs/>
          <w:szCs w:val="24"/>
        </w:rPr>
        <w:t xml:space="preserve">in Rule 11D, </w:t>
      </w:r>
      <w:r>
        <w:rPr>
          <w:rFonts w:ascii="Times New Roman" w:hAnsi="Times New Roman"/>
          <w:bCs/>
          <w:szCs w:val="24"/>
        </w:rPr>
        <w:t xml:space="preserve">and its proposal to increase the Connection Charge and Reconnection Charge.  In doing so, an adjustment of $83,324 to increase revenue requirement is being made. </w:t>
      </w:r>
    </w:p>
    <w:p w:rsidR="00102A64" w:rsidRDefault="00102A64" w:rsidP="00102A64">
      <w:pPr>
        <w:rPr>
          <w:rFonts w:ascii="Times New Roman" w:hAnsi="Times New Roman"/>
          <w:bCs/>
          <w:szCs w:val="24"/>
        </w:rPr>
      </w:pPr>
      <w:r>
        <w:rPr>
          <w:rFonts w:ascii="Times New Roman" w:hAnsi="Times New Roman"/>
          <w:b/>
          <w:bCs/>
          <w:szCs w:val="24"/>
        </w:rPr>
        <w:t>Q.</w:t>
      </w:r>
      <w:r>
        <w:rPr>
          <w:rFonts w:ascii="Times New Roman" w:hAnsi="Times New Roman"/>
          <w:b/>
          <w:bCs/>
          <w:szCs w:val="24"/>
        </w:rPr>
        <w:tab/>
        <w:t>Why is the Company withdrawing these proposed tariff revisions?</w:t>
      </w:r>
    </w:p>
    <w:p w:rsidR="00102A64" w:rsidRDefault="00102A64" w:rsidP="00102A64">
      <w:pPr>
        <w:rPr>
          <w:rFonts w:ascii="Times New Roman" w:hAnsi="Times New Roman"/>
          <w:bCs/>
          <w:szCs w:val="24"/>
        </w:rPr>
      </w:pPr>
      <w:r>
        <w:rPr>
          <w:rFonts w:ascii="Times New Roman" w:hAnsi="Times New Roman"/>
          <w:bCs/>
          <w:szCs w:val="24"/>
        </w:rPr>
        <w:t>A.</w:t>
      </w:r>
      <w:r>
        <w:rPr>
          <w:rFonts w:ascii="Times New Roman" w:hAnsi="Times New Roman"/>
          <w:bCs/>
          <w:szCs w:val="24"/>
        </w:rPr>
        <w:tab/>
        <w:t>In the Company’s last rate case it presented</w:t>
      </w:r>
      <w:r w:rsidR="007E7DBE">
        <w:rPr>
          <w:rFonts w:ascii="Times New Roman" w:hAnsi="Times New Roman"/>
          <w:bCs/>
          <w:szCs w:val="24"/>
        </w:rPr>
        <w:t xml:space="preserve"> a</w:t>
      </w:r>
      <w:r>
        <w:rPr>
          <w:rFonts w:ascii="Times New Roman" w:hAnsi="Times New Roman"/>
          <w:bCs/>
          <w:szCs w:val="24"/>
        </w:rPr>
        <w:t xml:space="preserve"> similar proposal to increase the Connection and Reconnection Charges.  Parties in that case were concerned that the Company’s proposal to increase the Connection and Reconnection Charges was based </w:t>
      </w:r>
      <w:r w:rsidR="00C00687">
        <w:rPr>
          <w:rFonts w:ascii="Times New Roman" w:hAnsi="Times New Roman"/>
          <w:bCs/>
          <w:szCs w:val="24"/>
        </w:rPr>
        <w:t>o</w:t>
      </w:r>
      <w:r>
        <w:rPr>
          <w:rFonts w:ascii="Times New Roman" w:hAnsi="Times New Roman"/>
          <w:bCs/>
          <w:szCs w:val="24"/>
        </w:rPr>
        <w:t xml:space="preserve">n estimates from a study rather than the actual cost of the work performed.  The Company voluntarily withdrew its tariff filing to gather actual data and undertake additional analysis to demonstrate the validity of actual costs.  At that time the Company committed to bring forward Connection and Reconnection Charges based on actual data and analysis, which has been done in this case.  However, parties again expressed concern over the magnitude of the proposed increase based on the Company’s actual data.  Therefore, the Company is willing to withdraw the proposal.  </w:t>
      </w:r>
    </w:p>
    <w:p w:rsidR="00102A64" w:rsidRDefault="00102A64" w:rsidP="00102A64">
      <w:pPr>
        <w:rPr>
          <w:rFonts w:ascii="Times New Roman" w:hAnsi="Times New Roman"/>
          <w:b/>
          <w:bCs/>
          <w:szCs w:val="24"/>
        </w:rPr>
      </w:pPr>
      <w:r>
        <w:rPr>
          <w:rFonts w:ascii="Times New Roman" w:hAnsi="Times New Roman"/>
          <w:b/>
          <w:bCs/>
          <w:szCs w:val="24"/>
        </w:rPr>
        <w:t>Q.</w:t>
      </w:r>
      <w:r>
        <w:rPr>
          <w:rFonts w:ascii="Times New Roman" w:hAnsi="Times New Roman"/>
          <w:b/>
          <w:bCs/>
          <w:szCs w:val="24"/>
        </w:rPr>
        <w:tab/>
        <w:t>There are other tariff changes proposed in Ms. Coughlin’s direct testimony that have not been discussed in this rebuttal testimony.  Did parties raise concerns in testimony for (1) implementation of a non-radio frequency meter charge (Rule 8 and Schedule 300); (2) increasing the Unauthorized Reconnection/Tampering Charge (Schedule 300); (3) modification of the Facilities Charge (Schedule 300); or (4) modification of the title of Returned Check Charge (Schedule 300)?</w:t>
      </w:r>
    </w:p>
    <w:p w:rsidR="00102A64" w:rsidRDefault="00102A64" w:rsidP="00102A64">
      <w:pPr>
        <w:rPr>
          <w:rFonts w:ascii="Times New Roman" w:hAnsi="Times New Roman"/>
          <w:bCs/>
          <w:szCs w:val="24"/>
        </w:rPr>
      </w:pPr>
      <w:r>
        <w:rPr>
          <w:rFonts w:ascii="Times New Roman" w:hAnsi="Times New Roman"/>
          <w:bCs/>
          <w:szCs w:val="24"/>
        </w:rPr>
        <w:t>A.</w:t>
      </w:r>
      <w:r>
        <w:rPr>
          <w:rFonts w:ascii="Times New Roman" w:hAnsi="Times New Roman"/>
          <w:bCs/>
          <w:szCs w:val="24"/>
        </w:rPr>
        <w:tab/>
        <w:t>No.  The Parties did not object to any of the Company’s other proposed changes and the Company continues to support these proposed changes.</w:t>
      </w:r>
    </w:p>
    <w:p w:rsidR="005D093B" w:rsidRPr="00FC7D77" w:rsidRDefault="005D093B" w:rsidP="0034595D">
      <w:pPr>
        <w:rPr>
          <w:rFonts w:ascii="Times New Roman" w:hAnsi="Times New Roman"/>
          <w:b/>
        </w:rPr>
      </w:pPr>
      <w:r w:rsidRPr="00FC7D77">
        <w:rPr>
          <w:rFonts w:ascii="Times New Roman" w:hAnsi="Times New Roman"/>
          <w:b/>
        </w:rPr>
        <w:t>Q.</w:t>
      </w:r>
      <w:r w:rsidRPr="00FC7D77">
        <w:rPr>
          <w:rFonts w:ascii="Times New Roman" w:hAnsi="Times New Roman"/>
          <w:b/>
        </w:rPr>
        <w:tab/>
        <w:t xml:space="preserve">Does this conclude your </w:t>
      </w:r>
      <w:r w:rsidR="0063015C">
        <w:rPr>
          <w:rFonts w:ascii="Times New Roman" w:hAnsi="Times New Roman"/>
          <w:b/>
        </w:rPr>
        <w:t xml:space="preserve">rebuttal </w:t>
      </w:r>
      <w:r w:rsidRPr="00FC7D77">
        <w:rPr>
          <w:rFonts w:ascii="Times New Roman" w:hAnsi="Times New Roman"/>
          <w:b/>
        </w:rPr>
        <w:t>testimony?</w:t>
      </w:r>
      <w:r w:rsidR="00A517D7" w:rsidRPr="00FC7D77">
        <w:rPr>
          <w:rFonts w:ascii="Times New Roman" w:hAnsi="Times New Roman"/>
          <w:b/>
        </w:rPr>
        <w:tab/>
      </w:r>
    </w:p>
    <w:p w:rsidR="00EC6496" w:rsidRPr="00FC7D77" w:rsidRDefault="005D093B" w:rsidP="0034595D">
      <w:pPr>
        <w:pStyle w:val="BodyTextIndent2"/>
        <w:ind w:hanging="720"/>
        <w:rPr>
          <w:rFonts w:ascii="Times New Roman" w:hAnsi="Times New Roman"/>
        </w:rPr>
      </w:pPr>
      <w:r w:rsidRPr="00FC7D77">
        <w:rPr>
          <w:rFonts w:ascii="Times New Roman" w:hAnsi="Times New Roman"/>
          <w:szCs w:val="24"/>
        </w:rPr>
        <w:t>A.</w:t>
      </w:r>
      <w:r w:rsidRPr="00FC7D77">
        <w:rPr>
          <w:rFonts w:ascii="Times New Roman" w:hAnsi="Times New Roman"/>
          <w:szCs w:val="24"/>
        </w:rPr>
        <w:tab/>
        <w:t>Yes</w:t>
      </w:r>
      <w:r w:rsidR="009139E9" w:rsidRPr="00FC7D77">
        <w:rPr>
          <w:rFonts w:ascii="Times New Roman" w:hAnsi="Times New Roman"/>
          <w:szCs w:val="24"/>
        </w:rPr>
        <w:t>.</w:t>
      </w:r>
      <w:r w:rsidRPr="00FC7D77">
        <w:rPr>
          <w:rFonts w:ascii="Times New Roman" w:hAnsi="Times New Roman"/>
          <w:szCs w:val="24"/>
        </w:rPr>
        <w:t xml:space="preserve"> </w:t>
      </w:r>
    </w:p>
    <w:sectPr w:rsidR="00EC6496" w:rsidRPr="00FC7D77" w:rsidSect="00FD480C">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800" w:header="720" w:footer="720" w:gutter="0"/>
      <w:lnNumType w:countBy="1"/>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68" w:rsidRDefault="00A71F68">
      <w:r>
        <w:separator/>
      </w:r>
    </w:p>
  </w:endnote>
  <w:endnote w:type="continuationSeparator" w:id="0">
    <w:p w:rsidR="00A71F68" w:rsidRDefault="00A7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7B" w:rsidRDefault="00584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C6" w:rsidRDefault="00695CC6" w:rsidP="00086B5B">
    <w:pPr>
      <w:pStyle w:val="Footer"/>
      <w:tabs>
        <w:tab w:val="clear" w:pos="8640"/>
        <w:tab w:val="right" w:pos="9000"/>
      </w:tabs>
      <w:spacing w:line="240" w:lineRule="auto"/>
      <w:rPr>
        <w:rStyle w:val="PageNumber"/>
        <w:rFonts w:ascii="Times New Roman" w:hAnsi="Times New Roman"/>
      </w:rPr>
    </w:pPr>
    <w:r>
      <w:rPr>
        <w:rStyle w:val="PageNumber"/>
        <w:rFonts w:ascii="Times New Roman" w:hAnsi="Times New Roman"/>
      </w:rPr>
      <w:t>Rebuttal Testimony of Joelle R. Steward</w:t>
    </w:r>
    <w:r>
      <w:rPr>
        <w:rStyle w:val="PageNumber"/>
        <w:rFonts w:ascii="Times New Roman" w:hAnsi="Times New Roman"/>
      </w:rPr>
      <w:tab/>
    </w:r>
    <w:r>
      <w:rPr>
        <w:rStyle w:val="PageNumber"/>
        <w:rFonts w:ascii="Times New Roman" w:hAnsi="Times New Roman"/>
      </w:rPr>
      <w:tab/>
      <w:t>Exhibit No. JRS</w:t>
    </w:r>
    <w:r w:rsidRPr="004026C4">
      <w:rPr>
        <w:rStyle w:val="PageNumber"/>
        <w:rFonts w:ascii="Times New Roman" w:hAnsi="Times New Roman"/>
      </w:rPr>
      <w:t>-</w:t>
    </w:r>
    <w:r>
      <w:rPr>
        <w:rStyle w:val="PageNumber"/>
        <w:rFonts w:ascii="Times New Roman" w:hAnsi="Times New Roman"/>
      </w:rPr>
      <w:t>13</w:t>
    </w:r>
    <w:r w:rsidRPr="004026C4">
      <w:rPr>
        <w:rStyle w:val="PageNumber"/>
        <w:rFonts w:ascii="Times New Roman" w:hAnsi="Times New Roman"/>
      </w:rPr>
      <w:t>T</w:t>
    </w:r>
  </w:p>
  <w:p w:rsidR="00695CC6" w:rsidRDefault="00695CC6">
    <w:pPr>
      <w:pStyle w:val="Footer"/>
      <w:spacing w:line="240" w:lineRule="auto"/>
      <w:jc w:val="right"/>
      <w:rPr>
        <w:rFonts w:ascii="Times New Roman" w:hAnsi="Times New Roman"/>
      </w:rPr>
    </w:pPr>
    <w:r>
      <w:rPr>
        <w:rFonts w:ascii="Times New Roman" w:hAnsi="Times New Roman"/>
      </w:rPr>
      <w:t xml:space="preserve">Page </w:t>
    </w:r>
    <w:r w:rsidRPr="00C639F7">
      <w:rPr>
        <w:rFonts w:ascii="Times New Roman" w:hAnsi="Times New Roman"/>
      </w:rPr>
      <w:fldChar w:fldCharType="begin"/>
    </w:r>
    <w:r w:rsidRPr="00C639F7">
      <w:rPr>
        <w:rFonts w:ascii="Times New Roman" w:hAnsi="Times New Roman"/>
      </w:rPr>
      <w:instrText xml:space="preserve"> PAGE   \* MERGEFORMAT </w:instrText>
    </w:r>
    <w:r w:rsidRPr="00C639F7">
      <w:rPr>
        <w:rFonts w:ascii="Times New Roman" w:hAnsi="Times New Roman"/>
      </w:rPr>
      <w:fldChar w:fldCharType="separate"/>
    </w:r>
    <w:r w:rsidR="0058497B">
      <w:rPr>
        <w:rFonts w:ascii="Times New Roman" w:hAnsi="Times New Roman"/>
        <w:noProof/>
      </w:rPr>
      <w:t>1</w:t>
    </w:r>
    <w:r w:rsidRPr="00C639F7">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0C" w:rsidRDefault="00FD480C" w:rsidP="00FD480C">
    <w:pPr>
      <w:pStyle w:val="Footer"/>
      <w:tabs>
        <w:tab w:val="clear" w:pos="8640"/>
        <w:tab w:val="right" w:pos="9000"/>
      </w:tabs>
      <w:spacing w:line="240" w:lineRule="auto"/>
      <w:rPr>
        <w:rStyle w:val="PageNumber"/>
        <w:rFonts w:ascii="Times New Roman" w:hAnsi="Times New Roman"/>
      </w:rPr>
    </w:pPr>
    <w:r>
      <w:rPr>
        <w:rStyle w:val="PageNumber"/>
        <w:rFonts w:ascii="Times New Roman" w:hAnsi="Times New Roman"/>
      </w:rPr>
      <w:t>Rebuttal Testimony of Joelle R. Steward</w:t>
    </w:r>
    <w:r>
      <w:rPr>
        <w:rStyle w:val="PageNumber"/>
        <w:rFonts w:ascii="Times New Roman" w:hAnsi="Times New Roman"/>
      </w:rPr>
      <w:tab/>
    </w:r>
    <w:r>
      <w:rPr>
        <w:rStyle w:val="PageNumber"/>
        <w:rFonts w:ascii="Times New Roman" w:hAnsi="Times New Roman"/>
      </w:rPr>
      <w:tab/>
      <w:t>Exhibit No. JRS</w:t>
    </w:r>
    <w:r w:rsidRPr="004026C4">
      <w:rPr>
        <w:rStyle w:val="PageNumber"/>
        <w:rFonts w:ascii="Times New Roman" w:hAnsi="Times New Roman"/>
      </w:rPr>
      <w:t>-</w:t>
    </w:r>
    <w:r>
      <w:rPr>
        <w:rStyle w:val="PageNumber"/>
        <w:rFonts w:ascii="Times New Roman" w:hAnsi="Times New Roman"/>
      </w:rPr>
      <w:t>13</w:t>
    </w:r>
    <w:r w:rsidRPr="004026C4">
      <w:rPr>
        <w:rStyle w:val="PageNumber"/>
        <w:rFonts w:ascii="Times New Roman" w:hAnsi="Times New Roman"/>
      </w:rPr>
      <w:t>T</w:t>
    </w:r>
  </w:p>
  <w:p w:rsidR="00FD480C" w:rsidRPr="00FD480C" w:rsidRDefault="00FD480C" w:rsidP="00FD480C">
    <w:pPr>
      <w:pStyle w:val="Footer"/>
      <w:spacing w:line="240" w:lineRule="auto"/>
      <w:jc w:val="right"/>
      <w:rPr>
        <w:rFonts w:ascii="Times New Roman" w:hAnsi="Times New Roman"/>
      </w:rPr>
    </w:pPr>
    <w:r>
      <w:rPr>
        <w:rFonts w:ascii="Times New Roman" w:hAnsi="Times New Roman"/>
      </w:rPr>
      <w:t>Page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68" w:rsidRDefault="00A71F68">
      <w:pPr>
        <w:spacing w:line="240" w:lineRule="auto"/>
      </w:pPr>
      <w:r>
        <w:separator/>
      </w:r>
    </w:p>
  </w:footnote>
  <w:footnote w:type="continuationSeparator" w:id="0">
    <w:p w:rsidR="00A71F68" w:rsidRDefault="00A71F68">
      <w:r>
        <w:continuationSeparator/>
      </w:r>
    </w:p>
  </w:footnote>
  <w:footnote w:id="1">
    <w:p w:rsidR="00695CC6" w:rsidRPr="00210EE7" w:rsidRDefault="00695CC6">
      <w:pPr>
        <w:pStyle w:val="FootnoteText"/>
      </w:pPr>
      <w:r w:rsidRPr="00210EE7">
        <w:rPr>
          <w:rStyle w:val="FootnoteReference"/>
        </w:rPr>
        <w:footnoteRef/>
      </w:r>
      <w:r w:rsidRPr="00210EE7">
        <w:t xml:space="preserve"> Testimony of Glenn A. Watkins, Exhibit No. GAW-1T at 10:18-21.</w:t>
      </w:r>
    </w:p>
  </w:footnote>
  <w:footnote w:id="2">
    <w:p w:rsidR="00695CC6" w:rsidRPr="00A82AD1" w:rsidRDefault="00695CC6">
      <w:pPr>
        <w:pStyle w:val="FootnoteText"/>
      </w:pPr>
      <w:r w:rsidRPr="00A82AD1">
        <w:rPr>
          <w:rStyle w:val="FootnoteReference"/>
        </w:rPr>
        <w:footnoteRef/>
      </w:r>
      <w:r w:rsidRPr="00A82AD1">
        <w:t xml:space="preserve"> </w:t>
      </w:r>
      <w:r w:rsidRPr="00A82AD1">
        <w:rPr>
          <w:i/>
        </w:rPr>
        <w:t>Id</w:t>
      </w:r>
      <w:r w:rsidRPr="00A82AD1">
        <w:t>. at 12:1-11.</w:t>
      </w:r>
    </w:p>
  </w:footnote>
  <w:footnote w:id="3">
    <w:p w:rsidR="00695CC6" w:rsidRPr="00A82AD1" w:rsidRDefault="00695CC6">
      <w:pPr>
        <w:pStyle w:val="FootnoteText"/>
      </w:pPr>
      <w:r w:rsidRPr="00A82AD1">
        <w:rPr>
          <w:rStyle w:val="FootnoteReference"/>
        </w:rPr>
        <w:footnoteRef/>
      </w:r>
      <w:r w:rsidRPr="00A82AD1">
        <w:t xml:space="preserve"> Testimony of Jeremy B. Twitchell, Exhibit No. JBT-1T at 18.</w:t>
      </w:r>
    </w:p>
  </w:footnote>
  <w:footnote w:id="4">
    <w:p w:rsidR="00695CC6" w:rsidRPr="00A82AD1" w:rsidRDefault="00695CC6">
      <w:pPr>
        <w:pStyle w:val="FootnoteText"/>
      </w:pPr>
      <w:r w:rsidRPr="00A82AD1">
        <w:rPr>
          <w:rStyle w:val="FootnoteReference"/>
        </w:rPr>
        <w:footnoteRef/>
      </w:r>
      <w:r w:rsidRPr="00A82AD1">
        <w:t xml:space="preserve"> </w:t>
      </w:r>
      <w:r w:rsidRPr="00A82AD1">
        <w:rPr>
          <w:szCs w:val="24"/>
        </w:rPr>
        <w:t xml:space="preserve">In direct testimony Staff rejects the Company’s proposed Renewable Resource Tracking Mechanism (RRTM) because it is designed to address a single factor of the utility’s net power costs. </w:t>
      </w:r>
      <w:r w:rsidRPr="00A82AD1">
        <w:rPr>
          <w:i/>
          <w:szCs w:val="24"/>
        </w:rPr>
        <w:t>Id</w:t>
      </w:r>
      <w:r w:rsidRPr="00A82AD1">
        <w:rPr>
          <w:szCs w:val="24"/>
        </w:rPr>
        <w:t>. at 14:1-4.  Ironically, Staff’s proposed NDG allocation factor singles out for special treatment the same specific resource type in the Company’s COS study.</w:t>
      </w:r>
    </w:p>
  </w:footnote>
  <w:footnote w:id="5">
    <w:p w:rsidR="00695CC6" w:rsidRPr="00A82AD1" w:rsidRDefault="00695CC6" w:rsidP="00167516">
      <w:pPr>
        <w:pStyle w:val="FootnoteText"/>
      </w:pPr>
      <w:r w:rsidRPr="00A82AD1">
        <w:rPr>
          <w:rStyle w:val="FootnoteReference"/>
        </w:rPr>
        <w:footnoteRef/>
      </w:r>
      <w:r w:rsidRPr="00A82AD1">
        <w:t xml:space="preserve"> </w:t>
      </w:r>
      <w:r w:rsidRPr="00394CC3">
        <w:t xml:space="preserve">Testimony of Glenn A. Watkins, </w:t>
      </w:r>
      <w:r w:rsidRPr="00A82AD1">
        <w:t>Exhibit No. GAW-1T at 14:19 – 15:7.</w:t>
      </w:r>
    </w:p>
  </w:footnote>
  <w:footnote w:id="6">
    <w:p w:rsidR="00695CC6" w:rsidRPr="00A82AD1" w:rsidRDefault="00695CC6" w:rsidP="00257900">
      <w:pPr>
        <w:pStyle w:val="FootnoteText"/>
      </w:pPr>
      <w:r w:rsidRPr="00A82AD1">
        <w:rPr>
          <w:rStyle w:val="FootnoteReference"/>
        </w:rPr>
        <w:footnoteRef/>
      </w:r>
      <w:r w:rsidRPr="00A82AD1">
        <w:t xml:space="preserve"> PacifiCorp’s 2013 Integrated Resource Plan, Docket UE-120416, 2013 Integrated Resource Plan, Volume 1 at Table ES.3, at page 11 (April 30, 2013).</w:t>
      </w:r>
    </w:p>
  </w:footnote>
  <w:footnote w:id="7">
    <w:p w:rsidR="00695CC6" w:rsidRPr="00A82AD1" w:rsidRDefault="00695CC6" w:rsidP="00131B32">
      <w:pPr>
        <w:pStyle w:val="FootnoteText"/>
      </w:pPr>
      <w:r w:rsidRPr="00A82AD1">
        <w:rPr>
          <w:rStyle w:val="FootnoteReference"/>
        </w:rPr>
        <w:footnoteRef/>
      </w:r>
      <w:r w:rsidRPr="00A82AD1">
        <w:t xml:space="preserve"> It is worth noting that elsewhere Staff described an amount of $254,000 as almost infinitesimal.  </w:t>
      </w:r>
      <w:r w:rsidRPr="00A82AD1">
        <w:rPr>
          <w:i/>
        </w:rPr>
        <w:t>See</w:t>
      </w:r>
      <w:r w:rsidRPr="00A82AD1">
        <w:t xml:space="preserve"> Testimony of Roger Kouchi, Exhibit No. RK-1T at 7:18-20.</w:t>
      </w:r>
    </w:p>
  </w:footnote>
  <w:footnote w:id="8">
    <w:p w:rsidR="00695CC6" w:rsidRPr="00A82AD1" w:rsidRDefault="00695CC6" w:rsidP="00131B32">
      <w:pPr>
        <w:pStyle w:val="FootnoteText"/>
      </w:pPr>
      <w:r w:rsidRPr="00A82AD1">
        <w:rPr>
          <w:rStyle w:val="FootnoteReference"/>
        </w:rPr>
        <w:footnoteRef/>
      </w:r>
      <w:r w:rsidRPr="00A82AD1">
        <w:t xml:space="preserve"> The FERC accounts considered to be variable by Boise were 501, 501NPC, 503, 518, 547NPC, and 555 (in part).  Responsive Testimony of Robert R. Stephens, Exhibit No. RRS-1T at 20, footnote 14. </w:t>
      </w:r>
    </w:p>
  </w:footnote>
  <w:footnote w:id="9">
    <w:p w:rsidR="00695CC6" w:rsidRPr="00A82AD1" w:rsidRDefault="00695CC6" w:rsidP="001B0135">
      <w:pPr>
        <w:pStyle w:val="FootnoteText"/>
      </w:pPr>
      <w:r w:rsidRPr="00A82AD1">
        <w:rPr>
          <w:rStyle w:val="FootnoteReference"/>
        </w:rPr>
        <w:footnoteRef/>
      </w:r>
      <w:r w:rsidRPr="00A82AD1">
        <w:t xml:space="preserve"> National Association of Regulatory Utility Commissioners, </w:t>
      </w:r>
      <w:r w:rsidRPr="00A82AD1">
        <w:rPr>
          <w:i/>
        </w:rPr>
        <w:t>Electric Utility Cost Allocation Manual</w:t>
      </w:r>
      <w:r w:rsidRPr="00A82AD1">
        <w:t>, (January 1992), p. 75.</w:t>
      </w:r>
    </w:p>
  </w:footnote>
  <w:footnote w:id="10">
    <w:p w:rsidR="00695CC6" w:rsidRPr="00A82AD1" w:rsidRDefault="00695CC6" w:rsidP="00131B32">
      <w:pPr>
        <w:pStyle w:val="FootnoteText"/>
      </w:pPr>
      <w:r w:rsidRPr="00A82AD1">
        <w:rPr>
          <w:rStyle w:val="FootnoteReference"/>
        </w:rPr>
        <w:footnoteRef/>
      </w:r>
      <w:r w:rsidRPr="00A82AD1">
        <w:t xml:space="preserve"> </w:t>
      </w:r>
      <w:r>
        <w:rPr>
          <w:i/>
        </w:rPr>
        <w:t xml:space="preserve">Wash. Utils. </w:t>
      </w:r>
      <w:r w:rsidRPr="00D14DAF">
        <w:rPr>
          <w:i/>
        </w:rPr>
        <w:t>&amp; Transp. Comm’n</w:t>
      </w:r>
      <w:r w:rsidRPr="00D14DAF">
        <w:fldChar w:fldCharType="begin"/>
      </w:r>
      <w:r w:rsidRPr="00D14DAF">
        <w:instrText xml:space="preserve"> ADDIN BA \xc &lt;@$cs&gt; \xl 44 \s KBKQKB000015 \xhfl Rep </w:instrText>
      </w:r>
      <w:r w:rsidRPr="00D14DAF">
        <w:fldChar w:fldCharType="end"/>
      </w:r>
      <w:r w:rsidRPr="00D14DAF">
        <w:rPr>
          <w:i/>
        </w:rPr>
        <w:t xml:space="preserve"> </w:t>
      </w:r>
      <w:r w:rsidRPr="00A82AD1">
        <w:rPr>
          <w:i/>
        </w:rPr>
        <w:t>v. Puget Sound Power &amp; Light Company</w:t>
      </w:r>
      <w:r w:rsidRPr="00A82AD1">
        <w:t>, Dockets UE-920433, UE-920499 and UE-921262, Ninth Supplemental Order on Rate Design Issues at 12 (August 17, 1993).</w:t>
      </w:r>
    </w:p>
  </w:footnote>
  <w:footnote w:id="11">
    <w:p w:rsidR="00695CC6" w:rsidRPr="00A82AD1" w:rsidRDefault="00695CC6" w:rsidP="00131B32">
      <w:pPr>
        <w:pStyle w:val="FootnoteText"/>
      </w:pPr>
      <w:r w:rsidRPr="00A82AD1">
        <w:rPr>
          <w:rStyle w:val="FootnoteReference"/>
        </w:rPr>
        <w:footnoteRef/>
      </w:r>
      <w:r w:rsidRPr="00A82AD1">
        <w:t xml:space="preserve"> </w:t>
      </w:r>
      <w:r w:rsidRPr="00D14DAF">
        <w:rPr>
          <w:i/>
        </w:rPr>
        <w:t>Wash. Utils. &amp; Transp. Comm’n</w:t>
      </w:r>
      <w:r w:rsidRPr="00D14DAF">
        <w:fldChar w:fldCharType="begin"/>
      </w:r>
      <w:r w:rsidRPr="00D14DAF">
        <w:instrText xml:space="preserve"> ADDIN BA \xc &lt;@$cs&gt; \xl 44 \s KBKQKB000015 \xhfl Rep </w:instrText>
      </w:r>
      <w:r w:rsidRPr="00D14DAF">
        <w:fldChar w:fldCharType="end"/>
      </w:r>
      <w:r w:rsidRPr="00D14DAF">
        <w:rPr>
          <w:i/>
        </w:rPr>
        <w:t xml:space="preserve"> v. PacifiCorp</w:t>
      </w:r>
      <w:r w:rsidRPr="00A82AD1">
        <w:t>,</w:t>
      </w:r>
      <w:r w:rsidRPr="00D14DAF">
        <w:t xml:space="preserve"> </w:t>
      </w:r>
      <w:r w:rsidRPr="00A82AD1">
        <w:t>Docket UE-100749, Order No. 06 at 104-105</w:t>
      </w:r>
      <w:r>
        <w:t xml:space="preserve"> (Mar. 25, 2011)</w:t>
      </w:r>
      <w:r w:rsidRPr="00A82AD1">
        <w:t xml:space="preserve">. </w:t>
      </w:r>
    </w:p>
  </w:footnote>
  <w:footnote w:id="12">
    <w:p w:rsidR="00695CC6" w:rsidRPr="00A82AD1" w:rsidRDefault="00695CC6" w:rsidP="00096E15">
      <w:pPr>
        <w:pStyle w:val="FootnoteText"/>
      </w:pPr>
      <w:r w:rsidRPr="00A82AD1">
        <w:rPr>
          <w:rStyle w:val="FootnoteReference"/>
        </w:rPr>
        <w:footnoteRef/>
      </w:r>
      <w:r w:rsidRPr="00A82AD1">
        <w:t xml:space="preserve"> Testimony of Jeremy B. Twitchell, Exhibit No. JBT-1T at 22.</w:t>
      </w:r>
    </w:p>
  </w:footnote>
  <w:footnote w:id="13">
    <w:p w:rsidR="00695CC6" w:rsidRPr="00A82AD1" w:rsidRDefault="00695CC6" w:rsidP="00096E15">
      <w:pPr>
        <w:pStyle w:val="FootnoteText"/>
      </w:pPr>
      <w:r w:rsidRPr="00A82AD1">
        <w:rPr>
          <w:rStyle w:val="FootnoteReference"/>
        </w:rPr>
        <w:footnoteRef/>
      </w:r>
      <w:r w:rsidRPr="00A82AD1">
        <w:t xml:space="preserve"> </w:t>
      </w:r>
      <w:r w:rsidRPr="00A82AD1">
        <w:rPr>
          <w:i/>
        </w:rPr>
        <w:t>Id.</w:t>
      </w:r>
    </w:p>
  </w:footnote>
  <w:footnote w:id="14">
    <w:p w:rsidR="00695CC6" w:rsidRPr="00A82AD1" w:rsidRDefault="00695CC6">
      <w:pPr>
        <w:pStyle w:val="FootnoteText"/>
      </w:pPr>
      <w:r w:rsidRPr="00A82AD1">
        <w:rPr>
          <w:rStyle w:val="FootnoteReference"/>
        </w:rPr>
        <w:footnoteRef/>
      </w:r>
      <w:r w:rsidRPr="00A82AD1">
        <w:t xml:space="preserve"> Responsive Testimony of Steve W. Chriss, Exhibit No. SWC-1T at 9.</w:t>
      </w:r>
    </w:p>
  </w:footnote>
  <w:footnote w:id="15">
    <w:p w:rsidR="00695CC6" w:rsidRPr="00A82AD1" w:rsidRDefault="00695CC6" w:rsidP="004A3289">
      <w:pPr>
        <w:pStyle w:val="FootnoteText"/>
      </w:pPr>
      <w:r w:rsidRPr="00A82AD1">
        <w:rPr>
          <w:rStyle w:val="FootnoteReference"/>
        </w:rPr>
        <w:footnoteRef/>
      </w:r>
      <w:r w:rsidRPr="00A82AD1">
        <w:t xml:space="preserve"> </w:t>
      </w:r>
      <w:r w:rsidRPr="00A82AD1">
        <w:rPr>
          <w:i/>
        </w:rPr>
        <w:t>See</w:t>
      </w:r>
      <w:r>
        <w:rPr>
          <w:i/>
        </w:rPr>
        <w:t>,</w:t>
      </w:r>
      <w:r w:rsidRPr="00A82AD1">
        <w:rPr>
          <w:i/>
        </w:rPr>
        <w:t xml:space="preserve"> e.g.</w:t>
      </w:r>
      <w:r>
        <w:rPr>
          <w:i/>
        </w:rPr>
        <w:t>,</w:t>
      </w:r>
      <w:r w:rsidRPr="00A82AD1">
        <w:t xml:space="preserve"> </w:t>
      </w:r>
      <w:r w:rsidRPr="00A82AD1">
        <w:rPr>
          <w:i/>
          <w:szCs w:val="24"/>
        </w:rPr>
        <w:t>In the Matter of Amending and Repealing Rules in WAC 480-108 Relating to Electric Companies-Interconnection With Electric Generators</w:t>
      </w:r>
      <w:r w:rsidRPr="00A82AD1">
        <w:rPr>
          <w:szCs w:val="24"/>
        </w:rPr>
        <w:t>, Docket UE-112133, Interpretive Statement Concerning Commission Jurisdiction and Regulation of Third-Party Owners of Net Metering Facilities (July 30, 2014).</w:t>
      </w:r>
    </w:p>
  </w:footnote>
  <w:footnote w:id="16">
    <w:p w:rsidR="00695CC6" w:rsidRPr="00D055AF" w:rsidRDefault="00695CC6" w:rsidP="004A3289">
      <w:pPr>
        <w:pStyle w:val="FootnoteText"/>
      </w:pPr>
      <w:r w:rsidRPr="00A82AD1">
        <w:rPr>
          <w:rStyle w:val="FootnoteReference"/>
        </w:rPr>
        <w:footnoteRef/>
      </w:r>
      <w:r w:rsidRPr="00A82AD1">
        <w:t xml:space="preserve"> </w:t>
      </w:r>
      <w:r w:rsidRPr="00A82AD1">
        <w:rPr>
          <w:i/>
          <w:szCs w:val="24"/>
        </w:rPr>
        <w:t>UTC Report on the Potential for Cost-Effective Distributed Generation in Areas Served by Investor</w:t>
      </w:r>
      <w:r>
        <w:rPr>
          <w:i/>
          <w:szCs w:val="24"/>
        </w:rPr>
        <w:t>-</w:t>
      </w:r>
      <w:r w:rsidRPr="00D055AF">
        <w:rPr>
          <w:i/>
          <w:szCs w:val="24"/>
        </w:rPr>
        <w:t>Owned Utilities in Washington State</w:t>
      </w:r>
      <w:r w:rsidRPr="00D055AF">
        <w:rPr>
          <w:szCs w:val="24"/>
        </w:rPr>
        <w:t>, Docket UE-110667 at 5 (October 7, 2011).  The Commission observed that, “net metering provides a type of incentive for individual consumers because it shifts costs from the individual ratepayer to the utility, and ultimately to the other ratepayers of that utility, due to the need to maintain sufficient capacity to meet that individual customer’s load while his or her net metered system is not generating electricity.”</w:t>
      </w:r>
      <w:r w:rsidRPr="00D055AF">
        <w:rPr>
          <w:i/>
          <w:szCs w:val="24"/>
        </w:rPr>
        <w:t xml:space="preserve"> </w:t>
      </w:r>
      <w:r>
        <w:rPr>
          <w:i/>
          <w:szCs w:val="24"/>
        </w:rPr>
        <w:t xml:space="preserve"> </w:t>
      </w:r>
      <w:r w:rsidRPr="00D055AF">
        <w:rPr>
          <w:i/>
          <w:szCs w:val="24"/>
        </w:rPr>
        <w:t>Id.</w:t>
      </w:r>
      <w:r w:rsidRPr="00D055AF">
        <w:rPr>
          <w:szCs w:val="24"/>
        </w:rPr>
        <w:t xml:space="preserve"> at 29.</w:t>
      </w:r>
    </w:p>
  </w:footnote>
  <w:footnote w:id="17">
    <w:p w:rsidR="00695CC6" w:rsidRPr="00D055AF" w:rsidRDefault="00695CC6" w:rsidP="004A3289">
      <w:pPr>
        <w:pStyle w:val="FootnoteText"/>
      </w:pPr>
      <w:r w:rsidRPr="00D055AF">
        <w:rPr>
          <w:rStyle w:val="FootnoteReference"/>
        </w:rPr>
        <w:footnoteRef/>
      </w:r>
      <w:r w:rsidRPr="00D055AF">
        <w:t xml:space="preserve"> </w:t>
      </w:r>
      <w:hyperlink r:id="rId1" w:history="1">
        <w:r w:rsidRPr="00D055AF">
          <w:rPr>
            <w:rStyle w:val="Hyperlink"/>
          </w:rPr>
          <w:t>http://www.jsonline.com/business/state-regulators-approve-83-in-green-bay-utilitys-fixed-charge-b99385986z1-281824701.html</w:t>
        </w:r>
      </w:hyperlink>
      <w:r w:rsidR="00CE4C4F">
        <w:t>.</w:t>
      </w:r>
    </w:p>
  </w:footnote>
  <w:footnote w:id="18">
    <w:p w:rsidR="00695CC6" w:rsidRPr="00D055AF" w:rsidRDefault="00695CC6" w:rsidP="00FB508D">
      <w:pPr>
        <w:pStyle w:val="FootnoteText"/>
      </w:pPr>
      <w:r w:rsidRPr="00D055AF">
        <w:rPr>
          <w:rStyle w:val="FootnoteReference"/>
        </w:rPr>
        <w:footnoteRef/>
      </w:r>
      <w:r w:rsidRPr="00D055AF">
        <w:t xml:space="preserve"> </w:t>
      </w:r>
      <w:r w:rsidRPr="00394CC3">
        <w:t xml:space="preserve">Testimony of Glenn A. Watkins, </w:t>
      </w:r>
      <w:r w:rsidRPr="00D055AF">
        <w:t>Exhibit No. GAW-1T at 27:12-14.</w:t>
      </w:r>
    </w:p>
  </w:footnote>
  <w:footnote w:id="19">
    <w:p w:rsidR="00695CC6" w:rsidRPr="00D055AF" w:rsidRDefault="00695CC6" w:rsidP="00FB508D">
      <w:pPr>
        <w:pStyle w:val="FootnoteText"/>
      </w:pPr>
      <w:r w:rsidRPr="00D055AF">
        <w:rPr>
          <w:rStyle w:val="FootnoteReference"/>
        </w:rPr>
        <w:footnoteRef/>
      </w:r>
      <w:r w:rsidRPr="00D055AF">
        <w:rPr>
          <w:vertAlign w:val="superscript"/>
        </w:rPr>
        <w:t xml:space="preserve"> </w:t>
      </w:r>
      <w:r>
        <w:rPr>
          <w:vertAlign w:val="superscript"/>
        </w:rPr>
        <w:t xml:space="preserve"> </w:t>
      </w:r>
      <w:r>
        <w:rPr>
          <w:i/>
        </w:rPr>
        <w:t>Id</w:t>
      </w:r>
      <w:r>
        <w:t xml:space="preserve">. </w:t>
      </w:r>
      <w:r w:rsidRPr="00D055AF">
        <w:t>at 28:1-4.</w:t>
      </w:r>
    </w:p>
  </w:footnote>
  <w:footnote w:id="20">
    <w:p w:rsidR="00695CC6" w:rsidRPr="00A82AD1" w:rsidRDefault="00695CC6" w:rsidP="009C203D">
      <w:pPr>
        <w:pStyle w:val="FootnoteText"/>
      </w:pPr>
      <w:r w:rsidRPr="00A82AD1">
        <w:rPr>
          <w:rStyle w:val="FootnoteReference"/>
          <w:sz w:val="20"/>
        </w:rPr>
        <w:footnoteRef/>
      </w:r>
      <w:r w:rsidRPr="00A82AD1">
        <w:t xml:space="preserve"> </w:t>
      </w:r>
      <w:r w:rsidRPr="00A82AD1">
        <w:rPr>
          <w:i/>
        </w:rPr>
        <w:t>See</w:t>
      </w:r>
      <w:r w:rsidRPr="00A82AD1">
        <w:t xml:space="preserve"> FERC Account 364 (Poles, Towers, and Fixtures), Account 365 (Overhead Conductors), and Account 368 (Transformers) in Docket No. UE-130052, Order Granting Accounting Petition (December 27, 2013).</w:t>
      </w:r>
    </w:p>
  </w:footnote>
  <w:footnote w:id="21">
    <w:p w:rsidR="00695CC6" w:rsidRPr="00A82AD1" w:rsidRDefault="00695CC6">
      <w:pPr>
        <w:pStyle w:val="FootnoteText"/>
      </w:pPr>
      <w:r w:rsidRPr="00A82AD1">
        <w:rPr>
          <w:rStyle w:val="FootnoteReference"/>
        </w:rPr>
        <w:footnoteRef/>
      </w:r>
      <w:r w:rsidRPr="00A82AD1">
        <w:t xml:space="preserve"> National Association of Regulatory Utility Commissioners, </w:t>
      </w:r>
      <w:r w:rsidRPr="00A82AD1">
        <w:rPr>
          <w:i/>
        </w:rPr>
        <w:t>Electric Utility Cost Allocation Manual</w:t>
      </w:r>
      <w:r w:rsidRPr="00A82AD1">
        <w:t>, (January 1992), p. 89.</w:t>
      </w:r>
    </w:p>
  </w:footnote>
  <w:footnote w:id="22">
    <w:p w:rsidR="00695CC6" w:rsidRPr="00A82AD1" w:rsidRDefault="00695CC6">
      <w:pPr>
        <w:pStyle w:val="FootnoteText"/>
      </w:pPr>
      <w:r w:rsidRPr="00A82AD1">
        <w:rPr>
          <w:rStyle w:val="FootnoteReference"/>
        </w:rPr>
        <w:footnoteRef/>
      </w:r>
      <w:r w:rsidRPr="00A82AD1">
        <w:t xml:space="preserve"> </w:t>
      </w:r>
      <w:r w:rsidRPr="00394CC3">
        <w:t xml:space="preserve">Testimony of Glenn A. Watkins, </w:t>
      </w:r>
      <w:r w:rsidRPr="00A82AD1">
        <w:t>Exhibit No. GAW-1T at 24:2-5.</w:t>
      </w:r>
    </w:p>
  </w:footnote>
  <w:footnote w:id="23">
    <w:p w:rsidR="00695CC6" w:rsidRPr="00A82AD1" w:rsidRDefault="00695CC6" w:rsidP="00FB508D">
      <w:pPr>
        <w:pStyle w:val="FootnoteText"/>
      </w:pPr>
      <w:r w:rsidRPr="00A82AD1">
        <w:rPr>
          <w:rStyle w:val="FootnoteReference"/>
        </w:rPr>
        <w:footnoteRef/>
      </w:r>
      <w:r w:rsidRPr="00A82AD1">
        <w:t xml:space="preserve"> </w:t>
      </w:r>
      <w:r w:rsidRPr="00394CC3">
        <w:t xml:space="preserve">Testimony of Glenn A. Watkins, </w:t>
      </w:r>
      <w:r w:rsidRPr="00A82AD1">
        <w:t>Exhibit No. GAW-1T at 22-23.</w:t>
      </w:r>
    </w:p>
  </w:footnote>
  <w:footnote w:id="24">
    <w:p w:rsidR="00695CC6" w:rsidRPr="00A82AD1" w:rsidRDefault="00695CC6">
      <w:pPr>
        <w:pStyle w:val="FootnoteText"/>
      </w:pPr>
      <w:r w:rsidRPr="00A82AD1">
        <w:rPr>
          <w:rStyle w:val="FootnoteReference"/>
        </w:rPr>
        <w:footnoteRef/>
      </w:r>
      <w:r w:rsidRPr="00A82AD1">
        <w:t xml:space="preserve"> Testimony of Jeremy B. Twitchell, Exhibit No. JBT-1T at 27:18-20.</w:t>
      </w:r>
    </w:p>
  </w:footnote>
  <w:footnote w:id="25">
    <w:p w:rsidR="00695CC6" w:rsidRPr="00A82AD1" w:rsidRDefault="00695CC6" w:rsidP="0035586C">
      <w:pPr>
        <w:pStyle w:val="FootnoteText"/>
      </w:pPr>
      <w:r w:rsidRPr="00A82AD1">
        <w:rPr>
          <w:rStyle w:val="FootnoteReference"/>
        </w:rPr>
        <w:footnoteRef/>
      </w:r>
      <w:r w:rsidRPr="00A82AD1">
        <w:t xml:space="preserve"> Testimony of Jeremy B. Twitchell, Exhibit No. JBT-1T at 5:1-2.</w:t>
      </w:r>
    </w:p>
  </w:footnote>
  <w:footnote w:id="26">
    <w:p w:rsidR="00695CC6" w:rsidRPr="00A82AD1" w:rsidRDefault="00695CC6">
      <w:pPr>
        <w:pStyle w:val="FootnoteText"/>
      </w:pPr>
      <w:r w:rsidRPr="00A82AD1">
        <w:rPr>
          <w:rStyle w:val="FootnoteReference"/>
        </w:rPr>
        <w:footnoteRef/>
      </w:r>
      <w:r w:rsidRPr="00A82AD1">
        <w:t xml:space="preserve"> </w:t>
      </w:r>
      <w:r w:rsidRPr="00C461F7">
        <w:t xml:space="preserve">Testimony of Jeremy B. Twitchell, Exhibit No. JBT-1T </w:t>
      </w:r>
      <w:r w:rsidRPr="00A82AD1">
        <w:t>at 29:3-12.</w:t>
      </w:r>
    </w:p>
  </w:footnote>
  <w:footnote w:id="27">
    <w:p w:rsidR="00695CC6" w:rsidRPr="00A82AD1" w:rsidRDefault="00695CC6">
      <w:pPr>
        <w:pStyle w:val="FootnoteText"/>
      </w:pPr>
      <w:r w:rsidRPr="00A82AD1">
        <w:rPr>
          <w:rStyle w:val="FootnoteReference"/>
        </w:rPr>
        <w:footnoteRef/>
      </w:r>
      <w:r w:rsidRPr="00A82AD1">
        <w:t xml:space="preserve"> </w:t>
      </w:r>
      <w:r w:rsidRPr="00C461F7">
        <w:t xml:space="preserve">Testimony of Jeremy B. Twitchell, Exhibit No. JBT-1T </w:t>
      </w:r>
      <w:r w:rsidRPr="00A82AD1">
        <w:t>at 28:17-20.</w:t>
      </w:r>
    </w:p>
  </w:footnote>
  <w:footnote w:id="28">
    <w:p w:rsidR="00695CC6" w:rsidRPr="00A82AD1" w:rsidRDefault="00695CC6">
      <w:pPr>
        <w:pStyle w:val="FootnoteText"/>
      </w:pPr>
      <w:r w:rsidRPr="00A82AD1">
        <w:rPr>
          <w:rStyle w:val="FootnoteReference"/>
        </w:rPr>
        <w:footnoteRef/>
      </w:r>
      <w:r w:rsidRPr="00A82AD1">
        <w:t xml:space="preserve"> Testimony of Jeremy B. Twitchell, Exhibit No. JBT-1T at 33:22 – 34:1. </w:t>
      </w:r>
    </w:p>
  </w:footnote>
  <w:footnote w:id="29">
    <w:p w:rsidR="00695CC6" w:rsidRPr="00A82AD1" w:rsidRDefault="00695CC6" w:rsidP="00E90DAE">
      <w:pPr>
        <w:pStyle w:val="FootnoteText"/>
      </w:pPr>
      <w:r w:rsidRPr="00A82AD1">
        <w:rPr>
          <w:rStyle w:val="FootnoteReference"/>
        </w:rPr>
        <w:footnoteRef/>
      </w:r>
      <w:r w:rsidRPr="00A82AD1">
        <w:rPr>
          <w:vertAlign w:val="superscript"/>
        </w:rPr>
        <w:t xml:space="preserve"> </w:t>
      </w:r>
      <w:r w:rsidRPr="00A82AD1">
        <w:rPr>
          <w:i/>
        </w:rPr>
        <w:t>See</w:t>
      </w:r>
      <w:r w:rsidRPr="00A82AD1">
        <w:t xml:space="preserve"> Puget Sound Energy, Inc., Tariff WN U-60, Schedule 7, effective November 16, 2013, and Schedule 141, effective January 1, 2014.</w:t>
      </w:r>
    </w:p>
  </w:footnote>
  <w:footnote w:id="30">
    <w:p w:rsidR="00695CC6" w:rsidRPr="00210EE7" w:rsidRDefault="00695CC6" w:rsidP="00E90DAE">
      <w:pPr>
        <w:pStyle w:val="FootnoteText"/>
        <w:rPr>
          <w:b/>
        </w:rPr>
      </w:pPr>
      <w:r w:rsidRPr="00A82AD1">
        <w:rPr>
          <w:rStyle w:val="FootnoteReference"/>
        </w:rPr>
        <w:footnoteRef/>
      </w:r>
      <w:r w:rsidRPr="00A82AD1">
        <w:t xml:space="preserve"> </w:t>
      </w:r>
      <w:r w:rsidRPr="00A82AD1">
        <w:rPr>
          <w:i/>
        </w:rPr>
        <w:t>See</w:t>
      </w:r>
      <w:r w:rsidRPr="00A82AD1">
        <w:t xml:space="preserve"> Avista Corporation Tariff WN U-28, Schedule 1, effective January 1, 2014.</w:t>
      </w:r>
    </w:p>
  </w:footnote>
  <w:footnote w:id="31">
    <w:p w:rsidR="00695CC6" w:rsidRPr="00A82AD1" w:rsidRDefault="00695CC6" w:rsidP="00155E8C">
      <w:pPr>
        <w:pStyle w:val="FootnoteText"/>
      </w:pPr>
      <w:r w:rsidRPr="00A82AD1">
        <w:rPr>
          <w:rStyle w:val="FootnoteReference"/>
        </w:rPr>
        <w:footnoteRef/>
      </w:r>
      <w:r w:rsidRPr="00A82AD1">
        <w:t xml:space="preserve"> Testimony of Jeremy B. Twitchell, Exhibit No. JBT-1T at 28:1-13.</w:t>
      </w:r>
    </w:p>
  </w:footnote>
  <w:footnote w:id="32">
    <w:p w:rsidR="00695CC6" w:rsidRPr="00A82AD1" w:rsidRDefault="00695CC6" w:rsidP="00FB5547">
      <w:pPr>
        <w:pStyle w:val="FootnoteText"/>
      </w:pPr>
      <w:r w:rsidRPr="00A82AD1">
        <w:rPr>
          <w:rStyle w:val="FootnoteReference"/>
        </w:rPr>
        <w:footnoteRef/>
      </w:r>
      <w:r w:rsidRPr="00A82AD1">
        <w:t xml:space="preserve"> Testimony of Jeremy B. Twitchell, Exhibit No. JBT-1T at 37:1-5.</w:t>
      </w:r>
    </w:p>
  </w:footnote>
  <w:footnote w:id="33">
    <w:p w:rsidR="00695CC6" w:rsidRPr="00A82AD1" w:rsidRDefault="00695CC6" w:rsidP="00FB5547">
      <w:pPr>
        <w:pStyle w:val="FootnoteText"/>
      </w:pPr>
      <w:r w:rsidRPr="00A82AD1">
        <w:rPr>
          <w:rStyle w:val="FootnoteReference"/>
        </w:rPr>
        <w:footnoteRef/>
      </w:r>
      <w:r w:rsidRPr="00A82AD1">
        <w:t xml:space="preserve"> </w:t>
      </w:r>
      <w:r>
        <w:t>Testimony of Jeremy B. Twitchell, Exhibit No. JBT-1T at 37-40.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7B" w:rsidRDefault="00584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7B" w:rsidRDefault="00584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97B" w:rsidRDefault="0058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D5852"/>
    <w:multiLevelType w:val="hybridMultilevel"/>
    <w:tmpl w:val="52364A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3">
    <w:nsid w:val="084E4C76"/>
    <w:multiLevelType w:val="hybridMultilevel"/>
    <w:tmpl w:val="1674E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6">
    <w:nsid w:val="144B2DE4"/>
    <w:multiLevelType w:val="hybridMultilevel"/>
    <w:tmpl w:val="DF8EF39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5C7FF4"/>
    <w:multiLevelType w:val="hybridMultilevel"/>
    <w:tmpl w:val="5B3A5708"/>
    <w:lvl w:ilvl="0" w:tplc="04090015">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12">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62A90"/>
    <w:multiLevelType w:val="hybridMultilevel"/>
    <w:tmpl w:val="578CF076"/>
    <w:lvl w:ilvl="0" w:tplc="703AD3FE">
      <w:start w:val="1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16">
    <w:nsid w:val="3D2C0E5B"/>
    <w:multiLevelType w:val="hybridMultilevel"/>
    <w:tmpl w:val="DC9A8F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F6A08"/>
    <w:multiLevelType w:val="singleLevel"/>
    <w:tmpl w:val="104A23EC"/>
    <w:lvl w:ilvl="0">
      <w:start w:val="1"/>
      <w:numFmt w:val="decimal"/>
      <w:lvlText w:val="%1."/>
      <w:legacy w:legacy="1" w:legacySpace="0" w:legacyIndent="360"/>
      <w:lvlJc w:val="left"/>
      <w:pPr>
        <w:ind w:left="1800" w:hanging="360"/>
      </w:pPr>
    </w:lvl>
  </w:abstractNum>
  <w:abstractNum w:abstractNumId="18">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20">
    <w:nsid w:val="47542C1E"/>
    <w:multiLevelType w:val="hybridMultilevel"/>
    <w:tmpl w:val="AD925D94"/>
    <w:lvl w:ilvl="0" w:tplc="6EC608F6">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82E4C6E"/>
    <w:multiLevelType w:val="hybridMultilevel"/>
    <w:tmpl w:val="99668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5055ED"/>
    <w:multiLevelType w:val="hybridMultilevel"/>
    <w:tmpl w:val="711E1464"/>
    <w:lvl w:ilvl="0" w:tplc="B03EE9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4EC80FB4"/>
    <w:multiLevelType w:val="hybridMultilevel"/>
    <w:tmpl w:val="BEDA2CB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26">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32">
    <w:nsid w:val="61181639"/>
    <w:multiLevelType w:val="hybridMultilevel"/>
    <w:tmpl w:val="989C3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36">
    <w:nsid w:val="6F235667"/>
    <w:multiLevelType w:val="singleLevel"/>
    <w:tmpl w:val="0734C138"/>
    <w:lvl w:ilvl="0">
      <w:start w:val="1"/>
      <w:numFmt w:val="lowerLetter"/>
      <w:lvlText w:val="%1)"/>
      <w:lvlJc w:val="left"/>
      <w:pPr>
        <w:tabs>
          <w:tab w:val="num" w:pos="1080"/>
        </w:tabs>
        <w:ind w:left="1080" w:hanging="360"/>
      </w:pPr>
      <w:rPr>
        <w:rFonts w:hint="default"/>
      </w:rPr>
    </w:lvl>
  </w:abstractNum>
  <w:abstractNum w:abstractNumId="37">
    <w:nsid w:val="7F523563"/>
    <w:multiLevelType w:val="hybridMultilevel"/>
    <w:tmpl w:val="8CA4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31"/>
  </w:num>
  <w:num w:numId="2">
    <w:abstractNumId w:val="35"/>
  </w:num>
  <w:num w:numId="3">
    <w:abstractNumId w:val="19"/>
  </w:num>
  <w:num w:numId="4">
    <w:abstractNumId w:val="14"/>
  </w:num>
  <w:num w:numId="5">
    <w:abstractNumId w:val="29"/>
  </w:num>
  <w:num w:numId="6">
    <w:abstractNumId w:val="27"/>
  </w:num>
  <w:num w:numId="7">
    <w:abstractNumId w:val="21"/>
  </w:num>
  <w:num w:numId="8">
    <w:abstractNumId w:val="12"/>
  </w:num>
  <w:num w:numId="9">
    <w:abstractNumId w:val="34"/>
  </w:num>
  <w:num w:numId="10">
    <w:abstractNumId w:val="33"/>
  </w:num>
  <w:num w:numId="11">
    <w:abstractNumId w:val="26"/>
  </w:num>
  <w:num w:numId="12">
    <w:abstractNumId w:val="28"/>
  </w:num>
  <w:num w:numId="13">
    <w:abstractNumId w:val="36"/>
  </w:num>
  <w:num w:numId="14">
    <w:abstractNumId w:val="5"/>
  </w:num>
  <w:num w:numId="15">
    <w:abstractNumId w:val="15"/>
  </w:num>
  <w:num w:numId="16">
    <w:abstractNumId w:val="11"/>
  </w:num>
  <w:num w:numId="17">
    <w:abstractNumId w:val="25"/>
  </w:num>
  <w:num w:numId="18">
    <w:abstractNumId w:val="2"/>
  </w:num>
  <w:num w:numId="19">
    <w:abstractNumId w:val="8"/>
  </w:num>
  <w:num w:numId="20">
    <w:abstractNumId w:val="20"/>
  </w:num>
  <w:num w:numId="21">
    <w:abstractNumId w:val="7"/>
  </w:num>
  <w:num w:numId="22">
    <w:abstractNumId w:val="30"/>
  </w:num>
  <w:num w:numId="23">
    <w:abstractNumId w:val="9"/>
  </w:num>
  <w:num w:numId="24">
    <w:abstractNumId w:val="0"/>
  </w:num>
  <w:num w:numId="25">
    <w:abstractNumId w:val="18"/>
  </w:num>
  <w:num w:numId="26">
    <w:abstractNumId w:val="4"/>
  </w:num>
  <w:num w:numId="27">
    <w:abstractNumId w:val="23"/>
  </w:num>
  <w:num w:numId="28">
    <w:abstractNumId w:val="17"/>
  </w:num>
  <w:num w:numId="29">
    <w:abstractNumId w:val="10"/>
  </w:num>
  <w:num w:numId="30">
    <w:abstractNumId w:val="1"/>
  </w:num>
  <w:num w:numId="31">
    <w:abstractNumId w:val="22"/>
  </w:num>
  <w:num w:numId="32">
    <w:abstractNumId w:val="6"/>
  </w:num>
  <w:num w:numId="33">
    <w:abstractNumId w:val="24"/>
  </w:num>
  <w:num w:numId="34">
    <w:abstractNumId w:val="37"/>
  </w:num>
  <w:num w:numId="35">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B5"/>
    <w:rsid w:val="00000DC7"/>
    <w:rsid w:val="000047E7"/>
    <w:rsid w:val="000047F4"/>
    <w:rsid w:val="00004D6F"/>
    <w:rsid w:val="00004D8B"/>
    <w:rsid w:val="00005F2F"/>
    <w:rsid w:val="00010B70"/>
    <w:rsid w:val="00013F11"/>
    <w:rsid w:val="00017DC9"/>
    <w:rsid w:val="00017F0F"/>
    <w:rsid w:val="000217A0"/>
    <w:rsid w:val="00021B21"/>
    <w:rsid w:val="00022178"/>
    <w:rsid w:val="000228E9"/>
    <w:rsid w:val="00023EDC"/>
    <w:rsid w:val="000243A7"/>
    <w:rsid w:val="00024C67"/>
    <w:rsid w:val="00024F42"/>
    <w:rsid w:val="000257CA"/>
    <w:rsid w:val="000260BF"/>
    <w:rsid w:val="00026649"/>
    <w:rsid w:val="00030286"/>
    <w:rsid w:val="000305A3"/>
    <w:rsid w:val="00030D2C"/>
    <w:rsid w:val="00032352"/>
    <w:rsid w:val="0003283F"/>
    <w:rsid w:val="00033601"/>
    <w:rsid w:val="00033DB7"/>
    <w:rsid w:val="00033FE9"/>
    <w:rsid w:val="000344F6"/>
    <w:rsid w:val="00035451"/>
    <w:rsid w:val="000370DC"/>
    <w:rsid w:val="0003778E"/>
    <w:rsid w:val="0003781F"/>
    <w:rsid w:val="00037D03"/>
    <w:rsid w:val="000435DA"/>
    <w:rsid w:val="0004451A"/>
    <w:rsid w:val="00044C27"/>
    <w:rsid w:val="00045858"/>
    <w:rsid w:val="00050334"/>
    <w:rsid w:val="0005145B"/>
    <w:rsid w:val="00052C26"/>
    <w:rsid w:val="00053FBB"/>
    <w:rsid w:val="00053FDE"/>
    <w:rsid w:val="00063AA2"/>
    <w:rsid w:val="00063B39"/>
    <w:rsid w:val="00064F9F"/>
    <w:rsid w:val="000717B2"/>
    <w:rsid w:val="00071D36"/>
    <w:rsid w:val="00074371"/>
    <w:rsid w:val="000755C3"/>
    <w:rsid w:val="00075E91"/>
    <w:rsid w:val="00077177"/>
    <w:rsid w:val="00080159"/>
    <w:rsid w:val="00082945"/>
    <w:rsid w:val="00082DCE"/>
    <w:rsid w:val="000846CE"/>
    <w:rsid w:val="00086B5B"/>
    <w:rsid w:val="00087978"/>
    <w:rsid w:val="0009025E"/>
    <w:rsid w:val="0009290A"/>
    <w:rsid w:val="00093A99"/>
    <w:rsid w:val="00096E15"/>
    <w:rsid w:val="00097880"/>
    <w:rsid w:val="000A0E01"/>
    <w:rsid w:val="000A1DF1"/>
    <w:rsid w:val="000A3BFE"/>
    <w:rsid w:val="000A4FDF"/>
    <w:rsid w:val="000A5A66"/>
    <w:rsid w:val="000A5C0D"/>
    <w:rsid w:val="000A5D1B"/>
    <w:rsid w:val="000A7B80"/>
    <w:rsid w:val="000B203A"/>
    <w:rsid w:val="000B6672"/>
    <w:rsid w:val="000B7070"/>
    <w:rsid w:val="000B7AF0"/>
    <w:rsid w:val="000C1BC1"/>
    <w:rsid w:val="000C27D7"/>
    <w:rsid w:val="000C3396"/>
    <w:rsid w:val="000C3633"/>
    <w:rsid w:val="000C3C7B"/>
    <w:rsid w:val="000C453D"/>
    <w:rsid w:val="000C6708"/>
    <w:rsid w:val="000C703F"/>
    <w:rsid w:val="000C7C21"/>
    <w:rsid w:val="000D0A17"/>
    <w:rsid w:val="000D0AD5"/>
    <w:rsid w:val="000D3160"/>
    <w:rsid w:val="000D45E1"/>
    <w:rsid w:val="000D4702"/>
    <w:rsid w:val="000D4E8F"/>
    <w:rsid w:val="000D5546"/>
    <w:rsid w:val="000D5ABC"/>
    <w:rsid w:val="000E1FF3"/>
    <w:rsid w:val="000E378E"/>
    <w:rsid w:val="000E4326"/>
    <w:rsid w:val="000E45CF"/>
    <w:rsid w:val="000E530E"/>
    <w:rsid w:val="000E53D0"/>
    <w:rsid w:val="000F07C7"/>
    <w:rsid w:val="000F32F4"/>
    <w:rsid w:val="000F4D6F"/>
    <w:rsid w:val="000F5F6E"/>
    <w:rsid w:val="00101027"/>
    <w:rsid w:val="0010133E"/>
    <w:rsid w:val="00102A64"/>
    <w:rsid w:val="001041EA"/>
    <w:rsid w:val="0010648A"/>
    <w:rsid w:val="0010786A"/>
    <w:rsid w:val="00110625"/>
    <w:rsid w:val="00111AEF"/>
    <w:rsid w:val="00113369"/>
    <w:rsid w:val="001145F6"/>
    <w:rsid w:val="00114CC3"/>
    <w:rsid w:val="00115BEB"/>
    <w:rsid w:val="001160A1"/>
    <w:rsid w:val="0011656B"/>
    <w:rsid w:val="00120E57"/>
    <w:rsid w:val="00122D94"/>
    <w:rsid w:val="001247BC"/>
    <w:rsid w:val="00125A78"/>
    <w:rsid w:val="00126B29"/>
    <w:rsid w:val="00130B7A"/>
    <w:rsid w:val="00131228"/>
    <w:rsid w:val="001317D6"/>
    <w:rsid w:val="00131B32"/>
    <w:rsid w:val="00132A8A"/>
    <w:rsid w:val="00133D26"/>
    <w:rsid w:val="00136947"/>
    <w:rsid w:val="00136948"/>
    <w:rsid w:val="00136B71"/>
    <w:rsid w:val="00141730"/>
    <w:rsid w:val="00141B05"/>
    <w:rsid w:val="00141D8D"/>
    <w:rsid w:val="00142949"/>
    <w:rsid w:val="001434AF"/>
    <w:rsid w:val="00143A85"/>
    <w:rsid w:val="00144895"/>
    <w:rsid w:val="00145182"/>
    <w:rsid w:val="00145240"/>
    <w:rsid w:val="001453E2"/>
    <w:rsid w:val="001468A0"/>
    <w:rsid w:val="0014730E"/>
    <w:rsid w:val="001553F9"/>
    <w:rsid w:val="00155E8C"/>
    <w:rsid w:val="00156312"/>
    <w:rsid w:val="001573CE"/>
    <w:rsid w:val="00157D5F"/>
    <w:rsid w:val="001601C8"/>
    <w:rsid w:val="001649A6"/>
    <w:rsid w:val="0016589D"/>
    <w:rsid w:val="001667E8"/>
    <w:rsid w:val="0016694A"/>
    <w:rsid w:val="00167516"/>
    <w:rsid w:val="00167DC8"/>
    <w:rsid w:val="00170783"/>
    <w:rsid w:val="00173476"/>
    <w:rsid w:val="001738B8"/>
    <w:rsid w:val="00174B2D"/>
    <w:rsid w:val="00175957"/>
    <w:rsid w:val="00176A79"/>
    <w:rsid w:val="00176B86"/>
    <w:rsid w:val="00177083"/>
    <w:rsid w:val="00180DB2"/>
    <w:rsid w:val="00181266"/>
    <w:rsid w:val="00181D02"/>
    <w:rsid w:val="00184A88"/>
    <w:rsid w:val="00184E22"/>
    <w:rsid w:val="00187E09"/>
    <w:rsid w:val="00191B40"/>
    <w:rsid w:val="00191E91"/>
    <w:rsid w:val="00194744"/>
    <w:rsid w:val="001958FA"/>
    <w:rsid w:val="00196B38"/>
    <w:rsid w:val="00196FAB"/>
    <w:rsid w:val="001A17F8"/>
    <w:rsid w:val="001A19D4"/>
    <w:rsid w:val="001A3823"/>
    <w:rsid w:val="001A6A0E"/>
    <w:rsid w:val="001B0135"/>
    <w:rsid w:val="001B080C"/>
    <w:rsid w:val="001B097A"/>
    <w:rsid w:val="001B0B68"/>
    <w:rsid w:val="001B7157"/>
    <w:rsid w:val="001B76AF"/>
    <w:rsid w:val="001C52F7"/>
    <w:rsid w:val="001C58D5"/>
    <w:rsid w:val="001D06F3"/>
    <w:rsid w:val="001D12D0"/>
    <w:rsid w:val="001D70F1"/>
    <w:rsid w:val="001E1117"/>
    <w:rsid w:val="001E2029"/>
    <w:rsid w:val="001E5059"/>
    <w:rsid w:val="001F16F8"/>
    <w:rsid w:val="001F2278"/>
    <w:rsid w:val="001F428D"/>
    <w:rsid w:val="001F44B3"/>
    <w:rsid w:val="001F5B51"/>
    <w:rsid w:val="001F5F84"/>
    <w:rsid w:val="001F6F4E"/>
    <w:rsid w:val="00200BF0"/>
    <w:rsid w:val="00201361"/>
    <w:rsid w:val="0020152A"/>
    <w:rsid w:val="002038C9"/>
    <w:rsid w:val="00205FE4"/>
    <w:rsid w:val="00206530"/>
    <w:rsid w:val="0020664C"/>
    <w:rsid w:val="00207A47"/>
    <w:rsid w:val="00210EE7"/>
    <w:rsid w:val="002110D2"/>
    <w:rsid w:val="00212A10"/>
    <w:rsid w:val="00213F76"/>
    <w:rsid w:val="00217E30"/>
    <w:rsid w:val="00223B5E"/>
    <w:rsid w:val="002243B3"/>
    <w:rsid w:val="0022440D"/>
    <w:rsid w:val="00224CDC"/>
    <w:rsid w:val="002255A5"/>
    <w:rsid w:val="002256CA"/>
    <w:rsid w:val="0022665B"/>
    <w:rsid w:val="002269C3"/>
    <w:rsid w:val="0023005E"/>
    <w:rsid w:val="00230EEF"/>
    <w:rsid w:val="00232E28"/>
    <w:rsid w:val="0023392D"/>
    <w:rsid w:val="00237E9F"/>
    <w:rsid w:val="00241FE3"/>
    <w:rsid w:val="00244054"/>
    <w:rsid w:val="00244492"/>
    <w:rsid w:val="00244E7F"/>
    <w:rsid w:val="00246D03"/>
    <w:rsid w:val="0025265C"/>
    <w:rsid w:val="00253041"/>
    <w:rsid w:val="002532BB"/>
    <w:rsid w:val="00255D28"/>
    <w:rsid w:val="00255DC2"/>
    <w:rsid w:val="0025698E"/>
    <w:rsid w:val="00257900"/>
    <w:rsid w:val="0026031A"/>
    <w:rsid w:val="002620B9"/>
    <w:rsid w:val="0026320D"/>
    <w:rsid w:val="00267241"/>
    <w:rsid w:val="002702D0"/>
    <w:rsid w:val="0027073E"/>
    <w:rsid w:val="00271AC4"/>
    <w:rsid w:val="002734C5"/>
    <w:rsid w:val="00274ACE"/>
    <w:rsid w:val="00274F13"/>
    <w:rsid w:val="00282C5F"/>
    <w:rsid w:val="00283025"/>
    <w:rsid w:val="002852CD"/>
    <w:rsid w:val="002868C2"/>
    <w:rsid w:val="002870FD"/>
    <w:rsid w:val="002921E2"/>
    <w:rsid w:val="00294A1F"/>
    <w:rsid w:val="00294C20"/>
    <w:rsid w:val="00294C4C"/>
    <w:rsid w:val="00295326"/>
    <w:rsid w:val="002954F0"/>
    <w:rsid w:val="0029551A"/>
    <w:rsid w:val="0029646D"/>
    <w:rsid w:val="0029756E"/>
    <w:rsid w:val="002A07BA"/>
    <w:rsid w:val="002A245B"/>
    <w:rsid w:val="002A285A"/>
    <w:rsid w:val="002A2F00"/>
    <w:rsid w:val="002A39DE"/>
    <w:rsid w:val="002A5F6D"/>
    <w:rsid w:val="002A76D1"/>
    <w:rsid w:val="002B0BFA"/>
    <w:rsid w:val="002B1237"/>
    <w:rsid w:val="002B207B"/>
    <w:rsid w:val="002B2908"/>
    <w:rsid w:val="002B34EE"/>
    <w:rsid w:val="002B4476"/>
    <w:rsid w:val="002B4561"/>
    <w:rsid w:val="002B4FF4"/>
    <w:rsid w:val="002B631C"/>
    <w:rsid w:val="002C1F95"/>
    <w:rsid w:val="002C2A5E"/>
    <w:rsid w:val="002C2D2B"/>
    <w:rsid w:val="002C50F6"/>
    <w:rsid w:val="002C6687"/>
    <w:rsid w:val="002C7F89"/>
    <w:rsid w:val="002D01D4"/>
    <w:rsid w:val="002D0C4F"/>
    <w:rsid w:val="002D16F4"/>
    <w:rsid w:val="002D36C7"/>
    <w:rsid w:val="002D3BCB"/>
    <w:rsid w:val="002D79F6"/>
    <w:rsid w:val="002E0A90"/>
    <w:rsid w:val="002E0C4A"/>
    <w:rsid w:val="002E1A61"/>
    <w:rsid w:val="002E238E"/>
    <w:rsid w:val="002E2894"/>
    <w:rsid w:val="002E36A3"/>
    <w:rsid w:val="002E4AAB"/>
    <w:rsid w:val="002F185B"/>
    <w:rsid w:val="002F1A94"/>
    <w:rsid w:val="002F1B4C"/>
    <w:rsid w:val="002F288C"/>
    <w:rsid w:val="002F2BA5"/>
    <w:rsid w:val="002F3EED"/>
    <w:rsid w:val="002F40F2"/>
    <w:rsid w:val="002F692D"/>
    <w:rsid w:val="0030239E"/>
    <w:rsid w:val="00303B75"/>
    <w:rsid w:val="003054A9"/>
    <w:rsid w:val="00305500"/>
    <w:rsid w:val="003101D3"/>
    <w:rsid w:val="0031159F"/>
    <w:rsid w:val="003117FD"/>
    <w:rsid w:val="003141E3"/>
    <w:rsid w:val="003168F3"/>
    <w:rsid w:val="00316E59"/>
    <w:rsid w:val="00317603"/>
    <w:rsid w:val="0031765D"/>
    <w:rsid w:val="003237FE"/>
    <w:rsid w:val="00326499"/>
    <w:rsid w:val="00330E3C"/>
    <w:rsid w:val="003329FD"/>
    <w:rsid w:val="00333A55"/>
    <w:rsid w:val="00334D0C"/>
    <w:rsid w:val="0033641D"/>
    <w:rsid w:val="003367A6"/>
    <w:rsid w:val="00341262"/>
    <w:rsid w:val="00341658"/>
    <w:rsid w:val="0034595D"/>
    <w:rsid w:val="0035134A"/>
    <w:rsid w:val="0035586C"/>
    <w:rsid w:val="00356F05"/>
    <w:rsid w:val="00360AA7"/>
    <w:rsid w:val="00362299"/>
    <w:rsid w:val="00363DDB"/>
    <w:rsid w:val="00364835"/>
    <w:rsid w:val="00364B1D"/>
    <w:rsid w:val="00366084"/>
    <w:rsid w:val="00370A44"/>
    <w:rsid w:val="00371F7C"/>
    <w:rsid w:val="0037290B"/>
    <w:rsid w:val="0037326B"/>
    <w:rsid w:val="00376538"/>
    <w:rsid w:val="00377675"/>
    <w:rsid w:val="003807B0"/>
    <w:rsid w:val="00381375"/>
    <w:rsid w:val="00381A1E"/>
    <w:rsid w:val="0038239F"/>
    <w:rsid w:val="003833E1"/>
    <w:rsid w:val="003835A6"/>
    <w:rsid w:val="00386952"/>
    <w:rsid w:val="00391883"/>
    <w:rsid w:val="00392364"/>
    <w:rsid w:val="00392ADB"/>
    <w:rsid w:val="00394CC3"/>
    <w:rsid w:val="00397E21"/>
    <w:rsid w:val="003A3B78"/>
    <w:rsid w:val="003A460A"/>
    <w:rsid w:val="003A4617"/>
    <w:rsid w:val="003A5542"/>
    <w:rsid w:val="003A6432"/>
    <w:rsid w:val="003B2380"/>
    <w:rsid w:val="003B2F0F"/>
    <w:rsid w:val="003C5238"/>
    <w:rsid w:val="003C52BD"/>
    <w:rsid w:val="003D0334"/>
    <w:rsid w:val="003D2B73"/>
    <w:rsid w:val="003D3593"/>
    <w:rsid w:val="003D45DA"/>
    <w:rsid w:val="003D4EFC"/>
    <w:rsid w:val="003D5254"/>
    <w:rsid w:val="003D67D1"/>
    <w:rsid w:val="003E081D"/>
    <w:rsid w:val="003E0E43"/>
    <w:rsid w:val="003E339C"/>
    <w:rsid w:val="003E46AE"/>
    <w:rsid w:val="003E48E0"/>
    <w:rsid w:val="003E5C7A"/>
    <w:rsid w:val="003E5FAA"/>
    <w:rsid w:val="003E748A"/>
    <w:rsid w:val="003F15FE"/>
    <w:rsid w:val="003F1660"/>
    <w:rsid w:val="003F2542"/>
    <w:rsid w:val="003F2E4D"/>
    <w:rsid w:val="003F3413"/>
    <w:rsid w:val="003F5F5C"/>
    <w:rsid w:val="003F6119"/>
    <w:rsid w:val="003F62CC"/>
    <w:rsid w:val="003F6C97"/>
    <w:rsid w:val="003F6EFA"/>
    <w:rsid w:val="003F7012"/>
    <w:rsid w:val="003F7334"/>
    <w:rsid w:val="003F75F1"/>
    <w:rsid w:val="004013F2"/>
    <w:rsid w:val="004026C4"/>
    <w:rsid w:val="00404B64"/>
    <w:rsid w:val="00410654"/>
    <w:rsid w:val="004121E9"/>
    <w:rsid w:val="00412C80"/>
    <w:rsid w:val="00414A35"/>
    <w:rsid w:val="00415280"/>
    <w:rsid w:val="00415F56"/>
    <w:rsid w:val="0041681A"/>
    <w:rsid w:val="004168FE"/>
    <w:rsid w:val="00420544"/>
    <w:rsid w:val="00423737"/>
    <w:rsid w:val="00425B65"/>
    <w:rsid w:val="0042631F"/>
    <w:rsid w:val="00426CB6"/>
    <w:rsid w:val="004341FA"/>
    <w:rsid w:val="00434A99"/>
    <w:rsid w:val="00434D24"/>
    <w:rsid w:val="004372F3"/>
    <w:rsid w:val="004378D6"/>
    <w:rsid w:val="004422F7"/>
    <w:rsid w:val="00442B1D"/>
    <w:rsid w:val="00443841"/>
    <w:rsid w:val="00443962"/>
    <w:rsid w:val="00444A1F"/>
    <w:rsid w:val="00451A94"/>
    <w:rsid w:val="00452F08"/>
    <w:rsid w:val="00454D4E"/>
    <w:rsid w:val="0045665F"/>
    <w:rsid w:val="00456ECD"/>
    <w:rsid w:val="00457D21"/>
    <w:rsid w:val="0046081A"/>
    <w:rsid w:val="004608DC"/>
    <w:rsid w:val="00465F0D"/>
    <w:rsid w:val="0046790A"/>
    <w:rsid w:val="00471618"/>
    <w:rsid w:val="00472998"/>
    <w:rsid w:val="00476DBF"/>
    <w:rsid w:val="004771F2"/>
    <w:rsid w:val="0047737C"/>
    <w:rsid w:val="004777CE"/>
    <w:rsid w:val="00482C17"/>
    <w:rsid w:val="004840D2"/>
    <w:rsid w:val="00486F62"/>
    <w:rsid w:val="00487B28"/>
    <w:rsid w:val="00487BDD"/>
    <w:rsid w:val="0049099C"/>
    <w:rsid w:val="00492713"/>
    <w:rsid w:val="00496E4B"/>
    <w:rsid w:val="004A1D03"/>
    <w:rsid w:val="004A1EB8"/>
    <w:rsid w:val="004A2E91"/>
    <w:rsid w:val="004A3289"/>
    <w:rsid w:val="004A3544"/>
    <w:rsid w:val="004A359C"/>
    <w:rsid w:val="004A5155"/>
    <w:rsid w:val="004A600E"/>
    <w:rsid w:val="004B0DD9"/>
    <w:rsid w:val="004B1C1A"/>
    <w:rsid w:val="004B21D0"/>
    <w:rsid w:val="004B280E"/>
    <w:rsid w:val="004B3BD5"/>
    <w:rsid w:val="004B4B85"/>
    <w:rsid w:val="004B580E"/>
    <w:rsid w:val="004B7079"/>
    <w:rsid w:val="004B72A2"/>
    <w:rsid w:val="004B7FD4"/>
    <w:rsid w:val="004C0D79"/>
    <w:rsid w:val="004C1355"/>
    <w:rsid w:val="004C14D4"/>
    <w:rsid w:val="004C25DF"/>
    <w:rsid w:val="004C311B"/>
    <w:rsid w:val="004C3335"/>
    <w:rsid w:val="004C6314"/>
    <w:rsid w:val="004D12EB"/>
    <w:rsid w:val="004D3B2C"/>
    <w:rsid w:val="004D3BD8"/>
    <w:rsid w:val="004E0629"/>
    <w:rsid w:val="004E0B02"/>
    <w:rsid w:val="004E165C"/>
    <w:rsid w:val="004E734D"/>
    <w:rsid w:val="004E73CB"/>
    <w:rsid w:val="004F0461"/>
    <w:rsid w:val="004F0482"/>
    <w:rsid w:val="004F1512"/>
    <w:rsid w:val="004F16D4"/>
    <w:rsid w:val="004F2A4A"/>
    <w:rsid w:val="004F3DDA"/>
    <w:rsid w:val="004F5940"/>
    <w:rsid w:val="004F60A3"/>
    <w:rsid w:val="004F63C9"/>
    <w:rsid w:val="005011AD"/>
    <w:rsid w:val="00502A77"/>
    <w:rsid w:val="0050434C"/>
    <w:rsid w:val="005054B4"/>
    <w:rsid w:val="00507445"/>
    <w:rsid w:val="00510A46"/>
    <w:rsid w:val="00512133"/>
    <w:rsid w:val="00514A44"/>
    <w:rsid w:val="00515E88"/>
    <w:rsid w:val="0051604A"/>
    <w:rsid w:val="005201DF"/>
    <w:rsid w:val="00520483"/>
    <w:rsid w:val="00522A77"/>
    <w:rsid w:val="00523855"/>
    <w:rsid w:val="0052386F"/>
    <w:rsid w:val="005243F1"/>
    <w:rsid w:val="005306D1"/>
    <w:rsid w:val="00532D14"/>
    <w:rsid w:val="005338F8"/>
    <w:rsid w:val="0054002D"/>
    <w:rsid w:val="00540FDE"/>
    <w:rsid w:val="00543C68"/>
    <w:rsid w:val="00546D81"/>
    <w:rsid w:val="00550F24"/>
    <w:rsid w:val="00552D4C"/>
    <w:rsid w:val="005548F0"/>
    <w:rsid w:val="005553BB"/>
    <w:rsid w:val="00556A00"/>
    <w:rsid w:val="00557295"/>
    <w:rsid w:val="00557D14"/>
    <w:rsid w:val="005619A7"/>
    <w:rsid w:val="005648F6"/>
    <w:rsid w:val="00564CB3"/>
    <w:rsid w:val="00564DC5"/>
    <w:rsid w:val="00564F2B"/>
    <w:rsid w:val="00564F99"/>
    <w:rsid w:val="00566AF2"/>
    <w:rsid w:val="005678D7"/>
    <w:rsid w:val="00570472"/>
    <w:rsid w:val="005709A5"/>
    <w:rsid w:val="00572207"/>
    <w:rsid w:val="00574554"/>
    <w:rsid w:val="00577441"/>
    <w:rsid w:val="00580B33"/>
    <w:rsid w:val="005820AE"/>
    <w:rsid w:val="0058336C"/>
    <w:rsid w:val="00583E2B"/>
    <w:rsid w:val="0058405D"/>
    <w:rsid w:val="0058497B"/>
    <w:rsid w:val="00584F16"/>
    <w:rsid w:val="00584FAE"/>
    <w:rsid w:val="005860BE"/>
    <w:rsid w:val="00586852"/>
    <w:rsid w:val="00586D27"/>
    <w:rsid w:val="0058784A"/>
    <w:rsid w:val="00590DE4"/>
    <w:rsid w:val="00590F24"/>
    <w:rsid w:val="005911F4"/>
    <w:rsid w:val="0059247F"/>
    <w:rsid w:val="00592989"/>
    <w:rsid w:val="00592A38"/>
    <w:rsid w:val="0059369B"/>
    <w:rsid w:val="0059398A"/>
    <w:rsid w:val="00595CC0"/>
    <w:rsid w:val="005A3609"/>
    <w:rsid w:val="005A368F"/>
    <w:rsid w:val="005A42F3"/>
    <w:rsid w:val="005A7A39"/>
    <w:rsid w:val="005B00BB"/>
    <w:rsid w:val="005B0DA8"/>
    <w:rsid w:val="005B19D5"/>
    <w:rsid w:val="005B1BF7"/>
    <w:rsid w:val="005B624C"/>
    <w:rsid w:val="005B68EA"/>
    <w:rsid w:val="005C15F9"/>
    <w:rsid w:val="005C367A"/>
    <w:rsid w:val="005C788B"/>
    <w:rsid w:val="005D093B"/>
    <w:rsid w:val="005D38F5"/>
    <w:rsid w:val="005D521D"/>
    <w:rsid w:val="005D6E85"/>
    <w:rsid w:val="005D715F"/>
    <w:rsid w:val="005E01F6"/>
    <w:rsid w:val="005E1785"/>
    <w:rsid w:val="005E4387"/>
    <w:rsid w:val="005E506B"/>
    <w:rsid w:val="005E55CB"/>
    <w:rsid w:val="005E61BA"/>
    <w:rsid w:val="005E6C88"/>
    <w:rsid w:val="005E74E9"/>
    <w:rsid w:val="005E7A21"/>
    <w:rsid w:val="005F4530"/>
    <w:rsid w:val="005F4B20"/>
    <w:rsid w:val="005F5369"/>
    <w:rsid w:val="005F5AF2"/>
    <w:rsid w:val="005F654A"/>
    <w:rsid w:val="005F6D0C"/>
    <w:rsid w:val="005F6D29"/>
    <w:rsid w:val="006028F1"/>
    <w:rsid w:val="00604D27"/>
    <w:rsid w:val="00605206"/>
    <w:rsid w:val="006113C7"/>
    <w:rsid w:val="00611F69"/>
    <w:rsid w:val="006126A1"/>
    <w:rsid w:val="00612777"/>
    <w:rsid w:val="00612FAB"/>
    <w:rsid w:val="00613919"/>
    <w:rsid w:val="006143E3"/>
    <w:rsid w:val="006176EE"/>
    <w:rsid w:val="00617C2F"/>
    <w:rsid w:val="00623DF3"/>
    <w:rsid w:val="00624B75"/>
    <w:rsid w:val="0062568B"/>
    <w:rsid w:val="00625D42"/>
    <w:rsid w:val="0063015C"/>
    <w:rsid w:val="00630BC3"/>
    <w:rsid w:val="00631511"/>
    <w:rsid w:val="0063225B"/>
    <w:rsid w:val="0063335F"/>
    <w:rsid w:val="00633967"/>
    <w:rsid w:val="00633FBB"/>
    <w:rsid w:val="006342F6"/>
    <w:rsid w:val="00636F61"/>
    <w:rsid w:val="00637385"/>
    <w:rsid w:val="00640ED8"/>
    <w:rsid w:val="00641417"/>
    <w:rsid w:val="00641DBD"/>
    <w:rsid w:val="00642FE7"/>
    <w:rsid w:val="006432FA"/>
    <w:rsid w:val="00644C89"/>
    <w:rsid w:val="006460E6"/>
    <w:rsid w:val="006469AF"/>
    <w:rsid w:val="0064728D"/>
    <w:rsid w:val="006523F9"/>
    <w:rsid w:val="00653436"/>
    <w:rsid w:val="006549D9"/>
    <w:rsid w:val="0065574E"/>
    <w:rsid w:val="00655942"/>
    <w:rsid w:val="00656586"/>
    <w:rsid w:val="00656EE0"/>
    <w:rsid w:val="006579A5"/>
    <w:rsid w:val="00660061"/>
    <w:rsid w:val="00660939"/>
    <w:rsid w:val="006634B2"/>
    <w:rsid w:val="00663BF7"/>
    <w:rsid w:val="0066449A"/>
    <w:rsid w:val="006644D7"/>
    <w:rsid w:val="006664AC"/>
    <w:rsid w:val="006730A8"/>
    <w:rsid w:val="00676544"/>
    <w:rsid w:val="0067747F"/>
    <w:rsid w:val="00677DF3"/>
    <w:rsid w:val="00681E48"/>
    <w:rsid w:val="00686799"/>
    <w:rsid w:val="00686BF2"/>
    <w:rsid w:val="00690BF0"/>
    <w:rsid w:val="00694AED"/>
    <w:rsid w:val="006950DE"/>
    <w:rsid w:val="00695CC6"/>
    <w:rsid w:val="0069667E"/>
    <w:rsid w:val="006A2F07"/>
    <w:rsid w:val="006A3CC0"/>
    <w:rsid w:val="006A6F4C"/>
    <w:rsid w:val="006A743C"/>
    <w:rsid w:val="006A7981"/>
    <w:rsid w:val="006B0E45"/>
    <w:rsid w:val="006B19B4"/>
    <w:rsid w:val="006B21DC"/>
    <w:rsid w:val="006B25DE"/>
    <w:rsid w:val="006B263A"/>
    <w:rsid w:val="006B305B"/>
    <w:rsid w:val="006B3856"/>
    <w:rsid w:val="006B4FBC"/>
    <w:rsid w:val="006C132F"/>
    <w:rsid w:val="006C267D"/>
    <w:rsid w:val="006C371F"/>
    <w:rsid w:val="006C4430"/>
    <w:rsid w:val="006C459D"/>
    <w:rsid w:val="006C489C"/>
    <w:rsid w:val="006C4C4A"/>
    <w:rsid w:val="006D0225"/>
    <w:rsid w:val="006D03AF"/>
    <w:rsid w:val="006D1998"/>
    <w:rsid w:val="006D4293"/>
    <w:rsid w:val="006D52B0"/>
    <w:rsid w:val="006D5AE6"/>
    <w:rsid w:val="006D6FE7"/>
    <w:rsid w:val="006E043C"/>
    <w:rsid w:val="006E07B6"/>
    <w:rsid w:val="006E1501"/>
    <w:rsid w:val="006E375D"/>
    <w:rsid w:val="006E42C1"/>
    <w:rsid w:val="006E733C"/>
    <w:rsid w:val="006E7374"/>
    <w:rsid w:val="006F09E5"/>
    <w:rsid w:val="006F34CE"/>
    <w:rsid w:val="006F51CB"/>
    <w:rsid w:val="006F6081"/>
    <w:rsid w:val="006F6141"/>
    <w:rsid w:val="00700639"/>
    <w:rsid w:val="00702F5A"/>
    <w:rsid w:val="00702F70"/>
    <w:rsid w:val="007037FD"/>
    <w:rsid w:val="00703DEE"/>
    <w:rsid w:val="00704379"/>
    <w:rsid w:val="00706A7F"/>
    <w:rsid w:val="0071225B"/>
    <w:rsid w:val="00712A96"/>
    <w:rsid w:val="00714538"/>
    <w:rsid w:val="00714C14"/>
    <w:rsid w:val="00714F33"/>
    <w:rsid w:val="0071522A"/>
    <w:rsid w:val="007154B8"/>
    <w:rsid w:val="00715EF7"/>
    <w:rsid w:val="007166FE"/>
    <w:rsid w:val="007212D7"/>
    <w:rsid w:val="00721708"/>
    <w:rsid w:val="00723DDB"/>
    <w:rsid w:val="00724D03"/>
    <w:rsid w:val="00725256"/>
    <w:rsid w:val="0072691E"/>
    <w:rsid w:val="00726E81"/>
    <w:rsid w:val="00727C6E"/>
    <w:rsid w:val="00733AFC"/>
    <w:rsid w:val="00735847"/>
    <w:rsid w:val="00735E9E"/>
    <w:rsid w:val="0074102C"/>
    <w:rsid w:val="00741CE0"/>
    <w:rsid w:val="00741D07"/>
    <w:rsid w:val="00742358"/>
    <w:rsid w:val="00743B34"/>
    <w:rsid w:val="007450F9"/>
    <w:rsid w:val="007477F5"/>
    <w:rsid w:val="007511A7"/>
    <w:rsid w:val="00751F0B"/>
    <w:rsid w:val="00756CFC"/>
    <w:rsid w:val="00757B63"/>
    <w:rsid w:val="0076094F"/>
    <w:rsid w:val="00760F9F"/>
    <w:rsid w:val="007654B5"/>
    <w:rsid w:val="0077112B"/>
    <w:rsid w:val="00772D52"/>
    <w:rsid w:val="00775824"/>
    <w:rsid w:val="00777120"/>
    <w:rsid w:val="007801B9"/>
    <w:rsid w:val="0078178A"/>
    <w:rsid w:val="00781994"/>
    <w:rsid w:val="007832D9"/>
    <w:rsid w:val="00783BED"/>
    <w:rsid w:val="007850AB"/>
    <w:rsid w:val="00790959"/>
    <w:rsid w:val="0079177C"/>
    <w:rsid w:val="0079341B"/>
    <w:rsid w:val="00793788"/>
    <w:rsid w:val="007939AA"/>
    <w:rsid w:val="00796DDF"/>
    <w:rsid w:val="007974C7"/>
    <w:rsid w:val="007A1219"/>
    <w:rsid w:val="007A2305"/>
    <w:rsid w:val="007A2D60"/>
    <w:rsid w:val="007A30FC"/>
    <w:rsid w:val="007A58BF"/>
    <w:rsid w:val="007A65AA"/>
    <w:rsid w:val="007A66EF"/>
    <w:rsid w:val="007B06A4"/>
    <w:rsid w:val="007B2F49"/>
    <w:rsid w:val="007B360A"/>
    <w:rsid w:val="007B505C"/>
    <w:rsid w:val="007B5614"/>
    <w:rsid w:val="007B57CF"/>
    <w:rsid w:val="007B5A80"/>
    <w:rsid w:val="007B6530"/>
    <w:rsid w:val="007B6D92"/>
    <w:rsid w:val="007B7436"/>
    <w:rsid w:val="007B7FAB"/>
    <w:rsid w:val="007C1146"/>
    <w:rsid w:val="007C144F"/>
    <w:rsid w:val="007C35CD"/>
    <w:rsid w:val="007C3C2F"/>
    <w:rsid w:val="007C45EE"/>
    <w:rsid w:val="007C601C"/>
    <w:rsid w:val="007C6D25"/>
    <w:rsid w:val="007C7FC2"/>
    <w:rsid w:val="007D0B71"/>
    <w:rsid w:val="007D1B95"/>
    <w:rsid w:val="007D30A9"/>
    <w:rsid w:val="007E0CE8"/>
    <w:rsid w:val="007E33C9"/>
    <w:rsid w:val="007E3E59"/>
    <w:rsid w:val="007E7DBE"/>
    <w:rsid w:val="007F5538"/>
    <w:rsid w:val="007F5849"/>
    <w:rsid w:val="007F5C6C"/>
    <w:rsid w:val="007F682E"/>
    <w:rsid w:val="007F6BCF"/>
    <w:rsid w:val="007F781F"/>
    <w:rsid w:val="007F7843"/>
    <w:rsid w:val="00801861"/>
    <w:rsid w:val="00802A10"/>
    <w:rsid w:val="008076C2"/>
    <w:rsid w:val="0081141E"/>
    <w:rsid w:val="00811579"/>
    <w:rsid w:val="008125B3"/>
    <w:rsid w:val="00812A15"/>
    <w:rsid w:val="0081332D"/>
    <w:rsid w:val="0081402C"/>
    <w:rsid w:val="00815273"/>
    <w:rsid w:val="008153A2"/>
    <w:rsid w:val="00815781"/>
    <w:rsid w:val="00815C1B"/>
    <w:rsid w:val="00820C63"/>
    <w:rsid w:val="00822F88"/>
    <w:rsid w:val="00824C34"/>
    <w:rsid w:val="00830489"/>
    <w:rsid w:val="00833CAD"/>
    <w:rsid w:val="00841213"/>
    <w:rsid w:val="00842ED5"/>
    <w:rsid w:val="008449F2"/>
    <w:rsid w:val="00845731"/>
    <w:rsid w:val="008462BC"/>
    <w:rsid w:val="008468ED"/>
    <w:rsid w:val="00852555"/>
    <w:rsid w:val="00853818"/>
    <w:rsid w:val="0085500C"/>
    <w:rsid w:val="008550B6"/>
    <w:rsid w:val="00855C44"/>
    <w:rsid w:val="00856E44"/>
    <w:rsid w:val="0086122B"/>
    <w:rsid w:val="00863E02"/>
    <w:rsid w:val="00863FD3"/>
    <w:rsid w:val="0086568C"/>
    <w:rsid w:val="00867C52"/>
    <w:rsid w:val="008700D5"/>
    <w:rsid w:val="00871889"/>
    <w:rsid w:val="00872C53"/>
    <w:rsid w:val="00873572"/>
    <w:rsid w:val="008735C0"/>
    <w:rsid w:val="008757CA"/>
    <w:rsid w:val="00876333"/>
    <w:rsid w:val="00876BED"/>
    <w:rsid w:val="00877E25"/>
    <w:rsid w:val="00877FCF"/>
    <w:rsid w:val="00881324"/>
    <w:rsid w:val="008817DA"/>
    <w:rsid w:val="0088703F"/>
    <w:rsid w:val="0089120C"/>
    <w:rsid w:val="00891C4B"/>
    <w:rsid w:val="00892DEA"/>
    <w:rsid w:val="00894C6E"/>
    <w:rsid w:val="008969D3"/>
    <w:rsid w:val="0089715B"/>
    <w:rsid w:val="008972AB"/>
    <w:rsid w:val="008A0A09"/>
    <w:rsid w:val="008A12A2"/>
    <w:rsid w:val="008A134C"/>
    <w:rsid w:val="008A3774"/>
    <w:rsid w:val="008A4E8A"/>
    <w:rsid w:val="008A4EA9"/>
    <w:rsid w:val="008A58FB"/>
    <w:rsid w:val="008A6A68"/>
    <w:rsid w:val="008A7261"/>
    <w:rsid w:val="008B01C9"/>
    <w:rsid w:val="008B1391"/>
    <w:rsid w:val="008B1CE9"/>
    <w:rsid w:val="008B1EE4"/>
    <w:rsid w:val="008B3F68"/>
    <w:rsid w:val="008B5D9F"/>
    <w:rsid w:val="008B5FEE"/>
    <w:rsid w:val="008B63CB"/>
    <w:rsid w:val="008C16CD"/>
    <w:rsid w:val="008C249D"/>
    <w:rsid w:val="008C2784"/>
    <w:rsid w:val="008C2BEF"/>
    <w:rsid w:val="008C2D6D"/>
    <w:rsid w:val="008C53F5"/>
    <w:rsid w:val="008D00B6"/>
    <w:rsid w:val="008D54D3"/>
    <w:rsid w:val="008E143E"/>
    <w:rsid w:val="008E423A"/>
    <w:rsid w:val="008E58C8"/>
    <w:rsid w:val="008F026C"/>
    <w:rsid w:val="008F2164"/>
    <w:rsid w:val="008F374F"/>
    <w:rsid w:val="008F393E"/>
    <w:rsid w:val="008F5056"/>
    <w:rsid w:val="008F674A"/>
    <w:rsid w:val="008F75B6"/>
    <w:rsid w:val="008F774D"/>
    <w:rsid w:val="009008FA"/>
    <w:rsid w:val="009030FF"/>
    <w:rsid w:val="00904DC0"/>
    <w:rsid w:val="009055AD"/>
    <w:rsid w:val="00905EF2"/>
    <w:rsid w:val="00905F81"/>
    <w:rsid w:val="009107E0"/>
    <w:rsid w:val="00912810"/>
    <w:rsid w:val="00912E77"/>
    <w:rsid w:val="009139E9"/>
    <w:rsid w:val="00914EEE"/>
    <w:rsid w:val="009164CB"/>
    <w:rsid w:val="00921482"/>
    <w:rsid w:val="00921504"/>
    <w:rsid w:val="00921DA6"/>
    <w:rsid w:val="009222D8"/>
    <w:rsid w:val="0092251F"/>
    <w:rsid w:val="00922808"/>
    <w:rsid w:val="00922E30"/>
    <w:rsid w:val="00925DE2"/>
    <w:rsid w:val="00932245"/>
    <w:rsid w:val="00935D65"/>
    <w:rsid w:val="009360D9"/>
    <w:rsid w:val="00937E63"/>
    <w:rsid w:val="0094071C"/>
    <w:rsid w:val="00940E41"/>
    <w:rsid w:val="00943A72"/>
    <w:rsid w:val="00947614"/>
    <w:rsid w:val="00950434"/>
    <w:rsid w:val="00951DB9"/>
    <w:rsid w:val="00953E22"/>
    <w:rsid w:val="009551A3"/>
    <w:rsid w:val="009556BD"/>
    <w:rsid w:val="00956B8B"/>
    <w:rsid w:val="00957C0F"/>
    <w:rsid w:val="00957FA6"/>
    <w:rsid w:val="00962489"/>
    <w:rsid w:val="00962CE4"/>
    <w:rsid w:val="00963278"/>
    <w:rsid w:val="00965B35"/>
    <w:rsid w:val="009701F6"/>
    <w:rsid w:val="0097276D"/>
    <w:rsid w:val="009728D7"/>
    <w:rsid w:val="00981285"/>
    <w:rsid w:val="00981891"/>
    <w:rsid w:val="009818D5"/>
    <w:rsid w:val="009822F6"/>
    <w:rsid w:val="00983F48"/>
    <w:rsid w:val="00985411"/>
    <w:rsid w:val="00990421"/>
    <w:rsid w:val="00990FC8"/>
    <w:rsid w:val="009922B7"/>
    <w:rsid w:val="009923C4"/>
    <w:rsid w:val="00992414"/>
    <w:rsid w:val="009928BB"/>
    <w:rsid w:val="0099303D"/>
    <w:rsid w:val="0099335D"/>
    <w:rsid w:val="00994072"/>
    <w:rsid w:val="00994EF5"/>
    <w:rsid w:val="009A181C"/>
    <w:rsid w:val="009A3D2B"/>
    <w:rsid w:val="009B062A"/>
    <w:rsid w:val="009B1D1A"/>
    <w:rsid w:val="009B21A9"/>
    <w:rsid w:val="009B2B0A"/>
    <w:rsid w:val="009B474C"/>
    <w:rsid w:val="009B692B"/>
    <w:rsid w:val="009B6F24"/>
    <w:rsid w:val="009B70C3"/>
    <w:rsid w:val="009C0DF6"/>
    <w:rsid w:val="009C1B05"/>
    <w:rsid w:val="009C203D"/>
    <w:rsid w:val="009C2B68"/>
    <w:rsid w:val="009C5CB9"/>
    <w:rsid w:val="009C78DB"/>
    <w:rsid w:val="009D061C"/>
    <w:rsid w:val="009D160C"/>
    <w:rsid w:val="009D377A"/>
    <w:rsid w:val="009D4A44"/>
    <w:rsid w:val="009D50A8"/>
    <w:rsid w:val="009D553D"/>
    <w:rsid w:val="009D5DE1"/>
    <w:rsid w:val="009D6DCA"/>
    <w:rsid w:val="009D79C4"/>
    <w:rsid w:val="009E11F4"/>
    <w:rsid w:val="009E2FA4"/>
    <w:rsid w:val="009E3964"/>
    <w:rsid w:val="009E4470"/>
    <w:rsid w:val="009E55A1"/>
    <w:rsid w:val="009E7001"/>
    <w:rsid w:val="009F1F57"/>
    <w:rsid w:val="009F364D"/>
    <w:rsid w:val="009F3C55"/>
    <w:rsid w:val="009F4525"/>
    <w:rsid w:val="009F5559"/>
    <w:rsid w:val="009F5CEE"/>
    <w:rsid w:val="009F6BEB"/>
    <w:rsid w:val="009F6FBD"/>
    <w:rsid w:val="009F70E0"/>
    <w:rsid w:val="00A00252"/>
    <w:rsid w:val="00A02932"/>
    <w:rsid w:val="00A04073"/>
    <w:rsid w:val="00A047B0"/>
    <w:rsid w:val="00A10153"/>
    <w:rsid w:val="00A10353"/>
    <w:rsid w:val="00A10E00"/>
    <w:rsid w:val="00A11A87"/>
    <w:rsid w:val="00A121CC"/>
    <w:rsid w:val="00A122CB"/>
    <w:rsid w:val="00A132E9"/>
    <w:rsid w:val="00A1410F"/>
    <w:rsid w:val="00A157DC"/>
    <w:rsid w:val="00A15D71"/>
    <w:rsid w:val="00A16E26"/>
    <w:rsid w:val="00A204BA"/>
    <w:rsid w:val="00A207E6"/>
    <w:rsid w:val="00A23AAC"/>
    <w:rsid w:val="00A2460A"/>
    <w:rsid w:val="00A24756"/>
    <w:rsid w:val="00A260CC"/>
    <w:rsid w:val="00A27DFE"/>
    <w:rsid w:val="00A27EE8"/>
    <w:rsid w:val="00A3681E"/>
    <w:rsid w:val="00A36BFA"/>
    <w:rsid w:val="00A40663"/>
    <w:rsid w:val="00A44DA6"/>
    <w:rsid w:val="00A45902"/>
    <w:rsid w:val="00A46103"/>
    <w:rsid w:val="00A46777"/>
    <w:rsid w:val="00A5146B"/>
    <w:rsid w:val="00A517D7"/>
    <w:rsid w:val="00A51A4D"/>
    <w:rsid w:val="00A51A5A"/>
    <w:rsid w:val="00A52B0D"/>
    <w:rsid w:val="00A557C7"/>
    <w:rsid w:val="00A55E0C"/>
    <w:rsid w:val="00A575B9"/>
    <w:rsid w:val="00A57AB1"/>
    <w:rsid w:val="00A64D3E"/>
    <w:rsid w:val="00A658F4"/>
    <w:rsid w:val="00A6697B"/>
    <w:rsid w:val="00A671E4"/>
    <w:rsid w:val="00A6787A"/>
    <w:rsid w:val="00A70091"/>
    <w:rsid w:val="00A70843"/>
    <w:rsid w:val="00A71DFE"/>
    <w:rsid w:val="00A71F68"/>
    <w:rsid w:val="00A7291B"/>
    <w:rsid w:val="00A735A1"/>
    <w:rsid w:val="00A73CE5"/>
    <w:rsid w:val="00A74F7C"/>
    <w:rsid w:val="00A74FB3"/>
    <w:rsid w:val="00A7589F"/>
    <w:rsid w:val="00A778B1"/>
    <w:rsid w:val="00A8151F"/>
    <w:rsid w:val="00A81AC3"/>
    <w:rsid w:val="00A81C2F"/>
    <w:rsid w:val="00A82463"/>
    <w:rsid w:val="00A82AD1"/>
    <w:rsid w:val="00A84281"/>
    <w:rsid w:val="00A851F9"/>
    <w:rsid w:val="00A85ABD"/>
    <w:rsid w:val="00A915B5"/>
    <w:rsid w:val="00A921EB"/>
    <w:rsid w:val="00A92E87"/>
    <w:rsid w:val="00A93594"/>
    <w:rsid w:val="00A95DBC"/>
    <w:rsid w:val="00A9602E"/>
    <w:rsid w:val="00A97545"/>
    <w:rsid w:val="00A97EF1"/>
    <w:rsid w:val="00AA11A4"/>
    <w:rsid w:val="00AA15EF"/>
    <w:rsid w:val="00AA19AE"/>
    <w:rsid w:val="00AA35F5"/>
    <w:rsid w:val="00AA368B"/>
    <w:rsid w:val="00AA36DA"/>
    <w:rsid w:val="00AA51BE"/>
    <w:rsid w:val="00AA5315"/>
    <w:rsid w:val="00AA5F62"/>
    <w:rsid w:val="00AA624A"/>
    <w:rsid w:val="00AB118C"/>
    <w:rsid w:val="00AB392B"/>
    <w:rsid w:val="00AB4239"/>
    <w:rsid w:val="00AB5166"/>
    <w:rsid w:val="00AB5C57"/>
    <w:rsid w:val="00AB6441"/>
    <w:rsid w:val="00AD204B"/>
    <w:rsid w:val="00AD2824"/>
    <w:rsid w:val="00AD6499"/>
    <w:rsid w:val="00AE03B0"/>
    <w:rsid w:val="00AE11CD"/>
    <w:rsid w:val="00AE2497"/>
    <w:rsid w:val="00AE27F9"/>
    <w:rsid w:val="00AE4A16"/>
    <w:rsid w:val="00AE4BCE"/>
    <w:rsid w:val="00AE6C8E"/>
    <w:rsid w:val="00AF0827"/>
    <w:rsid w:val="00AF0A51"/>
    <w:rsid w:val="00AF3567"/>
    <w:rsid w:val="00AF3A17"/>
    <w:rsid w:val="00AF544E"/>
    <w:rsid w:val="00AF57AA"/>
    <w:rsid w:val="00B00F42"/>
    <w:rsid w:val="00B02582"/>
    <w:rsid w:val="00B02D64"/>
    <w:rsid w:val="00B04E6D"/>
    <w:rsid w:val="00B054FA"/>
    <w:rsid w:val="00B06AA9"/>
    <w:rsid w:val="00B07B37"/>
    <w:rsid w:val="00B1018F"/>
    <w:rsid w:val="00B119ED"/>
    <w:rsid w:val="00B1354E"/>
    <w:rsid w:val="00B13E1C"/>
    <w:rsid w:val="00B142C2"/>
    <w:rsid w:val="00B1463E"/>
    <w:rsid w:val="00B16354"/>
    <w:rsid w:val="00B242E2"/>
    <w:rsid w:val="00B268A5"/>
    <w:rsid w:val="00B275FF"/>
    <w:rsid w:val="00B27A00"/>
    <w:rsid w:val="00B30192"/>
    <w:rsid w:val="00B30CA7"/>
    <w:rsid w:val="00B31359"/>
    <w:rsid w:val="00B31541"/>
    <w:rsid w:val="00B330F6"/>
    <w:rsid w:val="00B33EBA"/>
    <w:rsid w:val="00B352D1"/>
    <w:rsid w:val="00B3759E"/>
    <w:rsid w:val="00B41643"/>
    <w:rsid w:val="00B41E42"/>
    <w:rsid w:val="00B42B78"/>
    <w:rsid w:val="00B445AD"/>
    <w:rsid w:val="00B45E6E"/>
    <w:rsid w:val="00B46133"/>
    <w:rsid w:val="00B5084D"/>
    <w:rsid w:val="00B54283"/>
    <w:rsid w:val="00B54649"/>
    <w:rsid w:val="00B55F7F"/>
    <w:rsid w:val="00B60665"/>
    <w:rsid w:val="00B61CE4"/>
    <w:rsid w:val="00B6225E"/>
    <w:rsid w:val="00B63239"/>
    <w:rsid w:val="00B64D7E"/>
    <w:rsid w:val="00B6591C"/>
    <w:rsid w:val="00B70684"/>
    <w:rsid w:val="00B7193D"/>
    <w:rsid w:val="00B71CD7"/>
    <w:rsid w:val="00B7340C"/>
    <w:rsid w:val="00B73803"/>
    <w:rsid w:val="00B740A2"/>
    <w:rsid w:val="00B809B9"/>
    <w:rsid w:val="00B81465"/>
    <w:rsid w:val="00B8281F"/>
    <w:rsid w:val="00B82B89"/>
    <w:rsid w:val="00B82CC6"/>
    <w:rsid w:val="00B84428"/>
    <w:rsid w:val="00B853D0"/>
    <w:rsid w:val="00B8558E"/>
    <w:rsid w:val="00B86F69"/>
    <w:rsid w:val="00B90607"/>
    <w:rsid w:val="00B93BB9"/>
    <w:rsid w:val="00B94F9E"/>
    <w:rsid w:val="00B96D78"/>
    <w:rsid w:val="00BA0196"/>
    <w:rsid w:val="00BA0252"/>
    <w:rsid w:val="00BA0993"/>
    <w:rsid w:val="00BA1A0F"/>
    <w:rsid w:val="00BA3E37"/>
    <w:rsid w:val="00BB0F31"/>
    <w:rsid w:val="00BB6141"/>
    <w:rsid w:val="00BB6951"/>
    <w:rsid w:val="00BB7673"/>
    <w:rsid w:val="00BB77E6"/>
    <w:rsid w:val="00BC10A4"/>
    <w:rsid w:val="00BC2F23"/>
    <w:rsid w:val="00BC3176"/>
    <w:rsid w:val="00BC3E63"/>
    <w:rsid w:val="00BC49EC"/>
    <w:rsid w:val="00BC5D80"/>
    <w:rsid w:val="00BC6B2D"/>
    <w:rsid w:val="00BC77DB"/>
    <w:rsid w:val="00BC7C90"/>
    <w:rsid w:val="00BC7EEF"/>
    <w:rsid w:val="00BD27F4"/>
    <w:rsid w:val="00BD39BE"/>
    <w:rsid w:val="00BD43DC"/>
    <w:rsid w:val="00BD4AFE"/>
    <w:rsid w:val="00BD6D9E"/>
    <w:rsid w:val="00BE007B"/>
    <w:rsid w:val="00BE14E3"/>
    <w:rsid w:val="00BE2FEB"/>
    <w:rsid w:val="00BE4DAE"/>
    <w:rsid w:val="00BE51AA"/>
    <w:rsid w:val="00BF2A62"/>
    <w:rsid w:val="00BF36FE"/>
    <w:rsid w:val="00BF46B5"/>
    <w:rsid w:val="00BF4FDF"/>
    <w:rsid w:val="00BF511E"/>
    <w:rsid w:val="00BF5F0B"/>
    <w:rsid w:val="00BF7FF1"/>
    <w:rsid w:val="00C00687"/>
    <w:rsid w:val="00C0081F"/>
    <w:rsid w:val="00C00868"/>
    <w:rsid w:val="00C0404C"/>
    <w:rsid w:val="00C04EC2"/>
    <w:rsid w:val="00C05616"/>
    <w:rsid w:val="00C0748A"/>
    <w:rsid w:val="00C111CC"/>
    <w:rsid w:val="00C11EFB"/>
    <w:rsid w:val="00C1292C"/>
    <w:rsid w:val="00C12A56"/>
    <w:rsid w:val="00C15F0E"/>
    <w:rsid w:val="00C2070F"/>
    <w:rsid w:val="00C214D8"/>
    <w:rsid w:val="00C21759"/>
    <w:rsid w:val="00C21D37"/>
    <w:rsid w:val="00C24EBF"/>
    <w:rsid w:val="00C25410"/>
    <w:rsid w:val="00C265C4"/>
    <w:rsid w:val="00C26D3E"/>
    <w:rsid w:val="00C30A6D"/>
    <w:rsid w:val="00C327EA"/>
    <w:rsid w:val="00C335EE"/>
    <w:rsid w:val="00C33A00"/>
    <w:rsid w:val="00C33B4A"/>
    <w:rsid w:val="00C33C17"/>
    <w:rsid w:val="00C3419E"/>
    <w:rsid w:val="00C34806"/>
    <w:rsid w:val="00C3505E"/>
    <w:rsid w:val="00C354CD"/>
    <w:rsid w:val="00C35B3D"/>
    <w:rsid w:val="00C43483"/>
    <w:rsid w:val="00C44392"/>
    <w:rsid w:val="00C44ACD"/>
    <w:rsid w:val="00C461F7"/>
    <w:rsid w:val="00C47E85"/>
    <w:rsid w:val="00C50308"/>
    <w:rsid w:val="00C50C40"/>
    <w:rsid w:val="00C51CB5"/>
    <w:rsid w:val="00C548EF"/>
    <w:rsid w:val="00C5501B"/>
    <w:rsid w:val="00C563D7"/>
    <w:rsid w:val="00C56769"/>
    <w:rsid w:val="00C602BD"/>
    <w:rsid w:val="00C612DC"/>
    <w:rsid w:val="00C639F7"/>
    <w:rsid w:val="00C652FE"/>
    <w:rsid w:val="00C666A5"/>
    <w:rsid w:val="00C71062"/>
    <w:rsid w:val="00C75122"/>
    <w:rsid w:val="00C76AAF"/>
    <w:rsid w:val="00C771CA"/>
    <w:rsid w:val="00C77298"/>
    <w:rsid w:val="00C80A7D"/>
    <w:rsid w:val="00C816F2"/>
    <w:rsid w:val="00C8314F"/>
    <w:rsid w:val="00C842A7"/>
    <w:rsid w:val="00C93889"/>
    <w:rsid w:val="00C93F66"/>
    <w:rsid w:val="00C95EA2"/>
    <w:rsid w:val="00C96331"/>
    <w:rsid w:val="00CA62A5"/>
    <w:rsid w:val="00CB45A7"/>
    <w:rsid w:val="00CB5533"/>
    <w:rsid w:val="00CB5716"/>
    <w:rsid w:val="00CB7064"/>
    <w:rsid w:val="00CB79C8"/>
    <w:rsid w:val="00CC1574"/>
    <w:rsid w:val="00CC4513"/>
    <w:rsid w:val="00CC788B"/>
    <w:rsid w:val="00CD0174"/>
    <w:rsid w:val="00CD1AC1"/>
    <w:rsid w:val="00CD333A"/>
    <w:rsid w:val="00CD4D90"/>
    <w:rsid w:val="00CD7647"/>
    <w:rsid w:val="00CE16D6"/>
    <w:rsid w:val="00CE1EDD"/>
    <w:rsid w:val="00CE2265"/>
    <w:rsid w:val="00CE2AA5"/>
    <w:rsid w:val="00CE4C4F"/>
    <w:rsid w:val="00CE699D"/>
    <w:rsid w:val="00CE77F5"/>
    <w:rsid w:val="00CF4635"/>
    <w:rsid w:val="00CF6574"/>
    <w:rsid w:val="00CF75D5"/>
    <w:rsid w:val="00D05039"/>
    <w:rsid w:val="00D055AF"/>
    <w:rsid w:val="00D061DF"/>
    <w:rsid w:val="00D076BE"/>
    <w:rsid w:val="00D10D4E"/>
    <w:rsid w:val="00D11F98"/>
    <w:rsid w:val="00D12827"/>
    <w:rsid w:val="00D14DAF"/>
    <w:rsid w:val="00D1604C"/>
    <w:rsid w:val="00D165FC"/>
    <w:rsid w:val="00D20E9E"/>
    <w:rsid w:val="00D242CE"/>
    <w:rsid w:val="00D24707"/>
    <w:rsid w:val="00D24DDE"/>
    <w:rsid w:val="00D255C4"/>
    <w:rsid w:val="00D2731A"/>
    <w:rsid w:val="00D30A64"/>
    <w:rsid w:val="00D31D1E"/>
    <w:rsid w:val="00D326CB"/>
    <w:rsid w:val="00D34139"/>
    <w:rsid w:val="00D34424"/>
    <w:rsid w:val="00D34E4B"/>
    <w:rsid w:val="00D366D4"/>
    <w:rsid w:val="00D366F3"/>
    <w:rsid w:val="00D366F9"/>
    <w:rsid w:val="00D36B04"/>
    <w:rsid w:val="00D373D7"/>
    <w:rsid w:val="00D4109E"/>
    <w:rsid w:val="00D42EA6"/>
    <w:rsid w:val="00D42EC4"/>
    <w:rsid w:val="00D43F40"/>
    <w:rsid w:val="00D4567D"/>
    <w:rsid w:val="00D462F8"/>
    <w:rsid w:val="00D46678"/>
    <w:rsid w:val="00D47AB6"/>
    <w:rsid w:val="00D512BE"/>
    <w:rsid w:val="00D51F50"/>
    <w:rsid w:val="00D534F3"/>
    <w:rsid w:val="00D53D7A"/>
    <w:rsid w:val="00D542F9"/>
    <w:rsid w:val="00D55EB8"/>
    <w:rsid w:val="00D60120"/>
    <w:rsid w:val="00D6244A"/>
    <w:rsid w:val="00D63628"/>
    <w:rsid w:val="00D63C2B"/>
    <w:rsid w:val="00D653FD"/>
    <w:rsid w:val="00D666DF"/>
    <w:rsid w:val="00D74688"/>
    <w:rsid w:val="00D7481B"/>
    <w:rsid w:val="00D74AA4"/>
    <w:rsid w:val="00D813AF"/>
    <w:rsid w:val="00D84998"/>
    <w:rsid w:val="00D84C8F"/>
    <w:rsid w:val="00D854FD"/>
    <w:rsid w:val="00D860D4"/>
    <w:rsid w:val="00D865AE"/>
    <w:rsid w:val="00D8764F"/>
    <w:rsid w:val="00D87F2A"/>
    <w:rsid w:val="00D95928"/>
    <w:rsid w:val="00DA2BA0"/>
    <w:rsid w:val="00DA3BBD"/>
    <w:rsid w:val="00DA4199"/>
    <w:rsid w:val="00DA48A5"/>
    <w:rsid w:val="00DA5FC3"/>
    <w:rsid w:val="00DA71DF"/>
    <w:rsid w:val="00DB024C"/>
    <w:rsid w:val="00DB0AEF"/>
    <w:rsid w:val="00DB0D45"/>
    <w:rsid w:val="00DB25BF"/>
    <w:rsid w:val="00DB6687"/>
    <w:rsid w:val="00DC002D"/>
    <w:rsid w:val="00DC241C"/>
    <w:rsid w:val="00DC6016"/>
    <w:rsid w:val="00DD2E72"/>
    <w:rsid w:val="00DD77B2"/>
    <w:rsid w:val="00DE0E5C"/>
    <w:rsid w:val="00DE0F6D"/>
    <w:rsid w:val="00DE1FDD"/>
    <w:rsid w:val="00DE4794"/>
    <w:rsid w:val="00DE48EC"/>
    <w:rsid w:val="00DE6099"/>
    <w:rsid w:val="00DE764C"/>
    <w:rsid w:val="00DF0723"/>
    <w:rsid w:val="00DF16E2"/>
    <w:rsid w:val="00DF1B66"/>
    <w:rsid w:val="00DF4B82"/>
    <w:rsid w:val="00DF7C13"/>
    <w:rsid w:val="00DF7CFC"/>
    <w:rsid w:val="00E002DA"/>
    <w:rsid w:val="00E00F0B"/>
    <w:rsid w:val="00E013FE"/>
    <w:rsid w:val="00E01403"/>
    <w:rsid w:val="00E0220A"/>
    <w:rsid w:val="00E02B6A"/>
    <w:rsid w:val="00E07190"/>
    <w:rsid w:val="00E07218"/>
    <w:rsid w:val="00E12680"/>
    <w:rsid w:val="00E13518"/>
    <w:rsid w:val="00E13D11"/>
    <w:rsid w:val="00E140F7"/>
    <w:rsid w:val="00E16D68"/>
    <w:rsid w:val="00E170A6"/>
    <w:rsid w:val="00E204DE"/>
    <w:rsid w:val="00E22E05"/>
    <w:rsid w:val="00E24874"/>
    <w:rsid w:val="00E262DD"/>
    <w:rsid w:val="00E274CF"/>
    <w:rsid w:val="00E275E5"/>
    <w:rsid w:val="00E27A52"/>
    <w:rsid w:val="00E35453"/>
    <w:rsid w:val="00E363A8"/>
    <w:rsid w:val="00E36443"/>
    <w:rsid w:val="00E37A6D"/>
    <w:rsid w:val="00E4232B"/>
    <w:rsid w:val="00E425EF"/>
    <w:rsid w:val="00E47295"/>
    <w:rsid w:val="00E5115C"/>
    <w:rsid w:val="00E51425"/>
    <w:rsid w:val="00E526FB"/>
    <w:rsid w:val="00E532F4"/>
    <w:rsid w:val="00E54604"/>
    <w:rsid w:val="00E61775"/>
    <w:rsid w:val="00E6344A"/>
    <w:rsid w:val="00E63A5E"/>
    <w:rsid w:val="00E67996"/>
    <w:rsid w:val="00E7092A"/>
    <w:rsid w:val="00E74183"/>
    <w:rsid w:val="00E75AD9"/>
    <w:rsid w:val="00E829B4"/>
    <w:rsid w:val="00E848F9"/>
    <w:rsid w:val="00E87790"/>
    <w:rsid w:val="00E90DAE"/>
    <w:rsid w:val="00E929C6"/>
    <w:rsid w:val="00EA0B11"/>
    <w:rsid w:val="00EA2BEB"/>
    <w:rsid w:val="00EA2F29"/>
    <w:rsid w:val="00EA6418"/>
    <w:rsid w:val="00EA64DE"/>
    <w:rsid w:val="00EB09DC"/>
    <w:rsid w:val="00EB0CA5"/>
    <w:rsid w:val="00EB24FA"/>
    <w:rsid w:val="00EB363E"/>
    <w:rsid w:val="00EB5A40"/>
    <w:rsid w:val="00EC1418"/>
    <w:rsid w:val="00EC27A7"/>
    <w:rsid w:val="00EC30FB"/>
    <w:rsid w:val="00EC4F97"/>
    <w:rsid w:val="00EC6496"/>
    <w:rsid w:val="00ED0038"/>
    <w:rsid w:val="00ED01BF"/>
    <w:rsid w:val="00ED167E"/>
    <w:rsid w:val="00ED287E"/>
    <w:rsid w:val="00ED3433"/>
    <w:rsid w:val="00ED44BA"/>
    <w:rsid w:val="00ED5778"/>
    <w:rsid w:val="00ED6ABA"/>
    <w:rsid w:val="00ED6F41"/>
    <w:rsid w:val="00EE1184"/>
    <w:rsid w:val="00EE1973"/>
    <w:rsid w:val="00EE1AEC"/>
    <w:rsid w:val="00EE2B54"/>
    <w:rsid w:val="00EE2CD2"/>
    <w:rsid w:val="00EE5FEC"/>
    <w:rsid w:val="00EE72E4"/>
    <w:rsid w:val="00EF018E"/>
    <w:rsid w:val="00EF0EAF"/>
    <w:rsid w:val="00EF230B"/>
    <w:rsid w:val="00EF344F"/>
    <w:rsid w:val="00EF52D7"/>
    <w:rsid w:val="00EF6911"/>
    <w:rsid w:val="00EF6CF0"/>
    <w:rsid w:val="00F02012"/>
    <w:rsid w:val="00F054D3"/>
    <w:rsid w:val="00F05764"/>
    <w:rsid w:val="00F0768C"/>
    <w:rsid w:val="00F0774D"/>
    <w:rsid w:val="00F1374E"/>
    <w:rsid w:val="00F154DB"/>
    <w:rsid w:val="00F154E7"/>
    <w:rsid w:val="00F15FB3"/>
    <w:rsid w:val="00F209C6"/>
    <w:rsid w:val="00F220D8"/>
    <w:rsid w:val="00F2232A"/>
    <w:rsid w:val="00F22688"/>
    <w:rsid w:val="00F27338"/>
    <w:rsid w:val="00F31971"/>
    <w:rsid w:val="00F31C27"/>
    <w:rsid w:val="00F32EEC"/>
    <w:rsid w:val="00F3329B"/>
    <w:rsid w:val="00F33D3B"/>
    <w:rsid w:val="00F353E7"/>
    <w:rsid w:val="00F37A87"/>
    <w:rsid w:val="00F37D61"/>
    <w:rsid w:val="00F40EA7"/>
    <w:rsid w:val="00F41E0F"/>
    <w:rsid w:val="00F43141"/>
    <w:rsid w:val="00F44954"/>
    <w:rsid w:val="00F44CA7"/>
    <w:rsid w:val="00F44E48"/>
    <w:rsid w:val="00F4523B"/>
    <w:rsid w:val="00F4593F"/>
    <w:rsid w:val="00F47365"/>
    <w:rsid w:val="00F47E74"/>
    <w:rsid w:val="00F5682A"/>
    <w:rsid w:val="00F56EAB"/>
    <w:rsid w:val="00F60265"/>
    <w:rsid w:val="00F6340B"/>
    <w:rsid w:val="00F66940"/>
    <w:rsid w:val="00F704FB"/>
    <w:rsid w:val="00F71EDB"/>
    <w:rsid w:val="00F7228B"/>
    <w:rsid w:val="00F73360"/>
    <w:rsid w:val="00F739E6"/>
    <w:rsid w:val="00F742EB"/>
    <w:rsid w:val="00F75D7A"/>
    <w:rsid w:val="00F77E19"/>
    <w:rsid w:val="00F77F9A"/>
    <w:rsid w:val="00F8128D"/>
    <w:rsid w:val="00F81885"/>
    <w:rsid w:val="00F8372A"/>
    <w:rsid w:val="00F84551"/>
    <w:rsid w:val="00F852BA"/>
    <w:rsid w:val="00F85346"/>
    <w:rsid w:val="00F85CA5"/>
    <w:rsid w:val="00F86633"/>
    <w:rsid w:val="00F87BC1"/>
    <w:rsid w:val="00F90E2B"/>
    <w:rsid w:val="00F91184"/>
    <w:rsid w:val="00F9344F"/>
    <w:rsid w:val="00F93756"/>
    <w:rsid w:val="00F93D4D"/>
    <w:rsid w:val="00F9675D"/>
    <w:rsid w:val="00F97737"/>
    <w:rsid w:val="00F977F2"/>
    <w:rsid w:val="00FA1084"/>
    <w:rsid w:val="00FA28E6"/>
    <w:rsid w:val="00FA2FAD"/>
    <w:rsid w:val="00FA3166"/>
    <w:rsid w:val="00FA385A"/>
    <w:rsid w:val="00FA3A1B"/>
    <w:rsid w:val="00FA569C"/>
    <w:rsid w:val="00FA713F"/>
    <w:rsid w:val="00FA71E6"/>
    <w:rsid w:val="00FA7630"/>
    <w:rsid w:val="00FB03B1"/>
    <w:rsid w:val="00FB508D"/>
    <w:rsid w:val="00FB51C8"/>
    <w:rsid w:val="00FB5547"/>
    <w:rsid w:val="00FB581B"/>
    <w:rsid w:val="00FB67E8"/>
    <w:rsid w:val="00FB6927"/>
    <w:rsid w:val="00FB6EBA"/>
    <w:rsid w:val="00FC04D3"/>
    <w:rsid w:val="00FC5249"/>
    <w:rsid w:val="00FC56D9"/>
    <w:rsid w:val="00FC574B"/>
    <w:rsid w:val="00FC6C8C"/>
    <w:rsid w:val="00FC70C6"/>
    <w:rsid w:val="00FC7D77"/>
    <w:rsid w:val="00FD0AA0"/>
    <w:rsid w:val="00FD1B93"/>
    <w:rsid w:val="00FD2ED3"/>
    <w:rsid w:val="00FD30C7"/>
    <w:rsid w:val="00FD480C"/>
    <w:rsid w:val="00FD4AB5"/>
    <w:rsid w:val="00FE0115"/>
    <w:rsid w:val="00FE0901"/>
    <w:rsid w:val="00FE52FB"/>
    <w:rsid w:val="00FE6525"/>
    <w:rsid w:val="00FE6A36"/>
    <w:rsid w:val="00FE6E37"/>
    <w:rsid w:val="00FF1B3A"/>
    <w:rsid w:val="00FF20F6"/>
    <w:rsid w:val="00FF22EA"/>
    <w:rsid w:val="00FF3B5A"/>
    <w:rsid w:val="00FF520D"/>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43"/>
    <w:pPr>
      <w:spacing w:line="480" w:lineRule="auto"/>
      <w:ind w:left="720" w:hanging="720"/>
    </w:pPr>
    <w:rPr>
      <w:rFonts w:ascii="Garamond" w:hAnsi="Garamond"/>
      <w:sz w:val="24"/>
    </w:rPr>
  </w:style>
  <w:style w:type="paragraph" w:styleId="Heading1">
    <w:name w:val="heading 1"/>
    <w:basedOn w:val="Normal"/>
    <w:next w:val="Normal"/>
    <w:link w:val="Heading1Char"/>
    <w:qFormat/>
    <w:rsid w:val="00F02012"/>
    <w:pPr>
      <w:keepNext/>
      <w:jc w:val="center"/>
      <w:outlineLvl w:val="0"/>
    </w:pPr>
    <w:rPr>
      <w:rFonts w:ascii="Times New Roman Bold" w:hAnsi="Times New Roman Bold"/>
      <w:b/>
      <w:caps/>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695CC6"/>
    <w:pPr>
      <w:keepNext/>
      <w:ind w:firstLine="720"/>
      <w:jc w:val="center"/>
      <w:outlineLvl w:val="5"/>
    </w:pPr>
    <w:rPr>
      <w:rFonts w:ascii="Times New Roman" w:hAnsi="Times New Roman"/>
      <w:b/>
    </w:rPr>
  </w:style>
  <w:style w:type="paragraph" w:styleId="Heading9">
    <w:name w:val="heading 9"/>
    <w:basedOn w:val="Normal"/>
    <w:next w:val="Normal"/>
    <w:qFormat/>
    <w:rsid w:val="00CE4C4F"/>
    <w:pPr>
      <w:outlineLvl w:val="8"/>
    </w:pPr>
    <w:rPr>
      <w:rFonts w:ascii="Times New Roman" w:hAnsi="Times New Roman"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
    <w:uiPriority w:val="99"/>
    <w:semiHidden/>
    <w:rsid w:val="000C6708"/>
    <w:rPr>
      <w:rFonts w:ascii="Times New Roman" w:hAnsi="Times New Roman"/>
      <w:sz w:val="24"/>
      <w:vertAlign w:val="superscript"/>
    </w:rPr>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link w:val="CommentTextChar"/>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customStyle="1" w:styleId="CharCharCharCharCharCharCharCharCharCharCharCharCharChar">
    <w:name w:val="Char Char Char Char Char Char Char Char Char Char Char Char Char Char"/>
    <w:basedOn w:val="Normal"/>
    <w:rsid w:val="009F4525"/>
    <w:pPr>
      <w:widowControl w:val="0"/>
      <w:adjustRightInd w:val="0"/>
      <w:spacing w:after="160" w:line="240" w:lineRule="exact"/>
      <w:ind w:left="0" w:firstLine="0"/>
      <w:jc w:val="both"/>
      <w:textAlignment w:val="baseline"/>
    </w:pPr>
    <w:rPr>
      <w:rFonts w:ascii="Verdana" w:hAnsi="Verdana"/>
      <w:sz w:val="20"/>
    </w:rPr>
  </w:style>
  <w:style w:type="character" w:styleId="Hyperlink">
    <w:name w:val="Hyperlink"/>
    <w:uiPriority w:val="99"/>
    <w:unhideWhenUsed/>
    <w:rsid w:val="00CC4513"/>
    <w:rPr>
      <w:color w:val="0000FF"/>
      <w:u w:val="single"/>
    </w:rPr>
  </w:style>
  <w:style w:type="paragraph" w:styleId="HTMLPreformatted">
    <w:name w:val="HTML Preformatted"/>
    <w:basedOn w:val="Normal"/>
    <w:link w:val="HTMLPreformattedChar"/>
    <w:uiPriority w:val="99"/>
    <w:semiHidden/>
    <w:unhideWhenUsed/>
    <w:rsid w:val="00CC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C4513"/>
    <w:rPr>
      <w:rFonts w:ascii="Courier New" w:hAnsi="Courier New" w:cs="Courier New"/>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CC4513"/>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4 Char"/>
    <w:basedOn w:val="Normal"/>
    <w:link w:val="FootnoteTextChar"/>
    <w:uiPriority w:val="99"/>
    <w:semiHidden/>
    <w:unhideWhenUsed/>
    <w:rsid w:val="00CC4513"/>
    <w:pPr>
      <w:spacing w:line="240" w:lineRule="auto"/>
      <w:ind w:left="0" w:firstLine="0"/>
    </w:pPr>
    <w:rPr>
      <w:rFonts w:ascii="Times New Roman" w:hAnsi="Times New Roman"/>
      <w:sz w:val="20"/>
    </w:rPr>
  </w:style>
  <w:style w:type="character" w:customStyle="1" w:styleId="FootnoteTextChar1">
    <w:name w:val="Footnote Text Char1"/>
    <w:basedOn w:val="DefaultParagraphFont"/>
    <w:uiPriority w:val="99"/>
    <w:semiHidden/>
    <w:rsid w:val="00CC4513"/>
    <w:rPr>
      <w:rFonts w:ascii="Garamond" w:hAnsi="Garamond"/>
    </w:rPr>
  </w:style>
  <w:style w:type="character" w:customStyle="1" w:styleId="CommentTextChar">
    <w:name w:val="Comment Text Char"/>
    <w:basedOn w:val="DefaultParagraphFont"/>
    <w:link w:val="CommentText"/>
    <w:semiHidden/>
    <w:rsid w:val="00CC4513"/>
    <w:rPr>
      <w:rFonts w:ascii="Garamond" w:hAnsi="Garamond"/>
    </w:rPr>
  </w:style>
  <w:style w:type="paragraph" w:customStyle="1" w:styleId="testimony">
    <w:name w:val="testimony"/>
    <w:basedOn w:val="Normal"/>
    <w:rsid w:val="00CC4513"/>
    <w:pPr>
      <w:tabs>
        <w:tab w:val="left" w:pos="720"/>
        <w:tab w:val="left" w:pos="2160"/>
      </w:tabs>
      <w:spacing w:line="440" w:lineRule="atLeast"/>
      <w:ind w:left="0" w:hanging="360"/>
    </w:pPr>
    <w:rPr>
      <w:rFonts w:ascii="Times" w:hAnsi="Times"/>
    </w:rPr>
  </w:style>
  <w:style w:type="character" w:customStyle="1" w:styleId="Answer-TestimonyChar">
    <w:name w:val="Answer - Testimony Char"/>
    <w:link w:val="Answer-Testimony"/>
    <w:locked/>
    <w:rsid w:val="00CC4513"/>
    <w:rPr>
      <w:sz w:val="24"/>
      <w:szCs w:val="24"/>
    </w:rPr>
  </w:style>
  <w:style w:type="paragraph" w:customStyle="1" w:styleId="Answer-Testimony">
    <w:name w:val="Answer - Testimony"/>
    <w:basedOn w:val="Normal"/>
    <w:link w:val="Answer-TestimonyChar"/>
    <w:qFormat/>
    <w:rsid w:val="00CC4513"/>
    <w:rPr>
      <w:rFonts w:ascii="Times New Roman" w:hAnsi="Times New Roman"/>
      <w:szCs w:val="24"/>
    </w:rPr>
  </w:style>
  <w:style w:type="character" w:styleId="Strong">
    <w:name w:val="Strong"/>
    <w:aliases w:val="Quote - Testimony"/>
    <w:qFormat/>
    <w:rsid w:val="00B82B89"/>
  </w:style>
  <w:style w:type="paragraph" w:styleId="Revision">
    <w:name w:val="Revision"/>
    <w:hidden/>
    <w:uiPriority w:val="99"/>
    <w:semiHidden/>
    <w:rsid w:val="005D38F5"/>
    <w:rPr>
      <w:rFonts w:ascii="Garamond" w:hAnsi="Garamond"/>
      <w:sz w:val="24"/>
    </w:rPr>
  </w:style>
  <w:style w:type="paragraph" w:styleId="TOCHeading">
    <w:name w:val="TOC Heading"/>
    <w:basedOn w:val="Heading1"/>
    <w:next w:val="Normal"/>
    <w:uiPriority w:val="39"/>
    <w:semiHidden/>
    <w:unhideWhenUsed/>
    <w:qFormat/>
    <w:rsid w:val="00086B5B"/>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086B5B"/>
    <w:pPr>
      <w:tabs>
        <w:tab w:val="right" w:leader="dot" w:pos="8990"/>
      </w:tabs>
      <w:spacing w:after="100"/>
      <w:ind w:left="0" w:firstLine="0"/>
    </w:pPr>
  </w:style>
  <w:style w:type="character" w:customStyle="1" w:styleId="Heading1Char">
    <w:name w:val="Heading 1 Char"/>
    <w:basedOn w:val="DefaultParagraphFont"/>
    <w:link w:val="Heading1"/>
    <w:rsid w:val="00102A64"/>
    <w:rPr>
      <w:rFonts w:ascii="Times New Roman Bold" w:hAnsi="Times New Roman Bold"/>
      <w:b/>
      <w:caps/>
      <w:sz w:val="24"/>
    </w:rPr>
  </w:style>
  <w:style w:type="character" w:styleId="FollowedHyperlink">
    <w:name w:val="FollowedHyperlink"/>
    <w:basedOn w:val="DefaultParagraphFont"/>
    <w:uiPriority w:val="99"/>
    <w:semiHidden/>
    <w:unhideWhenUsed/>
    <w:rsid w:val="00131228"/>
    <w:rPr>
      <w:color w:val="800080" w:themeColor="followedHyperlink"/>
      <w:u w:val="single"/>
    </w:rPr>
  </w:style>
  <w:style w:type="paragraph" w:styleId="TOC2">
    <w:name w:val="toc 2"/>
    <w:basedOn w:val="Normal"/>
    <w:next w:val="Normal"/>
    <w:autoRedefine/>
    <w:uiPriority w:val="39"/>
    <w:unhideWhenUsed/>
    <w:rsid w:val="00FD480C"/>
    <w:pPr>
      <w:suppressLineNumbers/>
      <w:tabs>
        <w:tab w:val="right" w:leader="dot" w:pos="8990"/>
      </w:tabs>
      <w:ind w:left="630" w:hanging="630"/>
    </w:pPr>
    <w:rPr>
      <w:rFonts w:ascii="Times New Roman" w:hAnsi="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43"/>
    <w:pPr>
      <w:spacing w:line="480" w:lineRule="auto"/>
      <w:ind w:left="720" w:hanging="720"/>
    </w:pPr>
    <w:rPr>
      <w:rFonts w:ascii="Garamond" w:hAnsi="Garamond"/>
      <w:sz w:val="24"/>
    </w:rPr>
  </w:style>
  <w:style w:type="paragraph" w:styleId="Heading1">
    <w:name w:val="heading 1"/>
    <w:basedOn w:val="Normal"/>
    <w:next w:val="Normal"/>
    <w:link w:val="Heading1Char"/>
    <w:qFormat/>
    <w:rsid w:val="00F02012"/>
    <w:pPr>
      <w:keepNext/>
      <w:jc w:val="center"/>
      <w:outlineLvl w:val="0"/>
    </w:pPr>
    <w:rPr>
      <w:rFonts w:ascii="Times New Roman Bold" w:hAnsi="Times New Roman Bold"/>
      <w:b/>
      <w:caps/>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695CC6"/>
    <w:pPr>
      <w:keepNext/>
      <w:ind w:firstLine="720"/>
      <w:jc w:val="center"/>
      <w:outlineLvl w:val="5"/>
    </w:pPr>
    <w:rPr>
      <w:rFonts w:ascii="Times New Roman" w:hAnsi="Times New Roman"/>
      <w:b/>
    </w:rPr>
  </w:style>
  <w:style w:type="paragraph" w:styleId="Heading9">
    <w:name w:val="heading 9"/>
    <w:basedOn w:val="Normal"/>
    <w:next w:val="Normal"/>
    <w:qFormat/>
    <w:rsid w:val="00CE4C4F"/>
    <w:pPr>
      <w:outlineLvl w:val="8"/>
    </w:pPr>
    <w:rPr>
      <w:rFonts w:ascii="Times New Roman" w:hAnsi="Times New Roman"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
    <w:uiPriority w:val="99"/>
    <w:semiHidden/>
    <w:rsid w:val="000C6708"/>
    <w:rPr>
      <w:rFonts w:ascii="Times New Roman" w:hAnsi="Times New Roman"/>
      <w:sz w:val="24"/>
      <w:vertAlign w:val="superscript"/>
    </w:rPr>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link w:val="CommentTextChar"/>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customStyle="1" w:styleId="CharCharCharCharCharCharCharCharCharCharCharCharCharChar">
    <w:name w:val="Char Char Char Char Char Char Char Char Char Char Char Char Char Char"/>
    <w:basedOn w:val="Normal"/>
    <w:rsid w:val="009F4525"/>
    <w:pPr>
      <w:widowControl w:val="0"/>
      <w:adjustRightInd w:val="0"/>
      <w:spacing w:after="160" w:line="240" w:lineRule="exact"/>
      <w:ind w:left="0" w:firstLine="0"/>
      <w:jc w:val="both"/>
      <w:textAlignment w:val="baseline"/>
    </w:pPr>
    <w:rPr>
      <w:rFonts w:ascii="Verdana" w:hAnsi="Verdana"/>
      <w:sz w:val="20"/>
    </w:rPr>
  </w:style>
  <w:style w:type="character" w:styleId="Hyperlink">
    <w:name w:val="Hyperlink"/>
    <w:uiPriority w:val="99"/>
    <w:unhideWhenUsed/>
    <w:rsid w:val="00CC4513"/>
    <w:rPr>
      <w:color w:val="0000FF"/>
      <w:u w:val="single"/>
    </w:rPr>
  </w:style>
  <w:style w:type="paragraph" w:styleId="HTMLPreformatted">
    <w:name w:val="HTML Preformatted"/>
    <w:basedOn w:val="Normal"/>
    <w:link w:val="HTMLPreformattedChar"/>
    <w:uiPriority w:val="99"/>
    <w:semiHidden/>
    <w:unhideWhenUsed/>
    <w:rsid w:val="00CC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C4513"/>
    <w:rPr>
      <w:rFonts w:ascii="Courier New" w:hAnsi="Courier New" w:cs="Courier New"/>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CC4513"/>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4 Char"/>
    <w:basedOn w:val="Normal"/>
    <w:link w:val="FootnoteTextChar"/>
    <w:uiPriority w:val="99"/>
    <w:semiHidden/>
    <w:unhideWhenUsed/>
    <w:rsid w:val="00CC4513"/>
    <w:pPr>
      <w:spacing w:line="240" w:lineRule="auto"/>
      <w:ind w:left="0" w:firstLine="0"/>
    </w:pPr>
    <w:rPr>
      <w:rFonts w:ascii="Times New Roman" w:hAnsi="Times New Roman"/>
      <w:sz w:val="20"/>
    </w:rPr>
  </w:style>
  <w:style w:type="character" w:customStyle="1" w:styleId="FootnoteTextChar1">
    <w:name w:val="Footnote Text Char1"/>
    <w:basedOn w:val="DefaultParagraphFont"/>
    <w:uiPriority w:val="99"/>
    <w:semiHidden/>
    <w:rsid w:val="00CC4513"/>
    <w:rPr>
      <w:rFonts w:ascii="Garamond" w:hAnsi="Garamond"/>
    </w:rPr>
  </w:style>
  <w:style w:type="character" w:customStyle="1" w:styleId="CommentTextChar">
    <w:name w:val="Comment Text Char"/>
    <w:basedOn w:val="DefaultParagraphFont"/>
    <w:link w:val="CommentText"/>
    <w:semiHidden/>
    <w:rsid w:val="00CC4513"/>
    <w:rPr>
      <w:rFonts w:ascii="Garamond" w:hAnsi="Garamond"/>
    </w:rPr>
  </w:style>
  <w:style w:type="paragraph" w:customStyle="1" w:styleId="testimony">
    <w:name w:val="testimony"/>
    <w:basedOn w:val="Normal"/>
    <w:rsid w:val="00CC4513"/>
    <w:pPr>
      <w:tabs>
        <w:tab w:val="left" w:pos="720"/>
        <w:tab w:val="left" w:pos="2160"/>
      </w:tabs>
      <w:spacing w:line="440" w:lineRule="atLeast"/>
      <w:ind w:left="0" w:hanging="360"/>
    </w:pPr>
    <w:rPr>
      <w:rFonts w:ascii="Times" w:hAnsi="Times"/>
    </w:rPr>
  </w:style>
  <w:style w:type="character" w:customStyle="1" w:styleId="Answer-TestimonyChar">
    <w:name w:val="Answer - Testimony Char"/>
    <w:link w:val="Answer-Testimony"/>
    <w:locked/>
    <w:rsid w:val="00CC4513"/>
    <w:rPr>
      <w:sz w:val="24"/>
      <w:szCs w:val="24"/>
    </w:rPr>
  </w:style>
  <w:style w:type="paragraph" w:customStyle="1" w:styleId="Answer-Testimony">
    <w:name w:val="Answer - Testimony"/>
    <w:basedOn w:val="Normal"/>
    <w:link w:val="Answer-TestimonyChar"/>
    <w:qFormat/>
    <w:rsid w:val="00CC4513"/>
    <w:rPr>
      <w:rFonts w:ascii="Times New Roman" w:hAnsi="Times New Roman"/>
      <w:szCs w:val="24"/>
    </w:rPr>
  </w:style>
  <w:style w:type="character" w:styleId="Strong">
    <w:name w:val="Strong"/>
    <w:aliases w:val="Quote - Testimony"/>
    <w:qFormat/>
    <w:rsid w:val="00B82B89"/>
  </w:style>
  <w:style w:type="paragraph" w:styleId="Revision">
    <w:name w:val="Revision"/>
    <w:hidden/>
    <w:uiPriority w:val="99"/>
    <w:semiHidden/>
    <w:rsid w:val="005D38F5"/>
    <w:rPr>
      <w:rFonts w:ascii="Garamond" w:hAnsi="Garamond"/>
      <w:sz w:val="24"/>
    </w:rPr>
  </w:style>
  <w:style w:type="paragraph" w:styleId="TOCHeading">
    <w:name w:val="TOC Heading"/>
    <w:basedOn w:val="Heading1"/>
    <w:next w:val="Normal"/>
    <w:uiPriority w:val="39"/>
    <w:semiHidden/>
    <w:unhideWhenUsed/>
    <w:qFormat/>
    <w:rsid w:val="00086B5B"/>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086B5B"/>
    <w:pPr>
      <w:tabs>
        <w:tab w:val="right" w:leader="dot" w:pos="8990"/>
      </w:tabs>
      <w:spacing w:after="100"/>
      <w:ind w:left="0" w:firstLine="0"/>
    </w:pPr>
  </w:style>
  <w:style w:type="character" w:customStyle="1" w:styleId="Heading1Char">
    <w:name w:val="Heading 1 Char"/>
    <w:basedOn w:val="DefaultParagraphFont"/>
    <w:link w:val="Heading1"/>
    <w:rsid w:val="00102A64"/>
    <w:rPr>
      <w:rFonts w:ascii="Times New Roman Bold" w:hAnsi="Times New Roman Bold"/>
      <w:b/>
      <w:caps/>
      <w:sz w:val="24"/>
    </w:rPr>
  </w:style>
  <w:style w:type="character" w:styleId="FollowedHyperlink">
    <w:name w:val="FollowedHyperlink"/>
    <w:basedOn w:val="DefaultParagraphFont"/>
    <w:uiPriority w:val="99"/>
    <w:semiHidden/>
    <w:unhideWhenUsed/>
    <w:rsid w:val="00131228"/>
    <w:rPr>
      <w:color w:val="800080" w:themeColor="followedHyperlink"/>
      <w:u w:val="single"/>
    </w:rPr>
  </w:style>
  <w:style w:type="paragraph" w:styleId="TOC2">
    <w:name w:val="toc 2"/>
    <w:basedOn w:val="Normal"/>
    <w:next w:val="Normal"/>
    <w:autoRedefine/>
    <w:uiPriority w:val="39"/>
    <w:unhideWhenUsed/>
    <w:rsid w:val="00FD480C"/>
    <w:pPr>
      <w:suppressLineNumbers/>
      <w:tabs>
        <w:tab w:val="right" w:leader="dot" w:pos="8990"/>
      </w:tabs>
      <w:ind w:left="630" w:hanging="630"/>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6100">
      <w:bodyDiv w:val="1"/>
      <w:marLeft w:val="0"/>
      <w:marRight w:val="0"/>
      <w:marTop w:val="0"/>
      <w:marBottom w:val="0"/>
      <w:divBdr>
        <w:top w:val="none" w:sz="0" w:space="0" w:color="auto"/>
        <w:left w:val="none" w:sz="0" w:space="0" w:color="auto"/>
        <w:bottom w:val="none" w:sz="0" w:space="0" w:color="auto"/>
        <w:right w:val="none" w:sz="0" w:space="0" w:color="auto"/>
      </w:divBdr>
    </w:div>
    <w:div w:id="271548004">
      <w:bodyDiv w:val="1"/>
      <w:marLeft w:val="0"/>
      <w:marRight w:val="0"/>
      <w:marTop w:val="0"/>
      <w:marBottom w:val="0"/>
      <w:divBdr>
        <w:top w:val="none" w:sz="0" w:space="0" w:color="auto"/>
        <w:left w:val="none" w:sz="0" w:space="0" w:color="auto"/>
        <w:bottom w:val="none" w:sz="0" w:space="0" w:color="auto"/>
        <w:right w:val="none" w:sz="0" w:space="0" w:color="auto"/>
      </w:divBdr>
    </w:div>
    <w:div w:id="505829035">
      <w:bodyDiv w:val="1"/>
      <w:marLeft w:val="0"/>
      <w:marRight w:val="0"/>
      <w:marTop w:val="0"/>
      <w:marBottom w:val="0"/>
      <w:divBdr>
        <w:top w:val="none" w:sz="0" w:space="0" w:color="auto"/>
        <w:left w:val="none" w:sz="0" w:space="0" w:color="auto"/>
        <w:bottom w:val="none" w:sz="0" w:space="0" w:color="auto"/>
        <w:right w:val="none" w:sz="0" w:space="0" w:color="auto"/>
      </w:divBdr>
    </w:div>
    <w:div w:id="544145496">
      <w:bodyDiv w:val="1"/>
      <w:marLeft w:val="0"/>
      <w:marRight w:val="0"/>
      <w:marTop w:val="0"/>
      <w:marBottom w:val="0"/>
      <w:divBdr>
        <w:top w:val="none" w:sz="0" w:space="0" w:color="auto"/>
        <w:left w:val="none" w:sz="0" w:space="0" w:color="auto"/>
        <w:bottom w:val="none" w:sz="0" w:space="0" w:color="auto"/>
        <w:right w:val="none" w:sz="0" w:space="0" w:color="auto"/>
      </w:divBdr>
    </w:div>
    <w:div w:id="708263826">
      <w:bodyDiv w:val="1"/>
      <w:marLeft w:val="0"/>
      <w:marRight w:val="0"/>
      <w:marTop w:val="0"/>
      <w:marBottom w:val="0"/>
      <w:divBdr>
        <w:top w:val="none" w:sz="0" w:space="0" w:color="auto"/>
        <w:left w:val="none" w:sz="0" w:space="0" w:color="auto"/>
        <w:bottom w:val="none" w:sz="0" w:space="0" w:color="auto"/>
        <w:right w:val="none" w:sz="0" w:space="0" w:color="auto"/>
      </w:divBdr>
    </w:div>
    <w:div w:id="816334856">
      <w:bodyDiv w:val="1"/>
      <w:marLeft w:val="0"/>
      <w:marRight w:val="0"/>
      <w:marTop w:val="0"/>
      <w:marBottom w:val="0"/>
      <w:divBdr>
        <w:top w:val="none" w:sz="0" w:space="0" w:color="auto"/>
        <w:left w:val="none" w:sz="0" w:space="0" w:color="auto"/>
        <w:bottom w:val="none" w:sz="0" w:space="0" w:color="auto"/>
        <w:right w:val="none" w:sz="0" w:space="0" w:color="auto"/>
      </w:divBdr>
    </w:div>
    <w:div w:id="817765745">
      <w:bodyDiv w:val="1"/>
      <w:marLeft w:val="0"/>
      <w:marRight w:val="0"/>
      <w:marTop w:val="0"/>
      <w:marBottom w:val="0"/>
      <w:divBdr>
        <w:top w:val="none" w:sz="0" w:space="0" w:color="auto"/>
        <w:left w:val="none" w:sz="0" w:space="0" w:color="auto"/>
        <w:bottom w:val="none" w:sz="0" w:space="0" w:color="auto"/>
        <w:right w:val="none" w:sz="0" w:space="0" w:color="auto"/>
      </w:divBdr>
    </w:div>
    <w:div w:id="945696286">
      <w:bodyDiv w:val="1"/>
      <w:marLeft w:val="0"/>
      <w:marRight w:val="0"/>
      <w:marTop w:val="0"/>
      <w:marBottom w:val="0"/>
      <w:divBdr>
        <w:top w:val="none" w:sz="0" w:space="0" w:color="auto"/>
        <w:left w:val="none" w:sz="0" w:space="0" w:color="auto"/>
        <w:bottom w:val="none" w:sz="0" w:space="0" w:color="auto"/>
        <w:right w:val="none" w:sz="0" w:space="0" w:color="auto"/>
      </w:divBdr>
    </w:div>
    <w:div w:id="978532966">
      <w:bodyDiv w:val="1"/>
      <w:marLeft w:val="0"/>
      <w:marRight w:val="0"/>
      <w:marTop w:val="0"/>
      <w:marBottom w:val="0"/>
      <w:divBdr>
        <w:top w:val="none" w:sz="0" w:space="0" w:color="auto"/>
        <w:left w:val="none" w:sz="0" w:space="0" w:color="auto"/>
        <w:bottom w:val="none" w:sz="0" w:space="0" w:color="auto"/>
        <w:right w:val="none" w:sz="0" w:space="0" w:color="auto"/>
      </w:divBdr>
    </w:div>
    <w:div w:id="979765634">
      <w:bodyDiv w:val="1"/>
      <w:marLeft w:val="0"/>
      <w:marRight w:val="0"/>
      <w:marTop w:val="0"/>
      <w:marBottom w:val="0"/>
      <w:divBdr>
        <w:top w:val="none" w:sz="0" w:space="0" w:color="auto"/>
        <w:left w:val="none" w:sz="0" w:space="0" w:color="auto"/>
        <w:bottom w:val="none" w:sz="0" w:space="0" w:color="auto"/>
        <w:right w:val="none" w:sz="0" w:space="0" w:color="auto"/>
      </w:divBdr>
    </w:div>
    <w:div w:id="1124272350">
      <w:bodyDiv w:val="1"/>
      <w:marLeft w:val="0"/>
      <w:marRight w:val="0"/>
      <w:marTop w:val="0"/>
      <w:marBottom w:val="0"/>
      <w:divBdr>
        <w:top w:val="none" w:sz="0" w:space="0" w:color="auto"/>
        <w:left w:val="none" w:sz="0" w:space="0" w:color="auto"/>
        <w:bottom w:val="none" w:sz="0" w:space="0" w:color="auto"/>
        <w:right w:val="none" w:sz="0" w:space="0" w:color="auto"/>
      </w:divBdr>
    </w:div>
    <w:div w:id="1153064929">
      <w:bodyDiv w:val="1"/>
      <w:marLeft w:val="0"/>
      <w:marRight w:val="0"/>
      <w:marTop w:val="0"/>
      <w:marBottom w:val="0"/>
      <w:divBdr>
        <w:top w:val="none" w:sz="0" w:space="0" w:color="auto"/>
        <w:left w:val="none" w:sz="0" w:space="0" w:color="auto"/>
        <w:bottom w:val="none" w:sz="0" w:space="0" w:color="auto"/>
        <w:right w:val="none" w:sz="0" w:space="0" w:color="auto"/>
      </w:divBdr>
    </w:div>
    <w:div w:id="1354261104">
      <w:bodyDiv w:val="1"/>
      <w:marLeft w:val="0"/>
      <w:marRight w:val="0"/>
      <w:marTop w:val="0"/>
      <w:marBottom w:val="0"/>
      <w:divBdr>
        <w:top w:val="none" w:sz="0" w:space="0" w:color="auto"/>
        <w:left w:val="none" w:sz="0" w:space="0" w:color="auto"/>
        <w:bottom w:val="none" w:sz="0" w:space="0" w:color="auto"/>
        <w:right w:val="none" w:sz="0" w:space="0" w:color="auto"/>
      </w:divBdr>
    </w:div>
    <w:div w:id="1886788627">
      <w:bodyDiv w:val="1"/>
      <w:marLeft w:val="0"/>
      <w:marRight w:val="0"/>
      <w:marTop w:val="0"/>
      <w:marBottom w:val="0"/>
      <w:divBdr>
        <w:top w:val="none" w:sz="0" w:space="0" w:color="auto"/>
        <w:left w:val="none" w:sz="0" w:space="0" w:color="auto"/>
        <w:bottom w:val="none" w:sz="0" w:space="0" w:color="auto"/>
        <w:right w:val="none" w:sz="0" w:space="0" w:color="auto"/>
      </w:divBdr>
    </w:div>
    <w:div w:id="1920820782">
      <w:bodyDiv w:val="1"/>
      <w:marLeft w:val="0"/>
      <w:marRight w:val="0"/>
      <w:marTop w:val="0"/>
      <w:marBottom w:val="0"/>
      <w:divBdr>
        <w:top w:val="none" w:sz="0" w:space="0" w:color="auto"/>
        <w:left w:val="none" w:sz="0" w:space="0" w:color="auto"/>
        <w:bottom w:val="none" w:sz="0" w:space="0" w:color="auto"/>
        <w:right w:val="none" w:sz="0" w:space="0" w:color="auto"/>
      </w:divBdr>
    </w:div>
    <w:div w:id="2073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jsonline.com/business/state-regulators-approve-83-in-green-bay-utilitys-fixed-charge-b99385986z1-2818247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353D09-B68C-42AF-956E-9452219915B5}"/>
</file>

<file path=customXml/itemProps2.xml><?xml version="1.0" encoding="utf-8"?>
<ds:datastoreItem xmlns:ds="http://schemas.openxmlformats.org/officeDocument/2006/customXml" ds:itemID="{DA1CF1AD-F310-477E-B480-2BABE0FC15AD}"/>
</file>

<file path=customXml/itemProps3.xml><?xml version="1.0" encoding="utf-8"?>
<ds:datastoreItem xmlns:ds="http://schemas.openxmlformats.org/officeDocument/2006/customXml" ds:itemID="{B88176BB-9DA0-44CD-8B3F-EF0DAA151DD6}"/>
</file>

<file path=customXml/itemProps4.xml><?xml version="1.0" encoding="utf-8"?>
<ds:datastoreItem xmlns:ds="http://schemas.openxmlformats.org/officeDocument/2006/customXml" ds:itemID="{625D049B-6A6F-46CB-8C53-4A66A41E8BB4}"/>
</file>

<file path=docProps/app.xml><?xml version="1.0" encoding="utf-8"?>
<Properties xmlns="http://schemas.openxmlformats.org/officeDocument/2006/extended-properties" xmlns:vt="http://schemas.openxmlformats.org/officeDocument/2006/docPropsVTypes">
  <Template>Normal.dotm</Template>
  <TotalTime>0</TotalTime>
  <Pages>53</Pages>
  <Words>11847</Words>
  <Characters>63373</Characters>
  <Application>Microsoft Office Word</Application>
  <DocSecurity>0</DocSecurity>
  <Lines>528</Lines>
  <Paragraphs>150</Paragraphs>
  <ScaleCrop>false</ScaleCrop>
  <Company/>
  <LinksUpToDate>false</LinksUpToDate>
  <CharactersWithSpaces>75070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2014-11-14T20:48:00Z</dcterms:created>
  <dcterms:modified xsi:type="dcterms:W3CDTF">2014-11-14T20:48:00Z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