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E58" w:rsidRDefault="00ED6E58" w:rsidP="00740BC1">
      <w:pPr>
        <w:tabs>
          <w:tab w:val="center" w:pos="4680"/>
        </w:tabs>
        <w:ind w:right="-108" w:hanging="180"/>
        <w:rPr>
          <w:color w:val="000000"/>
          <w:sz w:val="24"/>
        </w:rPr>
      </w:pPr>
    </w:p>
    <w:p w:rsidR="00ED6E58" w:rsidRPr="001B08E4" w:rsidRDefault="00ED6E58" w:rsidP="00740BC1">
      <w:pPr>
        <w:tabs>
          <w:tab w:val="center" w:pos="4680"/>
        </w:tabs>
        <w:ind w:right="-108" w:hanging="180"/>
        <w:rPr>
          <w:color w:val="000000"/>
          <w:sz w:val="24"/>
        </w:rPr>
      </w:pPr>
    </w:p>
    <w:p w:rsidR="00F748D8" w:rsidRPr="0092769A" w:rsidRDefault="00F748D8" w:rsidP="00740BC1">
      <w:pPr>
        <w:tabs>
          <w:tab w:val="center" w:pos="4680"/>
        </w:tabs>
        <w:ind w:right="-108" w:hanging="180"/>
        <w:rPr>
          <w:b/>
          <w:color w:val="000000"/>
          <w:sz w:val="24"/>
        </w:rPr>
      </w:pPr>
      <w:r w:rsidRPr="0092769A">
        <w:rPr>
          <w:b/>
          <w:color w:val="000000"/>
          <w:sz w:val="24"/>
        </w:rPr>
        <w:t>BEFORE THE WASHINGTON UTILITIES AND TRANSPORTATION COMMISSION</w:t>
      </w:r>
    </w:p>
    <w:p w:rsidR="00F748D8" w:rsidRPr="0092769A" w:rsidRDefault="00F748D8" w:rsidP="00740BC1">
      <w:pPr>
        <w:rPr>
          <w:b/>
          <w:color w:val="000000"/>
          <w:sz w:val="24"/>
        </w:rPr>
      </w:pPr>
    </w:p>
    <w:p w:rsidR="00F748D8" w:rsidRPr="001B08E4" w:rsidRDefault="00F748D8" w:rsidP="00740BC1">
      <w:pPr>
        <w:rPr>
          <w:color w:val="000000"/>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1B08E4">
        <w:tc>
          <w:tcPr>
            <w:tcW w:w="4590" w:type="dxa"/>
            <w:tcBorders>
              <w:top w:val="single" w:sz="6" w:space="0" w:color="FFFFFF"/>
              <w:left w:val="single" w:sz="6" w:space="0" w:color="FFFFFF"/>
              <w:bottom w:val="single" w:sz="7" w:space="0" w:color="000000"/>
              <w:right w:val="single" w:sz="6" w:space="0" w:color="FFFFFF"/>
            </w:tcBorders>
          </w:tcPr>
          <w:p w:rsidR="000A27C4" w:rsidRPr="000A27C4" w:rsidRDefault="000A27C4" w:rsidP="000A27C4">
            <w:pPr>
              <w:widowControl/>
              <w:tabs>
                <w:tab w:val="left" w:pos="2160"/>
              </w:tabs>
              <w:autoSpaceDE/>
              <w:autoSpaceDN/>
              <w:adjustRightInd/>
              <w:rPr>
                <w:sz w:val="24"/>
              </w:rPr>
            </w:pPr>
            <w:r w:rsidRPr="000A27C4">
              <w:rPr>
                <w:sz w:val="24"/>
              </w:rPr>
              <w:t>In the Matter of the Petition of</w:t>
            </w:r>
          </w:p>
          <w:p w:rsidR="000A27C4" w:rsidRPr="000A27C4" w:rsidRDefault="000A27C4" w:rsidP="000A27C4">
            <w:pPr>
              <w:widowControl/>
              <w:tabs>
                <w:tab w:val="left" w:pos="2160"/>
              </w:tabs>
              <w:autoSpaceDE/>
              <w:autoSpaceDN/>
              <w:adjustRightInd/>
              <w:rPr>
                <w:sz w:val="24"/>
              </w:rPr>
            </w:pPr>
          </w:p>
          <w:p w:rsidR="000A27C4" w:rsidRPr="000A27C4" w:rsidRDefault="000A27C4" w:rsidP="000A27C4">
            <w:pPr>
              <w:widowControl/>
              <w:tabs>
                <w:tab w:val="left" w:pos="2160"/>
              </w:tabs>
              <w:autoSpaceDE/>
              <w:autoSpaceDN/>
              <w:adjustRightInd/>
              <w:rPr>
                <w:sz w:val="24"/>
              </w:rPr>
            </w:pPr>
            <w:r w:rsidRPr="000A27C4">
              <w:rPr>
                <w:sz w:val="24"/>
              </w:rPr>
              <w:t>PUGET SOUND ENERGY.</w:t>
            </w:r>
          </w:p>
          <w:p w:rsidR="000A27C4" w:rsidRPr="000A27C4" w:rsidRDefault="000A27C4" w:rsidP="000A27C4">
            <w:pPr>
              <w:widowControl/>
              <w:tabs>
                <w:tab w:val="left" w:pos="2160"/>
              </w:tabs>
              <w:autoSpaceDE/>
              <w:autoSpaceDN/>
              <w:adjustRightInd/>
              <w:rPr>
                <w:sz w:val="24"/>
              </w:rPr>
            </w:pPr>
          </w:p>
          <w:p w:rsidR="000A27C4" w:rsidRPr="000A27C4" w:rsidRDefault="000A27C4" w:rsidP="000A27C4">
            <w:pPr>
              <w:widowControl/>
              <w:tabs>
                <w:tab w:val="left" w:pos="2160"/>
              </w:tabs>
              <w:autoSpaceDE/>
              <w:autoSpaceDN/>
              <w:adjustRightInd/>
              <w:rPr>
                <w:sz w:val="24"/>
              </w:rPr>
            </w:pPr>
            <w:r w:rsidRPr="000A27C4">
              <w:rPr>
                <w:sz w:val="24"/>
              </w:rPr>
              <w:t>For an Accounting Order Authorizing Accounting Treatment Related to Payments for Major Maintenance Activities</w:t>
            </w:r>
          </w:p>
          <w:p w:rsidR="000A27C4" w:rsidRPr="000A27C4" w:rsidRDefault="000A27C4" w:rsidP="000A27C4">
            <w:pPr>
              <w:widowControl/>
              <w:tabs>
                <w:tab w:val="left" w:pos="2160"/>
              </w:tabs>
              <w:autoSpaceDE/>
              <w:autoSpaceDN/>
              <w:adjustRightInd/>
              <w:rPr>
                <w:sz w:val="24"/>
              </w:rPr>
            </w:pPr>
            <w:r w:rsidRPr="000A27C4">
              <w:rPr>
                <w:sz w:val="24"/>
              </w:rPr>
              <w:t xml:space="preserve">. . . . . . . . . . . . . . . . . . . . . . . . . . . . . . . . </w:t>
            </w:r>
          </w:p>
          <w:p w:rsidR="00DF4276" w:rsidRPr="00DF4276" w:rsidRDefault="00DF4276" w:rsidP="00DF4276">
            <w:pPr>
              <w:widowControl/>
              <w:autoSpaceDE/>
              <w:autoSpaceDN/>
              <w:adjustRightInd/>
              <w:spacing w:line="264" w:lineRule="auto"/>
              <w:rPr>
                <w:sz w:val="25"/>
                <w:szCs w:val="25"/>
              </w:rPr>
            </w:pPr>
            <w:r w:rsidRPr="00DF4276">
              <w:rPr>
                <w:sz w:val="25"/>
                <w:szCs w:val="25"/>
              </w:rPr>
              <w:t>WASHINGTON UTILITIES AND TRANSPORTATION COMMISSION,</w:t>
            </w:r>
          </w:p>
          <w:p w:rsidR="00DF4276" w:rsidRPr="00DF4276" w:rsidRDefault="00DF4276" w:rsidP="00DF4276">
            <w:pPr>
              <w:widowControl/>
              <w:autoSpaceDE/>
              <w:autoSpaceDN/>
              <w:adjustRightInd/>
              <w:spacing w:line="264" w:lineRule="auto"/>
              <w:ind w:firstLine="720"/>
              <w:rPr>
                <w:sz w:val="25"/>
                <w:szCs w:val="25"/>
              </w:rPr>
            </w:pPr>
          </w:p>
          <w:p w:rsidR="00DF4276" w:rsidRPr="00DF4276" w:rsidRDefault="00DF4276" w:rsidP="00DF4276">
            <w:pPr>
              <w:widowControl/>
              <w:tabs>
                <w:tab w:val="left" w:pos="2160"/>
              </w:tabs>
              <w:autoSpaceDE/>
              <w:autoSpaceDN/>
              <w:adjustRightInd/>
              <w:spacing w:line="264" w:lineRule="auto"/>
              <w:rPr>
                <w:sz w:val="25"/>
                <w:szCs w:val="25"/>
              </w:rPr>
            </w:pPr>
            <w:r w:rsidRPr="00DF4276">
              <w:rPr>
                <w:sz w:val="25"/>
                <w:szCs w:val="25"/>
              </w:rPr>
              <w:tab/>
              <w:t>Complainant,</w:t>
            </w:r>
          </w:p>
          <w:p w:rsidR="00DF4276" w:rsidRPr="00DF4276" w:rsidRDefault="00DF4276" w:rsidP="00DF4276">
            <w:pPr>
              <w:widowControl/>
              <w:tabs>
                <w:tab w:val="left" w:pos="2160"/>
              </w:tabs>
              <w:autoSpaceDE/>
              <w:autoSpaceDN/>
              <w:adjustRightInd/>
              <w:spacing w:line="264" w:lineRule="auto"/>
              <w:rPr>
                <w:sz w:val="25"/>
                <w:szCs w:val="25"/>
              </w:rPr>
            </w:pPr>
            <w:r w:rsidRPr="00DF4276">
              <w:rPr>
                <w:sz w:val="25"/>
                <w:szCs w:val="25"/>
              </w:rPr>
              <w:t>v.</w:t>
            </w:r>
          </w:p>
          <w:p w:rsidR="00DF4276" w:rsidRPr="00DF4276" w:rsidRDefault="00DF4276" w:rsidP="00DF4276">
            <w:pPr>
              <w:widowControl/>
              <w:tabs>
                <w:tab w:val="left" w:pos="2160"/>
              </w:tabs>
              <w:autoSpaceDE/>
              <w:autoSpaceDN/>
              <w:adjustRightInd/>
              <w:spacing w:line="264" w:lineRule="auto"/>
              <w:rPr>
                <w:sz w:val="25"/>
                <w:szCs w:val="25"/>
              </w:rPr>
            </w:pPr>
          </w:p>
          <w:p w:rsidR="00DF4276" w:rsidRPr="00DF4276" w:rsidRDefault="00DF4276" w:rsidP="00DF4276">
            <w:pPr>
              <w:widowControl/>
              <w:tabs>
                <w:tab w:val="left" w:pos="2160"/>
              </w:tabs>
              <w:autoSpaceDE/>
              <w:autoSpaceDN/>
              <w:adjustRightInd/>
              <w:spacing w:line="264" w:lineRule="auto"/>
              <w:rPr>
                <w:sz w:val="25"/>
                <w:szCs w:val="25"/>
              </w:rPr>
            </w:pPr>
            <w:r w:rsidRPr="00DF4276">
              <w:rPr>
                <w:sz w:val="25"/>
                <w:szCs w:val="25"/>
              </w:rPr>
              <w:t>PUGET SOUND ENERGY,</w:t>
            </w:r>
          </w:p>
          <w:p w:rsidR="00DF4276" w:rsidRPr="00DF4276" w:rsidRDefault="00DF4276" w:rsidP="00DF4276">
            <w:pPr>
              <w:widowControl/>
              <w:tabs>
                <w:tab w:val="left" w:pos="2160"/>
              </w:tabs>
              <w:autoSpaceDE/>
              <w:autoSpaceDN/>
              <w:adjustRightInd/>
              <w:spacing w:line="264" w:lineRule="auto"/>
              <w:rPr>
                <w:sz w:val="25"/>
                <w:szCs w:val="25"/>
              </w:rPr>
            </w:pPr>
          </w:p>
          <w:p w:rsidR="00DF4276" w:rsidRDefault="000A27C4" w:rsidP="00DF4276">
            <w:pPr>
              <w:widowControl/>
              <w:tabs>
                <w:tab w:val="left" w:pos="2160"/>
              </w:tabs>
              <w:autoSpaceDE/>
              <w:autoSpaceDN/>
              <w:adjustRightInd/>
              <w:spacing w:line="264" w:lineRule="auto"/>
              <w:rPr>
                <w:sz w:val="25"/>
                <w:szCs w:val="25"/>
              </w:rPr>
            </w:pPr>
            <w:r>
              <w:rPr>
                <w:sz w:val="25"/>
                <w:szCs w:val="25"/>
              </w:rPr>
              <w:tab/>
              <w:t>Respondent</w:t>
            </w:r>
          </w:p>
          <w:p w:rsidR="000A27C4" w:rsidRDefault="000A27C4" w:rsidP="00DF4276">
            <w:pPr>
              <w:widowControl/>
              <w:tabs>
                <w:tab w:val="left" w:pos="2160"/>
              </w:tabs>
              <w:autoSpaceDE/>
              <w:autoSpaceDN/>
              <w:adjustRightInd/>
              <w:spacing w:line="264" w:lineRule="auto"/>
              <w:rPr>
                <w:sz w:val="25"/>
                <w:szCs w:val="25"/>
              </w:rPr>
            </w:pPr>
            <w:r>
              <w:rPr>
                <w:sz w:val="25"/>
                <w:szCs w:val="25"/>
              </w:rPr>
              <w:t xml:space="preserve">. . . . . . . . . . . . . . . . . . . . . . . . . . . .               </w:t>
            </w:r>
          </w:p>
          <w:p w:rsidR="000A27C4" w:rsidRPr="000A27C4" w:rsidRDefault="000A27C4" w:rsidP="000A27C4">
            <w:pPr>
              <w:widowControl/>
              <w:tabs>
                <w:tab w:val="left" w:pos="2160"/>
              </w:tabs>
              <w:autoSpaceDE/>
              <w:autoSpaceDN/>
              <w:adjustRightInd/>
              <w:rPr>
                <w:sz w:val="24"/>
              </w:rPr>
            </w:pPr>
            <w:r w:rsidRPr="000A27C4">
              <w:rPr>
                <w:sz w:val="24"/>
              </w:rPr>
              <w:t>In the Matter of the Petition of</w:t>
            </w:r>
          </w:p>
          <w:p w:rsidR="000A27C4" w:rsidRPr="000A27C4" w:rsidRDefault="000A27C4" w:rsidP="000A27C4">
            <w:pPr>
              <w:widowControl/>
              <w:tabs>
                <w:tab w:val="left" w:pos="2160"/>
              </w:tabs>
              <w:autoSpaceDE/>
              <w:autoSpaceDN/>
              <w:adjustRightInd/>
              <w:rPr>
                <w:sz w:val="24"/>
              </w:rPr>
            </w:pPr>
          </w:p>
          <w:p w:rsidR="000A27C4" w:rsidRPr="000A27C4" w:rsidRDefault="000A27C4" w:rsidP="000A27C4">
            <w:pPr>
              <w:widowControl/>
              <w:tabs>
                <w:tab w:val="left" w:pos="2160"/>
              </w:tabs>
              <w:autoSpaceDE/>
              <w:autoSpaceDN/>
              <w:adjustRightInd/>
              <w:rPr>
                <w:sz w:val="24"/>
              </w:rPr>
            </w:pPr>
            <w:r w:rsidRPr="000A27C4">
              <w:rPr>
                <w:sz w:val="24"/>
              </w:rPr>
              <w:t>PUGET SOUND ENERGY.</w:t>
            </w:r>
          </w:p>
          <w:p w:rsidR="000A27C4" w:rsidRPr="000A27C4" w:rsidRDefault="000A27C4" w:rsidP="000A27C4">
            <w:pPr>
              <w:widowControl/>
              <w:tabs>
                <w:tab w:val="left" w:pos="2160"/>
              </w:tabs>
              <w:autoSpaceDE/>
              <w:autoSpaceDN/>
              <w:adjustRightInd/>
              <w:rPr>
                <w:sz w:val="24"/>
              </w:rPr>
            </w:pPr>
          </w:p>
          <w:p w:rsidR="000A27C4" w:rsidRPr="000A27C4" w:rsidRDefault="000A27C4" w:rsidP="000A27C4">
            <w:pPr>
              <w:widowControl/>
              <w:tabs>
                <w:tab w:val="left" w:pos="2160"/>
              </w:tabs>
              <w:autoSpaceDE/>
              <w:autoSpaceDN/>
              <w:adjustRightInd/>
              <w:rPr>
                <w:sz w:val="24"/>
              </w:rPr>
            </w:pPr>
            <w:r w:rsidRPr="000A27C4">
              <w:rPr>
                <w:sz w:val="24"/>
              </w:rPr>
              <w:t>For an Order Authorizing the Sale of the Water Rights and Associated Assets of the Electron Hydroelectric Project in Accordance with WAC 480-143 and RCW 80.12</w:t>
            </w:r>
          </w:p>
          <w:p w:rsidR="000A27C4" w:rsidRPr="000A27C4" w:rsidRDefault="000A27C4" w:rsidP="000A27C4">
            <w:pPr>
              <w:widowControl/>
              <w:tabs>
                <w:tab w:val="left" w:pos="2160"/>
              </w:tabs>
              <w:autoSpaceDE/>
              <w:autoSpaceDN/>
              <w:adjustRightInd/>
              <w:rPr>
                <w:sz w:val="24"/>
              </w:rPr>
            </w:pPr>
            <w:r w:rsidRPr="000A27C4">
              <w:rPr>
                <w:sz w:val="24"/>
              </w:rPr>
              <w:t xml:space="preserve">. . . . . . . . . . . . . . . . . . . . . . . . . . . . . . . . </w:t>
            </w:r>
          </w:p>
          <w:p w:rsidR="000A27C4" w:rsidRPr="000A27C4" w:rsidRDefault="000A27C4" w:rsidP="000A27C4">
            <w:pPr>
              <w:widowControl/>
              <w:tabs>
                <w:tab w:val="left" w:pos="2160"/>
              </w:tabs>
              <w:autoSpaceDE/>
              <w:autoSpaceDN/>
              <w:adjustRightInd/>
              <w:rPr>
                <w:sz w:val="24"/>
              </w:rPr>
            </w:pPr>
            <w:r w:rsidRPr="000A27C4">
              <w:rPr>
                <w:sz w:val="24"/>
              </w:rPr>
              <w:t>In the Matter of the Petition of</w:t>
            </w:r>
          </w:p>
          <w:p w:rsidR="000A27C4" w:rsidRPr="000A27C4" w:rsidRDefault="000A27C4" w:rsidP="000A27C4">
            <w:pPr>
              <w:widowControl/>
              <w:tabs>
                <w:tab w:val="left" w:pos="2160"/>
              </w:tabs>
              <w:autoSpaceDE/>
              <w:autoSpaceDN/>
              <w:adjustRightInd/>
              <w:rPr>
                <w:sz w:val="24"/>
              </w:rPr>
            </w:pPr>
          </w:p>
          <w:p w:rsidR="000A27C4" w:rsidRPr="000A27C4" w:rsidRDefault="000A27C4" w:rsidP="000A27C4">
            <w:pPr>
              <w:widowControl/>
              <w:tabs>
                <w:tab w:val="left" w:pos="2160"/>
              </w:tabs>
              <w:autoSpaceDE/>
              <w:autoSpaceDN/>
              <w:adjustRightInd/>
              <w:rPr>
                <w:sz w:val="24"/>
              </w:rPr>
            </w:pPr>
            <w:r w:rsidRPr="000A27C4">
              <w:rPr>
                <w:sz w:val="24"/>
              </w:rPr>
              <w:t>PUGET SOUND ENERGY.</w:t>
            </w:r>
          </w:p>
          <w:p w:rsidR="000A27C4" w:rsidRPr="000A27C4" w:rsidRDefault="000A27C4" w:rsidP="000A27C4">
            <w:pPr>
              <w:widowControl/>
              <w:tabs>
                <w:tab w:val="left" w:pos="2160"/>
              </w:tabs>
              <w:autoSpaceDE/>
              <w:autoSpaceDN/>
              <w:adjustRightInd/>
              <w:rPr>
                <w:sz w:val="24"/>
              </w:rPr>
            </w:pPr>
          </w:p>
          <w:p w:rsidR="000A27C4" w:rsidRPr="000A27C4" w:rsidRDefault="000A27C4" w:rsidP="000A27C4">
            <w:pPr>
              <w:widowControl/>
              <w:tabs>
                <w:tab w:val="left" w:pos="2160"/>
              </w:tabs>
              <w:autoSpaceDE/>
              <w:autoSpaceDN/>
              <w:adjustRightInd/>
              <w:rPr>
                <w:szCs w:val="20"/>
              </w:rPr>
            </w:pPr>
            <w:r w:rsidRPr="000A27C4">
              <w:rPr>
                <w:sz w:val="24"/>
              </w:rPr>
              <w:t>For an Order Authorizing the Sale of Interests in the Development Assets Required for the Construction and Operation of Phase II of the Lower Snake River Wind Facility</w:t>
            </w:r>
          </w:p>
          <w:p w:rsidR="000A27C4" w:rsidRPr="00DF4276" w:rsidRDefault="000A27C4" w:rsidP="00DF4276">
            <w:pPr>
              <w:widowControl/>
              <w:tabs>
                <w:tab w:val="left" w:pos="2160"/>
              </w:tabs>
              <w:autoSpaceDE/>
              <w:autoSpaceDN/>
              <w:adjustRightInd/>
              <w:spacing w:line="264" w:lineRule="auto"/>
              <w:rPr>
                <w:sz w:val="25"/>
                <w:szCs w:val="25"/>
              </w:rPr>
            </w:pPr>
          </w:p>
          <w:p w:rsidR="004F69A5" w:rsidRPr="00085006" w:rsidRDefault="004F69A5" w:rsidP="00DF4276">
            <w:pPr>
              <w:spacing w:after="19"/>
              <w:rPr>
                <w:color w:val="000000"/>
                <w:sz w:val="24"/>
              </w:rPr>
            </w:pPr>
          </w:p>
        </w:tc>
        <w:tc>
          <w:tcPr>
            <w:tcW w:w="4590" w:type="dxa"/>
            <w:tcBorders>
              <w:top w:val="single" w:sz="6" w:space="0" w:color="FFFFFF"/>
              <w:left w:val="single" w:sz="7" w:space="0" w:color="000000"/>
              <w:bottom w:val="single" w:sz="6" w:space="0" w:color="FFFFFF"/>
              <w:right w:val="single" w:sz="6" w:space="0" w:color="FFFFFF"/>
            </w:tcBorders>
          </w:tcPr>
          <w:p w:rsidR="0058228F" w:rsidRPr="00085006" w:rsidRDefault="0058228F" w:rsidP="0058228F">
            <w:pPr>
              <w:spacing w:line="288" w:lineRule="auto"/>
              <w:rPr>
                <w:b/>
                <w:sz w:val="25"/>
                <w:szCs w:val="25"/>
              </w:rPr>
            </w:pPr>
          </w:p>
          <w:p w:rsidR="000A27C4" w:rsidRPr="000A27C4" w:rsidRDefault="000A27C4" w:rsidP="000A27C4">
            <w:pPr>
              <w:spacing w:line="288" w:lineRule="auto"/>
              <w:rPr>
                <w:sz w:val="25"/>
                <w:szCs w:val="25"/>
              </w:rPr>
            </w:pPr>
            <w:r w:rsidRPr="000A27C4">
              <w:rPr>
                <w:sz w:val="25"/>
                <w:szCs w:val="25"/>
              </w:rPr>
              <w:t>DOCKET UE-130583 (Consolidated)</w:t>
            </w:r>
          </w:p>
          <w:p w:rsidR="000A27C4" w:rsidRPr="000A27C4" w:rsidRDefault="00DA3191" w:rsidP="000A27C4">
            <w:pPr>
              <w:spacing w:line="288" w:lineRule="auto"/>
              <w:rPr>
                <w:sz w:val="25"/>
                <w:szCs w:val="25"/>
              </w:rPr>
            </w:pPr>
            <w:r>
              <w:rPr>
                <w:sz w:val="25"/>
                <w:szCs w:val="25"/>
              </w:rPr>
              <w:t>ORDER 07</w:t>
            </w: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r w:rsidRPr="000A27C4">
              <w:rPr>
                <w:sz w:val="25"/>
                <w:szCs w:val="25"/>
              </w:rPr>
              <w:t>DOCKET UE-130617 (Consolidated)</w:t>
            </w:r>
          </w:p>
          <w:p w:rsidR="000A27C4" w:rsidRPr="000A27C4" w:rsidRDefault="00DA3191" w:rsidP="000A27C4">
            <w:pPr>
              <w:spacing w:line="288" w:lineRule="auto"/>
              <w:rPr>
                <w:sz w:val="25"/>
                <w:szCs w:val="25"/>
              </w:rPr>
            </w:pPr>
            <w:r>
              <w:rPr>
                <w:sz w:val="25"/>
                <w:szCs w:val="25"/>
              </w:rPr>
              <w:t>ORDER 11</w:t>
            </w:r>
          </w:p>
          <w:p w:rsidR="000A27C4" w:rsidRPr="000A27C4" w:rsidRDefault="000A27C4" w:rsidP="000A27C4">
            <w:pPr>
              <w:spacing w:line="288" w:lineRule="auto"/>
              <w:rPr>
                <w:sz w:val="25"/>
                <w:szCs w:val="25"/>
              </w:rPr>
            </w:pPr>
          </w:p>
          <w:p w:rsidR="00DA3191" w:rsidRPr="0041068E" w:rsidRDefault="00AE026C" w:rsidP="00DA3191">
            <w:pPr>
              <w:spacing w:line="288" w:lineRule="auto"/>
              <w:rPr>
                <w:b/>
                <w:color w:val="000000"/>
                <w:sz w:val="24"/>
              </w:rPr>
            </w:pPr>
            <w:r>
              <w:rPr>
                <w:b/>
                <w:color w:val="000000"/>
                <w:sz w:val="24"/>
              </w:rPr>
              <w:t xml:space="preserve">JOINT </w:t>
            </w:r>
            <w:r w:rsidR="00DA3191" w:rsidRPr="0041068E">
              <w:rPr>
                <w:b/>
                <w:color w:val="000000"/>
                <w:sz w:val="24"/>
              </w:rPr>
              <w:t xml:space="preserve">MOTION TO AMEND </w:t>
            </w:r>
          </w:p>
          <w:p w:rsidR="000A27C4" w:rsidRPr="0041068E" w:rsidRDefault="00DA3191" w:rsidP="00DA3191">
            <w:pPr>
              <w:spacing w:line="288" w:lineRule="auto"/>
              <w:rPr>
                <w:b/>
                <w:sz w:val="25"/>
                <w:szCs w:val="25"/>
              </w:rPr>
            </w:pPr>
            <w:r w:rsidRPr="0041068E">
              <w:rPr>
                <w:b/>
                <w:color w:val="000000"/>
                <w:sz w:val="24"/>
              </w:rPr>
              <w:t>ORDER 11</w:t>
            </w:r>
            <w:r w:rsidR="00BF19C4">
              <w:rPr>
                <w:b/>
                <w:color w:val="000000"/>
                <w:sz w:val="24"/>
              </w:rPr>
              <w:t xml:space="preserve"> AND SETTLEMENT AGREEMENT</w:t>
            </w: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r w:rsidRPr="000A27C4">
              <w:rPr>
                <w:sz w:val="25"/>
                <w:szCs w:val="25"/>
              </w:rPr>
              <w:t>DOCKET UE-131099 (Consolidated)</w:t>
            </w:r>
          </w:p>
          <w:p w:rsidR="000A27C4" w:rsidRPr="000A27C4" w:rsidRDefault="00DA3191" w:rsidP="000A27C4">
            <w:pPr>
              <w:spacing w:line="288" w:lineRule="auto"/>
              <w:rPr>
                <w:sz w:val="25"/>
                <w:szCs w:val="25"/>
              </w:rPr>
            </w:pPr>
            <w:r>
              <w:rPr>
                <w:sz w:val="25"/>
                <w:szCs w:val="25"/>
              </w:rPr>
              <w:t>ORDER 07</w:t>
            </w: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p>
          <w:p w:rsidR="000A27C4" w:rsidRDefault="000A27C4" w:rsidP="000A27C4">
            <w:pPr>
              <w:spacing w:line="288" w:lineRule="auto"/>
              <w:rPr>
                <w:sz w:val="25"/>
                <w:szCs w:val="25"/>
              </w:rPr>
            </w:pPr>
          </w:p>
          <w:p w:rsidR="00DA3191" w:rsidRPr="000A27C4" w:rsidRDefault="00DA3191" w:rsidP="000A27C4">
            <w:pPr>
              <w:spacing w:line="288" w:lineRule="auto"/>
              <w:rPr>
                <w:sz w:val="25"/>
                <w:szCs w:val="25"/>
              </w:rPr>
            </w:pPr>
          </w:p>
          <w:p w:rsidR="000A27C4" w:rsidRPr="000A27C4" w:rsidRDefault="000A27C4" w:rsidP="000A27C4">
            <w:pPr>
              <w:spacing w:line="288" w:lineRule="auto"/>
              <w:rPr>
                <w:sz w:val="25"/>
                <w:szCs w:val="25"/>
              </w:rPr>
            </w:pPr>
          </w:p>
          <w:p w:rsidR="000A27C4" w:rsidRPr="000A27C4" w:rsidRDefault="000A27C4" w:rsidP="000A27C4">
            <w:pPr>
              <w:spacing w:line="288" w:lineRule="auto"/>
              <w:rPr>
                <w:sz w:val="25"/>
                <w:szCs w:val="25"/>
              </w:rPr>
            </w:pPr>
            <w:r w:rsidRPr="000A27C4">
              <w:rPr>
                <w:sz w:val="25"/>
                <w:szCs w:val="25"/>
              </w:rPr>
              <w:t>DOCKET UE-131230</w:t>
            </w:r>
          </w:p>
          <w:p w:rsidR="000A27C4" w:rsidRPr="000A27C4" w:rsidRDefault="00DA3191" w:rsidP="000A27C4">
            <w:pPr>
              <w:spacing w:line="288" w:lineRule="auto"/>
              <w:rPr>
                <w:sz w:val="25"/>
                <w:szCs w:val="25"/>
              </w:rPr>
            </w:pPr>
            <w:r>
              <w:rPr>
                <w:sz w:val="25"/>
                <w:szCs w:val="25"/>
              </w:rPr>
              <w:t>ORDER 07</w:t>
            </w:r>
          </w:p>
          <w:p w:rsidR="0058228F" w:rsidRPr="00085006" w:rsidRDefault="0058228F" w:rsidP="0058228F">
            <w:pPr>
              <w:spacing w:line="288" w:lineRule="auto"/>
              <w:rPr>
                <w:i/>
                <w:sz w:val="25"/>
                <w:szCs w:val="25"/>
              </w:rPr>
            </w:pPr>
          </w:p>
          <w:p w:rsidR="00F748D8" w:rsidRPr="00085006" w:rsidRDefault="00F748D8" w:rsidP="00F52D4F">
            <w:pPr>
              <w:spacing w:line="288" w:lineRule="auto"/>
              <w:rPr>
                <w:b/>
                <w:i/>
                <w:sz w:val="25"/>
                <w:szCs w:val="25"/>
              </w:rPr>
            </w:pPr>
          </w:p>
        </w:tc>
      </w:tr>
    </w:tbl>
    <w:p w:rsidR="00F748D8" w:rsidRPr="001B08E4" w:rsidRDefault="00F748D8" w:rsidP="00740BC1">
      <w:pPr>
        <w:rPr>
          <w:color w:val="000000"/>
          <w:sz w:val="24"/>
        </w:rPr>
      </w:pPr>
    </w:p>
    <w:p w:rsidR="0012029E" w:rsidRPr="001B08E4" w:rsidRDefault="0012029E" w:rsidP="00740BC1">
      <w:pPr>
        <w:spacing w:before="240" w:line="480" w:lineRule="auto"/>
        <w:jc w:val="center"/>
        <w:rPr>
          <w:b/>
          <w:color w:val="000000"/>
          <w:sz w:val="24"/>
        </w:rPr>
      </w:pPr>
      <w:r w:rsidRPr="001B08E4">
        <w:rPr>
          <w:b/>
          <w:color w:val="000000"/>
          <w:sz w:val="24"/>
        </w:rPr>
        <w:lastRenderedPageBreak/>
        <w:t>I.  RELIEF REQUESTED</w:t>
      </w:r>
    </w:p>
    <w:p w:rsidR="002C0400" w:rsidRDefault="0012029E" w:rsidP="002C0400">
      <w:pPr>
        <w:numPr>
          <w:ilvl w:val="0"/>
          <w:numId w:val="2"/>
        </w:numPr>
        <w:spacing w:line="480" w:lineRule="auto"/>
        <w:rPr>
          <w:color w:val="000000"/>
          <w:sz w:val="24"/>
        </w:rPr>
      </w:pPr>
      <w:r w:rsidRPr="008A3743">
        <w:rPr>
          <w:color w:val="000000"/>
          <w:sz w:val="24"/>
        </w:rPr>
        <w:t xml:space="preserve">Pursuant to </w:t>
      </w:r>
      <w:r w:rsidR="008602A4">
        <w:rPr>
          <w:color w:val="000000"/>
          <w:sz w:val="24"/>
        </w:rPr>
        <w:t xml:space="preserve">RCW 80.04.210, </w:t>
      </w:r>
      <w:r w:rsidRPr="008A3743">
        <w:rPr>
          <w:color w:val="000000"/>
          <w:sz w:val="24"/>
        </w:rPr>
        <w:t>WAC 480</w:t>
      </w:r>
      <w:r w:rsidRPr="008A3743">
        <w:rPr>
          <w:color w:val="000000"/>
          <w:sz w:val="24"/>
        </w:rPr>
        <w:noBreakHyphen/>
        <w:t>07</w:t>
      </w:r>
      <w:r w:rsidRPr="008A3743">
        <w:rPr>
          <w:color w:val="000000"/>
          <w:sz w:val="24"/>
        </w:rPr>
        <w:noBreakHyphen/>
        <w:t>375</w:t>
      </w:r>
      <w:r w:rsidR="008602A4">
        <w:rPr>
          <w:color w:val="000000"/>
          <w:sz w:val="24"/>
        </w:rPr>
        <w:t xml:space="preserve"> and 480-07-875</w:t>
      </w:r>
      <w:r w:rsidRPr="008A3743">
        <w:rPr>
          <w:color w:val="000000"/>
          <w:sz w:val="24"/>
        </w:rPr>
        <w:t xml:space="preserve">, </w:t>
      </w:r>
      <w:r w:rsidR="00C42359" w:rsidRPr="008A3743">
        <w:rPr>
          <w:color w:val="000000"/>
          <w:sz w:val="24"/>
        </w:rPr>
        <w:t>Puget Sound Energy (“PSE”)</w:t>
      </w:r>
      <w:r w:rsidR="0041068E">
        <w:rPr>
          <w:color w:val="000000"/>
          <w:sz w:val="24"/>
        </w:rPr>
        <w:t xml:space="preserve">, the regulatory staff (“Staff”) of the Washington Utilities and Transportation Commission (“Commission”) and the Public Counsel </w:t>
      </w:r>
      <w:r w:rsidR="003B5E66">
        <w:rPr>
          <w:color w:val="000000"/>
          <w:sz w:val="24"/>
        </w:rPr>
        <w:t>Unit</w:t>
      </w:r>
      <w:r w:rsidR="0041068E">
        <w:rPr>
          <w:color w:val="000000"/>
          <w:sz w:val="24"/>
        </w:rPr>
        <w:t xml:space="preserve"> of the Washington Office of Attorney General (“Public Counsel”, and collectively with PSE and Staff, “Moving Parties”)</w:t>
      </w:r>
      <w:r w:rsidR="00C42359">
        <w:rPr>
          <w:color w:val="000000"/>
          <w:sz w:val="24"/>
        </w:rPr>
        <w:t xml:space="preserve"> </w:t>
      </w:r>
      <w:r w:rsidR="001A1CA1" w:rsidRPr="008A3743">
        <w:rPr>
          <w:color w:val="000000"/>
          <w:sz w:val="24"/>
        </w:rPr>
        <w:t xml:space="preserve">move for an order amending Order </w:t>
      </w:r>
      <w:r w:rsidR="0041068E">
        <w:rPr>
          <w:color w:val="000000"/>
          <w:sz w:val="24"/>
        </w:rPr>
        <w:t>11</w:t>
      </w:r>
      <w:r w:rsidR="0058228F" w:rsidRPr="008A3743">
        <w:rPr>
          <w:color w:val="000000"/>
          <w:sz w:val="24"/>
        </w:rPr>
        <w:t xml:space="preserve"> </w:t>
      </w:r>
      <w:r w:rsidR="0041068E">
        <w:rPr>
          <w:sz w:val="24"/>
        </w:rPr>
        <w:t xml:space="preserve">and the Settlement </w:t>
      </w:r>
      <w:r w:rsidR="00BF19C4">
        <w:rPr>
          <w:sz w:val="24"/>
        </w:rPr>
        <w:t>Agreement</w:t>
      </w:r>
      <w:r w:rsidR="0041068E">
        <w:rPr>
          <w:sz w:val="24"/>
        </w:rPr>
        <w:t xml:space="preserve"> in </w:t>
      </w:r>
      <w:r w:rsidR="00D26049" w:rsidRPr="008A3743">
        <w:rPr>
          <w:color w:val="000000"/>
          <w:sz w:val="24"/>
        </w:rPr>
        <w:t xml:space="preserve">Docket </w:t>
      </w:r>
      <w:r w:rsidR="00D26049" w:rsidRPr="008A3743">
        <w:rPr>
          <w:sz w:val="24"/>
        </w:rPr>
        <w:t>UE-</w:t>
      </w:r>
      <w:r w:rsidR="00D26049">
        <w:rPr>
          <w:sz w:val="24"/>
        </w:rPr>
        <w:t xml:space="preserve">130617 </w:t>
      </w:r>
      <w:r w:rsidR="0041068E" w:rsidRPr="008B0C56">
        <w:rPr>
          <w:i/>
          <w:sz w:val="24"/>
        </w:rPr>
        <w:t>et al</w:t>
      </w:r>
      <w:r w:rsidR="0041068E">
        <w:rPr>
          <w:sz w:val="24"/>
        </w:rPr>
        <w:t>.</w:t>
      </w:r>
      <w:r w:rsidR="00DF4276">
        <w:rPr>
          <w:sz w:val="24"/>
        </w:rPr>
        <w:t xml:space="preserve"> </w:t>
      </w:r>
      <w:r w:rsidRPr="008A3743">
        <w:rPr>
          <w:color w:val="000000"/>
          <w:sz w:val="24"/>
        </w:rPr>
        <w:t xml:space="preserve">to </w:t>
      </w:r>
      <w:r w:rsidR="00085900">
        <w:rPr>
          <w:color w:val="000000"/>
          <w:sz w:val="24"/>
        </w:rPr>
        <w:t xml:space="preserve">reflect the extension of the multi-year rate plan in Docket UE-121697 </w:t>
      </w:r>
      <w:r w:rsidR="00085900" w:rsidRPr="00CE33FE">
        <w:rPr>
          <w:i/>
          <w:color w:val="000000"/>
          <w:sz w:val="24"/>
        </w:rPr>
        <w:t>et al</w:t>
      </w:r>
      <w:r w:rsidR="00085900">
        <w:rPr>
          <w:color w:val="000000"/>
          <w:sz w:val="24"/>
        </w:rPr>
        <w:t xml:space="preserve">.  This joint motion is consistent with the Commission’s direction in Docket UE-161112, Order 01, in which the Commission </w:t>
      </w:r>
      <w:r w:rsidR="00BF6434">
        <w:rPr>
          <w:color w:val="000000"/>
          <w:sz w:val="24"/>
        </w:rPr>
        <w:t xml:space="preserve">directed the parties to file this joint motion.  </w:t>
      </w:r>
      <w:r w:rsidR="00F5575A">
        <w:rPr>
          <w:color w:val="000000"/>
          <w:sz w:val="24"/>
        </w:rPr>
        <w:t xml:space="preserve">                                                                                                                                                      </w:t>
      </w:r>
    </w:p>
    <w:p w:rsidR="0077048C" w:rsidRDefault="0077048C" w:rsidP="0077048C">
      <w:pPr>
        <w:spacing w:before="240" w:line="480" w:lineRule="auto"/>
        <w:jc w:val="center"/>
        <w:rPr>
          <w:b/>
          <w:color w:val="000000"/>
          <w:sz w:val="24"/>
        </w:rPr>
      </w:pPr>
      <w:r w:rsidRPr="001B08E4">
        <w:rPr>
          <w:b/>
          <w:color w:val="000000"/>
          <w:sz w:val="24"/>
        </w:rPr>
        <w:t>I</w:t>
      </w:r>
      <w:r>
        <w:rPr>
          <w:b/>
          <w:color w:val="000000"/>
          <w:sz w:val="24"/>
        </w:rPr>
        <w:t xml:space="preserve">I. </w:t>
      </w:r>
      <w:r>
        <w:rPr>
          <w:b/>
          <w:color w:val="000000"/>
          <w:sz w:val="24"/>
        </w:rPr>
        <w:tab/>
        <w:t>PROCEDURAL BACKGROUND AND FACTS</w:t>
      </w:r>
    </w:p>
    <w:p w:rsidR="005B05FB" w:rsidRPr="001B08E4" w:rsidRDefault="005B05FB" w:rsidP="005B05FB">
      <w:pPr>
        <w:spacing w:before="240" w:line="480" w:lineRule="auto"/>
        <w:rPr>
          <w:b/>
          <w:color w:val="000000"/>
          <w:sz w:val="24"/>
        </w:rPr>
      </w:pPr>
      <w:r>
        <w:rPr>
          <w:b/>
          <w:color w:val="000000"/>
          <w:sz w:val="24"/>
        </w:rPr>
        <w:t>A.</w:t>
      </w:r>
      <w:r>
        <w:rPr>
          <w:b/>
          <w:color w:val="000000"/>
          <w:sz w:val="24"/>
        </w:rPr>
        <w:tab/>
        <w:t>Power Cost Adjustment Settlement in Docket UE-13</w:t>
      </w:r>
      <w:r w:rsidR="001F1610">
        <w:rPr>
          <w:b/>
          <w:color w:val="000000"/>
          <w:sz w:val="24"/>
        </w:rPr>
        <w:t>0617</w:t>
      </w:r>
    </w:p>
    <w:p w:rsidR="0077048C" w:rsidRPr="00D41B88" w:rsidRDefault="000D53DC" w:rsidP="0077048C">
      <w:pPr>
        <w:numPr>
          <w:ilvl w:val="0"/>
          <w:numId w:val="2"/>
        </w:numPr>
        <w:spacing w:line="480" w:lineRule="auto"/>
        <w:rPr>
          <w:color w:val="000000"/>
          <w:sz w:val="24"/>
        </w:rPr>
      </w:pPr>
      <w:r w:rsidRPr="000527E1">
        <w:rPr>
          <w:color w:val="000000"/>
          <w:sz w:val="24"/>
        </w:rPr>
        <w:t xml:space="preserve">On </w:t>
      </w:r>
      <w:r w:rsidR="008D4E0A" w:rsidRPr="000527E1">
        <w:rPr>
          <w:color w:val="000000"/>
          <w:sz w:val="24"/>
        </w:rPr>
        <w:t>March 27, 2015</w:t>
      </w:r>
      <w:r w:rsidRPr="000527E1">
        <w:rPr>
          <w:color w:val="000000"/>
          <w:sz w:val="24"/>
        </w:rPr>
        <w:t>, PSE, Staff</w:t>
      </w:r>
      <w:r w:rsidR="008D4E0A" w:rsidRPr="000527E1">
        <w:rPr>
          <w:color w:val="000000"/>
          <w:sz w:val="24"/>
        </w:rPr>
        <w:t xml:space="preserve">, and </w:t>
      </w:r>
      <w:r w:rsidRPr="000527E1">
        <w:rPr>
          <w:color w:val="000000"/>
          <w:sz w:val="24"/>
        </w:rPr>
        <w:t xml:space="preserve">Public Counsel jointly filed </w:t>
      </w:r>
      <w:r w:rsidR="008D4E0A" w:rsidRPr="000527E1">
        <w:rPr>
          <w:color w:val="000000"/>
          <w:sz w:val="24"/>
        </w:rPr>
        <w:t>a</w:t>
      </w:r>
      <w:r w:rsidRPr="000527E1">
        <w:rPr>
          <w:color w:val="000000"/>
          <w:sz w:val="24"/>
        </w:rPr>
        <w:t xml:space="preserve"> Multiparty Settlement </w:t>
      </w:r>
      <w:r w:rsidR="008D4E0A" w:rsidRPr="000527E1">
        <w:rPr>
          <w:color w:val="000000"/>
          <w:sz w:val="24"/>
        </w:rPr>
        <w:t>that modified PSE’s Power Cost Adjustment (“PCA”) mechanism (hereafter “PCA Settlement”)</w:t>
      </w:r>
      <w:r w:rsidRPr="000527E1">
        <w:rPr>
          <w:bCs/>
          <w:color w:val="000000"/>
          <w:sz w:val="24"/>
        </w:rPr>
        <w:t>.</w:t>
      </w:r>
      <w:r w:rsidR="00BB3DE2">
        <w:rPr>
          <w:rStyle w:val="FootnoteReference"/>
          <w:bCs/>
          <w:color w:val="000000"/>
          <w:sz w:val="24"/>
        </w:rPr>
        <w:footnoteReference w:id="1"/>
      </w:r>
      <w:r w:rsidRPr="000527E1">
        <w:rPr>
          <w:bCs/>
          <w:color w:val="000000"/>
          <w:sz w:val="24"/>
        </w:rPr>
        <w:t xml:space="preserve">  </w:t>
      </w:r>
      <w:r w:rsidR="008B0C56">
        <w:rPr>
          <w:bCs/>
          <w:color w:val="000000"/>
          <w:sz w:val="24"/>
        </w:rPr>
        <w:t>Among other things, t</w:t>
      </w:r>
      <w:r w:rsidR="008D4E0A" w:rsidRPr="000527E1">
        <w:rPr>
          <w:bCs/>
          <w:color w:val="000000"/>
          <w:sz w:val="24"/>
        </w:rPr>
        <w:t xml:space="preserve">he PCA Settlement </w:t>
      </w:r>
      <w:r w:rsidR="00636251" w:rsidRPr="000527E1">
        <w:rPr>
          <w:bCs/>
          <w:color w:val="000000"/>
          <w:sz w:val="24"/>
        </w:rPr>
        <w:t xml:space="preserve">proposed to move the recovery of Fixed Production Costs from the PCA and </w:t>
      </w:r>
      <w:r w:rsidR="008B0C56">
        <w:rPr>
          <w:bCs/>
          <w:color w:val="000000"/>
          <w:sz w:val="24"/>
        </w:rPr>
        <w:t>collect them</w:t>
      </w:r>
      <w:r w:rsidR="00636251" w:rsidRPr="000527E1">
        <w:rPr>
          <w:bCs/>
          <w:color w:val="000000"/>
          <w:sz w:val="24"/>
        </w:rPr>
        <w:t xml:space="preserve"> through the decoupling mechanism if </w:t>
      </w:r>
      <w:r w:rsidR="00AE026C">
        <w:rPr>
          <w:bCs/>
          <w:color w:val="000000"/>
          <w:sz w:val="24"/>
        </w:rPr>
        <w:t>the decoupling mechanism</w:t>
      </w:r>
      <w:r w:rsidR="008B0C56">
        <w:rPr>
          <w:bCs/>
          <w:color w:val="000000"/>
          <w:sz w:val="24"/>
        </w:rPr>
        <w:t xml:space="preserve"> were to</w:t>
      </w:r>
      <w:r w:rsidR="00636251" w:rsidRPr="000527E1">
        <w:rPr>
          <w:bCs/>
          <w:color w:val="000000"/>
          <w:sz w:val="24"/>
        </w:rPr>
        <w:t xml:space="preserve"> continue</w:t>
      </w:r>
      <w:r w:rsidR="00AE026C">
        <w:rPr>
          <w:bCs/>
          <w:color w:val="000000"/>
          <w:sz w:val="24"/>
        </w:rPr>
        <w:t xml:space="preserve"> following its review in PSE’s next general rate case</w:t>
      </w:r>
      <w:r w:rsidR="00636251" w:rsidRPr="000527E1">
        <w:rPr>
          <w:bCs/>
          <w:color w:val="000000"/>
          <w:sz w:val="24"/>
        </w:rPr>
        <w:t>.</w:t>
      </w:r>
      <w:r w:rsidR="00636251">
        <w:rPr>
          <w:rStyle w:val="FootnoteReference"/>
          <w:bCs/>
          <w:color w:val="000000"/>
          <w:sz w:val="24"/>
        </w:rPr>
        <w:footnoteReference w:id="2"/>
      </w:r>
      <w:r w:rsidR="00636251" w:rsidRPr="000527E1">
        <w:rPr>
          <w:bCs/>
          <w:color w:val="000000"/>
          <w:sz w:val="24"/>
        </w:rPr>
        <w:t xml:space="preserve">  </w:t>
      </w:r>
      <w:r w:rsidR="00CE33FE">
        <w:rPr>
          <w:bCs/>
          <w:color w:val="000000"/>
          <w:sz w:val="24"/>
        </w:rPr>
        <w:t xml:space="preserve">In the PCA Settlement, the settling parties recognized that the changes to the PCA mechanism would occur prior to the date new rates would go into effect in PSE’s next general rate case under the terms of the multi-year rate plan approved by the Commission in Docket UE-121697 </w:t>
      </w:r>
      <w:r w:rsidR="00CE33FE" w:rsidRPr="00CE33FE">
        <w:rPr>
          <w:bCs/>
          <w:i/>
          <w:color w:val="000000"/>
          <w:sz w:val="24"/>
        </w:rPr>
        <w:t>et al</w:t>
      </w:r>
      <w:r w:rsidR="00CE33FE">
        <w:rPr>
          <w:bCs/>
          <w:color w:val="000000"/>
          <w:sz w:val="24"/>
        </w:rPr>
        <w:t>.  Accordingly, t</w:t>
      </w:r>
      <w:r w:rsidR="00636251" w:rsidRPr="000527E1">
        <w:rPr>
          <w:bCs/>
          <w:color w:val="000000"/>
          <w:sz w:val="24"/>
        </w:rPr>
        <w:t xml:space="preserve">he PCA Settlement also provided </w:t>
      </w:r>
      <w:r w:rsidR="00636251" w:rsidRPr="000527E1">
        <w:rPr>
          <w:bCs/>
          <w:color w:val="000000"/>
          <w:sz w:val="24"/>
        </w:rPr>
        <w:lastRenderedPageBreak/>
        <w:t xml:space="preserve">that PSE may file, and the Settling Parties agree to support, an accounting petition deferring revenue variances in Fixed </w:t>
      </w:r>
      <w:r w:rsidR="008B0C56">
        <w:rPr>
          <w:bCs/>
          <w:color w:val="000000"/>
          <w:sz w:val="24"/>
        </w:rPr>
        <w:t>P</w:t>
      </w:r>
      <w:r w:rsidR="00636251" w:rsidRPr="000527E1">
        <w:rPr>
          <w:bCs/>
          <w:color w:val="000000"/>
          <w:sz w:val="24"/>
        </w:rPr>
        <w:t xml:space="preserve">roduction Costs </w:t>
      </w:r>
      <w:r w:rsidR="008B0C56">
        <w:rPr>
          <w:bCs/>
          <w:color w:val="000000"/>
          <w:sz w:val="24"/>
        </w:rPr>
        <w:t>beginning on</w:t>
      </w:r>
      <w:r w:rsidR="00636251" w:rsidRPr="000527E1">
        <w:rPr>
          <w:bCs/>
          <w:color w:val="000000"/>
          <w:sz w:val="24"/>
        </w:rPr>
        <w:t xml:space="preserve"> January 1, 2017,</w:t>
      </w:r>
      <w:r w:rsidR="005F1881">
        <w:rPr>
          <w:bCs/>
          <w:color w:val="000000"/>
          <w:sz w:val="24"/>
        </w:rPr>
        <w:t xml:space="preserve"> </w:t>
      </w:r>
      <w:r w:rsidR="00636251" w:rsidRPr="000527E1">
        <w:rPr>
          <w:bCs/>
          <w:color w:val="000000"/>
          <w:sz w:val="24"/>
        </w:rPr>
        <w:t>when Fixed Production Costs are removed from the PC</w:t>
      </w:r>
      <w:r w:rsidR="000527E1" w:rsidRPr="000527E1">
        <w:rPr>
          <w:bCs/>
          <w:color w:val="000000"/>
          <w:sz w:val="24"/>
        </w:rPr>
        <w:t xml:space="preserve">A, </w:t>
      </w:r>
      <w:r w:rsidR="008B0C56">
        <w:rPr>
          <w:bCs/>
          <w:color w:val="000000"/>
          <w:sz w:val="24"/>
        </w:rPr>
        <w:t>and continu</w:t>
      </w:r>
      <w:r w:rsidR="005F1881">
        <w:rPr>
          <w:bCs/>
          <w:color w:val="000000"/>
          <w:sz w:val="24"/>
        </w:rPr>
        <w:t>ing</w:t>
      </w:r>
      <w:r w:rsidR="008B0C56">
        <w:rPr>
          <w:bCs/>
          <w:color w:val="000000"/>
          <w:sz w:val="24"/>
        </w:rPr>
        <w:t xml:space="preserve"> to the date </w:t>
      </w:r>
      <w:r w:rsidR="000527E1" w:rsidRPr="000527E1">
        <w:rPr>
          <w:bCs/>
          <w:color w:val="000000"/>
          <w:sz w:val="24"/>
        </w:rPr>
        <w:t>when rates from the general rate case become effective and Fixed Production Costs are placed in the decoupling mechanism if PSE’s decoupling mechanism continues.</w:t>
      </w:r>
      <w:r w:rsidR="000527E1">
        <w:rPr>
          <w:rStyle w:val="FootnoteReference"/>
          <w:bCs/>
          <w:color w:val="000000"/>
          <w:sz w:val="24"/>
        </w:rPr>
        <w:footnoteReference w:id="3"/>
      </w:r>
      <w:r w:rsidR="000527E1" w:rsidRPr="000527E1">
        <w:rPr>
          <w:bCs/>
          <w:color w:val="000000"/>
          <w:sz w:val="24"/>
        </w:rPr>
        <w:t xml:space="preserve">  </w:t>
      </w:r>
      <w:r w:rsidR="00636251" w:rsidRPr="000527E1">
        <w:rPr>
          <w:bCs/>
          <w:color w:val="000000"/>
          <w:sz w:val="24"/>
        </w:rPr>
        <w:t xml:space="preserve"> </w:t>
      </w:r>
      <w:r w:rsidR="008B0C56">
        <w:rPr>
          <w:bCs/>
          <w:color w:val="000000"/>
          <w:sz w:val="24"/>
        </w:rPr>
        <w:t xml:space="preserve">The rate effective date was estimated to be March 1, 2017.  </w:t>
      </w:r>
      <w:r w:rsidR="000E7129" w:rsidRPr="000527E1">
        <w:rPr>
          <w:color w:val="000000"/>
          <w:sz w:val="24"/>
        </w:rPr>
        <w:t xml:space="preserve">On </w:t>
      </w:r>
      <w:r w:rsidR="00636251" w:rsidRPr="000527E1">
        <w:rPr>
          <w:color w:val="000000"/>
          <w:sz w:val="24"/>
        </w:rPr>
        <w:t>August</w:t>
      </w:r>
      <w:r w:rsidR="00B20A27" w:rsidRPr="000527E1">
        <w:rPr>
          <w:color w:val="000000"/>
          <w:sz w:val="24"/>
        </w:rPr>
        <w:t xml:space="preserve"> </w:t>
      </w:r>
      <w:r w:rsidR="000E7129" w:rsidRPr="000527E1">
        <w:rPr>
          <w:color w:val="000000"/>
          <w:sz w:val="24"/>
        </w:rPr>
        <w:t>7, 201</w:t>
      </w:r>
      <w:r w:rsidR="00636251" w:rsidRPr="000527E1">
        <w:rPr>
          <w:color w:val="000000"/>
          <w:sz w:val="24"/>
        </w:rPr>
        <w:t>5</w:t>
      </w:r>
      <w:r w:rsidR="0077048C" w:rsidRPr="000527E1">
        <w:rPr>
          <w:color w:val="000000"/>
          <w:sz w:val="24"/>
        </w:rPr>
        <w:t>, the Commission e</w:t>
      </w:r>
      <w:r w:rsidR="00B20A27" w:rsidRPr="000527E1">
        <w:rPr>
          <w:color w:val="000000"/>
          <w:sz w:val="24"/>
        </w:rPr>
        <w:t xml:space="preserve">ntered its Final Order, Order </w:t>
      </w:r>
      <w:r w:rsidR="00636251" w:rsidRPr="000527E1">
        <w:rPr>
          <w:color w:val="000000"/>
          <w:sz w:val="24"/>
        </w:rPr>
        <w:t>11</w:t>
      </w:r>
      <w:r w:rsidR="00716322" w:rsidRPr="000527E1">
        <w:rPr>
          <w:color w:val="000000"/>
          <w:sz w:val="24"/>
        </w:rPr>
        <w:t>,</w:t>
      </w:r>
      <w:r w:rsidR="0077048C" w:rsidRPr="000527E1">
        <w:rPr>
          <w:color w:val="000000"/>
          <w:sz w:val="24"/>
        </w:rPr>
        <w:t xml:space="preserve"> in this docket, </w:t>
      </w:r>
      <w:r w:rsidR="008B0C56">
        <w:rPr>
          <w:color w:val="000000"/>
          <w:sz w:val="24"/>
        </w:rPr>
        <w:t>a</w:t>
      </w:r>
      <w:r w:rsidR="007350F1" w:rsidRPr="000527E1">
        <w:rPr>
          <w:color w:val="000000"/>
          <w:sz w:val="24"/>
        </w:rPr>
        <w:t xml:space="preserve">pproving </w:t>
      </w:r>
      <w:r w:rsidR="008B0C56">
        <w:rPr>
          <w:color w:val="000000"/>
          <w:sz w:val="24"/>
        </w:rPr>
        <w:t>the PCA</w:t>
      </w:r>
      <w:r w:rsidR="00B20A27" w:rsidRPr="000527E1">
        <w:rPr>
          <w:color w:val="000000"/>
          <w:sz w:val="24"/>
        </w:rPr>
        <w:t xml:space="preserve"> </w:t>
      </w:r>
      <w:r w:rsidR="00F149E5" w:rsidRPr="000527E1">
        <w:rPr>
          <w:bCs/>
          <w:color w:val="000000"/>
          <w:sz w:val="24"/>
        </w:rPr>
        <w:t>Settlement</w:t>
      </w:r>
      <w:r w:rsidR="0077048C" w:rsidRPr="000527E1">
        <w:rPr>
          <w:bCs/>
          <w:color w:val="000000"/>
          <w:sz w:val="24"/>
        </w:rPr>
        <w:t>.</w:t>
      </w:r>
      <w:r w:rsidR="00F149E5" w:rsidRPr="000527E1">
        <w:rPr>
          <w:bCs/>
          <w:color w:val="000000"/>
          <w:sz w:val="24"/>
        </w:rPr>
        <w:t xml:space="preserve">          </w:t>
      </w:r>
      <w:r w:rsidR="0077048C" w:rsidRPr="000527E1">
        <w:rPr>
          <w:bCs/>
          <w:color w:val="000000"/>
          <w:sz w:val="24"/>
        </w:rPr>
        <w:t xml:space="preserve"> </w:t>
      </w:r>
    </w:p>
    <w:p w:rsidR="00D41B88" w:rsidRPr="0043207F" w:rsidRDefault="008B70FC" w:rsidP="00D41B88">
      <w:pPr>
        <w:spacing w:before="240" w:line="480" w:lineRule="auto"/>
        <w:rPr>
          <w:b/>
          <w:i/>
          <w:color w:val="000000"/>
          <w:sz w:val="24"/>
        </w:rPr>
      </w:pPr>
      <w:r>
        <w:rPr>
          <w:b/>
          <w:color w:val="000000"/>
          <w:sz w:val="24"/>
        </w:rPr>
        <w:t>B</w:t>
      </w:r>
      <w:r w:rsidR="00D41B88">
        <w:rPr>
          <w:b/>
          <w:color w:val="000000"/>
          <w:sz w:val="24"/>
        </w:rPr>
        <w:t>.</w:t>
      </w:r>
      <w:r w:rsidR="00D41B88">
        <w:rPr>
          <w:b/>
          <w:color w:val="000000"/>
          <w:sz w:val="24"/>
        </w:rPr>
        <w:tab/>
        <w:t>Extension of Multi-Year Rate Plan in Docket UE-</w:t>
      </w:r>
      <w:r w:rsidR="0043207F">
        <w:rPr>
          <w:b/>
          <w:color w:val="000000"/>
          <w:sz w:val="24"/>
        </w:rPr>
        <w:t xml:space="preserve">121697 </w:t>
      </w:r>
      <w:r w:rsidR="0043207F">
        <w:rPr>
          <w:b/>
          <w:i/>
          <w:color w:val="000000"/>
          <w:sz w:val="24"/>
        </w:rPr>
        <w:t>et al.</w:t>
      </w:r>
    </w:p>
    <w:p w:rsidR="005B05FB" w:rsidRDefault="0043207F" w:rsidP="00D41B88">
      <w:pPr>
        <w:numPr>
          <w:ilvl w:val="0"/>
          <w:numId w:val="2"/>
        </w:numPr>
        <w:spacing w:line="480" w:lineRule="auto"/>
        <w:rPr>
          <w:bCs/>
          <w:color w:val="000000"/>
          <w:sz w:val="24"/>
        </w:rPr>
      </w:pPr>
      <w:r>
        <w:rPr>
          <w:bCs/>
          <w:color w:val="000000"/>
          <w:sz w:val="24"/>
        </w:rPr>
        <w:t xml:space="preserve">After the PCA Settlement was approved by the Commission, the parties to PSE’s decoupling dockets agreed to extend the multi-year rate plan.  </w:t>
      </w:r>
      <w:r w:rsidR="005B05FB">
        <w:rPr>
          <w:bCs/>
          <w:color w:val="000000"/>
          <w:sz w:val="24"/>
        </w:rPr>
        <w:t xml:space="preserve">On March 9, 2016, </w:t>
      </w:r>
      <w:r w:rsidR="005B05FB" w:rsidRPr="005B05FB">
        <w:rPr>
          <w:bCs/>
          <w:color w:val="000000"/>
          <w:sz w:val="24"/>
        </w:rPr>
        <w:t>PSE, Staff, Public Counsel, Industrial Customers of Northwest Utilities, Northwest Industrial Gas Users, The Energy Project, NW Energy Coalition, Federal Executive Agencies, and the Sierra Club (collectively, Joint Petitioners), filed a Joint Petition to Modify Order 07</w:t>
      </w:r>
      <w:r w:rsidR="005B05FB">
        <w:rPr>
          <w:bCs/>
          <w:color w:val="000000"/>
          <w:sz w:val="24"/>
        </w:rPr>
        <w:t xml:space="preserve"> in Docket UE-121697 </w:t>
      </w:r>
      <w:r w:rsidR="005B05FB">
        <w:rPr>
          <w:bCs/>
          <w:i/>
          <w:color w:val="000000"/>
          <w:sz w:val="24"/>
        </w:rPr>
        <w:t>et al.</w:t>
      </w:r>
      <w:r w:rsidR="005B05FB" w:rsidRPr="005B05FB">
        <w:rPr>
          <w:bCs/>
          <w:color w:val="000000"/>
          <w:sz w:val="24"/>
        </w:rPr>
        <w:t>, requesting an extension to the date by which PSE must file a general rate case</w:t>
      </w:r>
      <w:r w:rsidR="008B70FC">
        <w:rPr>
          <w:bCs/>
          <w:color w:val="000000"/>
          <w:sz w:val="24"/>
        </w:rPr>
        <w:t xml:space="preserve">.  The Joint Petition requested that the date by which PSE must file its general rate case be moved from April 1, 2016 to January 17, 2017.   </w:t>
      </w:r>
      <w:r w:rsidR="00D41B88" w:rsidRPr="00D41B88">
        <w:rPr>
          <w:bCs/>
          <w:color w:val="000000"/>
          <w:sz w:val="24"/>
        </w:rPr>
        <w:t xml:space="preserve">The Joint Petitioners also agreed to support an amendment to Order 11 in Docket UE-130617 </w:t>
      </w:r>
      <w:r w:rsidR="00D41B88" w:rsidRPr="0043207F">
        <w:rPr>
          <w:bCs/>
          <w:i/>
          <w:color w:val="000000"/>
          <w:sz w:val="24"/>
        </w:rPr>
        <w:t>et al</w:t>
      </w:r>
      <w:r>
        <w:rPr>
          <w:bCs/>
          <w:color w:val="000000"/>
          <w:sz w:val="24"/>
        </w:rPr>
        <w:t>.</w:t>
      </w:r>
      <w:r w:rsidR="00305A3B">
        <w:rPr>
          <w:bCs/>
          <w:color w:val="000000"/>
          <w:sz w:val="24"/>
        </w:rPr>
        <w:t xml:space="preserve"> </w:t>
      </w:r>
      <w:bookmarkStart w:id="0" w:name="_GoBack"/>
      <w:bookmarkEnd w:id="0"/>
      <w:r w:rsidR="00D41B88" w:rsidRPr="00D41B88">
        <w:rPr>
          <w:bCs/>
          <w:color w:val="000000"/>
          <w:sz w:val="24"/>
        </w:rPr>
        <w:t>for the purposes of extending the deferral period in recognition of the new date by which PSE must file its next general rate case and when new rates are expected to take effect</w:t>
      </w:r>
      <w:r w:rsidR="00D41B88">
        <w:rPr>
          <w:bCs/>
          <w:color w:val="000000"/>
          <w:sz w:val="24"/>
        </w:rPr>
        <w:t>.</w:t>
      </w:r>
      <w:r w:rsidR="00D41B88">
        <w:rPr>
          <w:rStyle w:val="FootnoteReference"/>
          <w:bCs/>
          <w:color w:val="000000"/>
          <w:sz w:val="24"/>
        </w:rPr>
        <w:footnoteReference w:id="4"/>
      </w:r>
      <w:r w:rsidR="00D41B88">
        <w:rPr>
          <w:bCs/>
          <w:color w:val="000000"/>
          <w:sz w:val="24"/>
        </w:rPr>
        <w:t xml:space="preserve">  On March 17, 2016, the Commission granted the relief requested by the Joint Petitioners</w:t>
      </w:r>
      <w:r w:rsidR="00FC3490">
        <w:rPr>
          <w:bCs/>
          <w:color w:val="000000"/>
          <w:sz w:val="24"/>
        </w:rPr>
        <w:t>.</w:t>
      </w:r>
    </w:p>
    <w:p w:rsidR="00325BAF" w:rsidRDefault="00325BAF" w:rsidP="00FC3490">
      <w:pPr>
        <w:spacing w:before="240" w:line="480" w:lineRule="auto"/>
        <w:rPr>
          <w:b/>
          <w:color w:val="000000"/>
          <w:sz w:val="24"/>
        </w:rPr>
      </w:pPr>
    </w:p>
    <w:p w:rsidR="00FC3490" w:rsidRPr="001B08E4" w:rsidRDefault="00FC3490" w:rsidP="00FC3490">
      <w:pPr>
        <w:spacing w:before="240" w:line="480" w:lineRule="auto"/>
        <w:rPr>
          <w:b/>
          <w:color w:val="000000"/>
          <w:sz w:val="24"/>
        </w:rPr>
      </w:pPr>
      <w:r>
        <w:rPr>
          <w:b/>
          <w:color w:val="000000"/>
          <w:sz w:val="24"/>
        </w:rPr>
        <w:lastRenderedPageBreak/>
        <w:t>C.</w:t>
      </w:r>
      <w:r>
        <w:rPr>
          <w:b/>
          <w:color w:val="000000"/>
          <w:sz w:val="24"/>
        </w:rPr>
        <w:tab/>
        <w:t>Accounting Order To Defer Fixed Costs in Docket UE-161112</w:t>
      </w:r>
    </w:p>
    <w:p w:rsidR="00117CD0" w:rsidRPr="00D71186" w:rsidRDefault="008B0C56" w:rsidP="00755A3A">
      <w:pPr>
        <w:numPr>
          <w:ilvl w:val="0"/>
          <w:numId w:val="2"/>
        </w:numPr>
        <w:spacing w:line="480" w:lineRule="auto"/>
        <w:rPr>
          <w:color w:val="000000"/>
          <w:sz w:val="24"/>
        </w:rPr>
      </w:pPr>
      <w:r>
        <w:rPr>
          <w:bCs/>
          <w:color w:val="000000"/>
          <w:sz w:val="24"/>
        </w:rPr>
        <w:t>Consistent with the PCA Settlement, o</w:t>
      </w:r>
      <w:r w:rsidR="00FC3490">
        <w:rPr>
          <w:bCs/>
          <w:color w:val="000000"/>
          <w:sz w:val="24"/>
        </w:rPr>
        <w:t xml:space="preserve">n September 30, 2016, PSE filed with the Commission a petition requesting an accounting order which would allow PSE to defer revenue variances associated with its recovery of its </w:t>
      </w:r>
      <w:r>
        <w:rPr>
          <w:bCs/>
          <w:color w:val="000000"/>
          <w:sz w:val="24"/>
        </w:rPr>
        <w:t>F</w:t>
      </w:r>
      <w:r w:rsidR="00FC3490">
        <w:rPr>
          <w:bCs/>
          <w:color w:val="000000"/>
          <w:sz w:val="24"/>
        </w:rPr>
        <w:t xml:space="preserve">ixed </w:t>
      </w:r>
      <w:r>
        <w:rPr>
          <w:bCs/>
          <w:color w:val="000000"/>
          <w:sz w:val="24"/>
        </w:rPr>
        <w:t>P</w:t>
      </w:r>
      <w:r w:rsidR="00FC3490">
        <w:rPr>
          <w:bCs/>
          <w:color w:val="000000"/>
          <w:sz w:val="24"/>
        </w:rPr>
        <w:t xml:space="preserve">roduction </w:t>
      </w:r>
      <w:r>
        <w:rPr>
          <w:bCs/>
          <w:color w:val="000000"/>
          <w:sz w:val="24"/>
        </w:rPr>
        <w:t>C</w:t>
      </w:r>
      <w:r w:rsidR="00FC3490">
        <w:rPr>
          <w:bCs/>
          <w:color w:val="000000"/>
          <w:sz w:val="24"/>
        </w:rPr>
        <w:t xml:space="preserve">osts, which were due to be removed from the PCA mechanism </w:t>
      </w:r>
      <w:r w:rsidR="007D24FA">
        <w:rPr>
          <w:bCs/>
          <w:color w:val="000000"/>
          <w:sz w:val="24"/>
        </w:rPr>
        <w:t>beginning January 1, 2017</w:t>
      </w:r>
      <w:r w:rsidR="0043207F">
        <w:rPr>
          <w:bCs/>
          <w:color w:val="000000"/>
          <w:sz w:val="24"/>
        </w:rPr>
        <w:t xml:space="preserve">.  </w:t>
      </w:r>
      <w:r>
        <w:rPr>
          <w:bCs/>
          <w:color w:val="000000"/>
          <w:sz w:val="24"/>
        </w:rPr>
        <w:t>As previously noted, t</w:t>
      </w:r>
      <w:r w:rsidR="0043207F">
        <w:rPr>
          <w:bCs/>
          <w:color w:val="000000"/>
          <w:sz w:val="24"/>
        </w:rPr>
        <w:t xml:space="preserve">he deferral was to </w:t>
      </w:r>
      <w:r w:rsidR="007D24FA">
        <w:rPr>
          <w:bCs/>
          <w:color w:val="000000"/>
          <w:sz w:val="24"/>
        </w:rPr>
        <w:t xml:space="preserve">continue until the Commission establishes new rates in PSE’s next general rate case.  The Commission approved the accounting petition.  </w:t>
      </w:r>
      <w:r>
        <w:rPr>
          <w:bCs/>
          <w:color w:val="000000"/>
          <w:sz w:val="24"/>
        </w:rPr>
        <w:t>However, i</w:t>
      </w:r>
      <w:r w:rsidR="0043207F">
        <w:rPr>
          <w:bCs/>
          <w:color w:val="000000"/>
          <w:sz w:val="24"/>
        </w:rPr>
        <w:t>n its Final Order approving the petition, t</w:t>
      </w:r>
      <w:r w:rsidR="007D24FA">
        <w:rPr>
          <w:bCs/>
          <w:color w:val="000000"/>
          <w:sz w:val="24"/>
        </w:rPr>
        <w:t>he Commission noted that the PCA Settlement and the Final Order approving the PCA Settlement “still reference the previously-anticipated rate effective date of March 1, 2017.”</w:t>
      </w:r>
      <w:r w:rsidR="007D24FA">
        <w:rPr>
          <w:rStyle w:val="FootnoteReference"/>
          <w:bCs/>
          <w:color w:val="000000"/>
          <w:sz w:val="24"/>
        </w:rPr>
        <w:footnoteReference w:id="5"/>
      </w:r>
      <w:r w:rsidR="007D24FA">
        <w:rPr>
          <w:bCs/>
          <w:color w:val="000000"/>
          <w:sz w:val="24"/>
        </w:rPr>
        <w:t xml:space="preserve">  The Commission </w:t>
      </w:r>
      <w:r w:rsidR="00D71186">
        <w:rPr>
          <w:bCs/>
          <w:color w:val="000000"/>
          <w:sz w:val="24"/>
        </w:rPr>
        <w:t xml:space="preserve">“encourage[d] the parties to file a joint motion in that adjudicative proceeding requesting modification of that date in the settlement agreement and Order 11 to reflect the extension of the multi-year rate plan in Docket UE-121697 </w:t>
      </w:r>
      <w:r w:rsidR="00D71186">
        <w:rPr>
          <w:bCs/>
          <w:i/>
          <w:color w:val="000000"/>
          <w:sz w:val="24"/>
        </w:rPr>
        <w:t>et al.</w:t>
      </w:r>
      <w:r w:rsidR="00D71186">
        <w:rPr>
          <w:bCs/>
          <w:color w:val="000000"/>
          <w:sz w:val="24"/>
        </w:rPr>
        <w:t>”</w:t>
      </w:r>
      <w:r w:rsidR="00D71186">
        <w:rPr>
          <w:rStyle w:val="FootnoteReference"/>
          <w:bCs/>
          <w:color w:val="000000"/>
          <w:sz w:val="24"/>
        </w:rPr>
        <w:footnoteReference w:id="6"/>
      </w:r>
      <w:r w:rsidR="00D71186">
        <w:rPr>
          <w:bCs/>
          <w:color w:val="000000"/>
          <w:sz w:val="24"/>
        </w:rPr>
        <w:t xml:space="preserve">  Accordingly, the Moving Parties file this joint motion.</w:t>
      </w:r>
    </w:p>
    <w:p w:rsidR="00D71186" w:rsidRPr="00BB3DE2" w:rsidRDefault="00D71186" w:rsidP="00D71186">
      <w:pPr>
        <w:spacing w:line="480" w:lineRule="auto"/>
        <w:jc w:val="center"/>
        <w:rPr>
          <w:b/>
          <w:color w:val="000000"/>
          <w:sz w:val="24"/>
        </w:rPr>
      </w:pPr>
      <w:r w:rsidRPr="00BB3DE2">
        <w:rPr>
          <w:b/>
          <w:color w:val="000000"/>
          <w:sz w:val="24"/>
        </w:rPr>
        <w:t>III.</w:t>
      </w:r>
      <w:r>
        <w:rPr>
          <w:b/>
          <w:color w:val="000000"/>
          <w:sz w:val="24"/>
        </w:rPr>
        <w:tab/>
        <w:t>REQUESTED MODIFICATIONS TO PCA SETTLEMENT AND ORDER 11</w:t>
      </w:r>
    </w:p>
    <w:p w:rsidR="00D71186" w:rsidRPr="00C92B9F" w:rsidRDefault="00974491" w:rsidP="00755A3A">
      <w:pPr>
        <w:numPr>
          <w:ilvl w:val="0"/>
          <w:numId w:val="2"/>
        </w:numPr>
        <w:spacing w:line="480" w:lineRule="auto"/>
        <w:rPr>
          <w:color w:val="000000"/>
          <w:sz w:val="24"/>
        </w:rPr>
      </w:pPr>
      <w:r>
        <w:rPr>
          <w:bCs/>
          <w:color w:val="000000"/>
          <w:sz w:val="24"/>
        </w:rPr>
        <w:t>The Moving Parties respectfully request the Commission modify the PCA Settlement and Order 11 as shown below:</w:t>
      </w:r>
    </w:p>
    <w:p w:rsidR="00C92B9F" w:rsidRDefault="00C92B9F" w:rsidP="00C92B9F">
      <w:pPr>
        <w:spacing w:line="480" w:lineRule="auto"/>
        <w:rPr>
          <w:bCs/>
          <w:color w:val="000000"/>
          <w:sz w:val="24"/>
        </w:rPr>
      </w:pPr>
      <w:r>
        <w:rPr>
          <w:bCs/>
          <w:color w:val="000000"/>
          <w:sz w:val="24"/>
        </w:rPr>
        <w:t>Settlement Stipulation Section III.F.4:</w:t>
      </w:r>
    </w:p>
    <w:p w:rsidR="00C92B9F" w:rsidRDefault="00C92B9F" w:rsidP="00C92B9F">
      <w:pPr>
        <w:pStyle w:val="BodyTextIndent2"/>
        <w:rPr>
          <w:rFonts w:ascii="Times New Roman" w:hAnsi="Times New Roman"/>
        </w:rPr>
      </w:pPr>
      <w:r w:rsidRPr="00C92B9F">
        <w:rPr>
          <w:rFonts w:ascii="Times New Roman" w:hAnsi="Times New Roman"/>
        </w:rPr>
        <w:t xml:space="preserve">Implementation of changes to the PCA mechanism set forth in this agreement will occur on January 1, 2017.   PSE may file, and the Settling Parties agree to support, an accounting petition to request deferral of revenue variances associated with the recovery of Fixed Production Costs to bridge the </w:t>
      </w:r>
      <w:r w:rsidRPr="0043207F">
        <w:rPr>
          <w:rFonts w:ascii="Times New Roman" w:hAnsi="Times New Roman"/>
          <w:strike/>
        </w:rPr>
        <w:t>two month</w:t>
      </w:r>
      <w:r w:rsidRPr="00C92B9F">
        <w:rPr>
          <w:rFonts w:ascii="Times New Roman" w:hAnsi="Times New Roman"/>
        </w:rPr>
        <w:t xml:space="preserve"> period between implementation of the changes to the PCA mechanism on January 1, 2017 and the start of the rate year for PSE’s next general rate case </w:t>
      </w:r>
      <w:r w:rsidRPr="005F1881">
        <w:rPr>
          <w:rFonts w:ascii="Times New Roman" w:hAnsi="Times New Roman"/>
          <w:strike/>
        </w:rPr>
        <w:t>(estimated to be</w:t>
      </w:r>
      <w:r w:rsidRPr="005F1881">
        <w:rPr>
          <w:rFonts w:ascii="Times New Roman" w:hAnsi="Times New Roman"/>
        </w:rPr>
        <w:t xml:space="preserve"> </w:t>
      </w:r>
      <w:r w:rsidRPr="005F1881">
        <w:rPr>
          <w:rFonts w:ascii="Times New Roman" w:hAnsi="Times New Roman"/>
          <w:strike/>
        </w:rPr>
        <w:t>March 1, 2017</w:t>
      </w:r>
      <w:r w:rsidRPr="005F1881">
        <w:rPr>
          <w:rFonts w:ascii="Times New Roman" w:hAnsi="Times New Roman"/>
        </w:rPr>
        <w:t xml:space="preserve"> </w:t>
      </w:r>
      <w:r w:rsidRPr="00C92B9F">
        <w:rPr>
          <w:rFonts w:ascii="Times New Roman" w:hAnsi="Times New Roman"/>
        </w:rPr>
        <w:t xml:space="preserve">where the continuation of the electric decoupling mechanism will be considered.  </w:t>
      </w:r>
    </w:p>
    <w:p w:rsidR="00C92B9F" w:rsidRDefault="00C92B9F" w:rsidP="00C92B9F">
      <w:pPr>
        <w:pStyle w:val="BodyTextIndent2"/>
        <w:rPr>
          <w:rFonts w:ascii="Times New Roman" w:hAnsi="Times New Roman"/>
        </w:rPr>
      </w:pPr>
    </w:p>
    <w:p w:rsidR="00343F4D" w:rsidRDefault="00343F4D" w:rsidP="00C92B9F">
      <w:pPr>
        <w:spacing w:line="480" w:lineRule="auto"/>
        <w:rPr>
          <w:color w:val="000000"/>
          <w:sz w:val="24"/>
        </w:rPr>
      </w:pPr>
    </w:p>
    <w:p w:rsidR="00C92B9F" w:rsidRDefault="00C92B9F" w:rsidP="00C92B9F">
      <w:pPr>
        <w:spacing w:line="480" w:lineRule="auto"/>
        <w:rPr>
          <w:color w:val="000000"/>
          <w:sz w:val="24"/>
        </w:rPr>
      </w:pPr>
      <w:r>
        <w:rPr>
          <w:color w:val="000000"/>
          <w:sz w:val="24"/>
        </w:rPr>
        <w:lastRenderedPageBreak/>
        <w:t>Order 11 Paragraph 15:</w:t>
      </w:r>
    </w:p>
    <w:p w:rsidR="00C92B9F" w:rsidRPr="00C92B9F" w:rsidRDefault="002B6769" w:rsidP="00C92B9F">
      <w:pPr>
        <w:pStyle w:val="BodyTextIndent2"/>
        <w:rPr>
          <w:rFonts w:ascii="Times New Roman" w:hAnsi="Times New Roman"/>
        </w:rPr>
      </w:pPr>
      <w:r w:rsidRPr="005F1881">
        <w:rPr>
          <w:rFonts w:ascii="Times New Roman" w:hAnsi="Times New Roman"/>
          <w:strike/>
        </w:rPr>
        <w:t xml:space="preserve">Additionally, the Settlement estimates PSE’s next general rate case will result in rates effective </w:t>
      </w:r>
      <w:r w:rsidRPr="002B6769">
        <w:rPr>
          <w:rFonts w:ascii="Times New Roman" w:hAnsi="Times New Roman"/>
          <w:strike/>
        </w:rPr>
        <w:t>March 1, 2017</w:t>
      </w:r>
      <w:r w:rsidRPr="005F1881">
        <w:rPr>
          <w:rFonts w:ascii="Times New Roman" w:hAnsi="Times New Roman"/>
          <w:strike/>
        </w:rPr>
        <w:t>.</w:t>
      </w:r>
      <w:r w:rsidRPr="002B6769">
        <w:rPr>
          <w:rFonts w:ascii="Times New Roman" w:hAnsi="Times New Roman"/>
        </w:rPr>
        <w:t xml:space="preserve"> The Settlement provides that PSE may file, and the Settling Parties agree to support, an accounting petition deferring revenue variances in Fixed Production Costs between January 1, 2017, when Fixed Production Costs are removed from the PCA per this Settlement, and </w:t>
      </w:r>
      <w:r w:rsidRPr="002B6769">
        <w:rPr>
          <w:rFonts w:ascii="Times New Roman" w:hAnsi="Times New Roman"/>
          <w:strike/>
        </w:rPr>
        <w:t>March 1, 2017</w:t>
      </w:r>
      <w:r>
        <w:rPr>
          <w:rFonts w:ascii="Times New Roman" w:hAnsi="Times New Roman"/>
        </w:rPr>
        <w:t xml:space="preserve"> </w:t>
      </w:r>
      <w:r w:rsidR="005F1881">
        <w:rPr>
          <w:rFonts w:ascii="Times New Roman" w:hAnsi="Times New Roman"/>
          <w:u w:val="single"/>
        </w:rPr>
        <w:t xml:space="preserve">the date </w:t>
      </w:r>
      <w:r w:rsidRPr="002B6769">
        <w:rPr>
          <w:rFonts w:ascii="Times New Roman" w:hAnsi="Times New Roman"/>
        </w:rPr>
        <w:t>when rates from the general rate case become effective and Fixed Production Costs are placed in the decoupling mechanism, if PSE’s decoupling program continues.</w:t>
      </w:r>
    </w:p>
    <w:p w:rsidR="00886CEE" w:rsidRPr="00566D4F" w:rsidRDefault="00886CEE" w:rsidP="0056603C">
      <w:pPr>
        <w:jc w:val="center"/>
        <w:rPr>
          <w:color w:val="000000"/>
          <w:sz w:val="24"/>
        </w:rPr>
      </w:pPr>
    </w:p>
    <w:p w:rsidR="000B6A87" w:rsidRPr="00BB7018" w:rsidRDefault="000B6A87" w:rsidP="00343F4D">
      <w:pPr>
        <w:spacing w:before="240" w:line="480" w:lineRule="auto"/>
        <w:jc w:val="center"/>
        <w:rPr>
          <w:b/>
          <w:color w:val="000000"/>
          <w:sz w:val="24"/>
        </w:rPr>
      </w:pPr>
      <w:r w:rsidRPr="00BB7018">
        <w:rPr>
          <w:b/>
          <w:color w:val="000000"/>
          <w:sz w:val="24"/>
        </w:rPr>
        <w:t>I</w:t>
      </w:r>
      <w:r w:rsidR="00974491" w:rsidRPr="00BB7018">
        <w:rPr>
          <w:b/>
          <w:color w:val="000000"/>
          <w:sz w:val="24"/>
        </w:rPr>
        <w:t>V</w:t>
      </w:r>
      <w:r w:rsidRPr="00BB7018">
        <w:rPr>
          <w:b/>
          <w:color w:val="000000"/>
          <w:sz w:val="24"/>
        </w:rPr>
        <w:t>.</w:t>
      </w:r>
      <w:r w:rsidR="0056603C" w:rsidRPr="00BB7018">
        <w:rPr>
          <w:b/>
          <w:color w:val="000000"/>
          <w:sz w:val="24"/>
        </w:rPr>
        <w:tab/>
      </w:r>
      <w:r w:rsidR="0077048C" w:rsidRPr="00BB7018">
        <w:rPr>
          <w:b/>
          <w:color w:val="000000"/>
          <w:sz w:val="24"/>
        </w:rPr>
        <w:t>LEGAL AUTHORITY</w:t>
      </w:r>
    </w:p>
    <w:p w:rsidR="00886D51" w:rsidRPr="00BB7018" w:rsidRDefault="00886D51" w:rsidP="00886D51">
      <w:pPr>
        <w:numPr>
          <w:ilvl w:val="0"/>
          <w:numId w:val="2"/>
        </w:numPr>
        <w:spacing w:line="480" w:lineRule="auto"/>
        <w:rPr>
          <w:color w:val="000000"/>
          <w:sz w:val="24"/>
        </w:rPr>
      </w:pPr>
      <w:r w:rsidRPr="00BB7018">
        <w:rPr>
          <w:color w:val="000000"/>
          <w:sz w:val="24"/>
        </w:rPr>
        <w:t>The Commission has authority to alter or amend its prior orders.  RCW 80.04.210 and WAC 480</w:t>
      </w:r>
      <w:r w:rsidRPr="00BB7018">
        <w:rPr>
          <w:color w:val="000000"/>
          <w:sz w:val="24"/>
        </w:rPr>
        <w:noBreakHyphen/>
        <w:t>07</w:t>
      </w:r>
      <w:r w:rsidRPr="00BB7018">
        <w:rPr>
          <w:color w:val="000000"/>
          <w:sz w:val="24"/>
        </w:rPr>
        <w:noBreakHyphen/>
        <w:t xml:space="preserve">875 authorize the Commission to amend an order after providing notice to the affected public service company and to all parties in the underlying proceeding.  In this case, all the parties to the </w:t>
      </w:r>
      <w:r w:rsidR="008B0C56" w:rsidRPr="00BB7018">
        <w:rPr>
          <w:color w:val="000000"/>
          <w:sz w:val="24"/>
        </w:rPr>
        <w:t>PCA S</w:t>
      </w:r>
      <w:r w:rsidR="008B5866" w:rsidRPr="00BB7018">
        <w:rPr>
          <w:color w:val="000000"/>
          <w:sz w:val="24"/>
        </w:rPr>
        <w:t xml:space="preserve">ettlement </w:t>
      </w:r>
      <w:r w:rsidR="005C21B0" w:rsidRPr="00BB7018">
        <w:rPr>
          <w:color w:val="000000"/>
          <w:sz w:val="24"/>
        </w:rPr>
        <w:t xml:space="preserve">join in </w:t>
      </w:r>
      <w:r w:rsidR="003B5E66" w:rsidRPr="00BB7018">
        <w:rPr>
          <w:color w:val="000000"/>
          <w:sz w:val="24"/>
        </w:rPr>
        <w:t>the</w:t>
      </w:r>
      <w:r w:rsidR="005C21B0" w:rsidRPr="00BB7018">
        <w:rPr>
          <w:color w:val="000000"/>
          <w:sz w:val="24"/>
        </w:rPr>
        <w:t xml:space="preserve"> motion.  The </w:t>
      </w:r>
      <w:r w:rsidR="008B0C56" w:rsidRPr="00BB7018">
        <w:rPr>
          <w:color w:val="000000"/>
          <w:sz w:val="24"/>
        </w:rPr>
        <w:t xml:space="preserve">sole </w:t>
      </w:r>
      <w:r w:rsidR="005C21B0" w:rsidRPr="00BB7018">
        <w:rPr>
          <w:color w:val="000000"/>
          <w:sz w:val="24"/>
        </w:rPr>
        <w:t xml:space="preserve">party that objected to the </w:t>
      </w:r>
      <w:r w:rsidR="008B0C56" w:rsidRPr="00BB7018">
        <w:rPr>
          <w:color w:val="000000"/>
          <w:sz w:val="24"/>
        </w:rPr>
        <w:t>PCA Settlement</w:t>
      </w:r>
      <w:r w:rsidR="005C21B0" w:rsidRPr="00BB7018">
        <w:rPr>
          <w:color w:val="000000"/>
          <w:sz w:val="24"/>
        </w:rPr>
        <w:t xml:space="preserve">, ICNU, has also </w:t>
      </w:r>
      <w:r w:rsidR="008B5866" w:rsidRPr="00BB7018">
        <w:rPr>
          <w:color w:val="000000"/>
          <w:sz w:val="24"/>
        </w:rPr>
        <w:t xml:space="preserve">been notified by PSE and </w:t>
      </w:r>
      <w:r w:rsidR="003B5E66" w:rsidRPr="00BB7018">
        <w:rPr>
          <w:color w:val="000000"/>
          <w:sz w:val="24"/>
        </w:rPr>
        <w:t>does not</w:t>
      </w:r>
      <w:r w:rsidR="00B03FBE" w:rsidRPr="00BB7018">
        <w:rPr>
          <w:color w:val="000000"/>
          <w:sz w:val="24"/>
        </w:rPr>
        <w:t xml:space="preserve"> oppos</w:t>
      </w:r>
      <w:r w:rsidR="003B5E66" w:rsidRPr="00BB7018">
        <w:rPr>
          <w:color w:val="000000"/>
          <w:sz w:val="24"/>
        </w:rPr>
        <w:t>e</w:t>
      </w:r>
      <w:r w:rsidR="00B03FBE" w:rsidRPr="00BB7018">
        <w:rPr>
          <w:color w:val="000000"/>
          <w:sz w:val="24"/>
        </w:rPr>
        <w:t xml:space="preserve"> th</w:t>
      </w:r>
      <w:r w:rsidR="003B5E66" w:rsidRPr="00BB7018">
        <w:rPr>
          <w:color w:val="000000"/>
          <w:sz w:val="24"/>
        </w:rPr>
        <w:t>e</w:t>
      </w:r>
      <w:r w:rsidR="00B03FBE" w:rsidRPr="00BB7018">
        <w:rPr>
          <w:color w:val="000000"/>
          <w:sz w:val="24"/>
        </w:rPr>
        <w:t xml:space="preserve"> </w:t>
      </w:r>
      <w:r w:rsidR="005C21B0" w:rsidRPr="00BB7018">
        <w:rPr>
          <w:color w:val="000000"/>
          <w:sz w:val="24"/>
        </w:rPr>
        <w:t>motion</w:t>
      </w:r>
      <w:r w:rsidRPr="00BB7018">
        <w:rPr>
          <w:color w:val="000000"/>
          <w:sz w:val="24"/>
        </w:rPr>
        <w:t xml:space="preserve">.   </w:t>
      </w:r>
    </w:p>
    <w:p w:rsidR="000B6A87" w:rsidRPr="001B08E4" w:rsidRDefault="000B6A87" w:rsidP="00343F4D">
      <w:pPr>
        <w:spacing w:before="240" w:line="480" w:lineRule="auto"/>
        <w:jc w:val="center"/>
        <w:rPr>
          <w:b/>
          <w:color w:val="000000"/>
          <w:sz w:val="24"/>
        </w:rPr>
      </w:pPr>
      <w:r w:rsidRPr="001B08E4">
        <w:rPr>
          <w:b/>
          <w:color w:val="000000"/>
          <w:sz w:val="24"/>
        </w:rPr>
        <w:t>V.</w:t>
      </w:r>
      <w:r w:rsidR="0056603C">
        <w:rPr>
          <w:b/>
          <w:color w:val="000000"/>
          <w:sz w:val="24"/>
        </w:rPr>
        <w:tab/>
      </w:r>
      <w:r w:rsidRPr="001B08E4">
        <w:rPr>
          <w:b/>
          <w:color w:val="000000"/>
          <w:sz w:val="24"/>
        </w:rPr>
        <w:t>CONCLUSION</w:t>
      </w:r>
    </w:p>
    <w:p w:rsidR="000B6A87" w:rsidRPr="001B08E4" w:rsidRDefault="000650CF" w:rsidP="00740BC1">
      <w:pPr>
        <w:numPr>
          <w:ilvl w:val="0"/>
          <w:numId w:val="2"/>
        </w:numPr>
        <w:spacing w:line="480" w:lineRule="auto"/>
        <w:rPr>
          <w:color w:val="000000"/>
          <w:sz w:val="24"/>
        </w:rPr>
      </w:pPr>
      <w:r>
        <w:rPr>
          <w:color w:val="000000"/>
          <w:sz w:val="24"/>
        </w:rPr>
        <w:t xml:space="preserve">The </w:t>
      </w:r>
      <w:r w:rsidR="002B6769">
        <w:rPr>
          <w:color w:val="000000"/>
          <w:sz w:val="24"/>
        </w:rPr>
        <w:t xml:space="preserve">Moving Parties request that the Commission modify </w:t>
      </w:r>
      <w:r>
        <w:rPr>
          <w:color w:val="000000"/>
          <w:sz w:val="24"/>
        </w:rPr>
        <w:t xml:space="preserve">Order </w:t>
      </w:r>
      <w:r w:rsidR="002B6769">
        <w:rPr>
          <w:color w:val="000000"/>
          <w:sz w:val="24"/>
        </w:rPr>
        <w:t>11 and the PCA Settlement</w:t>
      </w:r>
      <w:r w:rsidR="005971DF">
        <w:rPr>
          <w:color w:val="000000"/>
          <w:sz w:val="24"/>
        </w:rPr>
        <w:t xml:space="preserve"> </w:t>
      </w:r>
      <w:r w:rsidR="002B6769">
        <w:rPr>
          <w:color w:val="000000"/>
          <w:sz w:val="24"/>
        </w:rPr>
        <w:t>as set forth above, to reflect the extension to the multi-year rate plan approved by the Commission</w:t>
      </w:r>
      <w:r w:rsidR="00AE026C">
        <w:rPr>
          <w:color w:val="000000"/>
          <w:sz w:val="24"/>
        </w:rPr>
        <w:t>.</w:t>
      </w:r>
      <w:r w:rsidR="002B6769">
        <w:rPr>
          <w:color w:val="000000"/>
          <w:sz w:val="24"/>
        </w:rPr>
        <w:t xml:space="preserve"> </w:t>
      </w:r>
      <w:r w:rsidR="005971DF">
        <w:rPr>
          <w:color w:val="000000"/>
          <w:sz w:val="24"/>
        </w:rPr>
        <w:t xml:space="preserve">  </w:t>
      </w:r>
    </w:p>
    <w:p w:rsidR="002675C3" w:rsidRDefault="00A26117" w:rsidP="00FB3E4A">
      <w:pPr>
        <w:spacing w:before="120" w:after="120"/>
        <w:rPr>
          <w:color w:val="000000"/>
          <w:sz w:val="24"/>
        </w:rPr>
      </w:pPr>
      <w:r>
        <w:rPr>
          <w:color w:val="000000"/>
          <w:sz w:val="24"/>
        </w:rPr>
        <w:tab/>
      </w:r>
      <w:r w:rsidR="002C27C8" w:rsidRPr="001B08E4">
        <w:rPr>
          <w:color w:val="000000"/>
          <w:sz w:val="24"/>
        </w:rPr>
        <w:t xml:space="preserve">Respectfully submitted </w:t>
      </w:r>
      <w:r>
        <w:rPr>
          <w:color w:val="000000"/>
          <w:sz w:val="24"/>
        </w:rPr>
        <w:t xml:space="preserve">this </w:t>
      </w:r>
      <w:r w:rsidR="00343F4D">
        <w:rPr>
          <w:color w:val="000000"/>
          <w:sz w:val="24"/>
        </w:rPr>
        <w:t>__</w:t>
      </w:r>
      <w:r>
        <w:rPr>
          <w:color w:val="000000"/>
          <w:sz w:val="24"/>
        </w:rPr>
        <w:t xml:space="preserve"> </w:t>
      </w:r>
      <w:r w:rsidR="002675C3" w:rsidRPr="001B08E4">
        <w:rPr>
          <w:color w:val="000000"/>
          <w:sz w:val="24"/>
        </w:rPr>
        <w:t xml:space="preserve">day of </w:t>
      </w:r>
      <w:r w:rsidR="00BB7018">
        <w:rPr>
          <w:color w:val="000000"/>
          <w:sz w:val="24"/>
        </w:rPr>
        <w:t>February</w:t>
      </w:r>
      <w:r w:rsidR="005971DF">
        <w:rPr>
          <w:color w:val="000000"/>
          <w:sz w:val="24"/>
        </w:rPr>
        <w:t xml:space="preserve"> </w:t>
      </w:r>
      <w:r w:rsidR="001A1CA1">
        <w:rPr>
          <w:color w:val="000000"/>
          <w:sz w:val="24"/>
        </w:rPr>
        <w:t>201</w:t>
      </w:r>
      <w:r w:rsidR="00974491">
        <w:rPr>
          <w:color w:val="000000"/>
          <w:sz w:val="24"/>
        </w:rPr>
        <w:t>7</w:t>
      </w:r>
      <w:r w:rsidR="002675C3" w:rsidRPr="001B08E4">
        <w:rPr>
          <w:color w:val="000000"/>
          <w:sz w:val="24"/>
        </w:rPr>
        <w:t>.</w:t>
      </w:r>
    </w:p>
    <w:p w:rsidR="00343F4D" w:rsidRDefault="00343F4D" w:rsidP="00FB3E4A">
      <w:pPr>
        <w:spacing w:before="120" w:after="120"/>
        <w:rPr>
          <w:color w:val="000000"/>
          <w:sz w:val="24"/>
        </w:rPr>
      </w:pPr>
    </w:p>
    <w:p w:rsidR="00343F4D" w:rsidRDefault="00343F4D" w:rsidP="00FB3E4A">
      <w:pPr>
        <w:spacing w:before="120" w:after="120"/>
        <w:rPr>
          <w:color w:val="000000"/>
          <w:sz w:val="24"/>
        </w:rPr>
      </w:pPr>
    </w:p>
    <w:p w:rsidR="00343F4D" w:rsidRDefault="00343F4D" w:rsidP="00FB3E4A">
      <w:pPr>
        <w:spacing w:before="120" w:after="120"/>
        <w:rPr>
          <w:color w:val="000000"/>
          <w:sz w:val="24"/>
        </w:rPr>
      </w:pPr>
    </w:p>
    <w:p w:rsidR="00343F4D" w:rsidRDefault="00343F4D" w:rsidP="00FB3E4A">
      <w:pPr>
        <w:spacing w:before="120" w:after="120"/>
        <w:rPr>
          <w:color w:val="000000"/>
          <w:sz w:val="24"/>
        </w:rPr>
      </w:pPr>
    </w:p>
    <w:tbl>
      <w:tblPr>
        <w:tblW w:w="9210" w:type="dxa"/>
        <w:tblLayout w:type="fixed"/>
        <w:tblLook w:val="0000" w:firstRow="0" w:lastRow="0" w:firstColumn="0" w:lastColumn="0" w:noHBand="0" w:noVBand="0"/>
      </w:tblPr>
      <w:tblGrid>
        <w:gridCol w:w="4605"/>
        <w:gridCol w:w="4605"/>
      </w:tblGrid>
      <w:tr w:rsidR="009E495C" w:rsidRPr="009E495C" w:rsidTr="0077037D">
        <w:trPr>
          <w:trHeight w:val="2748"/>
        </w:trPr>
        <w:tc>
          <w:tcPr>
            <w:tcW w:w="4605" w:type="dxa"/>
          </w:tcPr>
          <w:tbl>
            <w:tblPr>
              <w:tblW w:w="4572" w:type="dxa"/>
              <w:tblLayout w:type="fixed"/>
              <w:tblLook w:val="01E0" w:firstRow="1" w:lastRow="1" w:firstColumn="1" w:lastColumn="1" w:noHBand="0" w:noVBand="0"/>
            </w:tblPr>
            <w:tblGrid>
              <w:gridCol w:w="4572"/>
            </w:tblGrid>
            <w:tr w:rsidR="003B5E66" w:rsidRPr="00B253BF" w:rsidTr="00343F4D">
              <w:tc>
                <w:tcPr>
                  <w:tcW w:w="4572" w:type="dxa"/>
                  <w:shd w:val="clear" w:color="auto" w:fill="auto"/>
                </w:tcPr>
                <w:p w:rsidR="003B5E66" w:rsidRPr="003B5E66" w:rsidRDefault="003B5E66" w:rsidP="00957324">
                  <w:pPr>
                    <w:rPr>
                      <w:b/>
                      <w:sz w:val="24"/>
                    </w:rPr>
                  </w:pPr>
                  <w:r w:rsidRPr="003B5E66">
                    <w:rPr>
                      <w:b/>
                      <w:sz w:val="24"/>
                    </w:rPr>
                    <w:lastRenderedPageBreak/>
                    <w:t xml:space="preserve">ROBERT W. FERGUSON </w:t>
                  </w:r>
                </w:p>
                <w:p w:rsidR="003B5E66" w:rsidRPr="003B5E66" w:rsidRDefault="003B5E66" w:rsidP="00957324">
                  <w:pPr>
                    <w:rPr>
                      <w:b/>
                      <w:sz w:val="24"/>
                    </w:rPr>
                  </w:pPr>
                  <w:r w:rsidRPr="003B5E66">
                    <w:rPr>
                      <w:b/>
                      <w:sz w:val="24"/>
                    </w:rPr>
                    <w:t>Attorney General</w:t>
                  </w:r>
                </w:p>
                <w:p w:rsidR="003B5E66" w:rsidRPr="003B5E66" w:rsidRDefault="003B5E66" w:rsidP="00957324">
                  <w:pPr>
                    <w:rPr>
                      <w:sz w:val="24"/>
                    </w:rPr>
                  </w:pPr>
                </w:p>
                <w:p w:rsidR="003B5E66" w:rsidRPr="003B5E66" w:rsidRDefault="003B5E66" w:rsidP="00957324">
                  <w:pPr>
                    <w:rPr>
                      <w:sz w:val="24"/>
                    </w:rPr>
                  </w:pPr>
                </w:p>
                <w:p w:rsidR="003B5E66" w:rsidRPr="003B5E66" w:rsidRDefault="003B5E66" w:rsidP="00957324">
                  <w:pPr>
                    <w:rPr>
                      <w:sz w:val="24"/>
                    </w:rPr>
                  </w:pPr>
                  <w:r w:rsidRPr="003B5E66">
                    <w:rPr>
                      <w:sz w:val="24"/>
                    </w:rPr>
                    <w:t>______________________________</w:t>
                  </w:r>
                </w:p>
                <w:p w:rsidR="003B5E66" w:rsidRPr="003B5E66" w:rsidRDefault="003B5E66" w:rsidP="00957324">
                  <w:pPr>
                    <w:rPr>
                      <w:sz w:val="24"/>
                    </w:rPr>
                  </w:pPr>
                  <w:r w:rsidRPr="003B5E66">
                    <w:rPr>
                      <w:sz w:val="24"/>
                    </w:rPr>
                    <w:t>Sally Brown</w:t>
                  </w:r>
                </w:p>
                <w:p w:rsidR="003B5E66" w:rsidRPr="003B5E66" w:rsidRDefault="003B5E66" w:rsidP="00957324">
                  <w:pPr>
                    <w:rPr>
                      <w:sz w:val="24"/>
                    </w:rPr>
                  </w:pPr>
                  <w:r w:rsidRPr="003B5E66">
                    <w:rPr>
                      <w:sz w:val="24"/>
                    </w:rPr>
                    <w:t>Senior Counsel</w:t>
                  </w:r>
                </w:p>
                <w:p w:rsidR="003B5E66" w:rsidRPr="003B5E66" w:rsidRDefault="003B5E66" w:rsidP="00957324">
                  <w:pPr>
                    <w:rPr>
                      <w:sz w:val="24"/>
                    </w:rPr>
                  </w:pPr>
                  <w:r w:rsidRPr="003B5E66">
                    <w:rPr>
                      <w:sz w:val="24"/>
                    </w:rPr>
                    <w:t>Counsel for Commission Staff</w:t>
                  </w:r>
                </w:p>
                <w:p w:rsidR="003B5E66" w:rsidRPr="003B5E66" w:rsidRDefault="003B5E66" w:rsidP="00957324">
                  <w:pPr>
                    <w:rPr>
                      <w:sz w:val="24"/>
                    </w:rPr>
                  </w:pPr>
                </w:p>
              </w:tc>
            </w:tr>
            <w:tr w:rsidR="003B5E66" w:rsidRPr="00B253BF" w:rsidTr="00343F4D">
              <w:tc>
                <w:tcPr>
                  <w:tcW w:w="4572" w:type="dxa"/>
                  <w:shd w:val="clear" w:color="auto" w:fill="auto"/>
                </w:tcPr>
                <w:p w:rsidR="003B5E66" w:rsidRPr="003B5E66" w:rsidRDefault="003B5E66" w:rsidP="00957324">
                  <w:pPr>
                    <w:spacing w:before="480"/>
                    <w:rPr>
                      <w:b/>
                      <w:sz w:val="24"/>
                    </w:rPr>
                  </w:pPr>
                  <w:r w:rsidRPr="003B5E66">
                    <w:rPr>
                      <w:b/>
                      <w:sz w:val="24"/>
                    </w:rPr>
                    <w:t xml:space="preserve">ROBERT W. FERGUSON </w:t>
                  </w:r>
                </w:p>
                <w:p w:rsidR="003B5E66" w:rsidRPr="003B5E66" w:rsidRDefault="003B5E66" w:rsidP="00957324">
                  <w:pPr>
                    <w:rPr>
                      <w:b/>
                      <w:sz w:val="24"/>
                    </w:rPr>
                  </w:pPr>
                  <w:r w:rsidRPr="003B5E66">
                    <w:rPr>
                      <w:b/>
                      <w:sz w:val="24"/>
                    </w:rPr>
                    <w:t>Attorney General</w:t>
                  </w:r>
                </w:p>
                <w:p w:rsidR="003B5E66" w:rsidRPr="003B5E66" w:rsidRDefault="003B5E66" w:rsidP="00957324">
                  <w:pPr>
                    <w:rPr>
                      <w:sz w:val="24"/>
                    </w:rPr>
                  </w:pPr>
                </w:p>
                <w:p w:rsidR="003B5E66" w:rsidRPr="003B5E66" w:rsidRDefault="003B5E66" w:rsidP="00957324">
                  <w:pPr>
                    <w:rPr>
                      <w:sz w:val="24"/>
                    </w:rPr>
                  </w:pPr>
                  <w:r w:rsidRPr="003B5E66">
                    <w:rPr>
                      <w:sz w:val="24"/>
                    </w:rPr>
                    <w:t>______________________________</w:t>
                  </w:r>
                </w:p>
                <w:p w:rsidR="003B5E66" w:rsidRPr="003B5E66" w:rsidRDefault="003B5E66" w:rsidP="00957324">
                  <w:pPr>
                    <w:rPr>
                      <w:sz w:val="24"/>
                    </w:rPr>
                  </w:pPr>
                  <w:r>
                    <w:rPr>
                      <w:sz w:val="24"/>
                    </w:rPr>
                    <w:t xml:space="preserve">Lisa </w:t>
                  </w:r>
                  <w:r w:rsidR="00FD7F4E">
                    <w:rPr>
                      <w:sz w:val="24"/>
                    </w:rPr>
                    <w:t xml:space="preserve">W. </w:t>
                  </w:r>
                  <w:r>
                    <w:rPr>
                      <w:sz w:val="24"/>
                    </w:rPr>
                    <w:t>Gafken</w:t>
                  </w:r>
                </w:p>
                <w:p w:rsidR="003B5E66" w:rsidRPr="003B5E66" w:rsidRDefault="00FD7F4E" w:rsidP="00957324">
                  <w:pPr>
                    <w:rPr>
                      <w:sz w:val="24"/>
                    </w:rPr>
                  </w:pPr>
                  <w:r>
                    <w:rPr>
                      <w:sz w:val="24"/>
                    </w:rPr>
                    <w:t>Assistant Attorney General and Unit Chief</w:t>
                  </w:r>
                </w:p>
                <w:p w:rsidR="003B5E66" w:rsidRPr="003B5E66" w:rsidRDefault="003B5E66" w:rsidP="00957324">
                  <w:pPr>
                    <w:rPr>
                      <w:sz w:val="24"/>
                    </w:rPr>
                  </w:pPr>
                  <w:r w:rsidRPr="003B5E66">
                    <w:rPr>
                      <w:sz w:val="24"/>
                    </w:rPr>
                    <w:t xml:space="preserve">Public Counsel </w:t>
                  </w:r>
                  <w:r w:rsidR="00FD7F4E">
                    <w:rPr>
                      <w:sz w:val="24"/>
                    </w:rPr>
                    <w:t>Unit</w:t>
                  </w:r>
                </w:p>
                <w:p w:rsidR="003B5E66" w:rsidRPr="003B5E66" w:rsidRDefault="003B5E66" w:rsidP="00957324">
                  <w:pPr>
                    <w:rPr>
                      <w:sz w:val="24"/>
                    </w:rPr>
                  </w:pPr>
                </w:p>
              </w:tc>
            </w:tr>
          </w:tbl>
          <w:p w:rsidR="009E495C" w:rsidRPr="009E495C" w:rsidRDefault="009E495C" w:rsidP="009E495C">
            <w:pPr>
              <w:widowControl/>
              <w:autoSpaceDE/>
              <w:autoSpaceDN/>
              <w:adjustRightInd/>
              <w:spacing w:line="480" w:lineRule="atLeast"/>
              <w:rPr>
                <w:sz w:val="24"/>
                <w:szCs w:val="20"/>
              </w:rPr>
            </w:pPr>
            <w:r w:rsidRPr="009E495C">
              <w:rPr>
                <w:sz w:val="24"/>
                <w:szCs w:val="20"/>
              </w:rPr>
              <w:tab/>
            </w:r>
            <w:r w:rsidRPr="009E495C">
              <w:rPr>
                <w:sz w:val="24"/>
                <w:szCs w:val="20"/>
              </w:rPr>
              <w:tab/>
            </w:r>
          </w:p>
          <w:p w:rsidR="009E495C" w:rsidRPr="009E495C" w:rsidRDefault="009E495C" w:rsidP="009E495C">
            <w:pPr>
              <w:widowControl/>
              <w:autoSpaceDE/>
              <w:autoSpaceDN/>
              <w:adjustRightInd/>
              <w:spacing w:line="480" w:lineRule="atLeast"/>
              <w:rPr>
                <w:sz w:val="24"/>
                <w:szCs w:val="20"/>
              </w:rPr>
            </w:pPr>
          </w:p>
          <w:p w:rsidR="009E495C" w:rsidRPr="009E495C" w:rsidRDefault="009E495C" w:rsidP="009E495C">
            <w:pPr>
              <w:widowControl/>
              <w:autoSpaceDE/>
              <w:autoSpaceDN/>
              <w:adjustRightInd/>
              <w:spacing w:line="480" w:lineRule="atLeast"/>
              <w:rPr>
                <w:sz w:val="24"/>
                <w:szCs w:val="20"/>
              </w:rPr>
            </w:pPr>
          </w:p>
          <w:p w:rsidR="009E495C" w:rsidRPr="009E495C" w:rsidRDefault="009E495C" w:rsidP="009E495C">
            <w:pPr>
              <w:widowControl/>
              <w:autoSpaceDE/>
              <w:autoSpaceDN/>
              <w:adjustRightInd/>
              <w:spacing w:line="480" w:lineRule="atLeast"/>
              <w:rPr>
                <w:sz w:val="24"/>
                <w:szCs w:val="20"/>
              </w:rPr>
            </w:pPr>
          </w:p>
        </w:tc>
        <w:tc>
          <w:tcPr>
            <w:tcW w:w="4605" w:type="dxa"/>
          </w:tcPr>
          <w:p w:rsidR="009E495C" w:rsidRPr="009E495C" w:rsidRDefault="009E495C" w:rsidP="009E495C">
            <w:pPr>
              <w:widowControl/>
              <w:autoSpaceDE/>
              <w:autoSpaceDN/>
              <w:adjustRightInd/>
              <w:spacing w:line="480" w:lineRule="atLeast"/>
              <w:rPr>
                <w:b/>
                <w:sz w:val="24"/>
                <w:szCs w:val="20"/>
              </w:rPr>
            </w:pPr>
            <w:r w:rsidRPr="009E495C">
              <w:rPr>
                <w:b/>
                <w:sz w:val="24"/>
                <w:szCs w:val="20"/>
              </w:rPr>
              <w:t xml:space="preserve">PERKINS COIE </w:t>
            </w:r>
            <w:r w:rsidRPr="009E495C">
              <w:rPr>
                <w:b/>
                <w:szCs w:val="20"/>
              </w:rPr>
              <w:t>LLP</w:t>
            </w:r>
          </w:p>
          <w:p w:rsidR="009E495C" w:rsidRPr="009E495C" w:rsidRDefault="009E495C" w:rsidP="009E495C">
            <w:pPr>
              <w:widowControl/>
              <w:autoSpaceDE/>
              <w:autoSpaceDN/>
              <w:adjustRightInd/>
              <w:spacing w:line="480" w:lineRule="atLeast"/>
              <w:rPr>
                <w:sz w:val="24"/>
                <w:szCs w:val="20"/>
              </w:rPr>
            </w:pPr>
          </w:p>
          <w:p w:rsidR="009E495C" w:rsidRPr="009E495C" w:rsidRDefault="009E495C" w:rsidP="009E495C">
            <w:pPr>
              <w:widowControl/>
              <w:autoSpaceDE/>
              <w:autoSpaceDN/>
              <w:adjustRightInd/>
              <w:spacing w:line="480" w:lineRule="atLeast"/>
              <w:rPr>
                <w:sz w:val="24"/>
                <w:szCs w:val="20"/>
              </w:rPr>
            </w:pPr>
            <w:r w:rsidRPr="009E495C">
              <w:rPr>
                <w:sz w:val="24"/>
                <w:szCs w:val="20"/>
              </w:rPr>
              <w:t>_________________________________</w:t>
            </w:r>
          </w:p>
          <w:p w:rsidR="009E495C" w:rsidRDefault="009E495C" w:rsidP="009E495C">
            <w:pPr>
              <w:widowControl/>
              <w:autoSpaceDE/>
              <w:autoSpaceDN/>
              <w:adjustRightInd/>
              <w:rPr>
                <w:color w:val="000000"/>
                <w:sz w:val="24"/>
                <w:szCs w:val="20"/>
              </w:rPr>
            </w:pPr>
            <w:r w:rsidRPr="009E495C">
              <w:rPr>
                <w:color w:val="000000"/>
                <w:sz w:val="24"/>
                <w:szCs w:val="20"/>
              </w:rPr>
              <w:t>Sheree Strom Carson, WSBA #</w:t>
            </w:r>
            <w:bookmarkStart w:id="1" w:name="zA_barid"/>
            <w:bookmarkEnd w:id="1"/>
            <w:r w:rsidRPr="009E495C">
              <w:rPr>
                <w:color w:val="000000"/>
                <w:sz w:val="24"/>
                <w:szCs w:val="20"/>
              </w:rPr>
              <w:t>25349</w:t>
            </w:r>
            <w:r w:rsidRPr="009E495C">
              <w:rPr>
                <w:color w:val="000000"/>
                <w:sz w:val="24"/>
                <w:szCs w:val="20"/>
              </w:rPr>
              <w:br/>
              <w:t>Attorneys for Puget Sound Energy</w:t>
            </w:r>
          </w:p>
          <w:p w:rsidR="00753A70" w:rsidRDefault="00753A70" w:rsidP="009E495C">
            <w:pPr>
              <w:widowControl/>
              <w:autoSpaceDE/>
              <w:autoSpaceDN/>
              <w:adjustRightInd/>
              <w:rPr>
                <w:color w:val="000000"/>
                <w:sz w:val="24"/>
                <w:szCs w:val="20"/>
              </w:rPr>
            </w:pPr>
          </w:p>
          <w:p w:rsidR="009E495C" w:rsidRPr="009E495C" w:rsidRDefault="009E495C" w:rsidP="003B5E66">
            <w:pPr>
              <w:widowControl/>
              <w:autoSpaceDE/>
              <w:autoSpaceDN/>
              <w:adjustRightInd/>
              <w:rPr>
                <w:color w:val="000000"/>
                <w:sz w:val="24"/>
                <w:szCs w:val="20"/>
              </w:rPr>
            </w:pPr>
          </w:p>
        </w:tc>
      </w:tr>
    </w:tbl>
    <w:p w:rsidR="009E495C" w:rsidRPr="001B08E4" w:rsidRDefault="009E495C" w:rsidP="00753A70">
      <w:pPr>
        <w:spacing w:before="120" w:after="120"/>
        <w:rPr>
          <w:color w:val="000000"/>
          <w:sz w:val="24"/>
        </w:rPr>
      </w:pPr>
    </w:p>
    <w:sectPr w:rsidR="009E495C" w:rsidRPr="001B08E4" w:rsidSect="001A1CA1">
      <w:footerReference w:type="default" r:id="rId14"/>
      <w:headerReference w:type="first" r:id="rId15"/>
      <w:footerReference w:type="first" r:id="rId16"/>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6B" w:rsidRDefault="00B5456B">
      <w:r>
        <w:separator/>
      </w:r>
    </w:p>
  </w:endnote>
  <w:endnote w:type="continuationSeparator" w:id="0">
    <w:p w:rsidR="00B5456B" w:rsidRDefault="00B5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C4" w:rsidRDefault="00AE026C">
    <w:pPr>
      <w:pStyle w:val="Footer"/>
      <w:rPr>
        <w:sz w:val="24"/>
      </w:rPr>
    </w:pPr>
    <w:r>
      <w:rPr>
        <w:sz w:val="24"/>
      </w:rPr>
      <w:t xml:space="preserve">JOINT </w:t>
    </w:r>
    <w:r w:rsidR="001A1CA1" w:rsidRPr="0092769A">
      <w:rPr>
        <w:sz w:val="24"/>
      </w:rPr>
      <w:t xml:space="preserve">MOTION TO </w:t>
    </w:r>
    <w:r w:rsidR="00886CEE">
      <w:rPr>
        <w:sz w:val="24"/>
      </w:rPr>
      <w:t xml:space="preserve">AMEND ORDER </w:t>
    </w:r>
    <w:r>
      <w:rPr>
        <w:sz w:val="24"/>
      </w:rPr>
      <w:t>11</w:t>
    </w:r>
  </w:p>
  <w:p w:rsidR="00271119" w:rsidRPr="0092769A" w:rsidRDefault="00BF19C4">
    <w:pPr>
      <w:pStyle w:val="Footer"/>
      <w:rPr>
        <w:sz w:val="24"/>
      </w:rPr>
    </w:pPr>
    <w:r>
      <w:rPr>
        <w:sz w:val="24"/>
      </w:rPr>
      <w:t>AND SETTLEMENT AGREEMENT</w:t>
    </w:r>
    <w:r w:rsidR="001A1CA1" w:rsidRPr="0092769A">
      <w:rPr>
        <w:sz w:val="24"/>
      </w:rPr>
      <w:t xml:space="preserve"> </w:t>
    </w:r>
    <w:r w:rsidR="00271119" w:rsidRPr="0092769A">
      <w:rPr>
        <w:sz w:val="24"/>
      </w:rPr>
      <w:t xml:space="preserve">-- </w:t>
    </w:r>
    <w:r w:rsidR="00271119" w:rsidRPr="0092769A">
      <w:rPr>
        <w:color w:val="000000"/>
        <w:sz w:val="24"/>
      </w:rPr>
      <w:fldChar w:fldCharType="begin"/>
    </w:r>
    <w:r w:rsidR="00271119" w:rsidRPr="0092769A">
      <w:rPr>
        <w:color w:val="000000"/>
        <w:sz w:val="24"/>
      </w:rPr>
      <w:instrText>page</w:instrText>
    </w:r>
    <w:r w:rsidR="00271119" w:rsidRPr="0092769A">
      <w:rPr>
        <w:color w:val="000000"/>
        <w:sz w:val="24"/>
      </w:rPr>
      <w:fldChar w:fldCharType="separate"/>
    </w:r>
    <w:r w:rsidR="00305A3B">
      <w:rPr>
        <w:noProof/>
        <w:color w:val="000000"/>
        <w:sz w:val="24"/>
      </w:rPr>
      <w:t>3</w:t>
    </w:r>
    <w:r w:rsidR="00271119" w:rsidRPr="0092769A">
      <w:rPr>
        <w:color w:val="00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19" w:rsidRDefault="00271119">
    <w:pPr>
      <w:pStyle w:val="Footer"/>
      <w:rPr>
        <w:sz w:val="24"/>
      </w:rPr>
    </w:pPr>
    <w:r>
      <w:rPr>
        <w:sz w:val="24"/>
      </w:rPr>
      <w:t xml:space="preserve">SETTLEMENT TERMS FOR CONSERVATION -- </w:t>
    </w:r>
    <w:r>
      <w:rPr>
        <w:rStyle w:val="PageNumber"/>
        <w:sz w:val="24"/>
      </w:rPr>
      <w:fldChar w:fldCharType="begin"/>
    </w:r>
    <w:r>
      <w:rPr>
        <w:rStyle w:val="PageNumber"/>
        <w:sz w:val="24"/>
      </w:rPr>
      <w:instrText xml:space="preserve"> PAGE </w:instrText>
    </w:r>
    <w:r>
      <w:rPr>
        <w:rStyle w:val="PageNumber"/>
        <w:sz w:val="24"/>
      </w:rPr>
      <w:fldChar w:fldCharType="separate"/>
    </w:r>
    <w:r w:rsidR="001A1CA1">
      <w:rPr>
        <w:rStyle w:val="PageNumber"/>
        <w:noProof/>
        <w:sz w:val="24"/>
      </w:rPr>
      <w:t>1</w:t>
    </w:r>
    <w:r>
      <w:rPr>
        <w:rStyle w:val="PageNumber"/>
        <w:sz w:val="24"/>
      </w:rPr>
      <w:fldChar w:fldCharType="end"/>
    </w:r>
  </w:p>
  <w:p w:rsidR="00271119" w:rsidRDefault="00271119">
    <w:pPr>
      <w:pStyle w:val="Footer"/>
      <w:rPr>
        <w:sz w:val="16"/>
      </w:rPr>
    </w:pPr>
    <w:r>
      <w:rPr>
        <w:sz w:val="16"/>
      </w:rPr>
      <w:tab/>
    </w:r>
    <w:r>
      <w:rPr>
        <w:sz w:val="16"/>
      </w:rPr>
      <w:tab/>
    </w:r>
  </w:p>
  <w:p w:rsidR="00271119" w:rsidRDefault="00271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6B" w:rsidRDefault="00B5456B">
      <w:r>
        <w:separator/>
      </w:r>
    </w:p>
  </w:footnote>
  <w:footnote w:type="continuationSeparator" w:id="0">
    <w:p w:rsidR="00B5456B" w:rsidRDefault="00B5456B">
      <w:r>
        <w:continuationSeparator/>
      </w:r>
    </w:p>
  </w:footnote>
  <w:footnote w:id="1">
    <w:p w:rsidR="00BB3DE2" w:rsidRPr="008D4E0A" w:rsidRDefault="00BB3DE2">
      <w:pPr>
        <w:pStyle w:val="FootnoteText"/>
      </w:pPr>
      <w:r>
        <w:rPr>
          <w:rStyle w:val="FootnoteReference"/>
        </w:rPr>
        <w:footnoteRef/>
      </w:r>
      <w:r w:rsidR="008D4E0A">
        <w:t>The Industrial Customers of Northwest Utilities (“ICNU”) opposed the PCA Settlement by a letter, but did not support its opposition to the Settlement with witness testimony or exhibits</w:t>
      </w:r>
      <w:r w:rsidR="00E77279">
        <w:t xml:space="preserve">.  </w:t>
      </w:r>
      <w:r w:rsidR="008D4E0A">
        <w:rPr>
          <w:i/>
        </w:rPr>
        <w:t xml:space="preserve">See </w:t>
      </w:r>
      <w:r w:rsidR="008D4E0A">
        <w:t xml:space="preserve">Order 11, ¶ 4.  </w:t>
      </w:r>
    </w:p>
  </w:footnote>
  <w:footnote w:id="2">
    <w:p w:rsidR="00636251" w:rsidRPr="00636251" w:rsidRDefault="00636251">
      <w:pPr>
        <w:pStyle w:val="FootnoteText"/>
      </w:pPr>
      <w:r>
        <w:rPr>
          <w:rStyle w:val="FootnoteReference"/>
        </w:rPr>
        <w:footnoteRef/>
      </w:r>
      <w:r>
        <w:t xml:space="preserve"> </w:t>
      </w:r>
      <w:r w:rsidR="00325BAF">
        <w:rPr>
          <w:i/>
        </w:rPr>
        <w:t xml:space="preserve">See </w:t>
      </w:r>
      <w:r w:rsidR="008B0C56">
        <w:t xml:space="preserve">Order 11, </w:t>
      </w:r>
      <w:r>
        <w:rPr>
          <w:i/>
        </w:rPr>
        <w:t>¶</w:t>
      </w:r>
      <w:r>
        <w:t xml:space="preserve"> 6.  </w:t>
      </w:r>
    </w:p>
  </w:footnote>
  <w:footnote w:id="3">
    <w:p w:rsidR="000527E1" w:rsidRDefault="000527E1">
      <w:pPr>
        <w:pStyle w:val="FootnoteText"/>
      </w:pPr>
      <w:r>
        <w:rPr>
          <w:rStyle w:val="FootnoteReference"/>
        </w:rPr>
        <w:footnoteRef/>
      </w:r>
      <w:r>
        <w:t xml:space="preserve"> </w:t>
      </w:r>
      <w:r>
        <w:rPr>
          <w:i/>
        </w:rPr>
        <w:t>Id. ¶</w:t>
      </w:r>
      <w:r>
        <w:t xml:space="preserve"> 15.  </w:t>
      </w:r>
    </w:p>
  </w:footnote>
  <w:footnote w:id="4">
    <w:p w:rsidR="00D41B88" w:rsidRPr="00D41B88" w:rsidRDefault="00D41B88">
      <w:pPr>
        <w:pStyle w:val="FootnoteText"/>
      </w:pPr>
      <w:r>
        <w:rPr>
          <w:rStyle w:val="FootnoteReference"/>
        </w:rPr>
        <w:footnoteRef/>
      </w:r>
      <w:r>
        <w:rPr>
          <w:i/>
        </w:rPr>
        <w:t xml:space="preserve"> </w:t>
      </w:r>
      <w:r>
        <w:rPr>
          <w:i/>
          <w:color w:val="000000"/>
        </w:rPr>
        <w:t xml:space="preserve">See </w:t>
      </w:r>
      <w:r>
        <w:rPr>
          <w:color w:val="000000"/>
        </w:rPr>
        <w:t xml:space="preserve">Docket </w:t>
      </w:r>
      <w:r>
        <w:t>UE-121697</w:t>
      </w:r>
      <w:r w:rsidR="00025CDB">
        <w:t xml:space="preserve"> </w:t>
      </w:r>
      <w:r w:rsidR="00025CDB">
        <w:rPr>
          <w:i/>
        </w:rPr>
        <w:t>et al.</w:t>
      </w:r>
      <w:r>
        <w:t>, Joint Petition to Modify Order 07, ¶ 8, Item H.</w:t>
      </w:r>
    </w:p>
  </w:footnote>
  <w:footnote w:id="5">
    <w:p w:rsidR="007D24FA" w:rsidRDefault="007D24FA">
      <w:pPr>
        <w:pStyle w:val="FootnoteText"/>
      </w:pPr>
      <w:r>
        <w:rPr>
          <w:rStyle w:val="FootnoteReference"/>
        </w:rPr>
        <w:footnoteRef/>
      </w:r>
      <w:r>
        <w:t xml:space="preserve"> Docket UE-161112, Order 01 ¶ 6 (November 10, 2017).</w:t>
      </w:r>
    </w:p>
  </w:footnote>
  <w:footnote w:id="6">
    <w:p w:rsidR="00D71186" w:rsidRPr="00D71186" w:rsidRDefault="00D71186">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19" w:rsidRDefault="00271119" w:rsidP="00973227">
    <w:pPr>
      <w:pStyle w:val="Header"/>
      <w:jc w:val="center"/>
    </w:pPr>
    <w:r>
      <w:t>ATTACHMENT TO JOINT MOTION TO MODIFY TWELFTH SUPPLEMENTAL ORDER</w:t>
    </w:r>
  </w:p>
  <w:p w:rsidR="00271119" w:rsidRDefault="00271119" w:rsidP="00973227">
    <w:pPr>
      <w:pStyle w:val="Header"/>
      <w:jc w:val="center"/>
    </w:pPr>
    <w:r>
      <w:t>DOCKET UE-011570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3912E99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3A4233"/>
    <w:multiLevelType w:val="hybridMultilevel"/>
    <w:tmpl w:val="F24CDEA8"/>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C868E8"/>
    <w:multiLevelType w:val="hybridMultilevel"/>
    <w:tmpl w:val="9684B1C0"/>
    <w:lvl w:ilvl="0" w:tplc="4BD823F6">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0AD6978"/>
    <w:multiLevelType w:val="hybridMultilevel"/>
    <w:tmpl w:val="FE1C39C2"/>
    <w:lvl w:ilvl="0" w:tplc="EF1CA70C">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A06978"/>
    <w:multiLevelType w:val="hybridMultilevel"/>
    <w:tmpl w:val="A1386CA8"/>
    <w:lvl w:ilvl="0" w:tplc="B472F4C6">
      <w:start w:val="6"/>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8D8"/>
    <w:rsid w:val="00001202"/>
    <w:rsid w:val="00002884"/>
    <w:rsid w:val="00007B61"/>
    <w:rsid w:val="00015956"/>
    <w:rsid w:val="000204D0"/>
    <w:rsid w:val="00021918"/>
    <w:rsid w:val="00025CDB"/>
    <w:rsid w:val="00025DB8"/>
    <w:rsid w:val="0003769F"/>
    <w:rsid w:val="00042239"/>
    <w:rsid w:val="000424F7"/>
    <w:rsid w:val="00052432"/>
    <w:rsid w:val="000527E1"/>
    <w:rsid w:val="000547F0"/>
    <w:rsid w:val="000650CF"/>
    <w:rsid w:val="00075C76"/>
    <w:rsid w:val="00083BE4"/>
    <w:rsid w:val="00085006"/>
    <w:rsid w:val="00085900"/>
    <w:rsid w:val="000932A0"/>
    <w:rsid w:val="000973F5"/>
    <w:rsid w:val="000A27C4"/>
    <w:rsid w:val="000B6A87"/>
    <w:rsid w:val="000B74CF"/>
    <w:rsid w:val="000D38AA"/>
    <w:rsid w:val="000D4210"/>
    <w:rsid w:val="000D53DC"/>
    <w:rsid w:val="000E14FD"/>
    <w:rsid w:val="000E7129"/>
    <w:rsid w:val="000F3816"/>
    <w:rsid w:val="00117CD0"/>
    <w:rsid w:val="0012029E"/>
    <w:rsid w:val="0012690D"/>
    <w:rsid w:val="00151956"/>
    <w:rsid w:val="00164BE3"/>
    <w:rsid w:val="0017633E"/>
    <w:rsid w:val="00194404"/>
    <w:rsid w:val="001A1CA1"/>
    <w:rsid w:val="001A35D8"/>
    <w:rsid w:val="001A3E51"/>
    <w:rsid w:val="001A5DA1"/>
    <w:rsid w:val="001B044D"/>
    <w:rsid w:val="001B08E4"/>
    <w:rsid w:val="001D0CC0"/>
    <w:rsid w:val="001F1610"/>
    <w:rsid w:val="001F4B6B"/>
    <w:rsid w:val="001F5064"/>
    <w:rsid w:val="00203AD5"/>
    <w:rsid w:val="00215411"/>
    <w:rsid w:val="00223FA6"/>
    <w:rsid w:val="00255923"/>
    <w:rsid w:val="002675C3"/>
    <w:rsid w:val="00271119"/>
    <w:rsid w:val="00285A02"/>
    <w:rsid w:val="002A2567"/>
    <w:rsid w:val="002A4745"/>
    <w:rsid w:val="002B116C"/>
    <w:rsid w:val="002B6769"/>
    <w:rsid w:val="002C0400"/>
    <w:rsid w:val="002C1EAC"/>
    <w:rsid w:val="002C27C8"/>
    <w:rsid w:val="002D4A98"/>
    <w:rsid w:val="002E0787"/>
    <w:rsid w:val="002E0E3E"/>
    <w:rsid w:val="002F186C"/>
    <w:rsid w:val="002F3BBB"/>
    <w:rsid w:val="00301085"/>
    <w:rsid w:val="00305A3B"/>
    <w:rsid w:val="003121B2"/>
    <w:rsid w:val="00315306"/>
    <w:rsid w:val="0032104F"/>
    <w:rsid w:val="00325BAF"/>
    <w:rsid w:val="00325F92"/>
    <w:rsid w:val="00343F4D"/>
    <w:rsid w:val="003464EF"/>
    <w:rsid w:val="003470F6"/>
    <w:rsid w:val="0035107B"/>
    <w:rsid w:val="003524B2"/>
    <w:rsid w:val="0036030A"/>
    <w:rsid w:val="00371351"/>
    <w:rsid w:val="00384174"/>
    <w:rsid w:val="003908F1"/>
    <w:rsid w:val="003A6467"/>
    <w:rsid w:val="003B5E66"/>
    <w:rsid w:val="003C3DD0"/>
    <w:rsid w:val="003C5390"/>
    <w:rsid w:val="003C6695"/>
    <w:rsid w:val="003D2DBD"/>
    <w:rsid w:val="003D6652"/>
    <w:rsid w:val="003E2397"/>
    <w:rsid w:val="003E3B7E"/>
    <w:rsid w:val="003F1945"/>
    <w:rsid w:val="003F4C57"/>
    <w:rsid w:val="003F4E4B"/>
    <w:rsid w:val="0041068E"/>
    <w:rsid w:val="0041641F"/>
    <w:rsid w:val="00420F5F"/>
    <w:rsid w:val="00425B94"/>
    <w:rsid w:val="0043207F"/>
    <w:rsid w:val="00434B63"/>
    <w:rsid w:val="00455DED"/>
    <w:rsid w:val="0046267D"/>
    <w:rsid w:val="00464730"/>
    <w:rsid w:val="004700B5"/>
    <w:rsid w:val="00471701"/>
    <w:rsid w:val="00474828"/>
    <w:rsid w:val="00486EF8"/>
    <w:rsid w:val="004A4F64"/>
    <w:rsid w:val="004A576E"/>
    <w:rsid w:val="004B235E"/>
    <w:rsid w:val="004C229B"/>
    <w:rsid w:val="004C35AF"/>
    <w:rsid w:val="004C3D65"/>
    <w:rsid w:val="004C5F29"/>
    <w:rsid w:val="004F69A5"/>
    <w:rsid w:val="00501FFC"/>
    <w:rsid w:val="0050731A"/>
    <w:rsid w:val="00530EAC"/>
    <w:rsid w:val="0053261F"/>
    <w:rsid w:val="0055630C"/>
    <w:rsid w:val="00557481"/>
    <w:rsid w:val="005641F3"/>
    <w:rsid w:val="0056603C"/>
    <w:rsid w:val="00566D4F"/>
    <w:rsid w:val="00572738"/>
    <w:rsid w:val="0058105E"/>
    <w:rsid w:val="0058228F"/>
    <w:rsid w:val="00583DA4"/>
    <w:rsid w:val="00584351"/>
    <w:rsid w:val="0059348C"/>
    <w:rsid w:val="00595D41"/>
    <w:rsid w:val="00595E3D"/>
    <w:rsid w:val="005971DF"/>
    <w:rsid w:val="005B05FB"/>
    <w:rsid w:val="005C21B0"/>
    <w:rsid w:val="005E07C2"/>
    <w:rsid w:val="005F1881"/>
    <w:rsid w:val="006236EE"/>
    <w:rsid w:val="0062395B"/>
    <w:rsid w:val="00633175"/>
    <w:rsid w:val="00634135"/>
    <w:rsid w:val="00636251"/>
    <w:rsid w:val="00641F98"/>
    <w:rsid w:val="00654D2A"/>
    <w:rsid w:val="0065561B"/>
    <w:rsid w:val="00656B38"/>
    <w:rsid w:val="006603BC"/>
    <w:rsid w:val="0066479C"/>
    <w:rsid w:val="006702E9"/>
    <w:rsid w:val="0067098A"/>
    <w:rsid w:val="0067179D"/>
    <w:rsid w:val="00680BC2"/>
    <w:rsid w:val="00682D01"/>
    <w:rsid w:val="00690B32"/>
    <w:rsid w:val="00694700"/>
    <w:rsid w:val="006A2ADB"/>
    <w:rsid w:val="006C7B33"/>
    <w:rsid w:val="006D01C4"/>
    <w:rsid w:val="006E0D83"/>
    <w:rsid w:val="006E2E33"/>
    <w:rsid w:val="006E54DB"/>
    <w:rsid w:val="007005BD"/>
    <w:rsid w:val="007057CD"/>
    <w:rsid w:val="0071099A"/>
    <w:rsid w:val="0071459F"/>
    <w:rsid w:val="00716322"/>
    <w:rsid w:val="00730188"/>
    <w:rsid w:val="007350F1"/>
    <w:rsid w:val="00737648"/>
    <w:rsid w:val="00737B08"/>
    <w:rsid w:val="00740BC1"/>
    <w:rsid w:val="007464F1"/>
    <w:rsid w:val="00753A70"/>
    <w:rsid w:val="00755A3A"/>
    <w:rsid w:val="00760433"/>
    <w:rsid w:val="0076699B"/>
    <w:rsid w:val="0077037D"/>
    <w:rsid w:val="0077048C"/>
    <w:rsid w:val="00783214"/>
    <w:rsid w:val="00784707"/>
    <w:rsid w:val="007B205F"/>
    <w:rsid w:val="007C1BA6"/>
    <w:rsid w:val="007C35B2"/>
    <w:rsid w:val="007C5CBA"/>
    <w:rsid w:val="007C687D"/>
    <w:rsid w:val="007D24FA"/>
    <w:rsid w:val="007D3284"/>
    <w:rsid w:val="007D582D"/>
    <w:rsid w:val="007F4682"/>
    <w:rsid w:val="007F7F0E"/>
    <w:rsid w:val="00805755"/>
    <w:rsid w:val="00813AC5"/>
    <w:rsid w:val="00821C96"/>
    <w:rsid w:val="00831EE7"/>
    <w:rsid w:val="00837A49"/>
    <w:rsid w:val="008602A4"/>
    <w:rsid w:val="00874A0A"/>
    <w:rsid w:val="00875DE1"/>
    <w:rsid w:val="00882C47"/>
    <w:rsid w:val="00886CEE"/>
    <w:rsid w:val="00886D51"/>
    <w:rsid w:val="008872FA"/>
    <w:rsid w:val="0089062F"/>
    <w:rsid w:val="00890D44"/>
    <w:rsid w:val="008A3743"/>
    <w:rsid w:val="008A524C"/>
    <w:rsid w:val="008B0C56"/>
    <w:rsid w:val="008B486E"/>
    <w:rsid w:val="008B5866"/>
    <w:rsid w:val="008B5AF8"/>
    <w:rsid w:val="008B70FC"/>
    <w:rsid w:val="008C2778"/>
    <w:rsid w:val="008D245F"/>
    <w:rsid w:val="008D408B"/>
    <w:rsid w:val="008D4E0A"/>
    <w:rsid w:val="008E106C"/>
    <w:rsid w:val="008E554C"/>
    <w:rsid w:val="008E6C54"/>
    <w:rsid w:val="00911944"/>
    <w:rsid w:val="0091732B"/>
    <w:rsid w:val="0092769A"/>
    <w:rsid w:val="009616E2"/>
    <w:rsid w:val="00964E15"/>
    <w:rsid w:val="00973227"/>
    <w:rsid w:val="00974491"/>
    <w:rsid w:val="0098297C"/>
    <w:rsid w:val="00983155"/>
    <w:rsid w:val="009914B9"/>
    <w:rsid w:val="009A05E6"/>
    <w:rsid w:val="009A0826"/>
    <w:rsid w:val="009A7353"/>
    <w:rsid w:val="009C2904"/>
    <w:rsid w:val="009C2DB0"/>
    <w:rsid w:val="009C4476"/>
    <w:rsid w:val="009D6057"/>
    <w:rsid w:val="009E495C"/>
    <w:rsid w:val="00A02347"/>
    <w:rsid w:val="00A07788"/>
    <w:rsid w:val="00A17678"/>
    <w:rsid w:val="00A256A7"/>
    <w:rsid w:val="00A26117"/>
    <w:rsid w:val="00A64182"/>
    <w:rsid w:val="00A730DE"/>
    <w:rsid w:val="00A80028"/>
    <w:rsid w:val="00A81DBB"/>
    <w:rsid w:val="00A83E52"/>
    <w:rsid w:val="00A918DE"/>
    <w:rsid w:val="00AB2375"/>
    <w:rsid w:val="00AB4BDD"/>
    <w:rsid w:val="00AB7505"/>
    <w:rsid w:val="00AC2456"/>
    <w:rsid w:val="00AC434A"/>
    <w:rsid w:val="00AD7D37"/>
    <w:rsid w:val="00AE026C"/>
    <w:rsid w:val="00AE17F1"/>
    <w:rsid w:val="00AF72D2"/>
    <w:rsid w:val="00B03FBE"/>
    <w:rsid w:val="00B072BA"/>
    <w:rsid w:val="00B20A27"/>
    <w:rsid w:val="00B21150"/>
    <w:rsid w:val="00B2573C"/>
    <w:rsid w:val="00B365F5"/>
    <w:rsid w:val="00B4220E"/>
    <w:rsid w:val="00B43EA2"/>
    <w:rsid w:val="00B53F2B"/>
    <w:rsid w:val="00B5456B"/>
    <w:rsid w:val="00B61DA5"/>
    <w:rsid w:val="00B663C7"/>
    <w:rsid w:val="00B66C4E"/>
    <w:rsid w:val="00B72907"/>
    <w:rsid w:val="00B73973"/>
    <w:rsid w:val="00B93CFD"/>
    <w:rsid w:val="00B96536"/>
    <w:rsid w:val="00BA5A84"/>
    <w:rsid w:val="00BA5BDA"/>
    <w:rsid w:val="00BA7739"/>
    <w:rsid w:val="00BB1125"/>
    <w:rsid w:val="00BB1734"/>
    <w:rsid w:val="00BB380B"/>
    <w:rsid w:val="00BB3DE2"/>
    <w:rsid w:val="00BB7018"/>
    <w:rsid w:val="00BB7C0E"/>
    <w:rsid w:val="00BD03FC"/>
    <w:rsid w:val="00BE43E3"/>
    <w:rsid w:val="00BF19C4"/>
    <w:rsid w:val="00BF3CD1"/>
    <w:rsid w:val="00BF4F30"/>
    <w:rsid w:val="00BF6434"/>
    <w:rsid w:val="00C32450"/>
    <w:rsid w:val="00C33FFC"/>
    <w:rsid w:val="00C360A4"/>
    <w:rsid w:val="00C42359"/>
    <w:rsid w:val="00C5478B"/>
    <w:rsid w:val="00C706DD"/>
    <w:rsid w:val="00C745CD"/>
    <w:rsid w:val="00C92B9F"/>
    <w:rsid w:val="00C93DBD"/>
    <w:rsid w:val="00CA015A"/>
    <w:rsid w:val="00CA6F3D"/>
    <w:rsid w:val="00CB25DF"/>
    <w:rsid w:val="00CC2FFF"/>
    <w:rsid w:val="00CC7727"/>
    <w:rsid w:val="00CD278D"/>
    <w:rsid w:val="00CD2CCF"/>
    <w:rsid w:val="00CE33FE"/>
    <w:rsid w:val="00CF45A0"/>
    <w:rsid w:val="00D03473"/>
    <w:rsid w:val="00D12015"/>
    <w:rsid w:val="00D22816"/>
    <w:rsid w:val="00D26049"/>
    <w:rsid w:val="00D400F8"/>
    <w:rsid w:val="00D40B50"/>
    <w:rsid w:val="00D40C51"/>
    <w:rsid w:val="00D41B88"/>
    <w:rsid w:val="00D42DAD"/>
    <w:rsid w:val="00D71186"/>
    <w:rsid w:val="00D741B9"/>
    <w:rsid w:val="00D8229D"/>
    <w:rsid w:val="00D86464"/>
    <w:rsid w:val="00D94560"/>
    <w:rsid w:val="00DA3191"/>
    <w:rsid w:val="00DA492F"/>
    <w:rsid w:val="00DB1ED4"/>
    <w:rsid w:val="00DE7768"/>
    <w:rsid w:val="00DF4276"/>
    <w:rsid w:val="00E00841"/>
    <w:rsid w:val="00E154B3"/>
    <w:rsid w:val="00E26DF1"/>
    <w:rsid w:val="00E30F91"/>
    <w:rsid w:val="00E33965"/>
    <w:rsid w:val="00E41BAC"/>
    <w:rsid w:val="00E44751"/>
    <w:rsid w:val="00E5624F"/>
    <w:rsid w:val="00E6280D"/>
    <w:rsid w:val="00E6342D"/>
    <w:rsid w:val="00E77016"/>
    <w:rsid w:val="00E77279"/>
    <w:rsid w:val="00E93863"/>
    <w:rsid w:val="00E9423C"/>
    <w:rsid w:val="00E9787F"/>
    <w:rsid w:val="00EA1530"/>
    <w:rsid w:val="00EA3388"/>
    <w:rsid w:val="00EB31D2"/>
    <w:rsid w:val="00EC3CC7"/>
    <w:rsid w:val="00ED6E58"/>
    <w:rsid w:val="00EE3910"/>
    <w:rsid w:val="00EF3AE2"/>
    <w:rsid w:val="00EF6573"/>
    <w:rsid w:val="00F073C8"/>
    <w:rsid w:val="00F12CDF"/>
    <w:rsid w:val="00F149E5"/>
    <w:rsid w:val="00F25654"/>
    <w:rsid w:val="00F45826"/>
    <w:rsid w:val="00F52D4F"/>
    <w:rsid w:val="00F5575A"/>
    <w:rsid w:val="00F565BC"/>
    <w:rsid w:val="00F6782C"/>
    <w:rsid w:val="00F748D8"/>
    <w:rsid w:val="00F75C95"/>
    <w:rsid w:val="00F76305"/>
    <w:rsid w:val="00F77C60"/>
    <w:rsid w:val="00F81577"/>
    <w:rsid w:val="00F875D1"/>
    <w:rsid w:val="00F87D0E"/>
    <w:rsid w:val="00FB3E4A"/>
    <w:rsid w:val="00FC1F9D"/>
    <w:rsid w:val="00FC3490"/>
    <w:rsid w:val="00FD141D"/>
    <w:rsid w:val="00FD5DEB"/>
    <w:rsid w:val="00FD7F4E"/>
    <w:rsid w:val="00FE097F"/>
    <w:rsid w:val="00FE2BD8"/>
    <w:rsid w:val="00FF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B88"/>
    <w:pPr>
      <w:widowControl w:val="0"/>
      <w:autoSpaceDE w:val="0"/>
      <w:autoSpaceDN w:val="0"/>
      <w:adjustRightInd w:val="0"/>
    </w:pPr>
    <w:rPr>
      <w:szCs w:val="24"/>
    </w:rPr>
  </w:style>
  <w:style w:type="paragraph" w:styleId="Heading1">
    <w:name w:val="heading 1"/>
    <w:basedOn w:val="Normal"/>
    <w:next w:val="Normal"/>
    <w:link w:val="Heading1Char"/>
    <w:qFormat/>
    <w:rsid w:val="00E562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5624F"/>
    <w:pPr>
      <w:keepNext/>
      <w:spacing w:before="240" w:after="60"/>
      <w:outlineLvl w:val="1"/>
    </w:pPr>
    <w:rPr>
      <w:rFonts w:ascii="Cambria" w:hAnsi="Cambria"/>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qFormat/>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styleId="Hyperlink">
    <w:name w:val="Hyperlink"/>
    <w:rsid w:val="001F4B6B"/>
    <w:rPr>
      <w:color w:val="0000FF"/>
      <w:u w:val="single"/>
    </w:rPr>
  </w:style>
  <w:style w:type="character" w:customStyle="1" w:styleId="FootnoteTextChar">
    <w:name w:val="Footnote Text Char"/>
    <w:basedOn w:val="DefaultParagraphFont"/>
    <w:link w:val="FootnoteText"/>
    <w:uiPriority w:val="99"/>
    <w:semiHidden/>
    <w:rsid w:val="003121B2"/>
  </w:style>
  <w:style w:type="character" w:customStyle="1" w:styleId="Heading1Char">
    <w:name w:val="Heading 1 Char"/>
    <w:link w:val="Heading1"/>
    <w:rsid w:val="00E5624F"/>
    <w:rPr>
      <w:rFonts w:ascii="Cambria" w:eastAsia="Times New Roman" w:hAnsi="Cambria" w:cs="Times New Roman"/>
      <w:b/>
      <w:bCs/>
      <w:kern w:val="32"/>
      <w:sz w:val="32"/>
      <w:szCs w:val="32"/>
    </w:rPr>
  </w:style>
  <w:style w:type="character" w:customStyle="1" w:styleId="Heading2Char">
    <w:name w:val="Heading 2 Char"/>
    <w:link w:val="Heading2"/>
    <w:semiHidden/>
    <w:rsid w:val="00E5624F"/>
    <w:rPr>
      <w:rFonts w:ascii="Cambria" w:eastAsia="Times New Roman" w:hAnsi="Cambria" w:cs="Times New Roman"/>
      <w:b/>
      <w:bCs/>
      <w:i/>
      <w:iCs/>
      <w:sz w:val="28"/>
      <w:szCs w:val="28"/>
    </w:rPr>
  </w:style>
  <w:style w:type="paragraph" w:customStyle="1" w:styleId="plain">
    <w:name w:val="plain"/>
    <w:basedOn w:val="Normal"/>
    <w:rsid w:val="00E5624F"/>
    <w:pPr>
      <w:widowControl/>
      <w:autoSpaceDE/>
      <w:autoSpaceDN/>
      <w:adjustRightInd/>
      <w:spacing w:line="240" w:lineRule="atLeast"/>
    </w:pPr>
    <w:rPr>
      <w:sz w:val="26"/>
      <w:szCs w:val="20"/>
    </w:rPr>
  </w:style>
  <w:style w:type="paragraph" w:customStyle="1" w:styleId="normalhanging2">
    <w:name w:val="normal hanging2"/>
    <w:basedOn w:val="Normal"/>
    <w:rsid w:val="00E5624F"/>
    <w:pPr>
      <w:widowControl/>
      <w:autoSpaceDE/>
      <w:autoSpaceDN/>
      <w:adjustRightInd/>
      <w:spacing w:before="240" w:line="240" w:lineRule="atLeast"/>
      <w:ind w:left="1440" w:hanging="720"/>
    </w:pPr>
    <w:rPr>
      <w:sz w:val="26"/>
      <w:szCs w:val="20"/>
    </w:rPr>
  </w:style>
  <w:style w:type="paragraph" w:customStyle="1" w:styleId="quo">
    <w:name w:val="quo"/>
    <w:basedOn w:val="Normal"/>
    <w:rsid w:val="00A02347"/>
    <w:rPr>
      <w:color w:val="000000"/>
      <w:sz w:val="24"/>
    </w:rPr>
  </w:style>
  <w:style w:type="paragraph" w:styleId="BalloonText">
    <w:name w:val="Balloon Text"/>
    <w:basedOn w:val="Normal"/>
    <w:link w:val="BalloonTextChar"/>
    <w:rsid w:val="00BB380B"/>
    <w:rPr>
      <w:rFonts w:ascii="Tahoma" w:hAnsi="Tahoma" w:cs="Tahoma"/>
      <w:sz w:val="16"/>
      <w:szCs w:val="16"/>
    </w:rPr>
  </w:style>
  <w:style w:type="character" w:customStyle="1" w:styleId="BalloonTextChar">
    <w:name w:val="Balloon Text Char"/>
    <w:link w:val="BalloonText"/>
    <w:rsid w:val="00BB380B"/>
    <w:rPr>
      <w:rFonts w:ascii="Tahoma" w:hAnsi="Tahoma" w:cs="Tahoma"/>
      <w:sz w:val="16"/>
      <w:szCs w:val="16"/>
    </w:rPr>
  </w:style>
  <w:style w:type="character" w:styleId="CommentReference">
    <w:name w:val="annotation reference"/>
    <w:rsid w:val="00BB380B"/>
    <w:rPr>
      <w:sz w:val="16"/>
      <w:szCs w:val="16"/>
    </w:rPr>
  </w:style>
  <w:style w:type="paragraph" w:styleId="CommentText">
    <w:name w:val="annotation text"/>
    <w:basedOn w:val="Normal"/>
    <w:link w:val="CommentTextChar"/>
    <w:rsid w:val="00BB380B"/>
    <w:rPr>
      <w:szCs w:val="20"/>
    </w:rPr>
  </w:style>
  <w:style w:type="character" w:customStyle="1" w:styleId="CommentTextChar">
    <w:name w:val="Comment Text Char"/>
    <w:basedOn w:val="DefaultParagraphFont"/>
    <w:link w:val="CommentText"/>
    <w:rsid w:val="00BB380B"/>
  </w:style>
  <w:style w:type="paragraph" w:styleId="CommentSubject">
    <w:name w:val="annotation subject"/>
    <w:basedOn w:val="CommentText"/>
    <w:next w:val="CommentText"/>
    <w:link w:val="CommentSubjectChar"/>
    <w:rsid w:val="00BB380B"/>
    <w:rPr>
      <w:b/>
      <w:bCs/>
    </w:rPr>
  </w:style>
  <w:style w:type="character" w:customStyle="1" w:styleId="CommentSubjectChar">
    <w:name w:val="Comment Subject Char"/>
    <w:link w:val="CommentSubject"/>
    <w:rsid w:val="00BB380B"/>
    <w:rPr>
      <w:b/>
      <w:bCs/>
    </w:rPr>
  </w:style>
  <w:style w:type="paragraph" w:styleId="Revision">
    <w:name w:val="Revision"/>
    <w:hidden/>
    <w:uiPriority w:val="99"/>
    <w:semiHidden/>
    <w:rsid w:val="007C35B2"/>
    <w:rPr>
      <w:szCs w:val="24"/>
    </w:rPr>
  </w:style>
  <w:style w:type="paragraph" w:styleId="NoSpacing">
    <w:name w:val="No Spacing"/>
    <w:uiPriority w:val="1"/>
    <w:qFormat/>
    <w:rsid w:val="001D0CC0"/>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2017-02-03T08:00:00+00:00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130617</DocketNumber>
    <DelegatedOrder xmlns="dc463f71-b30c-4ab2-9473-d307f9d35888">false</DelegatedOrder>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FE8A-F21D-4EEA-A5D4-8DAC8D92837B}"/>
</file>

<file path=customXml/itemProps2.xml><?xml version="1.0" encoding="utf-8"?>
<ds:datastoreItem xmlns:ds="http://schemas.openxmlformats.org/officeDocument/2006/customXml" ds:itemID="{C6C1D20C-8788-4627-885E-2A186BFB7377}">
  <ds:schemaRefs>
    <ds:schemaRef ds:uri="http://schemas.microsoft.com/office/2006/metadata/longProperties"/>
  </ds:schemaRefs>
</ds:datastoreItem>
</file>

<file path=customXml/itemProps3.xml><?xml version="1.0" encoding="utf-8"?>
<ds:datastoreItem xmlns:ds="http://schemas.openxmlformats.org/officeDocument/2006/customXml" ds:itemID="{4C9D63E7-1FCD-4361-A82F-A39384359FD1}">
  <ds:schemaRefs>
    <ds:schemaRef ds:uri="http://schemas.microsoft.com/sharepoint/v3/contenttype/forms"/>
  </ds:schemaRefs>
</ds:datastoreItem>
</file>

<file path=customXml/itemProps4.xml><?xml version="1.0" encoding="utf-8"?>
<ds:datastoreItem xmlns:ds="http://schemas.openxmlformats.org/officeDocument/2006/customXml" ds:itemID="{CDB43E1E-51FA-4A68-A01D-B1EAE78D0226}"/>
</file>

<file path=customXml/itemProps5.xml><?xml version="1.0" encoding="utf-8"?>
<ds:datastoreItem xmlns:ds="http://schemas.openxmlformats.org/officeDocument/2006/customXml" ds:itemID="{77548725-100A-42F6-8366-616920802D5A}">
  <ds:schemaRefs>
    <ds:schemaRef ds:uri="http://purl.org/dc/elements/1.1/"/>
    <ds:schemaRef ds:uri="http://purl.org/dc/dcmitype/"/>
    <ds:schemaRef ds:uri="http://purl.org/dc/terms/"/>
    <ds:schemaRef ds:uri="dc463f71-b30c-4ab2-9473-d307f9d35888"/>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4EF9ECF4-0A02-4A60-AF4A-50E1EC37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6</Pages>
  <Words>1311</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Sheree S. (Perkins Coie)</dc:creator>
  <cp:lastModifiedBy>No Name</cp:lastModifiedBy>
  <cp:revision>10</cp:revision>
  <cp:lastPrinted>2017-02-02T20:12:00Z</cp:lastPrinted>
  <dcterms:created xsi:type="dcterms:W3CDTF">2017-01-19T19:56:00Z</dcterms:created>
  <dcterms:modified xsi:type="dcterms:W3CDTF">2017-02-02T20:40:00Z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oFAAC41Wbh9etaWJyt3Z8jWdGxYIkmqhcfiDPeu9dCTwQKn6LE1FAPmnXvsVB5zasEW4BjCUOVtegNkk_x000d_
XGedJwDX9r5yuhDD5pmpBGrEhRCAnneX8Nh6liSKhE4WFmPT6FFX/hMxekj/EvIXrDgg8OAS/nyR_x000d_
o24nQjc9PHF21sSrXpPH4ITJticMM0jAkTFKq82foIFvG5ft7dA6gId+yf04GN00TJI1jM94g87O_x000d_
aIFwFOE1teyoA1Juf</vt:lpwstr>
  </property>
  <property fmtid="{D5CDD505-2E9C-101B-9397-08002B2CF9AE}" pid="3" name="MAIL_MSG_ID2">
    <vt:lpwstr>Vw6qEFYF5KdpLJI0W2DEsunDNpljf1GNIf6GXXPigc9w14AIIMWmm37+xrc_x000d_
OwnMdaqMEcl8SIyP9hS5WaBvDeoAckvDOq/IlF/vLCOYzZxh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4AAA6DouqOs9baE00g2yxD/LIbIUlPem8n7L0nUpm8pi8A2+Z2ihja9DxQ==</vt:lpwstr>
  </property>
  <property fmtid="{D5CDD505-2E9C-101B-9397-08002B2CF9AE}" pid="6" name="Confidentiality">
    <vt:lpwstr>None</vt:lpwstr>
  </property>
  <property fmtid="{D5CDD505-2E9C-101B-9397-08002B2CF9AE}" pid="7" name="DocumentDescription">
    <vt:lpwstr>PSE's Motion to Amend Order 08 (Word)</vt:lpwstr>
  </property>
  <property fmtid="{D5CDD505-2E9C-101B-9397-08002B2CF9AE}" pid="8" name="EFilingId">
    <vt:lpwstr>1367.00000000000</vt:lpwstr>
  </property>
  <property fmtid="{D5CDD505-2E9C-101B-9397-08002B2CF9AE}" pid="9" name="_docset_NoMedatataSyncRequired">
    <vt:lpwstr>False</vt:lpwstr>
  </property>
  <property fmtid="{D5CDD505-2E9C-101B-9397-08002B2CF9AE}" pid="10" name="ContentTypeId">
    <vt:lpwstr>0x0101006E56B4D1795A2E4DB2F0B01679ED314A0007C83C83ECB19D4DB5F4F888CFD68042</vt:lpwstr>
  </property>
  <property fmtid="{D5CDD505-2E9C-101B-9397-08002B2CF9AE}" pid="11" name="IsEFSEC">
    <vt:bool>false</vt:bool>
  </property>
</Properties>
</file>