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8B9A0" w14:textId="77777777" w:rsidR="007207AC" w:rsidRPr="007E352E" w:rsidRDefault="007207AC" w:rsidP="005366F6">
      <w:pPr>
        <w:jc w:val="center"/>
      </w:pPr>
      <w:bookmarkStart w:id="0" w:name="_GoBack"/>
      <w:bookmarkEnd w:id="0"/>
      <w:r w:rsidRPr="007E352E">
        <w:t>BEFORE THE WASHINGTON UTILITIES AND TRANSPORTATION COMMISSION</w:t>
      </w:r>
    </w:p>
    <w:p w14:paraId="3C25FD20" w14:textId="77777777" w:rsidR="007207AC" w:rsidRPr="00E40CB1" w:rsidRDefault="007207AC" w:rsidP="007207AC">
      <w:pPr>
        <w:pStyle w:val="Header"/>
        <w:contextualSpacing/>
        <w:rPr>
          <w:rFonts w:ascii="Times New Roman" w:hAnsi="Times New Roman" w:cs="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556"/>
        <w:gridCol w:w="4624"/>
      </w:tblGrid>
      <w:tr w:rsidR="007207AC" w:rsidRPr="00E40CB1" w14:paraId="037A691A" w14:textId="77777777" w:rsidTr="00ED5F26">
        <w:tc>
          <w:tcPr>
            <w:tcW w:w="4556" w:type="dxa"/>
            <w:tcBorders>
              <w:bottom w:val="single" w:sz="4" w:space="0" w:color="auto"/>
              <w:right w:val="single" w:sz="4" w:space="0" w:color="auto"/>
            </w:tcBorders>
          </w:tcPr>
          <w:p w14:paraId="186C91D7" w14:textId="77777777" w:rsidR="007207AC" w:rsidRPr="00E40CB1" w:rsidRDefault="007207AC" w:rsidP="00ED5F26">
            <w:pPr>
              <w:spacing w:before="0" w:beforeAutospacing="0" w:after="0" w:afterAutospacing="0" w:line="240" w:lineRule="auto"/>
              <w:contextualSpacing/>
              <w:rPr>
                <w:rFonts w:cs="Times New Roman"/>
                <w:szCs w:val="24"/>
              </w:rPr>
            </w:pPr>
            <w:r w:rsidRPr="00E40CB1">
              <w:rPr>
                <w:rFonts w:cs="Times New Roman"/>
                <w:szCs w:val="24"/>
              </w:rPr>
              <w:t>SHUTTLE EXPRESS, INC.,</w:t>
            </w:r>
          </w:p>
          <w:p w14:paraId="18239716" w14:textId="77777777" w:rsidR="007207AC" w:rsidRPr="00E40CB1" w:rsidRDefault="007207AC" w:rsidP="00ED5F26">
            <w:pPr>
              <w:spacing w:before="0" w:beforeAutospacing="0" w:after="0" w:afterAutospacing="0" w:line="240" w:lineRule="auto"/>
              <w:contextualSpacing/>
              <w:rPr>
                <w:rFonts w:cs="Times New Roman"/>
                <w:szCs w:val="24"/>
              </w:rPr>
            </w:pPr>
          </w:p>
          <w:p w14:paraId="2867E064" w14:textId="77777777" w:rsidR="007207AC" w:rsidRPr="00E40CB1" w:rsidRDefault="007207AC" w:rsidP="00ED5F26">
            <w:pPr>
              <w:spacing w:before="0" w:beforeAutospacing="0" w:after="0" w:afterAutospacing="0" w:line="240" w:lineRule="auto"/>
              <w:ind w:left="735"/>
              <w:contextualSpacing/>
              <w:rPr>
                <w:rFonts w:cs="Times New Roman"/>
                <w:szCs w:val="24"/>
              </w:rPr>
            </w:pPr>
            <w:r w:rsidRPr="00E40CB1">
              <w:rPr>
                <w:rFonts w:cs="Times New Roman"/>
                <w:szCs w:val="24"/>
              </w:rPr>
              <w:t>Petitioner and Complainant,</w:t>
            </w:r>
          </w:p>
          <w:p w14:paraId="3418150D" w14:textId="77777777" w:rsidR="007207AC" w:rsidRPr="00E40CB1" w:rsidRDefault="007207AC" w:rsidP="00ED5F26">
            <w:pPr>
              <w:spacing w:before="0" w:beforeAutospacing="0" w:after="0" w:afterAutospacing="0" w:line="240" w:lineRule="auto"/>
              <w:ind w:left="1496"/>
              <w:contextualSpacing/>
              <w:rPr>
                <w:rFonts w:cs="Times New Roman"/>
                <w:szCs w:val="24"/>
              </w:rPr>
            </w:pPr>
          </w:p>
          <w:p w14:paraId="1AEC5A75" w14:textId="77777777" w:rsidR="007207AC" w:rsidRPr="00E40CB1" w:rsidRDefault="007207AC" w:rsidP="00ED5F26">
            <w:pPr>
              <w:spacing w:before="0" w:beforeAutospacing="0" w:after="0" w:afterAutospacing="0" w:line="240" w:lineRule="auto"/>
              <w:ind w:left="56"/>
              <w:contextualSpacing/>
              <w:rPr>
                <w:rFonts w:cs="Times New Roman"/>
                <w:szCs w:val="24"/>
              </w:rPr>
            </w:pPr>
            <w:r w:rsidRPr="00E40CB1">
              <w:rPr>
                <w:rFonts w:cs="Times New Roman"/>
                <w:szCs w:val="24"/>
              </w:rPr>
              <w:t>v.</w:t>
            </w:r>
          </w:p>
          <w:p w14:paraId="7856FFF6" w14:textId="77777777" w:rsidR="007207AC" w:rsidRPr="00E40CB1" w:rsidRDefault="007207AC" w:rsidP="00ED5F26">
            <w:pPr>
              <w:spacing w:before="0" w:beforeAutospacing="0" w:after="0" w:afterAutospacing="0" w:line="240" w:lineRule="auto"/>
              <w:ind w:left="686"/>
              <w:contextualSpacing/>
              <w:rPr>
                <w:rFonts w:cs="Times New Roman"/>
                <w:szCs w:val="24"/>
              </w:rPr>
            </w:pPr>
          </w:p>
          <w:p w14:paraId="3CA668D1" w14:textId="77777777" w:rsidR="007207AC" w:rsidRPr="00E40CB1" w:rsidRDefault="007207AC" w:rsidP="00ED5F26">
            <w:pPr>
              <w:spacing w:before="0" w:beforeAutospacing="0" w:after="0" w:afterAutospacing="0" w:line="240" w:lineRule="auto"/>
              <w:ind w:left="56"/>
              <w:contextualSpacing/>
              <w:rPr>
                <w:rFonts w:cs="Times New Roman"/>
                <w:szCs w:val="24"/>
              </w:rPr>
            </w:pPr>
            <w:r w:rsidRPr="00E40CB1">
              <w:rPr>
                <w:rFonts w:cs="Times New Roman"/>
                <w:szCs w:val="24"/>
              </w:rPr>
              <w:t>SPEEDISHUTTLE WASHINGTON, LLC,</w:t>
            </w:r>
          </w:p>
          <w:p w14:paraId="570FFBDB" w14:textId="77777777" w:rsidR="007207AC" w:rsidRPr="00E40CB1" w:rsidRDefault="007207AC" w:rsidP="00ED5F26">
            <w:pPr>
              <w:spacing w:before="0" w:beforeAutospacing="0" w:after="0" w:afterAutospacing="0" w:line="240" w:lineRule="auto"/>
              <w:ind w:left="56"/>
              <w:contextualSpacing/>
              <w:rPr>
                <w:rFonts w:cs="Times New Roman"/>
                <w:szCs w:val="24"/>
              </w:rPr>
            </w:pPr>
          </w:p>
          <w:p w14:paraId="1B3DE9E9" w14:textId="77777777" w:rsidR="007207AC" w:rsidRPr="00E40CB1" w:rsidRDefault="007207AC" w:rsidP="003162EB">
            <w:pPr>
              <w:spacing w:before="0" w:beforeAutospacing="0" w:after="0" w:afterAutospacing="0" w:line="240" w:lineRule="auto"/>
              <w:ind w:left="746"/>
              <w:contextualSpacing/>
              <w:rPr>
                <w:rFonts w:cs="Times New Roman"/>
                <w:szCs w:val="24"/>
              </w:rPr>
            </w:pPr>
            <w:r w:rsidRPr="00E40CB1">
              <w:rPr>
                <w:rFonts w:cs="Times New Roman"/>
                <w:szCs w:val="24"/>
              </w:rPr>
              <w:t>Respondent.</w:t>
            </w:r>
          </w:p>
          <w:p w14:paraId="314351F5" w14:textId="77777777" w:rsidR="007207AC" w:rsidRPr="00E40CB1" w:rsidRDefault="007207AC" w:rsidP="00ED5F26">
            <w:pPr>
              <w:spacing w:before="0" w:beforeAutospacing="0" w:after="0" w:afterAutospacing="0" w:line="240" w:lineRule="auto"/>
              <w:contextualSpacing/>
              <w:rPr>
                <w:rFonts w:cs="Times New Roman"/>
                <w:szCs w:val="24"/>
              </w:rPr>
            </w:pPr>
          </w:p>
        </w:tc>
        <w:tc>
          <w:tcPr>
            <w:tcW w:w="4624" w:type="dxa"/>
            <w:tcBorders>
              <w:left w:val="single" w:sz="4" w:space="0" w:color="auto"/>
            </w:tcBorders>
          </w:tcPr>
          <w:p w14:paraId="7EABF453" w14:textId="77777777" w:rsidR="007207AC" w:rsidRPr="00E40CB1" w:rsidRDefault="007207AC" w:rsidP="00ED5F26">
            <w:pPr>
              <w:spacing w:before="0" w:beforeAutospacing="0" w:after="0" w:afterAutospacing="0" w:line="240" w:lineRule="auto"/>
              <w:contextualSpacing/>
              <w:rPr>
                <w:rFonts w:cs="Times New Roman"/>
                <w:szCs w:val="24"/>
              </w:rPr>
            </w:pPr>
            <w:r w:rsidRPr="00E40CB1">
              <w:rPr>
                <w:rFonts w:cs="Times New Roman"/>
                <w:szCs w:val="24"/>
              </w:rPr>
              <w:t>DOCKET NOS.</w:t>
            </w:r>
          </w:p>
          <w:p w14:paraId="25C90991" w14:textId="77777777" w:rsidR="009063EE" w:rsidRDefault="009063EE" w:rsidP="00ED5F26">
            <w:pPr>
              <w:spacing w:before="0" w:beforeAutospacing="0" w:after="0" w:afterAutospacing="0" w:line="240" w:lineRule="auto"/>
              <w:contextualSpacing/>
              <w:rPr>
                <w:rFonts w:cs="Times New Roman"/>
                <w:szCs w:val="24"/>
              </w:rPr>
            </w:pPr>
          </w:p>
          <w:p w14:paraId="2C80CB6E" w14:textId="77777777" w:rsidR="009063EE" w:rsidRDefault="007207AC" w:rsidP="00ED5F26">
            <w:pPr>
              <w:spacing w:before="0" w:beforeAutospacing="0" w:after="0" w:afterAutospacing="0" w:line="240" w:lineRule="auto"/>
              <w:contextualSpacing/>
              <w:rPr>
                <w:rFonts w:cs="Times New Roman"/>
                <w:szCs w:val="24"/>
              </w:rPr>
            </w:pPr>
            <w:r w:rsidRPr="00E40CB1">
              <w:rPr>
                <w:rFonts w:cs="Times New Roman"/>
                <w:szCs w:val="24"/>
              </w:rPr>
              <w:t>TC-143691,</w:t>
            </w:r>
          </w:p>
          <w:p w14:paraId="640906F0" w14:textId="77777777" w:rsidR="009063EE" w:rsidRDefault="009063EE" w:rsidP="00ED5F26">
            <w:pPr>
              <w:spacing w:before="0" w:beforeAutospacing="0" w:after="0" w:afterAutospacing="0" w:line="240" w:lineRule="auto"/>
              <w:contextualSpacing/>
              <w:rPr>
                <w:rFonts w:cs="Times New Roman"/>
                <w:szCs w:val="24"/>
              </w:rPr>
            </w:pPr>
            <w:r>
              <w:rPr>
                <w:rFonts w:cs="Times New Roman"/>
                <w:szCs w:val="24"/>
              </w:rPr>
              <w:t>TC-160516, and</w:t>
            </w:r>
          </w:p>
          <w:p w14:paraId="495C0612" w14:textId="77777777" w:rsidR="007207AC" w:rsidRPr="00E40CB1" w:rsidRDefault="007207AC" w:rsidP="00ED5F26">
            <w:pPr>
              <w:spacing w:before="0" w:beforeAutospacing="0" w:after="0" w:afterAutospacing="0" w:line="240" w:lineRule="auto"/>
              <w:contextualSpacing/>
              <w:rPr>
                <w:rFonts w:cs="Times New Roman"/>
                <w:szCs w:val="24"/>
              </w:rPr>
            </w:pPr>
            <w:r w:rsidRPr="00E40CB1">
              <w:rPr>
                <w:rFonts w:cs="Times New Roman"/>
                <w:szCs w:val="24"/>
              </w:rPr>
              <w:t>TC-161257</w:t>
            </w:r>
            <w:r w:rsidR="009063EE">
              <w:rPr>
                <w:rFonts w:cs="Times New Roman"/>
                <w:szCs w:val="24"/>
              </w:rPr>
              <w:t xml:space="preserve"> (consolidated)</w:t>
            </w:r>
          </w:p>
          <w:p w14:paraId="6A61B50E" w14:textId="77777777" w:rsidR="007207AC" w:rsidRDefault="007207AC" w:rsidP="00ED5F26">
            <w:pPr>
              <w:spacing w:before="0" w:beforeAutospacing="0" w:after="0" w:afterAutospacing="0" w:line="240" w:lineRule="auto"/>
              <w:contextualSpacing/>
              <w:rPr>
                <w:szCs w:val="24"/>
              </w:rPr>
            </w:pPr>
          </w:p>
          <w:p w14:paraId="416BD618" w14:textId="77777777" w:rsidR="007207AC" w:rsidRDefault="007207AC" w:rsidP="00ED5F26">
            <w:pPr>
              <w:spacing w:before="0" w:beforeAutospacing="0" w:after="0" w:afterAutospacing="0" w:line="240" w:lineRule="auto"/>
              <w:contextualSpacing/>
              <w:rPr>
                <w:szCs w:val="24"/>
              </w:rPr>
            </w:pPr>
          </w:p>
          <w:p w14:paraId="610121CC" w14:textId="77777777" w:rsidR="007207AC" w:rsidRPr="00E40CB1" w:rsidRDefault="007207AC" w:rsidP="00ED5F26">
            <w:pPr>
              <w:spacing w:before="0" w:beforeAutospacing="0" w:after="0" w:afterAutospacing="0" w:line="240" w:lineRule="auto"/>
              <w:contextualSpacing/>
              <w:rPr>
                <w:szCs w:val="24"/>
              </w:rPr>
            </w:pPr>
          </w:p>
        </w:tc>
      </w:tr>
    </w:tbl>
    <w:p w14:paraId="0A1EC3B2" w14:textId="77777777" w:rsidR="007207AC" w:rsidRDefault="007207AC" w:rsidP="003937AF">
      <w:pPr>
        <w:spacing w:before="0" w:beforeAutospacing="0" w:after="0" w:afterAutospacing="0"/>
        <w:rPr>
          <w:szCs w:val="24"/>
        </w:rPr>
      </w:pPr>
    </w:p>
    <w:p w14:paraId="59462E72" w14:textId="77777777" w:rsidR="00B1440F" w:rsidRDefault="00B1440F" w:rsidP="00B1440F">
      <w:pPr>
        <w:spacing w:before="0" w:beforeAutospacing="0" w:after="0" w:afterAutospacing="0"/>
        <w:jc w:val="center"/>
        <w:rPr>
          <w:b/>
          <w:szCs w:val="24"/>
        </w:rPr>
      </w:pPr>
    </w:p>
    <w:p w14:paraId="7470C0C0" w14:textId="77777777" w:rsidR="00B1440F" w:rsidRPr="00B1440F" w:rsidRDefault="00B1440F" w:rsidP="00BF5F7B">
      <w:pPr>
        <w:spacing w:before="0" w:beforeAutospacing="0" w:after="0" w:afterAutospacing="0" w:line="240" w:lineRule="auto"/>
        <w:jc w:val="center"/>
        <w:rPr>
          <w:b/>
          <w:szCs w:val="24"/>
        </w:rPr>
      </w:pPr>
      <w:r w:rsidRPr="00B1440F">
        <w:rPr>
          <w:b/>
          <w:szCs w:val="24"/>
        </w:rPr>
        <w:t xml:space="preserve">POST-HEARING </w:t>
      </w:r>
      <w:r w:rsidR="00962820">
        <w:rPr>
          <w:b/>
          <w:szCs w:val="24"/>
        </w:rPr>
        <w:t xml:space="preserve">REPLY </w:t>
      </w:r>
      <w:r w:rsidRPr="00B1440F">
        <w:rPr>
          <w:b/>
          <w:szCs w:val="24"/>
        </w:rPr>
        <w:t>BRIEF</w:t>
      </w:r>
      <w:r w:rsidR="00BF5F7B">
        <w:rPr>
          <w:b/>
          <w:szCs w:val="24"/>
        </w:rPr>
        <w:t xml:space="preserve"> OF</w:t>
      </w:r>
      <w:r w:rsidR="00BF5F7B">
        <w:rPr>
          <w:b/>
          <w:szCs w:val="24"/>
        </w:rPr>
        <w:br/>
        <w:t>PETITIONER SHUTTLE EXPRESS, INC.</w:t>
      </w:r>
    </w:p>
    <w:p w14:paraId="249F70D3" w14:textId="77777777" w:rsidR="00B1440F" w:rsidRDefault="00B1440F" w:rsidP="00B1440F">
      <w:pPr>
        <w:tabs>
          <w:tab w:val="left" w:pos="5860"/>
        </w:tabs>
        <w:spacing w:before="0" w:beforeAutospacing="0" w:after="0" w:afterAutospacing="0"/>
        <w:rPr>
          <w:szCs w:val="24"/>
        </w:rPr>
      </w:pPr>
    </w:p>
    <w:p w14:paraId="13B817DC" w14:textId="77777777" w:rsidR="00B1440F" w:rsidRDefault="00B1440F" w:rsidP="00BF5F7B">
      <w:pPr>
        <w:tabs>
          <w:tab w:val="left" w:pos="5159"/>
        </w:tabs>
        <w:spacing w:before="0" w:beforeAutospacing="0" w:after="0" w:afterAutospacing="0"/>
        <w:rPr>
          <w:szCs w:val="24"/>
        </w:rPr>
      </w:pPr>
    </w:p>
    <w:p w14:paraId="18781829" w14:textId="77777777" w:rsidR="00B1440F" w:rsidRDefault="00B1440F" w:rsidP="00B1440F">
      <w:pPr>
        <w:tabs>
          <w:tab w:val="left" w:pos="5860"/>
        </w:tabs>
        <w:spacing w:before="0" w:beforeAutospacing="0" w:after="0" w:afterAutospacing="0"/>
        <w:rPr>
          <w:szCs w:val="24"/>
        </w:rPr>
      </w:pPr>
    </w:p>
    <w:p w14:paraId="52438A13" w14:textId="77777777" w:rsidR="00B1440F" w:rsidRDefault="00B1440F" w:rsidP="00B1440F">
      <w:pPr>
        <w:tabs>
          <w:tab w:val="left" w:pos="5860"/>
        </w:tabs>
        <w:spacing w:before="0" w:beforeAutospacing="0" w:after="0" w:afterAutospacing="0"/>
        <w:rPr>
          <w:szCs w:val="24"/>
        </w:rPr>
      </w:pPr>
    </w:p>
    <w:p w14:paraId="0414E90D" w14:textId="77777777" w:rsidR="00B1440F" w:rsidRDefault="00B1440F" w:rsidP="00B1440F">
      <w:pPr>
        <w:tabs>
          <w:tab w:val="left" w:pos="5860"/>
        </w:tabs>
        <w:spacing w:before="0" w:beforeAutospacing="0" w:after="0" w:afterAutospacing="0"/>
        <w:rPr>
          <w:szCs w:val="24"/>
        </w:rPr>
      </w:pPr>
    </w:p>
    <w:p w14:paraId="313D4BA6" w14:textId="77777777" w:rsidR="00B1440F" w:rsidRDefault="00B1440F" w:rsidP="00B1440F">
      <w:pPr>
        <w:tabs>
          <w:tab w:val="left" w:pos="5860"/>
        </w:tabs>
        <w:spacing w:before="0" w:beforeAutospacing="0" w:after="0" w:afterAutospacing="0"/>
        <w:rPr>
          <w:szCs w:val="24"/>
        </w:rPr>
      </w:pPr>
    </w:p>
    <w:p w14:paraId="178BF46D" w14:textId="77777777" w:rsidR="00B1440F" w:rsidRDefault="00B1440F" w:rsidP="00B1440F">
      <w:pPr>
        <w:tabs>
          <w:tab w:val="left" w:pos="5860"/>
        </w:tabs>
        <w:spacing w:before="0" w:beforeAutospacing="0" w:after="0" w:afterAutospacing="0"/>
        <w:rPr>
          <w:szCs w:val="24"/>
        </w:rPr>
      </w:pPr>
    </w:p>
    <w:p w14:paraId="6F2CBA42" w14:textId="77777777" w:rsidR="00B1440F" w:rsidRDefault="00B1440F" w:rsidP="00B1440F">
      <w:pPr>
        <w:tabs>
          <w:tab w:val="left" w:pos="5860"/>
        </w:tabs>
        <w:spacing w:before="0" w:beforeAutospacing="0" w:after="0" w:afterAutospacing="0"/>
        <w:rPr>
          <w:szCs w:val="24"/>
        </w:rPr>
      </w:pPr>
    </w:p>
    <w:p w14:paraId="21F26CD1" w14:textId="77777777" w:rsidR="00B1440F" w:rsidRDefault="00B1440F" w:rsidP="00B1440F">
      <w:pPr>
        <w:tabs>
          <w:tab w:val="left" w:pos="5860"/>
        </w:tabs>
        <w:spacing w:before="0" w:beforeAutospacing="0" w:after="0" w:afterAutospacing="0"/>
        <w:rPr>
          <w:szCs w:val="24"/>
        </w:rPr>
      </w:pPr>
    </w:p>
    <w:p w14:paraId="6C4544B2" w14:textId="77777777" w:rsidR="00B1440F" w:rsidRDefault="00B1440F" w:rsidP="00B1440F">
      <w:pPr>
        <w:tabs>
          <w:tab w:val="left" w:pos="5860"/>
        </w:tabs>
        <w:spacing w:before="0" w:beforeAutospacing="0" w:after="0" w:afterAutospacing="0"/>
        <w:rPr>
          <w:szCs w:val="24"/>
        </w:rPr>
      </w:pPr>
    </w:p>
    <w:p w14:paraId="38695866" w14:textId="77777777" w:rsidR="00B1440F" w:rsidRDefault="00B1440F" w:rsidP="00B1440F">
      <w:pPr>
        <w:tabs>
          <w:tab w:val="left" w:pos="5860"/>
        </w:tabs>
        <w:spacing w:before="0" w:beforeAutospacing="0" w:after="0" w:afterAutospacing="0"/>
        <w:rPr>
          <w:szCs w:val="24"/>
        </w:rPr>
      </w:pPr>
    </w:p>
    <w:p w14:paraId="3C712516" w14:textId="77777777" w:rsidR="00B1440F" w:rsidRDefault="00B1440F" w:rsidP="0096168B">
      <w:pPr>
        <w:tabs>
          <w:tab w:val="left" w:pos="5860"/>
        </w:tabs>
        <w:spacing w:before="0" w:beforeAutospacing="0" w:after="0" w:afterAutospacing="0"/>
        <w:jc w:val="right"/>
        <w:rPr>
          <w:szCs w:val="24"/>
        </w:rPr>
      </w:pPr>
      <w:r>
        <w:rPr>
          <w:szCs w:val="24"/>
        </w:rPr>
        <w:t xml:space="preserve">Dated: </w:t>
      </w:r>
      <w:r w:rsidR="00962820">
        <w:rPr>
          <w:szCs w:val="24"/>
        </w:rPr>
        <w:t>July 14</w:t>
      </w:r>
      <w:r>
        <w:rPr>
          <w:szCs w:val="24"/>
        </w:rPr>
        <w:t>, 2017</w:t>
      </w:r>
    </w:p>
    <w:p w14:paraId="5BA88346" w14:textId="77777777" w:rsidR="00B1440F" w:rsidRDefault="00B1440F">
      <w:pPr>
        <w:spacing w:before="0" w:beforeAutospacing="0" w:after="160" w:afterAutospacing="0" w:line="259" w:lineRule="auto"/>
        <w:rPr>
          <w:szCs w:val="24"/>
        </w:rPr>
      </w:pPr>
      <w:r>
        <w:rPr>
          <w:szCs w:val="24"/>
        </w:rPr>
        <w:br w:type="page"/>
      </w:r>
    </w:p>
    <w:p w14:paraId="6AC0FCCD" w14:textId="77777777" w:rsidR="002B4EB9" w:rsidRDefault="005C1D27" w:rsidP="002B4EB9">
      <w:pPr>
        <w:spacing w:before="0" w:beforeAutospacing="0" w:after="160" w:afterAutospacing="0" w:line="259" w:lineRule="auto"/>
        <w:jc w:val="center"/>
        <w:rPr>
          <w:b/>
          <w:szCs w:val="24"/>
          <w:u w:val="single"/>
        </w:rPr>
      </w:pPr>
      <w:r>
        <w:rPr>
          <w:b/>
          <w:szCs w:val="24"/>
          <w:u w:val="single"/>
        </w:rPr>
        <w:lastRenderedPageBreak/>
        <w:t>TABLE OF AUTHORITIES</w:t>
      </w:r>
    </w:p>
    <w:p w14:paraId="08AF45A7" w14:textId="77777777" w:rsidR="00F04DA3" w:rsidRDefault="00EA7BDD" w:rsidP="00F04DA3">
      <w:pPr>
        <w:pStyle w:val="TOAHeading"/>
        <w:tabs>
          <w:tab w:val="right" w:leader="dot" w:pos="9350"/>
        </w:tabs>
        <w:spacing w:before="0" w:beforeAutospacing="0" w:after="0" w:afterAutospacing="0"/>
        <w:rPr>
          <w:rFonts w:asciiTheme="minorHAnsi" w:eastAsiaTheme="minorEastAsia" w:hAnsiTheme="minorHAnsi" w:cstheme="minorBidi"/>
          <w:b w:val="0"/>
          <w:bCs w:val="0"/>
          <w:noProof/>
          <w:sz w:val="22"/>
          <w:szCs w:val="22"/>
        </w:rPr>
      </w:pPr>
      <w:r>
        <w:fldChar w:fldCharType="begin"/>
      </w:r>
      <w:r>
        <w:instrText xml:space="preserve"> TOA \h \c "1" \p </w:instrText>
      </w:r>
      <w:r>
        <w:fldChar w:fldCharType="separate"/>
      </w:r>
      <w:r w:rsidR="00F04DA3">
        <w:rPr>
          <w:noProof/>
        </w:rPr>
        <w:t>Federal Opinions</w:t>
      </w:r>
    </w:p>
    <w:p w14:paraId="470FD0D7" w14:textId="77777777" w:rsidR="00F04DA3" w:rsidRDefault="00F04DA3" w:rsidP="00F04DA3">
      <w:pPr>
        <w:pStyle w:val="TableofAuthorities"/>
        <w:tabs>
          <w:tab w:val="right" w:leader="dot" w:pos="9350"/>
        </w:tabs>
        <w:spacing w:before="0" w:beforeAutospacing="0" w:afterAutospacing="0"/>
        <w:rPr>
          <w:noProof/>
        </w:rPr>
      </w:pPr>
      <w:r w:rsidRPr="00D05911">
        <w:rPr>
          <w:i/>
          <w:noProof/>
        </w:rPr>
        <w:t>F.C.C. v. Fox Television Stations</w:t>
      </w:r>
      <w:r>
        <w:rPr>
          <w:noProof/>
        </w:rPr>
        <w:t>, 567 U.S. 239, 132 S.Ct. 2307 (2012)</w:t>
      </w:r>
      <w:r>
        <w:rPr>
          <w:noProof/>
        </w:rPr>
        <w:tab/>
        <w:t>9</w:t>
      </w:r>
    </w:p>
    <w:p w14:paraId="44CB9249" w14:textId="77777777" w:rsidR="00F04DA3" w:rsidRDefault="00EA7BDD" w:rsidP="00F04DA3">
      <w:pPr>
        <w:pStyle w:val="TOAHeading"/>
        <w:tabs>
          <w:tab w:val="right" w:leader="dot" w:pos="9350"/>
        </w:tabs>
        <w:spacing w:before="0" w:beforeAutospacing="0" w:after="0" w:afterAutospacing="0"/>
        <w:rPr>
          <w:rFonts w:asciiTheme="minorHAnsi" w:eastAsiaTheme="minorEastAsia" w:hAnsiTheme="minorHAnsi" w:cstheme="minorBidi"/>
          <w:b w:val="0"/>
          <w:bCs w:val="0"/>
          <w:noProof/>
          <w:sz w:val="22"/>
          <w:szCs w:val="22"/>
        </w:rPr>
      </w:pPr>
      <w:r>
        <w:fldChar w:fldCharType="end"/>
      </w:r>
      <w:r>
        <w:fldChar w:fldCharType="begin"/>
      </w:r>
      <w:r>
        <w:instrText xml:space="preserve"> TOA \h \c "2" \p </w:instrText>
      </w:r>
      <w:r>
        <w:fldChar w:fldCharType="separate"/>
      </w:r>
      <w:r w:rsidR="00F04DA3">
        <w:rPr>
          <w:noProof/>
        </w:rPr>
        <w:t>Washington Opinions</w:t>
      </w:r>
    </w:p>
    <w:p w14:paraId="50B7CD9D" w14:textId="77777777" w:rsidR="00F04DA3" w:rsidRDefault="00F04DA3" w:rsidP="00F04DA3">
      <w:pPr>
        <w:pStyle w:val="TableofAuthorities"/>
        <w:tabs>
          <w:tab w:val="right" w:leader="dot" w:pos="9350"/>
        </w:tabs>
        <w:spacing w:before="0" w:beforeAutospacing="0" w:afterAutospacing="0"/>
        <w:rPr>
          <w:noProof/>
        </w:rPr>
      </w:pPr>
      <w:r w:rsidRPr="006E6300">
        <w:rPr>
          <w:i/>
          <w:noProof/>
        </w:rPr>
        <w:t>General Telephone Co. of Northwest, Inc. v. City of Bothell,</w:t>
      </w:r>
      <w:r>
        <w:rPr>
          <w:noProof/>
        </w:rPr>
        <w:t xml:space="preserve"> 105 Wash.2d 579, 585 (1986)</w:t>
      </w:r>
      <w:r>
        <w:rPr>
          <w:noProof/>
        </w:rPr>
        <w:tab/>
        <w:t>8</w:t>
      </w:r>
    </w:p>
    <w:p w14:paraId="3657EABC" w14:textId="77777777" w:rsidR="00F04DA3" w:rsidRDefault="00F04DA3" w:rsidP="00F04DA3">
      <w:pPr>
        <w:pStyle w:val="TableofAuthorities"/>
        <w:tabs>
          <w:tab w:val="right" w:leader="dot" w:pos="9350"/>
        </w:tabs>
        <w:spacing w:before="0" w:beforeAutospacing="0" w:afterAutospacing="0"/>
        <w:rPr>
          <w:noProof/>
        </w:rPr>
      </w:pPr>
      <w:r w:rsidRPr="006E6300">
        <w:rPr>
          <w:i/>
          <w:noProof/>
        </w:rPr>
        <w:t>Grant County v. Bohne,</w:t>
      </w:r>
      <w:r>
        <w:rPr>
          <w:noProof/>
        </w:rPr>
        <w:t xml:space="preserve"> 89 Wash.2d 953, 955 (1978)</w:t>
      </w:r>
      <w:r>
        <w:rPr>
          <w:noProof/>
        </w:rPr>
        <w:tab/>
        <w:t>9</w:t>
      </w:r>
    </w:p>
    <w:p w14:paraId="65D4FAF2" w14:textId="77777777" w:rsidR="00F04DA3" w:rsidRDefault="00F04DA3" w:rsidP="00F04DA3">
      <w:pPr>
        <w:pStyle w:val="TableofAuthorities"/>
        <w:tabs>
          <w:tab w:val="right" w:leader="dot" w:pos="9350"/>
        </w:tabs>
        <w:spacing w:before="0" w:beforeAutospacing="0" w:afterAutospacing="0"/>
        <w:rPr>
          <w:noProof/>
        </w:rPr>
      </w:pPr>
      <w:r w:rsidRPr="006E6300">
        <w:rPr>
          <w:i/>
          <w:noProof/>
        </w:rPr>
        <w:t>Hardy v. Claircom Communications Group, Inc.,</w:t>
      </w:r>
      <w:r>
        <w:rPr>
          <w:noProof/>
        </w:rPr>
        <w:t xml:space="preserve"> 86 Wash.App. 488, 492 (1997)</w:t>
      </w:r>
      <w:r>
        <w:rPr>
          <w:noProof/>
        </w:rPr>
        <w:tab/>
        <w:t>8</w:t>
      </w:r>
    </w:p>
    <w:p w14:paraId="36AC0F26" w14:textId="77777777" w:rsidR="00F04DA3" w:rsidRDefault="00F04DA3" w:rsidP="00F04DA3">
      <w:pPr>
        <w:pStyle w:val="TableofAuthorities"/>
        <w:tabs>
          <w:tab w:val="right" w:leader="dot" w:pos="9350"/>
        </w:tabs>
        <w:spacing w:before="0" w:beforeAutospacing="0" w:afterAutospacing="0"/>
        <w:rPr>
          <w:noProof/>
        </w:rPr>
      </w:pPr>
      <w:r w:rsidRPr="006E6300">
        <w:rPr>
          <w:i/>
          <w:noProof/>
        </w:rPr>
        <w:t>Pacific NW Transp. V. Utils. &amp; Transp. Comm’n</w:t>
      </w:r>
      <w:r>
        <w:rPr>
          <w:noProof/>
        </w:rPr>
        <w:t>, 91 Wn.App. 589 (1998)</w:t>
      </w:r>
      <w:r>
        <w:rPr>
          <w:noProof/>
        </w:rPr>
        <w:tab/>
        <w:t>16</w:t>
      </w:r>
    </w:p>
    <w:p w14:paraId="01CDFA9A" w14:textId="77777777" w:rsidR="00F04DA3" w:rsidRDefault="00F04DA3" w:rsidP="00F04DA3">
      <w:pPr>
        <w:pStyle w:val="TableofAuthorities"/>
        <w:tabs>
          <w:tab w:val="right" w:leader="dot" w:pos="9350"/>
        </w:tabs>
        <w:spacing w:before="0" w:beforeAutospacing="0" w:afterAutospacing="0"/>
        <w:rPr>
          <w:noProof/>
        </w:rPr>
      </w:pPr>
      <w:r w:rsidRPr="006E6300">
        <w:rPr>
          <w:i/>
          <w:noProof/>
        </w:rPr>
        <w:t>State v. Bahl,</w:t>
      </w:r>
      <w:r>
        <w:rPr>
          <w:noProof/>
        </w:rPr>
        <w:t xml:space="preserve"> 164 Wash.2d 739, 752 (2008)</w:t>
      </w:r>
      <w:r>
        <w:rPr>
          <w:noProof/>
        </w:rPr>
        <w:tab/>
        <w:t>9</w:t>
      </w:r>
    </w:p>
    <w:p w14:paraId="56139899" w14:textId="77777777" w:rsidR="00F04DA3" w:rsidRDefault="00F04DA3" w:rsidP="00F04DA3">
      <w:pPr>
        <w:pStyle w:val="TableofAuthorities"/>
        <w:tabs>
          <w:tab w:val="right" w:leader="dot" w:pos="9350"/>
        </w:tabs>
        <w:spacing w:before="0" w:beforeAutospacing="0" w:afterAutospacing="0"/>
        <w:rPr>
          <w:noProof/>
        </w:rPr>
      </w:pPr>
      <w:r w:rsidRPr="006E6300">
        <w:rPr>
          <w:i/>
          <w:noProof/>
        </w:rPr>
        <w:t>Tenore v. AT &amp; T Wireless Services,</w:t>
      </w:r>
      <w:r>
        <w:rPr>
          <w:noProof/>
        </w:rPr>
        <w:t xml:space="preserve"> 136 Wash.2d 322, 331 (1998)</w:t>
      </w:r>
      <w:r>
        <w:rPr>
          <w:noProof/>
        </w:rPr>
        <w:tab/>
        <w:t>8</w:t>
      </w:r>
    </w:p>
    <w:p w14:paraId="48D1F755" w14:textId="77777777" w:rsidR="00F04DA3" w:rsidRDefault="00EA7BDD" w:rsidP="00F04DA3">
      <w:pPr>
        <w:pStyle w:val="TOAHeading"/>
        <w:tabs>
          <w:tab w:val="right" w:leader="dot" w:pos="9350"/>
        </w:tabs>
        <w:spacing w:before="0" w:beforeAutospacing="0" w:after="0" w:afterAutospacing="0"/>
        <w:rPr>
          <w:rFonts w:asciiTheme="minorHAnsi" w:eastAsiaTheme="minorEastAsia" w:hAnsiTheme="minorHAnsi" w:cstheme="minorBidi"/>
          <w:b w:val="0"/>
          <w:bCs w:val="0"/>
          <w:noProof/>
          <w:sz w:val="22"/>
          <w:szCs w:val="22"/>
        </w:rPr>
      </w:pPr>
      <w:r>
        <w:fldChar w:fldCharType="end"/>
      </w:r>
      <w:r>
        <w:fldChar w:fldCharType="begin"/>
      </w:r>
      <w:r>
        <w:instrText xml:space="preserve"> TOA \h \c "3" \p </w:instrText>
      </w:r>
      <w:r>
        <w:fldChar w:fldCharType="separate"/>
      </w:r>
      <w:r w:rsidR="00F04DA3">
        <w:rPr>
          <w:noProof/>
        </w:rPr>
        <w:t>WUTC Orders</w:t>
      </w:r>
    </w:p>
    <w:p w14:paraId="3A0A48E1" w14:textId="77777777" w:rsidR="00F04DA3" w:rsidRDefault="00F04DA3" w:rsidP="00F04DA3">
      <w:pPr>
        <w:pStyle w:val="TableofAuthorities"/>
        <w:tabs>
          <w:tab w:val="right" w:leader="dot" w:pos="9350"/>
        </w:tabs>
        <w:spacing w:before="0" w:beforeAutospacing="0" w:afterAutospacing="0" w:line="240" w:lineRule="auto"/>
        <w:ind w:left="245" w:hanging="245"/>
        <w:rPr>
          <w:noProof/>
        </w:rPr>
      </w:pPr>
      <w:r>
        <w:rPr>
          <w:noProof/>
        </w:rPr>
        <w:t xml:space="preserve">Order 10, </w:t>
      </w:r>
      <w:r w:rsidRPr="00726D18">
        <w:rPr>
          <w:i/>
          <w:noProof/>
        </w:rPr>
        <w:t xml:space="preserve">In re Waste Management of Washington, Inc. d/b/a WM Healthcare Solutions of Washington, </w:t>
      </w:r>
      <w:r>
        <w:rPr>
          <w:noProof/>
        </w:rPr>
        <w:t>TG-120033 (July 2013)</w:t>
      </w:r>
      <w:r>
        <w:rPr>
          <w:noProof/>
        </w:rPr>
        <w:tab/>
        <w:t>17</w:t>
      </w:r>
    </w:p>
    <w:p w14:paraId="379AA0C7" w14:textId="77777777" w:rsidR="00F04DA3" w:rsidRDefault="00EA7BDD" w:rsidP="00F04DA3">
      <w:pPr>
        <w:pStyle w:val="TOAHeading"/>
        <w:tabs>
          <w:tab w:val="right" w:leader="dot" w:pos="9350"/>
        </w:tabs>
        <w:spacing w:before="240" w:beforeAutospacing="0" w:after="0" w:afterAutospacing="0"/>
        <w:rPr>
          <w:rFonts w:asciiTheme="minorHAnsi" w:eastAsiaTheme="minorEastAsia" w:hAnsiTheme="minorHAnsi" w:cstheme="minorBidi"/>
          <w:b w:val="0"/>
          <w:bCs w:val="0"/>
          <w:noProof/>
          <w:sz w:val="22"/>
          <w:szCs w:val="22"/>
        </w:rPr>
      </w:pPr>
      <w:r>
        <w:fldChar w:fldCharType="end"/>
      </w:r>
      <w:r>
        <w:fldChar w:fldCharType="begin"/>
      </w:r>
      <w:r>
        <w:instrText xml:space="preserve"> TOA \h \c "4" \p </w:instrText>
      </w:r>
      <w:r>
        <w:fldChar w:fldCharType="separate"/>
      </w:r>
      <w:r w:rsidR="00F04DA3">
        <w:rPr>
          <w:noProof/>
        </w:rPr>
        <w:t>State Statutes</w:t>
      </w:r>
    </w:p>
    <w:p w14:paraId="4216BF3F" w14:textId="77777777" w:rsidR="00F04DA3" w:rsidRDefault="00F04DA3" w:rsidP="00F04DA3">
      <w:pPr>
        <w:pStyle w:val="TableofAuthorities"/>
        <w:tabs>
          <w:tab w:val="right" w:leader="dot" w:pos="9350"/>
        </w:tabs>
        <w:spacing w:before="0" w:beforeAutospacing="0" w:afterAutospacing="0"/>
        <w:rPr>
          <w:noProof/>
        </w:rPr>
      </w:pPr>
      <w:r>
        <w:rPr>
          <w:noProof/>
        </w:rPr>
        <w:t>RCW 81.04.200</w:t>
      </w:r>
      <w:r>
        <w:rPr>
          <w:noProof/>
        </w:rPr>
        <w:tab/>
        <w:t>20</w:t>
      </w:r>
    </w:p>
    <w:p w14:paraId="7DB39C44" w14:textId="77777777" w:rsidR="00F04DA3" w:rsidRDefault="00F04DA3" w:rsidP="00F04DA3">
      <w:pPr>
        <w:pStyle w:val="TableofAuthorities"/>
        <w:tabs>
          <w:tab w:val="right" w:leader="dot" w:pos="9350"/>
        </w:tabs>
        <w:spacing w:before="0" w:beforeAutospacing="0" w:afterAutospacing="0"/>
        <w:rPr>
          <w:noProof/>
        </w:rPr>
      </w:pPr>
      <w:r>
        <w:rPr>
          <w:noProof/>
        </w:rPr>
        <w:t>RCW 81.28.080</w:t>
      </w:r>
      <w:r>
        <w:rPr>
          <w:noProof/>
        </w:rPr>
        <w:tab/>
        <w:t>8</w:t>
      </w:r>
    </w:p>
    <w:p w14:paraId="6E7EC85F" w14:textId="77777777" w:rsidR="00F04DA3" w:rsidRDefault="00F04DA3" w:rsidP="00F04DA3">
      <w:pPr>
        <w:pStyle w:val="TableofAuthorities"/>
        <w:tabs>
          <w:tab w:val="right" w:leader="dot" w:pos="9350"/>
        </w:tabs>
        <w:spacing w:before="0" w:beforeAutospacing="0" w:afterAutospacing="0"/>
        <w:rPr>
          <w:noProof/>
        </w:rPr>
      </w:pPr>
      <w:r>
        <w:rPr>
          <w:noProof/>
        </w:rPr>
        <w:t>RCW 81.68.040</w:t>
      </w:r>
      <w:r>
        <w:rPr>
          <w:noProof/>
        </w:rPr>
        <w:tab/>
        <w:t>passim</w:t>
      </w:r>
    </w:p>
    <w:p w14:paraId="10D9E577" w14:textId="77777777" w:rsidR="00F04DA3" w:rsidRDefault="00F04DA3" w:rsidP="00F04DA3">
      <w:pPr>
        <w:pStyle w:val="TableofAuthorities"/>
        <w:tabs>
          <w:tab w:val="right" w:leader="dot" w:pos="9350"/>
        </w:tabs>
        <w:spacing w:before="0" w:beforeAutospacing="0" w:afterAutospacing="0"/>
        <w:rPr>
          <w:noProof/>
        </w:rPr>
      </w:pPr>
      <w:r>
        <w:rPr>
          <w:noProof/>
        </w:rPr>
        <w:t>RCW 81.84.020</w:t>
      </w:r>
      <w:r>
        <w:rPr>
          <w:noProof/>
        </w:rPr>
        <w:tab/>
        <w:t>17</w:t>
      </w:r>
    </w:p>
    <w:p w14:paraId="1244D0F0" w14:textId="77777777" w:rsidR="00F04DA3" w:rsidRDefault="00F04DA3" w:rsidP="00F04DA3">
      <w:pPr>
        <w:pStyle w:val="TableofAuthorities"/>
        <w:tabs>
          <w:tab w:val="right" w:leader="dot" w:pos="9350"/>
        </w:tabs>
        <w:spacing w:before="0" w:beforeAutospacing="0" w:afterAutospacing="0"/>
        <w:rPr>
          <w:noProof/>
        </w:rPr>
      </w:pPr>
      <w:r w:rsidRPr="00D45650">
        <w:rPr>
          <w:rFonts w:cs="Times New Roman"/>
          <w:noProof/>
        </w:rPr>
        <w:t>Washington Laws, 1996, Ch. 87, § 22</w:t>
      </w:r>
      <w:r>
        <w:rPr>
          <w:noProof/>
        </w:rPr>
        <w:tab/>
        <w:t>3</w:t>
      </w:r>
    </w:p>
    <w:p w14:paraId="75103E55" w14:textId="77777777" w:rsidR="00F04DA3" w:rsidRDefault="00EA7BDD" w:rsidP="00F04DA3">
      <w:pPr>
        <w:pStyle w:val="TOAHeading"/>
        <w:tabs>
          <w:tab w:val="right" w:leader="dot" w:pos="9350"/>
        </w:tabs>
        <w:spacing w:before="0" w:beforeAutospacing="0" w:after="0" w:afterAutospacing="0"/>
        <w:rPr>
          <w:rFonts w:asciiTheme="minorHAnsi" w:eastAsiaTheme="minorEastAsia" w:hAnsiTheme="minorHAnsi" w:cstheme="minorBidi"/>
          <w:b w:val="0"/>
          <w:bCs w:val="0"/>
          <w:noProof/>
          <w:sz w:val="22"/>
          <w:szCs w:val="22"/>
        </w:rPr>
      </w:pPr>
      <w:r>
        <w:fldChar w:fldCharType="end"/>
      </w:r>
      <w:r>
        <w:fldChar w:fldCharType="begin"/>
      </w:r>
      <w:r>
        <w:instrText xml:space="preserve"> TOA \h \c "5" \p </w:instrText>
      </w:r>
      <w:r>
        <w:fldChar w:fldCharType="separate"/>
      </w:r>
      <w:r w:rsidR="00F04DA3">
        <w:rPr>
          <w:noProof/>
        </w:rPr>
        <w:t>Regulations</w:t>
      </w:r>
    </w:p>
    <w:p w14:paraId="0B343719" w14:textId="77777777" w:rsidR="00F04DA3" w:rsidRDefault="00F04DA3" w:rsidP="00F04DA3">
      <w:pPr>
        <w:pStyle w:val="TableofAuthorities"/>
        <w:tabs>
          <w:tab w:val="right" w:leader="dot" w:pos="9350"/>
        </w:tabs>
        <w:spacing w:before="0" w:beforeAutospacing="0" w:afterAutospacing="0"/>
        <w:rPr>
          <w:noProof/>
        </w:rPr>
      </w:pPr>
      <w:r>
        <w:rPr>
          <w:noProof/>
        </w:rPr>
        <w:t>WAC 480-30-096</w:t>
      </w:r>
      <w:r>
        <w:rPr>
          <w:noProof/>
        </w:rPr>
        <w:tab/>
        <w:t>26</w:t>
      </w:r>
    </w:p>
    <w:p w14:paraId="6D326311" w14:textId="77777777" w:rsidR="00F04DA3" w:rsidRDefault="00F04DA3" w:rsidP="00F04DA3">
      <w:pPr>
        <w:pStyle w:val="TableofAuthorities"/>
        <w:tabs>
          <w:tab w:val="right" w:leader="dot" w:pos="9350"/>
        </w:tabs>
        <w:spacing w:before="0" w:beforeAutospacing="0" w:afterAutospacing="0"/>
        <w:rPr>
          <w:noProof/>
        </w:rPr>
      </w:pPr>
      <w:r>
        <w:rPr>
          <w:noProof/>
        </w:rPr>
        <w:t>WAC 480-30-140</w:t>
      </w:r>
      <w:r>
        <w:rPr>
          <w:noProof/>
        </w:rPr>
        <w:tab/>
        <w:t>passim</w:t>
      </w:r>
    </w:p>
    <w:p w14:paraId="410F6ABA" w14:textId="77777777" w:rsidR="00F04DA3" w:rsidRDefault="00F04DA3" w:rsidP="00F04DA3">
      <w:pPr>
        <w:pStyle w:val="TableofAuthorities"/>
        <w:tabs>
          <w:tab w:val="right" w:leader="dot" w:pos="9350"/>
        </w:tabs>
        <w:spacing w:before="0" w:beforeAutospacing="0" w:afterAutospacing="0"/>
        <w:rPr>
          <w:noProof/>
        </w:rPr>
      </w:pPr>
      <w:r>
        <w:rPr>
          <w:noProof/>
        </w:rPr>
        <w:t>WAC 480-30-140(1)</w:t>
      </w:r>
      <w:r>
        <w:rPr>
          <w:noProof/>
        </w:rPr>
        <w:tab/>
        <w:t>15, 19</w:t>
      </w:r>
    </w:p>
    <w:p w14:paraId="077E3C9D" w14:textId="77777777" w:rsidR="00F04DA3" w:rsidRDefault="00F04DA3" w:rsidP="00F04DA3">
      <w:pPr>
        <w:pStyle w:val="TableofAuthorities"/>
        <w:tabs>
          <w:tab w:val="right" w:leader="dot" w:pos="9350"/>
        </w:tabs>
        <w:spacing w:before="0" w:beforeAutospacing="0" w:afterAutospacing="0"/>
        <w:rPr>
          <w:noProof/>
        </w:rPr>
      </w:pPr>
    </w:p>
    <w:p w14:paraId="10E7FAC0" w14:textId="77777777" w:rsidR="00F04DA3" w:rsidRDefault="00F04DA3" w:rsidP="00F04DA3">
      <w:pPr>
        <w:pStyle w:val="TableofAuthorities"/>
        <w:tabs>
          <w:tab w:val="right" w:leader="dot" w:pos="9350"/>
        </w:tabs>
        <w:spacing w:before="0" w:beforeAutospacing="0" w:afterAutospacing="0"/>
        <w:rPr>
          <w:noProof/>
        </w:rPr>
      </w:pPr>
      <w:r>
        <w:rPr>
          <w:noProof/>
        </w:rPr>
        <w:lastRenderedPageBreak/>
        <w:t>WAC 480-30-140(1)(a)</w:t>
      </w:r>
      <w:r>
        <w:rPr>
          <w:noProof/>
        </w:rPr>
        <w:tab/>
        <w:t>15</w:t>
      </w:r>
    </w:p>
    <w:p w14:paraId="2E8B5591" w14:textId="77777777" w:rsidR="00F04DA3" w:rsidRDefault="00F04DA3" w:rsidP="00F04DA3">
      <w:pPr>
        <w:pStyle w:val="TableofAuthorities"/>
        <w:tabs>
          <w:tab w:val="right" w:leader="dot" w:pos="9350"/>
        </w:tabs>
        <w:spacing w:before="0" w:beforeAutospacing="0" w:afterAutospacing="0"/>
        <w:rPr>
          <w:noProof/>
        </w:rPr>
      </w:pPr>
      <w:r>
        <w:rPr>
          <w:noProof/>
        </w:rPr>
        <w:t>WAC 480-30-140(1)(b)</w:t>
      </w:r>
      <w:r>
        <w:rPr>
          <w:noProof/>
        </w:rPr>
        <w:tab/>
        <w:t>18</w:t>
      </w:r>
    </w:p>
    <w:p w14:paraId="119C3FB8" w14:textId="77777777" w:rsidR="002B4EB9" w:rsidRDefault="00EA7BDD" w:rsidP="00F04DA3">
      <w:pPr>
        <w:pStyle w:val="TableofAuthorities"/>
        <w:tabs>
          <w:tab w:val="right" w:leader="dot" w:pos="9350"/>
        </w:tabs>
        <w:spacing w:before="0" w:beforeAutospacing="0" w:afterAutospacing="0"/>
        <w:contextualSpacing/>
        <w:rPr>
          <w:b/>
          <w:szCs w:val="24"/>
          <w:u w:val="single"/>
        </w:rPr>
        <w:sectPr w:rsidR="002B4EB9" w:rsidSect="0055315E">
          <w:footerReference w:type="default" r:id="rId11"/>
          <w:pgSz w:w="12240" w:h="15840"/>
          <w:pgMar w:top="1440" w:right="1440" w:bottom="1440" w:left="1440" w:header="720" w:footer="720" w:gutter="0"/>
          <w:pgNumType w:fmt="lowerRoman"/>
          <w:cols w:space="720"/>
          <w:docGrid w:linePitch="360"/>
        </w:sectPr>
      </w:pPr>
      <w:r>
        <w:rPr>
          <w:szCs w:val="24"/>
        </w:rPr>
        <w:fldChar w:fldCharType="end"/>
      </w:r>
    </w:p>
    <w:sdt>
      <w:sdtPr>
        <w:rPr>
          <w:rFonts w:ascii="Times New Roman" w:eastAsiaTheme="minorHAnsi" w:hAnsi="Times New Roman" w:cstheme="minorBidi"/>
          <w:b w:val="0"/>
          <w:szCs w:val="22"/>
          <w:u w:val="none"/>
        </w:rPr>
        <w:id w:val="-1288428760"/>
        <w:docPartObj>
          <w:docPartGallery w:val="Table of Contents"/>
          <w:docPartUnique/>
        </w:docPartObj>
      </w:sdtPr>
      <w:sdtEndPr>
        <w:rPr>
          <w:bCs/>
          <w:noProof/>
        </w:rPr>
      </w:sdtEndPr>
      <w:sdtContent>
        <w:p w14:paraId="3245281F" w14:textId="77777777" w:rsidR="00CD26E5" w:rsidRPr="00CD26E5" w:rsidRDefault="005C1D27" w:rsidP="00E01D8A">
          <w:pPr>
            <w:pStyle w:val="TOCHeading"/>
            <w:spacing w:before="0" w:line="480" w:lineRule="auto"/>
          </w:pPr>
          <w:r>
            <w:t>TABLE OF CONTENTS</w:t>
          </w:r>
        </w:p>
        <w:p w14:paraId="22210288" w14:textId="77777777" w:rsidR="002F1967" w:rsidRDefault="00C22F2E">
          <w:pPr>
            <w:pStyle w:val="TOC1"/>
            <w:rPr>
              <w:rFonts w:asciiTheme="minorHAnsi" w:eastAsiaTheme="minorEastAsia" w:hAnsiTheme="minorHAnsi"/>
              <w:noProof/>
              <w:sz w:val="22"/>
            </w:rPr>
          </w:pPr>
          <w:r>
            <w:fldChar w:fldCharType="begin"/>
          </w:r>
          <w:r>
            <w:instrText xml:space="preserve"> TOC \o "1-3" \h \z \u </w:instrText>
          </w:r>
          <w:r>
            <w:fldChar w:fldCharType="separate"/>
          </w:r>
          <w:hyperlink w:anchor="_Toc487803864" w:history="1">
            <w:r w:rsidR="002F1967" w:rsidRPr="00091D5F">
              <w:rPr>
                <w:rStyle w:val="Hyperlink"/>
                <w:noProof/>
              </w:rPr>
              <w:t>I.</w:t>
            </w:r>
            <w:r w:rsidR="002F1967">
              <w:rPr>
                <w:rFonts w:asciiTheme="minorHAnsi" w:eastAsiaTheme="minorEastAsia" w:hAnsiTheme="minorHAnsi"/>
                <w:noProof/>
                <w:sz w:val="22"/>
              </w:rPr>
              <w:tab/>
            </w:r>
            <w:r w:rsidR="002F1967" w:rsidRPr="00091D5F">
              <w:rPr>
                <w:rStyle w:val="Hyperlink"/>
                <w:noProof/>
              </w:rPr>
              <w:t>INTRODUCTION</w:t>
            </w:r>
            <w:r w:rsidR="002F1967">
              <w:rPr>
                <w:noProof/>
                <w:webHidden/>
              </w:rPr>
              <w:tab/>
            </w:r>
            <w:r w:rsidR="002F1967">
              <w:rPr>
                <w:noProof/>
                <w:webHidden/>
              </w:rPr>
              <w:fldChar w:fldCharType="begin"/>
            </w:r>
            <w:r w:rsidR="002F1967">
              <w:rPr>
                <w:noProof/>
                <w:webHidden/>
              </w:rPr>
              <w:instrText xml:space="preserve"> PAGEREF _Toc487803864 \h </w:instrText>
            </w:r>
            <w:r w:rsidR="002F1967">
              <w:rPr>
                <w:noProof/>
                <w:webHidden/>
              </w:rPr>
            </w:r>
            <w:r w:rsidR="002F1967">
              <w:rPr>
                <w:noProof/>
                <w:webHidden/>
              </w:rPr>
              <w:fldChar w:fldCharType="separate"/>
            </w:r>
            <w:r w:rsidR="00F04DA3">
              <w:rPr>
                <w:noProof/>
                <w:webHidden/>
              </w:rPr>
              <w:t>1</w:t>
            </w:r>
            <w:r w:rsidR="002F1967">
              <w:rPr>
                <w:noProof/>
                <w:webHidden/>
              </w:rPr>
              <w:fldChar w:fldCharType="end"/>
            </w:r>
          </w:hyperlink>
        </w:p>
        <w:p w14:paraId="676AEA01" w14:textId="77777777" w:rsidR="002F1967" w:rsidRDefault="00640200">
          <w:pPr>
            <w:pStyle w:val="TOC1"/>
            <w:rPr>
              <w:rFonts w:asciiTheme="minorHAnsi" w:eastAsiaTheme="minorEastAsia" w:hAnsiTheme="minorHAnsi"/>
              <w:noProof/>
              <w:sz w:val="22"/>
            </w:rPr>
          </w:pPr>
          <w:hyperlink w:anchor="_Toc487803865" w:history="1">
            <w:r w:rsidR="002F1967" w:rsidRPr="00091D5F">
              <w:rPr>
                <w:rStyle w:val="Hyperlink"/>
                <w:noProof/>
              </w:rPr>
              <w:t>II.</w:t>
            </w:r>
            <w:r w:rsidR="002F1967">
              <w:rPr>
                <w:rFonts w:asciiTheme="minorHAnsi" w:eastAsiaTheme="minorEastAsia" w:hAnsiTheme="minorHAnsi"/>
                <w:noProof/>
                <w:sz w:val="22"/>
              </w:rPr>
              <w:tab/>
            </w:r>
            <w:r w:rsidR="002F1967" w:rsidRPr="00091D5F">
              <w:rPr>
                <w:rStyle w:val="Hyperlink"/>
                <w:noProof/>
              </w:rPr>
              <w:t>SPEEDISHUTTLE’S COMPLAINT AND STAFF’S FINES ARE UNSUPPORTABLE.</w:t>
            </w:r>
            <w:r w:rsidR="002F1967">
              <w:rPr>
                <w:noProof/>
                <w:webHidden/>
              </w:rPr>
              <w:tab/>
            </w:r>
            <w:r w:rsidR="002F1967">
              <w:rPr>
                <w:noProof/>
                <w:webHidden/>
              </w:rPr>
              <w:fldChar w:fldCharType="begin"/>
            </w:r>
            <w:r w:rsidR="002F1967">
              <w:rPr>
                <w:noProof/>
                <w:webHidden/>
              </w:rPr>
              <w:instrText xml:space="preserve"> PAGEREF _Toc487803865 \h </w:instrText>
            </w:r>
            <w:r w:rsidR="002F1967">
              <w:rPr>
                <w:noProof/>
                <w:webHidden/>
              </w:rPr>
            </w:r>
            <w:r w:rsidR="002F1967">
              <w:rPr>
                <w:noProof/>
                <w:webHidden/>
              </w:rPr>
              <w:fldChar w:fldCharType="separate"/>
            </w:r>
            <w:r w:rsidR="00F04DA3">
              <w:rPr>
                <w:noProof/>
                <w:webHidden/>
              </w:rPr>
              <w:t>3</w:t>
            </w:r>
            <w:r w:rsidR="002F1967">
              <w:rPr>
                <w:noProof/>
                <w:webHidden/>
              </w:rPr>
              <w:fldChar w:fldCharType="end"/>
            </w:r>
          </w:hyperlink>
        </w:p>
        <w:p w14:paraId="0BA016F6" w14:textId="77777777" w:rsidR="002F1967" w:rsidRDefault="00640200">
          <w:pPr>
            <w:pStyle w:val="TOC2"/>
            <w:rPr>
              <w:rFonts w:asciiTheme="minorHAnsi" w:eastAsiaTheme="minorEastAsia" w:hAnsiTheme="minorHAnsi"/>
              <w:noProof/>
              <w:sz w:val="22"/>
            </w:rPr>
          </w:pPr>
          <w:hyperlink w:anchor="_Toc487803866" w:history="1">
            <w:r w:rsidR="002F1967" w:rsidRPr="00091D5F">
              <w:rPr>
                <w:rStyle w:val="Hyperlink"/>
                <w:noProof/>
              </w:rPr>
              <w:t>A.</w:t>
            </w:r>
            <w:r w:rsidR="002F1967">
              <w:rPr>
                <w:rFonts w:asciiTheme="minorHAnsi" w:eastAsiaTheme="minorEastAsia" w:hAnsiTheme="minorHAnsi"/>
                <w:noProof/>
                <w:sz w:val="22"/>
              </w:rPr>
              <w:tab/>
            </w:r>
            <w:r w:rsidR="002F1967" w:rsidRPr="00091D5F">
              <w:rPr>
                <w:rStyle w:val="Hyperlink"/>
                <w:noProof/>
              </w:rPr>
              <w:t>The Speedishuttle complaint and Staff recommended fines ignore the DOL’s exclusive jurisdiction over limousines.</w:t>
            </w:r>
            <w:r w:rsidR="002F1967">
              <w:rPr>
                <w:noProof/>
                <w:webHidden/>
              </w:rPr>
              <w:tab/>
            </w:r>
            <w:r w:rsidR="002F1967">
              <w:rPr>
                <w:noProof/>
                <w:webHidden/>
              </w:rPr>
              <w:fldChar w:fldCharType="begin"/>
            </w:r>
            <w:r w:rsidR="002F1967">
              <w:rPr>
                <w:noProof/>
                <w:webHidden/>
              </w:rPr>
              <w:instrText xml:space="preserve"> PAGEREF _Toc487803866 \h </w:instrText>
            </w:r>
            <w:r w:rsidR="002F1967">
              <w:rPr>
                <w:noProof/>
                <w:webHidden/>
              </w:rPr>
            </w:r>
            <w:r w:rsidR="002F1967">
              <w:rPr>
                <w:noProof/>
                <w:webHidden/>
              </w:rPr>
              <w:fldChar w:fldCharType="separate"/>
            </w:r>
            <w:r w:rsidR="00F04DA3">
              <w:rPr>
                <w:noProof/>
                <w:webHidden/>
              </w:rPr>
              <w:t>3</w:t>
            </w:r>
            <w:r w:rsidR="002F1967">
              <w:rPr>
                <w:noProof/>
                <w:webHidden/>
              </w:rPr>
              <w:fldChar w:fldCharType="end"/>
            </w:r>
          </w:hyperlink>
        </w:p>
        <w:p w14:paraId="179D92BE" w14:textId="77777777" w:rsidR="002F1967" w:rsidRDefault="00640200">
          <w:pPr>
            <w:pStyle w:val="TOC2"/>
            <w:rPr>
              <w:rFonts w:asciiTheme="minorHAnsi" w:eastAsiaTheme="minorEastAsia" w:hAnsiTheme="minorHAnsi"/>
              <w:noProof/>
              <w:sz w:val="22"/>
            </w:rPr>
          </w:pPr>
          <w:hyperlink w:anchor="_Toc487803867" w:history="1">
            <w:r w:rsidR="002F1967" w:rsidRPr="00091D5F">
              <w:rPr>
                <w:rStyle w:val="Hyperlink"/>
                <w:noProof/>
              </w:rPr>
              <w:t>B.</w:t>
            </w:r>
            <w:r w:rsidR="002F1967">
              <w:rPr>
                <w:rFonts w:asciiTheme="minorHAnsi" w:eastAsiaTheme="minorEastAsia" w:hAnsiTheme="minorHAnsi"/>
                <w:noProof/>
                <w:sz w:val="22"/>
              </w:rPr>
              <w:tab/>
            </w:r>
            <w:r w:rsidR="002F1967" w:rsidRPr="00091D5F">
              <w:rPr>
                <w:rStyle w:val="Hyperlink"/>
                <w:noProof/>
              </w:rPr>
              <w:t>All other Speedishuttle complaints and issues also lack any merit.</w:t>
            </w:r>
            <w:r w:rsidR="002F1967">
              <w:rPr>
                <w:noProof/>
                <w:webHidden/>
              </w:rPr>
              <w:tab/>
            </w:r>
            <w:r w:rsidR="002F1967">
              <w:rPr>
                <w:noProof/>
                <w:webHidden/>
              </w:rPr>
              <w:fldChar w:fldCharType="begin"/>
            </w:r>
            <w:r w:rsidR="002F1967">
              <w:rPr>
                <w:noProof/>
                <w:webHidden/>
              </w:rPr>
              <w:instrText xml:space="preserve"> PAGEREF _Toc487803867 \h </w:instrText>
            </w:r>
            <w:r w:rsidR="002F1967">
              <w:rPr>
                <w:noProof/>
                <w:webHidden/>
              </w:rPr>
            </w:r>
            <w:r w:rsidR="002F1967">
              <w:rPr>
                <w:noProof/>
                <w:webHidden/>
              </w:rPr>
              <w:fldChar w:fldCharType="separate"/>
            </w:r>
            <w:r w:rsidR="00F04DA3">
              <w:rPr>
                <w:noProof/>
                <w:webHidden/>
              </w:rPr>
              <w:t>5</w:t>
            </w:r>
            <w:r w:rsidR="002F1967">
              <w:rPr>
                <w:noProof/>
                <w:webHidden/>
              </w:rPr>
              <w:fldChar w:fldCharType="end"/>
            </w:r>
          </w:hyperlink>
        </w:p>
        <w:p w14:paraId="13133F6B" w14:textId="77777777" w:rsidR="002F1967" w:rsidRDefault="00640200">
          <w:pPr>
            <w:pStyle w:val="TOC2"/>
            <w:rPr>
              <w:rFonts w:asciiTheme="minorHAnsi" w:eastAsiaTheme="minorEastAsia" w:hAnsiTheme="minorHAnsi"/>
              <w:noProof/>
              <w:sz w:val="22"/>
            </w:rPr>
          </w:pPr>
          <w:hyperlink w:anchor="_Toc487803868" w:history="1">
            <w:r w:rsidR="002F1967" w:rsidRPr="00091D5F">
              <w:rPr>
                <w:rStyle w:val="Hyperlink"/>
                <w:noProof/>
              </w:rPr>
              <w:t>C.</w:t>
            </w:r>
            <w:r w:rsidR="002F1967">
              <w:rPr>
                <w:rFonts w:asciiTheme="minorHAnsi" w:eastAsiaTheme="minorEastAsia" w:hAnsiTheme="minorHAnsi"/>
                <w:noProof/>
                <w:sz w:val="22"/>
              </w:rPr>
              <w:tab/>
            </w:r>
            <w:r w:rsidR="002F1967" w:rsidRPr="00091D5F">
              <w:rPr>
                <w:rStyle w:val="Hyperlink"/>
                <w:noProof/>
              </w:rPr>
              <w:t>The lack of any colorable claims of statue or rule violations precludes a penalty, including a retroactive finding of “unsatisfactory” service.</w:t>
            </w:r>
            <w:r w:rsidR="002F1967">
              <w:rPr>
                <w:noProof/>
                <w:webHidden/>
              </w:rPr>
              <w:tab/>
            </w:r>
            <w:r w:rsidR="002F1967">
              <w:rPr>
                <w:noProof/>
                <w:webHidden/>
              </w:rPr>
              <w:fldChar w:fldCharType="begin"/>
            </w:r>
            <w:r w:rsidR="002F1967">
              <w:rPr>
                <w:noProof/>
                <w:webHidden/>
              </w:rPr>
              <w:instrText xml:space="preserve"> PAGEREF _Toc487803868 \h </w:instrText>
            </w:r>
            <w:r w:rsidR="002F1967">
              <w:rPr>
                <w:noProof/>
                <w:webHidden/>
              </w:rPr>
            </w:r>
            <w:r w:rsidR="002F1967">
              <w:rPr>
                <w:noProof/>
                <w:webHidden/>
              </w:rPr>
              <w:fldChar w:fldCharType="separate"/>
            </w:r>
            <w:r w:rsidR="00F04DA3">
              <w:rPr>
                <w:noProof/>
                <w:webHidden/>
              </w:rPr>
              <w:t>8</w:t>
            </w:r>
            <w:r w:rsidR="002F1967">
              <w:rPr>
                <w:noProof/>
                <w:webHidden/>
              </w:rPr>
              <w:fldChar w:fldCharType="end"/>
            </w:r>
          </w:hyperlink>
        </w:p>
        <w:p w14:paraId="6474AEC8" w14:textId="77777777" w:rsidR="002F1967" w:rsidRDefault="00640200">
          <w:pPr>
            <w:pStyle w:val="TOC1"/>
            <w:rPr>
              <w:rFonts w:asciiTheme="minorHAnsi" w:eastAsiaTheme="minorEastAsia" w:hAnsiTheme="minorHAnsi"/>
              <w:noProof/>
              <w:sz w:val="22"/>
            </w:rPr>
          </w:pPr>
          <w:hyperlink w:anchor="_Toc487803869" w:history="1">
            <w:r w:rsidR="002F1967" w:rsidRPr="00091D5F">
              <w:rPr>
                <w:rStyle w:val="Hyperlink"/>
                <w:noProof/>
              </w:rPr>
              <w:t>III.</w:t>
            </w:r>
            <w:r w:rsidR="002F1967">
              <w:rPr>
                <w:rFonts w:asciiTheme="minorHAnsi" w:eastAsiaTheme="minorEastAsia" w:hAnsiTheme="minorHAnsi"/>
                <w:noProof/>
                <w:sz w:val="22"/>
              </w:rPr>
              <w:tab/>
            </w:r>
            <w:r w:rsidR="002F1967" w:rsidRPr="00091D5F">
              <w:rPr>
                <w:rStyle w:val="Hyperlink"/>
                <w:noProof/>
              </w:rPr>
              <w:t>THE REHEARING SUPPORTS A RESTRICTION OR CANCELLATION OF THE SPEEDISHUTTLE CERTIFICATE.</w:t>
            </w:r>
            <w:r w:rsidR="002F1967">
              <w:rPr>
                <w:noProof/>
                <w:webHidden/>
              </w:rPr>
              <w:tab/>
            </w:r>
            <w:r w:rsidR="002F1967">
              <w:rPr>
                <w:noProof/>
                <w:webHidden/>
              </w:rPr>
              <w:fldChar w:fldCharType="begin"/>
            </w:r>
            <w:r w:rsidR="002F1967">
              <w:rPr>
                <w:noProof/>
                <w:webHidden/>
              </w:rPr>
              <w:instrText xml:space="preserve"> PAGEREF _Toc487803869 \h </w:instrText>
            </w:r>
            <w:r w:rsidR="002F1967">
              <w:rPr>
                <w:noProof/>
                <w:webHidden/>
              </w:rPr>
            </w:r>
            <w:r w:rsidR="002F1967">
              <w:rPr>
                <w:noProof/>
                <w:webHidden/>
              </w:rPr>
              <w:fldChar w:fldCharType="separate"/>
            </w:r>
            <w:r w:rsidR="00F04DA3">
              <w:rPr>
                <w:noProof/>
                <w:webHidden/>
              </w:rPr>
              <w:t>11</w:t>
            </w:r>
            <w:r w:rsidR="002F1967">
              <w:rPr>
                <w:noProof/>
                <w:webHidden/>
              </w:rPr>
              <w:fldChar w:fldCharType="end"/>
            </w:r>
          </w:hyperlink>
        </w:p>
        <w:p w14:paraId="6B62105C" w14:textId="77777777" w:rsidR="002F1967" w:rsidRDefault="00640200">
          <w:pPr>
            <w:pStyle w:val="TOC2"/>
            <w:rPr>
              <w:rFonts w:asciiTheme="minorHAnsi" w:eastAsiaTheme="minorEastAsia" w:hAnsiTheme="minorHAnsi"/>
              <w:noProof/>
              <w:sz w:val="22"/>
            </w:rPr>
          </w:pPr>
          <w:hyperlink w:anchor="_Toc487803870" w:history="1">
            <w:r w:rsidR="002F1967" w:rsidRPr="00091D5F">
              <w:rPr>
                <w:rStyle w:val="Hyperlink"/>
                <w:noProof/>
              </w:rPr>
              <w:t>A.</w:t>
            </w:r>
            <w:r w:rsidR="002F1967">
              <w:rPr>
                <w:rFonts w:asciiTheme="minorHAnsi" w:eastAsiaTheme="minorEastAsia" w:hAnsiTheme="minorHAnsi"/>
                <w:noProof/>
                <w:sz w:val="22"/>
              </w:rPr>
              <w:tab/>
            </w:r>
            <w:r w:rsidR="002F1967" w:rsidRPr="00091D5F">
              <w:rPr>
                <w:rStyle w:val="Hyperlink"/>
                <w:noProof/>
              </w:rPr>
              <w:t>Speedishuttle unquestionably pursued its certificate by proposing a “different” service that would expand the number of share ride passengers for all carriers.</w:t>
            </w:r>
            <w:r w:rsidR="002F1967">
              <w:rPr>
                <w:noProof/>
                <w:webHidden/>
              </w:rPr>
              <w:tab/>
            </w:r>
            <w:r w:rsidR="002F1967">
              <w:rPr>
                <w:noProof/>
                <w:webHidden/>
              </w:rPr>
              <w:fldChar w:fldCharType="begin"/>
            </w:r>
            <w:r w:rsidR="002F1967">
              <w:rPr>
                <w:noProof/>
                <w:webHidden/>
              </w:rPr>
              <w:instrText xml:space="preserve"> PAGEREF _Toc487803870 \h </w:instrText>
            </w:r>
            <w:r w:rsidR="002F1967">
              <w:rPr>
                <w:noProof/>
                <w:webHidden/>
              </w:rPr>
            </w:r>
            <w:r w:rsidR="002F1967">
              <w:rPr>
                <w:noProof/>
                <w:webHidden/>
              </w:rPr>
              <w:fldChar w:fldCharType="separate"/>
            </w:r>
            <w:r w:rsidR="00F04DA3">
              <w:rPr>
                <w:noProof/>
                <w:webHidden/>
              </w:rPr>
              <w:t>12</w:t>
            </w:r>
            <w:r w:rsidR="002F1967">
              <w:rPr>
                <w:noProof/>
                <w:webHidden/>
              </w:rPr>
              <w:fldChar w:fldCharType="end"/>
            </w:r>
          </w:hyperlink>
        </w:p>
        <w:p w14:paraId="2C1A943B" w14:textId="77777777" w:rsidR="002F1967" w:rsidRDefault="00640200">
          <w:pPr>
            <w:pStyle w:val="TOC2"/>
            <w:rPr>
              <w:rFonts w:asciiTheme="minorHAnsi" w:eastAsiaTheme="minorEastAsia" w:hAnsiTheme="minorHAnsi"/>
              <w:noProof/>
              <w:sz w:val="22"/>
            </w:rPr>
          </w:pPr>
          <w:hyperlink w:anchor="_Toc487803871" w:history="1">
            <w:r w:rsidR="002F1967" w:rsidRPr="00091D5F">
              <w:rPr>
                <w:rStyle w:val="Hyperlink"/>
                <w:noProof/>
              </w:rPr>
              <w:t>B.</w:t>
            </w:r>
            <w:r w:rsidR="002F1967">
              <w:rPr>
                <w:rFonts w:asciiTheme="minorHAnsi" w:eastAsiaTheme="minorEastAsia" w:hAnsiTheme="minorHAnsi"/>
                <w:noProof/>
                <w:sz w:val="22"/>
              </w:rPr>
              <w:tab/>
            </w:r>
            <w:r w:rsidR="002F1967" w:rsidRPr="00091D5F">
              <w:rPr>
                <w:rStyle w:val="Hyperlink"/>
                <w:noProof/>
              </w:rPr>
              <w:t>To grant a proposed overlapping service as “different” from the service of the incumbent, the differences must be material—real and not illusory.</w:t>
            </w:r>
            <w:r w:rsidR="002F1967">
              <w:rPr>
                <w:noProof/>
                <w:webHidden/>
              </w:rPr>
              <w:tab/>
            </w:r>
            <w:r w:rsidR="002F1967">
              <w:rPr>
                <w:noProof/>
                <w:webHidden/>
              </w:rPr>
              <w:fldChar w:fldCharType="begin"/>
            </w:r>
            <w:r w:rsidR="002F1967">
              <w:rPr>
                <w:noProof/>
                <w:webHidden/>
              </w:rPr>
              <w:instrText xml:space="preserve"> PAGEREF _Toc487803871 \h </w:instrText>
            </w:r>
            <w:r w:rsidR="002F1967">
              <w:rPr>
                <w:noProof/>
                <w:webHidden/>
              </w:rPr>
            </w:r>
            <w:r w:rsidR="002F1967">
              <w:rPr>
                <w:noProof/>
                <w:webHidden/>
              </w:rPr>
              <w:fldChar w:fldCharType="separate"/>
            </w:r>
            <w:r w:rsidR="00F04DA3">
              <w:rPr>
                <w:noProof/>
                <w:webHidden/>
              </w:rPr>
              <w:t>15</w:t>
            </w:r>
            <w:r w:rsidR="002F1967">
              <w:rPr>
                <w:noProof/>
                <w:webHidden/>
              </w:rPr>
              <w:fldChar w:fldCharType="end"/>
            </w:r>
          </w:hyperlink>
        </w:p>
        <w:p w14:paraId="12B56A30" w14:textId="77777777" w:rsidR="002F1967" w:rsidRDefault="00640200">
          <w:pPr>
            <w:pStyle w:val="TOC2"/>
            <w:rPr>
              <w:rFonts w:asciiTheme="minorHAnsi" w:eastAsiaTheme="minorEastAsia" w:hAnsiTheme="minorHAnsi"/>
              <w:noProof/>
              <w:sz w:val="22"/>
            </w:rPr>
          </w:pPr>
          <w:hyperlink w:anchor="_Toc487803872" w:history="1">
            <w:r w:rsidR="002F1967" w:rsidRPr="00091D5F">
              <w:rPr>
                <w:rStyle w:val="Hyperlink"/>
                <w:noProof/>
              </w:rPr>
              <w:t>C.</w:t>
            </w:r>
            <w:r w:rsidR="002F1967">
              <w:rPr>
                <w:rFonts w:asciiTheme="minorHAnsi" w:eastAsiaTheme="minorEastAsia" w:hAnsiTheme="minorHAnsi"/>
                <w:noProof/>
                <w:sz w:val="22"/>
              </w:rPr>
              <w:tab/>
            </w:r>
            <w:r w:rsidR="002F1967" w:rsidRPr="00091D5F">
              <w:rPr>
                <w:rStyle w:val="Hyperlink"/>
                <w:noProof/>
              </w:rPr>
              <w:t>The Petition and Complaint seek to enforce, not “collaterally attack” Order 04 or WAC 480-30-140.</w:t>
            </w:r>
            <w:r w:rsidR="002F1967">
              <w:rPr>
                <w:noProof/>
                <w:webHidden/>
              </w:rPr>
              <w:tab/>
            </w:r>
            <w:r w:rsidR="002F1967">
              <w:rPr>
                <w:noProof/>
                <w:webHidden/>
              </w:rPr>
              <w:fldChar w:fldCharType="begin"/>
            </w:r>
            <w:r w:rsidR="002F1967">
              <w:rPr>
                <w:noProof/>
                <w:webHidden/>
              </w:rPr>
              <w:instrText xml:space="preserve"> PAGEREF _Toc487803872 \h </w:instrText>
            </w:r>
            <w:r w:rsidR="002F1967">
              <w:rPr>
                <w:noProof/>
                <w:webHidden/>
              </w:rPr>
            </w:r>
            <w:r w:rsidR="002F1967">
              <w:rPr>
                <w:noProof/>
                <w:webHidden/>
              </w:rPr>
              <w:fldChar w:fldCharType="separate"/>
            </w:r>
            <w:r w:rsidR="00F04DA3">
              <w:rPr>
                <w:noProof/>
                <w:webHidden/>
              </w:rPr>
              <w:t>16</w:t>
            </w:r>
            <w:r w:rsidR="002F1967">
              <w:rPr>
                <w:noProof/>
                <w:webHidden/>
              </w:rPr>
              <w:fldChar w:fldCharType="end"/>
            </w:r>
          </w:hyperlink>
        </w:p>
        <w:p w14:paraId="54B7633E" w14:textId="77777777" w:rsidR="002F1967" w:rsidRDefault="00640200">
          <w:pPr>
            <w:pStyle w:val="TOC2"/>
            <w:rPr>
              <w:rFonts w:asciiTheme="minorHAnsi" w:eastAsiaTheme="minorEastAsia" w:hAnsiTheme="minorHAnsi"/>
              <w:noProof/>
              <w:sz w:val="22"/>
            </w:rPr>
          </w:pPr>
          <w:hyperlink w:anchor="_Toc487803873" w:history="1">
            <w:r w:rsidR="002F1967" w:rsidRPr="00091D5F">
              <w:rPr>
                <w:rStyle w:val="Hyperlink"/>
                <w:noProof/>
              </w:rPr>
              <w:t>D.</w:t>
            </w:r>
            <w:r w:rsidR="002F1967">
              <w:rPr>
                <w:rFonts w:asciiTheme="minorHAnsi" w:eastAsiaTheme="minorEastAsia" w:hAnsiTheme="minorHAnsi"/>
                <w:noProof/>
                <w:sz w:val="22"/>
              </w:rPr>
              <w:tab/>
            </w:r>
            <w:r w:rsidR="002F1967" w:rsidRPr="00091D5F">
              <w:rPr>
                <w:rStyle w:val="Hyperlink"/>
                <w:noProof/>
              </w:rPr>
              <w:t>While Speedishuttle now admits it is serving the “general public,” it continues the unsupportable pretense it offers a “different” service.</w:t>
            </w:r>
            <w:r w:rsidR="002F1967">
              <w:rPr>
                <w:noProof/>
                <w:webHidden/>
              </w:rPr>
              <w:tab/>
            </w:r>
            <w:r w:rsidR="002F1967">
              <w:rPr>
                <w:noProof/>
                <w:webHidden/>
              </w:rPr>
              <w:fldChar w:fldCharType="begin"/>
            </w:r>
            <w:r w:rsidR="002F1967">
              <w:rPr>
                <w:noProof/>
                <w:webHidden/>
              </w:rPr>
              <w:instrText xml:space="preserve"> PAGEREF _Toc487803873 \h </w:instrText>
            </w:r>
            <w:r w:rsidR="002F1967">
              <w:rPr>
                <w:noProof/>
                <w:webHidden/>
              </w:rPr>
            </w:r>
            <w:r w:rsidR="002F1967">
              <w:rPr>
                <w:noProof/>
                <w:webHidden/>
              </w:rPr>
              <w:fldChar w:fldCharType="separate"/>
            </w:r>
            <w:r w:rsidR="00F04DA3">
              <w:rPr>
                <w:noProof/>
                <w:webHidden/>
              </w:rPr>
              <w:t>20</w:t>
            </w:r>
            <w:r w:rsidR="002F1967">
              <w:rPr>
                <w:noProof/>
                <w:webHidden/>
              </w:rPr>
              <w:fldChar w:fldCharType="end"/>
            </w:r>
          </w:hyperlink>
        </w:p>
        <w:p w14:paraId="1A671705" w14:textId="77777777" w:rsidR="002F1967" w:rsidRDefault="00640200">
          <w:pPr>
            <w:pStyle w:val="TOC1"/>
            <w:rPr>
              <w:rFonts w:asciiTheme="minorHAnsi" w:eastAsiaTheme="minorEastAsia" w:hAnsiTheme="minorHAnsi"/>
              <w:noProof/>
              <w:sz w:val="22"/>
            </w:rPr>
          </w:pPr>
          <w:hyperlink w:anchor="_Toc487803874" w:history="1">
            <w:r w:rsidR="002F1967" w:rsidRPr="00091D5F">
              <w:rPr>
                <w:rStyle w:val="Hyperlink"/>
                <w:noProof/>
              </w:rPr>
              <w:t>IV.</w:t>
            </w:r>
            <w:r w:rsidR="002F1967">
              <w:rPr>
                <w:rFonts w:asciiTheme="minorHAnsi" w:eastAsiaTheme="minorEastAsia" w:hAnsiTheme="minorHAnsi"/>
                <w:noProof/>
                <w:sz w:val="22"/>
              </w:rPr>
              <w:tab/>
            </w:r>
            <w:r w:rsidR="002F1967" w:rsidRPr="00091D5F">
              <w:rPr>
                <w:rStyle w:val="Hyperlink"/>
                <w:noProof/>
              </w:rPr>
              <w:t>THE COMMISSION SHOULD RESTRICT THE CERTIFICATE TO AUTHORIZE ONLY THE “DIFFERENT” SERVICE APPROVED IN ORDER 04 OR CANCEL THE CERTIFICATE.</w:t>
            </w:r>
            <w:r w:rsidR="002F1967">
              <w:rPr>
                <w:noProof/>
                <w:webHidden/>
              </w:rPr>
              <w:tab/>
            </w:r>
            <w:r w:rsidR="002F1967">
              <w:rPr>
                <w:noProof/>
                <w:webHidden/>
              </w:rPr>
              <w:fldChar w:fldCharType="begin"/>
            </w:r>
            <w:r w:rsidR="002F1967">
              <w:rPr>
                <w:noProof/>
                <w:webHidden/>
              </w:rPr>
              <w:instrText xml:space="preserve"> PAGEREF _Toc487803874 \h </w:instrText>
            </w:r>
            <w:r w:rsidR="002F1967">
              <w:rPr>
                <w:noProof/>
                <w:webHidden/>
              </w:rPr>
            </w:r>
            <w:r w:rsidR="002F1967">
              <w:rPr>
                <w:noProof/>
                <w:webHidden/>
              </w:rPr>
              <w:fldChar w:fldCharType="separate"/>
            </w:r>
            <w:r w:rsidR="00F04DA3">
              <w:rPr>
                <w:noProof/>
                <w:webHidden/>
              </w:rPr>
              <w:t>25</w:t>
            </w:r>
            <w:r w:rsidR="002F1967">
              <w:rPr>
                <w:noProof/>
                <w:webHidden/>
              </w:rPr>
              <w:fldChar w:fldCharType="end"/>
            </w:r>
          </w:hyperlink>
        </w:p>
        <w:p w14:paraId="7FEAD7F4" w14:textId="77777777" w:rsidR="002F1967" w:rsidRDefault="00640200">
          <w:pPr>
            <w:pStyle w:val="TOC1"/>
            <w:rPr>
              <w:rFonts w:asciiTheme="minorHAnsi" w:eastAsiaTheme="minorEastAsia" w:hAnsiTheme="minorHAnsi"/>
              <w:noProof/>
              <w:sz w:val="22"/>
            </w:rPr>
          </w:pPr>
          <w:hyperlink w:anchor="_Toc487803875" w:history="1">
            <w:r w:rsidR="002F1967" w:rsidRPr="00091D5F">
              <w:rPr>
                <w:rStyle w:val="Hyperlink"/>
                <w:noProof/>
              </w:rPr>
              <w:t>V.</w:t>
            </w:r>
            <w:r w:rsidR="002F1967">
              <w:rPr>
                <w:rFonts w:asciiTheme="minorHAnsi" w:eastAsiaTheme="minorEastAsia" w:hAnsiTheme="minorHAnsi"/>
                <w:noProof/>
                <w:sz w:val="22"/>
              </w:rPr>
              <w:tab/>
            </w:r>
            <w:r w:rsidR="002F1967" w:rsidRPr="00091D5F">
              <w:rPr>
                <w:rStyle w:val="Hyperlink"/>
                <w:noProof/>
              </w:rPr>
              <w:t>CONCLUSION</w:t>
            </w:r>
            <w:r w:rsidR="002F1967">
              <w:rPr>
                <w:noProof/>
                <w:webHidden/>
              </w:rPr>
              <w:tab/>
            </w:r>
            <w:r w:rsidR="002F1967">
              <w:rPr>
                <w:noProof/>
                <w:webHidden/>
              </w:rPr>
              <w:fldChar w:fldCharType="begin"/>
            </w:r>
            <w:r w:rsidR="002F1967">
              <w:rPr>
                <w:noProof/>
                <w:webHidden/>
              </w:rPr>
              <w:instrText xml:space="preserve"> PAGEREF _Toc487803875 \h </w:instrText>
            </w:r>
            <w:r w:rsidR="002F1967">
              <w:rPr>
                <w:noProof/>
                <w:webHidden/>
              </w:rPr>
            </w:r>
            <w:r w:rsidR="002F1967">
              <w:rPr>
                <w:noProof/>
                <w:webHidden/>
              </w:rPr>
              <w:fldChar w:fldCharType="separate"/>
            </w:r>
            <w:r w:rsidR="00F04DA3">
              <w:rPr>
                <w:noProof/>
                <w:webHidden/>
              </w:rPr>
              <w:t>27</w:t>
            </w:r>
            <w:r w:rsidR="002F1967">
              <w:rPr>
                <w:noProof/>
                <w:webHidden/>
              </w:rPr>
              <w:fldChar w:fldCharType="end"/>
            </w:r>
          </w:hyperlink>
        </w:p>
        <w:p w14:paraId="6F6BB43B" w14:textId="77777777" w:rsidR="00CD26E5" w:rsidRDefault="00C22F2E" w:rsidP="00E01D8A">
          <w:pPr>
            <w:spacing w:before="0" w:beforeAutospacing="0" w:after="0" w:afterAutospacing="0"/>
          </w:pPr>
          <w:r>
            <w:fldChar w:fldCharType="end"/>
          </w:r>
        </w:p>
      </w:sdtContent>
    </w:sdt>
    <w:p w14:paraId="11EE40BC" w14:textId="77777777" w:rsidR="00E22743" w:rsidRDefault="00E22743">
      <w:pPr>
        <w:spacing w:before="0" w:beforeAutospacing="0" w:after="160" w:afterAutospacing="0" w:line="259" w:lineRule="auto"/>
        <w:rPr>
          <w:szCs w:val="24"/>
        </w:rPr>
        <w:sectPr w:rsidR="00E22743" w:rsidSect="0055315E">
          <w:pgSz w:w="12240" w:h="15840"/>
          <w:pgMar w:top="1440" w:right="1440" w:bottom="1440" w:left="1440" w:header="720" w:footer="720" w:gutter="0"/>
          <w:pgNumType w:fmt="lowerRoman"/>
          <w:cols w:space="720"/>
          <w:docGrid w:linePitch="360"/>
        </w:sectPr>
      </w:pPr>
    </w:p>
    <w:p w14:paraId="7C36252A" w14:textId="77777777" w:rsidR="007207AC" w:rsidRDefault="007207AC" w:rsidP="00A22261">
      <w:pPr>
        <w:pStyle w:val="ListParagraph"/>
        <w:numPr>
          <w:ilvl w:val="0"/>
          <w:numId w:val="2"/>
        </w:numPr>
        <w:spacing w:before="240" w:beforeAutospacing="0" w:after="0" w:afterAutospacing="0"/>
        <w:ind w:left="0" w:firstLine="0"/>
        <w:jc w:val="center"/>
        <w:outlineLvl w:val="0"/>
        <w:rPr>
          <w:b/>
          <w:u w:val="single"/>
        </w:rPr>
      </w:pPr>
      <w:bookmarkStart w:id="1" w:name="_Toc487803864"/>
      <w:r w:rsidRPr="00487698">
        <w:rPr>
          <w:b/>
          <w:u w:val="single"/>
        </w:rPr>
        <w:lastRenderedPageBreak/>
        <w:t>INTRODUCTION</w:t>
      </w:r>
      <w:bookmarkEnd w:id="1"/>
    </w:p>
    <w:p w14:paraId="443CB74A" w14:textId="77777777" w:rsidR="007207AC" w:rsidRPr="00937AEF" w:rsidRDefault="007207AC" w:rsidP="007207AC">
      <w:pPr>
        <w:pStyle w:val="ListParagraph"/>
        <w:numPr>
          <w:ilvl w:val="0"/>
          <w:numId w:val="3"/>
        </w:numPr>
        <w:spacing w:before="0" w:beforeAutospacing="0" w:after="0" w:afterAutospacing="0"/>
        <w:ind w:left="0" w:hanging="720"/>
        <w:rPr>
          <w:b/>
          <w:u w:val="single"/>
        </w:rPr>
      </w:pPr>
      <w:r w:rsidRPr="00E40CB1">
        <w:t xml:space="preserve">Shuttle Express, </w:t>
      </w:r>
      <w:r w:rsidRPr="00284749">
        <w:t>Inc. (“</w:t>
      </w:r>
      <w:r w:rsidR="00A54987" w:rsidRPr="00284749">
        <w:t>S</w:t>
      </w:r>
      <w:r w:rsidR="00284749">
        <w:t>huttle Express</w:t>
      </w:r>
      <w:r w:rsidRPr="00284749">
        <w:t>”</w:t>
      </w:r>
      <w:r w:rsidR="00926906" w:rsidRPr="00284749">
        <w:t xml:space="preserve"> or “Petitioner”</w:t>
      </w:r>
      <w:r w:rsidRPr="00284749">
        <w:t xml:space="preserve">) files this </w:t>
      </w:r>
      <w:r w:rsidR="007C4FF0">
        <w:t>reply</w:t>
      </w:r>
      <w:r w:rsidRPr="00284749">
        <w:t xml:space="preserve"> brief</w:t>
      </w:r>
      <w:r w:rsidR="00926906" w:rsidRPr="00284749">
        <w:t xml:space="preserve"> </w:t>
      </w:r>
      <w:r w:rsidR="00937AEF">
        <w:t>in response to the briefs of Staff and</w:t>
      </w:r>
      <w:r w:rsidR="00926906" w:rsidRPr="00284749">
        <w:t xml:space="preserve"> Speedishuttle</w:t>
      </w:r>
      <w:r w:rsidR="00C629B8">
        <w:t xml:space="preserve"> Washington, LLC (“Speedishuttle”</w:t>
      </w:r>
      <w:r w:rsidR="00937AEF">
        <w:t xml:space="preserve"> or “Respondent”</w:t>
      </w:r>
      <w:r w:rsidR="00C629B8">
        <w:t>)</w:t>
      </w:r>
      <w:r w:rsidR="00926906" w:rsidRPr="00284749">
        <w:t xml:space="preserve"> filed on </w:t>
      </w:r>
      <w:r w:rsidR="00937AEF">
        <w:t>June 19, 2017</w:t>
      </w:r>
      <w:r w:rsidR="00926906">
        <w:t>.</w:t>
      </w:r>
      <w:r w:rsidR="00937AEF">
        <w:t xml:space="preserve">  Both Staff and Speedishuttle largely ignore the broader public policy and public interest issues that are implicated in these dockets.  Indeed, the term “public interest” cannot even be found in the Staff brief and is barely mentioned </w:t>
      </w:r>
      <w:r w:rsidR="00A40784">
        <w:t xml:space="preserve">in </w:t>
      </w:r>
      <w:r w:rsidR="00EA545E">
        <w:t>Speedishuttle’s B</w:t>
      </w:r>
      <w:r w:rsidR="00937AEF">
        <w:t>rief.  But if the Commission puts form over substance a</w:t>
      </w:r>
      <w:r w:rsidR="006203A6">
        <w:t xml:space="preserve">nd fails to finally address fundamental </w:t>
      </w:r>
      <w:r w:rsidR="00937AEF">
        <w:t>public interest issues</w:t>
      </w:r>
      <w:r w:rsidR="006203A6">
        <w:t>,</w:t>
      </w:r>
      <w:r w:rsidR="00937AEF">
        <w:t xml:space="preserve"> as Staff and Respondent urge, the public will suffer harm that may be irreparable.</w:t>
      </w:r>
    </w:p>
    <w:p w14:paraId="6850759C" w14:textId="77777777" w:rsidR="0015387D" w:rsidRPr="0015387D" w:rsidRDefault="00937AEF" w:rsidP="007207AC">
      <w:pPr>
        <w:pStyle w:val="ListParagraph"/>
        <w:numPr>
          <w:ilvl w:val="0"/>
          <w:numId w:val="3"/>
        </w:numPr>
        <w:spacing w:before="0" w:beforeAutospacing="0" w:after="0" w:afterAutospacing="0"/>
        <w:ind w:left="0" w:hanging="720"/>
        <w:rPr>
          <w:b/>
          <w:u w:val="single"/>
        </w:rPr>
      </w:pPr>
      <w:r>
        <w:t>The Commission embarked on an experiment beginning with the adoption of WAC 480-30-140</w:t>
      </w:r>
      <w:r w:rsidR="00271FC5">
        <w:fldChar w:fldCharType="begin"/>
      </w:r>
      <w:r w:rsidR="00271FC5">
        <w:instrText xml:space="preserve"> TA \l "</w:instrText>
      </w:r>
      <w:r w:rsidR="00271FC5" w:rsidRPr="009D4429">
        <w:instrText>WAC 480-30-140</w:instrText>
      </w:r>
      <w:r w:rsidR="00271FC5">
        <w:instrText xml:space="preserve">" \s "WAC 480-30-140" \c </w:instrText>
      </w:r>
      <w:r w:rsidR="00FE3243">
        <w:instrText>5</w:instrText>
      </w:r>
      <w:r w:rsidR="00271FC5">
        <w:instrText xml:space="preserve"> </w:instrText>
      </w:r>
      <w:r w:rsidR="00271FC5">
        <w:fldChar w:fldCharType="end"/>
      </w:r>
      <w:r>
        <w:t xml:space="preserve"> and culminating with the grant of a nearly identical certificate to</w:t>
      </w:r>
      <w:r w:rsidR="00962820">
        <w:t xml:space="preserve"> Speedishuttle </w:t>
      </w:r>
      <w:r w:rsidR="0015387D">
        <w:t>as was already held and served by</w:t>
      </w:r>
      <w:r w:rsidR="00962820">
        <w:t xml:space="preserve"> Shuttle Express </w:t>
      </w:r>
      <w:r w:rsidR="0015387D">
        <w:t xml:space="preserve">in 2015.  The premise of the rule and the order was the same; </w:t>
      </w:r>
      <w:r w:rsidR="0015387D" w:rsidRPr="0015387D">
        <w:rPr>
          <w:i/>
        </w:rPr>
        <w:t>i.e.,</w:t>
      </w:r>
      <w:r w:rsidR="0015387D">
        <w:t xml:space="preserve"> that</w:t>
      </w:r>
      <w:r w:rsidR="00962820">
        <w:t xml:space="preserve"> Speedishuttle </w:t>
      </w:r>
      <w:r w:rsidR="0015387D">
        <w:t xml:space="preserve">would be allowed to offer a service that was not the “same” as that offered by </w:t>
      </w:r>
      <w:r w:rsidR="00656230">
        <w:t>Shuttle Express</w:t>
      </w:r>
      <w:r w:rsidR="0015387D">
        <w:t>, thereby “serving the unserved” and growing the overall auto transportation market without materially harming the existing service.  In reality,</w:t>
      </w:r>
      <w:r w:rsidR="00962820">
        <w:t xml:space="preserve"> Speedishuttle </w:t>
      </w:r>
      <w:r w:rsidR="0015387D">
        <w:t>has made a mockery of the “</w:t>
      </w:r>
      <w:r w:rsidR="006203A6">
        <w:t>different” serv</w:t>
      </w:r>
      <w:r w:rsidR="006749B0">
        <w:t>ice premise.  Instead—as it now admits—</w:t>
      </w:r>
      <w:r w:rsidR="0015387D">
        <w:t xml:space="preserve">it </w:t>
      </w:r>
      <w:r w:rsidR="00E8750A">
        <w:t>offers</w:t>
      </w:r>
      <w:r w:rsidR="0015387D">
        <w:t xml:space="preserve"> the same service, to the same passengers</w:t>
      </w:r>
      <w:r w:rsidR="00E8750A">
        <w:t xml:space="preserve">.  It has </w:t>
      </w:r>
      <w:r w:rsidR="006203A6">
        <w:t xml:space="preserve">thereby </w:t>
      </w:r>
      <w:r w:rsidR="0015387D">
        <w:t xml:space="preserve">threatened the sustainability of the airport share ride service model altogether.  </w:t>
      </w:r>
    </w:p>
    <w:p w14:paraId="71BCD8CE" w14:textId="77777777" w:rsidR="006203A6" w:rsidRPr="006203A6" w:rsidRDefault="006203A6" w:rsidP="0043633F">
      <w:pPr>
        <w:pStyle w:val="ListParagraph"/>
        <w:numPr>
          <w:ilvl w:val="0"/>
          <w:numId w:val="3"/>
        </w:numPr>
        <w:spacing w:before="0" w:beforeAutospacing="0" w:after="0" w:afterAutospacing="0"/>
        <w:ind w:left="0" w:hanging="720"/>
        <w:rPr>
          <w:b/>
          <w:u w:val="single"/>
        </w:rPr>
      </w:pPr>
      <w:r>
        <w:t>In its initial brief</w:t>
      </w:r>
      <w:r w:rsidR="00962820">
        <w:t xml:space="preserve"> Speedishuttle </w:t>
      </w:r>
      <w:r w:rsidR="0015387D">
        <w:t>proffers a model that—in hindsight—is clearly a distinction without a difference.  Such a model cannot succeed in the Sea-Tac market, as Mr. Wood explained in detailed economic and policy terms.</w:t>
      </w:r>
      <w:r w:rsidR="00E8750A">
        <w:rPr>
          <w:rStyle w:val="FootnoteReference"/>
        </w:rPr>
        <w:footnoteReference w:id="1"/>
      </w:r>
      <w:r w:rsidR="0015387D">
        <w:t xml:space="preserve">  Moreover, if </w:t>
      </w:r>
      <w:r>
        <w:t xml:space="preserve">a </w:t>
      </w:r>
      <w:r w:rsidR="0015387D">
        <w:t xml:space="preserve">distinction without a difference is allowed to continue, the Commission will have </w:t>
      </w:r>
      <w:r>
        <w:t xml:space="preserve">inadvertently </w:t>
      </w:r>
      <w:r w:rsidR="0015387D">
        <w:t>permitted</w:t>
      </w:r>
      <w:r w:rsidR="00962820">
        <w:t xml:space="preserve"> Speedishuttle </w:t>
      </w:r>
      <w:r w:rsidR="0015387D">
        <w:t xml:space="preserve">to </w:t>
      </w:r>
      <w:r w:rsidR="0015387D">
        <w:lastRenderedPageBreak/>
        <w:t>violate RCW 81.68.040</w:t>
      </w:r>
      <w:r w:rsidR="00271FC5">
        <w:fldChar w:fldCharType="begin"/>
      </w:r>
      <w:r w:rsidR="00271FC5">
        <w:instrText xml:space="preserve"> TA \l "</w:instrText>
      </w:r>
      <w:r w:rsidR="00271FC5" w:rsidRPr="0037363E">
        <w:instrText>RCW 81.68.040</w:instrText>
      </w:r>
      <w:r w:rsidR="00271FC5">
        <w:instrText xml:space="preserve">" \s "RCW 81.68.040" \c 4 </w:instrText>
      </w:r>
      <w:r w:rsidR="00271FC5">
        <w:fldChar w:fldCharType="end"/>
      </w:r>
      <w:r w:rsidR="00271FC5">
        <w:fldChar w:fldCharType="begin"/>
      </w:r>
      <w:r w:rsidR="00271FC5">
        <w:instrText xml:space="preserve"> TA \s "RCW 81.68.040" </w:instrText>
      </w:r>
      <w:r w:rsidR="00271FC5">
        <w:fldChar w:fldCharType="end"/>
      </w:r>
      <w:r w:rsidR="0015387D">
        <w:t xml:space="preserve">.  The service differences that enabled the Commission </w:t>
      </w:r>
      <w:r w:rsidR="002B45E4">
        <w:t xml:space="preserve">lawfully </w:t>
      </w:r>
      <w:r w:rsidR="0015387D">
        <w:t xml:space="preserve">to grant </w:t>
      </w:r>
      <w:r w:rsidR="002B45E4">
        <w:t>“</w:t>
      </w:r>
      <w:r w:rsidR="0015387D" w:rsidRPr="0015387D">
        <w:t>a certificate to operate in a territory already served by a certificate holder</w:t>
      </w:r>
      <w:r w:rsidR="002B45E4">
        <w:t>” must be real to comply with the statute.  The evidence shows they are not.</w:t>
      </w:r>
      <w:r>
        <w:t xml:space="preserve">  </w:t>
      </w:r>
      <w:r w:rsidR="00CE7A7B">
        <w:t xml:space="preserve">Indeed, faced with overwhelming evidence, </w:t>
      </w:r>
      <w:r w:rsidR="00A40784">
        <w:t>Speedishuttle</w:t>
      </w:r>
      <w:r w:rsidR="00CE7A7B">
        <w:t xml:space="preserve"> now admits that it is serving “the </w:t>
      </w:r>
      <w:r w:rsidR="005D5EA6">
        <w:t>general public”</w:t>
      </w:r>
      <w:r w:rsidR="005D5EA6">
        <w:rPr>
          <w:rStyle w:val="FootnoteReference"/>
        </w:rPr>
        <w:footnoteReference w:id="2"/>
      </w:r>
      <w:r w:rsidR="005D5EA6">
        <w:t>—rather than the “niche” it proposed</w:t>
      </w:r>
      <w:r w:rsidR="005D5EA6">
        <w:rPr>
          <w:rStyle w:val="FootnoteReference"/>
        </w:rPr>
        <w:footnoteReference w:id="3"/>
      </w:r>
      <w:r w:rsidR="005D5EA6">
        <w:t>—and even asserts that the Commission “must have understood” that that was the plan all along.</w:t>
      </w:r>
      <w:r w:rsidR="005D5EA6">
        <w:rPr>
          <w:rStyle w:val="FootnoteReference"/>
        </w:rPr>
        <w:footnoteReference w:id="4"/>
      </w:r>
    </w:p>
    <w:p w14:paraId="75496C13" w14:textId="77777777" w:rsidR="00937AEF" w:rsidRPr="002B45E4" w:rsidRDefault="003601DC" w:rsidP="0043633F">
      <w:pPr>
        <w:pStyle w:val="ListParagraph"/>
        <w:numPr>
          <w:ilvl w:val="0"/>
          <w:numId w:val="3"/>
        </w:numPr>
        <w:spacing w:before="0" w:beforeAutospacing="0" w:after="0" w:afterAutospacing="0"/>
        <w:ind w:left="0" w:hanging="720"/>
        <w:rPr>
          <w:b/>
          <w:u w:val="single"/>
        </w:rPr>
      </w:pPr>
      <w:r>
        <w:t xml:space="preserve">The </w:t>
      </w:r>
      <w:r w:rsidR="00A40784">
        <w:t>Speedishuttle</w:t>
      </w:r>
      <w:r>
        <w:t xml:space="preserve"> admissions are startling, because the entire premise of the Commission’s grant of overlapping authority as articulated in numerous orders was that the new service would be different and thereby serve passengers that </w:t>
      </w:r>
      <w:r w:rsidR="00A40784">
        <w:t>Shuttle Express</w:t>
      </w:r>
      <w:r>
        <w:t xml:space="preserve"> was not serving.  To correct the unintended consequence that</w:t>
      </w:r>
      <w:r w:rsidR="00A40784">
        <w:t xml:space="preserve"> Speedishuttle </w:t>
      </w:r>
      <w:r>
        <w:t xml:space="preserve">is now admittedly serving the general public, which was not “considered, anticipated, or contemplated” </w:t>
      </w:r>
      <w:r w:rsidR="00D712F1">
        <w:t>by the Commission,</w:t>
      </w:r>
      <w:r w:rsidR="00A40784">
        <w:t xml:space="preserve"> Shuttle Express </w:t>
      </w:r>
      <w:r w:rsidR="00D712F1">
        <w:t>seeks the</w:t>
      </w:r>
      <w:r w:rsidR="006203A6">
        <w:t xml:space="preserve"> addition of three simple conditions to</w:t>
      </w:r>
      <w:r w:rsidR="00962820">
        <w:t xml:space="preserve"> Speedishuttle’s </w:t>
      </w:r>
      <w:r w:rsidR="00D712F1">
        <w:t>authority.  The</w:t>
      </w:r>
      <w:r w:rsidR="00EF5B53">
        <w:t>y</w:t>
      </w:r>
      <w:r w:rsidR="00D712F1">
        <w:t xml:space="preserve"> will help to</w:t>
      </w:r>
      <w:r w:rsidR="006203A6">
        <w:t xml:space="preserve"> ensure that the public service laws have real meaning and that the Commission’s </w:t>
      </w:r>
      <w:r w:rsidR="00D712F1">
        <w:t xml:space="preserve">2015 </w:t>
      </w:r>
      <w:r w:rsidR="006203A6">
        <w:t>approval of a “different” service becomes real, not illusory.  The proposed conditions are nothing more than what</w:t>
      </w:r>
      <w:r w:rsidR="00962820">
        <w:t xml:space="preserve"> Speedishuttle </w:t>
      </w:r>
      <w:r w:rsidR="006203A6">
        <w:t>promised and what the Commission expected based on those promises.  And</w:t>
      </w:r>
      <w:r w:rsidR="00D712F1">
        <w:t>,</w:t>
      </w:r>
      <w:r w:rsidR="006203A6">
        <w:t xml:space="preserve"> most importantly, they will </w:t>
      </w:r>
      <w:r w:rsidR="00AD1083">
        <w:t xml:space="preserve">better </w:t>
      </w:r>
      <w:r w:rsidR="006203A6">
        <w:t>serve the public interest.</w:t>
      </w:r>
    </w:p>
    <w:p w14:paraId="1CC4134F" w14:textId="77777777" w:rsidR="00DA6C61" w:rsidRDefault="002B45E4" w:rsidP="00BB0F72">
      <w:pPr>
        <w:pStyle w:val="ListParagraph"/>
        <w:keepNext/>
        <w:numPr>
          <w:ilvl w:val="0"/>
          <w:numId w:val="2"/>
        </w:numPr>
        <w:spacing w:before="0" w:beforeAutospacing="0" w:after="0" w:afterAutospacing="0" w:line="240" w:lineRule="auto"/>
        <w:ind w:left="0" w:firstLine="0"/>
        <w:jc w:val="center"/>
        <w:outlineLvl w:val="0"/>
        <w:rPr>
          <w:b/>
          <w:u w:val="single"/>
        </w:rPr>
      </w:pPr>
      <w:bookmarkStart w:id="3" w:name="_Toc487803865"/>
      <w:r>
        <w:rPr>
          <w:b/>
          <w:u w:val="single"/>
        </w:rPr>
        <w:lastRenderedPageBreak/>
        <w:t>SPEEDISHUTTLE</w:t>
      </w:r>
      <w:r w:rsidR="00BB0F72">
        <w:rPr>
          <w:b/>
          <w:u w:val="single"/>
        </w:rPr>
        <w:t>’</w:t>
      </w:r>
      <w:r w:rsidR="00656230">
        <w:rPr>
          <w:b/>
          <w:u w:val="single"/>
        </w:rPr>
        <w:t>S</w:t>
      </w:r>
      <w:r w:rsidR="00BB0F72">
        <w:rPr>
          <w:b/>
          <w:u w:val="single"/>
        </w:rPr>
        <w:t xml:space="preserve"> COMPLAINT AND STAFF’</w:t>
      </w:r>
      <w:r w:rsidR="00656230">
        <w:rPr>
          <w:b/>
          <w:u w:val="single"/>
        </w:rPr>
        <w:t>S</w:t>
      </w:r>
      <w:r>
        <w:rPr>
          <w:b/>
          <w:u w:val="single"/>
        </w:rPr>
        <w:t xml:space="preserve"> FINES</w:t>
      </w:r>
      <w:r w:rsidR="00BB0F72">
        <w:rPr>
          <w:b/>
          <w:u w:val="single"/>
        </w:rPr>
        <w:t xml:space="preserve"> ARE UNSUPPORTABLE.</w:t>
      </w:r>
      <w:bookmarkEnd w:id="3"/>
    </w:p>
    <w:p w14:paraId="292581A9" w14:textId="77777777" w:rsidR="00A918D0" w:rsidRDefault="00A918D0" w:rsidP="00A918D0">
      <w:pPr>
        <w:pStyle w:val="ListParagraph"/>
        <w:keepNext/>
        <w:spacing w:before="0" w:beforeAutospacing="0" w:after="0" w:afterAutospacing="0" w:line="240" w:lineRule="auto"/>
        <w:ind w:left="0"/>
        <w:rPr>
          <w:b/>
          <w:u w:val="single"/>
        </w:rPr>
      </w:pPr>
    </w:p>
    <w:p w14:paraId="1EEC0092" w14:textId="77777777" w:rsidR="00F02001" w:rsidRPr="00A918D0" w:rsidRDefault="00A918D0" w:rsidP="00A918D0">
      <w:pPr>
        <w:pStyle w:val="ListParagraph"/>
        <w:numPr>
          <w:ilvl w:val="0"/>
          <w:numId w:val="3"/>
        </w:numPr>
        <w:spacing w:before="240" w:beforeAutospacing="0" w:after="0" w:afterAutospacing="0"/>
        <w:ind w:left="0" w:hanging="720"/>
      </w:pPr>
      <w:r w:rsidRPr="00A918D0">
        <w:t>First, as a threshold matter, Shuttle Express will address the Speedishuttle complaint, which Staff relies on in part to seek massive fines against Shuttle Express.  None of the complaint has any merit.  Not only are fines inappropriate and unconstitutional, the actions complained of are fully lawful and should have no bearing on the Shuttle Express Petition and Complaint.</w:t>
      </w:r>
    </w:p>
    <w:p w14:paraId="5EDEA226" w14:textId="77777777" w:rsidR="00BB0F72" w:rsidRPr="00DA6C61" w:rsidRDefault="00BB0F72" w:rsidP="00962820">
      <w:pPr>
        <w:pStyle w:val="ListParagraph"/>
        <w:keepNext/>
        <w:spacing w:before="0" w:beforeAutospacing="0" w:after="0" w:afterAutospacing="0" w:line="240" w:lineRule="auto"/>
        <w:ind w:left="0"/>
        <w:rPr>
          <w:b/>
          <w:u w:val="single"/>
        </w:rPr>
      </w:pPr>
    </w:p>
    <w:p w14:paraId="1DFF8617" w14:textId="77777777" w:rsidR="00201081" w:rsidRDefault="00476060" w:rsidP="00201081">
      <w:pPr>
        <w:pStyle w:val="ListParagraph"/>
        <w:keepNext/>
        <w:numPr>
          <w:ilvl w:val="0"/>
          <w:numId w:val="30"/>
        </w:numPr>
        <w:spacing w:before="0" w:beforeAutospacing="0" w:after="240" w:afterAutospacing="0" w:line="240" w:lineRule="auto"/>
        <w:ind w:left="720"/>
        <w:contextualSpacing w:val="0"/>
        <w:outlineLvl w:val="1"/>
        <w:rPr>
          <w:b/>
          <w:u w:val="single"/>
        </w:rPr>
      </w:pPr>
      <w:bookmarkStart w:id="4" w:name="_Toc487803866"/>
      <w:r>
        <w:rPr>
          <w:b/>
          <w:u w:val="single"/>
        </w:rPr>
        <w:t>The</w:t>
      </w:r>
      <w:r w:rsidR="00962820">
        <w:rPr>
          <w:b/>
          <w:u w:val="single"/>
        </w:rPr>
        <w:t xml:space="preserve"> Speedishuttle </w:t>
      </w:r>
      <w:r>
        <w:rPr>
          <w:b/>
          <w:u w:val="single"/>
        </w:rPr>
        <w:t>complaint and S</w:t>
      </w:r>
      <w:r w:rsidR="00201081">
        <w:rPr>
          <w:b/>
          <w:u w:val="single"/>
        </w:rPr>
        <w:t>taff recommended fines ignore the DOL’s</w:t>
      </w:r>
      <w:r w:rsidR="00C67445">
        <w:rPr>
          <w:rStyle w:val="FootnoteReference"/>
          <w:b/>
          <w:u w:val="single"/>
        </w:rPr>
        <w:footnoteReference w:id="5"/>
      </w:r>
      <w:r w:rsidR="00201081">
        <w:rPr>
          <w:b/>
          <w:u w:val="single"/>
        </w:rPr>
        <w:t xml:space="preserve"> exclusive jurisdiction over limousines.</w:t>
      </w:r>
      <w:bookmarkEnd w:id="4"/>
    </w:p>
    <w:p w14:paraId="059A4716" w14:textId="77777777" w:rsidR="0062618E" w:rsidRPr="0062618E" w:rsidRDefault="0064111A" w:rsidP="0043633F">
      <w:pPr>
        <w:pStyle w:val="ListParagraph"/>
        <w:numPr>
          <w:ilvl w:val="0"/>
          <w:numId w:val="3"/>
        </w:numPr>
        <w:spacing w:before="0" w:beforeAutospacing="0" w:after="0" w:afterAutospacing="0"/>
        <w:ind w:left="0" w:hanging="720"/>
      </w:pPr>
      <w:r>
        <w:t xml:space="preserve">The Staff’s case and brief </w:t>
      </w:r>
      <w:r w:rsidR="00476060">
        <w:t xml:space="preserve">fails to consider, let alone discuss, </w:t>
      </w:r>
      <w:r>
        <w:t xml:space="preserve">the 1996 </w:t>
      </w:r>
      <w:r w:rsidR="004E1549">
        <w:t>act that completely divested the Commission of jurisdiction over the operations of limousine</w:t>
      </w:r>
      <w:r w:rsidR="006203A6">
        <w:t xml:space="preserve"> carrier</w:t>
      </w:r>
      <w:r w:rsidR="004E1549">
        <w:t>s.</w:t>
      </w:r>
      <w:r w:rsidR="00D31925">
        <w:rPr>
          <w:rStyle w:val="FootnoteReference"/>
        </w:rPr>
        <w:footnoteReference w:id="6"/>
      </w:r>
      <w:r w:rsidR="00BB0F72">
        <w:t xml:space="preserve">  The law</w:t>
      </w:r>
      <w:r w:rsidR="004E1549">
        <w:t xml:space="preserve"> could</w:t>
      </w:r>
      <w:r w:rsidR="00BB0F72">
        <w:t xml:space="preserve"> not</w:t>
      </w:r>
      <w:r w:rsidR="004E1549">
        <w:t xml:space="preserve"> have been more clear:  “</w:t>
      </w:r>
      <w:r w:rsidR="004E1549" w:rsidRPr="00201081">
        <w:rPr>
          <w:b/>
          <w:u w:val="single"/>
        </w:rPr>
        <w:t>All</w:t>
      </w:r>
      <w:r w:rsidR="004E1549" w:rsidRPr="00201081">
        <w:rPr>
          <w:u w:val="single"/>
        </w:rPr>
        <w:t xml:space="preserve"> powers, duties, and functions of the utilities and transportation commission</w:t>
      </w:r>
      <w:r w:rsidR="004E1549">
        <w:t xml:space="preserve"> pertaining to the regulation of limousines and limousine charter party carriers are </w:t>
      </w:r>
      <w:r w:rsidR="004E1549" w:rsidRPr="00BB0F72">
        <w:rPr>
          <w:u w:val="single"/>
        </w:rPr>
        <w:t>transferred to the department of licensing</w:t>
      </w:r>
      <w:r w:rsidR="004E1549">
        <w:t>.”</w:t>
      </w:r>
      <w:r w:rsidR="0043633F">
        <w:t xml:space="preserve">  </w:t>
      </w:r>
      <w:r w:rsidR="00C67445" w:rsidRPr="00702015">
        <w:rPr>
          <w:rFonts w:cs="Times New Roman"/>
          <w:szCs w:val="24"/>
        </w:rPr>
        <w:t>Washington Laws, 1996, Ch. 87, § 22</w:t>
      </w:r>
      <w:r w:rsidR="00271FC5">
        <w:rPr>
          <w:rFonts w:cs="Times New Roman"/>
          <w:szCs w:val="24"/>
        </w:rPr>
        <w:fldChar w:fldCharType="begin"/>
      </w:r>
      <w:r w:rsidR="00271FC5">
        <w:instrText xml:space="preserve"> TA \l "</w:instrText>
      </w:r>
      <w:r w:rsidR="00271FC5" w:rsidRPr="00A14946">
        <w:rPr>
          <w:rFonts w:cs="Times New Roman"/>
          <w:szCs w:val="24"/>
        </w:rPr>
        <w:instrText>Washington Laws, 1996, Ch. 87, § 22</w:instrText>
      </w:r>
      <w:r w:rsidR="00271FC5">
        <w:instrText xml:space="preserve">" \s "Washington Laws, 1996, Ch. 87, § 22" \c 4 </w:instrText>
      </w:r>
      <w:r w:rsidR="00271FC5">
        <w:rPr>
          <w:rFonts w:cs="Times New Roman"/>
          <w:szCs w:val="24"/>
        </w:rPr>
        <w:fldChar w:fldCharType="end"/>
      </w:r>
      <w:r w:rsidR="00C67445">
        <w:rPr>
          <w:rFonts w:cs="Times New Roman"/>
          <w:szCs w:val="24"/>
        </w:rPr>
        <w:t xml:space="preserve"> (emphasis added)</w:t>
      </w:r>
      <w:r w:rsidR="00C67445" w:rsidRPr="00702015">
        <w:rPr>
          <w:rFonts w:cs="Times New Roman"/>
          <w:szCs w:val="24"/>
        </w:rPr>
        <w:t xml:space="preserve">.  </w:t>
      </w:r>
      <w:r w:rsidR="0043633F">
        <w:t xml:space="preserve">If the operation at issue is limousine, it is under the jurisdiction of the DOL, not the UTC.  </w:t>
      </w:r>
      <w:r w:rsidR="0043633F">
        <w:rPr>
          <w:rFonts w:cs="Times New Roman"/>
          <w:szCs w:val="24"/>
        </w:rPr>
        <w:t>For the reasons discussed</w:t>
      </w:r>
      <w:r w:rsidR="00116CF4">
        <w:rPr>
          <w:rFonts w:cs="Times New Roman"/>
          <w:szCs w:val="24"/>
        </w:rPr>
        <w:t xml:space="preserve"> </w:t>
      </w:r>
      <w:r w:rsidR="0043633F">
        <w:rPr>
          <w:rFonts w:cs="Times New Roman"/>
          <w:szCs w:val="24"/>
        </w:rPr>
        <w:t>in the</w:t>
      </w:r>
      <w:r w:rsidR="00962820">
        <w:rPr>
          <w:rFonts w:cs="Times New Roman"/>
          <w:szCs w:val="24"/>
        </w:rPr>
        <w:t xml:space="preserve"> Shuttle Express </w:t>
      </w:r>
      <w:r w:rsidR="0043633F">
        <w:rPr>
          <w:rFonts w:cs="Times New Roman"/>
          <w:szCs w:val="24"/>
        </w:rPr>
        <w:t>initial brief, the transportation of single persons or parties, by licensed limousine operators, in licensed limousines, is unquest</w:t>
      </w:r>
      <w:r w:rsidR="00C67445">
        <w:rPr>
          <w:rFonts w:cs="Times New Roman"/>
          <w:szCs w:val="24"/>
        </w:rPr>
        <w:t>ionably a limousine operation.</w:t>
      </w:r>
      <w:r w:rsidR="00AD1083">
        <w:rPr>
          <w:rStyle w:val="FootnoteReference"/>
          <w:rFonts w:cs="Times New Roman"/>
          <w:szCs w:val="24"/>
        </w:rPr>
        <w:footnoteReference w:id="7"/>
      </w:r>
      <w:r w:rsidR="00C67445">
        <w:rPr>
          <w:rFonts w:cs="Times New Roman"/>
          <w:szCs w:val="24"/>
        </w:rPr>
        <w:t xml:space="preserve">  </w:t>
      </w:r>
    </w:p>
    <w:p w14:paraId="7E1C3906" w14:textId="77777777" w:rsidR="0043633F" w:rsidRPr="0043633F" w:rsidRDefault="00C67445" w:rsidP="0043633F">
      <w:pPr>
        <w:pStyle w:val="ListParagraph"/>
        <w:numPr>
          <w:ilvl w:val="0"/>
          <w:numId w:val="3"/>
        </w:numPr>
        <w:spacing w:before="0" w:beforeAutospacing="0" w:after="0" w:afterAutospacing="0"/>
        <w:ind w:left="0" w:hanging="720"/>
      </w:pPr>
      <w:r>
        <w:rPr>
          <w:rFonts w:cs="Times New Roman"/>
          <w:szCs w:val="24"/>
        </w:rPr>
        <w:t>The DOL’s jurisdiction does not depend on the fic</w:t>
      </w:r>
      <w:r w:rsidR="0062618E">
        <w:rPr>
          <w:rFonts w:cs="Times New Roman"/>
          <w:szCs w:val="24"/>
        </w:rPr>
        <w:t>tional constructs the Staff and</w:t>
      </w:r>
      <w:r w:rsidR="00962820">
        <w:rPr>
          <w:rFonts w:cs="Times New Roman"/>
          <w:szCs w:val="24"/>
        </w:rPr>
        <w:t xml:space="preserve"> Speedishuttle </w:t>
      </w:r>
      <w:r w:rsidR="0062618E">
        <w:rPr>
          <w:rFonts w:cs="Times New Roman"/>
          <w:szCs w:val="24"/>
        </w:rPr>
        <w:t xml:space="preserve">attempt </w:t>
      </w:r>
      <w:r w:rsidR="00656230">
        <w:rPr>
          <w:rFonts w:cs="Times New Roman"/>
          <w:szCs w:val="24"/>
        </w:rPr>
        <w:t xml:space="preserve">to </w:t>
      </w:r>
      <w:r w:rsidR="0062618E">
        <w:rPr>
          <w:rFonts w:cs="Times New Roman"/>
          <w:szCs w:val="24"/>
        </w:rPr>
        <w:t>create out of whole cloth.</w:t>
      </w:r>
      <w:r>
        <w:rPr>
          <w:rFonts w:cs="Times New Roman"/>
          <w:szCs w:val="24"/>
        </w:rPr>
        <w:t xml:space="preserve"> </w:t>
      </w:r>
      <w:r w:rsidR="0062618E">
        <w:rPr>
          <w:rFonts w:cs="Times New Roman"/>
          <w:szCs w:val="24"/>
        </w:rPr>
        <w:t xml:space="preserve"> </w:t>
      </w:r>
      <w:r>
        <w:rPr>
          <w:rFonts w:cs="Times New Roman"/>
          <w:szCs w:val="24"/>
        </w:rPr>
        <w:t xml:space="preserve">Shuttle Express has offered and arranged limousine </w:t>
      </w:r>
      <w:r>
        <w:rPr>
          <w:rFonts w:cs="Times New Roman"/>
          <w:szCs w:val="24"/>
        </w:rPr>
        <w:lastRenderedPageBreak/>
        <w:t>transportation regulated by the DOL for years.</w:t>
      </w:r>
      <w:r w:rsidR="0062618E">
        <w:rPr>
          <w:rFonts w:cs="Times New Roman"/>
          <w:szCs w:val="24"/>
        </w:rPr>
        <w:t xml:space="preserve"> </w:t>
      </w:r>
      <w:r w:rsidR="00962820">
        <w:rPr>
          <w:rFonts w:cs="Times New Roman"/>
          <w:szCs w:val="24"/>
        </w:rPr>
        <w:t xml:space="preserve"> Speedishuttle </w:t>
      </w:r>
      <w:r w:rsidR="0062618E">
        <w:rPr>
          <w:rFonts w:cs="Times New Roman"/>
          <w:szCs w:val="24"/>
        </w:rPr>
        <w:t xml:space="preserve">and Staff cite no law or regulation </w:t>
      </w:r>
      <w:r w:rsidR="00476060">
        <w:rPr>
          <w:rFonts w:cs="Times New Roman"/>
          <w:szCs w:val="24"/>
        </w:rPr>
        <w:t xml:space="preserve">that </w:t>
      </w:r>
      <w:r w:rsidR="0062618E">
        <w:rPr>
          <w:rFonts w:cs="Times New Roman"/>
          <w:szCs w:val="24"/>
        </w:rPr>
        <w:t>prohibits</w:t>
      </w:r>
      <w:r w:rsidR="00962820">
        <w:rPr>
          <w:rFonts w:cs="Times New Roman"/>
          <w:szCs w:val="24"/>
        </w:rPr>
        <w:t xml:space="preserve"> Shuttle Express </w:t>
      </w:r>
      <w:r w:rsidR="0062618E">
        <w:rPr>
          <w:rFonts w:cs="Times New Roman"/>
          <w:szCs w:val="24"/>
        </w:rPr>
        <w:t>from making an offer of limousine service to a person who originally requested auto transportation service.</w:t>
      </w:r>
      <w:r w:rsidR="0062618E">
        <w:rPr>
          <w:rStyle w:val="FootnoteReference"/>
          <w:rFonts w:cs="Times New Roman"/>
          <w:szCs w:val="24"/>
        </w:rPr>
        <w:footnoteReference w:id="8"/>
      </w:r>
      <w:r w:rsidR="0062618E">
        <w:rPr>
          <w:rFonts w:cs="Times New Roman"/>
          <w:szCs w:val="24"/>
        </w:rPr>
        <w:t xml:space="preserve">  </w:t>
      </w:r>
      <w:r w:rsidR="00A85375">
        <w:rPr>
          <w:rFonts w:cs="Times New Roman"/>
          <w:szCs w:val="24"/>
        </w:rPr>
        <w:t xml:space="preserve">Nor </w:t>
      </w:r>
      <w:r w:rsidR="0062618E">
        <w:rPr>
          <w:rFonts w:cs="Times New Roman"/>
          <w:szCs w:val="24"/>
        </w:rPr>
        <w:t xml:space="preserve">does any law or regulation create artificial barriers or “hoops” the passenger must jump through to accept a form of service that falls under the jurisdiction of the DOL instead of the UTC.  To attempt </w:t>
      </w:r>
      <w:r w:rsidR="00656230">
        <w:rPr>
          <w:rFonts w:cs="Times New Roman"/>
          <w:szCs w:val="24"/>
        </w:rPr>
        <w:t xml:space="preserve">to </w:t>
      </w:r>
      <w:r w:rsidR="0062618E">
        <w:rPr>
          <w:rFonts w:cs="Times New Roman"/>
          <w:szCs w:val="24"/>
        </w:rPr>
        <w:t>impose massive and destructive fines based on unwritten and heretofore secret technical rules would be a gross deprivation of due process.</w:t>
      </w:r>
    </w:p>
    <w:p w14:paraId="62869962" w14:textId="77777777" w:rsidR="0092504D" w:rsidRDefault="0043633F" w:rsidP="0043633F">
      <w:pPr>
        <w:pStyle w:val="ListParagraph"/>
        <w:numPr>
          <w:ilvl w:val="0"/>
          <w:numId w:val="3"/>
        </w:numPr>
        <w:spacing w:before="0" w:beforeAutospacing="0" w:after="0" w:afterAutospacing="0"/>
        <w:ind w:left="0" w:hanging="720"/>
      </w:pPr>
      <w:r>
        <w:rPr>
          <w:rFonts w:cs="Times New Roman"/>
          <w:szCs w:val="24"/>
        </w:rPr>
        <w:t xml:space="preserve">The Commission cannot claw back jurisdiction that the legislature has taken away simply because an entity it regulates referred passengers who are then transported by a </w:t>
      </w:r>
      <w:r w:rsidR="00116CF4">
        <w:rPr>
          <w:rFonts w:cs="Times New Roman"/>
          <w:szCs w:val="24"/>
        </w:rPr>
        <w:t>limousine</w:t>
      </w:r>
      <w:r>
        <w:rPr>
          <w:rFonts w:cs="Times New Roman"/>
          <w:szCs w:val="24"/>
        </w:rPr>
        <w:t xml:space="preserve"> operator</w:t>
      </w:r>
      <w:r w:rsidR="00201081">
        <w:rPr>
          <w:rFonts w:cs="Times New Roman"/>
          <w:szCs w:val="24"/>
        </w:rPr>
        <w:t>, as this Commission has recognized</w:t>
      </w:r>
      <w:r>
        <w:rPr>
          <w:rFonts w:cs="Times New Roman"/>
          <w:szCs w:val="24"/>
        </w:rPr>
        <w:t>.</w:t>
      </w:r>
      <w:r w:rsidR="00201081">
        <w:rPr>
          <w:rStyle w:val="FootnoteReference"/>
          <w:rFonts w:cs="Times New Roman"/>
          <w:szCs w:val="24"/>
        </w:rPr>
        <w:footnoteReference w:id="9"/>
      </w:r>
      <w:r>
        <w:rPr>
          <w:rFonts w:cs="Times New Roman"/>
          <w:szCs w:val="24"/>
        </w:rPr>
        <w:t xml:space="preserve">  Nothing in the limousine statutes makes any exception for the DOL’s exclusive jurisdiction based on </w:t>
      </w:r>
      <w:r w:rsidR="00116CF4">
        <w:rPr>
          <w:rFonts w:cs="Times New Roman"/>
          <w:szCs w:val="24"/>
        </w:rPr>
        <w:t xml:space="preserve">the source of a referral.  The </w:t>
      </w:r>
      <w:r w:rsidR="00E8750A">
        <w:rPr>
          <w:rFonts w:cs="Times New Roman"/>
          <w:szCs w:val="24"/>
        </w:rPr>
        <w:t xml:space="preserve">underlying </w:t>
      </w:r>
      <w:r w:rsidR="00116CF4">
        <w:rPr>
          <w:rFonts w:cs="Times New Roman"/>
          <w:szCs w:val="24"/>
        </w:rPr>
        <w:t xml:space="preserve">issue in </w:t>
      </w:r>
      <w:r w:rsidR="00AD1083">
        <w:rPr>
          <w:rFonts w:cs="Times New Roman"/>
          <w:szCs w:val="24"/>
        </w:rPr>
        <w:t>the</w:t>
      </w:r>
      <w:r w:rsidR="00C6651D">
        <w:rPr>
          <w:rFonts w:cs="Times New Roman"/>
          <w:szCs w:val="24"/>
        </w:rPr>
        <w:t xml:space="preserve"> prior</w:t>
      </w:r>
      <w:r w:rsidR="00116CF4">
        <w:rPr>
          <w:rFonts w:cs="Times New Roman"/>
          <w:szCs w:val="24"/>
        </w:rPr>
        <w:t xml:space="preserve"> Commission enforcement case </w:t>
      </w:r>
      <w:r w:rsidR="00201081">
        <w:rPr>
          <w:rFonts w:cs="Times New Roman"/>
          <w:szCs w:val="24"/>
        </w:rPr>
        <w:t>against</w:t>
      </w:r>
      <w:r w:rsidR="00962820">
        <w:rPr>
          <w:rFonts w:cs="Times New Roman"/>
          <w:szCs w:val="24"/>
        </w:rPr>
        <w:t xml:space="preserve"> Shuttle Express </w:t>
      </w:r>
      <w:r w:rsidR="00C6651D">
        <w:rPr>
          <w:rFonts w:cs="Times New Roman"/>
          <w:szCs w:val="24"/>
        </w:rPr>
        <w:t xml:space="preserve">involving independent contractors </w:t>
      </w:r>
      <w:r w:rsidR="00116CF4">
        <w:rPr>
          <w:rFonts w:cs="Times New Roman"/>
          <w:szCs w:val="24"/>
        </w:rPr>
        <w:t>was whether there was a “single contract” if</w:t>
      </w:r>
      <w:r w:rsidR="00962820">
        <w:rPr>
          <w:rFonts w:cs="Times New Roman"/>
          <w:szCs w:val="24"/>
        </w:rPr>
        <w:t xml:space="preserve"> Shuttle Express </w:t>
      </w:r>
      <w:r w:rsidR="00116CF4">
        <w:rPr>
          <w:rFonts w:cs="Times New Roman"/>
          <w:szCs w:val="24"/>
        </w:rPr>
        <w:t xml:space="preserve">contracted for transportation of </w:t>
      </w:r>
      <w:r w:rsidR="00201081">
        <w:rPr>
          <w:rFonts w:cs="Times New Roman"/>
          <w:szCs w:val="24"/>
        </w:rPr>
        <w:t>previously unrelated parties</w:t>
      </w:r>
      <w:r w:rsidR="00E8750A">
        <w:rPr>
          <w:rFonts w:cs="Times New Roman"/>
          <w:szCs w:val="24"/>
        </w:rPr>
        <w:t xml:space="preserve"> that it had aggregated</w:t>
      </w:r>
      <w:r w:rsidR="00201081">
        <w:rPr>
          <w:rFonts w:cs="Times New Roman"/>
          <w:szCs w:val="24"/>
        </w:rPr>
        <w:t>.</w:t>
      </w:r>
      <w:r w:rsidR="00476060">
        <w:rPr>
          <w:rStyle w:val="FootnoteReference"/>
          <w:rFonts w:cs="Times New Roman"/>
          <w:szCs w:val="24"/>
        </w:rPr>
        <w:footnoteReference w:id="10"/>
      </w:r>
      <w:r w:rsidR="00201081">
        <w:rPr>
          <w:rFonts w:cs="Times New Roman"/>
          <w:szCs w:val="24"/>
        </w:rPr>
        <w:t xml:space="preserve">  But t</w:t>
      </w:r>
      <w:r w:rsidR="00116CF4">
        <w:rPr>
          <w:rFonts w:cs="Times New Roman"/>
          <w:szCs w:val="24"/>
        </w:rPr>
        <w:t xml:space="preserve">here cannot possibly be more than a single contract when there is </w:t>
      </w:r>
      <w:r w:rsidR="00AD1083">
        <w:rPr>
          <w:rFonts w:cs="Times New Roman"/>
          <w:szCs w:val="24"/>
        </w:rPr>
        <w:t xml:space="preserve">but </w:t>
      </w:r>
      <w:r w:rsidR="00116CF4">
        <w:rPr>
          <w:rFonts w:cs="Times New Roman"/>
          <w:szCs w:val="24"/>
        </w:rPr>
        <w:t xml:space="preserve">a single party.  There is no dispute that the </w:t>
      </w:r>
      <w:r w:rsidR="00116CF4">
        <w:rPr>
          <w:rFonts w:cs="Times New Roman"/>
          <w:szCs w:val="24"/>
        </w:rPr>
        <w:lastRenderedPageBreak/>
        <w:t>evidence in this case is that all 40,727 operations involved a single party.</w:t>
      </w:r>
      <w:r w:rsidR="00E8750A">
        <w:rPr>
          <w:rStyle w:val="FootnoteReference"/>
          <w:rFonts w:cs="Times New Roman"/>
          <w:szCs w:val="24"/>
        </w:rPr>
        <w:footnoteReference w:id="11"/>
      </w:r>
      <w:r w:rsidR="00116CF4">
        <w:rPr>
          <w:rFonts w:cs="Times New Roman"/>
          <w:szCs w:val="24"/>
        </w:rPr>
        <w:t xml:space="preserve">  Thus</w:t>
      </w:r>
      <w:r w:rsidR="00C67445">
        <w:rPr>
          <w:rFonts w:cs="Times New Roman"/>
          <w:szCs w:val="24"/>
        </w:rPr>
        <w:t>,</w:t>
      </w:r>
      <w:r w:rsidR="00116CF4">
        <w:rPr>
          <w:rFonts w:cs="Times New Roman"/>
          <w:szCs w:val="24"/>
        </w:rPr>
        <w:t xml:space="preserve"> the DOL had and has exclusive jurisdiction</w:t>
      </w:r>
      <w:r w:rsidR="00C6651D">
        <w:rPr>
          <w:rFonts w:cs="Times New Roman"/>
          <w:szCs w:val="24"/>
        </w:rPr>
        <w:t xml:space="preserve"> over the transportation at issue</w:t>
      </w:r>
      <w:r w:rsidR="00116CF4">
        <w:rPr>
          <w:rFonts w:cs="Times New Roman"/>
          <w:szCs w:val="24"/>
        </w:rPr>
        <w:t xml:space="preserve">.  </w:t>
      </w:r>
    </w:p>
    <w:p w14:paraId="01CC092D" w14:textId="77777777" w:rsidR="00A22261" w:rsidRPr="006C010E" w:rsidRDefault="00B468F7" w:rsidP="006C010E">
      <w:pPr>
        <w:pStyle w:val="ListParagraph"/>
        <w:numPr>
          <w:ilvl w:val="0"/>
          <w:numId w:val="3"/>
        </w:numPr>
        <w:spacing w:before="0" w:beforeAutospacing="0" w:after="0" w:afterAutospacing="0"/>
        <w:ind w:left="0" w:hanging="720"/>
      </w:pPr>
      <w:r>
        <w:t>Ironically</w:t>
      </w:r>
      <w:r w:rsidR="00116CF4">
        <w:t xml:space="preserve">, </w:t>
      </w:r>
      <w:r w:rsidR="00C6651D">
        <w:t xml:space="preserve">in the past </w:t>
      </w:r>
      <w:r w:rsidR="00116CF4">
        <w:t>the Commission has noted that, “</w:t>
      </w:r>
      <w:r>
        <w:t>[a]</w:t>
      </w:r>
      <w:r w:rsidR="00116CF4" w:rsidRPr="00116CF4">
        <w:t xml:space="preserve"> prudent company would have consulted with Staff</w:t>
      </w:r>
      <w:r>
        <w:t>, on the permissibility of the ‘</w:t>
      </w:r>
      <w:r w:rsidR="00116CF4" w:rsidRPr="00116CF4">
        <w:t>rescu</w:t>
      </w:r>
      <w:r w:rsidR="00116CF4">
        <w:t>e service</w:t>
      </w:r>
      <w:r>
        <w:t>’</w:t>
      </w:r>
      <w:r w:rsidR="00116CF4">
        <w:t xml:space="preserve"> before initiating it</w:t>
      </w:r>
      <w:bookmarkStart w:id="5" w:name="_Hlk487533733"/>
      <w:r w:rsidR="00116CF4">
        <w:t xml:space="preserve">….”   </w:t>
      </w:r>
      <w:bookmarkStart w:id="6" w:name="_Hlk487457690"/>
      <w:r w:rsidR="00116CF4" w:rsidRPr="00116CF4">
        <w:rPr>
          <w:rFonts w:cs="Times New Roman"/>
        </w:rPr>
        <w:t>Docket TC-120323, Order 04, Final Order</w:t>
      </w:r>
      <w:r w:rsidR="00790992">
        <w:rPr>
          <w:rFonts w:cs="Times New Roman"/>
        </w:rPr>
        <w:t xml:space="preserve">, ¶ 30 </w:t>
      </w:r>
      <w:r w:rsidR="00116CF4" w:rsidRPr="00116CF4">
        <w:rPr>
          <w:rFonts w:cs="Times New Roman"/>
        </w:rPr>
        <w:t>(Mar. 19, 2014).</w:t>
      </w:r>
      <w:bookmarkEnd w:id="5"/>
      <w:bookmarkEnd w:id="6"/>
      <w:r w:rsidR="00790992">
        <w:rPr>
          <w:rFonts w:cs="Times New Roman"/>
        </w:rPr>
        <w:t xml:space="preserve">  Here, it is undisputed that that is exactly what the company did.</w:t>
      </w:r>
      <w:r w:rsidR="00AD1083" w:rsidRPr="00AD1083">
        <w:rPr>
          <w:rStyle w:val="FootnoteReference"/>
          <w:rFonts w:cs="Times New Roman"/>
        </w:rPr>
        <w:t xml:space="preserve"> </w:t>
      </w:r>
      <w:r w:rsidR="00AD1083">
        <w:rPr>
          <w:rStyle w:val="FootnoteReference"/>
          <w:rFonts w:cs="Times New Roman"/>
        </w:rPr>
        <w:footnoteReference w:id="12"/>
      </w:r>
      <w:r w:rsidR="00790992">
        <w:rPr>
          <w:rFonts w:cs="Times New Roman"/>
        </w:rPr>
        <w:t xml:space="preserve">  </w:t>
      </w:r>
      <w:r w:rsidRPr="00B468F7">
        <w:rPr>
          <w:rFonts w:cs="Times New Roman"/>
          <w:i/>
        </w:rPr>
        <w:t>See</w:t>
      </w:r>
      <w:r>
        <w:rPr>
          <w:rFonts w:cs="Times New Roman"/>
        </w:rPr>
        <w:t xml:space="preserve"> PK-2T at 23-24.  The Staff</w:t>
      </w:r>
      <w:r w:rsidR="00790992">
        <w:rPr>
          <w:rFonts w:cs="Times New Roman"/>
        </w:rPr>
        <w:t xml:space="preserve"> agreed that “single stop trips were legal,”</w:t>
      </w:r>
      <w:r w:rsidR="00476060">
        <w:rPr>
          <w:rStyle w:val="FootnoteReference"/>
          <w:rFonts w:cs="Times New Roman"/>
        </w:rPr>
        <w:footnoteReference w:id="13"/>
      </w:r>
      <w:r w:rsidR="00790992">
        <w:rPr>
          <w:rFonts w:cs="Times New Roman"/>
        </w:rPr>
        <w:t xml:space="preserve"> which was completely consistent with their sworn testimony in TC-120323, their investigation</w:t>
      </w:r>
      <w:r w:rsidR="00C6651D">
        <w:rPr>
          <w:rFonts w:cs="Times New Roman"/>
        </w:rPr>
        <w:t xml:space="preserve"> report and r</w:t>
      </w:r>
      <w:r w:rsidR="00790992">
        <w:rPr>
          <w:rFonts w:cs="Times New Roman"/>
        </w:rPr>
        <w:t xml:space="preserve">ecommendations, and the Commission’s orders.  </w:t>
      </w:r>
      <w:r w:rsidR="006C010E">
        <w:rPr>
          <w:rFonts w:cs="Times New Roman"/>
        </w:rPr>
        <w:t xml:space="preserve">All four actions </w:t>
      </w:r>
      <w:r>
        <w:rPr>
          <w:rFonts w:cs="Times New Roman"/>
        </w:rPr>
        <w:t xml:space="preserve">communicated </w:t>
      </w:r>
      <w:r w:rsidR="006C010E">
        <w:rPr>
          <w:rFonts w:cs="Times New Roman"/>
        </w:rPr>
        <w:t xml:space="preserve">consistently and precisely </w:t>
      </w:r>
      <w:r>
        <w:rPr>
          <w:rFonts w:cs="Times New Roman"/>
        </w:rPr>
        <w:t xml:space="preserve">that </w:t>
      </w:r>
      <w:r w:rsidR="006C010E">
        <w:rPr>
          <w:rFonts w:cs="Times New Roman"/>
        </w:rPr>
        <w:t xml:space="preserve">single stop trips </w:t>
      </w:r>
      <w:r>
        <w:rPr>
          <w:rFonts w:cs="Times New Roman"/>
        </w:rPr>
        <w:t xml:space="preserve">are legally different </w:t>
      </w:r>
      <w:r w:rsidR="006C010E">
        <w:rPr>
          <w:rFonts w:cs="Times New Roman"/>
        </w:rPr>
        <w:t xml:space="preserve">from trips involving multiple parties and multiple stops.  </w:t>
      </w:r>
      <w:r w:rsidR="00E8750A">
        <w:rPr>
          <w:rFonts w:cs="Times New Roman"/>
        </w:rPr>
        <w:t>And a</w:t>
      </w:r>
      <w:r w:rsidR="006C010E">
        <w:rPr>
          <w:rFonts w:cs="Times New Roman"/>
        </w:rPr>
        <w:t>gain, that is completely consistent with the DOL’s clear jurisdiction</w:t>
      </w:r>
      <w:r w:rsidR="00476060">
        <w:rPr>
          <w:rFonts w:cs="Times New Roman"/>
        </w:rPr>
        <w:t xml:space="preserve"> over single contracts in limousines</w:t>
      </w:r>
      <w:r w:rsidR="006C010E">
        <w:rPr>
          <w:rFonts w:cs="Times New Roman"/>
        </w:rPr>
        <w:t>.</w:t>
      </w:r>
    </w:p>
    <w:p w14:paraId="03182645" w14:textId="77777777" w:rsidR="00C96711" w:rsidRDefault="00B468F7" w:rsidP="001A4A95">
      <w:pPr>
        <w:pStyle w:val="ListParagraph"/>
        <w:keepNext/>
        <w:numPr>
          <w:ilvl w:val="0"/>
          <w:numId w:val="30"/>
        </w:numPr>
        <w:spacing w:before="0" w:beforeAutospacing="0" w:after="240" w:afterAutospacing="0" w:line="240" w:lineRule="auto"/>
        <w:ind w:left="720"/>
        <w:contextualSpacing w:val="0"/>
        <w:outlineLvl w:val="1"/>
        <w:rPr>
          <w:b/>
          <w:u w:val="single"/>
        </w:rPr>
      </w:pPr>
      <w:bookmarkStart w:id="7" w:name="_Toc487803867"/>
      <w:r>
        <w:rPr>
          <w:b/>
          <w:u w:val="single"/>
        </w:rPr>
        <w:t>All other</w:t>
      </w:r>
      <w:r w:rsidR="00962820">
        <w:rPr>
          <w:b/>
          <w:u w:val="single"/>
        </w:rPr>
        <w:t xml:space="preserve"> Speedishuttle </w:t>
      </w:r>
      <w:r w:rsidR="000E73BA">
        <w:rPr>
          <w:b/>
          <w:u w:val="single"/>
        </w:rPr>
        <w:t xml:space="preserve">complaints and issues </w:t>
      </w:r>
      <w:r>
        <w:rPr>
          <w:b/>
          <w:u w:val="single"/>
        </w:rPr>
        <w:t>also lack any merit</w:t>
      </w:r>
      <w:r w:rsidR="00770766">
        <w:rPr>
          <w:b/>
          <w:u w:val="single"/>
        </w:rPr>
        <w:t>.</w:t>
      </w:r>
      <w:bookmarkEnd w:id="7"/>
    </w:p>
    <w:p w14:paraId="5080DFFF" w14:textId="77777777" w:rsidR="00907551" w:rsidRDefault="00656230" w:rsidP="004D4A6C">
      <w:pPr>
        <w:pStyle w:val="ListParagraph"/>
        <w:numPr>
          <w:ilvl w:val="0"/>
          <w:numId w:val="3"/>
        </w:numPr>
        <w:spacing w:before="0" w:beforeAutospacing="0" w:after="0" w:afterAutospacing="0"/>
        <w:ind w:left="0" w:hanging="720"/>
      </w:pPr>
      <w:r>
        <w:t xml:space="preserve">Speedishuttle </w:t>
      </w:r>
      <w:r w:rsidR="00907551">
        <w:t>raises several other supposed violations by</w:t>
      </w:r>
      <w:r w:rsidR="00962820">
        <w:t xml:space="preserve"> Shuttle Express </w:t>
      </w:r>
      <w:r w:rsidR="00907551">
        <w:t>that Staff does not support, for good reason.  First, the commission payments to hotel concierges is not a rebate of a fare</w:t>
      </w:r>
      <w:r w:rsidR="00C6651D">
        <w:t>,</w:t>
      </w:r>
      <w:r w:rsidR="00907551">
        <w:t xml:space="preserve"> as Staff recognized.  It is a sales and marketing expense, just like advertising and painting the company’s name on the side of its vans.  The passenger pays the same fare as if t</w:t>
      </w:r>
      <w:r w:rsidR="00476060">
        <w:t>here were</w:t>
      </w:r>
      <w:r w:rsidR="00907551">
        <w:t xml:space="preserve"> </w:t>
      </w:r>
      <w:r w:rsidR="00907551">
        <w:lastRenderedPageBreak/>
        <w:t>no commission and books and pays for their own reservation</w:t>
      </w:r>
      <w:r w:rsidR="00E8750A">
        <w:t>.</w:t>
      </w:r>
      <w:r w:rsidR="00E8750A">
        <w:rPr>
          <w:rStyle w:val="FootnoteReference"/>
        </w:rPr>
        <w:footnoteReference w:id="14"/>
      </w:r>
      <w:r w:rsidR="00E8750A">
        <w:t xml:space="preserve"> </w:t>
      </w:r>
      <w:r w:rsidR="00907551">
        <w:t xml:space="preserve"> Promotion of share ride services reduces use </w:t>
      </w:r>
      <w:r w:rsidR="00C6651D">
        <w:t xml:space="preserve">of fossil fuels </w:t>
      </w:r>
      <w:r w:rsidR="00907551">
        <w:t>and the number of vehicles on crowded roads.</w:t>
      </w:r>
      <w:r w:rsidR="00907551" w:rsidRPr="00907551">
        <w:t xml:space="preserve"> </w:t>
      </w:r>
      <w:r w:rsidR="00907551">
        <w:t xml:space="preserve"> It is </w:t>
      </w:r>
      <w:r w:rsidR="00A85375">
        <w:t xml:space="preserve">a </w:t>
      </w:r>
      <w:r w:rsidR="00907551">
        <w:t>benefit to the public and should be rewarded</w:t>
      </w:r>
      <w:r w:rsidR="00A85375">
        <w:t>,</w:t>
      </w:r>
      <w:r w:rsidR="00907551">
        <w:t xml:space="preserve"> not penalized.  Even if the commissions were somehow misconstrued as rebates the</w:t>
      </w:r>
      <w:r w:rsidR="00476060">
        <w:t>y</w:t>
      </w:r>
      <w:r w:rsidR="00907551">
        <w:t xml:space="preserve"> would not be unlawful because the net </w:t>
      </w:r>
      <w:r w:rsidR="00476060">
        <w:t xml:space="preserve">fare </w:t>
      </w:r>
      <w:r w:rsidR="00907551">
        <w:t>received by</w:t>
      </w:r>
      <w:r w:rsidR="00962820">
        <w:t xml:space="preserve"> Shuttle Express </w:t>
      </w:r>
      <w:r w:rsidR="00907551">
        <w:t>is always still within the ra</w:t>
      </w:r>
      <w:r w:rsidR="009E1B4D">
        <w:t>nge of its new flexible fares.</w:t>
      </w:r>
      <w:r w:rsidR="009E1B4D">
        <w:rPr>
          <w:rStyle w:val="FootnoteReference"/>
        </w:rPr>
        <w:footnoteReference w:id="15"/>
      </w:r>
    </w:p>
    <w:p w14:paraId="1C0942EE" w14:textId="77777777" w:rsidR="00907551" w:rsidRDefault="00907551" w:rsidP="004D4A6C">
      <w:pPr>
        <w:pStyle w:val="ListParagraph"/>
        <w:numPr>
          <w:ilvl w:val="0"/>
          <w:numId w:val="3"/>
        </w:numPr>
        <w:spacing w:before="0" w:beforeAutospacing="0" w:after="0" w:afterAutospacing="0"/>
        <w:ind w:left="0" w:hanging="720"/>
      </w:pPr>
      <w:r>
        <w:t xml:space="preserve">Likewise, combining scheduled and door-to-door </w:t>
      </w:r>
      <w:r w:rsidR="00323BDA">
        <w:t xml:space="preserve">share ride </w:t>
      </w:r>
      <w:r>
        <w:t>passengers on the same vehicles at times is a huge public interest benefit that should be commended.  The scheduled passengers leave and arrive according to the applicable published schedule.</w:t>
      </w:r>
      <w:r w:rsidR="009E1B4D">
        <w:rPr>
          <w:rStyle w:val="FootnoteReference"/>
        </w:rPr>
        <w:footnoteReference w:id="16"/>
      </w:r>
      <w:r>
        <w:t xml:space="preserve">  </w:t>
      </w:r>
      <w:r w:rsidR="00C6651D">
        <w:t>By adhering to a schedule, t</w:t>
      </w:r>
      <w:r>
        <w:t>he</w:t>
      </w:r>
      <w:r w:rsidR="00323BDA">
        <w:t>y</w:t>
      </w:r>
      <w:r>
        <w:t xml:space="preserve"> get the benefit of</w:t>
      </w:r>
      <w:r w:rsidR="00323BDA">
        <w:t xml:space="preserve"> a significantly lower fare compared to t</w:t>
      </w:r>
      <w:r w:rsidR="00476060">
        <w:t>he share ride fares.</w:t>
      </w:r>
      <w:r w:rsidR="00742EC8">
        <w:rPr>
          <w:rStyle w:val="FootnoteReference"/>
        </w:rPr>
        <w:footnoteReference w:id="17"/>
      </w:r>
      <w:r w:rsidR="00476060">
        <w:t xml:space="preserve">  In contrast, t</w:t>
      </w:r>
      <w:r w:rsidR="00323BDA">
        <w:t>he share ride passenger</w:t>
      </w:r>
      <w:r w:rsidR="00C6651D">
        <w:t>s</w:t>
      </w:r>
      <w:r w:rsidR="00323BDA">
        <w:t xml:space="preserve"> do not</w:t>
      </w:r>
      <w:r w:rsidR="00476060">
        <w:t xml:space="preserve"> depart on a set schedule, but as soon</w:t>
      </w:r>
      <w:r w:rsidR="00323BDA">
        <w:t xml:space="preserve"> </w:t>
      </w:r>
      <w:r w:rsidR="00A85375">
        <w:t xml:space="preserve">as </w:t>
      </w:r>
      <w:r w:rsidR="00323BDA">
        <w:t>there are enough passengers in the van.</w:t>
      </w:r>
      <w:r w:rsidR="00742EC8">
        <w:rPr>
          <w:rStyle w:val="FootnoteReference"/>
        </w:rPr>
        <w:footnoteReference w:id="18"/>
      </w:r>
      <w:r w:rsidR="00323BDA">
        <w:t xml:space="preserve">  By grouping with scheduled passengers, the van fills faster and the share ride passengers </w:t>
      </w:r>
      <w:r w:rsidR="00742EC8">
        <w:t xml:space="preserve">may be </w:t>
      </w:r>
      <w:r w:rsidR="00323BDA">
        <w:t>able to depart sooner than t</w:t>
      </w:r>
      <w:r w:rsidR="00476060">
        <w:t>hey otherwise would.</w:t>
      </w:r>
      <w:r w:rsidR="00742EC8">
        <w:t xml:space="preserve">  </w:t>
      </w:r>
      <w:r w:rsidR="00476060">
        <w:t>Plus, i</w:t>
      </w:r>
      <w:r w:rsidR="00323BDA">
        <w:t xml:space="preserve">n exchange for a higher fare, they can be picked up or dropped off at any location within </w:t>
      </w:r>
      <w:r w:rsidR="00656230">
        <w:t xml:space="preserve">Shuttle Express’s </w:t>
      </w:r>
      <w:r w:rsidR="00323BDA">
        <w:t>territory, which is nearly all of King County.</w:t>
      </w:r>
      <w:r w:rsidR="00742EC8">
        <w:rPr>
          <w:rStyle w:val="FootnoteReference"/>
        </w:rPr>
        <w:footnoteReference w:id="19"/>
      </w:r>
      <w:r w:rsidR="00323BDA">
        <w:t xml:space="preserve">  When scheduled and share ride are going to similar locations or along the same route, once again there are fewer vehicles on the road and less fuel is needed</w:t>
      </w:r>
      <w:r w:rsidR="00C6651D">
        <w:t xml:space="preserve"> to carry the same number of passengers</w:t>
      </w:r>
      <w:r w:rsidR="00323BDA">
        <w:t>.</w:t>
      </w:r>
    </w:p>
    <w:p w14:paraId="7FF4DEF8" w14:textId="77777777" w:rsidR="00323BDA" w:rsidRDefault="00323BDA" w:rsidP="004D4A6C">
      <w:pPr>
        <w:pStyle w:val="ListParagraph"/>
        <w:numPr>
          <w:ilvl w:val="0"/>
          <w:numId w:val="3"/>
        </w:numPr>
        <w:spacing w:before="0" w:beforeAutospacing="0" w:after="0" w:afterAutospacing="0"/>
        <w:ind w:left="0" w:hanging="720"/>
      </w:pPr>
      <w:r>
        <w:lastRenderedPageBreak/>
        <w:t xml:space="preserve">As </w:t>
      </w:r>
      <w:r w:rsidR="00742EC8">
        <w:t xml:space="preserve">Mr. Marks testified, </w:t>
      </w:r>
      <w:r>
        <w:t>the combination of scheduled with share ride is allowed by the Commission’s rules and specifically provided for in</w:t>
      </w:r>
      <w:r w:rsidR="00962820">
        <w:t xml:space="preserve"> Shuttle Express’s </w:t>
      </w:r>
      <w:r>
        <w:t>approved tariff.</w:t>
      </w:r>
      <w:r w:rsidR="00742EC8">
        <w:rPr>
          <w:rStyle w:val="FootnoteReference"/>
        </w:rPr>
        <w:footnoteReference w:id="20"/>
      </w:r>
      <w:r>
        <w:t xml:space="preserve"> </w:t>
      </w:r>
      <w:r w:rsidR="00962820">
        <w:t xml:space="preserve"> Speedishuttle’s </w:t>
      </w:r>
      <w:r>
        <w:t xml:space="preserve">argument that “all stops on a scheduled route are flag-stops”—citing Mr. Roemer’s </w:t>
      </w:r>
      <w:r w:rsidR="002A7FC9">
        <w:t xml:space="preserve">scheduled service </w:t>
      </w:r>
      <w:r>
        <w:t>experience—is a red herring</w:t>
      </w:r>
      <w:r w:rsidR="00C6651D">
        <w:t xml:space="preserve"> and contrary to the record</w:t>
      </w:r>
      <w:r>
        <w:t xml:space="preserve">.  The evidence was clear that the stop Mr. Roemer complained of was </w:t>
      </w:r>
      <w:r w:rsidRPr="00323BDA">
        <w:rPr>
          <w:b/>
          <w:u w:val="single"/>
        </w:rPr>
        <w:t>not</w:t>
      </w:r>
      <w:r w:rsidRPr="00323BDA">
        <w:rPr>
          <w:b/>
        </w:rPr>
        <w:t xml:space="preserve"> </w:t>
      </w:r>
      <w:r>
        <w:t>an unlisted flag stop.  It was a share ride stop.</w:t>
      </w:r>
      <w:r w:rsidR="00742EC8">
        <w:rPr>
          <w:rStyle w:val="FootnoteReference"/>
        </w:rPr>
        <w:footnoteReference w:id="21"/>
      </w:r>
      <w:r>
        <w:t xml:space="preserve">  So there was no violation of the flag </w:t>
      </w:r>
      <w:r w:rsidR="002A7FC9">
        <w:t>stop listing rule applicable to scheduled service.  And Mr. Roemer departed and arrived well within the times provided by</w:t>
      </w:r>
      <w:r w:rsidR="00962820">
        <w:t xml:space="preserve"> Shuttle Express’s </w:t>
      </w:r>
      <w:r w:rsidR="00742EC8">
        <w:t>scheduled tariff.</w:t>
      </w:r>
      <w:r w:rsidR="00742EC8">
        <w:rPr>
          <w:rStyle w:val="FootnoteReference"/>
        </w:rPr>
        <w:footnoteReference w:id="22"/>
      </w:r>
    </w:p>
    <w:p w14:paraId="7AB073A3" w14:textId="77777777" w:rsidR="0002794D" w:rsidRDefault="002A7FC9" w:rsidP="00001ABC">
      <w:pPr>
        <w:pStyle w:val="ListParagraph"/>
        <w:numPr>
          <w:ilvl w:val="0"/>
          <w:numId w:val="3"/>
        </w:numPr>
        <w:spacing w:before="0" w:beforeAutospacing="0" w:after="0" w:afterAutospacing="0"/>
        <w:ind w:left="0" w:hanging="720"/>
      </w:pPr>
      <w:r>
        <w:t>Finally, citing no authority whatsoever,</w:t>
      </w:r>
      <w:r w:rsidR="00962820">
        <w:t xml:space="preserve"> Speedishuttle </w:t>
      </w:r>
      <w:r>
        <w:t xml:space="preserve">asserts that charging customers different prices violates “the State’s price anti-discrimination laws.” </w:t>
      </w:r>
      <w:r w:rsidR="00962820">
        <w:t xml:space="preserve"> Speedishuttle </w:t>
      </w:r>
      <w:r>
        <w:t xml:space="preserve">Brief at 42.  This argument is fundamentally flawed on a factual basis, as the two customers receive different services.  One </w:t>
      </w:r>
      <w:r w:rsidR="00476060">
        <w:t xml:space="preserve">passenger </w:t>
      </w:r>
      <w:r>
        <w:t>has to live with a schedule and a list of fixed stops.  The other is not scheduled and can go anywhere the passenger chooses.  That they are transported in the same vehicle is a happenstance that</w:t>
      </w:r>
      <w:r w:rsidR="000A0E36">
        <w:t xml:space="preserve"> demonstrably serves</w:t>
      </w:r>
      <w:r>
        <w:t xml:space="preserve"> the public interest</w:t>
      </w:r>
      <w:r w:rsidR="002D69F2">
        <w:t xml:space="preserve"> and does not change the other essential attributes of the service</w:t>
      </w:r>
      <w:r>
        <w:t xml:space="preserve">.  The argument is </w:t>
      </w:r>
      <w:r w:rsidR="000A0E36">
        <w:t xml:space="preserve">also </w:t>
      </w:r>
      <w:r>
        <w:t xml:space="preserve">grossly legally flawed.  Carriers not only can but </w:t>
      </w:r>
      <w:r w:rsidRPr="00001ABC">
        <w:rPr>
          <w:u w:val="single"/>
        </w:rPr>
        <w:t>must</w:t>
      </w:r>
      <w:r>
        <w:t xml:space="preserve"> charge their legally filed and approved tariffed rates</w:t>
      </w:r>
      <w:r w:rsidR="00C6651D">
        <w:t xml:space="preserve"> or risk being fined by </w:t>
      </w:r>
      <w:r w:rsidR="00C6651D">
        <w:lastRenderedPageBreak/>
        <w:t>the Commission</w:t>
      </w:r>
      <w:r>
        <w:t>.</w:t>
      </w:r>
      <w:r w:rsidR="000A0E36">
        <w:rPr>
          <w:rStyle w:val="FootnoteReference"/>
        </w:rPr>
        <w:footnoteReference w:id="23"/>
      </w:r>
      <w:r>
        <w:t xml:space="preserve">  </w:t>
      </w:r>
      <w:r w:rsidR="000A0E36">
        <w:t>Under the filed tariff doctrine, tariffs have the force and effect of law</w:t>
      </w:r>
      <w:r w:rsidR="00001ABC">
        <w:t>.</w:t>
      </w:r>
      <w:r w:rsidR="00001ABC">
        <w:rPr>
          <w:rStyle w:val="FootnoteReference"/>
        </w:rPr>
        <w:footnoteReference w:id="24"/>
      </w:r>
      <w:r w:rsidR="00001ABC">
        <w:t xml:space="preserve">  No action can be maintained against a carrier for charging the filed rate.</w:t>
      </w:r>
      <w:r w:rsidR="00001ABC">
        <w:rPr>
          <w:rStyle w:val="FootnoteReference"/>
        </w:rPr>
        <w:footnoteReference w:id="25"/>
      </w:r>
      <w:r w:rsidR="000A0E36">
        <w:t xml:space="preserve">  </w:t>
      </w:r>
    </w:p>
    <w:p w14:paraId="78DE0FAB" w14:textId="77777777" w:rsidR="00C96711" w:rsidRDefault="00C67445" w:rsidP="0039332B">
      <w:pPr>
        <w:pStyle w:val="ListParagraph"/>
        <w:keepNext/>
        <w:numPr>
          <w:ilvl w:val="0"/>
          <w:numId w:val="30"/>
        </w:numPr>
        <w:spacing w:before="0" w:beforeAutospacing="0" w:after="240" w:afterAutospacing="0" w:line="240" w:lineRule="auto"/>
        <w:ind w:left="720"/>
        <w:contextualSpacing w:val="0"/>
        <w:outlineLvl w:val="1"/>
        <w:rPr>
          <w:b/>
          <w:u w:val="single"/>
        </w:rPr>
      </w:pPr>
      <w:bookmarkStart w:id="8" w:name="_Toc487803868"/>
      <w:r>
        <w:rPr>
          <w:b/>
          <w:u w:val="single"/>
        </w:rPr>
        <w:t>T</w:t>
      </w:r>
      <w:r w:rsidR="00C96711" w:rsidRPr="00DD7EC4">
        <w:rPr>
          <w:b/>
          <w:u w:val="single"/>
        </w:rPr>
        <w:t>he l</w:t>
      </w:r>
      <w:r>
        <w:rPr>
          <w:b/>
          <w:u w:val="single"/>
        </w:rPr>
        <w:t xml:space="preserve">ack of any colorable claims of </w:t>
      </w:r>
      <w:r w:rsidR="000A0E36">
        <w:rPr>
          <w:b/>
          <w:u w:val="single"/>
        </w:rPr>
        <w:t xml:space="preserve">statue or </w:t>
      </w:r>
      <w:r>
        <w:rPr>
          <w:b/>
          <w:u w:val="single"/>
        </w:rPr>
        <w:t>rule violations precludes a</w:t>
      </w:r>
      <w:r w:rsidR="000A0E36">
        <w:rPr>
          <w:b/>
          <w:u w:val="single"/>
        </w:rPr>
        <w:t xml:space="preserve"> penalty, including a retroactive</w:t>
      </w:r>
      <w:r>
        <w:rPr>
          <w:b/>
          <w:u w:val="single"/>
        </w:rPr>
        <w:t xml:space="preserve"> finding of “unsatisfactory” service</w:t>
      </w:r>
      <w:r w:rsidR="004D4A6C">
        <w:rPr>
          <w:b/>
          <w:u w:val="single"/>
        </w:rPr>
        <w:t>.</w:t>
      </w:r>
      <w:bookmarkEnd w:id="8"/>
    </w:p>
    <w:p w14:paraId="7A0C18CA" w14:textId="77777777" w:rsidR="00E3194B" w:rsidRDefault="000A0E36" w:rsidP="004D4A6C">
      <w:pPr>
        <w:numPr>
          <w:ilvl w:val="0"/>
          <w:numId w:val="3"/>
        </w:numPr>
        <w:spacing w:after="240"/>
        <w:ind w:left="0" w:hanging="720"/>
      </w:pPr>
      <w:r>
        <w:t>The Commission thoroughly investigate</w:t>
      </w:r>
      <w:r w:rsidR="00EB5449">
        <w:t>d</w:t>
      </w:r>
      <w:r w:rsidR="00962820">
        <w:t xml:space="preserve"> Shuttle Express’s </w:t>
      </w:r>
      <w:r>
        <w:t xml:space="preserve">uses of independent limousine operators in 2012 and 2013.  </w:t>
      </w:r>
      <w:r w:rsidRPr="000A0E36">
        <w:rPr>
          <w:u w:val="single"/>
        </w:rPr>
        <w:t xml:space="preserve">It cited </w:t>
      </w:r>
      <w:r>
        <w:t>and fined</w:t>
      </w:r>
      <w:r w:rsidR="00962820">
        <w:t xml:space="preserve"> Shuttle Express </w:t>
      </w:r>
      <w:r w:rsidRPr="000A0E36">
        <w:rPr>
          <w:u w:val="single"/>
        </w:rPr>
        <w:t xml:space="preserve">for </w:t>
      </w:r>
      <w:r w:rsidRPr="00AD1083">
        <w:rPr>
          <w:b/>
          <w:u w:val="single"/>
        </w:rPr>
        <w:t>every</w:t>
      </w:r>
      <w:r w:rsidRPr="000A0E36">
        <w:rPr>
          <w:u w:val="single"/>
        </w:rPr>
        <w:t xml:space="preserve"> multi-stop</w:t>
      </w:r>
      <w:r>
        <w:t xml:space="preserve"> trip.</w:t>
      </w:r>
      <w:r w:rsidR="009406C1">
        <w:rPr>
          <w:rStyle w:val="FootnoteReference"/>
        </w:rPr>
        <w:footnoteReference w:id="26"/>
      </w:r>
      <w:r>
        <w:t xml:space="preserve">  </w:t>
      </w:r>
      <w:r w:rsidRPr="000A0E36">
        <w:rPr>
          <w:u w:val="single"/>
        </w:rPr>
        <w:t>It did not cite</w:t>
      </w:r>
      <w:r>
        <w:t xml:space="preserve"> or fine</w:t>
      </w:r>
      <w:r w:rsidR="00962820">
        <w:t xml:space="preserve"> Shuttle Express </w:t>
      </w:r>
      <w:r w:rsidRPr="000A0E36">
        <w:rPr>
          <w:u w:val="single"/>
        </w:rPr>
        <w:t xml:space="preserve">for even </w:t>
      </w:r>
      <w:r w:rsidRPr="00AD1083">
        <w:rPr>
          <w:b/>
          <w:u w:val="single"/>
        </w:rPr>
        <w:t>one</w:t>
      </w:r>
      <w:r w:rsidRPr="00AD1083">
        <w:rPr>
          <w:u w:val="single"/>
        </w:rPr>
        <w:t xml:space="preserve"> </w:t>
      </w:r>
      <w:r w:rsidRPr="000A0E36">
        <w:rPr>
          <w:u w:val="single"/>
        </w:rPr>
        <w:t>single stop</w:t>
      </w:r>
      <w:r>
        <w:t xml:space="preserve"> trip.</w:t>
      </w:r>
      <w:r w:rsidR="00B64369">
        <w:rPr>
          <w:rStyle w:val="FootnoteReference"/>
        </w:rPr>
        <w:footnoteReference w:id="27"/>
      </w:r>
      <w:r>
        <w:t xml:space="preserve">  That juxtaposition of facts alone sends a clear signal of what the Commission and its staff considered was lawful and unlawful in 2012-13.</w:t>
      </w:r>
      <w:r w:rsidR="004C200B">
        <w:rPr>
          <w:rStyle w:val="FootnoteReference"/>
        </w:rPr>
        <w:footnoteReference w:id="28"/>
      </w:r>
      <w:r>
        <w:t xml:space="preserve">  But on top of that there was testimony that single stop was legal </w:t>
      </w:r>
      <w:r w:rsidR="00BF6279">
        <w:t>while</w:t>
      </w:r>
      <w:r>
        <w:t xml:space="preserve"> multi-stop </w:t>
      </w:r>
      <w:r w:rsidR="00001ABC">
        <w:t xml:space="preserve">was </w:t>
      </w:r>
      <w:r w:rsidR="00742EC8">
        <w:lastRenderedPageBreak/>
        <w:t>illegal</w:t>
      </w:r>
      <w:r w:rsidR="00001ABC">
        <w:t>.</w:t>
      </w:r>
      <w:r w:rsidR="00742EC8">
        <w:rPr>
          <w:rStyle w:val="FootnoteReference"/>
        </w:rPr>
        <w:footnoteReference w:id="29"/>
      </w:r>
      <w:r>
        <w:t xml:space="preserve">  </w:t>
      </w:r>
      <w:r w:rsidR="004C200B">
        <w:t>Further,</w:t>
      </w:r>
      <w:r>
        <w:t xml:space="preserve"> the </w:t>
      </w:r>
      <w:r w:rsidR="004C200B">
        <w:t xml:space="preserve">Commission’s </w:t>
      </w:r>
      <w:r>
        <w:t>orders showed a clear understandi</w:t>
      </w:r>
      <w:r w:rsidR="004C200B">
        <w:t>ng and dividing line as well.</w:t>
      </w:r>
      <w:r w:rsidR="00742EC8">
        <w:rPr>
          <w:rStyle w:val="FootnoteReference"/>
        </w:rPr>
        <w:footnoteReference w:id="30"/>
      </w:r>
      <w:r w:rsidR="004C200B">
        <w:t xml:space="preserve">  And t</w:t>
      </w:r>
      <w:r>
        <w:t xml:space="preserve">he issue was expressly discussed </w:t>
      </w:r>
      <w:r w:rsidR="00564633">
        <w:t>by</w:t>
      </w:r>
      <w:r w:rsidR="00962820">
        <w:t xml:space="preserve"> Shuttle Express </w:t>
      </w:r>
      <w:r w:rsidR="00564633">
        <w:t>and Staff and the practices that are now</w:t>
      </w:r>
      <w:r>
        <w:t xml:space="preserve"> cited</w:t>
      </w:r>
      <w:r w:rsidR="00742EC8">
        <w:t xml:space="preserve"> were approved four years ago.</w:t>
      </w:r>
      <w:r w:rsidR="00742EC8">
        <w:rPr>
          <w:rStyle w:val="FootnoteReference"/>
        </w:rPr>
        <w:footnoteReference w:id="31"/>
      </w:r>
    </w:p>
    <w:p w14:paraId="3B42F282" w14:textId="77777777" w:rsidR="004D4A6C" w:rsidRDefault="00A8113D" w:rsidP="00774CDD">
      <w:pPr>
        <w:numPr>
          <w:ilvl w:val="0"/>
          <w:numId w:val="3"/>
        </w:numPr>
        <w:spacing w:after="240"/>
        <w:ind w:left="0" w:hanging="720"/>
      </w:pPr>
      <w:r>
        <w:t>The Comm</w:t>
      </w:r>
      <w:r w:rsidR="004C200B">
        <w:t>ission</w:t>
      </w:r>
      <w:r w:rsidR="00742EC8">
        <w:t xml:space="preserve"> made the right decision in 2014</w:t>
      </w:r>
      <w:r w:rsidR="004C200B">
        <w:t xml:space="preserve"> on single stops.  T</w:t>
      </w:r>
      <w:r>
        <w:t xml:space="preserve">o hold otherwise </w:t>
      </w:r>
      <w:r w:rsidR="004C200B">
        <w:t xml:space="preserve">today </w:t>
      </w:r>
      <w:r>
        <w:t>would constitute an unwise encroachment on the exclusive jurisdiction of the DOL.  But even if the Commission could find grounds to assert</w:t>
      </w:r>
      <w:r w:rsidR="00AA61E1">
        <w:t xml:space="preserve"> </w:t>
      </w:r>
      <w:r>
        <w:t>jurisdiction</w:t>
      </w:r>
      <w:r w:rsidR="00001ABC">
        <w:t>—for the first time ever—</w:t>
      </w:r>
      <w:r>
        <w:t xml:space="preserve">over limousine transportation of single persons and parties, it could not impose a penalty.  </w:t>
      </w:r>
      <w:r w:rsidR="00AE773B">
        <w:t>Both the U.S. and state constitutions require</w:t>
      </w:r>
      <w:r>
        <w:t xml:space="preserve"> some notice that a long-standing practice w</w:t>
      </w:r>
      <w:r w:rsidR="00AE773B">
        <w:t xml:space="preserve">ill be prohibited going forward:  “[T]he due process vagueness doctrine under the Fourteenth Amendment and article I, section 3 of the state constitution requires that citizens have fair warning of proscribed conduct.”  </w:t>
      </w:r>
      <w:r w:rsidR="00AE773B" w:rsidRPr="00774CDD">
        <w:rPr>
          <w:i/>
        </w:rPr>
        <w:t>State v. Bahl,</w:t>
      </w:r>
      <w:r w:rsidR="00AE773B">
        <w:t xml:space="preserve"> 164 Wash.2d 739, 752 (2008)</w:t>
      </w:r>
      <w:r w:rsidR="00FE3243">
        <w:fldChar w:fldCharType="begin"/>
      </w:r>
      <w:r w:rsidR="00FE3243">
        <w:instrText xml:space="preserve"> TA \l "</w:instrText>
      </w:r>
      <w:r w:rsidR="00FE3243" w:rsidRPr="006C43E5">
        <w:rPr>
          <w:i/>
        </w:rPr>
        <w:instrText>State v. Bahl,</w:instrText>
      </w:r>
      <w:r w:rsidR="00FE3243" w:rsidRPr="006C43E5">
        <w:instrText xml:space="preserve"> 164 Wash.2d 739, 752 (2008)</w:instrText>
      </w:r>
      <w:r w:rsidR="00FE3243">
        <w:instrText xml:space="preserve">" \s "State v. Bahl, 164 Wash.2d 739, 752 (2008)" \c 2 </w:instrText>
      </w:r>
      <w:r w:rsidR="00FE3243">
        <w:fldChar w:fldCharType="end"/>
      </w:r>
      <w:r w:rsidR="00AE773B">
        <w:t xml:space="preserve">.  </w:t>
      </w:r>
      <w:r>
        <w:t>Only then can they be penalized if they fail t</w:t>
      </w:r>
      <w:r w:rsidR="00AE773B">
        <w:t>o follow the new regulations.</w:t>
      </w:r>
      <w:r w:rsidR="00AE773B">
        <w:rPr>
          <w:rStyle w:val="FootnoteReference"/>
        </w:rPr>
        <w:footnoteReference w:id="32"/>
      </w:r>
      <w:r w:rsidR="00AE773B">
        <w:t xml:space="preserve">  Here </w:t>
      </w:r>
      <w:r w:rsidR="00AE773B" w:rsidRPr="00742EC8">
        <w:rPr>
          <w:u w:val="single"/>
        </w:rPr>
        <w:t>all</w:t>
      </w:r>
      <w:r w:rsidR="00AE773B">
        <w:t xml:space="preserve"> the evidence, including Staff testimony and Commission orders</w:t>
      </w:r>
      <w:r w:rsidR="00774CDD">
        <w:t xml:space="preserve">, could only have </w:t>
      </w:r>
      <w:r w:rsidR="00EB5449">
        <w:t xml:space="preserve">led </w:t>
      </w:r>
      <w:r w:rsidR="00774CDD">
        <w:t xml:space="preserve">any observer to conclude that single stop limousine trips were considered lawful—not “proscribed.”  There was no “warning” whatsoever, as was required in </w:t>
      </w:r>
      <w:r w:rsidR="00774CDD" w:rsidRPr="00774CDD">
        <w:rPr>
          <w:i/>
        </w:rPr>
        <w:t xml:space="preserve">State v. </w:t>
      </w:r>
      <w:r w:rsidR="00D96F8F" w:rsidRPr="00774CDD">
        <w:rPr>
          <w:i/>
        </w:rPr>
        <w:t>Bah</w:t>
      </w:r>
      <w:r w:rsidR="00AC4BF5">
        <w:rPr>
          <w:i/>
        </w:rPr>
        <w:t>l</w:t>
      </w:r>
      <w:r w:rsidR="00AC4BF5">
        <w:rPr>
          <w:i/>
        </w:rPr>
        <w:fldChar w:fldCharType="begin"/>
      </w:r>
      <w:r w:rsidR="00AC4BF5">
        <w:instrText xml:space="preserve"> TA \s "State v. Bahl, 164 Wash.2d 739, 752 (2008)" </w:instrText>
      </w:r>
      <w:r w:rsidR="00AC4BF5">
        <w:rPr>
          <w:i/>
        </w:rPr>
        <w:fldChar w:fldCharType="end"/>
      </w:r>
      <w:r w:rsidR="00A86F0C">
        <w:rPr>
          <w:i/>
        </w:rPr>
        <w:t xml:space="preserve"> </w:t>
      </w:r>
      <w:r w:rsidR="00A86F0C" w:rsidRPr="00A86F0C">
        <w:t xml:space="preserve">and </w:t>
      </w:r>
      <w:r w:rsidR="00A86F0C">
        <w:rPr>
          <w:i/>
        </w:rPr>
        <w:t>F.C.C. v. Fox</w:t>
      </w:r>
      <w:r w:rsidR="00AC4BF5">
        <w:rPr>
          <w:i/>
        </w:rPr>
        <w:fldChar w:fldCharType="begin"/>
      </w:r>
      <w:r w:rsidR="00AC4BF5">
        <w:instrText xml:space="preserve"> TA \s "F.C.C. v. Fox Television Stations, 567 U.S. 239, 132 S.Ct. 2307 (2012)" </w:instrText>
      </w:r>
      <w:r w:rsidR="00AC4BF5">
        <w:rPr>
          <w:i/>
        </w:rPr>
        <w:fldChar w:fldCharType="end"/>
      </w:r>
      <w:r w:rsidR="00774CDD">
        <w:t>.</w:t>
      </w:r>
    </w:p>
    <w:p w14:paraId="440B07D5" w14:textId="77777777" w:rsidR="00C67445" w:rsidRDefault="00E3194B" w:rsidP="00C67445">
      <w:pPr>
        <w:numPr>
          <w:ilvl w:val="0"/>
          <w:numId w:val="3"/>
        </w:numPr>
        <w:spacing w:after="240"/>
        <w:ind w:left="0" w:hanging="720"/>
      </w:pPr>
      <w:r>
        <w:t>Since the Commission cannot constitutionally penalize</w:t>
      </w:r>
      <w:r w:rsidR="00962820">
        <w:t xml:space="preserve"> Shuttle Express </w:t>
      </w:r>
      <w:r>
        <w:t>for the actions</w:t>
      </w:r>
      <w:r w:rsidR="00962820">
        <w:t xml:space="preserve"> Speedishuttle </w:t>
      </w:r>
      <w:r>
        <w:t>complains of, those actions likewise cannot support a belated finding that</w:t>
      </w:r>
      <w:r w:rsidR="00962820">
        <w:t xml:space="preserve"> Shuttle </w:t>
      </w:r>
      <w:r w:rsidR="00962820">
        <w:lastRenderedPageBreak/>
        <w:t xml:space="preserve">Express </w:t>
      </w:r>
      <w:r>
        <w:t>will not provide service to the satisfaction of the Commission.  The Commission’s Order</w:t>
      </w:r>
      <w:r w:rsidR="00AD1083">
        <w:t> </w:t>
      </w:r>
      <w:r>
        <w:t xml:space="preserve">17 seems to be saying that it has no intention to do so, although that is not entirely clear.  </w:t>
      </w:r>
      <w:r w:rsidRPr="008E7845">
        <w:rPr>
          <w:i/>
        </w:rPr>
        <w:t>See id.,</w:t>
      </w:r>
      <w:r>
        <w:t xml:space="preserve"> </w:t>
      </w:r>
      <w:r w:rsidR="008E7845">
        <w:t>¶ 15.  And the</w:t>
      </w:r>
      <w:r w:rsidR="00962820">
        <w:t xml:space="preserve"> Speedishuttle </w:t>
      </w:r>
      <w:r w:rsidR="008E7845">
        <w:t>initial brief focuses the bulk of its argument on “satisfaction” on the alleged violation</w:t>
      </w:r>
      <w:r w:rsidR="00AD1083">
        <w:t>s</w:t>
      </w:r>
      <w:r w:rsidR="008E7845">
        <w:t xml:space="preserve"> by </w:t>
      </w:r>
      <w:r w:rsidR="00EB5449">
        <w:t>Shuttle Express</w:t>
      </w:r>
      <w:r w:rsidR="008E7845">
        <w:t xml:space="preserve">. </w:t>
      </w:r>
      <w:r w:rsidR="00962820">
        <w:t xml:space="preserve"> Speedishuttle </w:t>
      </w:r>
      <w:r w:rsidR="008E7845">
        <w:t>Brief at 37-</w:t>
      </w:r>
      <w:r w:rsidR="00564633">
        <w:t>43.</w:t>
      </w:r>
      <w:r w:rsidR="008E7845">
        <w:t xml:space="preserve">  Regardless, the only new facts that might be construed as supporting a retroactive finding that</w:t>
      </w:r>
      <w:r w:rsidR="00962820">
        <w:t xml:space="preserve"> Shuttle Express </w:t>
      </w:r>
      <w:r w:rsidR="008E7845">
        <w:t>would not serve the territory in it</w:t>
      </w:r>
      <w:r w:rsidR="00EB5449">
        <w:t>s</w:t>
      </w:r>
      <w:r w:rsidR="008E7845">
        <w:t xml:space="preserve"> certificate are those related to the alleged—but unsupportable—violations of laws and rules.  All the other facts in the record indicate that it is </w:t>
      </w:r>
      <w:r w:rsidR="008E7845" w:rsidRPr="008E7845">
        <w:rPr>
          <w:b/>
          <w:u w:val="single"/>
        </w:rPr>
        <w:t>Speedishuttle</w:t>
      </w:r>
      <w:r w:rsidR="008E7845">
        <w:t xml:space="preserve"> that is not </w:t>
      </w:r>
      <w:r w:rsidR="00C64B35">
        <w:t xml:space="preserve">satisfactorily </w:t>
      </w:r>
      <w:r w:rsidR="008E7845">
        <w:t xml:space="preserve">providing the new and supposedly different services that it promised.    </w:t>
      </w:r>
    </w:p>
    <w:p w14:paraId="7638481F" w14:textId="77777777" w:rsidR="00C67445" w:rsidRDefault="00BF6279" w:rsidP="00C67445">
      <w:pPr>
        <w:numPr>
          <w:ilvl w:val="0"/>
          <w:numId w:val="3"/>
        </w:numPr>
        <w:spacing w:after="240"/>
        <w:ind w:left="0" w:hanging="720"/>
      </w:pPr>
      <w:r>
        <w:t>Nor can the use of independent contractors generally—whether lawful or unlawful</w:t>
      </w:r>
      <w:r>
        <w:rPr>
          <w:rStyle w:val="FootnoteReference"/>
        </w:rPr>
        <w:footnoteReference w:id="33"/>
      </w:r>
      <w:r>
        <w:t xml:space="preserve">—support a finding that </w:t>
      </w:r>
      <w:r w:rsidR="0069127F">
        <w:t>Shuttle Express</w:t>
      </w:r>
      <w:r>
        <w:t xml:space="preserve"> is not fully serving the territory, as </w:t>
      </w:r>
      <w:r w:rsidR="0069127F">
        <w:t>Speedishuttle</w:t>
      </w:r>
      <w:r>
        <w:t xml:space="preserve"> argue</w:t>
      </w:r>
      <w:r w:rsidR="002B11C9">
        <w:t>s</w:t>
      </w:r>
      <w:r>
        <w:t xml:space="preserve">.  </w:t>
      </w:r>
      <w:r w:rsidR="00E94F61">
        <w:t xml:space="preserve">The logical extension of their argument is that when </w:t>
      </w:r>
      <w:r w:rsidR="0069127F">
        <w:t>Shuttle Express</w:t>
      </w:r>
      <w:r w:rsidR="00E94F61">
        <w:t xml:space="preserve"> has one passenger going to Duvall or North Bend they either have to use a regulated van and employee at a huge loss, or wait hours </w:t>
      </w:r>
      <w:r w:rsidR="00AD1083">
        <w:t>(</w:t>
      </w:r>
      <w:r w:rsidR="00E94F61">
        <w:t>or even overnight</w:t>
      </w:r>
      <w:r w:rsidR="00AD1083">
        <w:t>)</w:t>
      </w:r>
      <w:r w:rsidR="00E94F61">
        <w:t xml:space="preserve"> until another passenger shows up.</w:t>
      </w:r>
      <w:r w:rsidR="00742EC8">
        <w:rPr>
          <w:rStyle w:val="FootnoteReference"/>
        </w:rPr>
        <w:footnoteReference w:id="34"/>
      </w:r>
      <w:r w:rsidR="00E94F61">
        <w:t xml:space="preserve">  Such an interpretation is not logical and would harm the public interest.  The other interpretation would allow or encourage </w:t>
      </w:r>
      <w:r w:rsidR="0069127F">
        <w:t>Shuttle Express</w:t>
      </w:r>
      <w:r w:rsidR="00E94F61">
        <w:t xml:space="preserve"> to find a lawful alternative, such as single stop limousine service, that is agreed </w:t>
      </w:r>
      <w:r w:rsidR="00E94F61">
        <w:lastRenderedPageBreak/>
        <w:t>to by the passenger, fast, and not nearly as financially harmful, due to the lower cost structure.</w:t>
      </w:r>
      <w:r w:rsidR="00AD1083">
        <w:rPr>
          <w:rStyle w:val="FootnoteReference"/>
        </w:rPr>
        <w:footnoteReference w:id="35"/>
      </w:r>
      <w:r w:rsidR="00E94F61">
        <w:t xml:space="preserve">  The Commission could either interpret this as “serving” the territory, as the </w:t>
      </w:r>
      <w:r w:rsidR="0069127F">
        <w:t>Shuttle Express</w:t>
      </w:r>
      <w:r w:rsidR="00E94F61">
        <w:t xml:space="preserve"> tariff provides,</w:t>
      </w:r>
      <w:r w:rsidR="008F704D">
        <w:rPr>
          <w:rStyle w:val="FootnoteReference"/>
        </w:rPr>
        <w:footnoteReference w:id="36"/>
      </w:r>
      <w:r w:rsidR="00E94F61">
        <w:t xml:space="preserve"> or that the service was </w:t>
      </w:r>
      <w:r w:rsidR="00E94F61" w:rsidRPr="00AD1083">
        <w:rPr>
          <w:i/>
        </w:rPr>
        <w:t>de</w:t>
      </w:r>
      <w:r w:rsidR="008F704D" w:rsidRPr="00AD1083">
        <w:rPr>
          <w:i/>
        </w:rPr>
        <w:t xml:space="preserve"> facto</w:t>
      </w:r>
      <w:r w:rsidR="008F704D">
        <w:t xml:space="preserve"> cancelled when the passenger agreed to the offer of limousine service.</w:t>
      </w:r>
      <w:r w:rsidR="00742EC8">
        <w:rPr>
          <w:rStyle w:val="FootnoteReference"/>
        </w:rPr>
        <w:footnoteReference w:id="37"/>
      </w:r>
      <w:r w:rsidR="008F704D">
        <w:t xml:space="preserve">  In either of these</w:t>
      </w:r>
      <w:r w:rsidR="00AD1083">
        <w:t xml:space="preserve"> more rational</w:t>
      </w:r>
      <w:r w:rsidR="008F704D">
        <w:t xml:space="preserve"> interpretations, there would not have been a failure or refusal of service.  </w:t>
      </w:r>
    </w:p>
    <w:p w14:paraId="661BDBA4" w14:textId="77777777" w:rsidR="005F4F28" w:rsidRDefault="00BB0F72" w:rsidP="00BB0F72">
      <w:pPr>
        <w:pStyle w:val="ListParagraph"/>
        <w:keepNext/>
        <w:numPr>
          <w:ilvl w:val="0"/>
          <w:numId w:val="2"/>
        </w:numPr>
        <w:spacing w:before="0" w:beforeAutospacing="0" w:after="0" w:afterAutospacing="0" w:line="240" w:lineRule="auto"/>
        <w:ind w:left="0" w:firstLine="0"/>
        <w:jc w:val="center"/>
        <w:outlineLvl w:val="0"/>
        <w:rPr>
          <w:b/>
          <w:u w:val="single"/>
        </w:rPr>
      </w:pPr>
      <w:bookmarkStart w:id="9" w:name="_Toc487803869"/>
      <w:r>
        <w:rPr>
          <w:b/>
          <w:u w:val="single"/>
        </w:rPr>
        <w:t xml:space="preserve">THE </w:t>
      </w:r>
      <w:r w:rsidR="00DD7EC4" w:rsidRPr="0074412B">
        <w:rPr>
          <w:b/>
          <w:u w:val="single"/>
        </w:rPr>
        <w:t>REHEARING</w:t>
      </w:r>
      <w:r>
        <w:rPr>
          <w:b/>
          <w:u w:val="single"/>
        </w:rPr>
        <w:t xml:space="preserve"> SUPPORTS A RESTRICTION OR CAN</w:t>
      </w:r>
      <w:r w:rsidR="00EB5449">
        <w:rPr>
          <w:b/>
          <w:u w:val="single"/>
        </w:rPr>
        <w:t>C</w:t>
      </w:r>
      <w:r>
        <w:rPr>
          <w:b/>
          <w:u w:val="single"/>
        </w:rPr>
        <w:t>ELLATION OF THE SPEEDISHUTTLE CERTIFICATE.</w:t>
      </w:r>
      <w:bookmarkEnd w:id="9"/>
    </w:p>
    <w:p w14:paraId="55C60602" w14:textId="77777777" w:rsidR="00BB0F72" w:rsidRPr="0074412B" w:rsidRDefault="00BB0F72" w:rsidP="00962820">
      <w:pPr>
        <w:pStyle w:val="ListParagraph"/>
        <w:keepNext/>
        <w:spacing w:before="0" w:beforeAutospacing="0" w:after="0" w:afterAutospacing="0" w:line="240" w:lineRule="auto"/>
        <w:ind w:left="0"/>
        <w:rPr>
          <w:b/>
          <w:u w:val="single"/>
        </w:rPr>
      </w:pPr>
    </w:p>
    <w:p w14:paraId="28E155FE" w14:textId="77777777" w:rsidR="00F53FF3" w:rsidRPr="00F53FF3" w:rsidRDefault="00BB0F72" w:rsidP="00F53FF3">
      <w:pPr>
        <w:pStyle w:val="ListParagraph"/>
        <w:numPr>
          <w:ilvl w:val="0"/>
          <w:numId w:val="3"/>
        </w:numPr>
        <w:spacing w:before="0" w:beforeAutospacing="0" w:after="0" w:afterAutospacing="0"/>
        <w:ind w:left="0" w:hanging="720"/>
        <w:rPr>
          <w:rFonts w:cs="Times New Roman"/>
          <w:szCs w:val="24"/>
        </w:rPr>
      </w:pPr>
      <w:r>
        <w:rPr>
          <w:rFonts w:cs="Times New Roman"/>
          <w:szCs w:val="24"/>
        </w:rPr>
        <w:t xml:space="preserve">The Commission </w:t>
      </w:r>
      <w:r w:rsidR="003D26DE">
        <w:rPr>
          <w:rFonts w:cs="Times New Roman"/>
          <w:szCs w:val="24"/>
        </w:rPr>
        <w:t xml:space="preserve">has </w:t>
      </w:r>
      <w:r>
        <w:rPr>
          <w:rFonts w:cs="Times New Roman"/>
          <w:szCs w:val="24"/>
        </w:rPr>
        <w:t>repeatedly stated</w:t>
      </w:r>
      <w:r w:rsidR="003D26DE">
        <w:rPr>
          <w:rFonts w:cs="Times New Roman"/>
          <w:szCs w:val="24"/>
        </w:rPr>
        <w:t>,</w:t>
      </w:r>
      <w:r>
        <w:rPr>
          <w:rFonts w:cs="Times New Roman"/>
          <w:szCs w:val="24"/>
        </w:rPr>
        <w:t xml:space="preserve"> in Orders 02</w:t>
      </w:r>
      <w:r w:rsidR="009C372E">
        <w:rPr>
          <w:rFonts w:cs="Times New Roman"/>
          <w:szCs w:val="24"/>
        </w:rPr>
        <w:t>,</w:t>
      </w:r>
      <w:r>
        <w:rPr>
          <w:rFonts w:cs="Times New Roman"/>
          <w:szCs w:val="24"/>
        </w:rPr>
        <w:t xml:space="preserve"> 04</w:t>
      </w:r>
      <w:r w:rsidR="009C372E">
        <w:rPr>
          <w:rFonts w:cs="Times New Roman"/>
          <w:szCs w:val="24"/>
        </w:rPr>
        <w:t>, 08, and 09</w:t>
      </w:r>
      <w:r w:rsidR="003D26DE">
        <w:rPr>
          <w:rFonts w:cs="Times New Roman"/>
          <w:szCs w:val="24"/>
        </w:rPr>
        <w:t>,</w:t>
      </w:r>
      <w:r>
        <w:rPr>
          <w:rFonts w:cs="Times New Roman"/>
          <w:szCs w:val="24"/>
        </w:rPr>
        <w:t xml:space="preserve"> that </w:t>
      </w:r>
      <w:r w:rsidR="009C372E">
        <w:rPr>
          <w:rFonts w:cs="Times New Roman"/>
          <w:szCs w:val="24"/>
        </w:rPr>
        <w:t>the</w:t>
      </w:r>
      <w:r w:rsidR="00962820">
        <w:rPr>
          <w:rFonts w:cs="Times New Roman"/>
          <w:szCs w:val="24"/>
        </w:rPr>
        <w:t xml:space="preserve"> Speedishuttle </w:t>
      </w:r>
      <w:r w:rsidR="009C372E">
        <w:rPr>
          <w:rFonts w:cs="Times New Roman"/>
          <w:szCs w:val="24"/>
        </w:rPr>
        <w:t xml:space="preserve">application was granted based on a proposal to provide a “different service than the service Shuttle Express provides.”  </w:t>
      </w:r>
      <w:r w:rsidR="009C372E" w:rsidRPr="009C372E">
        <w:rPr>
          <w:rFonts w:cs="Times New Roman"/>
          <w:i/>
          <w:szCs w:val="24"/>
        </w:rPr>
        <w:t>E.g.,</w:t>
      </w:r>
      <w:r w:rsidR="009C372E">
        <w:rPr>
          <w:rFonts w:cs="Times New Roman"/>
          <w:szCs w:val="24"/>
        </w:rPr>
        <w:t xml:space="preserve"> Order 08, ¶ 2</w:t>
      </w:r>
      <w:r w:rsidR="00C9092D">
        <w:rPr>
          <w:rFonts w:cs="Times New Roman"/>
          <w:szCs w:val="24"/>
        </w:rPr>
        <w:t>4</w:t>
      </w:r>
      <w:r w:rsidR="009C372E">
        <w:rPr>
          <w:rFonts w:cs="Times New Roman"/>
          <w:szCs w:val="24"/>
        </w:rPr>
        <w:t>.  Indeed</w:t>
      </w:r>
      <w:r w:rsidR="003D26DE">
        <w:rPr>
          <w:rFonts w:cs="Times New Roman"/>
          <w:szCs w:val="24"/>
        </w:rPr>
        <w:t>,</w:t>
      </w:r>
      <w:r w:rsidR="009C372E">
        <w:rPr>
          <w:rFonts w:cs="Times New Roman"/>
          <w:szCs w:val="24"/>
        </w:rPr>
        <w:t xml:space="preserve"> in Order 09, the </w:t>
      </w:r>
      <w:r w:rsidR="00541E6A">
        <w:rPr>
          <w:rFonts w:cs="Times New Roman"/>
          <w:szCs w:val="24"/>
        </w:rPr>
        <w:t xml:space="preserve">Commission noted </w:t>
      </w:r>
      <w:r w:rsidR="003D26DE">
        <w:rPr>
          <w:rFonts w:cs="Times New Roman"/>
          <w:szCs w:val="24"/>
        </w:rPr>
        <w:t xml:space="preserve">(correctly) </w:t>
      </w:r>
      <w:r w:rsidR="00541E6A">
        <w:rPr>
          <w:rFonts w:cs="Times New Roman"/>
          <w:szCs w:val="24"/>
        </w:rPr>
        <w:t>that under RCW 81.68.040</w:t>
      </w:r>
      <w:r w:rsidR="00FE3243">
        <w:rPr>
          <w:rFonts w:cs="Times New Roman"/>
          <w:szCs w:val="24"/>
        </w:rPr>
        <w:fldChar w:fldCharType="begin"/>
      </w:r>
      <w:r w:rsidR="00FE3243">
        <w:instrText xml:space="preserve"> TA \s "RCW 81.68.040" </w:instrText>
      </w:r>
      <w:r w:rsidR="00FE3243">
        <w:rPr>
          <w:rFonts w:cs="Times New Roman"/>
          <w:szCs w:val="24"/>
        </w:rPr>
        <w:fldChar w:fldCharType="end"/>
      </w:r>
      <w:r w:rsidR="00541E6A">
        <w:rPr>
          <w:rFonts w:cs="Times New Roman"/>
          <w:szCs w:val="24"/>
        </w:rPr>
        <w:t xml:space="preserve"> the</w:t>
      </w:r>
      <w:r w:rsidR="00541E6A" w:rsidRPr="00541E6A">
        <w:rPr>
          <w:rFonts w:cs="Times New Roman"/>
          <w:szCs w:val="24"/>
        </w:rPr>
        <w:t xml:space="preserve"> Commission, </w:t>
      </w:r>
      <w:r w:rsidR="00541E6A">
        <w:rPr>
          <w:rFonts w:cs="Times New Roman"/>
          <w:szCs w:val="24"/>
        </w:rPr>
        <w:t>“</w:t>
      </w:r>
      <w:r w:rsidR="00541E6A" w:rsidRPr="00541E6A">
        <w:rPr>
          <w:rFonts w:cs="Times New Roman"/>
          <w:szCs w:val="24"/>
        </w:rPr>
        <w:t>cannot authorize any other carrier to offer the same service in that</w:t>
      </w:r>
      <w:r w:rsidR="00541E6A">
        <w:rPr>
          <w:rFonts w:cs="Times New Roman"/>
          <w:szCs w:val="24"/>
        </w:rPr>
        <w:t xml:space="preserve"> [Shuttle Express]</w:t>
      </w:r>
      <w:r w:rsidR="00541E6A" w:rsidRPr="00541E6A">
        <w:rPr>
          <w:rFonts w:cs="Times New Roman"/>
          <w:szCs w:val="24"/>
        </w:rPr>
        <w:t xml:space="preserve"> area </w:t>
      </w:r>
      <w:r w:rsidR="00541E6A">
        <w:rPr>
          <w:rFonts w:cs="Times New Roman"/>
          <w:szCs w:val="24"/>
        </w:rPr>
        <w:t>….”  Order 09, ¶ 11.  Further, it emphatically stated that “</w:t>
      </w:r>
      <w:r w:rsidR="00541E6A" w:rsidRPr="00541E6A">
        <w:rPr>
          <w:rFonts w:cs="Times New Roman"/>
          <w:szCs w:val="24"/>
          <w:u w:val="single"/>
        </w:rPr>
        <w:t>Nothing in Order 04</w:t>
      </w:r>
      <w:r w:rsidR="00541E6A" w:rsidRPr="00541E6A">
        <w:rPr>
          <w:rFonts w:cs="Times New Roman"/>
          <w:szCs w:val="24"/>
        </w:rPr>
        <w:t xml:space="preserve"> provides any authority for Speedishuttle to offer </w:t>
      </w:r>
      <w:r w:rsidR="00541E6A" w:rsidRPr="003D26DE">
        <w:rPr>
          <w:rFonts w:cs="Times New Roman"/>
          <w:szCs w:val="24"/>
          <w:u w:val="single"/>
        </w:rPr>
        <w:t>the same service</w:t>
      </w:r>
      <w:r w:rsidR="00541E6A" w:rsidRPr="00541E6A">
        <w:rPr>
          <w:rFonts w:cs="Times New Roman"/>
          <w:szCs w:val="24"/>
        </w:rPr>
        <w:t xml:space="preserve"> Shuttle Express provides.</w:t>
      </w:r>
      <w:r w:rsidR="00541E6A">
        <w:rPr>
          <w:rFonts w:cs="Times New Roman"/>
          <w:szCs w:val="24"/>
        </w:rPr>
        <w:t xml:space="preserve">  </w:t>
      </w:r>
      <w:r w:rsidR="00541E6A">
        <w:rPr>
          <w:szCs w:val="24"/>
        </w:rPr>
        <w:t xml:space="preserve">…  [W]e can only act within the parameters the legislature has established, and </w:t>
      </w:r>
      <w:r w:rsidR="00541E6A" w:rsidRPr="00AD1083">
        <w:rPr>
          <w:szCs w:val="24"/>
          <w:u w:val="single"/>
        </w:rPr>
        <w:t>we cannot authorize competition beyond our statutory limitations</w:t>
      </w:r>
      <w:r w:rsidR="00AD1083">
        <w:rPr>
          <w:rFonts w:cs="Times New Roman"/>
          <w:szCs w:val="24"/>
        </w:rPr>
        <w:t>.</w:t>
      </w:r>
      <w:r w:rsidR="00541E6A">
        <w:rPr>
          <w:rFonts w:cs="Times New Roman"/>
          <w:szCs w:val="24"/>
        </w:rPr>
        <w:t xml:space="preserve">”  </w:t>
      </w:r>
      <w:r w:rsidR="00541E6A" w:rsidRPr="00541E6A">
        <w:rPr>
          <w:rFonts w:cs="Times New Roman"/>
          <w:i/>
          <w:szCs w:val="24"/>
        </w:rPr>
        <w:t>Id.,</w:t>
      </w:r>
      <w:r w:rsidR="00541E6A">
        <w:rPr>
          <w:rFonts w:cs="Times New Roman"/>
          <w:szCs w:val="24"/>
        </w:rPr>
        <w:t xml:space="preserve"> ¶¶ 12, 14</w:t>
      </w:r>
      <w:r w:rsidR="00F53FF3">
        <w:rPr>
          <w:rFonts w:cs="Times New Roman"/>
          <w:szCs w:val="24"/>
        </w:rPr>
        <w:t xml:space="preserve"> (emphasis added)</w:t>
      </w:r>
      <w:r w:rsidR="00541E6A">
        <w:rPr>
          <w:rFonts w:cs="Times New Roman"/>
          <w:szCs w:val="24"/>
        </w:rPr>
        <w:t>.  The Commi</w:t>
      </w:r>
      <w:r w:rsidR="00F53FF3">
        <w:rPr>
          <w:rFonts w:cs="Times New Roman"/>
          <w:szCs w:val="24"/>
        </w:rPr>
        <w:t>ssion concluded by stating:</w:t>
      </w:r>
    </w:p>
    <w:p w14:paraId="67ACADE3" w14:textId="77777777" w:rsidR="00F53FF3" w:rsidRDefault="00F53FF3" w:rsidP="003D26DE">
      <w:pPr>
        <w:spacing w:before="0" w:beforeAutospacing="0" w:after="0" w:afterAutospacing="0" w:line="240" w:lineRule="auto"/>
        <w:ind w:left="720" w:right="720"/>
        <w:rPr>
          <w:rFonts w:cs="Times New Roman"/>
          <w:szCs w:val="24"/>
        </w:rPr>
      </w:pPr>
      <w:r w:rsidRPr="003D26DE">
        <w:rPr>
          <w:szCs w:val="24"/>
        </w:rPr>
        <w:t>The Commission approved the company’s business plan as describing a new service. If Speedishuttle has not determined how to implement that plan consistent with its regulatory obligations, this proceeding will provide the company with an opportunity to do so.</w:t>
      </w:r>
    </w:p>
    <w:p w14:paraId="6697DBA4" w14:textId="77777777" w:rsidR="003D26DE" w:rsidRPr="003D26DE" w:rsidRDefault="003D26DE" w:rsidP="003D26DE">
      <w:pPr>
        <w:spacing w:before="0" w:beforeAutospacing="0" w:after="0" w:afterAutospacing="0" w:line="240" w:lineRule="auto"/>
        <w:ind w:left="720" w:right="720"/>
        <w:rPr>
          <w:rFonts w:cs="Times New Roman"/>
          <w:szCs w:val="24"/>
        </w:rPr>
      </w:pPr>
    </w:p>
    <w:p w14:paraId="6AD21E48" w14:textId="77777777" w:rsidR="00D32B7F" w:rsidRPr="001D0D18" w:rsidRDefault="00541E6A" w:rsidP="00F53FF3">
      <w:pPr>
        <w:pStyle w:val="ListParagraph"/>
        <w:spacing w:before="0" w:beforeAutospacing="0" w:after="0" w:afterAutospacing="0"/>
        <w:ind w:left="0"/>
        <w:rPr>
          <w:rFonts w:cs="Times New Roman"/>
          <w:szCs w:val="24"/>
        </w:rPr>
      </w:pPr>
      <w:r w:rsidRPr="00F53FF3">
        <w:rPr>
          <w:rFonts w:cs="Times New Roman"/>
          <w:i/>
          <w:szCs w:val="24"/>
        </w:rPr>
        <w:lastRenderedPageBreak/>
        <w:t>Id</w:t>
      </w:r>
      <w:r>
        <w:rPr>
          <w:rFonts w:cs="Times New Roman"/>
          <w:szCs w:val="24"/>
        </w:rPr>
        <w:t xml:space="preserve">., ¶ 16.     </w:t>
      </w:r>
    </w:p>
    <w:p w14:paraId="19E0AC17" w14:textId="77777777" w:rsidR="005F4F28" w:rsidRPr="005F4F28" w:rsidRDefault="001C5E99" w:rsidP="00C80C8A">
      <w:pPr>
        <w:pStyle w:val="ListParagraph"/>
        <w:numPr>
          <w:ilvl w:val="0"/>
          <w:numId w:val="3"/>
        </w:numPr>
        <w:spacing w:before="0" w:beforeAutospacing="0" w:after="0" w:afterAutospacing="0"/>
        <w:ind w:left="0" w:hanging="720"/>
        <w:rPr>
          <w:b/>
          <w:u w:val="single"/>
        </w:rPr>
      </w:pPr>
      <w:r>
        <w:rPr>
          <w:rFonts w:cs="Times New Roman"/>
          <w:szCs w:val="24"/>
        </w:rPr>
        <w:t>Now</w:t>
      </w:r>
      <w:r w:rsidR="00F53FF3">
        <w:rPr>
          <w:szCs w:val="24"/>
        </w:rPr>
        <w:t xml:space="preserve"> is </w:t>
      </w:r>
      <w:r>
        <w:rPr>
          <w:szCs w:val="24"/>
        </w:rPr>
        <w:t xml:space="preserve">the </w:t>
      </w:r>
      <w:r w:rsidR="00F53FF3">
        <w:rPr>
          <w:szCs w:val="24"/>
        </w:rPr>
        <w:t>time</w:t>
      </w:r>
      <w:r w:rsidR="003D26DE">
        <w:rPr>
          <w:szCs w:val="24"/>
        </w:rPr>
        <w:t xml:space="preserve"> in this docket</w:t>
      </w:r>
      <w:r w:rsidR="00F53FF3">
        <w:rPr>
          <w:szCs w:val="24"/>
        </w:rPr>
        <w:t xml:space="preserve"> for the Commission to “provide the company with an opportunity” to implement the business plan that enabled the Commission to certify a “different” service.  Shuttle Express has suggested three simple and direct conditions that would require</w:t>
      </w:r>
      <w:r w:rsidR="00962820">
        <w:rPr>
          <w:szCs w:val="24"/>
        </w:rPr>
        <w:t xml:space="preserve"> Speedishuttle </w:t>
      </w:r>
      <w:r w:rsidR="00F53FF3">
        <w:rPr>
          <w:szCs w:val="24"/>
        </w:rPr>
        <w:t>to implement what it promised.  If those are objectionable to</w:t>
      </w:r>
      <w:r w:rsidR="00962820">
        <w:rPr>
          <w:szCs w:val="24"/>
        </w:rPr>
        <w:t xml:space="preserve"> Speedishuttle </w:t>
      </w:r>
      <w:r w:rsidR="00F53FF3">
        <w:rPr>
          <w:szCs w:val="24"/>
        </w:rPr>
        <w:t>or the Commission deems them an inadequate or infeasible remedy, then</w:t>
      </w:r>
      <w:r w:rsidR="00962820">
        <w:rPr>
          <w:szCs w:val="24"/>
        </w:rPr>
        <w:t xml:space="preserve"> Speedishuttle’s </w:t>
      </w:r>
      <w:r w:rsidR="00F53FF3">
        <w:rPr>
          <w:szCs w:val="24"/>
        </w:rPr>
        <w:t>certificate should be cancelled</w:t>
      </w:r>
      <w:r w:rsidR="00C80C8A">
        <w:t>.</w:t>
      </w:r>
      <w:r w:rsidR="00C80C8A" w:rsidRPr="005F4F28">
        <w:rPr>
          <w:b/>
          <w:u w:val="single"/>
        </w:rPr>
        <w:t xml:space="preserve"> </w:t>
      </w:r>
    </w:p>
    <w:p w14:paraId="5B36B29D" w14:textId="77777777" w:rsidR="00C96711" w:rsidRPr="00F02BC6" w:rsidRDefault="00AF6990" w:rsidP="00F02BC6">
      <w:pPr>
        <w:pStyle w:val="ListParagraph"/>
        <w:keepNext/>
        <w:numPr>
          <w:ilvl w:val="0"/>
          <w:numId w:val="8"/>
        </w:numPr>
        <w:spacing w:before="0" w:beforeAutospacing="0" w:after="240" w:afterAutospacing="0" w:line="240" w:lineRule="auto"/>
        <w:ind w:left="720"/>
        <w:contextualSpacing w:val="0"/>
        <w:outlineLvl w:val="1"/>
        <w:rPr>
          <w:b/>
          <w:u w:val="single"/>
        </w:rPr>
      </w:pPr>
      <w:bookmarkStart w:id="10" w:name="_Toc487803870"/>
      <w:r>
        <w:rPr>
          <w:b/>
          <w:u w:val="single"/>
        </w:rPr>
        <w:t>Speedishuttle</w:t>
      </w:r>
      <w:r w:rsidR="00F02BC6">
        <w:rPr>
          <w:b/>
          <w:u w:val="single"/>
        </w:rPr>
        <w:t xml:space="preserve"> unquestionably pursued its certificate by proposing a</w:t>
      </w:r>
      <w:r w:rsidR="003D26DE">
        <w:rPr>
          <w:b/>
          <w:u w:val="single"/>
        </w:rPr>
        <w:t xml:space="preserve"> </w:t>
      </w:r>
      <w:r w:rsidR="00C96711" w:rsidRPr="00DD7EC4">
        <w:rPr>
          <w:b/>
          <w:u w:val="single"/>
        </w:rPr>
        <w:t>“different”</w:t>
      </w:r>
      <w:r w:rsidR="00F02BC6">
        <w:rPr>
          <w:b/>
          <w:u w:val="single"/>
        </w:rPr>
        <w:t xml:space="preserve"> service that would expand the number of share ride passengers for all carriers</w:t>
      </w:r>
      <w:r w:rsidR="003D26DE" w:rsidRPr="00F02BC6">
        <w:rPr>
          <w:b/>
          <w:u w:val="single"/>
        </w:rPr>
        <w:t>.</w:t>
      </w:r>
      <w:bookmarkEnd w:id="10"/>
    </w:p>
    <w:p w14:paraId="5C6F1D15" w14:textId="77777777" w:rsidR="006A2C46" w:rsidRDefault="00621F7A" w:rsidP="006A2C46">
      <w:pPr>
        <w:pStyle w:val="ListParagraph"/>
        <w:numPr>
          <w:ilvl w:val="0"/>
          <w:numId w:val="3"/>
        </w:numPr>
        <w:spacing w:before="0" w:beforeAutospacing="0" w:after="0" w:afterAutospacing="0"/>
        <w:ind w:left="0" w:hanging="720"/>
      </w:pPr>
      <w:r>
        <w:t>Speedishuttle</w:t>
      </w:r>
      <w:r w:rsidR="006A2C46">
        <w:t xml:space="preserve">’s application sought to “operate in a territory already served by a certificate holder,” </w:t>
      </w:r>
      <w:r w:rsidR="006A2C46" w:rsidRPr="006A2C46">
        <w:rPr>
          <w:i/>
        </w:rPr>
        <w:t>i.e</w:t>
      </w:r>
      <w:r w:rsidR="0039332B">
        <w:rPr>
          <w:i/>
        </w:rPr>
        <w:t>.</w:t>
      </w:r>
      <w:r w:rsidR="006A2C46">
        <w:t>, Shuttle Express</w:t>
      </w:r>
      <w:r w:rsidR="003D26DE">
        <w:t>, which is generally prohibited by RCW 81.68.040</w:t>
      </w:r>
      <w:r w:rsidR="00FE3243">
        <w:fldChar w:fldCharType="begin"/>
      </w:r>
      <w:r w:rsidR="00FE3243">
        <w:instrText xml:space="preserve"> TA \s "RCW 81.68.040" </w:instrText>
      </w:r>
      <w:r w:rsidR="00FE3243">
        <w:fldChar w:fldCharType="end"/>
      </w:r>
      <w:r w:rsidR="003D26DE">
        <w:t xml:space="preserve">.  To get around that statutory bar, the Commission—upon invitation and urging of </w:t>
      </w:r>
      <w:r w:rsidR="00EB5449">
        <w:t>Speedishuttle</w:t>
      </w:r>
      <w:r w:rsidR="003D26DE">
        <w:t>—</w:t>
      </w:r>
      <w:r w:rsidR="006A2C46">
        <w:t>grant</w:t>
      </w:r>
      <w:r w:rsidR="003D26DE">
        <w:t>ed</w:t>
      </w:r>
      <w:r w:rsidR="006A2C46">
        <w:t xml:space="preserve"> service in the same territory served by Shuttle Express by finding that, “Speedishuttle </w:t>
      </w:r>
      <w:r w:rsidR="006A2C46" w:rsidRPr="006A2C46">
        <w:rPr>
          <w:u w:val="single"/>
        </w:rPr>
        <w:t xml:space="preserve">does not propose to offer the same service </w:t>
      </w:r>
      <w:r w:rsidR="006A2C46">
        <w:t xml:space="preserve">Shuttle Express provides….” </w:t>
      </w:r>
      <w:r w:rsidR="003D26DE">
        <w:rPr>
          <w:i/>
        </w:rPr>
        <w:t>E.g.</w:t>
      </w:r>
      <w:r w:rsidR="003D26DE">
        <w:t xml:space="preserve">, Order No. 04, ¶ 17 </w:t>
      </w:r>
      <w:r w:rsidR="006A2C46">
        <w:t>(emphasis added).</w:t>
      </w:r>
      <w:r w:rsidR="00916A07">
        <w:t xml:space="preserve">  Speedishuttle’s assertion now that the Commission always understood it was proposing to serve the general public the same as Shuttle Express thus runs counter to every single prior order in the dockets.</w:t>
      </w:r>
    </w:p>
    <w:p w14:paraId="2DBB859F" w14:textId="77777777" w:rsidR="009000D2" w:rsidRDefault="00EB5449" w:rsidP="001C5E99">
      <w:pPr>
        <w:pStyle w:val="ListParagraph"/>
        <w:numPr>
          <w:ilvl w:val="0"/>
          <w:numId w:val="3"/>
        </w:numPr>
        <w:ind w:left="0" w:hanging="720"/>
      </w:pPr>
      <w:r>
        <w:t xml:space="preserve">Speedishuttle </w:t>
      </w:r>
      <w:r w:rsidR="003D26DE">
        <w:t>urged the “different”</w:t>
      </w:r>
      <w:r w:rsidR="0031465E">
        <w:t xml:space="preserve"> finding and grant, going so far as to state that Shuttle Express was not “providing and </w:t>
      </w:r>
      <w:r w:rsidR="0031465E" w:rsidRPr="00E366F3">
        <w:rPr>
          <w:u w:val="single"/>
        </w:rPr>
        <w:t>could [not] provide the same service</w:t>
      </w:r>
      <w:r w:rsidR="0031465E">
        <w:t xml:space="preserve"> as that proposed by the applicant….”  TR. at 142 (emphasis added).  The Commission accepted this premise and </w:t>
      </w:r>
      <w:r w:rsidR="00AF6990">
        <w:t xml:space="preserve">the </w:t>
      </w:r>
      <w:r w:rsidR="0031465E">
        <w:t xml:space="preserve">underlying promises of a unique service not currently offered.  </w:t>
      </w:r>
      <w:r w:rsidR="0031465E" w:rsidRPr="00E366F3">
        <w:rPr>
          <w:i/>
        </w:rPr>
        <w:t>See, e.g.</w:t>
      </w:r>
      <w:r w:rsidR="0031465E">
        <w:t xml:space="preserve"> Order 04, ¶ 20 (“there is an entire demographic of travelers whose </w:t>
      </w:r>
      <w:r w:rsidR="0031465E" w:rsidRPr="00E366F3">
        <w:rPr>
          <w:u w:val="single"/>
        </w:rPr>
        <w:t>needs cannot be met</w:t>
      </w:r>
      <w:r w:rsidR="0031465E">
        <w:t xml:space="preserve"> by Shuttle Express[]….” </w:t>
      </w:r>
      <w:r w:rsidR="001F4046">
        <w:t xml:space="preserve"> (Emphasis added). </w:t>
      </w:r>
      <w:r w:rsidR="0031465E">
        <w:t xml:space="preserve"> But today, faced with overwhelming and largely undisputed evidence that</w:t>
      </w:r>
      <w:r w:rsidR="00962820">
        <w:t xml:space="preserve"> Speedishuttle </w:t>
      </w:r>
      <w:r w:rsidR="0031465E">
        <w:t xml:space="preserve">is </w:t>
      </w:r>
      <w:r w:rsidR="00E366F3">
        <w:t xml:space="preserve">serving exactly the demographic that Shuttle Express not only “could” serve, but </w:t>
      </w:r>
      <w:r w:rsidR="00E366F3">
        <w:lastRenderedPageBreak/>
        <w:t>in fact was serving,</w:t>
      </w:r>
      <w:r w:rsidR="00962820">
        <w:t xml:space="preserve"> Speedishuttle </w:t>
      </w:r>
      <w:r w:rsidR="00E366F3">
        <w:t xml:space="preserve">changes its tune dramatically.  Now it asserts that the Commission can authorize an overlapping certificate and </w:t>
      </w:r>
      <w:r w:rsidR="00E366F3" w:rsidRPr="009000D2">
        <w:rPr>
          <w:u w:val="single"/>
        </w:rPr>
        <w:t>intended</w:t>
      </w:r>
      <w:r w:rsidR="00E366F3">
        <w:t xml:space="preserve"> to do so:  “</w:t>
      </w:r>
      <w:r w:rsidR="009000D2">
        <w:t>[T]</w:t>
      </w:r>
      <w:r w:rsidR="00E366F3">
        <w:t xml:space="preserve">he Commission must have understood that </w:t>
      </w:r>
      <w:r w:rsidR="00E366F3" w:rsidRPr="009000D2">
        <w:rPr>
          <w:u w:val="single"/>
        </w:rPr>
        <w:t>Speedishuttle would serve the general public</w:t>
      </w:r>
      <w:r w:rsidR="00E366F3">
        <w:t xml:space="preserve"> and made its finding that Speedishuttle did not propose to provide the same service without regard to whether that service would be limited to a particular subset of the general population.”</w:t>
      </w:r>
      <w:r w:rsidR="009000D2">
        <w:t xml:space="preserve"> </w:t>
      </w:r>
      <w:r w:rsidR="00962820">
        <w:t xml:space="preserve"> Speedishuttle </w:t>
      </w:r>
      <w:r w:rsidR="00D80E2C">
        <w:t>Brief, ¶ 53.</w:t>
      </w:r>
    </w:p>
    <w:p w14:paraId="0E01FA2F" w14:textId="77777777" w:rsidR="00A86F0C" w:rsidRDefault="009000D2" w:rsidP="00F02BC6">
      <w:pPr>
        <w:pStyle w:val="ListParagraph"/>
        <w:numPr>
          <w:ilvl w:val="0"/>
          <w:numId w:val="3"/>
        </w:numPr>
        <w:ind w:left="0" w:hanging="720"/>
      </w:pPr>
      <w:r>
        <w:t>The entire record in this case belies</w:t>
      </w:r>
      <w:r w:rsidR="00962820">
        <w:t xml:space="preserve"> Speedishuttle’s </w:t>
      </w:r>
      <w:r>
        <w:t>latest arguments that it always proposed to serve the same passengers as</w:t>
      </w:r>
      <w:r w:rsidR="00962820">
        <w:t xml:space="preserve"> Shuttle Express </w:t>
      </w:r>
      <w:r>
        <w:t xml:space="preserve">was already serving.  Rather, the record is replete with indications that the Commission tried to follow the statute and thought it was doing so.  </w:t>
      </w:r>
      <w:r w:rsidRPr="00A86F0C">
        <w:rPr>
          <w:i/>
        </w:rPr>
        <w:t>See, e.g.,</w:t>
      </w:r>
      <w:r w:rsidR="00D96F8F">
        <w:t xml:space="preserve"> Order No. 08, </w:t>
      </w:r>
      <w:r>
        <w:t>¶ 23 (“</w:t>
      </w:r>
      <w:r w:rsidRPr="009000D2">
        <w:t xml:space="preserve">While some competition at the margins of the respective customer groups may be inevitable, </w:t>
      </w:r>
      <w:r w:rsidRPr="00A86F0C">
        <w:rPr>
          <w:u w:val="single"/>
        </w:rPr>
        <w:t>the Commission did not contemplate that Speedishuttle would offer to serve any and all customers</w:t>
      </w:r>
      <w:r w:rsidRPr="009000D2">
        <w:t xml:space="preserve"> seeking door-to-door service to or from the airport.</w:t>
      </w:r>
      <w:r>
        <w:t>”</w:t>
      </w:r>
      <w:r w:rsidR="00D80E2C">
        <w:t xml:space="preserve"> (emphasis added)</w:t>
      </w:r>
      <w:r w:rsidR="00A86F0C">
        <w:t xml:space="preserve">). </w:t>
      </w:r>
    </w:p>
    <w:p w14:paraId="7CE7933E" w14:textId="77777777" w:rsidR="00F02BC6" w:rsidRPr="00ED161F" w:rsidRDefault="00A86F0C" w:rsidP="00F02BC6">
      <w:pPr>
        <w:pStyle w:val="ListParagraph"/>
        <w:numPr>
          <w:ilvl w:val="0"/>
          <w:numId w:val="3"/>
        </w:numPr>
        <w:spacing w:before="0" w:beforeAutospacing="0" w:after="0" w:afterAutospacing="0"/>
        <w:ind w:left="0" w:hanging="720"/>
        <w:rPr>
          <w:b/>
          <w:u w:val="single"/>
        </w:rPr>
      </w:pPr>
      <w:r>
        <w:t>There can be no serious question that the Commission had good reason to understand that</w:t>
      </w:r>
      <w:r w:rsidR="00A40784">
        <w:t xml:space="preserve"> Speedishuttle </w:t>
      </w:r>
      <w:r>
        <w:t xml:space="preserve">was basing its application on being “different,” not the same.  As just one example:  “Your Honor, the reason we're laying foundation on this is to be able to </w:t>
      </w:r>
      <w:r w:rsidRPr="00F02BC6">
        <w:rPr>
          <w:u w:val="single"/>
        </w:rPr>
        <w:t>differentiate service</w:t>
      </w:r>
      <w:r>
        <w:t xml:space="preserve"> to show that </w:t>
      </w:r>
      <w:r w:rsidRPr="00F02BC6">
        <w:rPr>
          <w:u w:val="single"/>
        </w:rPr>
        <w:t>we are not the same service as is being offered</w:t>
      </w:r>
      <w:r>
        <w:t xml:space="preserve"> by the objectors….”  TR at 26 (applicant’s counsel)(emphasis added).  And following up on that persistent theme, the ALJ attempted to get applicant’s witness to support the “different” meme:  “But they also offer do</w:t>
      </w:r>
      <w:r w:rsidR="00F02BC6">
        <w:t>o</w:t>
      </w:r>
      <w:r>
        <w:t>r-to-door service, which is the same as what you're proposing to provide ….  How are they different?”  TR. at 43.</w:t>
      </w:r>
      <w:r w:rsidR="00F02BC6">
        <w:rPr>
          <w:rStyle w:val="FootnoteReference"/>
        </w:rPr>
        <w:footnoteReference w:id="38"/>
      </w:r>
      <w:r w:rsidR="00ED161F">
        <w:t xml:space="preserve"> </w:t>
      </w:r>
    </w:p>
    <w:p w14:paraId="797708CB" w14:textId="77777777" w:rsidR="00D63DC5" w:rsidRPr="00D63DC5" w:rsidRDefault="00AF6990" w:rsidP="00F02BC6">
      <w:pPr>
        <w:pStyle w:val="ListParagraph"/>
        <w:numPr>
          <w:ilvl w:val="0"/>
          <w:numId w:val="3"/>
        </w:numPr>
        <w:spacing w:before="0" w:beforeAutospacing="0" w:after="0" w:afterAutospacing="0"/>
        <w:ind w:left="0" w:hanging="720"/>
        <w:rPr>
          <w:b/>
          <w:u w:val="single"/>
        </w:rPr>
      </w:pPr>
      <w:r>
        <w:lastRenderedPageBreak/>
        <w:t>Speedishuttle</w:t>
      </w:r>
      <w:r w:rsidR="00ED161F">
        <w:t xml:space="preserve"> also explicitly led the Commission to believe that by providing “different” service to the unserved niche, the total number of share ride passengers would increase, “to the benefit of all providers.”</w:t>
      </w:r>
      <w:r w:rsidR="00ED161F">
        <w:rPr>
          <w:rStyle w:val="FootnoteReference"/>
        </w:rPr>
        <w:footnoteReference w:id="39"/>
      </w:r>
      <w:r w:rsidR="00ED161F">
        <w:t xml:space="preserve">  It was a key theme of the case and essential that</w:t>
      </w:r>
      <w:r w:rsidR="00A40784">
        <w:t xml:space="preserve"> Speedishuttle </w:t>
      </w:r>
      <w:r w:rsidR="00ED161F">
        <w:t>not appear to be merely serving the “general public,” which would violate RCW 81.68.040</w:t>
      </w:r>
      <w:r w:rsidR="00FE3243">
        <w:fldChar w:fldCharType="begin"/>
      </w:r>
      <w:r w:rsidR="00FE3243">
        <w:instrText xml:space="preserve"> TA \s "RCW 81.68.040" </w:instrText>
      </w:r>
      <w:r w:rsidR="00FE3243">
        <w:fldChar w:fldCharType="end"/>
      </w:r>
      <w:r w:rsidR="00ED161F">
        <w:t>.  For example, Mr. Morton’s support statement sums up the theme very well:</w:t>
      </w:r>
    </w:p>
    <w:p w14:paraId="1FD52A07" w14:textId="77777777" w:rsidR="00ED161F" w:rsidRPr="00ED161F" w:rsidRDefault="00ED161F" w:rsidP="00D63DC5">
      <w:pPr>
        <w:pStyle w:val="ListParagraph"/>
        <w:spacing w:before="0" w:beforeAutospacing="0" w:after="0" w:afterAutospacing="0" w:line="240" w:lineRule="auto"/>
        <w:ind w:right="720"/>
        <w:rPr>
          <w:b/>
          <w:u w:val="single"/>
        </w:rPr>
      </w:pPr>
      <w:r>
        <w:t xml:space="preserve">We have thus committed </w:t>
      </w:r>
      <w:r w:rsidR="00D63DC5">
        <w:t xml:space="preserve">to attempting to open our </w:t>
      </w:r>
      <w:r w:rsidR="00D63DC5" w:rsidRPr="00D63DC5">
        <w:rPr>
          <w:u w:val="single"/>
        </w:rPr>
        <w:t>uniqu</w:t>
      </w:r>
      <w:r w:rsidRPr="00D63DC5">
        <w:rPr>
          <w:u w:val="single"/>
        </w:rPr>
        <w:t>e form of operations</w:t>
      </w:r>
      <w:r>
        <w:t xml:space="preserve"> … to the Washington marketplace which we believe may have the ultimate effect of enhancing recognition of the availability, viability, convenience and value of door-to-door airport shuttle service in this marketplace.  We ultimately believe that </w:t>
      </w:r>
      <w:r w:rsidRPr="00D63DC5">
        <w:rPr>
          <w:u w:val="single"/>
        </w:rPr>
        <w:t>our entrance</w:t>
      </w:r>
      <w:r>
        <w:t xml:space="preserve"> into this arena may well </w:t>
      </w:r>
      <w:r w:rsidRPr="00D63DC5">
        <w:rPr>
          <w:u w:val="single"/>
        </w:rPr>
        <w:t>have the effect of improving the financial and operational stat</w:t>
      </w:r>
      <w:r w:rsidR="00D63DC5" w:rsidRPr="00D63DC5">
        <w:rPr>
          <w:u w:val="single"/>
        </w:rPr>
        <w:t>us of most e</w:t>
      </w:r>
      <w:r w:rsidRPr="00D63DC5">
        <w:rPr>
          <w:u w:val="single"/>
        </w:rPr>
        <w:t>xisting providers</w:t>
      </w:r>
      <w:r>
        <w:t xml:space="preserve"> in the marketplace.</w:t>
      </w:r>
    </w:p>
    <w:p w14:paraId="4FBA1C51" w14:textId="77777777" w:rsidR="00ED161F" w:rsidRDefault="00ED161F" w:rsidP="00D63DC5">
      <w:pPr>
        <w:spacing w:before="0" w:beforeAutospacing="0" w:after="0" w:afterAutospacing="0" w:line="240" w:lineRule="auto"/>
        <w:ind w:left="720" w:right="720"/>
      </w:pPr>
    </w:p>
    <w:p w14:paraId="31DD3E19" w14:textId="77777777" w:rsidR="00ED161F" w:rsidRDefault="00ED161F" w:rsidP="00D63DC5">
      <w:pPr>
        <w:spacing w:before="0" w:beforeAutospacing="0" w:after="0" w:afterAutospacing="0" w:line="240" w:lineRule="auto"/>
        <w:ind w:left="720" w:right="720"/>
      </w:pPr>
      <w:r>
        <w:t>[O]ur experience generally</w:t>
      </w:r>
      <w:r w:rsidR="00D63DC5">
        <w:t xml:space="preserve"> i</w:t>
      </w:r>
      <w:r>
        <w:t xml:space="preserve">n the Hawaiian marketplace is that it has been </w:t>
      </w:r>
      <w:r w:rsidR="00D63DC5">
        <w:t xml:space="preserve">a positive when an experienced </w:t>
      </w:r>
      <w:r>
        <w:t>provide</w:t>
      </w:r>
      <w:r w:rsidR="00D63DC5">
        <w:t>r</w:t>
      </w:r>
      <w:r>
        <w:t xml:space="preserve"> enters the marketplace and we subsequently compet</w:t>
      </w:r>
      <w:r w:rsidR="00D63DC5">
        <w:t>e</w:t>
      </w:r>
      <w:r>
        <w:t xml:space="preserve"> for exi</w:t>
      </w:r>
      <w:r w:rsidR="00D63DC5">
        <w:t>stin</w:t>
      </w:r>
      <w:r>
        <w:t xml:space="preserve">g and </w:t>
      </w:r>
      <w:r w:rsidR="00D63DC5" w:rsidRPr="00D63DC5">
        <w:rPr>
          <w:u w:val="single"/>
        </w:rPr>
        <w:t xml:space="preserve">expanding customer bases in the </w:t>
      </w:r>
      <w:r w:rsidR="00D63DC5">
        <w:rPr>
          <w:u w:val="single"/>
        </w:rPr>
        <w:t>airport ground passenger transp</w:t>
      </w:r>
      <w:r w:rsidR="00D63DC5" w:rsidRPr="00D63DC5">
        <w:rPr>
          <w:u w:val="single"/>
        </w:rPr>
        <w:t>o</w:t>
      </w:r>
      <w:r w:rsidR="00D63DC5">
        <w:rPr>
          <w:u w:val="single"/>
        </w:rPr>
        <w:t>r</w:t>
      </w:r>
      <w:r w:rsidR="00D63DC5" w:rsidRPr="00D63DC5">
        <w:rPr>
          <w:u w:val="single"/>
        </w:rPr>
        <w:t>tation</w:t>
      </w:r>
      <w:r w:rsidR="00D63DC5">
        <w:t xml:space="preserve"> </w:t>
      </w:r>
      <w:r>
        <w:t>business.</w:t>
      </w:r>
    </w:p>
    <w:p w14:paraId="0FA4036D" w14:textId="77777777" w:rsidR="00916A07" w:rsidRDefault="00916A07" w:rsidP="00916A07">
      <w:pPr>
        <w:spacing w:before="0" w:beforeAutospacing="0" w:after="0" w:afterAutospacing="0" w:line="240" w:lineRule="auto"/>
        <w:contextualSpacing/>
      </w:pPr>
    </w:p>
    <w:p w14:paraId="222424DF" w14:textId="77777777" w:rsidR="00A166E8" w:rsidRDefault="00D63DC5" w:rsidP="00ED161F">
      <w:pPr>
        <w:spacing w:before="0" w:beforeAutospacing="0" w:after="0" w:afterAutospacing="0"/>
      </w:pPr>
      <w:r>
        <w:t xml:space="preserve">Ex. </w:t>
      </w:r>
      <w:r w:rsidR="00CA6939">
        <w:t>HJR-72X</w:t>
      </w:r>
      <w:r>
        <w:t xml:space="preserve">, ¶¶ 5-6 (emphasis added). </w:t>
      </w:r>
      <w:r w:rsidR="00A166E8">
        <w:t xml:space="preserve"> </w:t>
      </w:r>
    </w:p>
    <w:p w14:paraId="5FA7424C" w14:textId="77777777" w:rsidR="00ED161F" w:rsidRPr="00A166E8" w:rsidRDefault="00D63DC5" w:rsidP="00A166E8">
      <w:pPr>
        <w:pStyle w:val="ListParagraph"/>
        <w:numPr>
          <w:ilvl w:val="0"/>
          <w:numId w:val="3"/>
        </w:numPr>
        <w:spacing w:before="0" w:beforeAutospacing="0" w:after="0" w:afterAutospacing="0"/>
        <w:ind w:left="0" w:hanging="720"/>
        <w:rPr>
          <w:b/>
          <w:u w:val="single"/>
        </w:rPr>
      </w:pPr>
      <w:r>
        <w:t>The</w:t>
      </w:r>
      <w:r w:rsidR="00A40784">
        <w:t xml:space="preserve"> Speedishuttle </w:t>
      </w:r>
      <w:r>
        <w:t>Brief deals with this inconvenient truth</w:t>
      </w:r>
      <w:r w:rsidR="00A166E8">
        <w:t xml:space="preserve"> of its past representations</w:t>
      </w:r>
      <w:r>
        <w:t xml:space="preserve"> by arguing that</w:t>
      </w:r>
      <w:r w:rsidR="00A40784">
        <w:t xml:space="preserve"> Speedishuttle </w:t>
      </w:r>
      <w:r>
        <w:t xml:space="preserve">never “promised” to increase the total number of passengers.   </w:t>
      </w:r>
      <w:r w:rsidRPr="00A166E8">
        <w:rPr>
          <w:i/>
        </w:rPr>
        <w:t>Id</w:t>
      </w:r>
      <w:r w:rsidR="00A166E8" w:rsidRPr="00A166E8">
        <w:rPr>
          <w:i/>
        </w:rPr>
        <w:t>.</w:t>
      </w:r>
      <w:r w:rsidRPr="00A166E8">
        <w:rPr>
          <w:i/>
        </w:rPr>
        <w:t>,</w:t>
      </w:r>
      <w:r w:rsidR="00F561CB">
        <w:t xml:space="preserve"> ¶ 37.  That is</w:t>
      </w:r>
      <w:r w:rsidR="00AD1083">
        <w:t xml:space="preserve"> literally</w:t>
      </w:r>
      <w:r>
        <w:t xml:space="preserve"> true, but immaterial.  The statements, testimony, and arguments of counsel</w:t>
      </w:r>
      <w:r w:rsidR="00A166E8">
        <w:t xml:space="preserve"> were accepted by the Commission in its final order, which grant</w:t>
      </w:r>
      <w:r w:rsidR="00916A07">
        <w:t>ed</w:t>
      </w:r>
      <w:r w:rsidR="00A166E8">
        <w:t xml:space="preserve"> au</w:t>
      </w:r>
      <w:r w:rsidR="00916A07">
        <w:t xml:space="preserve">thority for what it thought was </w:t>
      </w:r>
      <w:r w:rsidR="00A166E8">
        <w:t xml:space="preserve"> “[a]</w:t>
      </w:r>
      <w:r w:rsidR="00A166E8" w:rsidRPr="00A166E8">
        <w:t>n entirely different business model that appeals to and serves a certain subset of the market – like Speedishuttle prop</w:t>
      </w:r>
      <w:r w:rsidR="00A166E8">
        <w:t>oses to offer….”  Order 04, ¶</w:t>
      </w:r>
      <w:r w:rsidR="00AD1083">
        <w:t> </w:t>
      </w:r>
      <w:r w:rsidR="00A166E8">
        <w:t>32.  Had</w:t>
      </w:r>
      <w:r w:rsidR="00A40784">
        <w:t xml:space="preserve"> Speedishuttle </w:t>
      </w:r>
      <w:r w:rsidR="00A166E8">
        <w:t>lived up to its hype, it would be serving a “subset” that was not being served by</w:t>
      </w:r>
      <w:r w:rsidR="00A40784">
        <w:t xml:space="preserve"> Shuttle Express </w:t>
      </w:r>
      <w:r w:rsidR="00A166E8">
        <w:t>and thereby “expand[ed] the customer bases” as Mr. Morton said.</w:t>
      </w:r>
      <w:r w:rsidR="00AD1083">
        <w:t xml:space="preserve">  The expectations that </w:t>
      </w:r>
      <w:r w:rsidR="0069127F">
        <w:t>Speedishuttle</w:t>
      </w:r>
      <w:r w:rsidR="00AD1083">
        <w:t xml:space="preserve"> </w:t>
      </w:r>
      <w:r w:rsidR="003C2C0A">
        <w:t xml:space="preserve">created and </w:t>
      </w:r>
      <w:r w:rsidR="00AD1083">
        <w:t>cultivated have not been performed or borne out.</w:t>
      </w:r>
    </w:p>
    <w:p w14:paraId="2EA73BCC" w14:textId="77777777" w:rsidR="00F02BC6" w:rsidRDefault="00F02BC6" w:rsidP="00F02BC6">
      <w:pPr>
        <w:pStyle w:val="ListParagraph"/>
        <w:keepNext/>
        <w:numPr>
          <w:ilvl w:val="0"/>
          <w:numId w:val="8"/>
        </w:numPr>
        <w:spacing w:before="0" w:beforeAutospacing="0" w:after="240" w:afterAutospacing="0" w:line="240" w:lineRule="auto"/>
        <w:ind w:left="720"/>
        <w:contextualSpacing w:val="0"/>
        <w:outlineLvl w:val="1"/>
        <w:rPr>
          <w:b/>
          <w:u w:val="single"/>
        </w:rPr>
      </w:pPr>
      <w:bookmarkStart w:id="11" w:name="_Toc487803871"/>
      <w:r>
        <w:rPr>
          <w:b/>
          <w:u w:val="single"/>
        </w:rPr>
        <w:lastRenderedPageBreak/>
        <w:t>To grant a proposed overlapping</w:t>
      </w:r>
      <w:r w:rsidRPr="00DD7EC4">
        <w:rPr>
          <w:b/>
          <w:u w:val="single"/>
        </w:rPr>
        <w:t xml:space="preserve"> service </w:t>
      </w:r>
      <w:r>
        <w:rPr>
          <w:b/>
          <w:u w:val="single"/>
        </w:rPr>
        <w:t xml:space="preserve">as </w:t>
      </w:r>
      <w:r w:rsidRPr="00DD7EC4">
        <w:rPr>
          <w:b/>
          <w:u w:val="single"/>
        </w:rPr>
        <w:t>“different”</w:t>
      </w:r>
      <w:r>
        <w:rPr>
          <w:b/>
          <w:u w:val="single"/>
        </w:rPr>
        <w:t xml:space="preserve"> from the service of the incumbent, the differences must be material—real and not illusory.</w:t>
      </w:r>
      <w:bookmarkEnd w:id="11"/>
    </w:p>
    <w:p w14:paraId="60ADC0F2" w14:textId="77777777" w:rsidR="00E366F3" w:rsidRDefault="00E366F3" w:rsidP="00E366F3">
      <w:pPr>
        <w:pStyle w:val="ListParagraph"/>
        <w:numPr>
          <w:ilvl w:val="0"/>
          <w:numId w:val="3"/>
        </w:numPr>
        <w:ind w:left="0" w:hanging="720"/>
      </w:pPr>
      <w:r>
        <w:t>As Mr. Wood detailed in his testimony airport share ride model at Sea-Tac is a natural monopoly.</w:t>
      </w:r>
      <w:r w:rsidR="00ED414C">
        <w:rPr>
          <w:rStyle w:val="FootnoteReference"/>
        </w:rPr>
        <w:footnoteReference w:id="40"/>
      </w:r>
      <w:r>
        <w:t xml:space="preserve">  Unrestricted entry and unregulated competition in a market with such characteristics can be harmful to the public interest, if not ruinous.</w:t>
      </w:r>
      <w:r w:rsidR="00ED414C">
        <w:rPr>
          <w:rStyle w:val="FootnoteReference"/>
        </w:rPr>
        <w:footnoteReference w:id="41"/>
      </w:r>
      <w:r>
        <w:t xml:space="preserve">  The legislature enacted RCW 81.68.040</w:t>
      </w:r>
      <w:r w:rsidR="00FE3243">
        <w:fldChar w:fldCharType="begin"/>
      </w:r>
      <w:r w:rsidR="00FE3243">
        <w:instrText xml:space="preserve"> TA \s "RCW 81.68.040" </w:instrText>
      </w:r>
      <w:r w:rsidR="00FE3243">
        <w:fldChar w:fldCharType="end"/>
      </w:r>
      <w:r>
        <w:t xml:space="preserve"> to ensure that such destructive competition could not occur.  And the Commission</w:t>
      </w:r>
      <w:r w:rsidR="00EB5449">
        <w:t>’s</w:t>
      </w:r>
      <w:r>
        <w:t xml:space="preserve"> attempt to follow that law by approving what was represented to be a “different” service to an “unserved demographic.”  As Mr. Wood explained, if the statu</w:t>
      </w:r>
      <w:r w:rsidR="00EB5449">
        <w:t>t</w:t>
      </w:r>
      <w:r>
        <w:t>e and Commission’s intent</w:t>
      </w:r>
      <w:r w:rsidR="009000D2">
        <w:t>ions</w:t>
      </w:r>
      <w:r>
        <w:t xml:space="preserve"> are to be carried out, the differences must be real.</w:t>
      </w:r>
      <w:r w:rsidR="009000D2">
        <w:t xml:space="preserve">  Otherwise it would be too easy to propose non-material distinctions that make no difference in the actual transportation of passengers</w:t>
      </w:r>
      <w:r w:rsidR="00D80E2C">
        <w:t xml:space="preserve"> within a territory, which is what the statute addresses.</w:t>
      </w:r>
    </w:p>
    <w:p w14:paraId="6E78A3FC" w14:textId="77777777" w:rsidR="00905443" w:rsidRDefault="00C14811" w:rsidP="00EF57D1">
      <w:pPr>
        <w:pStyle w:val="ListParagraph"/>
        <w:numPr>
          <w:ilvl w:val="0"/>
          <w:numId w:val="3"/>
        </w:numPr>
        <w:ind w:left="0" w:hanging="720"/>
      </w:pPr>
      <w:r>
        <w:t>The Commission appears to agree that an applicant cannot merely “offer” a different service, but must actually “provide” it: “</w:t>
      </w:r>
      <w:r w:rsidRPr="00C14811">
        <w:t xml:space="preserve">Speedishuttle, therefore, </w:t>
      </w:r>
      <w:r w:rsidRPr="00C14811">
        <w:rPr>
          <w:u w:val="single"/>
        </w:rPr>
        <w:t>may provide only</w:t>
      </w:r>
      <w:r w:rsidRPr="00C14811">
        <w:t xml:space="preserve"> the auto transportation service </w:t>
      </w:r>
      <w:r w:rsidRPr="00C14811">
        <w:rPr>
          <w:u w:val="single"/>
        </w:rPr>
        <w:t>that the Commission found was different</w:t>
      </w:r>
      <w:r w:rsidRPr="00C14811">
        <w:t xml:space="preserve"> than Shuttle Express’ service</w:t>
      </w:r>
      <w:r>
        <w:t>.”  Order 08, ¶ 23 (emphasis added).  Were this not the case, applicants could “offer” all sorts of features or frills, like free candy canes or “extra courteous service.”  But offers that are never provided because they are never</w:t>
      </w:r>
      <w:r w:rsidR="001F3769">
        <w:t xml:space="preserve"> actually</w:t>
      </w:r>
      <w:r>
        <w:t xml:space="preserve"> used fail the </w:t>
      </w:r>
      <w:r w:rsidR="003C2C0A">
        <w:t xml:space="preserve">other fundamental </w:t>
      </w:r>
      <w:r>
        <w:t xml:space="preserve">statutory </w:t>
      </w:r>
      <w:r w:rsidR="003C2C0A">
        <w:t>prerequisite, which is</w:t>
      </w:r>
      <w:r>
        <w:t xml:space="preserve"> that </w:t>
      </w:r>
      <w:r w:rsidR="00905443">
        <w:t>the “public convenie</w:t>
      </w:r>
      <w:r w:rsidR="003C2C0A">
        <w:t>nce and necessity require[s]” the new certificate</w:t>
      </w:r>
      <w:r w:rsidR="00905443">
        <w:t>.  RCW 81.68.040</w:t>
      </w:r>
      <w:r w:rsidR="00FE3243">
        <w:fldChar w:fldCharType="begin"/>
      </w:r>
      <w:r w:rsidR="00FE3243">
        <w:instrText xml:space="preserve"> TA \s "RCW 81.68.040" </w:instrText>
      </w:r>
      <w:r w:rsidR="00FE3243">
        <w:fldChar w:fldCharType="end"/>
      </w:r>
      <w:r w:rsidR="00905443">
        <w:t xml:space="preserve">.  </w:t>
      </w:r>
      <w:r w:rsidR="003C2C0A">
        <w:t>And “</w:t>
      </w:r>
      <w:r w:rsidR="00905443" w:rsidRPr="00905443">
        <w:t>p</w:t>
      </w:r>
      <w:r w:rsidR="003C2C0A">
        <w:t>ublic convenience and necessity” is unambiguously defined by rule to “</w:t>
      </w:r>
      <w:r w:rsidR="00905443" w:rsidRPr="00905443">
        <w:t>mean</w:t>
      </w:r>
      <w:r w:rsidR="003C2C0A">
        <w:t>[]</w:t>
      </w:r>
      <w:r w:rsidR="00905443" w:rsidRPr="00905443">
        <w:t xml:space="preserve"> that every member of the public should be reasonably afforded the opportunity to receive auto transportation service from a person or company certificated by the commission.</w:t>
      </w:r>
      <w:r w:rsidR="00905443">
        <w:t>”  WAC 480-30-140</w:t>
      </w:r>
      <w:r w:rsidR="00EA7BDD">
        <w:fldChar w:fldCharType="begin"/>
      </w:r>
      <w:r w:rsidR="00EA7BDD">
        <w:instrText xml:space="preserve"> TA \s "WAC 480-30-140" </w:instrText>
      </w:r>
      <w:r w:rsidR="00EA7BDD">
        <w:fldChar w:fldCharType="end"/>
      </w:r>
      <w:r w:rsidR="00905443">
        <w:t>(1)</w:t>
      </w:r>
      <w:r w:rsidR="00EA7BDD">
        <w:fldChar w:fldCharType="begin"/>
      </w:r>
      <w:r w:rsidR="00EA7BDD">
        <w:instrText xml:space="preserve"> TA \l "</w:instrText>
      </w:r>
      <w:r w:rsidR="00EA7BDD" w:rsidRPr="00230F09">
        <w:instrText>WAC 480-30-140(1)</w:instrText>
      </w:r>
      <w:r w:rsidR="00EA7BDD">
        <w:instrText xml:space="preserve">" \s "WAC 480-30-140(1)" \c 5 </w:instrText>
      </w:r>
      <w:r w:rsidR="00EA7BDD">
        <w:fldChar w:fldCharType="end"/>
      </w:r>
      <w:r w:rsidR="00905443">
        <w:t>(a)</w:t>
      </w:r>
      <w:r w:rsidR="00FE3243">
        <w:fldChar w:fldCharType="begin"/>
      </w:r>
      <w:r w:rsidR="00FE3243">
        <w:instrText xml:space="preserve"> TA \l "</w:instrText>
      </w:r>
      <w:r w:rsidR="00FE3243" w:rsidRPr="005A47FE">
        <w:instrText>WAC 480-30-140(1)(a)</w:instrText>
      </w:r>
      <w:r w:rsidR="00FE3243">
        <w:instrText xml:space="preserve">" \s "WAC 480-30-140(1)(a)" \c 5 </w:instrText>
      </w:r>
      <w:r w:rsidR="00FE3243">
        <w:fldChar w:fldCharType="end"/>
      </w:r>
      <w:r w:rsidR="00905443">
        <w:t xml:space="preserve">.  </w:t>
      </w:r>
    </w:p>
    <w:p w14:paraId="2537E70C" w14:textId="77777777" w:rsidR="00D55DD5" w:rsidRPr="005F4F28" w:rsidRDefault="00905443" w:rsidP="00D55DD5">
      <w:pPr>
        <w:pStyle w:val="ListParagraph"/>
        <w:numPr>
          <w:ilvl w:val="0"/>
          <w:numId w:val="3"/>
        </w:numPr>
        <w:spacing w:before="0" w:beforeAutospacing="0" w:after="0" w:afterAutospacing="0"/>
        <w:ind w:left="0" w:hanging="720"/>
        <w:rPr>
          <w:b/>
          <w:u w:val="single"/>
        </w:rPr>
      </w:pPr>
      <w:r>
        <w:lastRenderedPageBreak/>
        <w:t xml:space="preserve">Candy canes and extra courteous service obviously are not “necessary” to afford the public a reasonable opportunity for transportation.  But what about multilingual service, TV, and the other features the Commission relied on </w:t>
      </w:r>
      <w:r w:rsidR="00F85B83">
        <w:t>collectively</w:t>
      </w:r>
      <w:r>
        <w:t>?  Again, they must be judged under the standard of “public convenience and necessity” as defined by the Commission.  There is no competent evidence that a single passenger that</w:t>
      </w:r>
      <w:r w:rsidR="00A40784">
        <w:t xml:space="preserve"> Speedishuttle </w:t>
      </w:r>
      <w:r>
        <w:t xml:space="preserve">has actually carried would not have had the opportunity to receive service from </w:t>
      </w:r>
      <w:r w:rsidR="006A7033">
        <w:t>Shuttle Express</w:t>
      </w:r>
      <w:r>
        <w:t xml:space="preserve">.  In fact, all the evidence points the other way. </w:t>
      </w:r>
      <w:r w:rsidR="00A40784">
        <w:t xml:space="preserve"> Speedishuttle </w:t>
      </w:r>
      <w:r>
        <w:t>has not had a single booking in a language other than English on its website.</w:t>
      </w:r>
      <w:r w:rsidR="00ED414C">
        <w:rPr>
          <w:rStyle w:val="FootnoteReference"/>
        </w:rPr>
        <w:footnoteReference w:id="42"/>
      </w:r>
      <w:r>
        <w:t xml:space="preserve">  It does not even know if and when the TV sets are turned on or watched in its vans, let alone whether </w:t>
      </w:r>
      <w:r w:rsidR="00EF57D1">
        <w:t>they have attracted a single passenger.</w:t>
      </w:r>
      <w:r w:rsidR="00ED414C">
        <w:rPr>
          <w:rStyle w:val="FootnoteReference"/>
        </w:rPr>
        <w:footnoteReference w:id="43"/>
      </w:r>
      <w:r w:rsidR="00EF57D1">
        <w:t xml:space="preserve">  Nor does it bother to track who, if anyone, uses its wi-fi</w:t>
      </w:r>
      <w:r w:rsidR="00EB4910">
        <w:t xml:space="preserve"> or its mobile apps</w:t>
      </w:r>
      <w:r w:rsidR="00EF57D1">
        <w:t>.</w:t>
      </w:r>
      <w:r w:rsidR="00ED414C">
        <w:rPr>
          <w:rStyle w:val="FootnoteReference"/>
        </w:rPr>
        <w:footnoteReference w:id="44"/>
      </w:r>
      <w:r w:rsidR="00EF57D1">
        <w:t xml:space="preserve">  Thus, the “offer” of multi-lingual websites </w:t>
      </w:r>
      <w:r w:rsidR="00EB4910">
        <w:t xml:space="preserve">and other features </w:t>
      </w:r>
      <w:r w:rsidR="00EF57D1">
        <w:t xml:space="preserve">without actual usage is meaningless.  Because it is not being </w:t>
      </w:r>
      <w:r w:rsidR="00EF57D1" w:rsidRPr="00B40A87">
        <w:rPr>
          <w:u w:val="single"/>
        </w:rPr>
        <w:t>provided</w:t>
      </w:r>
      <w:r w:rsidR="00EF57D1">
        <w:t xml:space="preserve"> to any passengers,</w:t>
      </w:r>
      <w:r w:rsidR="00EF57D1">
        <w:rPr>
          <w:rStyle w:val="FootnoteReference"/>
        </w:rPr>
        <w:footnoteReference w:id="45"/>
      </w:r>
      <w:r w:rsidR="00EF57D1">
        <w:t xml:space="preserve"> the public convenience and necessity clearly did not “require” the feature.</w:t>
      </w:r>
      <w:r w:rsidR="00D55DD5" w:rsidRPr="00D55DD5">
        <w:rPr>
          <w:szCs w:val="24"/>
        </w:rPr>
        <w:t xml:space="preserve"> </w:t>
      </w:r>
    </w:p>
    <w:p w14:paraId="18551004" w14:textId="77777777" w:rsidR="00D55DD5" w:rsidRDefault="00D55DD5" w:rsidP="00D55DD5">
      <w:pPr>
        <w:pStyle w:val="ListParagraph"/>
        <w:keepNext/>
        <w:numPr>
          <w:ilvl w:val="0"/>
          <w:numId w:val="8"/>
        </w:numPr>
        <w:spacing w:before="0" w:beforeAutospacing="0" w:after="240" w:afterAutospacing="0" w:line="240" w:lineRule="auto"/>
        <w:ind w:left="720"/>
        <w:contextualSpacing w:val="0"/>
        <w:outlineLvl w:val="1"/>
        <w:rPr>
          <w:b/>
          <w:u w:val="single"/>
        </w:rPr>
      </w:pPr>
      <w:bookmarkStart w:id="13" w:name="_Toc487803872"/>
      <w:r>
        <w:rPr>
          <w:b/>
          <w:u w:val="single"/>
        </w:rPr>
        <w:t xml:space="preserve">The Petition and Complaint seek to </w:t>
      </w:r>
      <w:r w:rsidRPr="00EB4910">
        <w:rPr>
          <w:b/>
          <w:i/>
          <w:u w:val="single"/>
        </w:rPr>
        <w:t>enforce</w:t>
      </w:r>
      <w:r>
        <w:rPr>
          <w:b/>
          <w:u w:val="single"/>
        </w:rPr>
        <w:t>, not “collaterally attack” Order 04</w:t>
      </w:r>
      <w:r w:rsidR="00EB4910">
        <w:rPr>
          <w:b/>
          <w:u w:val="single"/>
        </w:rPr>
        <w:t xml:space="preserve"> </w:t>
      </w:r>
      <w:r>
        <w:rPr>
          <w:b/>
          <w:u w:val="single"/>
        </w:rPr>
        <w:t>or WAC 480-30-140</w:t>
      </w:r>
      <w:r w:rsidR="00EA7BDD">
        <w:rPr>
          <w:b/>
          <w:u w:val="single"/>
        </w:rPr>
        <w:fldChar w:fldCharType="begin"/>
      </w:r>
      <w:r w:rsidR="00EA7BDD">
        <w:rPr>
          <w:b/>
          <w:u w:val="single"/>
        </w:rPr>
        <w:instrText xml:space="preserve"> TA \s "WAC 480-30-140" </w:instrText>
      </w:r>
      <w:r w:rsidR="00EA7BDD">
        <w:rPr>
          <w:b/>
          <w:u w:val="single"/>
        </w:rPr>
        <w:fldChar w:fldCharType="end"/>
      </w:r>
      <w:r>
        <w:rPr>
          <w:b/>
          <w:u w:val="single"/>
        </w:rPr>
        <w:t>.</w:t>
      </w:r>
      <w:bookmarkEnd w:id="13"/>
    </w:p>
    <w:p w14:paraId="125426D3" w14:textId="77777777" w:rsidR="00EF57D1" w:rsidRDefault="00D80E2C" w:rsidP="00D55DD5">
      <w:pPr>
        <w:pStyle w:val="ListParagraph"/>
        <w:numPr>
          <w:ilvl w:val="0"/>
          <w:numId w:val="3"/>
        </w:numPr>
        <w:ind w:left="0" w:hanging="720"/>
      </w:pPr>
      <w:r>
        <w:t>Contrary to</w:t>
      </w:r>
      <w:r w:rsidR="00962820">
        <w:t xml:space="preserve"> Speedishuttle’s </w:t>
      </w:r>
      <w:r>
        <w:t>arguments, the</w:t>
      </w:r>
      <w:r w:rsidR="00962820">
        <w:t xml:space="preserve"> Shuttle Express </w:t>
      </w:r>
      <w:r>
        <w:t xml:space="preserve">Petition and Complaint are not a “collateral attack” on the Commission’s Order 04.  Rather, they are an attempt to </w:t>
      </w:r>
      <w:r w:rsidRPr="00D80E2C">
        <w:rPr>
          <w:u w:val="single"/>
        </w:rPr>
        <w:t xml:space="preserve">enforce </w:t>
      </w:r>
      <w:r>
        <w:t>Order 04.</w:t>
      </w:r>
      <w:r w:rsidR="00D42456">
        <w:rPr>
          <w:rStyle w:val="FootnoteReference"/>
        </w:rPr>
        <w:footnoteReference w:id="46"/>
      </w:r>
      <w:r>
        <w:t xml:space="preserve">  </w:t>
      </w:r>
      <w:r w:rsidR="00EF57D1">
        <w:t>The Commiss</w:t>
      </w:r>
      <w:r w:rsidR="003C2C0A">
        <w:t xml:space="preserve">ion accepted that in providing </w:t>
      </w:r>
      <w:r w:rsidR="00EF57D1">
        <w:t xml:space="preserve">multilingual booking and greeters, TV, and </w:t>
      </w:r>
      <w:r w:rsidR="00EF57D1">
        <w:lastRenderedPageBreak/>
        <w:t>other features</w:t>
      </w:r>
      <w:r w:rsidR="00D55DD5">
        <w:t>,</w:t>
      </w:r>
      <w:r w:rsidR="00EF57D1">
        <w:t xml:space="preserve"> </w:t>
      </w:r>
      <w:r w:rsidR="00D55DD5">
        <w:t>“there [was]</w:t>
      </w:r>
      <w:r w:rsidR="00D55DD5" w:rsidRPr="00D55DD5">
        <w:t xml:space="preserve"> an entire demographic of travelers whose needs cannot be met by Shuttle Express</w:t>
      </w:r>
      <w:r w:rsidR="00D55DD5">
        <w:t xml:space="preserve">[]….”  Order 04, </w:t>
      </w:r>
      <w:r w:rsidR="000E3D34">
        <w:t xml:space="preserve">¶ 20.  </w:t>
      </w:r>
      <w:r w:rsidR="00D55DD5">
        <w:t>Based on the evidence today, either that demographic does not exist or</w:t>
      </w:r>
      <w:r w:rsidR="00A40784">
        <w:t xml:space="preserve"> Speedishuttle </w:t>
      </w:r>
      <w:r w:rsidR="00D55DD5">
        <w:t xml:space="preserve">is failing to serve it.  Some of the features likely are not as essential as was thought and have not been used by the public.  And some of them, like greeters and multilingual greeters and call center agents are not being offered or provided to all passengers, as promised.  </w:t>
      </w:r>
    </w:p>
    <w:p w14:paraId="6B1B934E" w14:textId="77777777" w:rsidR="00FB5706" w:rsidRDefault="00D80E2C" w:rsidP="00D32B7F">
      <w:pPr>
        <w:pStyle w:val="ListParagraph"/>
        <w:numPr>
          <w:ilvl w:val="0"/>
          <w:numId w:val="3"/>
        </w:numPr>
        <w:ind w:left="0" w:hanging="720"/>
      </w:pPr>
      <w:r>
        <w:t>As was discussed in the Initial Brief and below,</w:t>
      </w:r>
      <w:r w:rsidR="00962820">
        <w:t xml:space="preserve"> Shuttle Express </w:t>
      </w:r>
      <w:r>
        <w:t>suggests three conditions be added to</w:t>
      </w:r>
      <w:r w:rsidR="00962820">
        <w:t xml:space="preserve"> Speedishuttle’s </w:t>
      </w:r>
      <w:r>
        <w:t>authority</w:t>
      </w:r>
      <w:r w:rsidR="00FB5706">
        <w:t>.  Those conditions</w:t>
      </w:r>
      <w:r>
        <w:t xml:space="preserve"> </w:t>
      </w:r>
      <w:r w:rsidR="00FB5706">
        <w:t>would further the goals of Order 04 by ensuring</w:t>
      </w:r>
      <w:r>
        <w:t xml:space="preserve"> that</w:t>
      </w:r>
      <w:r w:rsidR="00962820">
        <w:t xml:space="preserve"> Speedishuttle </w:t>
      </w:r>
      <w:r>
        <w:t xml:space="preserve">not only “offers”, but </w:t>
      </w:r>
      <w:r w:rsidRPr="00D80E2C">
        <w:rPr>
          <w:u w:val="single"/>
        </w:rPr>
        <w:t xml:space="preserve">actually </w:t>
      </w:r>
      <w:r w:rsidRPr="00B00B4E">
        <w:rPr>
          <w:b/>
          <w:u w:val="single"/>
        </w:rPr>
        <w:t>provides</w:t>
      </w:r>
      <w:r>
        <w:t xml:space="preserve"> the “different” services that were the basis for the original grant of authority to the substantial majority of the passengers it carries and that are not offered by </w:t>
      </w:r>
      <w:r w:rsidR="007530FF">
        <w:t>Shuttle Express</w:t>
      </w:r>
      <w:r>
        <w:t xml:space="preserve">.  Briefly, those services </w:t>
      </w:r>
      <w:r w:rsidR="000E3D34">
        <w:t xml:space="preserve">offerings that should be enforced </w:t>
      </w:r>
      <w:r>
        <w:t xml:space="preserve">are:  </w:t>
      </w:r>
      <w:r w:rsidR="002B46B8">
        <w:t xml:space="preserve">1) </w:t>
      </w:r>
      <w:r w:rsidR="00FB5706">
        <w:t xml:space="preserve">transportation </w:t>
      </w:r>
      <w:r w:rsidR="005D0CDC">
        <w:t>b</w:t>
      </w:r>
      <w:r>
        <w:t xml:space="preserve">y </w:t>
      </w:r>
      <w:r w:rsidR="00FB5706">
        <w:t>prior reservation only, to be made</w:t>
      </w:r>
      <w:r w:rsidR="005D0CDC">
        <w:t xml:space="preserve"> </w:t>
      </w:r>
      <w:r>
        <w:t>by phone</w:t>
      </w:r>
      <w:r w:rsidR="005D0CDC">
        <w:t>,</w:t>
      </w:r>
      <w:r>
        <w:t xml:space="preserve"> website</w:t>
      </w:r>
      <w:r w:rsidR="005D0CDC">
        <w:t>,</w:t>
      </w:r>
      <w:r>
        <w:t xml:space="preserve"> or mobile application</w:t>
      </w:r>
      <w:r w:rsidR="005D0CDC">
        <w:t xml:space="preserve">; </w:t>
      </w:r>
      <w:r w:rsidR="002B46B8">
        <w:t xml:space="preserve">2) </w:t>
      </w:r>
      <w:r w:rsidR="005D0CDC">
        <w:t>meet</w:t>
      </w:r>
      <w:r w:rsidR="006A7033">
        <w:t>ing</w:t>
      </w:r>
      <w:r w:rsidR="00FB5706">
        <w:t xml:space="preserve"> </w:t>
      </w:r>
      <w:r>
        <w:t xml:space="preserve">every arriving </w:t>
      </w:r>
      <w:r w:rsidR="00FB5706">
        <w:t xml:space="preserve">airline </w:t>
      </w:r>
      <w:r>
        <w:t>passenger at baggage claim</w:t>
      </w:r>
      <w:r w:rsidR="005D0CDC">
        <w:t xml:space="preserve"> or other secured area exit</w:t>
      </w:r>
      <w:r w:rsidR="00FB5706">
        <w:t>, with a greeter holding a sign or tablet bearing each passenger’s name clearly displayed</w:t>
      </w:r>
      <w:r w:rsidR="005D0CDC">
        <w:t xml:space="preserve">; and </w:t>
      </w:r>
      <w:r w:rsidR="002B46B8">
        <w:t xml:space="preserve">3) </w:t>
      </w:r>
      <w:r w:rsidR="006A7033">
        <w:t xml:space="preserve">providing </w:t>
      </w:r>
      <w:r w:rsidR="005D0CDC">
        <w:t>greeter service in the language requested by a customer or if the customer reserved service in a language other than English.</w:t>
      </w:r>
      <w:r w:rsidR="003C2C0A">
        <w:rPr>
          <w:rStyle w:val="FootnoteReference"/>
        </w:rPr>
        <w:footnoteReference w:id="47"/>
      </w:r>
      <w:r w:rsidR="005D0CDC">
        <w:t xml:space="preserve">  </w:t>
      </w:r>
    </w:p>
    <w:p w14:paraId="3E52BBB6" w14:textId="77777777" w:rsidR="00664E77" w:rsidRDefault="005D0CDC" w:rsidP="00664E77">
      <w:pPr>
        <w:pStyle w:val="ListParagraph"/>
        <w:numPr>
          <w:ilvl w:val="0"/>
          <w:numId w:val="3"/>
        </w:numPr>
        <w:ind w:left="0" w:hanging="720"/>
      </w:pPr>
      <w:r>
        <w:lastRenderedPageBreak/>
        <w:t>The servi</w:t>
      </w:r>
      <w:r w:rsidR="00FB5706">
        <w:t>ce conditions that</w:t>
      </w:r>
      <w:r w:rsidR="00962820">
        <w:t xml:space="preserve"> Shuttle Express </w:t>
      </w:r>
      <w:r w:rsidR="00FB5706">
        <w:t>urges are:  1)</w:t>
      </w:r>
      <w:r>
        <w:t xml:space="preserve"> nothing more than what</w:t>
      </w:r>
      <w:r w:rsidR="00962820">
        <w:t xml:space="preserve"> Speedishuttle </w:t>
      </w:r>
      <w:r>
        <w:t>promised to do</w:t>
      </w:r>
      <w:r w:rsidR="00FB5706">
        <w:t>,</w:t>
      </w:r>
      <w:r w:rsidR="000E15F5">
        <w:rPr>
          <w:rStyle w:val="FootnoteReference"/>
        </w:rPr>
        <w:footnoteReference w:id="48"/>
      </w:r>
      <w:r w:rsidR="00FB5706">
        <w:t xml:space="preserve"> 2) nothing more than what </w:t>
      </w:r>
      <w:r>
        <w:t>the Commission said repeatedly th</w:t>
      </w:r>
      <w:r w:rsidR="00FB5706">
        <w:t>at it expected the company to</w:t>
      </w:r>
      <w:r>
        <w:t xml:space="preserve"> do</w:t>
      </w:r>
      <w:r w:rsidR="00FB5706">
        <w:t>,</w:t>
      </w:r>
      <w:r w:rsidR="000E15F5" w:rsidRPr="000E15F5">
        <w:rPr>
          <w:rStyle w:val="FootnoteReference"/>
        </w:rPr>
        <w:t xml:space="preserve"> </w:t>
      </w:r>
      <w:r w:rsidR="000E15F5">
        <w:rPr>
          <w:rStyle w:val="FootnoteReference"/>
        </w:rPr>
        <w:footnoteReference w:id="49"/>
      </w:r>
      <w:r w:rsidR="00FB5706">
        <w:t xml:space="preserve"> 3) nothing more than the public service laws and rules require in order to grant overlapping authority,</w:t>
      </w:r>
      <w:r w:rsidR="000E15F5">
        <w:rPr>
          <w:rStyle w:val="FootnoteReference"/>
        </w:rPr>
        <w:footnoteReference w:id="50"/>
      </w:r>
      <w:r w:rsidR="00FB5706">
        <w:t xml:space="preserve"> and 4) </w:t>
      </w:r>
      <w:r w:rsidR="000E15F5">
        <w:t>essential to ensure the sustainability of airport share ride service and protect the long term public interest.</w:t>
      </w:r>
      <w:r w:rsidR="002B46B8">
        <w:rPr>
          <w:rStyle w:val="FootnoteReference"/>
        </w:rPr>
        <w:footnoteReference w:id="51"/>
      </w:r>
      <w:r w:rsidR="00D80E2C">
        <w:t xml:space="preserve"> </w:t>
      </w:r>
      <w:r w:rsidR="002B46B8">
        <w:t xml:space="preserve"> Speedishuttle has now admitted that it is serving the exact same passengers as Shuttle Express has long served.  It does not deny that the overall market is still shrinking and not growing, as would have been expected by serving the unserved.  And it does not deny that both it and Shuttle Express are losing money, as the market clearly cannot support two carriers serving “any and all customers” who walk up.</w:t>
      </w:r>
      <w:r w:rsidR="002027C9">
        <w:t xml:space="preserve">  Thus, the residents of King County are at risk of losing ubiquitous share ride airport shuttle service currently provided by</w:t>
      </w:r>
      <w:r w:rsidR="00962820">
        <w:t xml:space="preserve"> Shuttle Express</w:t>
      </w:r>
      <w:r w:rsidR="004A3169">
        <w:rPr>
          <w:rStyle w:val="FootnoteReference"/>
        </w:rPr>
        <w:footnoteReference w:id="52"/>
      </w:r>
      <w:r w:rsidR="00962820">
        <w:t xml:space="preserve"> </w:t>
      </w:r>
      <w:r w:rsidR="002027C9">
        <w:t>because</w:t>
      </w:r>
      <w:r w:rsidR="00962820">
        <w:t xml:space="preserve"> Speedishuttle </w:t>
      </w:r>
      <w:r w:rsidR="002027C9">
        <w:t>is not providing the unique services it promised and is instead cream skimming the lucrative and low-cost market for tourists.</w:t>
      </w:r>
      <w:r w:rsidR="004A3169">
        <w:rPr>
          <w:rStyle w:val="FootnoteReference"/>
        </w:rPr>
        <w:footnoteReference w:id="53"/>
      </w:r>
    </w:p>
    <w:p w14:paraId="75B4B9B3" w14:textId="77777777" w:rsidR="000E3D34" w:rsidRDefault="006A7033" w:rsidP="00ED414C">
      <w:pPr>
        <w:pStyle w:val="ListParagraph"/>
        <w:numPr>
          <w:ilvl w:val="0"/>
          <w:numId w:val="3"/>
        </w:numPr>
        <w:spacing w:before="0" w:beforeAutospacing="0" w:after="0" w:afterAutospacing="0"/>
        <w:ind w:left="0" w:hanging="720"/>
      </w:pPr>
      <w:r>
        <w:lastRenderedPageBreak/>
        <w:t xml:space="preserve">Shuttle Express </w:t>
      </w:r>
      <w:r w:rsidR="000E3D34">
        <w:t xml:space="preserve">is </w:t>
      </w:r>
      <w:r w:rsidR="00EB4910">
        <w:t xml:space="preserve">also </w:t>
      </w:r>
      <w:r w:rsidR="000E3D34">
        <w:t>not collaterally attacking WAC 480-30-140</w:t>
      </w:r>
      <w:r w:rsidR="00EA7BDD">
        <w:fldChar w:fldCharType="begin"/>
      </w:r>
      <w:r w:rsidR="00EA7BDD">
        <w:instrText xml:space="preserve"> TA \s "WAC 480-30-140" </w:instrText>
      </w:r>
      <w:r w:rsidR="00EA7BDD">
        <w:fldChar w:fldCharType="end"/>
      </w:r>
      <w:r w:rsidR="000E3D34">
        <w:t xml:space="preserve">, either. </w:t>
      </w:r>
      <w:r w:rsidR="00A40784">
        <w:t xml:space="preserve"> Speedishuttle </w:t>
      </w:r>
      <w:r w:rsidR="000E3D34">
        <w:t xml:space="preserve">focuses its brief on subsection (2), listing the “same service” factors, </w:t>
      </w:r>
      <w:r w:rsidR="001F3769">
        <w:t xml:space="preserve">already </w:t>
      </w:r>
      <w:r w:rsidR="000E3D34">
        <w:t xml:space="preserve">discussed extensively in </w:t>
      </w:r>
      <w:r>
        <w:t xml:space="preserve">Shuttle Express’s </w:t>
      </w:r>
      <w:r w:rsidR="000E3D34">
        <w:t>testimony and</w:t>
      </w:r>
      <w:r w:rsidR="001F3769">
        <w:t xml:space="preserve"> </w:t>
      </w:r>
      <w:r w:rsidR="000E3D34">
        <w:t>briefing.  But both</w:t>
      </w:r>
      <w:r w:rsidR="00A40784">
        <w:t xml:space="preserve"> Speedishuttle </w:t>
      </w:r>
      <w:r w:rsidR="000E3D34">
        <w:t>and Staff completely ignore the equally important WA</w:t>
      </w:r>
      <w:r w:rsidR="00ED414C">
        <w:t>C 480-30-140(1)</w:t>
      </w:r>
      <w:r w:rsidR="00EA7BDD">
        <w:fldChar w:fldCharType="begin"/>
      </w:r>
      <w:r w:rsidR="00EA7BDD">
        <w:instrText xml:space="preserve"> TA \s "WAC 480-30-140(1)" </w:instrText>
      </w:r>
      <w:r w:rsidR="00EA7BDD">
        <w:fldChar w:fldCharType="end"/>
      </w:r>
      <w:r w:rsidR="00ED414C">
        <w:t>, which states:</w:t>
      </w:r>
    </w:p>
    <w:p w14:paraId="31450B9A" w14:textId="77777777" w:rsidR="000E3D34" w:rsidRDefault="000E3D34" w:rsidP="00ED414C">
      <w:pPr>
        <w:spacing w:before="0" w:beforeAutospacing="0" w:after="0" w:afterAutospacing="0" w:line="240" w:lineRule="auto"/>
        <w:ind w:left="720"/>
      </w:pPr>
      <w:r>
        <w:t xml:space="preserve">(1) </w:t>
      </w:r>
      <w:bookmarkStart w:id="14" w:name="_Hlk487637752"/>
      <w:r>
        <w:t>Public convenience and necessity.</w:t>
      </w:r>
    </w:p>
    <w:bookmarkEnd w:id="14"/>
    <w:p w14:paraId="40DAEB49" w14:textId="77777777" w:rsidR="000E3D34" w:rsidRDefault="000E3D34" w:rsidP="000E3D34">
      <w:pPr>
        <w:spacing w:line="240" w:lineRule="auto"/>
        <w:ind w:left="720"/>
      </w:pPr>
      <w:r>
        <w:t xml:space="preserve">(a) In the context of auto transportation services, "public convenience and necessity" means that </w:t>
      </w:r>
      <w:bookmarkStart w:id="15" w:name="_Hlk487638476"/>
      <w:r>
        <w:t xml:space="preserve">every member of the public should be reasonably afforded the opportunity to receive auto transportation service </w:t>
      </w:r>
      <w:bookmarkEnd w:id="15"/>
      <w:r>
        <w:t>from a person or company certificated by the commission.</w:t>
      </w:r>
    </w:p>
    <w:p w14:paraId="29812F48" w14:textId="77777777" w:rsidR="000E3D34" w:rsidRDefault="000E3D34" w:rsidP="000E3D34">
      <w:pPr>
        <w:spacing w:line="240" w:lineRule="auto"/>
        <w:ind w:left="720"/>
      </w:pPr>
      <w:r>
        <w:t>(b) In reviewing applications under this chapter, the commission may, among other things, consider differences in operation, price, market features, and other essential characteristics of a proposed auto transportation service, tailoring its review to the individual circumstances of the application in evaluating whether the public convenience and necessity requires the commission to grant the request for the proposed service and whether an existing company is providing the same service to the satisfaction of the commission. The commission will also consider whether increased competition will benefit the traveling public, including its possible impact on sustainability of service.</w:t>
      </w:r>
    </w:p>
    <w:p w14:paraId="5BFF95E0" w14:textId="77777777" w:rsidR="000E3D34" w:rsidRDefault="000E3D34" w:rsidP="000E3D34">
      <w:pPr>
        <w:pStyle w:val="ListParagraph"/>
        <w:numPr>
          <w:ilvl w:val="0"/>
          <w:numId w:val="3"/>
        </w:numPr>
        <w:ind w:left="0" w:hanging="720"/>
      </w:pPr>
      <w:r>
        <w:t>Neither Order 02 nor Order 04 ever expressly found that the public convenience and necessity “required” the</w:t>
      </w:r>
      <w:r w:rsidR="00A40784">
        <w:t xml:space="preserve"> Speedishuttle </w:t>
      </w:r>
      <w:r>
        <w:t xml:space="preserve">service.  The Commission may have considered that to have been implied.  </w:t>
      </w:r>
      <w:r w:rsidR="00F4346F">
        <w:t>But, since RCW 81.68.040</w:t>
      </w:r>
      <w:r w:rsidR="00FE3243">
        <w:fldChar w:fldCharType="begin"/>
      </w:r>
      <w:r w:rsidR="00FE3243">
        <w:instrText xml:space="preserve"> TA \s "RCW 81.68.040" </w:instrText>
      </w:r>
      <w:r w:rsidR="00FE3243">
        <w:fldChar w:fldCharType="end"/>
      </w:r>
      <w:r w:rsidR="00F4346F">
        <w:t xml:space="preserve"> require</w:t>
      </w:r>
      <w:r w:rsidR="000D5D12">
        <w:t>s a finding of public convenience and necessity</w:t>
      </w:r>
      <w:r w:rsidR="00F4346F">
        <w:t>, on rehearing the Commission must likewise consider it.  And since</w:t>
      </w:r>
      <w:r w:rsidR="00A40784">
        <w:t xml:space="preserve"> Speedishuttle </w:t>
      </w:r>
      <w:r w:rsidR="00F4346F">
        <w:t xml:space="preserve">now admits that it always intended to and does serve the general public in the same manner as </w:t>
      </w:r>
      <w:r w:rsidR="006A7033">
        <w:t>Shuttle Express</w:t>
      </w:r>
      <w:r w:rsidR="00F4346F">
        <w:t>,</w:t>
      </w:r>
      <w:r w:rsidR="00F4346F">
        <w:rPr>
          <w:rStyle w:val="FootnoteReference"/>
        </w:rPr>
        <w:footnoteReference w:id="54"/>
      </w:r>
      <w:r w:rsidR="00F4346F">
        <w:t xml:space="preserve"> it is impossible today to conclude that </w:t>
      </w:r>
      <w:r w:rsidR="006A7033">
        <w:t>Speedishuttle’s</w:t>
      </w:r>
      <w:r w:rsidR="00F4346F">
        <w:t xml:space="preserve"> service is or was necessary to </w:t>
      </w:r>
      <w:r w:rsidR="000D5D12">
        <w:t>ensure that “</w:t>
      </w:r>
      <w:r w:rsidR="00F4346F">
        <w:t xml:space="preserve">every member of the public </w:t>
      </w:r>
      <w:r w:rsidR="000D5D12">
        <w:t>[would]</w:t>
      </w:r>
      <w:r w:rsidR="00F4346F">
        <w:t xml:space="preserve"> be reasonably afforded the opportunity to receive auto transportation service</w:t>
      </w:r>
      <w:r w:rsidR="000D5D12">
        <w:t>.”  The recent record contains no evidence that even a sing</w:t>
      </w:r>
      <w:r w:rsidR="001F3769">
        <w:t xml:space="preserve">le member of the </w:t>
      </w:r>
      <w:r w:rsidR="001F3769">
        <w:lastRenderedPageBreak/>
        <w:t>public was not—or is not—</w:t>
      </w:r>
      <w:r w:rsidR="000D5D12">
        <w:t xml:space="preserve">afforded the opportunity to be served by </w:t>
      </w:r>
      <w:r w:rsidR="006A7033">
        <w:t>Shuttle Express</w:t>
      </w:r>
      <w:r w:rsidR="001F3769">
        <w:t>.  If Speedishuttle does not “afford a reasonable opportunity” for service to some member of the public that is lacking, the Commission cannot find that public convenience and necessity “require” its service under the laws and rules</w:t>
      </w:r>
      <w:r w:rsidR="000D5D12">
        <w:t>.</w:t>
      </w:r>
    </w:p>
    <w:p w14:paraId="7963AA6A" w14:textId="77777777" w:rsidR="000D5D12" w:rsidRDefault="000D5D12" w:rsidP="00EB4910">
      <w:pPr>
        <w:pStyle w:val="ListParagraph"/>
        <w:numPr>
          <w:ilvl w:val="0"/>
          <w:numId w:val="3"/>
        </w:numPr>
        <w:ind w:left="0" w:hanging="720"/>
      </w:pPr>
      <w:r>
        <w:t>Finally,</w:t>
      </w:r>
      <w:r w:rsidR="00A40784">
        <w:t xml:space="preserve"> Speedishuttle </w:t>
      </w:r>
      <w:r>
        <w:t xml:space="preserve">attempts to characterize its application case as having been presented honestly and in good faith.  The Commission made a number of specific findings in Orders 02 and 04 that have not been proved out in practice.  Those findings had to stem from something in the record, and that “something” was the application, supporting statements, testimony, and arguments of </w:t>
      </w:r>
      <w:r w:rsidR="006A7033">
        <w:t>Speedishuttle</w:t>
      </w:r>
      <w:r>
        <w:t>.  Was it all just a big misunderstanding by the Commission or misrepresentation by the applicant?  The Commission could find some of both.  But it does not matter.  The rehearing statute allows the Commission</w:t>
      </w:r>
      <w:r w:rsidR="00EB4910">
        <w:t xml:space="preserve"> to modify or revise Order 04 based on “</w:t>
      </w:r>
      <w:r w:rsidR="00EB4910" w:rsidRPr="00EB4910">
        <w:t xml:space="preserve">changed </w:t>
      </w:r>
      <w:r w:rsidR="00EB4910">
        <w:t xml:space="preserve">conditions … </w:t>
      </w:r>
      <w:r w:rsidR="00EB4910" w:rsidRPr="00EB4910">
        <w:t xml:space="preserve">a result </w:t>
      </w:r>
      <w:r w:rsidR="00EB4910">
        <w:t xml:space="preserve">… </w:t>
      </w:r>
      <w:r w:rsidR="00EB4910" w:rsidRPr="00EB4910">
        <w:t xml:space="preserve"> which was not considered or anticipated at the former hearing, or that the effect of such order has been such as was not contemplated by the commission</w:t>
      </w:r>
      <w:r w:rsidR="00EB4910">
        <w:t>….”</w:t>
      </w:r>
      <w:r w:rsidR="001F3769">
        <w:rPr>
          <w:rStyle w:val="FootnoteReference"/>
        </w:rPr>
        <w:footnoteReference w:id="55"/>
      </w:r>
      <w:r w:rsidR="00EB4910">
        <w:t xml:space="preserve">  Prevarication or malicious intent, while helpful, are not required.  Here, the only rational reading of the Commission’s orders is to the effect that the Commission “contemplated” that</w:t>
      </w:r>
      <w:r w:rsidR="00A40784">
        <w:t xml:space="preserve"> Speedishuttle </w:t>
      </w:r>
      <w:r w:rsidR="00EB4910">
        <w:t xml:space="preserve">would offer a different service, to the then unserved.  The record and </w:t>
      </w:r>
      <w:r w:rsidR="00093339">
        <w:t xml:space="preserve">Speedishuttle’s </w:t>
      </w:r>
      <w:r w:rsidR="00EB4910">
        <w:t>admissions esta</w:t>
      </w:r>
      <w:r w:rsidR="001F3769">
        <w:t xml:space="preserve">blish that that is not what </w:t>
      </w:r>
      <w:r w:rsidR="00EB4910">
        <w:t>happened.</w:t>
      </w:r>
    </w:p>
    <w:p w14:paraId="746854BA" w14:textId="77777777" w:rsidR="00664E77" w:rsidRPr="00576C16" w:rsidRDefault="00664E77" w:rsidP="00664E77">
      <w:pPr>
        <w:pStyle w:val="ListParagraph"/>
        <w:numPr>
          <w:ilvl w:val="0"/>
          <w:numId w:val="8"/>
        </w:numPr>
        <w:spacing w:before="0" w:beforeAutospacing="0" w:after="240" w:afterAutospacing="0" w:line="240" w:lineRule="auto"/>
        <w:ind w:left="720"/>
        <w:contextualSpacing w:val="0"/>
        <w:outlineLvl w:val="1"/>
        <w:rPr>
          <w:b/>
          <w:u w:val="single"/>
        </w:rPr>
      </w:pPr>
      <w:bookmarkStart w:id="16" w:name="_Toc487531801"/>
      <w:bookmarkStart w:id="17" w:name="_Toc487803873"/>
      <w:r>
        <w:rPr>
          <w:b/>
          <w:u w:val="single"/>
        </w:rPr>
        <w:t xml:space="preserve">While Speedishuttle now admits it is serving the “general public,” it continues the </w:t>
      </w:r>
      <w:r w:rsidR="00F85B83">
        <w:rPr>
          <w:b/>
          <w:u w:val="single"/>
        </w:rPr>
        <w:t xml:space="preserve">unsupportable </w:t>
      </w:r>
      <w:r>
        <w:rPr>
          <w:b/>
          <w:u w:val="single"/>
        </w:rPr>
        <w:t>pretense it offers a “different” service.</w:t>
      </w:r>
      <w:bookmarkEnd w:id="16"/>
      <w:bookmarkEnd w:id="17"/>
    </w:p>
    <w:p w14:paraId="61876844" w14:textId="77777777" w:rsidR="00664E77" w:rsidRDefault="00B40A87" w:rsidP="00664E77">
      <w:pPr>
        <w:pStyle w:val="ListParagraph"/>
        <w:numPr>
          <w:ilvl w:val="0"/>
          <w:numId w:val="3"/>
        </w:numPr>
        <w:ind w:left="0" w:hanging="720"/>
      </w:pPr>
      <w:r>
        <w:t xml:space="preserve">Despite admitting it is serving the entire general public, </w:t>
      </w:r>
      <w:r w:rsidR="00664E77">
        <w:t xml:space="preserve">Speedishuttle continues to cling to the fiction that its service is somehow different.  But the record </w:t>
      </w:r>
      <w:r w:rsidR="00C64B35">
        <w:t>on most attributes</w:t>
      </w:r>
      <w:r w:rsidR="00664E77">
        <w:t xml:space="preserve"> provides no support whatsoever for its factual claims.  And</w:t>
      </w:r>
      <w:r>
        <w:t>,</w:t>
      </w:r>
      <w:r w:rsidR="00664E77">
        <w:t xml:space="preserve"> in few cases wh</w:t>
      </w:r>
      <w:r>
        <w:t>ere the facts are as it asserts (</w:t>
      </w:r>
      <w:r w:rsidR="00664E77" w:rsidRPr="00E53438">
        <w:rPr>
          <w:i/>
        </w:rPr>
        <w:t>i.e.,</w:t>
      </w:r>
      <w:r w:rsidR="00664E77">
        <w:t xml:space="preserve"> </w:t>
      </w:r>
      <w:r w:rsidR="00664E77">
        <w:lastRenderedPageBreak/>
        <w:t>the u</w:t>
      </w:r>
      <w:r>
        <w:t>se of Mercedes instead of Fords),</w:t>
      </w:r>
      <w:r w:rsidR="00664E77">
        <w:t xml:space="preserve"> the facts support </w:t>
      </w:r>
      <w:r>
        <w:t xml:space="preserve">only </w:t>
      </w:r>
      <w:r w:rsidR="00664E77">
        <w:t>a distinction</w:t>
      </w:r>
      <w:r w:rsidR="00E53438">
        <w:t xml:space="preserve"> without a difference.  The law</w:t>
      </w:r>
      <w:r w:rsidR="00664E77">
        <w:t xml:space="preserve"> says that Speedishuttle could n</w:t>
      </w:r>
      <w:r w:rsidR="00C64B35">
        <w:t>ot have been</w:t>
      </w:r>
      <w:r w:rsidR="00664E77">
        <w:t xml:space="preserve"> granted a certificate for the same territory unless Shuttle Express was not providing </w:t>
      </w:r>
      <w:r>
        <w:t xml:space="preserve">the same </w:t>
      </w:r>
      <w:r w:rsidR="00664E77">
        <w:t xml:space="preserve">satisfactory service.  </w:t>
      </w:r>
      <w:r>
        <w:t>But n</w:t>
      </w:r>
      <w:r w:rsidR="00664E77">
        <w:t>othing in the law or Commission rules says that a share ride carrier must use luxury vehicles</w:t>
      </w:r>
      <w:r w:rsidR="00C64B35">
        <w:t xml:space="preserve"> to be satisfactory</w:t>
      </w:r>
      <w:r>
        <w:t>.</w:t>
      </w:r>
      <w:r w:rsidR="00C64B35">
        <w:rPr>
          <w:rStyle w:val="FootnoteReference"/>
        </w:rPr>
        <w:footnoteReference w:id="56"/>
      </w:r>
      <w:r w:rsidR="00664E77">
        <w:t xml:space="preserve">  </w:t>
      </w:r>
      <w:r w:rsidR="008F00E5">
        <w:t>Nor did the Commission find that Mercedes vans are “required” so “that every member of the public [is] reasonably afforded the opportunity” for service.</w:t>
      </w:r>
    </w:p>
    <w:p w14:paraId="0508C2A6" w14:textId="77777777" w:rsidR="00664E77" w:rsidRDefault="00E53438" w:rsidP="00664E77">
      <w:pPr>
        <w:pStyle w:val="ListParagraph"/>
        <w:numPr>
          <w:ilvl w:val="0"/>
          <w:numId w:val="3"/>
        </w:numPr>
        <w:spacing w:before="0" w:beforeAutospacing="0" w:after="0" w:afterAutospacing="0"/>
        <w:ind w:left="0" w:hanging="720"/>
      </w:pPr>
      <w:r>
        <w:t xml:space="preserve">First </w:t>
      </w:r>
      <w:r w:rsidR="00664E77">
        <w:t xml:space="preserve">Speedishuttle challenges </w:t>
      </w:r>
      <w:r w:rsidR="00093339">
        <w:t>Shuttle Express</w:t>
      </w:r>
      <w:r w:rsidR="00664E77">
        <w:t>’s demographic data.  Admittedly, the data is not as complete as</w:t>
      </w:r>
      <w:r w:rsidR="00A40784">
        <w:t xml:space="preserve"> Shuttle Express </w:t>
      </w:r>
      <w:r w:rsidR="00664E77">
        <w:t>would have liked to present.  But the reason the data is not complete is because</w:t>
      </w:r>
      <w:r w:rsidR="00A40784">
        <w:t xml:space="preserve"> Speedishuttle </w:t>
      </w:r>
      <w:r w:rsidR="00664E77">
        <w:t xml:space="preserve">repeatedly and persistently refused to provide or update </w:t>
      </w:r>
      <w:r w:rsidR="00093339">
        <w:t xml:space="preserve">its </w:t>
      </w:r>
      <w:r w:rsidR="00664E77">
        <w:t>passenger count data, claiming it was “proprietary,” even though much of it is filed annually with the Commission.</w:t>
      </w:r>
      <w:r w:rsidR="00A855D7">
        <w:rPr>
          <w:rStyle w:val="FootnoteReference"/>
        </w:rPr>
        <w:footnoteReference w:id="57"/>
      </w:r>
      <w:r w:rsidR="00664E77">
        <w:t xml:space="preserve">  But what is known and undisputed is that the overall number of passengers and trips of</w:t>
      </w:r>
      <w:r w:rsidR="00A40784">
        <w:t xml:space="preserve"> Shuttle Express </w:t>
      </w:r>
      <w:r w:rsidR="00664E77">
        <w:t>and</w:t>
      </w:r>
      <w:r w:rsidR="00A40784">
        <w:t xml:space="preserve"> Speedishuttle </w:t>
      </w:r>
      <w:r w:rsidR="00664E77">
        <w:t xml:space="preserve">combined continued to decline at a similar rate to the decline prior to </w:t>
      </w:r>
      <w:r w:rsidR="00093339">
        <w:t xml:space="preserve">Speedishuttle’s </w:t>
      </w:r>
      <w:r w:rsidR="00664E77">
        <w:t>entry.</w:t>
      </w:r>
      <w:r w:rsidR="00A855D7">
        <w:rPr>
          <w:rStyle w:val="FootnoteReference"/>
        </w:rPr>
        <w:footnoteReference w:id="58"/>
      </w:r>
      <w:r w:rsidR="00A855D7">
        <w:t xml:space="preserve"> </w:t>
      </w:r>
      <w:r w:rsidR="00664E77">
        <w:t xml:space="preserve"> </w:t>
      </w:r>
      <w:r w:rsidR="00CE5F02">
        <w:t>Furthermore, it is also known and undisputed that</w:t>
      </w:r>
      <w:r w:rsidR="00664E77">
        <w:t xml:space="preserve"> as</w:t>
      </w:r>
      <w:r w:rsidR="00093339">
        <w:t xml:space="preserve"> Speedishuttle’s </w:t>
      </w:r>
      <w:r w:rsidR="00664E77">
        <w:t xml:space="preserve">trips/passengers volumes increased (initially), </w:t>
      </w:r>
      <w:r w:rsidR="0069127F">
        <w:t>Shuttle Express</w:t>
      </w:r>
      <w:r w:rsidR="00664E77">
        <w:t>’s counts declined in rough inverse proportion.</w:t>
      </w:r>
      <w:r w:rsidR="00A855D7">
        <w:rPr>
          <w:rStyle w:val="FootnoteReference"/>
        </w:rPr>
        <w:footnoteReference w:id="59"/>
      </w:r>
      <w:r w:rsidR="00664E77">
        <w:t xml:space="preserve">  Absent some other explanation, the only rational conclusion is that there was a massive shift in passengers from the incumbent to the new entrant. </w:t>
      </w:r>
      <w:r w:rsidR="00A40784">
        <w:t xml:space="preserve"> Speedishuttle </w:t>
      </w:r>
      <w:r w:rsidR="00664E77">
        <w:t xml:space="preserve">offered no explanation or evidence to suggest that its gain was not </w:t>
      </w:r>
      <w:r w:rsidR="0069127F">
        <w:t>Shuttle Express</w:t>
      </w:r>
      <w:r w:rsidR="00664E77">
        <w:t>’s loss.</w:t>
      </w:r>
    </w:p>
    <w:p w14:paraId="723DF2C1" w14:textId="77777777" w:rsidR="003C2C0A" w:rsidRDefault="00664E77" w:rsidP="00664E77">
      <w:pPr>
        <w:pStyle w:val="ListParagraph"/>
        <w:numPr>
          <w:ilvl w:val="0"/>
          <w:numId w:val="3"/>
        </w:numPr>
        <w:spacing w:before="0" w:beforeAutospacing="0" w:after="0" w:afterAutospacing="0"/>
        <w:ind w:left="0" w:hanging="720"/>
      </w:pPr>
      <w:r>
        <w:lastRenderedPageBreak/>
        <w:t>But there is more</w:t>
      </w:r>
      <w:r w:rsidR="00F07CA7">
        <w:t xml:space="preserve"> evidence</w:t>
      </w:r>
      <w:r>
        <w:t xml:space="preserve"> than just the undisputed raw numbers.   </w:t>
      </w:r>
      <w:r w:rsidR="00F07CA7">
        <w:t xml:space="preserve">There is also the fact that </w:t>
      </w:r>
      <w:r w:rsidR="00B40A87">
        <w:t>50% or more</w:t>
      </w:r>
      <w:r w:rsidR="00F07CA7">
        <w:t xml:space="preserve"> of</w:t>
      </w:r>
      <w:r w:rsidR="00093339">
        <w:t xml:space="preserve"> Speedishuttle’s </w:t>
      </w:r>
      <w:r w:rsidR="00F07CA7">
        <w:t>passengers were derived from wholesale ticket agents.</w:t>
      </w:r>
      <w:r w:rsidR="00E2235D">
        <w:rPr>
          <w:rStyle w:val="FootnoteReference"/>
        </w:rPr>
        <w:footnoteReference w:id="60"/>
      </w:r>
      <w:r w:rsidR="00F07CA7">
        <w:t xml:space="preserve">  And they are the very same ticket agents that previously booked their passengers with </w:t>
      </w:r>
      <w:r w:rsidR="00093339">
        <w:t>Shuttle Express</w:t>
      </w:r>
      <w:r w:rsidR="00F07CA7">
        <w:t>, most notably GO Group and Expedia.  Moreover, the primary demographic of the passenger</w:t>
      </w:r>
      <w:r w:rsidR="00093339">
        <w:t>s</w:t>
      </w:r>
      <w:r w:rsidR="00F07CA7">
        <w:t xml:space="preserve"> that</w:t>
      </w:r>
      <w:r w:rsidR="00A40784">
        <w:t xml:space="preserve"> Shuttle Express </w:t>
      </w:r>
      <w:r w:rsidR="00F07CA7">
        <w:t xml:space="preserve">supposedly “could not serve” was Chinese, Japanese, and Korean passengers. </w:t>
      </w:r>
      <w:r w:rsidR="00A40784">
        <w:t xml:space="preserve"> Speedishuttle </w:t>
      </w:r>
      <w:r w:rsidR="00F07CA7">
        <w:t>had zero bookings in this demographic.</w:t>
      </w:r>
      <w:r w:rsidR="00A855D7">
        <w:rPr>
          <w:rStyle w:val="FootnoteReference"/>
        </w:rPr>
        <w:footnoteReference w:id="61"/>
      </w:r>
      <w:r w:rsidR="00F07CA7">
        <w:t xml:space="preserve">  And it had zero data that it carried</w:t>
      </w:r>
      <w:r w:rsidR="001F4046">
        <w:t xml:space="preserve"> any</w:t>
      </w:r>
      <w:r w:rsidR="00F07CA7">
        <w:t xml:space="preserve"> measurable or meaningful number of such non-English speakers.</w:t>
      </w:r>
      <w:r w:rsidR="00A855D7">
        <w:rPr>
          <w:rStyle w:val="FootnoteReference"/>
        </w:rPr>
        <w:footnoteReference w:id="62"/>
      </w:r>
    </w:p>
    <w:p w14:paraId="6A9B3BC8" w14:textId="77777777" w:rsidR="00664E77" w:rsidRDefault="00F07CA7" w:rsidP="00664E77">
      <w:pPr>
        <w:pStyle w:val="ListParagraph"/>
        <w:numPr>
          <w:ilvl w:val="0"/>
          <w:numId w:val="3"/>
        </w:numPr>
        <w:spacing w:before="0" w:beforeAutospacing="0" w:after="0" w:afterAutospacing="0"/>
        <w:ind w:left="0" w:hanging="720"/>
      </w:pPr>
      <w:r>
        <w:t>As for the “tech-savvy” passenger,</w:t>
      </w:r>
      <w:r w:rsidR="00A40784">
        <w:t xml:space="preserve"> Speedishuttle </w:t>
      </w:r>
      <w:r>
        <w:t>was likely unable or unwilling to offer even a single example—let alone statistical data—to evidence any usage of its mobile app to attract, record, or manage reservations or ticketing</w:t>
      </w:r>
      <w:r w:rsidR="00CE5F02">
        <w:t>, nor the operation or use of its TV and wi-fi</w:t>
      </w:r>
      <w:r>
        <w:t>.</w:t>
      </w:r>
      <w:r w:rsidR="00CE5F57">
        <w:rPr>
          <w:rStyle w:val="FootnoteReference"/>
        </w:rPr>
        <w:footnoteReference w:id="63"/>
      </w:r>
      <w:r>
        <w:t xml:space="preserve">  In short,</w:t>
      </w:r>
      <w:r w:rsidR="00A40784">
        <w:t xml:space="preserve"> Speedishuttle </w:t>
      </w:r>
      <w:r>
        <w:t xml:space="preserve">takes weak potshots against the strong statistical and anecdotal evidence presented by </w:t>
      </w:r>
      <w:r w:rsidR="00093339">
        <w:t>Shuttle Express</w:t>
      </w:r>
      <w:r>
        <w:t>, and offers no true rebuttal data to counter the inescapable conclusion that</w:t>
      </w:r>
      <w:r w:rsidR="00A40784">
        <w:t xml:space="preserve"> Speedishuttle </w:t>
      </w:r>
      <w:r>
        <w:t xml:space="preserve">is serving the passengers that would otherwise have been served by </w:t>
      </w:r>
      <w:r w:rsidR="00093339">
        <w:t>Shuttle Express</w:t>
      </w:r>
      <w:r>
        <w:t>.</w:t>
      </w:r>
    </w:p>
    <w:p w14:paraId="2972897D" w14:textId="77777777" w:rsidR="00E53438" w:rsidRDefault="00F07CA7" w:rsidP="00664E77">
      <w:pPr>
        <w:pStyle w:val="ListParagraph"/>
        <w:numPr>
          <w:ilvl w:val="0"/>
          <w:numId w:val="3"/>
        </w:numPr>
        <w:spacing w:before="0" w:beforeAutospacing="0" w:after="0" w:afterAutospacing="0"/>
        <w:ind w:left="0" w:hanging="720"/>
      </w:pPr>
      <w:r>
        <w:t>Next,</w:t>
      </w:r>
      <w:r w:rsidR="00A40784">
        <w:t xml:space="preserve"> Speedishuttle </w:t>
      </w:r>
      <w:r>
        <w:t>continues to argue that it really “does offer” personal greeters.  But “offering” a greeter and “providing” a greeter are very diff</w:t>
      </w:r>
      <w:r w:rsidR="00E2235D">
        <w:t>erent facts</w:t>
      </w:r>
      <w:r w:rsidR="008F00E5">
        <w:t>, especially</w:t>
      </w:r>
      <w:r w:rsidR="00E2235D">
        <w:t xml:space="preserve"> when it comes to </w:t>
      </w:r>
      <w:r w:rsidR="00093339">
        <w:t>Speedishuttle</w:t>
      </w:r>
      <w:r w:rsidR="00E2235D">
        <w:t xml:space="preserve">. </w:t>
      </w:r>
      <w:r w:rsidR="00A40784">
        <w:t xml:space="preserve"> Shuttle Express </w:t>
      </w:r>
      <w:r w:rsidR="000105A8">
        <w:t>introduced specific and detail</w:t>
      </w:r>
      <w:r w:rsidR="00E2235D">
        <w:t xml:space="preserve"> personal observations of t</w:t>
      </w:r>
      <w:r w:rsidR="00B40A87">
        <w:t>wo</w:t>
      </w:r>
      <w:r w:rsidR="00E2235D">
        <w:t xml:space="preserve"> witnesses, </w:t>
      </w:r>
      <w:r w:rsidR="00B40A87">
        <w:t xml:space="preserve">who found </w:t>
      </w:r>
      <w:r w:rsidR="00E2235D">
        <w:t xml:space="preserve">on numerous occasions </w:t>
      </w:r>
      <w:r w:rsidR="00B40A87">
        <w:t>that</w:t>
      </w:r>
      <w:r w:rsidR="00093339">
        <w:t xml:space="preserve"> Speedishuttle’s </w:t>
      </w:r>
      <w:r w:rsidR="00E2235D">
        <w:t>greeters were either non-</w:t>
      </w:r>
      <w:r w:rsidR="00E2235D">
        <w:lastRenderedPageBreak/>
        <w:t>existent or inadequate to greet “all passengers.”  One of those witnesses was a non-party to the case, whose company found the situation to be so bad that it re-signed with</w:t>
      </w:r>
      <w:r w:rsidR="00A40784">
        <w:t xml:space="preserve"> Shuttle Express </w:t>
      </w:r>
      <w:r w:rsidR="00E2235D">
        <w:t>and went out and hired its own greeters.</w:t>
      </w:r>
      <w:r w:rsidR="00FE6CA6">
        <w:rPr>
          <w:rStyle w:val="FootnoteReference"/>
        </w:rPr>
        <w:footnoteReference w:id="64"/>
      </w:r>
      <w:r w:rsidR="00E2235D">
        <w:t xml:space="preserve">  Again,</w:t>
      </w:r>
      <w:r w:rsidR="00A40784">
        <w:t xml:space="preserve"> Speedishuttle </w:t>
      </w:r>
      <w:r w:rsidR="00E2235D">
        <w:t>takes minor potshots at the testimony, but offers only self-serving and conclusory testimony that it “typically” greets 8</w:t>
      </w:r>
      <w:r w:rsidR="00FE6CA6">
        <w:t>0% of its arriving passengers.</w:t>
      </w:r>
      <w:r w:rsidR="00FE6CA6">
        <w:rPr>
          <w:rStyle w:val="FootnoteReference"/>
        </w:rPr>
        <w:footnoteReference w:id="65"/>
      </w:r>
      <w:r w:rsidR="00FE6CA6">
        <w:t xml:space="preserve">  And that self-serving testimony runs counter to his admission that they cannot greet all of their wholesale passengers.</w:t>
      </w:r>
      <w:r w:rsidR="00FE6CA6">
        <w:rPr>
          <w:rStyle w:val="FootnoteReference"/>
        </w:rPr>
        <w:footnoteReference w:id="66"/>
      </w:r>
    </w:p>
    <w:p w14:paraId="1925C718" w14:textId="77777777" w:rsidR="00F07CA7" w:rsidRDefault="000105A8" w:rsidP="00664E77">
      <w:pPr>
        <w:pStyle w:val="ListParagraph"/>
        <w:numPr>
          <w:ilvl w:val="0"/>
          <w:numId w:val="3"/>
        </w:numPr>
        <w:spacing w:before="0" w:beforeAutospacing="0" w:after="0" w:afterAutospacing="0"/>
        <w:ind w:left="0" w:hanging="720"/>
      </w:pPr>
      <w:r w:rsidRPr="00F561CB">
        <w:t>But beyond the vague “typical” claim,</w:t>
      </w:r>
      <w:r w:rsidR="00A40784" w:rsidRPr="00F561CB">
        <w:t xml:space="preserve"> Speedishuttle </w:t>
      </w:r>
      <w:r w:rsidRPr="00F561CB">
        <w:t xml:space="preserve">once again </w:t>
      </w:r>
      <w:r w:rsidR="00E2235D" w:rsidRPr="00F561CB">
        <w:t>repeatedly refused to provide any hard data on the numbers of greeters on various shifts and the numbers of passengers to be greeted during those shifts.</w:t>
      </w:r>
      <w:r w:rsidR="00FE6CA6" w:rsidRPr="00F561CB">
        <w:rPr>
          <w:rStyle w:val="FootnoteReference"/>
        </w:rPr>
        <w:footnoteReference w:id="67"/>
      </w:r>
      <w:r w:rsidR="00E2235D" w:rsidRPr="00F561CB">
        <w:t xml:space="preserve">  </w:t>
      </w:r>
      <w:r w:rsidR="00C64B35" w:rsidRPr="00F561CB">
        <w:t>The sole empirical data</w:t>
      </w:r>
      <w:r w:rsidR="00C64B35">
        <w:t xml:space="preserve"> Mr. Roemer provided </w:t>
      </w:r>
      <w:r>
        <w:t>was limited to the single three-</w:t>
      </w:r>
      <w:r w:rsidR="00C64B35">
        <w:t xml:space="preserve">hour period he tied to Mr. DeLeo’s unbiased observations.  Indeed, </w:t>
      </w:r>
      <w:r w:rsidR="00E2235D">
        <w:t>Mr. Roemer didn’t even know how long it takes a greeter to meet and escort a passenger nor how many greeters the company employs</w:t>
      </w:r>
      <w:r w:rsidR="00C64B35">
        <w:t xml:space="preserve"> today or generally</w:t>
      </w:r>
      <w:r w:rsidR="00E2235D">
        <w:t>.</w:t>
      </w:r>
      <w:r w:rsidR="00FE6CA6">
        <w:rPr>
          <w:rStyle w:val="FootnoteReference"/>
        </w:rPr>
        <w:footnoteReference w:id="68"/>
      </w:r>
      <w:r w:rsidR="00E2235D">
        <w:t xml:space="preserve">  </w:t>
      </w:r>
      <w:r w:rsidR="00E53438">
        <w:t xml:space="preserve">His lack of knowledge and supervision over greeters establishes that his “typical” testimony is meaningless and without foundation.  Either hard data is available and was withheld because it would not counter the independent observations that the greeters are understaffed, or the entire company is just as clueless as Mr. Roemer was about how effectively the greeters are assigned and managed.  Either scenario indicates the company is not effectively </w:t>
      </w:r>
      <w:r w:rsidR="00E53438" w:rsidRPr="00E53438">
        <w:rPr>
          <w:u w:val="single"/>
        </w:rPr>
        <w:t>providing</w:t>
      </w:r>
      <w:r w:rsidR="00E53438">
        <w:t xml:space="preserve"> greeters to all passengers, as promised.  </w:t>
      </w:r>
    </w:p>
    <w:p w14:paraId="78CE9CC4" w14:textId="77777777" w:rsidR="00664E77" w:rsidRDefault="00093339" w:rsidP="00664E77">
      <w:pPr>
        <w:pStyle w:val="ListParagraph"/>
        <w:numPr>
          <w:ilvl w:val="0"/>
          <w:numId w:val="3"/>
        </w:numPr>
        <w:spacing w:before="0" w:beforeAutospacing="0" w:after="0" w:afterAutospacing="0"/>
        <w:ind w:left="0" w:hanging="720"/>
      </w:pPr>
      <w:r>
        <w:lastRenderedPageBreak/>
        <w:t xml:space="preserve">Speedishuttle’s </w:t>
      </w:r>
      <w:r w:rsidR="00E53438">
        <w:t xml:space="preserve">“multi-lingual” websites and “efforts” to hire multi-lingual greeters are likewise distinctions (barely) without a difference. </w:t>
      </w:r>
      <w:r w:rsidR="00A40784">
        <w:t xml:space="preserve"> Speedishuttle </w:t>
      </w:r>
      <w:r w:rsidR="00016FD3">
        <w:t>argues that it has a Craigslist ad seeking Chinese/Mandarin, German, Portuguese, and French speakers.  Speedishuttle Brief, ¶ 31.  But, as was discussed in the</w:t>
      </w:r>
      <w:r w:rsidR="00A40784">
        <w:t xml:space="preserve"> Shuttle Express </w:t>
      </w:r>
      <w:r w:rsidR="00016FD3">
        <w:t>Initial Brief, their employment application form does not even ask that question.</w:t>
      </w:r>
      <w:r w:rsidR="00FE6CA6">
        <w:rPr>
          <w:rStyle w:val="FootnoteReference"/>
        </w:rPr>
        <w:footnoteReference w:id="69"/>
      </w:r>
      <w:r w:rsidR="00FE6CA6">
        <w:t xml:space="preserve">  </w:t>
      </w:r>
      <w:r w:rsidR="00016FD3">
        <w:t xml:space="preserve">And their performance on actually </w:t>
      </w:r>
      <w:r w:rsidR="00016FD3" w:rsidRPr="00016FD3">
        <w:rPr>
          <w:u w:val="single"/>
        </w:rPr>
        <w:t>providing</w:t>
      </w:r>
      <w:r w:rsidR="00016FD3">
        <w:t xml:space="preserve"> those languages has been worse than abysmal.  Not one of their greeters or call center employees speaks any of those </w:t>
      </w:r>
      <w:r w:rsidR="00B51723">
        <w:t xml:space="preserve">four </w:t>
      </w:r>
      <w:r w:rsidR="00016FD3">
        <w:t xml:space="preserve">languages.  BR-3.  </w:t>
      </w:r>
      <w:r w:rsidR="007C148C">
        <w:t xml:space="preserve">The premise in the application phase was that due to Seattle’s extensive service to China, Japan, and Korea, travelers from those areas “could not” be served by </w:t>
      </w:r>
      <w:r>
        <w:t>Shuttle Express</w:t>
      </w:r>
      <w:r w:rsidR="007C148C">
        <w:t xml:space="preserve">, but would be served by </w:t>
      </w:r>
      <w:r>
        <w:t>Speedishuttle</w:t>
      </w:r>
      <w:r w:rsidR="007C148C">
        <w:t>.</w:t>
      </w:r>
      <w:r w:rsidR="007C148C">
        <w:rPr>
          <w:rStyle w:val="FootnoteReference"/>
        </w:rPr>
        <w:footnoteReference w:id="70"/>
      </w:r>
      <w:r w:rsidR="007C148C">
        <w:t xml:space="preserve">  But</w:t>
      </w:r>
      <w:r w:rsidR="00A40784">
        <w:t xml:space="preserve"> Speedishuttle </w:t>
      </w:r>
      <w:r w:rsidR="007C148C">
        <w:t>does not have a single employee that speaks any of those languages and has never had a booking on it</w:t>
      </w:r>
      <w:r w:rsidR="007C7FEE">
        <w:t>s websites in those languages.</w:t>
      </w:r>
    </w:p>
    <w:p w14:paraId="0D4A4C5D" w14:textId="77777777" w:rsidR="007C148C" w:rsidRPr="00F85B83" w:rsidRDefault="007C148C" w:rsidP="00664E77">
      <w:pPr>
        <w:pStyle w:val="ListParagraph"/>
        <w:numPr>
          <w:ilvl w:val="0"/>
          <w:numId w:val="3"/>
        </w:numPr>
        <w:spacing w:before="0" w:beforeAutospacing="0" w:after="0" w:afterAutospacing="0"/>
        <w:ind w:left="0" w:hanging="720"/>
      </w:pPr>
      <w:r>
        <w:t>The results do not show best efforts or anything close to it on serving non-English speakers.  The most prevalent languages of</w:t>
      </w:r>
      <w:r w:rsidR="00A40784">
        <w:t xml:space="preserve"> Speedishuttle </w:t>
      </w:r>
      <w:r>
        <w:t>employees are Somali and Spanish.</w:t>
      </w:r>
      <w:r w:rsidR="000F36C2">
        <w:t xml:space="preserve">  BR-3.</w:t>
      </w:r>
      <w:r>
        <w:t xml:space="preserve">  </w:t>
      </w:r>
      <w:r w:rsidR="00A40784">
        <w:t xml:space="preserve">Shuttle Express </w:t>
      </w:r>
      <w:r w:rsidR="007C7FEE">
        <w:t xml:space="preserve">similarly hires foreign language speakers in the available labor pool </w:t>
      </w:r>
      <w:r>
        <w:t>and</w:t>
      </w:r>
      <w:r w:rsidR="00A40784">
        <w:t xml:space="preserve"> Shuttle Express </w:t>
      </w:r>
      <w:r>
        <w:t>has not promised any special effort to find such speakers.</w:t>
      </w:r>
      <w:r w:rsidR="007C7FEE">
        <w:rPr>
          <w:rStyle w:val="FootnoteReference"/>
        </w:rPr>
        <w:footnoteReference w:id="71"/>
      </w:r>
      <w:r>
        <w:t xml:space="preserve">  It simply reflects what the labor pool is in Seattle for relatively u</w:t>
      </w:r>
      <w:r w:rsidR="00F561CB">
        <w:t>nskilled and low-wage workers.</w:t>
      </w:r>
    </w:p>
    <w:p w14:paraId="68811B51" w14:textId="77777777" w:rsidR="00F85B83" w:rsidRDefault="00F85B83" w:rsidP="00664E77">
      <w:pPr>
        <w:pStyle w:val="ListParagraph"/>
        <w:numPr>
          <w:ilvl w:val="0"/>
          <w:numId w:val="3"/>
        </w:numPr>
        <w:spacing w:before="0" w:beforeAutospacing="0" w:after="0" w:afterAutospacing="0"/>
        <w:ind w:left="0" w:hanging="720"/>
      </w:pPr>
      <w:r>
        <w:t>Incredibly, the</w:t>
      </w:r>
      <w:r w:rsidR="00A40784">
        <w:t xml:space="preserve"> Speedishuttle </w:t>
      </w:r>
      <w:r>
        <w:t xml:space="preserve">Brief even continues to try to cling to the 20 minute “guarantee,” now downgraded to a “commitment.”  </w:t>
      </w:r>
      <w:r w:rsidRPr="003C2C0A">
        <w:rPr>
          <w:i/>
        </w:rPr>
        <w:t>Id.,</w:t>
      </w:r>
      <w:r>
        <w:t xml:space="preserve"> ¶ 38.  It tries to blame the Port for not allowing it to </w:t>
      </w:r>
      <w:r>
        <w:lastRenderedPageBreak/>
        <w:t>“stage” vehicles in the airport garage where</w:t>
      </w:r>
      <w:r w:rsidR="00A40784">
        <w:t xml:space="preserve"> Shuttle Express </w:t>
      </w:r>
      <w:r>
        <w:t xml:space="preserve">does.  But it omits the fact that </w:t>
      </w:r>
      <w:r w:rsidR="00093339">
        <w:t xml:space="preserve">Speedishuttle’s </w:t>
      </w:r>
      <w:r w:rsidR="00431436">
        <w:t>taller vans are too tall for the garage.</w:t>
      </w:r>
      <w:r w:rsidR="000B534F">
        <w:rPr>
          <w:rStyle w:val="FootnoteReference"/>
        </w:rPr>
        <w:footnoteReference w:id="72"/>
      </w:r>
      <w:r w:rsidR="00431436">
        <w:t xml:space="preserve">  Thus, its “impediment” is self-created.</w:t>
      </w:r>
      <w:r w:rsidR="00431436">
        <w:rPr>
          <w:rStyle w:val="FootnoteReference"/>
        </w:rPr>
        <w:footnoteReference w:id="73"/>
      </w:r>
      <w:r>
        <w:t xml:space="preserve"> </w:t>
      </w:r>
      <w:r w:rsidR="00431436">
        <w:t xml:space="preserve"> The brief also omits the fact that the only data</w:t>
      </w:r>
      <w:r w:rsidR="00A40784">
        <w:t xml:space="preserve"> Speedishuttle </w:t>
      </w:r>
      <w:r w:rsidR="00431436">
        <w:t>has on its actual departure delays is for its “walk-up” passengers.</w:t>
      </w:r>
      <w:r w:rsidR="008F0BAE">
        <w:rPr>
          <w:rStyle w:val="FootnoteReference"/>
        </w:rPr>
        <w:footnoteReference w:id="74"/>
      </w:r>
      <w:r w:rsidR="00431436">
        <w:t xml:space="preserve">  For up to 80% of its passengers,</w:t>
      </w:r>
      <w:r w:rsidR="00A40784">
        <w:t xml:space="preserve"> Speedishuttle </w:t>
      </w:r>
      <w:r w:rsidR="00431436">
        <w:t>claims it does not even bother to record or track the wait times.</w:t>
      </w:r>
      <w:r w:rsidR="00C84F67">
        <w:rPr>
          <w:rStyle w:val="FootnoteReference"/>
        </w:rPr>
        <w:footnoteReference w:id="75"/>
      </w:r>
      <w:r w:rsidR="00431436">
        <w:t xml:space="preserve">  Again, either it is clueless on a key service metric that it supposedly “guaranteed” or it really does know how long people wait and does not want that number in the record.  Regardless, the evidence is that 20 minutes is </w:t>
      </w:r>
      <w:r w:rsidR="00431436" w:rsidRPr="00431436">
        <w:rPr>
          <w:b/>
          <w:u w:val="single"/>
        </w:rPr>
        <w:t>not</w:t>
      </w:r>
      <w:r w:rsidR="00431436">
        <w:t xml:space="preserve"> met for 20% or more of passengers, and there is </w:t>
      </w:r>
      <w:r w:rsidR="00431436" w:rsidRPr="00F561CB">
        <w:rPr>
          <w:b/>
          <w:u w:val="single"/>
        </w:rPr>
        <w:t>no</w:t>
      </w:r>
      <w:r w:rsidR="00431436">
        <w:t xml:space="preserve"> information supporting the 20 minute guarantee for the other 80%.</w:t>
      </w:r>
    </w:p>
    <w:p w14:paraId="700F7F27" w14:textId="77777777" w:rsidR="00ED5F26" w:rsidRDefault="00A55237" w:rsidP="00A55237">
      <w:pPr>
        <w:pStyle w:val="ListParagraph"/>
        <w:keepNext/>
        <w:numPr>
          <w:ilvl w:val="0"/>
          <w:numId w:val="2"/>
        </w:numPr>
        <w:spacing w:before="0" w:beforeAutospacing="0" w:after="240" w:afterAutospacing="0" w:line="240" w:lineRule="auto"/>
        <w:contextualSpacing w:val="0"/>
        <w:jc w:val="center"/>
        <w:outlineLvl w:val="0"/>
        <w:rPr>
          <w:b/>
          <w:u w:val="single"/>
        </w:rPr>
      </w:pPr>
      <w:bookmarkStart w:id="18" w:name="_Toc487803874"/>
      <w:r>
        <w:rPr>
          <w:b/>
          <w:u w:val="single"/>
        </w:rPr>
        <w:t xml:space="preserve">THE COMMISSION </w:t>
      </w:r>
      <w:r w:rsidRPr="00A55237">
        <w:rPr>
          <w:b/>
          <w:u w:val="single"/>
        </w:rPr>
        <w:t>SHOULD RESTRICT THE CERTIFICATE TO AUTHORIZE ONLY THE “DIFFERENT” SERVICE APPROVED IN ORDER 04</w:t>
      </w:r>
      <w:r>
        <w:rPr>
          <w:b/>
          <w:u w:val="single"/>
        </w:rPr>
        <w:t xml:space="preserve"> OR CANCEL THE CERTIFICATE.</w:t>
      </w:r>
      <w:bookmarkEnd w:id="18"/>
    </w:p>
    <w:p w14:paraId="1D8DFF7E" w14:textId="77777777" w:rsidR="004A30F9" w:rsidRDefault="00A55237" w:rsidP="00A55237">
      <w:pPr>
        <w:pStyle w:val="ListParagraph"/>
        <w:numPr>
          <w:ilvl w:val="0"/>
          <w:numId w:val="3"/>
        </w:numPr>
        <w:spacing w:before="0" w:beforeAutospacing="0" w:after="0" w:afterAutospacing="0"/>
        <w:ind w:left="0" w:hanging="720"/>
      </w:pPr>
      <w:r>
        <w:t>As discussed in detail in the</w:t>
      </w:r>
      <w:r w:rsidR="00A40784">
        <w:t xml:space="preserve"> Shuttle Express </w:t>
      </w:r>
      <w:r>
        <w:t xml:space="preserve">Initial Brief, </w:t>
      </w:r>
      <w:r w:rsidR="00A776AD">
        <w:t xml:space="preserve">at the very least, the Commission should amend the certificate to require that service only be provided that is consistent with the express promises and representations of </w:t>
      </w:r>
      <w:r w:rsidR="00400EC6">
        <w:t>Speedi</w:t>
      </w:r>
      <w:r>
        <w:t>s</w:t>
      </w:r>
      <w:r w:rsidR="00400EC6">
        <w:t>huttle</w:t>
      </w:r>
      <w:r w:rsidR="00425B1A">
        <w:t xml:space="preserve"> </w:t>
      </w:r>
      <w:r>
        <w:t>as understood and accepted by the Commission in its Order 02 and Order 04</w:t>
      </w:r>
      <w:r w:rsidR="00A776AD">
        <w:t xml:space="preserve">.  </w:t>
      </w:r>
      <w:r>
        <w:t xml:space="preserve"> </w:t>
      </w:r>
      <w:r w:rsidR="00160D00">
        <w:t>This relief is supported not just by the Petition, but also by the Complaint.  While requiring</w:t>
      </w:r>
      <w:r w:rsidR="00A40784">
        <w:t xml:space="preserve"> Speedishuttle </w:t>
      </w:r>
      <w:r w:rsidR="00160D00">
        <w:t xml:space="preserve">to actually provide the services it promised in a material way will not eliminate its admitted below cost pricing, it would as least go </w:t>
      </w:r>
      <w:r w:rsidR="00160D00">
        <w:lastRenderedPageBreak/>
        <w:t xml:space="preserve">a long way toward mitigating the harm that the below cost pricing has caused to </w:t>
      </w:r>
      <w:r w:rsidR="00E22743">
        <w:t>Shuttle Express</w:t>
      </w:r>
      <w:r w:rsidR="00160D00">
        <w:t>.  By servi</w:t>
      </w:r>
      <w:r w:rsidR="003C2C0A">
        <w:t>ng less of the “general public”—</w:t>
      </w:r>
      <w:r w:rsidR="00160D00">
        <w:t>and more of the multiling</w:t>
      </w:r>
      <w:r w:rsidR="003C2C0A">
        <w:t>ual passengers needing greeters—</w:t>
      </w:r>
      <w:r w:rsidR="00160D00">
        <w:t>the overlap with</w:t>
      </w:r>
      <w:r w:rsidR="00A40784">
        <w:t xml:space="preserve"> Shuttle Express </w:t>
      </w:r>
      <w:r w:rsidR="00160D00">
        <w:t xml:space="preserve">will be less, just as the Commission contemplated.  </w:t>
      </w:r>
      <w:r w:rsidR="00160D00" w:rsidRPr="00160D00">
        <w:rPr>
          <w:i/>
        </w:rPr>
        <w:t>See, e.g.,</w:t>
      </w:r>
      <w:r w:rsidR="00C84F67">
        <w:t xml:space="preserve"> Order 09, ¶¶ 12-16</w:t>
      </w:r>
      <w:r w:rsidR="00160D00">
        <w:t>.</w:t>
      </w:r>
      <w:r w:rsidR="004A30F9">
        <w:t xml:space="preserve">  </w:t>
      </w:r>
    </w:p>
    <w:p w14:paraId="6B8F5638" w14:textId="77777777" w:rsidR="00160D00" w:rsidRDefault="004A30F9" w:rsidP="00A55237">
      <w:pPr>
        <w:pStyle w:val="ListParagraph"/>
        <w:numPr>
          <w:ilvl w:val="0"/>
          <w:numId w:val="3"/>
        </w:numPr>
        <w:spacing w:before="0" w:beforeAutospacing="0" w:after="0" w:afterAutospacing="0"/>
        <w:ind w:left="0" w:hanging="720"/>
      </w:pPr>
      <w:r>
        <w:t>While it is questionable that a service provider whose business model has no articulable prospects of breaking even</w:t>
      </w:r>
      <w:r w:rsidR="00306C1A">
        <w:rPr>
          <w:rStyle w:val="FootnoteReference"/>
        </w:rPr>
        <w:footnoteReference w:id="76"/>
      </w:r>
      <w:r>
        <w:t xml:space="preserve"> offers significant long-term public interest benefits, at least if the financial harm to the incumbent carrier is diminished there is less </w:t>
      </w:r>
      <w:r w:rsidRPr="004A30F9">
        <w:rPr>
          <w:b/>
          <w:u w:val="single"/>
        </w:rPr>
        <w:t>harm</w:t>
      </w:r>
      <w:r>
        <w:t xml:space="preserve"> to the public interest.  The incumbent provider will then have a chance to be able to sustain a valuable public service that is currently at great risk because the new entrant is offering the same service in a market that is truly a natural monopoly.</w:t>
      </w:r>
    </w:p>
    <w:p w14:paraId="0B946B8B" w14:textId="77777777" w:rsidR="00160D00" w:rsidRDefault="00A55237" w:rsidP="00160D00">
      <w:pPr>
        <w:pStyle w:val="ListParagraph"/>
        <w:numPr>
          <w:ilvl w:val="0"/>
          <w:numId w:val="3"/>
        </w:numPr>
        <w:spacing w:before="0" w:beforeAutospacing="0" w:after="0" w:afterAutospacing="0"/>
        <w:ind w:left="0" w:hanging="720"/>
      </w:pPr>
      <w:r>
        <w:t>Briefly recapping</w:t>
      </w:r>
      <w:r w:rsidR="003C2C0A">
        <w:t xml:space="preserve"> the three proposed restrictions</w:t>
      </w:r>
      <w:r>
        <w:t>, first</w:t>
      </w:r>
      <w:r w:rsidR="00E22743">
        <w:t>,</w:t>
      </w:r>
      <w:r>
        <w:t xml:space="preserve"> </w:t>
      </w:r>
      <w:r w:rsidR="00A776AD">
        <w:t>service should be limited to “by reservation only”</w:t>
      </w:r>
      <w:r w:rsidR="00C45BA3">
        <w:t xml:space="preserve"> as contemplated by WAC 480-30-096</w:t>
      </w:r>
      <w:r w:rsidR="00EA7BDD">
        <w:fldChar w:fldCharType="begin"/>
      </w:r>
      <w:r w:rsidR="00EA7BDD">
        <w:instrText xml:space="preserve"> TA \l "</w:instrText>
      </w:r>
      <w:r w:rsidR="00EA7BDD" w:rsidRPr="00AA555E">
        <w:instrText>WAC 480-30-096</w:instrText>
      </w:r>
      <w:r w:rsidR="00EA7BDD">
        <w:instrText xml:space="preserve">" \s "WAC 480-30-096" \c 5 </w:instrText>
      </w:r>
      <w:r w:rsidR="00EA7BDD">
        <w:fldChar w:fldCharType="end"/>
      </w:r>
      <w:r w:rsidR="00C45BA3">
        <w:t>.</w:t>
      </w:r>
      <w:r w:rsidR="00A776AD">
        <w:t xml:space="preserve">  To </w:t>
      </w:r>
      <w:r w:rsidR="00160D00">
        <w:t>ensure that the restriction is met in letter and in spirit, it should be further spelled out as detailed in the</w:t>
      </w:r>
      <w:r w:rsidR="00A40784">
        <w:t xml:space="preserve"> Shuttle Express </w:t>
      </w:r>
      <w:bookmarkStart w:id="19" w:name="_Hlk487707928"/>
      <w:r w:rsidR="00C84F67">
        <w:t>Initial Brief, ¶¶ 85</w:t>
      </w:r>
      <w:r w:rsidR="00C45BA3">
        <w:t>.</w:t>
      </w:r>
      <w:r w:rsidR="00160D00">
        <w:t xml:space="preserve">  </w:t>
      </w:r>
      <w:bookmarkEnd w:id="19"/>
      <w:r w:rsidR="00C45BA3">
        <w:t>Second,</w:t>
      </w:r>
      <w:r w:rsidR="002F31D7">
        <w:t xml:space="preserve"> Speedishuttle </w:t>
      </w:r>
      <w:r w:rsidR="00160D00">
        <w:t xml:space="preserve">should be required to </w:t>
      </w:r>
      <w:r w:rsidR="00C45BA3">
        <w:t xml:space="preserve">greet each and every passenger being transported from the airport.  </w:t>
      </w:r>
      <w:r w:rsidR="00160D00">
        <w:t>Again, to ensure this service is actually and regular</w:t>
      </w:r>
      <w:r w:rsidR="00873172">
        <w:t>ly</w:t>
      </w:r>
      <w:r w:rsidR="00160D00">
        <w:t xml:space="preserve"> provided</w:t>
      </w:r>
      <w:r w:rsidR="00873172">
        <w:t xml:space="preserve"> this time around</w:t>
      </w:r>
      <w:r w:rsidR="00160D00">
        <w:t>—not just “offered”</w:t>
      </w:r>
      <w:r w:rsidR="003C2C0A">
        <w:t xml:space="preserve"> in theory</w:t>
      </w:r>
      <w:r w:rsidR="00873172">
        <w:t xml:space="preserve">—further provisions are needed, </w:t>
      </w:r>
      <w:r w:rsidR="00160D00">
        <w:t>as detailed in the</w:t>
      </w:r>
      <w:r w:rsidR="00A40784">
        <w:t xml:space="preserve"> </w:t>
      </w:r>
      <w:r w:rsidR="00A40784">
        <w:lastRenderedPageBreak/>
        <w:t xml:space="preserve">Shuttle Express </w:t>
      </w:r>
      <w:r w:rsidR="00160D00" w:rsidRPr="00160D00">
        <w:t xml:space="preserve">Initial Brief, ¶¶ </w:t>
      </w:r>
      <w:r w:rsidR="00C84F67">
        <w:t>86-88</w:t>
      </w:r>
      <w:r w:rsidR="00160D00" w:rsidRPr="00160D00">
        <w:t xml:space="preserve">.  </w:t>
      </w:r>
      <w:r w:rsidR="00EC5338">
        <w:t xml:space="preserve"> A</w:t>
      </w:r>
      <w:r w:rsidR="00873172">
        <w:t xml:space="preserve">nd </w:t>
      </w:r>
      <w:r w:rsidR="00EC5338">
        <w:t>third, greeter</w:t>
      </w:r>
      <w:r w:rsidR="004A30F9">
        <w:t>s</w:t>
      </w:r>
      <w:r w:rsidR="00EC5338">
        <w:t xml:space="preserve"> and call centers must offer service </w:t>
      </w:r>
      <w:r w:rsidR="00873172">
        <w:t>in the native language of the passenger</w:t>
      </w:r>
      <w:r w:rsidR="004A30F9">
        <w:t xml:space="preserve"> as requested or as may be indicated, such as by a booking on a non-English website or based on the country of origin of the passenger’s incoming flight.</w:t>
      </w:r>
    </w:p>
    <w:p w14:paraId="57EE65C6" w14:textId="77777777" w:rsidR="004A30F9" w:rsidRDefault="004A30F9" w:rsidP="00A85EAF">
      <w:pPr>
        <w:pStyle w:val="ListParagraph"/>
        <w:numPr>
          <w:ilvl w:val="0"/>
          <w:numId w:val="3"/>
        </w:numPr>
        <w:spacing w:before="0" w:beforeAutospacing="0" w:after="0" w:afterAutospacing="0"/>
        <w:ind w:left="0" w:hanging="720"/>
      </w:pPr>
      <w:r>
        <w:t xml:space="preserve">If one assumes that Speedishuttle meant to actually provide the “different” and “unique” services that it promised, then these restrictions should not cause any undue burden.  Indeed, these services should already be in place.  </w:t>
      </w:r>
      <w:r w:rsidR="00A85EAF">
        <w:t>Moreover, the Commission has been expressly empowered by the legislature to</w:t>
      </w:r>
      <w:r w:rsidR="00380EB2">
        <w:t>,</w:t>
      </w:r>
      <w:r w:rsidR="00A85EAF">
        <w:t xml:space="preserve"> “</w:t>
      </w:r>
      <w:r w:rsidR="00A85EAF" w:rsidRPr="00A85EAF">
        <w:t>attach to the exercise of the rights granted by the certificate to such terms and conditions as, in its judgment, the public convenience and necessity may require</w:t>
      </w:r>
      <w:r w:rsidR="00A85EAF">
        <w:t>.”  RCW 81.68.040</w:t>
      </w:r>
      <w:r w:rsidR="00FE3243">
        <w:fldChar w:fldCharType="begin"/>
      </w:r>
      <w:r w:rsidR="00FE3243">
        <w:instrText xml:space="preserve"> TA \s "RCW 81.68.040" </w:instrText>
      </w:r>
      <w:r w:rsidR="00FE3243">
        <w:fldChar w:fldCharType="end"/>
      </w:r>
      <w:r w:rsidR="00A85EAF">
        <w:t>.</w:t>
      </w:r>
    </w:p>
    <w:p w14:paraId="6FC33232" w14:textId="77777777" w:rsidR="00BB0F72" w:rsidRDefault="004A30F9" w:rsidP="00873172">
      <w:pPr>
        <w:pStyle w:val="ListParagraph"/>
        <w:numPr>
          <w:ilvl w:val="0"/>
          <w:numId w:val="3"/>
        </w:numPr>
        <w:spacing w:before="0" w:beforeAutospacing="0" w:after="0" w:afterAutospacing="0"/>
        <w:ind w:left="0" w:hanging="720"/>
      </w:pPr>
      <w:r>
        <w:t>In the alternative,</w:t>
      </w:r>
      <w:r w:rsidR="009B67E3">
        <w:t xml:space="preserve"> if the Commission does not see restricting and conditioning </w:t>
      </w:r>
      <w:r w:rsidR="00AB2B09">
        <w:t xml:space="preserve">Speedishuttle’s </w:t>
      </w:r>
      <w:r w:rsidR="009B67E3">
        <w:t>authority as being feasible or a sufficient remedy to fully protect the public interest, it should cancel the</w:t>
      </w:r>
      <w:r w:rsidR="002F31D7">
        <w:t xml:space="preserve"> Speedishuttle </w:t>
      </w:r>
      <w:r w:rsidR="009B67E3">
        <w:t>certificate for cause</w:t>
      </w:r>
      <w:r w:rsidR="00BB0F72">
        <w:t>.</w:t>
      </w:r>
    </w:p>
    <w:p w14:paraId="2E699D21" w14:textId="77777777" w:rsidR="00ED5F26" w:rsidRDefault="00ED5F26" w:rsidP="00F561CB">
      <w:pPr>
        <w:pStyle w:val="ListParagraph"/>
        <w:keepNext/>
        <w:numPr>
          <w:ilvl w:val="0"/>
          <w:numId w:val="2"/>
        </w:numPr>
        <w:spacing w:before="0" w:beforeAutospacing="0" w:after="0" w:afterAutospacing="0"/>
        <w:ind w:left="0" w:firstLine="0"/>
        <w:jc w:val="center"/>
        <w:outlineLvl w:val="0"/>
        <w:rPr>
          <w:b/>
          <w:u w:val="single"/>
        </w:rPr>
      </w:pPr>
      <w:bookmarkStart w:id="20" w:name="_Toc487803875"/>
      <w:r w:rsidRPr="00EB1B2E">
        <w:rPr>
          <w:b/>
          <w:u w:val="single"/>
        </w:rPr>
        <w:t>CONCLUSION</w:t>
      </w:r>
      <w:bookmarkEnd w:id="20"/>
    </w:p>
    <w:p w14:paraId="24BDC34C" w14:textId="77777777" w:rsidR="00621F7A" w:rsidRDefault="00621F7A" w:rsidP="008C5114">
      <w:pPr>
        <w:pStyle w:val="ListParagraph"/>
        <w:numPr>
          <w:ilvl w:val="0"/>
          <w:numId w:val="3"/>
        </w:numPr>
        <w:spacing w:before="0" w:beforeAutospacing="0" w:after="0" w:afterAutospacing="0"/>
        <w:ind w:left="0" w:hanging="720"/>
      </w:pPr>
      <w:r>
        <w:t>Speedishuttle</w:t>
      </w:r>
      <w:r w:rsidR="00AC6A66">
        <w:t xml:space="preserve"> </w:t>
      </w:r>
      <w:r w:rsidR="00873172">
        <w:t xml:space="preserve">now admits it is serving “the general public” and that it always intended to do so.  It </w:t>
      </w:r>
      <w:r w:rsidR="00AC6A66">
        <w:t xml:space="preserve">is </w:t>
      </w:r>
      <w:r w:rsidR="00873172">
        <w:t>not</w:t>
      </w:r>
      <w:r w:rsidR="00AC6A66">
        <w:t xml:space="preserve"> </w:t>
      </w:r>
      <w:r w:rsidR="00873172">
        <w:t xml:space="preserve">actually </w:t>
      </w:r>
      <w:r w:rsidR="00AC6A66">
        <w:t xml:space="preserve">providing </w:t>
      </w:r>
      <w:r w:rsidR="00873172">
        <w:t>a service that is materially different from what</w:t>
      </w:r>
      <w:r w:rsidR="00A40784">
        <w:t xml:space="preserve"> Shuttle Express </w:t>
      </w:r>
      <w:r w:rsidR="00873172">
        <w:t xml:space="preserve">has always provided.  </w:t>
      </w:r>
      <w:r w:rsidR="00AC6A66">
        <w:t xml:space="preserve">The Commission </w:t>
      </w:r>
      <w:r>
        <w:t xml:space="preserve">finally </w:t>
      </w:r>
      <w:r w:rsidR="00AC1EF5">
        <w:t xml:space="preserve">has an opportunity to hold </w:t>
      </w:r>
      <w:r>
        <w:t>Speedishuttle</w:t>
      </w:r>
      <w:r w:rsidR="00873172">
        <w:t xml:space="preserve"> accountable</w:t>
      </w:r>
      <w:r>
        <w:t>,</w:t>
      </w:r>
      <w:r w:rsidR="00AC6A66">
        <w:t xml:space="preserve"> by restricting their certificate </w:t>
      </w:r>
      <w:r w:rsidR="00380EB2">
        <w:t xml:space="preserve">more closely </w:t>
      </w:r>
      <w:r w:rsidR="00AC6A66">
        <w:t>to the services originally rep</w:t>
      </w:r>
      <w:r>
        <w:t xml:space="preserve">resented.  </w:t>
      </w:r>
      <w:r w:rsidR="00873172">
        <w:t>A</w:t>
      </w:r>
      <w:r>
        <w:t>t a minimum</w:t>
      </w:r>
      <w:r w:rsidR="00873172">
        <w:t xml:space="preserve"> that would include</w:t>
      </w:r>
      <w:r>
        <w:t xml:space="preserve">:  1) prearranged reservations; 2) </w:t>
      </w:r>
      <w:r w:rsidR="00342B2D">
        <w:t xml:space="preserve">to meet all customers </w:t>
      </w:r>
      <w:r w:rsidR="00BA41CF">
        <w:t>with a greeter</w:t>
      </w:r>
      <w:r w:rsidR="00873172">
        <w:t xml:space="preserve"> or issue full refunds</w:t>
      </w:r>
      <w:r w:rsidR="00BA41CF" w:rsidRPr="00D052E6">
        <w:t xml:space="preserve">; </w:t>
      </w:r>
      <w:r w:rsidR="00342B2D" w:rsidRPr="00D052E6">
        <w:t xml:space="preserve">and </w:t>
      </w:r>
      <w:r w:rsidR="00BA41CF" w:rsidRPr="00D052E6">
        <w:t xml:space="preserve">3) </w:t>
      </w:r>
      <w:r w:rsidR="00342B2D" w:rsidRPr="00D052E6">
        <w:t xml:space="preserve">to </w:t>
      </w:r>
      <w:r w:rsidR="00BA41CF" w:rsidRPr="00D052E6">
        <w:t xml:space="preserve">offer and provide multilingual </w:t>
      </w:r>
      <w:r w:rsidR="00D052E6" w:rsidRPr="00D052E6">
        <w:t xml:space="preserve">greeter and reservation call </w:t>
      </w:r>
      <w:r w:rsidR="00BA41CF" w:rsidRPr="00D052E6">
        <w:t>service when indicated</w:t>
      </w:r>
      <w:r w:rsidR="00BA41CF">
        <w:t>.</w:t>
      </w:r>
      <w:r w:rsidR="00AC6A66">
        <w:t xml:space="preserve"> </w:t>
      </w:r>
      <w:r w:rsidR="00BA41CF">
        <w:t xml:space="preserve"> These</w:t>
      </w:r>
      <w:r>
        <w:t xml:space="preserve"> are not</w:t>
      </w:r>
      <w:r w:rsidR="00AC6A66">
        <w:t xml:space="preserve"> service</w:t>
      </w:r>
      <w:r>
        <w:t>s</w:t>
      </w:r>
      <w:r w:rsidR="00AC6A66">
        <w:t xml:space="preserve"> that </w:t>
      </w:r>
      <w:r>
        <w:t xml:space="preserve">Shuttle Express </w:t>
      </w:r>
      <w:r w:rsidR="00AC6A66">
        <w:t xml:space="preserve">provides </w:t>
      </w:r>
      <w:r>
        <w:t>in its d</w:t>
      </w:r>
      <w:r w:rsidR="00AC6A66">
        <w:t xml:space="preserve">oor to </w:t>
      </w:r>
      <w:r>
        <w:t>d</w:t>
      </w:r>
      <w:r w:rsidR="00AC6A66">
        <w:t>oor service and</w:t>
      </w:r>
      <w:r>
        <w:t xml:space="preserve"> thus c</w:t>
      </w:r>
      <w:r w:rsidR="00AC6A66">
        <w:t xml:space="preserve">ould be clearly construed as being </w:t>
      </w:r>
      <w:r>
        <w:t>“</w:t>
      </w:r>
      <w:r w:rsidR="00AC6A66">
        <w:t>different.</w:t>
      </w:r>
      <w:r>
        <w:t>”</w:t>
      </w:r>
    </w:p>
    <w:p w14:paraId="1EF9F8F4" w14:textId="77777777" w:rsidR="00C84F67" w:rsidRDefault="00C84F67" w:rsidP="008C5114">
      <w:pPr>
        <w:pStyle w:val="ListParagraph"/>
        <w:numPr>
          <w:ilvl w:val="0"/>
          <w:numId w:val="3"/>
        </w:numPr>
        <w:spacing w:before="0" w:beforeAutospacing="0" w:after="0" w:afterAutospacing="0"/>
        <w:ind w:left="0" w:hanging="720"/>
      </w:pPr>
      <w:r>
        <w:t>The Speedishuttle Complaint should be dismissed and Staff’s proposed fines should be denied based on lack of jurisdiction over the service at issue.</w:t>
      </w:r>
    </w:p>
    <w:p w14:paraId="76D060E9" w14:textId="77777777" w:rsidR="00ED5F26" w:rsidRDefault="00ED5F26" w:rsidP="00DA59E9">
      <w:pPr>
        <w:pStyle w:val="ListParagraph"/>
        <w:keepNext/>
        <w:spacing w:before="0" w:beforeAutospacing="0" w:after="0" w:afterAutospacing="0" w:line="240" w:lineRule="auto"/>
        <w:ind w:left="4680"/>
      </w:pPr>
    </w:p>
    <w:p w14:paraId="3322B44B" w14:textId="77777777" w:rsidR="00ED5F26" w:rsidRDefault="00ED5F26" w:rsidP="00DA59E9">
      <w:pPr>
        <w:pStyle w:val="ListParagraph"/>
        <w:keepNext/>
        <w:spacing w:before="0" w:beforeAutospacing="0" w:after="0" w:afterAutospacing="0" w:line="240" w:lineRule="auto"/>
        <w:ind w:left="4680"/>
      </w:pPr>
      <w:r>
        <w:t>Respectfully submitted,</w:t>
      </w:r>
    </w:p>
    <w:p w14:paraId="556B7F94" w14:textId="77777777" w:rsidR="00ED5F26" w:rsidRDefault="00ED5F26" w:rsidP="00DA59E9">
      <w:pPr>
        <w:pStyle w:val="ListParagraph"/>
        <w:keepNext/>
        <w:spacing w:before="0" w:beforeAutospacing="0" w:after="0" w:afterAutospacing="0" w:line="240" w:lineRule="auto"/>
        <w:ind w:left="4680"/>
      </w:pPr>
    </w:p>
    <w:p w14:paraId="180A44E8" w14:textId="77777777" w:rsidR="00ED5F26" w:rsidRPr="00B015A4" w:rsidRDefault="00ED5F26" w:rsidP="00DA59E9">
      <w:pPr>
        <w:pStyle w:val="ListParagraph"/>
        <w:keepNext/>
        <w:spacing w:before="0" w:beforeAutospacing="0" w:after="0" w:afterAutospacing="0" w:line="240" w:lineRule="auto"/>
        <w:ind w:left="4680"/>
        <w:rPr>
          <w:u w:val="single"/>
        </w:rPr>
      </w:pPr>
      <w:r w:rsidRPr="00B015A4">
        <w:rPr>
          <w:u w:val="single"/>
        </w:rPr>
        <w:tab/>
        <w:t>/s/</w:t>
      </w:r>
      <w:r w:rsidRPr="00B015A4">
        <w:rPr>
          <w:u w:val="single"/>
        </w:rPr>
        <w:tab/>
      </w:r>
      <w:r w:rsidRPr="00B015A4">
        <w:rPr>
          <w:u w:val="single"/>
        </w:rPr>
        <w:tab/>
      </w:r>
      <w:r w:rsidRPr="00B015A4">
        <w:rPr>
          <w:u w:val="single"/>
        </w:rPr>
        <w:tab/>
      </w:r>
      <w:r w:rsidRPr="00B015A4">
        <w:rPr>
          <w:u w:val="single"/>
        </w:rPr>
        <w:tab/>
      </w:r>
      <w:r>
        <w:rPr>
          <w:u w:val="single"/>
        </w:rPr>
        <w:tab/>
      </w:r>
    </w:p>
    <w:p w14:paraId="5D024096" w14:textId="77777777" w:rsidR="00ED5F26" w:rsidRDefault="00ED5F26" w:rsidP="00DA59E9">
      <w:pPr>
        <w:pStyle w:val="ListParagraph"/>
        <w:keepNext/>
        <w:spacing w:before="0" w:beforeAutospacing="0" w:after="0" w:afterAutospacing="0" w:line="240" w:lineRule="auto"/>
        <w:ind w:left="4680"/>
      </w:pPr>
      <w:r>
        <w:t>Brooks E. Harlow, WSBA # 11843</w:t>
      </w:r>
    </w:p>
    <w:p w14:paraId="3A749F32" w14:textId="77777777" w:rsidR="00ED5F26" w:rsidRPr="00B015A4" w:rsidRDefault="00ED5F26" w:rsidP="00DA59E9">
      <w:pPr>
        <w:pStyle w:val="ListParagraph"/>
        <w:keepNext/>
        <w:spacing w:before="0" w:beforeAutospacing="0" w:after="0" w:afterAutospacing="0" w:line="240" w:lineRule="auto"/>
        <w:ind w:left="4680"/>
        <w:rPr>
          <w:smallCaps/>
        </w:rPr>
      </w:pPr>
      <w:r w:rsidRPr="00B015A4">
        <w:rPr>
          <w:smallCaps/>
        </w:rPr>
        <w:t>Lukas, LaFuria, Gutierrez &amp; Sachs, LLP</w:t>
      </w:r>
    </w:p>
    <w:p w14:paraId="270C1FCD" w14:textId="77777777" w:rsidR="00ED5F26" w:rsidRDefault="00ED5F26" w:rsidP="00DA59E9">
      <w:pPr>
        <w:pStyle w:val="ListParagraph"/>
        <w:keepNext/>
        <w:spacing w:before="0" w:beforeAutospacing="0" w:after="0" w:afterAutospacing="0" w:line="240" w:lineRule="auto"/>
        <w:ind w:left="4680"/>
      </w:pPr>
      <w:r>
        <w:t>8300 Greensboro Drive, Suite 1200</w:t>
      </w:r>
    </w:p>
    <w:p w14:paraId="172CBEC3" w14:textId="77777777" w:rsidR="00ED5F26" w:rsidRDefault="00ED5F26" w:rsidP="00DA59E9">
      <w:pPr>
        <w:pStyle w:val="ListParagraph"/>
        <w:keepNext/>
        <w:spacing w:before="0" w:beforeAutospacing="0" w:after="0" w:afterAutospacing="0" w:line="240" w:lineRule="auto"/>
        <w:ind w:left="4680"/>
      </w:pPr>
      <w:r>
        <w:t>Tysons, VA  22102</w:t>
      </w:r>
    </w:p>
    <w:p w14:paraId="2A9EF6AA" w14:textId="77777777" w:rsidR="00ED5F26" w:rsidRDefault="00ED5F26" w:rsidP="00DA59E9">
      <w:pPr>
        <w:pStyle w:val="ListParagraph"/>
        <w:keepNext/>
        <w:spacing w:before="0" w:beforeAutospacing="0" w:after="0" w:afterAutospacing="0" w:line="240" w:lineRule="auto"/>
        <w:ind w:left="4680"/>
      </w:pPr>
      <w:r>
        <w:t>Direct: (703) 584-8680</w:t>
      </w:r>
    </w:p>
    <w:p w14:paraId="2F699799" w14:textId="77777777" w:rsidR="00ED5F26" w:rsidRDefault="00ED5F26" w:rsidP="00DA59E9">
      <w:pPr>
        <w:pStyle w:val="ListParagraph"/>
        <w:keepNext/>
        <w:spacing w:before="0" w:beforeAutospacing="0" w:after="0" w:afterAutospacing="0" w:line="240" w:lineRule="auto"/>
        <w:ind w:left="4680"/>
      </w:pPr>
      <w:r>
        <w:t>Cell: (206) 650-8206</w:t>
      </w:r>
    </w:p>
    <w:p w14:paraId="00E99922" w14:textId="77777777" w:rsidR="00ED5F26" w:rsidRDefault="00ED5F26" w:rsidP="00DA59E9">
      <w:pPr>
        <w:pStyle w:val="ListParagraph"/>
        <w:keepNext/>
        <w:spacing w:before="0" w:beforeAutospacing="0" w:after="0" w:afterAutospacing="0" w:line="240" w:lineRule="auto"/>
        <w:ind w:left="4680"/>
      </w:pPr>
      <w:r>
        <w:t>bharlow@fcclaw.com</w:t>
      </w:r>
    </w:p>
    <w:p w14:paraId="1CA46AF2" w14:textId="77777777" w:rsidR="00ED5F26" w:rsidRDefault="00ED5F26" w:rsidP="00DA59E9">
      <w:pPr>
        <w:pStyle w:val="ListParagraph"/>
        <w:keepNext/>
        <w:spacing w:before="0" w:beforeAutospacing="0" w:after="0" w:afterAutospacing="0" w:line="240" w:lineRule="auto"/>
        <w:ind w:left="4680"/>
      </w:pPr>
    </w:p>
    <w:p w14:paraId="6AA7853A" w14:textId="77777777" w:rsidR="00ED5F26" w:rsidRPr="00B015A4" w:rsidRDefault="00ED5F26" w:rsidP="00DA59E9">
      <w:pPr>
        <w:pStyle w:val="ListParagraph"/>
        <w:keepNext/>
        <w:spacing w:before="0" w:beforeAutospacing="0" w:after="0" w:afterAutospacing="0" w:line="240" w:lineRule="auto"/>
        <w:ind w:left="4680"/>
        <w:rPr>
          <w:i/>
        </w:rPr>
      </w:pPr>
      <w:r w:rsidRPr="00B015A4">
        <w:rPr>
          <w:i/>
        </w:rPr>
        <w:t>Counsel for Shuttle Express, Inc.</w:t>
      </w:r>
    </w:p>
    <w:p w14:paraId="37AEFA12" w14:textId="77777777" w:rsidR="00ED5F26" w:rsidRDefault="00ED5F26" w:rsidP="00DA59E9">
      <w:pPr>
        <w:pStyle w:val="ListParagraph"/>
        <w:keepNext/>
        <w:spacing w:before="0" w:beforeAutospacing="0" w:after="0" w:afterAutospacing="0" w:line="240" w:lineRule="auto"/>
      </w:pPr>
    </w:p>
    <w:p w14:paraId="4EBC473A" w14:textId="77777777" w:rsidR="00146B88" w:rsidRDefault="00ED5F26" w:rsidP="005E4D37">
      <w:pPr>
        <w:pStyle w:val="ListParagraph"/>
        <w:spacing w:before="0" w:beforeAutospacing="0" w:after="0" w:afterAutospacing="0" w:line="240" w:lineRule="auto"/>
        <w:ind w:left="0"/>
      </w:pPr>
      <w:r w:rsidRPr="00E8671A">
        <w:t xml:space="preserve">Dated: </w:t>
      </w:r>
      <w:r w:rsidR="00962820">
        <w:t>July 14</w:t>
      </w:r>
      <w:r w:rsidRPr="00E8671A">
        <w:t>, 2017</w:t>
      </w:r>
    </w:p>
    <w:p w14:paraId="280548E0" w14:textId="77777777" w:rsidR="00DA59E9" w:rsidRDefault="00DA59E9" w:rsidP="00DA59E9">
      <w:pPr>
        <w:tabs>
          <w:tab w:val="center" w:pos="4680"/>
        </w:tabs>
        <w:spacing w:before="0" w:beforeAutospacing="0" w:after="160" w:afterAutospacing="0" w:line="259" w:lineRule="auto"/>
      </w:pPr>
    </w:p>
    <w:p w14:paraId="6DC973D1" w14:textId="77777777" w:rsidR="00D8721B" w:rsidRDefault="00D8721B" w:rsidP="00DA59E9">
      <w:pPr>
        <w:tabs>
          <w:tab w:val="center" w:pos="4680"/>
        </w:tabs>
        <w:spacing w:before="0" w:beforeAutospacing="0" w:after="160" w:afterAutospacing="0" w:line="259" w:lineRule="auto"/>
        <w:jc w:val="center"/>
        <w:rPr>
          <w:rFonts w:eastAsia="Times New Roman"/>
          <w:szCs w:val="24"/>
        </w:rPr>
      </w:pPr>
      <w:r w:rsidRPr="00DA59E9">
        <w:br w:type="page"/>
      </w:r>
      <w:r>
        <w:rPr>
          <w:b/>
          <w:spacing w:val="-2"/>
        </w:rPr>
        <w:lastRenderedPageBreak/>
        <w:t>CERTIFICATE</w:t>
      </w:r>
      <w:r>
        <w:rPr>
          <w:b/>
          <w:spacing w:val="-3"/>
        </w:rPr>
        <w:t xml:space="preserve"> </w:t>
      </w:r>
      <w:r>
        <w:rPr>
          <w:b/>
        </w:rPr>
        <w:t>OF</w:t>
      </w:r>
      <w:r>
        <w:rPr>
          <w:b/>
          <w:spacing w:val="-3"/>
        </w:rPr>
        <w:t xml:space="preserve"> </w:t>
      </w:r>
      <w:r>
        <w:rPr>
          <w:b/>
          <w:spacing w:val="-1"/>
        </w:rPr>
        <w:t>SERVICE</w:t>
      </w:r>
    </w:p>
    <w:p w14:paraId="646D0CD7" w14:textId="77777777" w:rsidR="00D8721B" w:rsidRDefault="00D8721B" w:rsidP="00D8721B">
      <w:pPr>
        <w:pStyle w:val="BodyText"/>
        <w:ind w:right="939" w:firstLine="752"/>
      </w:pPr>
      <w:r>
        <w:t>I</w:t>
      </w:r>
      <w:r>
        <w:rPr>
          <w:spacing w:val="-6"/>
        </w:rPr>
        <w:t xml:space="preserve"> </w:t>
      </w:r>
      <w:r>
        <w:t>hereby</w:t>
      </w:r>
      <w:r>
        <w:rPr>
          <w:spacing w:val="-7"/>
        </w:rPr>
        <w:t xml:space="preserve"> </w:t>
      </w:r>
      <w:r>
        <w:t>certify</w:t>
      </w:r>
      <w:r>
        <w:rPr>
          <w:spacing w:val="-10"/>
        </w:rPr>
        <w:t xml:space="preserve"> </w:t>
      </w:r>
      <w:r>
        <w:t>that on</w:t>
      </w:r>
      <w:r>
        <w:rPr>
          <w:spacing w:val="-10"/>
        </w:rPr>
        <w:t xml:space="preserve"> </w:t>
      </w:r>
      <w:r w:rsidR="00962820">
        <w:t>July 14</w:t>
      </w:r>
      <w:r>
        <w:rPr>
          <w:spacing w:val="-1"/>
        </w:rPr>
        <w:t>,</w:t>
      </w:r>
      <w:r>
        <w:rPr>
          <w:spacing w:val="-2"/>
        </w:rPr>
        <w:t xml:space="preserve"> </w:t>
      </w:r>
      <w:r>
        <w:t>2017,</w:t>
      </w:r>
      <w:r>
        <w:rPr>
          <w:spacing w:val="2"/>
        </w:rPr>
        <w:t xml:space="preserve"> </w:t>
      </w:r>
      <w:r>
        <w:t>I</w:t>
      </w:r>
      <w:r>
        <w:rPr>
          <w:spacing w:val="-8"/>
        </w:rPr>
        <w:t xml:space="preserve"> electronically </w:t>
      </w:r>
      <w:r>
        <w:t>served</w:t>
      </w:r>
      <w:r>
        <w:rPr>
          <w:spacing w:val="-1"/>
        </w:rPr>
        <w:t xml:space="preserve"> via email </w:t>
      </w:r>
      <w:r>
        <w:t xml:space="preserve">the foregoing </w:t>
      </w:r>
      <w:r w:rsidR="00293EC1">
        <w:t xml:space="preserve">Post-Hearing </w:t>
      </w:r>
      <w:r w:rsidR="00D96F8F">
        <w:t xml:space="preserve">Reply </w:t>
      </w:r>
      <w:r w:rsidR="00293EC1">
        <w:t>Brief</w:t>
      </w:r>
      <w:r>
        <w:t xml:space="preserve"> on behalf of Shuttle Express, Inc. to:</w:t>
      </w:r>
    </w:p>
    <w:tbl>
      <w:tblPr>
        <w:tblStyle w:val="TableGrid"/>
        <w:tblW w:w="9445" w:type="dxa"/>
        <w:tblLook w:val="04A0" w:firstRow="1" w:lastRow="0" w:firstColumn="1" w:lastColumn="0" w:noHBand="0" w:noVBand="1"/>
      </w:tblPr>
      <w:tblGrid>
        <w:gridCol w:w="4585"/>
        <w:gridCol w:w="4860"/>
      </w:tblGrid>
      <w:tr w:rsidR="008552DD" w14:paraId="7FDF60FE" w14:textId="77777777" w:rsidTr="008552DD">
        <w:tc>
          <w:tcPr>
            <w:tcW w:w="4585" w:type="dxa"/>
          </w:tcPr>
          <w:p w14:paraId="46926DF2" w14:textId="77777777" w:rsidR="008552DD" w:rsidRDefault="008552DD" w:rsidP="008552DD">
            <w:pPr>
              <w:spacing w:after="0" w:line="240" w:lineRule="auto"/>
              <w:ind w:left="101"/>
              <w:contextualSpacing/>
            </w:pPr>
          </w:p>
          <w:p w14:paraId="7A90AE95" w14:textId="77777777" w:rsidR="008552DD" w:rsidRDefault="008552DD" w:rsidP="008552DD">
            <w:pPr>
              <w:spacing w:after="0" w:line="240" w:lineRule="auto"/>
              <w:ind w:left="101"/>
              <w:contextualSpacing/>
            </w:pPr>
            <w:r>
              <w:t>Julian Beattie</w:t>
            </w:r>
          </w:p>
          <w:p w14:paraId="1B8689E2" w14:textId="77777777" w:rsidR="008552DD" w:rsidRDefault="008552DD" w:rsidP="008552DD">
            <w:pPr>
              <w:spacing w:after="0" w:line="240" w:lineRule="auto"/>
              <w:ind w:left="101" w:right="717"/>
              <w:contextualSpacing/>
              <w:rPr>
                <w:rFonts w:eastAsia="Times New Roman"/>
                <w:szCs w:val="24"/>
              </w:rPr>
            </w:pPr>
            <w:r>
              <w:rPr>
                <w:spacing w:val="-2"/>
              </w:rPr>
              <w:t xml:space="preserve">Office </w:t>
            </w:r>
            <w:r>
              <w:t>of the</w:t>
            </w:r>
            <w:r>
              <w:rPr>
                <w:spacing w:val="-2"/>
              </w:rPr>
              <w:t xml:space="preserve"> </w:t>
            </w:r>
            <w:r>
              <w:t>Attorney</w:t>
            </w:r>
            <w:r>
              <w:rPr>
                <w:spacing w:val="-4"/>
              </w:rPr>
              <w:t xml:space="preserve"> </w:t>
            </w:r>
            <w:r>
              <w:rPr>
                <w:spacing w:val="-2"/>
              </w:rPr>
              <w:t>General</w:t>
            </w:r>
            <w:r>
              <w:rPr>
                <w:spacing w:val="25"/>
              </w:rPr>
              <w:t xml:space="preserve"> </w:t>
            </w:r>
            <w:r>
              <w:rPr>
                <w:spacing w:val="-1"/>
              </w:rPr>
              <w:t>Utilities and</w:t>
            </w:r>
            <w:r>
              <w:rPr>
                <w:spacing w:val="-3"/>
              </w:rPr>
              <w:t xml:space="preserve"> </w:t>
            </w:r>
            <w:r>
              <w:rPr>
                <w:spacing w:val="-2"/>
              </w:rPr>
              <w:t xml:space="preserve">Transportation </w:t>
            </w:r>
            <w:r>
              <w:t>Division</w:t>
            </w:r>
            <w:r>
              <w:rPr>
                <w:spacing w:val="30"/>
              </w:rPr>
              <w:t xml:space="preserve"> </w:t>
            </w:r>
            <w:r>
              <w:t xml:space="preserve">1400 S. </w:t>
            </w:r>
            <w:r>
              <w:rPr>
                <w:spacing w:val="-1"/>
              </w:rPr>
              <w:t>Evergreen</w:t>
            </w:r>
            <w:r>
              <w:rPr>
                <w:spacing w:val="-2"/>
              </w:rPr>
              <w:t xml:space="preserve"> </w:t>
            </w:r>
            <w:r>
              <w:rPr>
                <w:spacing w:val="-1"/>
              </w:rPr>
              <w:t>Park Dr.</w:t>
            </w:r>
            <w:r>
              <w:rPr>
                <w:spacing w:val="-2"/>
              </w:rPr>
              <w:t xml:space="preserve"> </w:t>
            </w:r>
            <w:r>
              <w:t>SW</w:t>
            </w:r>
          </w:p>
          <w:p w14:paraId="13647168" w14:textId="77777777" w:rsidR="008552DD" w:rsidRDefault="008552DD" w:rsidP="008552DD">
            <w:pPr>
              <w:spacing w:after="0" w:line="240" w:lineRule="auto"/>
              <w:ind w:left="101"/>
              <w:contextualSpacing/>
              <w:rPr>
                <w:rFonts w:eastAsia="Times New Roman"/>
                <w:szCs w:val="24"/>
              </w:rPr>
            </w:pPr>
            <w:r>
              <w:t>PO</w:t>
            </w:r>
            <w:r>
              <w:rPr>
                <w:spacing w:val="-1"/>
              </w:rPr>
              <w:t xml:space="preserve"> Box</w:t>
            </w:r>
            <w:r>
              <w:rPr>
                <w:spacing w:val="1"/>
              </w:rPr>
              <w:t xml:space="preserve"> </w:t>
            </w:r>
            <w:r>
              <w:t>40128</w:t>
            </w:r>
          </w:p>
          <w:p w14:paraId="0F5F4F24" w14:textId="77777777" w:rsidR="008552DD" w:rsidRDefault="008552DD" w:rsidP="008552DD">
            <w:pPr>
              <w:spacing w:after="0" w:line="240" w:lineRule="auto"/>
              <w:ind w:left="107"/>
              <w:contextualSpacing/>
              <w:rPr>
                <w:spacing w:val="-1"/>
              </w:rPr>
            </w:pPr>
            <w:r>
              <w:rPr>
                <w:spacing w:val="-2"/>
              </w:rPr>
              <w:t>Olympia,</w:t>
            </w:r>
            <w:r>
              <w:t xml:space="preserve"> WA  </w:t>
            </w:r>
            <w:r>
              <w:rPr>
                <w:spacing w:val="-1"/>
              </w:rPr>
              <w:t>98504-0128</w:t>
            </w:r>
          </w:p>
          <w:p w14:paraId="566BDFEF" w14:textId="77777777" w:rsidR="008552DD" w:rsidRDefault="008552DD" w:rsidP="008552DD">
            <w:pPr>
              <w:spacing w:after="0" w:line="240" w:lineRule="auto"/>
              <w:ind w:left="107"/>
              <w:contextualSpacing/>
              <w:rPr>
                <w:rFonts w:eastAsia="Times New Roman"/>
                <w:szCs w:val="24"/>
              </w:rPr>
            </w:pPr>
            <w:r>
              <w:t>(360)</w:t>
            </w:r>
            <w:r>
              <w:rPr>
                <w:spacing w:val="-2"/>
              </w:rPr>
              <w:t xml:space="preserve"> 664-1192</w:t>
            </w:r>
          </w:p>
          <w:p w14:paraId="037AB516" w14:textId="77777777" w:rsidR="008552DD" w:rsidRDefault="008552DD" w:rsidP="008552DD">
            <w:pPr>
              <w:spacing w:after="0" w:line="240" w:lineRule="auto"/>
              <w:ind w:left="107"/>
              <w:contextualSpacing/>
              <w:rPr>
                <w:spacing w:val="-2"/>
              </w:rPr>
            </w:pPr>
            <w:r>
              <w:rPr>
                <w:spacing w:val="-2"/>
              </w:rPr>
              <w:t>Em</w:t>
            </w:r>
            <w:hyperlink r:id="rId12">
              <w:r>
                <w:rPr>
                  <w:spacing w:val="-2"/>
                </w:rPr>
                <w:t>ail:</w:t>
              </w:r>
              <w:r>
                <w:rPr>
                  <w:spacing w:val="-1"/>
                </w:rPr>
                <w:t xml:space="preserve"> </w:t>
              </w:r>
              <w:r>
                <w:rPr>
                  <w:spacing w:val="-2"/>
                </w:rPr>
                <w:t>jbeattie@utc.wa.gov</w:t>
              </w:r>
            </w:hyperlink>
          </w:p>
          <w:p w14:paraId="1581B7A1" w14:textId="77777777" w:rsidR="008552DD" w:rsidRDefault="008552DD" w:rsidP="00292B0A">
            <w:pPr>
              <w:spacing w:after="0" w:line="240" w:lineRule="auto"/>
              <w:ind w:left="107"/>
              <w:contextualSpacing/>
            </w:pPr>
          </w:p>
        </w:tc>
        <w:tc>
          <w:tcPr>
            <w:tcW w:w="4860" w:type="dxa"/>
          </w:tcPr>
          <w:p w14:paraId="2C6E5C87" w14:textId="77777777" w:rsidR="008552DD" w:rsidRDefault="008552DD" w:rsidP="008552DD">
            <w:pPr>
              <w:spacing w:after="0" w:line="240" w:lineRule="auto"/>
              <w:ind w:left="101" w:right="717"/>
              <w:contextualSpacing/>
              <w:rPr>
                <w:spacing w:val="-1"/>
              </w:rPr>
            </w:pPr>
          </w:p>
          <w:p w14:paraId="20E073FF" w14:textId="77777777" w:rsidR="008552DD" w:rsidRDefault="008552DD" w:rsidP="008552DD">
            <w:pPr>
              <w:spacing w:after="0" w:line="240" w:lineRule="auto"/>
              <w:ind w:left="101" w:right="717"/>
              <w:contextualSpacing/>
              <w:rPr>
                <w:spacing w:val="-1"/>
              </w:rPr>
            </w:pPr>
            <w:r>
              <w:rPr>
                <w:spacing w:val="-1"/>
              </w:rPr>
              <w:t xml:space="preserve">David </w:t>
            </w:r>
            <w:r w:rsidRPr="00DD3BFC">
              <w:rPr>
                <w:spacing w:val="-1"/>
              </w:rPr>
              <w:t>W. Wiley</w:t>
            </w:r>
          </w:p>
          <w:p w14:paraId="5DCEC604" w14:textId="77777777" w:rsidR="008552DD" w:rsidRDefault="008552DD" w:rsidP="008552DD">
            <w:pPr>
              <w:spacing w:after="0" w:line="240" w:lineRule="auto"/>
              <w:ind w:left="101" w:right="717"/>
              <w:contextualSpacing/>
              <w:rPr>
                <w:spacing w:val="-1"/>
              </w:rPr>
            </w:pPr>
            <w:r>
              <w:rPr>
                <w:spacing w:val="-1"/>
              </w:rPr>
              <w:t>Blair I. Fassburg</w:t>
            </w:r>
          </w:p>
          <w:p w14:paraId="608F7320" w14:textId="77777777" w:rsidR="008552DD" w:rsidRPr="00DD3BFC" w:rsidRDefault="008552DD" w:rsidP="008552DD">
            <w:pPr>
              <w:spacing w:after="0" w:line="240" w:lineRule="auto"/>
              <w:ind w:left="101" w:right="717"/>
              <w:contextualSpacing/>
              <w:rPr>
                <w:spacing w:val="-1"/>
              </w:rPr>
            </w:pPr>
            <w:r>
              <w:rPr>
                <w:spacing w:val="-1"/>
              </w:rPr>
              <w:t>Williams</w:t>
            </w:r>
            <w:r w:rsidRPr="00DD3BFC">
              <w:rPr>
                <w:spacing w:val="-1"/>
              </w:rPr>
              <w:t xml:space="preserve"> </w:t>
            </w:r>
            <w:r>
              <w:rPr>
                <w:spacing w:val="-1"/>
              </w:rPr>
              <w:t>Kastner</w:t>
            </w:r>
            <w:r w:rsidRPr="00DD3BFC">
              <w:rPr>
                <w:spacing w:val="-1"/>
              </w:rPr>
              <w:t xml:space="preserve"> Two Union Square</w:t>
            </w:r>
          </w:p>
          <w:p w14:paraId="7A406D23" w14:textId="77777777" w:rsidR="008552DD" w:rsidRPr="00DD3BFC" w:rsidRDefault="008552DD" w:rsidP="008552DD">
            <w:pPr>
              <w:spacing w:after="0" w:line="240" w:lineRule="auto"/>
              <w:ind w:left="101" w:right="717"/>
              <w:contextualSpacing/>
              <w:rPr>
                <w:spacing w:val="-1"/>
              </w:rPr>
            </w:pPr>
            <w:r w:rsidRPr="00DD3BFC">
              <w:rPr>
                <w:spacing w:val="-1"/>
              </w:rPr>
              <w:t xml:space="preserve">601 Union </w:t>
            </w:r>
            <w:r>
              <w:rPr>
                <w:spacing w:val="-1"/>
              </w:rPr>
              <w:t>Street,</w:t>
            </w:r>
            <w:r w:rsidRPr="00DD3BFC">
              <w:rPr>
                <w:spacing w:val="-1"/>
              </w:rPr>
              <w:t xml:space="preserve"> Suite 4100</w:t>
            </w:r>
          </w:p>
          <w:p w14:paraId="14A7C1BE" w14:textId="77777777" w:rsidR="008552DD" w:rsidRPr="00DD3BFC" w:rsidRDefault="008552DD" w:rsidP="008552DD">
            <w:pPr>
              <w:spacing w:after="0" w:line="240" w:lineRule="auto"/>
              <w:ind w:left="101" w:right="717"/>
              <w:contextualSpacing/>
              <w:rPr>
                <w:spacing w:val="-1"/>
              </w:rPr>
            </w:pPr>
            <w:r>
              <w:rPr>
                <w:spacing w:val="-1"/>
              </w:rPr>
              <w:t>Seattle, WA</w:t>
            </w:r>
            <w:r w:rsidRPr="00DD3BFC">
              <w:rPr>
                <w:spacing w:val="-1"/>
              </w:rPr>
              <w:t xml:space="preserve"> 98101</w:t>
            </w:r>
          </w:p>
          <w:p w14:paraId="02C04A67" w14:textId="77777777" w:rsidR="008552DD" w:rsidRPr="00DD3BFC" w:rsidRDefault="008552DD" w:rsidP="008552DD">
            <w:pPr>
              <w:spacing w:after="0" w:line="240" w:lineRule="auto"/>
              <w:ind w:left="101" w:right="717"/>
              <w:contextualSpacing/>
              <w:rPr>
                <w:spacing w:val="-1"/>
              </w:rPr>
            </w:pPr>
            <w:r w:rsidRPr="00DD3BFC">
              <w:rPr>
                <w:spacing w:val="-1"/>
              </w:rPr>
              <w:t>(206) 233-2895</w:t>
            </w:r>
          </w:p>
          <w:p w14:paraId="25F3039F" w14:textId="77777777" w:rsidR="008552DD" w:rsidRPr="00DD3BFC" w:rsidRDefault="008552DD" w:rsidP="008552DD">
            <w:pPr>
              <w:spacing w:after="0" w:line="240" w:lineRule="auto"/>
              <w:ind w:left="101" w:right="717"/>
              <w:contextualSpacing/>
              <w:rPr>
                <w:spacing w:val="-1"/>
              </w:rPr>
            </w:pPr>
            <w:r w:rsidRPr="00DD3BFC">
              <w:rPr>
                <w:spacing w:val="-1"/>
              </w:rPr>
              <w:t>Em</w:t>
            </w:r>
            <w:hyperlink r:id="rId13">
              <w:r w:rsidRPr="00DD3BFC">
                <w:rPr>
                  <w:spacing w:val="-1"/>
                </w:rPr>
                <w:t>ail:</w:t>
              </w:r>
              <w:r>
                <w:rPr>
                  <w:spacing w:val="-1"/>
                </w:rPr>
                <w:t xml:space="preserve"> </w:t>
              </w:r>
              <w:r w:rsidRPr="00DD3BFC">
                <w:rPr>
                  <w:spacing w:val="-1"/>
                </w:rPr>
                <w:t>dwiley@williamskastner.com</w:t>
              </w:r>
            </w:hyperlink>
          </w:p>
          <w:p w14:paraId="76DEB910" w14:textId="77777777" w:rsidR="008552DD" w:rsidRDefault="008552DD" w:rsidP="008552DD">
            <w:pPr>
              <w:spacing w:after="0" w:line="240" w:lineRule="auto"/>
              <w:ind w:left="101" w:right="717"/>
              <w:contextualSpacing/>
              <w:rPr>
                <w:spacing w:val="-1"/>
              </w:rPr>
            </w:pPr>
            <w:r w:rsidRPr="00DD3BFC">
              <w:rPr>
                <w:spacing w:val="-1"/>
              </w:rPr>
              <w:t>Email: bfassburg@williamskastner.com</w:t>
            </w:r>
          </w:p>
          <w:p w14:paraId="596E8489" w14:textId="77777777" w:rsidR="008552DD" w:rsidRPr="008552DD" w:rsidRDefault="008552DD" w:rsidP="008552DD">
            <w:pPr>
              <w:spacing w:after="0" w:line="240" w:lineRule="auto"/>
              <w:ind w:left="101" w:right="717"/>
              <w:contextualSpacing/>
              <w:rPr>
                <w:spacing w:val="-1"/>
              </w:rPr>
            </w:pPr>
          </w:p>
        </w:tc>
      </w:tr>
    </w:tbl>
    <w:p w14:paraId="3798FFB0" w14:textId="77777777" w:rsidR="008552DD" w:rsidRDefault="008552DD" w:rsidP="008552DD">
      <w:pPr>
        <w:pStyle w:val="BodyText"/>
        <w:ind w:firstLine="720"/>
      </w:pPr>
    </w:p>
    <w:p w14:paraId="0395CFE5" w14:textId="77777777" w:rsidR="00D8721B" w:rsidRDefault="00D8721B" w:rsidP="008552DD">
      <w:pPr>
        <w:pStyle w:val="BodyText"/>
        <w:ind w:firstLine="720"/>
      </w:pPr>
      <w:r>
        <w:t>Dated</w:t>
      </w:r>
      <w:r>
        <w:rPr>
          <w:spacing w:val="-2"/>
        </w:rPr>
        <w:t xml:space="preserve"> </w:t>
      </w:r>
      <w:r>
        <w:rPr>
          <w:spacing w:val="-1"/>
        </w:rPr>
        <w:t xml:space="preserve">at </w:t>
      </w:r>
      <w:r>
        <w:t>Tysons,</w:t>
      </w:r>
      <w:r>
        <w:rPr>
          <w:spacing w:val="-2"/>
        </w:rPr>
        <w:t xml:space="preserve"> </w:t>
      </w:r>
      <w:r>
        <w:t>Virginia this</w:t>
      </w:r>
      <w:r>
        <w:rPr>
          <w:spacing w:val="3"/>
        </w:rPr>
        <w:t xml:space="preserve"> </w:t>
      </w:r>
      <w:r w:rsidR="00962820">
        <w:t>14</w:t>
      </w:r>
      <w:r w:rsidR="00962820">
        <w:rPr>
          <w:vertAlign w:val="superscript"/>
        </w:rPr>
        <w:t>th</w:t>
      </w:r>
      <w:r w:rsidR="00962820">
        <w:t xml:space="preserve"> </w:t>
      </w:r>
      <w:r>
        <w:t>day</w:t>
      </w:r>
      <w:r>
        <w:rPr>
          <w:spacing w:val="-9"/>
        </w:rPr>
        <w:t xml:space="preserve"> </w:t>
      </w:r>
      <w:r>
        <w:t>of</w:t>
      </w:r>
      <w:r>
        <w:rPr>
          <w:spacing w:val="-1"/>
        </w:rPr>
        <w:t xml:space="preserve"> </w:t>
      </w:r>
      <w:r w:rsidR="00962820">
        <w:rPr>
          <w:spacing w:val="-1"/>
        </w:rPr>
        <w:t>July</w:t>
      </w:r>
      <w:r>
        <w:rPr>
          <w:spacing w:val="-1"/>
        </w:rPr>
        <w:t>,</w:t>
      </w:r>
      <w:r>
        <w:rPr>
          <w:spacing w:val="-2"/>
        </w:rPr>
        <w:t xml:space="preserve"> </w:t>
      </w:r>
      <w:r>
        <w:t>2017.</w:t>
      </w:r>
    </w:p>
    <w:p w14:paraId="25552636" w14:textId="77777777" w:rsidR="00D8721B" w:rsidRDefault="00D8721B" w:rsidP="00293EC1">
      <w:pPr>
        <w:spacing w:after="0" w:line="240" w:lineRule="auto"/>
        <w:ind w:left="5040"/>
        <w:contextualSpacing/>
        <w:rPr>
          <w:spacing w:val="27"/>
        </w:rPr>
      </w:pPr>
      <w:r>
        <w:rPr>
          <w:rFonts w:eastAsia="Times New Roman"/>
          <w:sz w:val="20"/>
        </w:rPr>
        <w:br/>
      </w:r>
      <w:r w:rsidR="00293EC1">
        <w:rPr>
          <w:spacing w:val="-2"/>
          <w:u w:val="single"/>
        </w:rPr>
        <w:t xml:space="preserve"> </w:t>
      </w:r>
      <w:r w:rsidR="008552DD">
        <w:rPr>
          <w:spacing w:val="-2"/>
          <w:u w:val="single"/>
        </w:rPr>
        <w:t xml:space="preserve"> </w:t>
      </w:r>
      <w:r w:rsidR="00293EC1">
        <w:rPr>
          <w:spacing w:val="-2"/>
          <w:u w:val="single"/>
        </w:rPr>
        <w:t xml:space="preserve">  </w:t>
      </w:r>
      <w:r w:rsidRPr="00AF2FA5">
        <w:rPr>
          <w:spacing w:val="-2"/>
          <w:u w:val="single"/>
        </w:rPr>
        <w:t>/s/</w:t>
      </w:r>
      <w:r w:rsidRPr="00AF2FA5">
        <w:rPr>
          <w:spacing w:val="-2"/>
          <w:u w:val="single"/>
        </w:rPr>
        <w:tab/>
      </w:r>
      <w:r w:rsidR="008552DD">
        <w:rPr>
          <w:spacing w:val="-2"/>
          <w:u w:val="single"/>
        </w:rPr>
        <w:tab/>
      </w:r>
      <w:r w:rsidR="008552DD">
        <w:rPr>
          <w:spacing w:val="-2"/>
          <w:u w:val="single"/>
        </w:rPr>
        <w:tab/>
      </w:r>
      <w:r w:rsidR="008552DD">
        <w:rPr>
          <w:spacing w:val="-2"/>
          <w:u w:val="single"/>
        </w:rPr>
        <w:tab/>
      </w:r>
      <w:r w:rsidRPr="00AF2FA5">
        <w:rPr>
          <w:spacing w:val="-2"/>
          <w:u w:val="single"/>
        </w:rPr>
        <w:tab/>
      </w:r>
      <w:r>
        <w:rPr>
          <w:spacing w:val="-2"/>
        </w:rPr>
        <w:br/>
        <w:t>Joseph Mirshak</w:t>
      </w:r>
    </w:p>
    <w:p w14:paraId="4EA7AAED" w14:textId="77777777" w:rsidR="00D8721B" w:rsidRDefault="00D8721B" w:rsidP="00293EC1">
      <w:pPr>
        <w:spacing w:after="0" w:line="240" w:lineRule="auto"/>
        <w:ind w:left="5040"/>
        <w:contextualSpacing/>
      </w:pPr>
      <w:r>
        <w:rPr>
          <w:spacing w:val="-2"/>
        </w:rPr>
        <w:t>Legal</w:t>
      </w:r>
      <w:r>
        <w:rPr>
          <w:spacing w:val="-1"/>
        </w:rPr>
        <w:t xml:space="preserve"> </w:t>
      </w:r>
      <w:r>
        <w:t>Assistant to Brooks E. Harlow</w:t>
      </w:r>
    </w:p>
    <w:p w14:paraId="1155209D" w14:textId="77777777" w:rsidR="00D8721B" w:rsidRPr="00293EC1" w:rsidRDefault="00D8721B" w:rsidP="00293EC1">
      <w:pPr>
        <w:spacing w:after="0" w:line="240" w:lineRule="auto"/>
        <w:ind w:left="5040"/>
        <w:contextualSpacing/>
        <w:rPr>
          <w:smallCaps/>
        </w:rPr>
      </w:pPr>
      <w:r w:rsidRPr="00293EC1">
        <w:rPr>
          <w:smallCaps/>
        </w:rPr>
        <w:t>Lukas, LaFuria, Gutierrez &amp; Sachs, LLP</w:t>
      </w:r>
    </w:p>
    <w:p w14:paraId="09D0EAB3" w14:textId="77777777" w:rsidR="00D8721B" w:rsidRDefault="00D8721B" w:rsidP="00293EC1">
      <w:pPr>
        <w:spacing w:after="0" w:line="240" w:lineRule="auto"/>
        <w:ind w:left="5040"/>
        <w:contextualSpacing/>
      </w:pPr>
      <w:r>
        <w:t>8300 Greensboro Drive, Suite 1200</w:t>
      </w:r>
    </w:p>
    <w:p w14:paraId="2EC88954" w14:textId="77777777" w:rsidR="00D8721B" w:rsidRDefault="00D8721B" w:rsidP="00293EC1">
      <w:pPr>
        <w:spacing w:after="0" w:line="240" w:lineRule="auto"/>
        <w:ind w:left="5040"/>
        <w:contextualSpacing/>
      </w:pPr>
      <w:r>
        <w:t>Tysons, VA  22102</w:t>
      </w:r>
    </w:p>
    <w:p w14:paraId="5E492D1C" w14:textId="77777777" w:rsidR="00D8721B" w:rsidRDefault="008552DD" w:rsidP="00293EC1">
      <w:pPr>
        <w:spacing w:after="0" w:line="240" w:lineRule="auto"/>
        <w:ind w:left="5040"/>
        <w:contextualSpacing/>
      </w:pPr>
      <w:r>
        <w:t xml:space="preserve">General:   </w:t>
      </w:r>
      <w:r w:rsidR="00D8721B">
        <w:t>(703) 584-8678</w:t>
      </w:r>
    </w:p>
    <w:p w14:paraId="385483F5" w14:textId="77777777" w:rsidR="00D8721B" w:rsidRDefault="008552DD" w:rsidP="00293EC1">
      <w:pPr>
        <w:spacing w:after="0" w:line="240" w:lineRule="auto"/>
        <w:ind w:left="5040"/>
        <w:contextualSpacing/>
      </w:pPr>
      <w:r>
        <w:t xml:space="preserve">Direct:      </w:t>
      </w:r>
      <w:r w:rsidR="00D8721B">
        <w:t xml:space="preserve">(703) </w:t>
      </w:r>
      <w:r>
        <w:t>584-8698</w:t>
      </w:r>
    </w:p>
    <w:p w14:paraId="1D57205A" w14:textId="77777777" w:rsidR="00D8721B" w:rsidRPr="00F83ECB" w:rsidRDefault="00D8721B" w:rsidP="005E4D37">
      <w:pPr>
        <w:pStyle w:val="ListParagraph"/>
        <w:spacing w:before="0" w:beforeAutospacing="0" w:after="0" w:afterAutospacing="0" w:line="240" w:lineRule="auto"/>
        <w:ind w:left="0"/>
      </w:pPr>
    </w:p>
    <w:sectPr w:rsidR="00D8721B" w:rsidRPr="00F83ECB" w:rsidSect="0055315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EFABD" w14:textId="77777777" w:rsidR="00FE6CA6" w:rsidRDefault="00FE6CA6" w:rsidP="00576C16">
      <w:pPr>
        <w:spacing w:before="0" w:after="0" w:line="240" w:lineRule="auto"/>
      </w:pPr>
      <w:r>
        <w:separator/>
      </w:r>
    </w:p>
  </w:endnote>
  <w:endnote w:type="continuationSeparator" w:id="0">
    <w:p w14:paraId="0AA5D837" w14:textId="77777777" w:rsidR="00FE6CA6" w:rsidRDefault="00FE6CA6" w:rsidP="00576C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78452" w14:textId="77777777" w:rsidR="00FE6CA6" w:rsidRDefault="00FE6CA6">
    <w:pPr>
      <w:pStyle w:val="Footer"/>
    </w:pPr>
    <w:r>
      <w:t xml:space="preserve">Shuttle Express Post-Hearing Reply Brief - </w:t>
    </w:r>
    <w:r>
      <w:fldChar w:fldCharType="begin"/>
    </w:r>
    <w:r>
      <w:instrText xml:space="preserve"> PAGE   \* MERGEFORMAT </w:instrText>
    </w:r>
    <w:r>
      <w:fldChar w:fldCharType="separate"/>
    </w:r>
    <w:r w:rsidR="00640200">
      <w:rPr>
        <w:noProof/>
      </w:rPr>
      <w:t>i</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0E813" w14:textId="77777777" w:rsidR="00FE6CA6" w:rsidRDefault="00FE6CA6" w:rsidP="00576C16">
      <w:pPr>
        <w:spacing w:before="0" w:after="0" w:line="240" w:lineRule="auto"/>
      </w:pPr>
      <w:r>
        <w:separator/>
      </w:r>
    </w:p>
  </w:footnote>
  <w:footnote w:type="continuationSeparator" w:id="0">
    <w:p w14:paraId="1653F067" w14:textId="77777777" w:rsidR="00FE6CA6" w:rsidRDefault="00FE6CA6" w:rsidP="00576C16">
      <w:pPr>
        <w:spacing w:before="0" w:after="0" w:line="240" w:lineRule="auto"/>
      </w:pPr>
      <w:r>
        <w:continuationSeparator/>
      </w:r>
    </w:p>
  </w:footnote>
  <w:footnote w:id="1">
    <w:p w14:paraId="2D3A6E8B" w14:textId="77777777" w:rsidR="00FE6CA6" w:rsidRDefault="00FE6CA6">
      <w:pPr>
        <w:pStyle w:val="FootnoteText"/>
      </w:pPr>
      <w:r>
        <w:rPr>
          <w:rStyle w:val="FootnoteReference"/>
        </w:rPr>
        <w:footnoteRef/>
      </w:r>
      <w:r>
        <w:t xml:space="preserve"> DJW-1T, DJW-3T</w:t>
      </w:r>
    </w:p>
  </w:footnote>
  <w:footnote w:id="2">
    <w:p w14:paraId="35AF9D25" w14:textId="77777777" w:rsidR="00FE6CA6" w:rsidRDefault="00FE6CA6">
      <w:pPr>
        <w:pStyle w:val="FootnoteText"/>
      </w:pPr>
      <w:r>
        <w:rPr>
          <w:rStyle w:val="FootnoteReference"/>
        </w:rPr>
        <w:footnoteRef/>
      </w:r>
      <w:r>
        <w:t xml:space="preserve"> Post-Hearing Brief of Speedishuttle, </w:t>
      </w:r>
      <w:bookmarkStart w:id="2" w:name="_Hlk487629561"/>
      <w:r>
        <w:t>¶ 53 (hereafter “Speedishuttle Brief”).</w:t>
      </w:r>
      <w:bookmarkEnd w:id="2"/>
    </w:p>
  </w:footnote>
  <w:footnote w:id="3">
    <w:p w14:paraId="2D2C5555" w14:textId="77777777" w:rsidR="00FE6CA6" w:rsidRDefault="00FE6CA6">
      <w:pPr>
        <w:pStyle w:val="FootnoteText"/>
      </w:pPr>
      <w:r>
        <w:rPr>
          <w:rStyle w:val="FootnoteReference"/>
        </w:rPr>
        <w:footnoteRef/>
      </w:r>
      <w:r>
        <w:t xml:space="preserve"> </w:t>
      </w:r>
      <w:r w:rsidRPr="003601DC">
        <w:rPr>
          <w:i/>
        </w:rPr>
        <w:t>E.g.,</w:t>
      </w:r>
      <w:r>
        <w:t xml:space="preserve"> TR. at 142-43 (“This company … proposes innovative and unique services in filling a niche…” and the “pie” will be “increased….”).</w:t>
      </w:r>
    </w:p>
  </w:footnote>
  <w:footnote w:id="4">
    <w:p w14:paraId="18D25CE5" w14:textId="77777777" w:rsidR="00FE6CA6" w:rsidRDefault="00FE6CA6">
      <w:pPr>
        <w:pStyle w:val="FootnoteText"/>
      </w:pPr>
      <w:r>
        <w:rPr>
          <w:rStyle w:val="FootnoteReference"/>
        </w:rPr>
        <w:footnoteRef/>
      </w:r>
      <w:r>
        <w:t xml:space="preserve"> Speedishuttle Brief, ¶ 53</w:t>
      </w:r>
      <w:r w:rsidRPr="003601DC">
        <w:t>.</w:t>
      </w:r>
    </w:p>
  </w:footnote>
  <w:footnote w:id="5">
    <w:p w14:paraId="59428DD0" w14:textId="77777777" w:rsidR="00FE6CA6" w:rsidRDefault="00FE6CA6">
      <w:pPr>
        <w:pStyle w:val="FootnoteText"/>
      </w:pPr>
      <w:r>
        <w:rPr>
          <w:rStyle w:val="FootnoteReference"/>
        </w:rPr>
        <w:footnoteRef/>
      </w:r>
      <w:r>
        <w:t xml:space="preserve"> Department of Licensing, or “DOL.”</w:t>
      </w:r>
    </w:p>
  </w:footnote>
  <w:footnote w:id="6">
    <w:p w14:paraId="69474F7C" w14:textId="77777777" w:rsidR="00FE6CA6" w:rsidRDefault="00FE6CA6">
      <w:pPr>
        <w:pStyle w:val="FootnoteText"/>
      </w:pPr>
      <w:r>
        <w:rPr>
          <w:rStyle w:val="FootnoteReference"/>
        </w:rPr>
        <w:footnoteRef/>
      </w:r>
      <w:r>
        <w:t xml:space="preserve"> It is also very questionable that the Commission can issue fines based on the complaint of a private party. The Commission’s rule clearly contemplates that it is the Commission that is empowered to commence enforcement actions seeking penalties, not private parties.  </w:t>
      </w:r>
      <w:r w:rsidRPr="00D31925">
        <w:rPr>
          <w:i/>
        </w:rPr>
        <w:t>See</w:t>
      </w:r>
      <w:r>
        <w:t xml:space="preserve"> WAC 480-30-241(4).  </w:t>
      </w:r>
    </w:p>
  </w:footnote>
  <w:footnote w:id="7">
    <w:p w14:paraId="6FC1299A" w14:textId="77777777" w:rsidR="00FE6CA6" w:rsidRDefault="00FE6CA6">
      <w:pPr>
        <w:pStyle w:val="FootnoteText"/>
      </w:pPr>
      <w:r>
        <w:rPr>
          <w:rStyle w:val="FootnoteReference"/>
        </w:rPr>
        <w:footnoteRef/>
      </w:r>
      <w:r>
        <w:t xml:space="preserve"> Initial Brief, ¶¶ 96-98, 100.</w:t>
      </w:r>
    </w:p>
  </w:footnote>
  <w:footnote w:id="8">
    <w:p w14:paraId="6065E5D1" w14:textId="77777777" w:rsidR="00FE6CA6" w:rsidRDefault="00FE6CA6">
      <w:pPr>
        <w:pStyle w:val="FootnoteText"/>
      </w:pPr>
      <w:r>
        <w:rPr>
          <w:rStyle w:val="FootnoteReference"/>
        </w:rPr>
        <w:footnoteRef/>
      </w:r>
      <w:r>
        <w:t xml:space="preserve"> Staff characterizes the offer as a “unilateral” action by Shuttle Express.  Staff Brief, ¶ 21.  But the undisputed evidence in the record is that each and every passenger is offered the choice of using the limousine service or not.  WAM-3T at 29-30, 33-34.  If the passenger declines to change the form of service, they will be transported by a Shuttle Express van using an employee driver, under Shuttle Express’s auto transportation certificate.  WAM-3T at 33-34.</w:t>
      </w:r>
    </w:p>
  </w:footnote>
  <w:footnote w:id="9">
    <w:p w14:paraId="402E59EB" w14:textId="77777777" w:rsidR="00FE6CA6" w:rsidRDefault="00FE6CA6">
      <w:pPr>
        <w:pStyle w:val="FootnoteText"/>
      </w:pPr>
      <w:r>
        <w:rPr>
          <w:rStyle w:val="FootnoteReference"/>
        </w:rPr>
        <w:footnoteRef/>
      </w:r>
      <w:r>
        <w:t xml:space="preserve"> “[W]</w:t>
      </w:r>
      <w:r w:rsidRPr="00201081">
        <w:t>e recognize that we have no authorit</w:t>
      </w:r>
      <w:r>
        <w:t>y to usurp the functions of DOL….”  Docket TC-160819</w:t>
      </w:r>
      <w:r w:rsidRPr="00201081">
        <w:t>, Order 0</w:t>
      </w:r>
      <w:r>
        <w:t>1, ¶ 12 (Sept. 30</w:t>
      </w:r>
      <w:r w:rsidRPr="00201081">
        <w:t>, 201</w:t>
      </w:r>
      <w:r>
        <w:t>6</w:t>
      </w:r>
      <w:r w:rsidRPr="00201081">
        <w:t>).</w:t>
      </w:r>
    </w:p>
  </w:footnote>
  <w:footnote w:id="10">
    <w:p w14:paraId="4D3C61CA" w14:textId="77777777" w:rsidR="00FE6CA6" w:rsidRDefault="00FE6CA6" w:rsidP="00476060">
      <w:pPr>
        <w:pStyle w:val="FootnoteText"/>
        <w:spacing w:before="100" w:after="100"/>
      </w:pPr>
      <w:r>
        <w:rPr>
          <w:rStyle w:val="FootnoteReference"/>
        </w:rPr>
        <w:footnoteRef/>
      </w:r>
      <w:r>
        <w:t xml:space="preserve"> Based on more recent proceedings and informal feedback from the DOL it appears that the DOL in fact considers the aggregation of multiple parties by a transportation arranger to be a “single contract” that falls under the limousine laws and regulations.  Although that issue is not before the Commission in this docket, it is possible that the Commission erred in docket TC-120323, and that the DOL would accept jurisdiction over multi-stop limousine service.  </w:t>
      </w:r>
    </w:p>
  </w:footnote>
  <w:footnote w:id="11">
    <w:p w14:paraId="20805EEC" w14:textId="77777777" w:rsidR="00FE6CA6" w:rsidRPr="00E8750A" w:rsidRDefault="00FE6CA6">
      <w:pPr>
        <w:pStyle w:val="FootnoteText"/>
      </w:pPr>
      <w:r>
        <w:rPr>
          <w:rStyle w:val="FootnoteReference"/>
        </w:rPr>
        <w:footnoteRef/>
      </w:r>
      <w:r>
        <w:t xml:space="preserve"> </w:t>
      </w:r>
      <w:r>
        <w:rPr>
          <w:i/>
        </w:rPr>
        <w:t>E.g.</w:t>
      </w:r>
      <w:r>
        <w:t>, WAM-3T at 29-30; DP-1T at 4.</w:t>
      </w:r>
    </w:p>
  </w:footnote>
  <w:footnote w:id="12">
    <w:p w14:paraId="77C643B8" w14:textId="77777777" w:rsidR="00FE6CA6" w:rsidRDefault="00FE6CA6" w:rsidP="00AD1083">
      <w:pPr>
        <w:pStyle w:val="FootnoteText"/>
      </w:pPr>
      <w:r>
        <w:rPr>
          <w:rStyle w:val="FootnoteReference"/>
        </w:rPr>
        <w:footnoteRef/>
      </w:r>
      <w:r>
        <w:t xml:space="preserve"> Mr. Pratt criticized Mr. Kajanoff’s testimony, but admitted that he had no personal knowledge of the conversation.  DP-6T at 4.  Moreover, Mr. Pratt admitted that the he did not attempt to contact either of the Staff who were in the meeting with Mr. Kajanoff.  Nor did Staff attempt to subpoena them.  </w:t>
      </w:r>
      <w:r w:rsidRPr="006C010E">
        <w:rPr>
          <w:i/>
        </w:rPr>
        <w:t>See</w:t>
      </w:r>
      <w:r>
        <w:t xml:space="preserve"> TR at 848-49.  Thus, apart from being fully consistent with the extensive record in TC-120323, the meeting and approval of single stop service is not disputed with any evidence.  Indeed, Mr. Pratt admitted that he himself has a different view of single stop versus multi-stop service today than in 2012.  TR at 850.  </w:t>
      </w:r>
    </w:p>
  </w:footnote>
  <w:footnote w:id="13">
    <w:p w14:paraId="0C20EEB2" w14:textId="77777777" w:rsidR="00FE6CA6" w:rsidRDefault="00FE6CA6">
      <w:pPr>
        <w:pStyle w:val="FootnoteText"/>
      </w:pPr>
      <w:r>
        <w:rPr>
          <w:rStyle w:val="FootnoteReference"/>
        </w:rPr>
        <w:footnoteRef/>
      </w:r>
      <w:r>
        <w:t xml:space="preserve"> PK-3T at 23-24.</w:t>
      </w:r>
    </w:p>
  </w:footnote>
  <w:footnote w:id="14">
    <w:p w14:paraId="6671D816" w14:textId="77777777" w:rsidR="00FE6CA6" w:rsidRDefault="00FE6CA6">
      <w:pPr>
        <w:pStyle w:val="FootnoteText"/>
      </w:pPr>
      <w:r>
        <w:rPr>
          <w:rStyle w:val="FootnoteReference"/>
        </w:rPr>
        <w:footnoteRef/>
      </w:r>
      <w:r>
        <w:t xml:space="preserve"> BR-5; WAM-3T at 26-27.</w:t>
      </w:r>
    </w:p>
  </w:footnote>
  <w:footnote w:id="15">
    <w:p w14:paraId="387BB163" w14:textId="77777777" w:rsidR="00FE6CA6" w:rsidRDefault="00FE6CA6">
      <w:pPr>
        <w:pStyle w:val="FootnoteText"/>
      </w:pPr>
      <w:r>
        <w:rPr>
          <w:rStyle w:val="FootnoteReference"/>
        </w:rPr>
        <w:footnoteRef/>
      </w:r>
      <w:r>
        <w:t xml:space="preserve"> WAM-3T at 26.</w:t>
      </w:r>
    </w:p>
  </w:footnote>
  <w:footnote w:id="16">
    <w:p w14:paraId="7C51044B" w14:textId="77777777" w:rsidR="00FE6CA6" w:rsidRPr="009E1B4D" w:rsidRDefault="00FE6CA6">
      <w:pPr>
        <w:pStyle w:val="FootnoteText"/>
      </w:pPr>
      <w:r>
        <w:rPr>
          <w:rStyle w:val="FootnoteReference"/>
        </w:rPr>
        <w:footnoteRef/>
      </w:r>
      <w:r>
        <w:t xml:space="preserve"> </w:t>
      </w:r>
      <w:r>
        <w:rPr>
          <w:i/>
        </w:rPr>
        <w:t>See generally</w:t>
      </w:r>
      <w:r>
        <w:t xml:space="preserve"> WAM-3T at 4-8.</w:t>
      </w:r>
    </w:p>
  </w:footnote>
  <w:footnote w:id="17">
    <w:p w14:paraId="4B1EAF93" w14:textId="77777777" w:rsidR="00FE6CA6" w:rsidRPr="00742EC8" w:rsidRDefault="00FE6CA6">
      <w:pPr>
        <w:pStyle w:val="FootnoteText"/>
      </w:pPr>
      <w:r>
        <w:rPr>
          <w:rStyle w:val="FootnoteReference"/>
        </w:rPr>
        <w:footnoteRef/>
      </w:r>
      <w:r>
        <w:t xml:space="preserve"> </w:t>
      </w:r>
      <w:r>
        <w:rPr>
          <w:i/>
        </w:rPr>
        <w:t xml:space="preserve">See </w:t>
      </w:r>
      <w:r>
        <w:t>WAM-3T at 6.</w:t>
      </w:r>
    </w:p>
  </w:footnote>
  <w:footnote w:id="18">
    <w:p w14:paraId="73427DD4" w14:textId="77777777" w:rsidR="00FE6CA6" w:rsidRPr="00742EC8" w:rsidRDefault="00FE6CA6">
      <w:pPr>
        <w:pStyle w:val="FootnoteText"/>
      </w:pPr>
      <w:r>
        <w:rPr>
          <w:rStyle w:val="FootnoteReference"/>
        </w:rPr>
        <w:footnoteRef/>
      </w:r>
      <w:r>
        <w:t xml:space="preserve"> </w:t>
      </w:r>
      <w:r>
        <w:rPr>
          <w:i/>
        </w:rPr>
        <w:t>See</w:t>
      </w:r>
      <w:r>
        <w:t xml:space="preserve"> WAM-3T at 12-13.</w:t>
      </w:r>
    </w:p>
  </w:footnote>
  <w:footnote w:id="19">
    <w:p w14:paraId="58E22FA4" w14:textId="77777777" w:rsidR="00FE6CA6" w:rsidRPr="00742EC8" w:rsidRDefault="00FE6CA6">
      <w:pPr>
        <w:pStyle w:val="FootnoteText"/>
      </w:pPr>
      <w:r>
        <w:rPr>
          <w:rStyle w:val="FootnoteReference"/>
        </w:rPr>
        <w:footnoteRef/>
      </w:r>
      <w:r>
        <w:t xml:space="preserve"> </w:t>
      </w:r>
      <w:r>
        <w:rPr>
          <w:i/>
        </w:rPr>
        <w:t>See</w:t>
      </w:r>
      <w:r>
        <w:t xml:space="preserve"> WAM-3T at 6-8.</w:t>
      </w:r>
    </w:p>
  </w:footnote>
  <w:footnote w:id="20">
    <w:p w14:paraId="784A89B5" w14:textId="77777777" w:rsidR="00FE6CA6" w:rsidRDefault="00FE6CA6">
      <w:pPr>
        <w:pStyle w:val="FootnoteText"/>
      </w:pPr>
      <w:r>
        <w:rPr>
          <w:rStyle w:val="FootnoteReference"/>
        </w:rPr>
        <w:footnoteRef/>
      </w:r>
      <w:r>
        <w:t xml:space="preserve"> WAM-3T at 3-6.</w:t>
      </w:r>
    </w:p>
  </w:footnote>
  <w:footnote w:id="21">
    <w:p w14:paraId="5E91CA81" w14:textId="77777777" w:rsidR="00FE6CA6" w:rsidRDefault="00FE6CA6">
      <w:pPr>
        <w:pStyle w:val="FootnoteText"/>
      </w:pPr>
      <w:r>
        <w:rPr>
          <w:rStyle w:val="FootnoteReference"/>
        </w:rPr>
        <w:footnoteRef/>
      </w:r>
      <w:r>
        <w:t xml:space="preserve"> TR. at 663.</w:t>
      </w:r>
    </w:p>
  </w:footnote>
  <w:footnote w:id="22">
    <w:p w14:paraId="1A12AA7B" w14:textId="77777777" w:rsidR="00FE6CA6" w:rsidRDefault="00FE6CA6">
      <w:pPr>
        <w:pStyle w:val="FootnoteText"/>
      </w:pPr>
      <w:r>
        <w:rPr>
          <w:rStyle w:val="FootnoteReference"/>
        </w:rPr>
        <w:footnoteRef/>
      </w:r>
      <w:r>
        <w:t xml:space="preserve"> WAM-3T at 6-7.</w:t>
      </w:r>
    </w:p>
  </w:footnote>
  <w:footnote w:id="23">
    <w:p w14:paraId="5922EE93" w14:textId="77777777" w:rsidR="00FE6CA6" w:rsidRDefault="00FE6CA6">
      <w:pPr>
        <w:pStyle w:val="FootnoteText"/>
      </w:pPr>
      <w:r>
        <w:rPr>
          <w:rStyle w:val="FootnoteReference"/>
        </w:rPr>
        <w:footnoteRef/>
      </w:r>
      <w:r>
        <w:t xml:space="preserve"> </w:t>
      </w:r>
      <w:r w:rsidRPr="002A7FC9">
        <w:rPr>
          <w:i/>
        </w:rPr>
        <w:t xml:space="preserve">E.g., </w:t>
      </w:r>
      <w:r>
        <w:t>RCW 81.28.080</w:t>
      </w:r>
      <w:r w:rsidR="00FE3243">
        <w:fldChar w:fldCharType="begin"/>
      </w:r>
      <w:r w:rsidR="00FE3243">
        <w:instrText xml:space="preserve"> TA \l "</w:instrText>
      </w:r>
      <w:r w:rsidR="00FE3243" w:rsidRPr="00E762A5">
        <w:instrText>RCW 81.28.080</w:instrText>
      </w:r>
      <w:r w:rsidR="00FE3243">
        <w:instrText xml:space="preserve">" \s "RCW 81.28.080" \c 4 </w:instrText>
      </w:r>
      <w:r w:rsidR="00FE3243">
        <w:fldChar w:fldCharType="end"/>
      </w:r>
      <w:r>
        <w:t xml:space="preserve"> (“</w:t>
      </w:r>
      <w:r w:rsidRPr="000A0E36">
        <w:t>A common carrier subject to regulation by the commission as to rates and service shall not charge, demand, collect, or receive a greater or less or different compensation for transportation of persons or property, or for any service in connection therewith, than the rates, fares, and charges applicable to such transportation as specified in its schedules filed and in effect at the time</w:t>
      </w:r>
      <w:r>
        <w:t>….”).</w:t>
      </w:r>
    </w:p>
  </w:footnote>
  <w:footnote w:id="24">
    <w:p w14:paraId="2C275897" w14:textId="77777777" w:rsidR="00FE6CA6" w:rsidRDefault="00FE6CA6" w:rsidP="00001ABC">
      <w:pPr>
        <w:pStyle w:val="FootnoteText"/>
      </w:pPr>
      <w:r>
        <w:rPr>
          <w:rStyle w:val="FootnoteReference"/>
        </w:rPr>
        <w:footnoteRef/>
      </w:r>
      <w:r>
        <w:t xml:space="preserve"> </w:t>
      </w:r>
      <w:r w:rsidRPr="00001ABC">
        <w:rPr>
          <w:i/>
        </w:rPr>
        <w:t>General Telephone Co. of Northwest, Inc. v. City of Bothell,</w:t>
      </w:r>
      <w:r>
        <w:t xml:space="preserve"> 105 Wash.2d 579, 585 (1986)</w:t>
      </w:r>
      <w:r w:rsidR="00FE3243">
        <w:fldChar w:fldCharType="begin"/>
      </w:r>
      <w:r w:rsidR="00FE3243">
        <w:instrText xml:space="preserve"> TA \l "</w:instrText>
      </w:r>
      <w:r w:rsidR="00FE3243" w:rsidRPr="009329C1">
        <w:rPr>
          <w:i/>
        </w:rPr>
        <w:instrText>General Telephone Co. of Northwest, Inc. v. City of Bothell,</w:instrText>
      </w:r>
      <w:r w:rsidR="00FE3243" w:rsidRPr="009329C1">
        <w:instrText xml:space="preserve"> 105 Wash.2d 579, 585 (1986)</w:instrText>
      </w:r>
      <w:r w:rsidR="00FE3243">
        <w:instrText xml:space="preserve">" \s "General Telephone Co. of Northwest, Inc. v. City of Bothell, 105 Wash.2d 579, 585 (1986)" \c 2 </w:instrText>
      </w:r>
      <w:r w:rsidR="00FE3243">
        <w:fldChar w:fldCharType="end"/>
      </w:r>
      <w:r>
        <w:t>.</w:t>
      </w:r>
    </w:p>
  </w:footnote>
  <w:footnote w:id="25">
    <w:p w14:paraId="7C7E74DD" w14:textId="77777777" w:rsidR="00FE6CA6" w:rsidRDefault="00FE6CA6">
      <w:pPr>
        <w:pStyle w:val="FootnoteText"/>
      </w:pPr>
      <w:r>
        <w:rPr>
          <w:rStyle w:val="FootnoteReference"/>
        </w:rPr>
        <w:footnoteRef/>
      </w:r>
      <w:r>
        <w:t xml:space="preserve"> </w:t>
      </w:r>
      <w:r w:rsidRPr="00001ABC">
        <w:rPr>
          <w:i/>
        </w:rPr>
        <w:t>E.g., Tenore v. AT &amp; T Wireless Services,</w:t>
      </w:r>
      <w:r>
        <w:t xml:space="preserve"> 136 Wash.2d 322, 331 (1998)</w:t>
      </w:r>
      <w:r w:rsidR="00FE3243">
        <w:fldChar w:fldCharType="begin"/>
      </w:r>
      <w:r w:rsidR="00FE3243">
        <w:instrText xml:space="preserve"> TA \l "</w:instrText>
      </w:r>
      <w:r w:rsidR="00FE3243" w:rsidRPr="00092836">
        <w:rPr>
          <w:i/>
        </w:rPr>
        <w:instrText>Tenore v. AT &amp; T Wireless Services,</w:instrText>
      </w:r>
      <w:r w:rsidR="00FE3243" w:rsidRPr="00092836">
        <w:instrText xml:space="preserve"> 136 Wash.2d 322, 331 (1998)</w:instrText>
      </w:r>
      <w:r w:rsidR="00FE3243">
        <w:instrText xml:space="preserve">" \s "Tenore v. AT &amp; T Wireless Services, 136 Wash.2d 322, 331 (1998)" \c 2 </w:instrText>
      </w:r>
      <w:r w:rsidR="00FE3243">
        <w:fldChar w:fldCharType="end"/>
      </w:r>
      <w:r>
        <w:t xml:space="preserve">(“any “filed rate … is per se reasonable and cannot be the subject of legal action against the private entity that filed it.”); </w:t>
      </w:r>
      <w:r w:rsidRPr="00001ABC">
        <w:rPr>
          <w:i/>
        </w:rPr>
        <w:t>see also,</w:t>
      </w:r>
      <w:r>
        <w:t xml:space="preserve"> </w:t>
      </w:r>
      <w:r w:rsidRPr="00001ABC">
        <w:rPr>
          <w:i/>
        </w:rPr>
        <w:t>Hardy v. Claircom Communications Group, Inc.,</w:t>
      </w:r>
      <w:r>
        <w:t xml:space="preserve"> 86 Wash.App. 488, 492 (1997)</w:t>
      </w:r>
      <w:r w:rsidR="00FE3243">
        <w:fldChar w:fldCharType="begin"/>
      </w:r>
      <w:r w:rsidR="00FE3243">
        <w:instrText xml:space="preserve"> TA \l "</w:instrText>
      </w:r>
      <w:r w:rsidR="00FE3243" w:rsidRPr="00FF2949">
        <w:rPr>
          <w:i/>
        </w:rPr>
        <w:instrText>Hardy v. Claircom Communications Group, Inc.,</w:instrText>
      </w:r>
      <w:r w:rsidR="00FE3243" w:rsidRPr="00FF2949">
        <w:instrText xml:space="preserve"> 86 Wash.App. 488, 492 (1997)</w:instrText>
      </w:r>
      <w:r w:rsidR="00FE3243">
        <w:instrText xml:space="preserve">" \s "Hardy v. Claircom Communications Group, Inc., 86 Wash.App. 488, 492 (1997)" \c 2 </w:instrText>
      </w:r>
      <w:r w:rsidR="00FE3243">
        <w:fldChar w:fldCharType="end"/>
      </w:r>
      <w:r>
        <w:t>(“filed rate doctrine embodies the principle that a [subscriber] cannot avoid payment of the tariff rate by invoking common-law claims and defenses ….”)</w:t>
      </w:r>
    </w:p>
  </w:footnote>
  <w:footnote w:id="26">
    <w:p w14:paraId="1A564497" w14:textId="77777777" w:rsidR="00FE6CA6" w:rsidRDefault="00FE6CA6">
      <w:pPr>
        <w:pStyle w:val="FootnoteText"/>
      </w:pPr>
      <w:r>
        <w:rPr>
          <w:rStyle w:val="FootnoteReference"/>
        </w:rPr>
        <w:footnoteRef/>
      </w:r>
      <w:r>
        <w:t xml:space="preserve"> </w:t>
      </w:r>
      <w:r w:rsidRPr="009406C1">
        <w:rPr>
          <w:i/>
        </w:rPr>
        <w:t>See, e.g.,</w:t>
      </w:r>
      <w:r>
        <w:t xml:space="preserve"> </w:t>
      </w:r>
      <w:r w:rsidRPr="009406C1">
        <w:t>Docket TC-120323, Order 04, Final</w:t>
      </w:r>
      <w:r>
        <w:t xml:space="preserve"> Order, ¶ 45</w:t>
      </w:r>
      <w:r w:rsidRPr="009406C1">
        <w:t xml:space="preserve"> (Mar. 19, 2014)</w:t>
      </w:r>
      <w:r>
        <w:t xml:space="preserve">; see also, </w:t>
      </w:r>
      <w:r>
        <w:rPr>
          <w:rFonts w:cs="Times New Roman"/>
        </w:rPr>
        <w:t>Docket TC-120323, Order 03</w:t>
      </w:r>
      <w:r w:rsidRPr="00116CF4">
        <w:rPr>
          <w:rFonts w:cs="Times New Roman"/>
        </w:rPr>
        <w:t xml:space="preserve">, </w:t>
      </w:r>
      <w:r>
        <w:rPr>
          <w:rFonts w:cs="Times New Roman"/>
        </w:rPr>
        <w:t>Initial</w:t>
      </w:r>
      <w:r w:rsidRPr="00116CF4">
        <w:rPr>
          <w:rFonts w:cs="Times New Roman"/>
        </w:rPr>
        <w:t xml:space="preserve"> Order</w:t>
      </w:r>
      <w:r>
        <w:rPr>
          <w:rFonts w:cs="Times New Roman"/>
        </w:rPr>
        <w:t>, ¶ 15 (“</w:t>
      </w:r>
      <w:r w:rsidRPr="009406C1">
        <w:rPr>
          <w:rFonts w:cs="Times New Roman"/>
        </w:rPr>
        <w:t xml:space="preserve">Any driver servicing the Company’s regulated </w:t>
      </w:r>
      <w:r w:rsidRPr="000E73BA">
        <w:rPr>
          <w:rFonts w:cs="Times New Roman"/>
          <w:u w:val="single"/>
        </w:rPr>
        <w:t>multi-stop routes</w:t>
      </w:r>
      <w:r w:rsidRPr="009406C1">
        <w:rPr>
          <w:rFonts w:cs="Times New Roman"/>
        </w:rPr>
        <w:t xml:space="preserve"> thus must </w:t>
      </w:r>
      <w:r>
        <w:rPr>
          <w:rFonts w:cs="Times New Roman"/>
        </w:rPr>
        <w:t>be a Shuttle Express employee.” (emphasis added)).</w:t>
      </w:r>
    </w:p>
  </w:footnote>
  <w:footnote w:id="27">
    <w:p w14:paraId="7A920388" w14:textId="77777777" w:rsidR="00FE6CA6" w:rsidRDefault="00FE6CA6">
      <w:pPr>
        <w:pStyle w:val="FootnoteText"/>
      </w:pPr>
      <w:r>
        <w:rPr>
          <w:rStyle w:val="FootnoteReference"/>
        </w:rPr>
        <w:footnoteRef/>
      </w:r>
      <w:r>
        <w:t xml:space="preserve"> </w:t>
      </w:r>
      <w:r w:rsidRPr="009406C1">
        <w:rPr>
          <w:i/>
        </w:rPr>
        <w:t>See generally, id.</w:t>
      </w:r>
      <w:r>
        <w:t xml:space="preserve">  Not only did the Commission know about thousands of single-stop trips and not discuss or fine them, it also took no action to stop them, as it did the multi-stop trips:  “</w:t>
      </w:r>
      <w:r w:rsidRPr="009406C1">
        <w:t xml:space="preserve">Shuttle Express, Inc., shall immediately </w:t>
      </w:r>
      <w:r w:rsidRPr="00AD1083">
        <w:rPr>
          <w:u w:val="single"/>
        </w:rPr>
        <w:t>cease and desist</w:t>
      </w:r>
      <w:r w:rsidRPr="009406C1">
        <w:t xml:space="preserve"> its use of independent contractors to provide </w:t>
      </w:r>
      <w:r w:rsidRPr="004C200B">
        <w:rPr>
          <w:u w:val="single"/>
        </w:rPr>
        <w:t>multi-stop service</w:t>
      </w:r>
      <w:r w:rsidRPr="009406C1">
        <w:t xml:space="preserve"> along its regulated routes.</w:t>
      </w:r>
      <w:r>
        <w:t xml:space="preserve">”  </w:t>
      </w:r>
      <w:r w:rsidRPr="009406C1">
        <w:t>….”   Docket TC-12032</w:t>
      </w:r>
      <w:r>
        <w:t>3, Order 03, Initial Order, ¶ 73 (emphasis added).  And the Commission even acknowledged in its final order—without question, quarrel, challenge, or disagreement—the company’s understanding that “Staff concedes that ‘rescue service’</w:t>
      </w:r>
      <w:r w:rsidRPr="004C200B">
        <w:t xml:space="preserve"> provided on a </w:t>
      </w:r>
      <w:r w:rsidRPr="004C200B">
        <w:rPr>
          <w:u w:val="single"/>
        </w:rPr>
        <w:t>single-stop basis complies</w:t>
      </w:r>
      <w:r w:rsidRPr="004C200B">
        <w:t xml:space="preserve"> with Commission regulations</w:t>
      </w:r>
      <w:r>
        <w:t xml:space="preserve">….”  </w:t>
      </w:r>
      <w:r w:rsidRPr="009406C1">
        <w:t>Docket TC-120323, Order 04, Final</w:t>
      </w:r>
      <w:r>
        <w:t xml:space="preserve"> Order, ¶ 36 (emphasis added).  </w:t>
      </w:r>
    </w:p>
  </w:footnote>
  <w:footnote w:id="28">
    <w:p w14:paraId="4E9E7ED4" w14:textId="77777777" w:rsidR="00FE6CA6" w:rsidRDefault="00FE6CA6">
      <w:pPr>
        <w:pStyle w:val="FootnoteText"/>
      </w:pPr>
      <w:r>
        <w:rPr>
          <w:rStyle w:val="FootnoteReference"/>
        </w:rPr>
        <w:footnoteRef/>
      </w:r>
      <w:r>
        <w:t xml:space="preserve"> Given the extensive record and Commission actions, no reasonable person could conclude anything but that the Commission and its Staff in 2012-13 considered single stop service to be lawful, while multi-stop was unlawful.  Staff is now trying to change those clear rules, retroactively.</w:t>
      </w:r>
    </w:p>
  </w:footnote>
  <w:footnote w:id="29">
    <w:p w14:paraId="31745FC3" w14:textId="77777777" w:rsidR="00FE6CA6" w:rsidRDefault="00FE6CA6">
      <w:pPr>
        <w:pStyle w:val="FootnoteText"/>
      </w:pPr>
      <w:r>
        <w:rPr>
          <w:rStyle w:val="FootnoteReference"/>
        </w:rPr>
        <w:footnoteRef/>
      </w:r>
      <w:r>
        <w:t xml:space="preserve"> TC-120323, Staff Answer to Petition for Administrative Review, at 7 (filed Jan. 13, 2014).</w:t>
      </w:r>
    </w:p>
  </w:footnote>
  <w:footnote w:id="30">
    <w:p w14:paraId="588A8006" w14:textId="77777777" w:rsidR="00FE6CA6" w:rsidRPr="00742EC8" w:rsidRDefault="00FE6CA6">
      <w:pPr>
        <w:pStyle w:val="FootnoteText"/>
      </w:pPr>
      <w:r>
        <w:rPr>
          <w:rStyle w:val="FootnoteReference"/>
        </w:rPr>
        <w:footnoteRef/>
      </w:r>
      <w:r>
        <w:t xml:space="preserve"> </w:t>
      </w:r>
      <w:r>
        <w:rPr>
          <w:i/>
        </w:rPr>
        <w:t>See generally</w:t>
      </w:r>
      <w:r>
        <w:t>, TC-120323, Orders 03 and 04.</w:t>
      </w:r>
    </w:p>
  </w:footnote>
  <w:footnote w:id="31">
    <w:p w14:paraId="545E4B42" w14:textId="77777777" w:rsidR="00FE6CA6" w:rsidRDefault="00FE6CA6">
      <w:pPr>
        <w:pStyle w:val="FootnoteText"/>
      </w:pPr>
      <w:r>
        <w:rPr>
          <w:rStyle w:val="FootnoteReference"/>
        </w:rPr>
        <w:footnoteRef/>
      </w:r>
      <w:r>
        <w:t xml:space="preserve"> PK-3T at 23-24.</w:t>
      </w:r>
    </w:p>
  </w:footnote>
  <w:footnote w:id="32">
    <w:p w14:paraId="4079FE17" w14:textId="77777777" w:rsidR="00FE6CA6" w:rsidRDefault="00FE6CA6" w:rsidP="00170314">
      <w:pPr>
        <w:pStyle w:val="FootnoteText"/>
      </w:pPr>
      <w:r>
        <w:rPr>
          <w:rStyle w:val="FootnoteReference"/>
        </w:rPr>
        <w:footnoteRef/>
      </w:r>
      <w:r>
        <w:t xml:space="preserve"> </w:t>
      </w:r>
      <w:r>
        <w:rPr>
          <w:i/>
        </w:rPr>
        <w:t xml:space="preserve">Id. </w:t>
      </w:r>
      <w:r>
        <w:t xml:space="preserve">at 752–53 (“A statute is unconstitutionally vague if it ‘(1) ... does not define the criminal offense with sufficient definiteness that ordinary people can understand what conduct is proscribed, or (2) ... does not provide ascertainable standards of guilt to protect against arbitrary enforcement.’”).  The U.S. Supreme Court has, logically, extended the vagueness doctrine to agency fines and penalties.  </w:t>
      </w:r>
      <w:r w:rsidRPr="00170314">
        <w:rPr>
          <w:i/>
        </w:rPr>
        <w:t>F.C.C. v. Fox Television Stations</w:t>
      </w:r>
      <w:r>
        <w:t xml:space="preserve">, </w:t>
      </w:r>
      <w:r w:rsidRPr="008B63EA">
        <w:t>567 U.S.</w:t>
      </w:r>
      <w:r>
        <w:t xml:space="preserve"> 239, </w:t>
      </w:r>
      <w:r w:rsidRPr="0069229A">
        <w:t>132 S.Ct. 2307</w:t>
      </w:r>
      <w:r>
        <w:t xml:space="preserve"> (2012)</w:t>
      </w:r>
      <w:r w:rsidR="00FE3243">
        <w:fldChar w:fldCharType="begin"/>
      </w:r>
      <w:r w:rsidR="00FE3243">
        <w:instrText xml:space="preserve"> TA \l "</w:instrText>
      </w:r>
      <w:r w:rsidR="00FE3243" w:rsidRPr="00735503">
        <w:rPr>
          <w:i/>
        </w:rPr>
        <w:instrText>F.C.C. v. Fox Television Stations</w:instrText>
      </w:r>
      <w:r w:rsidR="00FE3243" w:rsidRPr="00735503">
        <w:instrText>, 567 U.S. 239, 132 S.Ct. 2307 (2012)</w:instrText>
      </w:r>
      <w:r w:rsidR="00FE3243">
        <w:instrText xml:space="preserve">" \s "F.C.C. v. Fox Television Stations, 567 U.S. 239, 132 S.Ct. 2307 (2012)" \c 1 </w:instrText>
      </w:r>
      <w:r w:rsidR="00FE3243">
        <w:fldChar w:fldCharType="end"/>
      </w:r>
      <w:r>
        <w:t xml:space="preserve">; </w:t>
      </w:r>
      <w:r w:rsidRPr="00170314">
        <w:rPr>
          <w:i/>
        </w:rPr>
        <w:t>see also, Grant County v. Bohne,</w:t>
      </w:r>
      <w:r>
        <w:t xml:space="preserve"> 89 Wash.2d 953, 955 (1978)</w:t>
      </w:r>
      <w:r w:rsidR="00FE3243">
        <w:fldChar w:fldCharType="begin"/>
      </w:r>
      <w:r w:rsidR="00FE3243">
        <w:instrText xml:space="preserve"> TA \l "</w:instrText>
      </w:r>
      <w:r w:rsidR="00FE3243" w:rsidRPr="00735503">
        <w:rPr>
          <w:i/>
        </w:rPr>
        <w:instrText>Grant County v. Bohne,</w:instrText>
      </w:r>
      <w:r w:rsidR="00FE3243" w:rsidRPr="00735503">
        <w:instrText xml:space="preserve"> 89 Wash.2d 953, 955 (1978)</w:instrText>
      </w:r>
      <w:r w:rsidR="00FE3243">
        <w:instrText xml:space="preserve">" \s "Grant County v. Bohne, 89 Wash.2d 953, 955 (1978)" \c 2 </w:instrText>
      </w:r>
      <w:r w:rsidR="00FE3243">
        <w:fldChar w:fldCharType="end"/>
      </w:r>
      <w:r>
        <w:t xml:space="preserve"> and cases cited therein.</w:t>
      </w:r>
    </w:p>
  </w:footnote>
  <w:footnote w:id="33">
    <w:p w14:paraId="23158D67" w14:textId="77777777" w:rsidR="00FE6CA6" w:rsidRDefault="00FE6CA6">
      <w:pPr>
        <w:pStyle w:val="FootnoteText"/>
      </w:pPr>
      <w:r>
        <w:rPr>
          <w:rStyle w:val="FootnoteReference"/>
        </w:rPr>
        <w:footnoteRef/>
      </w:r>
      <w:r>
        <w:t xml:space="preserve"> The last time that Shuttle Express provided service using independent contractors in a way that has ever been held unlawful (</w:t>
      </w:r>
      <w:r w:rsidRPr="00AC075C">
        <w:rPr>
          <w:i/>
        </w:rPr>
        <w:t>i.e.</w:t>
      </w:r>
      <w:r>
        <w:t xml:space="preserve"> multi-stop service) was January 13, 2014.  HJR-19.  This is well more than a year prior to Speedishuttle’s application, making it generally irrelevant to determination of satisfactory service under WAC 480-30-140</w:t>
      </w:r>
      <w:r w:rsidR="00EA7BDD">
        <w:fldChar w:fldCharType="begin"/>
      </w:r>
      <w:r w:rsidR="00EA7BDD">
        <w:instrText xml:space="preserve"> TA \s "WAC 480-30-140" </w:instrText>
      </w:r>
      <w:r w:rsidR="00EA7BDD">
        <w:fldChar w:fldCharType="end"/>
      </w:r>
      <w:r>
        <w:t>(3)(b).  Speedishuttle also accuses Shuttle Express of not “truthfully and completely” answering its data request on limousine services.  Speedishuttle Brief, ¶ 77.  But Speedishuttle used the term “rescue service” (HJR-19) which Shuttle Express has always understood to refer to multi-stop service.  See TR. at 870.  And the data request went to services “subject to WUTC jurisdiction.”  HJR-19.  Single stop service provided by licensed limousine carrier is under the exclusive jurisdiction of the DOL.  And single stop has been known to the Commission, was discussed in orders in TC-120323 extensively, and was never fined or enjoyed in any way.</w:t>
      </w:r>
    </w:p>
  </w:footnote>
  <w:footnote w:id="34">
    <w:p w14:paraId="0CDE621E" w14:textId="77777777" w:rsidR="00FE6CA6" w:rsidRPr="00742EC8" w:rsidRDefault="00FE6CA6">
      <w:pPr>
        <w:pStyle w:val="FootnoteText"/>
      </w:pPr>
      <w:r>
        <w:rPr>
          <w:rStyle w:val="FootnoteReference"/>
        </w:rPr>
        <w:footnoteRef/>
      </w:r>
      <w:r>
        <w:t xml:space="preserve"> </w:t>
      </w:r>
      <w:r>
        <w:rPr>
          <w:i/>
        </w:rPr>
        <w:t>See generally</w:t>
      </w:r>
      <w:r>
        <w:t>, WAM-3T at 29-31.</w:t>
      </w:r>
    </w:p>
  </w:footnote>
  <w:footnote w:id="35">
    <w:p w14:paraId="4A66C721" w14:textId="77777777" w:rsidR="00FE6CA6" w:rsidRDefault="00FE6CA6">
      <w:pPr>
        <w:pStyle w:val="FootnoteText"/>
      </w:pPr>
      <w:r>
        <w:rPr>
          <w:rStyle w:val="FootnoteReference"/>
        </w:rPr>
        <w:footnoteRef/>
      </w:r>
      <w:r>
        <w:t xml:space="preserve"> </w:t>
      </w:r>
      <w:r>
        <w:rPr>
          <w:i/>
        </w:rPr>
        <w:t xml:space="preserve">E.g. </w:t>
      </w:r>
      <w:r>
        <w:t xml:space="preserve">WAM-3T at 30. Forcing higher costs on a carrier that is already losing money further threatens the sustainability of the service or higher fares.  Rural passengers are particularly at risk. </w:t>
      </w:r>
    </w:p>
  </w:footnote>
  <w:footnote w:id="36">
    <w:p w14:paraId="63F21999" w14:textId="77777777" w:rsidR="00FE6CA6" w:rsidRDefault="00FE6CA6">
      <w:pPr>
        <w:pStyle w:val="FootnoteText"/>
      </w:pPr>
      <w:r>
        <w:rPr>
          <w:rStyle w:val="FootnoteReference"/>
        </w:rPr>
        <w:footnoteRef/>
      </w:r>
      <w:r>
        <w:t xml:space="preserve"> </w:t>
      </w:r>
      <w:r w:rsidRPr="008F704D">
        <w:rPr>
          <w:i/>
        </w:rPr>
        <w:t>See</w:t>
      </w:r>
      <w:r>
        <w:rPr>
          <w:i/>
        </w:rPr>
        <w:t xml:space="preserve">, e.g., </w:t>
      </w:r>
      <w:r w:rsidRPr="008F704D">
        <w:t>WAC 480-30-036 “Alternate arrangements for pas</w:t>
      </w:r>
      <w:r>
        <w:t>sengers” and WAC 480-30-356 (h); WAM-3T at 32.</w:t>
      </w:r>
    </w:p>
  </w:footnote>
  <w:footnote w:id="37">
    <w:p w14:paraId="59CCEFE7" w14:textId="77777777" w:rsidR="00FE6CA6" w:rsidRPr="00742EC8" w:rsidRDefault="00FE6CA6">
      <w:pPr>
        <w:pStyle w:val="FootnoteText"/>
      </w:pPr>
      <w:r>
        <w:rPr>
          <w:rStyle w:val="FootnoteReference"/>
        </w:rPr>
        <w:footnoteRef/>
      </w:r>
      <w:r>
        <w:t xml:space="preserve"> </w:t>
      </w:r>
      <w:r>
        <w:rPr>
          <w:i/>
        </w:rPr>
        <w:t>See, e.g.</w:t>
      </w:r>
      <w:r>
        <w:t>, WAM-3T at 33-34.</w:t>
      </w:r>
    </w:p>
  </w:footnote>
  <w:footnote w:id="38">
    <w:p w14:paraId="261C4B49" w14:textId="77777777" w:rsidR="00FE6CA6" w:rsidRDefault="00FE6CA6">
      <w:pPr>
        <w:pStyle w:val="FootnoteText"/>
      </w:pPr>
      <w:r>
        <w:rPr>
          <w:rStyle w:val="FootnoteReference"/>
        </w:rPr>
        <w:footnoteRef/>
      </w:r>
      <w:r>
        <w:t xml:space="preserve"> </w:t>
      </w:r>
      <w:r w:rsidRPr="00F02BC6">
        <w:t>In response, Mr. Morton only cited the 20 minute departure “guarantee” which was never even offered and has never been provided.  TR. at 44-45.</w:t>
      </w:r>
      <w:r>
        <w:t xml:space="preserve">  At other points in the hearing additional differences were touted, but those have all been shown to be either not really provided or not of required by any member of the public in order to have a reasonable opportunity to be transported.  </w:t>
      </w:r>
    </w:p>
  </w:footnote>
  <w:footnote w:id="39">
    <w:p w14:paraId="2680E53F" w14:textId="77777777" w:rsidR="00FE6CA6" w:rsidRDefault="00FE6CA6">
      <w:pPr>
        <w:pStyle w:val="FootnoteText"/>
      </w:pPr>
      <w:r>
        <w:rPr>
          <w:rStyle w:val="FootnoteReference"/>
        </w:rPr>
        <w:footnoteRef/>
      </w:r>
      <w:r>
        <w:t xml:space="preserve"> HJR-72X, ¶ 6.</w:t>
      </w:r>
    </w:p>
  </w:footnote>
  <w:footnote w:id="40">
    <w:p w14:paraId="39E75E6E" w14:textId="77777777" w:rsidR="00FE6CA6" w:rsidRDefault="00FE6CA6">
      <w:pPr>
        <w:pStyle w:val="FootnoteText"/>
      </w:pPr>
      <w:r>
        <w:rPr>
          <w:rStyle w:val="FootnoteReference"/>
        </w:rPr>
        <w:footnoteRef/>
      </w:r>
      <w:r>
        <w:t xml:space="preserve"> DJW-1T at 3-6, DJW-3T at 26-28.</w:t>
      </w:r>
    </w:p>
  </w:footnote>
  <w:footnote w:id="41">
    <w:p w14:paraId="7C1E72CE" w14:textId="77777777" w:rsidR="00FE6CA6" w:rsidRPr="00ED414C" w:rsidRDefault="00FE6CA6">
      <w:pPr>
        <w:pStyle w:val="FootnoteText"/>
      </w:pPr>
      <w:r>
        <w:rPr>
          <w:rStyle w:val="FootnoteReference"/>
        </w:rPr>
        <w:footnoteRef/>
      </w:r>
      <w:r>
        <w:t xml:space="preserve"> </w:t>
      </w:r>
      <w:r>
        <w:rPr>
          <w:i/>
        </w:rPr>
        <w:t>See, e.g.</w:t>
      </w:r>
      <w:r>
        <w:t>, DJW-1T at 4-6, 28-29; DJW-3T at 11-17, 25-26; PK-3T at 9.</w:t>
      </w:r>
    </w:p>
  </w:footnote>
  <w:footnote w:id="42">
    <w:p w14:paraId="372748AA" w14:textId="77777777" w:rsidR="00FE6CA6" w:rsidRPr="00ED414C" w:rsidRDefault="00FE6CA6">
      <w:pPr>
        <w:pStyle w:val="FootnoteText"/>
      </w:pPr>
      <w:r>
        <w:rPr>
          <w:rStyle w:val="FootnoteReference"/>
        </w:rPr>
        <w:footnoteRef/>
      </w:r>
      <w:r>
        <w:t xml:space="preserve"> </w:t>
      </w:r>
      <w:r>
        <w:rPr>
          <w:i/>
        </w:rPr>
        <w:t>E.g.</w:t>
      </w:r>
      <w:r>
        <w:t>, HJR-63X.</w:t>
      </w:r>
    </w:p>
  </w:footnote>
  <w:footnote w:id="43">
    <w:p w14:paraId="791B7719" w14:textId="77777777" w:rsidR="00FE6CA6" w:rsidRPr="00ED414C" w:rsidRDefault="00FE6CA6">
      <w:pPr>
        <w:pStyle w:val="FootnoteText"/>
      </w:pPr>
      <w:r>
        <w:rPr>
          <w:rStyle w:val="FootnoteReference"/>
        </w:rPr>
        <w:footnoteRef/>
      </w:r>
      <w:r>
        <w:t xml:space="preserve"> </w:t>
      </w:r>
      <w:bookmarkStart w:id="12" w:name="_Hlk487797653"/>
      <w:r>
        <w:rPr>
          <w:i/>
        </w:rPr>
        <w:t>See</w:t>
      </w:r>
      <w:r>
        <w:t xml:space="preserve"> HJR-1T at 15-16; WAM-1T at 6-8; WAM-3T at 9-10.</w:t>
      </w:r>
      <w:bookmarkEnd w:id="12"/>
    </w:p>
  </w:footnote>
  <w:footnote w:id="44">
    <w:p w14:paraId="2DB4F604" w14:textId="77777777" w:rsidR="00FE6CA6" w:rsidRPr="00ED414C" w:rsidRDefault="00FE6CA6">
      <w:pPr>
        <w:pStyle w:val="FootnoteText"/>
      </w:pPr>
      <w:r>
        <w:rPr>
          <w:rStyle w:val="FootnoteReference"/>
        </w:rPr>
        <w:footnoteRef/>
      </w:r>
      <w:r>
        <w:t xml:space="preserve"> </w:t>
      </w:r>
      <w:r>
        <w:rPr>
          <w:i/>
        </w:rPr>
        <w:t>See id.</w:t>
      </w:r>
    </w:p>
  </w:footnote>
  <w:footnote w:id="45">
    <w:p w14:paraId="124EBBB7" w14:textId="77777777" w:rsidR="00FE6CA6" w:rsidRDefault="00FE6CA6">
      <w:pPr>
        <w:pStyle w:val="FootnoteText"/>
      </w:pPr>
      <w:r>
        <w:rPr>
          <w:rStyle w:val="FootnoteReference"/>
        </w:rPr>
        <w:footnoteRef/>
      </w:r>
      <w:r>
        <w:t xml:space="preserve"> Indeed, (based on the record) Shuttle Express is </w:t>
      </w:r>
      <w:r w:rsidRPr="00EF57D1">
        <w:rPr>
          <w:u w:val="single"/>
        </w:rPr>
        <w:t>providing</w:t>
      </w:r>
      <w:r>
        <w:t xml:space="preserve"> exactly the same number of non-English bookings as Speedishuttle provides, that is to say, none.</w:t>
      </w:r>
    </w:p>
  </w:footnote>
  <w:footnote w:id="46">
    <w:p w14:paraId="71842129" w14:textId="77777777" w:rsidR="00FE6CA6" w:rsidRDefault="00FE6CA6" w:rsidP="00962D7F">
      <w:pPr>
        <w:pStyle w:val="FootnoteText"/>
      </w:pPr>
      <w:r>
        <w:rPr>
          <w:rStyle w:val="FootnoteReference"/>
        </w:rPr>
        <w:footnoteRef/>
      </w:r>
      <w:r>
        <w:t xml:space="preserve"> For this reason, the cases Speedishuttle cites are also of no avail.  </w:t>
      </w:r>
      <w:r w:rsidRPr="00962D7F">
        <w:rPr>
          <w:i/>
        </w:rPr>
        <w:t>Pacific NW Transp. V. Utils. &amp; Transp. Comm’n</w:t>
      </w:r>
      <w:r>
        <w:t>, 91 Wn.App. 589 (1998)</w:t>
      </w:r>
      <w:r w:rsidR="00FE3243">
        <w:fldChar w:fldCharType="begin"/>
      </w:r>
      <w:r w:rsidR="00FE3243">
        <w:instrText xml:space="preserve"> TA \l "</w:instrText>
      </w:r>
      <w:r w:rsidR="00FE3243" w:rsidRPr="00FD27EA">
        <w:rPr>
          <w:i/>
        </w:rPr>
        <w:instrText>Pacific NW Transp. V. Utils. &amp; Transp. Comm’n</w:instrText>
      </w:r>
      <w:r w:rsidR="00FE3243" w:rsidRPr="00FD27EA">
        <w:instrText>, 91 Wn.App. 589 (1998)</w:instrText>
      </w:r>
      <w:r w:rsidR="00FE3243">
        <w:instrText xml:space="preserve">" \s "Pacific NW Transp. V. Utils. &amp; Transp. Comm’n, 91 Wn.App. 589 (1998)" \c 2 </w:instrText>
      </w:r>
      <w:r w:rsidR="00FE3243">
        <w:fldChar w:fldCharType="end"/>
      </w:r>
      <w:r>
        <w:t xml:space="preserve"> merely stands for the unremarkable proposition that the Commission may make fact findings that are consistent with some rational support</w:t>
      </w:r>
      <w:r w:rsidRPr="00962D7F">
        <w:t xml:space="preserve"> </w:t>
      </w:r>
      <w:r>
        <w:t xml:space="preserve">in the record.  The case did not deal with the “same service” or “public convenience and necessity issues that are central here.  And Order 10, </w:t>
      </w:r>
      <w:r w:rsidRPr="00962D7F">
        <w:rPr>
          <w:i/>
        </w:rPr>
        <w:t xml:space="preserve">In re Waste Management of Washington, Inc. d/b/a WM Healthcare Solutions of Washington, </w:t>
      </w:r>
      <w:r>
        <w:t>TG-120033 (July 2013)</w:t>
      </w:r>
      <w:r w:rsidR="00FE3243">
        <w:fldChar w:fldCharType="begin"/>
      </w:r>
      <w:r w:rsidR="00FE3243">
        <w:instrText xml:space="preserve"> TA \l "</w:instrText>
      </w:r>
      <w:r w:rsidR="00FE3243" w:rsidRPr="007B3FA1">
        <w:instrText xml:space="preserve">Order 10, </w:instrText>
      </w:r>
      <w:r w:rsidR="00FE3243" w:rsidRPr="007B3FA1">
        <w:rPr>
          <w:i/>
        </w:rPr>
        <w:instrText xml:space="preserve">In re Waste Management of Washington, Inc. d/b/a WM Healthcare Solutions of Washington, </w:instrText>
      </w:r>
      <w:r w:rsidR="00FE3243" w:rsidRPr="007B3FA1">
        <w:instrText>TG-120033 (July 2013)</w:instrText>
      </w:r>
      <w:r w:rsidR="00FE3243">
        <w:instrText xml:space="preserve">" \s "Order 10, In re Waste Management of Washington, Inc. d/b/a WM Healthcare Solutions of Washington, TG-120033 (July 2013)" \c 3 </w:instrText>
      </w:r>
      <w:r w:rsidR="00FE3243">
        <w:fldChar w:fldCharType="end"/>
      </w:r>
      <w:r>
        <w:t xml:space="preserve">, supports Shuttle Express’s case.  There, the Commission based its decision to grant service in the same territory as an existing certificate holder on language in the solid waste statute that it found evidenced a legislative intent to allow multiple carriers (“existing … </w:t>
      </w:r>
      <w:r w:rsidRPr="00FC7722">
        <w:rPr>
          <w:i/>
        </w:rPr>
        <w:t>company or companies</w:t>
      </w:r>
      <w:r>
        <w:t>).  Here, the solid waste language on which the Commission relied is lacking in the auto transportation statute.  RCW 81.68.040</w:t>
      </w:r>
      <w:r w:rsidR="00FE3243">
        <w:fldChar w:fldCharType="begin"/>
      </w:r>
      <w:r w:rsidR="00FE3243">
        <w:instrText xml:space="preserve"> TA \s "RCW 81.68.040" </w:instrText>
      </w:r>
      <w:r w:rsidR="00FE3243">
        <w:fldChar w:fldCharType="end"/>
      </w:r>
      <w:r>
        <w:t xml:space="preserve">.  The auto transportation exclusivity language is more like the parallel ferry statute, which the Commission held in </w:t>
      </w:r>
      <w:r w:rsidRPr="003C2C0A">
        <w:rPr>
          <w:i/>
        </w:rPr>
        <w:t>Waste Management</w:t>
      </w:r>
      <w:r>
        <w:t xml:space="preserve"> unquestionably </w:t>
      </w:r>
      <w:r w:rsidRPr="003C2C0A">
        <w:rPr>
          <w:u w:val="single"/>
        </w:rPr>
        <w:t>did</w:t>
      </w:r>
      <w:r>
        <w:t xml:space="preserve"> limit entry.  </w:t>
      </w:r>
      <w:r w:rsidRPr="00FC7722">
        <w:rPr>
          <w:i/>
        </w:rPr>
        <w:t>Cf.</w:t>
      </w:r>
      <w:r>
        <w:t xml:space="preserve"> RCW 81.84.020</w:t>
      </w:r>
      <w:r w:rsidR="00FE3243">
        <w:fldChar w:fldCharType="begin"/>
      </w:r>
      <w:r w:rsidR="00FE3243">
        <w:instrText xml:space="preserve"> TA \l "</w:instrText>
      </w:r>
      <w:r w:rsidR="00FE3243" w:rsidRPr="00A03B5A">
        <w:instrText>RCW 81.84.020</w:instrText>
      </w:r>
      <w:r w:rsidR="00FE3243">
        <w:instrText xml:space="preserve">" \s "RCW 81.84.020" \c 4 </w:instrText>
      </w:r>
      <w:r w:rsidR="00FE3243">
        <w:fldChar w:fldCharType="end"/>
      </w:r>
      <w:r>
        <w:t xml:space="preserve">, </w:t>
      </w:r>
      <w:r w:rsidRPr="00FC7722">
        <w:rPr>
          <w:i/>
        </w:rPr>
        <w:t>Waste Management, supra,</w:t>
      </w:r>
      <w:r>
        <w:t xml:space="preserve"> ¶ 8, Note 11. </w:t>
      </w:r>
    </w:p>
  </w:footnote>
  <w:footnote w:id="47">
    <w:p w14:paraId="74F91F3F" w14:textId="77777777" w:rsidR="00FE6CA6" w:rsidRPr="00F561CB" w:rsidRDefault="00FE6CA6">
      <w:pPr>
        <w:pStyle w:val="FootnoteText"/>
      </w:pPr>
      <w:r>
        <w:rPr>
          <w:rStyle w:val="FootnoteReference"/>
        </w:rPr>
        <w:footnoteRef/>
      </w:r>
      <w:r>
        <w:t xml:space="preserve"> Indeed, Speedishuttle’s online and mobile booking forms should ask the passenger’s preferred language , if it were truly using its best efforts to serve non-English speakers.</w:t>
      </w:r>
      <w:r w:rsidR="00F561CB">
        <w:t xml:space="preserve">  Likewise, wholesale contracts should require the ticket agent to obtain flight information so that those passengers can be greeted.  </w:t>
      </w:r>
      <w:r w:rsidR="00F561CB">
        <w:rPr>
          <w:i/>
        </w:rPr>
        <w:t xml:space="preserve">See </w:t>
      </w:r>
      <w:r w:rsidR="00F561CB">
        <w:t>TR. at 757.</w:t>
      </w:r>
    </w:p>
  </w:footnote>
  <w:footnote w:id="48">
    <w:p w14:paraId="1430AFBF" w14:textId="77777777" w:rsidR="00FE6CA6" w:rsidRPr="00ED414C" w:rsidRDefault="00FE6CA6">
      <w:pPr>
        <w:pStyle w:val="FootnoteText"/>
      </w:pPr>
      <w:r>
        <w:rPr>
          <w:rStyle w:val="FootnoteReference"/>
        </w:rPr>
        <w:footnoteRef/>
      </w:r>
      <w:r>
        <w:t xml:space="preserve"> </w:t>
      </w:r>
      <w:r>
        <w:rPr>
          <w:i/>
        </w:rPr>
        <w:t>E.g.</w:t>
      </w:r>
      <w:r>
        <w:t xml:space="preserve"> TR. at 23-24. (multilingual greeters), 48 (reservation only).</w:t>
      </w:r>
    </w:p>
  </w:footnote>
  <w:footnote w:id="49">
    <w:p w14:paraId="2AD2EF9B" w14:textId="77777777" w:rsidR="00FE6CA6" w:rsidRPr="00ED414C" w:rsidRDefault="00FE6CA6" w:rsidP="000E15F5">
      <w:pPr>
        <w:pStyle w:val="FootnoteText"/>
      </w:pPr>
      <w:r>
        <w:rPr>
          <w:rStyle w:val="FootnoteReference"/>
        </w:rPr>
        <w:footnoteRef/>
      </w:r>
      <w:r>
        <w:t xml:space="preserve"> </w:t>
      </w:r>
      <w:r>
        <w:rPr>
          <w:i/>
        </w:rPr>
        <w:t>E.g.</w:t>
      </w:r>
      <w:r>
        <w:t>, Order 02, ¶¶6 (greeters), 15 (multilingual); Order 04, ¶¶ 19 (greeters), 20 (multilingual); Notice o</w:t>
      </w:r>
      <w:r w:rsidR="00F561CB">
        <w:t>f Intent to Amend Order 04 at 2</w:t>
      </w:r>
      <w:r>
        <w:t xml:space="preserve"> (prearranged only).</w:t>
      </w:r>
    </w:p>
  </w:footnote>
  <w:footnote w:id="50">
    <w:p w14:paraId="793ED024" w14:textId="77777777" w:rsidR="00FE6CA6" w:rsidRDefault="00FE6CA6">
      <w:pPr>
        <w:pStyle w:val="FootnoteText"/>
      </w:pPr>
      <w:r>
        <w:rPr>
          <w:rStyle w:val="FootnoteReference"/>
        </w:rPr>
        <w:footnoteRef/>
      </w:r>
      <w:r>
        <w:t xml:space="preserve"> </w:t>
      </w:r>
      <w:r w:rsidRPr="002B46B8">
        <w:rPr>
          <w:i/>
        </w:rPr>
        <w:t>E.g.</w:t>
      </w:r>
      <w:r>
        <w:rPr>
          <w:i/>
        </w:rPr>
        <w:t>,</w:t>
      </w:r>
      <w:r>
        <w:t xml:space="preserve"> RCW 81.68.040</w:t>
      </w:r>
      <w:r w:rsidR="00FE3243">
        <w:fldChar w:fldCharType="begin"/>
      </w:r>
      <w:r w:rsidR="00FE3243">
        <w:instrText xml:space="preserve"> TA \s "RCW 81.68.040" </w:instrText>
      </w:r>
      <w:r w:rsidR="00FE3243">
        <w:fldChar w:fldCharType="end"/>
      </w:r>
      <w:r>
        <w:t>; WAC 480-30-140</w:t>
      </w:r>
      <w:r w:rsidR="00EA7BDD">
        <w:fldChar w:fldCharType="begin"/>
      </w:r>
      <w:r w:rsidR="00EA7BDD">
        <w:instrText xml:space="preserve"> TA \s "WAC 480-30-140" </w:instrText>
      </w:r>
      <w:r w:rsidR="00EA7BDD">
        <w:fldChar w:fldCharType="end"/>
      </w:r>
      <w:r>
        <w:t>.</w:t>
      </w:r>
    </w:p>
  </w:footnote>
  <w:footnote w:id="51">
    <w:p w14:paraId="79C3F62D" w14:textId="77777777" w:rsidR="00FE6CA6" w:rsidRDefault="00FE6CA6">
      <w:pPr>
        <w:pStyle w:val="FootnoteText"/>
      </w:pPr>
      <w:r>
        <w:rPr>
          <w:rStyle w:val="FootnoteReference"/>
        </w:rPr>
        <w:footnoteRef/>
      </w:r>
      <w:r>
        <w:t xml:space="preserve"> </w:t>
      </w:r>
      <w:r>
        <w:rPr>
          <w:i/>
        </w:rPr>
        <w:t>E.g.</w:t>
      </w:r>
      <w:r>
        <w:t xml:space="preserve"> PK-3T at 9; DJW-3T at 11-13.</w:t>
      </w:r>
    </w:p>
  </w:footnote>
  <w:footnote w:id="52">
    <w:p w14:paraId="6DC81B59" w14:textId="77777777" w:rsidR="00FE6CA6" w:rsidRDefault="00FE6CA6" w:rsidP="004A3169">
      <w:pPr>
        <w:pStyle w:val="FootnoteText"/>
      </w:pPr>
      <w:r>
        <w:rPr>
          <w:rStyle w:val="FootnoteReference"/>
        </w:rPr>
        <w:footnoteRef/>
      </w:r>
      <w:r>
        <w:t xml:space="preserve"> The Commission at one point stated that it would not “broaden” the issues to include “sustainability.”  Order 17, ¶ 18.  This statement is puzzling, and seemingly inconsistent with prior and subsequent orders, which allowed extensive testimony on sustainability.  </w:t>
      </w:r>
      <w:r w:rsidRPr="00724FF5">
        <w:rPr>
          <w:i/>
        </w:rPr>
        <w:t xml:space="preserve">Cf. </w:t>
      </w:r>
      <w:r>
        <w:t xml:space="preserve">Order 16, ¶ 12; Order 18, ¶ 12.  The distinction appears to be between sustainability of two carriers providing the same service (allowed) and two carriers serving the same territory (partially disallowed).  But given the Commission’s expressed uncertainty about just what “same service” means (Order 17, ¶ 14), exclusion of testimony and argument on sustainability is fraught with peril.  The Commission’s rule says sustainability will be </w:t>
      </w:r>
      <w:r w:rsidRPr="00FE3243">
        <w:t xml:space="preserve">considered.  </w:t>
      </w:r>
      <w:r w:rsidR="00FE3243" w:rsidRPr="00FE3243">
        <w:t>WAC 480-30-140(1</w:t>
      </w:r>
      <w:r w:rsidRPr="00FE3243">
        <w:t>)</w:t>
      </w:r>
      <w:r w:rsidR="00FE3243" w:rsidRPr="00FE3243">
        <w:t>(b)</w:t>
      </w:r>
      <w:r w:rsidR="003162EB">
        <w:fldChar w:fldCharType="begin"/>
      </w:r>
      <w:r w:rsidR="003162EB">
        <w:instrText xml:space="preserve"> TA \l "</w:instrText>
      </w:r>
      <w:r w:rsidR="003162EB" w:rsidRPr="00BB699D">
        <w:instrText>WAC 480-30-140(1)(b)</w:instrText>
      </w:r>
      <w:r w:rsidR="003162EB">
        <w:instrText xml:space="preserve">" \s "WAC 480-30-140(1)(b)" \c 5 </w:instrText>
      </w:r>
      <w:r w:rsidR="003162EB">
        <w:fldChar w:fldCharType="end"/>
      </w:r>
      <w:r w:rsidRPr="00FE3243">
        <w:t>.  And</w:t>
      </w:r>
      <w:r>
        <w:t xml:space="preserve"> the overarching public interest is to have county-wide share ride service at a reasonable price survive.  Hundreds of thousands of residents use the service every year and would not want to lose it.  “Sustainability” in whatever context is critically important to the public.</w:t>
      </w:r>
    </w:p>
  </w:footnote>
  <w:footnote w:id="53">
    <w:p w14:paraId="30CE210A" w14:textId="77777777" w:rsidR="00FE6CA6" w:rsidRPr="004A27A5" w:rsidRDefault="00FE6CA6" w:rsidP="004A3169">
      <w:pPr>
        <w:pStyle w:val="FootnoteText"/>
      </w:pPr>
      <w:r>
        <w:rPr>
          <w:rStyle w:val="FootnoteReference"/>
        </w:rPr>
        <w:footnoteRef/>
      </w:r>
      <w:r>
        <w:t xml:space="preserve"> </w:t>
      </w:r>
      <w:r>
        <w:rPr>
          <w:i/>
        </w:rPr>
        <w:t>E.g.</w:t>
      </w:r>
      <w:r>
        <w:t xml:space="preserve"> DJW-3T at 11-17; PK-3T at 9.</w:t>
      </w:r>
    </w:p>
  </w:footnote>
  <w:footnote w:id="54">
    <w:p w14:paraId="6ED65246" w14:textId="77777777" w:rsidR="00FE6CA6" w:rsidRDefault="00FE6CA6" w:rsidP="00F4346F">
      <w:pPr>
        <w:pStyle w:val="FootnoteText"/>
      </w:pPr>
      <w:r>
        <w:rPr>
          <w:rStyle w:val="FootnoteReference"/>
        </w:rPr>
        <w:footnoteRef/>
      </w:r>
      <w:r>
        <w:t xml:space="preserve"> </w:t>
      </w:r>
      <w:r w:rsidRPr="00F4346F">
        <w:rPr>
          <w:i/>
        </w:rPr>
        <w:t>E.g.,</w:t>
      </w:r>
      <w:r>
        <w:t xml:space="preserve"> Speedishuttle Brief, ¶ 53 (“Shuttle Express always understood Speedishuttle would serve the general public …  the Commission must have understood that Speedishuttle would serve the general public….”); </w:t>
      </w:r>
      <w:r w:rsidRPr="002B11C9">
        <w:rPr>
          <w:i/>
        </w:rPr>
        <w:t>see also,</w:t>
      </w:r>
      <w:r>
        <w:t xml:space="preserve"> Staff Brief, ¶ 37 (“Staff ‘assumed that Speedishuttle would compete directly with Shuttle Express.’”).  It is unfortunate that neither of these parties were so candid with the Commission in 2015.</w:t>
      </w:r>
    </w:p>
  </w:footnote>
  <w:footnote w:id="55">
    <w:p w14:paraId="2F1F38DF" w14:textId="77777777" w:rsidR="00FE6CA6" w:rsidRDefault="00FE6CA6">
      <w:pPr>
        <w:pStyle w:val="FootnoteText"/>
      </w:pPr>
      <w:r>
        <w:rPr>
          <w:rStyle w:val="FootnoteReference"/>
        </w:rPr>
        <w:footnoteRef/>
      </w:r>
      <w:r>
        <w:t xml:space="preserve"> RCW 81.04.200</w:t>
      </w:r>
      <w:r w:rsidR="00EA7BDD">
        <w:fldChar w:fldCharType="begin"/>
      </w:r>
      <w:r w:rsidR="00EA7BDD">
        <w:instrText xml:space="preserve"> TA \l "</w:instrText>
      </w:r>
      <w:r w:rsidR="00EA7BDD" w:rsidRPr="00814E8A">
        <w:instrText>RCW 81.04.200</w:instrText>
      </w:r>
      <w:r w:rsidR="00EA7BDD">
        <w:instrText xml:space="preserve">" \s "RCW 81.04.200" \c 4 </w:instrText>
      </w:r>
      <w:r w:rsidR="00EA7BDD">
        <w:fldChar w:fldCharType="end"/>
      </w:r>
      <w:r>
        <w:t>.</w:t>
      </w:r>
    </w:p>
  </w:footnote>
  <w:footnote w:id="56">
    <w:p w14:paraId="5BD59D26" w14:textId="77777777" w:rsidR="00FE6CA6" w:rsidRDefault="00FE6CA6">
      <w:pPr>
        <w:pStyle w:val="FootnoteText"/>
      </w:pPr>
      <w:r>
        <w:rPr>
          <w:rStyle w:val="FootnoteReference"/>
        </w:rPr>
        <w:footnoteRef/>
      </w:r>
      <w:r>
        <w:t xml:space="preserve"> If the Commission were to make such a finding one day, it would also have to consider whether the public and the market can support the extra cost of luxury vehicles.  </w:t>
      </w:r>
    </w:p>
  </w:footnote>
  <w:footnote w:id="57">
    <w:p w14:paraId="2CFAA85A" w14:textId="77777777" w:rsidR="00FE6CA6" w:rsidRPr="00A855D7" w:rsidRDefault="00FE6CA6">
      <w:pPr>
        <w:pStyle w:val="FootnoteText"/>
      </w:pPr>
      <w:r>
        <w:rPr>
          <w:rStyle w:val="FootnoteReference"/>
        </w:rPr>
        <w:footnoteRef/>
      </w:r>
      <w:r>
        <w:t xml:space="preserve"> </w:t>
      </w:r>
      <w:r>
        <w:rPr>
          <w:i/>
        </w:rPr>
        <w:t>E.g.</w:t>
      </w:r>
      <w:r>
        <w:t xml:space="preserve"> TR. at 477-79, 784-86.</w:t>
      </w:r>
    </w:p>
  </w:footnote>
  <w:footnote w:id="58">
    <w:p w14:paraId="27194D9A" w14:textId="77777777" w:rsidR="00FE6CA6" w:rsidRPr="00A855D7" w:rsidRDefault="00FE6CA6">
      <w:pPr>
        <w:pStyle w:val="FootnoteText"/>
      </w:pPr>
      <w:r>
        <w:rPr>
          <w:rStyle w:val="FootnoteReference"/>
        </w:rPr>
        <w:footnoteRef/>
      </w:r>
      <w:r>
        <w:t xml:space="preserve"> </w:t>
      </w:r>
      <w:r>
        <w:rPr>
          <w:i/>
        </w:rPr>
        <w:t>E.g.</w:t>
      </w:r>
      <w:r>
        <w:t xml:space="preserve"> WAM-1T at 11-12.</w:t>
      </w:r>
    </w:p>
  </w:footnote>
  <w:footnote w:id="59">
    <w:p w14:paraId="10C2DCAC" w14:textId="77777777" w:rsidR="00FE6CA6" w:rsidRPr="00A855D7" w:rsidRDefault="00FE6CA6">
      <w:pPr>
        <w:pStyle w:val="FootnoteText"/>
      </w:pPr>
      <w:r>
        <w:rPr>
          <w:rStyle w:val="FootnoteReference"/>
        </w:rPr>
        <w:footnoteRef/>
      </w:r>
      <w:r>
        <w:t xml:space="preserve"> </w:t>
      </w:r>
      <w:r>
        <w:rPr>
          <w:i/>
        </w:rPr>
        <w:t>See, e.g.</w:t>
      </w:r>
      <w:r>
        <w:t>, WAM-3T at 22-23.</w:t>
      </w:r>
    </w:p>
  </w:footnote>
  <w:footnote w:id="60">
    <w:p w14:paraId="1E987027" w14:textId="77777777" w:rsidR="00FE6CA6" w:rsidRPr="00A855D7" w:rsidRDefault="00FE6CA6">
      <w:pPr>
        <w:pStyle w:val="FootnoteText"/>
      </w:pPr>
      <w:r>
        <w:rPr>
          <w:rStyle w:val="FootnoteReference"/>
        </w:rPr>
        <w:footnoteRef/>
      </w:r>
      <w:r>
        <w:t xml:space="preserve"> </w:t>
      </w:r>
      <w:r>
        <w:rPr>
          <w:i/>
        </w:rPr>
        <w:t>E.g.</w:t>
      </w:r>
      <w:r>
        <w:t xml:space="preserve"> WAM-1T at 14-15; </w:t>
      </w:r>
      <w:r>
        <w:rPr>
          <w:i/>
        </w:rPr>
        <w:t>see also</w:t>
      </w:r>
      <w:r>
        <w:t xml:space="preserve"> Shuttle Express Initial Brief, ¶54, and citations therein.</w:t>
      </w:r>
    </w:p>
  </w:footnote>
  <w:footnote w:id="61">
    <w:p w14:paraId="59134E73" w14:textId="77777777" w:rsidR="00FE6CA6" w:rsidRPr="00A855D7" w:rsidRDefault="00FE6CA6">
      <w:pPr>
        <w:pStyle w:val="FootnoteText"/>
      </w:pPr>
      <w:r>
        <w:rPr>
          <w:rStyle w:val="FootnoteReference"/>
        </w:rPr>
        <w:footnoteRef/>
      </w:r>
      <w:r>
        <w:t xml:space="preserve"> </w:t>
      </w:r>
      <w:r>
        <w:rPr>
          <w:i/>
        </w:rPr>
        <w:t>See</w:t>
      </w:r>
      <w:r>
        <w:t>, HJR-28-X at 66-68.</w:t>
      </w:r>
    </w:p>
  </w:footnote>
  <w:footnote w:id="62">
    <w:p w14:paraId="54B57A27" w14:textId="77777777" w:rsidR="00FE6CA6" w:rsidRDefault="00FE6CA6">
      <w:pPr>
        <w:pStyle w:val="FootnoteText"/>
      </w:pPr>
      <w:r>
        <w:rPr>
          <w:rStyle w:val="FootnoteReference"/>
        </w:rPr>
        <w:footnoteRef/>
      </w:r>
      <w:r>
        <w:t xml:space="preserve"> WAM-3T at 15, 17.</w:t>
      </w:r>
    </w:p>
  </w:footnote>
  <w:footnote w:id="63">
    <w:p w14:paraId="511C04FB" w14:textId="77777777" w:rsidR="00FE6CA6" w:rsidRDefault="00FE6CA6">
      <w:pPr>
        <w:pStyle w:val="FootnoteText"/>
      </w:pPr>
      <w:r>
        <w:rPr>
          <w:rStyle w:val="FootnoteReference"/>
        </w:rPr>
        <w:footnoteRef/>
      </w:r>
      <w:r>
        <w:t xml:space="preserve"> </w:t>
      </w:r>
      <w:r>
        <w:rPr>
          <w:i/>
        </w:rPr>
        <w:t>See</w:t>
      </w:r>
      <w:r>
        <w:t xml:space="preserve"> HJR-1T at 15-16; WAM-1T at 6-8; WAM-3T at 9-10.</w:t>
      </w:r>
    </w:p>
  </w:footnote>
  <w:footnote w:id="64">
    <w:p w14:paraId="3AF7F0B8" w14:textId="77777777" w:rsidR="00FE6CA6" w:rsidRDefault="00FE6CA6">
      <w:pPr>
        <w:pStyle w:val="FootnoteText"/>
      </w:pPr>
      <w:r>
        <w:rPr>
          <w:rStyle w:val="FootnoteReference"/>
        </w:rPr>
        <w:footnoteRef/>
      </w:r>
      <w:r>
        <w:t xml:space="preserve"> JD-1T at 3-5; JD-2T at 2-3.</w:t>
      </w:r>
    </w:p>
  </w:footnote>
  <w:footnote w:id="65">
    <w:p w14:paraId="54DA8D06" w14:textId="77777777" w:rsidR="00FE6CA6" w:rsidRDefault="00FE6CA6">
      <w:pPr>
        <w:pStyle w:val="FootnoteText"/>
      </w:pPr>
      <w:r>
        <w:rPr>
          <w:rStyle w:val="FootnoteReference"/>
        </w:rPr>
        <w:footnoteRef/>
      </w:r>
      <w:r>
        <w:t xml:space="preserve"> HJR-1T at 35.</w:t>
      </w:r>
    </w:p>
  </w:footnote>
  <w:footnote w:id="66">
    <w:p w14:paraId="5F60F246" w14:textId="77777777" w:rsidR="00FE6CA6" w:rsidRDefault="00FE6CA6">
      <w:pPr>
        <w:pStyle w:val="FootnoteText"/>
      </w:pPr>
      <w:r>
        <w:rPr>
          <w:rStyle w:val="FootnoteReference"/>
        </w:rPr>
        <w:footnoteRef/>
      </w:r>
      <w:r>
        <w:t xml:space="preserve"> TR. at 757.</w:t>
      </w:r>
    </w:p>
  </w:footnote>
  <w:footnote w:id="67">
    <w:p w14:paraId="253B5221" w14:textId="77777777" w:rsidR="00FE6CA6" w:rsidRPr="00FE6CA6" w:rsidRDefault="00FE6CA6">
      <w:pPr>
        <w:pStyle w:val="FootnoteText"/>
      </w:pPr>
      <w:r>
        <w:rPr>
          <w:rStyle w:val="FootnoteReference"/>
        </w:rPr>
        <w:footnoteRef/>
      </w:r>
      <w:r>
        <w:t xml:space="preserve"> </w:t>
      </w:r>
      <w:r>
        <w:rPr>
          <w:i/>
        </w:rPr>
        <w:t>E.g.</w:t>
      </w:r>
      <w:r>
        <w:t xml:space="preserve"> HJR-80-X.</w:t>
      </w:r>
      <w:r w:rsidR="00F561CB">
        <w:t xml:space="preserve">  This exhibit was not expressly ruled on.  It is offered here only as one illustration of Speedishuttle’s persistent refusals to provide empirical data on greeters.  The objection to the exhibit provides a similar illustration. </w:t>
      </w:r>
    </w:p>
  </w:footnote>
  <w:footnote w:id="68">
    <w:p w14:paraId="6FCA88A3" w14:textId="77777777" w:rsidR="00FE6CA6" w:rsidRPr="00FE6CA6" w:rsidRDefault="00FE6CA6">
      <w:pPr>
        <w:pStyle w:val="FootnoteText"/>
      </w:pPr>
      <w:r>
        <w:rPr>
          <w:rStyle w:val="FootnoteReference"/>
        </w:rPr>
        <w:footnoteRef/>
      </w:r>
      <w:r>
        <w:t xml:space="preserve"> </w:t>
      </w:r>
      <w:r>
        <w:rPr>
          <w:i/>
        </w:rPr>
        <w:t>E.g.</w:t>
      </w:r>
      <w:r>
        <w:t xml:space="preserve"> TR. at 757-60.</w:t>
      </w:r>
    </w:p>
  </w:footnote>
  <w:footnote w:id="69">
    <w:p w14:paraId="47E8CE73" w14:textId="77777777" w:rsidR="00FE6CA6" w:rsidRPr="007C7FEE" w:rsidRDefault="00FE6CA6">
      <w:pPr>
        <w:pStyle w:val="FootnoteText"/>
      </w:pPr>
      <w:r>
        <w:rPr>
          <w:rStyle w:val="FootnoteReference"/>
        </w:rPr>
        <w:footnoteRef/>
      </w:r>
      <w:r>
        <w:t xml:space="preserve"> </w:t>
      </w:r>
      <w:r w:rsidR="007C7FEE">
        <w:rPr>
          <w:i/>
        </w:rPr>
        <w:t>E.g.</w:t>
      </w:r>
      <w:r w:rsidR="007C7FEE">
        <w:t xml:space="preserve"> HJR-44-X.</w:t>
      </w:r>
    </w:p>
  </w:footnote>
  <w:footnote w:id="70">
    <w:p w14:paraId="4944E7B8" w14:textId="77777777" w:rsidR="00FE6CA6" w:rsidRDefault="00FE6CA6">
      <w:pPr>
        <w:pStyle w:val="FootnoteText"/>
      </w:pPr>
      <w:r>
        <w:rPr>
          <w:rStyle w:val="FootnoteReference"/>
        </w:rPr>
        <w:footnoteRef/>
      </w:r>
      <w:r>
        <w:t xml:space="preserve"> And, indeed, 13.8% of SeaTac international destinations are to Asia (</w:t>
      </w:r>
      <w:r w:rsidRPr="00B51723">
        <w:t>Seoul 4.7 percent, Tokyo 3.71 percent, Beijing 3.3 percent</w:t>
      </w:r>
      <w:r>
        <w:t xml:space="preserve">), according to Port records.  </w:t>
      </w:r>
      <w:r w:rsidRPr="00B51723">
        <w:t>https://www.portseattle.org/Newsroom/Fast-Facts/Pages/Airport-Basics.aspx</w:t>
      </w:r>
      <w:r>
        <w:t xml:space="preserve"> .  About 10% of Sea-Tac passengers </w:t>
      </w:r>
      <w:r w:rsidR="00B03EA0">
        <w:t>a</w:t>
      </w:r>
      <w:r>
        <w:t xml:space="preserve">re international, suggesting that about 1.3% of its arriving and departing passengers are Asian.  </w:t>
      </w:r>
      <w:r w:rsidRPr="00B51723">
        <w:rPr>
          <w:i/>
        </w:rPr>
        <w:t>See id.</w:t>
      </w:r>
      <w:r>
        <w:t xml:space="preserve">  </w:t>
      </w:r>
    </w:p>
  </w:footnote>
  <w:footnote w:id="71">
    <w:p w14:paraId="737A64CB" w14:textId="77777777" w:rsidR="007C7FEE" w:rsidRDefault="007C7FEE">
      <w:pPr>
        <w:pStyle w:val="FootnoteText"/>
      </w:pPr>
      <w:r>
        <w:rPr>
          <w:rStyle w:val="FootnoteReference"/>
        </w:rPr>
        <w:footnoteRef/>
      </w:r>
      <w:r>
        <w:t xml:space="preserve"> WAM-3T at 18.</w:t>
      </w:r>
    </w:p>
  </w:footnote>
  <w:footnote w:id="72">
    <w:p w14:paraId="3979AF9D" w14:textId="77777777" w:rsidR="00FE6CA6" w:rsidRDefault="00FE6CA6">
      <w:pPr>
        <w:pStyle w:val="FootnoteText"/>
      </w:pPr>
      <w:r>
        <w:rPr>
          <w:rStyle w:val="FootnoteReference"/>
        </w:rPr>
        <w:footnoteRef/>
      </w:r>
      <w:r>
        <w:t xml:space="preserve"> TR. at 717-18.</w:t>
      </w:r>
    </w:p>
  </w:footnote>
  <w:footnote w:id="73">
    <w:p w14:paraId="0C52FB38" w14:textId="77777777" w:rsidR="00FE6CA6" w:rsidRDefault="00FE6CA6">
      <w:pPr>
        <w:pStyle w:val="FootnoteText"/>
      </w:pPr>
      <w:r>
        <w:rPr>
          <w:rStyle w:val="FootnoteReference"/>
        </w:rPr>
        <w:footnoteRef/>
      </w:r>
      <w:r>
        <w:t xml:space="preserve"> It is also a good indication of a poor understanding of the Sea-Tac market and a good illustration that trying to offer a viable, quality, service involves inherent trade-offs.  Yes, the Shuttle Express Ford vans are too short to stand up in, but in exchange passengers can wait in the comfort of the van rather than on the curb of the outer drive for more than 20 minutes.  And they can depart more quickly, because the Fords can be staged in the garage.</w:t>
      </w:r>
    </w:p>
  </w:footnote>
  <w:footnote w:id="74">
    <w:p w14:paraId="667C5D5F" w14:textId="77777777" w:rsidR="008F0BAE" w:rsidRDefault="008F0BAE">
      <w:pPr>
        <w:pStyle w:val="FootnoteText"/>
      </w:pPr>
      <w:r>
        <w:rPr>
          <w:rStyle w:val="FootnoteReference"/>
        </w:rPr>
        <w:footnoteRef/>
      </w:r>
      <w:r>
        <w:t xml:space="preserve"> HJR-65-X.</w:t>
      </w:r>
    </w:p>
  </w:footnote>
  <w:footnote w:id="75">
    <w:p w14:paraId="4C16F109" w14:textId="77777777" w:rsidR="00C84F67" w:rsidRPr="00C84F67" w:rsidRDefault="00C84F67">
      <w:pPr>
        <w:pStyle w:val="FootnoteText"/>
        <w:rPr>
          <w:i/>
        </w:rPr>
      </w:pPr>
      <w:r>
        <w:rPr>
          <w:rStyle w:val="FootnoteReference"/>
        </w:rPr>
        <w:footnoteRef/>
      </w:r>
      <w:r>
        <w:t xml:space="preserve"> </w:t>
      </w:r>
      <w:r>
        <w:rPr>
          <w:i/>
        </w:rPr>
        <w:t>See</w:t>
      </w:r>
      <w:r>
        <w:t xml:space="preserve"> </w:t>
      </w:r>
      <w:r>
        <w:rPr>
          <w:i/>
        </w:rPr>
        <w:t>id.</w:t>
      </w:r>
    </w:p>
  </w:footnote>
  <w:footnote w:id="76">
    <w:p w14:paraId="2729B2D9" w14:textId="77777777" w:rsidR="00306C1A" w:rsidRDefault="00306C1A">
      <w:pPr>
        <w:pStyle w:val="FootnoteText"/>
      </w:pPr>
      <w:r>
        <w:rPr>
          <w:rStyle w:val="FootnoteReference"/>
        </w:rPr>
        <w:footnoteRef/>
      </w:r>
      <w:r>
        <w:t xml:space="preserve"> </w:t>
      </w:r>
      <w:r w:rsidR="00F04DA3" w:rsidRPr="00F04DA3">
        <w:t xml:space="preserve">Speedishuttle argues, without support, that it can achieve profitability at 4 passengers per trip.  Speedishuttle Brief, </w:t>
      </w:r>
      <w:r w:rsidR="00F04DA3">
        <w:t>¶</w:t>
      </w:r>
      <w:r w:rsidR="00F04DA3" w:rsidRPr="00F04DA3">
        <w:t xml:space="preserve"> 97.  But the 4 passenger breakeven point itself is based on the barest of evidence, an unsupported statement by Mr. Roemer on cross.  TR. at 820.  And there is no data in the record to indicate what the current passenger counts or trends are.  As with nearly every other self-serving statement by Speedishuttle, it has not presented (indeed has refused) any underlying data w</w:t>
      </w:r>
      <w:r w:rsidR="00F04DA3">
        <w:t>hatsoever that would support it</w:t>
      </w:r>
      <w:r w:rsidR="00F04DA3" w:rsidRPr="00F04DA3">
        <w:t xml:space="preserve">s argument that it can become profitable.  Accordingly, if the Commission feels the actual breakeven number is important, it is essential that it first issue a bench request seeking:  current financial statements, passenger counts, trip counts, and any other data that would tend to support or rebut the breakeven point and status </w:t>
      </w:r>
      <w:r w:rsidR="00F04DA3">
        <w:t xml:space="preserve">of progress toward that point. </w:t>
      </w:r>
      <w:r w:rsidR="00F04DA3" w:rsidRPr="00F04DA3">
        <w:t xml:space="preserve"> Shuttle Express was denied key data (and could not put other key data into the record due to a non-disclosure agreement) that would be needed to rebut Mr. Roemer’s testimony near the conclusion of the case.  Internal calculations indicate the true breakeven passenger count is as much as 50% higher than just 4.  But because that assertion came at the end of the hearing, Shuttle Express had no opportunity to present alternative calculations.  The Commission should not blindly accept that number nor the argument based on it.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27E35"/>
    <w:multiLevelType w:val="hybridMultilevel"/>
    <w:tmpl w:val="2BFCB9AE"/>
    <w:lvl w:ilvl="0" w:tplc="EB6E72DE">
      <w:start w:val="1"/>
      <w:numFmt w:val="upperLetter"/>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457BA"/>
    <w:multiLevelType w:val="hybridMultilevel"/>
    <w:tmpl w:val="55807C3C"/>
    <w:lvl w:ilvl="0" w:tplc="F728662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6F79EB"/>
    <w:multiLevelType w:val="hybridMultilevel"/>
    <w:tmpl w:val="2CD44322"/>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7D52BD"/>
    <w:multiLevelType w:val="hybridMultilevel"/>
    <w:tmpl w:val="2CD44322"/>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5762E9"/>
    <w:multiLevelType w:val="hybridMultilevel"/>
    <w:tmpl w:val="2BFCB9AE"/>
    <w:lvl w:ilvl="0" w:tplc="EB6E72DE">
      <w:start w:val="1"/>
      <w:numFmt w:val="upperLetter"/>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DC5EF3"/>
    <w:multiLevelType w:val="hybridMultilevel"/>
    <w:tmpl w:val="C94AC26A"/>
    <w:lvl w:ilvl="0" w:tplc="04090019">
      <w:start w:val="1"/>
      <w:numFmt w:val="lowerLetter"/>
      <w:lvlText w:val="%1."/>
      <w:lvlJc w:val="left"/>
      <w:pPr>
        <w:ind w:left="2880" w:hanging="360"/>
      </w:pPr>
    </w:lvl>
    <w:lvl w:ilvl="1" w:tplc="AEB0046A">
      <w:start w:val="1"/>
      <w:numFmt w:val="lowerLetter"/>
      <w:lvlText w:val="%2."/>
      <w:lvlJc w:val="left"/>
      <w:pPr>
        <w:ind w:left="2880" w:hanging="72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3985C70"/>
    <w:multiLevelType w:val="hybridMultilevel"/>
    <w:tmpl w:val="FF4E05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25A54"/>
    <w:multiLevelType w:val="hybridMultilevel"/>
    <w:tmpl w:val="E93E91FA"/>
    <w:lvl w:ilvl="0" w:tplc="D5B4D2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C1406D"/>
    <w:multiLevelType w:val="hybridMultilevel"/>
    <w:tmpl w:val="B3C2B730"/>
    <w:lvl w:ilvl="0" w:tplc="5C56C666">
      <w:start w:val="1"/>
      <w:numFmt w:val="decimal"/>
      <w:lvlText w:val="%1."/>
      <w:lvlJc w:val="left"/>
      <w:pPr>
        <w:ind w:left="72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A1667"/>
    <w:multiLevelType w:val="hybridMultilevel"/>
    <w:tmpl w:val="B3C2B730"/>
    <w:lvl w:ilvl="0" w:tplc="5C56C666">
      <w:start w:val="1"/>
      <w:numFmt w:val="decimal"/>
      <w:lvlText w:val="%1."/>
      <w:lvlJc w:val="left"/>
      <w:pPr>
        <w:ind w:left="72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E43704"/>
    <w:multiLevelType w:val="multilevel"/>
    <w:tmpl w:val="67A82BD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27CF5764"/>
    <w:multiLevelType w:val="hybridMultilevel"/>
    <w:tmpl w:val="2BFCB9AE"/>
    <w:lvl w:ilvl="0" w:tplc="EB6E72DE">
      <w:start w:val="1"/>
      <w:numFmt w:val="upperLetter"/>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EE6555"/>
    <w:multiLevelType w:val="hybridMultilevel"/>
    <w:tmpl w:val="6A4C6AA8"/>
    <w:lvl w:ilvl="0" w:tplc="5C3601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837738"/>
    <w:multiLevelType w:val="hybridMultilevel"/>
    <w:tmpl w:val="2CD44322"/>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9D643A"/>
    <w:multiLevelType w:val="hybridMultilevel"/>
    <w:tmpl w:val="2CD44322"/>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F07C60"/>
    <w:multiLevelType w:val="hybridMultilevel"/>
    <w:tmpl w:val="6DEEDF12"/>
    <w:lvl w:ilvl="0" w:tplc="42866338">
      <w:start w:val="1"/>
      <w:numFmt w:val="decimal"/>
      <w:lvlText w:val="%1"/>
      <w:lvlJc w:val="left"/>
      <w:pPr>
        <w:tabs>
          <w:tab w:val="num" w:pos="72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356A90E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34C756E"/>
    <w:multiLevelType w:val="hybridMultilevel"/>
    <w:tmpl w:val="98AA4CFE"/>
    <w:lvl w:ilvl="0" w:tplc="29EA4FE6">
      <w:start w:val="1"/>
      <w:numFmt w:val="lowerRoman"/>
      <w:lvlText w:val="%1."/>
      <w:lvlJc w:val="right"/>
      <w:pPr>
        <w:ind w:left="72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C43877"/>
    <w:multiLevelType w:val="hybridMultilevel"/>
    <w:tmpl w:val="2BFCB9AE"/>
    <w:lvl w:ilvl="0" w:tplc="EB6E72DE">
      <w:start w:val="1"/>
      <w:numFmt w:val="upperLetter"/>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5D301A"/>
    <w:multiLevelType w:val="hybridMultilevel"/>
    <w:tmpl w:val="54C47CCA"/>
    <w:lvl w:ilvl="0" w:tplc="EB6E72DE">
      <w:start w:val="1"/>
      <w:numFmt w:val="upperLetter"/>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6E42AD"/>
    <w:multiLevelType w:val="hybridMultilevel"/>
    <w:tmpl w:val="2CD44322"/>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2508D4"/>
    <w:multiLevelType w:val="hybridMultilevel"/>
    <w:tmpl w:val="2BFCB9AE"/>
    <w:lvl w:ilvl="0" w:tplc="EB6E72DE">
      <w:start w:val="1"/>
      <w:numFmt w:val="upperLetter"/>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8537AE"/>
    <w:multiLevelType w:val="hybridMultilevel"/>
    <w:tmpl w:val="308CC266"/>
    <w:lvl w:ilvl="0" w:tplc="58D8C24A">
      <w:start w:val="1"/>
      <w:numFmt w:val="decimal"/>
      <w:lvlText w:val="%1"/>
      <w:lvlJc w:val="left"/>
      <w:pPr>
        <w:ind w:left="360" w:hanging="360"/>
      </w:pPr>
      <w:rPr>
        <w:rFonts w:hint="default"/>
        <w:b w:val="0"/>
        <w:i/>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F6A5B93"/>
    <w:multiLevelType w:val="hybridMultilevel"/>
    <w:tmpl w:val="2CD44322"/>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790A05"/>
    <w:multiLevelType w:val="hybridMultilevel"/>
    <w:tmpl w:val="5530625E"/>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AE11B6"/>
    <w:multiLevelType w:val="hybridMultilevel"/>
    <w:tmpl w:val="1D1AE7B8"/>
    <w:lvl w:ilvl="0" w:tplc="5C3601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2B4567"/>
    <w:multiLevelType w:val="hybridMultilevel"/>
    <w:tmpl w:val="A248256A"/>
    <w:lvl w:ilvl="0" w:tplc="B948A5AE">
      <w:start w:val="1"/>
      <w:numFmt w:val="decimal"/>
      <w:lvlText w:val="%1"/>
      <w:lvlJc w:val="left"/>
      <w:pPr>
        <w:ind w:left="820" w:hanging="721"/>
      </w:pPr>
      <w:rPr>
        <w:rFonts w:ascii="Times New Roman" w:eastAsia="Times New Roman" w:hAnsi="Times New Roman" w:hint="default"/>
        <w:i/>
        <w:w w:val="99"/>
        <w:sz w:val="20"/>
        <w:szCs w:val="20"/>
      </w:rPr>
    </w:lvl>
    <w:lvl w:ilvl="1" w:tplc="6EE4ABE2">
      <w:start w:val="1"/>
      <w:numFmt w:val="upperRoman"/>
      <w:lvlText w:val="%2."/>
      <w:lvlJc w:val="left"/>
      <w:pPr>
        <w:ind w:left="1900" w:hanging="720"/>
      </w:pPr>
      <w:rPr>
        <w:rFonts w:ascii="Times New Roman" w:eastAsia="Times New Roman" w:hAnsi="Times New Roman" w:hint="default"/>
        <w:b/>
        <w:bCs/>
        <w:sz w:val="24"/>
        <w:szCs w:val="24"/>
      </w:rPr>
    </w:lvl>
    <w:lvl w:ilvl="2" w:tplc="89C242B6">
      <w:start w:val="1"/>
      <w:numFmt w:val="bullet"/>
      <w:lvlText w:val="•"/>
      <w:lvlJc w:val="left"/>
      <w:pPr>
        <w:ind w:left="2824" w:hanging="720"/>
      </w:pPr>
      <w:rPr>
        <w:rFonts w:hint="default"/>
      </w:rPr>
    </w:lvl>
    <w:lvl w:ilvl="3" w:tplc="D5605830">
      <w:start w:val="1"/>
      <w:numFmt w:val="bullet"/>
      <w:lvlText w:val="•"/>
      <w:lvlJc w:val="left"/>
      <w:pPr>
        <w:ind w:left="3749" w:hanging="720"/>
      </w:pPr>
      <w:rPr>
        <w:rFonts w:hint="default"/>
      </w:rPr>
    </w:lvl>
    <w:lvl w:ilvl="4" w:tplc="98BAC47C">
      <w:start w:val="1"/>
      <w:numFmt w:val="bullet"/>
      <w:lvlText w:val="•"/>
      <w:lvlJc w:val="left"/>
      <w:pPr>
        <w:ind w:left="4673" w:hanging="720"/>
      </w:pPr>
      <w:rPr>
        <w:rFonts w:hint="default"/>
      </w:rPr>
    </w:lvl>
    <w:lvl w:ilvl="5" w:tplc="614AE772">
      <w:start w:val="1"/>
      <w:numFmt w:val="bullet"/>
      <w:lvlText w:val="•"/>
      <w:lvlJc w:val="left"/>
      <w:pPr>
        <w:ind w:left="5598" w:hanging="720"/>
      </w:pPr>
      <w:rPr>
        <w:rFonts w:hint="default"/>
      </w:rPr>
    </w:lvl>
    <w:lvl w:ilvl="6" w:tplc="7E064F62">
      <w:start w:val="1"/>
      <w:numFmt w:val="bullet"/>
      <w:lvlText w:val="•"/>
      <w:lvlJc w:val="left"/>
      <w:pPr>
        <w:ind w:left="6522" w:hanging="720"/>
      </w:pPr>
      <w:rPr>
        <w:rFonts w:hint="default"/>
      </w:rPr>
    </w:lvl>
    <w:lvl w:ilvl="7" w:tplc="F8825D9E">
      <w:start w:val="1"/>
      <w:numFmt w:val="bullet"/>
      <w:lvlText w:val="•"/>
      <w:lvlJc w:val="left"/>
      <w:pPr>
        <w:ind w:left="7446" w:hanging="720"/>
      </w:pPr>
      <w:rPr>
        <w:rFonts w:hint="default"/>
      </w:rPr>
    </w:lvl>
    <w:lvl w:ilvl="8" w:tplc="FADA251A">
      <w:start w:val="1"/>
      <w:numFmt w:val="bullet"/>
      <w:lvlText w:val="•"/>
      <w:lvlJc w:val="left"/>
      <w:pPr>
        <w:ind w:left="8371" w:hanging="720"/>
      </w:pPr>
      <w:rPr>
        <w:rFonts w:hint="default"/>
      </w:rPr>
    </w:lvl>
  </w:abstractNum>
  <w:abstractNum w:abstractNumId="26" w15:restartNumberingAfterBreak="0">
    <w:nsid w:val="6203550B"/>
    <w:multiLevelType w:val="hybridMultilevel"/>
    <w:tmpl w:val="B3C2B730"/>
    <w:lvl w:ilvl="0" w:tplc="5C56C666">
      <w:start w:val="1"/>
      <w:numFmt w:val="decimal"/>
      <w:lvlText w:val="%1."/>
      <w:lvlJc w:val="left"/>
      <w:pPr>
        <w:ind w:left="72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2137BC"/>
    <w:multiLevelType w:val="hybridMultilevel"/>
    <w:tmpl w:val="55807C3C"/>
    <w:lvl w:ilvl="0" w:tplc="F728662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8606854"/>
    <w:multiLevelType w:val="hybridMultilevel"/>
    <w:tmpl w:val="2BFCB9AE"/>
    <w:lvl w:ilvl="0" w:tplc="EB6E72DE">
      <w:start w:val="1"/>
      <w:numFmt w:val="upperLetter"/>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BC2E57"/>
    <w:multiLevelType w:val="hybridMultilevel"/>
    <w:tmpl w:val="90F80EBC"/>
    <w:lvl w:ilvl="0" w:tplc="58D2E3AC">
      <w:start w:val="1"/>
      <w:numFmt w:val="decimal"/>
      <w:lvlText w:val="%1"/>
      <w:lvlJc w:val="left"/>
      <w:pPr>
        <w:ind w:left="1440" w:hanging="360"/>
      </w:pPr>
      <w:rPr>
        <w:rFonts w:ascii="Times New Roman" w:eastAsia="Times New Roman" w:hAnsi="Times New Roman" w:hint="default"/>
        <w:b w:val="0"/>
        <w:i/>
        <w:w w:val="99"/>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CD292B"/>
    <w:multiLevelType w:val="hybridMultilevel"/>
    <w:tmpl w:val="2CD44322"/>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2591D38"/>
    <w:multiLevelType w:val="hybridMultilevel"/>
    <w:tmpl w:val="2CD44322"/>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FC2F52"/>
    <w:multiLevelType w:val="hybridMultilevel"/>
    <w:tmpl w:val="425C2530"/>
    <w:lvl w:ilvl="0" w:tplc="8B0848B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211081"/>
    <w:multiLevelType w:val="hybridMultilevel"/>
    <w:tmpl w:val="2BFCB9AE"/>
    <w:lvl w:ilvl="0" w:tplc="EB6E72DE">
      <w:start w:val="1"/>
      <w:numFmt w:val="upperLetter"/>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CF31F2"/>
    <w:multiLevelType w:val="multilevel"/>
    <w:tmpl w:val="A9DE44A2"/>
    <w:lvl w:ilvl="0">
      <w:start w:val="1"/>
      <w:numFmt w:val="upperRoman"/>
      <w:pStyle w:val="Heading1"/>
      <w:suff w:val="nothing"/>
      <w:lvlText w:val="%1.  "/>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4"/>
      <w:numFmt w:val="upperLetter"/>
      <w:pStyle w:val="Heading2"/>
      <w:suff w:val="nothing"/>
      <w:lvlText w:val="%2.  "/>
      <w:lvlJc w:val="left"/>
      <w:pPr>
        <w:ind w:left="1080" w:hanging="720"/>
      </w:pPr>
      <w:rPr>
        <w:rFonts w:ascii="Times New Roman" w:hAnsi="Times New Roman" w:cs="Times New Roman" w:hint="default"/>
        <w:b/>
        <w:i w:val="0"/>
        <w:caps w:val="0"/>
        <w:strike w:val="0"/>
        <w:dstrike w:val="0"/>
        <w:outline w:val="0"/>
        <w:shadow w:val="0"/>
        <w:emboss w:val="0"/>
        <w:imprint w:val="0"/>
        <w:vanish w:val="0"/>
        <w:color w:val="000000"/>
        <w:sz w:val="24"/>
        <w:u w:val="none"/>
        <w:effect w:val="none"/>
        <w:vertAlign w:val="baseline"/>
      </w:rPr>
    </w:lvl>
    <w:lvl w:ilvl="2">
      <w:start w:val="1"/>
      <w:numFmt w:val="decimal"/>
      <w:lvlRestart w:val="0"/>
      <w:pStyle w:val="Heading3"/>
      <w:lvlText w:val="%3"/>
      <w:lvlJc w:val="left"/>
      <w:pPr>
        <w:tabs>
          <w:tab w:val="num" w:pos="0"/>
        </w:tabs>
        <w:ind w:left="0" w:hanging="720"/>
      </w:pPr>
      <w:rPr>
        <w:rFonts w:ascii="Times New Roman" w:hAnsi="Times New Roman" w:cs="Times New Roman" w:hint="default"/>
        <w:b w:val="0"/>
        <w:i/>
        <w:caps w:val="0"/>
        <w:strike w:val="0"/>
        <w:dstrike w:val="0"/>
        <w:outline w:val="0"/>
        <w:shadow w:val="0"/>
        <w:emboss w:val="0"/>
        <w:imprint w:val="0"/>
        <w:vanish w:val="0"/>
        <w:color w:val="000000"/>
        <w:sz w:val="22"/>
        <w:u w:val="none"/>
        <w:effect w:val="none"/>
        <w:vertAlign w:val="baseline"/>
      </w:rPr>
    </w:lvl>
    <w:lvl w:ilvl="3">
      <w:start w:val="1"/>
      <w:numFmt w:val="none"/>
      <w:pStyle w:val="Heading4"/>
      <w:suff w:val="nothing"/>
      <w:lvlText w:val=""/>
      <w:lvlJc w:val="left"/>
      <w:pPr>
        <w:ind w:left="0" w:firstLine="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lvl w:ilvl="4">
      <w:start w:val="1"/>
      <w:numFmt w:val="none"/>
      <w:pStyle w:val="Heading5"/>
      <w:suff w:val="nothing"/>
      <w:lvlText w:val=""/>
      <w:lvlJc w:val="left"/>
      <w:pPr>
        <w:ind w:left="0" w:firstLine="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lvl w:ilvl="5">
      <w:start w:val="1"/>
      <w:numFmt w:val="none"/>
      <w:pStyle w:val="Heading6"/>
      <w:suff w:val="nothing"/>
      <w:lvlText w:val=""/>
      <w:lvlJc w:val="left"/>
      <w:pPr>
        <w:ind w:left="0" w:firstLine="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lvl w:ilvl="6">
      <w:start w:val="1"/>
      <w:numFmt w:val="none"/>
      <w:pStyle w:val="Heading7"/>
      <w:suff w:val="nothing"/>
      <w:lvlText w:val=""/>
      <w:lvlJc w:val="left"/>
      <w:pPr>
        <w:ind w:left="0" w:firstLine="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lvl w:ilvl="7">
      <w:start w:val="1"/>
      <w:numFmt w:val="none"/>
      <w:pStyle w:val="Heading8"/>
      <w:suff w:val="nothing"/>
      <w:lvlText w:val=""/>
      <w:lvlJc w:val="left"/>
      <w:pPr>
        <w:ind w:left="0" w:firstLine="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lvl w:ilvl="8">
      <w:start w:val="1"/>
      <w:numFmt w:val="none"/>
      <w:pStyle w:val="Heading9"/>
      <w:suff w:val="nothing"/>
      <w:lvlText w:val=""/>
      <w:lvlJc w:val="left"/>
      <w:pPr>
        <w:ind w:left="0" w:firstLine="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abstractNum>
  <w:abstractNum w:abstractNumId="35" w15:restartNumberingAfterBreak="0">
    <w:nsid w:val="7D452415"/>
    <w:multiLevelType w:val="hybridMultilevel"/>
    <w:tmpl w:val="2BFCB9AE"/>
    <w:lvl w:ilvl="0" w:tplc="EB6E72DE">
      <w:start w:val="1"/>
      <w:numFmt w:val="upperLetter"/>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7"/>
  </w:num>
  <w:num w:numId="3">
    <w:abstractNumId w:val="21"/>
  </w:num>
  <w:num w:numId="4">
    <w:abstractNumId w:val="20"/>
  </w:num>
  <w:num w:numId="5">
    <w:abstractNumId w:val="31"/>
  </w:num>
  <w:num w:numId="6">
    <w:abstractNumId w:val="32"/>
  </w:num>
  <w:num w:numId="7">
    <w:abstractNumId w:val="0"/>
  </w:num>
  <w:num w:numId="8">
    <w:abstractNumId w:val="35"/>
  </w:num>
  <w:num w:numId="9">
    <w:abstractNumId w:val="30"/>
  </w:num>
  <w:num w:numId="10">
    <w:abstractNumId w:val="14"/>
  </w:num>
  <w:num w:numId="11">
    <w:abstractNumId w:val="23"/>
  </w:num>
  <w:num w:numId="12">
    <w:abstractNumId w:val="16"/>
  </w:num>
  <w:num w:numId="13">
    <w:abstractNumId w:val="1"/>
  </w:num>
  <w:num w:numId="14">
    <w:abstractNumId w:val="22"/>
  </w:num>
  <w:num w:numId="15">
    <w:abstractNumId w:val="9"/>
  </w:num>
  <w:num w:numId="16">
    <w:abstractNumId w:val="2"/>
  </w:num>
  <w:num w:numId="17">
    <w:abstractNumId w:val="26"/>
  </w:num>
  <w:num w:numId="18">
    <w:abstractNumId w:val="8"/>
  </w:num>
  <w:num w:numId="19">
    <w:abstractNumId w:val="27"/>
  </w:num>
  <w:num w:numId="20">
    <w:abstractNumId w:val="5"/>
  </w:num>
  <w:num w:numId="21">
    <w:abstractNumId w:val="13"/>
  </w:num>
  <w:num w:numId="22">
    <w:abstractNumId w:val="19"/>
  </w:num>
  <w:num w:numId="23">
    <w:abstractNumId w:val="33"/>
  </w:num>
  <w:num w:numId="24">
    <w:abstractNumId w:val="28"/>
  </w:num>
  <w:num w:numId="25">
    <w:abstractNumId w:val="11"/>
  </w:num>
  <w:num w:numId="26">
    <w:abstractNumId w:val="3"/>
  </w:num>
  <w:num w:numId="27">
    <w:abstractNumId w:val="6"/>
  </w:num>
  <w:num w:numId="28">
    <w:abstractNumId w:val="4"/>
  </w:num>
  <w:num w:numId="29">
    <w:abstractNumId w:val="17"/>
  </w:num>
  <w:num w:numId="30">
    <w:abstractNumId w:val="18"/>
  </w:num>
  <w:num w:numId="31">
    <w:abstractNumId w:val="24"/>
  </w:num>
  <w:num w:numId="32">
    <w:abstractNumId w:val="12"/>
  </w:num>
  <w:num w:numId="33">
    <w:abstractNumId w:val="25"/>
  </w:num>
  <w:num w:numId="34">
    <w:abstractNumId w:val="29"/>
  </w:num>
  <w:num w:numId="35">
    <w:abstractNumId w:val="15"/>
  </w:num>
  <w:num w:numId="36">
    <w:abstractNumId w:val="10"/>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7AC"/>
    <w:rsid w:val="0000129E"/>
    <w:rsid w:val="00001ABC"/>
    <w:rsid w:val="000105A8"/>
    <w:rsid w:val="00016FD3"/>
    <w:rsid w:val="0002794D"/>
    <w:rsid w:val="00031D0A"/>
    <w:rsid w:val="00050992"/>
    <w:rsid w:val="00062A8A"/>
    <w:rsid w:val="00062CC3"/>
    <w:rsid w:val="000852B9"/>
    <w:rsid w:val="00092C34"/>
    <w:rsid w:val="00093339"/>
    <w:rsid w:val="0009364A"/>
    <w:rsid w:val="000A0E36"/>
    <w:rsid w:val="000A2EAB"/>
    <w:rsid w:val="000A358F"/>
    <w:rsid w:val="000B534F"/>
    <w:rsid w:val="000B5CFA"/>
    <w:rsid w:val="000C02B6"/>
    <w:rsid w:val="000D5D12"/>
    <w:rsid w:val="000E15F5"/>
    <w:rsid w:val="000E3D34"/>
    <w:rsid w:val="000E4F82"/>
    <w:rsid w:val="000E73BA"/>
    <w:rsid w:val="000F36C2"/>
    <w:rsid w:val="000F61D7"/>
    <w:rsid w:val="000F7584"/>
    <w:rsid w:val="00104942"/>
    <w:rsid w:val="0011535D"/>
    <w:rsid w:val="00116CF4"/>
    <w:rsid w:val="00133998"/>
    <w:rsid w:val="001350FA"/>
    <w:rsid w:val="00135AA7"/>
    <w:rsid w:val="00146B88"/>
    <w:rsid w:val="0015387D"/>
    <w:rsid w:val="001557D1"/>
    <w:rsid w:val="00157411"/>
    <w:rsid w:val="00160022"/>
    <w:rsid w:val="00160D00"/>
    <w:rsid w:val="00161A13"/>
    <w:rsid w:val="00170314"/>
    <w:rsid w:val="00173AF4"/>
    <w:rsid w:val="00182187"/>
    <w:rsid w:val="00182A05"/>
    <w:rsid w:val="001A2979"/>
    <w:rsid w:val="001A4A95"/>
    <w:rsid w:val="001A651E"/>
    <w:rsid w:val="001B02FC"/>
    <w:rsid w:val="001B1CDB"/>
    <w:rsid w:val="001C4720"/>
    <w:rsid w:val="001C5E99"/>
    <w:rsid w:val="001E6629"/>
    <w:rsid w:val="001F3769"/>
    <w:rsid w:val="001F38C3"/>
    <w:rsid w:val="001F4046"/>
    <w:rsid w:val="00201081"/>
    <w:rsid w:val="002027C9"/>
    <w:rsid w:val="002064C8"/>
    <w:rsid w:val="002200CA"/>
    <w:rsid w:val="00233193"/>
    <w:rsid w:val="00233501"/>
    <w:rsid w:val="00234BBA"/>
    <w:rsid w:val="002359C2"/>
    <w:rsid w:val="002527BD"/>
    <w:rsid w:val="0025719E"/>
    <w:rsid w:val="0026101F"/>
    <w:rsid w:val="00266F95"/>
    <w:rsid w:val="00271FC5"/>
    <w:rsid w:val="00284749"/>
    <w:rsid w:val="00286538"/>
    <w:rsid w:val="00292B0A"/>
    <w:rsid w:val="00293EC1"/>
    <w:rsid w:val="0029420D"/>
    <w:rsid w:val="00294AA0"/>
    <w:rsid w:val="002A7FC9"/>
    <w:rsid w:val="002B11C9"/>
    <w:rsid w:val="002B45E4"/>
    <w:rsid w:val="002B46B8"/>
    <w:rsid w:val="002B4EB9"/>
    <w:rsid w:val="002D0DE9"/>
    <w:rsid w:val="002D2C6B"/>
    <w:rsid w:val="002D69F2"/>
    <w:rsid w:val="002D6A85"/>
    <w:rsid w:val="002D7E91"/>
    <w:rsid w:val="002E7823"/>
    <w:rsid w:val="002F1967"/>
    <w:rsid w:val="002F31D7"/>
    <w:rsid w:val="002F69D8"/>
    <w:rsid w:val="00306C1A"/>
    <w:rsid w:val="00311EFB"/>
    <w:rsid w:val="0031465E"/>
    <w:rsid w:val="003162EB"/>
    <w:rsid w:val="0032213A"/>
    <w:rsid w:val="00323BDA"/>
    <w:rsid w:val="00332CCC"/>
    <w:rsid w:val="0033662D"/>
    <w:rsid w:val="00342B2D"/>
    <w:rsid w:val="003601DC"/>
    <w:rsid w:val="00374AFF"/>
    <w:rsid w:val="00380EB2"/>
    <w:rsid w:val="0038267B"/>
    <w:rsid w:val="0039332B"/>
    <w:rsid w:val="003937AF"/>
    <w:rsid w:val="00394F96"/>
    <w:rsid w:val="003B7B43"/>
    <w:rsid w:val="003C2C0A"/>
    <w:rsid w:val="003C6FBC"/>
    <w:rsid w:val="003D1AE4"/>
    <w:rsid w:val="003D26DE"/>
    <w:rsid w:val="003D441F"/>
    <w:rsid w:val="003E4979"/>
    <w:rsid w:val="003F22BD"/>
    <w:rsid w:val="003F2FC5"/>
    <w:rsid w:val="00400EC6"/>
    <w:rsid w:val="004033FE"/>
    <w:rsid w:val="004056DC"/>
    <w:rsid w:val="004143BC"/>
    <w:rsid w:val="00423A86"/>
    <w:rsid w:val="00425B1A"/>
    <w:rsid w:val="00431436"/>
    <w:rsid w:val="00433672"/>
    <w:rsid w:val="00435223"/>
    <w:rsid w:val="0043633F"/>
    <w:rsid w:val="00441A76"/>
    <w:rsid w:val="00443F6B"/>
    <w:rsid w:val="004455E0"/>
    <w:rsid w:val="0046233F"/>
    <w:rsid w:val="004630E5"/>
    <w:rsid w:val="00472A76"/>
    <w:rsid w:val="004744BB"/>
    <w:rsid w:val="00476060"/>
    <w:rsid w:val="00476531"/>
    <w:rsid w:val="004902BF"/>
    <w:rsid w:val="004A27A5"/>
    <w:rsid w:val="004A30F9"/>
    <w:rsid w:val="004A3169"/>
    <w:rsid w:val="004C200B"/>
    <w:rsid w:val="004C5785"/>
    <w:rsid w:val="004D4A6C"/>
    <w:rsid w:val="004E1549"/>
    <w:rsid w:val="004E4B9A"/>
    <w:rsid w:val="004E72FF"/>
    <w:rsid w:val="004F0ED7"/>
    <w:rsid w:val="004F257C"/>
    <w:rsid w:val="00511437"/>
    <w:rsid w:val="0052098D"/>
    <w:rsid w:val="005366F6"/>
    <w:rsid w:val="00541E6A"/>
    <w:rsid w:val="0055117B"/>
    <w:rsid w:val="0055315E"/>
    <w:rsid w:val="00564633"/>
    <w:rsid w:val="00571C18"/>
    <w:rsid w:val="005759C3"/>
    <w:rsid w:val="00575DD9"/>
    <w:rsid w:val="00576980"/>
    <w:rsid w:val="00576C16"/>
    <w:rsid w:val="00597665"/>
    <w:rsid w:val="005A391A"/>
    <w:rsid w:val="005A51D3"/>
    <w:rsid w:val="005A61E9"/>
    <w:rsid w:val="005A642D"/>
    <w:rsid w:val="005C0512"/>
    <w:rsid w:val="005C1D27"/>
    <w:rsid w:val="005D0CDC"/>
    <w:rsid w:val="005D3FE7"/>
    <w:rsid w:val="005D4B6D"/>
    <w:rsid w:val="005D5EA6"/>
    <w:rsid w:val="005E3B35"/>
    <w:rsid w:val="005E4D37"/>
    <w:rsid w:val="005F4F28"/>
    <w:rsid w:val="0060210E"/>
    <w:rsid w:val="006040FA"/>
    <w:rsid w:val="006164F9"/>
    <w:rsid w:val="006178D6"/>
    <w:rsid w:val="006203A6"/>
    <w:rsid w:val="00621F7A"/>
    <w:rsid w:val="0062618E"/>
    <w:rsid w:val="00640200"/>
    <w:rsid w:val="0064111A"/>
    <w:rsid w:val="0064467D"/>
    <w:rsid w:val="00646BEF"/>
    <w:rsid w:val="00655588"/>
    <w:rsid w:val="00656230"/>
    <w:rsid w:val="00664E77"/>
    <w:rsid w:val="00670AEB"/>
    <w:rsid w:val="006749B0"/>
    <w:rsid w:val="00677C48"/>
    <w:rsid w:val="00684A5F"/>
    <w:rsid w:val="0069127F"/>
    <w:rsid w:val="0069229A"/>
    <w:rsid w:val="006A2C46"/>
    <w:rsid w:val="006A37CE"/>
    <w:rsid w:val="006A4A5C"/>
    <w:rsid w:val="006A7033"/>
    <w:rsid w:val="006A78F9"/>
    <w:rsid w:val="006B502C"/>
    <w:rsid w:val="006C010E"/>
    <w:rsid w:val="006D35D5"/>
    <w:rsid w:val="006D6527"/>
    <w:rsid w:val="006D6C28"/>
    <w:rsid w:val="006E3873"/>
    <w:rsid w:val="006F6281"/>
    <w:rsid w:val="006F6EF2"/>
    <w:rsid w:val="00711EB1"/>
    <w:rsid w:val="007136EB"/>
    <w:rsid w:val="007202E9"/>
    <w:rsid w:val="007207AC"/>
    <w:rsid w:val="00730602"/>
    <w:rsid w:val="0073630E"/>
    <w:rsid w:val="00742EC8"/>
    <w:rsid w:val="0074412B"/>
    <w:rsid w:val="00752778"/>
    <w:rsid w:val="007530FF"/>
    <w:rsid w:val="007608B7"/>
    <w:rsid w:val="00762F68"/>
    <w:rsid w:val="00770766"/>
    <w:rsid w:val="007735B5"/>
    <w:rsid w:val="007743C7"/>
    <w:rsid w:val="00774CDD"/>
    <w:rsid w:val="00774ECB"/>
    <w:rsid w:val="00777088"/>
    <w:rsid w:val="00790992"/>
    <w:rsid w:val="00793B66"/>
    <w:rsid w:val="00796401"/>
    <w:rsid w:val="007A7A00"/>
    <w:rsid w:val="007B2E50"/>
    <w:rsid w:val="007C148C"/>
    <w:rsid w:val="007C4FF0"/>
    <w:rsid w:val="007C7FEE"/>
    <w:rsid w:val="007E1140"/>
    <w:rsid w:val="007E352E"/>
    <w:rsid w:val="007F4177"/>
    <w:rsid w:val="007F7E7B"/>
    <w:rsid w:val="00800281"/>
    <w:rsid w:val="00806CF5"/>
    <w:rsid w:val="00810923"/>
    <w:rsid w:val="00812E45"/>
    <w:rsid w:val="0081672E"/>
    <w:rsid w:val="0083334A"/>
    <w:rsid w:val="008359A5"/>
    <w:rsid w:val="0084776E"/>
    <w:rsid w:val="00851397"/>
    <w:rsid w:val="008552DD"/>
    <w:rsid w:val="00864A13"/>
    <w:rsid w:val="00873172"/>
    <w:rsid w:val="0087452E"/>
    <w:rsid w:val="008818AC"/>
    <w:rsid w:val="00884639"/>
    <w:rsid w:val="00897DF6"/>
    <w:rsid w:val="008A515E"/>
    <w:rsid w:val="008B63EA"/>
    <w:rsid w:val="008C5114"/>
    <w:rsid w:val="008D2DA1"/>
    <w:rsid w:val="008D34B3"/>
    <w:rsid w:val="008D65A9"/>
    <w:rsid w:val="008E4CFA"/>
    <w:rsid w:val="008E7845"/>
    <w:rsid w:val="008F00E5"/>
    <w:rsid w:val="008F0BAE"/>
    <w:rsid w:val="008F704D"/>
    <w:rsid w:val="009000D2"/>
    <w:rsid w:val="00901323"/>
    <w:rsid w:val="00905443"/>
    <w:rsid w:val="00906121"/>
    <w:rsid w:val="00906185"/>
    <w:rsid w:val="009063EE"/>
    <w:rsid w:val="00907551"/>
    <w:rsid w:val="0091341C"/>
    <w:rsid w:val="00916A07"/>
    <w:rsid w:val="0092504D"/>
    <w:rsid w:val="0092624C"/>
    <w:rsid w:val="00926906"/>
    <w:rsid w:val="00937AEF"/>
    <w:rsid w:val="00937BA0"/>
    <w:rsid w:val="009406C1"/>
    <w:rsid w:val="009516F5"/>
    <w:rsid w:val="009530E9"/>
    <w:rsid w:val="0096168B"/>
    <w:rsid w:val="00962820"/>
    <w:rsid w:val="00962D7F"/>
    <w:rsid w:val="00970C2A"/>
    <w:rsid w:val="00971B8C"/>
    <w:rsid w:val="0097370F"/>
    <w:rsid w:val="00981145"/>
    <w:rsid w:val="009816CE"/>
    <w:rsid w:val="009837DD"/>
    <w:rsid w:val="00983931"/>
    <w:rsid w:val="00986CF2"/>
    <w:rsid w:val="00994D54"/>
    <w:rsid w:val="009B0A09"/>
    <w:rsid w:val="009B67E3"/>
    <w:rsid w:val="009C1049"/>
    <w:rsid w:val="009C372E"/>
    <w:rsid w:val="009C6436"/>
    <w:rsid w:val="009C6E7E"/>
    <w:rsid w:val="009D2C6D"/>
    <w:rsid w:val="009E1B4D"/>
    <w:rsid w:val="00A05E1A"/>
    <w:rsid w:val="00A05E58"/>
    <w:rsid w:val="00A076A5"/>
    <w:rsid w:val="00A128A6"/>
    <w:rsid w:val="00A135D1"/>
    <w:rsid w:val="00A166E8"/>
    <w:rsid w:val="00A22261"/>
    <w:rsid w:val="00A31B63"/>
    <w:rsid w:val="00A40784"/>
    <w:rsid w:val="00A419F6"/>
    <w:rsid w:val="00A439D1"/>
    <w:rsid w:val="00A54987"/>
    <w:rsid w:val="00A55237"/>
    <w:rsid w:val="00A56B2E"/>
    <w:rsid w:val="00A6046A"/>
    <w:rsid w:val="00A64159"/>
    <w:rsid w:val="00A7738A"/>
    <w:rsid w:val="00A776AD"/>
    <w:rsid w:val="00A77738"/>
    <w:rsid w:val="00A8113D"/>
    <w:rsid w:val="00A85375"/>
    <w:rsid w:val="00A855D7"/>
    <w:rsid w:val="00A85EAF"/>
    <w:rsid w:val="00A86008"/>
    <w:rsid w:val="00A86F0C"/>
    <w:rsid w:val="00A90543"/>
    <w:rsid w:val="00A918D0"/>
    <w:rsid w:val="00AA61E1"/>
    <w:rsid w:val="00AB2B09"/>
    <w:rsid w:val="00AC075C"/>
    <w:rsid w:val="00AC1EF5"/>
    <w:rsid w:val="00AC4BF5"/>
    <w:rsid w:val="00AC6A66"/>
    <w:rsid w:val="00AD1083"/>
    <w:rsid w:val="00AD661B"/>
    <w:rsid w:val="00AE0367"/>
    <w:rsid w:val="00AE0AE7"/>
    <w:rsid w:val="00AE63E7"/>
    <w:rsid w:val="00AE773B"/>
    <w:rsid w:val="00AE7EC6"/>
    <w:rsid w:val="00AF0932"/>
    <w:rsid w:val="00AF4944"/>
    <w:rsid w:val="00AF6990"/>
    <w:rsid w:val="00B00B4E"/>
    <w:rsid w:val="00B015A4"/>
    <w:rsid w:val="00B03EA0"/>
    <w:rsid w:val="00B10131"/>
    <w:rsid w:val="00B10FE4"/>
    <w:rsid w:val="00B117C8"/>
    <w:rsid w:val="00B131E0"/>
    <w:rsid w:val="00B13614"/>
    <w:rsid w:val="00B142F4"/>
    <w:rsid w:val="00B1440F"/>
    <w:rsid w:val="00B17BD2"/>
    <w:rsid w:val="00B31323"/>
    <w:rsid w:val="00B31425"/>
    <w:rsid w:val="00B327CB"/>
    <w:rsid w:val="00B40A87"/>
    <w:rsid w:val="00B468F7"/>
    <w:rsid w:val="00B51723"/>
    <w:rsid w:val="00B5494A"/>
    <w:rsid w:val="00B558EA"/>
    <w:rsid w:val="00B64369"/>
    <w:rsid w:val="00B66E8E"/>
    <w:rsid w:val="00B77BCE"/>
    <w:rsid w:val="00B905FA"/>
    <w:rsid w:val="00B92D26"/>
    <w:rsid w:val="00BA41CF"/>
    <w:rsid w:val="00BB0573"/>
    <w:rsid w:val="00BB0F72"/>
    <w:rsid w:val="00BB7B4D"/>
    <w:rsid w:val="00BD4A61"/>
    <w:rsid w:val="00BE524F"/>
    <w:rsid w:val="00BF06DD"/>
    <w:rsid w:val="00BF5F7B"/>
    <w:rsid w:val="00BF6279"/>
    <w:rsid w:val="00C14811"/>
    <w:rsid w:val="00C14B48"/>
    <w:rsid w:val="00C22F2E"/>
    <w:rsid w:val="00C24CE9"/>
    <w:rsid w:val="00C34F89"/>
    <w:rsid w:val="00C353D9"/>
    <w:rsid w:val="00C444CA"/>
    <w:rsid w:val="00C45BA3"/>
    <w:rsid w:val="00C5062E"/>
    <w:rsid w:val="00C50BED"/>
    <w:rsid w:val="00C52260"/>
    <w:rsid w:val="00C60883"/>
    <w:rsid w:val="00C629B8"/>
    <w:rsid w:val="00C63C81"/>
    <w:rsid w:val="00C64B35"/>
    <w:rsid w:val="00C6651D"/>
    <w:rsid w:val="00C67445"/>
    <w:rsid w:val="00C6799E"/>
    <w:rsid w:val="00C7043B"/>
    <w:rsid w:val="00C71B1D"/>
    <w:rsid w:val="00C80C8A"/>
    <w:rsid w:val="00C83AD5"/>
    <w:rsid w:val="00C84F67"/>
    <w:rsid w:val="00C85658"/>
    <w:rsid w:val="00C87046"/>
    <w:rsid w:val="00C9092D"/>
    <w:rsid w:val="00C96711"/>
    <w:rsid w:val="00CA6939"/>
    <w:rsid w:val="00CC0AB3"/>
    <w:rsid w:val="00CC1266"/>
    <w:rsid w:val="00CC414F"/>
    <w:rsid w:val="00CC4C4D"/>
    <w:rsid w:val="00CD26E5"/>
    <w:rsid w:val="00CE35CD"/>
    <w:rsid w:val="00CE5F02"/>
    <w:rsid w:val="00CE5F57"/>
    <w:rsid w:val="00CE7A7B"/>
    <w:rsid w:val="00CF32EE"/>
    <w:rsid w:val="00CF6207"/>
    <w:rsid w:val="00D010CD"/>
    <w:rsid w:val="00D052E6"/>
    <w:rsid w:val="00D0553A"/>
    <w:rsid w:val="00D26645"/>
    <w:rsid w:val="00D31925"/>
    <w:rsid w:val="00D32B7F"/>
    <w:rsid w:val="00D33F55"/>
    <w:rsid w:val="00D42456"/>
    <w:rsid w:val="00D55DD5"/>
    <w:rsid w:val="00D56312"/>
    <w:rsid w:val="00D63DC5"/>
    <w:rsid w:val="00D712F1"/>
    <w:rsid w:val="00D747D9"/>
    <w:rsid w:val="00D74D12"/>
    <w:rsid w:val="00D77F75"/>
    <w:rsid w:val="00D80BAB"/>
    <w:rsid w:val="00D80E2C"/>
    <w:rsid w:val="00D8721B"/>
    <w:rsid w:val="00D924A9"/>
    <w:rsid w:val="00D96F8F"/>
    <w:rsid w:val="00DA265C"/>
    <w:rsid w:val="00DA543A"/>
    <w:rsid w:val="00DA59E9"/>
    <w:rsid w:val="00DA6C61"/>
    <w:rsid w:val="00DC5D75"/>
    <w:rsid w:val="00DC624E"/>
    <w:rsid w:val="00DD6C7D"/>
    <w:rsid w:val="00DD7EC4"/>
    <w:rsid w:val="00E0185B"/>
    <w:rsid w:val="00E01D8A"/>
    <w:rsid w:val="00E14304"/>
    <w:rsid w:val="00E21677"/>
    <w:rsid w:val="00E2235D"/>
    <w:rsid w:val="00E22743"/>
    <w:rsid w:val="00E3194B"/>
    <w:rsid w:val="00E32D7A"/>
    <w:rsid w:val="00E366F3"/>
    <w:rsid w:val="00E413E3"/>
    <w:rsid w:val="00E510D2"/>
    <w:rsid w:val="00E53438"/>
    <w:rsid w:val="00E563AC"/>
    <w:rsid w:val="00E5737C"/>
    <w:rsid w:val="00E650EB"/>
    <w:rsid w:val="00E738E4"/>
    <w:rsid w:val="00E765DA"/>
    <w:rsid w:val="00E77412"/>
    <w:rsid w:val="00E77641"/>
    <w:rsid w:val="00E84736"/>
    <w:rsid w:val="00E8671A"/>
    <w:rsid w:val="00E8750A"/>
    <w:rsid w:val="00E94F61"/>
    <w:rsid w:val="00EA11F6"/>
    <w:rsid w:val="00EA1615"/>
    <w:rsid w:val="00EA545E"/>
    <w:rsid w:val="00EA7BDD"/>
    <w:rsid w:val="00EB1B2E"/>
    <w:rsid w:val="00EB2289"/>
    <w:rsid w:val="00EB4910"/>
    <w:rsid w:val="00EB5449"/>
    <w:rsid w:val="00EC31BF"/>
    <w:rsid w:val="00EC5338"/>
    <w:rsid w:val="00ED161F"/>
    <w:rsid w:val="00ED414C"/>
    <w:rsid w:val="00ED59F8"/>
    <w:rsid w:val="00ED5F26"/>
    <w:rsid w:val="00EE3793"/>
    <w:rsid w:val="00EF57D1"/>
    <w:rsid w:val="00EF5B53"/>
    <w:rsid w:val="00F02001"/>
    <w:rsid w:val="00F02BC6"/>
    <w:rsid w:val="00F04DA3"/>
    <w:rsid w:val="00F07CA7"/>
    <w:rsid w:val="00F10B76"/>
    <w:rsid w:val="00F15B5C"/>
    <w:rsid w:val="00F31825"/>
    <w:rsid w:val="00F346D1"/>
    <w:rsid w:val="00F43072"/>
    <w:rsid w:val="00F4346F"/>
    <w:rsid w:val="00F446D7"/>
    <w:rsid w:val="00F459AF"/>
    <w:rsid w:val="00F46270"/>
    <w:rsid w:val="00F53FF3"/>
    <w:rsid w:val="00F54477"/>
    <w:rsid w:val="00F55825"/>
    <w:rsid w:val="00F561CB"/>
    <w:rsid w:val="00F66A91"/>
    <w:rsid w:val="00F67C9F"/>
    <w:rsid w:val="00F729A4"/>
    <w:rsid w:val="00F76A39"/>
    <w:rsid w:val="00F80195"/>
    <w:rsid w:val="00F8026E"/>
    <w:rsid w:val="00F83ECB"/>
    <w:rsid w:val="00F85B83"/>
    <w:rsid w:val="00F867DC"/>
    <w:rsid w:val="00FA20FA"/>
    <w:rsid w:val="00FB07B0"/>
    <w:rsid w:val="00FB5706"/>
    <w:rsid w:val="00FB68EE"/>
    <w:rsid w:val="00FC36C9"/>
    <w:rsid w:val="00FC7722"/>
    <w:rsid w:val="00FD2A2C"/>
    <w:rsid w:val="00FD41A7"/>
    <w:rsid w:val="00FE02ED"/>
    <w:rsid w:val="00FE2139"/>
    <w:rsid w:val="00FE3243"/>
    <w:rsid w:val="00FE38A9"/>
    <w:rsid w:val="00FE6460"/>
    <w:rsid w:val="00FE6CA6"/>
    <w:rsid w:val="00FF11A7"/>
    <w:rsid w:val="00FF1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BCD6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7AC"/>
    <w:pPr>
      <w:spacing w:before="100" w:beforeAutospacing="1" w:after="100" w:afterAutospacing="1" w:line="480" w:lineRule="auto"/>
    </w:pPr>
    <w:rPr>
      <w:rFonts w:ascii="Times New Roman" w:hAnsi="Times New Roman"/>
      <w:sz w:val="24"/>
    </w:rPr>
  </w:style>
  <w:style w:type="paragraph" w:styleId="Heading1">
    <w:name w:val="heading 1"/>
    <w:basedOn w:val="Normal"/>
    <w:next w:val="Heading3"/>
    <w:link w:val="Heading1Char"/>
    <w:uiPriority w:val="9"/>
    <w:qFormat/>
    <w:rsid w:val="007207AC"/>
    <w:pPr>
      <w:keepNext/>
      <w:numPr>
        <w:numId w:val="1"/>
      </w:numPr>
      <w:spacing w:before="0" w:beforeAutospacing="0" w:after="240" w:afterAutospacing="0" w:line="240" w:lineRule="auto"/>
      <w:jc w:val="center"/>
      <w:outlineLvl w:val="0"/>
    </w:pPr>
    <w:rPr>
      <w:rFonts w:cs="Times New Roman"/>
      <w:bCs/>
      <w:caps/>
      <w:szCs w:val="32"/>
    </w:rPr>
  </w:style>
  <w:style w:type="paragraph" w:styleId="Heading2">
    <w:name w:val="heading 2"/>
    <w:basedOn w:val="Normal"/>
    <w:next w:val="ListParagraph"/>
    <w:link w:val="Heading2Char"/>
    <w:qFormat/>
    <w:rsid w:val="007207AC"/>
    <w:pPr>
      <w:keepNext/>
      <w:numPr>
        <w:ilvl w:val="1"/>
        <w:numId w:val="1"/>
      </w:numPr>
      <w:spacing w:before="0" w:beforeAutospacing="0" w:after="240" w:afterAutospacing="0" w:line="240" w:lineRule="auto"/>
      <w:outlineLvl w:val="1"/>
    </w:pPr>
    <w:rPr>
      <w:rFonts w:cs="Times New Roman"/>
      <w:b/>
      <w:bCs/>
      <w:iCs/>
      <w:szCs w:val="28"/>
      <w:u w:val="single"/>
    </w:rPr>
  </w:style>
  <w:style w:type="paragraph" w:styleId="Heading3">
    <w:name w:val="heading 3"/>
    <w:basedOn w:val="Normal"/>
    <w:link w:val="Heading3Char"/>
    <w:qFormat/>
    <w:rsid w:val="007207AC"/>
    <w:pPr>
      <w:numPr>
        <w:ilvl w:val="2"/>
        <w:numId w:val="1"/>
      </w:numPr>
      <w:spacing w:before="0" w:beforeAutospacing="0" w:after="120" w:afterAutospacing="0"/>
      <w:outlineLvl w:val="2"/>
    </w:pPr>
    <w:rPr>
      <w:rFonts w:cs="Times New Roman"/>
      <w:bCs/>
      <w:szCs w:val="26"/>
    </w:rPr>
  </w:style>
  <w:style w:type="paragraph" w:styleId="Heading4">
    <w:name w:val="heading 4"/>
    <w:basedOn w:val="Normal"/>
    <w:next w:val="BodyText2"/>
    <w:link w:val="Heading4Char"/>
    <w:unhideWhenUsed/>
    <w:qFormat/>
    <w:rsid w:val="007207AC"/>
    <w:pPr>
      <w:keepNext/>
      <w:numPr>
        <w:ilvl w:val="3"/>
        <w:numId w:val="1"/>
      </w:numPr>
      <w:spacing w:before="240" w:beforeAutospacing="0" w:after="60" w:afterAutospacing="0" w:line="240" w:lineRule="auto"/>
      <w:outlineLvl w:val="3"/>
    </w:pPr>
    <w:rPr>
      <w:rFonts w:ascii="Calibri" w:hAnsi="Calibri"/>
      <w:b/>
      <w:bCs/>
      <w:sz w:val="28"/>
      <w:szCs w:val="28"/>
    </w:rPr>
  </w:style>
  <w:style w:type="paragraph" w:styleId="Heading5">
    <w:name w:val="heading 5"/>
    <w:basedOn w:val="Normal"/>
    <w:next w:val="BodyText2"/>
    <w:link w:val="Heading5Char"/>
    <w:uiPriority w:val="9"/>
    <w:unhideWhenUsed/>
    <w:qFormat/>
    <w:rsid w:val="007207AC"/>
    <w:pPr>
      <w:numPr>
        <w:ilvl w:val="4"/>
        <w:numId w:val="1"/>
      </w:numPr>
      <w:spacing w:before="240" w:beforeAutospacing="0" w:after="60" w:afterAutospacing="0" w:line="240" w:lineRule="auto"/>
      <w:outlineLvl w:val="4"/>
    </w:pPr>
    <w:rPr>
      <w:rFonts w:ascii="Calibri" w:hAnsi="Calibri"/>
      <w:b/>
      <w:bCs/>
      <w:i/>
      <w:iCs/>
      <w:sz w:val="26"/>
      <w:szCs w:val="26"/>
    </w:rPr>
  </w:style>
  <w:style w:type="paragraph" w:styleId="Heading6">
    <w:name w:val="heading 6"/>
    <w:basedOn w:val="Normal"/>
    <w:next w:val="BodyText2"/>
    <w:link w:val="Heading6Char"/>
    <w:uiPriority w:val="9"/>
    <w:unhideWhenUsed/>
    <w:qFormat/>
    <w:rsid w:val="007207AC"/>
    <w:pPr>
      <w:numPr>
        <w:ilvl w:val="5"/>
        <w:numId w:val="1"/>
      </w:numPr>
      <w:spacing w:before="240" w:beforeAutospacing="0" w:after="60" w:afterAutospacing="0" w:line="240" w:lineRule="auto"/>
      <w:outlineLvl w:val="5"/>
    </w:pPr>
    <w:rPr>
      <w:rFonts w:ascii="Calibri" w:hAnsi="Calibri"/>
      <w:b/>
      <w:bCs/>
      <w:sz w:val="22"/>
    </w:rPr>
  </w:style>
  <w:style w:type="paragraph" w:styleId="Heading7">
    <w:name w:val="heading 7"/>
    <w:basedOn w:val="Normal"/>
    <w:next w:val="BodyText2"/>
    <w:link w:val="Heading7Char"/>
    <w:uiPriority w:val="9"/>
    <w:unhideWhenUsed/>
    <w:qFormat/>
    <w:rsid w:val="007207AC"/>
    <w:pPr>
      <w:numPr>
        <w:ilvl w:val="6"/>
        <w:numId w:val="1"/>
      </w:numPr>
      <w:spacing w:before="240" w:beforeAutospacing="0" w:after="60" w:afterAutospacing="0" w:line="240" w:lineRule="auto"/>
      <w:outlineLvl w:val="6"/>
    </w:pPr>
    <w:rPr>
      <w:rFonts w:ascii="Calibri" w:hAnsi="Calibri"/>
      <w:sz w:val="22"/>
    </w:rPr>
  </w:style>
  <w:style w:type="paragraph" w:styleId="Heading8">
    <w:name w:val="heading 8"/>
    <w:basedOn w:val="Normal"/>
    <w:next w:val="BodyText2"/>
    <w:link w:val="Heading8Char"/>
    <w:uiPriority w:val="9"/>
    <w:unhideWhenUsed/>
    <w:qFormat/>
    <w:rsid w:val="007207AC"/>
    <w:pPr>
      <w:numPr>
        <w:ilvl w:val="7"/>
        <w:numId w:val="1"/>
      </w:numPr>
      <w:spacing w:before="240" w:beforeAutospacing="0" w:after="60" w:afterAutospacing="0" w:line="240" w:lineRule="auto"/>
      <w:outlineLvl w:val="7"/>
    </w:pPr>
    <w:rPr>
      <w:rFonts w:ascii="Calibri" w:hAnsi="Calibri"/>
      <w:i/>
      <w:iCs/>
      <w:sz w:val="22"/>
    </w:rPr>
  </w:style>
  <w:style w:type="paragraph" w:styleId="Heading9">
    <w:name w:val="heading 9"/>
    <w:basedOn w:val="Normal"/>
    <w:next w:val="BodyText2"/>
    <w:link w:val="Heading9Char"/>
    <w:uiPriority w:val="9"/>
    <w:unhideWhenUsed/>
    <w:qFormat/>
    <w:rsid w:val="007207AC"/>
    <w:pPr>
      <w:numPr>
        <w:ilvl w:val="8"/>
        <w:numId w:val="1"/>
      </w:numPr>
      <w:spacing w:before="240" w:beforeAutospacing="0" w:after="60" w:afterAutospacing="0" w:line="240" w:lineRule="auto"/>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5277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52778"/>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7207AC"/>
    <w:rPr>
      <w:rFonts w:ascii="Times New Roman" w:hAnsi="Times New Roman" w:cs="Times New Roman"/>
      <w:bCs/>
      <w:caps/>
      <w:sz w:val="24"/>
      <w:szCs w:val="32"/>
    </w:rPr>
  </w:style>
  <w:style w:type="character" w:customStyle="1" w:styleId="Heading2Char">
    <w:name w:val="Heading 2 Char"/>
    <w:basedOn w:val="DefaultParagraphFont"/>
    <w:link w:val="Heading2"/>
    <w:rsid w:val="007207AC"/>
    <w:rPr>
      <w:rFonts w:ascii="Times New Roman" w:hAnsi="Times New Roman" w:cs="Times New Roman"/>
      <w:b/>
      <w:bCs/>
      <w:iCs/>
      <w:sz w:val="24"/>
      <w:szCs w:val="28"/>
      <w:u w:val="single"/>
    </w:rPr>
  </w:style>
  <w:style w:type="character" w:customStyle="1" w:styleId="Heading3Char">
    <w:name w:val="Heading 3 Char"/>
    <w:basedOn w:val="DefaultParagraphFont"/>
    <w:link w:val="Heading3"/>
    <w:rsid w:val="007207AC"/>
    <w:rPr>
      <w:rFonts w:ascii="Times New Roman" w:hAnsi="Times New Roman" w:cs="Times New Roman"/>
      <w:bCs/>
      <w:sz w:val="24"/>
      <w:szCs w:val="26"/>
    </w:rPr>
  </w:style>
  <w:style w:type="character" w:customStyle="1" w:styleId="Heading4Char">
    <w:name w:val="Heading 4 Char"/>
    <w:basedOn w:val="DefaultParagraphFont"/>
    <w:link w:val="Heading4"/>
    <w:rsid w:val="007207AC"/>
    <w:rPr>
      <w:rFonts w:ascii="Calibri" w:hAnsi="Calibri"/>
      <w:b/>
      <w:bCs/>
      <w:sz w:val="28"/>
      <w:szCs w:val="28"/>
    </w:rPr>
  </w:style>
  <w:style w:type="character" w:customStyle="1" w:styleId="Heading5Char">
    <w:name w:val="Heading 5 Char"/>
    <w:basedOn w:val="DefaultParagraphFont"/>
    <w:link w:val="Heading5"/>
    <w:rsid w:val="007207AC"/>
    <w:rPr>
      <w:rFonts w:ascii="Calibri" w:hAnsi="Calibri"/>
      <w:b/>
      <w:bCs/>
      <w:i/>
      <w:iCs/>
      <w:sz w:val="26"/>
      <w:szCs w:val="26"/>
    </w:rPr>
  </w:style>
  <w:style w:type="character" w:customStyle="1" w:styleId="Heading6Char">
    <w:name w:val="Heading 6 Char"/>
    <w:basedOn w:val="DefaultParagraphFont"/>
    <w:link w:val="Heading6"/>
    <w:rsid w:val="007207AC"/>
    <w:rPr>
      <w:rFonts w:ascii="Calibri" w:hAnsi="Calibri"/>
      <w:b/>
      <w:bCs/>
    </w:rPr>
  </w:style>
  <w:style w:type="character" w:customStyle="1" w:styleId="Heading7Char">
    <w:name w:val="Heading 7 Char"/>
    <w:basedOn w:val="DefaultParagraphFont"/>
    <w:link w:val="Heading7"/>
    <w:rsid w:val="007207AC"/>
    <w:rPr>
      <w:rFonts w:ascii="Calibri" w:hAnsi="Calibri"/>
    </w:rPr>
  </w:style>
  <w:style w:type="character" w:customStyle="1" w:styleId="Heading8Char">
    <w:name w:val="Heading 8 Char"/>
    <w:basedOn w:val="DefaultParagraphFont"/>
    <w:link w:val="Heading8"/>
    <w:rsid w:val="007207AC"/>
    <w:rPr>
      <w:rFonts w:ascii="Calibri" w:hAnsi="Calibri"/>
      <w:i/>
      <w:iCs/>
    </w:rPr>
  </w:style>
  <w:style w:type="character" w:customStyle="1" w:styleId="Heading9Char">
    <w:name w:val="Heading 9 Char"/>
    <w:basedOn w:val="DefaultParagraphFont"/>
    <w:link w:val="Heading9"/>
    <w:rsid w:val="007207AC"/>
    <w:rPr>
      <w:rFonts w:ascii="Arial" w:hAnsi="Arial" w:cs="Arial"/>
    </w:rPr>
  </w:style>
  <w:style w:type="paragraph" w:styleId="Header">
    <w:name w:val="header"/>
    <w:basedOn w:val="Normal"/>
    <w:link w:val="HeaderChar"/>
    <w:uiPriority w:val="99"/>
    <w:rsid w:val="007207AC"/>
    <w:pPr>
      <w:tabs>
        <w:tab w:val="center" w:pos="4320"/>
        <w:tab w:val="right" w:pos="8640"/>
      </w:tabs>
      <w:spacing w:before="0" w:beforeAutospacing="0" w:after="0" w:afterAutospacing="0" w:line="240" w:lineRule="auto"/>
    </w:pPr>
    <w:rPr>
      <w:rFonts w:asciiTheme="minorHAnsi" w:hAnsiTheme="minorHAnsi"/>
      <w:sz w:val="22"/>
    </w:rPr>
  </w:style>
  <w:style w:type="character" w:customStyle="1" w:styleId="HeaderChar">
    <w:name w:val="Header Char"/>
    <w:basedOn w:val="DefaultParagraphFont"/>
    <w:link w:val="Header"/>
    <w:uiPriority w:val="99"/>
    <w:rsid w:val="007207AC"/>
  </w:style>
  <w:style w:type="paragraph" w:styleId="ListParagraph">
    <w:name w:val="List Paragraph"/>
    <w:basedOn w:val="Normal"/>
    <w:uiPriority w:val="34"/>
    <w:qFormat/>
    <w:rsid w:val="007207AC"/>
    <w:pPr>
      <w:ind w:left="720"/>
      <w:contextualSpacing/>
    </w:pPr>
  </w:style>
  <w:style w:type="paragraph" w:styleId="BodyText2">
    <w:name w:val="Body Text 2"/>
    <w:basedOn w:val="Normal"/>
    <w:link w:val="BodyText2Char"/>
    <w:uiPriority w:val="99"/>
    <w:semiHidden/>
    <w:unhideWhenUsed/>
    <w:rsid w:val="007207AC"/>
    <w:pPr>
      <w:spacing w:after="120"/>
    </w:pPr>
  </w:style>
  <w:style w:type="character" w:customStyle="1" w:styleId="BodyText2Char">
    <w:name w:val="Body Text 2 Char"/>
    <w:basedOn w:val="DefaultParagraphFont"/>
    <w:link w:val="BodyText2"/>
    <w:uiPriority w:val="99"/>
    <w:semiHidden/>
    <w:rsid w:val="007207AC"/>
    <w:rPr>
      <w:rFonts w:ascii="Times New Roman" w:hAnsi="Times New Roman"/>
      <w:sz w:val="24"/>
    </w:rPr>
  </w:style>
  <w:style w:type="paragraph" w:styleId="BalloonText">
    <w:name w:val="Balloon Text"/>
    <w:basedOn w:val="Normal"/>
    <w:link w:val="BalloonTextChar"/>
    <w:uiPriority w:val="99"/>
    <w:semiHidden/>
    <w:unhideWhenUsed/>
    <w:rsid w:val="00441A7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A76"/>
    <w:rPr>
      <w:rFonts w:ascii="Segoe UI" w:hAnsi="Segoe UI" w:cs="Segoe UI"/>
      <w:sz w:val="18"/>
      <w:szCs w:val="18"/>
    </w:rPr>
  </w:style>
  <w:style w:type="paragraph" w:styleId="BodyText">
    <w:name w:val="Body Text"/>
    <w:basedOn w:val="Normal"/>
    <w:link w:val="BodyTextChar"/>
    <w:uiPriority w:val="99"/>
    <w:semiHidden/>
    <w:unhideWhenUsed/>
    <w:rsid w:val="00576C16"/>
    <w:pPr>
      <w:spacing w:after="120"/>
    </w:pPr>
  </w:style>
  <w:style w:type="character" w:customStyle="1" w:styleId="BodyTextChar">
    <w:name w:val="Body Text Char"/>
    <w:basedOn w:val="DefaultParagraphFont"/>
    <w:link w:val="BodyText"/>
    <w:uiPriority w:val="99"/>
    <w:semiHidden/>
    <w:rsid w:val="00576C16"/>
    <w:rPr>
      <w:rFonts w:ascii="Times New Roman" w:hAnsi="Times New Roman"/>
      <w:sz w:val="24"/>
    </w:rPr>
  </w:style>
  <w:style w:type="paragraph" w:styleId="FootnoteText">
    <w:name w:val="footnote text"/>
    <w:basedOn w:val="Normal"/>
    <w:link w:val="FootnoteTextChar"/>
    <w:uiPriority w:val="99"/>
    <w:unhideWhenUsed/>
    <w:rsid w:val="00576C16"/>
    <w:pPr>
      <w:spacing w:before="0" w:after="0" w:line="240" w:lineRule="auto"/>
    </w:pPr>
    <w:rPr>
      <w:sz w:val="20"/>
      <w:szCs w:val="20"/>
    </w:rPr>
  </w:style>
  <w:style w:type="character" w:customStyle="1" w:styleId="FootnoteTextChar">
    <w:name w:val="Footnote Text Char"/>
    <w:basedOn w:val="DefaultParagraphFont"/>
    <w:link w:val="FootnoteText"/>
    <w:uiPriority w:val="99"/>
    <w:rsid w:val="00576C16"/>
    <w:rPr>
      <w:rFonts w:ascii="Times New Roman" w:hAnsi="Times New Roman"/>
      <w:sz w:val="20"/>
      <w:szCs w:val="20"/>
    </w:rPr>
  </w:style>
  <w:style w:type="character" w:styleId="FootnoteReference">
    <w:name w:val="footnote reference"/>
    <w:basedOn w:val="DefaultParagraphFont"/>
    <w:uiPriority w:val="99"/>
    <w:semiHidden/>
    <w:unhideWhenUsed/>
    <w:rsid w:val="00576C16"/>
    <w:rPr>
      <w:vertAlign w:val="superscript"/>
    </w:rPr>
  </w:style>
  <w:style w:type="paragraph" w:styleId="Footer">
    <w:name w:val="footer"/>
    <w:basedOn w:val="Normal"/>
    <w:link w:val="FooterChar"/>
    <w:unhideWhenUsed/>
    <w:rsid w:val="007202E9"/>
    <w:pPr>
      <w:tabs>
        <w:tab w:val="center" w:pos="4680"/>
        <w:tab w:val="right" w:pos="9360"/>
      </w:tabs>
      <w:spacing w:before="0" w:after="0" w:line="240" w:lineRule="auto"/>
    </w:pPr>
  </w:style>
  <w:style w:type="character" w:customStyle="1" w:styleId="FooterChar">
    <w:name w:val="Footer Char"/>
    <w:basedOn w:val="DefaultParagraphFont"/>
    <w:link w:val="Footer"/>
    <w:rsid w:val="007202E9"/>
    <w:rPr>
      <w:rFonts w:ascii="Times New Roman" w:hAnsi="Times New Roman"/>
      <w:sz w:val="24"/>
    </w:rPr>
  </w:style>
  <w:style w:type="paragraph" w:styleId="TOCHeading">
    <w:name w:val="TOC Heading"/>
    <w:basedOn w:val="Heading1"/>
    <w:next w:val="Normal"/>
    <w:uiPriority w:val="39"/>
    <w:unhideWhenUsed/>
    <w:qFormat/>
    <w:rsid w:val="00CD26E5"/>
    <w:pPr>
      <w:keepLines/>
      <w:numPr>
        <w:numId w:val="0"/>
      </w:numPr>
      <w:spacing w:before="240" w:after="0" w:line="259" w:lineRule="auto"/>
      <w:outlineLvl w:val="9"/>
    </w:pPr>
    <w:rPr>
      <w:rFonts w:ascii="Times New Roman Bold" w:eastAsiaTheme="majorEastAsia" w:hAnsi="Times New Roman Bold"/>
      <w:b/>
      <w:bCs w:val="0"/>
      <w:caps w:val="0"/>
      <w:szCs w:val="24"/>
      <w:u w:val="single"/>
    </w:rPr>
  </w:style>
  <w:style w:type="paragraph" w:styleId="TOC1">
    <w:name w:val="toc 1"/>
    <w:basedOn w:val="Normal"/>
    <w:next w:val="Normal"/>
    <w:autoRedefine/>
    <w:uiPriority w:val="39"/>
    <w:unhideWhenUsed/>
    <w:rsid w:val="00C22F2E"/>
    <w:pPr>
      <w:tabs>
        <w:tab w:val="right" w:leader="dot" w:pos="9350"/>
      </w:tabs>
      <w:spacing w:before="0" w:beforeAutospacing="0" w:after="240" w:afterAutospacing="0" w:line="240" w:lineRule="auto"/>
      <w:ind w:left="720" w:hanging="720"/>
    </w:pPr>
  </w:style>
  <w:style w:type="paragraph" w:styleId="TOC2">
    <w:name w:val="toc 2"/>
    <w:basedOn w:val="Normal"/>
    <w:next w:val="Normal"/>
    <w:autoRedefine/>
    <w:uiPriority w:val="39"/>
    <w:unhideWhenUsed/>
    <w:rsid w:val="00C22F2E"/>
    <w:pPr>
      <w:tabs>
        <w:tab w:val="left" w:pos="1440"/>
        <w:tab w:val="right" w:leader="dot" w:pos="9350"/>
      </w:tabs>
      <w:spacing w:before="0" w:beforeAutospacing="0" w:after="240" w:afterAutospacing="0" w:line="240" w:lineRule="auto"/>
      <w:ind w:left="1440" w:right="720" w:hanging="720"/>
    </w:pPr>
  </w:style>
  <w:style w:type="character" w:styleId="Hyperlink">
    <w:name w:val="Hyperlink"/>
    <w:basedOn w:val="DefaultParagraphFont"/>
    <w:uiPriority w:val="99"/>
    <w:unhideWhenUsed/>
    <w:rsid w:val="00CD26E5"/>
    <w:rPr>
      <w:color w:val="0563C1" w:themeColor="hyperlink"/>
      <w:u w:val="single"/>
    </w:rPr>
  </w:style>
  <w:style w:type="paragraph" w:styleId="TOC3">
    <w:name w:val="toc 3"/>
    <w:basedOn w:val="Normal"/>
    <w:next w:val="Normal"/>
    <w:autoRedefine/>
    <w:uiPriority w:val="39"/>
    <w:unhideWhenUsed/>
    <w:rsid w:val="00C22F2E"/>
    <w:pPr>
      <w:spacing w:before="0" w:beforeAutospacing="0" w:after="240" w:afterAutospacing="0" w:line="240" w:lineRule="auto"/>
      <w:ind w:left="2160" w:right="720" w:hanging="720"/>
    </w:pPr>
  </w:style>
  <w:style w:type="character" w:styleId="CommentReference">
    <w:name w:val="annotation reference"/>
    <w:basedOn w:val="DefaultParagraphFont"/>
    <w:uiPriority w:val="99"/>
    <w:semiHidden/>
    <w:unhideWhenUsed/>
    <w:rsid w:val="00796401"/>
    <w:rPr>
      <w:sz w:val="16"/>
      <w:szCs w:val="16"/>
    </w:rPr>
  </w:style>
  <w:style w:type="paragraph" w:styleId="CommentText">
    <w:name w:val="annotation text"/>
    <w:basedOn w:val="Normal"/>
    <w:link w:val="CommentTextChar"/>
    <w:uiPriority w:val="99"/>
    <w:semiHidden/>
    <w:unhideWhenUsed/>
    <w:rsid w:val="00796401"/>
    <w:pPr>
      <w:spacing w:line="240" w:lineRule="auto"/>
    </w:pPr>
    <w:rPr>
      <w:sz w:val="20"/>
      <w:szCs w:val="20"/>
    </w:rPr>
  </w:style>
  <w:style w:type="character" w:customStyle="1" w:styleId="CommentTextChar">
    <w:name w:val="Comment Text Char"/>
    <w:basedOn w:val="DefaultParagraphFont"/>
    <w:link w:val="CommentText"/>
    <w:uiPriority w:val="99"/>
    <w:semiHidden/>
    <w:rsid w:val="0079640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96401"/>
    <w:rPr>
      <w:b/>
      <w:bCs/>
    </w:rPr>
  </w:style>
  <w:style w:type="character" w:customStyle="1" w:styleId="CommentSubjectChar">
    <w:name w:val="Comment Subject Char"/>
    <w:basedOn w:val="CommentTextChar"/>
    <w:link w:val="CommentSubject"/>
    <w:uiPriority w:val="99"/>
    <w:semiHidden/>
    <w:rsid w:val="00796401"/>
    <w:rPr>
      <w:rFonts w:ascii="Times New Roman" w:hAnsi="Times New Roman"/>
      <w:b/>
      <w:bCs/>
      <w:sz w:val="20"/>
      <w:szCs w:val="20"/>
    </w:rPr>
  </w:style>
  <w:style w:type="table" w:styleId="TableGrid">
    <w:name w:val="Table Grid"/>
    <w:basedOn w:val="TableNormal"/>
    <w:uiPriority w:val="39"/>
    <w:rsid w:val="00855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552DD"/>
    <w:rPr>
      <w:color w:val="808080"/>
      <w:shd w:val="clear" w:color="auto" w:fill="E6E6E6"/>
    </w:rPr>
  </w:style>
  <w:style w:type="character" w:customStyle="1" w:styleId="UnresolvedMention2">
    <w:name w:val="Unresolved Mention2"/>
    <w:basedOn w:val="DefaultParagraphFont"/>
    <w:uiPriority w:val="99"/>
    <w:semiHidden/>
    <w:unhideWhenUsed/>
    <w:rsid w:val="00B51723"/>
    <w:rPr>
      <w:color w:val="808080"/>
      <w:shd w:val="clear" w:color="auto" w:fill="E6E6E6"/>
    </w:rPr>
  </w:style>
  <w:style w:type="paragraph" w:styleId="TableofAuthorities">
    <w:name w:val="table of authorities"/>
    <w:basedOn w:val="Normal"/>
    <w:next w:val="Normal"/>
    <w:uiPriority w:val="99"/>
    <w:unhideWhenUsed/>
    <w:rsid w:val="00EA7BDD"/>
    <w:pPr>
      <w:spacing w:after="0"/>
      <w:ind w:left="240" w:hanging="240"/>
    </w:pPr>
  </w:style>
  <w:style w:type="paragraph" w:styleId="TOAHeading">
    <w:name w:val="toa heading"/>
    <w:basedOn w:val="Normal"/>
    <w:next w:val="Normal"/>
    <w:uiPriority w:val="99"/>
    <w:unhideWhenUsed/>
    <w:rsid w:val="00EA7BDD"/>
    <w:pPr>
      <w:spacing w:before="120"/>
    </w:pPr>
    <w:rPr>
      <w:rFonts w:eastAsiaTheme="majorEastAsia" w:cstheme="majorBidi"/>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934838">
      <w:bodyDiv w:val="1"/>
      <w:marLeft w:val="0"/>
      <w:marRight w:val="0"/>
      <w:marTop w:val="0"/>
      <w:marBottom w:val="0"/>
      <w:divBdr>
        <w:top w:val="none" w:sz="0" w:space="0" w:color="auto"/>
        <w:left w:val="none" w:sz="0" w:space="0" w:color="auto"/>
        <w:bottom w:val="none" w:sz="0" w:space="0" w:color="auto"/>
        <w:right w:val="none" w:sz="0" w:space="0" w:color="auto"/>
      </w:divBdr>
      <w:divsChild>
        <w:div w:id="1356536077">
          <w:marLeft w:val="0"/>
          <w:marRight w:val="0"/>
          <w:marTop w:val="0"/>
          <w:marBottom w:val="0"/>
          <w:divBdr>
            <w:top w:val="none" w:sz="0" w:space="0" w:color="auto"/>
            <w:left w:val="none" w:sz="0" w:space="0" w:color="auto"/>
            <w:bottom w:val="none" w:sz="0" w:space="0" w:color="auto"/>
            <w:right w:val="none" w:sz="0" w:space="0" w:color="auto"/>
          </w:divBdr>
          <w:divsChild>
            <w:div w:id="104537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wiley@williamskastne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beattie@utc.wa.gov" TargetMode="Externa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Response</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2017-07-14T07:00:00+00:00</Date1>
    <IsDocumentOrder xmlns="dc463f71-b30c-4ab2-9473-d307f9d35888" xsi:nil="true"/>
    <IsHighlyConfidential xmlns="dc463f71-b30c-4ab2-9473-d307f9d35888">false</IsHighlyConfidential>
    <CaseCompanyNames xmlns="dc463f71-b30c-4ab2-9473-d307f9d35888">Speedishuttle Washington, LLC</CaseCompanyNames>
    <Nickname xmlns="http://schemas.microsoft.com/sharepoint/v3" xsi:nil="true"/>
    <DocketNumber xmlns="dc463f71-b30c-4ab2-9473-d307f9d35888">143691</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6E7617D-5CB5-42FD-B861-B9EDD7118D54}">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a7bd91e-004b-490a-8704-e368d63d59a0"/>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BAD88AD3-C96F-429C-8B6D-17E9341A0292}">
  <ds:schemaRefs>
    <ds:schemaRef ds:uri="http://schemas.microsoft.com/sharepoint/v3/contenttype/forms"/>
  </ds:schemaRefs>
</ds:datastoreItem>
</file>

<file path=customXml/itemProps3.xml><?xml version="1.0" encoding="utf-8"?>
<ds:datastoreItem xmlns:ds="http://schemas.openxmlformats.org/officeDocument/2006/customXml" ds:itemID="{6F6D59F5-A282-457B-8C8B-8EE6A752F5F2}"/>
</file>

<file path=customXml/itemProps4.xml><?xml version="1.0" encoding="utf-8"?>
<ds:datastoreItem xmlns:ds="http://schemas.openxmlformats.org/officeDocument/2006/customXml" ds:itemID="{FB53A84C-E317-4B2E-8D12-F6A969C44A80}">
  <ds:schemaRefs>
    <ds:schemaRef ds:uri="http://schemas.openxmlformats.org/officeDocument/2006/bibliography"/>
  </ds:schemaRefs>
</ds:datastoreItem>
</file>

<file path=customXml/itemProps5.xml><?xml version="1.0" encoding="utf-8"?>
<ds:datastoreItem xmlns:ds="http://schemas.openxmlformats.org/officeDocument/2006/customXml" ds:itemID="{A2E924E3-0F89-4285-8806-1C6333964508}"/>
</file>

<file path=docProps/app.xml><?xml version="1.0" encoding="utf-8"?>
<Properties xmlns="http://schemas.openxmlformats.org/officeDocument/2006/extended-properties" xmlns:vt="http://schemas.openxmlformats.org/officeDocument/2006/docPropsVTypes">
  <Template>Normal</Template>
  <TotalTime>0</TotalTime>
  <Pages>33</Pages>
  <Words>7192</Words>
  <Characters>40996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2017-07-14T22:30:00Z</dcterms:created>
  <dcterms:modified xsi:type="dcterms:W3CDTF">2017-07-14T22:30:00Z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y fmtid="{D5CDD505-2E9C-101B-9397-08002B2CF9AE}" pid="4" name="IsEFSEC">
    <vt:bool>false</vt:bool>
  </property>
</Properties>
</file>